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08E" w:rsidRDefault="008E5906">
      <w:pPr>
        <w:pStyle w:val="1"/>
        <w:jc w:val="center"/>
      </w:pPr>
      <w:r>
        <w:rPr>
          <w:rFonts w:hint="eastAsia"/>
        </w:rPr>
        <w:t>《电动汽车交流充电桩》检定规程</w:t>
      </w:r>
    </w:p>
    <w:p w:rsidR="00A7508E" w:rsidRDefault="008E5906">
      <w:pPr>
        <w:pStyle w:val="1"/>
        <w:jc w:val="center"/>
      </w:pPr>
      <w:r>
        <w:rPr>
          <w:rFonts w:hint="eastAsia"/>
        </w:rPr>
        <w:t>编制说明</w:t>
      </w:r>
    </w:p>
    <w:p w:rsidR="00A7508E" w:rsidRDefault="008E5906">
      <w:pPr>
        <w:spacing w:line="360" w:lineRule="auto"/>
        <w:rPr>
          <w:sz w:val="24"/>
        </w:rPr>
      </w:pPr>
      <w:r>
        <w:rPr>
          <w:sz w:val="24"/>
        </w:rPr>
        <w:t xml:space="preserve">1  </w:t>
      </w:r>
      <w:r>
        <w:rPr>
          <w:sz w:val="24"/>
        </w:rPr>
        <w:t>任务来源</w:t>
      </w:r>
    </w:p>
    <w:p w:rsidR="00A7508E" w:rsidRDefault="008E5906">
      <w:pPr>
        <w:spacing w:line="360" w:lineRule="auto"/>
        <w:ind w:firstLineChars="192" w:firstLine="461"/>
        <w:rPr>
          <w:sz w:val="24"/>
        </w:rPr>
      </w:pPr>
      <w:r>
        <w:rPr>
          <w:bCs/>
          <w:sz w:val="24"/>
        </w:rPr>
        <w:t>《</w:t>
      </w:r>
      <w:r>
        <w:rPr>
          <w:rFonts w:hint="eastAsia"/>
          <w:bCs/>
          <w:sz w:val="24"/>
        </w:rPr>
        <w:t>电动汽车</w:t>
      </w:r>
      <w:r>
        <w:rPr>
          <w:rFonts w:hint="eastAsia"/>
          <w:sz w:val="24"/>
        </w:rPr>
        <w:t>交流充电桩</w:t>
      </w:r>
      <w:r>
        <w:rPr>
          <w:bCs/>
          <w:sz w:val="24"/>
        </w:rPr>
        <w:t>》</w:t>
      </w:r>
      <w:r>
        <w:rPr>
          <w:sz w:val="24"/>
        </w:rPr>
        <w:t>检定规程</w:t>
      </w:r>
      <w:r>
        <w:rPr>
          <w:rFonts w:hint="eastAsia"/>
          <w:sz w:val="24"/>
        </w:rPr>
        <w:t>的</w:t>
      </w:r>
      <w:r>
        <w:rPr>
          <w:sz w:val="24"/>
        </w:rPr>
        <w:t>任务</w:t>
      </w:r>
      <w:r>
        <w:rPr>
          <w:rFonts w:hint="eastAsia"/>
          <w:sz w:val="24"/>
        </w:rPr>
        <w:t>来源</w:t>
      </w:r>
      <w:r>
        <w:rPr>
          <w:sz w:val="24"/>
        </w:rPr>
        <w:t>是由全国电磁计量技术委员会</w:t>
      </w:r>
      <w:r>
        <w:rPr>
          <w:rFonts w:hint="eastAsia"/>
          <w:sz w:val="24"/>
        </w:rPr>
        <w:t>2020</w:t>
      </w:r>
      <w:r>
        <w:rPr>
          <w:rFonts w:hint="eastAsia"/>
          <w:sz w:val="24"/>
        </w:rPr>
        <w:t>年批准立项，编制《电动汽车交流充电桩》检定规程，此规程为修订</w:t>
      </w:r>
      <w:r>
        <w:rPr>
          <w:sz w:val="24"/>
          <w:szCs w:val="28"/>
        </w:rPr>
        <w:t>。</w:t>
      </w:r>
    </w:p>
    <w:p w:rsidR="00A7508E" w:rsidRDefault="008E5906">
      <w:pPr>
        <w:spacing w:line="360" w:lineRule="auto"/>
        <w:rPr>
          <w:sz w:val="24"/>
        </w:rPr>
      </w:pPr>
      <w:r>
        <w:rPr>
          <w:sz w:val="24"/>
        </w:rPr>
        <w:t xml:space="preserve">2  </w:t>
      </w:r>
      <w:r>
        <w:rPr>
          <w:sz w:val="24"/>
        </w:rPr>
        <w:t>目的意义</w:t>
      </w:r>
    </w:p>
    <w:p w:rsidR="00A7508E" w:rsidRDefault="008E5906">
      <w:pPr>
        <w:spacing w:line="360" w:lineRule="auto"/>
        <w:ind w:firstLineChars="192" w:firstLine="461"/>
        <w:rPr>
          <w:sz w:val="24"/>
        </w:rPr>
      </w:pPr>
      <w:r>
        <w:rPr>
          <w:sz w:val="24"/>
        </w:rPr>
        <w:t>随着社会经济高度的发展，环境问题逐渐走入大众的视野。新能源电动汽车消耗电力、没有尾气排放、低碳环保，近年来发展迅速。作为</w:t>
      </w:r>
      <w:r>
        <w:rPr>
          <w:rFonts w:hint="eastAsia"/>
          <w:sz w:val="24"/>
        </w:rPr>
        <w:t>对</w:t>
      </w:r>
      <w:r>
        <w:rPr>
          <w:sz w:val="24"/>
        </w:rPr>
        <w:t>电动汽车</w:t>
      </w:r>
      <w:r>
        <w:rPr>
          <w:rFonts w:hint="eastAsia"/>
          <w:sz w:val="24"/>
        </w:rPr>
        <w:t>提供</w:t>
      </w:r>
      <w:r>
        <w:rPr>
          <w:sz w:val="24"/>
        </w:rPr>
        <w:t>直流电能的装置，非车载充电机是整个电动汽车发展的重要组成部分</w:t>
      </w:r>
      <w:r>
        <w:rPr>
          <w:rFonts w:hint="eastAsia"/>
          <w:sz w:val="24"/>
        </w:rPr>
        <w:t>之一</w:t>
      </w:r>
      <w:r>
        <w:rPr>
          <w:sz w:val="24"/>
        </w:rPr>
        <w:t>。非车载充电机类比于加油机，属于贸易结算用计量器具，</w:t>
      </w:r>
      <w:r>
        <w:rPr>
          <w:sz w:val="24"/>
        </w:rPr>
        <w:t>2019</w:t>
      </w:r>
      <w:r>
        <w:rPr>
          <w:sz w:val="24"/>
        </w:rPr>
        <w:t>年将其列入国家强检计量器具目录。</w:t>
      </w:r>
      <w:r>
        <w:rPr>
          <w:rFonts w:hint="eastAsia"/>
          <w:sz w:val="24"/>
        </w:rPr>
        <w:t>制定检定规程是有助于政府计量主管部门对电动汽车充电市场进行监管，实现公平交易。同时也有助于促进电动汽车充电站的建设，推进电动汽车产业快速发展。</w:t>
      </w:r>
    </w:p>
    <w:p w:rsidR="00A7508E" w:rsidRDefault="008E5906">
      <w:pPr>
        <w:spacing w:line="360" w:lineRule="auto"/>
        <w:ind w:firstLineChars="200" w:firstLine="480"/>
        <w:rPr>
          <w:sz w:val="24"/>
        </w:rPr>
      </w:pPr>
      <w:r>
        <w:rPr>
          <w:rFonts w:hint="eastAsia"/>
          <w:sz w:val="24"/>
        </w:rPr>
        <w:t>交流充电桩检定规程</w:t>
      </w:r>
      <w:r>
        <w:rPr>
          <w:rFonts w:hint="eastAsia"/>
          <w:sz w:val="24"/>
        </w:rPr>
        <w:t>JJG1148-2018</w:t>
      </w:r>
      <w:r>
        <w:rPr>
          <w:rFonts w:hint="eastAsia"/>
          <w:sz w:val="24"/>
        </w:rPr>
        <w:t>于</w:t>
      </w:r>
      <w:r>
        <w:rPr>
          <w:rFonts w:hint="eastAsia"/>
          <w:sz w:val="24"/>
        </w:rPr>
        <w:t>2018</w:t>
      </w:r>
      <w:r>
        <w:rPr>
          <w:rFonts w:hint="eastAsia"/>
          <w:sz w:val="24"/>
        </w:rPr>
        <w:t>年</w:t>
      </w:r>
      <w:r>
        <w:rPr>
          <w:rFonts w:hint="eastAsia"/>
          <w:sz w:val="24"/>
        </w:rPr>
        <w:t>2</w:t>
      </w:r>
      <w:r>
        <w:rPr>
          <w:rFonts w:hint="eastAsia"/>
          <w:sz w:val="24"/>
        </w:rPr>
        <w:t>月</w:t>
      </w:r>
      <w:r>
        <w:rPr>
          <w:rFonts w:hint="eastAsia"/>
          <w:sz w:val="24"/>
        </w:rPr>
        <w:t>27</w:t>
      </w:r>
      <w:r>
        <w:rPr>
          <w:rFonts w:hint="eastAsia"/>
          <w:sz w:val="24"/>
        </w:rPr>
        <w:t>日发布并在同年</w:t>
      </w:r>
      <w:r>
        <w:rPr>
          <w:rFonts w:hint="eastAsia"/>
          <w:sz w:val="24"/>
        </w:rPr>
        <w:t>5</w:t>
      </w:r>
      <w:r>
        <w:rPr>
          <w:rFonts w:hint="eastAsia"/>
          <w:sz w:val="24"/>
        </w:rPr>
        <w:t>月</w:t>
      </w:r>
      <w:r>
        <w:rPr>
          <w:rFonts w:hint="eastAsia"/>
          <w:sz w:val="24"/>
        </w:rPr>
        <w:t>27</w:t>
      </w:r>
      <w:r>
        <w:rPr>
          <w:rFonts w:hint="eastAsia"/>
          <w:sz w:val="24"/>
        </w:rPr>
        <w:t>日正式执行。各地计量技术机构在近两年多的执行过程中，尤其在交流充电桩列入强制管理的计量器具目录后，对规程的适用性和经济性提出了意见。其中适用性问题主要集中于计量器具标识、电能显示位数、封印。经济性问题则聚焦于目前采用的逐台检定的监管方式。对此，编制组高度重视，先后组织专家进行实地调研并召开了规程起草组与主要省份专家参与的视频会议，对以上问题进行了专题讨论。</w:t>
      </w:r>
    </w:p>
    <w:p w:rsidR="00A7508E" w:rsidRDefault="008E5906">
      <w:pPr>
        <w:rPr>
          <w:rFonts w:ascii="宋体" w:hAnsi="宋体"/>
          <w:color w:val="000000"/>
        </w:rPr>
      </w:pPr>
      <w:r>
        <w:rPr>
          <w:rFonts w:hint="eastAsia"/>
          <w:sz w:val="24"/>
        </w:rPr>
        <w:t xml:space="preserve">3 </w:t>
      </w:r>
      <w:r>
        <w:rPr>
          <w:rFonts w:hint="eastAsia"/>
          <w:sz w:val="24"/>
        </w:rPr>
        <w:t>编制思路和原则</w:t>
      </w:r>
    </w:p>
    <w:p w:rsidR="00A7508E" w:rsidRDefault="008E5906">
      <w:pPr>
        <w:spacing w:line="360" w:lineRule="auto"/>
        <w:rPr>
          <w:sz w:val="24"/>
        </w:rPr>
      </w:pPr>
      <w:r>
        <w:rPr>
          <w:rFonts w:hint="eastAsia"/>
          <w:sz w:val="24"/>
        </w:rPr>
        <w:t>3.1</w:t>
      </w:r>
      <w:r>
        <w:rPr>
          <w:rFonts w:hint="eastAsia"/>
          <w:sz w:val="24"/>
        </w:rPr>
        <w:t>编制思路</w:t>
      </w:r>
    </w:p>
    <w:p w:rsidR="00A7508E" w:rsidRDefault="008E5906">
      <w:pPr>
        <w:spacing w:line="360" w:lineRule="auto"/>
        <w:rPr>
          <w:sz w:val="24"/>
        </w:rPr>
      </w:pPr>
      <w:r>
        <w:rPr>
          <w:rFonts w:hint="eastAsia"/>
          <w:sz w:val="24"/>
        </w:rPr>
        <w:t xml:space="preserve">    </w:t>
      </w:r>
      <w:r>
        <w:rPr>
          <w:rFonts w:hint="eastAsia"/>
          <w:sz w:val="24"/>
        </w:rPr>
        <w:t>本规程立足电动汽车产业中亟待解决的充电设施电能计量计费问题，本着科学、务实的原则，对电动汽车充电设施的电能计量进行深入研究，并结合实际情况提出适合实际情况现实可行的计量方法及计量要求。</w:t>
      </w:r>
    </w:p>
    <w:p w:rsidR="00A7508E" w:rsidRDefault="008E5906">
      <w:pPr>
        <w:spacing w:line="360" w:lineRule="auto"/>
        <w:rPr>
          <w:sz w:val="24"/>
          <w:szCs w:val="28"/>
        </w:rPr>
      </w:pPr>
      <w:r>
        <w:rPr>
          <w:rFonts w:hint="eastAsia"/>
          <w:sz w:val="24"/>
          <w:szCs w:val="28"/>
        </w:rPr>
        <w:t>3.2</w:t>
      </w:r>
      <w:r>
        <w:rPr>
          <w:rFonts w:hint="eastAsia"/>
          <w:sz w:val="24"/>
          <w:szCs w:val="28"/>
        </w:rPr>
        <w:t>编制原则</w:t>
      </w:r>
    </w:p>
    <w:p w:rsidR="00A7508E" w:rsidRDefault="008E5906">
      <w:pPr>
        <w:spacing w:line="360" w:lineRule="auto"/>
        <w:rPr>
          <w:rFonts w:ascii="宋体" w:hAnsi="宋体"/>
          <w:sz w:val="24"/>
        </w:rPr>
      </w:pPr>
      <w:r>
        <w:rPr>
          <w:rFonts w:hint="eastAsia"/>
          <w:sz w:val="24"/>
          <w:szCs w:val="28"/>
        </w:rPr>
        <w:lastRenderedPageBreak/>
        <w:t xml:space="preserve">  1</w:t>
      </w:r>
      <w:r>
        <w:rPr>
          <w:rFonts w:hint="eastAsia"/>
          <w:sz w:val="24"/>
          <w:szCs w:val="28"/>
        </w:rPr>
        <w:t>、</w:t>
      </w:r>
      <w:r>
        <w:rPr>
          <w:rFonts w:ascii="宋体" w:hAnsi="宋体" w:hint="eastAsia"/>
          <w:sz w:val="24"/>
        </w:rPr>
        <w:t>本规程依据JJF1002-2010《国家计量检定规程编写规则》编制。</w:t>
      </w:r>
    </w:p>
    <w:p w:rsidR="00A7508E" w:rsidRDefault="008E5906">
      <w:pPr>
        <w:spacing w:line="360" w:lineRule="auto"/>
        <w:ind w:firstLineChars="100" w:firstLine="240"/>
        <w:rPr>
          <w:rFonts w:ascii="宋体" w:hAnsi="宋体"/>
          <w:sz w:val="24"/>
        </w:rPr>
      </w:pPr>
      <w:r>
        <w:rPr>
          <w:rFonts w:ascii="宋体" w:hAnsi="宋体" w:hint="eastAsia"/>
          <w:sz w:val="24"/>
        </w:rPr>
        <w:t>2、本规程参考JJG 1148-2018《电动汽车交流充电桩》，GB/T 17215.11-2006《交流电测量设备通用要求、试验和试验条件第11部分：测量设备》、GB/T29318-2012《电动汽车交流充电桩电能计量》、JJG596-2012《电子式交流电能表检验规程》、JJG597-2005《交流电能表检验装置》、NB/T 33002-2018《电动汽车交流充电桩技术条件》、NB/T 《33008.1-2018电动汽车充电设备检验试验规范 第1部分：交流充电桩》NB/T 33008.2-2018《电动汽车充电设备检验试验规范 第2部分：交流充电桩》、JJG443-2015《燃油加油机》、OIML</w:t>
      </w:r>
      <w:r>
        <w:rPr>
          <w:rFonts w:ascii="宋体" w:hAnsi="宋体"/>
          <w:sz w:val="24"/>
        </w:rPr>
        <w:t xml:space="preserve"> </w:t>
      </w:r>
      <w:r>
        <w:rPr>
          <w:rFonts w:ascii="宋体" w:hAnsi="宋体" w:hint="eastAsia"/>
          <w:sz w:val="24"/>
        </w:rPr>
        <w:t>G</w:t>
      </w:r>
      <w:r>
        <w:rPr>
          <w:rFonts w:ascii="宋体" w:hAnsi="宋体"/>
          <w:sz w:val="24"/>
        </w:rPr>
        <w:t xml:space="preserve"> 2022 </w:t>
      </w:r>
      <w:r>
        <w:rPr>
          <w:rFonts w:ascii="宋体" w:hAnsi="宋体" w:hint="eastAsia"/>
          <w:sz w:val="24"/>
        </w:rPr>
        <w:t>《</w:t>
      </w:r>
      <w:r w:rsidRPr="005128D5">
        <w:rPr>
          <w:rFonts w:ascii="宋体" w:hAnsi="宋体"/>
          <w:sz w:val="24"/>
        </w:rPr>
        <w:t>Electric vehicle charging stations</w:t>
      </w:r>
      <w:r>
        <w:rPr>
          <w:rFonts w:ascii="宋体" w:hAnsi="宋体" w:hint="eastAsia"/>
          <w:sz w:val="24"/>
        </w:rPr>
        <w:t xml:space="preserve">》等相关材料。  </w:t>
      </w:r>
    </w:p>
    <w:p w:rsidR="00A7508E" w:rsidRDefault="008E5906">
      <w:pPr>
        <w:spacing w:line="360" w:lineRule="auto"/>
        <w:ind w:firstLineChars="100" w:firstLine="240"/>
        <w:rPr>
          <w:rFonts w:ascii="宋体" w:hAnsi="宋体"/>
          <w:sz w:val="24"/>
        </w:rPr>
      </w:pPr>
      <w:r>
        <w:rPr>
          <w:rFonts w:ascii="宋体" w:hAnsi="宋体" w:hint="eastAsia"/>
          <w:sz w:val="24"/>
        </w:rPr>
        <w:t>3、本规程引用JJG 597-2005 《交流电能表检定装置》、JJG 1085-2013 《标准电能表检定规程》。</w:t>
      </w:r>
    </w:p>
    <w:p w:rsidR="00A7508E" w:rsidRDefault="008E5906">
      <w:pPr>
        <w:spacing w:line="360" w:lineRule="auto"/>
        <w:rPr>
          <w:rFonts w:ascii="宋体" w:hAnsi="宋体"/>
          <w:sz w:val="24"/>
        </w:rPr>
      </w:pPr>
      <w:r>
        <w:rPr>
          <w:rFonts w:ascii="宋体" w:hAnsi="宋体" w:hint="eastAsia"/>
          <w:sz w:val="24"/>
        </w:rPr>
        <w:t>4编制过程</w:t>
      </w:r>
    </w:p>
    <w:p w:rsidR="00A7508E" w:rsidRDefault="008E5906">
      <w:pPr>
        <w:spacing w:line="360" w:lineRule="auto"/>
        <w:ind w:firstLineChars="150" w:firstLine="360"/>
        <w:rPr>
          <w:sz w:val="24"/>
        </w:rPr>
      </w:pPr>
      <w:r>
        <w:rPr>
          <w:rFonts w:hint="eastAsia"/>
          <w:sz w:val="24"/>
        </w:rPr>
        <w:t>由于疫情影响，本规程修订讨论会均采用线上视频会议的形式，共计</w:t>
      </w:r>
      <w:r>
        <w:rPr>
          <w:rFonts w:hint="eastAsia"/>
          <w:sz w:val="24"/>
        </w:rPr>
        <w:t>4</w:t>
      </w:r>
      <w:r>
        <w:rPr>
          <w:rFonts w:hint="eastAsia"/>
          <w:sz w:val="24"/>
        </w:rPr>
        <w:t>次，会议期间，广泛听取专家意见，并形成意见汇总表。</w:t>
      </w:r>
    </w:p>
    <w:p w:rsidR="00A7508E" w:rsidRDefault="008E5906">
      <w:pPr>
        <w:spacing w:line="360" w:lineRule="auto"/>
        <w:rPr>
          <w:sz w:val="24"/>
        </w:rPr>
      </w:pPr>
      <w:r>
        <w:rPr>
          <w:rFonts w:hint="eastAsia"/>
          <w:sz w:val="24"/>
        </w:rPr>
        <w:t>5</w:t>
      </w:r>
      <w:r>
        <w:rPr>
          <w:rFonts w:hint="eastAsia"/>
          <w:sz w:val="24"/>
        </w:rPr>
        <w:t>内容修订说明</w:t>
      </w:r>
    </w:p>
    <w:p w:rsidR="00A7508E" w:rsidRDefault="008E5906">
      <w:pPr>
        <w:spacing w:line="360" w:lineRule="auto"/>
        <w:ind w:firstLineChars="200" w:firstLine="480"/>
        <w:rPr>
          <w:rFonts w:hAnsi="宋体"/>
          <w:color w:val="000000"/>
          <w:sz w:val="24"/>
        </w:rPr>
      </w:pPr>
      <w:r>
        <w:rPr>
          <w:rFonts w:hint="eastAsia"/>
          <w:sz w:val="24"/>
        </w:rPr>
        <w:t>——</w:t>
      </w:r>
      <w:r>
        <w:rPr>
          <w:rFonts w:hAnsi="宋体"/>
          <w:color w:val="000000"/>
          <w:sz w:val="24"/>
        </w:rPr>
        <w:t>本规程适用于电动汽车交流充电桩</w:t>
      </w:r>
      <w:r>
        <w:rPr>
          <w:rFonts w:hAnsi="宋体"/>
          <w:color w:val="000000"/>
          <w:sz w:val="24"/>
        </w:rPr>
        <w:t>(</w:t>
      </w:r>
      <w:r>
        <w:rPr>
          <w:rFonts w:hAnsi="宋体"/>
          <w:color w:val="000000"/>
          <w:sz w:val="24"/>
        </w:rPr>
        <w:t>以下简称充电桩</w:t>
      </w:r>
      <w:r>
        <w:rPr>
          <w:rFonts w:hAnsi="宋体"/>
          <w:color w:val="000000"/>
          <w:sz w:val="24"/>
        </w:rPr>
        <w:t>)</w:t>
      </w:r>
      <w:r>
        <w:rPr>
          <w:rFonts w:hAnsi="宋体"/>
          <w:color w:val="000000"/>
          <w:sz w:val="24"/>
        </w:rPr>
        <w:t>首次检定、后续检定</w:t>
      </w:r>
      <w:r>
        <w:rPr>
          <w:rFonts w:hAnsi="宋体" w:hint="eastAsia"/>
          <w:color w:val="000000"/>
          <w:sz w:val="24"/>
        </w:rPr>
        <w:t>、</w:t>
      </w:r>
      <w:r>
        <w:rPr>
          <w:rFonts w:hAnsi="宋体"/>
          <w:color w:val="000000"/>
          <w:sz w:val="24"/>
        </w:rPr>
        <w:t>使用中检查</w:t>
      </w:r>
      <w:r>
        <w:rPr>
          <w:rFonts w:hAnsi="宋体" w:hint="eastAsia"/>
          <w:color w:val="000000"/>
          <w:sz w:val="24"/>
        </w:rPr>
        <w:t>和基于</w:t>
      </w:r>
      <w:r>
        <w:rPr>
          <w:rFonts w:hint="eastAsia"/>
          <w:sz w:val="24"/>
        </w:rPr>
        <w:t>统计抽样方案的检定</w:t>
      </w:r>
      <w:r>
        <w:rPr>
          <w:rFonts w:hAnsi="宋体"/>
          <w:color w:val="000000"/>
          <w:sz w:val="24"/>
        </w:rPr>
        <w:t>。</w:t>
      </w:r>
    </w:p>
    <w:p w:rsidR="008E5906" w:rsidRDefault="008E5906">
      <w:pPr>
        <w:spacing w:line="360" w:lineRule="auto"/>
        <w:ind w:firstLineChars="200" w:firstLine="480"/>
        <w:rPr>
          <w:sz w:val="24"/>
        </w:rPr>
      </w:pPr>
      <w:r>
        <w:rPr>
          <w:sz w:val="24"/>
        </w:rPr>
        <w:t>充电</w:t>
      </w:r>
      <w:r>
        <w:rPr>
          <w:rFonts w:hint="eastAsia"/>
          <w:sz w:val="24"/>
        </w:rPr>
        <w:t>桩的建设具有地域</w:t>
      </w:r>
      <w:r>
        <w:rPr>
          <w:sz w:val="24"/>
        </w:rPr>
        <w:t>分布</w:t>
      </w:r>
      <w:r>
        <w:rPr>
          <w:rFonts w:hint="eastAsia"/>
          <w:sz w:val="24"/>
        </w:rPr>
        <w:t>广泛</w:t>
      </w:r>
      <w:r>
        <w:rPr>
          <w:sz w:val="24"/>
        </w:rPr>
        <w:t>的特点，</w:t>
      </w:r>
      <w:r>
        <w:rPr>
          <w:rFonts w:hint="eastAsia"/>
          <w:sz w:val="24"/>
        </w:rPr>
        <w:t>如何</w:t>
      </w:r>
      <w:r>
        <w:rPr>
          <w:sz w:val="24"/>
        </w:rPr>
        <w:t>提高检定效率</w:t>
      </w:r>
      <w:r>
        <w:rPr>
          <w:rFonts w:hint="eastAsia"/>
          <w:sz w:val="24"/>
        </w:rPr>
        <w:t>，除了</w:t>
      </w:r>
      <w:r>
        <w:rPr>
          <w:sz w:val="24"/>
        </w:rPr>
        <w:t>在检定方法上做出一定的改进，就是要</w:t>
      </w:r>
      <w:r>
        <w:rPr>
          <w:rFonts w:hint="eastAsia"/>
          <w:sz w:val="24"/>
        </w:rPr>
        <w:t>探索</w:t>
      </w:r>
      <w:r>
        <w:rPr>
          <w:sz w:val="24"/>
        </w:rPr>
        <w:t>能否打破</w:t>
      </w:r>
      <w:r>
        <w:rPr>
          <w:rFonts w:hint="eastAsia"/>
          <w:sz w:val="24"/>
        </w:rPr>
        <w:t>目前采用的逐台检定的监管方式。本次</w:t>
      </w:r>
      <w:r>
        <w:rPr>
          <w:sz w:val="24"/>
        </w:rPr>
        <w:t>修订，在</w:t>
      </w:r>
      <w:r>
        <w:rPr>
          <w:rFonts w:hint="eastAsia"/>
          <w:sz w:val="24"/>
        </w:rPr>
        <w:t>规程</w:t>
      </w:r>
      <w:r>
        <w:rPr>
          <w:sz w:val="24"/>
        </w:rPr>
        <w:t>适用范围中增加了</w:t>
      </w:r>
      <w:r>
        <w:rPr>
          <w:rFonts w:hint="eastAsia"/>
          <w:sz w:val="24"/>
        </w:rPr>
        <w:t>基于统计抽样方案的检定描述</w:t>
      </w:r>
      <w:r>
        <w:rPr>
          <w:sz w:val="24"/>
        </w:rPr>
        <w:t>，主要是为各地探索</w:t>
      </w:r>
      <w:r>
        <w:rPr>
          <w:rFonts w:hint="eastAsia"/>
          <w:sz w:val="24"/>
        </w:rPr>
        <w:t>监管</w:t>
      </w:r>
      <w:r>
        <w:rPr>
          <w:sz w:val="24"/>
        </w:rPr>
        <w:t>方式，制定</w:t>
      </w:r>
      <w:r>
        <w:rPr>
          <w:rFonts w:hint="eastAsia"/>
          <w:sz w:val="24"/>
        </w:rPr>
        <w:t>适合的统计抽样方案留出</w:t>
      </w:r>
      <w:r>
        <w:rPr>
          <w:sz w:val="24"/>
        </w:rPr>
        <w:t>技术上的空间。</w:t>
      </w:r>
    </w:p>
    <w:p w:rsidR="00A7508E" w:rsidRDefault="008E5906">
      <w:pPr>
        <w:spacing w:line="360" w:lineRule="auto"/>
        <w:ind w:firstLineChars="200" w:firstLine="480"/>
        <w:rPr>
          <w:sz w:val="24"/>
        </w:rPr>
      </w:pPr>
      <w:r>
        <w:rPr>
          <w:rFonts w:hint="eastAsia"/>
          <w:sz w:val="24"/>
        </w:rPr>
        <w:t>——术语部分增加了充电</w:t>
      </w:r>
      <w:r>
        <w:rPr>
          <w:rFonts w:hAnsi="宋体"/>
          <w:sz w:val="24"/>
        </w:rPr>
        <w:t>连</w:t>
      </w:r>
      <w:r>
        <w:rPr>
          <w:rFonts w:hint="eastAsia"/>
          <w:sz w:val="24"/>
        </w:rPr>
        <w:t>接点定义，修改了交流充电桩定义；</w:t>
      </w:r>
    </w:p>
    <w:p w:rsidR="008E5906" w:rsidRDefault="008E5906">
      <w:pPr>
        <w:spacing w:line="360" w:lineRule="auto"/>
        <w:ind w:firstLineChars="200" w:firstLine="480"/>
        <w:rPr>
          <w:sz w:val="24"/>
        </w:rPr>
      </w:pPr>
      <w:r>
        <w:rPr>
          <w:rFonts w:hint="eastAsia"/>
          <w:sz w:val="24"/>
        </w:rPr>
        <w:t>本次修订</w:t>
      </w:r>
      <w:r>
        <w:rPr>
          <w:sz w:val="24"/>
        </w:rPr>
        <w:t>中，</w:t>
      </w:r>
      <w:r>
        <w:rPr>
          <w:rFonts w:hint="eastAsia"/>
          <w:sz w:val="24"/>
        </w:rPr>
        <w:t>参考了</w:t>
      </w:r>
      <w:r>
        <w:rPr>
          <w:sz w:val="24"/>
        </w:rPr>
        <w:t>国际</w:t>
      </w:r>
      <w:r>
        <w:rPr>
          <w:rFonts w:hint="eastAsia"/>
          <w:sz w:val="24"/>
        </w:rPr>
        <w:t>计量局正在</w:t>
      </w:r>
      <w:r>
        <w:rPr>
          <w:sz w:val="24"/>
        </w:rPr>
        <w:t>征求意见的</w:t>
      </w:r>
      <w:r>
        <w:rPr>
          <w:rFonts w:ascii="宋体" w:hAnsi="宋体" w:hint="eastAsia"/>
          <w:sz w:val="24"/>
        </w:rPr>
        <w:t>OIML</w:t>
      </w:r>
      <w:r>
        <w:rPr>
          <w:rFonts w:ascii="宋体" w:hAnsi="宋体"/>
          <w:sz w:val="24"/>
        </w:rPr>
        <w:t xml:space="preserve"> </w:t>
      </w:r>
      <w:r>
        <w:rPr>
          <w:rFonts w:ascii="宋体" w:hAnsi="宋体" w:hint="eastAsia"/>
          <w:sz w:val="24"/>
        </w:rPr>
        <w:t>G</w:t>
      </w:r>
      <w:r>
        <w:rPr>
          <w:rFonts w:ascii="宋体" w:hAnsi="宋体"/>
          <w:sz w:val="24"/>
        </w:rPr>
        <w:t xml:space="preserve"> 2022 </w:t>
      </w:r>
      <w:r>
        <w:rPr>
          <w:rFonts w:ascii="宋体" w:hAnsi="宋体" w:hint="eastAsia"/>
          <w:sz w:val="24"/>
        </w:rPr>
        <w:t>《</w:t>
      </w:r>
      <w:r w:rsidRPr="005128D5">
        <w:rPr>
          <w:rFonts w:ascii="宋体" w:hAnsi="宋体"/>
          <w:sz w:val="24"/>
        </w:rPr>
        <w:t>Electric vehicle charging stations</w:t>
      </w:r>
      <w:r>
        <w:rPr>
          <w:rFonts w:ascii="宋体" w:hAnsi="宋体" w:hint="eastAsia"/>
          <w:sz w:val="24"/>
        </w:rPr>
        <w:t>》文件</w:t>
      </w:r>
      <w:r>
        <w:rPr>
          <w:rFonts w:ascii="宋体" w:hAnsi="宋体"/>
          <w:sz w:val="24"/>
        </w:rPr>
        <w:t>，</w:t>
      </w:r>
      <w:r>
        <w:rPr>
          <w:sz w:val="24"/>
        </w:rPr>
        <w:t>明确了</w:t>
      </w:r>
      <w:r>
        <w:rPr>
          <w:rFonts w:hint="eastAsia"/>
          <w:sz w:val="24"/>
        </w:rPr>
        <w:t>充电桩</w:t>
      </w:r>
      <w:r>
        <w:rPr>
          <w:sz w:val="24"/>
        </w:rPr>
        <w:t>计量器具</w:t>
      </w:r>
      <w:r>
        <w:rPr>
          <w:rFonts w:hint="eastAsia"/>
          <w:sz w:val="24"/>
        </w:rPr>
        <w:t>的</w:t>
      </w:r>
      <w:r>
        <w:rPr>
          <w:sz w:val="24"/>
        </w:rPr>
        <w:t>属性</w:t>
      </w:r>
      <w:r>
        <w:rPr>
          <w:rFonts w:hint="eastAsia"/>
          <w:sz w:val="24"/>
        </w:rPr>
        <w:t>，</w:t>
      </w:r>
      <w:r>
        <w:rPr>
          <w:sz w:val="24"/>
        </w:rPr>
        <w:t>并对</w:t>
      </w:r>
      <w:r>
        <w:rPr>
          <w:rFonts w:hint="eastAsia"/>
          <w:sz w:val="24"/>
        </w:rPr>
        <w:t>充电连接点进行了</w:t>
      </w:r>
      <w:r>
        <w:rPr>
          <w:sz w:val="24"/>
        </w:rPr>
        <w:t>定义，</w:t>
      </w:r>
      <w:r>
        <w:rPr>
          <w:rFonts w:hint="eastAsia"/>
          <w:sz w:val="24"/>
        </w:rPr>
        <w:t>便于</w:t>
      </w:r>
      <w:r>
        <w:rPr>
          <w:sz w:val="24"/>
        </w:rPr>
        <w:t>规程操作</w:t>
      </w:r>
      <w:r>
        <w:rPr>
          <w:rFonts w:hint="eastAsia"/>
          <w:sz w:val="24"/>
        </w:rPr>
        <w:t>。</w:t>
      </w:r>
    </w:p>
    <w:p w:rsidR="00A7508E" w:rsidRDefault="008E5906">
      <w:pPr>
        <w:spacing w:line="360" w:lineRule="auto"/>
        <w:ind w:firstLineChars="200" w:firstLine="480"/>
        <w:rPr>
          <w:sz w:val="24"/>
        </w:rPr>
      </w:pPr>
      <w:r>
        <w:rPr>
          <w:sz w:val="24"/>
        </w:rPr>
        <w:softHyphen/>
      </w:r>
      <w:r>
        <w:rPr>
          <w:rFonts w:hint="eastAsia"/>
          <w:sz w:val="24"/>
        </w:rPr>
        <w:t>——工作误差测定部分明确了</w:t>
      </w:r>
      <w:r>
        <w:rPr>
          <w:rFonts w:ascii="宋体" w:hAnsi="宋体" w:hint="eastAsia"/>
          <w:color w:val="000000"/>
          <w:sz w:val="24"/>
        </w:rPr>
        <w:t>实负荷法检定充电桩应</w:t>
      </w:r>
      <w:r>
        <w:rPr>
          <w:rFonts w:hAnsi="宋体" w:hint="eastAsia"/>
          <w:sz w:val="24"/>
        </w:rPr>
        <w:t>将</w:t>
      </w:r>
      <w:r>
        <w:rPr>
          <w:rFonts w:hAnsi="宋体"/>
          <w:sz w:val="24"/>
        </w:rPr>
        <w:t>标准电能表</w:t>
      </w:r>
      <w:r>
        <w:rPr>
          <w:rFonts w:hAnsi="宋体" w:hint="eastAsia"/>
          <w:sz w:val="24"/>
        </w:rPr>
        <w:t>及</w:t>
      </w:r>
      <w:r>
        <w:rPr>
          <w:rFonts w:hAnsi="宋体"/>
          <w:sz w:val="24"/>
        </w:rPr>
        <w:t>功率负载</w:t>
      </w:r>
      <w:r>
        <w:rPr>
          <w:rFonts w:hAnsi="宋体" w:hint="eastAsia"/>
          <w:sz w:val="24"/>
        </w:rPr>
        <w:t>组成检定装置连接至充电连接点</w:t>
      </w:r>
      <w:r>
        <w:rPr>
          <w:rFonts w:hint="eastAsia"/>
          <w:sz w:val="24"/>
        </w:rPr>
        <w:t>；</w:t>
      </w:r>
    </w:p>
    <w:p w:rsidR="008E5906" w:rsidRDefault="008E5906">
      <w:pPr>
        <w:spacing w:line="360" w:lineRule="auto"/>
        <w:ind w:firstLineChars="200" w:firstLine="480"/>
        <w:rPr>
          <w:sz w:val="24"/>
        </w:rPr>
      </w:pPr>
      <w:r>
        <w:rPr>
          <w:rFonts w:hint="eastAsia"/>
          <w:sz w:val="24"/>
        </w:rPr>
        <w:t>考虑到规程的可操作性，明确了工作误差测定时具体的连接方式，有助于运营商和消费者明确利益界面，保护双方权益。</w:t>
      </w:r>
    </w:p>
    <w:p w:rsidR="00A7508E" w:rsidRDefault="008E5906">
      <w:pPr>
        <w:spacing w:line="360" w:lineRule="auto"/>
        <w:ind w:firstLineChars="200" w:firstLine="480"/>
        <w:rPr>
          <w:sz w:val="24"/>
        </w:rPr>
      </w:pPr>
      <w:r>
        <w:rPr>
          <w:rFonts w:hint="eastAsia"/>
          <w:sz w:val="24"/>
        </w:rPr>
        <w:lastRenderedPageBreak/>
        <w:t>——当充电桩未标注最大最小电流时，最大电流值为：额定功率</w:t>
      </w:r>
      <w:r>
        <w:rPr>
          <w:sz w:val="24"/>
        </w:rPr>
        <w:t>/</w:t>
      </w:r>
      <w:r>
        <w:rPr>
          <w:rFonts w:hint="eastAsia"/>
          <w:sz w:val="24"/>
        </w:rPr>
        <w:t>标称电压；最小电流值为：</w:t>
      </w:r>
      <w:r>
        <w:rPr>
          <w:sz w:val="24"/>
        </w:rPr>
        <w:t>Imax /10</w:t>
      </w:r>
      <w:r>
        <w:rPr>
          <w:rFonts w:hint="eastAsia"/>
          <w:sz w:val="24"/>
        </w:rPr>
        <w:t>；</w:t>
      </w:r>
    </w:p>
    <w:p w:rsidR="008E5906" w:rsidRDefault="008E5906">
      <w:pPr>
        <w:spacing w:line="360" w:lineRule="auto"/>
        <w:ind w:firstLineChars="200" w:firstLine="480"/>
        <w:rPr>
          <w:sz w:val="24"/>
        </w:rPr>
      </w:pPr>
      <w:r>
        <w:rPr>
          <w:rFonts w:hint="eastAsia"/>
          <w:sz w:val="24"/>
        </w:rPr>
        <w:t>对于未标注电流范围的充电机，参考了</w:t>
      </w:r>
      <w:r>
        <w:rPr>
          <w:sz w:val="24"/>
        </w:rPr>
        <w:t>国际</w:t>
      </w:r>
      <w:r>
        <w:rPr>
          <w:rFonts w:hint="eastAsia"/>
          <w:sz w:val="24"/>
        </w:rPr>
        <w:t>计量局正在</w:t>
      </w:r>
      <w:r>
        <w:rPr>
          <w:sz w:val="24"/>
        </w:rPr>
        <w:t>征求意见的</w:t>
      </w:r>
      <w:r>
        <w:rPr>
          <w:rFonts w:ascii="宋体" w:hAnsi="宋体" w:hint="eastAsia"/>
          <w:sz w:val="24"/>
        </w:rPr>
        <w:t>OIML</w:t>
      </w:r>
      <w:r>
        <w:rPr>
          <w:rFonts w:ascii="宋体" w:hAnsi="宋体"/>
          <w:sz w:val="24"/>
        </w:rPr>
        <w:t xml:space="preserve"> </w:t>
      </w:r>
      <w:r>
        <w:rPr>
          <w:rFonts w:ascii="宋体" w:hAnsi="宋体" w:hint="eastAsia"/>
          <w:sz w:val="24"/>
        </w:rPr>
        <w:t>G</w:t>
      </w:r>
      <w:r>
        <w:rPr>
          <w:rFonts w:ascii="宋体" w:hAnsi="宋体"/>
          <w:sz w:val="24"/>
        </w:rPr>
        <w:t xml:space="preserve"> 2022 </w:t>
      </w:r>
      <w:r>
        <w:rPr>
          <w:rFonts w:ascii="宋体" w:hAnsi="宋体" w:hint="eastAsia"/>
          <w:sz w:val="24"/>
        </w:rPr>
        <w:t>《</w:t>
      </w:r>
      <w:r w:rsidRPr="005128D5">
        <w:rPr>
          <w:rFonts w:ascii="宋体" w:hAnsi="宋体"/>
          <w:sz w:val="24"/>
        </w:rPr>
        <w:t>Electric vehicle charging stations</w:t>
      </w:r>
      <w:r>
        <w:rPr>
          <w:rFonts w:ascii="宋体" w:hAnsi="宋体" w:hint="eastAsia"/>
          <w:sz w:val="24"/>
        </w:rPr>
        <w:t>》文件，确定了</w:t>
      </w:r>
      <w:r>
        <w:rPr>
          <w:rFonts w:hint="eastAsia"/>
          <w:sz w:val="24"/>
        </w:rPr>
        <w:t>最大、最小电流值的替代计算方法。</w:t>
      </w:r>
    </w:p>
    <w:p w:rsidR="00A7508E" w:rsidRDefault="008E5906">
      <w:pPr>
        <w:spacing w:line="360" w:lineRule="auto"/>
        <w:ind w:firstLineChars="200" w:firstLine="480"/>
        <w:rPr>
          <w:sz w:val="24"/>
        </w:rPr>
      </w:pPr>
      <w:r>
        <w:rPr>
          <w:rFonts w:hint="eastAsia"/>
          <w:sz w:val="24"/>
        </w:rPr>
        <w:t>——未标注准确度等级的充电桩按</w:t>
      </w:r>
      <w:r>
        <w:rPr>
          <w:rFonts w:hint="eastAsia"/>
          <w:sz w:val="24"/>
        </w:rPr>
        <w:t>2</w:t>
      </w:r>
      <w:r>
        <w:rPr>
          <w:rFonts w:hint="eastAsia"/>
          <w:sz w:val="24"/>
        </w:rPr>
        <w:t>级执行；</w:t>
      </w:r>
    </w:p>
    <w:p w:rsidR="00A7508E" w:rsidRDefault="008E5906">
      <w:pPr>
        <w:spacing w:line="360" w:lineRule="auto"/>
        <w:ind w:firstLineChars="200" w:firstLine="480"/>
        <w:rPr>
          <w:sz w:val="24"/>
        </w:rPr>
      </w:pPr>
      <w:r>
        <w:rPr>
          <w:rFonts w:hint="eastAsia"/>
          <w:sz w:val="24"/>
        </w:rPr>
        <w:t>——对于</w:t>
      </w:r>
      <w:r>
        <w:rPr>
          <w:rFonts w:hint="eastAsia"/>
          <w:sz w:val="24"/>
        </w:rPr>
        <w:t>2</w:t>
      </w:r>
      <w:r>
        <w:rPr>
          <w:sz w:val="24"/>
        </w:rPr>
        <w:t>023</w:t>
      </w:r>
      <w:r>
        <w:rPr>
          <w:rFonts w:hint="eastAsia"/>
          <w:sz w:val="24"/>
        </w:rPr>
        <w:t>年</w:t>
      </w:r>
      <w:r>
        <w:rPr>
          <w:rFonts w:hint="eastAsia"/>
          <w:sz w:val="24"/>
        </w:rPr>
        <w:t>1</w:t>
      </w:r>
      <w:r>
        <w:rPr>
          <w:rFonts w:hint="eastAsia"/>
          <w:sz w:val="24"/>
        </w:rPr>
        <w:t>月</w:t>
      </w:r>
      <w:r>
        <w:rPr>
          <w:rFonts w:hint="eastAsia"/>
          <w:sz w:val="24"/>
        </w:rPr>
        <w:t>1</w:t>
      </w:r>
      <w:r>
        <w:rPr>
          <w:rFonts w:hint="eastAsia"/>
          <w:sz w:val="24"/>
        </w:rPr>
        <w:t>日前安装的充电桩，可暂缓执行外观检查项目至</w:t>
      </w:r>
      <w:r>
        <w:rPr>
          <w:rFonts w:hint="eastAsia"/>
          <w:sz w:val="24"/>
        </w:rPr>
        <w:t>2</w:t>
      </w:r>
      <w:r>
        <w:rPr>
          <w:sz w:val="24"/>
        </w:rPr>
        <w:t>027</w:t>
      </w:r>
      <w:r>
        <w:rPr>
          <w:rFonts w:hint="eastAsia"/>
          <w:sz w:val="24"/>
        </w:rPr>
        <w:t>年</w:t>
      </w:r>
      <w:r>
        <w:rPr>
          <w:rFonts w:hint="eastAsia"/>
          <w:sz w:val="24"/>
        </w:rPr>
        <w:t>1</w:t>
      </w:r>
      <w:r>
        <w:rPr>
          <w:sz w:val="24"/>
        </w:rPr>
        <w:t>2</w:t>
      </w:r>
      <w:r>
        <w:rPr>
          <w:rFonts w:hint="eastAsia"/>
          <w:sz w:val="24"/>
        </w:rPr>
        <w:t>月</w:t>
      </w:r>
      <w:r>
        <w:rPr>
          <w:rFonts w:hint="eastAsia"/>
          <w:sz w:val="24"/>
        </w:rPr>
        <w:t>3</w:t>
      </w:r>
      <w:r>
        <w:rPr>
          <w:sz w:val="24"/>
        </w:rPr>
        <w:t>1</w:t>
      </w:r>
      <w:r>
        <w:rPr>
          <w:rFonts w:hint="eastAsia"/>
          <w:sz w:val="24"/>
        </w:rPr>
        <w:t>日；</w:t>
      </w:r>
    </w:p>
    <w:p w:rsidR="008E5906" w:rsidRPr="008E5906" w:rsidRDefault="008E5906" w:rsidP="008E5906">
      <w:pPr>
        <w:spacing w:line="360" w:lineRule="auto"/>
        <w:ind w:firstLine="480"/>
        <w:rPr>
          <w:sz w:val="24"/>
        </w:rPr>
      </w:pPr>
      <w:r>
        <w:rPr>
          <w:rFonts w:hint="eastAsia"/>
          <w:sz w:val="24"/>
        </w:rPr>
        <w:t>考虑到本规程出台前，社会上已有大量的充电桩投入运行，未了减少社会投入，促进电动汽车产业快速发展，留出了</w:t>
      </w:r>
      <w:r>
        <w:rPr>
          <w:rFonts w:hint="eastAsia"/>
          <w:sz w:val="24"/>
        </w:rPr>
        <w:t>5</w:t>
      </w:r>
      <w:r>
        <w:rPr>
          <w:rFonts w:hint="eastAsia"/>
          <w:sz w:val="24"/>
        </w:rPr>
        <w:t>年的缓冲期。对于新安装的充电桩，则需要满足外观检查要求。</w:t>
      </w:r>
    </w:p>
    <w:p w:rsidR="00A7508E" w:rsidRDefault="008E5906">
      <w:pPr>
        <w:spacing w:line="360" w:lineRule="auto"/>
        <w:ind w:firstLineChars="200" w:firstLine="480"/>
        <w:rPr>
          <w:sz w:val="24"/>
        </w:rPr>
      </w:pPr>
      <w:r>
        <w:rPr>
          <w:rFonts w:hint="eastAsia"/>
          <w:sz w:val="24"/>
        </w:rPr>
        <w:t>——测定充电桩工作误差时应在最大电流和最小电流范围内选择一个负载点。</w:t>
      </w:r>
      <w:r>
        <w:rPr>
          <w:sz w:val="24"/>
        </w:rPr>
        <w:t>根据需要，允许增加误差测量点</w:t>
      </w:r>
      <w:r>
        <w:rPr>
          <w:rFonts w:hint="eastAsia"/>
          <w:sz w:val="24"/>
        </w:rPr>
        <w:t>；</w:t>
      </w:r>
    </w:p>
    <w:p w:rsidR="00406B6B" w:rsidRDefault="00D3224F" w:rsidP="00406B6B">
      <w:pPr>
        <w:spacing w:line="360" w:lineRule="auto"/>
        <w:ind w:firstLine="420"/>
        <w:rPr>
          <w:rFonts w:ascii="宋体" w:hAnsi="宋体" w:hint="eastAsia"/>
          <w:sz w:val="24"/>
        </w:rPr>
      </w:pPr>
      <w:r>
        <w:rPr>
          <w:rFonts w:ascii="宋体" w:hAnsi="宋体" w:hint="eastAsia"/>
          <w:sz w:val="24"/>
        </w:rPr>
        <w:t>广州计量检测技术研究院通过</w:t>
      </w:r>
      <w:r w:rsidR="00406B6B">
        <w:rPr>
          <w:rFonts w:ascii="宋体" w:hAnsi="宋体" w:hint="eastAsia"/>
          <w:sz w:val="24"/>
        </w:rPr>
        <w:t>统计工作误差不合格充电桩的检定点</w:t>
      </w:r>
      <w:r w:rsidR="007F006C">
        <w:rPr>
          <w:rFonts w:ascii="宋体" w:hAnsi="宋体" w:hint="eastAsia"/>
          <w:sz w:val="24"/>
        </w:rPr>
        <w:t>占比</w:t>
      </w:r>
      <w:bookmarkStart w:id="0" w:name="_GoBack"/>
      <w:bookmarkEnd w:id="0"/>
      <w:r w:rsidR="00406B6B">
        <w:rPr>
          <w:rFonts w:ascii="宋体" w:hAnsi="宋体" w:hint="eastAsia"/>
          <w:sz w:val="24"/>
        </w:rPr>
        <w:t>情况，数据见表1</w:t>
      </w:r>
      <w:r>
        <w:rPr>
          <w:rFonts w:ascii="宋体" w:hAnsi="宋体" w:hint="eastAsia"/>
          <w:sz w:val="24"/>
        </w:rPr>
        <w:t>。</w:t>
      </w:r>
    </w:p>
    <w:p w:rsidR="00406B6B" w:rsidRDefault="00406B6B" w:rsidP="00406B6B">
      <w:pPr>
        <w:spacing w:line="360" w:lineRule="auto"/>
        <w:jc w:val="center"/>
        <w:rPr>
          <w:rFonts w:ascii="宋体" w:hAnsi="宋体"/>
          <w:szCs w:val="21"/>
        </w:rPr>
      </w:pPr>
      <w:r>
        <w:rPr>
          <w:rFonts w:ascii="宋体" w:hAnsi="宋体" w:hint="eastAsia"/>
          <w:szCs w:val="21"/>
        </w:rPr>
        <w:t>表</w:t>
      </w:r>
      <w:r>
        <w:rPr>
          <w:rFonts w:ascii="宋体" w:hAnsi="宋体" w:hint="eastAsia"/>
          <w:szCs w:val="21"/>
        </w:rPr>
        <w:t>1</w:t>
      </w:r>
      <w:r>
        <w:rPr>
          <w:rFonts w:ascii="宋体" w:hAnsi="宋体" w:hint="eastAsia"/>
          <w:szCs w:val="21"/>
        </w:rPr>
        <w:t xml:space="preserve"> 交流充电桩工作误差不合格点</w:t>
      </w:r>
      <w:r w:rsidR="007F006C">
        <w:rPr>
          <w:rFonts w:ascii="宋体" w:hAnsi="宋体" w:hint="eastAsia"/>
          <w:szCs w:val="21"/>
        </w:rPr>
        <w:t>占比</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6"/>
        <w:gridCol w:w="1096"/>
        <w:gridCol w:w="1096"/>
        <w:gridCol w:w="1096"/>
      </w:tblGrid>
      <w:tr w:rsidR="000B5AD5" w:rsidTr="00C2551B">
        <w:trPr>
          <w:trHeight w:val="270"/>
          <w:jc w:val="center"/>
        </w:trPr>
        <w:tc>
          <w:tcPr>
            <w:tcW w:w="1096" w:type="dxa"/>
            <w:noWrap/>
            <w:vAlign w:val="center"/>
          </w:tcPr>
          <w:p w:rsidR="000B5AD5" w:rsidRDefault="000B5AD5" w:rsidP="000B5AD5">
            <w:pPr>
              <w:widowControl/>
              <w:jc w:val="center"/>
              <w:rPr>
                <w:rFonts w:ascii="宋体" w:hAnsi="宋体" w:cs="宋体"/>
                <w:color w:val="000000"/>
                <w:kern w:val="0"/>
                <w:sz w:val="22"/>
                <w:szCs w:val="22"/>
              </w:rPr>
            </w:pPr>
            <w:r>
              <w:rPr>
                <w:rFonts w:ascii="宋体" w:hAnsi="宋体" w:hint="eastAsia"/>
                <w:szCs w:val="21"/>
              </w:rPr>
              <w:t>工作误差</w:t>
            </w:r>
            <w:r>
              <w:rPr>
                <w:rFonts w:ascii="宋体" w:hAnsi="宋体" w:hint="eastAsia"/>
                <w:szCs w:val="21"/>
              </w:rPr>
              <w:t>超差占比</w:t>
            </w:r>
          </w:p>
        </w:tc>
        <w:tc>
          <w:tcPr>
            <w:tcW w:w="1096" w:type="dxa"/>
            <w:noWrap/>
            <w:vAlign w:val="center"/>
          </w:tcPr>
          <w:p w:rsidR="000B5AD5" w:rsidRDefault="000B5AD5" w:rsidP="000B5AD5">
            <w:pPr>
              <w:widowControl/>
              <w:jc w:val="center"/>
              <w:rPr>
                <w:rFonts w:ascii="宋体" w:hAnsi="宋体" w:cs="宋体"/>
                <w:color w:val="000000"/>
                <w:kern w:val="0"/>
                <w:sz w:val="22"/>
                <w:szCs w:val="22"/>
              </w:rPr>
            </w:pPr>
            <w:r>
              <w:rPr>
                <w:rFonts w:ascii="宋体" w:hAnsi="宋体" w:cs="宋体" w:hint="eastAsia"/>
                <w:i/>
                <w:color w:val="000000"/>
                <w:kern w:val="0"/>
                <w:sz w:val="22"/>
                <w:szCs w:val="22"/>
              </w:rPr>
              <w:t>I</w:t>
            </w:r>
            <w:r>
              <w:rPr>
                <w:rFonts w:ascii="宋体" w:hAnsi="宋体" w:cs="宋体" w:hint="eastAsia"/>
                <w:color w:val="000000"/>
                <w:kern w:val="0"/>
                <w:sz w:val="22"/>
                <w:szCs w:val="22"/>
                <w:vertAlign w:val="subscript"/>
              </w:rPr>
              <w:t>max</w:t>
            </w:r>
          </w:p>
        </w:tc>
        <w:tc>
          <w:tcPr>
            <w:tcW w:w="1096" w:type="dxa"/>
            <w:noWrap/>
            <w:vAlign w:val="center"/>
          </w:tcPr>
          <w:p w:rsidR="000B5AD5" w:rsidRDefault="000B5AD5" w:rsidP="000B5AD5">
            <w:pPr>
              <w:widowControl/>
              <w:jc w:val="center"/>
              <w:rPr>
                <w:rFonts w:ascii="宋体" w:hAnsi="宋体" w:cs="宋体"/>
                <w:color w:val="000000"/>
                <w:kern w:val="0"/>
                <w:sz w:val="22"/>
                <w:szCs w:val="22"/>
              </w:rPr>
            </w:pPr>
            <w:r>
              <w:rPr>
                <w:rFonts w:ascii="宋体" w:hAnsi="宋体" w:cs="宋体" w:hint="eastAsia"/>
                <w:color w:val="000000"/>
                <w:kern w:val="0"/>
                <w:sz w:val="22"/>
                <w:szCs w:val="22"/>
              </w:rPr>
              <w:t>0.5</w:t>
            </w:r>
            <w:r>
              <w:rPr>
                <w:rFonts w:ascii="宋体" w:hAnsi="宋体" w:cs="宋体" w:hint="eastAsia"/>
                <w:i/>
                <w:color w:val="000000"/>
                <w:kern w:val="0"/>
                <w:sz w:val="22"/>
                <w:szCs w:val="22"/>
              </w:rPr>
              <w:t>I</w:t>
            </w:r>
            <w:r>
              <w:rPr>
                <w:rFonts w:ascii="宋体" w:hAnsi="宋体" w:cs="宋体" w:hint="eastAsia"/>
                <w:color w:val="000000"/>
                <w:kern w:val="0"/>
                <w:sz w:val="22"/>
                <w:szCs w:val="22"/>
                <w:vertAlign w:val="subscript"/>
              </w:rPr>
              <w:t>max</w:t>
            </w:r>
          </w:p>
        </w:tc>
        <w:tc>
          <w:tcPr>
            <w:tcW w:w="1096" w:type="dxa"/>
            <w:noWrap/>
            <w:vAlign w:val="center"/>
          </w:tcPr>
          <w:p w:rsidR="000B5AD5" w:rsidRDefault="000B5AD5" w:rsidP="000B5AD5">
            <w:pPr>
              <w:widowControl/>
              <w:jc w:val="center"/>
              <w:rPr>
                <w:rFonts w:ascii="宋体" w:hAnsi="宋体" w:cs="宋体"/>
                <w:color w:val="000000"/>
                <w:kern w:val="0"/>
                <w:sz w:val="22"/>
                <w:szCs w:val="22"/>
              </w:rPr>
            </w:pPr>
            <w:r>
              <w:rPr>
                <w:rFonts w:ascii="宋体" w:hAnsi="宋体" w:cs="宋体" w:hint="eastAsia"/>
                <w:i/>
                <w:color w:val="000000"/>
                <w:kern w:val="0"/>
                <w:sz w:val="22"/>
                <w:szCs w:val="22"/>
              </w:rPr>
              <w:t>I</w:t>
            </w:r>
            <w:r>
              <w:rPr>
                <w:rFonts w:ascii="宋体" w:hAnsi="宋体" w:cs="宋体" w:hint="eastAsia"/>
                <w:color w:val="000000"/>
                <w:kern w:val="0"/>
                <w:sz w:val="22"/>
                <w:szCs w:val="22"/>
                <w:vertAlign w:val="subscript"/>
              </w:rPr>
              <w:t>min</w:t>
            </w:r>
          </w:p>
        </w:tc>
      </w:tr>
      <w:tr w:rsidR="000B5AD5" w:rsidTr="00C2551B">
        <w:trPr>
          <w:trHeight w:val="270"/>
          <w:jc w:val="center"/>
        </w:trPr>
        <w:tc>
          <w:tcPr>
            <w:tcW w:w="1096" w:type="dxa"/>
            <w:noWrap/>
            <w:vAlign w:val="center"/>
          </w:tcPr>
          <w:p w:rsidR="000B5AD5" w:rsidRDefault="000B5AD5" w:rsidP="000B5AD5">
            <w:pPr>
              <w:widowControl/>
              <w:jc w:val="center"/>
              <w:rPr>
                <w:rFonts w:ascii="宋体" w:hAnsi="宋体" w:cs="宋体"/>
                <w:color w:val="000000"/>
                <w:kern w:val="0"/>
                <w:sz w:val="22"/>
                <w:szCs w:val="22"/>
              </w:rPr>
            </w:pPr>
            <w:r>
              <w:rPr>
                <w:rFonts w:ascii="宋体" w:hAnsi="宋体" w:cs="宋体" w:hint="eastAsia"/>
                <w:i/>
                <w:color w:val="000000"/>
                <w:kern w:val="0"/>
                <w:sz w:val="22"/>
                <w:szCs w:val="22"/>
              </w:rPr>
              <w:t>I</w:t>
            </w:r>
            <w:r>
              <w:rPr>
                <w:rFonts w:ascii="宋体" w:hAnsi="宋体" w:cs="宋体" w:hint="eastAsia"/>
                <w:color w:val="000000"/>
                <w:kern w:val="0"/>
                <w:sz w:val="22"/>
                <w:szCs w:val="22"/>
                <w:vertAlign w:val="subscript"/>
              </w:rPr>
              <w:t>max</w:t>
            </w:r>
          </w:p>
        </w:tc>
        <w:tc>
          <w:tcPr>
            <w:tcW w:w="1096" w:type="dxa"/>
            <w:noWrap/>
            <w:vAlign w:val="center"/>
          </w:tcPr>
          <w:p w:rsidR="000B5AD5" w:rsidRDefault="000B5AD5" w:rsidP="000B5AD5">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r>
              <w:rPr>
                <w:rFonts w:ascii="宋体" w:hAnsi="宋体" w:cs="宋体"/>
                <w:color w:val="000000"/>
                <w:kern w:val="0"/>
                <w:sz w:val="22"/>
                <w:szCs w:val="22"/>
              </w:rPr>
              <w:t>--</w:t>
            </w:r>
          </w:p>
        </w:tc>
        <w:tc>
          <w:tcPr>
            <w:tcW w:w="1096" w:type="dxa"/>
            <w:noWrap/>
            <w:vAlign w:val="center"/>
          </w:tcPr>
          <w:p w:rsidR="000B5AD5" w:rsidRDefault="000B5AD5" w:rsidP="000B5AD5">
            <w:pPr>
              <w:widowControl/>
              <w:jc w:val="center"/>
              <w:rPr>
                <w:rFonts w:ascii="宋体" w:hAnsi="宋体" w:cs="宋体"/>
                <w:color w:val="000000"/>
                <w:kern w:val="0"/>
                <w:sz w:val="22"/>
                <w:szCs w:val="22"/>
              </w:rPr>
            </w:pPr>
            <w:r>
              <w:rPr>
                <w:rFonts w:ascii="宋体" w:hAnsi="宋体" w:cs="宋体" w:hint="eastAsia"/>
                <w:color w:val="000000"/>
                <w:kern w:val="0"/>
                <w:sz w:val="22"/>
                <w:szCs w:val="22"/>
              </w:rPr>
              <w:t>7</w:t>
            </w:r>
            <w:r>
              <w:rPr>
                <w:rFonts w:ascii="宋体" w:hAnsi="宋体" w:cs="宋体"/>
                <w:color w:val="000000"/>
                <w:kern w:val="0"/>
                <w:sz w:val="22"/>
                <w:szCs w:val="22"/>
              </w:rPr>
              <w:t>7%</w:t>
            </w:r>
          </w:p>
        </w:tc>
        <w:tc>
          <w:tcPr>
            <w:tcW w:w="1096" w:type="dxa"/>
            <w:noWrap/>
            <w:vAlign w:val="center"/>
          </w:tcPr>
          <w:p w:rsidR="000B5AD5" w:rsidRDefault="000B5AD5" w:rsidP="000B5AD5">
            <w:pPr>
              <w:widowControl/>
              <w:jc w:val="center"/>
              <w:rPr>
                <w:rFonts w:ascii="宋体" w:hAnsi="宋体" w:cs="宋体"/>
                <w:color w:val="000000"/>
                <w:kern w:val="0"/>
                <w:sz w:val="22"/>
                <w:szCs w:val="22"/>
              </w:rPr>
            </w:pPr>
            <w:r>
              <w:rPr>
                <w:rFonts w:ascii="宋体" w:hAnsi="宋体" w:cs="宋体" w:hint="eastAsia"/>
                <w:color w:val="000000"/>
                <w:kern w:val="0"/>
                <w:sz w:val="22"/>
                <w:szCs w:val="22"/>
              </w:rPr>
              <w:t>7</w:t>
            </w:r>
            <w:r>
              <w:rPr>
                <w:rFonts w:ascii="宋体" w:hAnsi="宋体" w:cs="宋体"/>
                <w:color w:val="000000"/>
                <w:kern w:val="0"/>
                <w:sz w:val="22"/>
                <w:szCs w:val="22"/>
              </w:rPr>
              <w:t>4%</w:t>
            </w:r>
          </w:p>
        </w:tc>
      </w:tr>
      <w:tr w:rsidR="000B5AD5" w:rsidTr="00C2551B">
        <w:trPr>
          <w:trHeight w:val="270"/>
          <w:jc w:val="center"/>
        </w:trPr>
        <w:tc>
          <w:tcPr>
            <w:tcW w:w="1096" w:type="dxa"/>
            <w:vAlign w:val="center"/>
          </w:tcPr>
          <w:p w:rsidR="000B5AD5" w:rsidRDefault="000B5AD5" w:rsidP="000B5AD5">
            <w:pPr>
              <w:widowControl/>
              <w:jc w:val="center"/>
              <w:rPr>
                <w:rFonts w:ascii="宋体" w:hAnsi="宋体" w:cs="宋体"/>
                <w:color w:val="000000"/>
                <w:kern w:val="0"/>
                <w:sz w:val="22"/>
                <w:szCs w:val="22"/>
              </w:rPr>
            </w:pPr>
            <w:r>
              <w:rPr>
                <w:rFonts w:ascii="宋体" w:hAnsi="宋体" w:cs="宋体" w:hint="eastAsia"/>
                <w:color w:val="000000"/>
                <w:kern w:val="0"/>
                <w:sz w:val="22"/>
                <w:szCs w:val="22"/>
              </w:rPr>
              <w:t>0.5</w:t>
            </w:r>
            <w:r>
              <w:rPr>
                <w:rFonts w:ascii="宋体" w:hAnsi="宋体" w:cs="宋体" w:hint="eastAsia"/>
                <w:i/>
                <w:color w:val="000000"/>
                <w:kern w:val="0"/>
                <w:sz w:val="22"/>
                <w:szCs w:val="22"/>
              </w:rPr>
              <w:t>I</w:t>
            </w:r>
            <w:r>
              <w:rPr>
                <w:rFonts w:ascii="宋体" w:hAnsi="宋体" w:cs="宋体" w:hint="eastAsia"/>
                <w:color w:val="000000"/>
                <w:kern w:val="0"/>
                <w:sz w:val="22"/>
                <w:szCs w:val="22"/>
                <w:vertAlign w:val="subscript"/>
              </w:rPr>
              <w:t>max</w:t>
            </w:r>
          </w:p>
        </w:tc>
        <w:tc>
          <w:tcPr>
            <w:tcW w:w="1096" w:type="dxa"/>
            <w:noWrap/>
            <w:vAlign w:val="center"/>
          </w:tcPr>
          <w:p w:rsidR="000B5AD5" w:rsidRDefault="000B5AD5" w:rsidP="000B5AD5">
            <w:pPr>
              <w:widowControl/>
              <w:jc w:val="center"/>
              <w:rPr>
                <w:rFonts w:ascii="宋体" w:hAnsi="宋体" w:cs="宋体"/>
                <w:color w:val="000000"/>
                <w:kern w:val="0"/>
                <w:sz w:val="22"/>
                <w:szCs w:val="22"/>
              </w:rPr>
            </w:pPr>
            <w:r>
              <w:rPr>
                <w:rFonts w:ascii="宋体" w:hAnsi="宋体" w:cs="宋体" w:hint="eastAsia"/>
                <w:color w:val="000000"/>
                <w:kern w:val="0"/>
                <w:sz w:val="22"/>
                <w:szCs w:val="22"/>
              </w:rPr>
              <w:t>8</w:t>
            </w:r>
            <w:r>
              <w:rPr>
                <w:rFonts w:ascii="宋体" w:hAnsi="宋体" w:cs="宋体"/>
                <w:color w:val="000000"/>
                <w:kern w:val="0"/>
                <w:sz w:val="22"/>
                <w:szCs w:val="22"/>
              </w:rPr>
              <w:t>7%</w:t>
            </w:r>
          </w:p>
        </w:tc>
        <w:tc>
          <w:tcPr>
            <w:tcW w:w="1096" w:type="dxa"/>
            <w:noWrap/>
            <w:vAlign w:val="center"/>
          </w:tcPr>
          <w:p w:rsidR="000B5AD5" w:rsidRDefault="000B5AD5" w:rsidP="000B5AD5">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r>
              <w:rPr>
                <w:rFonts w:ascii="宋体" w:hAnsi="宋体" w:cs="宋体"/>
                <w:color w:val="000000"/>
                <w:kern w:val="0"/>
                <w:sz w:val="22"/>
                <w:szCs w:val="22"/>
              </w:rPr>
              <w:t>--</w:t>
            </w:r>
          </w:p>
        </w:tc>
        <w:tc>
          <w:tcPr>
            <w:tcW w:w="1096" w:type="dxa"/>
            <w:noWrap/>
            <w:vAlign w:val="center"/>
          </w:tcPr>
          <w:p w:rsidR="000B5AD5" w:rsidRDefault="000B5AD5" w:rsidP="000B5AD5">
            <w:pPr>
              <w:widowControl/>
              <w:jc w:val="center"/>
              <w:rPr>
                <w:rFonts w:ascii="宋体" w:hAnsi="宋体" w:cs="宋体"/>
                <w:color w:val="000000"/>
                <w:kern w:val="0"/>
                <w:sz w:val="22"/>
                <w:szCs w:val="22"/>
              </w:rPr>
            </w:pPr>
            <w:r>
              <w:rPr>
                <w:rFonts w:ascii="宋体" w:hAnsi="宋体" w:cs="宋体" w:hint="eastAsia"/>
                <w:color w:val="000000"/>
                <w:kern w:val="0"/>
                <w:sz w:val="22"/>
                <w:szCs w:val="22"/>
              </w:rPr>
              <w:t>9</w:t>
            </w:r>
            <w:r>
              <w:rPr>
                <w:rFonts w:ascii="宋体" w:hAnsi="宋体" w:cs="宋体"/>
                <w:color w:val="000000"/>
                <w:kern w:val="0"/>
                <w:sz w:val="22"/>
                <w:szCs w:val="22"/>
              </w:rPr>
              <w:t>0%</w:t>
            </w:r>
          </w:p>
        </w:tc>
      </w:tr>
      <w:tr w:rsidR="000B5AD5" w:rsidTr="00C2551B">
        <w:trPr>
          <w:trHeight w:val="270"/>
          <w:jc w:val="center"/>
        </w:trPr>
        <w:tc>
          <w:tcPr>
            <w:tcW w:w="1096" w:type="dxa"/>
            <w:vAlign w:val="center"/>
          </w:tcPr>
          <w:p w:rsidR="000B5AD5" w:rsidRDefault="000B5AD5" w:rsidP="000B5AD5">
            <w:pPr>
              <w:widowControl/>
              <w:jc w:val="center"/>
              <w:rPr>
                <w:rFonts w:ascii="宋体" w:hAnsi="宋体" w:cs="宋体"/>
                <w:color w:val="000000"/>
                <w:kern w:val="0"/>
                <w:sz w:val="22"/>
                <w:szCs w:val="22"/>
              </w:rPr>
            </w:pPr>
            <w:r>
              <w:rPr>
                <w:rFonts w:ascii="宋体" w:hAnsi="宋体" w:cs="宋体" w:hint="eastAsia"/>
                <w:i/>
                <w:color w:val="000000"/>
                <w:kern w:val="0"/>
                <w:sz w:val="22"/>
                <w:szCs w:val="22"/>
              </w:rPr>
              <w:t>I</w:t>
            </w:r>
            <w:r>
              <w:rPr>
                <w:rFonts w:ascii="宋体" w:hAnsi="宋体" w:cs="宋体" w:hint="eastAsia"/>
                <w:color w:val="000000"/>
                <w:kern w:val="0"/>
                <w:sz w:val="22"/>
                <w:szCs w:val="22"/>
                <w:vertAlign w:val="subscript"/>
              </w:rPr>
              <w:t>min</w:t>
            </w:r>
          </w:p>
        </w:tc>
        <w:tc>
          <w:tcPr>
            <w:tcW w:w="1096" w:type="dxa"/>
            <w:noWrap/>
            <w:vAlign w:val="center"/>
          </w:tcPr>
          <w:p w:rsidR="000B5AD5" w:rsidRDefault="000B5AD5" w:rsidP="000B5AD5">
            <w:pPr>
              <w:widowControl/>
              <w:jc w:val="center"/>
              <w:rPr>
                <w:rFonts w:ascii="宋体" w:hAnsi="宋体" w:cs="宋体"/>
                <w:color w:val="000000"/>
                <w:kern w:val="0"/>
                <w:sz w:val="22"/>
                <w:szCs w:val="22"/>
              </w:rPr>
            </w:pPr>
            <w:r>
              <w:rPr>
                <w:rFonts w:ascii="宋体" w:hAnsi="宋体" w:cs="宋体" w:hint="eastAsia"/>
                <w:color w:val="000000"/>
                <w:kern w:val="0"/>
                <w:sz w:val="22"/>
                <w:szCs w:val="22"/>
              </w:rPr>
              <w:t>8</w:t>
            </w:r>
            <w:r>
              <w:rPr>
                <w:rFonts w:ascii="宋体" w:hAnsi="宋体" w:cs="宋体"/>
                <w:color w:val="000000"/>
                <w:kern w:val="0"/>
                <w:sz w:val="22"/>
                <w:szCs w:val="22"/>
              </w:rPr>
              <w:t>6%</w:t>
            </w:r>
          </w:p>
        </w:tc>
        <w:tc>
          <w:tcPr>
            <w:tcW w:w="1096" w:type="dxa"/>
            <w:noWrap/>
            <w:vAlign w:val="center"/>
          </w:tcPr>
          <w:p w:rsidR="000B5AD5" w:rsidRDefault="000B5AD5" w:rsidP="000B5AD5">
            <w:pPr>
              <w:widowControl/>
              <w:jc w:val="center"/>
              <w:rPr>
                <w:rFonts w:ascii="宋体" w:hAnsi="宋体" w:cs="宋体"/>
                <w:color w:val="000000"/>
                <w:kern w:val="0"/>
                <w:sz w:val="22"/>
                <w:szCs w:val="22"/>
              </w:rPr>
            </w:pPr>
            <w:r>
              <w:rPr>
                <w:rFonts w:ascii="宋体" w:hAnsi="宋体" w:cs="宋体" w:hint="eastAsia"/>
                <w:color w:val="000000"/>
                <w:kern w:val="0"/>
                <w:sz w:val="22"/>
                <w:szCs w:val="22"/>
              </w:rPr>
              <w:t>9</w:t>
            </w:r>
            <w:r>
              <w:rPr>
                <w:rFonts w:ascii="宋体" w:hAnsi="宋体" w:cs="宋体"/>
                <w:color w:val="000000"/>
                <w:kern w:val="0"/>
                <w:sz w:val="22"/>
                <w:szCs w:val="22"/>
              </w:rPr>
              <w:t>2%</w:t>
            </w:r>
          </w:p>
        </w:tc>
        <w:tc>
          <w:tcPr>
            <w:tcW w:w="1096" w:type="dxa"/>
            <w:noWrap/>
            <w:vAlign w:val="center"/>
          </w:tcPr>
          <w:p w:rsidR="000B5AD5" w:rsidRDefault="000B5AD5" w:rsidP="000B5AD5">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r>
              <w:rPr>
                <w:rFonts w:ascii="宋体" w:hAnsi="宋体" w:cs="宋体"/>
                <w:color w:val="000000"/>
                <w:kern w:val="0"/>
                <w:sz w:val="22"/>
                <w:szCs w:val="22"/>
              </w:rPr>
              <w:t>--</w:t>
            </w:r>
          </w:p>
        </w:tc>
      </w:tr>
    </w:tbl>
    <w:p w:rsidR="000B5AD5" w:rsidRPr="00BF5CAA" w:rsidRDefault="000B5AD5" w:rsidP="00BF5CAA">
      <w:pPr>
        <w:spacing w:line="360" w:lineRule="auto"/>
        <w:jc w:val="center"/>
        <w:rPr>
          <w:rFonts w:ascii="宋体" w:hAnsi="宋体"/>
          <w:szCs w:val="21"/>
        </w:rPr>
      </w:pPr>
      <w:r w:rsidRPr="00BF5CAA">
        <w:rPr>
          <w:rFonts w:ascii="宋体" w:hAnsi="宋体" w:hint="eastAsia"/>
          <w:szCs w:val="21"/>
        </w:rPr>
        <w:t>说明：每一格表示在该行</w:t>
      </w:r>
      <w:r w:rsidR="00BF5CAA" w:rsidRPr="00BF5CAA">
        <w:rPr>
          <w:rFonts w:ascii="宋体" w:hAnsi="宋体" w:hint="eastAsia"/>
          <w:szCs w:val="21"/>
        </w:rPr>
        <w:t>工作误差</w:t>
      </w:r>
      <w:r w:rsidRPr="00BF5CAA">
        <w:rPr>
          <w:rFonts w:ascii="宋体" w:hAnsi="宋体" w:hint="eastAsia"/>
          <w:szCs w:val="21"/>
        </w:rPr>
        <w:t>超差情况下，对应该列也超差的</w:t>
      </w:r>
      <w:r w:rsidR="00BF5CAA">
        <w:rPr>
          <w:rFonts w:ascii="宋体" w:hAnsi="宋体" w:hint="eastAsia"/>
          <w:szCs w:val="21"/>
        </w:rPr>
        <w:t>占比</w:t>
      </w:r>
    </w:p>
    <w:p w:rsidR="00406B6B" w:rsidRDefault="00406B6B" w:rsidP="00406B6B">
      <w:pPr>
        <w:spacing w:line="360" w:lineRule="auto"/>
        <w:ind w:firstLineChars="200" w:firstLine="480"/>
        <w:rPr>
          <w:rFonts w:hint="eastAsia"/>
          <w:sz w:val="24"/>
        </w:rPr>
      </w:pPr>
      <w:r>
        <w:rPr>
          <w:rFonts w:ascii="宋体" w:hAnsi="宋体" w:hint="eastAsia"/>
          <w:sz w:val="24"/>
        </w:rPr>
        <w:t>可以看出，交流充电桩“工作误差”检定项目中</w:t>
      </w:r>
      <w:r w:rsidR="00BF5CAA">
        <w:rPr>
          <w:rFonts w:ascii="宋体" w:hAnsi="宋体" w:hint="eastAsia"/>
          <w:sz w:val="24"/>
        </w:rPr>
        <w:t>当任意一个</w:t>
      </w:r>
      <w:r>
        <w:rPr>
          <w:rFonts w:ascii="宋体" w:hAnsi="宋体" w:hint="eastAsia"/>
          <w:sz w:val="24"/>
        </w:rPr>
        <w:t>检定点不合格</w:t>
      </w:r>
      <w:r w:rsidR="00BF5CAA">
        <w:rPr>
          <w:rFonts w:ascii="宋体" w:hAnsi="宋体" w:hint="eastAsia"/>
          <w:sz w:val="24"/>
        </w:rPr>
        <w:t>时，其余检定点不合格的比例均超过了7</w:t>
      </w:r>
      <w:r w:rsidR="00BF5CAA">
        <w:rPr>
          <w:rFonts w:ascii="宋体" w:hAnsi="宋体"/>
          <w:sz w:val="24"/>
        </w:rPr>
        <w:t>0%</w:t>
      </w:r>
      <w:r>
        <w:rPr>
          <w:rFonts w:ascii="宋体" w:hAnsi="宋体" w:hint="eastAsia"/>
          <w:sz w:val="24"/>
        </w:rPr>
        <w:t>。</w:t>
      </w:r>
      <w:r>
        <w:rPr>
          <w:rFonts w:ascii="宋体" w:hAnsi="宋体" w:hint="eastAsia"/>
          <w:sz w:val="24"/>
        </w:rPr>
        <w:t>因此</w:t>
      </w:r>
      <w:r>
        <w:rPr>
          <w:rFonts w:hint="eastAsia"/>
          <w:sz w:val="24"/>
        </w:rPr>
        <w:t>将检定必要负载点减少为一个，</w:t>
      </w:r>
      <w:r>
        <w:rPr>
          <w:sz w:val="24"/>
        </w:rPr>
        <w:t>根据需要，允许增加误差测量点</w:t>
      </w:r>
      <w:r>
        <w:rPr>
          <w:rFonts w:hint="eastAsia"/>
          <w:sz w:val="24"/>
        </w:rPr>
        <w:t>。</w:t>
      </w:r>
    </w:p>
    <w:p w:rsidR="00A7508E" w:rsidRDefault="008E5906">
      <w:pPr>
        <w:spacing w:line="360" w:lineRule="auto"/>
        <w:ind w:firstLineChars="200" w:firstLine="480"/>
        <w:rPr>
          <w:sz w:val="24"/>
        </w:rPr>
      </w:pPr>
      <w:r>
        <w:rPr>
          <w:rFonts w:hint="eastAsia"/>
          <w:sz w:val="24"/>
        </w:rPr>
        <w:t>——</w:t>
      </w:r>
      <w:r>
        <w:rPr>
          <w:rFonts w:ascii="宋体" w:hAnsi="宋体" w:hint="eastAsia"/>
          <w:color w:val="000000"/>
          <w:sz w:val="24"/>
        </w:rPr>
        <w:t>测定电能值确定被检充电桩的工作误差时，</w:t>
      </w:r>
      <w:r>
        <w:rPr>
          <w:rFonts w:hint="eastAsia"/>
          <w:color w:val="000000"/>
          <w:sz w:val="24"/>
        </w:rPr>
        <w:t>被检</w:t>
      </w:r>
      <w:r>
        <w:rPr>
          <w:sz w:val="24"/>
        </w:rPr>
        <w:t>充电</w:t>
      </w:r>
      <w:r>
        <w:rPr>
          <w:rFonts w:hint="eastAsia"/>
          <w:sz w:val="24"/>
        </w:rPr>
        <w:t>桩显示器末位一字代表的电能值与所累计的</w:t>
      </w:r>
      <w:r>
        <w:rPr>
          <w:color w:val="000000"/>
          <w:position w:val="-4"/>
          <w:sz w:val="24"/>
        </w:rPr>
        <w:object w:dxaOrig="300" w:dyaOrig="2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3pt" o:ole="">
            <v:imagedata r:id="rId7" o:title=""/>
          </v:shape>
          <o:OLEObject Type="Embed" ProgID="Equation.DSMT4" ShapeID="_x0000_i1025" DrawAspect="Content" ObjectID="_1712667435" r:id="rId8"/>
        </w:object>
      </w:r>
      <w:r>
        <w:rPr>
          <w:rFonts w:hint="eastAsia"/>
          <w:sz w:val="24"/>
        </w:rPr>
        <w:t>之比（</w:t>
      </w:r>
      <w:r>
        <w:rPr>
          <w:sz w:val="24"/>
        </w:rPr>
        <w:t>%</w:t>
      </w:r>
      <w:r>
        <w:rPr>
          <w:rFonts w:hint="eastAsia"/>
          <w:sz w:val="24"/>
        </w:rPr>
        <w:t>）由不大于被检充电桩等级指数的</w:t>
      </w:r>
      <w:r>
        <w:rPr>
          <w:sz w:val="24"/>
        </w:rPr>
        <w:t>1/10</w:t>
      </w:r>
      <w:r>
        <w:rPr>
          <w:rFonts w:hint="eastAsia"/>
          <w:sz w:val="24"/>
        </w:rPr>
        <w:t>改为</w:t>
      </w:r>
      <w:r>
        <w:rPr>
          <w:rFonts w:hint="eastAsia"/>
          <w:sz w:val="24"/>
        </w:rPr>
        <w:t>1</w:t>
      </w:r>
      <w:r>
        <w:rPr>
          <w:sz w:val="24"/>
        </w:rPr>
        <w:t>/3</w:t>
      </w:r>
      <w:r>
        <w:rPr>
          <w:rFonts w:hint="eastAsia"/>
          <w:sz w:val="24"/>
        </w:rPr>
        <w:t>；</w:t>
      </w:r>
    </w:p>
    <w:p w:rsidR="008E5906" w:rsidRDefault="008E5906">
      <w:pPr>
        <w:spacing w:line="360" w:lineRule="auto"/>
        <w:ind w:firstLineChars="200" w:firstLine="480"/>
        <w:rPr>
          <w:sz w:val="24"/>
        </w:rPr>
      </w:pPr>
      <w:r>
        <w:rPr>
          <w:rFonts w:hint="eastAsia"/>
          <w:sz w:val="24"/>
        </w:rPr>
        <w:t>在充分考虑检定的准确度要求下，为了提高检定效率，减少了累计电能量。效率可提高</w:t>
      </w:r>
      <w:r>
        <w:rPr>
          <w:rFonts w:hint="eastAsia"/>
          <w:sz w:val="24"/>
        </w:rPr>
        <w:t>3</w:t>
      </w:r>
      <w:r>
        <w:rPr>
          <w:rFonts w:hint="eastAsia"/>
          <w:sz w:val="24"/>
        </w:rPr>
        <w:t>倍。</w:t>
      </w:r>
    </w:p>
    <w:p w:rsidR="00A7508E" w:rsidRDefault="008E5906">
      <w:pPr>
        <w:spacing w:line="360" w:lineRule="auto"/>
        <w:ind w:firstLineChars="200" w:firstLine="480"/>
        <w:rPr>
          <w:sz w:val="24"/>
        </w:rPr>
      </w:pPr>
      <w:r>
        <w:rPr>
          <w:rFonts w:hint="eastAsia"/>
          <w:sz w:val="24"/>
        </w:rPr>
        <w:t>——检定项目中删除绝缘电阻试验，检定条件中增加绝缘电阻要求；</w:t>
      </w:r>
    </w:p>
    <w:p w:rsidR="008E5906" w:rsidRDefault="008E5906">
      <w:pPr>
        <w:spacing w:line="360" w:lineRule="auto"/>
        <w:ind w:firstLineChars="200" w:firstLine="480"/>
        <w:rPr>
          <w:sz w:val="24"/>
        </w:rPr>
      </w:pPr>
      <w:r>
        <w:rPr>
          <w:rFonts w:hint="eastAsia"/>
          <w:sz w:val="24"/>
        </w:rPr>
        <w:t>原有规程中绝缘电阻试验的目的是为了保护检定人员及设备安全，根据反馈意见，将本项目修改至检定条件中，不再作为判断充电桩合格与否的依据。</w:t>
      </w:r>
    </w:p>
    <w:p w:rsidR="00A7508E" w:rsidRDefault="008E5906">
      <w:pPr>
        <w:spacing w:line="360" w:lineRule="auto"/>
        <w:ind w:firstLineChars="200" w:firstLine="480"/>
        <w:rPr>
          <w:sz w:val="24"/>
        </w:rPr>
      </w:pPr>
      <w:r>
        <w:rPr>
          <w:rFonts w:hAnsi="宋体" w:hint="eastAsia"/>
          <w:sz w:val="24"/>
        </w:rPr>
        <w:t>——</w:t>
      </w:r>
      <w:r>
        <w:rPr>
          <w:rFonts w:hAnsi="宋体"/>
          <w:sz w:val="24"/>
        </w:rPr>
        <w:t>充电桩</w:t>
      </w:r>
      <w:r>
        <w:rPr>
          <w:rFonts w:hint="eastAsia"/>
          <w:sz w:val="24"/>
        </w:rPr>
        <w:t>的检定周期一般不超过</w:t>
      </w:r>
      <w:r>
        <w:rPr>
          <w:rFonts w:hint="eastAsia"/>
          <w:sz w:val="24"/>
        </w:rPr>
        <w:t>3</w:t>
      </w:r>
      <w:r>
        <w:rPr>
          <w:rFonts w:hint="eastAsia"/>
          <w:sz w:val="24"/>
        </w:rPr>
        <w:t>年。对于具有计量性能在线监测条件的充电桩，检定周期可延长至</w:t>
      </w:r>
      <w:r>
        <w:rPr>
          <w:rFonts w:hint="eastAsia"/>
          <w:sz w:val="24"/>
        </w:rPr>
        <w:t>5</w:t>
      </w:r>
      <w:r>
        <w:rPr>
          <w:rFonts w:hint="eastAsia"/>
          <w:sz w:val="24"/>
        </w:rPr>
        <w:t>年。</w:t>
      </w:r>
    </w:p>
    <w:p w:rsidR="00A7508E" w:rsidRDefault="009C7125" w:rsidP="008E5906">
      <w:pPr>
        <w:spacing w:line="360" w:lineRule="auto"/>
        <w:ind w:firstLine="480"/>
        <w:rPr>
          <w:sz w:val="24"/>
        </w:rPr>
      </w:pPr>
      <w:r>
        <w:rPr>
          <w:rFonts w:hint="eastAsia"/>
          <w:sz w:val="24"/>
        </w:rPr>
        <w:t>根据</w:t>
      </w:r>
      <w:r w:rsidR="00D34A46">
        <w:rPr>
          <w:rFonts w:ascii="宋体" w:hAnsi="宋体" w:hint="eastAsia"/>
          <w:sz w:val="24"/>
        </w:rPr>
        <w:t>广州计量检测技术研究院</w:t>
      </w:r>
      <w:r w:rsidR="00D34A46">
        <w:rPr>
          <w:rFonts w:ascii="宋体" w:hAnsi="宋体" w:hint="eastAsia"/>
          <w:sz w:val="24"/>
        </w:rPr>
        <w:t>对</w:t>
      </w:r>
      <w:r w:rsidR="00D34A46">
        <w:rPr>
          <w:rFonts w:ascii="宋体" w:hAnsi="宋体" w:hint="eastAsia"/>
          <w:sz w:val="24"/>
        </w:rPr>
        <w:t>1658台</w:t>
      </w:r>
      <w:r w:rsidR="00D34A46">
        <w:rPr>
          <w:rFonts w:ascii="宋体" w:hAnsi="宋体" w:hint="eastAsia"/>
          <w:sz w:val="24"/>
        </w:rPr>
        <w:t>交流充电桩</w:t>
      </w:r>
      <w:r>
        <w:rPr>
          <w:rFonts w:hint="eastAsia"/>
          <w:sz w:val="24"/>
        </w:rPr>
        <w:t>3</w:t>
      </w:r>
      <w:r>
        <w:rPr>
          <w:rFonts w:hint="eastAsia"/>
          <w:sz w:val="24"/>
        </w:rPr>
        <w:t>年</w:t>
      </w:r>
      <w:r w:rsidR="008E5906">
        <w:rPr>
          <w:rFonts w:hint="eastAsia"/>
          <w:sz w:val="24"/>
        </w:rPr>
        <w:t>实际检定结果</w:t>
      </w:r>
      <w:r>
        <w:rPr>
          <w:rFonts w:hint="eastAsia"/>
          <w:sz w:val="24"/>
        </w:rPr>
        <w:t>（见表</w:t>
      </w:r>
      <w:r>
        <w:rPr>
          <w:rFonts w:hint="eastAsia"/>
          <w:sz w:val="24"/>
        </w:rPr>
        <w:t>2</w:t>
      </w:r>
      <w:r>
        <w:rPr>
          <w:rFonts w:hint="eastAsia"/>
          <w:sz w:val="24"/>
        </w:rPr>
        <w:t>）</w:t>
      </w:r>
      <w:r w:rsidR="008E5906">
        <w:rPr>
          <w:rFonts w:hint="eastAsia"/>
          <w:sz w:val="24"/>
        </w:rPr>
        <w:t>并考虑到计量技术机构的承载能力，本次修订中，将充电机的检定周期延长为</w:t>
      </w:r>
      <w:r w:rsidR="008E5906">
        <w:rPr>
          <w:rFonts w:hint="eastAsia"/>
          <w:sz w:val="24"/>
        </w:rPr>
        <w:t>3</w:t>
      </w:r>
      <w:r w:rsidR="008E5906">
        <w:rPr>
          <w:rFonts w:hint="eastAsia"/>
          <w:sz w:val="24"/>
        </w:rPr>
        <w:t>年。为了鼓励计量大数据的应用，探索多种监管方式，实现监管与运营的双赢，</w:t>
      </w:r>
      <w:r w:rsidR="000B5AD5">
        <w:rPr>
          <w:rFonts w:hint="eastAsia"/>
          <w:sz w:val="24"/>
        </w:rPr>
        <w:t>鼓励各地制定</w:t>
      </w:r>
      <w:r w:rsidR="00BF5CAA">
        <w:rPr>
          <w:rFonts w:hint="eastAsia"/>
          <w:sz w:val="24"/>
        </w:rPr>
        <w:t>在</w:t>
      </w:r>
      <w:r w:rsidR="000B5AD5">
        <w:rPr>
          <w:rFonts w:hint="eastAsia"/>
          <w:sz w:val="24"/>
        </w:rPr>
        <w:t>线监测条件</w:t>
      </w:r>
      <w:r w:rsidR="000B5AD5">
        <w:rPr>
          <w:rFonts w:hint="eastAsia"/>
          <w:sz w:val="24"/>
        </w:rPr>
        <w:t>，</w:t>
      </w:r>
      <w:r w:rsidR="008E5906">
        <w:rPr>
          <w:rFonts w:hint="eastAsia"/>
          <w:sz w:val="24"/>
        </w:rPr>
        <w:t>对于具有计量性能在线监测条件的充电机，检定周期可延长至</w:t>
      </w:r>
      <w:r w:rsidR="008E5906">
        <w:rPr>
          <w:rFonts w:hint="eastAsia"/>
          <w:sz w:val="24"/>
        </w:rPr>
        <w:t>5</w:t>
      </w:r>
      <w:r w:rsidR="008E5906">
        <w:rPr>
          <w:rFonts w:hint="eastAsia"/>
          <w:sz w:val="24"/>
        </w:rPr>
        <w:t>年。</w:t>
      </w:r>
    </w:p>
    <w:tbl>
      <w:tblPr>
        <w:tblW w:w="0" w:type="auto"/>
        <w:jc w:val="center"/>
        <w:tblLayout w:type="fixed"/>
        <w:tblLook w:val="0000" w:firstRow="0" w:lastRow="0" w:firstColumn="0" w:lastColumn="0" w:noHBand="0" w:noVBand="0"/>
      </w:tblPr>
      <w:tblGrid>
        <w:gridCol w:w="4108"/>
        <w:gridCol w:w="3103"/>
      </w:tblGrid>
      <w:tr w:rsidR="009C7125" w:rsidTr="009C7125">
        <w:trPr>
          <w:trHeight w:val="285"/>
          <w:jc w:val="center"/>
        </w:trPr>
        <w:tc>
          <w:tcPr>
            <w:tcW w:w="7211" w:type="dxa"/>
            <w:gridSpan w:val="2"/>
            <w:tcBorders>
              <w:bottom w:val="single" w:sz="4" w:space="0" w:color="auto"/>
            </w:tcBorders>
            <w:noWrap/>
            <w:tcMar>
              <w:left w:w="57" w:type="dxa"/>
              <w:right w:w="57" w:type="dxa"/>
            </w:tcMar>
            <w:vAlign w:val="center"/>
          </w:tcPr>
          <w:p w:rsidR="009C7125" w:rsidRDefault="009C7125" w:rsidP="009C7125">
            <w:pPr>
              <w:ind w:firstLineChars="800" w:firstLine="1680"/>
              <w:rPr>
                <w:rFonts w:ascii="宋体" w:hAnsi="宋体" w:hint="eastAsia"/>
                <w:szCs w:val="21"/>
              </w:rPr>
            </w:pPr>
            <w:r>
              <w:rPr>
                <w:rFonts w:ascii="宋体" w:hAnsi="宋体" w:hint="eastAsia"/>
                <w:szCs w:val="21"/>
              </w:rPr>
              <w:t>表</w:t>
            </w:r>
            <w:r>
              <w:rPr>
                <w:rFonts w:ascii="宋体" w:hAnsi="宋体"/>
                <w:szCs w:val="21"/>
              </w:rPr>
              <w:t>2</w:t>
            </w:r>
            <w:r>
              <w:rPr>
                <w:rFonts w:ascii="宋体" w:hAnsi="宋体" w:hint="eastAsia"/>
                <w:szCs w:val="21"/>
              </w:rPr>
              <w:t>交流充电桩复检</w:t>
            </w:r>
            <w:r>
              <w:rPr>
                <w:rFonts w:ascii="宋体" w:hAnsi="宋体" w:hint="eastAsia"/>
                <w:szCs w:val="21"/>
              </w:rPr>
              <w:t>工作误差</w:t>
            </w:r>
            <w:r>
              <w:rPr>
                <w:rFonts w:ascii="宋体" w:hAnsi="宋体" w:hint="eastAsia"/>
                <w:szCs w:val="21"/>
              </w:rPr>
              <w:t>不合格占比</w:t>
            </w:r>
          </w:p>
        </w:tc>
      </w:tr>
      <w:tr w:rsidR="009C7125" w:rsidTr="009C7125">
        <w:trPr>
          <w:trHeight w:val="285"/>
          <w:jc w:val="center"/>
        </w:trPr>
        <w:tc>
          <w:tcPr>
            <w:tcW w:w="4108"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rsidR="009C7125" w:rsidRPr="009C7125" w:rsidRDefault="000B5AD5" w:rsidP="009C7125">
            <w:pPr>
              <w:widowControl/>
              <w:jc w:val="center"/>
              <w:rPr>
                <w:rFonts w:ascii="宋体" w:hAnsi="宋体" w:cs="宋体"/>
                <w:color w:val="000000"/>
                <w:kern w:val="0"/>
                <w:sz w:val="22"/>
                <w:szCs w:val="22"/>
              </w:rPr>
            </w:pPr>
            <w:r>
              <w:rPr>
                <w:rFonts w:ascii="宋体" w:hAnsi="宋体" w:cs="宋体" w:hint="eastAsia"/>
                <w:color w:val="000000"/>
                <w:kern w:val="0"/>
                <w:sz w:val="22"/>
                <w:szCs w:val="22"/>
              </w:rPr>
              <w:t>首年合格而</w:t>
            </w:r>
            <w:r w:rsidR="009C7125" w:rsidRPr="009C7125">
              <w:rPr>
                <w:rFonts w:ascii="宋体" w:hAnsi="宋体" w:cs="宋体" w:hint="eastAsia"/>
                <w:color w:val="000000"/>
                <w:kern w:val="0"/>
                <w:sz w:val="22"/>
                <w:szCs w:val="22"/>
              </w:rPr>
              <w:t>次年不合格占比</w:t>
            </w:r>
          </w:p>
        </w:tc>
        <w:tc>
          <w:tcPr>
            <w:tcW w:w="3103"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rsidR="009C7125" w:rsidRPr="009C7125" w:rsidRDefault="009C7125" w:rsidP="009C7125">
            <w:pPr>
              <w:widowControl/>
              <w:jc w:val="center"/>
              <w:rPr>
                <w:rFonts w:ascii="宋体" w:hAnsi="宋体" w:cs="宋体"/>
                <w:color w:val="000000"/>
                <w:kern w:val="0"/>
                <w:sz w:val="22"/>
                <w:szCs w:val="22"/>
              </w:rPr>
            </w:pPr>
            <w:r w:rsidRPr="009C7125">
              <w:rPr>
                <w:rFonts w:ascii="宋体" w:hAnsi="宋体" w:cs="宋体" w:hint="eastAsia"/>
                <w:color w:val="000000"/>
                <w:kern w:val="0"/>
                <w:sz w:val="22"/>
                <w:szCs w:val="22"/>
              </w:rPr>
              <w:t>4.5%</w:t>
            </w:r>
          </w:p>
        </w:tc>
      </w:tr>
      <w:tr w:rsidR="009C7125" w:rsidTr="009C7125">
        <w:trPr>
          <w:trHeight w:val="285"/>
          <w:jc w:val="center"/>
        </w:trPr>
        <w:tc>
          <w:tcPr>
            <w:tcW w:w="4108"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rsidR="009C7125" w:rsidRPr="009C7125" w:rsidRDefault="000B5AD5" w:rsidP="009C7125">
            <w:pPr>
              <w:widowControl/>
              <w:jc w:val="center"/>
              <w:rPr>
                <w:rFonts w:ascii="宋体" w:hAnsi="宋体" w:cs="宋体"/>
                <w:color w:val="000000"/>
                <w:kern w:val="0"/>
                <w:sz w:val="22"/>
                <w:szCs w:val="22"/>
              </w:rPr>
            </w:pPr>
            <w:r>
              <w:rPr>
                <w:rFonts w:ascii="宋体" w:hAnsi="宋体" w:cs="宋体" w:hint="eastAsia"/>
                <w:color w:val="000000"/>
                <w:kern w:val="0"/>
                <w:sz w:val="22"/>
                <w:szCs w:val="22"/>
              </w:rPr>
              <w:t>首年、次年合格而</w:t>
            </w:r>
            <w:r w:rsidR="009C7125" w:rsidRPr="009C7125">
              <w:rPr>
                <w:rFonts w:ascii="宋体" w:hAnsi="宋体" w:cs="宋体" w:hint="eastAsia"/>
                <w:color w:val="000000"/>
                <w:kern w:val="0"/>
                <w:sz w:val="22"/>
                <w:szCs w:val="22"/>
              </w:rPr>
              <w:t>第三年不合格占比</w:t>
            </w:r>
          </w:p>
        </w:tc>
        <w:tc>
          <w:tcPr>
            <w:tcW w:w="3103"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rsidR="009C7125" w:rsidRPr="009C7125" w:rsidRDefault="009C7125" w:rsidP="009C7125">
            <w:pPr>
              <w:widowControl/>
              <w:jc w:val="center"/>
              <w:rPr>
                <w:rFonts w:ascii="宋体" w:hAnsi="宋体" w:cs="宋体"/>
                <w:color w:val="000000"/>
                <w:kern w:val="0"/>
                <w:sz w:val="22"/>
                <w:szCs w:val="22"/>
              </w:rPr>
            </w:pPr>
            <w:r w:rsidRPr="009C7125">
              <w:rPr>
                <w:rFonts w:ascii="宋体" w:hAnsi="宋体" w:cs="宋体" w:hint="eastAsia"/>
                <w:color w:val="000000"/>
                <w:kern w:val="0"/>
                <w:sz w:val="22"/>
                <w:szCs w:val="22"/>
              </w:rPr>
              <w:t>2.8%</w:t>
            </w:r>
          </w:p>
        </w:tc>
      </w:tr>
    </w:tbl>
    <w:p w:rsidR="009C7125" w:rsidRPr="008E5906" w:rsidRDefault="009C7125" w:rsidP="008E5906">
      <w:pPr>
        <w:spacing w:line="360" w:lineRule="auto"/>
        <w:ind w:firstLine="480"/>
        <w:rPr>
          <w:rFonts w:hint="eastAsia"/>
          <w:sz w:val="24"/>
        </w:rPr>
      </w:pPr>
    </w:p>
    <w:p w:rsidR="00A7508E" w:rsidRDefault="008E5906" w:rsidP="008E5906">
      <w:pPr>
        <w:spacing w:line="360" w:lineRule="auto"/>
        <w:ind w:firstLineChars="2400" w:firstLine="5760"/>
        <w:rPr>
          <w:sz w:val="24"/>
        </w:rPr>
      </w:pPr>
      <w:r>
        <w:rPr>
          <w:rFonts w:hAnsi="宋体" w:hint="eastAsia"/>
          <w:sz w:val="24"/>
        </w:rPr>
        <w:lastRenderedPageBreak/>
        <w:t>编制工作组</w:t>
      </w:r>
    </w:p>
    <w:sectPr w:rsidR="00A7508E">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45E" w:rsidRDefault="008E5906">
      <w:r>
        <w:separator/>
      </w:r>
    </w:p>
  </w:endnote>
  <w:endnote w:type="continuationSeparator" w:id="0">
    <w:p w:rsidR="00D0445E" w:rsidRDefault="008E5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08E" w:rsidRDefault="008E5906">
    <w:pPr>
      <w:pStyle w:val="a9"/>
      <w:jc w:val="right"/>
    </w:pPr>
    <w:r>
      <w:rPr>
        <w:rStyle w:val="ac"/>
      </w:rPr>
      <w:fldChar w:fldCharType="begin"/>
    </w:r>
    <w:r>
      <w:rPr>
        <w:rStyle w:val="ac"/>
      </w:rPr>
      <w:instrText xml:space="preserve"> PAGE </w:instrText>
    </w:r>
    <w:r>
      <w:rPr>
        <w:rStyle w:val="ac"/>
      </w:rPr>
      <w:fldChar w:fldCharType="separate"/>
    </w:r>
    <w:r w:rsidR="007F006C">
      <w:rPr>
        <w:rStyle w:val="ac"/>
        <w:noProof/>
      </w:rPr>
      <w:t>3</w:t>
    </w:r>
    <w:r>
      <w:rPr>
        <w:rStyle w:val="ac"/>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45E" w:rsidRDefault="008E5906">
      <w:r>
        <w:separator/>
      </w:r>
    </w:p>
  </w:footnote>
  <w:footnote w:type="continuationSeparator" w:id="0">
    <w:p w:rsidR="00D0445E" w:rsidRDefault="008E59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0494"/>
    <w:rsid w:val="0000175A"/>
    <w:rsid w:val="000070E1"/>
    <w:rsid w:val="000139E4"/>
    <w:rsid w:val="00014D87"/>
    <w:rsid w:val="00045EC8"/>
    <w:rsid w:val="000470CD"/>
    <w:rsid w:val="00061948"/>
    <w:rsid w:val="0007608C"/>
    <w:rsid w:val="000953AB"/>
    <w:rsid w:val="000B5AD5"/>
    <w:rsid w:val="000B6CEC"/>
    <w:rsid w:val="000C1D46"/>
    <w:rsid w:val="000D1DAB"/>
    <w:rsid w:val="000D4D72"/>
    <w:rsid w:val="0010263B"/>
    <w:rsid w:val="001043E7"/>
    <w:rsid w:val="00106235"/>
    <w:rsid w:val="00126581"/>
    <w:rsid w:val="00170494"/>
    <w:rsid w:val="001743B6"/>
    <w:rsid w:val="00182CBA"/>
    <w:rsid w:val="001B6C7B"/>
    <w:rsid w:val="001C289C"/>
    <w:rsid w:val="001C2FD9"/>
    <w:rsid w:val="001E6DDB"/>
    <w:rsid w:val="00235BE5"/>
    <w:rsid w:val="002402A6"/>
    <w:rsid w:val="002512A9"/>
    <w:rsid w:val="00254F13"/>
    <w:rsid w:val="00271736"/>
    <w:rsid w:val="0028529C"/>
    <w:rsid w:val="002A7FB7"/>
    <w:rsid w:val="002B0FC5"/>
    <w:rsid w:val="002B75B5"/>
    <w:rsid w:val="002D4560"/>
    <w:rsid w:val="002E58F6"/>
    <w:rsid w:val="002F0F20"/>
    <w:rsid w:val="002F43A4"/>
    <w:rsid w:val="002F4758"/>
    <w:rsid w:val="0031009A"/>
    <w:rsid w:val="003260BE"/>
    <w:rsid w:val="00327DE6"/>
    <w:rsid w:val="0033253A"/>
    <w:rsid w:val="0035288E"/>
    <w:rsid w:val="00395027"/>
    <w:rsid w:val="003D7B6A"/>
    <w:rsid w:val="003E2AB1"/>
    <w:rsid w:val="003E4B40"/>
    <w:rsid w:val="003F1630"/>
    <w:rsid w:val="003F29CE"/>
    <w:rsid w:val="00401E37"/>
    <w:rsid w:val="00406B6B"/>
    <w:rsid w:val="004143F9"/>
    <w:rsid w:val="00446960"/>
    <w:rsid w:val="00457179"/>
    <w:rsid w:val="00460968"/>
    <w:rsid w:val="0047036F"/>
    <w:rsid w:val="00492094"/>
    <w:rsid w:val="00492EA1"/>
    <w:rsid w:val="004F29A6"/>
    <w:rsid w:val="004F5B15"/>
    <w:rsid w:val="0052058B"/>
    <w:rsid w:val="00524760"/>
    <w:rsid w:val="00533C6D"/>
    <w:rsid w:val="005470CD"/>
    <w:rsid w:val="00547342"/>
    <w:rsid w:val="0056624C"/>
    <w:rsid w:val="005662D2"/>
    <w:rsid w:val="005708B5"/>
    <w:rsid w:val="00572452"/>
    <w:rsid w:val="005815F0"/>
    <w:rsid w:val="005E575F"/>
    <w:rsid w:val="00600293"/>
    <w:rsid w:val="006236C7"/>
    <w:rsid w:val="006769F6"/>
    <w:rsid w:val="006779B7"/>
    <w:rsid w:val="006815A2"/>
    <w:rsid w:val="00697692"/>
    <w:rsid w:val="006D0CB7"/>
    <w:rsid w:val="006D5770"/>
    <w:rsid w:val="006E3176"/>
    <w:rsid w:val="006F0855"/>
    <w:rsid w:val="006F4DBF"/>
    <w:rsid w:val="00700BFD"/>
    <w:rsid w:val="0075176C"/>
    <w:rsid w:val="00774F0D"/>
    <w:rsid w:val="007A33A5"/>
    <w:rsid w:val="007A7FAC"/>
    <w:rsid w:val="007E2BC1"/>
    <w:rsid w:val="007E3829"/>
    <w:rsid w:val="007F006C"/>
    <w:rsid w:val="008236CB"/>
    <w:rsid w:val="00865BED"/>
    <w:rsid w:val="008768F5"/>
    <w:rsid w:val="00880DF0"/>
    <w:rsid w:val="008A031F"/>
    <w:rsid w:val="008A62B1"/>
    <w:rsid w:val="008B1E6B"/>
    <w:rsid w:val="008E5906"/>
    <w:rsid w:val="008F34EA"/>
    <w:rsid w:val="009467E5"/>
    <w:rsid w:val="00971CB9"/>
    <w:rsid w:val="009806B4"/>
    <w:rsid w:val="009B63CB"/>
    <w:rsid w:val="009C224C"/>
    <w:rsid w:val="009C7125"/>
    <w:rsid w:val="009D54D5"/>
    <w:rsid w:val="009E5CBC"/>
    <w:rsid w:val="00A13BE0"/>
    <w:rsid w:val="00A50FB5"/>
    <w:rsid w:val="00A51E7E"/>
    <w:rsid w:val="00A60E57"/>
    <w:rsid w:val="00A7508E"/>
    <w:rsid w:val="00A80378"/>
    <w:rsid w:val="00A904E9"/>
    <w:rsid w:val="00A934AB"/>
    <w:rsid w:val="00AD7965"/>
    <w:rsid w:val="00AF1331"/>
    <w:rsid w:val="00B02BE5"/>
    <w:rsid w:val="00B46775"/>
    <w:rsid w:val="00B55338"/>
    <w:rsid w:val="00B66432"/>
    <w:rsid w:val="00B701B9"/>
    <w:rsid w:val="00B71AA0"/>
    <w:rsid w:val="00BA12B1"/>
    <w:rsid w:val="00BB3AC0"/>
    <w:rsid w:val="00BB7D8A"/>
    <w:rsid w:val="00BE5DDB"/>
    <w:rsid w:val="00BF4A5E"/>
    <w:rsid w:val="00BF50DD"/>
    <w:rsid w:val="00BF5CAA"/>
    <w:rsid w:val="00BF6EAE"/>
    <w:rsid w:val="00C12552"/>
    <w:rsid w:val="00C3774D"/>
    <w:rsid w:val="00C668D5"/>
    <w:rsid w:val="00C81EC6"/>
    <w:rsid w:val="00C921BE"/>
    <w:rsid w:val="00C95D8C"/>
    <w:rsid w:val="00C95F52"/>
    <w:rsid w:val="00CE0C42"/>
    <w:rsid w:val="00CE1853"/>
    <w:rsid w:val="00CF41DB"/>
    <w:rsid w:val="00CF542D"/>
    <w:rsid w:val="00D0445E"/>
    <w:rsid w:val="00D1412F"/>
    <w:rsid w:val="00D15443"/>
    <w:rsid w:val="00D15E59"/>
    <w:rsid w:val="00D21829"/>
    <w:rsid w:val="00D3224F"/>
    <w:rsid w:val="00D34A46"/>
    <w:rsid w:val="00D36841"/>
    <w:rsid w:val="00D41F1F"/>
    <w:rsid w:val="00D516F3"/>
    <w:rsid w:val="00D52861"/>
    <w:rsid w:val="00D755F7"/>
    <w:rsid w:val="00D9192B"/>
    <w:rsid w:val="00D9713E"/>
    <w:rsid w:val="00DA0158"/>
    <w:rsid w:val="00DA5301"/>
    <w:rsid w:val="00DB575C"/>
    <w:rsid w:val="00DF2954"/>
    <w:rsid w:val="00DF3AA6"/>
    <w:rsid w:val="00E01779"/>
    <w:rsid w:val="00E04857"/>
    <w:rsid w:val="00E11133"/>
    <w:rsid w:val="00E2639D"/>
    <w:rsid w:val="00E47ECC"/>
    <w:rsid w:val="00E51210"/>
    <w:rsid w:val="00E60A37"/>
    <w:rsid w:val="00E844C2"/>
    <w:rsid w:val="00EC6F57"/>
    <w:rsid w:val="00F119B7"/>
    <w:rsid w:val="00F17C87"/>
    <w:rsid w:val="00F37B4C"/>
    <w:rsid w:val="00F4651F"/>
    <w:rsid w:val="00F46924"/>
    <w:rsid w:val="00F66F10"/>
    <w:rsid w:val="00F7008B"/>
    <w:rsid w:val="00F9684B"/>
    <w:rsid w:val="00FA4CD0"/>
    <w:rsid w:val="00FB47E4"/>
    <w:rsid w:val="12D24B83"/>
    <w:rsid w:val="52D367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CBC98E7"/>
  <w15:docId w15:val="{299BC580-FC66-4B09-9FDA-AC83B461A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style>
  <w:style w:type="paragraph" w:styleId="a4">
    <w:name w:val="Body Text Indent"/>
    <w:basedOn w:val="a"/>
    <w:pPr>
      <w:ind w:firstLineChars="192" w:firstLine="538"/>
    </w:pPr>
    <w:rPr>
      <w:sz w:val="28"/>
    </w:rPr>
  </w:style>
  <w:style w:type="paragraph" w:styleId="a5">
    <w:name w:val="Plain Text"/>
    <w:basedOn w:val="a"/>
    <w:link w:val="a6"/>
    <w:rPr>
      <w:rFonts w:ascii="宋体" w:hAnsi="Courier New" w:hint="eastAsia"/>
      <w:szCs w:val="20"/>
    </w:rPr>
  </w:style>
  <w:style w:type="paragraph" w:styleId="a7">
    <w:name w:val="Date"/>
    <w:basedOn w:val="a"/>
    <w:next w:val="a"/>
    <w:pPr>
      <w:ind w:leftChars="2500" w:left="100"/>
    </w:pPr>
  </w:style>
  <w:style w:type="paragraph" w:styleId="a8">
    <w:name w:val="Balloon Text"/>
    <w:basedOn w:val="a"/>
    <w:semiHidden/>
    <w:qFormat/>
    <w:rPr>
      <w:sz w:val="18"/>
      <w:szCs w:val="18"/>
    </w:rPr>
  </w:style>
  <w:style w:type="paragraph" w:styleId="a9">
    <w:name w:val="footer"/>
    <w:basedOn w:val="a"/>
    <w:pPr>
      <w:tabs>
        <w:tab w:val="center" w:pos="4153"/>
        <w:tab w:val="right" w:pos="8306"/>
      </w:tabs>
      <w:snapToGrid w:val="0"/>
      <w:jc w:val="left"/>
    </w:pPr>
    <w:rPr>
      <w:sz w:val="18"/>
      <w:szCs w:val="18"/>
    </w:rPr>
  </w:style>
  <w:style w:type="paragraph" w:styleId="aa">
    <w:name w:val="header"/>
    <w:basedOn w:val="a"/>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rPr>
      <w:sz w:val="24"/>
    </w:rPr>
  </w:style>
  <w:style w:type="paragraph" w:customStyle="1" w:styleId="CharChar1CharCharChar">
    <w:name w:val="Char Char1 Char Char Char"/>
    <w:basedOn w:val="a3"/>
    <w:rPr>
      <w:szCs w:val="20"/>
    </w:rPr>
  </w:style>
  <w:style w:type="character" w:styleId="ac">
    <w:name w:val="page number"/>
    <w:basedOn w:val="a0"/>
  </w:style>
  <w:style w:type="paragraph" w:customStyle="1" w:styleId="ad">
    <w:name w:val="段"/>
    <w:link w:val="Char"/>
    <w:qFormat/>
    <w:pPr>
      <w:autoSpaceDE w:val="0"/>
      <w:autoSpaceDN w:val="0"/>
      <w:ind w:firstLineChars="200" w:firstLine="200"/>
      <w:jc w:val="both"/>
    </w:pPr>
    <w:rPr>
      <w:rFonts w:ascii="宋体"/>
      <w:sz w:val="21"/>
    </w:rPr>
  </w:style>
  <w:style w:type="paragraph" w:customStyle="1" w:styleId="CharCharCharCharCharChar1CharCharCharChar">
    <w:name w:val="Char Char Char Char Char Char1 Char Char Char Char"/>
    <w:basedOn w:val="a"/>
    <w:qFormat/>
    <w:pPr>
      <w:widowControl/>
      <w:spacing w:after="160" w:line="240" w:lineRule="exact"/>
      <w:jc w:val="left"/>
    </w:pPr>
    <w:rPr>
      <w:rFonts w:ascii="Arial" w:eastAsia="Times New Roman" w:hAnsi="Arial" w:cs="Verdana"/>
      <w:b/>
      <w:kern w:val="0"/>
      <w:sz w:val="24"/>
      <w:lang w:eastAsia="en-US"/>
    </w:rPr>
  </w:style>
  <w:style w:type="character" w:customStyle="1" w:styleId="a6">
    <w:name w:val="纯文本 字符"/>
    <w:basedOn w:val="a0"/>
    <w:link w:val="a5"/>
    <w:rPr>
      <w:rFonts w:ascii="宋体" w:hAnsi="Courier New"/>
      <w:kern w:val="2"/>
      <w:sz w:val="21"/>
    </w:rPr>
  </w:style>
  <w:style w:type="character" w:customStyle="1" w:styleId="Char">
    <w:name w:val="段 Char"/>
    <w:basedOn w:val="a0"/>
    <w:link w:val="ad"/>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4</Pages>
  <Words>409</Words>
  <Characters>2332</Characters>
  <Application>Microsoft Office Word</Application>
  <DocSecurity>0</DocSecurity>
  <Lines>19</Lines>
  <Paragraphs>5</Paragraphs>
  <ScaleCrop>false</ScaleCrop>
  <Company>dx</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《回路电阻测试仪、直阻仪》检定规程</dc:title>
  <dc:creator>lxd</dc:creator>
  <cp:lastModifiedBy>xxy</cp:lastModifiedBy>
  <cp:revision>11</cp:revision>
  <cp:lastPrinted>2011-06-16T07:36:00Z</cp:lastPrinted>
  <dcterms:created xsi:type="dcterms:W3CDTF">2016-08-14T05:03:00Z</dcterms:created>
  <dcterms:modified xsi:type="dcterms:W3CDTF">2022-04-28T08:07:00Z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763B0B2C8A2647C88F7EECC421DD6724</vt:lpwstr>
  </property>
</Properties>
</file>