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7EC" w:rsidRDefault="00461976">
      <w:pPr>
        <w:jc w:val="center"/>
        <w:rPr>
          <w:rFonts w:hint="eastAsia"/>
          <w:sz w:val="36"/>
          <w:szCs w:val="36"/>
        </w:rPr>
      </w:pPr>
      <w:r>
        <w:rPr>
          <w:rFonts w:hint="eastAsia"/>
          <w:sz w:val="36"/>
          <w:szCs w:val="36"/>
        </w:rPr>
        <w:t>显示器</w:t>
      </w:r>
      <w:r w:rsidR="00982FDE">
        <w:rPr>
          <w:rFonts w:hint="eastAsia"/>
          <w:sz w:val="36"/>
          <w:szCs w:val="36"/>
        </w:rPr>
        <w:t>闪烁响应时间</w:t>
      </w:r>
      <w:r w:rsidR="004667EC">
        <w:rPr>
          <w:rFonts w:hint="eastAsia"/>
          <w:sz w:val="36"/>
          <w:szCs w:val="36"/>
        </w:rPr>
        <w:t>测量仪</w:t>
      </w:r>
    </w:p>
    <w:p w:rsidR="00845BB8" w:rsidRPr="003D2609" w:rsidRDefault="00845BB8">
      <w:pPr>
        <w:jc w:val="center"/>
        <w:rPr>
          <w:sz w:val="36"/>
          <w:szCs w:val="36"/>
        </w:rPr>
      </w:pPr>
      <w:r w:rsidRPr="003D2609">
        <w:rPr>
          <w:rFonts w:hint="eastAsia"/>
          <w:sz w:val="36"/>
          <w:szCs w:val="36"/>
        </w:rPr>
        <w:t>校准规范</w:t>
      </w:r>
      <w:bookmarkStart w:id="0" w:name="_GoBack"/>
      <w:bookmarkEnd w:id="0"/>
      <w:r w:rsidRPr="003D2609">
        <w:rPr>
          <w:rFonts w:hint="eastAsia"/>
          <w:sz w:val="36"/>
          <w:szCs w:val="36"/>
        </w:rPr>
        <w:t>编写说明</w:t>
      </w:r>
    </w:p>
    <w:p w:rsidR="00845BB8" w:rsidRPr="004667EC" w:rsidRDefault="004667EC" w:rsidP="004667EC">
      <w:pPr>
        <w:tabs>
          <w:tab w:val="left" w:pos="0"/>
        </w:tabs>
        <w:spacing w:line="360" w:lineRule="auto"/>
        <w:rPr>
          <w:rFonts w:asciiTheme="minorEastAsia" w:eastAsiaTheme="minorEastAsia" w:hAnsiTheme="minorEastAsia"/>
          <w:b/>
        </w:rPr>
      </w:pPr>
      <w:proofErr w:type="gramStart"/>
      <w:r>
        <w:rPr>
          <w:rFonts w:asciiTheme="minorEastAsia" w:eastAsiaTheme="minorEastAsia" w:hAnsiTheme="minorEastAsia" w:hint="eastAsia"/>
          <w:b/>
        </w:rPr>
        <w:t>一</w:t>
      </w:r>
      <w:proofErr w:type="gramEnd"/>
      <w:r>
        <w:rPr>
          <w:rFonts w:asciiTheme="minorEastAsia" w:eastAsiaTheme="minorEastAsia" w:hAnsiTheme="minorEastAsia" w:hint="eastAsia"/>
          <w:b/>
        </w:rPr>
        <w:t xml:space="preserve">  </w:t>
      </w:r>
      <w:r w:rsidR="00845BB8" w:rsidRPr="004667EC">
        <w:rPr>
          <w:rFonts w:asciiTheme="minorEastAsia" w:eastAsiaTheme="minorEastAsia" w:hAnsiTheme="minorEastAsia" w:hint="eastAsia"/>
          <w:b/>
        </w:rPr>
        <w:t>任务来源</w:t>
      </w:r>
    </w:p>
    <w:p w:rsidR="00845BB8" w:rsidRPr="004667EC" w:rsidRDefault="002326B9" w:rsidP="004667EC">
      <w:pPr>
        <w:pStyle w:val="Default"/>
        <w:spacing w:line="360" w:lineRule="auto"/>
        <w:ind w:firstLineChars="200" w:firstLine="480"/>
        <w:rPr>
          <w:rFonts w:asciiTheme="minorEastAsia" w:eastAsiaTheme="minorEastAsia" w:hAnsiTheme="minorEastAsia"/>
          <w:color w:val="auto"/>
        </w:rPr>
      </w:pPr>
      <w:r w:rsidRPr="004667EC">
        <w:rPr>
          <w:rFonts w:asciiTheme="minorEastAsia" w:eastAsiaTheme="minorEastAsia" w:hAnsiTheme="minorEastAsia" w:hint="eastAsia"/>
          <w:color w:val="auto"/>
        </w:rPr>
        <w:t>本规范的制定工作是</w:t>
      </w:r>
      <w:r w:rsidR="00F70429" w:rsidRPr="004667EC">
        <w:rPr>
          <w:rFonts w:asciiTheme="minorEastAsia" w:eastAsiaTheme="minorEastAsia" w:hAnsiTheme="minorEastAsia" w:hint="eastAsia"/>
          <w:color w:val="auto"/>
        </w:rPr>
        <w:t>依据市场监管总局办公厅下达的《2021年国家计量技术规范制定、修订及宣贯计划》而开展的。中国电子科技集团公司第四十一研究所</w:t>
      </w:r>
      <w:r w:rsidRPr="004667EC">
        <w:rPr>
          <w:rFonts w:asciiTheme="minorEastAsia" w:eastAsiaTheme="minorEastAsia" w:hAnsiTheme="minorEastAsia" w:hint="eastAsia"/>
          <w:color w:val="auto"/>
        </w:rPr>
        <w:t>主起草单位，</w:t>
      </w:r>
      <w:r w:rsidR="004667EC" w:rsidRPr="004667EC">
        <w:rPr>
          <w:rFonts w:asciiTheme="minorEastAsia" w:eastAsiaTheme="minorEastAsia" w:hAnsiTheme="minorEastAsia" w:hint="eastAsia"/>
          <w:color w:val="auto"/>
        </w:rPr>
        <w:t>苏州市计量测试院、中国计量科学研究院、</w:t>
      </w:r>
      <w:r w:rsidR="00F70429" w:rsidRPr="004667EC">
        <w:rPr>
          <w:rFonts w:asciiTheme="minorEastAsia" w:eastAsiaTheme="minorEastAsia" w:hAnsiTheme="minorEastAsia" w:hint="eastAsia"/>
          <w:color w:val="auto"/>
        </w:rPr>
        <w:t>厦门市计量检定测试院、陕西省计量科学研究院为</w:t>
      </w:r>
      <w:r w:rsidRPr="004667EC">
        <w:rPr>
          <w:rFonts w:asciiTheme="minorEastAsia" w:eastAsiaTheme="minorEastAsia" w:hAnsiTheme="minorEastAsia" w:hint="eastAsia"/>
          <w:color w:val="auto"/>
        </w:rPr>
        <w:t>参加起草单位。</w:t>
      </w:r>
    </w:p>
    <w:p w:rsidR="00416442" w:rsidRPr="004667EC" w:rsidRDefault="004667EC" w:rsidP="004667EC">
      <w:pPr>
        <w:tabs>
          <w:tab w:val="left" w:pos="0"/>
        </w:tabs>
        <w:spacing w:line="360" w:lineRule="auto"/>
        <w:rPr>
          <w:rFonts w:asciiTheme="minorEastAsia" w:eastAsiaTheme="minorEastAsia" w:hAnsiTheme="minorEastAsia"/>
          <w:b/>
        </w:rPr>
      </w:pPr>
      <w:r>
        <w:rPr>
          <w:rFonts w:asciiTheme="minorEastAsia" w:eastAsiaTheme="minorEastAsia" w:hAnsiTheme="minorEastAsia" w:hint="eastAsia"/>
          <w:b/>
        </w:rPr>
        <w:t xml:space="preserve">二  </w:t>
      </w:r>
      <w:r w:rsidR="00416442" w:rsidRPr="004667EC">
        <w:rPr>
          <w:rFonts w:asciiTheme="minorEastAsia" w:eastAsiaTheme="minorEastAsia" w:hAnsiTheme="minorEastAsia" w:hint="eastAsia"/>
          <w:b/>
        </w:rPr>
        <w:t>制订的目的</w:t>
      </w:r>
      <w:r w:rsidR="00DB763B" w:rsidRPr="004667EC">
        <w:rPr>
          <w:rFonts w:asciiTheme="minorEastAsia" w:eastAsiaTheme="minorEastAsia" w:hAnsiTheme="minorEastAsia" w:hint="eastAsia"/>
          <w:b/>
        </w:rPr>
        <w:t>和</w:t>
      </w:r>
      <w:r w:rsidR="00416442" w:rsidRPr="004667EC">
        <w:rPr>
          <w:rFonts w:asciiTheme="minorEastAsia" w:eastAsiaTheme="minorEastAsia" w:hAnsiTheme="minorEastAsia" w:hint="eastAsia"/>
          <w:b/>
        </w:rPr>
        <w:t>意义</w:t>
      </w:r>
    </w:p>
    <w:p w:rsidR="0093158C" w:rsidRPr="004667EC" w:rsidRDefault="0093158C" w:rsidP="004667EC">
      <w:pPr>
        <w:spacing w:line="360" w:lineRule="auto"/>
        <w:ind w:firstLineChars="200" w:firstLine="480"/>
        <w:rPr>
          <w:rFonts w:asciiTheme="minorEastAsia" w:eastAsiaTheme="minorEastAsia" w:hAnsiTheme="minorEastAsia"/>
          <w:color w:val="000000"/>
        </w:rPr>
      </w:pPr>
      <w:r w:rsidRPr="004667EC">
        <w:rPr>
          <w:rFonts w:asciiTheme="minorEastAsia" w:eastAsiaTheme="minorEastAsia" w:hAnsiTheme="minorEastAsia" w:hint="eastAsia"/>
          <w:color w:val="000000"/>
        </w:rPr>
        <w:t>随着现代通信与网络技术的快速发展，电脑、手机、电视等显示终端在日常生活中占据人眼的时间比例不断提高，人们对观看舒适度、显示器光生物安全等方面的关注也逐渐增多。在IEEE Standard P1789的报告中指出人眼可感知70Hz以下的闪烁可能会有头痛、眼花、心神不安等反应。甚至会导致视觉疲劳从而影响视力。而显示器</w:t>
      </w:r>
      <w:r w:rsidRPr="004667EC">
        <w:rPr>
          <w:rFonts w:asciiTheme="minorEastAsia" w:eastAsiaTheme="minorEastAsia" w:hAnsiTheme="minorEastAsia"/>
          <w:color w:val="000000"/>
        </w:rPr>
        <w:t>响应时间的长短与显示器动态显示效果有着直接的关系</w:t>
      </w:r>
      <w:r w:rsidRPr="004667EC">
        <w:rPr>
          <w:rFonts w:asciiTheme="minorEastAsia" w:eastAsiaTheme="minorEastAsia" w:hAnsiTheme="minorEastAsia" w:hint="eastAsia"/>
          <w:color w:val="000000"/>
        </w:rPr>
        <w:t>，因此闪烁（</w:t>
      </w:r>
      <w:proofErr w:type="spellStart"/>
      <w:r w:rsidRPr="004667EC">
        <w:rPr>
          <w:rFonts w:asciiTheme="minorEastAsia" w:eastAsiaTheme="minorEastAsia" w:hAnsiTheme="minorEastAsia" w:hint="eastAsia"/>
          <w:color w:val="000000"/>
        </w:rPr>
        <w:t>Fliker</w:t>
      </w:r>
      <w:proofErr w:type="spellEnd"/>
      <w:r w:rsidRPr="004667EC">
        <w:rPr>
          <w:rFonts w:asciiTheme="minorEastAsia" w:eastAsiaTheme="minorEastAsia" w:hAnsiTheme="minorEastAsia" w:hint="eastAsia"/>
          <w:color w:val="000000"/>
        </w:rPr>
        <w:t>）、闪烁频率和响应时间（包括灰阶响应时间）是评价显示器件观看舒适度和图像显示效果的重要参数。</w:t>
      </w:r>
    </w:p>
    <w:p w:rsidR="009B633C" w:rsidRPr="004667EC" w:rsidRDefault="00461976" w:rsidP="004667EC">
      <w:pPr>
        <w:spacing w:line="360" w:lineRule="auto"/>
        <w:ind w:firstLineChars="200" w:firstLine="480"/>
        <w:rPr>
          <w:rFonts w:asciiTheme="minorEastAsia" w:eastAsiaTheme="minorEastAsia" w:hAnsiTheme="minorEastAsia"/>
          <w:color w:val="000000"/>
        </w:rPr>
      </w:pPr>
      <w:r w:rsidRPr="004667EC">
        <w:rPr>
          <w:rFonts w:asciiTheme="minorEastAsia" w:eastAsiaTheme="minorEastAsia" w:hAnsiTheme="minorEastAsia" w:hint="eastAsia"/>
          <w:color w:val="000000"/>
        </w:rPr>
        <w:t>显示器</w:t>
      </w:r>
      <w:r w:rsidR="0093158C" w:rsidRPr="004667EC">
        <w:rPr>
          <w:rFonts w:asciiTheme="minorEastAsia" w:eastAsiaTheme="minorEastAsia" w:hAnsiTheme="minorEastAsia" w:hint="eastAsia"/>
          <w:color w:val="000000"/>
        </w:rPr>
        <w:t>闪烁响应时间测量仪是显示器件研制、生产以及检测检验过程中应用最为广泛的测量设备之一，其对闪烁、闪烁频率、响应时间的测量都是</w:t>
      </w:r>
      <w:r w:rsidR="004667EC" w:rsidRPr="004667EC">
        <w:rPr>
          <w:rFonts w:asciiTheme="minorEastAsia" w:eastAsiaTheme="minorEastAsia" w:hAnsiTheme="minorEastAsia" w:hint="eastAsia"/>
          <w:color w:val="000000"/>
        </w:rPr>
        <w:t>通过测量分析</w:t>
      </w:r>
      <w:r w:rsidR="0093158C" w:rsidRPr="004667EC">
        <w:rPr>
          <w:rFonts w:asciiTheme="minorEastAsia" w:eastAsiaTheme="minorEastAsia" w:hAnsiTheme="minorEastAsia" w:hint="eastAsia"/>
          <w:color w:val="000000"/>
        </w:rPr>
        <w:t>显示器件的亮度变化</w:t>
      </w:r>
      <w:r w:rsidR="004667EC" w:rsidRPr="004667EC">
        <w:rPr>
          <w:rFonts w:asciiTheme="minorEastAsia" w:eastAsiaTheme="minorEastAsia" w:hAnsiTheme="minorEastAsia" w:hint="eastAsia"/>
          <w:color w:val="000000"/>
        </w:rPr>
        <w:t>而得到。</w:t>
      </w:r>
      <w:r w:rsidR="0093158C" w:rsidRPr="004667EC">
        <w:rPr>
          <w:rFonts w:asciiTheme="minorEastAsia" w:eastAsiaTheme="minorEastAsia" w:hAnsiTheme="minorEastAsia" w:hint="eastAsia"/>
          <w:color w:val="000000"/>
        </w:rPr>
        <w:t>显示器相关的国际国家标准都对显示器件闪烁量值的计算给出明确的定义，主要分为时域法和频域法，这与光源闪烁测量仪的工作原理有着显著区别，因此对于</w:t>
      </w:r>
      <w:r w:rsidRPr="004667EC">
        <w:rPr>
          <w:rFonts w:asciiTheme="minorEastAsia" w:eastAsiaTheme="minorEastAsia" w:hAnsiTheme="minorEastAsia" w:hint="eastAsia"/>
          <w:color w:val="000000"/>
        </w:rPr>
        <w:t>显示器</w:t>
      </w:r>
      <w:r w:rsidR="0093158C" w:rsidRPr="004667EC">
        <w:rPr>
          <w:rFonts w:asciiTheme="minorEastAsia" w:eastAsiaTheme="minorEastAsia" w:hAnsiTheme="minorEastAsia" w:hint="eastAsia"/>
          <w:color w:val="000000"/>
        </w:rPr>
        <w:t>闪烁响应时间测量仪的校准必须根据显示器件的性能</w:t>
      </w:r>
      <w:r w:rsidR="009B633C" w:rsidRPr="004667EC">
        <w:rPr>
          <w:rFonts w:asciiTheme="minorEastAsia" w:eastAsiaTheme="minorEastAsia" w:hAnsiTheme="minorEastAsia" w:hint="eastAsia"/>
          <w:color w:val="000000"/>
        </w:rPr>
        <w:t>和特点去制定相应的校准规范，才能满足显示器件研制生产厂家对该设备的计量需求。</w:t>
      </w:r>
    </w:p>
    <w:p w:rsidR="000A6FDE" w:rsidRPr="004667EC" w:rsidRDefault="0093158C" w:rsidP="004667EC">
      <w:pPr>
        <w:spacing w:line="360" w:lineRule="auto"/>
        <w:ind w:firstLineChars="200" w:firstLine="480"/>
        <w:rPr>
          <w:rFonts w:asciiTheme="minorEastAsia" w:eastAsiaTheme="minorEastAsia" w:hAnsiTheme="minorEastAsia"/>
          <w:color w:val="000000"/>
        </w:rPr>
      </w:pPr>
      <w:r w:rsidRPr="004667EC">
        <w:rPr>
          <w:rFonts w:asciiTheme="minorEastAsia" w:eastAsiaTheme="minorEastAsia" w:hAnsiTheme="minorEastAsia" w:hint="eastAsia"/>
          <w:color w:val="000000"/>
        </w:rPr>
        <w:t>因此，为了促进我国平板显示产业的发展、保证</w:t>
      </w:r>
      <w:r w:rsidR="00461976" w:rsidRPr="004667EC">
        <w:rPr>
          <w:rFonts w:asciiTheme="minorEastAsia" w:eastAsiaTheme="minorEastAsia" w:hAnsiTheme="minorEastAsia" w:hint="eastAsia"/>
          <w:color w:val="000000"/>
        </w:rPr>
        <w:t>显示器</w:t>
      </w:r>
      <w:r w:rsidRPr="004667EC">
        <w:rPr>
          <w:rFonts w:asciiTheme="minorEastAsia" w:eastAsiaTheme="minorEastAsia" w:hAnsiTheme="minorEastAsia" w:hint="eastAsia"/>
          <w:color w:val="000000"/>
        </w:rPr>
        <w:t>闪烁响应时间测量仪量值准确一致、校准有法可依，制定国家校准规范迫在眉睫。</w:t>
      </w:r>
    </w:p>
    <w:p w:rsidR="00845BB8" w:rsidRPr="004667EC" w:rsidRDefault="004667EC" w:rsidP="004667EC">
      <w:pPr>
        <w:tabs>
          <w:tab w:val="left" w:pos="0"/>
        </w:tabs>
        <w:spacing w:line="360" w:lineRule="auto"/>
        <w:rPr>
          <w:rFonts w:asciiTheme="minorEastAsia" w:eastAsiaTheme="minorEastAsia" w:hAnsiTheme="minorEastAsia"/>
          <w:b/>
        </w:rPr>
      </w:pPr>
      <w:bookmarkStart w:id="1" w:name="_Toc150051454"/>
      <w:r>
        <w:rPr>
          <w:rFonts w:asciiTheme="minorEastAsia" w:eastAsiaTheme="minorEastAsia" w:hAnsiTheme="minorEastAsia" w:hint="eastAsia"/>
          <w:b/>
        </w:rPr>
        <w:t xml:space="preserve">三  </w:t>
      </w:r>
      <w:r w:rsidR="00845BB8" w:rsidRPr="004667EC">
        <w:rPr>
          <w:rFonts w:asciiTheme="minorEastAsia" w:eastAsiaTheme="minorEastAsia" w:hAnsiTheme="minorEastAsia" w:hint="eastAsia"/>
          <w:b/>
        </w:rPr>
        <w:t>编写原则</w:t>
      </w:r>
      <w:bookmarkEnd w:id="1"/>
    </w:p>
    <w:p w:rsidR="000E29D0" w:rsidRPr="004667EC" w:rsidRDefault="003D2609" w:rsidP="004667EC">
      <w:pPr>
        <w:widowControl/>
        <w:tabs>
          <w:tab w:val="left" w:pos="0"/>
        </w:tabs>
        <w:spacing w:line="360" w:lineRule="auto"/>
        <w:ind w:firstLineChars="200" w:firstLine="480"/>
        <w:textAlignment w:val="bottom"/>
        <w:rPr>
          <w:rFonts w:asciiTheme="minorEastAsia" w:eastAsiaTheme="minorEastAsia" w:hAnsiTheme="minorEastAsia"/>
        </w:rPr>
      </w:pPr>
      <w:r w:rsidRPr="004667EC">
        <w:rPr>
          <w:rFonts w:asciiTheme="minorEastAsia" w:eastAsiaTheme="minorEastAsia" w:hAnsiTheme="minorEastAsia" w:hint="eastAsia"/>
        </w:rPr>
        <w:t>本规范</w:t>
      </w:r>
      <w:r w:rsidR="00416442" w:rsidRPr="004667EC">
        <w:rPr>
          <w:rFonts w:asciiTheme="minorEastAsia" w:eastAsiaTheme="minorEastAsia" w:hAnsiTheme="minorEastAsia" w:hint="eastAsia"/>
        </w:rPr>
        <w:t>的制定</w:t>
      </w:r>
      <w:r w:rsidRPr="004667EC">
        <w:rPr>
          <w:rFonts w:asciiTheme="minorEastAsia" w:eastAsiaTheme="minorEastAsia" w:hAnsiTheme="minorEastAsia" w:hint="eastAsia"/>
        </w:rPr>
        <w:t>是</w:t>
      </w:r>
      <w:r w:rsidR="00416442" w:rsidRPr="004667EC">
        <w:rPr>
          <w:rFonts w:asciiTheme="minorEastAsia" w:eastAsiaTheme="minorEastAsia" w:hAnsiTheme="minorEastAsia" w:hint="eastAsia"/>
        </w:rPr>
        <w:t>为</w:t>
      </w:r>
      <w:r w:rsidR="00461976" w:rsidRPr="004667EC">
        <w:rPr>
          <w:rFonts w:asciiTheme="minorEastAsia" w:eastAsiaTheme="minorEastAsia" w:hAnsiTheme="minorEastAsia" w:hint="eastAsia"/>
        </w:rPr>
        <w:t>显示器</w:t>
      </w:r>
      <w:r w:rsidR="00416442" w:rsidRPr="004667EC">
        <w:rPr>
          <w:rFonts w:asciiTheme="minorEastAsia" w:eastAsiaTheme="minorEastAsia" w:hAnsiTheme="minorEastAsia" w:hint="eastAsia"/>
        </w:rPr>
        <w:t>闪烁响应时间测量仪校准提提供依据文件。由于显示器用闪烁响应时间测量仪型号多、功能也不完全一致</w:t>
      </w:r>
      <w:r w:rsidR="00845BB8" w:rsidRPr="004667EC">
        <w:rPr>
          <w:rFonts w:asciiTheme="minorEastAsia" w:eastAsiaTheme="minorEastAsia" w:hAnsiTheme="minorEastAsia" w:hint="eastAsia"/>
        </w:rPr>
        <w:t>，</w:t>
      </w:r>
      <w:r w:rsidR="00416442" w:rsidRPr="004667EC">
        <w:rPr>
          <w:rFonts w:asciiTheme="minorEastAsia" w:eastAsiaTheme="minorEastAsia" w:hAnsiTheme="minorEastAsia" w:hint="eastAsia"/>
        </w:rPr>
        <w:t>因此</w:t>
      </w:r>
      <w:r w:rsidR="00845BB8" w:rsidRPr="004667EC">
        <w:rPr>
          <w:rFonts w:asciiTheme="minorEastAsia" w:eastAsiaTheme="minorEastAsia" w:hAnsiTheme="minorEastAsia" w:hint="eastAsia"/>
        </w:rPr>
        <w:t>在编写时，</w:t>
      </w:r>
      <w:r w:rsidR="00416442" w:rsidRPr="004667EC">
        <w:rPr>
          <w:rFonts w:asciiTheme="minorEastAsia" w:eastAsiaTheme="minorEastAsia" w:hAnsiTheme="minorEastAsia" w:hint="eastAsia"/>
        </w:rPr>
        <w:t>在</w:t>
      </w:r>
      <w:r w:rsidR="00667316" w:rsidRPr="004667EC">
        <w:rPr>
          <w:rFonts w:asciiTheme="minorEastAsia" w:eastAsiaTheme="minorEastAsia" w:hAnsiTheme="minorEastAsia" w:hint="eastAsia"/>
        </w:rPr>
        <w:t>参考光源的计量特性、标准闪烁、闪烁频率以及响应时间的分析计算方法上都尽可能的考虑充分考虑各厂家不同型号设备的特点以及显示器件自身的特点，制定思路</w:t>
      </w:r>
      <w:r w:rsidR="00667316" w:rsidRPr="004667EC">
        <w:rPr>
          <w:rFonts w:asciiTheme="minorEastAsia" w:eastAsiaTheme="minorEastAsia" w:hAnsiTheme="minorEastAsia" w:hint="eastAsia"/>
        </w:rPr>
        <w:lastRenderedPageBreak/>
        <w:t>清晰、合理科学的校准方法和数据处理方法，</w:t>
      </w:r>
      <w:r w:rsidR="00845BB8" w:rsidRPr="004667EC">
        <w:rPr>
          <w:rFonts w:asciiTheme="minorEastAsia" w:eastAsiaTheme="minorEastAsia" w:hAnsiTheme="minorEastAsia" w:hint="eastAsia"/>
        </w:rPr>
        <w:t>并符合国家</w:t>
      </w:r>
      <w:r w:rsidR="00C87302" w:rsidRPr="004667EC">
        <w:rPr>
          <w:rFonts w:asciiTheme="minorEastAsia" w:eastAsiaTheme="minorEastAsia" w:hAnsiTheme="minorEastAsia" w:hint="eastAsia"/>
        </w:rPr>
        <w:t>及行业</w:t>
      </w:r>
      <w:r w:rsidR="00845BB8" w:rsidRPr="004667EC">
        <w:rPr>
          <w:rFonts w:asciiTheme="minorEastAsia" w:eastAsiaTheme="minorEastAsia" w:hAnsiTheme="minorEastAsia" w:hint="eastAsia"/>
        </w:rPr>
        <w:t>有关法律法规的规定。在规范适用的范围内，具有可操作性及实施</w:t>
      </w:r>
      <w:r w:rsidR="00667316" w:rsidRPr="004667EC">
        <w:rPr>
          <w:rFonts w:asciiTheme="minorEastAsia" w:eastAsiaTheme="minorEastAsia" w:hAnsiTheme="minorEastAsia" w:hint="eastAsia"/>
        </w:rPr>
        <w:t>、</w:t>
      </w:r>
      <w:r w:rsidR="00845BB8" w:rsidRPr="004667EC">
        <w:rPr>
          <w:rFonts w:asciiTheme="minorEastAsia" w:eastAsiaTheme="minorEastAsia" w:hAnsiTheme="minorEastAsia" w:hint="eastAsia"/>
        </w:rPr>
        <w:t>经济性</w:t>
      </w:r>
      <w:r w:rsidR="00667316" w:rsidRPr="004667EC">
        <w:rPr>
          <w:rFonts w:asciiTheme="minorEastAsia" w:eastAsiaTheme="minorEastAsia" w:hAnsiTheme="minorEastAsia" w:hint="eastAsia"/>
        </w:rPr>
        <w:t>和方便性</w:t>
      </w:r>
      <w:r w:rsidR="00845BB8" w:rsidRPr="004667EC">
        <w:rPr>
          <w:rFonts w:asciiTheme="minorEastAsia" w:eastAsiaTheme="minorEastAsia" w:hAnsiTheme="minorEastAsia" w:hint="eastAsia"/>
          <w:color w:val="000000"/>
        </w:rPr>
        <w:t>。</w:t>
      </w:r>
    </w:p>
    <w:p w:rsidR="00845BB8" w:rsidRPr="004667EC" w:rsidRDefault="004667EC" w:rsidP="004667EC">
      <w:pPr>
        <w:tabs>
          <w:tab w:val="left" w:pos="0"/>
        </w:tabs>
        <w:spacing w:line="360" w:lineRule="auto"/>
        <w:rPr>
          <w:rFonts w:asciiTheme="minorEastAsia" w:eastAsiaTheme="minorEastAsia" w:hAnsiTheme="minorEastAsia"/>
          <w:b/>
        </w:rPr>
      </w:pPr>
      <w:r>
        <w:rPr>
          <w:rFonts w:asciiTheme="minorEastAsia" w:eastAsiaTheme="minorEastAsia" w:hAnsiTheme="minorEastAsia" w:hint="eastAsia"/>
          <w:b/>
        </w:rPr>
        <w:t xml:space="preserve">四  </w:t>
      </w:r>
      <w:r w:rsidR="00845BB8" w:rsidRPr="004667EC">
        <w:rPr>
          <w:rFonts w:asciiTheme="minorEastAsia" w:eastAsiaTheme="minorEastAsia" w:hAnsiTheme="minorEastAsia" w:hint="eastAsia"/>
          <w:b/>
        </w:rPr>
        <w:t>起草过程</w:t>
      </w:r>
    </w:p>
    <w:p w:rsidR="00E55AB6" w:rsidRPr="004667EC" w:rsidRDefault="00DB763B" w:rsidP="004667EC">
      <w:pPr>
        <w:pStyle w:val="a4"/>
        <w:spacing w:line="360" w:lineRule="auto"/>
        <w:rPr>
          <w:rFonts w:asciiTheme="minorEastAsia" w:eastAsiaTheme="minorEastAsia" w:hAnsiTheme="minorEastAsia"/>
          <w:b/>
          <w:szCs w:val="24"/>
        </w:rPr>
      </w:pPr>
      <w:r w:rsidRPr="004667EC">
        <w:rPr>
          <w:rFonts w:asciiTheme="minorEastAsia" w:eastAsiaTheme="minorEastAsia" w:hAnsiTheme="minorEastAsia" w:hint="eastAsia"/>
          <w:b/>
          <w:szCs w:val="24"/>
        </w:rPr>
        <w:t xml:space="preserve">4.1 </w:t>
      </w:r>
      <w:r w:rsidR="00E55AB6" w:rsidRPr="004667EC">
        <w:rPr>
          <w:rFonts w:asciiTheme="minorEastAsia" w:eastAsiaTheme="minorEastAsia" w:hAnsiTheme="minorEastAsia" w:hint="eastAsia"/>
          <w:b/>
          <w:szCs w:val="24"/>
        </w:rPr>
        <w:t>相关标准和文献查阅</w:t>
      </w:r>
    </w:p>
    <w:p w:rsidR="00667316" w:rsidRPr="004667EC" w:rsidRDefault="00845BB8" w:rsidP="004667EC">
      <w:pPr>
        <w:pStyle w:val="a4"/>
        <w:spacing w:line="360" w:lineRule="auto"/>
        <w:ind w:firstLineChars="200" w:firstLine="480"/>
        <w:rPr>
          <w:rFonts w:asciiTheme="minorEastAsia" w:eastAsiaTheme="minorEastAsia" w:hAnsiTheme="minorEastAsia"/>
          <w:szCs w:val="24"/>
        </w:rPr>
      </w:pPr>
      <w:r w:rsidRPr="004667EC">
        <w:rPr>
          <w:rFonts w:asciiTheme="minorEastAsia" w:eastAsiaTheme="minorEastAsia" w:hAnsiTheme="minorEastAsia" w:hint="eastAsia"/>
          <w:szCs w:val="24"/>
        </w:rPr>
        <w:t>在编写过程中，编写人员查阅了</w:t>
      </w:r>
      <w:r w:rsidR="00E55AB6" w:rsidRPr="004667EC">
        <w:rPr>
          <w:rFonts w:asciiTheme="minorEastAsia" w:eastAsiaTheme="minorEastAsia" w:hAnsiTheme="minorEastAsia" w:hint="eastAsia"/>
          <w:szCs w:val="24"/>
        </w:rPr>
        <w:t>标准和技术</w:t>
      </w:r>
      <w:r w:rsidR="00667316" w:rsidRPr="004667EC">
        <w:rPr>
          <w:rFonts w:asciiTheme="minorEastAsia" w:eastAsiaTheme="minorEastAsia" w:hAnsiTheme="minorEastAsia" w:hint="eastAsia"/>
          <w:szCs w:val="24"/>
        </w:rPr>
        <w:t>文献如下：</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（1）</w:t>
      </w:r>
      <w:r w:rsidR="00667316" w:rsidRPr="004667EC">
        <w:rPr>
          <w:rFonts w:asciiTheme="minorEastAsia" w:eastAsiaTheme="minorEastAsia" w:hAnsiTheme="minorEastAsia" w:hint="eastAsia"/>
          <w:szCs w:val="24"/>
        </w:rPr>
        <w:t>JJF1329-2011 瞬态光谱仪校准规范；</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（2）</w:t>
      </w:r>
      <w:r w:rsidR="00273113" w:rsidRPr="004667EC">
        <w:rPr>
          <w:rFonts w:asciiTheme="minorEastAsia" w:eastAsiaTheme="minorEastAsia" w:hAnsiTheme="minorEastAsia" w:hint="eastAsia"/>
          <w:szCs w:val="24"/>
        </w:rPr>
        <w:t>JJF（军工）275-2020 标准</w:t>
      </w:r>
      <w:r w:rsidR="00667316" w:rsidRPr="004667EC">
        <w:rPr>
          <w:rFonts w:asciiTheme="minorEastAsia" w:eastAsiaTheme="minorEastAsia" w:hAnsiTheme="minorEastAsia" w:hint="eastAsia"/>
          <w:szCs w:val="24"/>
        </w:rPr>
        <w:t>光电探测器响应时间校准</w:t>
      </w:r>
      <w:r w:rsidR="00CB250C" w:rsidRPr="004667EC">
        <w:rPr>
          <w:rFonts w:asciiTheme="minorEastAsia" w:eastAsiaTheme="minorEastAsia" w:hAnsiTheme="minorEastAsia" w:hint="eastAsia"/>
          <w:szCs w:val="24"/>
        </w:rPr>
        <w:t>规范</w:t>
      </w:r>
      <w:r w:rsidR="00273113" w:rsidRPr="004667EC">
        <w:rPr>
          <w:rFonts w:asciiTheme="minorEastAsia" w:eastAsiaTheme="minorEastAsia" w:hAnsiTheme="minorEastAsia" w:hint="eastAsia"/>
          <w:szCs w:val="24"/>
        </w:rPr>
        <w:t>；</w:t>
      </w:r>
    </w:p>
    <w:p w:rsidR="00CB250C"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（3）</w:t>
      </w:r>
      <w:r w:rsidR="00CB250C" w:rsidRPr="004667EC">
        <w:rPr>
          <w:rFonts w:asciiTheme="minorEastAsia" w:eastAsiaTheme="minorEastAsia" w:hAnsiTheme="minorEastAsia" w:hint="eastAsia"/>
          <w:szCs w:val="24"/>
        </w:rPr>
        <w:t>JJF1205-2008 谐波和闪烁分析仪校准规范;</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（4）</w:t>
      </w:r>
      <w:r w:rsidR="00667316" w:rsidRPr="004667EC">
        <w:rPr>
          <w:rFonts w:asciiTheme="minorEastAsia" w:eastAsiaTheme="minorEastAsia" w:hAnsiTheme="minorEastAsia"/>
          <w:szCs w:val="24"/>
        </w:rPr>
        <w:t>GB/T 18910.61</w:t>
      </w:r>
      <w:r w:rsidR="00667316" w:rsidRPr="004667EC">
        <w:rPr>
          <w:rFonts w:asciiTheme="minorEastAsia" w:eastAsiaTheme="minorEastAsia" w:hAnsiTheme="minorEastAsia" w:hint="eastAsia"/>
          <w:szCs w:val="24"/>
        </w:rPr>
        <w:t xml:space="preserve"> </w:t>
      </w:r>
      <w:r w:rsidR="00667316" w:rsidRPr="004667EC">
        <w:rPr>
          <w:rFonts w:asciiTheme="minorEastAsia" w:eastAsiaTheme="minorEastAsia" w:hAnsiTheme="minorEastAsia"/>
          <w:szCs w:val="24"/>
        </w:rPr>
        <w:t xml:space="preserve">液晶显示器件测试方法 光电参数 </w:t>
      </w:r>
      <w:r w:rsidR="00667316" w:rsidRPr="004667EC">
        <w:rPr>
          <w:rFonts w:asciiTheme="minorEastAsia" w:eastAsiaTheme="minorEastAsia" w:hAnsiTheme="minorEastAsia" w:hint="eastAsia"/>
          <w:szCs w:val="24"/>
        </w:rPr>
        <w:t>；</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（5）</w:t>
      </w:r>
      <w:r w:rsidR="00667316" w:rsidRPr="004667EC">
        <w:rPr>
          <w:rFonts w:asciiTheme="minorEastAsia" w:eastAsiaTheme="minorEastAsia" w:hAnsiTheme="minorEastAsia" w:hint="eastAsia"/>
          <w:szCs w:val="24"/>
        </w:rPr>
        <w:t>SJT 11348-2017 数字电视平板显示器测量方法；</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（6）</w:t>
      </w:r>
      <w:r w:rsidR="00667316" w:rsidRPr="004667EC">
        <w:rPr>
          <w:rFonts w:asciiTheme="minorEastAsia" w:eastAsiaTheme="minorEastAsia" w:hAnsiTheme="minorEastAsia"/>
          <w:szCs w:val="24"/>
        </w:rPr>
        <w:t xml:space="preserve">IEC 61747-30-1 </w:t>
      </w:r>
      <w:r w:rsidR="00667316" w:rsidRPr="004667EC">
        <w:rPr>
          <w:rFonts w:asciiTheme="minorEastAsia" w:eastAsiaTheme="minorEastAsia" w:hAnsiTheme="minorEastAsia" w:hint="eastAsia"/>
          <w:szCs w:val="24"/>
        </w:rPr>
        <w:t>液晶显示设备</w:t>
      </w:r>
      <w:r w:rsidR="00667316" w:rsidRPr="004667EC">
        <w:rPr>
          <w:rFonts w:asciiTheme="minorEastAsia" w:eastAsiaTheme="minorEastAsia" w:hAnsiTheme="minorEastAsia"/>
          <w:szCs w:val="24"/>
        </w:rPr>
        <w:t xml:space="preserve"> </w:t>
      </w:r>
      <w:r w:rsidR="00667316" w:rsidRPr="004667EC">
        <w:rPr>
          <w:rFonts w:asciiTheme="minorEastAsia" w:eastAsiaTheme="minorEastAsia" w:hAnsiTheme="minorEastAsia" w:hint="eastAsia"/>
          <w:szCs w:val="24"/>
        </w:rPr>
        <w:t>第</w:t>
      </w:r>
      <w:r w:rsidR="00667316" w:rsidRPr="004667EC">
        <w:rPr>
          <w:rFonts w:asciiTheme="minorEastAsia" w:eastAsiaTheme="minorEastAsia" w:hAnsiTheme="minorEastAsia"/>
          <w:szCs w:val="24"/>
        </w:rPr>
        <w:t>30-1</w:t>
      </w:r>
      <w:r w:rsidR="00667316" w:rsidRPr="004667EC">
        <w:rPr>
          <w:rFonts w:asciiTheme="minorEastAsia" w:eastAsiaTheme="minorEastAsia" w:hAnsiTheme="minorEastAsia" w:hint="eastAsia"/>
          <w:szCs w:val="24"/>
        </w:rPr>
        <w:t>部分：液晶显示模块测试方法</w:t>
      </w:r>
      <w:r w:rsidR="00667316" w:rsidRPr="004667EC">
        <w:rPr>
          <w:rFonts w:asciiTheme="minorEastAsia" w:eastAsiaTheme="minorEastAsia" w:hAnsiTheme="minorEastAsia"/>
          <w:szCs w:val="24"/>
        </w:rPr>
        <w:t xml:space="preserve"> </w:t>
      </w:r>
      <w:r w:rsidR="00667316" w:rsidRPr="004667EC">
        <w:rPr>
          <w:rFonts w:asciiTheme="minorEastAsia" w:eastAsiaTheme="minorEastAsia" w:hAnsiTheme="minorEastAsia" w:hint="eastAsia"/>
          <w:szCs w:val="24"/>
        </w:rPr>
        <w:t>透射型</w:t>
      </w:r>
      <w:r w:rsidR="00667316" w:rsidRPr="004667EC">
        <w:rPr>
          <w:rFonts w:asciiTheme="minorEastAsia" w:eastAsiaTheme="minorEastAsia" w:hAnsiTheme="minorEastAsia"/>
          <w:szCs w:val="24"/>
        </w:rPr>
        <w:t xml:space="preserve"> (Liquid crystal display devices - Part 30-1: Measuring methods for liquid crystal display modules - </w:t>
      </w:r>
      <w:proofErr w:type="spellStart"/>
      <w:r w:rsidR="00667316" w:rsidRPr="004667EC">
        <w:rPr>
          <w:rFonts w:asciiTheme="minorEastAsia" w:eastAsiaTheme="minorEastAsia" w:hAnsiTheme="minorEastAsia"/>
          <w:szCs w:val="24"/>
        </w:rPr>
        <w:t>Transmissive</w:t>
      </w:r>
      <w:proofErr w:type="spellEnd"/>
      <w:r w:rsidR="00667316" w:rsidRPr="004667EC">
        <w:rPr>
          <w:rFonts w:asciiTheme="minorEastAsia" w:eastAsiaTheme="minorEastAsia" w:hAnsiTheme="minorEastAsia"/>
          <w:szCs w:val="24"/>
        </w:rPr>
        <w:t xml:space="preserve"> type)</w:t>
      </w:r>
      <w:r w:rsidR="00667316" w:rsidRPr="004667EC">
        <w:rPr>
          <w:rFonts w:asciiTheme="minorEastAsia" w:eastAsiaTheme="minorEastAsia" w:hAnsiTheme="minorEastAsia" w:hint="eastAsia"/>
          <w:szCs w:val="24"/>
        </w:rPr>
        <w:t>；</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（7）</w:t>
      </w:r>
      <w:r w:rsidR="00667316" w:rsidRPr="004667EC">
        <w:rPr>
          <w:rFonts w:asciiTheme="minorEastAsia" w:eastAsiaTheme="minorEastAsia" w:hAnsiTheme="minorEastAsia"/>
          <w:szCs w:val="24"/>
        </w:rPr>
        <w:t xml:space="preserve">ICDM-SID </w:t>
      </w:r>
      <w:r w:rsidR="00667316" w:rsidRPr="004667EC">
        <w:rPr>
          <w:rFonts w:asciiTheme="minorEastAsia" w:eastAsiaTheme="minorEastAsia" w:hAnsiTheme="minorEastAsia" w:hint="eastAsia"/>
          <w:szCs w:val="24"/>
        </w:rPr>
        <w:t xml:space="preserve"> 显示测量标准（</w:t>
      </w:r>
      <w:r w:rsidR="00667316" w:rsidRPr="004667EC">
        <w:rPr>
          <w:rFonts w:asciiTheme="minorEastAsia" w:eastAsiaTheme="minorEastAsia" w:hAnsiTheme="minorEastAsia"/>
          <w:szCs w:val="24"/>
        </w:rPr>
        <w:t>Information Display Measurements Standard</w:t>
      </w:r>
      <w:r w:rsidR="00667316" w:rsidRPr="004667EC">
        <w:rPr>
          <w:rFonts w:asciiTheme="minorEastAsia" w:eastAsiaTheme="minorEastAsia" w:hAnsiTheme="minorEastAsia" w:hint="eastAsia"/>
          <w:szCs w:val="24"/>
        </w:rPr>
        <w:t>）</w:t>
      </w:r>
      <w:r w:rsidR="00667316" w:rsidRPr="004667EC">
        <w:rPr>
          <w:rFonts w:asciiTheme="minorEastAsia" w:eastAsiaTheme="minorEastAsia" w:hAnsiTheme="minorEastAsia"/>
          <w:szCs w:val="24"/>
        </w:rPr>
        <w:t>；</w:t>
      </w:r>
    </w:p>
    <w:p w:rsidR="00667316"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（8）</w:t>
      </w:r>
      <w:r w:rsidR="00CB250C" w:rsidRPr="004667EC">
        <w:rPr>
          <w:rFonts w:asciiTheme="minorEastAsia" w:eastAsiaTheme="minorEastAsia" w:hAnsiTheme="minorEastAsia" w:hint="eastAsia"/>
          <w:szCs w:val="24"/>
        </w:rPr>
        <w:t>VESA 2.0  平板显示器测量标准（Flat Panel Display Measurement Standard）。</w:t>
      </w:r>
    </w:p>
    <w:p w:rsidR="00CB250C" w:rsidRPr="004667EC" w:rsidRDefault="00DB763B"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（9）</w:t>
      </w:r>
      <w:proofErr w:type="gramStart"/>
      <w:r w:rsidR="00CB250C" w:rsidRPr="004667EC">
        <w:rPr>
          <w:rFonts w:asciiTheme="minorEastAsia" w:eastAsiaTheme="minorEastAsia" w:hAnsiTheme="minorEastAsia" w:hint="eastAsia"/>
          <w:szCs w:val="24"/>
        </w:rPr>
        <w:t>褚</w:t>
      </w:r>
      <w:proofErr w:type="gramEnd"/>
      <w:r w:rsidR="00CB250C" w:rsidRPr="004667EC">
        <w:rPr>
          <w:rFonts w:asciiTheme="minorEastAsia" w:eastAsiaTheme="minorEastAsia" w:hAnsiTheme="minorEastAsia" w:hint="eastAsia"/>
          <w:szCs w:val="24"/>
        </w:rPr>
        <w:t xml:space="preserve"> 楚、刘文德、樊其明、陈 </w:t>
      </w:r>
      <w:proofErr w:type="gramStart"/>
      <w:r w:rsidR="00CB250C" w:rsidRPr="004667EC">
        <w:rPr>
          <w:rFonts w:asciiTheme="minorEastAsia" w:eastAsiaTheme="minorEastAsia" w:hAnsiTheme="minorEastAsia" w:hint="eastAsia"/>
          <w:szCs w:val="24"/>
        </w:rPr>
        <w:t>赤</w:t>
      </w:r>
      <w:proofErr w:type="gramEnd"/>
      <w:r w:rsidR="00CB250C" w:rsidRPr="004667EC">
        <w:rPr>
          <w:rFonts w:asciiTheme="minorEastAsia" w:eastAsiaTheme="minorEastAsia" w:hAnsiTheme="minorEastAsia" w:hint="eastAsia"/>
          <w:szCs w:val="24"/>
        </w:rPr>
        <w:t>，显示器闪烁度测量方法的研究，计量技术 2017. No 3。</w:t>
      </w:r>
    </w:p>
    <w:p w:rsidR="00CB250C" w:rsidRPr="004667EC" w:rsidRDefault="00DB763B" w:rsidP="004667EC">
      <w:pPr>
        <w:pStyle w:val="a4"/>
        <w:spacing w:line="360" w:lineRule="auto"/>
        <w:ind w:firstLineChars="200" w:firstLine="480"/>
        <w:rPr>
          <w:rFonts w:asciiTheme="minorEastAsia" w:eastAsiaTheme="minorEastAsia" w:hAnsiTheme="minorEastAsia"/>
          <w:szCs w:val="24"/>
        </w:rPr>
      </w:pPr>
      <w:r w:rsidRPr="004667EC">
        <w:rPr>
          <w:rFonts w:asciiTheme="minorEastAsia" w:eastAsiaTheme="minorEastAsia" w:hAnsiTheme="minorEastAsia" w:hint="eastAsia"/>
          <w:szCs w:val="24"/>
        </w:rPr>
        <w:t>（10）</w:t>
      </w:r>
      <w:proofErr w:type="gramStart"/>
      <w:r w:rsidR="00CB250C" w:rsidRPr="004667EC">
        <w:rPr>
          <w:rFonts w:asciiTheme="minorEastAsia" w:eastAsiaTheme="minorEastAsia" w:hAnsiTheme="minorEastAsia" w:hint="eastAsia"/>
          <w:szCs w:val="24"/>
        </w:rPr>
        <w:t>慕建伟</w:t>
      </w:r>
      <w:proofErr w:type="gramEnd"/>
      <w:r w:rsidR="00CB250C" w:rsidRPr="004667EC">
        <w:rPr>
          <w:rFonts w:asciiTheme="minorEastAsia" w:eastAsiaTheme="minorEastAsia" w:hAnsiTheme="minorEastAsia" w:hint="eastAsia"/>
          <w:szCs w:val="24"/>
        </w:rPr>
        <w:t>，液晶显示器响应时间测量方法和系统的研究［D］． 浙江大学，2007。</w:t>
      </w:r>
    </w:p>
    <w:p w:rsidR="00CB250C" w:rsidRPr="004667EC" w:rsidRDefault="00DB763B" w:rsidP="004667EC">
      <w:pPr>
        <w:pStyle w:val="a4"/>
        <w:spacing w:line="360" w:lineRule="auto"/>
        <w:ind w:firstLineChars="200" w:firstLine="480"/>
        <w:rPr>
          <w:rFonts w:asciiTheme="minorEastAsia" w:eastAsiaTheme="minorEastAsia" w:hAnsiTheme="minorEastAsia"/>
          <w:szCs w:val="24"/>
        </w:rPr>
      </w:pPr>
      <w:r w:rsidRPr="004667EC">
        <w:rPr>
          <w:rFonts w:asciiTheme="minorEastAsia" w:eastAsiaTheme="minorEastAsia" w:hAnsiTheme="minorEastAsia" w:hint="eastAsia"/>
          <w:szCs w:val="24"/>
        </w:rPr>
        <w:t>（11）</w:t>
      </w:r>
      <w:r w:rsidR="00CB250C" w:rsidRPr="004667EC">
        <w:rPr>
          <w:rFonts w:asciiTheme="minorEastAsia" w:eastAsiaTheme="minorEastAsia" w:hAnsiTheme="minorEastAsia" w:hint="eastAsia"/>
          <w:szCs w:val="24"/>
        </w:rPr>
        <w:t>唐进，液晶显示器显示闪烁研究［D］，上海交通大学，2008。</w:t>
      </w:r>
    </w:p>
    <w:p w:rsidR="00E55AB6" w:rsidRPr="004667EC" w:rsidRDefault="00DB763B" w:rsidP="004667EC">
      <w:pPr>
        <w:pStyle w:val="a4"/>
        <w:spacing w:line="360" w:lineRule="auto"/>
        <w:rPr>
          <w:rFonts w:asciiTheme="minorEastAsia" w:eastAsiaTheme="minorEastAsia" w:hAnsiTheme="minorEastAsia"/>
          <w:b/>
          <w:szCs w:val="24"/>
        </w:rPr>
      </w:pPr>
      <w:r w:rsidRPr="004667EC">
        <w:rPr>
          <w:rFonts w:asciiTheme="minorEastAsia" w:eastAsiaTheme="minorEastAsia" w:hAnsiTheme="minorEastAsia" w:hint="eastAsia"/>
          <w:b/>
          <w:szCs w:val="24"/>
        </w:rPr>
        <w:t xml:space="preserve">4.2  </w:t>
      </w:r>
      <w:r w:rsidR="00E55AB6" w:rsidRPr="004667EC">
        <w:rPr>
          <w:rFonts w:asciiTheme="minorEastAsia" w:eastAsiaTheme="minorEastAsia" w:hAnsiTheme="minorEastAsia" w:hint="eastAsia"/>
          <w:b/>
          <w:szCs w:val="24"/>
        </w:rPr>
        <w:t>计量机构技术能力调研</w:t>
      </w:r>
    </w:p>
    <w:p w:rsidR="00E55AB6" w:rsidRPr="004667EC" w:rsidRDefault="00E55AB6" w:rsidP="004667EC">
      <w:pPr>
        <w:pStyle w:val="a4"/>
        <w:spacing w:line="360" w:lineRule="auto"/>
        <w:ind w:firstLineChars="200" w:firstLine="480"/>
        <w:rPr>
          <w:rFonts w:asciiTheme="minorEastAsia" w:eastAsiaTheme="minorEastAsia" w:hAnsiTheme="minorEastAsia"/>
          <w:szCs w:val="24"/>
        </w:rPr>
      </w:pPr>
      <w:r w:rsidRPr="004667EC">
        <w:rPr>
          <w:rFonts w:asciiTheme="minorEastAsia" w:eastAsiaTheme="minorEastAsia" w:hAnsiTheme="minorEastAsia" w:hint="eastAsia"/>
          <w:szCs w:val="24"/>
        </w:rPr>
        <w:t>主要对国家、国防计量技术机构的示波器、光电探测器计量能力进行了调研。</w:t>
      </w:r>
    </w:p>
    <w:p w:rsidR="00667316" w:rsidRPr="004667EC" w:rsidRDefault="00DB763B" w:rsidP="004667EC">
      <w:pPr>
        <w:pStyle w:val="a4"/>
        <w:spacing w:line="360" w:lineRule="auto"/>
        <w:rPr>
          <w:rFonts w:asciiTheme="minorEastAsia" w:eastAsiaTheme="minorEastAsia" w:hAnsiTheme="minorEastAsia"/>
          <w:b/>
          <w:szCs w:val="24"/>
        </w:rPr>
      </w:pPr>
      <w:r w:rsidRPr="004667EC">
        <w:rPr>
          <w:rFonts w:asciiTheme="minorEastAsia" w:eastAsiaTheme="minorEastAsia" w:hAnsiTheme="minorEastAsia" w:hint="eastAsia"/>
          <w:b/>
          <w:szCs w:val="24"/>
        </w:rPr>
        <w:t xml:space="preserve">4.3  </w:t>
      </w:r>
      <w:r w:rsidR="00461976" w:rsidRPr="004667EC">
        <w:rPr>
          <w:rFonts w:asciiTheme="minorEastAsia" w:eastAsiaTheme="minorEastAsia" w:hAnsiTheme="minorEastAsia" w:hint="eastAsia"/>
          <w:b/>
          <w:szCs w:val="24"/>
        </w:rPr>
        <w:t>显示器</w:t>
      </w:r>
      <w:r w:rsidR="00E55AB6" w:rsidRPr="004667EC">
        <w:rPr>
          <w:rFonts w:asciiTheme="minorEastAsia" w:eastAsiaTheme="minorEastAsia" w:hAnsiTheme="minorEastAsia" w:hint="eastAsia"/>
          <w:b/>
          <w:szCs w:val="24"/>
        </w:rPr>
        <w:t>闪烁响应时间测量仪调研</w:t>
      </w:r>
    </w:p>
    <w:p w:rsidR="00E55AB6" w:rsidRPr="004667EC" w:rsidRDefault="00E55AB6" w:rsidP="004667EC">
      <w:pPr>
        <w:pStyle w:val="a4"/>
        <w:spacing w:line="360" w:lineRule="auto"/>
        <w:ind w:firstLine="601"/>
        <w:rPr>
          <w:rFonts w:asciiTheme="minorEastAsia" w:eastAsiaTheme="minorEastAsia" w:hAnsiTheme="minorEastAsia"/>
          <w:szCs w:val="24"/>
        </w:rPr>
      </w:pPr>
      <w:r w:rsidRPr="004667EC">
        <w:rPr>
          <w:rFonts w:asciiTheme="minorEastAsia" w:eastAsiaTheme="minorEastAsia" w:hAnsiTheme="minorEastAsia" w:hint="eastAsia"/>
          <w:szCs w:val="24"/>
        </w:rPr>
        <w:t>针对国内外不同厂家</w:t>
      </w:r>
      <w:r w:rsidR="005A76D3" w:rsidRPr="004667EC">
        <w:rPr>
          <w:rFonts w:asciiTheme="minorEastAsia" w:eastAsiaTheme="minorEastAsia" w:hAnsiTheme="minorEastAsia" w:hint="eastAsia"/>
          <w:szCs w:val="24"/>
        </w:rPr>
        <w:t>，如柯尼卡美能达、</w:t>
      </w:r>
      <w:r w:rsidR="005A76D3" w:rsidRPr="004667EC">
        <w:rPr>
          <w:rFonts w:asciiTheme="minorEastAsia" w:eastAsiaTheme="minorEastAsia" w:hAnsiTheme="minorEastAsia"/>
          <w:szCs w:val="24"/>
        </w:rPr>
        <w:t>Klein</w:t>
      </w:r>
      <w:r w:rsidR="005A76D3" w:rsidRPr="004667EC">
        <w:rPr>
          <w:rFonts w:asciiTheme="minorEastAsia" w:eastAsiaTheme="minorEastAsia" w:hAnsiTheme="minorEastAsia" w:hint="eastAsia"/>
          <w:szCs w:val="24"/>
        </w:rPr>
        <w:t>、杭州远方光电、苏州</w:t>
      </w:r>
      <w:r w:rsidR="005A76D3" w:rsidRPr="004667EC">
        <w:rPr>
          <w:rFonts w:asciiTheme="minorEastAsia" w:eastAsiaTheme="minorEastAsia" w:hAnsiTheme="minorEastAsia" w:hint="eastAsia"/>
          <w:bCs/>
          <w:szCs w:val="24"/>
          <w:u w:val="single"/>
        </w:rPr>
        <w:t>弗士达等企业</w:t>
      </w:r>
      <w:r w:rsidR="005A76D3" w:rsidRPr="004667EC">
        <w:rPr>
          <w:rFonts w:asciiTheme="minorEastAsia" w:eastAsiaTheme="minorEastAsia" w:hAnsiTheme="minorEastAsia" w:hint="eastAsia"/>
          <w:szCs w:val="24"/>
        </w:rPr>
        <w:t>的</w:t>
      </w:r>
      <w:r w:rsidR="00461976" w:rsidRPr="004667EC">
        <w:rPr>
          <w:rFonts w:asciiTheme="minorEastAsia" w:eastAsiaTheme="minorEastAsia" w:hAnsiTheme="minorEastAsia" w:hint="eastAsia"/>
          <w:szCs w:val="24"/>
        </w:rPr>
        <w:t>显示器</w:t>
      </w:r>
      <w:r w:rsidR="005A76D3" w:rsidRPr="004667EC">
        <w:rPr>
          <w:rFonts w:asciiTheme="minorEastAsia" w:eastAsiaTheme="minorEastAsia" w:hAnsiTheme="minorEastAsia" w:hint="eastAsia"/>
          <w:szCs w:val="24"/>
        </w:rPr>
        <w:t>闪烁响应时间测量仪及测量装置的工作原理、技术性能和指标进行了调研和分析。</w:t>
      </w:r>
    </w:p>
    <w:p w:rsidR="005A76D3" w:rsidRPr="004667EC" w:rsidRDefault="00DB763B" w:rsidP="00DB763B">
      <w:pPr>
        <w:pStyle w:val="a4"/>
        <w:spacing w:line="360" w:lineRule="auto"/>
        <w:rPr>
          <w:rFonts w:asciiTheme="minorEastAsia" w:eastAsiaTheme="minorEastAsia" w:hAnsiTheme="minorEastAsia"/>
          <w:b/>
          <w:szCs w:val="24"/>
        </w:rPr>
      </w:pPr>
      <w:r w:rsidRPr="004667EC">
        <w:rPr>
          <w:rFonts w:asciiTheme="minorEastAsia" w:eastAsiaTheme="minorEastAsia" w:hAnsiTheme="minorEastAsia" w:hint="eastAsia"/>
          <w:b/>
          <w:szCs w:val="24"/>
        </w:rPr>
        <w:t xml:space="preserve">4.4  </w:t>
      </w:r>
      <w:r w:rsidR="005A76D3" w:rsidRPr="004667EC">
        <w:rPr>
          <w:rFonts w:asciiTheme="minorEastAsia" w:eastAsiaTheme="minorEastAsia" w:hAnsiTheme="minorEastAsia" w:hint="eastAsia"/>
          <w:b/>
          <w:szCs w:val="24"/>
        </w:rPr>
        <w:t>校准规范</w:t>
      </w:r>
      <w:r w:rsidRPr="004667EC">
        <w:rPr>
          <w:rFonts w:asciiTheme="minorEastAsia" w:eastAsiaTheme="minorEastAsia" w:hAnsiTheme="minorEastAsia" w:hint="eastAsia"/>
          <w:b/>
          <w:szCs w:val="24"/>
        </w:rPr>
        <w:t>初稿</w:t>
      </w:r>
      <w:r w:rsidR="005A76D3" w:rsidRPr="004667EC">
        <w:rPr>
          <w:rFonts w:asciiTheme="minorEastAsia" w:eastAsiaTheme="minorEastAsia" w:hAnsiTheme="minorEastAsia" w:hint="eastAsia"/>
          <w:b/>
          <w:szCs w:val="24"/>
        </w:rPr>
        <w:t>研讨</w:t>
      </w:r>
    </w:p>
    <w:p w:rsidR="00667316" w:rsidRDefault="005A76D3" w:rsidP="000C3942">
      <w:pPr>
        <w:pStyle w:val="a4"/>
        <w:spacing w:line="360" w:lineRule="auto"/>
        <w:ind w:firstLine="601"/>
        <w:rPr>
          <w:rFonts w:ascii="Times New Roman" w:hAnsi="Times New Roman"/>
          <w:szCs w:val="24"/>
        </w:rPr>
      </w:pPr>
      <w:r>
        <w:rPr>
          <w:rFonts w:ascii="Times New Roman" w:hAnsi="Times New Roman" w:hint="eastAsia"/>
          <w:szCs w:val="24"/>
        </w:rPr>
        <w:lastRenderedPageBreak/>
        <w:t>组织起草单位的专家对该规范参考标准、术语定义、计量特性</w:t>
      </w:r>
      <w:r w:rsidR="00185626">
        <w:rPr>
          <w:rFonts w:ascii="Times New Roman" w:hAnsi="Times New Roman" w:hint="eastAsia"/>
          <w:szCs w:val="24"/>
        </w:rPr>
        <w:t>、校准条件、校准方法、步骤等进行了研讨，确定了规范的框架</w:t>
      </w:r>
      <w:r w:rsidR="00DB763B">
        <w:rPr>
          <w:rFonts w:ascii="Times New Roman" w:hAnsi="Times New Roman" w:hint="eastAsia"/>
          <w:szCs w:val="24"/>
        </w:rPr>
        <w:t>、完成了规范初稿的编写</w:t>
      </w:r>
      <w:r w:rsidR="00185626">
        <w:rPr>
          <w:rFonts w:ascii="Times New Roman" w:hAnsi="Times New Roman" w:hint="eastAsia"/>
          <w:szCs w:val="24"/>
        </w:rPr>
        <w:t>。</w:t>
      </w:r>
    </w:p>
    <w:p w:rsidR="00185626" w:rsidRPr="004667EC" w:rsidRDefault="00DB763B" w:rsidP="00DB763B">
      <w:pPr>
        <w:pStyle w:val="a4"/>
        <w:spacing w:line="360" w:lineRule="auto"/>
        <w:rPr>
          <w:rFonts w:asciiTheme="minorEastAsia" w:eastAsiaTheme="minorEastAsia" w:hAnsiTheme="minorEastAsia"/>
          <w:b/>
          <w:szCs w:val="24"/>
        </w:rPr>
      </w:pPr>
      <w:r w:rsidRPr="004667EC">
        <w:rPr>
          <w:rFonts w:asciiTheme="minorEastAsia" w:eastAsiaTheme="minorEastAsia" w:hAnsiTheme="minorEastAsia" w:hint="eastAsia"/>
          <w:b/>
          <w:szCs w:val="24"/>
        </w:rPr>
        <w:t xml:space="preserve">4.5  </w:t>
      </w:r>
      <w:r w:rsidR="00185626" w:rsidRPr="004667EC">
        <w:rPr>
          <w:rFonts w:asciiTheme="minorEastAsia" w:eastAsiaTheme="minorEastAsia" w:hAnsiTheme="minorEastAsia" w:hint="eastAsia"/>
          <w:b/>
          <w:szCs w:val="24"/>
        </w:rPr>
        <w:t>征求意见稿编写</w:t>
      </w:r>
    </w:p>
    <w:p w:rsidR="00845BB8" w:rsidRPr="000C3942" w:rsidRDefault="00DB763B" w:rsidP="000C3942">
      <w:pPr>
        <w:pStyle w:val="a4"/>
        <w:spacing w:line="360" w:lineRule="auto"/>
        <w:ind w:firstLine="601"/>
        <w:rPr>
          <w:szCs w:val="24"/>
        </w:rPr>
      </w:pPr>
      <w:r w:rsidRPr="00DB763B">
        <w:rPr>
          <w:rFonts w:ascii="Times New Roman" w:hAnsi="Times New Roman" w:hint="eastAsia"/>
          <w:szCs w:val="24"/>
        </w:rPr>
        <w:t>组织起草单位的专家</w:t>
      </w:r>
      <w:r>
        <w:rPr>
          <w:rFonts w:ascii="Times New Roman" w:hAnsi="Times New Roman" w:hint="eastAsia"/>
          <w:szCs w:val="24"/>
        </w:rPr>
        <w:t>对该规范的初稿进行了讨论，并根据大家的意见对初稿进行了完善，形成</w:t>
      </w:r>
      <w:r w:rsidR="00185626">
        <w:rPr>
          <w:rFonts w:ascii="Times New Roman" w:hAnsi="Times New Roman" w:hint="eastAsia"/>
          <w:szCs w:val="24"/>
        </w:rPr>
        <w:t>了征求意见稿</w:t>
      </w:r>
      <w:r>
        <w:rPr>
          <w:rFonts w:ascii="Times New Roman" w:hAnsi="Times New Roman" w:hint="eastAsia"/>
          <w:szCs w:val="24"/>
        </w:rPr>
        <w:t>。</w:t>
      </w:r>
      <w:r w:rsidR="00185626">
        <w:rPr>
          <w:rFonts w:ascii="Times New Roman" w:hAnsi="Times New Roman" w:hint="eastAsia"/>
          <w:szCs w:val="24"/>
        </w:rPr>
        <w:t>并对测量</w:t>
      </w:r>
      <w:r w:rsidR="00845BB8" w:rsidRPr="006072C2">
        <w:rPr>
          <w:rFonts w:hint="eastAsia"/>
          <w:szCs w:val="24"/>
        </w:rPr>
        <w:t>不确定度</w:t>
      </w:r>
      <w:r w:rsidR="00185626">
        <w:rPr>
          <w:rFonts w:hint="eastAsia"/>
          <w:szCs w:val="24"/>
        </w:rPr>
        <w:t>给出了评估实例，</w:t>
      </w:r>
      <w:r w:rsidR="00845BB8" w:rsidRPr="006072C2">
        <w:rPr>
          <w:rFonts w:hint="eastAsia"/>
          <w:szCs w:val="24"/>
        </w:rPr>
        <w:t>完成了校准试验，</w:t>
      </w:r>
      <w:r w:rsidR="00185626">
        <w:rPr>
          <w:rFonts w:hint="eastAsia"/>
          <w:szCs w:val="24"/>
        </w:rPr>
        <w:t>给出了实验报告。</w:t>
      </w:r>
    </w:p>
    <w:p w:rsidR="00DB763B" w:rsidRPr="004667EC" w:rsidRDefault="004667EC" w:rsidP="004667EC">
      <w:pPr>
        <w:pStyle w:val="a4"/>
        <w:spacing w:line="360" w:lineRule="auto"/>
        <w:rPr>
          <w:rFonts w:asciiTheme="minorEastAsia" w:eastAsiaTheme="minorEastAsia" w:hAnsiTheme="minorEastAsia"/>
          <w:b/>
          <w:szCs w:val="24"/>
        </w:rPr>
      </w:pPr>
      <w:r>
        <w:rPr>
          <w:rFonts w:asciiTheme="minorEastAsia" w:eastAsiaTheme="minorEastAsia" w:hAnsiTheme="minorEastAsia" w:hint="eastAsia"/>
          <w:b/>
          <w:szCs w:val="24"/>
        </w:rPr>
        <w:t>五  规范</w:t>
      </w:r>
      <w:r w:rsidR="00DB763B" w:rsidRPr="004667EC">
        <w:rPr>
          <w:rFonts w:asciiTheme="minorEastAsia" w:eastAsiaTheme="minorEastAsia" w:hAnsiTheme="minorEastAsia" w:hint="eastAsia"/>
          <w:b/>
          <w:szCs w:val="24"/>
        </w:rPr>
        <w:t>的主要内容及情况说明</w:t>
      </w:r>
    </w:p>
    <w:p w:rsidR="00DB763B" w:rsidRDefault="00832CDB" w:rsidP="004667EC">
      <w:pPr>
        <w:widowControl/>
        <w:tabs>
          <w:tab w:val="left" w:pos="0"/>
        </w:tabs>
        <w:spacing w:line="360" w:lineRule="auto"/>
        <w:ind w:firstLineChars="200" w:firstLine="480"/>
        <w:textAlignment w:val="bottom"/>
        <w:rPr>
          <w:rFonts w:ascii="Arial" w:hAnsi="Arial"/>
          <w:kern w:val="0"/>
          <w:lang w:val="en-GB"/>
        </w:rPr>
      </w:pPr>
      <w:r>
        <w:rPr>
          <w:rFonts w:ascii="Arial" w:hAnsi="Arial" w:hint="eastAsia"/>
          <w:kern w:val="0"/>
        </w:rPr>
        <w:t>《</w:t>
      </w:r>
      <w:r w:rsidR="00461976">
        <w:rPr>
          <w:rFonts w:ascii="Arial" w:hAnsi="Arial" w:hint="eastAsia"/>
          <w:kern w:val="0"/>
        </w:rPr>
        <w:t>显示器</w:t>
      </w:r>
      <w:r w:rsidRPr="00832CDB">
        <w:rPr>
          <w:rFonts w:ascii="Arial" w:hAnsi="Arial" w:hint="eastAsia"/>
          <w:kern w:val="0"/>
        </w:rPr>
        <w:t>闪烁响应时间测量仪校准规范</w:t>
      </w:r>
      <w:r>
        <w:rPr>
          <w:rFonts w:ascii="Arial" w:hAnsi="Arial" w:hint="eastAsia"/>
          <w:kern w:val="0"/>
        </w:rPr>
        <w:t>》的编写</w:t>
      </w:r>
      <w:r w:rsidR="00DB763B" w:rsidRPr="00DB763B">
        <w:rPr>
          <w:rFonts w:ascii="Arial" w:hAnsi="Arial" w:hint="eastAsia"/>
          <w:kern w:val="0"/>
        </w:rPr>
        <w:t>如下</w:t>
      </w:r>
      <w:r w:rsidR="00DB763B" w:rsidRPr="00DB763B">
        <w:rPr>
          <w:rFonts w:ascii="Arial" w:hAnsi="Arial" w:hint="eastAsia"/>
          <w:kern w:val="0"/>
          <w:lang w:val="en-GB"/>
        </w:rPr>
        <w:t>：</w:t>
      </w:r>
    </w:p>
    <w:p w:rsidR="00832CDB" w:rsidRPr="003143A1" w:rsidRDefault="00832CDB"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（1）范围</w:t>
      </w:r>
    </w:p>
    <w:p w:rsidR="00832CDB" w:rsidRPr="003143A1" w:rsidRDefault="004667EC" w:rsidP="00832CDB">
      <w:pPr>
        <w:widowControl/>
        <w:tabs>
          <w:tab w:val="left" w:pos="0"/>
        </w:tabs>
        <w:spacing w:line="360" w:lineRule="auto"/>
        <w:ind w:firstLineChars="100" w:firstLine="240"/>
        <w:textAlignment w:val="bottom"/>
        <w:rPr>
          <w:rFonts w:ascii="宋体" w:hAnsi="宋体"/>
          <w:kern w:val="0"/>
        </w:rPr>
      </w:pPr>
      <w:r>
        <w:rPr>
          <w:rFonts w:ascii="宋体" w:hAnsi="宋体" w:hint="eastAsia"/>
          <w:kern w:val="0"/>
        </w:rPr>
        <w:t xml:space="preserve">    </w:t>
      </w:r>
      <w:r w:rsidR="00832CDB" w:rsidRPr="003143A1">
        <w:rPr>
          <w:rFonts w:ascii="宋体" w:hAnsi="宋体" w:hint="eastAsia"/>
          <w:kern w:val="0"/>
        </w:rPr>
        <w:t>给出了该规范的适用范围；</w:t>
      </w:r>
    </w:p>
    <w:p w:rsidR="00832CDB" w:rsidRPr="003143A1" w:rsidRDefault="00832CDB"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（2）引用文献</w:t>
      </w:r>
    </w:p>
    <w:p w:rsidR="00832CDB" w:rsidRPr="003143A1" w:rsidRDefault="00832CDB" w:rsidP="00832CDB">
      <w:pPr>
        <w:widowControl/>
        <w:tabs>
          <w:tab w:val="left" w:pos="0"/>
        </w:tabs>
        <w:spacing w:line="360" w:lineRule="auto"/>
        <w:ind w:firstLineChars="100" w:firstLine="240"/>
        <w:textAlignment w:val="bottom"/>
        <w:rPr>
          <w:rFonts w:ascii="宋体" w:hAnsi="宋体"/>
          <w:kern w:val="0"/>
        </w:rPr>
      </w:pPr>
      <w:r w:rsidRPr="003143A1">
        <w:rPr>
          <w:rFonts w:ascii="宋体" w:hAnsi="宋体" w:hint="eastAsia"/>
          <w:kern w:val="0"/>
        </w:rPr>
        <w:t xml:space="preserve">    该规范编写</w:t>
      </w:r>
      <w:r w:rsidR="00E06100" w:rsidRPr="003143A1">
        <w:rPr>
          <w:rFonts w:ascii="宋体" w:hAnsi="宋体" w:hint="eastAsia"/>
          <w:kern w:val="0"/>
        </w:rPr>
        <w:t>所引用的国际、国家以及行业标准。</w:t>
      </w:r>
    </w:p>
    <w:p w:rsidR="00E06100" w:rsidRPr="003143A1" w:rsidRDefault="00E0610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（3）术语和定义</w:t>
      </w:r>
    </w:p>
    <w:p w:rsidR="00E06100" w:rsidRPr="003143A1" w:rsidRDefault="00E06100" w:rsidP="00832CDB">
      <w:pPr>
        <w:widowControl/>
        <w:tabs>
          <w:tab w:val="left" w:pos="0"/>
        </w:tabs>
        <w:spacing w:line="360" w:lineRule="auto"/>
        <w:ind w:firstLineChars="100" w:firstLine="240"/>
        <w:textAlignment w:val="bottom"/>
        <w:rPr>
          <w:rFonts w:ascii="宋体" w:hAnsi="宋体"/>
          <w:kern w:val="0"/>
        </w:rPr>
      </w:pPr>
      <w:r w:rsidRPr="003143A1">
        <w:rPr>
          <w:rFonts w:ascii="宋体" w:hAnsi="宋体" w:hint="eastAsia"/>
          <w:kern w:val="0"/>
        </w:rPr>
        <w:t xml:space="preserve">     给出了闪烁、闪烁频率、响应时间的定义。</w:t>
      </w:r>
    </w:p>
    <w:p w:rsidR="00E06100" w:rsidRPr="003143A1" w:rsidRDefault="00E0610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（4）概述</w:t>
      </w:r>
    </w:p>
    <w:p w:rsidR="00E06100" w:rsidRPr="003143A1" w:rsidRDefault="00E06100" w:rsidP="00832CDB">
      <w:pPr>
        <w:widowControl/>
        <w:tabs>
          <w:tab w:val="left" w:pos="0"/>
        </w:tabs>
        <w:spacing w:line="360" w:lineRule="auto"/>
        <w:ind w:firstLineChars="100" w:firstLine="240"/>
        <w:textAlignment w:val="bottom"/>
        <w:rPr>
          <w:rFonts w:ascii="宋体" w:hAnsi="宋体"/>
          <w:kern w:val="0"/>
        </w:rPr>
      </w:pPr>
      <w:r w:rsidRPr="003143A1">
        <w:rPr>
          <w:rFonts w:ascii="宋体" w:hAnsi="宋体" w:hint="eastAsia"/>
          <w:kern w:val="0"/>
        </w:rPr>
        <w:t xml:space="preserve">     描述了</w:t>
      </w:r>
      <w:r w:rsidR="00461976">
        <w:rPr>
          <w:rFonts w:ascii="宋体" w:hAnsi="宋体" w:hint="eastAsia"/>
          <w:kern w:val="0"/>
        </w:rPr>
        <w:t>显示器</w:t>
      </w:r>
      <w:r w:rsidRPr="003143A1">
        <w:rPr>
          <w:rFonts w:ascii="宋体" w:hAnsi="宋体" w:hint="eastAsia"/>
          <w:kern w:val="0"/>
        </w:rPr>
        <w:t>闪烁响应时间测量仪的组成原理、闪烁的测量方法等。</w:t>
      </w:r>
    </w:p>
    <w:p w:rsidR="00E06100" w:rsidRPr="003143A1" w:rsidRDefault="00E0610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（5）计量特性</w:t>
      </w:r>
    </w:p>
    <w:p w:rsidR="00E06100" w:rsidRPr="003143A1" w:rsidRDefault="00E0610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（6）校准条件</w:t>
      </w:r>
    </w:p>
    <w:p w:rsidR="00E06100" w:rsidRPr="003143A1" w:rsidRDefault="00CB6D1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（7）校准项目和方法</w:t>
      </w:r>
    </w:p>
    <w:p w:rsidR="00E06100" w:rsidRPr="003143A1" w:rsidRDefault="004667EC" w:rsidP="00832CDB">
      <w:pPr>
        <w:widowControl/>
        <w:tabs>
          <w:tab w:val="left" w:pos="0"/>
        </w:tabs>
        <w:spacing w:line="360" w:lineRule="auto"/>
        <w:ind w:firstLineChars="100" w:firstLine="240"/>
        <w:textAlignment w:val="bottom"/>
        <w:rPr>
          <w:rFonts w:ascii="宋体" w:hAnsi="宋体"/>
          <w:kern w:val="0"/>
        </w:rPr>
      </w:pPr>
      <w:r>
        <w:rPr>
          <w:rFonts w:ascii="宋体" w:hAnsi="宋体" w:hint="eastAsia"/>
          <w:kern w:val="0"/>
        </w:rPr>
        <w:t xml:space="preserve">    </w:t>
      </w:r>
      <w:r w:rsidR="00CB6D10" w:rsidRPr="003143A1">
        <w:rPr>
          <w:rFonts w:ascii="宋体" w:hAnsi="宋体" w:hint="eastAsia"/>
          <w:kern w:val="0"/>
        </w:rPr>
        <w:t>首先描述了校准原理，然后针对需要校准的参数给出了下详细的校准步骤。</w:t>
      </w:r>
    </w:p>
    <w:p w:rsidR="00CB6D10" w:rsidRPr="003143A1" w:rsidRDefault="00CB6D1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（8）校准结果表述</w:t>
      </w:r>
    </w:p>
    <w:p w:rsidR="00CB6D10" w:rsidRPr="003143A1" w:rsidRDefault="00CB6D1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（9）复校时间间隔</w:t>
      </w:r>
    </w:p>
    <w:p w:rsidR="00CB6D10" w:rsidRPr="003143A1" w:rsidRDefault="00CB6D10" w:rsidP="004667EC">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（10）附录</w:t>
      </w:r>
    </w:p>
    <w:p w:rsidR="00CB6D10" w:rsidRPr="003143A1" w:rsidRDefault="00CB6D10" w:rsidP="00CB6D10">
      <w:pPr>
        <w:widowControl/>
        <w:tabs>
          <w:tab w:val="left" w:pos="0"/>
        </w:tabs>
        <w:spacing w:line="360" w:lineRule="auto"/>
        <w:ind w:firstLineChars="200" w:firstLine="480"/>
        <w:textAlignment w:val="bottom"/>
        <w:rPr>
          <w:rFonts w:ascii="宋体" w:hAnsi="宋体"/>
          <w:kern w:val="0"/>
        </w:rPr>
      </w:pPr>
      <w:r w:rsidRPr="003143A1">
        <w:rPr>
          <w:rFonts w:ascii="宋体" w:hAnsi="宋体" w:hint="eastAsia"/>
          <w:kern w:val="0"/>
        </w:rPr>
        <w:t>给出了校准证书、原始记录参考模板、测量不确定度评定实例以及闪烁量值的计算方法。</w:t>
      </w:r>
    </w:p>
    <w:p w:rsidR="0031116D" w:rsidRPr="006072C2" w:rsidRDefault="00E06100" w:rsidP="00CB6D10">
      <w:pPr>
        <w:widowControl/>
        <w:tabs>
          <w:tab w:val="left" w:pos="0"/>
        </w:tabs>
        <w:spacing w:line="360" w:lineRule="auto"/>
        <w:ind w:firstLineChars="100" w:firstLine="240"/>
        <w:textAlignment w:val="bottom"/>
        <w:rPr>
          <w:rFonts w:ascii="Arial" w:hAnsi="Arial"/>
          <w:kern w:val="0"/>
        </w:rPr>
      </w:pPr>
      <w:r>
        <w:rPr>
          <w:rFonts w:ascii="Arial" w:hAnsi="Arial" w:hint="eastAsia"/>
          <w:kern w:val="0"/>
        </w:rPr>
        <w:t xml:space="preserve">  </w:t>
      </w:r>
    </w:p>
    <w:p w:rsidR="0031116D" w:rsidRPr="00BA4494" w:rsidRDefault="0031116D" w:rsidP="005000C1">
      <w:pPr>
        <w:widowControl/>
        <w:tabs>
          <w:tab w:val="left" w:pos="0"/>
        </w:tabs>
        <w:spacing w:line="360" w:lineRule="auto"/>
        <w:textAlignment w:val="bottom"/>
        <w:rPr>
          <w:rFonts w:ascii="Arial" w:hAnsi="Arial"/>
          <w:kern w:val="0"/>
        </w:rPr>
      </w:pPr>
    </w:p>
    <w:sectPr w:rsidR="0031116D" w:rsidRPr="00BA449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B28" w:rsidRDefault="00177B28">
      <w:r>
        <w:separator/>
      </w:r>
    </w:p>
  </w:endnote>
  <w:endnote w:type="continuationSeparator" w:id="0">
    <w:p w:rsidR="00177B28" w:rsidRDefault="0017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BB8" w:rsidRDefault="00845BB8">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45BB8" w:rsidRDefault="00845BB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BB8" w:rsidRDefault="00845BB8">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667EC">
      <w:rPr>
        <w:rStyle w:val="a6"/>
        <w:noProof/>
      </w:rPr>
      <w:t>1</w:t>
    </w:r>
    <w:r>
      <w:rPr>
        <w:rStyle w:val="a6"/>
      </w:rPr>
      <w:fldChar w:fldCharType="end"/>
    </w:r>
  </w:p>
  <w:p w:rsidR="00845BB8" w:rsidRDefault="00845BB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B28" w:rsidRDefault="00177B28">
      <w:r>
        <w:separator/>
      </w:r>
    </w:p>
  </w:footnote>
  <w:footnote w:type="continuationSeparator" w:id="0">
    <w:p w:rsidR="00177B28" w:rsidRDefault="00177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F73F6"/>
    <w:multiLevelType w:val="multilevel"/>
    <w:tmpl w:val="7818B75C"/>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
    <w:nsid w:val="2ABE736E"/>
    <w:multiLevelType w:val="singleLevel"/>
    <w:tmpl w:val="3CD04958"/>
    <w:lvl w:ilvl="0">
      <w:start w:val="1"/>
      <w:numFmt w:val="japaneseCounting"/>
      <w:lvlText w:val="%1、"/>
      <w:lvlJc w:val="left"/>
      <w:pPr>
        <w:tabs>
          <w:tab w:val="num" w:pos="480"/>
        </w:tabs>
        <w:ind w:left="480" w:hanging="480"/>
      </w:pPr>
    </w:lvl>
  </w:abstractNum>
  <w:abstractNum w:abstractNumId="2">
    <w:nsid w:val="2F422325"/>
    <w:multiLevelType w:val="singleLevel"/>
    <w:tmpl w:val="E348EFEE"/>
    <w:lvl w:ilvl="0">
      <w:start w:val="1"/>
      <w:numFmt w:val="japaneseCounting"/>
      <w:lvlText w:val="%1、"/>
      <w:lvlJc w:val="left"/>
      <w:pPr>
        <w:tabs>
          <w:tab w:val="num" w:pos="917"/>
        </w:tabs>
        <w:ind w:left="917" w:hanging="600"/>
      </w:pPr>
      <w:rPr>
        <w:rFonts w:hint="eastAsia"/>
      </w:rPr>
    </w:lvl>
  </w:abstractNum>
  <w:abstractNum w:abstractNumId="3">
    <w:nsid w:val="3B8A64C3"/>
    <w:multiLevelType w:val="multilevel"/>
    <w:tmpl w:val="A0F69506"/>
    <w:lvl w:ilvl="0">
      <w:start w:val="1"/>
      <w:numFmt w:val="decimal"/>
      <w:pStyle w:val="1"/>
      <w:isLgl/>
      <w:suff w:val="space"/>
      <w:lvlText w:val="%1   "/>
      <w:lvlJc w:val="left"/>
      <w:pPr>
        <w:ind w:left="0" w:firstLine="0"/>
      </w:pPr>
      <w:rPr>
        <w:rFonts w:ascii="Times New Roman" w:hAnsi="Times New Roman" w:hint="default"/>
        <w:b w:val="0"/>
        <w:i w:val="0"/>
        <w:spacing w:val="0"/>
        <w:w w:val="100"/>
        <w:position w:val="0"/>
        <w:sz w:val="24"/>
      </w:rPr>
    </w:lvl>
    <w:lvl w:ilvl="1">
      <w:start w:val="1"/>
      <w:numFmt w:val="decimal"/>
      <w:pStyle w:val="2"/>
      <w:suff w:val="space"/>
      <w:lvlText w:val="%1.%2   "/>
      <w:lvlJc w:val="left"/>
      <w:pPr>
        <w:ind w:left="0" w:firstLine="0"/>
      </w:pPr>
      <w:rPr>
        <w:rFonts w:ascii="Times New Roman" w:hAnsi="Times New Roman" w:hint="default"/>
        <w:b w:val="0"/>
        <w:i w:val="0"/>
        <w:spacing w:val="0"/>
        <w:w w:val="100"/>
        <w:position w:val="0"/>
        <w:sz w:val="24"/>
      </w:rPr>
    </w:lvl>
    <w:lvl w:ilvl="2">
      <w:start w:val="1"/>
      <w:numFmt w:val="decimal"/>
      <w:pStyle w:val="3"/>
      <w:suff w:val="space"/>
      <w:lvlText w:val="%1.%2.%3   "/>
      <w:lvlJc w:val="left"/>
      <w:pPr>
        <w:ind w:left="0" w:firstLine="0"/>
      </w:pPr>
      <w:rPr>
        <w:rFonts w:ascii="Times New Roman" w:hAnsi="Times New Roman" w:hint="default"/>
        <w:b w:val="0"/>
        <w:i w:val="0"/>
        <w:spacing w:val="0"/>
        <w:w w:val="100"/>
        <w:position w:val="0"/>
        <w:sz w:val="24"/>
      </w:rPr>
    </w:lvl>
    <w:lvl w:ilvl="3">
      <w:start w:val="1"/>
      <w:numFmt w:val="decimal"/>
      <w:pStyle w:val="4"/>
      <w:suff w:val="space"/>
      <w:lvlText w:val="%1.%2.%3.%4   "/>
      <w:lvlJc w:val="left"/>
      <w:pPr>
        <w:ind w:left="0" w:firstLine="0"/>
      </w:pPr>
      <w:rPr>
        <w:rFonts w:ascii="Times New Roman" w:hAnsi="Times New Roman" w:hint="default"/>
        <w:b w:val="0"/>
        <w:i w:val="0"/>
        <w:spacing w:val="0"/>
        <w:w w:val="100"/>
        <w:position w:val="0"/>
        <w:sz w:val="24"/>
      </w:rPr>
    </w:lvl>
    <w:lvl w:ilvl="4">
      <w:start w:val="1"/>
      <w:numFmt w:val="decimal"/>
      <w:pStyle w:val="5"/>
      <w:suff w:val="space"/>
      <w:lvlText w:val="%1.%2.%3.%4.%5   "/>
      <w:lvlJc w:val="left"/>
      <w:pPr>
        <w:ind w:left="0" w:firstLine="0"/>
      </w:pPr>
      <w:rPr>
        <w:rFonts w:ascii="Times New Roman" w:hAnsi="Times New Roman" w:hint="default"/>
        <w:b w:val="0"/>
        <w:i w:val="0"/>
        <w:spacing w:val="0"/>
        <w:w w:val="100"/>
        <w:position w:val="0"/>
        <w:sz w:val="24"/>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BB24ED7"/>
    <w:multiLevelType w:val="hybridMultilevel"/>
    <w:tmpl w:val="626A10BE"/>
    <w:lvl w:ilvl="0" w:tplc="12C698B8">
      <w:start w:val="5"/>
      <w:numFmt w:val="japaneseCounting"/>
      <w:lvlText w:val="%1、"/>
      <w:lvlJc w:val="left"/>
      <w:pPr>
        <w:tabs>
          <w:tab w:val="num" w:pos="570"/>
        </w:tabs>
        <w:ind w:left="570" w:hanging="570"/>
      </w:pPr>
      <w:rPr>
        <w:rFonts w:ascii="宋体" w:hAnsi="宋体" w:hint="eastAsia"/>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C715D22"/>
    <w:multiLevelType w:val="hybridMultilevel"/>
    <w:tmpl w:val="6F9A0264"/>
    <w:lvl w:ilvl="0" w:tplc="102EF05C">
      <w:start w:val="1"/>
      <w:numFmt w:val="decimalEnclosedCircle"/>
      <w:lvlText w:val="%1"/>
      <w:lvlJc w:val="left"/>
      <w:pPr>
        <w:ind w:left="928" w:hanging="360"/>
      </w:pPr>
      <w:rPr>
        <w:rFonts w:ascii="宋体" w:hAnsi="宋体" w:cs="宋体" w:hint="default"/>
        <w:i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0"/>
  </w:num>
  <w:num w:numId="3">
    <w:abstractNumId w:val="4"/>
  </w:num>
  <w:num w:numId="4">
    <w:abstractNumId w:val="5"/>
  </w:num>
  <w:num w:numId="5">
    <w:abstractNumId w:val="2"/>
  </w:num>
  <w:num w:numId="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0E8"/>
    <w:rsid w:val="00017B9F"/>
    <w:rsid w:val="00023730"/>
    <w:rsid w:val="0003702D"/>
    <w:rsid w:val="0005032C"/>
    <w:rsid w:val="000917AE"/>
    <w:rsid w:val="00096614"/>
    <w:rsid w:val="000A4387"/>
    <w:rsid w:val="000A6FDE"/>
    <w:rsid w:val="000C3942"/>
    <w:rsid w:val="000E29D0"/>
    <w:rsid w:val="001125E7"/>
    <w:rsid w:val="0014411B"/>
    <w:rsid w:val="00145302"/>
    <w:rsid w:val="00166C37"/>
    <w:rsid w:val="00172FA9"/>
    <w:rsid w:val="00177B28"/>
    <w:rsid w:val="00182250"/>
    <w:rsid w:val="00185626"/>
    <w:rsid w:val="001A4C6D"/>
    <w:rsid w:val="001B35B3"/>
    <w:rsid w:val="001C757C"/>
    <w:rsid w:val="001C7F15"/>
    <w:rsid w:val="001F124C"/>
    <w:rsid w:val="0020560D"/>
    <w:rsid w:val="00215E00"/>
    <w:rsid w:val="002326B9"/>
    <w:rsid w:val="00233EF5"/>
    <w:rsid w:val="00237EDC"/>
    <w:rsid w:val="00273113"/>
    <w:rsid w:val="0028370C"/>
    <w:rsid w:val="00284D49"/>
    <w:rsid w:val="002C39A4"/>
    <w:rsid w:val="002E01B5"/>
    <w:rsid w:val="0031116D"/>
    <w:rsid w:val="003143A1"/>
    <w:rsid w:val="00361B62"/>
    <w:rsid w:val="003A4653"/>
    <w:rsid w:val="003B5429"/>
    <w:rsid w:val="003D065B"/>
    <w:rsid w:val="003D2609"/>
    <w:rsid w:val="00406E9D"/>
    <w:rsid w:val="00411AB7"/>
    <w:rsid w:val="00416442"/>
    <w:rsid w:val="0044059A"/>
    <w:rsid w:val="004539F4"/>
    <w:rsid w:val="004579F6"/>
    <w:rsid w:val="00461976"/>
    <w:rsid w:val="004667EC"/>
    <w:rsid w:val="004737C4"/>
    <w:rsid w:val="00477D7E"/>
    <w:rsid w:val="004874D6"/>
    <w:rsid w:val="004976C2"/>
    <w:rsid w:val="004D3344"/>
    <w:rsid w:val="004F55A3"/>
    <w:rsid w:val="004F6B39"/>
    <w:rsid w:val="005000C1"/>
    <w:rsid w:val="005113DF"/>
    <w:rsid w:val="00522CFE"/>
    <w:rsid w:val="00562D8F"/>
    <w:rsid w:val="005676DB"/>
    <w:rsid w:val="0058439A"/>
    <w:rsid w:val="005A76D3"/>
    <w:rsid w:val="005D7F9D"/>
    <w:rsid w:val="005F4A7C"/>
    <w:rsid w:val="006072C2"/>
    <w:rsid w:val="00613F1B"/>
    <w:rsid w:val="00645650"/>
    <w:rsid w:val="006510F8"/>
    <w:rsid w:val="00667316"/>
    <w:rsid w:val="00674DA6"/>
    <w:rsid w:val="0069516B"/>
    <w:rsid w:val="006A504A"/>
    <w:rsid w:val="006C16D4"/>
    <w:rsid w:val="00717095"/>
    <w:rsid w:val="007401B3"/>
    <w:rsid w:val="007421AC"/>
    <w:rsid w:val="00761FCE"/>
    <w:rsid w:val="007B3F5B"/>
    <w:rsid w:val="007C2112"/>
    <w:rsid w:val="00832CDB"/>
    <w:rsid w:val="00845BB8"/>
    <w:rsid w:val="00867035"/>
    <w:rsid w:val="008C01E7"/>
    <w:rsid w:val="008D5172"/>
    <w:rsid w:val="00904606"/>
    <w:rsid w:val="00921C40"/>
    <w:rsid w:val="0093158C"/>
    <w:rsid w:val="0094261B"/>
    <w:rsid w:val="00942D7B"/>
    <w:rsid w:val="00952E7B"/>
    <w:rsid w:val="009550EB"/>
    <w:rsid w:val="00974C73"/>
    <w:rsid w:val="00975653"/>
    <w:rsid w:val="00982FDE"/>
    <w:rsid w:val="0099016D"/>
    <w:rsid w:val="009B38D7"/>
    <w:rsid w:val="009B3CE6"/>
    <w:rsid w:val="009B633C"/>
    <w:rsid w:val="009C563E"/>
    <w:rsid w:val="009F6834"/>
    <w:rsid w:val="00A00895"/>
    <w:rsid w:val="00A54B4F"/>
    <w:rsid w:val="00A67BD2"/>
    <w:rsid w:val="00A86310"/>
    <w:rsid w:val="00AB3948"/>
    <w:rsid w:val="00AB4E0C"/>
    <w:rsid w:val="00AC1469"/>
    <w:rsid w:val="00AE45BA"/>
    <w:rsid w:val="00AE6482"/>
    <w:rsid w:val="00B25606"/>
    <w:rsid w:val="00B33496"/>
    <w:rsid w:val="00B81D70"/>
    <w:rsid w:val="00B85578"/>
    <w:rsid w:val="00B91D35"/>
    <w:rsid w:val="00BA0A2E"/>
    <w:rsid w:val="00BA4494"/>
    <w:rsid w:val="00BC00B0"/>
    <w:rsid w:val="00BC1260"/>
    <w:rsid w:val="00BC2BD2"/>
    <w:rsid w:val="00BC71EA"/>
    <w:rsid w:val="00BE1EF6"/>
    <w:rsid w:val="00C005EB"/>
    <w:rsid w:val="00C154C8"/>
    <w:rsid w:val="00C31DAD"/>
    <w:rsid w:val="00C87302"/>
    <w:rsid w:val="00CA4C82"/>
    <w:rsid w:val="00CB250C"/>
    <w:rsid w:val="00CB6D10"/>
    <w:rsid w:val="00CE0469"/>
    <w:rsid w:val="00CF24F1"/>
    <w:rsid w:val="00D03D29"/>
    <w:rsid w:val="00D341F8"/>
    <w:rsid w:val="00D50ACB"/>
    <w:rsid w:val="00D7743E"/>
    <w:rsid w:val="00D90A56"/>
    <w:rsid w:val="00DA37FE"/>
    <w:rsid w:val="00DB20E8"/>
    <w:rsid w:val="00DB763B"/>
    <w:rsid w:val="00DC3CC7"/>
    <w:rsid w:val="00DC7F22"/>
    <w:rsid w:val="00DE59C1"/>
    <w:rsid w:val="00DF59AB"/>
    <w:rsid w:val="00E06100"/>
    <w:rsid w:val="00E15880"/>
    <w:rsid w:val="00E242EB"/>
    <w:rsid w:val="00E55104"/>
    <w:rsid w:val="00E55AB6"/>
    <w:rsid w:val="00E74489"/>
    <w:rsid w:val="00E9786A"/>
    <w:rsid w:val="00ED5B6A"/>
    <w:rsid w:val="00EF105A"/>
    <w:rsid w:val="00F43CF9"/>
    <w:rsid w:val="00F70429"/>
    <w:rsid w:val="00F85CB3"/>
    <w:rsid w:val="00FF4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7EC"/>
    <w:pPr>
      <w:widowControl w:val="0"/>
      <w:jc w:val="both"/>
    </w:pPr>
    <w:rPr>
      <w:kern w:val="2"/>
      <w:sz w:val="24"/>
      <w:szCs w:val="24"/>
    </w:rPr>
  </w:style>
  <w:style w:type="paragraph" w:styleId="1">
    <w:name w:val="heading 1"/>
    <w:basedOn w:val="a"/>
    <w:next w:val="a0"/>
    <w:qFormat/>
    <w:pPr>
      <w:numPr>
        <w:numId w:val="1"/>
      </w:numPr>
      <w:adjustRightInd w:val="0"/>
      <w:spacing w:before="340" w:after="330" w:line="300" w:lineRule="auto"/>
      <w:textAlignment w:val="baseline"/>
      <w:outlineLvl w:val="0"/>
    </w:pPr>
    <w:rPr>
      <w:rFonts w:eastAsia="黑体"/>
      <w:kern w:val="0"/>
      <w:szCs w:val="20"/>
    </w:rPr>
  </w:style>
  <w:style w:type="paragraph" w:styleId="2">
    <w:name w:val="heading 2"/>
    <w:basedOn w:val="a"/>
    <w:next w:val="a0"/>
    <w:qFormat/>
    <w:pPr>
      <w:numPr>
        <w:ilvl w:val="1"/>
        <w:numId w:val="1"/>
      </w:numPr>
      <w:adjustRightInd w:val="0"/>
      <w:spacing w:line="300" w:lineRule="auto"/>
      <w:textAlignment w:val="baseline"/>
      <w:outlineLvl w:val="1"/>
    </w:pPr>
    <w:rPr>
      <w:kern w:val="0"/>
      <w:szCs w:val="20"/>
    </w:rPr>
  </w:style>
  <w:style w:type="paragraph" w:styleId="3">
    <w:name w:val="heading 3"/>
    <w:basedOn w:val="a"/>
    <w:next w:val="a0"/>
    <w:qFormat/>
    <w:pPr>
      <w:numPr>
        <w:ilvl w:val="2"/>
        <w:numId w:val="1"/>
      </w:numPr>
      <w:adjustRightInd w:val="0"/>
      <w:spacing w:line="300" w:lineRule="auto"/>
      <w:textAlignment w:val="baseline"/>
      <w:outlineLvl w:val="2"/>
    </w:pPr>
    <w:rPr>
      <w:kern w:val="0"/>
      <w:szCs w:val="20"/>
    </w:rPr>
  </w:style>
  <w:style w:type="paragraph" w:styleId="4">
    <w:name w:val="heading 4"/>
    <w:basedOn w:val="a"/>
    <w:next w:val="a0"/>
    <w:qFormat/>
    <w:pPr>
      <w:numPr>
        <w:ilvl w:val="3"/>
        <w:numId w:val="1"/>
      </w:numPr>
      <w:adjustRightInd w:val="0"/>
      <w:spacing w:line="300" w:lineRule="auto"/>
      <w:textAlignment w:val="baseline"/>
      <w:outlineLvl w:val="3"/>
    </w:pPr>
    <w:rPr>
      <w:kern w:val="0"/>
      <w:szCs w:val="20"/>
    </w:rPr>
  </w:style>
  <w:style w:type="paragraph" w:styleId="5">
    <w:name w:val="heading 5"/>
    <w:basedOn w:val="a"/>
    <w:next w:val="a0"/>
    <w:qFormat/>
    <w:pPr>
      <w:numPr>
        <w:ilvl w:val="4"/>
        <w:numId w:val="1"/>
      </w:numPr>
      <w:adjustRightInd w:val="0"/>
      <w:spacing w:line="300" w:lineRule="auto"/>
      <w:textAlignment w:val="baseline"/>
      <w:outlineLvl w:val="4"/>
    </w:pPr>
    <w:rPr>
      <w:kern w:val="0"/>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semiHidden/>
    <w:pPr>
      <w:widowControl/>
      <w:numPr>
        <w:ilvl w:val="12"/>
      </w:numPr>
      <w:tabs>
        <w:tab w:val="left" w:pos="0"/>
      </w:tabs>
      <w:autoSpaceDE w:val="0"/>
      <w:autoSpaceDN w:val="0"/>
      <w:adjustRightInd w:val="0"/>
      <w:jc w:val="left"/>
      <w:textAlignment w:val="bottom"/>
    </w:pPr>
    <w:rPr>
      <w:rFonts w:ascii="Arial" w:hAnsi="Arial"/>
      <w:kern w:val="0"/>
      <w:szCs w:val="20"/>
    </w:rPr>
  </w:style>
  <w:style w:type="paragraph" w:styleId="a0">
    <w:name w:val="Normal Indent"/>
    <w:basedOn w:val="a"/>
    <w:semiHidden/>
    <w:pPr>
      <w:spacing w:line="300" w:lineRule="auto"/>
      <w:ind w:firstLine="420"/>
    </w:pPr>
    <w:rPr>
      <w:kern w:val="24"/>
      <w:szCs w:val="20"/>
    </w:rPr>
  </w:style>
  <w:style w:type="paragraph" w:styleId="a5">
    <w:name w:val="footer"/>
    <w:basedOn w:val="a"/>
    <w:semiHidden/>
    <w:pPr>
      <w:tabs>
        <w:tab w:val="center" w:pos="4153"/>
        <w:tab w:val="right" w:pos="8306"/>
      </w:tabs>
      <w:snapToGrid w:val="0"/>
      <w:jc w:val="left"/>
    </w:pPr>
    <w:rPr>
      <w:sz w:val="18"/>
      <w:szCs w:val="18"/>
    </w:rPr>
  </w:style>
  <w:style w:type="character" w:styleId="a6">
    <w:name w:val="page number"/>
    <w:basedOn w:val="a1"/>
    <w:semiHidden/>
  </w:style>
  <w:style w:type="paragraph" w:styleId="a7">
    <w:name w:val="header"/>
    <w:basedOn w:val="a"/>
    <w:link w:val="Char"/>
    <w:uiPriority w:val="99"/>
    <w:unhideWhenUsed/>
    <w:rsid w:val="00DB20E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uiPriority w:val="99"/>
    <w:rsid w:val="00DB20E8"/>
    <w:rPr>
      <w:kern w:val="2"/>
      <w:sz w:val="18"/>
      <w:szCs w:val="18"/>
    </w:rPr>
  </w:style>
  <w:style w:type="paragraph" w:customStyle="1" w:styleId="Default">
    <w:name w:val="Default"/>
    <w:rsid w:val="002326B9"/>
    <w:pPr>
      <w:widowControl w:val="0"/>
      <w:autoSpaceDE w:val="0"/>
      <w:autoSpaceDN w:val="0"/>
      <w:adjustRightInd w:val="0"/>
    </w:pPr>
    <w:rPr>
      <w:rFonts w:ascii="宋体" w:cs="宋体"/>
      <w:color w:val="000000"/>
      <w:sz w:val="24"/>
      <w:szCs w:val="24"/>
      <w:lang w:bidi="as-IN"/>
    </w:rPr>
  </w:style>
  <w:style w:type="paragraph" w:styleId="a8">
    <w:name w:val="Body Text Indent"/>
    <w:basedOn w:val="a"/>
    <w:link w:val="Char0"/>
    <w:uiPriority w:val="99"/>
    <w:semiHidden/>
    <w:unhideWhenUsed/>
    <w:rsid w:val="00667316"/>
    <w:pPr>
      <w:spacing w:after="120"/>
      <w:ind w:leftChars="200" w:left="420"/>
    </w:pPr>
  </w:style>
  <w:style w:type="character" w:customStyle="1" w:styleId="Char0">
    <w:name w:val="正文文本缩进 Char"/>
    <w:link w:val="a8"/>
    <w:uiPriority w:val="99"/>
    <w:semiHidden/>
    <w:rsid w:val="00667316"/>
    <w:rPr>
      <w:kern w:val="2"/>
      <w:sz w:val="21"/>
      <w:szCs w:val="24"/>
    </w:rPr>
  </w:style>
  <w:style w:type="character" w:customStyle="1" w:styleId="Char1">
    <w:name w:val="纯文本 Char"/>
    <w:link w:val="a9"/>
    <w:rsid w:val="00667316"/>
    <w:rPr>
      <w:rFonts w:ascii="宋体" w:hAnsi="Courier New"/>
      <w:kern w:val="2"/>
      <w:sz w:val="21"/>
    </w:rPr>
  </w:style>
  <w:style w:type="paragraph" w:styleId="a9">
    <w:name w:val="Plain Text"/>
    <w:basedOn w:val="a"/>
    <w:link w:val="Char1"/>
    <w:rsid w:val="00667316"/>
    <w:rPr>
      <w:rFonts w:ascii="宋体" w:hAnsi="Courier New"/>
      <w:szCs w:val="20"/>
    </w:rPr>
  </w:style>
  <w:style w:type="character" w:customStyle="1" w:styleId="Char10">
    <w:name w:val="纯文本 Char1"/>
    <w:uiPriority w:val="99"/>
    <w:semiHidden/>
    <w:rsid w:val="00667316"/>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7EC"/>
    <w:pPr>
      <w:widowControl w:val="0"/>
      <w:jc w:val="both"/>
    </w:pPr>
    <w:rPr>
      <w:kern w:val="2"/>
      <w:sz w:val="24"/>
      <w:szCs w:val="24"/>
    </w:rPr>
  </w:style>
  <w:style w:type="paragraph" w:styleId="1">
    <w:name w:val="heading 1"/>
    <w:basedOn w:val="a"/>
    <w:next w:val="a0"/>
    <w:qFormat/>
    <w:pPr>
      <w:numPr>
        <w:numId w:val="1"/>
      </w:numPr>
      <w:adjustRightInd w:val="0"/>
      <w:spacing w:before="340" w:after="330" w:line="300" w:lineRule="auto"/>
      <w:textAlignment w:val="baseline"/>
      <w:outlineLvl w:val="0"/>
    </w:pPr>
    <w:rPr>
      <w:rFonts w:eastAsia="黑体"/>
      <w:kern w:val="0"/>
      <w:szCs w:val="20"/>
    </w:rPr>
  </w:style>
  <w:style w:type="paragraph" w:styleId="2">
    <w:name w:val="heading 2"/>
    <w:basedOn w:val="a"/>
    <w:next w:val="a0"/>
    <w:qFormat/>
    <w:pPr>
      <w:numPr>
        <w:ilvl w:val="1"/>
        <w:numId w:val="1"/>
      </w:numPr>
      <w:adjustRightInd w:val="0"/>
      <w:spacing w:line="300" w:lineRule="auto"/>
      <w:textAlignment w:val="baseline"/>
      <w:outlineLvl w:val="1"/>
    </w:pPr>
    <w:rPr>
      <w:kern w:val="0"/>
      <w:szCs w:val="20"/>
    </w:rPr>
  </w:style>
  <w:style w:type="paragraph" w:styleId="3">
    <w:name w:val="heading 3"/>
    <w:basedOn w:val="a"/>
    <w:next w:val="a0"/>
    <w:qFormat/>
    <w:pPr>
      <w:numPr>
        <w:ilvl w:val="2"/>
        <w:numId w:val="1"/>
      </w:numPr>
      <w:adjustRightInd w:val="0"/>
      <w:spacing w:line="300" w:lineRule="auto"/>
      <w:textAlignment w:val="baseline"/>
      <w:outlineLvl w:val="2"/>
    </w:pPr>
    <w:rPr>
      <w:kern w:val="0"/>
      <w:szCs w:val="20"/>
    </w:rPr>
  </w:style>
  <w:style w:type="paragraph" w:styleId="4">
    <w:name w:val="heading 4"/>
    <w:basedOn w:val="a"/>
    <w:next w:val="a0"/>
    <w:qFormat/>
    <w:pPr>
      <w:numPr>
        <w:ilvl w:val="3"/>
        <w:numId w:val="1"/>
      </w:numPr>
      <w:adjustRightInd w:val="0"/>
      <w:spacing w:line="300" w:lineRule="auto"/>
      <w:textAlignment w:val="baseline"/>
      <w:outlineLvl w:val="3"/>
    </w:pPr>
    <w:rPr>
      <w:kern w:val="0"/>
      <w:szCs w:val="20"/>
    </w:rPr>
  </w:style>
  <w:style w:type="paragraph" w:styleId="5">
    <w:name w:val="heading 5"/>
    <w:basedOn w:val="a"/>
    <w:next w:val="a0"/>
    <w:qFormat/>
    <w:pPr>
      <w:numPr>
        <w:ilvl w:val="4"/>
        <w:numId w:val="1"/>
      </w:numPr>
      <w:adjustRightInd w:val="0"/>
      <w:spacing w:line="300" w:lineRule="auto"/>
      <w:textAlignment w:val="baseline"/>
      <w:outlineLvl w:val="4"/>
    </w:pPr>
    <w:rPr>
      <w:kern w:val="0"/>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semiHidden/>
    <w:pPr>
      <w:widowControl/>
      <w:numPr>
        <w:ilvl w:val="12"/>
      </w:numPr>
      <w:tabs>
        <w:tab w:val="left" w:pos="0"/>
      </w:tabs>
      <w:autoSpaceDE w:val="0"/>
      <w:autoSpaceDN w:val="0"/>
      <w:adjustRightInd w:val="0"/>
      <w:jc w:val="left"/>
      <w:textAlignment w:val="bottom"/>
    </w:pPr>
    <w:rPr>
      <w:rFonts w:ascii="Arial" w:hAnsi="Arial"/>
      <w:kern w:val="0"/>
      <w:szCs w:val="20"/>
    </w:rPr>
  </w:style>
  <w:style w:type="paragraph" w:styleId="a0">
    <w:name w:val="Normal Indent"/>
    <w:basedOn w:val="a"/>
    <w:semiHidden/>
    <w:pPr>
      <w:spacing w:line="300" w:lineRule="auto"/>
      <w:ind w:firstLine="420"/>
    </w:pPr>
    <w:rPr>
      <w:kern w:val="24"/>
      <w:szCs w:val="20"/>
    </w:rPr>
  </w:style>
  <w:style w:type="paragraph" w:styleId="a5">
    <w:name w:val="footer"/>
    <w:basedOn w:val="a"/>
    <w:semiHidden/>
    <w:pPr>
      <w:tabs>
        <w:tab w:val="center" w:pos="4153"/>
        <w:tab w:val="right" w:pos="8306"/>
      </w:tabs>
      <w:snapToGrid w:val="0"/>
      <w:jc w:val="left"/>
    </w:pPr>
    <w:rPr>
      <w:sz w:val="18"/>
      <w:szCs w:val="18"/>
    </w:rPr>
  </w:style>
  <w:style w:type="character" w:styleId="a6">
    <w:name w:val="page number"/>
    <w:basedOn w:val="a1"/>
    <w:semiHidden/>
  </w:style>
  <w:style w:type="paragraph" w:styleId="a7">
    <w:name w:val="header"/>
    <w:basedOn w:val="a"/>
    <w:link w:val="Char"/>
    <w:uiPriority w:val="99"/>
    <w:unhideWhenUsed/>
    <w:rsid w:val="00DB20E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uiPriority w:val="99"/>
    <w:rsid w:val="00DB20E8"/>
    <w:rPr>
      <w:kern w:val="2"/>
      <w:sz w:val="18"/>
      <w:szCs w:val="18"/>
    </w:rPr>
  </w:style>
  <w:style w:type="paragraph" w:customStyle="1" w:styleId="Default">
    <w:name w:val="Default"/>
    <w:rsid w:val="002326B9"/>
    <w:pPr>
      <w:widowControl w:val="0"/>
      <w:autoSpaceDE w:val="0"/>
      <w:autoSpaceDN w:val="0"/>
      <w:adjustRightInd w:val="0"/>
    </w:pPr>
    <w:rPr>
      <w:rFonts w:ascii="宋体" w:cs="宋体"/>
      <w:color w:val="000000"/>
      <w:sz w:val="24"/>
      <w:szCs w:val="24"/>
      <w:lang w:bidi="as-IN"/>
    </w:rPr>
  </w:style>
  <w:style w:type="paragraph" w:styleId="a8">
    <w:name w:val="Body Text Indent"/>
    <w:basedOn w:val="a"/>
    <w:link w:val="Char0"/>
    <w:uiPriority w:val="99"/>
    <w:semiHidden/>
    <w:unhideWhenUsed/>
    <w:rsid w:val="00667316"/>
    <w:pPr>
      <w:spacing w:after="120"/>
      <w:ind w:leftChars="200" w:left="420"/>
    </w:pPr>
  </w:style>
  <w:style w:type="character" w:customStyle="1" w:styleId="Char0">
    <w:name w:val="正文文本缩进 Char"/>
    <w:link w:val="a8"/>
    <w:uiPriority w:val="99"/>
    <w:semiHidden/>
    <w:rsid w:val="00667316"/>
    <w:rPr>
      <w:kern w:val="2"/>
      <w:sz w:val="21"/>
      <w:szCs w:val="24"/>
    </w:rPr>
  </w:style>
  <w:style w:type="character" w:customStyle="1" w:styleId="Char1">
    <w:name w:val="纯文本 Char"/>
    <w:link w:val="a9"/>
    <w:rsid w:val="00667316"/>
    <w:rPr>
      <w:rFonts w:ascii="宋体" w:hAnsi="Courier New"/>
      <w:kern w:val="2"/>
      <w:sz w:val="21"/>
    </w:rPr>
  </w:style>
  <w:style w:type="paragraph" w:styleId="a9">
    <w:name w:val="Plain Text"/>
    <w:basedOn w:val="a"/>
    <w:link w:val="Char1"/>
    <w:rsid w:val="00667316"/>
    <w:rPr>
      <w:rFonts w:ascii="宋体" w:hAnsi="Courier New"/>
      <w:szCs w:val="20"/>
    </w:rPr>
  </w:style>
  <w:style w:type="character" w:customStyle="1" w:styleId="Char10">
    <w:name w:val="纯文本 Char1"/>
    <w:uiPriority w:val="99"/>
    <w:semiHidden/>
    <w:rsid w:val="00667316"/>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80020">
      <w:bodyDiv w:val="1"/>
      <w:marLeft w:val="0"/>
      <w:marRight w:val="0"/>
      <w:marTop w:val="0"/>
      <w:marBottom w:val="0"/>
      <w:divBdr>
        <w:top w:val="none" w:sz="0" w:space="0" w:color="auto"/>
        <w:left w:val="none" w:sz="0" w:space="0" w:color="auto"/>
        <w:bottom w:val="none" w:sz="0" w:space="0" w:color="auto"/>
        <w:right w:val="none" w:sz="0" w:space="0" w:color="auto"/>
      </w:divBdr>
    </w:div>
    <w:div w:id="510920675">
      <w:bodyDiv w:val="1"/>
      <w:marLeft w:val="0"/>
      <w:marRight w:val="0"/>
      <w:marTop w:val="0"/>
      <w:marBottom w:val="0"/>
      <w:divBdr>
        <w:top w:val="none" w:sz="0" w:space="0" w:color="auto"/>
        <w:left w:val="none" w:sz="0" w:space="0" w:color="auto"/>
        <w:bottom w:val="none" w:sz="0" w:space="0" w:color="auto"/>
        <w:right w:val="none" w:sz="0" w:space="0" w:color="auto"/>
      </w:divBdr>
    </w:div>
    <w:div w:id="743533708">
      <w:bodyDiv w:val="1"/>
      <w:marLeft w:val="0"/>
      <w:marRight w:val="0"/>
      <w:marTop w:val="0"/>
      <w:marBottom w:val="0"/>
      <w:divBdr>
        <w:top w:val="none" w:sz="0" w:space="0" w:color="auto"/>
        <w:left w:val="none" w:sz="0" w:space="0" w:color="auto"/>
        <w:bottom w:val="none" w:sz="0" w:space="0" w:color="auto"/>
        <w:right w:val="none" w:sz="0" w:space="0" w:color="auto"/>
      </w:divBdr>
    </w:div>
    <w:div w:id="1100561448">
      <w:bodyDiv w:val="1"/>
      <w:marLeft w:val="0"/>
      <w:marRight w:val="0"/>
      <w:marTop w:val="0"/>
      <w:marBottom w:val="0"/>
      <w:divBdr>
        <w:top w:val="none" w:sz="0" w:space="0" w:color="auto"/>
        <w:left w:val="none" w:sz="0" w:space="0" w:color="auto"/>
        <w:bottom w:val="none" w:sz="0" w:space="0" w:color="auto"/>
        <w:right w:val="none" w:sz="0" w:space="0" w:color="auto"/>
      </w:divBdr>
    </w:div>
    <w:div w:id="1640185428">
      <w:bodyDiv w:val="1"/>
      <w:marLeft w:val="0"/>
      <w:marRight w:val="0"/>
      <w:marTop w:val="0"/>
      <w:marBottom w:val="0"/>
      <w:divBdr>
        <w:top w:val="none" w:sz="0" w:space="0" w:color="auto"/>
        <w:left w:val="none" w:sz="0" w:space="0" w:color="auto"/>
        <w:bottom w:val="none" w:sz="0" w:space="0" w:color="auto"/>
        <w:right w:val="none" w:sz="0" w:space="0" w:color="auto"/>
      </w:divBdr>
    </w:div>
    <w:div w:id="210037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03C0E-DAE9-4E91-BD64-3CC533776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323</Words>
  <Characters>1846</Characters>
  <Application>Microsoft Office Word</Application>
  <DocSecurity>0</DocSecurity>
  <Lines>15</Lines>
  <Paragraphs>4</Paragraphs>
  <ScaleCrop>false</ScaleCrop>
  <HeadingPairs>
    <vt:vector size="2" baseType="variant">
      <vt:variant>
        <vt:lpstr>题目</vt:lpstr>
      </vt:variant>
      <vt:variant>
        <vt:i4>1</vt:i4>
      </vt:variant>
    </vt:vector>
  </HeadingPairs>
  <TitlesOfParts>
    <vt:vector size="1" baseType="lpstr">
      <vt:lpstr>电视视频信号发生器检定规程 编写说明</vt:lpstr>
    </vt:vector>
  </TitlesOfParts>
  <Company>Xtzj.Com</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电视视频信号发生器检定规程 编写说明</dc:title>
  <dc:creator>Xtzj.User</dc:creator>
  <cp:lastModifiedBy>41suo</cp:lastModifiedBy>
  <cp:revision>3</cp:revision>
  <dcterms:created xsi:type="dcterms:W3CDTF">2021-10-20T05:53:00Z</dcterms:created>
  <dcterms:modified xsi:type="dcterms:W3CDTF">2021-10-20T07:40:00Z</dcterms:modified>
</cp:coreProperties>
</file>