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numPr>
          <w:ilvl w:val="0"/>
          <w:numId w:val="0"/>
        </w:numPr>
        <w:spacing w:before="0" w:after="0" w:line="276" w:lineRule="auto"/>
        <w:jc w:val="center"/>
        <w:rPr>
          <w:rFonts w:ascii="Times New Roman"/>
          <w:sz w:val="32"/>
          <w:szCs w:val="32"/>
        </w:rPr>
      </w:pPr>
      <w:r>
        <w:rPr>
          <w:rFonts w:ascii="Times New Roman"/>
          <w:bCs/>
          <w:sz w:val="32"/>
          <w:szCs w:val="32"/>
        </w:rPr>
        <w:t>《</w:t>
      </w:r>
      <w:r>
        <w:rPr>
          <w:rFonts w:hint="eastAsia" w:ascii="Times New Roman"/>
          <w:bCs/>
          <w:sz w:val="32"/>
          <w:szCs w:val="32"/>
          <w:lang w:eastAsia="zh-CN"/>
        </w:rPr>
        <w:t>分辨力板</w:t>
      </w:r>
      <w:r>
        <w:rPr>
          <w:rFonts w:ascii="Times New Roman"/>
          <w:bCs/>
          <w:sz w:val="32"/>
          <w:szCs w:val="32"/>
        </w:rPr>
        <w:t>》</w:t>
      </w:r>
      <w:r>
        <w:rPr>
          <w:rFonts w:hint="eastAsia" w:ascii="Times New Roman"/>
          <w:bCs/>
          <w:sz w:val="32"/>
          <w:szCs w:val="32"/>
        </w:rPr>
        <w:t>校准规范</w:t>
      </w:r>
      <w:r>
        <w:rPr>
          <w:rFonts w:hint="eastAsia" w:ascii="Times New Roman"/>
          <w:sz w:val="32"/>
          <w:szCs w:val="32"/>
        </w:rPr>
        <w:t>修订</w:t>
      </w:r>
      <w:r>
        <w:rPr>
          <w:rFonts w:ascii="Times New Roman"/>
          <w:sz w:val="32"/>
          <w:szCs w:val="32"/>
        </w:rPr>
        <w:t>说明</w:t>
      </w:r>
    </w:p>
    <w:p>
      <w:pPr>
        <w:numPr>
          <w:ilvl w:val="0"/>
          <w:numId w:val="2"/>
        </w:numPr>
        <w:tabs>
          <w:tab w:val="left" w:pos="720"/>
          <w:tab w:val="clear" w:pos="917"/>
        </w:tabs>
        <w:spacing w:line="276" w:lineRule="auto"/>
        <w:ind w:right="21" w:hanging="917"/>
        <w:rPr>
          <w:rFonts w:eastAsia="黑体"/>
          <w:sz w:val="28"/>
        </w:rPr>
      </w:pPr>
      <w:r>
        <w:rPr>
          <w:rFonts w:eastAsia="黑体"/>
          <w:sz w:val="28"/>
        </w:rPr>
        <w:t>任务来源</w:t>
      </w:r>
    </w:p>
    <w:p>
      <w:pPr>
        <w:pStyle w:val="4"/>
        <w:spacing w:line="276" w:lineRule="auto"/>
        <w:ind w:firstLine="540"/>
        <w:rPr>
          <w:rFonts w:ascii="Times New Roman"/>
          <w:b w:val="0"/>
        </w:rPr>
      </w:pPr>
      <w:r>
        <w:rPr>
          <w:rFonts w:ascii="Times New Roman"/>
          <w:b w:val="0"/>
        </w:rPr>
        <w:t>根据国家质检总局质检办函文件和全国光学计量技术委员会光计委文件，受全国光学计量技术委员会的委托，由</w:t>
      </w:r>
      <w:r>
        <w:rPr>
          <w:rFonts w:hint="eastAsia" w:ascii="Times New Roman"/>
          <w:b w:val="0"/>
        </w:rPr>
        <w:t>中国</w:t>
      </w:r>
      <w:r>
        <w:rPr>
          <w:rFonts w:hint="eastAsia" w:ascii="Times New Roman"/>
          <w:b w:val="0"/>
          <w:lang w:eastAsia="zh-CN"/>
        </w:rPr>
        <w:t>计量科学</w:t>
      </w:r>
      <w:r>
        <w:rPr>
          <w:rFonts w:hint="eastAsia" w:ascii="Times New Roman"/>
          <w:b w:val="0"/>
        </w:rPr>
        <w:t>研究院</w:t>
      </w:r>
      <w:r>
        <w:rPr>
          <w:rFonts w:ascii="Times New Roman"/>
          <w:b w:val="0"/>
        </w:rPr>
        <w:t>负责</w:t>
      </w:r>
      <w:r>
        <w:rPr>
          <w:rFonts w:hint="eastAsia" w:ascii="Times New Roman"/>
          <w:b w:val="0"/>
        </w:rPr>
        <w:t>修订</w:t>
      </w:r>
      <w:r>
        <w:rPr>
          <w:rFonts w:ascii="Times New Roman"/>
          <w:b w:val="0"/>
        </w:rPr>
        <w:t>《</w:t>
      </w:r>
      <w:r>
        <w:rPr>
          <w:rFonts w:hint="eastAsia" w:ascii="Times New Roman"/>
          <w:b w:val="0"/>
          <w:lang w:eastAsia="zh-CN"/>
        </w:rPr>
        <w:t>分辨力板</w:t>
      </w:r>
      <w:r>
        <w:rPr>
          <w:rFonts w:ascii="Times New Roman"/>
          <w:b w:val="0"/>
        </w:rPr>
        <w:t>》</w:t>
      </w:r>
      <w:r>
        <w:rPr>
          <w:rFonts w:hint="eastAsia" w:ascii="Times New Roman"/>
          <w:b w:val="0"/>
        </w:rPr>
        <w:t>校准规范</w:t>
      </w:r>
      <w:r>
        <w:rPr>
          <w:rFonts w:ascii="Times New Roman"/>
          <w:b w:val="0"/>
        </w:rPr>
        <w:t>。</w:t>
      </w:r>
    </w:p>
    <w:p>
      <w:pPr>
        <w:numPr>
          <w:ilvl w:val="0"/>
          <w:numId w:val="2"/>
        </w:numPr>
        <w:tabs>
          <w:tab w:val="left" w:pos="720"/>
          <w:tab w:val="clear" w:pos="917"/>
        </w:tabs>
        <w:spacing w:line="276" w:lineRule="auto"/>
        <w:ind w:right="21" w:hanging="917"/>
        <w:rPr>
          <w:rFonts w:eastAsia="黑体"/>
          <w:sz w:val="28"/>
        </w:rPr>
      </w:pPr>
      <w:r>
        <w:rPr>
          <w:rFonts w:hint="eastAsia" w:eastAsia="黑体"/>
          <w:sz w:val="28"/>
        </w:rPr>
        <w:t>修订《</w:t>
      </w:r>
      <w:r>
        <w:rPr>
          <w:rFonts w:hint="eastAsia" w:eastAsia="黑体"/>
          <w:sz w:val="28"/>
          <w:lang w:eastAsia="zh-CN"/>
        </w:rPr>
        <w:t>分辨力板</w:t>
      </w:r>
      <w:r>
        <w:rPr>
          <w:rFonts w:hint="eastAsia" w:eastAsia="黑体"/>
          <w:sz w:val="28"/>
        </w:rPr>
        <w:t>》校准规范的目的和意义</w:t>
      </w:r>
    </w:p>
    <w:p>
      <w:pPr>
        <w:pStyle w:val="4"/>
        <w:spacing w:line="360" w:lineRule="auto"/>
        <w:ind w:firstLine="540"/>
        <w:rPr>
          <w:rFonts w:hint="eastAsia" w:ascii="Times New Roman"/>
          <w:b w:val="0"/>
        </w:rPr>
      </w:pPr>
      <w:r>
        <w:rPr>
          <w:rFonts w:hint="eastAsia" w:ascii="Times New Roman"/>
          <w:b w:val="0"/>
        </w:rPr>
        <w:t>光学系统的分辨率是指光学系统能分辨的物面上两目标的距离（或角距离）的能力。用分辨</w:t>
      </w:r>
      <w:r>
        <w:rPr>
          <w:rFonts w:hint="eastAsia" w:ascii="Times New Roman"/>
          <w:b w:val="0"/>
          <w:lang w:eastAsia="zh-CN"/>
        </w:rPr>
        <w:t>率（力）</w:t>
      </w:r>
      <w:r>
        <w:rPr>
          <w:rFonts w:hint="eastAsia" w:ascii="Times New Roman"/>
          <w:b w:val="0"/>
        </w:rPr>
        <w:t>值作为光学系统成像质量的评价指标，</w:t>
      </w:r>
      <w:r>
        <w:rPr>
          <w:rFonts w:hint="eastAsia" w:ascii="Times New Roman"/>
          <w:b w:val="0"/>
          <w:lang w:eastAsia="zh-CN"/>
        </w:rPr>
        <w:t>一直</w:t>
      </w:r>
      <w:r>
        <w:rPr>
          <w:rFonts w:hint="eastAsia" w:ascii="Times New Roman"/>
          <w:b w:val="0"/>
        </w:rPr>
        <w:t>是评价光学系统成像质量的</w:t>
      </w:r>
      <w:r>
        <w:rPr>
          <w:rFonts w:hint="eastAsia" w:ascii="Times New Roman"/>
          <w:b w:val="0"/>
          <w:lang w:eastAsia="zh-CN"/>
        </w:rPr>
        <w:t>重要手段</w:t>
      </w:r>
      <w:r>
        <w:rPr>
          <w:rFonts w:hint="eastAsia" w:ascii="Times New Roman"/>
          <w:b w:val="0"/>
        </w:rPr>
        <w:t>。不同的光学系统，常采用不同的分辨率评价方法。对于人眼和望远镜系统，以物面上刚能被分辨的两点(或两线)对入瞳中心的张角来度量；对于显微镜系统，以物面上两点刚能被分辨开的距离来度量；对于照相物镜，则以像面上一毫米内能被分辨开的线对数来度量。分辨率的测量应使用分辨力板。</w:t>
      </w:r>
    </w:p>
    <w:p>
      <w:pPr>
        <w:pStyle w:val="4"/>
        <w:spacing w:line="360" w:lineRule="auto"/>
        <w:ind w:firstLine="540"/>
        <w:rPr>
          <w:rFonts w:hint="eastAsia" w:ascii="Times New Roman" w:hAnsi="Times New Roman" w:eastAsia="宋体" w:cs="Times New Roman"/>
          <w:b w:val="0"/>
          <w:kern w:val="2"/>
          <w:sz w:val="24"/>
          <w:lang w:val="en-US" w:eastAsia="zh-CN" w:bidi="ar-SA"/>
        </w:rPr>
      </w:pPr>
      <w:r>
        <w:rPr>
          <w:rFonts w:hint="eastAsia" w:ascii="Times New Roman" w:hAnsi="Times New Roman" w:eastAsia="宋体" w:cs="Times New Roman"/>
          <w:b w:val="0"/>
          <w:kern w:val="2"/>
          <w:sz w:val="24"/>
          <w:lang w:val="en-US" w:eastAsia="zh-CN" w:bidi="ar-SA"/>
        </w:rPr>
        <w:t>JJG827-93《分辨力板》检定规程中规定了A型和B型两种常用的分辨力板，主要用于光学零件、望远系统、望远物镜、体视显微镜与投影物镜等的分辨率测量。随着技术的发展，以及应用需求的不同，一些特殊的分辨力板不断出现，如美军标USAF 1951分辨力板分辨力板，</w:t>
      </w:r>
      <w:r>
        <w:rPr>
          <w:rFonts w:hint="eastAsia" w:ascii="Times New Roman" w:cs="Times New Roman"/>
          <w:b w:val="0"/>
          <w:kern w:val="2"/>
          <w:sz w:val="24"/>
          <w:lang w:val="en-US" w:eastAsia="zh-CN" w:bidi="ar-SA"/>
        </w:rPr>
        <w:t>如</w:t>
      </w:r>
      <w:r>
        <w:rPr>
          <w:rFonts w:hint="eastAsia" w:ascii="Times New Roman" w:hAnsi="Times New Roman" w:eastAsia="宋体" w:cs="Times New Roman"/>
          <w:b w:val="0"/>
          <w:kern w:val="2"/>
          <w:sz w:val="24"/>
          <w:lang w:val="en-US" w:eastAsia="zh-CN" w:bidi="ar-SA"/>
        </w:rPr>
        <w:t>缩微系统ISO 2号分辨力</w:t>
      </w:r>
      <w:r>
        <w:rPr>
          <w:rFonts w:hint="eastAsia" w:ascii="Times New Roman" w:cs="Times New Roman"/>
          <w:b w:val="0"/>
          <w:kern w:val="2"/>
          <w:sz w:val="24"/>
          <w:lang w:val="en-US" w:eastAsia="zh-CN" w:bidi="ar-SA"/>
        </w:rPr>
        <w:t>测试板，</w:t>
      </w:r>
      <w:r>
        <w:rPr>
          <w:rFonts w:hint="eastAsia" w:ascii="Times New Roman" w:hAnsi="Times New Roman" w:eastAsia="宋体" w:cs="Times New Roman"/>
          <w:b w:val="0"/>
          <w:kern w:val="2"/>
          <w:sz w:val="24"/>
          <w:lang w:val="en-US" w:eastAsia="zh-CN" w:bidi="ar-SA"/>
        </w:rPr>
        <w:t>如用于照相物镜照相分辨率测量的SH-01型分辨力板低对比目标成像质量的低对比分辨率板等</w:t>
      </w:r>
      <w:r>
        <w:rPr>
          <w:rFonts w:hint="eastAsia" w:ascii="Times New Roman" w:cs="Times New Roman"/>
          <w:b w:val="0"/>
          <w:kern w:val="2"/>
          <w:sz w:val="24"/>
          <w:lang w:val="en-US" w:eastAsia="zh-CN" w:bidi="ar-SA"/>
        </w:rPr>
        <w:t>，</w:t>
      </w:r>
      <w:r>
        <w:rPr>
          <w:rFonts w:hint="eastAsia" w:ascii="Times New Roman" w:hAnsi="Times New Roman" w:eastAsia="宋体" w:cs="Times New Roman"/>
          <w:b w:val="0"/>
          <w:kern w:val="2"/>
          <w:sz w:val="24"/>
          <w:lang w:val="en-US" w:eastAsia="zh-CN" w:bidi="ar-SA"/>
        </w:rPr>
        <w:t>如用于高倍显微镜分辨力测量的分辨力板等等。这些分辨力板</w:t>
      </w:r>
      <w:r>
        <w:rPr>
          <w:rFonts w:hint="eastAsia" w:ascii="Times New Roman" w:cs="Times New Roman"/>
          <w:b w:val="0"/>
          <w:kern w:val="2"/>
          <w:sz w:val="24"/>
          <w:lang w:val="en-US" w:eastAsia="zh-CN" w:bidi="ar-SA"/>
        </w:rPr>
        <w:t>尺寸、对比度、应用要求、以及遵循的标准都各有不同，</w:t>
      </w:r>
      <w:r>
        <w:rPr>
          <w:rFonts w:hint="eastAsia" w:ascii="Times New Roman" w:hAnsi="Times New Roman" w:eastAsia="宋体" w:cs="Times New Roman"/>
          <w:b w:val="0"/>
          <w:kern w:val="2"/>
          <w:sz w:val="24"/>
          <w:lang w:val="en-US" w:eastAsia="zh-CN" w:bidi="ar-SA"/>
        </w:rPr>
        <w:t>JJG827-93《分辨力板》检定规程</w:t>
      </w:r>
      <w:r>
        <w:rPr>
          <w:rFonts w:hint="eastAsia" w:ascii="Times New Roman" w:cs="Times New Roman"/>
          <w:b w:val="0"/>
          <w:kern w:val="2"/>
          <w:sz w:val="24"/>
          <w:lang w:val="en-US" w:eastAsia="zh-CN" w:bidi="ar-SA"/>
        </w:rPr>
        <w:t>无法满足上述</w:t>
      </w:r>
      <w:r>
        <w:rPr>
          <w:rFonts w:hint="eastAsia" w:ascii="Times New Roman" w:hAnsi="Times New Roman" w:eastAsia="宋体" w:cs="Times New Roman"/>
          <w:b w:val="0"/>
          <w:kern w:val="2"/>
          <w:sz w:val="24"/>
          <w:lang w:val="en-US" w:eastAsia="zh-CN" w:bidi="ar-SA"/>
        </w:rPr>
        <w:t>分辨力板的检定</w:t>
      </w:r>
      <w:r>
        <w:rPr>
          <w:rFonts w:hint="eastAsia" w:ascii="Times New Roman" w:cs="Times New Roman"/>
          <w:b w:val="0"/>
          <w:kern w:val="2"/>
          <w:sz w:val="24"/>
          <w:lang w:val="en-US" w:eastAsia="zh-CN" w:bidi="ar-SA"/>
        </w:rPr>
        <w:t>。</w:t>
      </w:r>
    </w:p>
    <w:p>
      <w:pPr>
        <w:pStyle w:val="4"/>
        <w:spacing w:line="360" w:lineRule="auto"/>
        <w:ind w:firstLine="540"/>
        <w:rPr>
          <w:rFonts w:hint="eastAsia" w:ascii="Times New Roman"/>
          <w:b w:val="0"/>
        </w:rPr>
      </w:pPr>
      <w:r>
        <w:rPr>
          <w:rFonts w:hint="eastAsia" w:ascii="Times New Roman"/>
          <w:b w:val="0"/>
        </w:rPr>
        <w:t>中国计量科学研究院</w:t>
      </w:r>
      <w:r>
        <w:rPr>
          <w:rFonts w:hint="eastAsia" w:ascii="Times New Roman"/>
          <w:b w:val="0"/>
          <w:lang w:val="en-US" w:eastAsia="zh-CN"/>
        </w:rPr>
        <w:t>一直从事光学行业分辨率板的校准与检测。随着技术的提升，原有计量检定规程越来越不适应当下技术发展要求。1）对于分辨力板计量器具使用不合理，尤其是传统工具显微镜很难满足实际计量需求，随着新型计量器具出现，检测工具、方法和步骤都有必要进一步完善。2）随着计量发展的需求，更多的计量检定规程不再满足检定条件，有必要转化为计量校准规范。而分辨力板实际主要用来表达校准能力，调整为计量校准规范更为合理。3）部分参数实际应用中并无太多应用需求，可以删掉或者调整为校准规范作为可选参数。基于以上理由，分辨力板计量检定规程亟待修订，转为分辨力板校准规范。</w:t>
      </w:r>
    </w:p>
    <w:p>
      <w:pPr>
        <w:numPr>
          <w:ilvl w:val="0"/>
          <w:numId w:val="0"/>
        </w:numPr>
        <w:tabs>
          <w:tab w:val="left" w:pos="720"/>
        </w:tabs>
        <w:spacing w:beforeLines="50" w:line="276" w:lineRule="auto"/>
        <w:ind w:leftChars="0" w:right="23" w:rightChars="0"/>
        <w:rPr>
          <w:rFonts w:eastAsia="黑体"/>
          <w:sz w:val="28"/>
        </w:rPr>
      </w:pPr>
      <w:r>
        <w:rPr>
          <w:rFonts w:hint="eastAsia" w:eastAsia="黑体"/>
          <w:sz w:val="28"/>
          <w:lang w:val="en-US" w:eastAsia="zh-CN"/>
        </w:rPr>
        <w:t xml:space="preserve"> 三、</w:t>
      </w:r>
      <w:r>
        <w:rPr>
          <w:rFonts w:eastAsia="黑体"/>
          <w:sz w:val="28"/>
        </w:rPr>
        <w:t>修订依据</w:t>
      </w:r>
    </w:p>
    <w:p>
      <w:pPr>
        <w:numPr>
          <w:ilvl w:val="0"/>
          <w:numId w:val="0"/>
        </w:numPr>
        <w:tabs>
          <w:tab w:val="left" w:pos="720"/>
        </w:tabs>
        <w:spacing w:beforeLines="50" w:line="360" w:lineRule="auto"/>
        <w:ind w:right="23" w:rightChars="0" w:firstLine="480" w:firstLineChars="200"/>
        <w:rPr>
          <w:sz w:val="24"/>
          <w:szCs w:val="24"/>
        </w:rPr>
      </w:pPr>
      <w:r>
        <w:rPr>
          <w:sz w:val="24"/>
          <w:szCs w:val="24"/>
        </w:rPr>
        <w:t>JJF1001</w:t>
      </w:r>
      <w:r>
        <w:rPr>
          <w:rFonts w:hint="eastAsia"/>
          <w:sz w:val="24"/>
          <w:szCs w:val="24"/>
        </w:rPr>
        <w:t>通用计量术语及定义</w:t>
      </w:r>
    </w:p>
    <w:p>
      <w:pPr>
        <w:pStyle w:val="5"/>
        <w:spacing w:after="0" w:line="360" w:lineRule="auto"/>
        <w:ind w:left="0" w:leftChars="0" w:firstLine="480" w:firstLineChars="200"/>
        <w:rPr>
          <w:sz w:val="24"/>
          <w:szCs w:val="24"/>
        </w:rPr>
      </w:pPr>
      <w:r>
        <w:rPr>
          <w:sz w:val="24"/>
          <w:szCs w:val="24"/>
        </w:rPr>
        <w:t>JJF 10</w:t>
      </w:r>
      <w:r>
        <w:rPr>
          <w:rFonts w:hint="eastAsia"/>
          <w:sz w:val="24"/>
          <w:szCs w:val="24"/>
        </w:rPr>
        <w:t>71国家计量校准规范编写规则</w:t>
      </w:r>
    </w:p>
    <w:p>
      <w:pPr>
        <w:pStyle w:val="10"/>
        <w:spacing w:line="360" w:lineRule="auto"/>
        <w:ind w:left="0" w:leftChars="0" w:firstLine="480" w:firstLineChars="200"/>
        <w:rPr>
          <w:rFonts w:hint="default" w:ascii="Times New Roman" w:hAnsi="Times New Roman" w:cs="Times New Roman"/>
          <w:color w:val="000000"/>
        </w:rPr>
      </w:pPr>
      <w:r>
        <w:rPr>
          <w:rFonts w:hint="default" w:ascii="Times New Roman" w:hAnsi="Times New Roman" w:cs="Times New Roman"/>
          <w:color w:val="000000"/>
        </w:rPr>
        <w:t>GB/T 13962—200</w:t>
      </w:r>
      <w:r>
        <w:rPr>
          <w:rFonts w:hint="default" w:ascii="Times New Roman" w:hAnsi="Times New Roman" w:cs="Times New Roman"/>
          <w:color w:val="000000"/>
          <w:lang w:val="en-US" w:eastAsia="zh-CN"/>
        </w:rPr>
        <w:t>5</w:t>
      </w:r>
      <w:r>
        <w:rPr>
          <w:rFonts w:hint="default" w:ascii="Times New Roman" w:hAnsi="Times New Roman" w:cs="Times New Roman"/>
          <w:color w:val="000000"/>
        </w:rPr>
        <w:t>光学仪器术语</w:t>
      </w:r>
    </w:p>
    <w:p>
      <w:pPr>
        <w:pStyle w:val="5"/>
        <w:spacing w:after="0" w:line="360" w:lineRule="auto"/>
        <w:ind w:left="0" w:leftChars="0" w:firstLine="488" w:firstLineChars="200"/>
        <w:rPr>
          <w:rFonts w:hint="default" w:ascii="Times New Roman" w:hAnsi="Times New Roman" w:cs="Times New Roman"/>
          <w:color w:val="auto"/>
          <w:lang w:val="en-US"/>
        </w:rPr>
      </w:pPr>
      <w:r>
        <w:rPr>
          <w:rFonts w:hint="default" w:ascii="Times New Roman" w:hAnsi="Times New Roman" w:cs="Times New Roman"/>
          <w:color w:val="auto"/>
          <w:spacing w:val="2"/>
          <w:kern w:val="0"/>
          <w:sz w:val="24"/>
          <w:szCs w:val="24"/>
        </w:rPr>
        <w:t xml:space="preserve">GB/T </w:t>
      </w:r>
      <w:r>
        <w:rPr>
          <w:rFonts w:hint="default" w:ascii="Times New Roman" w:hAnsi="Times New Roman" w:cs="Times New Roman"/>
          <w:color w:val="auto"/>
          <w:spacing w:val="2"/>
          <w:kern w:val="0"/>
          <w:sz w:val="24"/>
          <w:szCs w:val="24"/>
          <w:lang w:val="en-US" w:eastAsia="zh-CN"/>
        </w:rPr>
        <w:t>19953</w:t>
      </w:r>
      <w:r>
        <w:rPr>
          <w:rFonts w:hint="default" w:ascii="Times New Roman" w:hAnsi="Times New Roman" w:cs="Times New Roman"/>
          <w:color w:val="auto"/>
          <w:spacing w:val="2"/>
          <w:kern w:val="0"/>
          <w:sz w:val="24"/>
          <w:szCs w:val="24"/>
        </w:rPr>
        <w:t>-20</w:t>
      </w:r>
      <w:r>
        <w:rPr>
          <w:rFonts w:hint="default" w:ascii="Times New Roman" w:hAnsi="Times New Roman" w:cs="Times New Roman"/>
          <w:color w:val="auto"/>
          <w:spacing w:val="2"/>
          <w:kern w:val="0"/>
          <w:sz w:val="24"/>
          <w:szCs w:val="24"/>
          <w:lang w:val="en-US" w:eastAsia="zh-CN"/>
        </w:rPr>
        <w:t>05</w:t>
      </w:r>
      <w:r>
        <w:rPr>
          <w:rFonts w:hint="default" w:ascii="Times New Roman" w:hAnsi="Times New Roman" w:cs="Times New Roman"/>
          <w:color w:val="auto"/>
          <w:spacing w:val="2"/>
          <w:kern w:val="0"/>
          <w:sz w:val="24"/>
          <w:szCs w:val="24"/>
        </w:rPr>
        <w:t xml:space="preserve"> </w:t>
      </w:r>
      <w:r>
        <w:rPr>
          <w:rFonts w:hint="default" w:ascii="Times New Roman" w:hAnsi="Times New Roman" w:cs="Times New Roman"/>
          <w:color w:val="auto"/>
          <w:spacing w:val="2"/>
          <w:kern w:val="0"/>
          <w:sz w:val="24"/>
          <w:szCs w:val="24"/>
          <w:lang w:eastAsia="zh-CN"/>
        </w:rPr>
        <w:t>数码照相机</w:t>
      </w:r>
      <w:r>
        <w:rPr>
          <w:rFonts w:hint="default" w:ascii="Times New Roman" w:hAnsi="Times New Roman" w:cs="Times New Roman"/>
          <w:color w:val="auto"/>
          <w:spacing w:val="2"/>
          <w:kern w:val="0"/>
          <w:sz w:val="24"/>
          <w:szCs w:val="24"/>
          <w:lang w:val="en-US" w:eastAsia="zh-CN"/>
        </w:rPr>
        <w:t xml:space="preserve"> 分辨率的测量</w:t>
      </w:r>
    </w:p>
    <w:p>
      <w:pPr>
        <w:pStyle w:val="5"/>
        <w:spacing w:after="0" w:line="360" w:lineRule="auto"/>
        <w:ind w:left="0" w:leftChars="0" w:firstLine="488" w:firstLineChars="200"/>
        <w:rPr>
          <w:rFonts w:hint="default" w:ascii="Times New Roman" w:hAnsi="Times New Roman" w:eastAsia="宋体" w:cs="Times New Roman"/>
          <w:color w:val="auto"/>
          <w:spacing w:val="2"/>
          <w:kern w:val="0"/>
          <w:sz w:val="24"/>
          <w:szCs w:val="24"/>
          <w:lang w:val="en-US" w:eastAsia="zh-CN"/>
        </w:rPr>
      </w:pPr>
      <w:r>
        <w:rPr>
          <w:rFonts w:hint="default" w:ascii="Times New Roman" w:hAnsi="Times New Roman" w:cs="Times New Roman"/>
          <w:color w:val="auto"/>
          <w:spacing w:val="2"/>
          <w:kern w:val="0"/>
          <w:sz w:val="24"/>
          <w:szCs w:val="24"/>
        </w:rPr>
        <w:t xml:space="preserve">GB/T </w:t>
      </w:r>
      <w:r>
        <w:rPr>
          <w:rFonts w:hint="default" w:ascii="Times New Roman" w:hAnsi="Times New Roman" w:cs="Times New Roman"/>
          <w:color w:val="auto"/>
          <w:spacing w:val="2"/>
          <w:kern w:val="0"/>
          <w:sz w:val="24"/>
          <w:szCs w:val="24"/>
          <w:lang w:val="en-US" w:eastAsia="zh-CN"/>
        </w:rPr>
        <w:t>6161</w:t>
      </w:r>
      <w:r>
        <w:rPr>
          <w:rFonts w:hint="default" w:ascii="Times New Roman" w:hAnsi="Times New Roman" w:cs="Times New Roman"/>
          <w:color w:val="auto"/>
          <w:spacing w:val="2"/>
          <w:kern w:val="0"/>
          <w:sz w:val="24"/>
          <w:szCs w:val="24"/>
        </w:rPr>
        <w:t>-20</w:t>
      </w:r>
      <w:r>
        <w:rPr>
          <w:rFonts w:hint="default" w:ascii="Times New Roman" w:hAnsi="Times New Roman" w:cs="Times New Roman"/>
          <w:color w:val="auto"/>
          <w:spacing w:val="2"/>
          <w:kern w:val="0"/>
          <w:sz w:val="24"/>
          <w:szCs w:val="24"/>
          <w:lang w:val="en-US" w:eastAsia="zh-CN"/>
        </w:rPr>
        <w:t>08</w:t>
      </w:r>
      <w:r>
        <w:rPr>
          <w:rFonts w:hint="default" w:ascii="Times New Roman" w:hAnsi="Times New Roman" w:cs="Times New Roman"/>
          <w:color w:val="auto"/>
          <w:spacing w:val="2"/>
          <w:kern w:val="0"/>
          <w:sz w:val="24"/>
          <w:szCs w:val="24"/>
        </w:rPr>
        <w:t xml:space="preserve"> </w:t>
      </w:r>
      <w:r>
        <w:rPr>
          <w:rFonts w:hint="default" w:ascii="Times New Roman" w:hAnsi="Times New Roman" w:cs="Times New Roman"/>
          <w:color w:val="auto"/>
          <w:spacing w:val="2"/>
          <w:kern w:val="0"/>
          <w:sz w:val="24"/>
          <w:szCs w:val="24"/>
          <w:lang w:eastAsia="zh-CN"/>
        </w:rPr>
        <w:t>缩微摄影技术</w:t>
      </w:r>
      <w:r>
        <w:rPr>
          <w:rFonts w:hint="default" w:ascii="Times New Roman" w:hAnsi="Times New Roman" w:cs="Times New Roman"/>
          <w:color w:val="auto"/>
          <w:spacing w:val="2"/>
          <w:kern w:val="0"/>
          <w:sz w:val="24"/>
          <w:szCs w:val="24"/>
          <w:lang w:val="en-US" w:eastAsia="zh-CN"/>
        </w:rPr>
        <w:t xml:space="preserve"> ISO 2号解像力测试图的描述及其应用</w:t>
      </w:r>
    </w:p>
    <w:p>
      <w:pPr>
        <w:pStyle w:val="5"/>
        <w:spacing w:after="0" w:line="360" w:lineRule="auto"/>
        <w:ind w:left="-2" w:leftChars="-1" w:firstLine="424" w:firstLineChars="177"/>
        <w:rPr>
          <w:sz w:val="24"/>
          <w:szCs w:val="24"/>
        </w:rPr>
      </w:pPr>
      <w:r>
        <w:rPr>
          <w:rFonts w:hint="eastAsia"/>
          <w:sz w:val="24"/>
          <w:szCs w:val="24"/>
        </w:rPr>
        <w:t>JJF 1059.1测量不确定度评定与表示</w:t>
      </w:r>
    </w:p>
    <w:p>
      <w:pPr>
        <w:pStyle w:val="5"/>
        <w:spacing w:after="0" w:line="360" w:lineRule="auto"/>
        <w:ind w:left="-2" w:leftChars="-1" w:firstLine="424" w:firstLineChars="177"/>
        <w:rPr>
          <w:sz w:val="24"/>
          <w:szCs w:val="24"/>
        </w:rPr>
      </w:pPr>
      <w:r>
        <w:rPr>
          <w:sz w:val="24"/>
          <w:szCs w:val="24"/>
        </w:rPr>
        <w:t>JJG</w:t>
      </w:r>
      <w:r>
        <w:rPr>
          <w:rFonts w:hint="eastAsia"/>
          <w:sz w:val="24"/>
          <w:szCs w:val="24"/>
          <w:lang w:val="en-US" w:eastAsia="zh-CN"/>
        </w:rPr>
        <w:t>827</w:t>
      </w:r>
      <w:r>
        <w:rPr>
          <w:sz w:val="24"/>
          <w:szCs w:val="24"/>
        </w:rPr>
        <w:t xml:space="preserve"> </w:t>
      </w:r>
      <w:r>
        <w:rPr>
          <w:rFonts w:hint="eastAsia"/>
          <w:sz w:val="24"/>
          <w:szCs w:val="24"/>
          <w:lang w:eastAsia="zh-CN"/>
        </w:rPr>
        <w:t>分辨力板</w:t>
      </w:r>
      <w:r>
        <w:rPr>
          <w:sz w:val="24"/>
          <w:szCs w:val="24"/>
        </w:rPr>
        <w:t>检定规程</w:t>
      </w:r>
    </w:p>
    <w:p>
      <w:pPr>
        <w:pStyle w:val="5"/>
        <w:spacing w:after="0" w:line="360" w:lineRule="auto"/>
        <w:ind w:left="-2" w:leftChars="-1" w:firstLine="424" w:firstLineChars="177"/>
        <w:rPr>
          <w:sz w:val="24"/>
          <w:szCs w:val="24"/>
        </w:rPr>
      </w:pPr>
      <w:r>
        <w:rPr>
          <w:sz w:val="24"/>
          <w:szCs w:val="24"/>
        </w:rPr>
        <w:t>凡是注日期的引用文件，仅注日期的版本适用于本规范。凡是不注日期的引用文件，其最新版本（包括所有的修改单）适用于本规范。</w:t>
      </w:r>
    </w:p>
    <w:p>
      <w:pPr>
        <w:numPr>
          <w:ilvl w:val="0"/>
          <w:numId w:val="3"/>
        </w:numPr>
        <w:tabs>
          <w:tab w:val="left" w:pos="540"/>
          <w:tab w:val="clear" w:pos="1037"/>
        </w:tabs>
        <w:spacing w:beforeLines="50" w:line="276" w:lineRule="auto"/>
        <w:ind w:left="540" w:right="23" w:hanging="540"/>
        <w:rPr>
          <w:rFonts w:eastAsia="黑体"/>
          <w:sz w:val="28"/>
        </w:rPr>
      </w:pPr>
      <w:r>
        <w:rPr>
          <w:rFonts w:eastAsia="黑体"/>
          <w:sz w:val="28"/>
        </w:rPr>
        <w:t>主要</w:t>
      </w:r>
      <w:r>
        <w:rPr>
          <w:rFonts w:hint="eastAsia" w:eastAsia="黑体"/>
          <w:sz w:val="28"/>
        </w:rPr>
        <w:t>修订</w:t>
      </w:r>
      <w:r>
        <w:rPr>
          <w:rFonts w:eastAsia="黑体"/>
          <w:sz w:val="28"/>
        </w:rPr>
        <w:t>内容</w:t>
      </w:r>
    </w:p>
    <w:p>
      <w:pPr>
        <w:numPr>
          <w:ilvl w:val="0"/>
          <w:numId w:val="4"/>
        </w:numPr>
        <w:tabs>
          <w:tab w:val="left" w:pos="360"/>
          <w:tab w:val="clear" w:pos="777"/>
        </w:tabs>
        <w:spacing w:beforeLines="50" w:line="360" w:lineRule="auto"/>
        <w:ind w:left="357" w:right="23" w:hanging="357"/>
        <w:rPr>
          <w:sz w:val="24"/>
          <w:szCs w:val="24"/>
        </w:rPr>
      </w:pPr>
      <w:r>
        <w:rPr>
          <w:color w:val="000000"/>
          <w:sz w:val="24"/>
          <w:szCs w:val="24"/>
        </w:rPr>
        <w:t>JJF 1001</w:t>
      </w:r>
      <w:r>
        <w:rPr>
          <w:rFonts w:hAnsi="宋体"/>
          <w:color w:val="000000"/>
          <w:spacing w:val="2"/>
          <w:kern w:val="0"/>
          <w:sz w:val="24"/>
          <w:szCs w:val="24"/>
        </w:rPr>
        <w:t>《</w:t>
      </w:r>
      <w:r>
        <w:rPr>
          <w:rFonts w:hAnsi="宋体"/>
          <w:color w:val="000000"/>
          <w:sz w:val="24"/>
          <w:szCs w:val="24"/>
        </w:rPr>
        <w:t>通用计量术语及定义</w:t>
      </w:r>
      <w:r>
        <w:rPr>
          <w:rFonts w:hAnsi="宋体"/>
          <w:color w:val="000000"/>
          <w:spacing w:val="2"/>
          <w:kern w:val="0"/>
          <w:sz w:val="24"/>
          <w:szCs w:val="24"/>
        </w:rPr>
        <w:t>》</w:t>
      </w:r>
      <w:r>
        <w:rPr>
          <w:rFonts w:hAnsi="宋体"/>
          <w:color w:val="000000"/>
          <w:sz w:val="24"/>
          <w:szCs w:val="24"/>
        </w:rPr>
        <w:t>、</w:t>
      </w:r>
      <w:r>
        <w:rPr>
          <w:sz w:val="24"/>
          <w:szCs w:val="24"/>
        </w:rPr>
        <w:t>JJF 1071 《国家计量校准规范编写规则》、</w:t>
      </w:r>
      <w:r>
        <w:rPr>
          <w:color w:val="000000"/>
          <w:sz w:val="24"/>
          <w:szCs w:val="24"/>
        </w:rPr>
        <w:t>JJF 1032</w:t>
      </w:r>
      <w:r>
        <w:rPr>
          <w:rFonts w:hAnsi="宋体"/>
          <w:color w:val="000000"/>
          <w:spacing w:val="2"/>
          <w:kern w:val="0"/>
          <w:sz w:val="24"/>
          <w:szCs w:val="24"/>
        </w:rPr>
        <w:t>《光学辐射计量名词术语及定义》</w:t>
      </w:r>
      <w:r>
        <w:rPr>
          <w:rFonts w:hAnsi="宋体"/>
          <w:color w:val="000000"/>
          <w:sz w:val="24"/>
          <w:szCs w:val="24"/>
        </w:rPr>
        <w:t>和</w:t>
      </w:r>
      <w:r>
        <w:rPr>
          <w:color w:val="000000"/>
          <w:sz w:val="24"/>
          <w:szCs w:val="24"/>
        </w:rPr>
        <w:t>JJF 1059.1</w:t>
      </w:r>
      <w:r>
        <w:rPr>
          <w:rFonts w:hAnsi="宋体"/>
          <w:color w:val="000000"/>
          <w:spacing w:val="2"/>
          <w:kern w:val="0"/>
          <w:sz w:val="24"/>
          <w:szCs w:val="24"/>
        </w:rPr>
        <w:t>《</w:t>
      </w:r>
      <w:r>
        <w:rPr>
          <w:rFonts w:hAnsi="宋体"/>
          <w:color w:val="000000"/>
          <w:sz w:val="24"/>
          <w:szCs w:val="24"/>
        </w:rPr>
        <w:t>测量不确定度评定与表示</w:t>
      </w:r>
      <w:r>
        <w:rPr>
          <w:rFonts w:hAnsi="宋体"/>
          <w:color w:val="000000"/>
          <w:spacing w:val="2"/>
          <w:kern w:val="0"/>
          <w:sz w:val="24"/>
          <w:szCs w:val="24"/>
        </w:rPr>
        <w:t>》</w:t>
      </w:r>
      <w:r>
        <w:rPr>
          <w:rFonts w:hAnsi="宋体"/>
          <w:color w:val="000000"/>
          <w:sz w:val="24"/>
          <w:szCs w:val="24"/>
        </w:rPr>
        <w:t>共同构成支撑本规范修订工作的基础性系列规范。</w:t>
      </w:r>
    </w:p>
    <w:p>
      <w:pPr>
        <w:pStyle w:val="6"/>
        <w:spacing w:line="360" w:lineRule="auto"/>
        <w:rPr>
          <w:rFonts w:hint="eastAsia" w:hAnsi="宋体"/>
          <w:b/>
          <w:sz w:val="24"/>
          <w:szCs w:val="24"/>
        </w:rPr>
      </w:pPr>
      <w:r>
        <w:rPr>
          <w:rFonts w:hint="eastAsia" w:hAnsi="宋体"/>
          <w:b/>
          <w:sz w:val="24"/>
          <w:szCs w:val="24"/>
          <w:lang w:val="en-US" w:eastAsia="zh-CN"/>
        </w:rPr>
        <w:t>2</w:t>
      </w:r>
      <w:r>
        <w:rPr>
          <w:rFonts w:hint="eastAsia" w:hAnsi="宋体"/>
          <w:b/>
          <w:sz w:val="24"/>
          <w:szCs w:val="24"/>
        </w:rPr>
        <w:t>、修订的主要内容及情况说明</w:t>
      </w:r>
    </w:p>
    <w:p>
      <w:pPr>
        <w:pStyle w:val="5"/>
        <w:spacing w:after="0" w:line="360" w:lineRule="auto"/>
        <w:ind w:left="0" w:leftChars="0" w:firstLine="480" w:firstLineChars="200"/>
        <w:rPr>
          <w:sz w:val="24"/>
          <w:szCs w:val="24"/>
        </w:rPr>
      </w:pPr>
      <w:r>
        <w:rPr>
          <w:rFonts w:hAnsi="宋体"/>
          <w:sz w:val="24"/>
          <w:szCs w:val="24"/>
        </w:rPr>
        <w:t>本</w:t>
      </w:r>
      <w:r>
        <w:rPr>
          <w:rFonts w:hint="eastAsia" w:hAnsi="宋体"/>
          <w:sz w:val="24"/>
          <w:szCs w:val="24"/>
          <w:lang w:eastAsia="zh-CN"/>
        </w:rPr>
        <w:t>校准</w:t>
      </w:r>
      <w:r>
        <w:rPr>
          <w:rFonts w:hAnsi="宋体"/>
          <w:sz w:val="24"/>
          <w:szCs w:val="24"/>
        </w:rPr>
        <w:t>规范为</w:t>
      </w:r>
      <w:r>
        <w:rPr>
          <w:sz w:val="24"/>
          <w:szCs w:val="24"/>
        </w:rPr>
        <w:t xml:space="preserve">JJG </w:t>
      </w:r>
      <w:r>
        <w:rPr>
          <w:rFonts w:hint="eastAsia"/>
          <w:sz w:val="24"/>
          <w:szCs w:val="24"/>
          <w:lang w:val="en-US" w:eastAsia="zh-CN"/>
        </w:rPr>
        <w:t>827</w:t>
      </w:r>
      <w:r>
        <w:rPr>
          <w:sz w:val="24"/>
          <w:szCs w:val="24"/>
        </w:rPr>
        <w:t>-</w:t>
      </w:r>
      <w:r>
        <w:rPr>
          <w:rFonts w:hint="eastAsia"/>
          <w:sz w:val="24"/>
          <w:szCs w:val="24"/>
          <w:lang w:val="en-US" w:eastAsia="zh-CN"/>
        </w:rPr>
        <w:t>1993</w:t>
      </w:r>
      <w:r>
        <w:rPr>
          <w:sz w:val="24"/>
          <w:szCs w:val="24"/>
        </w:rPr>
        <w:t xml:space="preserve"> </w:t>
      </w:r>
      <w:r>
        <w:rPr>
          <w:rFonts w:hAnsi="宋体"/>
          <w:sz w:val="24"/>
          <w:szCs w:val="24"/>
        </w:rPr>
        <w:t>《</w:t>
      </w:r>
      <w:r>
        <w:rPr>
          <w:rFonts w:hint="eastAsia" w:hAnsi="宋体"/>
          <w:sz w:val="24"/>
          <w:szCs w:val="24"/>
          <w:lang w:eastAsia="zh-CN"/>
        </w:rPr>
        <w:t>分辨力板</w:t>
      </w:r>
      <w:r>
        <w:rPr>
          <w:rFonts w:hAnsi="宋体"/>
          <w:sz w:val="24"/>
          <w:szCs w:val="24"/>
        </w:rPr>
        <w:t>检定规程》的修订</w:t>
      </w:r>
      <w:r>
        <w:rPr>
          <w:rFonts w:hint="eastAsia" w:hAnsi="宋体"/>
          <w:sz w:val="24"/>
          <w:szCs w:val="24"/>
          <w:lang w:eastAsia="zh-CN"/>
        </w:rPr>
        <w:t>版</w:t>
      </w:r>
      <w:bookmarkStart w:id="0" w:name="_GoBack"/>
      <w:bookmarkEnd w:id="0"/>
      <w:r>
        <w:rPr>
          <w:rFonts w:hAnsi="宋体"/>
          <w:sz w:val="24"/>
          <w:szCs w:val="24"/>
        </w:rPr>
        <w:t>。与</w:t>
      </w:r>
      <w:r>
        <w:rPr>
          <w:sz w:val="24"/>
          <w:szCs w:val="24"/>
        </w:rPr>
        <w:t xml:space="preserve"> </w:t>
      </w:r>
      <w:r>
        <w:rPr>
          <w:rFonts w:hint="eastAsia"/>
          <w:sz w:val="24"/>
          <w:szCs w:val="24"/>
          <w:lang w:val="en-US" w:eastAsia="zh-CN"/>
        </w:rPr>
        <w:t>827</w:t>
      </w:r>
      <w:r>
        <w:rPr>
          <w:sz w:val="24"/>
          <w:szCs w:val="24"/>
        </w:rPr>
        <w:t>-</w:t>
      </w:r>
      <w:r>
        <w:rPr>
          <w:rFonts w:hint="eastAsia"/>
          <w:sz w:val="24"/>
          <w:szCs w:val="24"/>
          <w:lang w:val="en-US" w:eastAsia="zh-CN"/>
        </w:rPr>
        <w:t>1993</w:t>
      </w:r>
      <w:r>
        <w:rPr>
          <w:rFonts w:hAnsi="宋体"/>
          <w:sz w:val="24"/>
          <w:szCs w:val="24"/>
        </w:rPr>
        <w:t>相比，除编辑性修改外，本规范主要技术变化如下：</w:t>
      </w:r>
    </w:p>
    <w:p>
      <w:pPr>
        <w:pStyle w:val="5"/>
        <w:numPr>
          <w:ilvl w:val="0"/>
          <w:numId w:val="5"/>
        </w:numPr>
        <w:spacing w:after="0" w:line="360" w:lineRule="auto"/>
        <w:ind w:left="0" w:leftChars="0" w:firstLine="480" w:firstLineChars="200"/>
        <w:rPr>
          <w:sz w:val="24"/>
          <w:szCs w:val="24"/>
        </w:rPr>
      </w:pPr>
      <w:r>
        <w:rPr>
          <w:rFonts w:hint="eastAsia"/>
          <w:sz w:val="24"/>
          <w:szCs w:val="24"/>
        </w:rPr>
        <w:t>原</w:t>
      </w:r>
      <w:r>
        <w:rPr>
          <w:sz w:val="24"/>
          <w:szCs w:val="24"/>
        </w:rPr>
        <w:t>检定规程修改为校准规范</w:t>
      </w:r>
    </w:p>
    <w:p>
      <w:pPr>
        <w:pStyle w:val="5"/>
        <w:numPr>
          <w:ilvl w:val="0"/>
          <w:numId w:val="0"/>
        </w:numPr>
        <w:spacing w:after="0" w:line="360" w:lineRule="auto"/>
        <w:ind w:firstLine="488" w:firstLineChars="200"/>
        <w:rPr>
          <w:rFonts w:hint="default"/>
          <w:sz w:val="24"/>
          <w:szCs w:val="24"/>
          <w:lang w:val="en-US" w:eastAsia="zh-CN"/>
        </w:rPr>
      </w:pPr>
      <w:r>
        <w:rPr>
          <w:rFonts w:hint="eastAsia"/>
          <w:spacing w:val="2"/>
          <w:kern w:val="0"/>
          <w:sz w:val="24"/>
          <w:szCs w:val="24"/>
          <w:lang w:eastAsia="zh-CN"/>
        </w:rPr>
        <w:t>分辨力板主要用于测量光学零部件、望远系统、显微镜、投影物镜、照相机及数码相机、缩微系统等的分辨能力。由于各类系统的应用不同，工作条件不同，要求不同，所以分辨力图案形式也不一样，实际上原</w:t>
      </w:r>
      <w:r>
        <w:rPr>
          <w:sz w:val="24"/>
          <w:szCs w:val="24"/>
        </w:rPr>
        <w:t xml:space="preserve">JJG </w:t>
      </w:r>
      <w:r>
        <w:rPr>
          <w:rFonts w:hint="eastAsia"/>
          <w:sz w:val="24"/>
          <w:szCs w:val="24"/>
          <w:lang w:val="en-US" w:eastAsia="zh-CN"/>
        </w:rPr>
        <w:t>827</w:t>
      </w:r>
      <w:r>
        <w:rPr>
          <w:sz w:val="24"/>
          <w:szCs w:val="24"/>
        </w:rPr>
        <w:t>-</w:t>
      </w:r>
      <w:r>
        <w:rPr>
          <w:rFonts w:hint="eastAsia"/>
          <w:sz w:val="24"/>
          <w:szCs w:val="24"/>
          <w:lang w:val="en-US" w:eastAsia="zh-CN"/>
        </w:rPr>
        <w:t>1993</w:t>
      </w:r>
      <w:r>
        <w:rPr>
          <w:sz w:val="24"/>
          <w:szCs w:val="24"/>
        </w:rPr>
        <w:t xml:space="preserve"> </w:t>
      </w:r>
      <w:r>
        <w:rPr>
          <w:rFonts w:hAnsi="宋体"/>
          <w:sz w:val="24"/>
          <w:szCs w:val="24"/>
        </w:rPr>
        <w:t>《</w:t>
      </w:r>
      <w:r>
        <w:rPr>
          <w:rFonts w:hint="eastAsia" w:hAnsi="宋体"/>
          <w:sz w:val="24"/>
          <w:szCs w:val="24"/>
          <w:lang w:eastAsia="zh-CN"/>
        </w:rPr>
        <w:t>分辨力板</w:t>
      </w:r>
      <w:r>
        <w:rPr>
          <w:rFonts w:hAnsi="宋体"/>
          <w:sz w:val="24"/>
          <w:szCs w:val="24"/>
        </w:rPr>
        <w:t>检定规程》</w:t>
      </w:r>
      <w:r>
        <w:rPr>
          <w:rFonts w:hint="eastAsia" w:hAnsi="宋体"/>
          <w:sz w:val="24"/>
          <w:szCs w:val="24"/>
          <w:lang w:eastAsia="zh-CN"/>
        </w:rPr>
        <w:t>规定的分辨力板只是分辨力板中的一部分，随着技术的发展，新的分辨力板不断涌现。而且即使本校准规范描述的分辨力板也必不能穷尽目前市面上的分辨力板。因此除了在文本格式调整外，本校准规范修订的思路是：关注关键计量技术指标，在校准项目上并不作太多严苛规定和过多意义不大的参数，而以求能囊括更多分辨力板，给校准检测人员提供一个依据。</w:t>
      </w:r>
    </w:p>
    <w:p>
      <w:pPr>
        <w:pStyle w:val="5"/>
        <w:numPr>
          <w:ilvl w:val="0"/>
          <w:numId w:val="6"/>
        </w:numPr>
        <w:spacing w:after="0" w:line="360" w:lineRule="auto"/>
        <w:ind w:left="-60" w:leftChars="0" w:firstLine="480" w:firstLineChars="0"/>
        <w:rPr>
          <w:rFonts w:hint="eastAsia"/>
          <w:color w:val="auto"/>
          <w:sz w:val="24"/>
          <w:szCs w:val="24"/>
          <w:lang w:eastAsia="zh-CN"/>
        </w:rPr>
      </w:pPr>
      <w:r>
        <w:rPr>
          <w:rFonts w:hint="eastAsia"/>
          <w:color w:val="auto"/>
          <w:sz w:val="24"/>
          <w:szCs w:val="24"/>
          <w:lang w:eastAsia="zh-CN"/>
        </w:rPr>
        <w:t>调整了概述，删除了</w:t>
      </w:r>
      <w:r>
        <w:rPr>
          <w:rFonts w:hint="eastAsia"/>
          <w:color w:val="auto"/>
          <w:sz w:val="24"/>
          <w:szCs w:val="24"/>
          <w:lang w:val="en-US" w:eastAsia="zh-CN"/>
        </w:rPr>
        <w:t>A型分辨力板宽度、长度及基线间距的描述及允差要求</w:t>
      </w:r>
      <w:r>
        <w:rPr>
          <w:rFonts w:hint="eastAsia"/>
          <w:color w:val="auto"/>
          <w:sz w:val="24"/>
          <w:szCs w:val="24"/>
          <w:lang w:eastAsia="zh-CN"/>
        </w:rPr>
        <w:t>，增加了两种更为常见的分辨力板的说明，增加了分辨力板的对比度、空间频率的描述。</w:t>
      </w:r>
    </w:p>
    <w:p>
      <w:pPr>
        <w:pStyle w:val="5"/>
        <w:numPr>
          <w:ilvl w:val="0"/>
          <w:numId w:val="0"/>
        </w:numPr>
        <w:spacing w:after="0" w:line="360" w:lineRule="auto"/>
        <w:ind w:firstLine="480" w:firstLineChars="200"/>
        <w:rPr>
          <w:rFonts w:hint="eastAsia"/>
          <w:color w:val="auto"/>
          <w:sz w:val="24"/>
          <w:szCs w:val="24"/>
          <w:lang w:eastAsia="zh-CN"/>
        </w:rPr>
      </w:pPr>
      <w:r>
        <w:rPr>
          <w:rFonts w:hint="eastAsia"/>
          <w:color w:val="auto"/>
          <w:sz w:val="24"/>
          <w:szCs w:val="24"/>
          <w:lang w:eastAsia="zh-CN"/>
        </w:rPr>
        <w:t>该部分的调整是因为，首先</w:t>
      </w:r>
      <w:r>
        <w:rPr>
          <w:rFonts w:hint="eastAsia"/>
          <w:color w:val="auto"/>
          <w:sz w:val="24"/>
          <w:szCs w:val="24"/>
          <w:lang w:val="en-US" w:eastAsia="zh-CN"/>
        </w:rPr>
        <w:t>A型分辨力板的重要性逐渐降低，每一个分辨力板都按照此种方式做过多描述，则该规范将过于冗长。删除宽度、长度及基线间距的描述并不影响文本的完整度。</w:t>
      </w:r>
    </w:p>
    <w:p>
      <w:pPr>
        <w:pStyle w:val="5"/>
        <w:spacing w:after="0" w:line="360" w:lineRule="auto"/>
        <w:ind w:left="0" w:leftChars="0" w:firstLine="480" w:firstLineChars="200"/>
        <w:rPr>
          <w:rFonts w:hint="eastAsia" w:hAnsi="宋体"/>
          <w:color w:val="auto"/>
          <w:sz w:val="24"/>
          <w:szCs w:val="24"/>
          <w:lang w:eastAsia="zh-CN"/>
        </w:rPr>
      </w:pPr>
      <w:r>
        <w:rPr>
          <w:rFonts w:hint="eastAsia"/>
          <w:color w:val="auto"/>
          <w:sz w:val="24"/>
          <w:szCs w:val="24"/>
          <w:lang w:val="en-US" w:eastAsia="zh-CN"/>
        </w:rPr>
        <w:t>3）</w:t>
      </w:r>
      <w:r>
        <w:rPr>
          <w:rFonts w:hint="eastAsia"/>
          <w:color w:val="auto"/>
          <w:sz w:val="24"/>
          <w:szCs w:val="24"/>
          <w:lang w:eastAsia="zh-CN"/>
        </w:rPr>
        <w:t>删除</w:t>
      </w:r>
      <w:r>
        <w:rPr>
          <w:rFonts w:hint="eastAsia"/>
          <w:color w:val="auto"/>
          <w:sz w:val="24"/>
          <w:szCs w:val="24"/>
          <w:lang w:val="en-US" w:eastAsia="zh-CN"/>
        </w:rPr>
        <w:t>A型</w:t>
      </w:r>
      <w:r>
        <w:rPr>
          <w:rFonts w:hint="eastAsia"/>
          <w:color w:val="auto"/>
          <w:sz w:val="24"/>
          <w:szCs w:val="24"/>
          <w:lang w:eastAsia="zh-CN"/>
        </w:rPr>
        <w:t>分辨力板两对基线间距相互偏差的允差要求</w:t>
      </w:r>
      <w:r>
        <w:rPr>
          <w:rFonts w:hint="eastAsia"/>
          <w:color w:val="auto"/>
          <w:sz w:val="24"/>
          <w:szCs w:val="24"/>
        </w:rPr>
        <w:t>；</w:t>
      </w:r>
      <w:r>
        <w:rPr>
          <w:rFonts w:hint="eastAsia"/>
          <w:color w:val="auto"/>
          <w:sz w:val="24"/>
          <w:szCs w:val="24"/>
          <w:lang w:eastAsia="zh-CN"/>
        </w:rPr>
        <w:t>删除了基线的允许对称偏差及对毛坯中心的允许对中误差</w:t>
      </w:r>
      <w:r>
        <w:rPr>
          <w:rFonts w:hint="eastAsia" w:hAnsi="宋体"/>
          <w:color w:val="auto"/>
          <w:sz w:val="24"/>
          <w:szCs w:val="24"/>
          <w:lang w:eastAsia="zh-CN"/>
        </w:rPr>
        <w:t>；</w:t>
      </w:r>
    </w:p>
    <w:p>
      <w:pPr>
        <w:pStyle w:val="5"/>
        <w:spacing w:after="0" w:line="360" w:lineRule="auto"/>
        <w:ind w:left="0" w:leftChars="0" w:firstLine="480" w:firstLineChars="200"/>
        <w:rPr>
          <w:rFonts w:hint="default" w:eastAsia="宋体"/>
          <w:color w:val="auto"/>
          <w:sz w:val="24"/>
          <w:szCs w:val="24"/>
          <w:lang w:val="en-US" w:eastAsia="zh-CN"/>
        </w:rPr>
      </w:pPr>
      <w:r>
        <w:rPr>
          <w:rFonts w:hint="eastAsia"/>
          <w:color w:val="auto"/>
          <w:sz w:val="24"/>
          <w:szCs w:val="24"/>
          <w:lang w:val="en-US" w:eastAsia="zh-CN"/>
        </w:rPr>
        <w:t>该部分的调整是因为基线间距是分辨力板的工艺要求，实际应用中很少用到该参数，尤其是互差，</w:t>
      </w:r>
      <w:r>
        <w:rPr>
          <w:rFonts w:hint="eastAsia"/>
          <w:color w:val="auto"/>
          <w:sz w:val="24"/>
          <w:szCs w:val="24"/>
          <w:lang w:eastAsia="zh-CN"/>
        </w:rPr>
        <w:t>基线的允许对称偏差及对毛坯中心的允许对中误差等，新型分辨力板都没有这些参数了。</w:t>
      </w:r>
    </w:p>
    <w:p>
      <w:pPr>
        <w:pStyle w:val="5"/>
        <w:numPr>
          <w:ilvl w:val="0"/>
          <w:numId w:val="0"/>
        </w:numPr>
        <w:spacing w:after="0" w:line="360" w:lineRule="auto"/>
        <w:ind w:left="420" w:leftChars="0"/>
        <w:rPr>
          <w:rFonts w:hint="eastAsia" w:hAnsi="宋体"/>
          <w:color w:val="auto"/>
          <w:sz w:val="24"/>
          <w:szCs w:val="24"/>
          <w:lang w:eastAsia="zh-CN"/>
        </w:rPr>
      </w:pPr>
      <w:r>
        <w:rPr>
          <w:rFonts w:hint="eastAsia"/>
          <w:sz w:val="24"/>
          <w:szCs w:val="24"/>
          <w:lang w:val="en-US" w:eastAsia="zh-CN"/>
        </w:rPr>
        <w:t>4）</w:t>
      </w:r>
      <w:r>
        <w:rPr>
          <w:rFonts w:hint="eastAsia"/>
          <w:sz w:val="24"/>
          <w:szCs w:val="24"/>
          <w:lang w:eastAsia="zh-CN"/>
        </w:rPr>
        <w:t>减少了</w:t>
      </w:r>
      <w:r>
        <w:rPr>
          <w:rFonts w:hint="eastAsia"/>
          <w:color w:val="auto"/>
          <w:sz w:val="24"/>
          <w:szCs w:val="24"/>
          <w:lang w:eastAsia="zh-CN"/>
        </w:rPr>
        <w:t>线条宽度允差所要校准的板号和单元号，调整了其校准方法</w:t>
      </w:r>
      <w:r>
        <w:rPr>
          <w:rFonts w:hint="eastAsia" w:hAnsi="宋体"/>
          <w:color w:val="auto"/>
          <w:sz w:val="24"/>
          <w:szCs w:val="24"/>
          <w:lang w:eastAsia="zh-CN"/>
        </w:rPr>
        <w:t>；</w:t>
      </w:r>
      <w:r>
        <w:rPr>
          <w:rFonts w:hint="eastAsia"/>
          <w:sz w:val="24"/>
          <w:szCs w:val="24"/>
          <w:lang w:eastAsia="zh-CN"/>
        </w:rPr>
        <w:t>增加了</w:t>
      </w:r>
      <w:r>
        <w:rPr>
          <w:rFonts w:hint="eastAsia"/>
          <w:color w:val="auto"/>
          <w:sz w:val="24"/>
          <w:szCs w:val="24"/>
          <w:lang w:eastAsia="zh-CN"/>
        </w:rPr>
        <w:t>线条中心间距允差所要校准的板号和单元号，调整了其校准方法</w:t>
      </w:r>
      <w:r>
        <w:rPr>
          <w:rFonts w:hint="eastAsia" w:hAnsi="宋体"/>
          <w:color w:val="auto"/>
          <w:sz w:val="24"/>
          <w:szCs w:val="24"/>
          <w:lang w:eastAsia="zh-CN"/>
        </w:rPr>
        <w:t>；</w:t>
      </w:r>
    </w:p>
    <w:p>
      <w:pPr>
        <w:pStyle w:val="5"/>
        <w:spacing w:after="0" w:line="360" w:lineRule="auto"/>
        <w:ind w:left="0" w:leftChars="0" w:firstLine="480" w:firstLineChars="200"/>
        <w:rPr>
          <w:rFonts w:hint="eastAsia" w:hAnsi="宋体"/>
          <w:color w:val="auto"/>
          <w:sz w:val="24"/>
          <w:szCs w:val="24"/>
          <w:lang w:eastAsia="zh-CN"/>
        </w:rPr>
      </w:pPr>
      <w:r>
        <w:rPr>
          <w:rFonts w:hint="eastAsia"/>
          <w:color w:val="auto"/>
          <w:sz w:val="24"/>
          <w:szCs w:val="24"/>
          <w:lang w:eastAsia="zh-CN"/>
        </w:rPr>
        <w:t>对于分辨力板而言，最值得关注的是两个计量参数的准确性，一个是线条中心间距，另外一个是对比度。线条中心间距和线条宽度在明暗线条宽度相同的情况下，其实本质上是一回事。在明暗线不能确定相同的情况下，线条宽度的测量只能单个明线或者暗线进行测量，这是校准方法调整的基础原因。如果测量中心间距，如果明暗线条相同，多组测量则能有效保证测量准确性。“</w:t>
      </w:r>
      <w:r>
        <w:rPr>
          <w:rFonts w:hint="eastAsia"/>
          <w:sz w:val="24"/>
          <w:szCs w:val="24"/>
          <w:lang w:eastAsia="zh-CN"/>
        </w:rPr>
        <w:t>减少了</w:t>
      </w:r>
      <w:r>
        <w:rPr>
          <w:rFonts w:hint="eastAsia"/>
          <w:color w:val="auto"/>
          <w:sz w:val="24"/>
          <w:szCs w:val="24"/>
          <w:lang w:eastAsia="zh-CN"/>
        </w:rPr>
        <w:t>线条宽度允差所要校准的板号和单元号，</w:t>
      </w:r>
      <w:r>
        <w:rPr>
          <w:rFonts w:hint="eastAsia"/>
          <w:sz w:val="24"/>
          <w:szCs w:val="24"/>
          <w:lang w:eastAsia="zh-CN"/>
        </w:rPr>
        <w:t>增加了</w:t>
      </w:r>
      <w:r>
        <w:rPr>
          <w:rFonts w:hint="eastAsia"/>
          <w:color w:val="auto"/>
          <w:sz w:val="24"/>
          <w:szCs w:val="24"/>
          <w:lang w:eastAsia="zh-CN"/>
        </w:rPr>
        <w:t>线条中心间距允差所要校准的板号和单元号”的逻辑是因为线条中心距更容易校准的情况下，且明暗线条中心间距更能代表分辨力板的基本参数特性（而不是单个明线或者暗线），应该多关注中心间距允差。</w:t>
      </w:r>
    </w:p>
    <w:p>
      <w:pPr>
        <w:pStyle w:val="5"/>
        <w:numPr>
          <w:ilvl w:val="0"/>
          <w:numId w:val="7"/>
        </w:numPr>
        <w:spacing w:after="0" w:line="360" w:lineRule="auto"/>
        <w:ind w:left="420" w:leftChars="0"/>
        <w:rPr>
          <w:rFonts w:hint="eastAsia"/>
          <w:color w:val="auto"/>
          <w:sz w:val="24"/>
          <w:szCs w:val="24"/>
          <w:lang w:eastAsia="zh-CN"/>
        </w:rPr>
      </w:pPr>
      <w:r>
        <w:rPr>
          <w:rFonts w:hint="eastAsia"/>
          <w:color w:val="auto"/>
          <w:sz w:val="24"/>
          <w:szCs w:val="24"/>
          <w:lang w:eastAsia="zh-CN"/>
        </w:rPr>
        <w:t>增加了测微亮度计法校准分辨力板明暗线条对比度的方法</w:t>
      </w:r>
    </w:p>
    <w:p>
      <w:pPr>
        <w:pStyle w:val="5"/>
        <w:numPr>
          <w:ilvl w:val="0"/>
          <w:numId w:val="0"/>
        </w:numPr>
        <w:spacing w:after="0" w:line="360" w:lineRule="auto"/>
        <w:rPr>
          <w:rFonts w:hint="default"/>
          <w:color w:val="auto"/>
          <w:sz w:val="24"/>
          <w:szCs w:val="24"/>
          <w:lang w:val="en-US" w:eastAsia="zh-CN"/>
        </w:rPr>
      </w:pPr>
      <w:r>
        <w:rPr>
          <w:rFonts w:hint="eastAsia"/>
          <w:color w:val="auto"/>
          <w:sz w:val="24"/>
          <w:szCs w:val="24"/>
          <w:lang w:val="en-US" w:eastAsia="zh-CN"/>
        </w:rPr>
        <w:t xml:space="preserve">   </w:t>
      </w:r>
      <w:r>
        <w:rPr>
          <w:rFonts w:hint="eastAsia"/>
          <w:color w:val="auto"/>
          <w:sz w:val="24"/>
          <w:szCs w:val="24"/>
          <w:lang w:eastAsia="zh-CN"/>
        </w:rPr>
        <w:t>对比度是分辨力板最为重要的参数，对比度可以通过直接测量对比度的方法，也可以通过测量密度的方法得到。实际上现在的测微密度计很少能找到，而通用的密度计又无法测量高频分辨力板的密度，因此测微亮度计的方法显得更为重要。测微亮度计是在传统亮度计的基础上增加显微镜系统能够有效校准对比度。</w:t>
      </w:r>
    </w:p>
    <w:p>
      <w:pPr>
        <w:pStyle w:val="5"/>
        <w:numPr>
          <w:ilvl w:val="0"/>
          <w:numId w:val="0"/>
        </w:numPr>
        <w:spacing w:after="0" w:line="360" w:lineRule="auto"/>
        <w:ind w:left="420" w:leftChars="0"/>
        <w:rPr>
          <w:rFonts w:hint="eastAsia"/>
          <w:color w:val="auto"/>
          <w:sz w:val="24"/>
          <w:szCs w:val="24"/>
          <w:lang w:eastAsia="zh-CN"/>
        </w:rPr>
      </w:pPr>
    </w:p>
    <w:p>
      <w:pPr>
        <w:spacing w:line="360" w:lineRule="auto"/>
        <w:ind w:right="420" w:rightChars="200" w:firstLine="480" w:firstLineChars="200"/>
        <w:rPr>
          <w:rFonts w:hint="default" w:eastAsia="宋体"/>
          <w:sz w:val="24"/>
          <w:szCs w:val="24"/>
          <w:lang w:val="en-US" w:eastAsia="zh-CN"/>
        </w:rPr>
      </w:pPr>
    </w:p>
    <w:p>
      <w:pPr>
        <w:spacing w:beforeLines="50" w:line="276" w:lineRule="auto"/>
        <w:ind w:right="23"/>
        <w:rPr>
          <w:sz w:val="24"/>
          <w:szCs w:val="24"/>
        </w:rPr>
      </w:pPr>
    </w:p>
    <w:p>
      <w:pPr>
        <w:spacing w:line="276" w:lineRule="auto"/>
        <w:ind w:right="21"/>
        <w:rPr>
          <w:color w:val="000000"/>
          <w:sz w:val="24"/>
          <w:szCs w:val="24"/>
        </w:rPr>
      </w:pPr>
    </w:p>
    <w:p>
      <w:pPr>
        <w:spacing w:line="276" w:lineRule="auto"/>
        <w:ind w:right="21"/>
        <w:rPr>
          <w:color w:val="000000"/>
          <w:sz w:val="24"/>
          <w:szCs w:val="24"/>
        </w:rPr>
      </w:pPr>
    </w:p>
    <w:p>
      <w:pPr>
        <w:spacing w:line="276" w:lineRule="auto"/>
        <w:ind w:right="21"/>
        <w:rPr>
          <w:color w:val="000000"/>
          <w:sz w:val="24"/>
          <w:szCs w:val="24"/>
        </w:rPr>
      </w:pPr>
    </w:p>
    <w:p>
      <w:pPr>
        <w:spacing w:line="276" w:lineRule="auto"/>
        <w:ind w:right="21" w:firstLine="4680" w:firstLineChars="1950"/>
        <w:jc w:val="right"/>
        <w:rPr>
          <w:color w:val="000000"/>
          <w:sz w:val="24"/>
          <w:szCs w:val="24"/>
        </w:rPr>
      </w:pPr>
      <w:r>
        <w:rPr>
          <w:rFonts w:hint="eastAsia"/>
          <w:color w:val="000000"/>
          <w:sz w:val="24"/>
          <w:szCs w:val="24"/>
        </w:rPr>
        <w:t>《</w:t>
      </w:r>
      <w:r>
        <w:rPr>
          <w:rFonts w:hint="eastAsia"/>
          <w:color w:val="000000"/>
          <w:sz w:val="24"/>
          <w:szCs w:val="24"/>
          <w:lang w:eastAsia="zh-CN"/>
        </w:rPr>
        <w:t>分辨力</w:t>
      </w:r>
      <w:r>
        <w:rPr>
          <w:rFonts w:hint="eastAsia"/>
          <w:color w:val="000000"/>
          <w:sz w:val="24"/>
          <w:szCs w:val="24"/>
        </w:rPr>
        <w:t>》校准规范修订起草小组</w:t>
      </w:r>
    </w:p>
    <w:p>
      <w:pPr>
        <w:spacing w:line="276" w:lineRule="auto"/>
        <w:ind w:right="21" w:firstLine="2400" w:firstLineChars="1000"/>
        <w:rPr>
          <w:color w:val="000000"/>
          <w:sz w:val="24"/>
          <w:szCs w:val="24"/>
        </w:rPr>
      </w:pPr>
    </w:p>
    <w:p>
      <w:pPr>
        <w:spacing w:line="276" w:lineRule="auto"/>
        <w:ind w:right="21" w:firstLine="7680" w:firstLineChars="3200"/>
        <w:rPr>
          <w:rFonts w:hint="eastAsia"/>
          <w:color w:val="000000"/>
          <w:sz w:val="24"/>
          <w:szCs w:val="24"/>
          <w:lang w:val="en-US" w:eastAsia="zh-CN"/>
        </w:rPr>
      </w:pPr>
      <w:r>
        <w:rPr>
          <w:color w:val="000000"/>
          <w:sz w:val="24"/>
          <w:szCs w:val="24"/>
        </w:rPr>
        <w:t>日期：20</w:t>
      </w:r>
      <w:r>
        <w:rPr>
          <w:rFonts w:hint="eastAsia"/>
          <w:color w:val="000000"/>
          <w:sz w:val="24"/>
          <w:szCs w:val="24"/>
          <w:lang w:val="en-US" w:eastAsia="zh-CN"/>
        </w:rPr>
        <w:t>21</w:t>
      </w:r>
      <w:r>
        <w:rPr>
          <w:color w:val="000000"/>
          <w:sz w:val="24"/>
          <w:szCs w:val="24"/>
        </w:rPr>
        <w:t>.</w:t>
      </w:r>
      <w:r>
        <w:rPr>
          <w:rFonts w:hint="eastAsia"/>
          <w:color w:val="000000"/>
          <w:sz w:val="24"/>
          <w:szCs w:val="24"/>
        </w:rPr>
        <w:t>1</w:t>
      </w:r>
      <w:r>
        <w:rPr>
          <w:rFonts w:hint="eastAsia"/>
          <w:color w:val="000000"/>
          <w:sz w:val="24"/>
          <w:szCs w:val="24"/>
          <w:lang w:val="en-US" w:eastAsia="zh-CN"/>
        </w:rPr>
        <w:t>0</w:t>
      </w:r>
      <w:r>
        <w:rPr>
          <w:color w:val="000000"/>
          <w:sz w:val="24"/>
          <w:szCs w:val="24"/>
        </w:rPr>
        <w:t>.</w:t>
      </w:r>
      <w:r>
        <w:rPr>
          <w:rFonts w:hint="eastAsia"/>
          <w:color w:val="000000"/>
          <w:sz w:val="24"/>
          <w:szCs w:val="24"/>
          <w:lang w:val="en-US" w:eastAsia="zh-CN"/>
        </w:rPr>
        <w:t>18</w:t>
      </w:r>
    </w:p>
    <w:p>
      <w:pPr>
        <w:spacing w:line="276" w:lineRule="auto"/>
        <w:ind w:right="21" w:firstLine="7680" w:firstLineChars="3200"/>
        <w:rPr>
          <w:rFonts w:hint="eastAsia"/>
          <w:color w:val="000000"/>
          <w:sz w:val="24"/>
          <w:szCs w:val="24"/>
          <w:lang w:val="en-US" w:eastAsia="zh-CN"/>
        </w:rPr>
      </w:pPr>
    </w:p>
    <w:p>
      <w:pPr>
        <w:spacing w:line="276" w:lineRule="auto"/>
        <w:ind w:right="21" w:firstLine="7680" w:firstLineChars="3200"/>
        <w:rPr>
          <w:rFonts w:hint="default"/>
          <w:color w:val="000000"/>
          <w:sz w:val="24"/>
          <w:szCs w:val="24"/>
          <w:lang w:val="en-US" w:eastAsia="zh-CN"/>
        </w:rPr>
      </w:pPr>
    </w:p>
    <w:sectPr>
      <w:headerReference r:id="rId3" w:type="first"/>
      <w:footerReference r:id="rId4" w:type="default"/>
      <w:footerReference r:id="rId5" w:type="even"/>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altName w:val="宋体"/>
    <w:panose1 w:val="00000000000000000000"/>
    <w:charset w:val="86"/>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4"/>
      </w:rPr>
    </w:pPr>
    <w:r>
      <w:rPr>
        <w:rStyle w:val="14"/>
      </w:rPr>
      <w:fldChar w:fldCharType="begin"/>
    </w:r>
    <w:r>
      <w:rPr>
        <w:rStyle w:val="14"/>
      </w:rPr>
      <w:instrText xml:space="preserve">PAGE  </w:instrText>
    </w:r>
    <w:r>
      <w:rPr>
        <w:rStyle w:val="14"/>
      </w:rPr>
      <w:fldChar w:fldCharType="separate"/>
    </w:r>
    <w:r>
      <w:rPr>
        <w:rStyle w:val="14"/>
      </w:rPr>
      <w:t>2</w:t>
    </w:r>
    <w:r>
      <w:rPr>
        <w:rStyle w:val="14"/>
      </w:rPr>
      <w:fldChar w:fldCharType="end"/>
    </w:r>
  </w:p>
  <w:p>
    <w:pPr>
      <w:pStyle w:val="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4"/>
      </w:rPr>
    </w:pPr>
    <w:r>
      <w:rPr>
        <w:rStyle w:val="14"/>
      </w:rPr>
      <w:fldChar w:fldCharType="begin"/>
    </w:r>
    <w:r>
      <w:rPr>
        <w:rStyle w:val="14"/>
      </w:rPr>
      <w:instrText xml:space="preserve">PAGE  </w:instrText>
    </w:r>
    <w:r>
      <w:rPr>
        <w:rStyle w:val="14"/>
      </w:rPr>
      <w:fldChar w:fldCharType="end"/>
    </w:r>
  </w:p>
  <w:p>
    <w:pPr>
      <w:pStyle w:val="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rFonts w:hint="eastAsia" w:ascii="黑体"/>
      </w:rPr>
      <w:t>JJF</w:t>
    </w:r>
    <w:r>
      <w:rPr>
        <w:rFonts w:ascii="黑体"/>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FE24EA"/>
    <w:multiLevelType w:val="singleLevel"/>
    <w:tmpl w:val="84FE24EA"/>
    <w:lvl w:ilvl="0" w:tentative="0">
      <w:start w:val="5"/>
      <w:numFmt w:val="decimal"/>
      <w:suff w:val="nothing"/>
      <w:lvlText w:val="%1）"/>
      <w:lvlJc w:val="left"/>
    </w:lvl>
  </w:abstractNum>
  <w:abstractNum w:abstractNumId="1">
    <w:nsid w:val="8D116EFF"/>
    <w:multiLevelType w:val="singleLevel"/>
    <w:tmpl w:val="8D116EFF"/>
    <w:lvl w:ilvl="0" w:tentative="0">
      <w:start w:val="2"/>
      <w:numFmt w:val="decimal"/>
      <w:suff w:val="nothing"/>
      <w:lvlText w:val="%1）"/>
      <w:lvlJc w:val="left"/>
      <w:pPr>
        <w:ind w:left="-60"/>
      </w:pPr>
    </w:lvl>
  </w:abstractNum>
  <w:abstractNum w:abstractNumId="2">
    <w:nsid w:val="2B8841DC"/>
    <w:multiLevelType w:val="multilevel"/>
    <w:tmpl w:val="2B8841DC"/>
    <w:lvl w:ilvl="0" w:tentative="0">
      <w:start w:val="4"/>
      <w:numFmt w:val="japaneseCounting"/>
      <w:lvlText w:val="%1、"/>
      <w:lvlJc w:val="left"/>
      <w:pPr>
        <w:tabs>
          <w:tab w:val="left" w:pos="1037"/>
        </w:tabs>
        <w:ind w:left="1037" w:hanging="720"/>
      </w:pPr>
      <w:rPr>
        <w:rFonts w:hint="eastAsia"/>
      </w:rPr>
    </w:lvl>
    <w:lvl w:ilvl="1" w:tentative="0">
      <w:start w:val="1"/>
      <w:numFmt w:val="lowerLetter"/>
      <w:lvlText w:val="%2)"/>
      <w:lvlJc w:val="left"/>
      <w:pPr>
        <w:tabs>
          <w:tab w:val="left" w:pos="1157"/>
        </w:tabs>
        <w:ind w:left="1157" w:hanging="420"/>
      </w:pPr>
    </w:lvl>
    <w:lvl w:ilvl="2" w:tentative="0">
      <w:start w:val="1"/>
      <w:numFmt w:val="lowerRoman"/>
      <w:lvlText w:val="%3."/>
      <w:lvlJc w:val="right"/>
      <w:pPr>
        <w:tabs>
          <w:tab w:val="left" w:pos="1577"/>
        </w:tabs>
        <w:ind w:left="1577" w:hanging="420"/>
      </w:pPr>
    </w:lvl>
    <w:lvl w:ilvl="3" w:tentative="0">
      <w:start w:val="1"/>
      <w:numFmt w:val="decimal"/>
      <w:lvlText w:val="%4."/>
      <w:lvlJc w:val="left"/>
      <w:pPr>
        <w:tabs>
          <w:tab w:val="left" w:pos="1997"/>
        </w:tabs>
        <w:ind w:left="1997" w:hanging="420"/>
      </w:pPr>
    </w:lvl>
    <w:lvl w:ilvl="4" w:tentative="0">
      <w:start w:val="1"/>
      <w:numFmt w:val="lowerLetter"/>
      <w:lvlText w:val="%5)"/>
      <w:lvlJc w:val="left"/>
      <w:pPr>
        <w:tabs>
          <w:tab w:val="left" w:pos="2417"/>
        </w:tabs>
        <w:ind w:left="2417" w:hanging="420"/>
      </w:pPr>
    </w:lvl>
    <w:lvl w:ilvl="5" w:tentative="0">
      <w:start w:val="1"/>
      <w:numFmt w:val="lowerRoman"/>
      <w:lvlText w:val="%6."/>
      <w:lvlJc w:val="right"/>
      <w:pPr>
        <w:tabs>
          <w:tab w:val="left" w:pos="2837"/>
        </w:tabs>
        <w:ind w:left="2837" w:hanging="420"/>
      </w:pPr>
    </w:lvl>
    <w:lvl w:ilvl="6" w:tentative="0">
      <w:start w:val="1"/>
      <w:numFmt w:val="decimal"/>
      <w:lvlText w:val="%7."/>
      <w:lvlJc w:val="left"/>
      <w:pPr>
        <w:tabs>
          <w:tab w:val="left" w:pos="3257"/>
        </w:tabs>
        <w:ind w:left="3257" w:hanging="420"/>
      </w:pPr>
    </w:lvl>
    <w:lvl w:ilvl="7" w:tentative="0">
      <w:start w:val="1"/>
      <w:numFmt w:val="lowerLetter"/>
      <w:lvlText w:val="%8)"/>
      <w:lvlJc w:val="left"/>
      <w:pPr>
        <w:tabs>
          <w:tab w:val="left" w:pos="3677"/>
        </w:tabs>
        <w:ind w:left="3677" w:hanging="420"/>
      </w:pPr>
    </w:lvl>
    <w:lvl w:ilvl="8" w:tentative="0">
      <w:start w:val="1"/>
      <w:numFmt w:val="lowerRoman"/>
      <w:lvlText w:val="%9."/>
      <w:lvlJc w:val="right"/>
      <w:pPr>
        <w:tabs>
          <w:tab w:val="left" w:pos="4097"/>
        </w:tabs>
        <w:ind w:left="4097" w:hanging="420"/>
      </w:pPr>
    </w:lvl>
  </w:abstractNum>
  <w:abstractNum w:abstractNumId="3">
    <w:nsid w:val="2F422325"/>
    <w:multiLevelType w:val="singleLevel"/>
    <w:tmpl w:val="2F422325"/>
    <w:lvl w:ilvl="0" w:tentative="0">
      <w:start w:val="1"/>
      <w:numFmt w:val="japaneseCounting"/>
      <w:lvlText w:val="%1、"/>
      <w:lvlJc w:val="left"/>
      <w:pPr>
        <w:tabs>
          <w:tab w:val="left" w:pos="917"/>
        </w:tabs>
        <w:ind w:left="917" w:hanging="600"/>
      </w:pPr>
      <w:rPr>
        <w:rFonts w:hint="eastAsia"/>
      </w:rPr>
    </w:lvl>
  </w:abstractNum>
  <w:abstractNum w:abstractNumId="4">
    <w:nsid w:val="6CEA2025"/>
    <w:multiLevelType w:val="multilevel"/>
    <w:tmpl w:val="6CEA2025"/>
    <w:lvl w:ilvl="0" w:tentative="0">
      <w:start w:val="1"/>
      <w:numFmt w:val="none"/>
      <w:pStyle w:val="17"/>
      <w:suff w:val="nothing"/>
      <w:lvlText w:val="%1"/>
      <w:lvlJc w:val="left"/>
      <w:pPr>
        <w:ind w:left="0" w:firstLine="0"/>
      </w:pPr>
      <w:rPr>
        <w:rFonts w:hint="default" w:ascii="Times New Roman" w:hAnsi="Times New Roman"/>
        <w:b/>
        <w:i w:val="0"/>
        <w:sz w:val="21"/>
      </w:rPr>
    </w:lvl>
    <w:lvl w:ilvl="1" w:tentative="0">
      <w:start w:val="1"/>
      <w:numFmt w:val="decimal"/>
      <w:pStyle w:val="18"/>
      <w:suff w:val="nothing"/>
      <w:lvlText w:val="%1%2　"/>
      <w:lvlJc w:val="left"/>
      <w:pPr>
        <w:ind w:left="0" w:firstLine="0"/>
      </w:pPr>
      <w:rPr>
        <w:rFonts w:hint="eastAsia" w:ascii="黑体" w:hAnsi="Times New Roman" w:eastAsia="黑体"/>
        <w:b w:val="0"/>
        <w:i w:val="0"/>
        <w:sz w:val="21"/>
      </w:rPr>
    </w:lvl>
    <w:lvl w:ilvl="2" w:tentative="0">
      <w:start w:val="1"/>
      <w:numFmt w:val="decimal"/>
      <w:pStyle w:val="19"/>
      <w:suff w:val="nothing"/>
      <w:lvlText w:val="%1%2.%3　"/>
      <w:lvlJc w:val="left"/>
      <w:pPr>
        <w:ind w:left="0" w:firstLine="0"/>
      </w:pPr>
      <w:rPr>
        <w:rFonts w:hint="eastAsia" w:ascii="黑体" w:hAnsi="Times New Roman" w:eastAsia="黑体"/>
        <w:b w:val="0"/>
        <w:i w:val="0"/>
        <w:sz w:val="21"/>
      </w:rPr>
    </w:lvl>
    <w:lvl w:ilvl="3" w:tentative="0">
      <w:start w:val="1"/>
      <w:numFmt w:val="decimal"/>
      <w:pStyle w:val="20"/>
      <w:suff w:val="nothing"/>
      <w:lvlText w:val="%1%2.%3.%4　"/>
      <w:lvlJc w:val="left"/>
      <w:pPr>
        <w:ind w:left="0" w:firstLine="0"/>
      </w:pPr>
      <w:rPr>
        <w:rFonts w:hint="eastAsia" w:ascii="黑体" w:hAnsi="Times New Roman" w:eastAsia="黑体"/>
        <w:b w:val="0"/>
        <w:i w:val="0"/>
        <w:sz w:val="21"/>
      </w:rPr>
    </w:lvl>
    <w:lvl w:ilvl="4" w:tentative="0">
      <w:start w:val="1"/>
      <w:numFmt w:val="decimal"/>
      <w:pStyle w:val="21"/>
      <w:suff w:val="nothing"/>
      <w:lvlText w:val="%1%2.%3.%4.%5　"/>
      <w:lvlJc w:val="left"/>
      <w:pPr>
        <w:ind w:left="0" w:firstLine="0"/>
      </w:pPr>
      <w:rPr>
        <w:rFonts w:hint="eastAsia" w:ascii="黑体" w:hAnsi="Times New Roman" w:eastAsia="黑体"/>
        <w:b w:val="0"/>
        <w:i w:val="0"/>
        <w:sz w:val="21"/>
      </w:rPr>
    </w:lvl>
    <w:lvl w:ilvl="5" w:tentative="0">
      <w:start w:val="1"/>
      <w:numFmt w:val="decimal"/>
      <w:pStyle w:val="22"/>
      <w:suff w:val="nothing"/>
      <w:lvlText w:val="%1%2.%3.%4.%5.%6　"/>
      <w:lvlJc w:val="left"/>
      <w:pPr>
        <w:ind w:left="0" w:firstLine="0"/>
      </w:pPr>
      <w:rPr>
        <w:rFonts w:hint="eastAsia" w:ascii="黑体" w:hAnsi="Times New Roman" w:eastAsia="黑体"/>
        <w:b w:val="0"/>
        <w:i w:val="0"/>
        <w:sz w:val="21"/>
      </w:rPr>
    </w:lvl>
    <w:lvl w:ilvl="6" w:tentative="0">
      <w:start w:val="1"/>
      <w:numFmt w:val="decimal"/>
      <w:pStyle w:val="23"/>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761730FF"/>
    <w:multiLevelType w:val="multilevel"/>
    <w:tmpl w:val="761730FF"/>
    <w:lvl w:ilvl="0" w:tentative="0">
      <w:start w:val="1"/>
      <w:numFmt w:val="decimal"/>
      <w:lvlText w:val="%1."/>
      <w:lvlJc w:val="left"/>
      <w:pPr>
        <w:tabs>
          <w:tab w:val="left" w:pos="777"/>
        </w:tabs>
        <w:ind w:left="777" w:hanging="360"/>
      </w:pPr>
      <w:rPr>
        <w:rFonts w:hint="eastAsia"/>
        <w:sz w:val="24"/>
      </w:rPr>
    </w:lvl>
    <w:lvl w:ilvl="1" w:tentative="0">
      <w:start w:val="1"/>
      <w:numFmt w:val="lowerLetter"/>
      <w:lvlText w:val="%2)"/>
      <w:lvlJc w:val="left"/>
      <w:pPr>
        <w:tabs>
          <w:tab w:val="left" w:pos="841"/>
        </w:tabs>
        <w:ind w:left="841" w:hanging="420"/>
      </w:pPr>
    </w:lvl>
    <w:lvl w:ilvl="2" w:tentative="0">
      <w:start w:val="1"/>
      <w:numFmt w:val="lowerRoman"/>
      <w:lvlText w:val="%3."/>
      <w:lvlJc w:val="right"/>
      <w:pPr>
        <w:tabs>
          <w:tab w:val="left" w:pos="1261"/>
        </w:tabs>
        <w:ind w:left="1261" w:hanging="420"/>
      </w:pPr>
    </w:lvl>
    <w:lvl w:ilvl="3" w:tentative="0">
      <w:start w:val="1"/>
      <w:numFmt w:val="decimal"/>
      <w:lvlText w:val="%4."/>
      <w:lvlJc w:val="left"/>
      <w:pPr>
        <w:tabs>
          <w:tab w:val="left" w:pos="1681"/>
        </w:tabs>
        <w:ind w:left="1681" w:hanging="420"/>
      </w:pPr>
    </w:lvl>
    <w:lvl w:ilvl="4" w:tentative="0">
      <w:start w:val="1"/>
      <w:numFmt w:val="lowerLetter"/>
      <w:lvlText w:val="%5)"/>
      <w:lvlJc w:val="left"/>
      <w:pPr>
        <w:tabs>
          <w:tab w:val="left" w:pos="2101"/>
        </w:tabs>
        <w:ind w:left="2101" w:hanging="420"/>
      </w:pPr>
    </w:lvl>
    <w:lvl w:ilvl="5" w:tentative="0">
      <w:start w:val="1"/>
      <w:numFmt w:val="lowerRoman"/>
      <w:lvlText w:val="%6."/>
      <w:lvlJc w:val="right"/>
      <w:pPr>
        <w:tabs>
          <w:tab w:val="left" w:pos="2521"/>
        </w:tabs>
        <w:ind w:left="2521" w:hanging="420"/>
      </w:pPr>
    </w:lvl>
    <w:lvl w:ilvl="6" w:tentative="0">
      <w:start w:val="1"/>
      <w:numFmt w:val="decimal"/>
      <w:lvlText w:val="%7."/>
      <w:lvlJc w:val="left"/>
      <w:pPr>
        <w:tabs>
          <w:tab w:val="left" w:pos="2941"/>
        </w:tabs>
        <w:ind w:left="2941" w:hanging="420"/>
      </w:pPr>
    </w:lvl>
    <w:lvl w:ilvl="7" w:tentative="0">
      <w:start w:val="1"/>
      <w:numFmt w:val="lowerLetter"/>
      <w:lvlText w:val="%8)"/>
      <w:lvlJc w:val="left"/>
      <w:pPr>
        <w:tabs>
          <w:tab w:val="left" w:pos="3361"/>
        </w:tabs>
        <w:ind w:left="3361" w:hanging="420"/>
      </w:pPr>
    </w:lvl>
    <w:lvl w:ilvl="8" w:tentative="0">
      <w:start w:val="1"/>
      <w:numFmt w:val="lowerRoman"/>
      <w:lvlText w:val="%9."/>
      <w:lvlJc w:val="right"/>
      <w:pPr>
        <w:tabs>
          <w:tab w:val="left" w:pos="3781"/>
        </w:tabs>
        <w:ind w:left="3781" w:hanging="420"/>
      </w:pPr>
    </w:lvl>
  </w:abstractNum>
  <w:abstractNum w:abstractNumId="6">
    <w:nsid w:val="78E9ABDE"/>
    <w:multiLevelType w:val="singleLevel"/>
    <w:tmpl w:val="78E9ABDE"/>
    <w:lvl w:ilvl="0" w:tentative="0">
      <w:start w:val="1"/>
      <w:numFmt w:val="decimal"/>
      <w:lvlText w:val="%1)"/>
      <w:lvlJc w:val="left"/>
      <w:pPr>
        <w:tabs>
          <w:tab w:val="left" w:pos="312"/>
        </w:tabs>
      </w:pPr>
    </w:lvl>
  </w:abstractNum>
  <w:num w:numId="1">
    <w:abstractNumId w:val="4"/>
  </w:num>
  <w:num w:numId="2">
    <w:abstractNumId w:val="3"/>
  </w:num>
  <w:num w:numId="3">
    <w:abstractNumId w:val="2"/>
  </w:num>
  <w:num w:numId="4">
    <w:abstractNumId w:val="5"/>
  </w:num>
  <w:num w:numId="5">
    <w:abstractNumId w:val="6"/>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doNotUseHTMLParagraphAutoSpacing/>
    <w:useFELayout/>
    <w:compatSetting w:name="compatibilityMode" w:uri="http://schemas.microsoft.com/office/word" w:val="12"/>
  </w:compat>
  <w:rsids>
    <w:rsidRoot w:val="008313A2"/>
    <w:rsid w:val="00000F0E"/>
    <w:rsid w:val="00010CA3"/>
    <w:rsid w:val="000117CD"/>
    <w:rsid w:val="00015305"/>
    <w:rsid w:val="0002248C"/>
    <w:rsid w:val="000228B8"/>
    <w:rsid w:val="000279CA"/>
    <w:rsid w:val="000341EF"/>
    <w:rsid w:val="000421BA"/>
    <w:rsid w:val="0004241A"/>
    <w:rsid w:val="00050017"/>
    <w:rsid w:val="00050223"/>
    <w:rsid w:val="00053472"/>
    <w:rsid w:val="00055496"/>
    <w:rsid w:val="00055FEB"/>
    <w:rsid w:val="0006122B"/>
    <w:rsid w:val="00062106"/>
    <w:rsid w:val="00062771"/>
    <w:rsid w:val="000655B9"/>
    <w:rsid w:val="00073494"/>
    <w:rsid w:val="00073B40"/>
    <w:rsid w:val="00075CFA"/>
    <w:rsid w:val="00084B35"/>
    <w:rsid w:val="00085DC6"/>
    <w:rsid w:val="000910CA"/>
    <w:rsid w:val="000A0D6C"/>
    <w:rsid w:val="000A49FF"/>
    <w:rsid w:val="000A5A67"/>
    <w:rsid w:val="000B186C"/>
    <w:rsid w:val="000B7E97"/>
    <w:rsid w:val="000C3A3F"/>
    <w:rsid w:val="000C78B8"/>
    <w:rsid w:val="000D0340"/>
    <w:rsid w:val="000D0549"/>
    <w:rsid w:val="000D0767"/>
    <w:rsid w:val="000D4B3C"/>
    <w:rsid w:val="000D583B"/>
    <w:rsid w:val="000D5D30"/>
    <w:rsid w:val="000D6059"/>
    <w:rsid w:val="000E34C2"/>
    <w:rsid w:val="000F1DA0"/>
    <w:rsid w:val="000F23B0"/>
    <w:rsid w:val="000F4E4F"/>
    <w:rsid w:val="000F5BBF"/>
    <w:rsid w:val="001020D6"/>
    <w:rsid w:val="0010532E"/>
    <w:rsid w:val="00114569"/>
    <w:rsid w:val="00117483"/>
    <w:rsid w:val="001200C9"/>
    <w:rsid w:val="001215A3"/>
    <w:rsid w:val="001259ED"/>
    <w:rsid w:val="00134490"/>
    <w:rsid w:val="00137201"/>
    <w:rsid w:val="0015219E"/>
    <w:rsid w:val="001542EA"/>
    <w:rsid w:val="001558A1"/>
    <w:rsid w:val="00155C70"/>
    <w:rsid w:val="00164785"/>
    <w:rsid w:val="0016598E"/>
    <w:rsid w:val="001677B1"/>
    <w:rsid w:val="001705C7"/>
    <w:rsid w:val="00175E73"/>
    <w:rsid w:val="0018000C"/>
    <w:rsid w:val="00184EA6"/>
    <w:rsid w:val="0019607E"/>
    <w:rsid w:val="001A0DFA"/>
    <w:rsid w:val="001A410A"/>
    <w:rsid w:val="001A7AFC"/>
    <w:rsid w:val="001B14D4"/>
    <w:rsid w:val="001B35C8"/>
    <w:rsid w:val="001B4A24"/>
    <w:rsid w:val="001C2B3D"/>
    <w:rsid w:val="001E01C0"/>
    <w:rsid w:val="001E2CAF"/>
    <w:rsid w:val="001E59A4"/>
    <w:rsid w:val="001E6239"/>
    <w:rsid w:val="002044E1"/>
    <w:rsid w:val="00211059"/>
    <w:rsid w:val="00214731"/>
    <w:rsid w:val="002213E3"/>
    <w:rsid w:val="002228D8"/>
    <w:rsid w:val="00234779"/>
    <w:rsid w:val="00245697"/>
    <w:rsid w:val="00247098"/>
    <w:rsid w:val="00247D1C"/>
    <w:rsid w:val="00252C27"/>
    <w:rsid w:val="00254D47"/>
    <w:rsid w:val="002665EE"/>
    <w:rsid w:val="00271C5E"/>
    <w:rsid w:val="00285D3E"/>
    <w:rsid w:val="00287C3B"/>
    <w:rsid w:val="00291686"/>
    <w:rsid w:val="0029199F"/>
    <w:rsid w:val="00292646"/>
    <w:rsid w:val="00294EA2"/>
    <w:rsid w:val="00296483"/>
    <w:rsid w:val="002A67EA"/>
    <w:rsid w:val="002B0B67"/>
    <w:rsid w:val="002B2663"/>
    <w:rsid w:val="002B29DD"/>
    <w:rsid w:val="002B5517"/>
    <w:rsid w:val="002B613C"/>
    <w:rsid w:val="002B6D38"/>
    <w:rsid w:val="002C018A"/>
    <w:rsid w:val="002C28AC"/>
    <w:rsid w:val="002C2F0C"/>
    <w:rsid w:val="002D43A3"/>
    <w:rsid w:val="002E64CF"/>
    <w:rsid w:val="002F156F"/>
    <w:rsid w:val="002F3C72"/>
    <w:rsid w:val="002F73CC"/>
    <w:rsid w:val="002F7AD5"/>
    <w:rsid w:val="00311B27"/>
    <w:rsid w:val="003141CA"/>
    <w:rsid w:val="00316CD3"/>
    <w:rsid w:val="00321B48"/>
    <w:rsid w:val="00323EB9"/>
    <w:rsid w:val="003340F3"/>
    <w:rsid w:val="00335869"/>
    <w:rsid w:val="00342A56"/>
    <w:rsid w:val="00344BB6"/>
    <w:rsid w:val="00345F45"/>
    <w:rsid w:val="00352B3B"/>
    <w:rsid w:val="00355886"/>
    <w:rsid w:val="00361FCA"/>
    <w:rsid w:val="0036293A"/>
    <w:rsid w:val="00362B6F"/>
    <w:rsid w:val="003703A0"/>
    <w:rsid w:val="00371443"/>
    <w:rsid w:val="003715E2"/>
    <w:rsid w:val="0037604E"/>
    <w:rsid w:val="00377D0C"/>
    <w:rsid w:val="0038677F"/>
    <w:rsid w:val="0039261F"/>
    <w:rsid w:val="003A7B31"/>
    <w:rsid w:val="003C5A69"/>
    <w:rsid w:val="003D76D9"/>
    <w:rsid w:val="003E0E12"/>
    <w:rsid w:val="003E1611"/>
    <w:rsid w:val="003F506E"/>
    <w:rsid w:val="00403C93"/>
    <w:rsid w:val="00411B9F"/>
    <w:rsid w:val="00412492"/>
    <w:rsid w:val="00422D84"/>
    <w:rsid w:val="00427318"/>
    <w:rsid w:val="004360E9"/>
    <w:rsid w:val="00436BC3"/>
    <w:rsid w:val="00447B5F"/>
    <w:rsid w:val="00453359"/>
    <w:rsid w:val="00457167"/>
    <w:rsid w:val="004571E7"/>
    <w:rsid w:val="00460ED3"/>
    <w:rsid w:val="0046689B"/>
    <w:rsid w:val="00466D3F"/>
    <w:rsid w:val="00467E60"/>
    <w:rsid w:val="00471931"/>
    <w:rsid w:val="00472469"/>
    <w:rsid w:val="00472F7F"/>
    <w:rsid w:val="00474462"/>
    <w:rsid w:val="00474D08"/>
    <w:rsid w:val="00475D69"/>
    <w:rsid w:val="00476030"/>
    <w:rsid w:val="0047792C"/>
    <w:rsid w:val="00490AD7"/>
    <w:rsid w:val="00491A32"/>
    <w:rsid w:val="00492203"/>
    <w:rsid w:val="00492767"/>
    <w:rsid w:val="004A19D8"/>
    <w:rsid w:val="004A2DF7"/>
    <w:rsid w:val="004A41E9"/>
    <w:rsid w:val="004A55F4"/>
    <w:rsid w:val="004A5AD6"/>
    <w:rsid w:val="004A60F1"/>
    <w:rsid w:val="004A67E2"/>
    <w:rsid w:val="004C5B7E"/>
    <w:rsid w:val="004C6159"/>
    <w:rsid w:val="004C7864"/>
    <w:rsid w:val="004C7DD5"/>
    <w:rsid w:val="004D0E21"/>
    <w:rsid w:val="004D22FD"/>
    <w:rsid w:val="004D41C1"/>
    <w:rsid w:val="004E04DD"/>
    <w:rsid w:val="004E5538"/>
    <w:rsid w:val="004E5844"/>
    <w:rsid w:val="00502CD6"/>
    <w:rsid w:val="005051AA"/>
    <w:rsid w:val="00505720"/>
    <w:rsid w:val="00506BE6"/>
    <w:rsid w:val="00510344"/>
    <w:rsid w:val="00515992"/>
    <w:rsid w:val="00522D3F"/>
    <w:rsid w:val="00526032"/>
    <w:rsid w:val="00527868"/>
    <w:rsid w:val="00540CD8"/>
    <w:rsid w:val="00541865"/>
    <w:rsid w:val="005435FB"/>
    <w:rsid w:val="0055442C"/>
    <w:rsid w:val="00557CDF"/>
    <w:rsid w:val="00562032"/>
    <w:rsid w:val="005728F2"/>
    <w:rsid w:val="0057728D"/>
    <w:rsid w:val="005774B6"/>
    <w:rsid w:val="005851A6"/>
    <w:rsid w:val="00585473"/>
    <w:rsid w:val="005854F7"/>
    <w:rsid w:val="00592A64"/>
    <w:rsid w:val="00597571"/>
    <w:rsid w:val="005A0320"/>
    <w:rsid w:val="005A09B9"/>
    <w:rsid w:val="005A368B"/>
    <w:rsid w:val="005A765B"/>
    <w:rsid w:val="005B4ADA"/>
    <w:rsid w:val="005B4C98"/>
    <w:rsid w:val="005B6662"/>
    <w:rsid w:val="005C5B31"/>
    <w:rsid w:val="005C6FD2"/>
    <w:rsid w:val="005D1216"/>
    <w:rsid w:val="005D1E84"/>
    <w:rsid w:val="005D6E0B"/>
    <w:rsid w:val="005E1C1D"/>
    <w:rsid w:val="005E2D91"/>
    <w:rsid w:val="005E5EFE"/>
    <w:rsid w:val="006119BA"/>
    <w:rsid w:val="00611F9C"/>
    <w:rsid w:val="00612D49"/>
    <w:rsid w:val="00617ACF"/>
    <w:rsid w:val="00620980"/>
    <w:rsid w:val="006219C1"/>
    <w:rsid w:val="00630D39"/>
    <w:rsid w:val="00636B4B"/>
    <w:rsid w:val="00637C64"/>
    <w:rsid w:val="00640F22"/>
    <w:rsid w:val="00641C31"/>
    <w:rsid w:val="00651834"/>
    <w:rsid w:val="0066050B"/>
    <w:rsid w:val="00660C00"/>
    <w:rsid w:val="00662881"/>
    <w:rsid w:val="00665A77"/>
    <w:rsid w:val="00667A9D"/>
    <w:rsid w:val="00670529"/>
    <w:rsid w:val="006912A3"/>
    <w:rsid w:val="00693DC8"/>
    <w:rsid w:val="00697775"/>
    <w:rsid w:val="00697C6B"/>
    <w:rsid w:val="00697E4D"/>
    <w:rsid w:val="00697E6D"/>
    <w:rsid w:val="006A4A85"/>
    <w:rsid w:val="006A5B0D"/>
    <w:rsid w:val="006B6B0F"/>
    <w:rsid w:val="006C3626"/>
    <w:rsid w:val="006C5F97"/>
    <w:rsid w:val="006D224A"/>
    <w:rsid w:val="006D3961"/>
    <w:rsid w:val="006E0C8B"/>
    <w:rsid w:val="006E39E9"/>
    <w:rsid w:val="006E7AD7"/>
    <w:rsid w:val="006F1C6D"/>
    <w:rsid w:val="006F62EB"/>
    <w:rsid w:val="00702EC5"/>
    <w:rsid w:val="007032CF"/>
    <w:rsid w:val="00715B32"/>
    <w:rsid w:val="00717425"/>
    <w:rsid w:val="00727706"/>
    <w:rsid w:val="00743BE1"/>
    <w:rsid w:val="00743DEE"/>
    <w:rsid w:val="00744394"/>
    <w:rsid w:val="00745120"/>
    <w:rsid w:val="00745928"/>
    <w:rsid w:val="00753CBD"/>
    <w:rsid w:val="00756F2F"/>
    <w:rsid w:val="00767E2C"/>
    <w:rsid w:val="007727B6"/>
    <w:rsid w:val="00775351"/>
    <w:rsid w:val="00775C76"/>
    <w:rsid w:val="007826C8"/>
    <w:rsid w:val="007827AD"/>
    <w:rsid w:val="0079005B"/>
    <w:rsid w:val="007927A5"/>
    <w:rsid w:val="007A1E5F"/>
    <w:rsid w:val="007B7289"/>
    <w:rsid w:val="007C5F7F"/>
    <w:rsid w:val="007C6898"/>
    <w:rsid w:val="007C71C9"/>
    <w:rsid w:val="007D08EE"/>
    <w:rsid w:val="007D6F6A"/>
    <w:rsid w:val="007E4075"/>
    <w:rsid w:val="007E657C"/>
    <w:rsid w:val="007F480A"/>
    <w:rsid w:val="008001A1"/>
    <w:rsid w:val="008125E8"/>
    <w:rsid w:val="008168E4"/>
    <w:rsid w:val="008219C1"/>
    <w:rsid w:val="008244C0"/>
    <w:rsid w:val="008313A2"/>
    <w:rsid w:val="0084026C"/>
    <w:rsid w:val="00843DE6"/>
    <w:rsid w:val="00846B87"/>
    <w:rsid w:val="00847D82"/>
    <w:rsid w:val="00847D9A"/>
    <w:rsid w:val="008626B2"/>
    <w:rsid w:val="00870E49"/>
    <w:rsid w:val="008717AA"/>
    <w:rsid w:val="008734DD"/>
    <w:rsid w:val="00875D5F"/>
    <w:rsid w:val="00886345"/>
    <w:rsid w:val="00887E50"/>
    <w:rsid w:val="00890BD7"/>
    <w:rsid w:val="0089610D"/>
    <w:rsid w:val="00897D7E"/>
    <w:rsid w:val="008A0E34"/>
    <w:rsid w:val="008B22B5"/>
    <w:rsid w:val="008B5D41"/>
    <w:rsid w:val="008C3A9E"/>
    <w:rsid w:val="008C54A7"/>
    <w:rsid w:val="008C5D28"/>
    <w:rsid w:val="008C6951"/>
    <w:rsid w:val="008D0352"/>
    <w:rsid w:val="008D79B3"/>
    <w:rsid w:val="008E63D6"/>
    <w:rsid w:val="008E7412"/>
    <w:rsid w:val="008F215C"/>
    <w:rsid w:val="008F478E"/>
    <w:rsid w:val="008F51C0"/>
    <w:rsid w:val="0090073A"/>
    <w:rsid w:val="009016FF"/>
    <w:rsid w:val="00902125"/>
    <w:rsid w:val="00902179"/>
    <w:rsid w:val="009027C8"/>
    <w:rsid w:val="00902E2D"/>
    <w:rsid w:val="0090540B"/>
    <w:rsid w:val="009113E8"/>
    <w:rsid w:val="00912E16"/>
    <w:rsid w:val="00915F84"/>
    <w:rsid w:val="00916E8D"/>
    <w:rsid w:val="00917634"/>
    <w:rsid w:val="00922B9D"/>
    <w:rsid w:val="0092678E"/>
    <w:rsid w:val="00931138"/>
    <w:rsid w:val="00931B1C"/>
    <w:rsid w:val="00935596"/>
    <w:rsid w:val="00943283"/>
    <w:rsid w:val="009455F4"/>
    <w:rsid w:val="00945655"/>
    <w:rsid w:val="00955B1D"/>
    <w:rsid w:val="00956A7E"/>
    <w:rsid w:val="00957CEE"/>
    <w:rsid w:val="00962D51"/>
    <w:rsid w:val="009646F7"/>
    <w:rsid w:val="00973840"/>
    <w:rsid w:val="00973E14"/>
    <w:rsid w:val="00975034"/>
    <w:rsid w:val="00977BCA"/>
    <w:rsid w:val="009862E5"/>
    <w:rsid w:val="009920EA"/>
    <w:rsid w:val="0099304A"/>
    <w:rsid w:val="00997999"/>
    <w:rsid w:val="009A5922"/>
    <w:rsid w:val="009A5BC3"/>
    <w:rsid w:val="009A6E66"/>
    <w:rsid w:val="009B2586"/>
    <w:rsid w:val="009B3E49"/>
    <w:rsid w:val="009C001E"/>
    <w:rsid w:val="009C3E7C"/>
    <w:rsid w:val="009C7B8E"/>
    <w:rsid w:val="009D1228"/>
    <w:rsid w:val="009D1FA6"/>
    <w:rsid w:val="009D544F"/>
    <w:rsid w:val="009D6B3A"/>
    <w:rsid w:val="009E2FED"/>
    <w:rsid w:val="009E3E7B"/>
    <w:rsid w:val="009E49B2"/>
    <w:rsid w:val="009E4CCB"/>
    <w:rsid w:val="009E6740"/>
    <w:rsid w:val="00A0060E"/>
    <w:rsid w:val="00A01057"/>
    <w:rsid w:val="00A073B3"/>
    <w:rsid w:val="00A1603F"/>
    <w:rsid w:val="00A21261"/>
    <w:rsid w:val="00A31AAB"/>
    <w:rsid w:val="00A46731"/>
    <w:rsid w:val="00A46FA5"/>
    <w:rsid w:val="00A6011C"/>
    <w:rsid w:val="00A608F2"/>
    <w:rsid w:val="00A63D37"/>
    <w:rsid w:val="00A63E91"/>
    <w:rsid w:val="00A66B0E"/>
    <w:rsid w:val="00A71C0B"/>
    <w:rsid w:val="00A72ED2"/>
    <w:rsid w:val="00A740D0"/>
    <w:rsid w:val="00A84367"/>
    <w:rsid w:val="00A85D38"/>
    <w:rsid w:val="00A87A51"/>
    <w:rsid w:val="00A91685"/>
    <w:rsid w:val="00AA10CD"/>
    <w:rsid w:val="00AA3B87"/>
    <w:rsid w:val="00AA611D"/>
    <w:rsid w:val="00AA6D0F"/>
    <w:rsid w:val="00AB01C8"/>
    <w:rsid w:val="00AB4D63"/>
    <w:rsid w:val="00AC1E5D"/>
    <w:rsid w:val="00AD5460"/>
    <w:rsid w:val="00AD6F47"/>
    <w:rsid w:val="00AF15F7"/>
    <w:rsid w:val="00AF3D83"/>
    <w:rsid w:val="00AF7FF8"/>
    <w:rsid w:val="00B03C5B"/>
    <w:rsid w:val="00B1552E"/>
    <w:rsid w:val="00B250CF"/>
    <w:rsid w:val="00B31348"/>
    <w:rsid w:val="00B41938"/>
    <w:rsid w:val="00B439B5"/>
    <w:rsid w:val="00B45569"/>
    <w:rsid w:val="00B461EB"/>
    <w:rsid w:val="00B50F94"/>
    <w:rsid w:val="00B5520B"/>
    <w:rsid w:val="00B62955"/>
    <w:rsid w:val="00B70D38"/>
    <w:rsid w:val="00B72031"/>
    <w:rsid w:val="00B773DD"/>
    <w:rsid w:val="00B77E55"/>
    <w:rsid w:val="00B77F89"/>
    <w:rsid w:val="00B80C73"/>
    <w:rsid w:val="00B8445F"/>
    <w:rsid w:val="00B85344"/>
    <w:rsid w:val="00B8696C"/>
    <w:rsid w:val="00B91526"/>
    <w:rsid w:val="00B96657"/>
    <w:rsid w:val="00B9670E"/>
    <w:rsid w:val="00B97528"/>
    <w:rsid w:val="00BA04AF"/>
    <w:rsid w:val="00BB7F15"/>
    <w:rsid w:val="00C0783F"/>
    <w:rsid w:val="00C11756"/>
    <w:rsid w:val="00C14FF4"/>
    <w:rsid w:val="00C15DEE"/>
    <w:rsid w:val="00C21ABF"/>
    <w:rsid w:val="00C227F6"/>
    <w:rsid w:val="00C27A89"/>
    <w:rsid w:val="00C27D2A"/>
    <w:rsid w:val="00C30636"/>
    <w:rsid w:val="00C33CFD"/>
    <w:rsid w:val="00C36C40"/>
    <w:rsid w:val="00C37AE1"/>
    <w:rsid w:val="00C37C79"/>
    <w:rsid w:val="00C46132"/>
    <w:rsid w:val="00C46EA9"/>
    <w:rsid w:val="00C47283"/>
    <w:rsid w:val="00C50BA4"/>
    <w:rsid w:val="00C52F94"/>
    <w:rsid w:val="00C55D29"/>
    <w:rsid w:val="00C568C7"/>
    <w:rsid w:val="00C72274"/>
    <w:rsid w:val="00C734DE"/>
    <w:rsid w:val="00C7549F"/>
    <w:rsid w:val="00C76061"/>
    <w:rsid w:val="00C76192"/>
    <w:rsid w:val="00C80E68"/>
    <w:rsid w:val="00CA02F3"/>
    <w:rsid w:val="00CA392E"/>
    <w:rsid w:val="00CA4420"/>
    <w:rsid w:val="00CA4CFD"/>
    <w:rsid w:val="00CC1242"/>
    <w:rsid w:val="00CC2951"/>
    <w:rsid w:val="00CD5042"/>
    <w:rsid w:val="00CF79F6"/>
    <w:rsid w:val="00D0450B"/>
    <w:rsid w:val="00D04C84"/>
    <w:rsid w:val="00D05167"/>
    <w:rsid w:val="00D05E22"/>
    <w:rsid w:val="00D10881"/>
    <w:rsid w:val="00D127D2"/>
    <w:rsid w:val="00D173A0"/>
    <w:rsid w:val="00D209F6"/>
    <w:rsid w:val="00D23801"/>
    <w:rsid w:val="00D23CF6"/>
    <w:rsid w:val="00D42D9A"/>
    <w:rsid w:val="00D50C7F"/>
    <w:rsid w:val="00D61448"/>
    <w:rsid w:val="00D6298B"/>
    <w:rsid w:val="00D64302"/>
    <w:rsid w:val="00D64352"/>
    <w:rsid w:val="00D66BAF"/>
    <w:rsid w:val="00D67125"/>
    <w:rsid w:val="00D6752E"/>
    <w:rsid w:val="00D72083"/>
    <w:rsid w:val="00D83007"/>
    <w:rsid w:val="00D87734"/>
    <w:rsid w:val="00D959DF"/>
    <w:rsid w:val="00D96BB7"/>
    <w:rsid w:val="00DA28DE"/>
    <w:rsid w:val="00DA4758"/>
    <w:rsid w:val="00DB3399"/>
    <w:rsid w:val="00DC0085"/>
    <w:rsid w:val="00DC4DE4"/>
    <w:rsid w:val="00DD2C60"/>
    <w:rsid w:val="00DD4305"/>
    <w:rsid w:val="00DD52D7"/>
    <w:rsid w:val="00DD7CD1"/>
    <w:rsid w:val="00DF438D"/>
    <w:rsid w:val="00DF4861"/>
    <w:rsid w:val="00E02562"/>
    <w:rsid w:val="00E03D3D"/>
    <w:rsid w:val="00E05777"/>
    <w:rsid w:val="00E11598"/>
    <w:rsid w:val="00E13F18"/>
    <w:rsid w:val="00E1427B"/>
    <w:rsid w:val="00E15DAF"/>
    <w:rsid w:val="00E161B2"/>
    <w:rsid w:val="00E35A9F"/>
    <w:rsid w:val="00E35B23"/>
    <w:rsid w:val="00E36289"/>
    <w:rsid w:val="00E40DEB"/>
    <w:rsid w:val="00E44775"/>
    <w:rsid w:val="00E468E3"/>
    <w:rsid w:val="00E60D6C"/>
    <w:rsid w:val="00E65D68"/>
    <w:rsid w:val="00E66A7B"/>
    <w:rsid w:val="00E71999"/>
    <w:rsid w:val="00E72599"/>
    <w:rsid w:val="00E85115"/>
    <w:rsid w:val="00E854F0"/>
    <w:rsid w:val="00E85909"/>
    <w:rsid w:val="00E96935"/>
    <w:rsid w:val="00EA1D9C"/>
    <w:rsid w:val="00EA2B94"/>
    <w:rsid w:val="00EB78E3"/>
    <w:rsid w:val="00EB7E9A"/>
    <w:rsid w:val="00ED2D2E"/>
    <w:rsid w:val="00ED3D1F"/>
    <w:rsid w:val="00ED43D5"/>
    <w:rsid w:val="00ED5A85"/>
    <w:rsid w:val="00ED5F0A"/>
    <w:rsid w:val="00ED6F60"/>
    <w:rsid w:val="00EE1200"/>
    <w:rsid w:val="00EF5978"/>
    <w:rsid w:val="00F040D2"/>
    <w:rsid w:val="00F07834"/>
    <w:rsid w:val="00F12469"/>
    <w:rsid w:val="00F124E6"/>
    <w:rsid w:val="00F15A42"/>
    <w:rsid w:val="00F27FDD"/>
    <w:rsid w:val="00F404DC"/>
    <w:rsid w:val="00F42FE5"/>
    <w:rsid w:val="00F45EFC"/>
    <w:rsid w:val="00F46BC1"/>
    <w:rsid w:val="00F51982"/>
    <w:rsid w:val="00F51F86"/>
    <w:rsid w:val="00F525E6"/>
    <w:rsid w:val="00F538DC"/>
    <w:rsid w:val="00F53E48"/>
    <w:rsid w:val="00F60FD6"/>
    <w:rsid w:val="00F61926"/>
    <w:rsid w:val="00F67FE1"/>
    <w:rsid w:val="00F70DFB"/>
    <w:rsid w:val="00F74D2B"/>
    <w:rsid w:val="00F816C2"/>
    <w:rsid w:val="00FC16B7"/>
    <w:rsid w:val="00FC24E3"/>
    <w:rsid w:val="00FC28AD"/>
    <w:rsid w:val="00FC45C9"/>
    <w:rsid w:val="00FC6F10"/>
    <w:rsid w:val="00FC79E9"/>
    <w:rsid w:val="00FC7A46"/>
    <w:rsid w:val="00FD3723"/>
    <w:rsid w:val="00FE07FE"/>
    <w:rsid w:val="00FE1EA4"/>
    <w:rsid w:val="00FE58AB"/>
    <w:rsid w:val="00FE7583"/>
    <w:rsid w:val="00FF36AA"/>
    <w:rsid w:val="060B3279"/>
    <w:rsid w:val="2B2C012E"/>
    <w:rsid w:val="4F0C5658"/>
    <w:rsid w:val="536555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link w:val="27"/>
    <w:qFormat/>
    <w:uiPriority w:val="9"/>
    <w:pPr>
      <w:widowControl/>
      <w:spacing w:before="100" w:beforeAutospacing="1" w:after="100" w:afterAutospacing="1"/>
      <w:jc w:val="left"/>
      <w:outlineLvl w:val="2"/>
    </w:pPr>
    <w:rPr>
      <w:rFonts w:ascii="宋体" w:hAnsi="宋体" w:cs="宋体"/>
      <w:b/>
      <w:bCs/>
      <w:kern w:val="0"/>
      <w:sz w:val="27"/>
      <w:szCs w:val="27"/>
    </w:rPr>
  </w:style>
  <w:style w:type="paragraph" w:styleId="3">
    <w:name w:val="heading 6"/>
    <w:basedOn w:val="1"/>
    <w:next w:val="1"/>
    <w:link w:val="28"/>
    <w:semiHidden/>
    <w:unhideWhenUsed/>
    <w:qFormat/>
    <w:uiPriority w:val="0"/>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0"/>
    <w:pPr>
      <w:spacing w:line="440" w:lineRule="exact"/>
      <w:ind w:right="21"/>
    </w:pPr>
    <w:rPr>
      <w:rFonts w:ascii="宋体"/>
      <w:b/>
      <w:sz w:val="24"/>
    </w:rPr>
  </w:style>
  <w:style w:type="paragraph" w:styleId="5">
    <w:name w:val="Body Text Indent"/>
    <w:basedOn w:val="1"/>
    <w:link w:val="24"/>
    <w:qFormat/>
    <w:uiPriority w:val="0"/>
    <w:pPr>
      <w:spacing w:after="120"/>
      <w:ind w:left="420" w:leftChars="200"/>
    </w:pPr>
  </w:style>
  <w:style w:type="paragraph" w:styleId="6">
    <w:name w:val="Plain Text"/>
    <w:basedOn w:val="1"/>
    <w:qFormat/>
    <w:uiPriority w:val="0"/>
    <w:pPr>
      <w:widowControl w:val="0"/>
      <w:jc w:val="both"/>
    </w:pPr>
    <w:rPr>
      <w:rFonts w:ascii="宋体" w:hAnsi="Courier New"/>
      <w:kern w:val="2"/>
      <w:sz w:val="21"/>
      <w:lang w:eastAsia="zh-CN"/>
    </w:rPr>
  </w:style>
  <w:style w:type="paragraph" w:styleId="7">
    <w:name w:val="Body Text Indent 2"/>
    <w:basedOn w:val="1"/>
    <w:link w:val="25"/>
    <w:qFormat/>
    <w:uiPriority w:val="0"/>
    <w:pPr>
      <w:spacing w:after="120" w:line="480" w:lineRule="auto"/>
      <w:ind w:left="420" w:leftChars="200"/>
    </w:p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rPr>
  </w:style>
  <w:style w:type="paragraph" w:styleId="10">
    <w:name w:val="Body Text Indent 3"/>
    <w:basedOn w:val="1"/>
    <w:qFormat/>
    <w:uiPriority w:val="0"/>
    <w:pPr>
      <w:spacing w:line="312" w:lineRule="auto"/>
      <w:ind w:firstLine="480"/>
    </w:pPr>
    <w:rPr>
      <w:rFonts w:ascii="宋体"/>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page number"/>
    <w:basedOn w:val="13"/>
    <w:qFormat/>
    <w:uiPriority w:val="0"/>
  </w:style>
  <w:style w:type="character" w:styleId="15">
    <w:name w:val="Emphasis"/>
    <w:basedOn w:val="13"/>
    <w:qFormat/>
    <w:uiPriority w:val="20"/>
    <w:rPr>
      <w:i/>
      <w:iCs/>
    </w:rPr>
  </w:style>
  <w:style w:type="character" w:styleId="16">
    <w:name w:val="Hyperlink"/>
    <w:basedOn w:val="13"/>
    <w:unhideWhenUsed/>
    <w:qFormat/>
    <w:uiPriority w:val="99"/>
    <w:rPr>
      <w:color w:val="0000FF"/>
      <w:u w:val="single"/>
    </w:rPr>
  </w:style>
  <w:style w:type="paragraph" w:customStyle="1" w:styleId="17">
    <w:name w:val="前言、引言标题"/>
    <w:next w:val="1"/>
    <w:qFormat/>
    <w:uiPriority w:val="0"/>
    <w:pPr>
      <w:numPr>
        <w:ilvl w:val="0"/>
        <w:numId w:val="1"/>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8">
    <w:name w:val="章标题"/>
    <w:next w:val="1"/>
    <w:qFormat/>
    <w:uiPriority w:val="0"/>
    <w:pPr>
      <w:numPr>
        <w:ilvl w:val="1"/>
        <w:numId w:val="1"/>
      </w:numPr>
      <w:spacing w:before="50" w:after="50"/>
      <w:jc w:val="both"/>
      <w:outlineLvl w:val="1"/>
    </w:pPr>
    <w:rPr>
      <w:rFonts w:ascii="黑体" w:hAnsi="Times New Roman" w:eastAsia="黑体" w:cs="Times New Roman"/>
      <w:sz w:val="21"/>
      <w:lang w:val="en-US" w:eastAsia="zh-CN" w:bidi="ar-SA"/>
    </w:rPr>
  </w:style>
  <w:style w:type="paragraph" w:customStyle="1" w:styleId="19">
    <w:name w:val="一级条标题"/>
    <w:basedOn w:val="18"/>
    <w:next w:val="1"/>
    <w:qFormat/>
    <w:uiPriority w:val="0"/>
    <w:pPr>
      <w:numPr>
        <w:ilvl w:val="2"/>
      </w:numPr>
      <w:tabs>
        <w:tab w:val="left" w:pos="360"/>
      </w:tabs>
      <w:spacing w:before="0" w:after="0"/>
      <w:outlineLvl w:val="2"/>
    </w:pPr>
  </w:style>
  <w:style w:type="paragraph" w:customStyle="1" w:styleId="20">
    <w:name w:val="二级条标题"/>
    <w:basedOn w:val="19"/>
    <w:next w:val="1"/>
    <w:qFormat/>
    <w:uiPriority w:val="0"/>
    <w:pPr>
      <w:numPr>
        <w:ilvl w:val="3"/>
      </w:numPr>
      <w:outlineLvl w:val="3"/>
    </w:pPr>
  </w:style>
  <w:style w:type="paragraph" w:customStyle="1" w:styleId="21">
    <w:name w:val="三级条标题"/>
    <w:basedOn w:val="20"/>
    <w:next w:val="1"/>
    <w:qFormat/>
    <w:uiPriority w:val="0"/>
    <w:pPr>
      <w:numPr>
        <w:ilvl w:val="4"/>
      </w:numPr>
      <w:outlineLvl w:val="4"/>
    </w:pPr>
  </w:style>
  <w:style w:type="paragraph" w:customStyle="1" w:styleId="22">
    <w:name w:val="四级条标题"/>
    <w:basedOn w:val="21"/>
    <w:next w:val="1"/>
    <w:qFormat/>
    <w:uiPriority w:val="0"/>
    <w:pPr>
      <w:numPr>
        <w:ilvl w:val="5"/>
      </w:numPr>
      <w:outlineLvl w:val="5"/>
    </w:pPr>
  </w:style>
  <w:style w:type="paragraph" w:customStyle="1" w:styleId="23">
    <w:name w:val="五级条标题"/>
    <w:basedOn w:val="22"/>
    <w:next w:val="1"/>
    <w:qFormat/>
    <w:uiPriority w:val="0"/>
    <w:pPr>
      <w:numPr>
        <w:ilvl w:val="6"/>
      </w:numPr>
      <w:outlineLvl w:val="6"/>
    </w:pPr>
  </w:style>
  <w:style w:type="character" w:customStyle="1" w:styleId="24">
    <w:name w:val="正文文本缩进 Char"/>
    <w:basedOn w:val="13"/>
    <w:link w:val="5"/>
    <w:qFormat/>
    <w:uiPriority w:val="0"/>
    <w:rPr>
      <w:kern w:val="2"/>
      <w:sz w:val="21"/>
    </w:rPr>
  </w:style>
  <w:style w:type="character" w:customStyle="1" w:styleId="25">
    <w:name w:val="正文文本缩进 2 Char"/>
    <w:basedOn w:val="13"/>
    <w:link w:val="7"/>
    <w:qFormat/>
    <w:uiPriority w:val="0"/>
    <w:rPr>
      <w:kern w:val="2"/>
      <w:sz w:val="21"/>
    </w:rPr>
  </w:style>
  <w:style w:type="character" w:customStyle="1" w:styleId="26">
    <w:name w:val="card"/>
    <w:basedOn w:val="13"/>
    <w:qFormat/>
    <w:uiPriority w:val="0"/>
  </w:style>
  <w:style w:type="character" w:customStyle="1" w:styleId="27">
    <w:name w:val="标题 3 Char"/>
    <w:basedOn w:val="13"/>
    <w:link w:val="2"/>
    <w:qFormat/>
    <w:uiPriority w:val="9"/>
    <w:rPr>
      <w:rFonts w:ascii="宋体" w:hAnsi="宋体" w:cs="宋体"/>
      <w:b/>
      <w:bCs/>
      <w:sz w:val="27"/>
      <w:szCs w:val="27"/>
    </w:rPr>
  </w:style>
  <w:style w:type="character" w:customStyle="1" w:styleId="28">
    <w:name w:val="标题 6 Char"/>
    <w:basedOn w:val="13"/>
    <w:link w:val="3"/>
    <w:qFormat/>
    <w:uiPriority w:val="0"/>
    <w:rPr>
      <w:rFonts w:asciiTheme="majorHAnsi" w:hAnsiTheme="majorHAnsi" w:eastAsiaTheme="majorEastAsia" w:cstheme="majorBidi"/>
      <w:b/>
      <w:bCs/>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242</Words>
  <Characters>1380</Characters>
  <Lines>11</Lines>
  <Paragraphs>3</Paragraphs>
  <TotalTime>4</TotalTime>
  <ScaleCrop>false</ScaleCrop>
  <LinksUpToDate>false</LinksUpToDate>
  <CharactersWithSpaces>1619</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2019-11-26T06:40:00Z</dcterms:created>
  <dc:creator>xiao</dc:creator>
  <cp:lastModifiedBy>致清兮</cp:lastModifiedBy>
  <cp:lastPrinted>2006-08-25T02:17:00Z</cp:lastPrinted>
  <dcterms:modified xsi:type="dcterms:W3CDTF">2021-10-20T07:01:37Z</dcterms:modified>
  <dc:title>编写说明</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C7F5AECA36094ED8BE66C24256B1D30E</vt:lpwstr>
  </property>
</Properties>
</file>