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b/>
          <w:sz w:val="52"/>
        </w:rPr>
      </w:pPr>
    </w:p>
    <w:p>
      <w:pPr>
        <w:jc w:val="center"/>
        <w:rPr>
          <w:rFonts w:eastAsia="黑体"/>
          <w:b/>
          <w:sz w:val="52"/>
        </w:rPr>
      </w:pPr>
    </w:p>
    <w:p>
      <w:pPr>
        <w:jc w:val="center"/>
        <w:rPr>
          <w:rFonts w:eastAsia="黑体"/>
          <w:b/>
          <w:sz w:val="52"/>
          <w:szCs w:val="52"/>
        </w:rPr>
      </w:pPr>
    </w:p>
    <w:p>
      <w:pPr>
        <w:jc w:val="center"/>
        <w:rPr>
          <w:rFonts w:eastAsia="黑体"/>
          <w:b/>
          <w:sz w:val="52"/>
          <w:szCs w:val="52"/>
        </w:rPr>
      </w:pPr>
    </w:p>
    <w:p>
      <w:pPr>
        <w:spacing w:line="720" w:lineRule="auto"/>
        <w:jc w:val="center"/>
        <w:rPr>
          <w:rFonts w:eastAsia="黑体"/>
          <w:b/>
          <w:sz w:val="52"/>
          <w:szCs w:val="52"/>
        </w:rPr>
      </w:pPr>
      <w:r>
        <w:rPr>
          <w:rFonts w:hint="eastAsia" w:eastAsia="黑体"/>
          <w:b/>
          <w:sz w:val="52"/>
          <w:szCs w:val="52"/>
        </w:rPr>
        <w:t>大气采样器检定规程</w:t>
      </w:r>
    </w:p>
    <w:p>
      <w:pPr>
        <w:spacing w:line="480" w:lineRule="auto"/>
        <w:jc w:val="center"/>
        <w:rPr>
          <w:rFonts w:eastAsia="黑体"/>
          <w:b/>
          <w:sz w:val="48"/>
          <w:szCs w:val="48"/>
        </w:rPr>
      </w:pPr>
    </w:p>
    <w:p>
      <w:pPr>
        <w:spacing w:line="480" w:lineRule="auto"/>
        <w:jc w:val="center"/>
        <w:rPr>
          <w:rFonts w:eastAsia="黑体"/>
          <w:b/>
          <w:sz w:val="48"/>
          <w:szCs w:val="48"/>
        </w:rPr>
      </w:pPr>
    </w:p>
    <w:p>
      <w:pPr>
        <w:spacing w:line="480" w:lineRule="auto"/>
        <w:jc w:val="center"/>
        <w:rPr>
          <w:rFonts w:eastAsia="黑体"/>
          <w:b/>
          <w:sz w:val="48"/>
          <w:szCs w:val="48"/>
        </w:rPr>
      </w:pPr>
      <w:r>
        <w:rPr>
          <w:rFonts w:hint="eastAsia" w:eastAsia="黑体"/>
          <w:b/>
          <w:sz w:val="48"/>
          <w:szCs w:val="48"/>
        </w:rPr>
        <w:t>编制说明</w:t>
      </w:r>
    </w:p>
    <w:p>
      <w:pPr>
        <w:spacing w:line="360" w:lineRule="auto"/>
        <w:jc w:val="center"/>
        <w:outlineLvl w:val="0"/>
        <w:rPr>
          <w:rFonts w:ascii="宋体" w:cs="Arial"/>
          <w:b/>
          <w:sz w:val="18"/>
          <w:szCs w:val="18"/>
          <w:lang w:val="zh-CN"/>
        </w:rPr>
      </w:pPr>
    </w:p>
    <w:p>
      <w:pPr>
        <w:spacing w:line="360" w:lineRule="auto"/>
        <w:jc w:val="center"/>
        <w:outlineLvl w:val="0"/>
        <w:rPr>
          <w:rFonts w:ascii="宋体" w:cs="Arial"/>
          <w:b/>
          <w:sz w:val="18"/>
          <w:szCs w:val="18"/>
          <w:lang w:val="zh-CN"/>
        </w:rPr>
      </w:pPr>
    </w:p>
    <w:p>
      <w:pPr>
        <w:spacing w:line="360" w:lineRule="auto"/>
        <w:jc w:val="center"/>
        <w:outlineLvl w:val="0"/>
        <w:rPr>
          <w:rFonts w:ascii="宋体" w:cs="Arial"/>
          <w:b/>
          <w:sz w:val="18"/>
          <w:szCs w:val="18"/>
          <w:lang w:val="zh-CN"/>
        </w:rPr>
      </w:pPr>
    </w:p>
    <w:p>
      <w:pPr>
        <w:spacing w:line="360" w:lineRule="auto"/>
        <w:jc w:val="center"/>
        <w:outlineLvl w:val="0"/>
        <w:rPr>
          <w:rFonts w:ascii="宋体" w:cs="Arial"/>
          <w:b/>
          <w:sz w:val="18"/>
          <w:szCs w:val="18"/>
          <w:lang w:val="zh-CN"/>
        </w:rPr>
      </w:pPr>
    </w:p>
    <w:p>
      <w:pPr>
        <w:spacing w:line="360" w:lineRule="auto"/>
        <w:jc w:val="center"/>
        <w:outlineLvl w:val="0"/>
        <w:rPr>
          <w:rFonts w:ascii="宋体" w:cs="Arial"/>
          <w:b/>
          <w:sz w:val="18"/>
          <w:szCs w:val="18"/>
          <w:lang w:val="zh-CN"/>
        </w:rPr>
      </w:pPr>
    </w:p>
    <w:p>
      <w:pPr>
        <w:spacing w:line="360" w:lineRule="auto"/>
        <w:jc w:val="center"/>
        <w:outlineLvl w:val="0"/>
        <w:rPr>
          <w:rFonts w:ascii="宋体" w:cs="Arial"/>
          <w:b/>
          <w:sz w:val="18"/>
          <w:szCs w:val="18"/>
          <w:lang w:val="zh-CN"/>
        </w:rPr>
      </w:pPr>
    </w:p>
    <w:p>
      <w:pPr>
        <w:spacing w:line="360" w:lineRule="auto"/>
        <w:jc w:val="center"/>
        <w:outlineLvl w:val="0"/>
        <w:rPr>
          <w:rFonts w:ascii="宋体" w:cs="Arial"/>
          <w:b/>
          <w:sz w:val="18"/>
          <w:szCs w:val="18"/>
          <w:lang w:val="zh-CN"/>
        </w:rPr>
      </w:pPr>
    </w:p>
    <w:p>
      <w:pPr>
        <w:spacing w:line="360" w:lineRule="auto"/>
        <w:jc w:val="center"/>
        <w:outlineLvl w:val="0"/>
        <w:rPr>
          <w:rFonts w:ascii="宋体" w:cs="Arial"/>
          <w:b/>
          <w:sz w:val="18"/>
          <w:szCs w:val="18"/>
          <w:lang w:val="zh-CN"/>
        </w:rPr>
      </w:pPr>
    </w:p>
    <w:p>
      <w:pPr>
        <w:spacing w:line="360" w:lineRule="auto"/>
        <w:jc w:val="center"/>
        <w:outlineLvl w:val="0"/>
        <w:rPr>
          <w:rFonts w:ascii="宋体" w:cs="Arial"/>
          <w:b/>
          <w:sz w:val="18"/>
          <w:szCs w:val="18"/>
          <w:lang w:val="zh-CN"/>
        </w:rPr>
      </w:pPr>
    </w:p>
    <w:p>
      <w:pPr>
        <w:spacing w:line="360" w:lineRule="auto"/>
        <w:jc w:val="center"/>
        <w:outlineLvl w:val="0"/>
        <w:rPr>
          <w:rFonts w:ascii="宋体" w:cs="Arial"/>
          <w:b/>
          <w:sz w:val="18"/>
          <w:szCs w:val="18"/>
          <w:lang w:val="zh-CN"/>
        </w:rPr>
      </w:pPr>
    </w:p>
    <w:p>
      <w:pPr>
        <w:spacing w:line="360" w:lineRule="auto"/>
        <w:jc w:val="center"/>
        <w:outlineLvl w:val="0"/>
        <w:rPr>
          <w:rFonts w:ascii="宋体" w:cs="Arial"/>
          <w:b/>
          <w:sz w:val="18"/>
          <w:szCs w:val="18"/>
          <w:lang w:val="zh-CN"/>
        </w:rPr>
      </w:pPr>
    </w:p>
    <w:p>
      <w:pPr>
        <w:spacing w:line="360" w:lineRule="auto"/>
        <w:jc w:val="center"/>
        <w:outlineLvl w:val="0"/>
        <w:rPr>
          <w:rFonts w:ascii="宋体" w:cs="Arial"/>
          <w:b/>
          <w:sz w:val="18"/>
          <w:szCs w:val="18"/>
          <w:lang w:val="zh-CN"/>
        </w:rPr>
      </w:pPr>
    </w:p>
    <w:p>
      <w:pPr>
        <w:spacing w:line="360" w:lineRule="auto"/>
        <w:jc w:val="center"/>
        <w:outlineLvl w:val="0"/>
        <w:rPr>
          <w:rFonts w:ascii="黑体" w:hAnsi="宋体" w:eastAsia="黑体"/>
          <w:b/>
          <w:sz w:val="30"/>
          <w:szCs w:val="30"/>
        </w:rPr>
      </w:pPr>
    </w:p>
    <w:p>
      <w:pPr>
        <w:spacing w:line="360" w:lineRule="auto"/>
        <w:jc w:val="center"/>
        <w:outlineLvl w:val="0"/>
        <w:rPr>
          <w:rFonts w:ascii="黑体" w:hAnsi="宋体" w:eastAsia="黑体"/>
          <w:b/>
          <w:sz w:val="30"/>
          <w:szCs w:val="30"/>
        </w:rPr>
      </w:pPr>
    </w:p>
    <w:p>
      <w:pPr>
        <w:spacing w:line="360" w:lineRule="auto"/>
        <w:jc w:val="center"/>
        <w:outlineLvl w:val="0"/>
        <w:rPr>
          <w:rFonts w:ascii="黑体" w:hAnsi="宋体" w:eastAsia="黑体"/>
          <w:b/>
          <w:sz w:val="30"/>
          <w:szCs w:val="30"/>
        </w:rPr>
      </w:pPr>
    </w:p>
    <w:p>
      <w:pPr>
        <w:jc w:val="center"/>
        <w:rPr>
          <w:rFonts w:ascii="黑体" w:eastAsia="黑体"/>
          <w:b/>
          <w:sz w:val="30"/>
        </w:rPr>
      </w:pPr>
      <w:r>
        <w:rPr>
          <w:rFonts w:ascii="黑体" w:eastAsia="黑体"/>
          <w:b/>
          <w:sz w:val="30"/>
        </w:rPr>
        <w:t>2021</w:t>
      </w:r>
      <w:r>
        <w:rPr>
          <w:rFonts w:hint="eastAsia" w:ascii="黑体" w:eastAsia="黑体"/>
          <w:b/>
          <w:sz w:val="30"/>
        </w:rPr>
        <w:t>年</w:t>
      </w:r>
      <w:r>
        <w:rPr>
          <w:rFonts w:hint="eastAsia" w:ascii="黑体" w:eastAsia="黑体"/>
          <w:b/>
          <w:sz w:val="30"/>
          <w:lang w:val="en-US" w:eastAsia="zh-CN"/>
        </w:rPr>
        <w:t>10</w:t>
      </w:r>
      <w:bookmarkStart w:id="0" w:name="_GoBack"/>
      <w:bookmarkEnd w:id="0"/>
      <w:r>
        <w:rPr>
          <w:rFonts w:hint="eastAsia" w:ascii="黑体" w:eastAsia="黑体"/>
          <w:b/>
          <w:sz w:val="30"/>
        </w:rPr>
        <w:t>月</w:t>
      </w:r>
    </w:p>
    <w:p>
      <w:pPr>
        <w:autoSpaceDE w:val="0"/>
        <w:autoSpaceDN w:val="0"/>
        <w:adjustRightInd w:val="0"/>
        <w:snapToGrid w:val="0"/>
        <w:spacing w:line="480" w:lineRule="auto"/>
        <w:jc w:val="center"/>
        <w:rPr>
          <w:rFonts w:ascii="黑体" w:eastAsia="黑体" w:cs="黑体"/>
          <w:kern w:val="0"/>
          <w:sz w:val="36"/>
          <w:szCs w:val="36"/>
        </w:rPr>
      </w:pPr>
    </w:p>
    <w:p>
      <w:pPr>
        <w:adjustRightInd w:val="0"/>
        <w:snapToGrid w:val="0"/>
        <w:spacing w:line="360" w:lineRule="auto"/>
        <w:jc w:val="center"/>
        <w:rPr>
          <w:rFonts w:eastAsia="黑体"/>
          <w:b/>
          <w:sz w:val="36"/>
          <w:szCs w:val="36"/>
        </w:rPr>
      </w:pPr>
      <w:r>
        <w:rPr>
          <w:rFonts w:hint="eastAsia" w:eastAsia="黑体"/>
          <w:b/>
          <w:sz w:val="36"/>
          <w:szCs w:val="36"/>
        </w:rPr>
        <w:t>大气采样器检定规程编制说明</w:t>
      </w:r>
    </w:p>
    <w:p>
      <w:pPr>
        <w:numPr>
          <w:ilvl w:val="0"/>
          <w:numId w:val="1"/>
        </w:numPr>
        <w:adjustRightInd w:val="0"/>
        <w:snapToGrid w:val="0"/>
        <w:spacing w:line="360" w:lineRule="auto"/>
        <w:rPr>
          <w:rFonts w:ascii="黑体" w:hAnsi="宋体" w:eastAsia="黑体"/>
          <w:szCs w:val="28"/>
        </w:rPr>
      </w:pPr>
      <w:r>
        <w:rPr>
          <w:rFonts w:hint="eastAsia" w:ascii="黑体" w:hAnsi="宋体" w:eastAsia="黑体"/>
          <w:szCs w:val="28"/>
        </w:rPr>
        <w:t>任务来源</w:t>
      </w:r>
    </w:p>
    <w:p>
      <w:pPr>
        <w:adjustRightInd w:val="0"/>
        <w:snapToGrid w:val="0"/>
        <w:spacing w:line="360" w:lineRule="auto"/>
        <w:ind w:firstLine="560" w:firstLineChars="200"/>
        <w:rPr>
          <w:szCs w:val="28"/>
        </w:rPr>
      </w:pPr>
      <w:r>
        <w:rPr>
          <w:szCs w:val="28"/>
        </w:rPr>
        <w:t>根据市监计量函﹝2021﹞237号市场监管局办公厅关于追加《计量器具型式评价通用规范》等102项国家计量技术规范修订立项的通知以及全国环境化学计量技术委员会的要求，由中国计量科学研究院、河北省计量监督检测研究院牵头共同修订JJG 956-2013《大气采样器》国家计量检定规程。</w:t>
      </w:r>
    </w:p>
    <w:p>
      <w:pPr>
        <w:adjustRightInd w:val="0"/>
        <w:snapToGrid w:val="0"/>
        <w:spacing w:line="360" w:lineRule="auto"/>
        <w:rPr>
          <w:rFonts w:ascii="黑体" w:hAnsi="宋体" w:eastAsia="黑体"/>
          <w:szCs w:val="28"/>
        </w:rPr>
      </w:pPr>
      <w:r>
        <w:rPr>
          <w:rFonts w:hint="eastAsia" w:ascii="黑体" w:hAnsi="宋体" w:eastAsia="黑体"/>
          <w:szCs w:val="28"/>
        </w:rPr>
        <w:t>二、规程修订的目的和意义</w:t>
      </w:r>
    </w:p>
    <w:p>
      <w:pPr>
        <w:adjustRightInd w:val="0"/>
        <w:snapToGrid w:val="0"/>
        <w:spacing w:line="360" w:lineRule="auto"/>
        <w:ind w:firstLine="560" w:firstLineChars="200"/>
        <w:rPr>
          <w:szCs w:val="28"/>
        </w:rPr>
      </w:pPr>
      <w:r>
        <w:rPr>
          <w:rFonts w:hint="eastAsia"/>
          <w:szCs w:val="28"/>
        </w:rPr>
        <w:t>大气采样器是测量环境空气污染物的的采样设备，将环境空气采到吸收瓶或吸收管，再实施后续的分析，因此采样是测量环境空气中污染物的第一个环节，采样体积直接参与污染物浓度的计算，仪器采样流量的准确与否，起着非常重要的作用。</w:t>
      </w:r>
    </w:p>
    <w:p>
      <w:pPr>
        <w:spacing w:line="360" w:lineRule="auto"/>
        <w:ind w:firstLine="560" w:firstLineChars="200"/>
        <w:rPr>
          <w:szCs w:val="28"/>
        </w:rPr>
      </w:pPr>
      <w:r>
        <w:rPr>
          <w:rFonts w:hint="eastAsia"/>
          <w:szCs w:val="28"/>
        </w:rPr>
        <w:t>大气采样器（以下</w:t>
      </w:r>
      <w:r>
        <w:rPr>
          <w:szCs w:val="28"/>
        </w:rPr>
        <w:t>简称仪器</w:t>
      </w:r>
      <w:r>
        <w:rPr>
          <w:rFonts w:hint="eastAsia"/>
          <w:szCs w:val="28"/>
        </w:rPr>
        <w:t>）是采集大气中气态或</w:t>
      </w:r>
      <w:r>
        <w:rPr>
          <w:szCs w:val="28"/>
        </w:rPr>
        <w:t>蒸气</w:t>
      </w:r>
      <w:r>
        <w:rPr>
          <w:rFonts w:hint="eastAsia"/>
          <w:szCs w:val="28"/>
        </w:rPr>
        <w:t>样品的仪器，是采集大气样品必需的仪器之一，其工作原理是用采样泵抽取样品，通过不同的稳流措施及同步计时的方法，达到定量采集。根据仪器的承受负载能力，仪器分为</w:t>
      </w:r>
      <w:r>
        <w:rPr>
          <w:szCs w:val="28"/>
        </w:rPr>
        <w:t>A</w:t>
      </w:r>
      <w:r>
        <w:rPr>
          <w:rFonts w:hint="eastAsia"/>
          <w:szCs w:val="28"/>
        </w:rPr>
        <w:t>类（承载</w:t>
      </w:r>
      <w:r>
        <w:rPr>
          <w:szCs w:val="28"/>
        </w:rPr>
        <w:t>0.5</w:t>
      </w:r>
      <w:r>
        <w:rPr>
          <w:rFonts w:hint="eastAsia"/>
          <w:szCs w:val="28"/>
        </w:rPr>
        <w:t xml:space="preserve"> </w:t>
      </w:r>
      <w:r>
        <w:rPr>
          <w:szCs w:val="28"/>
        </w:rPr>
        <w:t>kPa</w:t>
      </w:r>
      <w:r>
        <w:rPr>
          <w:rFonts w:hint="eastAsia"/>
          <w:szCs w:val="28"/>
        </w:rPr>
        <w:t>）、</w:t>
      </w:r>
      <w:r>
        <w:rPr>
          <w:szCs w:val="28"/>
        </w:rPr>
        <w:t>B</w:t>
      </w:r>
      <w:r>
        <w:rPr>
          <w:rFonts w:hint="eastAsia"/>
          <w:szCs w:val="28"/>
        </w:rPr>
        <w:t>类（承载</w:t>
      </w:r>
      <w:r>
        <w:rPr>
          <w:szCs w:val="28"/>
        </w:rPr>
        <w:t>4.5</w:t>
      </w:r>
      <w:r>
        <w:rPr>
          <w:rFonts w:hint="eastAsia"/>
          <w:szCs w:val="28"/>
        </w:rPr>
        <w:t xml:space="preserve"> </w:t>
      </w:r>
      <w:r>
        <w:rPr>
          <w:szCs w:val="28"/>
        </w:rPr>
        <w:t>kPa</w:t>
      </w:r>
      <w:r>
        <w:rPr>
          <w:rFonts w:hint="eastAsia"/>
          <w:szCs w:val="28"/>
        </w:rPr>
        <w:t>）和</w:t>
      </w:r>
      <w:r>
        <w:rPr>
          <w:szCs w:val="28"/>
        </w:rPr>
        <w:t>C</w:t>
      </w:r>
      <w:r>
        <w:rPr>
          <w:rFonts w:hint="eastAsia"/>
          <w:szCs w:val="28"/>
        </w:rPr>
        <w:t>类（承载</w:t>
      </w:r>
      <w:r>
        <w:rPr>
          <w:szCs w:val="28"/>
        </w:rPr>
        <w:t>8.0</w:t>
      </w:r>
      <w:r>
        <w:rPr>
          <w:rFonts w:hint="eastAsia"/>
          <w:szCs w:val="28"/>
        </w:rPr>
        <w:t xml:space="preserve"> </w:t>
      </w:r>
      <w:r>
        <w:rPr>
          <w:szCs w:val="28"/>
        </w:rPr>
        <w:t>kPa</w:t>
      </w:r>
      <w:r>
        <w:rPr>
          <w:rFonts w:hint="eastAsia"/>
          <w:szCs w:val="28"/>
        </w:rPr>
        <w:t>）。</w:t>
      </w:r>
    </w:p>
    <w:p>
      <w:pPr>
        <w:adjustRightInd w:val="0"/>
        <w:snapToGrid w:val="0"/>
        <w:spacing w:line="360" w:lineRule="auto"/>
        <w:ind w:firstLine="560" w:firstLineChars="200"/>
        <w:rPr>
          <w:szCs w:val="28"/>
        </w:rPr>
      </w:pPr>
      <w:r>
        <w:rPr>
          <w:rFonts w:hint="eastAsia"/>
          <w:szCs w:val="28"/>
        </w:rPr>
        <w:t>仪器由收集器、流量控制系统和抽气动力系统等部分组成。收集器分为</w:t>
      </w:r>
      <w:r>
        <w:rPr>
          <w:szCs w:val="28"/>
        </w:rPr>
        <w:t>吸收管、</w:t>
      </w:r>
      <w:r>
        <w:rPr>
          <w:rFonts w:hint="eastAsia"/>
          <w:szCs w:val="28"/>
        </w:rPr>
        <w:t>滤料</w:t>
      </w:r>
      <w:r>
        <w:rPr>
          <w:szCs w:val="28"/>
        </w:rPr>
        <w:t>采样</w:t>
      </w:r>
      <w:r>
        <w:rPr>
          <w:rFonts w:hint="eastAsia"/>
          <w:szCs w:val="28"/>
        </w:rPr>
        <w:t>夹、</w:t>
      </w:r>
      <w:r>
        <w:rPr>
          <w:szCs w:val="28"/>
        </w:rPr>
        <w:t>固体颗粒采样管</w:t>
      </w:r>
      <w:r>
        <w:rPr>
          <w:rFonts w:hint="eastAsia"/>
          <w:szCs w:val="28"/>
        </w:rPr>
        <w:t>、</w:t>
      </w:r>
      <w:r>
        <w:rPr>
          <w:szCs w:val="28"/>
        </w:rPr>
        <w:t>用于</w:t>
      </w:r>
      <w:r>
        <w:rPr>
          <w:rFonts w:hint="eastAsia"/>
          <w:szCs w:val="28"/>
        </w:rPr>
        <w:t>采集</w:t>
      </w:r>
      <w:r>
        <w:rPr>
          <w:szCs w:val="28"/>
        </w:rPr>
        <w:t>少量的</w:t>
      </w:r>
      <w:r>
        <w:rPr>
          <w:rFonts w:hint="eastAsia"/>
          <w:szCs w:val="28"/>
        </w:rPr>
        <w:t>气态</w:t>
      </w:r>
      <w:r>
        <w:rPr>
          <w:szCs w:val="28"/>
        </w:rPr>
        <w:t>污染物的</w:t>
      </w:r>
      <w:r>
        <w:rPr>
          <w:rFonts w:hint="eastAsia"/>
          <w:szCs w:val="28"/>
        </w:rPr>
        <w:t>采气管</w:t>
      </w:r>
      <w:r>
        <w:rPr>
          <w:szCs w:val="28"/>
        </w:rPr>
        <w:t>等</w:t>
      </w:r>
      <w:r>
        <w:rPr>
          <w:rFonts w:hint="eastAsia"/>
          <w:szCs w:val="28"/>
        </w:rPr>
        <w:t>，还</w:t>
      </w:r>
      <w:r>
        <w:rPr>
          <w:szCs w:val="28"/>
        </w:rPr>
        <w:t>可装配温度控制</w:t>
      </w:r>
      <w:r>
        <w:rPr>
          <w:rFonts w:hint="eastAsia"/>
          <w:szCs w:val="28"/>
        </w:rPr>
        <w:t>装置</w:t>
      </w:r>
      <w:r>
        <w:rPr>
          <w:szCs w:val="28"/>
        </w:rPr>
        <w:t>。</w:t>
      </w:r>
      <w:r>
        <w:rPr>
          <w:rFonts w:hint="eastAsia"/>
          <w:szCs w:val="28"/>
        </w:rPr>
        <w:t>流量控制系统采用流量计测定并</w:t>
      </w:r>
      <w:r>
        <w:rPr>
          <w:szCs w:val="28"/>
        </w:rPr>
        <w:t>控制气体</w:t>
      </w:r>
      <w:r>
        <w:rPr>
          <w:rFonts w:hint="eastAsia"/>
          <w:szCs w:val="28"/>
        </w:rPr>
        <w:t>流量，并装配定时控制装置，还</w:t>
      </w:r>
      <w:r>
        <w:rPr>
          <w:szCs w:val="28"/>
        </w:rPr>
        <w:t>可装配</w:t>
      </w:r>
      <w:r>
        <w:rPr>
          <w:rFonts w:hint="eastAsia"/>
          <w:szCs w:val="28"/>
        </w:rPr>
        <w:t>温度、</w:t>
      </w:r>
      <w:r>
        <w:rPr>
          <w:szCs w:val="28"/>
        </w:rPr>
        <w:t>压力测量</w:t>
      </w:r>
      <w:r>
        <w:rPr>
          <w:rFonts w:hint="eastAsia"/>
          <w:szCs w:val="28"/>
        </w:rPr>
        <w:t>装置等，抽气动力系统通常由电动</w:t>
      </w:r>
      <w:r>
        <w:rPr>
          <w:szCs w:val="28"/>
        </w:rPr>
        <w:t>真空泵、</w:t>
      </w:r>
      <w:r>
        <w:rPr>
          <w:rFonts w:hint="eastAsia"/>
          <w:szCs w:val="28"/>
        </w:rPr>
        <w:t>刮板泵、薄膜泵、电磁泵或其他抽气泵等组成。随着测量技术的不断发展与完善，大气采样器采用的流量计不仅仅</w:t>
      </w:r>
      <w:r>
        <w:rPr>
          <w:szCs w:val="28"/>
        </w:rPr>
        <w:t>有</w:t>
      </w:r>
      <w:r>
        <w:rPr>
          <w:rFonts w:hint="eastAsia"/>
          <w:szCs w:val="28"/>
        </w:rPr>
        <w:t>转子</w:t>
      </w:r>
      <w:r>
        <w:rPr>
          <w:szCs w:val="28"/>
        </w:rPr>
        <w:t>流量计</w:t>
      </w:r>
      <w:r>
        <w:rPr>
          <w:rFonts w:hint="eastAsia"/>
          <w:szCs w:val="28"/>
        </w:rPr>
        <w:t>，还有差压式流量计和</w:t>
      </w:r>
      <w:r>
        <w:rPr>
          <w:szCs w:val="28"/>
        </w:rPr>
        <w:t>质量流量计</w:t>
      </w:r>
      <w:r>
        <w:rPr>
          <w:rFonts w:hint="eastAsia"/>
          <w:szCs w:val="28"/>
        </w:rPr>
        <w:t>等，显示的数据更多、功能更加强大，具有方便设置和读取数据、抗干扰能力强、准确度高等优点，被广大制造商及用户所青睐，这类仪器所占市场份额也越来越大。</w:t>
      </w:r>
    </w:p>
    <w:p>
      <w:pPr>
        <w:adjustRightInd w:val="0"/>
        <w:snapToGrid w:val="0"/>
        <w:spacing w:line="360" w:lineRule="auto"/>
        <w:ind w:firstLine="560" w:firstLineChars="200"/>
        <w:rPr>
          <w:szCs w:val="28"/>
        </w:rPr>
      </w:pPr>
      <w:r>
        <w:rPr>
          <w:rFonts w:hint="eastAsia"/>
          <w:szCs w:val="28"/>
        </w:rPr>
        <w:t>因此，需要对现行的国家计量检定规程</w:t>
      </w:r>
      <w:r>
        <w:rPr>
          <w:szCs w:val="28"/>
        </w:rPr>
        <w:t>JJG 956-2013</w:t>
      </w:r>
      <w:r>
        <w:rPr>
          <w:rFonts w:hint="eastAsia"/>
          <w:szCs w:val="28"/>
        </w:rPr>
        <w:t>《大气采样器》进行</w:t>
      </w:r>
      <w:r>
        <w:rPr>
          <w:szCs w:val="28"/>
        </w:rPr>
        <w:t>修订</w:t>
      </w:r>
      <w:r>
        <w:rPr>
          <w:rFonts w:hint="eastAsia"/>
          <w:szCs w:val="28"/>
        </w:rPr>
        <w:t>，以不断满足科学技术的发展，为生产者、使用者提供统一的质量标准，保证产品质量，具有较强的社会效益；最主要的是要解决量值溯源的根本问题，为环境检测服务，为政府的决策保驾护航。</w:t>
      </w:r>
    </w:p>
    <w:p>
      <w:pPr>
        <w:adjustRightInd w:val="0"/>
        <w:snapToGrid w:val="0"/>
        <w:spacing w:line="360" w:lineRule="auto"/>
        <w:rPr>
          <w:rFonts w:ascii="黑体" w:hAnsi="宋体" w:eastAsia="黑体"/>
          <w:szCs w:val="28"/>
        </w:rPr>
      </w:pPr>
      <w:r>
        <w:rPr>
          <w:rFonts w:hint="eastAsia" w:ascii="黑体" w:hAnsi="宋体" w:eastAsia="黑体"/>
          <w:szCs w:val="28"/>
        </w:rPr>
        <w:t>三、规程修订的依据</w:t>
      </w:r>
    </w:p>
    <w:p>
      <w:pPr>
        <w:autoSpaceDE w:val="0"/>
        <w:autoSpaceDN w:val="0"/>
        <w:adjustRightInd w:val="0"/>
        <w:snapToGrid w:val="0"/>
        <w:spacing w:line="360" w:lineRule="auto"/>
        <w:ind w:firstLine="560" w:firstLineChars="200"/>
        <w:jc w:val="left"/>
        <w:rPr>
          <w:szCs w:val="28"/>
        </w:rPr>
      </w:pPr>
      <w:r>
        <w:rPr>
          <w:szCs w:val="28"/>
        </w:rPr>
        <w:t>JJF 1001-2011</w:t>
      </w:r>
      <w:r>
        <w:rPr>
          <w:rFonts w:hint="eastAsia"/>
          <w:szCs w:val="28"/>
        </w:rPr>
        <w:t>《</w:t>
      </w:r>
      <w:r>
        <w:rPr>
          <w:rFonts w:hint="eastAsia" w:hAnsi="宋体"/>
          <w:szCs w:val="28"/>
        </w:rPr>
        <w:t>通用计量术语及定义</w:t>
      </w:r>
      <w:r>
        <w:rPr>
          <w:rFonts w:hint="eastAsia"/>
          <w:szCs w:val="28"/>
        </w:rPr>
        <w:t>》</w:t>
      </w:r>
    </w:p>
    <w:p>
      <w:pPr>
        <w:adjustRightInd w:val="0"/>
        <w:snapToGrid w:val="0"/>
        <w:spacing w:line="360" w:lineRule="auto"/>
        <w:ind w:firstLine="560" w:firstLineChars="200"/>
        <w:rPr>
          <w:szCs w:val="28"/>
        </w:rPr>
      </w:pPr>
      <w:r>
        <w:rPr>
          <w:szCs w:val="28"/>
        </w:rPr>
        <w:t>JJF 1002-2010</w:t>
      </w:r>
      <w:r>
        <w:rPr>
          <w:rFonts w:hint="eastAsia"/>
          <w:szCs w:val="28"/>
        </w:rPr>
        <w:t>《国家计量检定规程编写规则》</w:t>
      </w:r>
    </w:p>
    <w:p>
      <w:pPr>
        <w:adjustRightInd w:val="0"/>
        <w:snapToGrid w:val="0"/>
        <w:spacing w:line="360" w:lineRule="auto"/>
        <w:ind w:firstLine="560" w:firstLineChars="200"/>
        <w:rPr>
          <w:szCs w:val="28"/>
        </w:rPr>
      </w:pPr>
      <w:r>
        <w:rPr>
          <w:szCs w:val="28"/>
        </w:rPr>
        <w:t>JJG 956-2013</w:t>
      </w:r>
      <w:r>
        <w:rPr>
          <w:rFonts w:hint="eastAsia"/>
          <w:szCs w:val="28"/>
        </w:rPr>
        <w:t>《大气采样器》</w:t>
      </w:r>
    </w:p>
    <w:p>
      <w:pPr>
        <w:adjustRightInd w:val="0"/>
        <w:snapToGrid w:val="0"/>
        <w:spacing w:line="360" w:lineRule="auto"/>
        <w:ind w:firstLine="560" w:firstLineChars="200"/>
        <w:rPr>
          <w:rFonts w:hAnsi="宋体"/>
          <w:szCs w:val="28"/>
        </w:rPr>
      </w:pPr>
      <w:r>
        <w:rPr>
          <w:rFonts w:hAnsi="宋体"/>
          <w:szCs w:val="28"/>
        </w:rPr>
        <w:t>GB/T17061</w:t>
      </w:r>
      <w:r>
        <w:rPr>
          <w:szCs w:val="28"/>
        </w:rPr>
        <w:t>-</w:t>
      </w:r>
      <w:r>
        <w:rPr>
          <w:rFonts w:hAnsi="宋体"/>
          <w:szCs w:val="28"/>
        </w:rPr>
        <w:t>1997</w:t>
      </w:r>
      <w:r>
        <w:rPr>
          <w:rFonts w:hint="eastAsia" w:hAnsi="宋体"/>
          <w:szCs w:val="28"/>
        </w:rPr>
        <w:t>《作业场所空气采样仪器的技术规范》</w:t>
      </w:r>
    </w:p>
    <w:p>
      <w:pPr>
        <w:adjustRightInd w:val="0"/>
        <w:snapToGrid w:val="0"/>
        <w:spacing w:line="360" w:lineRule="auto"/>
        <w:ind w:firstLine="560" w:firstLineChars="200"/>
        <w:rPr>
          <w:szCs w:val="28"/>
        </w:rPr>
      </w:pPr>
      <w:r>
        <w:rPr>
          <w:szCs w:val="28"/>
        </w:rPr>
        <w:t>HJ/T375-2007</w:t>
      </w:r>
      <w:r>
        <w:rPr>
          <w:rFonts w:hint="eastAsia"/>
          <w:szCs w:val="28"/>
        </w:rPr>
        <w:t>《环境空气采样器技术要求及检测方法》</w:t>
      </w:r>
    </w:p>
    <w:p>
      <w:pPr>
        <w:adjustRightInd w:val="0"/>
        <w:snapToGrid w:val="0"/>
        <w:spacing w:line="360" w:lineRule="auto"/>
        <w:ind w:firstLine="560" w:firstLineChars="200"/>
        <w:rPr>
          <w:szCs w:val="28"/>
        </w:rPr>
      </w:pPr>
      <w:r>
        <w:rPr>
          <w:szCs w:val="28"/>
        </w:rPr>
        <w:t>HJ/T376-2007</w:t>
      </w:r>
      <w:r>
        <w:rPr>
          <w:rFonts w:hint="eastAsia"/>
          <w:szCs w:val="28"/>
        </w:rPr>
        <w:t>《</w:t>
      </w:r>
      <w:r>
        <w:rPr>
          <w:szCs w:val="28"/>
        </w:rPr>
        <w:t>24</w:t>
      </w:r>
      <w:r>
        <w:rPr>
          <w:rFonts w:hint="eastAsia"/>
          <w:szCs w:val="28"/>
        </w:rPr>
        <w:t>小时恒温自动连续环境空气采样器技术要求及检测方法》</w:t>
      </w:r>
    </w:p>
    <w:p>
      <w:pPr>
        <w:adjustRightInd w:val="0"/>
        <w:snapToGrid w:val="0"/>
        <w:spacing w:line="360" w:lineRule="auto"/>
        <w:ind w:firstLine="560" w:firstLineChars="200"/>
        <w:rPr>
          <w:szCs w:val="28"/>
        </w:rPr>
      </w:pPr>
      <w:r>
        <w:rPr>
          <w:rFonts w:hint="eastAsia"/>
          <w:szCs w:val="28"/>
        </w:rPr>
        <w:t>GB50325-2020《民用</w:t>
      </w:r>
      <w:r>
        <w:rPr>
          <w:szCs w:val="28"/>
        </w:rPr>
        <w:t>建筑工程</w:t>
      </w:r>
      <w:r>
        <w:rPr>
          <w:rFonts w:hint="eastAsia"/>
          <w:szCs w:val="28"/>
        </w:rPr>
        <w:t>室内</w:t>
      </w:r>
      <w:r>
        <w:rPr>
          <w:szCs w:val="28"/>
        </w:rPr>
        <w:t>环境</w:t>
      </w:r>
      <w:r>
        <w:rPr>
          <w:rFonts w:hint="eastAsia"/>
          <w:szCs w:val="28"/>
        </w:rPr>
        <w:t>污染</w:t>
      </w:r>
      <w:r>
        <w:rPr>
          <w:szCs w:val="28"/>
        </w:rPr>
        <w:t>控制标准</w:t>
      </w:r>
      <w:r>
        <w:rPr>
          <w:rFonts w:hint="eastAsia"/>
          <w:szCs w:val="28"/>
        </w:rPr>
        <w:t>》</w:t>
      </w:r>
    </w:p>
    <w:p>
      <w:pPr>
        <w:adjustRightInd w:val="0"/>
        <w:snapToGrid w:val="0"/>
        <w:spacing w:line="360" w:lineRule="auto"/>
        <w:rPr>
          <w:rFonts w:ascii="黑体" w:hAnsi="宋体" w:eastAsia="黑体"/>
          <w:szCs w:val="28"/>
        </w:rPr>
      </w:pPr>
      <w:r>
        <w:rPr>
          <w:rFonts w:hint="eastAsia" w:ascii="黑体" w:hAnsi="宋体" w:eastAsia="黑体"/>
          <w:szCs w:val="28"/>
        </w:rPr>
        <w:t>四、规程编制的主要内容及说明</w:t>
      </w:r>
    </w:p>
    <w:p>
      <w:pPr>
        <w:adjustRightInd w:val="0"/>
        <w:snapToGrid w:val="0"/>
        <w:spacing w:line="360" w:lineRule="auto"/>
        <w:rPr>
          <w:rFonts w:ascii="宋体" w:hAnsi="宋体"/>
        </w:rPr>
      </w:pPr>
      <w:r>
        <w:rPr>
          <w:szCs w:val="28"/>
        </w:rPr>
        <w:t>1</w:t>
      </w:r>
      <w:r>
        <w:rPr>
          <w:rFonts w:hint="eastAsia"/>
          <w:szCs w:val="28"/>
        </w:rPr>
        <w:t>、</w:t>
      </w:r>
      <w:r>
        <w:rPr>
          <w:rFonts w:hint="eastAsia" w:ascii="宋体" w:hAnsi="宋体"/>
        </w:rPr>
        <w:t>增加C类大气采样器，承载压力为8.0 kPa</w:t>
      </w:r>
    </w:p>
    <w:p>
      <w:pPr>
        <w:adjustRightInd w:val="0"/>
        <w:snapToGrid w:val="0"/>
        <w:spacing w:line="360" w:lineRule="auto"/>
        <w:ind w:firstLine="560" w:firstLineChars="200"/>
        <w:rPr>
          <w:szCs w:val="28"/>
        </w:rPr>
      </w:pPr>
      <w:r>
        <w:rPr>
          <w:rFonts w:hint="eastAsia"/>
          <w:szCs w:val="28"/>
        </w:rPr>
        <w:t>在GB50325-2020《民用</w:t>
      </w:r>
      <w:r>
        <w:rPr>
          <w:szCs w:val="28"/>
        </w:rPr>
        <w:t>建筑工程</w:t>
      </w:r>
      <w:r>
        <w:rPr>
          <w:rFonts w:hint="eastAsia"/>
          <w:szCs w:val="28"/>
        </w:rPr>
        <w:t>室内</w:t>
      </w:r>
      <w:r>
        <w:rPr>
          <w:szCs w:val="28"/>
        </w:rPr>
        <w:t>环境</w:t>
      </w:r>
      <w:r>
        <w:rPr>
          <w:rFonts w:hint="eastAsia"/>
          <w:szCs w:val="28"/>
        </w:rPr>
        <w:t>污染</w:t>
      </w:r>
      <w:r>
        <w:rPr>
          <w:szCs w:val="28"/>
        </w:rPr>
        <w:t>控制标准</w:t>
      </w:r>
      <w:r>
        <w:rPr>
          <w:rFonts w:hint="eastAsia"/>
          <w:szCs w:val="28"/>
        </w:rPr>
        <w:t>》中要求</w:t>
      </w:r>
      <w:r>
        <w:rPr>
          <w:szCs w:val="28"/>
        </w:rPr>
        <w:t>恒流采样器</w:t>
      </w:r>
      <w:r>
        <w:rPr>
          <w:rFonts w:hint="eastAsia"/>
          <w:szCs w:val="28"/>
        </w:rPr>
        <w:t>“当</w:t>
      </w:r>
      <w:r>
        <w:rPr>
          <w:szCs w:val="28"/>
        </w:rPr>
        <w:t>流量为</w:t>
      </w:r>
      <w:r>
        <w:rPr>
          <w:rFonts w:hint="eastAsia"/>
          <w:szCs w:val="28"/>
        </w:rPr>
        <w:t>0.5</w:t>
      </w:r>
      <w:r>
        <w:rPr>
          <w:szCs w:val="28"/>
        </w:rPr>
        <w:t xml:space="preserve"> L/min</w:t>
      </w:r>
      <w:r>
        <w:rPr>
          <w:rFonts w:hint="eastAsia"/>
          <w:szCs w:val="28"/>
        </w:rPr>
        <w:t>时</w:t>
      </w:r>
      <w:r>
        <w:rPr>
          <w:szCs w:val="28"/>
        </w:rPr>
        <w:t>，</w:t>
      </w:r>
      <w:r>
        <w:rPr>
          <w:rFonts w:hint="eastAsia"/>
          <w:szCs w:val="28"/>
        </w:rPr>
        <w:t xml:space="preserve">应能克服5 </w:t>
      </w:r>
      <w:r>
        <w:rPr>
          <w:szCs w:val="28"/>
        </w:rPr>
        <w:t>kPa</w:t>
      </w:r>
      <w:r>
        <w:rPr>
          <w:rFonts w:hint="eastAsia"/>
          <w:szCs w:val="28"/>
        </w:rPr>
        <w:t>~</w:t>
      </w:r>
      <w:r>
        <w:rPr>
          <w:szCs w:val="28"/>
        </w:rPr>
        <w:t>10 kPa的</w:t>
      </w:r>
      <w:r>
        <w:rPr>
          <w:rFonts w:hint="eastAsia"/>
          <w:szCs w:val="28"/>
        </w:rPr>
        <w:t>阻力”，增加C类，</w:t>
      </w:r>
      <w:r>
        <w:rPr>
          <w:rFonts w:ascii="宋体" w:hAnsi="宋体"/>
        </w:rPr>
        <w:t>承载压力</w:t>
      </w:r>
      <w:r>
        <w:rPr>
          <w:rFonts w:hint="eastAsia" w:ascii="宋体" w:hAnsi="宋体"/>
        </w:rPr>
        <w:t>为</w:t>
      </w:r>
      <w:r>
        <w:rPr>
          <w:rFonts w:ascii="宋体" w:hAnsi="宋体"/>
        </w:rPr>
        <w:t>“</w:t>
      </w:r>
      <w:r>
        <w:rPr>
          <w:rFonts w:hint="eastAsia" w:ascii="宋体" w:hAnsi="宋体"/>
        </w:rPr>
        <w:t>8</w:t>
      </w:r>
      <w:r>
        <w:rPr>
          <w:rFonts w:ascii="宋体" w:hAnsi="宋体"/>
        </w:rPr>
        <w:t>.0 kPa”</w:t>
      </w:r>
      <w:r>
        <w:rPr>
          <w:szCs w:val="28"/>
        </w:rPr>
        <w:t>。</w:t>
      </w:r>
      <w:r>
        <w:rPr>
          <w:rFonts w:hint="eastAsia"/>
          <w:szCs w:val="28"/>
        </w:rPr>
        <w:t>经修订后规程能覆盖大气采样器所使用的各种场所，具有广泛的适应性。</w:t>
      </w:r>
    </w:p>
    <w:p>
      <w:pPr>
        <w:adjustRightInd w:val="0"/>
        <w:snapToGrid w:val="0"/>
        <w:spacing w:line="360" w:lineRule="auto"/>
        <w:rPr>
          <w:szCs w:val="28"/>
        </w:rPr>
      </w:pPr>
      <w:r>
        <w:rPr>
          <w:rFonts w:hint="eastAsia"/>
          <w:szCs w:val="28"/>
        </w:rPr>
        <w:t>2、补充了数显式大气采样器流量示值误差检定方法</w:t>
      </w:r>
    </w:p>
    <w:p>
      <w:pPr>
        <w:adjustRightInd w:val="0"/>
        <w:snapToGrid w:val="0"/>
        <w:spacing w:line="360" w:lineRule="auto"/>
        <w:ind w:firstLine="560" w:firstLineChars="200"/>
        <w:rPr>
          <w:szCs w:val="28"/>
        </w:rPr>
      </w:pPr>
      <w:r>
        <w:rPr>
          <w:rFonts w:hint="eastAsia"/>
          <w:szCs w:val="28"/>
        </w:rPr>
        <w:t>大气采样器的流量控制方式分为</w:t>
      </w:r>
      <w:r>
        <w:rPr>
          <w:szCs w:val="28"/>
        </w:rPr>
        <w:t>指示</w:t>
      </w:r>
      <w:r>
        <w:rPr>
          <w:rFonts w:hint="eastAsia"/>
          <w:szCs w:val="28"/>
        </w:rPr>
        <w:t>式(如转子</w:t>
      </w:r>
      <w:r>
        <w:rPr>
          <w:szCs w:val="28"/>
        </w:rPr>
        <w:t>流量计</w:t>
      </w:r>
      <w:r>
        <w:rPr>
          <w:rFonts w:hint="eastAsia"/>
          <w:szCs w:val="28"/>
        </w:rPr>
        <w:t>)和数显</w:t>
      </w:r>
      <w:r>
        <w:rPr>
          <w:szCs w:val="28"/>
        </w:rPr>
        <w:t>式</w:t>
      </w:r>
      <w:r>
        <w:rPr>
          <w:rFonts w:hint="eastAsia"/>
          <w:szCs w:val="28"/>
        </w:rPr>
        <w:t>(如差压式流量计和</w:t>
      </w:r>
      <w:r>
        <w:rPr>
          <w:szCs w:val="28"/>
        </w:rPr>
        <w:t>质量流量计</w:t>
      </w:r>
      <w:r>
        <w:rPr>
          <w:rFonts w:hint="eastAsia"/>
          <w:szCs w:val="28"/>
        </w:rPr>
        <w:t>等)。随着测量技术的不断发展与完善，</w:t>
      </w:r>
      <w:r>
        <w:rPr>
          <w:szCs w:val="28"/>
        </w:rPr>
        <w:t>数显式仪器</w:t>
      </w:r>
      <w:r>
        <w:rPr>
          <w:rFonts w:hint="eastAsia"/>
          <w:szCs w:val="28"/>
        </w:rPr>
        <w:t>的</w:t>
      </w:r>
      <w:r>
        <w:rPr>
          <w:szCs w:val="28"/>
        </w:rPr>
        <w:t>应用越来越</w:t>
      </w:r>
      <w:r>
        <w:rPr>
          <w:rFonts w:hint="eastAsia"/>
          <w:szCs w:val="28"/>
        </w:rPr>
        <w:t>多，其</w:t>
      </w:r>
      <w:r>
        <w:rPr>
          <w:szCs w:val="28"/>
        </w:rPr>
        <w:t>检定方法亟待统一。</w:t>
      </w:r>
    </w:p>
    <w:p>
      <w:pPr>
        <w:adjustRightInd w:val="0"/>
        <w:snapToGrid w:val="0"/>
        <w:spacing w:line="360" w:lineRule="auto"/>
        <w:ind w:firstLine="560" w:firstLineChars="200"/>
        <w:rPr>
          <w:szCs w:val="28"/>
        </w:rPr>
      </w:pPr>
      <w:r>
        <w:rPr>
          <w:rFonts w:hint="eastAsia"/>
          <w:szCs w:val="28"/>
        </w:rPr>
        <w:t>在流量示值误差检定过程中，空载状态下，仪器和标准流量计在相同的环境条件下，可以直接比较工况流量。负载状态下，仪器的进气口压力减小，使得仪器和标准流量计所处环境不同，工况状态下无法直接比较，而大量实验数据显示，不同厂家的数显</w:t>
      </w:r>
      <w:r>
        <w:rPr>
          <w:szCs w:val="28"/>
        </w:rPr>
        <w:t>式</w:t>
      </w:r>
      <w:r>
        <w:rPr>
          <w:rFonts w:hint="eastAsia"/>
          <w:szCs w:val="28"/>
        </w:rPr>
        <w:t>仪器在空载状态下和负载状态下测得的流量相差并不明显。根据对不同仪器</w:t>
      </w:r>
      <w:r>
        <w:rPr>
          <w:szCs w:val="28"/>
        </w:rPr>
        <w:t>生产</w:t>
      </w:r>
      <w:r>
        <w:rPr>
          <w:rFonts w:hint="eastAsia"/>
          <w:szCs w:val="28"/>
        </w:rPr>
        <w:t>厂家的调研，了解到，仪器实时测量流量计前压力，通过仪器设定好的计算公式，可以将计前压力抵消掉，只要流量计前压力不超过泵的负载能力，流量都是相同的。</w:t>
      </w:r>
    </w:p>
    <w:p>
      <w:pPr>
        <w:spacing w:line="360" w:lineRule="auto"/>
        <w:ind w:firstLine="560" w:firstLineChars="200"/>
      </w:pPr>
      <w:r>
        <w:rPr>
          <w:rFonts w:hint="eastAsia"/>
        </w:rPr>
        <w:t>为了明确</w:t>
      </w:r>
      <w:r>
        <w:t>数显式仪器和指示式仪器的区别</w:t>
      </w:r>
      <w:r>
        <w:rPr>
          <w:rFonts w:hint="eastAsia"/>
        </w:rPr>
        <w:t>，</w:t>
      </w:r>
      <w:r>
        <w:t>选取了不同厂家不同的型号的多台</w:t>
      </w:r>
      <w:r>
        <w:rPr>
          <w:rFonts w:hint="eastAsia"/>
        </w:rPr>
        <w:t>数显</w:t>
      </w:r>
      <w:r>
        <w:t>式大气采样器进行实验</w:t>
      </w:r>
      <w:r>
        <w:rPr>
          <w:rFonts w:hint="eastAsia"/>
        </w:rPr>
        <w:t>，实验</w:t>
      </w:r>
      <w:r>
        <w:t>选用的流量标准器为电子皂膜流量计。</w:t>
      </w:r>
      <w:r>
        <w:rPr>
          <w:rFonts w:hint="eastAsia"/>
        </w:rPr>
        <w:t>实验</w:t>
      </w:r>
      <w:r>
        <w:t>思路是</w:t>
      </w:r>
      <w:r>
        <w:rPr>
          <w:rFonts w:hint="eastAsia"/>
        </w:rPr>
        <w:t>首先</w:t>
      </w:r>
      <w:r>
        <w:t>测量空载状态下</w:t>
      </w:r>
      <w:r>
        <w:rPr>
          <w:rFonts w:hint="eastAsia"/>
        </w:rPr>
        <w:t>的</w:t>
      </w:r>
      <w:r>
        <w:t>流量</w:t>
      </w:r>
      <w:r>
        <w:rPr>
          <w:rFonts w:hint="eastAsia"/>
        </w:rPr>
        <w:t>作为起始值</w:t>
      </w:r>
      <w:r>
        <w:t>，然后</w:t>
      </w:r>
      <w:r>
        <w:rPr>
          <w:rFonts w:hint="eastAsia"/>
        </w:rPr>
        <w:t>在不同</w:t>
      </w:r>
      <w:r>
        <w:t>负载</w:t>
      </w:r>
      <w:r>
        <w:rPr>
          <w:rFonts w:hint="eastAsia"/>
        </w:rPr>
        <w:t>压力</w:t>
      </w:r>
      <w:r>
        <w:t>下</w:t>
      </w:r>
      <w:r>
        <w:rPr>
          <w:rFonts w:hint="eastAsia"/>
        </w:rPr>
        <w:t>，</w:t>
      </w:r>
      <w:r>
        <w:t>分别测量负载调节装置入口和出口的流量</w:t>
      </w:r>
      <w:r>
        <w:rPr>
          <w:rFonts w:hint="eastAsia"/>
        </w:rPr>
        <w:t>。</w:t>
      </w:r>
    </w:p>
    <w:p>
      <w:pPr>
        <w:spacing w:line="360" w:lineRule="auto"/>
        <w:ind w:firstLine="560" w:firstLineChars="200"/>
        <w:rPr>
          <w:sz w:val="24"/>
        </w:rPr>
      </w:pPr>
      <w:r>
        <w:pict>
          <v:shape id="图片 2" o:spid="_x0000_s1028" o:spt="75" type="#_x0000_t75" style="position:absolute;left:0pt;margin-top:25.25pt;height:110pt;width:339pt;mso-position-horizontal:center;mso-wrap-distance-bottom:0pt;mso-wrap-distance-top:0pt;z-index:1024;mso-width-relative:margin;mso-height-relative:margin;" filled="f" o:preferrelative="t" stroked="f" coordsize="21600,21600">
            <v:path/>
            <v:fill on="f" focussize="0,0"/>
            <v:stroke on="f" joinstyle="miter"/>
            <v:imagedata r:id="rId7" o:title=""/>
            <o:lock v:ext="edit" aspectratio="t"/>
            <w10:wrap type="topAndBottom"/>
          </v:shape>
        </w:pict>
      </w:r>
    </w:p>
    <w:p>
      <w:pPr>
        <w:spacing w:line="360" w:lineRule="auto"/>
        <w:jc w:val="center"/>
        <w:rPr>
          <w:sz w:val="24"/>
        </w:rPr>
      </w:pPr>
      <w:r>
        <w:rPr>
          <w:sz w:val="24"/>
        </w:rPr>
        <w:t xml:space="preserve">图1  </w:t>
      </w:r>
      <w:r>
        <w:rPr>
          <w:rFonts w:hint="eastAsia"/>
          <w:sz w:val="24"/>
        </w:rPr>
        <w:t>流量</w:t>
      </w:r>
      <w:r>
        <w:rPr>
          <w:sz w:val="24"/>
        </w:rPr>
        <w:t>测量连接示意图</w:t>
      </w:r>
    </w:p>
    <w:p>
      <w:pPr>
        <w:spacing w:line="360" w:lineRule="auto"/>
        <w:jc w:val="center"/>
        <w:rPr>
          <w:sz w:val="24"/>
        </w:rPr>
      </w:pPr>
      <w:r>
        <w:rPr>
          <w:sz w:val="24"/>
        </w:rPr>
        <w:pict>
          <v:shape id="图片 9" o:spid="_x0000_s1027" o:spt="75" type="#_x0000_t75" style="position:absolute;left:0pt;margin-left:57.25pt;margin-top:9pt;height:107.4pt;width:339pt;mso-wrap-distance-bottom:0pt;mso-wrap-distance-top:0pt;z-index:1024;mso-width-relative:margin;mso-height-relative:margin;" filled="f" o:preferrelative="t" stroked="f" coordsize="21600,21600">
            <v:path/>
            <v:fill on="f" focussize="0,0"/>
            <v:stroke on="f" joinstyle="miter"/>
            <v:imagedata r:id="rId8" o:title=""/>
            <o:lock v:ext="edit" aspectratio="t"/>
            <w10:wrap type="topAndBottom"/>
          </v:shape>
        </w:pict>
      </w:r>
      <w:r>
        <w:rPr>
          <w:rFonts w:hint="eastAsia"/>
          <w:sz w:val="24"/>
        </w:rPr>
        <w:t>图2  模拟</w:t>
      </w:r>
      <w:r>
        <w:rPr>
          <w:sz w:val="24"/>
        </w:rPr>
        <w:t>转子流量计连接示意图</w:t>
      </w:r>
    </w:p>
    <w:p>
      <w:pPr>
        <w:spacing w:line="360" w:lineRule="auto"/>
        <w:ind w:firstLine="560" w:firstLineChars="200"/>
        <w:rPr>
          <w:szCs w:val="28"/>
        </w:rPr>
      </w:pPr>
      <w:r>
        <w:rPr>
          <w:szCs w:val="28"/>
        </w:rPr>
        <w:t>实验过程如下：</w:t>
      </w:r>
    </w:p>
    <w:p>
      <w:pPr>
        <w:spacing w:line="360" w:lineRule="auto"/>
        <w:ind w:firstLine="560" w:firstLineChars="200"/>
        <w:rPr>
          <w:szCs w:val="28"/>
        </w:rPr>
      </w:pPr>
      <w:r>
        <w:rPr>
          <w:szCs w:val="28"/>
        </w:rPr>
        <w:t>a</w:t>
      </w:r>
      <w:r>
        <w:rPr>
          <w:rFonts w:hint="eastAsia"/>
          <w:szCs w:val="28"/>
        </w:rPr>
        <w:t>）按</w:t>
      </w:r>
      <w:r>
        <w:rPr>
          <w:szCs w:val="28"/>
        </w:rPr>
        <w:t>图1</w:t>
      </w:r>
      <w:r>
        <w:rPr>
          <w:rFonts w:hint="eastAsia"/>
          <w:szCs w:val="28"/>
        </w:rPr>
        <w:t>连接好电子皂膜</w:t>
      </w:r>
      <w:r>
        <w:rPr>
          <w:szCs w:val="28"/>
        </w:rPr>
        <w:t>流量计、</w:t>
      </w:r>
      <w:r>
        <w:rPr>
          <w:rFonts w:hint="eastAsia"/>
          <w:szCs w:val="28"/>
        </w:rPr>
        <w:t>负载</w:t>
      </w:r>
      <w:r>
        <w:rPr>
          <w:szCs w:val="28"/>
        </w:rPr>
        <w:t>调节装置、压力表和</w:t>
      </w:r>
      <w:r>
        <w:rPr>
          <w:rFonts w:hint="eastAsia"/>
          <w:szCs w:val="28"/>
        </w:rPr>
        <w:t>数字显示</w:t>
      </w:r>
      <w:r>
        <w:rPr>
          <w:szCs w:val="28"/>
        </w:rPr>
        <w:t>式大气采样器</w:t>
      </w:r>
      <w:r>
        <w:rPr>
          <w:rFonts w:hint="eastAsia"/>
          <w:szCs w:val="28"/>
        </w:rPr>
        <w:t>；</w:t>
      </w:r>
    </w:p>
    <w:p>
      <w:pPr>
        <w:spacing w:line="360" w:lineRule="auto"/>
        <w:ind w:firstLine="560" w:firstLineChars="200"/>
        <w:rPr>
          <w:szCs w:val="28"/>
        </w:rPr>
      </w:pPr>
      <w:r>
        <w:rPr>
          <w:szCs w:val="28"/>
        </w:rPr>
        <w:t>b）测量</w:t>
      </w:r>
      <w:r>
        <w:rPr>
          <w:rFonts w:hint="eastAsia"/>
          <w:szCs w:val="28"/>
        </w:rPr>
        <w:t>并记录</w:t>
      </w:r>
      <w:r>
        <w:rPr>
          <w:szCs w:val="28"/>
        </w:rPr>
        <w:t>空载状态下的流量</w:t>
      </w:r>
      <w:r>
        <w:rPr>
          <w:rFonts w:hint="eastAsia"/>
          <w:szCs w:val="28"/>
        </w:rPr>
        <w:t>值</w:t>
      </w:r>
      <w:r>
        <w:rPr>
          <w:szCs w:val="28"/>
        </w:rPr>
        <w:t>；</w:t>
      </w:r>
    </w:p>
    <w:p>
      <w:pPr>
        <w:spacing w:line="360" w:lineRule="auto"/>
        <w:ind w:firstLine="560" w:firstLineChars="200"/>
        <w:rPr>
          <w:szCs w:val="28"/>
        </w:rPr>
      </w:pPr>
      <w:r>
        <w:rPr>
          <w:rFonts w:hint="eastAsia"/>
          <w:szCs w:val="28"/>
        </w:rPr>
        <w:t>c）</w:t>
      </w:r>
      <w:r>
        <w:rPr>
          <w:szCs w:val="28"/>
        </w:rPr>
        <w:t>加负载</w:t>
      </w:r>
      <w:r>
        <w:rPr>
          <w:rFonts w:hint="eastAsia"/>
          <w:szCs w:val="28"/>
        </w:rPr>
        <w:t xml:space="preserve">2 </w:t>
      </w:r>
      <w:r>
        <w:rPr>
          <w:szCs w:val="28"/>
        </w:rPr>
        <w:t>kPa左右，测定</w:t>
      </w:r>
      <w:r>
        <w:rPr>
          <w:rFonts w:hint="eastAsia"/>
          <w:szCs w:val="28"/>
        </w:rPr>
        <w:t>并记录</w:t>
      </w:r>
      <w:r>
        <w:rPr>
          <w:szCs w:val="28"/>
        </w:rPr>
        <w:t>流量</w:t>
      </w:r>
      <w:r>
        <w:rPr>
          <w:rFonts w:hint="eastAsia"/>
          <w:szCs w:val="28"/>
        </w:rPr>
        <w:t>，不</w:t>
      </w:r>
      <w:r>
        <w:rPr>
          <w:szCs w:val="28"/>
        </w:rPr>
        <w:t>调节负载调节装置阻力，按图</w:t>
      </w:r>
      <w:r>
        <w:rPr>
          <w:rFonts w:hint="eastAsia"/>
          <w:szCs w:val="28"/>
        </w:rPr>
        <w:t>2重新连接</w:t>
      </w:r>
      <w:r>
        <w:rPr>
          <w:szCs w:val="28"/>
        </w:rPr>
        <w:t>仪器，再次测定</w:t>
      </w:r>
      <w:r>
        <w:rPr>
          <w:rFonts w:hint="eastAsia"/>
          <w:szCs w:val="28"/>
        </w:rPr>
        <w:t>并记录</w:t>
      </w:r>
      <w:r>
        <w:rPr>
          <w:szCs w:val="28"/>
        </w:rPr>
        <w:t>流量</w:t>
      </w:r>
      <w:r>
        <w:rPr>
          <w:rFonts w:hint="eastAsia"/>
          <w:szCs w:val="28"/>
        </w:rPr>
        <w:t>值；</w:t>
      </w:r>
    </w:p>
    <w:p>
      <w:pPr>
        <w:spacing w:line="360" w:lineRule="auto"/>
        <w:ind w:firstLine="560" w:firstLineChars="200"/>
        <w:rPr>
          <w:szCs w:val="28"/>
        </w:rPr>
      </w:pPr>
      <w:r>
        <w:rPr>
          <w:szCs w:val="28"/>
        </w:rPr>
        <w:t>d）</w:t>
      </w:r>
      <w:r>
        <w:rPr>
          <w:rFonts w:hint="eastAsia"/>
          <w:szCs w:val="28"/>
        </w:rPr>
        <w:t>分别加</w:t>
      </w:r>
      <w:r>
        <w:rPr>
          <w:szCs w:val="28"/>
        </w:rPr>
        <w:t>负载</w:t>
      </w:r>
      <w:r>
        <w:rPr>
          <w:rFonts w:hint="eastAsia"/>
          <w:szCs w:val="28"/>
        </w:rPr>
        <w:t xml:space="preserve">5 </w:t>
      </w:r>
      <w:r>
        <w:rPr>
          <w:szCs w:val="28"/>
        </w:rPr>
        <w:t>kPa</w:t>
      </w:r>
      <w:r>
        <w:rPr>
          <w:rFonts w:hint="eastAsia"/>
          <w:szCs w:val="28"/>
        </w:rPr>
        <w:t>和8 kP</w:t>
      </w:r>
      <w:r>
        <w:rPr>
          <w:szCs w:val="28"/>
        </w:rPr>
        <w:t>a左右，</w:t>
      </w:r>
      <w:r>
        <w:rPr>
          <w:rFonts w:hint="eastAsia"/>
          <w:szCs w:val="28"/>
        </w:rPr>
        <w:t>重复</w:t>
      </w:r>
      <w:r>
        <w:rPr>
          <w:szCs w:val="28"/>
        </w:rPr>
        <w:t>第</w:t>
      </w:r>
      <w:r>
        <w:rPr>
          <w:rFonts w:hint="eastAsia"/>
          <w:szCs w:val="28"/>
        </w:rPr>
        <w:t>3步</w:t>
      </w:r>
      <w:r>
        <w:rPr>
          <w:szCs w:val="28"/>
        </w:rPr>
        <w:t>。</w:t>
      </w:r>
    </w:p>
    <w:p>
      <w:pPr>
        <w:spacing w:line="360" w:lineRule="auto"/>
        <w:ind w:firstLine="560" w:firstLineChars="200"/>
        <w:rPr>
          <w:szCs w:val="28"/>
        </w:rPr>
      </w:pPr>
      <w:r>
        <w:rPr>
          <w:rFonts w:hint="eastAsia"/>
          <w:szCs w:val="28"/>
        </w:rPr>
        <w:t>不同</w:t>
      </w:r>
      <w:r>
        <w:rPr>
          <w:szCs w:val="28"/>
        </w:rPr>
        <w:t>型号的电子大气采样器的测量结果基本相同，选取一台仪器</w:t>
      </w:r>
      <w:r>
        <w:rPr>
          <w:rFonts w:hint="eastAsia"/>
          <w:szCs w:val="28"/>
        </w:rPr>
        <w:t xml:space="preserve">0.5 </w:t>
      </w:r>
      <w:r>
        <w:rPr>
          <w:szCs w:val="28"/>
        </w:rPr>
        <w:t>L/min流量下的数据</w:t>
      </w:r>
      <w:r>
        <w:rPr>
          <w:rFonts w:hint="eastAsia"/>
          <w:szCs w:val="28"/>
        </w:rPr>
        <w:t>，</w:t>
      </w:r>
      <w:r>
        <w:rPr>
          <w:szCs w:val="28"/>
        </w:rPr>
        <w:t>见表1</w:t>
      </w:r>
      <w:r>
        <w:rPr>
          <w:rFonts w:hint="eastAsia"/>
          <w:szCs w:val="28"/>
        </w:rPr>
        <w:t>：</w:t>
      </w:r>
    </w:p>
    <w:p>
      <w:pPr>
        <w:spacing w:line="360" w:lineRule="auto"/>
        <w:ind w:firstLine="200"/>
        <w:jc w:val="center"/>
        <w:rPr>
          <w:sz w:val="24"/>
          <w:szCs w:val="28"/>
        </w:rPr>
      </w:pPr>
      <w:r>
        <w:rPr>
          <w:rFonts w:hint="eastAsia"/>
          <w:sz w:val="24"/>
          <w:szCs w:val="28"/>
        </w:rPr>
        <w:t>表</w:t>
      </w:r>
      <w:r>
        <w:rPr>
          <w:sz w:val="24"/>
          <w:szCs w:val="28"/>
        </w:rPr>
        <w:t>1</w:t>
      </w:r>
      <w:r>
        <w:rPr>
          <w:rFonts w:hint="eastAsia"/>
          <w:sz w:val="24"/>
          <w:szCs w:val="28"/>
        </w:rPr>
        <w:t xml:space="preserve">  </w:t>
      </w:r>
      <w:r>
        <w:rPr>
          <w:sz w:val="24"/>
          <w:szCs w:val="28"/>
        </w:rPr>
        <w:t>负载调节装置</w:t>
      </w:r>
      <w:r>
        <w:rPr>
          <w:rFonts w:hint="eastAsia"/>
          <w:sz w:val="24"/>
          <w:szCs w:val="28"/>
        </w:rPr>
        <w:t>入口和</w:t>
      </w:r>
      <w:r>
        <w:rPr>
          <w:sz w:val="24"/>
          <w:szCs w:val="28"/>
        </w:rPr>
        <w:t>出口流量</w:t>
      </w:r>
    </w:p>
    <w:tbl>
      <w:tblPr>
        <w:tblStyle w:val="15"/>
        <w:tblW w:w="0" w:type="auto"/>
        <w:jc w:val="center"/>
        <w:tblBorders>
          <w:top w:val="single" w:color="auto" w:sz="6" w:space="0"/>
          <w:left w:val="none" w:color="auto" w:sz="0" w:space="0"/>
          <w:bottom w:val="single" w:color="auto" w:sz="6"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765"/>
        <w:gridCol w:w="2765"/>
        <w:gridCol w:w="2766"/>
      </w:tblGrid>
      <w:tr>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65" w:type="dxa"/>
            <w:tcBorders>
              <w:top w:val="single" w:color="auto" w:sz="6" w:space="0"/>
              <w:bottom w:val="single" w:color="auto" w:sz="6" w:space="0"/>
            </w:tcBorders>
            <w:vAlign w:val="center"/>
          </w:tcPr>
          <w:p>
            <w:pPr>
              <w:spacing w:line="360" w:lineRule="auto"/>
              <w:ind w:firstLine="200"/>
              <w:jc w:val="center"/>
              <w:rPr>
                <w:sz w:val="24"/>
                <w:szCs w:val="28"/>
              </w:rPr>
            </w:pPr>
            <w:r>
              <w:rPr>
                <w:rFonts w:hint="eastAsia"/>
                <w:sz w:val="24"/>
                <w:szCs w:val="28"/>
              </w:rPr>
              <w:t>负载状态</w:t>
            </w:r>
          </w:p>
        </w:tc>
        <w:tc>
          <w:tcPr>
            <w:tcW w:w="2765" w:type="dxa"/>
            <w:tcBorders>
              <w:top w:val="single" w:color="auto" w:sz="6" w:space="0"/>
              <w:bottom w:val="single" w:color="auto" w:sz="6" w:space="0"/>
            </w:tcBorders>
            <w:vAlign w:val="center"/>
          </w:tcPr>
          <w:p>
            <w:pPr>
              <w:spacing w:line="360" w:lineRule="auto"/>
              <w:ind w:firstLine="200"/>
              <w:jc w:val="center"/>
              <w:rPr>
                <w:sz w:val="24"/>
                <w:szCs w:val="28"/>
              </w:rPr>
            </w:pPr>
            <w:r>
              <w:rPr>
                <w:rFonts w:hint="eastAsia"/>
                <w:sz w:val="24"/>
                <w:szCs w:val="28"/>
              </w:rPr>
              <w:t>入口流量(</w:t>
            </w:r>
            <w:r>
              <w:rPr>
                <w:sz w:val="24"/>
                <w:szCs w:val="28"/>
              </w:rPr>
              <w:t>L/min</w:t>
            </w:r>
            <w:r>
              <w:rPr>
                <w:rFonts w:hint="eastAsia"/>
                <w:sz w:val="24"/>
                <w:szCs w:val="28"/>
              </w:rPr>
              <w:t>)</w:t>
            </w:r>
          </w:p>
        </w:tc>
        <w:tc>
          <w:tcPr>
            <w:tcW w:w="2766" w:type="dxa"/>
            <w:tcBorders>
              <w:top w:val="single" w:color="auto" w:sz="6" w:space="0"/>
              <w:bottom w:val="single" w:color="auto" w:sz="6" w:space="0"/>
            </w:tcBorders>
            <w:vAlign w:val="center"/>
          </w:tcPr>
          <w:p>
            <w:pPr>
              <w:spacing w:line="360" w:lineRule="auto"/>
              <w:ind w:firstLine="200"/>
              <w:jc w:val="center"/>
              <w:rPr>
                <w:sz w:val="24"/>
                <w:szCs w:val="28"/>
              </w:rPr>
            </w:pPr>
            <w:r>
              <w:rPr>
                <w:rFonts w:hint="eastAsia"/>
                <w:sz w:val="24"/>
                <w:szCs w:val="28"/>
              </w:rPr>
              <w:t>出口流量(</w:t>
            </w:r>
            <w:r>
              <w:rPr>
                <w:sz w:val="24"/>
                <w:szCs w:val="28"/>
              </w:rPr>
              <w:t>L/min</w:t>
            </w:r>
            <w:r>
              <w:rPr>
                <w:rFonts w:hint="eastAsia"/>
                <w:sz w:val="24"/>
                <w:szCs w:val="28"/>
              </w:rPr>
              <w:t>)</w:t>
            </w:r>
          </w:p>
        </w:tc>
      </w:tr>
      <w:tr>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65" w:type="dxa"/>
            <w:tcBorders>
              <w:top w:val="single" w:color="auto" w:sz="6" w:space="0"/>
            </w:tcBorders>
            <w:vAlign w:val="center"/>
          </w:tcPr>
          <w:p>
            <w:pPr>
              <w:spacing w:line="360" w:lineRule="auto"/>
              <w:ind w:firstLine="200"/>
              <w:jc w:val="center"/>
              <w:rPr>
                <w:sz w:val="24"/>
                <w:szCs w:val="28"/>
              </w:rPr>
            </w:pPr>
            <w:r>
              <w:rPr>
                <w:rFonts w:hint="eastAsia"/>
                <w:sz w:val="24"/>
                <w:szCs w:val="28"/>
              </w:rPr>
              <w:t>空载</w:t>
            </w:r>
            <w:r>
              <w:rPr>
                <w:sz w:val="24"/>
                <w:szCs w:val="28"/>
              </w:rPr>
              <w:t>流量</w:t>
            </w:r>
          </w:p>
        </w:tc>
        <w:tc>
          <w:tcPr>
            <w:tcW w:w="2765" w:type="dxa"/>
            <w:tcBorders>
              <w:top w:val="single" w:color="auto" w:sz="6" w:space="0"/>
            </w:tcBorders>
            <w:vAlign w:val="center"/>
          </w:tcPr>
          <w:p>
            <w:pPr>
              <w:spacing w:line="360" w:lineRule="auto"/>
              <w:ind w:firstLine="200"/>
              <w:jc w:val="center"/>
              <w:rPr>
                <w:sz w:val="24"/>
                <w:szCs w:val="28"/>
              </w:rPr>
            </w:pPr>
            <w:r>
              <w:rPr>
                <w:rFonts w:hint="eastAsia"/>
                <w:sz w:val="24"/>
                <w:szCs w:val="28"/>
              </w:rPr>
              <w:t>0.496</w:t>
            </w:r>
          </w:p>
        </w:tc>
        <w:tc>
          <w:tcPr>
            <w:tcW w:w="2766" w:type="dxa"/>
            <w:tcBorders>
              <w:top w:val="single" w:color="auto" w:sz="6" w:space="0"/>
            </w:tcBorders>
            <w:vAlign w:val="center"/>
          </w:tcPr>
          <w:p>
            <w:pPr>
              <w:spacing w:line="360" w:lineRule="auto"/>
              <w:ind w:firstLine="200"/>
              <w:jc w:val="center"/>
              <w:rPr>
                <w:sz w:val="24"/>
                <w:szCs w:val="28"/>
              </w:rPr>
            </w:pPr>
            <w:r>
              <w:rPr>
                <w:sz w:val="24"/>
                <w:szCs w:val="28"/>
              </w:rPr>
              <w:t>0.496</w:t>
            </w:r>
          </w:p>
        </w:tc>
      </w:tr>
      <w:tr>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65" w:type="dxa"/>
            <w:vAlign w:val="center"/>
          </w:tcPr>
          <w:p>
            <w:pPr>
              <w:spacing w:line="360" w:lineRule="auto"/>
              <w:ind w:firstLine="200"/>
              <w:jc w:val="center"/>
              <w:rPr>
                <w:sz w:val="24"/>
                <w:szCs w:val="28"/>
              </w:rPr>
            </w:pPr>
            <w:r>
              <w:rPr>
                <w:rFonts w:hint="eastAsia"/>
                <w:sz w:val="24"/>
                <w:szCs w:val="28"/>
              </w:rPr>
              <w:t xml:space="preserve">负载2.1 </w:t>
            </w:r>
            <w:r>
              <w:rPr>
                <w:sz w:val="24"/>
                <w:szCs w:val="28"/>
              </w:rPr>
              <w:t>kPa</w:t>
            </w:r>
          </w:p>
        </w:tc>
        <w:tc>
          <w:tcPr>
            <w:tcW w:w="2765" w:type="dxa"/>
            <w:vAlign w:val="center"/>
          </w:tcPr>
          <w:p>
            <w:pPr>
              <w:spacing w:line="360" w:lineRule="auto"/>
              <w:ind w:firstLine="200"/>
              <w:jc w:val="center"/>
              <w:rPr>
                <w:sz w:val="24"/>
                <w:szCs w:val="28"/>
              </w:rPr>
            </w:pPr>
            <w:r>
              <w:rPr>
                <w:rFonts w:hint="eastAsia"/>
                <w:sz w:val="24"/>
                <w:szCs w:val="28"/>
              </w:rPr>
              <w:t>0.498</w:t>
            </w:r>
          </w:p>
        </w:tc>
        <w:tc>
          <w:tcPr>
            <w:tcW w:w="2766" w:type="dxa"/>
            <w:vAlign w:val="center"/>
          </w:tcPr>
          <w:p>
            <w:pPr>
              <w:spacing w:line="360" w:lineRule="auto"/>
              <w:ind w:firstLine="200"/>
              <w:jc w:val="center"/>
              <w:rPr>
                <w:sz w:val="24"/>
                <w:szCs w:val="28"/>
              </w:rPr>
            </w:pPr>
            <w:r>
              <w:rPr>
                <w:rFonts w:hint="eastAsia"/>
                <w:sz w:val="24"/>
                <w:szCs w:val="28"/>
              </w:rPr>
              <w:t>0.510</w:t>
            </w:r>
          </w:p>
        </w:tc>
      </w:tr>
      <w:tr>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65" w:type="dxa"/>
            <w:vAlign w:val="center"/>
          </w:tcPr>
          <w:p>
            <w:pPr>
              <w:spacing w:line="360" w:lineRule="auto"/>
              <w:ind w:firstLine="200"/>
              <w:jc w:val="center"/>
              <w:rPr>
                <w:sz w:val="24"/>
                <w:szCs w:val="28"/>
              </w:rPr>
            </w:pPr>
            <w:r>
              <w:rPr>
                <w:rFonts w:hint="eastAsia"/>
                <w:sz w:val="24"/>
                <w:szCs w:val="28"/>
              </w:rPr>
              <w:t>负载</w:t>
            </w:r>
            <w:r>
              <w:rPr>
                <w:sz w:val="24"/>
                <w:szCs w:val="28"/>
              </w:rPr>
              <w:t>5.0</w:t>
            </w:r>
            <w:r>
              <w:rPr>
                <w:rFonts w:hint="eastAsia"/>
                <w:sz w:val="24"/>
                <w:szCs w:val="28"/>
              </w:rPr>
              <w:t xml:space="preserve"> </w:t>
            </w:r>
            <w:r>
              <w:rPr>
                <w:sz w:val="24"/>
                <w:szCs w:val="28"/>
              </w:rPr>
              <w:t>kPa</w:t>
            </w:r>
          </w:p>
        </w:tc>
        <w:tc>
          <w:tcPr>
            <w:tcW w:w="2765" w:type="dxa"/>
            <w:vAlign w:val="center"/>
          </w:tcPr>
          <w:p>
            <w:pPr>
              <w:spacing w:line="360" w:lineRule="auto"/>
              <w:ind w:firstLine="200"/>
              <w:jc w:val="center"/>
              <w:rPr>
                <w:sz w:val="24"/>
                <w:szCs w:val="28"/>
              </w:rPr>
            </w:pPr>
            <w:r>
              <w:rPr>
                <w:rFonts w:hint="eastAsia"/>
                <w:sz w:val="24"/>
                <w:szCs w:val="28"/>
              </w:rPr>
              <w:t>0.496</w:t>
            </w:r>
          </w:p>
        </w:tc>
        <w:tc>
          <w:tcPr>
            <w:tcW w:w="2766" w:type="dxa"/>
            <w:vAlign w:val="center"/>
          </w:tcPr>
          <w:p>
            <w:pPr>
              <w:spacing w:line="360" w:lineRule="auto"/>
              <w:ind w:firstLine="200"/>
              <w:jc w:val="center"/>
              <w:rPr>
                <w:sz w:val="24"/>
                <w:szCs w:val="28"/>
              </w:rPr>
            </w:pPr>
            <w:r>
              <w:rPr>
                <w:rFonts w:hint="eastAsia"/>
                <w:sz w:val="24"/>
                <w:szCs w:val="28"/>
              </w:rPr>
              <w:t>0.524</w:t>
            </w:r>
          </w:p>
        </w:tc>
      </w:tr>
      <w:tr>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65" w:type="dxa"/>
            <w:vAlign w:val="center"/>
          </w:tcPr>
          <w:p>
            <w:pPr>
              <w:spacing w:line="360" w:lineRule="auto"/>
              <w:ind w:firstLine="200"/>
              <w:jc w:val="center"/>
              <w:rPr>
                <w:sz w:val="24"/>
                <w:szCs w:val="28"/>
              </w:rPr>
            </w:pPr>
            <w:r>
              <w:rPr>
                <w:rFonts w:hint="eastAsia"/>
                <w:sz w:val="24"/>
                <w:szCs w:val="28"/>
              </w:rPr>
              <w:t>负载</w:t>
            </w:r>
            <w:r>
              <w:rPr>
                <w:sz w:val="24"/>
                <w:szCs w:val="28"/>
              </w:rPr>
              <w:t>8.7</w:t>
            </w:r>
            <w:r>
              <w:rPr>
                <w:rFonts w:hint="eastAsia"/>
                <w:sz w:val="24"/>
                <w:szCs w:val="28"/>
              </w:rPr>
              <w:t xml:space="preserve"> </w:t>
            </w:r>
            <w:r>
              <w:rPr>
                <w:sz w:val="24"/>
                <w:szCs w:val="28"/>
              </w:rPr>
              <w:t>kPa</w:t>
            </w:r>
          </w:p>
        </w:tc>
        <w:tc>
          <w:tcPr>
            <w:tcW w:w="2765" w:type="dxa"/>
            <w:vAlign w:val="center"/>
          </w:tcPr>
          <w:p>
            <w:pPr>
              <w:spacing w:line="360" w:lineRule="auto"/>
              <w:ind w:firstLine="200"/>
              <w:jc w:val="center"/>
              <w:rPr>
                <w:sz w:val="24"/>
                <w:szCs w:val="28"/>
              </w:rPr>
            </w:pPr>
            <w:r>
              <w:rPr>
                <w:rFonts w:hint="eastAsia"/>
                <w:sz w:val="24"/>
                <w:szCs w:val="28"/>
              </w:rPr>
              <w:t>0.49</w:t>
            </w:r>
            <w:r>
              <w:rPr>
                <w:sz w:val="24"/>
                <w:szCs w:val="28"/>
              </w:rPr>
              <w:t>4</w:t>
            </w:r>
          </w:p>
        </w:tc>
        <w:tc>
          <w:tcPr>
            <w:tcW w:w="2766" w:type="dxa"/>
            <w:vAlign w:val="center"/>
          </w:tcPr>
          <w:p>
            <w:pPr>
              <w:spacing w:line="360" w:lineRule="auto"/>
              <w:ind w:firstLine="200"/>
              <w:jc w:val="center"/>
              <w:rPr>
                <w:sz w:val="24"/>
                <w:szCs w:val="28"/>
              </w:rPr>
            </w:pPr>
            <w:r>
              <w:rPr>
                <w:rFonts w:hint="eastAsia"/>
                <w:sz w:val="24"/>
                <w:szCs w:val="28"/>
              </w:rPr>
              <w:t>0</w:t>
            </w:r>
            <w:r>
              <w:rPr>
                <w:sz w:val="24"/>
                <w:szCs w:val="28"/>
              </w:rPr>
              <w:t>.5</w:t>
            </w:r>
            <w:r>
              <w:rPr>
                <w:rFonts w:hint="eastAsia"/>
                <w:sz w:val="24"/>
                <w:szCs w:val="28"/>
              </w:rPr>
              <w:t>46</w:t>
            </w:r>
          </w:p>
        </w:tc>
      </w:tr>
    </w:tbl>
    <w:p>
      <w:pPr>
        <w:spacing w:line="360" w:lineRule="auto"/>
        <w:ind w:firstLine="560" w:firstLineChars="200"/>
        <w:rPr>
          <w:szCs w:val="28"/>
        </w:rPr>
      </w:pPr>
      <w:r>
        <w:rPr>
          <w:rFonts w:hint="eastAsia"/>
          <w:szCs w:val="28"/>
        </w:rPr>
        <w:t>从数据</w:t>
      </w:r>
      <w:r>
        <w:rPr>
          <w:szCs w:val="28"/>
        </w:rPr>
        <w:t>中可以看出</w:t>
      </w:r>
      <w:r>
        <w:rPr>
          <w:rFonts w:hint="eastAsia"/>
          <w:szCs w:val="28"/>
        </w:rPr>
        <w:t>：负载调节装置的</w:t>
      </w:r>
      <w:r>
        <w:rPr>
          <w:szCs w:val="28"/>
        </w:rPr>
        <w:t>入口流量</w:t>
      </w:r>
      <w:r>
        <w:rPr>
          <w:rFonts w:hint="eastAsia"/>
          <w:szCs w:val="28"/>
        </w:rPr>
        <w:t>从空载</w:t>
      </w:r>
      <w:r>
        <w:rPr>
          <w:szCs w:val="28"/>
        </w:rPr>
        <w:t>到负载</w:t>
      </w:r>
      <w:r>
        <w:rPr>
          <w:rFonts w:hint="eastAsia"/>
          <w:szCs w:val="28"/>
        </w:rPr>
        <w:t xml:space="preserve">8.7 </w:t>
      </w:r>
      <w:r>
        <w:rPr>
          <w:szCs w:val="28"/>
        </w:rPr>
        <w:t>kPa，流量变化</w:t>
      </w:r>
      <w:r>
        <w:rPr>
          <w:rFonts w:hint="eastAsia"/>
          <w:szCs w:val="28"/>
        </w:rPr>
        <w:t>在(</w:t>
      </w:r>
      <w:r>
        <w:rPr>
          <w:szCs w:val="28"/>
        </w:rPr>
        <w:t>0.494~0.498</w:t>
      </w:r>
      <w:r>
        <w:rPr>
          <w:rFonts w:hint="eastAsia"/>
          <w:szCs w:val="28"/>
        </w:rPr>
        <w:t>)</w:t>
      </w:r>
      <w:r>
        <w:rPr>
          <w:szCs w:val="28"/>
        </w:rPr>
        <w:t xml:space="preserve"> L/min</w:t>
      </w:r>
      <w:r>
        <w:rPr>
          <w:rFonts w:hint="eastAsia"/>
          <w:szCs w:val="28"/>
        </w:rPr>
        <w:t>之间，</w:t>
      </w:r>
      <w:r>
        <w:rPr>
          <w:szCs w:val="28"/>
        </w:rPr>
        <w:t>基本保持稳定</w:t>
      </w:r>
      <w:r>
        <w:rPr>
          <w:rFonts w:hint="eastAsia"/>
          <w:szCs w:val="28"/>
        </w:rPr>
        <w:t>；其出口</w:t>
      </w:r>
      <w:r>
        <w:rPr>
          <w:szCs w:val="28"/>
        </w:rPr>
        <w:t>流量随着负载</w:t>
      </w:r>
      <w:r>
        <w:rPr>
          <w:rFonts w:hint="eastAsia"/>
          <w:szCs w:val="28"/>
        </w:rPr>
        <w:t>的</w:t>
      </w:r>
      <w:r>
        <w:rPr>
          <w:szCs w:val="28"/>
        </w:rPr>
        <w:t>升高</w:t>
      </w:r>
      <w:r>
        <w:rPr>
          <w:rFonts w:hint="eastAsia"/>
          <w:szCs w:val="28"/>
        </w:rPr>
        <w:t>，</w:t>
      </w:r>
      <w:r>
        <w:rPr>
          <w:szCs w:val="28"/>
        </w:rPr>
        <w:t>从</w:t>
      </w:r>
      <w:r>
        <w:rPr>
          <w:rFonts w:hint="eastAsia"/>
          <w:szCs w:val="28"/>
        </w:rPr>
        <w:t xml:space="preserve">0.496 </w:t>
      </w:r>
      <w:r>
        <w:rPr>
          <w:szCs w:val="28"/>
        </w:rPr>
        <w:t>L/min</w:t>
      </w:r>
      <w:r>
        <w:rPr>
          <w:rFonts w:hint="eastAsia"/>
          <w:szCs w:val="28"/>
        </w:rPr>
        <w:t>升高</w:t>
      </w:r>
      <w:r>
        <w:rPr>
          <w:szCs w:val="28"/>
        </w:rPr>
        <w:t>到</w:t>
      </w:r>
      <w:r>
        <w:rPr>
          <w:rFonts w:hint="eastAsia"/>
          <w:szCs w:val="28"/>
        </w:rPr>
        <w:t xml:space="preserve">0.546 </w:t>
      </w:r>
      <w:r>
        <w:rPr>
          <w:szCs w:val="28"/>
        </w:rPr>
        <w:t>L/min。</w:t>
      </w:r>
    </w:p>
    <w:p>
      <w:pPr>
        <w:spacing w:line="360" w:lineRule="auto"/>
        <w:ind w:firstLine="560" w:firstLineChars="200"/>
        <w:rPr>
          <w:szCs w:val="28"/>
        </w:rPr>
      </w:pPr>
      <w:r>
        <w:rPr>
          <w:rFonts w:hint="eastAsia"/>
          <w:szCs w:val="28"/>
        </w:rPr>
        <w:t>该实验</w:t>
      </w:r>
      <w:r>
        <w:rPr>
          <w:szCs w:val="28"/>
        </w:rPr>
        <w:t>中，</w:t>
      </w:r>
      <w:r>
        <w:rPr>
          <w:rFonts w:hint="eastAsia"/>
          <w:szCs w:val="28"/>
        </w:rPr>
        <w:t>按图2的</w:t>
      </w:r>
      <w:r>
        <w:rPr>
          <w:szCs w:val="28"/>
        </w:rPr>
        <w:t>方式连接</w:t>
      </w:r>
      <w:r>
        <w:rPr>
          <w:rFonts w:hint="eastAsia"/>
          <w:szCs w:val="28"/>
        </w:rPr>
        <w:t>仪器</w:t>
      </w:r>
      <w:r>
        <w:rPr>
          <w:szCs w:val="28"/>
        </w:rPr>
        <w:t>后，</w:t>
      </w:r>
      <w:r>
        <w:rPr>
          <w:rFonts w:hint="eastAsia"/>
          <w:szCs w:val="28"/>
        </w:rPr>
        <w:t>电子皂膜流量计</w:t>
      </w:r>
      <w:r>
        <w:rPr>
          <w:szCs w:val="28"/>
        </w:rPr>
        <w:t>就相当于</w:t>
      </w:r>
      <w:r>
        <w:rPr>
          <w:rFonts w:hint="eastAsia"/>
          <w:szCs w:val="28"/>
        </w:rPr>
        <w:t>转子流量计</w:t>
      </w:r>
      <w:r>
        <w:rPr>
          <w:szCs w:val="28"/>
        </w:rPr>
        <w:t>式</w:t>
      </w:r>
      <w:r>
        <w:rPr>
          <w:rFonts w:hint="eastAsia"/>
          <w:szCs w:val="28"/>
        </w:rPr>
        <w:t>大气采样器中</w:t>
      </w:r>
      <w:r>
        <w:rPr>
          <w:szCs w:val="28"/>
        </w:rPr>
        <w:t>转子流量计</w:t>
      </w:r>
      <w:r>
        <w:rPr>
          <w:rFonts w:hint="eastAsia"/>
          <w:szCs w:val="28"/>
        </w:rPr>
        <w:t>的</w:t>
      </w:r>
      <w:r>
        <w:rPr>
          <w:szCs w:val="28"/>
        </w:rPr>
        <w:t>位置</w:t>
      </w:r>
      <w:r>
        <w:rPr>
          <w:rFonts w:hint="eastAsia"/>
          <w:szCs w:val="28"/>
        </w:rPr>
        <w:t>，</w:t>
      </w:r>
      <w:r>
        <w:rPr>
          <w:szCs w:val="28"/>
        </w:rPr>
        <w:t>测量的是</w:t>
      </w:r>
      <w:r>
        <w:rPr>
          <w:rFonts w:hint="eastAsia"/>
          <w:szCs w:val="28"/>
        </w:rPr>
        <w:t>大气采样器</w:t>
      </w:r>
      <w:r>
        <w:rPr>
          <w:szCs w:val="28"/>
        </w:rPr>
        <w:t>的入口</w:t>
      </w:r>
      <w:r>
        <w:rPr>
          <w:rFonts w:hint="eastAsia"/>
          <w:szCs w:val="28"/>
        </w:rPr>
        <w:t>流量。由于</w:t>
      </w:r>
      <w:r>
        <w:rPr>
          <w:szCs w:val="28"/>
        </w:rPr>
        <w:t>转子流量计的刻度不会随负载的</w:t>
      </w:r>
      <w:r>
        <w:rPr>
          <w:rFonts w:hint="eastAsia"/>
          <w:szCs w:val="28"/>
        </w:rPr>
        <w:t>变化</w:t>
      </w:r>
      <w:r>
        <w:rPr>
          <w:szCs w:val="28"/>
        </w:rPr>
        <w:t>而变化，</w:t>
      </w:r>
      <w:r>
        <w:rPr>
          <w:rFonts w:hint="eastAsia"/>
          <w:szCs w:val="28"/>
        </w:rPr>
        <w:t>所以</w:t>
      </w:r>
      <w:r>
        <w:rPr>
          <w:szCs w:val="28"/>
        </w:rPr>
        <w:t>负载调节装置的出口</w:t>
      </w:r>
      <w:r>
        <w:rPr>
          <w:rFonts w:hint="eastAsia"/>
          <w:szCs w:val="28"/>
        </w:rPr>
        <w:t>流量</w:t>
      </w:r>
      <w:r>
        <w:rPr>
          <w:szCs w:val="28"/>
        </w:rPr>
        <w:t>保持</w:t>
      </w:r>
      <w:r>
        <w:rPr>
          <w:rFonts w:hint="eastAsia"/>
          <w:szCs w:val="28"/>
        </w:rPr>
        <w:t>稳定，那么其</w:t>
      </w:r>
      <w:r>
        <w:rPr>
          <w:szCs w:val="28"/>
        </w:rPr>
        <w:t>入</w:t>
      </w:r>
      <w:r>
        <w:rPr>
          <w:rFonts w:hint="eastAsia"/>
          <w:szCs w:val="28"/>
        </w:rPr>
        <w:t>口</w:t>
      </w:r>
      <w:r>
        <w:rPr>
          <w:szCs w:val="28"/>
        </w:rPr>
        <w:t>流量会因负载的升高而逐渐降低</w:t>
      </w:r>
      <w:r>
        <w:rPr>
          <w:rFonts w:hint="eastAsia"/>
          <w:szCs w:val="28"/>
        </w:rPr>
        <w:t>，所以需要</w:t>
      </w:r>
      <w:r>
        <w:rPr>
          <w:szCs w:val="28"/>
        </w:rPr>
        <w:t>考虑负载对入口流量进行修正。</w:t>
      </w:r>
    </w:p>
    <w:p>
      <w:pPr>
        <w:spacing w:line="360" w:lineRule="auto"/>
        <w:ind w:firstLine="560" w:firstLineChars="200"/>
        <w:rPr>
          <w:szCs w:val="28"/>
        </w:rPr>
      </w:pPr>
      <w:r>
        <w:rPr>
          <w:rFonts w:hint="eastAsia" w:hAnsi="宋体"/>
          <w:szCs w:val="28"/>
        </w:rPr>
        <w:t>实验结果表明</w:t>
      </w:r>
      <w:r>
        <w:rPr>
          <w:rFonts w:hAnsi="宋体"/>
          <w:szCs w:val="28"/>
        </w:rPr>
        <w:t>：数显式大气采样器</w:t>
      </w:r>
      <w:r>
        <w:rPr>
          <w:szCs w:val="28"/>
        </w:rPr>
        <w:t>与</w:t>
      </w:r>
      <w:r>
        <w:rPr>
          <w:rFonts w:hint="eastAsia"/>
          <w:szCs w:val="28"/>
        </w:rPr>
        <w:t>样品</w:t>
      </w:r>
      <w:r>
        <w:rPr>
          <w:szCs w:val="28"/>
        </w:rPr>
        <w:t>采集器</w:t>
      </w:r>
      <w:r>
        <w:rPr>
          <w:rFonts w:hint="eastAsia"/>
          <w:szCs w:val="28"/>
        </w:rPr>
        <w:t>可以看作</w:t>
      </w:r>
      <w:r>
        <w:rPr>
          <w:szCs w:val="28"/>
        </w:rPr>
        <w:t>一个整体，它</w:t>
      </w:r>
      <w:r>
        <w:rPr>
          <w:rFonts w:hint="eastAsia"/>
          <w:szCs w:val="28"/>
        </w:rPr>
        <w:t>显示</w:t>
      </w:r>
      <w:r>
        <w:rPr>
          <w:szCs w:val="28"/>
        </w:rPr>
        <w:t>的是整个采样</w:t>
      </w:r>
      <w:r>
        <w:rPr>
          <w:rFonts w:hint="eastAsia"/>
          <w:szCs w:val="28"/>
        </w:rPr>
        <w:t>系统</w:t>
      </w:r>
      <w:r>
        <w:rPr>
          <w:szCs w:val="28"/>
        </w:rPr>
        <w:t>的入口流量</w:t>
      </w:r>
      <w:r>
        <w:rPr>
          <w:rFonts w:hint="eastAsia"/>
          <w:szCs w:val="28"/>
        </w:rPr>
        <w:t>；指示</w:t>
      </w:r>
      <w:r>
        <w:rPr>
          <w:szCs w:val="28"/>
        </w:rPr>
        <w:t>式大气采样器</w:t>
      </w:r>
      <w:r>
        <w:rPr>
          <w:rFonts w:hint="eastAsia"/>
          <w:szCs w:val="28"/>
        </w:rPr>
        <w:t>不能</w:t>
      </w:r>
      <w:r>
        <w:rPr>
          <w:szCs w:val="28"/>
        </w:rPr>
        <w:t>与</w:t>
      </w:r>
      <w:r>
        <w:rPr>
          <w:rFonts w:hint="eastAsia"/>
          <w:szCs w:val="28"/>
        </w:rPr>
        <w:t>样品</w:t>
      </w:r>
      <w:r>
        <w:rPr>
          <w:szCs w:val="28"/>
        </w:rPr>
        <w:t>采集器</w:t>
      </w:r>
      <w:r>
        <w:rPr>
          <w:rFonts w:hint="eastAsia"/>
          <w:szCs w:val="28"/>
        </w:rPr>
        <w:t>看作</w:t>
      </w:r>
      <w:r>
        <w:rPr>
          <w:szCs w:val="28"/>
        </w:rPr>
        <w:t>一个整体，</w:t>
      </w:r>
      <w:r>
        <w:rPr>
          <w:rFonts w:hint="eastAsia"/>
          <w:szCs w:val="28"/>
        </w:rPr>
        <w:t>它</w:t>
      </w:r>
      <w:r>
        <w:rPr>
          <w:szCs w:val="28"/>
        </w:rPr>
        <w:t>测量</w:t>
      </w:r>
      <w:r>
        <w:rPr>
          <w:rFonts w:hint="eastAsia"/>
          <w:szCs w:val="28"/>
        </w:rPr>
        <w:t>的</w:t>
      </w:r>
      <w:r>
        <w:rPr>
          <w:szCs w:val="28"/>
        </w:rPr>
        <w:t>是大气采样器本身的</w:t>
      </w:r>
      <w:r>
        <w:rPr>
          <w:rFonts w:hint="eastAsia"/>
          <w:szCs w:val="28"/>
        </w:rPr>
        <w:t>入口</w:t>
      </w:r>
      <w:r>
        <w:rPr>
          <w:szCs w:val="28"/>
        </w:rPr>
        <w:t>流量</w:t>
      </w:r>
      <w:r>
        <w:rPr>
          <w:rFonts w:hint="eastAsia"/>
          <w:szCs w:val="28"/>
        </w:rPr>
        <w:t>。</w:t>
      </w:r>
    </w:p>
    <w:p>
      <w:pPr>
        <w:adjustRightInd w:val="0"/>
        <w:snapToGrid w:val="0"/>
        <w:spacing w:line="360" w:lineRule="auto"/>
        <w:ind w:firstLine="200"/>
        <w:rPr>
          <w:szCs w:val="28"/>
        </w:rPr>
      </w:pPr>
      <w:r>
        <w:rPr>
          <w:rFonts w:hint="eastAsia"/>
          <w:szCs w:val="28"/>
        </w:rPr>
        <w:t>综上所述</w:t>
      </w:r>
      <w:r>
        <w:rPr>
          <w:szCs w:val="28"/>
        </w:rPr>
        <w:t>，</w:t>
      </w:r>
      <w:r>
        <w:rPr>
          <w:rFonts w:hint="eastAsia"/>
          <w:szCs w:val="28"/>
        </w:rPr>
        <w:t>指示</w:t>
      </w:r>
      <w:r>
        <w:rPr>
          <w:szCs w:val="28"/>
        </w:rPr>
        <w:t>式大气采样器需考虑负载进行流量换算，再进行</w:t>
      </w:r>
      <w:r>
        <w:rPr>
          <w:rFonts w:hint="eastAsia"/>
          <w:szCs w:val="28"/>
        </w:rPr>
        <w:t>流量</w:t>
      </w:r>
      <w:r>
        <w:rPr>
          <w:szCs w:val="28"/>
        </w:rPr>
        <w:t>示值误差计算。</w:t>
      </w:r>
      <w:r>
        <w:rPr>
          <w:rFonts w:hint="eastAsia"/>
          <w:szCs w:val="28"/>
        </w:rPr>
        <w:t>数</w:t>
      </w:r>
      <w:r>
        <w:rPr>
          <w:szCs w:val="28"/>
        </w:rPr>
        <w:t>显式大气采样器，</w:t>
      </w:r>
      <w:r>
        <w:rPr>
          <w:rFonts w:hint="eastAsia"/>
          <w:szCs w:val="28"/>
        </w:rPr>
        <w:t>无论</w:t>
      </w:r>
      <w:r>
        <w:rPr>
          <w:szCs w:val="28"/>
        </w:rPr>
        <w:t>空载还是负载状态下，</w:t>
      </w:r>
      <w:r>
        <w:rPr>
          <w:rFonts w:hint="eastAsia"/>
          <w:szCs w:val="28"/>
        </w:rPr>
        <w:t>显示</w:t>
      </w:r>
      <w:r>
        <w:rPr>
          <w:szCs w:val="28"/>
        </w:rPr>
        <w:t>的都是样品采集器</w:t>
      </w:r>
      <w:r>
        <w:rPr>
          <w:rFonts w:hint="eastAsia"/>
          <w:szCs w:val="28"/>
        </w:rPr>
        <w:t>(负载调节</w:t>
      </w:r>
      <w:r>
        <w:rPr>
          <w:szCs w:val="28"/>
        </w:rPr>
        <w:t>装置</w:t>
      </w:r>
      <w:r>
        <w:rPr>
          <w:rFonts w:hint="eastAsia"/>
          <w:szCs w:val="28"/>
        </w:rPr>
        <w:t>)的</w:t>
      </w:r>
      <w:r>
        <w:rPr>
          <w:szCs w:val="28"/>
        </w:rPr>
        <w:t>入口流量，与</w:t>
      </w:r>
      <w:r>
        <w:rPr>
          <w:rFonts w:hint="eastAsia"/>
          <w:szCs w:val="28"/>
        </w:rPr>
        <w:t>标准</w:t>
      </w:r>
      <w:r>
        <w:rPr>
          <w:szCs w:val="28"/>
        </w:rPr>
        <w:t>流量计</w:t>
      </w:r>
      <w:r>
        <w:rPr>
          <w:rFonts w:hint="eastAsia"/>
          <w:szCs w:val="28"/>
        </w:rPr>
        <w:t>所处</w:t>
      </w:r>
      <w:r>
        <w:rPr>
          <w:szCs w:val="28"/>
        </w:rPr>
        <w:t>状态</w:t>
      </w:r>
      <w:r>
        <w:rPr>
          <w:rFonts w:hint="eastAsia"/>
          <w:szCs w:val="28"/>
        </w:rPr>
        <w:t>相同</w:t>
      </w:r>
      <w:r>
        <w:rPr>
          <w:szCs w:val="28"/>
        </w:rPr>
        <w:t>，可以直接进行计算。</w:t>
      </w:r>
    </w:p>
    <w:p>
      <w:pPr>
        <w:adjustRightInd w:val="0"/>
        <w:snapToGrid w:val="0"/>
        <w:spacing w:line="360" w:lineRule="auto"/>
        <w:jc w:val="left"/>
        <w:rPr>
          <w:rFonts w:hAnsi="宋体"/>
          <w:szCs w:val="28"/>
        </w:rPr>
      </w:pPr>
      <w:r>
        <w:rPr>
          <w:szCs w:val="28"/>
        </w:rPr>
        <w:t>3</w:t>
      </w:r>
      <w:r>
        <w:rPr>
          <w:rFonts w:hint="eastAsia" w:hAnsi="宋体"/>
          <w:szCs w:val="28"/>
        </w:rPr>
        <w:t>、标准流量计增加了质量流量计和腰轮流量计</w:t>
      </w:r>
    </w:p>
    <w:p>
      <w:pPr>
        <w:adjustRightInd w:val="0"/>
        <w:snapToGrid w:val="0"/>
        <w:spacing w:line="360" w:lineRule="auto"/>
        <w:ind w:firstLine="560" w:firstLineChars="200"/>
        <w:jc w:val="left"/>
        <w:rPr>
          <w:rFonts w:hAnsi="宋体"/>
          <w:szCs w:val="28"/>
        </w:rPr>
      </w:pPr>
      <w:r>
        <w:rPr>
          <w:rFonts w:hint="eastAsia" w:hAnsi="宋体"/>
          <w:szCs w:val="28"/>
        </w:rPr>
        <w:t>常见的气体流量计主要有三种：容积式流量计、差压式流量计和质量流量计。容积式流量计有皂膜流量计、皮膜流量计和腰轮流量计等。差压式流量计有孔板流量计、喷嘴流量计和文丘里管流量计等。质量流量计一般为科里奥利质量流量计。</w:t>
      </w:r>
    </w:p>
    <w:p>
      <w:pPr>
        <w:adjustRightInd w:val="0"/>
        <w:snapToGrid w:val="0"/>
        <w:spacing w:line="360" w:lineRule="auto"/>
        <w:ind w:firstLine="560" w:firstLineChars="200"/>
        <w:rPr>
          <w:rFonts w:hAnsi="宋体"/>
          <w:szCs w:val="28"/>
        </w:rPr>
      </w:pPr>
      <w:r>
        <w:rPr>
          <w:rFonts w:hint="eastAsia" w:hAnsi="宋体"/>
          <w:szCs w:val="28"/>
        </w:rPr>
        <w:t>流量计都连接在仪器的入口，测量工况下大气采样器的入口流量，而且还需要测量空载和负载两种状态下的流量，这就要考虑到流量计的压损问题。如果流量计压损太大，首先反映在数字显示式大气采样器上就是负载太大，空载状态无法测量，其次数字显示式大气采样器的入口压力与流量计的入口压力不同，对于</w:t>
      </w:r>
      <w:r>
        <w:rPr>
          <w:rFonts w:hAnsi="宋体"/>
          <w:szCs w:val="28"/>
        </w:rPr>
        <w:t>指示式仪器</w:t>
      </w:r>
      <w:r>
        <w:rPr>
          <w:rFonts w:hint="eastAsia" w:hAnsi="宋体"/>
          <w:szCs w:val="28"/>
        </w:rPr>
        <w:t>可能需要更复杂的换算才能进行比较。</w:t>
      </w:r>
    </w:p>
    <w:p>
      <w:pPr>
        <w:adjustRightInd w:val="0"/>
        <w:snapToGrid w:val="0"/>
        <w:spacing w:line="360" w:lineRule="auto"/>
        <w:ind w:firstLine="560" w:firstLineChars="200"/>
        <w:rPr>
          <w:rFonts w:hAnsi="宋体"/>
          <w:szCs w:val="28"/>
        </w:rPr>
      </w:pPr>
      <w:r>
        <w:rPr>
          <w:rFonts w:hint="eastAsia" w:hAnsi="宋体"/>
          <w:szCs w:val="28"/>
        </w:rPr>
        <w:t>在0.</w:t>
      </w:r>
      <w:r>
        <w:rPr>
          <w:rFonts w:hAnsi="宋体"/>
          <w:szCs w:val="28"/>
        </w:rPr>
        <w:t>4</w:t>
      </w:r>
      <w:r>
        <w:rPr>
          <w:rFonts w:hint="eastAsia" w:hAnsi="宋体"/>
          <w:szCs w:val="28"/>
        </w:rPr>
        <w:t xml:space="preserve"> </w:t>
      </w:r>
      <w:r>
        <w:rPr>
          <w:rFonts w:hAnsi="宋体"/>
          <w:szCs w:val="28"/>
        </w:rPr>
        <w:t>L/min流量下，各流量计的压损见表2</w:t>
      </w:r>
      <w:r>
        <w:rPr>
          <w:rFonts w:hint="eastAsia" w:hAnsi="宋体"/>
          <w:szCs w:val="28"/>
        </w:rPr>
        <w:t>。</w:t>
      </w:r>
    </w:p>
    <w:p>
      <w:pPr>
        <w:jc w:val="center"/>
        <w:rPr>
          <w:sz w:val="24"/>
        </w:rPr>
      </w:pPr>
      <w:r>
        <w:rPr>
          <w:rFonts w:hint="eastAsia"/>
          <w:sz w:val="24"/>
        </w:rPr>
        <w:t>表</w:t>
      </w:r>
      <w:r>
        <w:rPr>
          <w:sz w:val="24"/>
        </w:rPr>
        <w:t>2</w:t>
      </w:r>
      <w:r>
        <w:rPr>
          <w:rFonts w:hint="eastAsia"/>
          <w:sz w:val="24"/>
        </w:rPr>
        <w:t xml:space="preserve">  不同</w:t>
      </w:r>
      <w:r>
        <w:rPr>
          <w:sz w:val="24"/>
        </w:rPr>
        <w:t>流量计在</w:t>
      </w:r>
      <w:r>
        <w:rPr>
          <w:rFonts w:hint="eastAsia"/>
          <w:sz w:val="24"/>
        </w:rPr>
        <w:t>0.</w:t>
      </w:r>
      <w:r>
        <w:rPr>
          <w:sz w:val="24"/>
        </w:rPr>
        <w:t>4</w:t>
      </w:r>
      <w:r>
        <w:rPr>
          <w:rFonts w:hint="eastAsia"/>
          <w:sz w:val="24"/>
        </w:rPr>
        <w:t xml:space="preserve"> </w:t>
      </w:r>
      <w:r>
        <w:rPr>
          <w:sz w:val="24"/>
        </w:rPr>
        <w:t>L/min流量下的压损</w:t>
      </w:r>
    </w:p>
    <w:tbl>
      <w:tblPr>
        <w:tblStyle w:val="15"/>
        <w:tblW w:w="0" w:type="auto"/>
        <w:jc w:val="center"/>
        <w:tblBorders>
          <w:top w:val="single" w:color="auto" w:sz="6" w:space="0"/>
          <w:left w:val="none" w:color="auto" w:sz="0" w:space="0"/>
          <w:bottom w:val="single" w:color="auto" w:sz="6"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35"/>
        <w:gridCol w:w="3035"/>
      </w:tblGrid>
      <w:tr>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035" w:type="dxa"/>
            <w:tcBorders>
              <w:top w:val="single" w:color="auto" w:sz="6" w:space="0"/>
              <w:bottom w:val="single" w:color="auto" w:sz="6" w:space="0"/>
            </w:tcBorders>
            <w:vAlign w:val="center"/>
          </w:tcPr>
          <w:p>
            <w:pPr>
              <w:spacing w:line="360" w:lineRule="auto"/>
              <w:jc w:val="center"/>
              <w:rPr>
                <w:sz w:val="24"/>
              </w:rPr>
            </w:pPr>
            <w:r>
              <w:rPr>
                <w:rFonts w:hint="eastAsia"/>
                <w:sz w:val="24"/>
              </w:rPr>
              <w:t>流量计</w:t>
            </w:r>
          </w:p>
        </w:tc>
        <w:tc>
          <w:tcPr>
            <w:tcW w:w="3035" w:type="dxa"/>
            <w:tcBorders>
              <w:top w:val="single" w:color="auto" w:sz="6" w:space="0"/>
              <w:left w:val="nil"/>
              <w:bottom w:val="single" w:color="auto" w:sz="6" w:space="0"/>
            </w:tcBorders>
            <w:vAlign w:val="center"/>
          </w:tcPr>
          <w:p>
            <w:pPr>
              <w:spacing w:line="360" w:lineRule="auto"/>
              <w:jc w:val="center"/>
              <w:rPr>
                <w:sz w:val="24"/>
              </w:rPr>
            </w:pPr>
            <w:r>
              <w:rPr>
                <w:rFonts w:hint="eastAsia"/>
                <w:sz w:val="24"/>
              </w:rPr>
              <w:t>压损</w:t>
            </w:r>
          </w:p>
        </w:tc>
      </w:tr>
      <w:tr>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035" w:type="dxa"/>
            <w:vAlign w:val="center"/>
          </w:tcPr>
          <w:p>
            <w:pPr>
              <w:spacing w:line="360" w:lineRule="auto"/>
              <w:jc w:val="center"/>
              <w:rPr>
                <w:sz w:val="24"/>
              </w:rPr>
            </w:pPr>
            <w:r>
              <w:rPr>
                <w:sz w:val="24"/>
              </w:rPr>
              <w:t>皂膜流量计</w:t>
            </w:r>
          </w:p>
        </w:tc>
        <w:tc>
          <w:tcPr>
            <w:tcW w:w="3035" w:type="dxa"/>
            <w:tcBorders>
              <w:left w:val="nil"/>
            </w:tcBorders>
            <w:vAlign w:val="center"/>
          </w:tcPr>
          <w:p>
            <w:pPr>
              <w:spacing w:line="360" w:lineRule="auto"/>
              <w:jc w:val="center"/>
              <w:rPr>
                <w:sz w:val="24"/>
              </w:rPr>
            </w:pPr>
            <w:r>
              <w:rPr>
                <w:rFonts w:hint="eastAsia"/>
                <w:sz w:val="24"/>
              </w:rPr>
              <w:t>-1</w:t>
            </w:r>
            <w:r>
              <w:rPr>
                <w:sz w:val="24"/>
              </w:rPr>
              <w:t xml:space="preserve"> Pa</w:t>
            </w:r>
          </w:p>
        </w:tc>
      </w:tr>
      <w:tr>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035" w:type="dxa"/>
            <w:vAlign w:val="center"/>
          </w:tcPr>
          <w:p>
            <w:pPr>
              <w:spacing w:line="360" w:lineRule="auto"/>
              <w:jc w:val="center"/>
              <w:rPr>
                <w:sz w:val="24"/>
              </w:rPr>
            </w:pPr>
            <w:r>
              <w:rPr>
                <w:rFonts w:hint="eastAsia"/>
                <w:sz w:val="24"/>
              </w:rPr>
              <w:t>皮膜</w:t>
            </w:r>
            <w:r>
              <w:rPr>
                <w:sz w:val="24"/>
              </w:rPr>
              <w:t>流量计</w:t>
            </w:r>
          </w:p>
        </w:tc>
        <w:tc>
          <w:tcPr>
            <w:tcW w:w="3035" w:type="dxa"/>
            <w:tcBorders>
              <w:left w:val="nil"/>
            </w:tcBorders>
            <w:vAlign w:val="center"/>
          </w:tcPr>
          <w:p>
            <w:pPr>
              <w:spacing w:line="360" w:lineRule="auto"/>
              <w:jc w:val="center"/>
              <w:rPr>
                <w:sz w:val="24"/>
              </w:rPr>
            </w:pPr>
            <w:r>
              <w:rPr>
                <w:sz w:val="24"/>
              </w:rPr>
              <w:t>(0~-171)</w:t>
            </w:r>
            <w:r>
              <w:rPr>
                <w:rFonts w:hint="eastAsia"/>
                <w:sz w:val="24"/>
              </w:rPr>
              <w:t xml:space="preserve"> </w:t>
            </w:r>
            <w:r>
              <w:rPr>
                <w:sz w:val="24"/>
              </w:rPr>
              <w:t>Pa</w:t>
            </w:r>
          </w:p>
        </w:tc>
      </w:tr>
      <w:tr>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035" w:type="dxa"/>
            <w:vAlign w:val="center"/>
          </w:tcPr>
          <w:p>
            <w:pPr>
              <w:spacing w:line="360" w:lineRule="auto"/>
              <w:jc w:val="center"/>
              <w:rPr>
                <w:sz w:val="24"/>
              </w:rPr>
            </w:pPr>
            <w:r>
              <w:rPr>
                <w:rFonts w:hint="eastAsia"/>
                <w:sz w:val="24"/>
              </w:rPr>
              <w:t>腰轮</w:t>
            </w:r>
            <w:r>
              <w:rPr>
                <w:sz w:val="24"/>
              </w:rPr>
              <w:t>流量计</w:t>
            </w:r>
          </w:p>
        </w:tc>
        <w:tc>
          <w:tcPr>
            <w:tcW w:w="3035" w:type="dxa"/>
            <w:tcBorders>
              <w:left w:val="nil"/>
            </w:tcBorders>
            <w:vAlign w:val="center"/>
          </w:tcPr>
          <w:p>
            <w:pPr>
              <w:spacing w:line="360" w:lineRule="auto"/>
              <w:jc w:val="center"/>
              <w:rPr>
                <w:sz w:val="24"/>
              </w:rPr>
            </w:pPr>
            <w:r>
              <w:rPr>
                <w:rFonts w:hint="eastAsia"/>
                <w:sz w:val="24"/>
              </w:rPr>
              <w:t>-</w:t>
            </w:r>
            <w:r>
              <w:rPr>
                <w:sz w:val="24"/>
              </w:rPr>
              <w:t>2 Pa</w:t>
            </w:r>
          </w:p>
        </w:tc>
      </w:tr>
      <w:tr>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035" w:type="dxa"/>
            <w:vAlign w:val="center"/>
          </w:tcPr>
          <w:p>
            <w:pPr>
              <w:spacing w:line="360" w:lineRule="auto"/>
              <w:jc w:val="center"/>
              <w:rPr>
                <w:sz w:val="24"/>
              </w:rPr>
            </w:pPr>
            <w:r>
              <w:rPr>
                <w:rFonts w:hint="eastAsia"/>
                <w:sz w:val="24"/>
              </w:rPr>
              <w:t>差压</w:t>
            </w:r>
            <w:r>
              <w:rPr>
                <w:sz w:val="24"/>
              </w:rPr>
              <w:t>流量计</w:t>
            </w:r>
          </w:p>
        </w:tc>
        <w:tc>
          <w:tcPr>
            <w:tcW w:w="3035" w:type="dxa"/>
            <w:tcBorders>
              <w:left w:val="nil"/>
            </w:tcBorders>
            <w:vAlign w:val="center"/>
          </w:tcPr>
          <w:p>
            <w:pPr>
              <w:spacing w:line="360" w:lineRule="auto"/>
              <w:jc w:val="center"/>
              <w:rPr>
                <w:sz w:val="24"/>
              </w:rPr>
            </w:pPr>
            <w:r>
              <w:rPr>
                <w:rFonts w:hint="eastAsia"/>
                <w:sz w:val="24"/>
              </w:rPr>
              <w:t>-</w:t>
            </w:r>
            <w:r>
              <w:rPr>
                <w:sz w:val="24"/>
              </w:rPr>
              <w:t>90 Pa</w:t>
            </w:r>
          </w:p>
        </w:tc>
      </w:tr>
      <w:tr>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035" w:type="dxa"/>
            <w:vAlign w:val="center"/>
          </w:tcPr>
          <w:p>
            <w:pPr>
              <w:spacing w:line="360" w:lineRule="auto"/>
              <w:jc w:val="center"/>
              <w:rPr>
                <w:sz w:val="24"/>
              </w:rPr>
            </w:pPr>
            <w:r>
              <w:rPr>
                <w:sz w:val="24"/>
              </w:rPr>
              <w:t>质量流量计</w:t>
            </w:r>
          </w:p>
        </w:tc>
        <w:tc>
          <w:tcPr>
            <w:tcW w:w="3035" w:type="dxa"/>
            <w:tcBorders>
              <w:left w:val="nil"/>
              <w:bottom w:val="single" w:color="auto" w:sz="6" w:space="0"/>
            </w:tcBorders>
            <w:vAlign w:val="center"/>
          </w:tcPr>
          <w:p>
            <w:pPr>
              <w:spacing w:line="360" w:lineRule="auto"/>
              <w:jc w:val="center"/>
              <w:rPr>
                <w:sz w:val="24"/>
              </w:rPr>
            </w:pPr>
            <w:r>
              <w:rPr>
                <w:rFonts w:hint="eastAsia"/>
                <w:sz w:val="24"/>
              </w:rPr>
              <w:t>-</w:t>
            </w:r>
            <w:r>
              <w:rPr>
                <w:sz w:val="24"/>
              </w:rPr>
              <w:t>25 Pa</w:t>
            </w:r>
          </w:p>
        </w:tc>
      </w:tr>
    </w:tbl>
    <w:p>
      <w:pPr>
        <w:spacing w:line="360" w:lineRule="auto"/>
        <w:ind w:firstLine="560" w:firstLineChars="200"/>
      </w:pPr>
      <w:r>
        <w:rPr>
          <w:rFonts w:hint="eastAsia"/>
        </w:rPr>
        <w:t>由</w:t>
      </w:r>
      <w:r>
        <w:t>表2</w:t>
      </w:r>
      <w:r>
        <w:rPr>
          <w:rFonts w:hint="eastAsia"/>
        </w:rPr>
        <w:t>中</w:t>
      </w:r>
      <w:r>
        <w:t>数据可以看出</w:t>
      </w:r>
      <w:r>
        <w:rPr>
          <w:rFonts w:hint="eastAsia"/>
        </w:rPr>
        <w:t>：</w:t>
      </w:r>
      <w:r>
        <w:t>差压式流量计压损较大，</w:t>
      </w:r>
      <w:r>
        <w:rPr>
          <w:rFonts w:hint="eastAsia"/>
        </w:rPr>
        <w:t>皮膜</w:t>
      </w:r>
      <w:r>
        <w:t>流量计启动后压力波动较大</w:t>
      </w:r>
      <w:r>
        <w:rPr>
          <w:rFonts w:hint="eastAsia"/>
        </w:rPr>
        <w:t>。</w:t>
      </w:r>
      <w:r>
        <w:t>这两种</w:t>
      </w:r>
      <w:r>
        <w:rPr>
          <w:rFonts w:hint="eastAsia"/>
        </w:rPr>
        <w:t>流量计</w:t>
      </w:r>
      <w:r>
        <w:t>都不适合作为</w:t>
      </w:r>
      <w:r>
        <w:rPr>
          <w:rFonts w:hint="eastAsia"/>
        </w:rPr>
        <w:t>测量数字显示式大气采样器流量</w:t>
      </w:r>
      <w:r>
        <w:t>的计量器具</w:t>
      </w:r>
      <w:r>
        <w:rPr>
          <w:rFonts w:hint="eastAsia"/>
        </w:rPr>
        <w:t>。</w:t>
      </w:r>
    </w:p>
    <w:p>
      <w:pPr>
        <w:spacing w:line="360" w:lineRule="auto"/>
        <w:ind w:firstLine="560" w:firstLineChars="200"/>
      </w:pPr>
      <w:r>
        <w:rPr>
          <w:rFonts w:hint="eastAsia"/>
        </w:rPr>
        <w:t>差压式流量计都有</w:t>
      </w:r>
      <w:r>
        <w:t>节流</w:t>
      </w:r>
      <w:r>
        <w:rPr>
          <w:rFonts w:hint="eastAsia"/>
        </w:rPr>
        <w:t>效果</w:t>
      </w:r>
      <w:r>
        <w:t>，</w:t>
      </w:r>
      <w:r>
        <w:rPr>
          <w:rFonts w:hint="eastAsia"/>
        </w:rPr>
        <w:t>这就</w:t>
      </w:r>
      <w:r>
        <w:t>决定了它</w:t>
      </w:r>
      <w:r>
        <w:rPr>
          <w:rFonts w:hint="eastAsia"/>
        </w:rPr>
        <w:t>的</w:t>
      </w:r>
      <w:r>
        <w:t>压损</w:t>
      </w:r>
      <w:r>
        <w:rPr>
          <w:rFonts w:hint="eastAsia"/>
        </w:rPr>
        <w:t>较大。更进一步</w:t>
      </w:r>
      <w:r>
        <w:t>的试验表明：当流量为</w:t>
      </w:r>
      <w:r>
        <w:rPr>
          <w:rFonts w:hint="eastAsia"/>
        </w:rPr>
        <w:t xml:space="preserve">0.8 </w:t>
      </w:r>
      <w:r>
        <w:t>L/min时，其压损为</w:t>
      </w:r>
      <w:r>
        <w:rPr>
          <w:rFonts w:hint="eastAsia"/>
        </w:rPr>
        <w:t xml:space="preserve">-387 </w:t>
      </w:r>
      <w:r>
        <w:t>Pa</w:t>
      </w:r>
      <w:r>
        <w:rPr>
          <w:rFonts w:hint="eastAsia"/>
        </w:rPr>
        <w:t>；</w:t>
      </w:r>
      <w:r>
        <w:t>当流量为</w:t>
      </w:r>
      <w:r>
        <w:rPr>
          <w:rFonts w:hint="eastAsia"/>
        </w:rPr>
        <w:t xml:space="preserve">1.2 </w:t>
      </w:r>
      <w:r>
        <w:t>L/min时，其压损为</w:t>
      </w:r>
      <w:r>
        <w:rPr>
          <w:rFonts w:hint="eastAsia"/>
        </w:rPr>
        <w:t xml:space="preserve">-800 </w:t>
      </w:r>
      <w:r>
        <w:t>Pa</w:t>
      </w:r>
      <w:r>
        <w:rPr>
          <w:rFonts w:hint="eastAsia"/>
        </w:rPr>
        <w:t xml:space="preserve">。-800 </w:t>
      </w:r>
      <w:r>
        <w:t>Pa的压损比A类承载的</w:t>
      </w:r>
      <w:r>
        <w:rPr>
          <w:rFonts w:hint="eastAsia"/>
        </w:rPr>
        <w:t>负压</w:t>
      </w:r>
      <w:r>
        <w:t>都要高，不适合作为测量</w:t>
      </w:r>
      <w:r>
        <w:rPr>
          <w:rFonts w:hint="eastAsia"/>
        </w:rPr>
        <w:t>指示</w:t>
      </w:r>
      <w:r>
        <w:t>式</w:t>
      </w:r>
      <w:r>
        <w:rPr>
          <w:rFonts w:hint="eastAsia"/>
        </w:rPr>
        <w:t>大气采样器</w:t>
      </w:r>
      <w:r>
        <w:t>空载</w:t>
      </w:r>
      <w:r>
        <w:rPr>
          <w:rFonts w:hint="eastAsia"/>
        </w:rPr>
        <w:t>流量</w:t>
      </w:r>
      <w:r>
        <w:t>的</w:t>
      </w:r>
      <w:r>
        <w:rPr>
          <w:rFonts w:hint="eastAsia"/>
        </w:rPr>
        <w:t>计量</w:t>
      </w:r>
      <w:r>
        <w:t>器具。</w:t>
      </w:r>
    </w:p>
    <w:p>
      <w:pPr>
        <w:spacing w:line="360" w:lineRule="auto"/>
        <w:ind w:firstLine="560" w:firstLineChars="200"/>
        <w:rPr>
          <w:sz w:val="32"/>
        </w:rPr>
      </w:pPr>
      <w:r>
        <w:rPr>
          <w:rFonts w:hint="eastAsia"/>
        </w:rPr>
        <w:t>皮膜流量计皮膜或</w:t>
      </w:r>
      <w:r>
        <w:t>活塞</w:t>
      </w:r>
      <w:r>
        <w:rPr>
          <w:rFonts w:hint="eastAsia"/>
        </w:rPr>
        <w:t>的质量</w:t>
      </w:r>
      <w:r>
        <w:t>较大，导致每次开始测量时，</w:t>
      </w:r>
      <w:r>
        <w:rPr>
          <w:rFonts w:hint="eastAsia"/>
        </w:rPr>
        <w:t>会</w:t>
      </w:r>
      <w:r>
        <w:t>产生较大的压损</w:t>
      </w:r>
      <w:r>
        <w:rPr>
          <w:rFonts w:hint="eastAsia"/>
        </w:rPr>
        <w:t>，</w:t>
      </w:r>
      <w:r>
        <w:t>结束测量时，压损陡然下降</w:t>
      </w:r>
      <w:r>
        <w:rPr>
          <w:rFonts w:hint="eastAsia"/>
        </w:rPr>
        <w:t>，</w:t>
      </w:r>
      <w:r>
        <w:t>压力波动较大</w:t>
      </w:r>
      <w:r>
        <w:rPr>
          <w:rFonts w:hint="eastAsia"/>
        </w:rPr>
        <w:t>。</w:t>
      </w:r>
      <w:r>
        <w:t>皮膜</w:t>
      </w:r>
      <w:r>
        <w:rPr>
          <w:rFonts w:hint="eastAsia"/>
        </w:rPr>
        <w:t>流量计</w:t>
      </w:r>
      <w:r>
        <w:t>不适合作为测量</w:t>
      </w:r>
      <w:r>
        <w:rPr>
          <w:rFonts w:hint="eastAsia"/>
        </w:rPr>
        <w:t>大气采样器流量</w:t>
      </w:r>
      <w:r>
        <w:t>的</w:t>
      </w:r>
      <w:r>
        <w:rPr>
          <w:rFonts w:hint="eastAsia"/>
        </w:rPr>
        <w:t>计量</w:t>
      </w:r>
      <w:r>
        <w:t>器具。</w:t>
      </w:r>
    </w:p>
    <w:p>
      <w:pPr>
        <w:adjustRightInd w:val="0"/>
        <w:snapToGrid w:val="0"/>
        <w:spacing w:line="360" w:lineRule="auto"/>
        <w:ind w:firstLine="560" w:firstLineChars="200"/>
        <w:rPr>
          <w:rFonts w:hAnsi="宋体"/>
          <w:sz w:val="32"/>
          <w:szCs w:val="28"/>
        </w:rPr>
      </w:pPr>
      <w:r>
        <w:rPr>
          <w:rFonts w:hint="eastAsia"/>
        </w:rPr>
        <w:t>综上</w:t>
      </w:r>
      <w:r>
        <w:t>所述</w:t>
      </w:r>
      <w:r>
        <w:rPr>
          <w:rFonts w:hint="eastAsia"/>
        </w:rPr>
        <w:t>，</w:t>
      </w:r>
      <w:r>
        <w:t>测量数字显示式大气采样器流量可选的</w:t>
      </w:r>
      <w:r>
        <w:rPr>
          <w:rFonts w:hint="eastAsia"/>
        </w:rPr>
        <w:t>标准计量器具</w:t>
      </w:r>
      <w:r>
        <w:t>为：皂膜流量计、腰轮流量计和质量流量计。</w:t>
      </w:r>
    </w:p>
    <w:p>
      <w:pPr>
        <w:adjustRightInd w:val="0"/>
        <w:snapToGrid w:val="0"/>
        <w:spacing w:line="360" w:lineRule="auto"/>
        <w:rPr>
          <w:rFonts w:hAnsi="宋体"/>
          <w:szCs w:val="28"/>
        </w:rPr>
      </w:pPr>
      <w:r>
        <w:rPr>
          <w:rFonts w:hint="eastAsia" w:hAnsi="宋体"/>
          <w:szCs w:val="28"/>
        </w:rPr>
        <w:t>4、气密性检查变化</w:t>
      </w:r>
    </w:p>
    <w:p>
      <w:pPr>
        <w:spacing w:line="360" w:lineRule="auto"/>
        <w:ind w:firstLine="560" w:firstLineChars="200"/>
        <w:rPr>
          <w:rFonts w:hAnsi="宋体"/>
          <w:szCs w:val="28"/>
        </w:rPr>
      </w:pPr>
      <w:r>
        <w:rPr>
          <w:rFonts w:hint="eastAsia" w:hAnsi="宋体"/>
          <w:szCs w:val="28"/>
        </w:rPr>
        <w:t>不同厂家生产的泵的负载能力以及流量计的跟踪速率都不尽相同，流量太大时进行操作，</w:t>
      </w:r>
      <w:r>
        <w:rPr>
          <w:rFonts w:hint="eastAsia" w:hAnsi="宋体"/>
          <w:color w:val="000000"/>
          <w:szCs w:val="28"/>
        </w:rPr>
        <w:t>泵的功率太大，突然封住进气口</w:t>
      </w:r>
      <w:r>
        <w:rPr>
          <w:rFonts w:hint="eastAsia" w:hAnsi="宋体"/>
          <w:szCs w:val="28"/>
        </w:rPr>
        <w:t>有可能损坏采样泵，</w:t>
      </w:r>
      <w:r>
        <w:rPr>
          <w:rFonts w:hint="eastAsia" w:hAnsi="宋体"/>
          <w:color w:val="000000"/>
          <w:szCs w:val="28"/>
        </w:rPr>
        <w:t>即使不会损坏采样泵，泵的功率过大，使显示流量降到零也是很困难的；</w:t>
      </w:r>
      <w:r>
        <w:rPr>
          <w:rFonts w:hint="eastAsia" w:hAnsi="宋体"/>
          <w:szCs w:val="28"/>
        </w:rPr>
        <w:t>流量太小则不容易分辨仪器是否漏气。</w:t>
      </w:r>
      <w:r>
        <w:rPr>
          <w:rFonts w:hint="eastAsia"/>
          <w:szCs w:val="28"/>
        </w:rPr>
        <w:t>经过试验确定为</w:t>
      </w:r>
      <w:r>
        <w:rPr>
          <w:rFonts w:hAnsi="宋体"/>
          <w:szCs w:val="28"/>
        </w:rPr>
        <w:t>0.5</w:t>
      </w:r>
      <w:r>
        <w:rPr>
          <w:rFonts w:hint="eastAsia" w:hAnsi="宋体"/>
          <w:szCs w:val="28"/>
        </w:rPr>
        <w:t xml:space="preserve"> </w:t>
      </w:r>
      <w:r>
        <w:rPr>
          <w:rFonts w:hAnsi="宋体"/>
          <w:szCs w:val="28"/>
        </w:rPr>
        <w:t>L/min</w:t>
      </w:r>
      <w:r>
        <w:rPr>
          <w:rFonts w:hint="eastAsia" w:hAnsi="宋体"/>
          <w:szCs w:val="28"/>
        </w:rPr>
        <w:t>采样流量，在仪器运转状态下，将仪器入口密封，采样器显示流量应能下降到零。</w:t>
      </w:r>
      <w:r>
        <w:rPr>
          <w:rFonts w:hint="eastAsia"/>
          <w:szCs w:val="28"/>
        </w:rPr>
        <w:t>部分型号采样器虽然流量不能下降到零，但仪器停止工作，也满足要求。</w:t>
      </w:r>
      <w:r>
        <w:rPr>
          <w:rFonts w:hint="eastAsia" w:hAnsi="宋体"/>
          <w:szCs w:val="28"/>
        </w:rPr>
        <w:t>对于只有一个固定流量的采样器，只能在该流量进行检定。增加流量</w:t>
      </w:r>
      <w:r>
        <w:rPr>
          <w:rFonts w:hAnsi="宋体"/>
          <w:szCs w:val="28"/>
        </w:rPr>
        <w:t>设置，使</w:t>
      </w:r>
      <w:r>
        <w:rPr>
          <w:rFonts w:hint="eastAsia" w:hAnsi="宋体"/>
          <w:szCs w:val="28"/>
        </w:rPr>
        <w:t>检定</w:t>
      </w:r>
      <w:r>
        <w:rPr>
          <w:rFonts w:hAnsi="宋体"/>
          <w:szCs w:val="28"/>
        </w:rPr>
        <w:t>过程更加统一。</w:t>
      </w:r>
    </w:p>
    <w:p>
      <w:pPr>
        <w:spacing w:line="360" w:lineRule="auto"/>
        <w:ind w:firstLine="560" w:firstLineChars="200"/>
        <w:rPr>
          <w:rFonts w:hAnsi="宋体"/>
          <w:szCs w:val="28"/>
        </w:rPr>
      </w:pPr>
      <w:r>
        <w:rPr>
          <w:rFonts w:hint="eastAsia" w:hAnsi="宋体"/>
          <w:szCs w:val="28"/>
        </w:rPr>
        <w:t>用</w:t>
      </w:r>
      <w:r>
        <w:rPr>
          <w:rFonts w:hAnsi="宋体"/>
          <w:szCs w:val="28"/>
        </w:rPr>
        <w:t>18</w:t>
      </w:r>
      <w:r>
        <w:rPr>
          <w:rFonts w:hint="eastAsia" w:hAnsi="宋体"/>
          <w:szCs w:val="28"/>
        </w:rPr>
        <w:t>台采样器进行验证，</w:t>
      </w:r>
      <w:r>
        <w:rPr>
          <w:rFonts w:hAnsi="宋体"/>
          <w:szCs w:val="28"/>
        </w:rPr>
        <w:t>17</w:t>
      </w:r>
      <w:r>
        <w:rPr>
          <w:rFonts w:hint="eastAsia" w:hAnsi="宋体"/>
          <w:szCs w:val="28"/>
        </w:rPr>
        <w:t>台气密性合格，</w:t>
      </w:r>
      <w:r>
        <w:rPr>
          <w:rFonts w:hAnsi="宋体"/>
          <w:szCs w:val="28"/>
        </w:rPr>
        <w:t>1</w:t>
      </w:r>
      <w:r>
        <w:rPr>
          <w:rFonts w:hint="eastAsia" w:hAnsi="宋体"/>
          <w:szCs w:val="28"/>
        </w:rPr>
        <w:t>台气密性不合格。经检查，不合格原因是仪器内的气容有裂缝，导致气密性不合格。</w:t>
      </w:r>
    </w:p>
    <w:p>
      <w:pPr>
        <w:tabs>
          <w:tab w:val="left" w:pos="3402"/>
          <w:tab w:val="left" w:pos="8505"/>
        </w:tabs>
        <w:adjustRightInd w:val="0"/>
        <w:snapToGrid w:val="0"/>
        <w:spacing w:line="360" w:lineRule="auto"/>
        <w:rPr>
          <w:rFonts w:hAnsi="宋体"/>
          <w:szCs w:val="28"/>
        </w:rPr>
      </w:pPr>
      <w:r>
        <w:rPr>
          <w:rFonts w:hAnsi="宋体"/>
          <w:szCs w:val="28"/>
        </w:rPr>
        <w:t>5</w:t>
      </w:r>
      <w:r>
        <w:rPr>
          <w:rFonts w:hint="eastAsia" w:hAnsi="宋体"/>
          <w:szCs w:val="28"/>
        </w:rPr>
        <w:t>、增加了环境</w:t>
      </w:r>
      <w:r>
        <w:rPr>
          <w:rFonts w:hAnsi="宋体"/>
          <w:szCs w:val="28"/>
        </w:rPr>
        <w:t>温度、</w:t>
      </w:r>
      <w:r>
        <w:rPr>
          <w:rFonts w:hint="eastAsia" w:hAnsi="宋体"/>
          <w:szCs w:val="28"/>
        </w:rPr>
        <w:t>流量计前温度、大气压和</w:t>
      </w:r>
      <w:r>
        <w:rPr>
          <w:rFonts w:hAnsi="宋体"/>
          <w:szCs w:val="28"/>
        </w:rPr>
        <w:t>流量计前压力</w:t>
      </w:r>
      <w:r>
        <w:rPr>
          <w:rFonts w:hint="eastAsia" w:hAnsi="宋体"/>
          <w:szCs w:val="28"/>
        </w:rPr>
        <w:t>的要求</w:t>
      </w:r>
    </w:p>
    <w:p>
      <w:pPr>
        <w:tabs>
          <w:tab w:val="left" w:pos="3402"/>
          <w:tab w:val="left" w:pos="8505"/>
        </w:tabs>
        <w:adjustRightInd w:val="0"/>
        <w:snapToGrid w:val="0"/>
        <w:spacing w:line="360" w:lineRule="auto"/>
        <w:ind w:firstLine="560" w:firstLineChars="200"/>
        <w:rPr>
          <w:rFonts w:hAnsi="宋体"/>
          <w:szCs w:val="28"/>
        </w:rPr>
      </w:pPr>
      <w:r>
        <w:rPr>
          <w:rFonts w:hint="eastAsia" w:hAnsi="宋体"/>
          <w:szCs w:val="28"/>
        </w:rPr>
        <w:t>不同</w:t>
      </w:r>
      <w:r>
        <w:rPr>
          <w:rFonts w:hAnsi="宋体"/>
          <w:szCs w:val="28"/>
        </w:rPr>
        <w:t>厂家的仪器内部流量</w:t>
      </w:r>
      <w:r>
        <w:rPr>
          <w:rFonts w:hint="eastAsia" w:hAnsi="宋体"/>
          <w:szCs w:val="28"/>
        </w:rPr>
        <w:t>计算</w:t>
      </w:r>
      <w:r>
        <w:rPr>
          <w:rFonts w:hAnsi="宋体"/>
          <w:szCs w:val="28"/>
        </w:rPr>
        <w:t>公式不同，</w:t>
      </w:r>
      <w:r>
        <w:rPr>
          <w:rFonts w:hint="eastAsia" w:hAnsi="宋体"/>
          <w:szCs w:val="28"/>
        </w:rPr>
        <w:t>这四个</w:t>
      </w:r>
      <w:r>
        <w:rPr>
          <w:rFonts w:hAnsi="宋体"/>
          <w:szCs w:val="28"/>
        </w:rPr>
        <w:t>参数</w:t>
      </w:r>
      <w:r>
        <w:rPr>
          <w:rFonts w:hint="eastAsia" w:hAnsi="宋体"/>
          <w:szCs w:val="28"/>
        </w:rPr>
        <w:t>都</w:t>
      </w:r>
      <w:r>
        <w:rPr>
          <w:rFonts w:hAnsi="宋体"/>
          <w:szCs w:val="28"/>
        </w:rPr>
        <w:t>有可能</w:t>
      </w:r>
      <w:r>
        <w:rPr>
          <w:rFonts w:hint="eastAsia" w:hAnsi="宋体"/>
          <w:szCs w:val="28"/>
        </w:rPr>
        <w:t>参与到</w:t>
      </w:r>
      <w:r>
        <w:rPr>
          <w:rFonts w:hint="eastAsia" w:hAnsi="宋体"/>
          <w:color w:val="000000"/>
          <w:szCs w:val="28"/>
        </w:rPr>
        <w:t>差压式流量计和</w:t>
      </w:r>
      <w:r>
        <w:rPr>
          <w:rFonts w:hAnsi="宋体"/>
          <w:color w:val="000000"/>
          <w:szCs w:val="28"/>
        </w:rPr>
        <w:t>质量流量计</w:t>
      </w:r>
      <w:r>
        <w:rPr>
          <w:rFonts w:hint="eastAsia" w:hAnsi="宋体"/>
          <w:szCs w:val="28"/>
        </w:rPr>
        <w:t>内部流量的换算，为了进一步保障仪器准确度，增加了这四个</w:t>
      </w:r>
      <w:r>
        <w:rPr>
          <w:rFonts w:hAnsi="宋体"/>
          <w:szCs w:val="28"/>
        </w:rPr>
        <w:t>参数</w:t>
      </w:r>
      <w:r>
        <w:rPr>
          <w:rFonts w:hint="eastAsia" w:hAnsi="宋体"/>
          <w:szCs w:val="28"/>
        </w:rPr>
        <w:t>的检定。由于仪器启动之后会发热，可能导致仪器显示的环境</w:t>
      </w:r>
      <w:r>
        <w:rPr>
          <w:rFonts w:hAnsi="宋体"/>
          <w:szCs w:val="28"/>
        </w:rPr>
        <w:t>温度和</w:t>
      </w:r>
      <w:r>
        <w:rPr>
          <w:rFonts w:hint="eastAsia" w:hAnsi="宋体"/>
          <w:szCs w:val="28"/>
        </w:rPr>
        <w:t>流量计前温度升高，所以尽量开机之后先进行环境</w:t>
      </w:r>
      <w:r>
        <w:rPr>
          <w:rFonts w:hAnsi="宋体"/>
          <w:szCs w:val="28"/>
        </w:rPr>
        <w:t>温度和</w:t>
      </w:r>
      <w:r>
        <w:rPr>
          <w:rFonts w:hint="eastAsia" w:hAnsi="宋体"/>
          <w:szCs w:val="28"/>
        </w:rPr>
        <w:t>流量计前温度的检定。</w:t>
      </w:r>
    </w:p>
    <w:p>
      <w:pPr>
        <w:tabs>
          <w:tab w:val="left" w:pos="3402"/>
          <w:tab w:val="left" w:pos="8505"/>
        </w:tabs>
        <w:adjustRightInd w:val="0"/>
        <w:snapToGrid w:val="0"/>
        <w:spacing w:line="360" w:lineRule="auto"/>
        <w:ind w:firstLine="560" w:firstLineChars="200"/>
        <w:rPr>
          <w:rFonts w:hAnsi="宋体"/>
          <w:szCs w:val="28"/>
        </w:rPr>
      </w:pPr>
      <w:r>
        <w:rPr>
          <w:rFonts w:hint="eastAsia" w:hAnsi="宋体"/>
          <w:szCs w:val="28"/>
        </w:rPr>
        <w:t>选择</w:t>
      </w:r>
      <w:r>
        <w:rPr>
          <w:rFonts w:hAnsi="宋体"/>
          <w:szCs w:val="28"/>
        </w:rPr>
        <w:t>可以显示</w:t>
      </w:r>
      <w:r>
        <w:rPr>
          <w:rFonts w:hint="eastAsia" w:hAnsi="宋体"/>
          <w:szCs w:val="28"/>
        </w:rPr>
        <w:t>和</w:t>
      </w:r>
      <w:r>
        <w:rPr>
          <w:rFonts w:hAnsi="宋体"/>
          <w:szCs w:val="28"/>
        </w:rPr>
        <w:t>标定</w:t>
      </w:r>
      <w:r>
        <w:rPr>
          <w:rFonts w:hint="eastAsia" w:hAnsi="宋体"/>
          <w:szCs w:val="28"/>
        </w:rPr>
        <w:t>这</w:t>
      </w:r>
      <w:r>
        <w:rPr>
          <w:rFonts w:hAnsi="宋体"/>
          <w:szCs w:val="28"/>
        </w:rPr>
        <w:t>四个参数的仪器，通过单一变量实验，</w:t>
      </w:r>
      <w:r>
        <w:rPr>
          <w:rFonts w:hint="eastAsia" w:hAnsi="宋体"/>
          <w:szCs w:val="28"/>
        </w:rPr>
        <w:t>分别</w:t>
      </w:r>
      <w:r>
        <w:rPr>
          <w:rFonts w:hAnsi="宋体"/>
          <w:szCs w:val="28"/>
        </w:rPr>
        <w:t>得到四个参数对流量的影响</w:t>
      </w:r>
      <w:r>
        <w:rPr>
          <w:rFonts w:hint="eastAsia" w:hAnsi="宋体"/>
          <w:szCs w:val="28"/>
        </w:rPr>
        <w:t>。选取</w:t>
      </w:r>
      <w:r>
        <w:rPr>
          <w:rFonts w:hAnsi="宋体"/>
          <w:szCs w:val="28"/>
        </w:rPr>
        <w:t>部分实验数据如下：</w:t>
      </w:r>
    </w:p>
    <w:p>
      <w:pPr>
        <w:spacing w:line="360" w:lineRule="auto"/>
        <w:jc w:val="center"/>
        <w:rPr>
          <w:sz w:val="24"/>
        </w:rPr>
      </w:pPr>
      <w:r>
        <w:rPr>
          <w:sz w:val="24"/>
        </w:rPr>
        <w:t xml:space="preserve">表3  </w:t>
      </w:r>
      <w:r>
        <w:rPr>
          <w:rFonts w:hint="eastAsia"/>
          <w:sz w:val="24"/>
        </w:rPr>
        <w:t>环境</w:t>
      </w:r>
      <w:r>
        <w:rPr>
          <w:sz w:val="24"/>
        </w:rPr>
        <w:t>温度偏差对大气采样器</w:t>
      </w:r>
      <w:r>
        <w:rPr>
          <w:rFonts w:hint="eastAsia"/>
          <w:sz w:val="24"/>
        </w:rPr>
        <w:t>流量</w:t>
      </w:r>
      <w:r>
        <w:rPr>
          <w:sz w:val="24"/>
        </w:rPr>
        <w:t>的影响</w:t>
      </w:r>
    </w:p>
    <w:tbl>
      <w:tblPr>
        <w:tblStyle w:val="15"/>
        <w:tblW w:w="0" w:type="auto"/>
        <w:jc w:val="center"/>
        <w:tblBorders>
          <w:top w:val="single" w:color="auto" w:sz="6" w:space="0"/>
          <w:left w:val="none" w:color="auto" w:sz="0" w:space="0"/>
          <w:bottom w:val="single" w:color="auto" w:sz="6"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775"/>
        <w:gridCol w:w="2885"/>
        <w:gridCol w:w="2636"/>
      </w:tblGrid>
      <w:tr>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75" w:type="dxa"/>
            <w:tcBorders>
              <w:top w:val="single" w:color="auto" w:sz="6" w:space="0"/>
              <w:bottom w:val="single" w:color="auto" w:sz="6" w:space="0"/>
            </w:tcBorders>
            <w:vAlign w:val="center"/>
          </w:tcPr>
          <w:p>
            <w:pPr>
              <w:spacing w:line="360" w:lineRule="auto"/>
              <w:jc w:val="center"/>
              <w:rPr>
                <w:sz w:val="24"/>
              </w:rPr>
            </w:pPr>
            <w:r>
              <w:rPr>
                <w:rFonts w:hint="eastAsia"/>
                <w:sz w:val="24"/>
              </w:rPr>
              <w:t>环境</w:t>
            </w:r>
            <w:r>
              <w:rPr>
                <w:sz w:val="24"/>
              </w:rPr>
              <w:t>温度</w:t>
            </w:r>
            <w:r>
              <w:rPr>
                <w:rFonts w:hint="eastAsia"/>
                <w:sz w:val="24"/>
              </w:rPr>
              <w:t>偏差(℃)</w:t>
            </w:r>
          </w:p>
        </w:tc>
        <w:tc>
          <w:tcPr>
            <w:tcW w:w="2885" w:type="dxa"/>
            <w:tcBorders>
              <w:top w:val="single" w:color="auto" w:sz="6" w:space="0"/>
              <w:bottom w:val="single" w:color="auto" w:sz="6" w:space="0"/>
            </w:tcBorders>
            <w:vAlign w:val="center"/>
          </w:tcPr>
          <w:p>
            <w:pPr>
              <w:spacing w:line="360" w:lineRule="auto"/>
              <w:jc w:val="center"/>
              <w:rPr>
                <w:sz w:val="24"/>
              </w:rPr>
            </w:pPr>
            <w:r>
              <w:rPr>
                <w:rFonts w:hint="eastAsia"/>
                <w:sz w:val="24"/>
              </w:rPr>
              <w:t>实测</w:t>
            </w:r>
            <w:r>
              <w:rPr>
                <w:sz w:val="24"/>
              </w:rPr>
              <w:t>流量</w:t>
            </w:r>
            <w:r>
              <w:rPr>
                <w:rFonts w:hint="eastAsia"/>
                <w:sz w:val="24"/>
              </w:rPr>
              <w:t>(</w:t>
            </w:r>
            <w:r>
              <w:rPr>
                <w:sz w:val="24"/>
              </w:rPr>
              <w:t>L/min</w:t>
            </w:r>
            <w:r>
              <w:rPr>
                <w:rFonts w:hint="eastAsia"/>
                <w:sz w:val="24"/>
              </w:rPr>
              <w:t>)</w:t>
            </w:r>
          </w:p>
        </w:tc>
        <w:tc>
          <w:tcPr>
            <w:tcW w:w="2636" w:type="dxa"/>
            <w:tcBorders>
              <w:top w:val="single" w:color="auto" w:sz="6" w:space="0"/>
              <w:bottom w:val="single" w:color="auto" w:sz="6" w:space="0"/>
            </w:tcBorders>
          </w:tcPr>
          <w:p>
            <w:pPr>
              <w:spacing w:line="360" w:lineRule="auto"/>
              <w:jc w:val="center"/>
              <w:rPr>
                <w:sz w:val="24"/>
              </w:rPr>
            </w:pPr>
            <w:r>
              <w:rPr>
                <w:rFonts w:hint="eastAsia"/>
                <w:sz w:val="24"/>
              </w:rPr>
              <w:t>流量</w:t>
            </w:r>
            <w:r>
              <w:rPr>
                <w:sz w:val="24"/>
              </w:rPr>
              <w:t>偏差</w:t>
            </w:r>
          </w:p>
        </w:tc>
      </w:tr>
      <w:tr>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75" w:type="dxa"/>
            <w:tcBorders>
              <w:top w:val="single" w:color="auto" w:sz="6" w:space="0"/>
            </w:tcBorders>
            <w:vAlign w:val="center"/>
          </w:tcPr>
          <w:p>
            <w:pPr>
              <w:spacing w:line="360" w:lineRule="auto"/>
              <w:jc w:val="center"/>
              <w:rPr>
                <w:sz w:val="24"/>
              </w:rPr>
            </w:pPr>
            <w:r>
              <w:rPr>
                <w:sz w:val="24"/>
              </w:rPr>
              <w:t>10.0</w:t>
            </w:r>
          </w:p>
        </w:tc>
        <w:tc>
          <w:tcPr>
            <w:tcW w:w="2885" w:type="dxa"/>
            <w:tcBorders>
              <w:top w:val="single" w:color="auto" w:sz="6" w:space="0"/>
            </w:tcBorders>
            <w:vAlign w:val="center"/>
          </w:tcPr>
          <w:p>
            <w:pPr>
              <w:spacing w:line="360" w:lineRule="auto"/>
              <w:jc w:val="center"/>
              <w:rPr>
                <w:sz w:val="24"/>
              </w:rPr>
            </w:pPr>
            <w:r>
              <w:rPr>
                <w:rFonts w:hint="eastAsia"/>
                <w:sz w:val="24"/>
              </w:rPr>
              <w:t>0.982</w:t>
            </w:r>
          </w:p>
        </w:tc>
        <w:tc>
          <w:tcPr>
            <w:tcW w:w="2636" w:type="dxa"/>
            <w:tcBorders>
              <w:top w:val="single" w:color="auto" w:sz="6" w:space="0"/>
            </w:tcBorders>
          </w:tcPr>
          <w:p>
            <w:pPr>
              <w:spacing w:line="360" w:lineRule="auto"/>
              <w:jc w:val="center"/>
              <w:rPr>
                <w:sz w:val="24"/>
              </w:rPr>
            </w:pPr>
            <w:r>
              <w:rPr>
                <w:rFonts w:hint="eastAsia"/>
                <w:sz w:val="24"/>
              </w:rPr>
              <w:t>-2.5</w:t>
            </w:r>
            <w:r>
              <w:rPr>
                <w:sz w:val="24"/>
              </w:rPr>
              <w:t>%</w:t>
            </w:r>
          </w:p>
        </w:tc>
      </w:tr>
      <w:tr>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75" w:type="dxa"/>
            <w:vAlign w:val="center"/>
          </w:tcPr>
          <w:p>
            <w:pPr>
              <w:spacing w:line="360" w:lineRule="auto"/>
              <w:jc w:val="center"/>
              <w:rPr>
                <w:sz w:val="24"/>
              </w:rPr>
            </w:pPr>
            <w:r>
              <w:rPr>
                <w:sz w:val="24"/>
              </w:rPr>
              <w:t>6.0</w:t>
            </w:r>
          </w:p>
        </w:tc>
        <w:tc>
          <w:tcPr>
            <w:tcW w:w="2885" w:type="dxa"/>
            <w:vAlign w:val="center"/>
          </w:tcPr>
          <w:p>
            <w:pPr>
              <w:spacing w:line="360" w:lineRule="auto"/>
              <w:jc w:val="center"/>
              <w:rPr>
                <w:sz w:val="24"/>
              </w:rPr>
            </w:pPr>
            <w:r>
              <w:rPr>
                <w:rFonts w:hint="eastAsia"/>
                <w:sz w:val="24"/>
              </w:rPr>
              <w:t>0.991</w:t>
            </w:r>
          </w:p>
        </w:tc>
        <w:tc>
          <w:tcPr>
            <w:tcW w:w="2636" w:type="dxa"/>
          </w:tcPr>
          <w:p>
            <w:pPr>
              <w:spacing w:line="360" w:lineRule="auto"/>
              <w:jc w:val="center"/>
              <w:rPr>
                <w:sz w:val="24"/>
              </w:rPr>
            </w:pPr>
            <w:r>
              <w:rPr>
                <w:rFonts w:hint="eastAsia"/>
                <w:sz w:val="24"/>
              </w:rPr>
              <w:t>-1.6</w:t>
            </w:r>
            <w:r>
              <w:rPr>
                <w:sz w:val="24"/>
              </w:rPr>
              <w:t>%</w:t>
            </w:r>
          </w:p>
        </w:tc>
      </w:tr>
      <w:tr>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75" w:type="dxa"/>
            <w:vAlign w:val="center"/>
          </w:tcPr>
          <w:p>
            <w:pPr>
              <w:spacing w:line="360" w:lineRule="auto"/>
              <w:jc w:val="center"/>
              <w:rPr>
                <w:sz w:val="24"/>
              </w:rPr>
            </w:pPr>
            <w:r>
              <w:rPr>
                <w:sz w:val="24"/>
              </w:rPr>
              <w:t>1.0</w:t>
            </w:r>
          </w:p>
        </w:tc>
        <w:tc>
          <w:tcPr>
            <w:tcW w:w="2885" w:type="dxa"/>
            <w:vAlign w:val="center"/>
          </w:tcPr>
          <w:p>
            <w:pPr>
              <w:spacing w:line="360" w:lineRule="auto"/>
              <w:jc w:val="center"/>
              <w:rPr>
                <w:sz w:val="24"/>
              </w:rPr>
            </w:pPr>
            <w:r>
              <w:rPr>
                <w:rFonts w:hint="eastAsia"/>
                <w:sz w:val="24"/>
              </w:rPr>
              <w:t>1.007</w:t>
            </w:r>
          </w:p>
        </w:tc>
        <w:tc>
          <w:tcPr>
            <w:tcW w:w="2636" w:type="dxa"/>
          </w:tcPr>
          <w:p>
            <w:pPr>
              <w:spacing w:line="360" w:lineRule="auto"/>
              <w:jc w:val="center"/>
              <w:rPr>
                <w:sz w:val="24"/>
              </w:rPr>
            </w:pPr>
            <w:r>
              <w:rPr>
                <w:rFonts w:hint="eastAsia"/>
                <w:sz w:val="24"/>
              </w:rPr>
              <w:t>0.0</w:t>
            </w:r>
            <w:r>
              <w:rPr>
                <w:sz w:val="24"/>
              </w:rPr>
              <w:t>%</w:t>
            </w:r>
          </w:p>
        </w:tc>
      </w:tr>
      <w:tr>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75" w:type="dxa"/>
            <w:vAlign w:val="center"/>
          </w:tcPr>
          <w:p>
            <w:pPr>
              <w:spacing w:line="360" w:lineRule="auto"/>
              <w:jc w:val="center"/>
              <w:rPr>
                <w:sz w:val="24"/>
              </w:rPr>
            </w:pPr>
            <w:r>
              <w:rPr>
                <w:sz w:val="24"/>
              </w:rPr>
              <w:t>0.0</w:t>
            </w:r>
          </w:p>
        </w:tc>
        <w:tc>
          <w:tcPr>
            <w:tcW w:w="2885" w:type="dxa"/>
            <w:vAlign w:val="center"/>
          </w:tcPr>
          <w:p>
            <w:pPr>
              <w:spacing w:line="360" w:lineRule="auto"/>
              <w:jc w:val="center"/>
              <w:rPr>
                <w:sz w:val="24"/>
              </w:rPr>
            </w:pPr>
            <w:r>
              <w:rPr>
                <w:rFonts w:hint="eastAsia"/>
                <w:sz w:val="24"/>
              </w:rPr>
              <w:t>1.007</w:t>
            </w:r>
            <w:r>
              <w:rPr>
                <w:sz w:val="24"/>
              </w:rPr>
              <w:t>(</w:t>
            </w:r>
            <w:r>
              <w:rPr>
                <w:rFonts w:hint="eastAsia"/>
                <w:sz w:val="24"/>
              </w:rPr>
              <w:t>参考流量</w:t>
            </w:r>
            <w:r>
              <w:rPr>
                <w:sz w:val="24"/>
              </w:rPr>
              <w:t>)</w:t>
            </w:r>
          </w:p>
        </w:tc>
        <w:tc>
          <w:tcPr>
            <w:tcW w:w="2636" w:type="dxa"/>
          </w:tcPr>
          <w:p>
            <w:pPr>
              <w:spacing w:line="360" w:lineRule="auto"/>
              <w:jc w:val="center"/>
              <w:rPr>
                <w:sz w:val="24"/>
              </w:rPr>
            </w:pPr>
            <w:r>
              <w:rPr>
                <w:rFonts w:hint="eastAsia"/>
                <w:sz w:val="24"/>
              </w:rPr>
              <w:t>/</w:t>
            </w:r>
          </w:p>
        </w:tc>
      </w:tr>
      <w:tr>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75" w:type="dxa"/>
            <w:vAlign w:val="center"/>
          </w:tcPr>
          <w:p>
            <w:pPr>
              <w:spacing w:line="360" w:lineRule="auto"/>
              <w:jc w:val="center"/>
              <w:rPr>
                <w:sz w:val="24"/>
              </w:rPr>
            </w:pPr>
            <w:r>
              <w:rPr>
                <w:sz w:val="24"/>
              </w:rPr>
              <w:t>-5.0</w:t>
            </w:r>
          </w:p>
        </w:tc>
        <w:tc>
          <w:tcPr>
            <w:tcW w:w="2885" w:type="dxa"/>
            <w:vAlign w:val="center"/>
          </w:tcPr>
          <w:p>
            <w:pPr>
              <w:spacing w:line="360" w:lineRule="auto"/>
              <w:jc w:val="center"/>
              <w:rPr>
                <w:sz w:val="24"/>
              </w:rPr>
            </w:pPr>
            <w:r>
              <w:rPr>
                <w:rFonts w:hint="eastAsia"/>
                <w:sz w:val="24"/>
              </w:rPr>
              <w:t>1.027</w:t>
            </w:r>
          </w:p>
        </w:tc>
        <w:tc>
          <w:tcPr>
            <w:tcW w:w="2636" w:type="dxa"/>
          </w:tcPr>
          <w:p>
            <w:pPr>
              <w:spacing w:line="360" w:lineRule="auto"/>
              <w:jc w:val="center"/>
              <w:rPr>
                <w:sz w:val="24"/>
              </w:rPr>
            </w:pPr>
            <w:r>
              <w:rPr>
                <w:rFonts w:hint="eastAsia"/>
                <w:sz w:val="24"/>
              </w:rPr>
              <w:t>2.0</w:t>
            </w:r>
            <w:r>
              <w:rPr>
                <w:sz w:val="24"/>
              </w:rPr>
              <w:t>%</w:t>
            </w:r>
          </w:p>
        </w:tc>
      </w:tr>
      <w:tr>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75" w:type="dxa"/>
            <w:vAlign w:val="center"/>
          </w:tcPr>
          <w:p>
            <w:pPr>
              <w:spacing w:line="360" w:lineRule="auto"/>
              <w:jc w:val="center"/>
              <w:rPr>
                <w:sz w:val="24"/>
              </w:rPr>
            </w:pPr>
            <w:r>
              <w:rPr>
                <w:sz w:val="24"/>
              </w:rPr>
              <w:t>-10.0</w:t>
            </w:r>
          </w:p>
        </w:tc>
        <w:tc>
          <w:tcPr>
            <w:tcW w:w="2885" w:type="dxa"/>
            <w:vAlign w:val="center"/>
          </w:tcPr>
          <w:p>
            <w:pPr>
              <w:spacing w:line="360" w:lineRule="auto"/>
              <w:jc w:val="center"/>
              <w:rPr>
                <w:sz w:val="24"/>
              </w:rPr>
            </w:pPr>
            <w:r>
              <w:rPr>
                <w:rFonts w:hint="eastAsia"/>
                <w:sz w:val="24"/>
              </w:rPr>
              <w:t>1.040</w:t>
            </w:r>
          </w:p>
        </w:tc>
        <w:tc>
          <w:tcPr>
            <w:tcW w:w="2636" w:type="dxa"/>
          </w:tcPr>
          <w:p>
            <w:pPr>
              <w:spacing w:line="360" w:lineRule="auto"/>
              <w:jc w:val="center"/>
              <w:rPr>
                <w:sz w:val="24"/>
              </w:rPr>
            </w:pPr>
            <w:r>
              <w:rPr>
                <w:rFonts w:hint="eastAsia"/>
                <w:sz w:val="24"/>
              </w:rPr>
              <w:t>3.3</w:t>
            </w:r>
            <w:r>
              <w:rPr>
                <w:sz w:val="24"/>
              </w:rPr>
              <w:t>%</w:t>
            </w:r>
          </w:p>
        </w:tc>
      </w:tr>
    </w:tbl>
    <w:p>
      <w:pPr>
        <w:spacing w:line="360" w:lineRule="auto"/>
        <w:jc w:val="center"/>
        <w:rPr>
          <w:sz w:val="24"/>
        </w:rPr>
      </w:pPr>
    </w:p>
    <w:p>
      <w:pPr>
        <w:spacing w:line="360" w:lineRule="auto"/>
        <w:jc w:val="center"/>
        <w:rPr>
          <w:sz w:val="24"/>
        </w:rPr>
      </w:pPr>
      <w:r>
        <w:rPr>
          <w:sz w:val="24"/>
        </w:rPr>
        <w:t xml:space="preserve">表4  </w:t>
      </w:r>
      <w:r>
        <w:rPr>
          <w:rFonts w:hint="eastAsia"/>
          <w:sz w:val="24"/>
        </w:rPr>
        <w:t>流量计前</w:t>
      </w:r>
      <w:r>
        <w:rPr>
          <w:sz w:val="24"/>
        </w:rPr>
        <w:t>温度偏差对</w:t>
      </w:r>
      <w:r>
        <w:rPr>
          <w:rFonts w:hint="eastAsia"/>
          <w:sz w:val="24"/>
        </w:rPr>
        <w:t>流量</w:t>
      </w:r>
      <w:r>
        <w:rPr>
          <w:sz w:val="24"/>
        </w:rPr>
        <w:t>的影响</w:t>
      </w:r>
    </w:p>
    <w:tbl>
      <w:tblPr>
        <w:tblStyle w:val="15"/>
        <w:tblW w:w="0" w:type="auto"/>
        <w:jc w:val="center"/>
        <w:tblBorders>
          <w:top w:val="single" w:color="auto" w:sz="6" w:space="0"/>
          <w:left w:val="none" w:color="auto" w:sz="0" w:space="0"/>
          <w:bottom w:val="single" w:color="auto" w:sz="6"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775"/>
        <w:gridCol w:w="2885"/>
        <w:gridCol w:w="2636"/>
      </w:tblGrid>
      <w:tr>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75" w:type="dxa"/>
            <w:tcBorders>
              <w:top w:val="single" w:color="auto" w:sz="6" w:space="0"/>
              <w:bottom w:val="single" w:color="auto" w:sz="6" w:space="0"/>
            </w:tcBorders>
            <w:vAlign w:val="center"/>
          </w:tcPr>
          <w:p>
            <w:pPr>
              <w:spacing w:line="360" w:lineRule="auto"/>
              <w:jc w:val="center"/>
              <w:rPr>
                <w:sz w:val="24"/>
              </w:rPr>
            </w:pPr>
            <w:r>
              <w:rPr>
                <w:rFonts w:hint="eastAsia"/>
                <w:sz w:val="24"/>
              </w:rPr>
              <w:t>流量计前</w:t>
            </w:r>
            <w:r>
              <w:rPr>
                <w:sz w:val="24"/>
              </w:rPr>
              <w:t>温度</w:t>
            </w:r>
            <w:r>
              <w:rPr>
                <w:rFonts w:hint="eastAsia"/>
                <w:sz w:val="24"/>
              </w:rPr>
              <w:t>偏差(℃)</w:t>
            </w:r>
          </w:p>
        </w:tc>
        <w:tc>
          <w:tcPr>
            <w:tcW w:w="2885" w:type="dxa"/>
            <w:tcBorders>
              <w:top w:val="single" w:color="auto" w:sz="6" w:space="0"/>
              <w:bottom w:val="single" w:color="auto" w:sz="6" w:space="0"/>
            </w:tcBorders>
            <w:vAlign w:val="center"/>
          </w:tcPr>
          <w:p>
            <w:pPr>
              <w:spacing w:line="360" w:lineRule="auto"/>
              <w:jc w:val="center"/>
              <w:rPr>
                <w:sz w:val="24"/>
              </w:rPr>
            </w:pPr>
            <w:r>
              <w:rPr>
                <w:rFonts w:hint="eastAsia"/>
                <w:sz w:val="24"/>
              </w:rPr>
              <w:t>实测</w:t>
            </w:r>
            <w:r>
              <w:rPr>
                <w:sz w:val="24"/>
              </w:rPr>
              <w:t>流量</w:t>
            </w:r>
            <w:r>
              <w:rPr>
                <w:rFonts w:hint="eastAsia"/>
                <w:sz w:val="24"/>
              </w:rPr>
              <w:t>(</w:t>
            </w:r>
            <w:r>
              <w:rPr>
                <w:sz w:val="24"/>
              </w:rPr>
              <w:t>L/min</w:t>
            </w:r>
            <w:r>
              <w:rPr>
                <w:rFonts w:hint="eastAsia"/>
                <w:sz w:val="24"/>
              </w:rPr>
              <w:t>)</w:t>
            </w:r>
          </w:p>
        </w:tc>
        <w:tc>
          <w:tcPr>
            <w:tcW w:w="2636" w:type="dxa"/>
            <w:tcBorders>
              <w:top w:val="single" w:color="auto" w:sz="6" w:space="0"/>
              <w:bottom w:val="single" w:color="auto" w:sz="6" w:space="0"/>
            </w:tcBorders>
          </w:tcPr>
          <w:p>
            <w:pPr>
              <w:spacing w:line="360" w:lineRule="auto"/>
              <w:jc w:val="center"/>
              <w:rPr>
                <w:sz w:val="24"/>
              </w:rPr>
            </w:pPr>
            <w:r>
              <w:rPr>
                <w:rFonts w:hint="eastAsia"/>
                <w:sz w:val="24"/>
              </w:rPr>
              <w:t>流量</w:t>
            </w:r>
            <w:r>
              <w:rPr>
                <w:sz w:val="24"/>
              </w:rPr>
              <w:t>偏差</w:t>
            </w:r>
          </w:p>
        </w:tc>
      </w:tr>
      <w:tr>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75" w:type="dxa"/>
            <w:tcBorders>
              <w:top w:val="single" w:color="auto" w:sz="6" w:space="0"/>
            </w:tcBorders>
            <w:vAlign w:val="center"/>
          </w:tcPr>
          <w:p>
            <w:pPr>
              <w:spacing w:line="360" w:lineRule="auto"/>
              <w:jc w:val="center"/>
              <w:rPr>
                <w:sz w:val="24"/>
              </w:rPr>
            </w:pPr>
            <w:r>
              <w:rPr>
                <w:sz w:val="24"/>
              </w:rPr>
              <w:t>70.0</w:t>
            </w:r>
          </w:p>
        </w:tc>
        <w:tc>
          <w:tcPr>
            <w:tcW w:w="2885" w:type="dxa"/>
            <w:tcBorders>
              <w:top w:val="single" w:color="auto" w:sz="6" w:space="0"/>
            </w:tcBorders>
            <w:vAlign w:val="center"/>
          </w:tcPr>
          <w:p>
            <w:pPr>
              <w:spacing w:line="360" w:lineRule="auto"/>
              <w:jc w:val="center"/>
              <w:rPr>
                <w:sz w:val="24"/>
              </w:rPr>
            </w:pPr>
            <w:r>
              <w:rPr>
                <w:sz w:val="24"/>
              </w:rPr>
              <w:t>1.082</w:t>
            </w:r>
          </w:p>
        </w:tc>
        <w:tc>
          <w:tcPr>
            <w:tcW w:w="2636" w:type="dxa"/>
            <w:tcBorders>
              <w:top w:val="single" w:color="auto" w:sz="6" w:space="0"/>
            </w:tcBorders>
          </w:tcPr>
          <w:p>
            <w:pPr>
              <w:spacing w:line="360" w:lineRule="auto"/>
              <w:jc w:val="center"/>
              <w:rPr>
                <w:sz w:val="24"/>
              </w:rPr>
            </w:pPr>
            <w:r>
              <w:rPr>
                <w:sz w:val="24"/>
              </w:rPr>
              <w:t>12.2%</w:t>
            </w:r>
          </w:p>
        </w:tc>
      </w:tr>
      <w:tr>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75" w:type="dxa"/>
            <w:vAlign w:val="center"/>
          </w:tcPr>
          <w:p>
            <w:pPr>
              <w:spacing w:line="360" w:lineRule="auto"/>
              <w:jc w:val="center"/>
              <w:rPr>
                <w:sz w:val="24"/>
              </w:rPr>
            </w:pPr>
            <w:r>
              <w:rPr>
                <w:sz w:val="24"/>
              </w:rPr>
              <w:t>50.0</w:t>
            </w:r>
          </w:p>
        </w:tc>
        <w:tc>
          <w:tcPr>
            <w:tcW w:w="2885" w:type="dxa"/>
            <w:vAlign w:val="center"/>
          </w:tcPr>
          <w:p>
            <w:pPr>
              <w:spacing w:line="360" w:lineRule="auto"/>
              <w:jc w:val="center"/>
              <w:rPr>
                <w:sz w:val="24"/>
              </w:rPr>
            </w:pPr>
            <w:r>
              <w:rPr>
                <w:sz w:val="24"/>
              </w:rPr>
              <w:t>1.049</w:t>
            </w:r>
          </w:p>
        </w:tc>
        <w:tc>
          <w:tcPr>
            <w:tcW w:w="2636" w:type="dxa"/>
          </w:tcPr>
          <w:p>
            <w:pPr>
              <w:spacing w:line="360" w:lineRule="auto"/>
              <w:jc w:val="center"/>
              <w:rPr>
                <w:sz w:val="24"/>
              </w:rPr>
            </w:pPr>
            <w:r>
              <w:rPr>
                <w:sz w:val="24"/>
              </w:rPr>
              <w:t>8.8%</w:t>
            </w:r>
          </w:p>
        </w:tc>
      </w:tr>
      <w:tr>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75" w:type="dxa"/>
            <w:vAlign w:val="center"/>
          </w:tcPr>
          <w:p>
            <w:pPr>
              <w:spacing w:line="360" w:lineRule="auto"/>
              <w:jc w:val="center"/>
              <w:rPr>
                <w:sz w:val="24"/>
              </w:rPr>
            </w:pPr>
            <w:r>
              <w:rPr>
                <w:sz w:val="24"/>
              </w:rPr>
              <w:t>30.0</w:t>
            </w:r>
          </w:p>
        </w:tc>
        <w:tc>
          <w:tcPr>
            <w:tcW w:w="2885" w:type="dxa"/>
            <w:vAlign w:val="center"/>
          </w:tcPr>
          <w:p>
            <w:pPr>
              <w:spacing w:line="360" w:lineRule="auto"/>
              <w:jc w:val="center"/>
              <w:rPr>
                <w:sz w:val="24"/>
              </w:rPr>
            </w:pPr>
            <w:r>
              <w:rPr>
                <w:rFonts w:hint="eastAsia"/>
                <w:sz w:val="24"/>
              </w:rPr>
              <w:t>1.0</w:t>
            </w:r>
            <w:r>
              <w:rPr>
                <w:sz w:val="24"/>
              </w:rPr>
              <w:t>16</w:t>
            </w:r>
          </w:p>
        </w:tc>
        <w:tc>
          <w:tcPr>
            <w:tcW w:w="2636" w:type="dxa"/>
          </w:tcPr>
          <w:p>
            <w:pPr>
              <w:spacing w:line="360" w:lineRule="auto"/>
              <w:jc w:val="center"/>
              <w:rPr>
                <w:sz w:val="24"/>
              </w:rPr>
            </w:pPr>
            <w:r>
              <w:rPr>
                <w:sz w:val="24"/>
              </w:rPr>
              <w:t>5.4%</w:t>
            </w:r>
          </w:p>
        </w:tc>
      </w:tr>
      <w:tr>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75" w:type="dxa"/>
            <w:vAlign w:val="center"/>
          </w:tcPr>
          <w:p>
            <w:pPr>
              <w:spacing w:line="360" w:lineRule="auto"/>
              <w:jc w:val="center"/>
              <w:rPr>
                <w:sz w:val="24"/>
              </w:rPr>
            </w:pPr>
            <w:r>
              <w:rPr>
                <w:sz w:val="24"/>
              </w:rPr>
              <w:t>10.0</w:t>
            </w:r>
          </w:p>
        </w:tc>
        <w:tc>
          <w:tcPr>
            <w:tcW w:w="2885" w:type="dxa"/>
            <w:vAlign w:val="center"/>
          </w:tcPr>
          <w:p>
            <w:pPr>
              <w:spacing w:line="360" w:lineRule="auto"/>
              <w:jc w:val="center"/>
              <w:rPr>
                <w:sz w:val="24"/>
              </w:rPr>
            </w:pPr>
            <w:r>
              <w:rPr>
                <w:sz w:val="24"/>
              </w:rPr>
              <w:t>0.984</w:t>
            </w:r>
          </w:p>
        </w:tc>
        <w:tc>
          <w:tcPr>
            <w:tcW w:w="2636" w:type="dxa"/>
          </w:tcPr>
          <w:p>
            <w:pPr>
              <w:spacing w:line="360" w:lineRule="auto"/>
              <w:jc w:val="center"/>
              <w:rPr>
                <w:sz w:val="24"/>
              </w:rPr>
            </w:pPr>
            <w:r>
              <w:rPr>
                <w:sz w:val="24"/>
              </w:rPr>
              <w:t>2.1%</w:t>
            </w:r>
          </w:p>
        </w:tc>
      </w:tr>
      <w:tr>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75" w:type="dxa"/>
            <w:vAlign w:val="center"/>
          </w:tcPr>
          <w:p>
            <w:pPr>
              <w:spacing w:line="360" w:lineRule="auto"/>
              <w:jc w:val="center"/>
              <w:rPr>
                <w:sz w:val="24"/>
              </w:rPr>
            </w:pPr>
            <w:r>
              <w:rPr>
                <w:sz w:val="24"/>
              </w:rPr>
              <w:t>0.0</w:t>
            </w:r>
          </w:p>
        </w:tc>
        <w:tc>
          <w:tcPr>
            <w:tcW w:w="2885" w:type="dxa"/>
            <w:vAlign w:val="center"/>
          </w:tcPr>
          <w:p>
            <w:pPr>
              <w:spacing w:line="360" w:lineRule="auto"/>
              <w:jc w:val="center"/>
              <w:rPr>
                <w:sz w:val="24"/>
              </w:rPr>
            </w:pPr>
            <w:r>
              <w:rPr>
                <w:rFonts w:hint="eastAsia"/>
                <w:sz w:val="24"/>
              </w:rPr>
              <w:t>0.964</w:t>
            </w:r>
            <w:r>
              <w:rPr>
                <w:sz w:val="24"/>
              </w:rPr>
              <w:t>(</w:t>
            </w:r>
            <w:r>
              <w:rPr>
                <w:rFonts w:hint="eastAsia"/>
                <w:sz w:val="24"/>
              </w:rPr>
              <w:t>参考流量</w:t>
            </w:r>
            <w:r>
              <w:rPr>
                <w:sz w:val="24"/>
              </w:rPr>
              <w:t>)</w:t>
            </w:r>
          </w:p>
        </w:tc>
        <w:tc>
          <w:tcPr>
            <w:tcW w:w="2636" w:type="dxa"/>
          </w:tcPr>
          <w:p>
            <w:pPr>
              <w:spacing w:line="360" w:lineRule="auto"/>
              <w:jc w:val="center"/>
              <w:rPr>
                <w:sz w:val="24"/>
              </w:rPr>
            </w:pPr>
            <w:r>
              <w:rPr>
                <w:rFonts w:hint="eastAsia"/>
                <w:sz w:val="24"/>
              </w:rPr>
              <w:t>/</w:t>
            </w:r>
          </w:p>
        </w:tc>
      </w:tr>
      <w:tr>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75" w:type="dxa"/>
            <w:vAlign w:val="center"/>
          </w:tcPr>
          <w:p>
            <w:pPr>
              <w:spacing w:line="360" w:lineRule="auto"/>
              <w:jc w:val="center"/>
              <w:rPr>
                <w:sz w:val="24"/>
              </w:rPr>
            </w:pPr>
            <w:r>
              <w:rPr>
                <w:sz w:val="24"/>
              </w:rPr>
              <w:t>-10.0</w:t>
            </w:r>
          </w:p>
        </w:tc>
        <w:tc>
          <w:tcPr>
            <w:tcW w:w="2885" w:type="dxa"/>
            <w:vAlign w:val="center"/>
          </w:tcPr>
          <w:p>
            <w:pPr>
              <w:spacing w:line="360" w:lineRule="auto"/>
              <w:jc w:val="center"/>
              <w:rPr>
                <w:sz w:val="24"/>
              </w:rPr>
            </w:pPr>
            <w:r>
              <w:rPr>
                <w:sz w:val="24"/>
              </w:rPr>
              <w:t>0.944</w:t>
            </w:r>
          </w:p>
        </w:tc>
        <w:tc>
          <w:tcPr>
            <w:tcW w:w="2636" w:type="dxa"/>
          </w:tcPr>
          <w:p>
            <w:pPr>
              <w:spacing w:line="360" w:lineRule="auto"/>
              <w:jc w:val="center"/>
              <w:rPr>
                <w:sz w:val="24"/>
              </w:rPr>
            </w:pPr>
            <w:r>
              <w:rPr>
                <w:sz w:val="24"/>
              </w:rPr>
              <w:t>-2.1%</w:t>
            </w:r>
          </w:p>
        </w:tc>
      </w:tr>
      <w:tr>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75" w:type="dxa"/>
            <w:vAlign w:val="center"/>
          </w:tcPr>
          <w:p>
            <w:pPr>
              <w:spacing w:line="360" w:lineRule="auto"/>
              <w:jc w:val="center"/>
              <w:rPr>
                <w:sz w:val="24"/>
              </w:rPr>
            </w:pPr>
            <w:r>
              <w:rPr>
                <w:sz w:val="24"/>
              </w:rPr>
              <w:t>-20.0</w:t>
            </w:r>
          </w:p>
        </w:tc>
        <w:tc>
          <w:tcPr>
            <w:tcW w:w="2885" w:type="dxa"/>
            <w:vAlign w:val="center"/>
          </w:tcPr>
          <w:p>
            <w:pPr>
              <w:spacing w:line="360" w:lineRule="auto"/>
              <w:jc w:val="center"/>
              <w:rPr>
                <w:sz w:val="24"/>
              </w:rPr>
            </w:pPr>
            <w:r>
              <w:rPr>
                <w:rFonts w:hint="eastAsia"/>
                <w:sz w:val="24"/>
              </w:rPr>
              <w:t>0.9</w:t>
            </w:r>
            <w:r>
              <w:rPr>
                <w:sz w:val="24"/>
              </w:rPr>
              <w:t>28</w:t>
            </w:r>
          </w:p>
        </w:tc>
        <w:tc>
          <w:tcPr>
            <w:tcW w:w="2636" w:type="dxa"/>
          </w:tcPr>
          <w:p>
            <w:pPr>
              <w:spacing w:line="360" w:lineRule="auto"/>
              <w:jc w:val="center"/>
              <w:rPr>
                <w:sz w:val="24"/>
              </w:rPr>
            </w:pPr>
            <w:r>
              <w:rPr>
                <w:rFonts w:hint="eastAsia"/>
                <w:sz w:val="24"/>
              </w:rPr>
              <w:t>-3.</w:t>
            </w:r>
            <w:r>
              <w:rPr>
                <w:sz w:val="24"/>
              </w:rPr>
              <w:t>7%</w:t>
            </w:r>
          </w:p>
        </w:tc>
      </w:tr>
    </w:tbl>
    <w:p>
      <w:pPr>
        <w:spacing w:line="360" w:lineRule="auto"/>
        <w:jc w:val="center"/>
        <w:rPr>
          <w:sz w:val="24"/>
        </w:rPr>
      </w:pPr>
      <w:r>
        <w:rPr>
          <w:sz w:val="24"/>
        </w:rPr>
        <w:t xml:space="preserve">表5  </w:t>
      </w:r>
      <w:r>
        <w:rPr>
          <w:rFonts w:hint="eastAsia"/>
          <w:sz w:val="24"/>
        </w:rPr>
        <w:t>大气压</w:t>
      </w:r>
      <w:r>
        <w:rPr>
          <w:sz w:val="24"/>
        </w:rPr>
        <w:t>偏差对</w:t>
      </w:r>
      <w:r>
        <w:rPr>
          <w:rFonts w:hint="eastAsia"/>
          <w:sz w:val="24"/>
        </w:rPr>
        <w:t>流量</w:t>
      </w:r>
      <w:r>
        <w:rPr>
          <w:sz w:val="24"/>
        </w:rPr>
        <w:t>的影响</w:t>
      </w:r>
    </w:p>
    <w:tbl>
      <w:tblPr>
        <w:tblStyle w:val="15"/>
        <w:tblW w:w="0" w:type="auto"/>
        <w:jc w:val="center"/>
        <w:tblBorders>
          <w:top w:val="single" w:color="auto" w:sz="6" w:space="0"/>
          <w:left w:val="none" w:color="auto" w:sz="0" w:space="0"/>
          <w:bottom w:val="single" w:color="auto" w:sz="6"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775"/>
        <w:gridCol w:w="2885"/>
        <w:gridCol w:w="2636"/>
      </w:tblGrid>
      <w:tr>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75" w:type="dxa"/>
            <w:tcBorders>
              <w:top w:val="single" w:color="auto" w:sz="6" w:space="0"/>
              <w:bottom w:val="single" w:color="auto" w:sz="6" w:space="0"/>
            </w:tcBorders>
            <w:vAlign w:val="center"/>
          </w:tcPr>
          <w:p>
            <w:pPr>
              <w:spacing w:line="360" w:lineRule="auto"/>
              <w:jc w:val="center"/>
              <w:rPr>
                <w:sz w:val="24"/>
              </w:rPr>
            </w:pPr>
            <w:r>
              <w:rPr>
                <w:rFonts w:hint="eastAsia"/>
                <w:sz w:val="24"/>
              </w:rPr>
              <w:t>大气压偏差(kPa)</w:t>
            </w:r>
          </w:p>
        </w:tc>
        <w:tc>
          <w:tcPr>
            <w:tcW w:w="2885" w:type="dxa"/>
            <w:tcBorders>
              <w:top w:val="single" w:color="auto" w:sz="6" w:space="0"/>
              <w:bottom w:val="single" w:color="auto" w:sz="6" w:space="0"/>
            </w:tcBorders>
            <w:vAlign w:val="center"/>
          </w:tcPr>
          <w:p>
            <w:pPr>
              <w:spacing w:line="360" w:lineRule="auto"/>
              <w:jc w:val="center"/>
              <w:rPr>
                <w:sz w:val="24"/>
              </w:rPr>
            </w:pPr>
            <w:r>
              <w:rPr>
                <w:rFonts w:hint="eastAsia"/>
                <w:sz w:val="24"/>
              </w:rPr>
              <w:t>实测</w:t>
            </w:r>
            <w:r>
              <w:rPr>
                <w:sz w:val="24"/>
              </w:rPr>
              <w:t>流量</w:t>
            </w:r>
            <w:r>
              <w:rPr>
                <w:rFonts w:hint="eastAsia"/>
                <w:sz w:val="24"/>
              </w:rPr>
              <w:t>(</w:t>
            </w:r>
            <w:r>
              <w:rPr>
                <w:sz w:val="24"/>
              </w:rPr>
              <w:t>L/min</w:t>
            </w:r>
            <w:r>
              <w:rPr>
                <w:rFonts w:hint="eastAsia"/>
                <w:sz w:val="24"/>
              </w:rPr>
              <w:t>)</w:t>
            </w:r>
          </w:p>
        </w:tc>
        <w:tc>
          <w:tcPr>
            <w:tcW w:w="2636" w:type="dxa"/>
            <w:tcBorders>
              <w:top w:val="single" w:color="auto" w:sz="6" w:space="0"/>
              <w:bottom w:val="single" w:color="auto" w:sz="6" w:space="0"/>
            </w:tcBorders>
          </w:tcPr>
          <w:p>
            <w:pPr>
              <w:spacing w:line="360" w:lineRule="auto"/>
              <w:jc w:val="center"/>
              <w:rPr>
                <w:sz w:val="24"/>
              </w:rPr>
            </w:pPr>
            <w:r>
              <w:rPr>
                <w:rFonts w:hint="eastAsia"/>
                <w:sz w:val="24"/>
              </w:rPr>
              <w:t>流量</w:t>
            </w:r>
            <w:r>
              <w:rPr>
                <w:sz w:val="24"/>
              </w:rPr>
              <w:t>偏差</w:t>
            </w:r>
          </w:p>
        </w:tc>
      </w:tr>
      <w:tr>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75" w:type="dxa"/>
            <w:tcBorders>
              <w:top w:val="single" w:color="auto" w:sz="6" w:space="0"/>
            </w:tcBorders>
            <w:vAlign w:val="center"/>
          </w:tcPr>
          <w:p>
            <w:pPr>
              <w:spacing w:line="360" w:lineRule="auto"/>
              <w:jc w:val="center"/>
              <w:rPr>
                <w:sz w:val="24"/>
              </w:rPr>
            </w:pPr>
            <w:r>
              <w:rPr>
                <w:sz w:val="24"/>
              </w:rPr>
              <w:t>9.99</w:t>
            </w:r>
          </w:p>
        </w:tc>
        <w:tc>
          <w:tcPr>
            <w:tcW w:w="2885" w:type="dxa"/>
            <w:tcBorders>
              <w:top w:val="single" w:color="auto" w:sz="6" w:space="0"/>
            </w:tcBorders>
            <w:vAlign w:val="center"/>
          </w:tcPr>
          <w:p>
            <w:pPr>
              <w:spacing w:line="360" w:lineRule="auto"/>
              <w:jc w:val="center"/>
              <w:rPr>
                <w:sz w:val="24"/>
              </w:rPr>
            </w:pPr>
            <w:r>
              <w:rPr>
                <w:sz w:val="24"/>
              </w:rPr>
              <w:t>1.050</w:t>
            </w:r>
          </w:p>
        </w:tc>
        <w:tc>
          <w:tcPr>
            <w:tcW w:w="2636" w:type="dxa"/>
            <w:tcBorders>
              <w:top w:val="single" w:color="auto" w:sz="6" w:space="0"/>
            </w:tcBorders>
          </w:tcPr>
          <w:p>
            <w:pPr>
              <w:spacing w:line="360" w:lineRule="auto"/>
              <w:jc w:val="center"/>
              <w:rPr>
                <w:sz w:val="24"/>
              </w:rPr>
            </w:pPr>
            <w:r>
              <w:rPr>
                <w:sz w:val="24"/>
              </w:rPr>
              <w:t>4.1%</w:t>
            </w:r>
          </w:p>
        </w:tc>
      </w:tr>
      <w:tr>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75" w:type="dxa"/>
            <w:vAlign w:val="center"/>
          </w:tcPr>
          <w:p>
            <w:pPr>
              <w:spacing w:line="360" w:lineRule="auto"/>
              <w:jc w:val="center"/>
              <w:rPr>
                <w:sz w:val="24"/>
              </w:rPr>
            </w:pPr>
            <w:r>
              <w:rPr>
                <w:sz w:val="24"/>
              </w:rPr>
              <w:t>5.00</w:t>
            </w:r>
          </w:p>
        </w:tc>
        <w:tc>
          <w:tcPr>
            <w:tcW w:w="2885" w:type="dxa"/>
            <w:vAlign w:val="center"/>
          </w:tcPr>
          <w:p>
            <w:pPr>
              <w:spacing w:line="360" w:lineRule="auto"/>
              <w:jc w:val="center"/>
              <w:rPr>
                <w:sz w:val="24"/>
              </w:rPr>
            </w:pPr>
            <w:r>
              <w:rPr>
                <w:sz w:val="24"/>
              </w:rPr>
              <w:t>1.029</w:t>
            </w:r>
          </w:p>
        </w:tc>
        <w:tc>
          <w:tcPr>
            <w:tcW w:w="2636" w:type="dxa"/>
          </w:tcPr>
          <w:p>
            <w:pPr>
              <w:spacing w:line="360" w:lineRule="auto"/>
              <w:jc w:val="center"/>
              <w:rPr>
                <w:sz w:val="24"/>
              </w:rPr>
            </w:pPr>
            <w:r>
              <w:rPr>
                <w:sz w:val="24"/>
              </w:rPr>
              <w:t>2.0%</w:t>
            </w:r>
          </w:p>
        </w:tc>
      </w:tr>
      <w:tr>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75" w:type="dxa"/>
            <w:vAlign w:val="center"/>
          </w:tcPr>
          <w:p>
            <w:pPr>
              <w:spacing w:line="360" w:lineRule="auto"/>
              <w:jc w:val="center"/>
              <w:rPr>
                <w:sz w:val="24"/>
              </w:rPr>
            </w:pPr>
            <w:r>
              <w:rPr>
                <w:sz w:val="24"/>
              </w:rPr>
              <w:t>0</w:t>
            </w:r>
          </w:p>
        </w:tc>
        <w:tc>
          <w:tcPr>
            <w:tcW w:w="2885" w:type="dxa"/>
            <w:vAlign w:val="center"/>
          </w:tcPr>
          <w:p>
            <w:pPr>
              <w:spacing w:line="360" w:lineRule="auto"/>
              <w:jc w:val="center"/>
              <w:rPr>
                <w:sz w:val="24"/>
              </w:rPr>
            </w:pPr>
            <w:r>
              <w:rPr>
                <w:sz w:val="24"/>
              </w:rPr>
              <w:t>1.009(</w:t>
            </w:r>
            <w:r>
              <w:rPr>
                <w:rFonts w:hint="eastAsia"/>
                <w:sz w:val="24"/>
              </w:rPr>
              <w:t>参考流量</w:t>
            </w:r>
            <w:r>
              <w:rPr>
                <w:sz w:val="24"/>
              </w:rPr>
              <w:t>)</w:t>
            </w:r>
          </w:p>
        </w:tc>
        <w:tc>
          <w:tcPr>
            <w:tcW w:w="2636" w:type="dxa"/>
          </w:tcPr>
          <w:p>
            <w:pPr>
              <w:spacing w:line="360" w:lineRule="auto"/>
              <w:jc w:val="center"/>
              <w:rPr>
                <w:sz w:val="24"/>
              </w:rPr>
            </w:pPr>
            <w:r>
              <w:rPr>
                <w:sz w:val="24"/>
              </w:rPr>
              <w:t>/</w:t>
            </w:r>
          </w:p>
        </w:tc>
      </w:tr>
      <w:tr>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75" w:type="dxa"/>
            <w:vAlign w:val="center"/>
          </w:tcPr>
          <w:p>
            <w:pPr>
              <w:spacing w:line="360" w:lineRule="auto"/>
              <w:jc w:val="center"/>
              <w:rPr>
                <w:sz w:val="24"/>
              </w:rPr>
            </w:pPr>
            <w:r>
              <w:rPr>
                <w:sz w:val="24"/>
              </w:rPr>
              <w:t>-5.01</w:t>
            </w:r>
          </w:p>
        </w:tc>
        <w:tc>
          <w:tcPr>
            <w:tcW w:w="2885" w:type="dxa"/>
            <w:vAlign w:val="center"/>
          </w:tcPr>
          <w:p>
            <w:pPr>
              <w:spacing w:line="360" w:lineRule="auto"/>
              <w:jc w:val="center"/>
              <w:rPr>
                <w:sz w:val="24"/>
              </w:rPr>
            </w:pPr>
            <w:r>
              <w:rPr>
                <w:sz w:val="24"/>
              </w:rPr>
              <w:t>0.986</w:t>
            </w:r>
          </w:p>
        </w:tc>
        <w:tc>
          <w:tcPr>
            <w:tcW w:w="2636" w:type="dxa"/>
          </w:tcPr>
          <w:p>
            <w:pPr>
              <w:spacing w:line="360" w:lineRule="auto"/>
              <w:jc w:val="center"/>
              <w:rPr>
                <w:sz w:val="24"/>
              </w:rPr>
            </w:pPr>
            <w:r>
              <w:rPr>
                <w:sz w:val="24"/>
              </w:rPr>
              <w:t>-2.3%</w:t>
            </w:r>
          </w:p>
        </w:tc>
      </w:tr>
      <w:tr>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75" w:type="dxa"/>
            <w:vAlign w:val="center"/>
          </w:tcPr>
          <w:p>
            <w:pPr>
              <w:spacing w:line="360" w:lineRule="auto"/>
              <w:jc w:val="center"/>
              <w:rPr>
                <w:sz w:val="24"/>
              </w:rPr>
            </w:pPr>
            <w:r>
              <w:rPr>
                <w:sz w:val="24"/>
              </w:rPr>
              <w:t>-10.00</w:t>
            </w:r>
          </w:p>
        </w:tc>
        <w:tc>
          <w:tcPr>
            <w:tcW w:w="2885" w:type="dxa"/>
            <w:vAlign w:val="center"/>
          </w:tcPr>
          <w:p>
            <w:pPr>
              <w:spacing w:line="360" w:lineRule="auto"/>
              <w:jc w:val="center"/>
              <w:rPr>
                <w:sz w:val="24"/>
              </w:rPr>
            </w:pPr>
            <w:r>
              <w:rPr>
                <w:rFonts w:hint="eastAsia"/>
                <w:sz w:val="24"/>
              </w:rPr>
              <w:t>0.964</w:t>
            </w:r>
          </w:p>
        </w:tc>
        <w:tc>
          <w:tcPr>
            <w:tcW w:w="2636" w:type="dxa"/>
          </w:tcPr>
          <w:p>
            <w:pPr>
              <w:spacing w:line="360" w:lineRule="auto"/>
              <w:jc w:val="center"/>
              <w:rPr>
                <w:sz w:val="24"/>
              </w:rPr>
            </w:pPr>
            <w:r>
              <w:rPr>
                <w:sz w:val="24"/>
              </w:rPr>
              <w:t>-4.5%</w:t>
            </w:r>
          </w:p>
        </w:tc>
      </w:tr>
    </w:tbl>
    <w:p>
      <w:pPr>
        <w:spacing w:line="360" w:lineRule="auto"/>
        <w:jc w:val="center"/>
        <w:rPr>
          <w:sz w:val="24"/>
        </w:rPr>
      </w:pPr>
      <w:r>
        <w:rPr>
          <w:sz w:val="24"/>
        </w:rPr>
        <w:t xml:space="preserve">表6  </w:t>
      </w:r>
      <w:r>
        <w:rPr>
          <w:rFonts w:hint="eastAsia"/>
          <w:sz w:val="24"/>
        </w:rPr>
        <w:t>流量计前压力</w:t>
      </w:r>
      <w:r>
        <w:rPr>
          <w:sz w:val="24"/>
        </w:rPr>
        <w:t>偏差对</w:t>
      </w:r>
      <w:r>
        <w:rPr>
          <w:rFonts w:hint="eastAsia"/>
          <w:sz w:val="24"/>
        </w:rPr>
        <w:t>流量</w:t>
      </w:r>
      <w:r>
        <w:rPr>
          <w:sz w:val="24"/>
        </w:rPr>
        <w:t>的影响</w:t>
      </w:r>
    </w:p>
    <w:tbl>
      <w:tblPr>
        <w:tblStyle w:val="15"/>
        <w:tblW w:w="0" w:type="auto"/>
        <w:jc w:val="center"/>
        <w:tblBorders>
          <w:top w:val="single" w:color="auto" w:sz="6" w:space="0"/>
          <w:left w:val="none" w:color="auto" w:sz="0" w:space="0"/>
          <w:bottom w:val="single" w:color="auto" w:sz="6"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775"/>
        <w:gridCol w:w="2885"/>
        <w:gridCol w:w="2636"/>
      </w:tblGrid>
      <w:tr>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75" w:type="dxa"/>
            <w:tcBorders>
              <w:top w:val="single" w:color="auto" w:sz="6" w:space="0"/>
              <w:bottom w:val="single" w:color="auto" w:sz="6" w:space="0"/>
            </w:tcBorders>
            <w:vAlign w:val="center"/>
          </w:tcPr>
          <w:p>
            <w:pPr>
              <w:spacing w:line="360" w:lineRule="auto"/>
              <w:jc w:val="center"/>
              <w:rPr>
                <w:sz w:val="24"/>
              </w:rPr>
            </w:pPr>
            <w:r>
              <w:rPr>
                <w:rFonts w:hint="eastAsia"/>
                <w:sz w:val="24"/>
              </w:rPr>
              <w:t>流量计前压力偏差(kPa)</w:t>
            </w:r>
          </w:p>
        </w:tc>
        <w:tc>
          <w:tcPr>
            <w:tcW w:w="2885" w:type="dxa"/>
            <w:tcBorders>
              <w:top w:val="single" w:color="auto" w:sz="6" w:space="0"/>
              <w:bottom w:val="single" w:color="auto" w:sz="6" w:space="0"/>
            </w:tcBorders>
            <w:vAlign w:val="center"/>
          </w:tcPr>
          <w:p>
            <w:pPr>
              <w:spacing w:line="360" w:lineRule="auto"/>
              <w:jc w:val="center"/>
              <w:rPr>
                <w:sz w:val="24"/>
              </w:rPr>
            </w:pPr>
            <w:r>
              <w:rPr>
                <w:rFonts w:hint="eastAsia"/>
                <w:sz w:val="24"/>
              </w:rPr>
              <w:t>实测</w:t>
            </w:r>
            <w:r>
              <w:rPr>
                <w:sz w:val="24"/>
              </w:rPr>
              <w:t>流量</w:t>
            </w:r>
            <w:r>
              <w:rPr>
                <w:rFonts w:hint="eastAsia"/>
                <w:sz w:val="24"/>
              </w:rPr>
              <w:t>(</w:t>
            </w:r>
            <w:r>
              <w:rPr>
                <w:sz w:val="24"/>
              </w:rPr>
              <w:t>L/min</w:t>
            </w:r>
            <w:r>
              <w:rPr>
                <w:rFonts w:hint="eastAsia"/>
                <w:sz w:val="24"/>
              </w:rPr>
              <w:t>)</w:t>
            </w:r>
          </w:p>
        </w:tc>
        <w:tc>
          <w:tcPr>
            <w:tcW w:w="2636" w:type="dxa"/>
            <w:tcBorders>
              <w:top w:val="single" w:color="auto" w:sz="6" w:space="0"/>
              <w:bottom w:val="single" w:color="auto" w:sz="6" w:space="0"/>
            </w:tcBorders>
          </w:tcPr>
          <w:p>
            <w:pPr>
              <w:spacing w:line="360" w:lineRule="auto"/>
              <w:jc w:val="center"/>
              <w:rPr>
                <w:sz w:val="24"/>
              </w:rPr>
            </w:pPr>
            <w:r>
              <w:rPr>
                <w:rFonts w:hint="eastAsia"/>
                <w:sz w:val="24"/>
              </w:rPr>
              <w:t>流量</w:t>
            </w:r>
            <w:r>
              <w:rPr>
                <w:sz w:val="24"/>
              </w:rPr>
              <w:t>偏差</w:t>
            </w:r>
          </w:p>
        </w:tc>
      </w:tr>
      <w:tr>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75" w:type="dxa"/>
            <w:tcBorders>
              <w:top w:val="single" w:color="auto" w:sz="6" w:space="0"/>
            </w:tcBorders>
            <w:vAlign w:val="center"/>
          </w:tcPr>
          <w:p>
            <w:pPr>
              <w:spacing w:line="360" w:lineRule="auto"/>
              <w:jc w:val="center"/>
              <w:rPr>
                <w:sz w:val="24"/>
              </w:rPr>
            </w:pPr>
            <w:r>
              <w:rPr>
                <w:rFonts w:hint="eastAsia"/>
                <w:sz w:val="24"/>
              </w:rPr>
              <w:t>14.3</w:t>
            </w:r>
          </w:p>
        </w:tc>
        <w:tc>
          <w:tcPr>
            <w:tcW w:w="2885" w:type="dxa"/>
            <w:tcBorders>
              <w:top w:val="single" w:color="auto" w:sz="6" w:space="0"/>
            </w:tcBorders>
            <w:vAlign w:val="center"/>
          </w:tcPr>
          <w:p>
            <w:pPr>
              <w:spacing w:line="360" w:lineRule="auto"/>
              <w:jc w:val="center"/>
              <w:rPr>
                <w:sz w:val="24"/>
              </w:rPr>
            </w:pPr>
            <w:r>
              <w:rPr>
                <w:rFonts w:hint="eastAsia"/>
                <w:sz w:val="24"/>
              </w:rPr>
              <w:t>0.940</w:t>
            </w:r>
          </w:p>
        </w:tc>
        <w:tc>
          <w:tcPr>
            <w:tcW w:w="2636" w:type="dxa"/>
            <w:tcBorders>
              <w:top w:val="single" w:color="auto" w:sz="6" w:space="0"/>
            </w:tcBorders>
          </w:tcPr>
          <w:p>
            <w:pPr>
              <w:spacing w:line="360" w:lineRule="auto"/>
              <w:jc w:val="center"/>
              <w:rPr>
                <w:sz w:val="24"/>
              </w:rPr>
            </w:pPr>
            <w:r>
              <w:rPr>
                <w:rFonts w:hint="eastAsia"/>
                <w:sz w:val="24"/>
              </w:rPr>
              <w:t>-6.6</w:t>
            </w:r>
            <w:r>
              <w:rPr>
                <w:sz w:val="24"/>
              </w:rPr>
              <w:t>%</w:t>
            </w:r>
          </w:p>
        </w:tc>
      </w:tr>
      <w:tr>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75" w:type="dxa"/>
            <w:vAlign w:val="center"/>
          </w:tcPr>
          <w:p>
            <w:pPr>
              <w:spacing w:line="360" w:lineRule="auto"/>
              <w:jc w:val="center"/>
              <w:rPr>
                <w:sz w:val="24"/>
              </w:rPr>
            </w:pPr>
            <w:r>
              <w:rPr>
                <w:sz w:val="24"/>
              </w:rPr>
              <w:t>9.3</w:t>
            </w:r>
          </w:p>
        </w:tc>
        <w:tc>
          <w:tcPr>
            <w:tcW w:w="2885" w:type="dxa"/>
            <w:vAlign w:val="center"/>
          </w:tcPr>
          <w:p>
            <w:pPr>
              <w:spacing w:line="360" w:lineRule="auto"/>
              <w:jc w:val="center"/>
              <w:rPr>
                <w:sz w:val="24"/>
              </w:rPr>
            </w:pPr>
            <w:r>
              <w:rPr>
                <w:sz w:val="24"/>
              </w:rPr>
              <w:t>0.961</w:t>
            </w:r>
          </w:p>
        </w:tc>
        <w:tc>
          <w:tcPr>
            <w:tcW w:w="2636" w:type="dxa"/>
          </w:tcPr>
          <w:p>
            <w:pPr>
              <w:spacing w:line="360" w:lineRule="auto"/>
              <w:jc w:val="center"/>
              <w:rPr>
                <w:sz w:val="24"/>
              </w:rPr>
            </w:pPr>
            <w:r>
              <w:rPr>
                <w:sz w:val="24"/>
              </w:rPr>
              <w:t>-4.5%</w:t>
            </w:r>
          </w:p>
        </w:tc>
      </w:tr>
      <w:tr>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75" w:type="dxa"/>
            <w:vAlign w:val="center"/>
          </w:tcPr>
          <w:p>
            <w:pPr>
              <w:spacing w:line="360" w:lineRule="auto"/>
              <w:jc w:val="center"/>
              <w:rPr>
                <w:sz w:val="24"/>
              </w:rPr>
            </w:pPr>
            <w:r>
              <w:rPr>
                <w:sz w:val="24"/>
              </w:rPr>
              <w:t>4.3</w:t>
            </w:r>
          </w:p>
        </w:tc>
        <w:tc>
          <w:tcPr>
            <w:tcW w:w="2885" w:type="dxa"/>
            <w:vAlign w:val="center"/>
          </w:tcPr>
          <w:p>
            <w:pPr>
              <w:spacing w:line="360" w:lineRule="auto"/>
              <w:jc w:val="center"/>
              <w:rPr>
                <w:sz w:val="24"/>
              </w:rPr>
            </w:pPr>
            <w:r>
              <w:rPr>
                <w:sz w:val="24"/>
              </w:rPr>
              <w:t>0.983</w:t>
            </w:r>
          </w:p>
        </w:tc>
        <w:tc>
          <w:tcPr>
            <w:tcW w:w="2636" w:type="dxa"/>
          </w:tcPr>
          <w:p>
            <w:pPr>
              <w:spacing w:line="360" w:lineRule="auto"/>
              <w:jc w:val="center"/>
              <w:rPr>
                <w:sz w:val="24"/>
              </w:rPr>
            </w:pPr>
            <w:r>
              <w:rPr>
                <w:sz w:val="24"/>
              </w:rPr>
              <w:t>-2.3%</w:t>
            </w:r>
          </w:p>
        </w:tc>
      </w:tr>
      <w:tr>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75" w:type="dxa"/>
            <w:vAlign w:val="center"/>
          </w:tcPr>
          <w:p>
            <w:pPr>
              <w:spacing w:line="360" w:lineRule="auto"/>
              <w:jc w:val="center"/>
              <w:rPr>
                <w:sz w:val="24"/>
              </w:rPr>
            </w:pPr>
            <w:r>
              <w:rPr>
                <w:sz w:val="24"/>
              </w:rPr>
              <w:t>0.0</w:t>
            </w:r>
          </w:p>
        </w:tc>
        <w:tc>
          <w:tcPr>
            <w:tcW w:w="2885" w:type="dxa"/>
            <w:vAlign w:val="center"/>
          </w:tcPr>
          <w:p>
            <w:pPr>
              <w:spacing w:line="360" w:lineRule="auto"/>
              <w:jc w:val="center"/>
              <w:rPr>
                <w:sz w:val="24"/>
              </w:rPr>
            </w:pPr>
            <w:r>
              <w:rPr>
                <w:sz w:val="24"/>
              </w:rPr>
              <w:t>1.006(</w:t>
            </w:r>
            <w:r>
              <w:rPr>
                <w:rFonts w:hint="eastAsia"/>
                <w:sz w:val="24"/>
              </w:rPr>
              <w:t>参考流量</w:t>
            </w:r>
            <w:r>
              <w:rPr>
                <w:sz w:val="24"/>
              </w:rPr>
              <w:t>)</w:t>
            </w:r>
          </w:p>
        </w:tc>
        <w:tc>
          <w:tcPr>
            <w:tcW w:w="2636" w:type="dxa"/>
          </w:tcPr>
          <w:p>
            <w:pPr>
              <w:spacing w:line="360" w:lineRule="auto"/>
              <w:jc w:val="center"/>
              <w:rPr>
                <w:sz w:val="24"/>
              </w:rPr>
            </w:pPr>
            <w:r>
              <w:rPr>
                <w:sz w:val="24"/>
              </w:rPr>
              <w:t>/</w:t>
            </w:r>
          </w:p>
        </w:tc>
      </w:tr>
      <w:tr>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75" w:type="dxa"/>
            <w:vAlign w:val="center"/>
          </w:tcPr>
          <w:p>
            <w:pPr>
              <w:spacing w:line="360" w:lineRule="auto"/>
              <w:jc w:val="center"/>
              <w:rPr>
                <w:sz w:val="24"/>
              </w:rPr>
            </w:pPr>
            <w:r>
              <w:rPr>
                <w:sz w:val="24"/>
              </w:rPr>
              <w:t>-6.6</w:t>
            </w:r>
          </w:p>
        </w:tc>
        <w:tc>
          <w:tcPr>
            <w:tcW w:w="2885" w:type="dxa"/>
            <w:vAlign w:val="center"/>
          </w:tcPr>
          <w:p>
            <w:pPr>
              <w:spacing w:line="360" w:lineRule="auto"/>
              <w:jc w:val="center"/>
              <w:rPr>
                <w:sz w:val="24"/>
              </w:rPr>
            </w:pPr>
            <w:r>
              <w:rPr>
                <w:sz w:val="24"/>
              </w:rPr>
              <w:t>1.040</w:t>
            </w:r>
          </w:p>
        </w:tc>
        <w:tc>
          <w:tcPr>
            <w:tcW w:w="2636" w:type="dxa"/>
          </w:tcPr>
          <w:p>
            <w:pPr>
              <w:spacing w:line="360" w:lineRule="auto"/>
              <w:jc w:val="center"/>
              <w:rPr>
                <w:sz w:val="24"/>
              </w:rPr>
            </w:pPr>
            <w:r>
              <w:rPr>
                <w:sz w:val="24"/>
              </w:rPr>
              <w:t>3.4%</w:t>
            </w:r>
          </w:p>
        </w:tc>
      </w:tr>
      <w:tr>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75" w:type="dxa"/>
            <w:vAlign w:val="center"/>
          </w:tcPr>
          <w:p>
            <w:pPr>
              <w:spacing w:line="360" w:lineRule="auto"/>
              <w:jc w:val="center"/>
              <w:rPr>
                <w:sz w:val="24"/>
              </w:rPr>
            </w:pPr>
            <w:r>
              <w:rPr>
                <w:rFonts w:hint="eastAsia"/>
                <w:sz w:val="24"/>
              </w:rPr>
              <w:t>-11.6</w:t>
            </w:r>
          </w:p>
        </w:tc>
        <w:tc>
          <w:tcPr>
            <w:tcW w:w="2885" w:type="dxa"/>
            <w:vAlign w:val="center"/>
          </w:tcPr>
          <w:p>
            <w:pPr>
              <w:spacing w:line="360" w:lineRule="auto"/>
              <w:jc w:val="center"/>
              <w:rPr>
                <w:sz w:val="24"/>
              </w:rPr>
            </w:pPr>
            <w:r>
              <w:rPr>
                <w:rFonts w:hint="eastAsia"/>
                <w:sz w:val="24"/>
              </w:rPr>
              <w:t>1.067</w:t>
            </w:r>
          </w:p>
        </w:tc>
        <w:tc>
          <w:tcPr>
            <w:tcW w:w="2636" w:type="dxa"/>
          </w:tcPr>
          <w:p>
            <w:pPr>
              <w:spacing w:line="360" w:lineRule="auto"/>
              <w:jc w:val="center"/>
              <w:rPr>
                <w:sz w:val="24"/>
              </w:rPr>
            </w:pPr>
            <w:r>
              <w:rPr>
                <w:rFonts w:hint="eastAsia"/>
                <w:sz w:val="24"/>
              </w:rPr>
              <w:t>6.1</w:t>
            </w:r>
            <w:r>
              <w:rPr>
                <w:sz w:val="24"/>
              </w:rPr>
              <w:t>%</w:t>
            </w:r>
          </w:p>
        </w:tc>
      </w:tr>
    </w:tbl>
    <w:p>
      <w:pPr>
        <w:tabs>
          <w:tab w:val="left" w:pos="3402"/>
          <w:tab w:val="left" w:pos="8505"/>
        </w:tabs>
        <w:adjustRightInd w:val="0"/>
        <w:snapToGrid w:val="0"/>
        <w:spacing w:line="360" w:lineRule="auto"/>
        <w:ind w:firstLine="560" w:firstLineChars="200"/>
        <w:rPr>
          <w:rFonts w:ascii="宋体" w:hAnsi="宋体" w:eastAsia="MS Mincho" w:cs="宋体"/>
          <w:szCs w:val="28"/>
          <w:lang w:eastAsia="ja-JP"/>
        </w:rPr>
      </w:pPr>
      <w:r>
        <w:rPr>
          <w:rFonts w:hint="eastAsia" w:hAnsi="宋体"/>
          <w:szCs w:val="28"/>
        </w:rPr>
        <w:t>根据实验</w:t>
      </w:r>
      <w:r>
        <w:rPr>
          <w:szCs w:val="28"/>
        </w:rPr>
        <w:t xml:space="preserve">数据，环境温度和流量计前温度偏差在±25 </w:t>
      </w:r>
      <w:r>
        <w:rPr>
          <w:rFonts w:hint="eastAsia" w:ascii="宋体" w:hAnsi="宋体" w:cs="宋体"/>
          <w:szCs w:val="28"/>
          <w:lang w:eastAsia="ja-JP"/>
        </w:rPr>
        <w:t>℃</w:t>
      </w:r>
      <w:r>
        <w:rPr>
          <w:szCs w:val="28"/>
          <w:lang w:eastAsia="ja-JP"/>
        </w:rPr>
        <w:t>左右时</w:t>
      </w:r>
      <w:r>
        <w:rPr>
          <w:szCs w:val="28"/>
        </w:rPr>
        <w:t>，流量</w:t>
      </w:r>
      <w:r>
        <w:rPr>
          <w:rFonts w:hint="eastAsia"/>
          <w:szCs w:val="28"/>
        </w:rPr>
        <w:t>偏差</w:t>
      </w:r>
      <w:r>
        <w:rPr>
          <w:szCs w:val="28"/>
        </w:rPr>
        <w:t>在±5%左右；大气压和流量计前压力偏差在±10 kPa</w:t>
      </w:r>
      <w:r>
        <w:rPr>
          <w:szCs w:val="28"/>
          <w:lang w:eastAsia="ja-JP"/>
        </w:rPr>
        <w:t>左右时</w:t>
      </w:r>
      <w:r>
        <w:rPr>
          <w:szCs w:val="28"/>
        </w:rPr>
        <w:t>，流量</w:t>
      </w:r>
      <w:r>
        <w:rPr>
          <w:rFonts w:hint="eastAsia"/>
          <w:szCs w:val="28"/>
        </w:rPr>
        <w:t>偏差</w:t>
      </w:r>
      <w:r>
        <w:rPr>
          <w:szCs w:val="28"/>
        </w:rPr>
        <w:t xml:space="preserve">在±5%左右。将环境温度和流量计前温度最大允许误差定为±3 </w:t>
      </w:r>
      <w:r>
        <w:rPr>
          <w:rFonts w:hint="eastAsia" w:ascii="宋体" w:hAnsi="宋体" w:cs="宋体"/>
          <w:szCs w:val="28"/>
          <w:lang w:eastAsia="ja-JP"/>
        </w:rPr>
        <w:t>℃</w:t>
      </w:r>
      <w:r>
        <w:rPr>
          <w:szCs w:val="28"/>
          <w:lang w:eastAsia="ja-JP"/>
        </w:rPr>
        <w:t>，大气压和流量计前压力</w:t>
      </w:r>
      <w:r>
        <w:rPr>
          <w:szCs w:val="28"/>
        </w:rPr>
        <w:t>最大允许误差定为±1 kPa</w:t>
      </w:r>
      <w:r>
        <w:rPr>
          <w:rFonts w:hint="eastAsia"/>
          <w:szCs w:val="28"/>
        </w:rPr>
        <w:t>，既可以</w:t>
      </w:r>
      <w:r>
        <w:rPr>
          <w:szCs w:val="28"/>
        </w:rPr>
        <w:t>使流量</w:t>
      </w:r>
      <w:r>
        <w:rPr>
          <w:rFonts w:hint="eastAsia"/>
          <w:szCs w:val="28"/>
        </w:rPr>
        <w:t>不会</w:t>
      </w:r>
      <w:r>
        <w:rPr>
          <w:szCs w:val="28"/>
        </w:rPr>
        <w:t>偏差太大，又可以选择更多的</w:t>
      </w:r>
      <w:r>
        <w:rPr>
          <w:rFonts w:hint="eastAsia"/>
          <w:szCs w:val="28"/>
        </w:rPr>
        <w:t>计量</w:t>
      </w:r>
      <w:r>
        <w:rPr>
          <w:szCs w:val="28"/>
        </w:rPr>
        <w:t>标准器具</w:t>
      </w:r>
      <w:r>
        <w:rPr>
          <w:rFonts w:hint="eastAsia"/>
          <w:szCs w:val="28"/>
        </w:rPr>
        <w:t>。</w:t>
      </w:r>
    </w:p>
    <w:p>
      <w:pPr>
        <w:tabs>
          <w:tab w:val="left" w:pos="3402"/>
          <w:tab w:val="left" w:pos="8505"/>
        </w:tabs>
        <w:adjustRightInd w:val="0"/>
        <w:snapToGrid w:val="0"/>
        <w:spacing w:line="360" w:lineRule="auto"/>
        <w:ind w:firstLine="560" w:firstLineChars="200"/>
        <w:rPr>
          <w:szCs w:val="28"/>
        </w:rPr>
      </w:pPr>
      <w:r>
        <w:rPr>
          <w:rFonts w:hint="eastAsia"/>
          <w:szCs w:val="28"/>
        </w:rPr>
        <w:t>当</w:t>
      </w:r>
      <w:r>
        <w:rPr>
          <w:szCs w:val="28"/>
        </w:rPr>
        <w:t>仪器不能</w:t>
      </w:r>
      <w:r>
        <w:rPr>
          <w:rFonts w:hint="eastAsia"/>
          <w:szCs w:val="28"/>
        </w:rPr>
        <w:t>测量</w:t>
      </w:r>
      <w:r>
        <w:rPr>
          <w:szCs w:val="28"/>
        </w:rPr>
        <w:t>并显示</w:t>
      </w:r>
      <w:r>
        <w:rPr>
          <w:rFonts w:hint="eastAsia"/>
          <w:szCs w:val="28"/>
        </w:rPr>
        <w:t>环境温度</w:t>
      </w:r>
      <w:r>
        <w:rPr>
          <w:szCs w:val="28"/>
        </w:rPr>
        <w:t>和大气压</w:t>
      </w:r>
      <w:r>
        <w:rPr>
          <w:rFonts w:hint="eastAsia"/>
          <w:szCs w:val="28"/>
        </w:rPr>
        <w:t>时</w:t>
      </w:r>
      <w:r>
        <w:rPr>
          <w:szCs w:val="28"/>
        </w:rPr>
        <w:t>，需注意是否需要手动输入该参数</w:t>
      </w:r>
      <w:r>
        <w:rPr>
          <w:rFonts w:hint="eastAsia"/>
          <w:szCs w:val="28"/>
        </w:rPr>
        <w:t>。</w:t>
      </w:r>
    </w:p>
    <w:p>
      <w:pPr>
        <w:tabs>
          <w:tab w:val="left" w:pos="3402"/>
          <w:tab w:val="left" w:pos="8505"/>
        </w:tabs>
        <w:adjustRightInd w:val="0"/>
        <w:snapToGrid w:val="0"/>
        <w:spacing w:line="360" w:lineRule="auto"/>
        <w:ind w:firstLine="560" w:firstLineChars="200"/>
        <w:rPr>
          <w:rFonts w:ascii="宋体" w:hAnsi="宋体" w:cs="宋体"/>
          <w:szCs w:val="28"/>
        </w:rPr>
      </w:pPr>
      <w:r>
        <w:rPr>
          <w:rFonts w:hint="eastAsia"/>
          <w:szCs w:val="28"/>
        </w:rPr>
        <w:t>流量计前压力的</w:t>
      </w:r>
      <w:r>
        <w:rPr>
          <w:szCs w:val="28"/>
        </w:rPr>
        <w:t>检定方法参考JJG 1169-2019</w:t>
      </w:r>
      <w:r>
        <w:rPr>
          <w:rFonts w:hint="eastAsia"/>
          <w:szCs w:val="28"/>
        </w:rPr>
        <w:t>《烟气采样器》。</w:t>
      </w:r>
    </w:p>
    <w:p>
      <w:pPr>
        <w:tabs>
          <w:tab w:val="left" w:pos="3402"/>
          <w:tab w:val="left" w:pos="8505"/>
        </w:tabs>
        <w:adjustRightInd w:val="0"/>
        <w:snapToGrid w:val="0"/>
        <w:spacing w:line="360" w:lineRule="auto"/>
        <w:rPr>
          <w:rFonts w:hAnsi="宋体"/>
          <w:szCs w:val="28"/>
        </w:rPr>
      </w:pPr>
      <w:r>
        <w:rPr>
          <w:rFonts w:hAnsi="宋体"/>
          <w:szCs w:val="28"/>
        </w:rPr>
        <w:t>6</w:t>
      </w:r>
      <w:r>
        <w:rPr>
          <w:rFonts w:hint="eastAsia" w:hAnsi="宋体"/>
          <w:szCs w:val="28"/>
        </w:rPr>
        <w:t>、计时误差计量性能的变化</w:t>
      </w:r>
    </w:p>
    <w:p>
      <w:pPr>
        <w:tabs>
          <w:tab w:val="left" w:pos="3402"/>
          <w:tab w:val="left" w:pos="8505"/>
        </w:tabs>
        <w:adjustRightInd w:val="0"/>
        <w:snapToGrid w:val="0"/>
        <w:spacing w:line="360" w:lineRule="auto"/>
        <w:ind w:firstLine="560" w:firstLineChars="200"/>
        <w:rPr>
          <w:rFonts w:hAnsi="宋体"/>
          <w:szCs w:val="28"/>
        </w:rPr>
      </w:pPr>
      <w:r>
        <w:rPr>
          <w:szCs w:val="28"/>
        </w:rPr>
        <w:t>HJ/T 375-2007</w:t>
      </w:r>
      <w:r>
        <w:rPr>
          <w:rFonts w:hint="eastAsia" w:hAnsi="宋体"/>
          <w:szCs w:val="28"/>
        </w:rPr>
        <w:t>《环境空气采样器技术要求及检测方法》及</w:t>
      </w:r>
      <w:r>
        <w:rPr>
          <w:szCs w:val="28"/>
        </w:rPr>
        <w:t>HJ/T 376-2007</w:t>
      </w:r>
      <w:r>
        <w:rPr>
          <w:rFonts w:hint="eastAsia" w:hAnsi="宋体"/>
          <w:szCs w:val="28"/>
        </w:rPr>
        <w:t>《24小时</w:t>
      </w:r>
      <w:r>
        <w:rPr>
          <w:rFonts w:hAnsi="宋体"/>
          <w:szCs w:val="28"/>
        </w:rPr>
        <w:t>恒温自动</w:t>
      </w:r>
      <w:r>
        <w:rPr>
          <w:rFonts w:hint="eastAsia" w:hAnsi="宋体"/>
          <w:szCs w:val="28"/>
        </w:rPr>
        <w:t>连续环境空气采样器技术要求及检测方法》中的计时误差均</w:t>
      </w:r>
      <w:r>
        <w:rPr>
          <w:rFonts w:hAnsi="宋体"/>
          <w:szCs w:val="28"/>
        </w:rPr>
        <w:t>要求不超过</w:t>
      </w:r>
      <w:r>
        <w:rPr>
          <w:rFonts w:hint="eastAsia" w:hAnsi="宋体"/>
          <w:szCs w:val="28"/>
        </w:rPr>
        <w:t>±</w:t>
      </w:r>
      <w:r>
        <w:rPr>
          <w:rFonts w:hAnsi="宋体"/>
          <w:szCs w:val="28"/>
        </w:rPr>
        <w:t>0.1%</w:t>
      </w:r>
      <w:r>
        <w:rPr>
          <w:rFonts w:hint="eastAsia" w:hAnsi="宋体"/>
          <w:szCs w:val="28"/>
        </w:rPr>
        <w:t>，电子秒表1</w:t>
      </w:r>
      <w:r>
        <w:rPr>
          <w:rFonts w:hAnsi="宋体"/>
          <w:szCs w:val="28"/>
        </w:rPr>
        <w:t xml:space="preserve"> h最大</w:t>
      </w:r>
      <w:r>
        <w:rPr>
          <w:rFonts w:hint="eastAsia" w:hAnsi="宋体"/>
          <w:szCs w:val="28"/>
        </w:rPr>
        <w:t>允许</w:t>
      </w:r>
      <w:r>
        <w:rPr>
          <w:rFonts w:hAnsi="宋体"/>
          <w:szCs w:val="28"/>
        </w:rPr>
        <w:t>误差为</w:t>
      </w:r>
      <w:r>
        <w:rPr>
          <w:rFonts w:hint="eastAsia" w:hAnsi="宋体"/>
          <w:szCs w:val="28"/>
        </w:rPr>
        <w:t>±0.10</w:t>
      </w:r>
      <w:r>
        <w:rPr>
          <w:rFonts w:hAnsi="宋体"/>
          <w:szCs w:val="28"/>
        </w:rPr>
        <w:t xml:space="preserve"> s，</w:t>
      </w:r>
      <w:r>
        <w:rPr>
          <w:rFonts w:hint="eastAsia" w:hAnsi="宋体"/>
          <w:szCs w:val="28"/>
        </w:rPr>
        <w:t>即±0.0028</w:t>
      </w:r>
      <w:r>
        <w:rPr>
          <w:rFonts w:hAnsi="宋体"/>
          <w:szCs w:val="28"/>
        </w:rPr>
        <w:t>%</w:t>
      </w:r>
      <w:r>
        <w:rPr>
          <w:rFonts w:hint="eastAsia" w:hAnsi="宋体"/>
          <w:szCs w:val="28"/>
        </w:rPr>
        <w:t>，</w:t>
      </w:r>
      <w:r>
        <w:rPr>
          <w:rFonts w:hAnsi="宋体"/>
          <w:szCs w:val="28"/>
        </w:rPr>
        <w:t>完全可以满足溯源要求</w:t>
      </w:r>
      <w:r>
        <w:rPr>
          <w:rFonts w:hint="eastAsia" w:hAnsi="宋体"/>
          <w:szCs w:val="28"/>
        </w:rPr>
        <w:t>，所以将计量性能中计时误差±</w:t>
      </w:r>
      <w:r>
        <w:rPr>
          <w:rFonts w:hAnsi="宋体"/>
          <w:szCs w:val="28"/>
        </w:rPr>
        <w:t>0.2%</w:t>
      </w:r>
      <w:r>
        <w:rPr>
          <w:rFonts w:hint="eastAsia" w:hAnsi="宋体"/>
          <w:szCs w:val="28"/>
        </w:rPr>
        <w:t>改为±</w:t>
      </w:r>
      <w:r>
        <w:rPr>
          <w:rFonts w:hAnsi="宋体"/>
          <w:szCs w:val="28"/>
        </w:rPr>
        <w:t>0.1%</w:t>
      </w:r>
      <w:r>
        <w:rPr>
          <w:rFonts w:hint="eastAsia" w:hAnsi="宋体"/>
          <w:szCs w:val="28"/>
        </w:rPr>
        <w:t>。经过实验验证，所有采样器都能满足要求。</w:t>
      </w:r>
    </w:p>
    <w:p>
      <w:pPr>
        <w:tabs>
          <w:tab w:val="left" w:pos="3402"/>
          <w:tab w:val="left" w:pos="8505"/>
        </w:tabs>
        <w:adjustRightInd w:val="0"/>
        <w:snapToGrid w:val="0"/>
        <w:spacing w:line="360" w:lineRule="auto"/>
        <w:rPr>
          <w:rFonts w:hAnsi="宋体"/>
          <w:szCs w:val="28"/>
        </w:rPr>
      </w:pPr>
      <w:r>
        <w:rPr>
          <w:rFonts w:hAnsi="宋体"/>
          <w:szCs w:val="28"/>
        </w:rPr>
        <w:t>7</w:t>
      </w:r>
      <w:r>
        <w:rPr>
          <w:rFonts w:hint="eastAsia" w:hAnsi="宋体"/>
          <w:szCs w:val="28"/>
        </w:rPr>
        <w:t>、仪器结构图的变化</w:t>
      </w:r>
    </w:p>
    <w:p>
      <w:pPr>
        <w:adjustRightInd w:val="0"/>
        <w:snapToGrid w:val="0"/>
        <w:spacing w:line="360" w:lineRule="auto"/>
        <w:ind w:firstLine="560" w:firstLineChars="200"/>
        <w:rPr>
          <w:rFonts w:hAnsi="宋体"/>
          <w:color w:val="000000"/>
          <w:szCs w:val="28"/>
        </w:rPr>
      </w:pPr>
      <w:r>
        <w:rPr>
          <w:rFonts w:hint="eastAsia" w:hAnsi="宋体"/>
          <w:color w:val="000000"/>
          <w:szCs w:val="28"/>
        </w:rPr>
        <w:t>数显式</w:t>
      </w:r>
      <w:r>
        <w:rPr>
          <w:rFonts w:hAnsi="宋体"/>
          <w:color w:val="000000"/>
          <w:szCs w:val="28"/>
        </w:rPr>
        <w:t>仪器</w:t>
      </w:r>
      <w:r>
        <w:rPr>
          <w:rFonts w:hint="eastAsia" w:hAnsi="宋体"/>
          <w:color w:val="000000"/>
          <w:szCs w:val="28"/>
        </w:rPr>
        <w:t>与指示式</w:t>
      </w:r>
      <w:r>
        <w:rPr>
          <w:rFonts w:hAnsi="宋体"/>
          <w:color w:val="000000"/>
          <w:szCs w:val="28"/>
        </w:rPr>
        <w:t>仪器</w:t>
      </w:r>
      <w:r>
        <w:rPr>
          <w:rFonts w:hint="eastAsia" w:hAnsi="宋体"/>
          <w:color w:val="000000"/>
          <w:szCs w:val="28"/>
        </w:rPr>
        <w:t>的原理的不同。转子流量计是通过旋转针型阀来控制流量大小的，一般不会控制采样泵的转速，仪器启动后，采样泵会一直以额定功率运转。而差压式流量计和</w:t>
      </w:r>
      <w:r>
        <w:rPr>
          <w:rFonts w:hAnsi="宋体"/>
          <w:color w:val="000000"/>
          <w:szCs w:val="28"/>
        </w:rPr>
        <w:t>质量流量计</w:t>
      </w:r>
      <w:r>
        <w:rPr>
          <w:rFonts w:hint="eastAsia" w:hAnsi="宋体"/>
          <w:color w:val="000000"/>
          <w:szCs w:val="28"/>
        </w:rPr>
        <w:t>会根据设置流量、电子流量计的差压、流量计前压力以及环境参数等控制采样泵的转速，通过控制采样泵功率的大小来控制流量的大小。所以，图中增加了流量测量装置等对抽气动力系统的影响。</w:t>
      </w:r>
    </w:p>
    <w:p>
      <w:pPr>
        <w:adjustRightInd w:val="0"/>
        <w:snapToGrid w:val="0"/>
        <w:spacing w:line="360" w:lineRule="auto"/>
        <w:rPr>
          <w:rFonts w:hAnsi="宋体"/>
          <w:color w:val="000000"/>
          <w:szCs w:val="28"/>
        </w:rPr>
      </w:pPr>
      <w:r>
        <w:rPr>
          <w:rFonts w:hint="eastAsia" w:hAnsi="宋体"/>
          <w:color w:val="000000"/>
          <w:szCs w:val="28"/>
        </w:rPr>
        <w:t>8、</w:t>
      </w:r>
      <w:r>
        <w:rPr>
          <w:rFonts w:hAnsi="宋体"/>
          <w:color w:val="000000"/>
          <w:szCs w:val="28"/>
        </w:rPr>
        <w:t>删除</w:t>
      </w:r>
      <w:r>
        <w:rPr>
          <w:rFonts w:hint="eastAsia" w:hAnsi="宋体"/>
          <w:color w:val="000000"/>
          <w:szCs w:val="28"/>
        </w:rPr>
        <w:t>转子</w:t>
      </w:r>
      <w:r>
        <w:rPr>
          <w:rFonts w:hAnsi="宋体"/>
          <w:color w:val="000000"/>
          <w:szCs w:val="28"/>
        </w:rPr>
        <w:t>流量计</w:t>
      </w:r>
      <w:r>
        <w:rPr>
          <w:rFonts w:hint="eastAsia" w:hAnsi="宋体"/>
          <w:color w:val="000000"/>
          <w:szCs w:val="28"/>
        </w:rPr>
        <w:t>空载</w:t>
      </w:r>
      <w:r>
        <w:rPr>
          <w:rFonts w:hAnsi="宋体"/>
          <w:color w:val="000000"/>
          <w:szCs w:val="28"/>
        </w:rPr>
        <w:t>状态下</w:t>
      </w:r>
      <w:r>
        <w:rPr>
          <w:rFonts w:hint="eastAsia" w:hAnsi="宋体"/>
          <w:color w:val="000000"/>
          <w:szCs w:val="28"/>
        </w:rPr>
        <w:t>的流量</w:t>
      </w:r>
      <w:r>
        <w:rPr>
          <w:rFonts w:hAnsi="宋体"/>
          <w:color w:val="000000"/>
          <w:szCs w:val="28"/>
        </w:rPr>
        <w:t>换算公式</w:t>
      </w:r>
    </w:p>
    <w:p>
      <w:pPr>
        <w:adjustRightInd w:val="0"/>
        <w:snapToGrid w:val="0"/>
        <w:spacing w:line="360" w:lineRule="auto"/>
        <w:ind w:firstLine="560" w:firstLineChars="200"/>
        <w:rPr>
          <w:szCs w:val="28"/>
        </w:rPr>
      </w:pPr>
      <w:r>
        <w:rPr>
          <w:rFonts w:hint="eastAsia" w:hAnsi="宋体"/>
          <w:color w:val="000000"/>
          <w:szCs w:val="28"/>
        </w:rPr>
        <w:t>当转子</w:t>
      </w:r>
      <w:r>
        <w:rPr>
          <w:rFonts w:hAnsi="宋体"/>
          <w:color w:val="000000"/>
          <w:szCs w:val="28"/>
        </w:rPr>
        <w:t>流量计</w:t>
      </w:r>
      <w:r>
        <w:rPr>
          <w:rFonts w:hint="eastAsia" w:hAnsi="宋体"/>
          <w:color w:val="000000"/>
          <w:szCs w:val="28"/>
        </w:rPr>
        <w:t>负载</w:t>
      </w:r>
      <w:r>
        <w:rPr>
          <w:rFonts w:hAnsi="宋体"/>
          <w:color w:val="000000"/>
          <w:szCs w:val="28"/>
        </w:rPr>
        <w:t>状态下</w:t>
      </w:r>
      <w:r>
        <w:rPr>
          <w:rFonts w:hint="eastAsia" w:hAnsi="宋体"/>
          <w:color w:val="000000"/>
          <w:szCs w:val="28"/>
        </w:rPr>
        <w:t>流量</w:t>
      </w:r>
      <w:r>
        <w:rPr>
          <w:rFonts w:hAnsi="宋体"/>
          <w:color w:val="000000"/>
          <w:szCs w:val="28"/>
        </w:rPr>
        <w:t>换算公式</w:t>
      </w:r>
      <w:r>
        <w:rPr>
          <w:rFonts w:hint="eastAsia" w:hAnsi="宋体"/>
          <w:color w:val="000000"/>
          <w:szCs w:val="28"/>
        </w:rPr>
        <w:t>中</w:t>
      </w:r>
      <w:r>
        <w:rPr>
          <w:rFonts w:hAnsi="宋体"/>
          <w:color w:val="000000"/>
          <w:szCs w:val="28"/>
        </w:rPr>
        <w:t>负载</w:t>
      </w:r>
      <w:r>
        <w:rPr>
          <w:rFonts w:hAnsi="宋体"/>
          <w:i/>
          <w:color w:val="000000"/>
          <w:szCs w:val="28"/>
        </w:rPr>
        <w:t>p</w:t>
      </w:r>
      <w:r>
        <w:rPr>
          <w:rFonts w:hAnsi="宋体"/>
          <w:i/>
          <w:color w:val="000000"/>
          <w:szCs w:val="28"/>
          <w:vertAlign w:val="subscript"/>
        </w:rPr>
        <w:t>f</w:t>
      </w:r>
      <w:r>
        <w:rPr>
          <w:rFonts w:hAnsi="宋体"/>
          <w:color w:val="000000"/>
          <w:szCs w:val="28"/>
        </w:rPr>
        <w:t xml:space="preserve"> </w:t>
      </w:r>
      <w:r>
        <w:rPr>
          <w:rFonts w:hint="eastAsia" w:hAnsi="宋体"/>
          <w:color w:val="000000"/>
          <w:szCs w:val="28"/>
        </w:rPr>
        <w:t>=0时，</w:t>
      </w:r>
      <w:r>
        <w:rPr>
          <w:rFonts w:hAnsi="宋体"/>
          <w:color w:val="000000"/>
          <w:szCs w:val="28"/>
        </w:rPr>
        <w:t>即为</w:t>
      </w:r>
      <w:r>
        <w:rPr>
          <w:rFonts w:hint="eastAsia" w:hAnsi="宋体"/>
          <w:color w:val="000000"/>
          <w:szCs w:val="28"/>
        </w:rPr>
        <w:t>空载</w:t>
      </w:r>
      <w:r>
        <w:rPr>
          <w:rFonts w:hAnsi="宋体"/>
          <w:color w:val="000000"/>
          <w:szCs w:val="28"/>
        </w:rPr>
        <w:t>状态下</w:t>
      </w:r>
      <w:r>
        <w:rPr>
          <w:rFonts w:hint="eastAsia" w:hAnsi="宋体"/>
          <w:color w:val="000000"/>
          <w:szCs w:val="28"/>
        </w:rPr>
        <w:t>的流量</w:t>
      </w:r>
      <w:r>
        <w:rPr>
          <w:rFonts w:hAnsi="宋体"/>
          <w:color w:val="000000"/>
          <w:szCs w:val="28"/>
        </w:rPr>
        <w:t>换算公式</w:t>
      </w:r>
      <w:r>
        <w:rPr>
          <w:rFonts w:hint="eastAsia" w:hAnsi="宋体"/>
          <w:color w:val="000000"/>
          <w:szCs w:val="28"/>
        </w:rPr>
        <w:t>。</w:t>
      </w:r>
    </w:p>
    <w:p>
      <w:pPr>
        <w:adjustRightInd w:val="0"/>
        <w:snapToGrid w:val="0"/>
        <w:spacing w:line="360" w:lineRule="auto"/>
        <w:rPr>
          <w:rFonts w:ascii="黑体" w:hAnsi="宋体" w:eastAsia="黑体"/>
          <w:szCs w:val="28"/>
        </w:rPr>
      </w:pPr>
      <w:r>
        <w:rPr>
          <w:rFonts w:hint="eastAsia" w:ascii="黑体" w:hAnsi="宋体" w:eastAsia="黑体"/>
          <w:szCs w:val="28"/>
        </w:rPr>
        <w:t>五、总结</w:t>
      </w:r>
    </w:p>
    <w:p>
      <w:pPr>
        <w:adjustRightInd w:val="0"/>
        <w:snapToGrid w:val="0"/>
        <w:spacing w:line="360" w:lineRule="auto"/>
        <w:ind w:firstLine="560" w:firstLineChars="200"/>
        <w:jc w:val="left"/>
        <w:rPr>
          <w:color w:val="FF0000"/>
          <w:szCs w:val="28"/>
        </w:rPr>
      </w:pPr>
      <w:r>
        <w:rPr>
          <w:rFonts w:hint="eastAsia" w:ascii="Arial" w:hAnsi="宋体" w:cs="Arial"/>
          <w:color w:val="000000"/>
          <w:szCs w:val="28"/>
        </w:rPr>
        <w:t>在检定规程的编制过程中，编制组以国内外技术资料及相关标准、大量试验数据为技术依据，本着科学合理、易于操作和普遍适用的原则进行编制。</w:t>
      </w:r>
      <w:r>
        <w:rPr>
          <w:rFonts w:hint="eastAsia"/>
          <w:szCs w:val="28"/>
        </w:rPr>
        <w:t>经过此次修订，完善了大气采样器的检定方法。</w:t>
      </w:r>
    </w:p>
    <w:sectPr>
      <w:headerReference r:id="rId3" w:type="default"/>
      <w:footerReference r:id="rId4" w:type="default"/>
      <w:footerReference r:id="rId5" w:type="even"/>
      <w:pgSz w:w="11906" w:h="16838"/>
      <w:pgMar w:top="1134" w:right="1134" w:bottom="1134" w:left="1134"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right"/>
    </w:pPr>
    <w:r>
      <w:fldChar w:fldCharType="begin"/>
    </w:r>
    <w:r>
      <w:instrText xml:space="preserve"> PAGE   \* MERGEFORMAT </w:instrText>
    </w:r>
    <w:r>
      <w:fldChar w:fldCharType="separate"/>
    </w:r>
    <w:r>
      <w:rPr>
        <w:lang w:val="zh-CN"/>
      </w:rPr>
      <w:t>5</w:t>
    </w:r>
    <w:r>
      <w:rPr>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center" w:y="1"/>
      <w:rPr>
        <w:rStyle w:val="18"/>
      </w:rPr>
    </w:pPr>
    <w:r>
      <w:rPr>
        <w:rStyle w:val="18"/>
      </w:rPr>
      <w:fldChar w:fldCharType="begin"/>
    </w:r>
    <w:r>
      <w:rPr>
        <w:rStyle w:val="18"/>
      </w:rPr>
      <w:instrText xml:space="preserve">PAGE  </w:instrText>
    </w:r>
    <w:r>
      <w:rPr>
        <w:rStyle w:val="18"/>
      </w:rPr>
      <w:fldChar w:fldCharType="end"/>
    </w:r>
  </w:p>
  <w:p>
    <w:pPr>
      <w:pStyle w:val="1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0523B5"/>
    <w:multiLevelType w:val="multilevel"/>
    <w:tmpl w:val="530523B5"/>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E43CD"/>
    <w:rsid w:val="00002A36"/>
    <w:rsid w:val="00016264"/>
    <w:rsid w:val="000230E4"/>
    <w:rsid w:val="0003130E"/>
    <w:rsid w:val="00045F0D"/>
    <w:rsid w:val="000463FF"/>
    <w:rsid w:val="00054961"/>
    <w:rsid w:val="00065CC3"/>
    <w:rsid w:val="00071585"/>
    <w:rsid w:val="00081FE6"/>
    <w:rsid w:val="0008241D"/>
    <w:rsid w:val="00083047"/>
    <w:rsid w:val="00092B74"/>
    <w:rsid w:val="000A4415"/>
    <w:rsid w:val="000A6A73"/>
    <w:rsid w:val="000B0C9B"/>
    <w:rsid w:val="000B25BC"/>
    <w:rsid w:val="000D3D28"/>
    <w:rsid w:val="000D4932"/>
    <w:rsid w:val="000E1417"/>
    <w:rsid w:val="000E1929"/>
    <w:rsid w:val="000E55EC"/>
    <w:rsid w:val="00114008"/>
    <w:rsid w:val="0012279C"/>
    <w:rsid w:val="0012459C"/>
    <w:rsid w:val="00131DAE"/>
    <w:rsid w:val="00134F09"/>
    <w:rsid w:val="00136DA0"/>
    <w:rsid w:val="00142D9B"/>
    <w:rsid w:val="00144D00"/>
    <w:rsid w:val="00156561"/>
    <w:rsid w:val="001607D3"/>
    <w:rsid w:val="00174433"/>
    <w:rsid w:val="00175537"/>
    <w:rsid w:val="00184180"/>
    <w:rsid w:val="00193D89"/>
    <w:rsid w:val="001956E6"/>
    <w:rsid w:val="001A1065"/>
    <w:rsid w:val="001A5510"/>
    <w:rsid w:val="001B0754"/>
    <w:rsid w:val="001B608E"/>
    <w:rsid w:val="001B6673"/>
    <w:rsid w:val="001D1DBA"/>
    <w:rsid w:val="001D7CDC"/>
    <w:rsid w:val="001F0E96"/>
    <w:rsid w:val="001F265F"/>
    <w:rsid w:val="001F515D"/>
    <w:rsid w:val="00206DAD"/>
    <w:rsid w:val="00211688"/>
    <w:rsid w:val="00211939"/>
    <w:rsid w:val="0021236E"/>
    <w:rsid w:val="00212FB3"/>
    <w:rsid w:val="002161CF"/>
    <w:rsid w:val="002204DF"/>
    <w:rsid w:val="002210E3"/>
    <w:rsid w:val="0023425E"/>
    <w:rsid w:val="00237277"/>
    <w:rsid w:val="0025184F"/>
    <w:rsid w:val="002525AD"/>
    <w:rsid w:val="00255472"/>
    <w:rsid w:val="0026073F"/>
    <w:rsid w:val="002627DD"/>
    <w:rsid w:val="002723F5"/>
    <w:rsid w:val="002B4262"/>
    <w:rsid w:val="002B65C7"/>
    <w:rsid w:val="002C6241"/>
    <w:rsid w:val="002C6814"/>
    <w:rsid w:val="002D19C7"/>
    <w:rsid w:val="002D2055"/>
    <w:rsid w:val="002E147E"/>
    <w:rsid w:val="002E2B75"/>
    <w:rsid w:val="0030149A"/>
    <w:rsid w:val="00302468"/>
    <w:rsid w:val="00326DDD"/>
    <w:rsid w:val="00331132"/>
    <w:rsid w:val="00341813"/>
    <w:rsid w:val="003423E1"/>
    <w:rsid w:val="003476AD"/>
    <w:rsid w:val="003627D0"/>
    <w:rsid w:val="00364339"/>
    <w:rsid w:val="003932E2"/>
    <w:rsid w:val="003949F1"/>
    <w:rsid w:val="00396D87"/>
    <w:rsid w:val="003B1BD4"/>
    <w:rsid w:val="003B385A"/>
    <w:rsid w:val="003B5412"/>
    <w:rsid w:val="003B7DD6"/>
    <w:rsid w:val="003C459F"/>
    <w:rsid w:val="003C5CF1"/>
    <w:rsid w:val="003F0806"/>
    <w:rsid w:val="003F3189"/>
    <w:rsid w:val="00420074"/>
    <w:rsid w:val="00423F41"/>
    <w:rsid w:val="004309E1"/>
    <w:rsid w:val="004378D5"/>
    <w:rsid w:val="00437F10"/>
    <w:rsid w:val="004422F1"/>
    <w:rsid w:val="00442DBD"/>
    <w:rsid w:val="00445C93"/>
    <w:rsid w:val="00450734"/>
    <w:rsid w:val="004509B8"/>
    <w:rsid w:val="00451D20"/>
    <w:rsid w:val="00460A39"/>
    <w:rsid w:val="00475D30"/>
    <w:rsid w:val="004837B6"/>
    <w:rsid w:val="00484604"/>
    <w:rsid w:val="00486394"/>
    <w:rsid w:val="00487D56"/>
    <w:rsid w:val="00490406"/>
    <w:rsid w:val="00492145"/>
    <w:rsid w:val="004A5BE8"/>
    <w:rsid w:val="004B70D1"/>
    <w:rsid w:val="004C027D"/>
    <w:rsid w:val="004E0AD5"/>
    <w:rsid w:val="004E288D"/>
    <w:rsid w:val="004E2C04"/>
    <w:rsid w:val="004E66D9"/>
    <w:rsid w:val="004F13CC"/>
    <w:rsid w:val="004F5936"/>
    <w:rsid w:val="00506717"/>
    <w:rsid w:val="00514A44"/>
    <w:rsid w:val="005168B0"/>
    <w:rsid w:val="00521577"/>
    <w:rsid w:val="00524B45"/>
    <w:rsid w:val="00525F0D"/>
    <w:rsid w:val="00531D42"/>
    <w:rsid w:val="00543BAB"/>
    <w:rsid w:val="00546190"/>
    <w:rsid w:val="0054622F"/>
    <w:rsid w:val="005572D2"/>
    <w:rsid w:val="00561B13"/>
    <w:rsid w:val="00561DAB"/>
    <w:rsid w:val="005746EB"/>
    <w:rsid w:val="00584EB9"/>
    <w:rsid w:val="005870CE"/>
    <w:rsid w:val="00591DB5"/>
    <w:rsid w:val="00592058"/>
    <w:rsid w:val="0059434C"/>
    <w:rsid w:val="005A08B2"/>
    <w:rsid w:val="005B2495"/>
    <w:rsid w:val="005B3D33"/>
    <w:rsid w:val="005B6B34"/>
    <w:rsid w:val="005C69C5"/>
    <w:rsid w:val="005E1C94"/>
    <w:rsid w:val="005E2613"/>
    <w:rsid w:val="005E40FB"/>
    <w:rsid w:val="005E5368"/>
    <w:rsid w:val="005E55FE"/>
    <w:rsid w:val="005F5F49"/>
    <w:rsid w:val="00611A41"/>
    <w:rsid w:val="00615373"/>
    <w:rsid w:val="00622017"/>
    <w:rsid w:val="00630C24"/>
    <w:rsid w:val="00632EA1"/>
    <w:rsid w:val="00636BC9"/>
    <w:rsid w:val="00642307"/>
    <w:rsid w:val="0065325F"/>
    <w:rsid w:val="0065630C"/>
    <w:rsid w:val="006640BD"/>
    <w:rsid w:val="0066679B"/>
    <w:rsid w:val="00677072"/>
    <w:rsid w:val="0068427A"/>
    <w:rsid w:val="006A2AB5"/>
    <w:rsid w:val="006B3F73"/>
    <w:rsid w:val="006B5A12"/>
    <w:rsid w:val="006B74D3"/>
    <w:rsid w:val="006C085D"/>
    <w:rsid w:val="006C7C1C"/>
    <w:rsid w:val="006D07DA"/>
    <w:rsid w:val="006D108D"/>
    <w:rsid w:val="006F316C"/>
    <w:rsid w:val="00705759"/>
    <w:rsid w:val="00707A9D"/>
    <w:rsid w:val="00712183"/>
    <w:rsid w:val="00722FBA"/>
    <w:rsid w:val="00727649"/>
    <w:rsid w:val="007304AD"/>
    <w:rsid w:val="00733688"/>
    <w:rsid w:val="00735420"/>
    <w:rsid w:val="00735966"/>
    <w:rsid w:val="007618C7"/>
    <w:rsid w:val="007A5049"/>
    <w:rsid w:val="007B2C25"/>
    <w:rsid w:val="007C08C9"/>
    <w:rsid w:val="007C198C"/>
    <w:rsid w:val="007C2CC5"/>
    <w:rsid w:val="007C47BD"/>
    <w:rsid w:val="007C73DD"/>
    <w:rsid w:val="007D70C9"/>
    <w:rsid w:val="007D7C20"/>
    <w:rsid w:val="007E0AF0"/>
    <w:rsid w:val="007E4C1C"/>
    <w:rsid w:val="007F0867"/>
    <w:rsid w:val="0080616D"/>
    <w:rsid w:val="00813969"/>
    <w:rsid w:val="008201C0"/>
    <w:rsid w:val="00832634"/>
    <w:rsid w:val="00851FAA"/>
    <w:rsid w:val="008837B1"/>
    <w:rsid w:val="008856BB"/>
    <w:rsid w:val="00891E37"/>
    <w:rsid w:val="00895A9D"/>
    <w:rsid w:val="00895B4A"/>
    <w:rsid w:val="008A5CD8"/>
    <w:rsid w:val="008B43C7"/>
    <w:rsid w:val="008C05D8"/>
    <w:rsid w:val="008C2B90"/>
    <w:rsid w:val="008C3B3A"/>
    <w:rsid w:val="008C51B9"/>
    <w:rsid w:val="008C51CC"/>
    <w:rsid w:val="008D490A"/>
    <w:rsid w:val="008D4F4E"/>
    <w:rsid w:val="008E5BFC"/>
    <w:rsid w:val="008F1DB4"/>
    <w:rsid w:val="008F2E06"/>
    <w:rsid w:val="00902DC2"/>
    <w:rsid w:val="009056C8"/>
    <w:rsid w:val="00907DE9"/>
    <w:rsid w:val="0091421C"/>
    <w:rsid w:val="009158B0"/>
    <w:rsid w:val="00916870"/>
    <w:rsid w:val="00920A41"/>
    <w:rsid w:val="00922430"/>
    <w:rsid w:val="00922D65"/>
    <w:rsid w:val="009278D1"/>
    <w:rsid w:val="00937B47"/>
    <w:rsid w:val="009508F7"/>
    <w:rsid w:val="00965999"/>
    <w:rsid w:val="009662F3"/>
    <w:rsid w:val="0097639D"/>
    <w:rsid w:val="009805E4"/>
    <w:rsid w:val="009826A3"/>
    <w:rsid w:val="00982F01"/>
    <w:rsid w:val="00994725"/>
    <w:rsid w:val="009949EC"/>
    <w:rsid w:val="009954CB"/>
    <w:rsid w:val="009A363E"/>
    <w:rsid w:val="009D4335"/>
    <w:rsid w:val="009E2DC5"/>
    <w:rsid w:val="009F5ED5"/>
    <w:rsid w:val="00A12151"/>
    <w:rsid w:val="00A2488D"/>
    <w:rsid w:val="00A45133"/>
    <w:rsid w:val="00A566F9"/>
    <w:rsid w:val="00A6331E"/>
    <w:rsid w:val="00A73A1E"/>
    <w:rsid w:val="00A83863"/>
    <w:rsid w:val="00A937C0"/>
    <w:rsid w:val="00A94967"/>
    <w:rsid w:val="00AA6452"/>
    <w:rsid w:val="00AB2C96"/>
    <w:rsid w:val="00AB3E4F"/>
    <w:rsid w:val="00AB5F48"/>
    <w:rsid w:val="00AB73AF"/>
    <w:rsid w:val="00AC298D"/>
    <w:rsid w:val="00AC6A65"/>
    <w:rsid w:val="00AC711F"/>
    <w:rsid w:val="00AD41F6"/>
    <w:rsid w:val="00AD6BB6"/>
    <w:rsid w:val="00AD7E78"/>
    <w:rsid w:val="00AE4825"/>
    <w:rsid w:val="00AE60E6"/>
    <w:rsid w:val="00AE7D37"/>
    <w:rsid w:val="00AF04CC"/>
    <w:rsid w:val="00AF21CE"/>
    <w:rsid w:val="00B00D6D"/>
    <w:rsid w:val="00B05D0E"/>
    <w:rsid w:val="00B273CF"/>
    <w:rsid w:val="00B3149B"/>
    <w:rsid w:val="00B4746C"/>
    <w:rsid w:val="00B52A3B"/>
    <w:rsid w:val="00B53E02"/>
    <w:rsid w:val="00B61DD3"/>
    <w:rsid w:val="00B62D4C"/>
    <w:rsid w:val="00B72161"/>
    <w:rsid w:val="00B76757"/>
    <w:rsid w:val="00B85F85"/>
    <w:rsid w:val="00B8611C"/>
    <w:rsid w:val="00BA374F"/>
    <w:rsid w:val="00BA3A75"/>
    <w:rsid w:val="00BA74AD"/>
    <w:rsid w:val="00BC305B"/>
    <w:rsid w:val="00BE521D"/>
    <w:rsid w:val="00BE6D7C"/>
    <w:rsid w:val="00C01BEA"/>
    <w:rsid w:val="00C0329E"/>
    <w:rsid w:val="00C07763"/>
    <w:rsid w:val="00C10958"/>
    <w:rsid w:val="00C11E1E"/>
    <w:rsid w:val="00C202B4"/>
    <w:rsid w:val="00C2076D"/>
    <w:rsid w:val="00C26A13"/>
    <w:rsid w:val="00C30E4D"/>
    <w:rsid w:val="00C33655"/>
    <w:rsid w:val="00C42562"/>
    <w:rsid w:val="00C47655"/>
    <w:rsid w:val="00C61364"/>
    <w:rsid w:val="00C67E2D"/>
    <w:rsid w:val="00C9365D"/>
    <w:rsid w:val="00C97EC7"/>
    <w:rsid w:val="00CA3087"/>
    <w:rsid w:val="00CA32CA"/>
    <w:rsid w:val="00CA77CC"/>
    <w:rsid w:val="00CB0E57"/>
    <w:rsid w:val="00CC2941"/>
    <w:rsid w:val="00CC659C"/>
    <w:rsid w:val="00CD31C1"/>
    <w:rsid w:val="00CE2536"/>
    <w:rsid w:val="00CE4A12"/>
    <w:rsid w:val="00CF605B"/>
    <w:rsid w:val="00CF7FE3"/>
    <w:rsid w:val="00D015C3"/>
    <w:rsid w:val="00D030FA"/>
    <w:rsid w:val="00D3086E"/>
    <w:rsid w:val="00D42790"/>
    <w:rsid w:val="00D42B20"/>
    <w:rsid w:val="00D533FA"/>
    <w:rsid w:val="00D577C8"/>
    <w:rsid w:val="00D61A18"/>
    <w:rsid w:val="00D672B2"/>
    <w:rsid w:val="00D70618"/>
    <w:rsid w:val="00D74129"/>
    <w:rsid w:val="00D83278"/>
    <w:rsid w:val="00D92E18"/>
    <w:rsid w:val="00D944CD"/>
    <w:rsid w:val="00D96082"/>
    <w:rsid w:val="00DB4098"/>
    <w:rsid w:val="00DB64A3"/>
    <w:rsid w:val="00DC0331"/>
    <w:rsid w:val="00DC6EEA"/>
    <w:rsid w:val="00DD0369"/>
    <w:rsid w:val="00DD6197"/>
    <w:rsid w:val="00DE43CD"/>
    <w:rsid w:val="00DF1A6A"/>
    <w:rsid w:val="00DF4437"/>
    <w:rsid w:val="00DF5BC3"/>
    <w:rsid w:val="00E00871"/>
    <w:rsid w:val="00E02D3B"/>
    <w:rsid w:val="00E05645"/>
    <w:rsid w:val="00E14346"/>
    <w:rsid w:val="00E21197"/>
    <w:rsid w:val="00E222E1"/>
    <w:rsid w:val="00E47A6E"/>
    <w:rsid w:val="00E70DA9"/>
    <w:rsid w:val="00E76815"/>
    <w:rsid w:val="00E91B7E"/>
    <w:rsid w:val="00E92C21"/>
    <w:rsid w:val="00E96515"/>
    <w:rsid w:val="00EA103F"/>
    <w:rsid w:val="00EB125A"/>
    <w:rsid w:val="00EB4D75"/>
    <w:rsid w:val="00EC1929"/>
    <w:rsid w:val="00ED0994"/>
    <w:rsid w:val="00ED2B43"/>
    <w:rsid w:val="00EE4926"/>
    <w:rsid w:val="00EE7320"/>
    <w:rsid w:val="00EF0620"/>
    <w:rsid w:val="00EF1446"/>
    <w:rsid w:val="00EF5DC1"/>
    <w:rsid w:val="00F1255D"/>
    <w:rsid w:val="00F176B4"/>
    <w:rsid w:val="00F21546"/>
    <w:rsid w:val="00F2308C"/>
    <w:rsid w:val="00F23357"/>
    <w:rsid w:val="00F53AC1"/>
    <w:rsid w:val="00F53FCD"/>
    <w:rsid w:val="00F9746D"/>
    <w:rsid w:val="00FA09C0"/>
    <w:rsid w:val="00FA37B9"/>
    <w:rsid w:val="00FA510D"/>
    <w:rsid w:val="00FB0F32"/>
    <w:rsid w:val="00FC166A"/>
    <w:rsid w:val="00FC511E"/>
    <w:rsid w:val="00FC7B90"/>
    <w:rsid w:val="00FD309D"/>
    <w:rsid w:val="00FE2942"/>
    <w:rsid w:val="00FF5624"/>
    <w:rsid w:val="00FF6536"/>
    <w:rsid w:val="5670638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99" w:semiHidden="0" w:name="Body Text"/>
    <w:lsdException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4"/>
      <w:lang w:val="en-US" w:eastAsia="zh-CN" w:bidi="ar-SA"/>
    </w:rPr>
  </w:style>
  <w:style w:type="paragraph" w:styleId="2">
    <w:name w:val="heading 1"/>
    <w:basedOn w:val="1"/>
    <w:next w:val="1"/>
    <w:link w:val="20"/>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21"/>
    <w:qFormat/>
    <w:uiPriority w:val="99"/>
    <w:pPr>
      <w:keepNext/>
      <w:jc w:val="center"/>
      <w:outlineLvl w:val="1"/>
    </w:pPr>
    <w:rPr>
      <w:rFonts w:ascii="Cambria" w:hAnsi="Cambria"/>
      <w:b/>
      <w:bCs/>
      <w:kern w:val="0"/>
      <w:sz w:val="32"/>
      <w:szCs w:val="32"/>
    </w:rPr>
  </w:style>
  <w:style w:type="paragraph" w:styleId="4">
    <w:name w:val="heading 3"/>
    <w:basedOn w:val="1"/>
    <w:next w:val="1"/>
    <w:link w:val="38"/>
    <w:semiHidden/>
    <w:unhideWhenUsed/>
    <w:qFormat/>
    <w:locked/>
    <w:uiPriority w:val="0"/>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31"/>
    <w:semiHidden/>
    <w:qFormat/>
    <w:uiPriority w:val="99"/>
    <w:pPr>
      <w:jc w:val="left"/>
    </w:pPr>
    <w:rPr>
      <w:kern w:val="0"/>
      <w:sz w:val="24"/>
    </w:rPr>
  </w:style>
  <w:style w:type="paragraph" w:styleId="6">
    <w:name w:val="Body Text"/>
    <w:basedOn w:val="1"/>
    <w:link w:val="32"/>
    <w:qFormat/>
    <w:uiPriority w:val="99"/>
    <w:pPr>
      <w:spacing w:after="120"/>
    </w:pPr>
    <w:rPr>
      <w:kern w:val="0"/>
      <w:sz w:val="24"/>
    </w:rPr>
  </w:style>
  <w:style w:type="paragraph" w:styleId="7">
    <w:name w:val="Body Text Indent"/>
    <w:basedOn w:val="1"/>
    <w:link w:val="29"/>
    <w:uiPriority w:val="99"/>
    <w:pPr>
      <w:ind w:firstLine="567"/>
    </w:pPr>
    <w:rPr>
      <w:szCs w:val="20"/>
    </w:rPr>
  </w:style>
  <w:style w:type="paragraph" w:styleId="8">
    <w:name w:val="Body Text Indent 2"/>
    <w:basedOn w:val="1"/>
    <w:link w:val="23"/>
    <w:uiPriority w:val="99"/>
    <w:pPr>
      <w:spacing w:before="100" w:beforeAutospacing="1" w:after="100" w:afterAutospacing="1" w:line="240" w:lineRule="exact"/>
      <w:ind w:firstLine="480" w:firstLineChars="200"/>
    </w:pPr>
    <w:rPr>
      <w:kern w:val="0"/>
      <w:sz w:val="24"/>
    </w:rPr>
  </w:style>
  <w:style w:type="paragraph" w:styleId="9">
    <w:name w:val="Balloon Text"/>
    <w:basedOn w:val="1"/>
    <w:link w:val="37"/>
    <w:semiHidden/>
    <w:qFormat/>
    <w:uiPriority w:val="99"/>
    <w:rPr>
      <w:kern w:val="0"/>
      <w:sz w:val="2"/>
      <w:szCs w:val="20"/>
    </w:rPr>
  </w:style>
  <w:style w:type="paragraph" w:styleId="10">
    <w:name w:val="footer"/>
    <w:basedOn w:val="1"/>
    <w:link w:val="25"/>
    <w:uiPriority w:val="99"/>
    <w:pPr>
      <w:tabs>
        <w:tab w:val="center" w:pos="4153"/>
        <w:tab w:val="right" w:pos="8306"/>
      </w:tabs>
      <w:snapToGrid w:val="0"/>
      <w:jc w:val="left"/>
    </w:pPr>
    <w:rPr>
      <w:kern w:val="0"/>
      <w:sz w:val="18"/>
      <w:szCs w:val="18"/>
    </w:rPr>
  </w:style>
  <w:style w:type="paragraph" w:styleId="11">
    <w:name w:val="header"/>
    <w:basedOn w:val="1"/>
    <w:link w:val="26"/>
    <w:uiPriority w:val="99"/>
    <w:pPr>
      <w:pBdr>
        <w:bottom w:val="single" w:color="auto" w:sz="6" w:space="1"/>
      </w:pBdr>
      <w:tabs>
        <w:tab w:val="center" w:pos="4153"/>
        <w:tab w:val="right" w:pos="8306"/>
      </w:tabs>
      <w:snapToGrid w:val="0"/>
      <w:jc w:val="center"/>
    </w:pPr>
    <w:rPr>
      <w:kern w:val="0"/>
      <w:sz w:val="18"/>
      <w:szCs w:val="18"/>
    </w:rPr>
  </w:style>
  <w:style w:type="paragraph" w:styleId="12">
    <w:name w:val="HTML Preformatted"/>
    <w:basedOn w:val="1"/>
    <w:link w:val="3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rPr>
  </w:style>
  <w:style w:type="paragraph" w:styleId="13">
    <w:name w:val="Title"/>
    <w:basedOn w:val="1"/>
    <w:link w:val="22"/>
    <w:qFormat/>
    <w:uiPriority w:val="99"/>
    <w:pPr>
      <w:jc w:val="center"/>
    </w:pPr>
    <w:rPr>
      <w:rFonts w:ascii="Cambria" w:hAnsi="Cambria"/>
      <w:b/>
      <w:bCs/>
      <w:kern w:val="0"/>
      <w:sz w:val="32"/>
      <w:szCs w:val="32"/>
    </w:rPr>
  </w:style>
  <w:style w:type="paragraph" w:styleId="14">
    <w:name w:val="annotation subject"/>
    <w:basedOn w:val="5"/>
    <w:next w:val="5"/>
    <w:link w:val="36"/>
    <w:semiHidden/>
    <w:qFormat/>
    <w:uiPriority w:val="99"/>
    <w:rPr>
      <w:b/>
      <w:bCs/>
    </w:rPr>
  </w:style>
  <w:style w:type="table" w:styleId="16">
    <w:name w:val="Table Grid"/>
    <w:basedOn w:val="15"/>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qFormat/>
    <w:uiPriority w:val="99"/>
    <w:rPr>
      <w:rFonts w:cs="Times New Roman"/>
    </w:rPr>
  </w:style>
  <w:style w:type="character" w:styleId="19">
    <w:name w:val="annotation reference"/>
    <w:semiHidden/>
    <w:qFormat/>
    <w:uiPriority w:val="99"/>
    <w:rPr>
      <w:rFonts w:cs="Times New Roman"/>
      <w:sz w:val="21"/>
      <w:szCs w:val="21"/>
    </w:rPr>
  </w:style>
  <w:style w:type="character" w:customStyle="1" w:styleId="20">
    <w:name w:val="标题 1 字符"/>
    <w:link w:val="2"/>
    <w:qFormat/>
    <w:locked/>
    <w:uiPriority w:val="99"/>
    <w:rPr>
      <w:rFonts w:cs="Times New Roman"/>
      <w:b/>
      <w:bCs/>
      <w:kern w:val="44"/>
      <w:sz w:val="44"/>
      <w:szCs w:val="44"/>
    </w:rPr>
  </w:style>
  <w:style w:type="character" w:customStyle="1" w:styleId="21">
    <w:name w:val="标题 2 字符"/>
    <w:link w:val="3"/>
    <w:semiHidden/>
    <w:locked/>
    <w:uiPriority w:val="99"/>
    <w:rPr>
      <w:rFonts w:ascii="Cambria" w:hAnsi="Cambria" w:eastAsia="宋体" w:cs="Times New Roman"/>
      <w:b/>
      <w:bCs/>
      <w:sz w:val="32"/>
      <w:szCs w:val="32"/>
    </w:rPr>
  </w:style>
  <w:style w:type="character" w:customStyle="1" w:styleId="22">
    <w:name w:val="标题 字符"/>
    <w:link w:val="13"/>
    <w:locked/>
    <w:uiPriority w:val="99"/>
    <w:rPr>
      <w:rFonts w:ascii="Cambria" w:hAnsi="Cambria" w:cs="Times New Roman"/>
      <w:b/>
      <w:bCs/>
      <w:sz w:val="32"/>
      <w:szCs w:val="32"/>
    </w:rPr>
  </w:style>
  <w:style w:type="character" w:customStyle="1" w:styleId="23">
    <w:name w:val="正文文本缩进 2 字符"/>
    <w:link w:val="8"/>
    <w:semiHidden/>
    <w:locked/>
    <w:uiPriority w:val="99"/>
    <w:rPr>
      <w:rFonts w:cs="Times New Roman"/>
      <w:sz w:val="24"/>
      <w:szCs w:val="24"/>
    </w:rPr>
  </w:style>
  <w:style w:type="paragraph" w:customStyle="1" w:styleId="24">
    <w:name w:val="样式"/>
    <w:basedOn w:val="1"/>
    <w:next w:val="8"/>
    <w:qFormat/>
    <w:uiPriority w:val="99"/>
    <w:pPr>
      <w:adjustRightInd w:val="0"/>
      <w:snapToGrid w:val="0"/>
      <w:spacing w:line="240" w:lineRule="atLeast"/>
      <w:ind w:firstLine="480" w:firstLineChars="200"/>
    </w:pPr>
    <w:rPr>
      <w:sz w:val="24"/>
    </w:rPr>
  </w:style>
  <w:style w:type="character" w:customStyle="1" w:styleId="25">
    <w:name w:val="页脚 字符"/>
    <w:link w:val="10"/>
    <w:qFormat/>
    <w:locked/>
    <w:uiPriority w:val="99"/>
    <w:rPr>
      <w:rFonts w:cs="Times New Roman"/>
      <w:sz w:val="18"/>
      <w:szCs w:val="18"/>
    </w:rPr>
  </w:style>
  <w:style w:type="character" w:customStyle="1" w:styleId="26">
    <w:name w:val="页眉 字符"/>
    <w:link w:val="11"/>
    <w:semiHidden/>
    <w:qFormat/>
    <w:locked/>
    <w:uiPriority w:val="99"/>
    <w:rPr>
      <w:rFonts w:cs="Times New Roman"/>
      <w:sz w:val="18"/>
      <w:szCs w:val="18"/>
    </w:rPr>
  </w:style>
  <w:style w:type="paragraph" w:customStyle="1" w:styleId="27">
    <w:name w:val="Char"/>
    <w:basedOn w:val="1"/>
    <w:uiPriority w:val="99"/>
    <w:rPr>
      <w:rFonts w:ascii="Tahoma" w:hAnsi="Tahoma"/>
      <w:iCs/>
      <w:sz w:val="24"/>
      <w:szCs w:val="20"/>
    </w:rPr>
  </w:style>
  <w:style w:type="paragraph" w:customStyle="1" w:styleId="28">
    <w:name w:val="Char Char Char Char Char Char Char Char Char Char Char Char1 Char"/>
    <w:basedOn w:val="1"/>
    <w:qFormat/>
    <w:uiPriority w:val="99"/>
    <w:pPr>
      <w:snapToGrid w:val="0"/>
      <w:spacing w:line="360" w:lineRule="auto"/>
      <w:ind w:firstLine="200" w:firstLineChars="200"/>
    </w:pPr>
    <w:rPr>
      <w:rFonts w:eastAsia="仿宋_GB2312"/>
      <w:sz w:val="24"/>
    </w:rPr>
  </w:style>
  <w:style w:type="character" w:customStyle="1" w:styleId="29">
    <w:name w:val="正文文本缩进 字符"/>
    <w:link w:val="7"/>
    <w:qFormat/>
    <w:locked/>
    <w:uiPriority w:val="99"/>
    <w:rPr>
      <w:rFonts w:cs="Times New Roman"/>
      <w:kern w:val="2"/>
      <w:sz w:val="28"/>
    </w:rPr>
  </w:style>
  <w:style w:type="paragraph" w:styleId="30">
    <w:name w:val="List Paragraph"/>
    <w:basedOn w:val="1"/>
    <w:qFormat/>
    <w:uiPriority w:val="99"/>
    <w:pPr>
      <w:ind w:firstLine="420" w:firstLineChars="200"/>
    </w:pPr>
    <w:rPr>
      <w:rFonts w:ascii="Calibri" w:hAnsi="Calibri"/>
      <w:sz w:val="21"/>
      <w:szCs w:val="22"/>
    </w:rPr>
  </w:style>
  <w:style w:type="character" w:customStyle="1" w:styleId="31">
    <w:name w:val="批注文字 字符"/>
    <w:link w:val="5"/>
    <w:semiHidden/>
    <w:locked/>
    <w:uiPriority w:val="99"/>
    <w:rPr>
      <w:rFonts w:cs="Times New Roman"/>
      <w:sz w:val="24"/>
      <w:szCs w:val="24"/>
    </w:rPr>
  </w:style>
  <w:style w:type="character" w:customStyle="1" w:styleId="32">
    <w:name w:val="正文文本 字符"/>
    <w:link w:val="6"/>
    <w:semiHidden/>
    <w:locked/>
    <w:uiPriority w:val="99"/>
    <w:rPr>
      <w:rFonts w:cs="Times New Roman"/>
      <w:sz w:val="24"/>
      <w:szCs w:val="24"/>
    </w:rPr>
  </w:style>
  <w:style w:type="character" w:customStyle="1" w:styleId="33">
    <w:name w:val="apple-converted-space"/>
    <w:qFormat/>
    <w:uiPriority w:val="99"/>
    <w:rPr>
      <w:rFonts w:cs="Times New Roman"/>
    </w:rPr>
  </w:style>
  <w:style w:type="character" w:customStyle="1" w:styleId="34">
    <w:name w:val="HTML 预设格式 字符"/>
    <w:link w:val="12"/>
    <w:semiHidden/>
    <w:locked/>
    <w:uiPriority w:val="99"/>
    <w:rPr>
      <w:rFonts w:ascii="Courier New" w:hAnsi="Courier New" w:cs="Courier New"/>
      <w:sz w:val="20"/>
      <w:szCs w:val="20"/>
    </w:rPr>
  </w:style>
  <w:style w:type="paragraph" w:customStyle="1" w:styleId="35">
    <w:name w:val="Char1"/>
    <w:basedOn w:val="1"/>
    <w:uiPriority w:val="99"/>
    <w:rPr>
      <w:sz w:val="21"/>
    </w:rPr>
  </w:style>
  <w:style w:type="character" w:customStyle="1" w:styleId="36">
    <w:name w:val="批注主题 字符"/>
    <w:link w:val="14"/>
    <w:semiHidden/>
    <w:qFormat/>
    <w:locked/>
    <w:uiPriority w:val="99"/>
    <w:rPr>
      <w:rFonts w:cs="Times New Roman"/>
      <w:b/>
      <w:bCs/>
      <w:sz w:val="24"/>
      <w:szCs w:val="24"/>
    </w:rPr>
  </w:style>
  <w:style w:type="character" w:customStyle="1" w:styleId="37">
    <w:name w:val="批注框文本 字符"/>
    <w:link w:val="9"/>
    <w:semiHidden/>
    <w:qFormat/>
    <w:locked/>
    <w:uiPriority w:val="99"/>
    <w:rPr>
      <w:rFonts w:cs="Times New Roman"/>
      <w:sz w:val="2"/>
    </w:rPr>
  </w:style>
  <w:style w:type="character" w:customStyle="1" w:styleId="38">
    <w:name w:val="标题 3 字符"/>
    <w:link w:val="4"/>
    <w:semiHidden/>
    <w:qFormat/>
    <w:uiPriority w:val="0"/>
    <w:rPr>
      <w:b/>
      <w:bCs/>
      <w:kern w:val="2"/>
      <w:sz w:val="32"/>
      <w:szCs w:val="32"/>
    </w:rPr>
  </w:style>
  <w:style w:type="paragraph" w:customStyle="1" w:styleId="39">
    <w:name w:val="论文"/>
    <w:basedOn w:val="11"/>
    <w:link w:val="40"/>
    <w:qFormat/>
    <w:uiPriority w:val="0"/>
    <w:pPr>
      <w:pBdr>
        <w:bottom w:val="thinThickMediumGap" w:color="000000" w:sz="18" w:space="1"/>
      </w:pBdr>
    </w:pPr>
    <w:rPr>
      <w:kern w:val="2"/>
      <w:sz w:val="21"/>
      <w:szCs w:val="21"/>
    </w:rPr>
  </w:style>
  <w:style w:type="character" w:customStyle="1" w:styleId="40">
    <w:name w:val="论文 字符"/>
    <w:link w:val="39"/>
    <w:qFormat/>
    <w:uiPriority w:val="0"/>
    <w:rPr>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778</Words>
  <Characters>4438</Characters>
  <Lines>36</Lines>
  <Paragraphs>10</Paragraphs>
  <TotalTime>3</TotalTime>
  <ScaleCrop>false</ScaleCrop>
  <LinksUpToDate>false</LinksUpToDate>
  <CharactersWithSpaces>5206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2021-10-30T03:10:00Z</dcterms:created>
  <dc:creator>volcano</dc:creator>
  <cp:lastModifiedBy>平和</cp:lastModifiedBy>
  <cp:lastPrinted>2017-11-15T05:35:00Z</cp:lastPrinted>
  <dcterms:modified xsi:type="dcterms:W3CDTF">2021-10-30T06:06:26Z</dcterms:modified>
  <dc:title>修订说明</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