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44"/>
          <w:szCs w:val="44"/>
        </w:rPr>
      </w:pPr>
      <w:r>
        <w:rPr>
          <w:rFonts w:hint="eastAsia" w:eastAsia="黑体"/>
          <w:sz w:val="44"/>
          <w:szCs w:val="44"/>
        </w:rPr>
        <w:t>《客车通道</w:t>
      </w:r>
      <w:r>
        <w:rPr>
          <w:rFonts w:hint="eastAsia" w:eastAsia="黑体"/>
          <w:sz w:val="44"/>
          <w:szCs w:val="44"/>
          <w:lang w:eastAsia="zh-CN"/>
        </w:rPr>
        <w:t>、</w:t>
      </w:r>
      <w:r>
        <w:rPr>
          <w:rFonts w:hint="eastAsia" w:eastAsia="黑体"/>
          <w:sz w:val="44"/>
          <w:szCs w:val="44"/>
        </w:rPr>
        <w:t>引道装置</w:t>
      </w:r>
      <w:r>
        <w:rPr>
          <w:rFonts w:hint="eastAsia" w:eastAsia="黑体"/>
          <w:sz w:val="44"/>
          <w:szCs w:val="44"/>
          <w:lang w:val="en-US" w:eastAsia="zh-CN"/>
        </w:rPr>
        <w:t>校准规范</w:t>
      </w:r>
      <w:r>
        <w:rPr>
          <w:rFonts w:hint="eastAsia" w:eastAsia="黑体"/>
          <w:sz w:val="44"/>
          <w:szCs w:val="44"/>
        </w:rPr>
        <w:t>》</w:t>
      </w:r>
    </w:p>
    <w:p>
      <w:pPr>
        <w:spacing w:line="360" w:lineRule="auto"/>
        <w:jc w:val="center"/>
        <w:outlineLvl w:val="0"/>
        <w:rPr>
          <w:rFonts w:eastAsia="黑体"/>
          <w:sz w:val="44"/>
          <w:szCs w:val="44"/>
        </w:rPr>
      </w:pPr>
      <w:bookmarkStart w:id="0" w:name="_Toc490058737"/>
      <w:r>
        <w:rPr>
          <w:rFonts w:hint="eastAsia" w:eastAsia="黑体"/>
          <w:sz w:val="44"/>
          <w:szCs w:val="44"/>
        </w:rPr>
        <w:t>编制说明</w:t>
      </w:r>
      <w:bookmarkEnd w:id="0"/>
    </w:p>
    <w:p>
      <w:pPr>
        <w:spacing w:line="360" w:lineRule="auto"/>
        <w:rPr>
          <w:rFonts w:ascii="黑体" w:hAnsi="黑体" w:eastAsia="黑体"/>
          <w:sz w:val="24"/>
          <w:szCs w:val="24"/>
        </w:rPr>
      </w:pPr>
      <w:r>
        <w:rPr>
          <w:rFonts w:hint="eastAsia" w:ascii="黑体" w:hAnsi="黑体" w:eastAsia="黑体"/>
          <w:sz w:val="24"/>
          <w:szCs w:val="24"/>
        </w:rPr>
        <w:t>一、任务来源</w:t>
      </w:r>
    </w:p>
    <w:p>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本任务来源于《市场监督管理总局办公厅下达〈2020年国家计量技术规范制定、修订及宣贯计划〉的通知》，由全国法制计量管理计量技术委员会关于委托起草《测量不确定度在法制计量合格评定中作用》等十三项国家计量技术规范函MTC1【2020】2号的要求，在归口全国法制计量管理计量技术委员会领导下，由</w:t>
      </w:r>
      <w:r>
        <w:rPr>
          <w:rFonts w:hint="eastAsia" w:asciiTheme="minorEastAsia" w:hAnsiTheme="minorEastAsia" w:eastAsiaTheme="minorEastAsia"/>
          <w:sz w:val="24"/>
          <w:szCs w:val="24"/>
        </w:rPr>
        <w:t>广东省计量科学研究院</w:t>
      </w:r>
      <w:r>
        <w:rPr>
          <w:rFonts w:hint="eastAsia" w:asciiTheme="minorEastAsia" w:hAnsiTheme="minorEastAsia" w:eastAsiaTheme="minorEastAsia"/>
          <w:sz w:val="24"/>
          <w:szCs w:val="24"/>
          <w:lang w:val="en-US" w:eastAsia="zh-CN"/>
        </w:rPr>
        <w:t>主导，</w:t>
      </w:r>
      <w:r>
        <w:rPr>
          <w:rFonts w:hint="eastAsia" w:asciiTheme="minorEastAsia" w:hAnsiTheme="minorEastAsia" w:eastAsiaTheme="minorEastAsia"/>
          <w:sz w:val="24"/>
          <w:szCs w:val="24"/>
          <w:lang w:val="en-US" w:eastAsia="zh-CN"/>
        </w:rPr>
        <w:t>甘肃省计量研究院</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江西省计量测试研究院</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中国测试技术研究院、广州市腾畅交通科技有限公司、</w:t>
      </w:r>
      <w:r>
        <w:rPr>
          <w:rFonts w:hint="eastAsia" w:asciiTheme="minorEastAsia" w:hAnsiTheme="minorEastAsia" w:eastAsiaTheme="minorEastAsia"/>
          <w:sz w:val="24"/>
          <w:szCs w:val="24"/>
        </w:rPr>
        <w:t>梁山恒泰测量装置研发有限公司</w:t>
      </w:r>
      <w:r>
        <w:rPr>
          <w:rFonts w:hint="eastAsia" w:asciiTheme="minorEastAsia" w:hAnsiTheme="minorEastAsia" w:eastAsiaTheme="minorEastAsia"/>
          <w:sz w:val="24"/>
          <w:szCs w:val="24"/>
          <w:lang w:val="en-US" w:eastAsia="zh-CN"/>
        </w:rPr>
        <w:t>等单位参加制定《</w:t>
      </w:r>
      <w:r>
        <w:rPr>
          <w:rFonts w:hint="eastAsia" w:asciiTheme="minorEastAsia" w:hAnsiTheme="minorEastAsia" w:eastAsiaTheme="minorEastAsia"/>
          <w:sz w:val="24"/>
          <w:szCs w:val="24"/>
        </w:rPr>
        <w:t>客车通道</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引道装置</w:t>
      </w:r>
      <w:r>
        <w:rPr>
          <w:rFonts w:hint="eastAsia" w:asciiTheme="minorEastAsia" w:hAnsiTheme="minorEastAsia" w:eastAsiaTheme="minorEastAsia"/>
          <w:sz w:val="24"/>
          <w:szCs w:val="24"/>
          <w:lang w:val="en-US" w:eastAsia="zh-CN"/>
        </w:rPr>
        <w:t>校准规范》，完成日期为2021年6月。</w:t>
      </w:r>
    </w:p>
    <w:p>
      <w:pPr>
        <w:spacing w:line="360" w:lineRule="auto"/>
        <w:rPr>
          <w:rFonts w:ascii="黑体" w:hAnsi="黑体" w:eastAsia="黑体"/>
          <w:sz w:val="24"/>
          <w:szCs w:val="24"/>
        </w:rPr>
      </w:pPr>
      <w:r>
        <w:rPr>
          <w:rFonts w:hint="eastAsia" w:ascii="黑体" w:hAnsi="黑体" w:eastAsia="黑体"/>
          <w:sz w:val="24"/>
          <w:szCs w:val="24"/>
        </w:rPr>
        <w:t>二、制定本规程意义、必要性和相关标准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汽车检测自机动车辆出现至今，一直都是人们重点关注的行业。随着多年来的检测技术的逐渐发展完善，所配备的标准和设备也日益完善，逐渐从人工化到全自动化的过渡。在GB21861-2014《机动车安全技术检验项目和方法》实施之前，客车通道均使用钢卷尺，钢直尺等人工进行测量。GB21861-2014实施后，2015年开始，全国的检测站均开始逐步配备客车通道、引道测量装置，以此装置代替人工测量。但是只要求新注册客车需要使用该项设备。在2020年，国家发布GB 38900-2019于2021年全面替代GB 21861-2014和GB 18565-2016，并且要求无论是新注册客车还是在用客车，均要求使用客车通道引道装置进行检测。然而，对于大面积出现的客车通道、引道测量装置，却没有溯源依据，没有相对应的国家计量检定规程或校准规范。</w:t>
      </w:r>
    </w:p>
    <w:p>
      <w:pPr>
        <w:pStyle w:val="50"/>
        <w:keepNext w:val="0"/>
        <w:keepLines w:val="0"/>
        <w:pageBreakBefore w:val="0"/>
        <w:kinsoku/>
        <w:wordWrap/>
        <w:overflowPunct/>
        <w:topLinePunct w:val="0"/>
        <w:bidi w:val="0"/>
        <w:spacing w:line="360" w:lineRule="auto"/>
        <w:ind w:left="0" w:leftChars="0" w:firstLine="488" w:firstLineChars="200"/>
        <w:textAlignment w:val="auto"/>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中华人民共和国国家标准GB 13094-2017《客车结构安全要求》GB 24407-2012《专用校车安全技术条件》、GB 7258-2017《机动车运行安全技术条件》和GB 38900-2019《机动车安全技术检验项目和方法》中，有对客车通道引道测量装置的尺寸提出了相应的要求。在2020年机动车检测技术委员会发布了</w:t>
      </w:r>
      <w:r>
        <w:rPr>
          <w:rFonts w:hint="eastAsia" w:hAnsi="宋体"/>
          <w:sz w:val="24"/>
          <w:szCs w:val="24"/>
        </w:rPr>
        <w:t>T/CMA JD025-2020</w:t>
      </w:r>
      <w:r>
        <w:rPr>
          <w:rFonts w:hint="eastAsia" w:cs="Times New Roman" w:asciiTheme="minorEastAsia" w:hAnsiTheme="minorEastAsia" w:eastAsiaTheme="minorEastAsia"/>
          <w:kern w:val="2"/>
          <w:sz w:val="24"/>
          <w:szCs w:val="24"/>
          <w:lang w:val="en-US" w:eastAsia="zh-CN" w:bidi="ar-SA"/>
        </w:rPr>
        <w:t>《</w:t>
      </w:r>
      <w:r>
        <w:rPr>
          <w:rFonts w:hint="eastAsia" w:hAnsi="宋体"/>
          <w:sz w:val="24"/>
          <w:szCs w:val="24"/>
        </w:rPr>
        <w:t>客车、专用校车乘客通道和引道量规通用技术要求</w:t>
      </w:r>
      <w:r>
        <w:rPr>
          <w:rFonts w:hint="eastAsia" w:hAnsi="宋体"/>
          <w:sz w:val="24"/>
          <w:szCs w:val="24"/>
          <w:lang w:eastAsia="zh-CN"/>
        </w:rPr>
        <w:t>》</w:t>
      </w:r>
      <w:r>
        <w:rPr>
          <w:rFonts w:hint="eastAsia" w:cs="Times New Roman" w:asciiTheme="minorEastAsia" w:hAnsiTheme="minorEastAsia" w:eastAsiaTheme="minorEastAsia"/>
          <w:kern w:val="2"/>
          <w:sz w:val="24"/>
          <w:szCs w:val="24"/>
          <w:lang w:val="en-US" w:eastAsia="zh-CN" w:bidi="ar-SA"/>
        </w:rPr>
        <w:t>团体标准，但是无论是哪一个法规或者标准，都未能成为计量的技术依据，只能以此出具相应的检测报告或者测试报告。校准规范的空白，导致无法准确保证大量在用客车通道引道测量装置的溯源问题。</w:t>
      </w:r>
    </w:p>
    <w:p>
      <w:pPr>
        <w:pStyle w:val="50"/>
        <w:keepNext w:val="0"/>
        <w:keepLines w:val="0"/>
        <w:pageBreakBefore w:val="0"/>
        <w:kinsoku/>
        <w:wordWrap/>
        <w:overflowPunct/>
        <w:topLinePunct w:val="0"/>
        <w:bidi w:val="0"/>
        <w:spacing w:line="360" w:lineRule="auto"/>
        <w:ind w:left="0" w:leftChars="0" w:firstLine="488" w:firstLineChars="200"/>
        <w:textAlignment w:val="auto"/>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目前，全国机动车检测站和汽车生产企业的总数量15000多间，拥有客车通道引道测量装置的达上万台件，自2015年底，国家对安检机构的筹建政策的放开，各省区安检机构的数量正以翻翻的数量在递增，客车通道引道测量装置数量也跟着水涨船高。</w:t>
      </w:r>
    </w:p>
    <w:p>
      <w:pPr>
        <w:pStyle w:val="50"/>
        <w:keepNext w:val="0"/>
        <w:keepLines w:val="0"/>
        <w:pageBreakBefore w:val="0"/>
        <w:kinsoku/>
        <w:wordWrap/>
        <w:overflowPunct/>
        <w:topLinePunct w:val="0"/>
        <w:bidi w:val="0"/>
        <w:spacing w:line="360" w:lineRule="auto"/>
        <w:ind w:left="0" w:leftChars="0" w:firstLine="488" w:firstLineChars="200"/>
        <w:textAlignment w:val="auto"/>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针对客车通道引道测量装置的溯源，国内部分省区通过制动相应的省级地方检定规程或校准规范，部分省区则制定相应的校准方法文件，甚至有部分省区因为技术依据的缺乏而不开展这一项目，这各省“各自为政”的表现，容易出现执行标准的差异化，为汽车检测带来巨大的安全风险隐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综合上述的各方面因素，鉴于客车通道引道测量装置的广泛使用，制定校准规范文件，是必要的，对规范汽车检测行业运作，促进汽车检测行业发展有着非常迫切的需求和重要的意义。</w:t>
      </w:r>
    </w:p>
    <w:p>
      <w:pPr>
        <w:pStyle w:val="18"/>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客车通道引道测量装置在我国应用已经普及，国内部分技术结构也进行了校准方法的研究与实践。广东省院对客车通道引道测量装置的校准方法开展立项研究；国家质检总局和交通部门对客车通道引道测量装置的使用也有相应的技术法规，仪器所要求的技术指标已明确列出，这些都为客车通道引道测量装置校准规范的制定创造了良好的条件。</w:t>
      </w:r>
    </w:p>
    <w:p>
      <w:pPr>
        <w:spacing w:line="360" w:lineRule="auto"/>
        <w:ind w:firstLine="480" w:firstLineChars="200"/>
        <w:rPr>
          <w:rFonts w:hint="eastAsia" w:cs="Times New Roman" w:asciiTheme="minorEastAsia" w:hAnsiTheme="minorEastAsia" w:eastAsiaTheme="minorEastAsia"/>
          <w:kern w:val="2"/>
          <w:sz w:val="24"/>
          <w:szCs w:val="24"/>
          <w:lang w:val="en-US" w:eastAsia="zh-CN" w:bidi="ar-SA"/>
        </w:rPr>
      </w:pPr>
      <w:r>
        <w:rPr>
          <w:rFonts w:hint="eastAsia" w:cs="Times New Roman" w:asciiTheme="minorEastAsia" w:hAnsiTheme="minorEastAsia" w:eastAsiaTheme="minorEastAsia"/>
          <w:kern w:val="2"/>
          <w:sz w:val="24"/>
          <w:szCs w:val="24"/>
          <w:lang w:val="en-US" w:eastAsia="zh-CN" w:bidi="ar-SA"/>
        </w:rPr>
        <w:t>中华人民共和国国家标准GB 13094-2017《客车结构安全要求》GB 24407-2012《专用校车安全技术条件》、GB 7258-2017《机动车运行安全技术条件》和GB 38900-2019《机动车安全技术检验项目和方法》规定了客车通道、引道测量装置的分类、型号、技术要求、试验方法、检验规则及标志、包装、运输、贮存、等内容。</w:t>
      </w:r>
    </w:p>
    <w:p>
      <w:pPr>
        <w:pStyle w:val="18"/>
        <w:keepNext w:val="0"/>
        <w:keepLines w:val="0"/>
        <w:widowControl w:val="0"/>
        <w:suppressLineNumbers w:val="0"/>
        <w:adjustRightInd w:val="0"/>
        <w:snapToGrid w:val="0"/>
        <w:spacing w:before="0" w:beforeAutospacing="0" w:after="0" w:afterAutospacing="0" w:line="360" w:lineRule="auto"/>
        <w:ind w:left="0" w:right="0"/>
        <w:jc w:val="both"/>
        <w:rPr>
          <w:rFonts w:hint="eastAsia" w:ascii="黑体" w:hAnsi="宋体" w:eastAsia="黑体" w:cs="Arial"/>
          <w:b/>
          <w:bCs w:val="0"/>
          <w:sz w:val="24"/>
          <w:szCs w:val="24"/>
          <w:lang w:val="en-US"/>
        </w:rPr>
      </w:pPr>
      <w:r>
        <w:rPr>
          <w:rFonts w:hint="eastAsia" w:ascii="黑体" w:hAnsi="宋体" w:eastAsia="黑体" w:cs="Arial"/>
          <w:b/>
          <w:bCs w:val="0"/>
          <w:kern w:val="2"/>
          <w:sz w:val="24"/>
          <w:szCs w:val="24"/>
          <w:lang w:val="en-US" w:eastAsia="zh-CN" w:bidi="ar"/>
        </w:rPr>
        <w:t>三、参考的有关资料及标准</w:t>
      </w:r>
    </w:p>
    <w:p>
      <w:pPr>
        <w:spacing w:line="360" w:lineRule="auto"/>
        <w:ind w:firstLine="435"/>
        <w:rPr>
          <w:sz w:val="24"/>
          <w:szCs w:val="24"/>
        </w:rPr>
      </w:pPr>
      <w:r>
        <w:rPr>
          <w:rFonts w:hint="eastAsia"/>
          <w:sz w:val="24"/>
          <w:szCs w:val="24"/>
          <w:lang w:val="en-US" w:eastAsia="zh-CN"/>
        </w:rPr>
        <w:t>1、</w:t>
      </w:r>
      <w:r>
        <w:rPr>
          <w:sz w:val="24"/>
          <w:szCs w:val="24"/>
        </w:rPr>
        <w:t>GB 7258</w:t>
      </w:r>
      <w:r>
        <w:rPr>
          <w:rFonts w:hAnsi="宋体"/>
          <w:sz w:val="24"/>
          <w:szCs w:val="24"/>
        </w:rPr>
        <w:t>《机动车运行安全技术条件》</w:t>
      </w:r>
    </w:p>
    <w:p>
      <w:pPr>
        <w:spacing w:line="360" w:lineRule="auto"/>
        <w:ind w:firstLine="435"/>
        <w:rPr>
          <w:sz w:val="24"/>
          <w:szCs w:val="24"/>
        </w:rPr>
      </w:pPr>
      <w:r>
        <w:rPr>
          <w:rFonts w:hint="eastAsia"/>
          <w:sz w:val="24"/>
          <w:szCs w:val="24"/>
          <w:lang w:val="en-US" w:eastAsia="zh-CN"/>
        </w:rPr>
        <w:t>2、</w:t>
      </w:r>
      <w:r>
        <w:rPr>
          <w:sz w:val="24"/>
          <w:szCs w:val="24"/>
        </w:rPr>
        <w:t>GB 13094</w:t>
      </w:r>
      <w:r>
        <w:rPr>
          <w:rFonts w:hAnsi="宋体"/>
          <w:sz w:val="24"/>
          <w:szCs w:val="24"/>
        </w:rPr>
        <w:t>《客车结构安全要求》</w:t>
      </w:r>
    </w:p>
    <w:p>
      <w:pPr>
        <w:spacing w:line="360" w:lineRule="auto"/>
        <w:ind w:firstLine="435"/>
        <w:rPr>
          <w:sz w:val="24"/>
          <w:szCs w:val="24"/>
        </w:rPr>
      </w:pPr>
      <w:r>
        <w:rPr>
          <w:rFonts w:hint="eastAsia"/>
          <w:sz w:val="24"/>
          <w:szCs w:val="24"/>
          <w:lang w:val="en-US" w:eastAsia="zh-CN"/>
        </w:rPr>
        <w:t>3、</w:t>
      </w:r>
      <w:r>
        <w:rPr>
          <w:sz w:val="24"/>
          <w:szCs w:val="24"/>
        </w:rPr>
        <w:t>GB 24407</w:t>
      </w:r>
      <w:r>
        <w:rPr>
          <w:rFonts w:hAnsi="宋体"/>
          <w:sz w:val="24"/>
          <w:szCs w:val="24"/>
        </w:rPr>
        <w:t>《专用校车安全技术条件》</w:t>
      </w:r>
    </w:p>
    <w:p>
      <w:pPr>
        <w:spacing w:line="360" w:lineRule="auto"/>
        <w:ind w:firstLine="435"/>
        <w:rPr>
          <w:rFonts w:hint="eastAsia" w:hAnsi="宋体"/>
          <w:sz w:val="24"/>
          <w:szCs w:val="24"/>
        </w:rPr>
      </w:pPr>
      <w:r>
        <w:rPr>
          <w:rFonts w:hint="eastAsia"/>
          <w:sz w:val="24"/>
          <w:szCs w:val="24"/>
          <w:lang w:val="en-US" w:eastAsia="zh-CN"/>
        </w:rPr>
        <w:t>4、</w:t>
      </w:r>
      <w:r>
        <w:rPr>
          <w:sz w:val="24"/>
          <w:szCs w:val="24"/>
        </w:rPr>
        <w:t xml:space="preserve">GB </w:t>
      </w:r>
      <w:r>
        <w:rPr>
          <w:rFonts w:hint="eastAsia"/>
          <w:sz w:val="24"/>
          <w:szCs w:val="24"/>
        </w:rPr>
        <w:t>38900</w:t>
      </w:r>
      <w:r>
        <w:rPr>
          <w:sz w:val="24"/>
          <w:szCs w:val="24"/>
        </w:rPr>
        <w:t>-20</w:t>
      </w:r>
      <w:r>
        <w:rPr>
          <w:rFonts w:hint="eastAsia"/>
          <w:sz w:val="24"/>
          <w:szCs w:val="24"/>
        </w:rPr>
        <w:t>20</w:t>
      </w:r>
      <w:r>
        <w:rPr>
          <w:rFonts w:hAnsi="宋体"/>
          <w:sz w:val="24"/>
          <w:szCs w:val="24"/>
        </w:rPr>
        <w:t>《机动车安全技术检验项目和方法》</w:t>
      </w:r>
    </w:p>
    <w:p>
      <w:pPr>
        <w:spacing w:line="360" w:lineRule="auto"/>
        <w:ind w:firstLine="480" w:firstLineChars="200"/>
        <w:rPr>
          <w:rFonts w:hint="eastAsia" w:hAnsi="宋体"/>
          <w:sz w:val="24"/>
          <w:szCs w:val="24"/>
        </w:rPr>
      </w:pPr>
      <w:r>
        <w:rPr>
          <w:rFonts w:hint="eastAsia" w:hAnsi="宋体"/>
          <w:sz w:val="24"/>
          <w:szCs w:val="24"/>
          <w:lang w:val="en-US" w:eastAsia="zh-CN"/>
        </w:rPr>
        <w:t>5、</w:t>
      </w:r>
      <w:r>
        <w:rPr>
          <w:rFonts w:hint="eastAsia" w:hAnsi="宋体"/>
          <w:sz w:val="24"/>
          <w:szCs w:val="24"/>
        </w:rPr>
        <w:t>T/CMA JD025-2020 《客车、专用校车乘客通道和引道量规通用技术要求》</w:t>
      </w:r>
    </w:p>
    <w:p>
      <w:pPr>
        <w:pStyle w:val="77"/>
        <w:widowControl/>
        <w:snapToGrid w:val="0"/>
        <w:spacing w:line="360" w:lineRule="auto"/>
        <w:ind w:left="0" w:firstLine="56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w:t>
      </w:r>
      <w:r>
        <w:rPr>
          <w:rFonts w:hint="default" w:ascii="Times New Roman" w:hAnsi="Times New Roman" w:eastAsia="宋体" w:cs="Times New Roman"/>
          <w:kern w:val="2"/>
          <w:sz w:val="24"/>
          <w:szCs w:val="24"/>
          <w:lang w:val="en-US" w:eastAsia="zh-CN" w:bidi="ar-SA"/>
        </w:rPr>
        <w:t xml:space="preserve">JJF 1001－2011《通用计量术语及定义》 </w:t>
      </w:r>
    </w:p>
    <w:p>
      <w:pPr>
        <w:pStyle w:val="77"/>
        <w:widowControl/>
        <w:snapToGrid w:val="0"/>
        <w:spacing w:line="360" w:lineRule="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7、</w:t>
      </w:r>
      <w:r>
        <w:rPr>
          <w:rFonts w:hint="default" w:ascii="Times New Roman" w:hAnsi="Times New Roman" w:eastAsia="宋体" w:cs="Times New Roman"/>
          <w:kern w:val="2"/>
          <w:sz w:val="24"/>
          <w:szCs w:val="24"/>
          <w:lang w:val="en-US" w:eastAsia="zh-CN" w:bidi="ar-SA"/>
        </w:rPr>
        <w:t xml:space="preserve">JJF 1071－2010《国家计量校准规范编写规则》 </w:t>
      </w:r>
    </w:p>
    <w:p>
      <w:pPr>
        <w:pStyle w:val="77"/>
        <w:widowControl/>
        <w:snapToGrid w:val="0"/>
        <w:spacing w:line="360" w:lineRule="auto"/>
        <w:ind w:left="0" w:firstLine="56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8</w:t>
      </w:r>
      <w:r>
        <w:rPr>
          <w:rFonts w:hint="default" w:ascii="Times New Roman" w:hAnsi="Times New Roman" w:eastAsia="宋体" w:cs="Times New Roman"/>
          <w:kern w:val="2"/>
          <w:sz w:val="24"/>
          <w:szCs w:val="24"/>
          <w:lang w:val="en-US" w:eastAsia="zh-CN" w:bidi="ar-SA"/>
        </w:rPr>
        <w:t xml:space="preserve">、JJF 1059.1－2012《测量不确定度评定与表示》 </w:t>
      </w:r>
    </w:p>
    <w:p>
      <w:pPr>
        <w:keepNext w:val="0"/>
        <w:keepLines w:val="0"/>
        <w:widowControl w:val="0"/>
        <w:numPr>
          <w:numId w:val="0"/>
        </w:numPr>
        <w:suppressLineNumbers w:val="0"/>
        <w:tabs>
          <w:tab w:val="left" w:pos="-360"/>
        </w:tabs>
        <w:snapToGrid w:val="0"/>
        <w:spacing w:before="0" w:beforeAutospacing="0" w:after="0" w:afterAutospacing="0" w:line="360" w:lineRule="auto"/>
        <w:ind w:leftChars="0" w:right="0" w:rightChars="0"/>
        <w:jc w:val="both"/>
        <w:rPr>
          <w:rFonts w:hint="eastAsia" w:ascii="黑体" w:hAnsi="宋体" w:eastAsia="黑体" w:cs="Arial"/>
          <w:b/>
          <w:bCs w:val="0"/>
          <w:kern w:val="2"/>
          <w:sz w:val="24"/>
          <w:szCs w:val="24"/>
          <w:lang w:val="en-US" w:eastAsia="zh-CN" w:bidi="ar"/>
        </w:rPr>
      </w:pPr>
      <w:r>
        <w:rPr>
          <w:rFonts w:hint="eastAsia" w:ascii="黑体" w:hAnsi="宋体" w:eastAsia="黑体" w:cs="Arial"/>
          <w:b/>
          <w:bCs w:val="0"/>
          <w:kern w:val="2"/>
          <w:sz w:val="24"/>
          <w:szCs w:val="24"/>
          <w:lang w:val="en-US" w:eastAsia="zh-CN" w:bidi="ar"/>
        </w:rPr>
        <w:t>四、</w:t>
      </w:r>
      <w:r>
        <w:rPr>
          <w:rFonts w:hint="eastAsia" w:ascii="黑体" w:hAnsi="宋体" w:eastAsia="黑体" w:cs="Arial"/>
          <w:b/>
          <w:bCs w:val="0"/>
          <w:kern w:val="2"/>
          <w:sz w:val="24"/>
          <w:szCs w:val="24"/>
          <w:lang w:val="en-US" w:eastAsia="zh-CN" w:bidi="ar"/>
        </w:rPr>
        <w:t>编制依据</w:t>
      </w:r>
    </w:p>
    <w:p>
      <w:pPr>
        <w:pStyle w:val="77"/>
        <w:widowControl/>
        <w:snapToGrid w:val="0"/>
        <w:spacing w:line="360" w:lineRule="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本规范的编写格式依据JJF1071-2010《国家计量校准规范编写规则》，计量术语符合JJF1001-2010《通用计量术语及定义》，测量不确定度评定与表示符合JJF 1059.1-2012《测量不确定度评定与表示》的要求。</w:t>
      </w:r>
    </w:p>
    <w:p>
      <w:pPr>
        <w:pStyle w:val="77"/>
        <w:widowControl/>
        <w:snapToGrid w:val="0"/>
        <w:spacing w:line="360" w:lineRule="auto"/>
        <w:rPr>
          <w:rFonts w:hint="eastAsia" w:ascii="Times New Roman"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本规范结合GB 13094-2017《客车结构安全要求》、GB 24407-2012《专用校车安全技术条件》、GB 38900-2019《机动车安全技术检验项目和方法》和T/CMA JD025-2020 《客车、专用校车乘客通道和引道量规通用技术要求》的技术要求</w:t>
      </w:r>
      <w:r>
        <w:rPr>
          <w:rFonts w:hint="eastAsia" w:ascii="Times New Roman" w:cs="Times New Roman"/>
          <w:kern w:val="2"/>
          <w:sz w:val="24"/>
          <w:szCs w:val="24"/>
          <w:lang w:val="en-US" w:eastAsia="zh-CN" w:bidi="ar-SA"/>
        </w:rPr>
        <w:t>进行制定。</w:t>
      </w:r>
    </w:p>
    <w:p>
      <w:pPr>
        <w:keepNext w:val="0"/>
        <w:keepLines w:val="0"/>
        <w:widowControl w:val="0"/>
        <w:numPr>
          <w:ilvl w:val="0"/>
          <w:numId w:val="0"/>
        </w:numPr>
        <w:suppressLineNumbers w:val="0"/>
        <w:tabs>
          <w:tab w:val="left" w:pos="-360"/>
        </w:tabs>
        <w:snapToGrid w:val="0"/>
        <w:spacing w:before="0" w:beforeAutospacing="0" w:after="0" w:afterAutospacing="0" w:line="360" w:lineRule="auto"/>
        <w:ind w:leftChars="0" w:right="0" w:rightChars="0"/>
        <w:jc w:val="both"/>
        <w:rPr>
          <w:rFonts w:hint="eastAsia" w:ascii="黑体" w:hAnsi="宋体" w:eastAsia="黑体" w:cs="Arial"/>
          <w:b/>
          <w:bCs w:val="0"/>
          <w:kern w:val="2"/>
          <w:sz w:val="24"/>
          <w:szCs w:val="24"/>
          <w:lang w:val="en-US" w:eastAsia="zh-CN" w:bidi="ar"/>
        </w:rPr>
      </w:pPr>
      <w:r>
        <w:rPr>
          <w:rFonts w:hint="eastAsia" w:ascii="黑体" w:hAnsi="宋体" w:eastAsia="黑体" w:cs="Arial"/>
          <w:b/>
          <w:bCs w:val="0"/>
          <w:kern w:val="2"/>
          <w:sz w:val="24"/>
          <w:szCs w:val="24"/>
          <w:lang w:val="en-US" w:eastAsia="zh-CN" w:bidi="ar"/>
        </w:rPr>
        <w:t>五、编制原则</w:t>
      </w:r>
    </w:p>
    <w:p>
      <w:pPr>
        <w:pStyle w:val="18"/>
        <w:keepNext w:val="0"/>
        <w:keepLines w:val="0"/>
        <w:widowControl/>
        <w:suppressLineNumbers w:val="0"/>
        <w:tabs>
          <w:tab w:val="left" w:pos="2100"/>
          <w:tab w:val="left" w:pos="2205"/>
          <w:tab w:val="left" w:pos="2837"/>
          <w:tab w:val="left" w:pos="3045"/>
        </w:tabs>
        <w:autoSpaceDE w:val="0"/>
        <w:autoSpaceDN w:val="0"/>
        <w:snapToGrid w:val="0"/>
        <w:spacing w:before="0" w:beforeAutospacing="0" w:after="0" w:afterAutospacing="0" w:line="360" w:lineRule="auto"/>
        <w:ind w:left="0" w:right="0" w:firstLine="0" w:firstLineChars="0"/>
        <w:jc w:val="both"/>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w:t>
      </w:r>
      <w:r>
        <w:rPr>
          <w:rFonts w:hint="eastAsia" w:ascii="Times New Roman" w:hAnsi="Times New Roman" w:eastAsia="宋体" w:cs="Times New Roman"/>
          <w:kern w:val="2"/>
          <w:sz w:val="24"/>
          <w:szCs w:val="24"/>
          <w:lang w:val="en-US" w:eastAsia="zh-CN" w:bidi="ar-SA"/>
        </w:rPr>
        <w:t>、校准规范整个内容与现行相关标准相协调，技术内容应具有先进性、科学性和可操作性。使本校准规范具有通用性。</w:t>
      </w:r>
    </w:p>
    <w:p>
      <w:pPr>
        <w:pStyle w:val="18"/>
        <w:keepNext w:val="0"/>
        <w:keepLines w:val="0"/>
        <w:widowControl/>
        <w:suppressLineNumbers w:val="0"/>
        <w:tabs>
          <w:tab w:val="left" w:pos="2100"/>
          <w:tab w:val="left" w:pos="2205"/>
          <w:tab w:val="left" w:pos="2837"/>
          <w:tab w:val="left" w:pos="3045"/>
        </w:tabs>
        <w:autoSpaceDE w:val="0"/>
        <w:autoSpaceDN w:val="0"/>
        <w:snapToGrid w:val="0"/>
        <w:spacing w:before="0" w:beforeAutospacing="0" w:after="0" w:afterAutospacing="0" w:line="360" w:lineRule="auto"/>
        <w:ind w:left="0" w:right="0" w:firstLine="0" w:firstLineChars="0"/>
        <w:jc w:val="both"/>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w:t>
      </w:r>
      <w:r>
        <w:rPr>
          <w:rFonts w:hint="eastAsia" w:ascii="Times New Roman" w:hAnsi="Times New Roman" w:eastAsia="宋体" w:cs="Times New Roman"/>
          <w:kern w:val="2"/>
          <w:sz w:val="24"/>
          <w:szCs w:val="24"/>
          <w:lang w:val="en-US" w:eastAsia="zh-CN" w:bidi="ar-SA"/>
        </w:rPr>
        <w:t>、在充分调研的基础上，根据实际情况，确定被检客车通道、引道测量装置的计量性能要求、校准条件、校准项目、校准方法等。</w:t>
      </w:r>
    </w:p>
    <w:p>
      <w:pPr>
        <w:pStyle w:val="18"/>
        <w:keepNext w:val="0"/>
        <w:keepLines w:val="0"/>
        <w:widowControl/>
        <w:suppressLineNumbers w:val="0"/>
        <w:tabs>
          <w:tab w:val="left" w:pos="2100"/>
          <w:tab w:val="left" w:pos="2205"/>
          <w:tab w:val="left" w:pos="2837"/>
          <w:tab w:val="left" w:pos="3045"/>
        </w:tabs>
        <w:autoSpaceDE w:val="0"/>
        <w:autoSpaceDN w:val="0"/>
        <w:snapToGrid w:val="0"/>
        <w:spacing w:before="0" w:beforeAutospacing="0" w:after="0" w:afterAutospacing="0" w:line="360" w:lineRule="auto"/>
        <w:ind w:left="1" w:right="0" w:firstLine="0" w:firstLineChars="0"/>
        <w:jc w:val="both"/>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3</w:t>
      </w:r>
      <w:r>
        <w:rPr>
          <w:rFonts w:hint="eastAsia" w:ascii="Times New Roman" w:hAnsi="Times New Roman" w:eastAsia="宋体" w:cs="Times New Roman"/>
          <w:kern w:val="2"/>
          <w:sz w:val="24"/>
          <w:szCs w:val="24"/>
          <w:lang w:val="en-US" w:eastAsia="zh-CN" w:bidi="ar-SA"/>
        </w:rPr>
        <w:t>、规范中的校准方法应通过实验验证，力求方法简单科学，准确可靠。</w:t>
      </w:r>
    </w:p>
    <w:p>
      <w:pPr>
        <w:pStyle w:val="18"/>
        <w:keepNext w:val="0"/>
        <w:keepLines w:val="0"/>
        <w:widowControl/>
        <w:suppressLineNumbers w:val="0"/>
        <w:tabs>
          <w:tab w:val="left" w:pos="2100"/>
          <w:tab w:val="left" w:pos="2205"/>
          <w:tab w:val="left" w:pos="2837"/>
          <w:tab w:val="left" w:pos="3045"/>
        </w:tabs>
        <w:autoSpaceDE w:val="0"/>
        <w:autoSpaceDN w:val="0"/>
        <w:snapToGrid w:val="0"/>
        <w:spacing w:before="0" w:beforeAutospacing="0" w:after="0" w:afterAutospacing="0" w:line="360" w:lineRule="auto"/>
        <w:ind w:left="0" w:right="0" w:firstLine="0" w:firstLineChars="0"/>
        <w:jc w:val="both"/>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4</w:t>
      </w:r>
      <w:r>
        <w:rPr>
          <w:rFonts w:hint="eastAsia" w:ascii="Times New Roman" w:hAnsi="Times New Roman" w:eastAsia="宋体" w:cs="Times New Roman"/>
          <w:kern w:val="2"/>
          <w:sz w:val="24"/>
          <w:szCs w:val="24"/>
          <w:lang w:val="en-US" w:eastAsia="zh-CN" w:bidi="ar-SA"/>
        </w:rPr>
        <w:t>、规范中的文字表述力求层次分明，语句简明，公式表达准确，量和单位使用规范。</w:t>
      </w:r>
    </w:p>
    <w:p>
      <w:pPr>
        <w:keepNext w:val="0"/>
        <w:keepLines w:val="0"/>
        <w:widowControl w:val="0"/>
        <w:numPr>
          <w:ilvl w:val="0"/>
          <w:numId w:val="0"/>
        </w:numPr>
        <w:suppressLineNumbers w:val="0"/>
        <w:tabs>
          <w:tab w:val="left" w:pos="-360"/>
        </w:tabs>
        <w:snapToGrid w:val="0"/>
        <w:spacing w:before="0" w:beforeAutospacing="0" w:after="0" w:afterAutospacing="0" w:line="360" w:lineRule="auto"/>
        <w:ind w:leftChars="0" w:right="0" w:rightChars="0"/>
        <w:jc w:val="both"/>
        <w:rPr>
          <w:rFonts w:hint="eastAsia" w:ascii="黑体" w:hAnsi="宋体" w:eastAsia="黑体" w:cs="Arial"/>
          <w:b/>
          <w:bCs w:val="0"/>
          <w:kern w:val="2"/>
          <w:sz w:val="24"/>
          <w:szCs w:val="24"/>
          <w:lang w:val="en-US" w:eastAsia="zh-CN" w:bidi="ar"/>
        </w:rPr>
      </w:pPr>
      <w:r>
        <w:rPr>
          <w:rFonts w:hint="eastAsia" w:ascii="黑体" w:hAnsi="宋体" w:eastAsia="黑体" w:cs="Arial"/>
          <w:b/>
          <w:bCs w:val="0"/>
          <w:kern w:val="2"/>
          <w:sz w:val="24"/>
          <w:szCs w:val="24"/>
          <w:lang w:val="en-US" w:eastAsia="zh-CN" w:bidi="ar"/>
        </w:rPr>
        <w:t>六、内容说明</w:t>
      </w:r>
    </w:p>
    <w:p>
      <w:pPr>
        <w:keepNext w:val="0"/>
        <w:keepLines w:val="0"/>
        <w:widowControl w:val="0"/>
        <w:numPr>
          <w:numId w:val="0"/>
        </w:numPr>
        <w:suppressLineNumbers w:val="0"/>
        <w:tabs>
          <w:tab w:val="left" w:pos="-360"/>
        </w:tabs>
        <w:snapToGrid w:val="0"/>
        <w:spacing w:before="0" w:beforeAutospacing="0" w:after="0" w:afterAutospacing="0" w:line="360" w:lineRule="auto"/>
        <w:ind w:leftChars="0" w:right="0" w:rightChars="0"/>
        <w:jc w:val="both"/>
        <w:rPr>
          <w:rFonts w:hint="eastAsia"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1、</w:t>
      </w:r>
      <w:r>
        <w:rPr>
          <w:rFonts w:hint="eastAsia" w:ascii="Times New Roman" w:hAnsi="Times New Roman" w:eastAsia="宋体" w:cs="Times New Roman"/>
          <w:kern w:val="2"/>
          <w:sz w:val="24"/>
          <w:szCs w:val="24"/>
          <w:lang w:val="en-US" w:eastAsia="zh-CN" w:bidi="ar-SA"/>
        </w:rPr>
        <w:t>计量性能的确定</w:t>
      </w:r>
    </w:p>
    <w:p>
      <w:pPr>
        <w:pStyle w:val="18"/>
        <w:keepNext w:val="0"/>
        <w:keepLines w:val="0"/>
        <w:widowControl/>
        <w:suppressLineNumbers w:val="0"/>
        <w:tabs>
          <w:tab w:val="left" w:pos="-360"/>
        </w:tabs>
        <w:autoSpaceDE w:val="0"/>
        <w:autoSpaceDN w:val="0"/>
        <w:snapToGrid w:val="0"/>
        <w:spacing w:before="0" w:beforeAutospacing="0" w:after="0" w:afterAutospacing="0" w:line="360" w:lineRule="auto"/>
        <w:ind w:left="0" w:right="0" w:firstLine="540" w:firstLineChars="225"/>
        <w:jc w:val="both"/>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客车通道、引道测量装置所规定的计量性能技术指标参考了GB 13094-2017《客车结构安全要求》、GB 24407-2012《专用校车安全技术条件》、GB 38900-2019《机动车安全技术检验项目和方法》和T/CMA JD025-2020 《客车、专用校车乘客通道和引道量规通用技术要求》的计量性能要求，并统筹考虑的技术现状、现有相关标准、及各厂家客车通道、引道测量装置的使用说明书所给指标，对国内各主要生产企业多种类的多台客车通道、引道测量装置进行实验（详细见试验报告），并在广泛征求同行专家的基础上确定的。具体技术指标为：</w:t>
      </w:r>
    </w:p>
    <w:p>
      <w:pPr>
        <w:pStyle w:val="47"/>
        <w:spacing w:line="360" w:lineRule="auto"/>
        <w:ind w:firstLine="0" w:firstLineChars="0"/>
        <w:outlineLvl w:val="1"/>
        <w:rPr>
          <w:rFonts w:hint="eastAsia" w:ascii="Times New Roman" w:hAnsi="Times New Roman" w:eastAsia="宋体" w:cs="Times New Roman"/>
          <w:kern w:val="2"/>
          <w:sz w:val="24"/>
          <w:szCs w:val="24"/>
          <w:lang w:val="en-US" w:eastAsia="zh-CN" w:bidi="ar-SA"/>
        </w:rPr>
      </w:pPr>
      <w:bookmarkStart w:id="1" w:name="_Toc12273"/>
      <w:r>
        <w:rPr>
          <w:rFonts w:hint="eastAsia" w:ascii="Times New Roman" w:hAnsi="Times New Roman" w:eastAsia="宋体" w:cs="Times New Roman"/>
          <w:kern w:val="2"/>
          <w:sz w:val="24"/>
          <w:szCs w:val="24"/>
          <w:lang w:val="en-US" w:eastAsia="zh-CN" w:bidi="ar-SA"/>
        </w:rPr>
        <w:t>1.1允许误差</w:t>
      </w:r>
      <w:bookmarkEnd w:id="1"/>
    </w:p>
    <w:p>
      <w:pPr>
        <w:pStyle w:val="77"/>
        <w:tabs>
          <w:tab w:val="center" w:pos="4201"/>
          <w:tab w:val="right" w:leader="dot" w:pos="9298"/>
        </w:tabs>
        <w:spacing w:line="360" w:lineRule="auto"/>
        <w:ind w:firstLine="0" w:firstLineChars="0"/>
        <w:outlineLvl w:val="2"/>
        <w:rPr>
          <w:rFonts w:hint="eastAsia" w:ascii="Times New Roman" w:hAnsi="Times New Roman" w:eastAsia="宋体" w:cs="Times New Roman"/>
          <w:kern w:val="2"/>
          <w:sz w:val="24"/>
          <w:szCs w:val="24"/>
          <w:lang w:val="en-US" w:eastAsia="zh-CN" w:bidi="ar-SA"/>
        </w:rPr>
      </w:pPr>
      <w:bookmarkStart w:id="2" w:name="_Toc20000"/>
      <w:r>
        <w:rPr>
          <w:rFonts w:hint="eastAsia" w:ascii="Times New Roman" w:hAnsi="Times New Roman" w:eastAsia="宋体" w:cs="Times New Roman"/>
          <w:kern w:val="2"/>
          <w:sz w:val="24"/>
          <w:szCs w:val="24"/>
          <w:lang w:val="en-US" w:eastAsia="zh-CN" w:bidi="ar-SA"/>
        </w:rPr>
        <w:t>1.1.1 圆柱式测量装置</w:t>
      </w:r>
      <w:bookmarkEnd w:id="2"/>
    </w:p>
    <w:p>
      <w:pPr>
        <w:pStyle w:val="77"/>
        <w:tabs>
          <w:tab w:val="center" w:pos="4201"/>
          <w:tab w:val="right" w:leader="dot" w:pos="9298"/>
        </w:tabs>
        <w:spacing w:line="360" w:lineRule="auto"/>
        <w:ind w:firstLine="48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A) 圆柱式测量装置直径尺寸最大允许误差为其基本尺寸的＋2.5 %；</w:t>
      </w:r>
    </w:p>
    <w:p>
      <w:pPr>
        <w:pStyle w:val="77"/>
        <w:tabs>
          <w:tab w:val="center" w:pos="4201"/>
          <w:tab w:val="right" w:leader="dot" w:pos="9298"/>
        </w:tabs>
        <w:spacing w:line="360" w:lineRule="auto"/>
        <w:ind w:firstLine="480"/>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B)</w:t>
      </w:r>
      <w:r>
        <w:rPr>
          <w:rFonts w:hint="eastAsia" w:ascii="Times New Roman" w:hAnsi="Times New Roman" w:eastAsia="宋体" w:cs="Times New Roman"/>
          <w:kern w:val="2"/>
          <w:sz w:val="24"/>
          <w:szCs w:val="24"/>
          <w:lang w:val="en-US" w:eastAsia="zh-CN" w:bidi="ar-SA"/>
        </w:rPr>
        <w:t xml:space="preserve"> 高度尺寸最大允许误差为其基本尺寸的±1.5 % ；</w:t>
      </w:r>
    </w:p>
    <w:p>
      <w:pPr>
        <w:pStyle w:val="77"/>
        <w:tabs>
          <w:tab w:val="center" w:pos="4201"/>
          <w:tab w:val="right" w:leader="dot" w:pos="9298"/>
        </w:tabs>
        <w:spacing w:line="360" w:lineRule="auto"/>
        <w:ind w:firstLine="480"/>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C)</w:t>
      </w:r>
      <w:r>
        <w:rPr>
          <w:rFonts w:hint="eastAsia" w:ascii="Times New Roman" w:hAnsi="Times New Roman" w:eastAsia="宋体" w:cs="Times New Roman"/>
          <w:kern w:val="2"/>
          <w:sz w:val="24"/>
          <w:szCs w:val="24"/>
          <w:lang w:val="en-US" w:eastAsia="zh-CN" w:bidi="ar-SA"/>
        </w:rPr>
        <w:t xml:space="preserve"> 圆柱同一截面的半径差最大允许误差为 5 mm；</w:t>
      </w:r>
    </w:p>
    <w:p>
      <w:pPr>
        <w:pStyle w:val="77"/>
        <w:tabs>
          <w:tab w:val="center" w:pos="4201"/>
          <w:tab w:val="right" w:leader="dot" w:pos="9298"/>
        </w:tabs>
        <w:spacing w:line="360" w:lineRule="auto"/>
        <w:ind w:firstLine="480"/>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D)</w:t>
      </w:r>
      <w:r>
        <w:rPr>
          <w:rFonts w:hint="eastAsia" w:ascii="Times New Roman" w:hAnsi="Times New Roman" w:eastAsia="宋体" w:cs="Times New Roman"/>
          <w:kern w:val="2"/>
          <w:sz w:val="24"/>
          <w:szCs w:val="24"/>
          <w:lang w:val="en-US" w:eastAsia="zh-CN" w:bidi="ar-SA"/>
        </w:rPr>
        <w:t xml:space="preserve"> 圆柱不同截面的半径差最大允许误差为 3 mm；</w:t>
      </w:r>
    </w:p>
    <w:p>
      <w:pPr>
        <w:pStyle w:val="77"/>
        <w:tabs>
          <w:tab w:val="center" w:pos="4201"/>
          <w:tab w:val="right" w:leader="dot" w:pos="9298"/>
        </w:tabs>
        <w:spacing w:line="360" w:lineRule="auto"/>
        <w:ind w:firstLine="480"/>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E)</w:t>
      </w:r>
      <w:r>
        <w:rPr>
          <w:rFonts w:hint="eastAsia" w:ascii="Times New Roman" w:hAnsi="Times New Roman" w:eastAsia="宋体" w:cs="Times New Roman"/>
          <w:kern w:val="2"/>
          <w:sz w:val="24"/>
          <w:szCs w:val="24"/>
          <w:lang w:val="en-US" w:eastAsia="zh-CN" w:bidi="ar-SA"/>
        </w:rPr>
        <w:t xml:space="preserve"> 材料厚度大于 0.5 mm。</w:t>
      </w:r>
    </w:p>
    <w:p>
      <w:pPr>
        <w:pStyle w:val="77"/>
        <w:tabs>
          <w:tab w:val="center" w:pos="4201"/>
          <w:tab w:val="right" w:leader="dot" w:pos="9298"/>
        </w:tabs>
        <w:spacing w:line="360" w:lineRule="auto"/>
        <w:ind w:left="0" w:leftChars="0" w:firstLine="0" w:firstLineChars="0"/>
        <w:rPr>
          <w:rFonts w:hint="default" w:ascii="Times New Roman" w:hAnsi="Times New Roman" w:eastAsia="宋体" w:cs="Times New Roman"/>
          <w:kern w:val="2"/>
          <w:sz w:val="24"/>
          <w:szCs w:val="24"/>
          <w:lang w:val="en-US" w:eastAsia="zh-CN" w:bidi="ar-SA"/>
        </w:rPr>
      </w:pPr>
      <w:bookmarkStart w:id="3" w:name="_Toc31219"/>
      <w:r>
        <w:rPr>
          <w:rFonts w:hint="eastAsia" w:ascii="Times New Roman" w:hAnsi="Times New Roman" w:eastAsia="宋体" w:cs="Times New Roman"/>
          <w:kern w:val="2"/>
          <w:sz w:val="24"/>
          <w:szCs w:val="24"/>
          <w:lang w:val="en-US" w:eastAsia="zh-CN" w:bidi="ar-SA"/>
        </w:rPr>
        <w:t>1.1.2平板式测量装置</w:t>
      </w:r>
      <w:bookmarkEnd w:id="3"/>
    </w:p>
    <w:p>
      <w:pPr>
        <w:pStyle w:val="77"/>
        <w:numPr>
          <w:ilvl w:val="0"/>
          <w:numId w:val="2"/>
        </w:numPr>
        <w:tabs>
          <w:tab w:val="center" w:pos="4201"/>
          <w:tab w:val="right" w:leader="dot" w:pos="9298"/>
        </w:tabs>
        <w:spacing w:line="360" w:lineRule="auto"/>
        <w:ind w:firstLine="48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平板式测量装置宽度尺寸最大允许误差为其基本尺寸的＋1.5 %；</w:t>
      </w:r>
    </w:p>
    <w:p>
      <w:pPr>
        <w:pStyle w:val="77"/>
        <w:numPr>
          <w:ilvl w:val="0"/>
          <w:numId w:val="2"/>
        </w:numPr>
        <w:tabs>
          <w:tab w:val="center" w:pos="4201"/>
          <w:tab w:val="right" w:leader="dot" w:pos="9298"/>
        </w:tabs>
        <w:spacing w:line="360" w:lineRule="auto"/>
        <w:ind w:left="0" w:leftChars="0" w:firstLine="480" w:firstLineChars="20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高度尺寸最大允许误差为其基本尺寸的±1.5 % ；</w:t>
      </w:r>
    </w:p>
    <w:p>
      <w:pPr>
        <w:pStyle w:val="77"/>
        <w:numPr>
          <w:ilvl w:val="0"/>
          <w:numId w:val="2"/>
        </w:numPr>
        <w:tabs>
          <w:tab w:val="center" w:pos="4201"/>
          <w:tab w:val="right" w:leader="dot" w:pos="9298"/>
        </w:tabs>
        <w:spacing w:line="360" w:lineRule="auto"/>
        <w:ind w:left="0" w:leftChars="0" w:firstLine="480" w:firstLineChars="20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测量面直线度最大允许误差为3 mm；</w:t>
      </w:r>
    </w:p>
    <w:p>
      <w:pPr>
        <w:pStyle w:val="77"/>
        <w:numPr>
          <w:ilvl w:val="0"/>
          <w:numId w:val="2"/>
        </w:numPr>
        <w:tabs>
          <w:tab w:val="center" w:pos="4201"/>
          <w:tab w:val="right" w:leader="dot" w:pos="9298"/>
        </w:tabs>
        <w:spacing w:line="360" w:lineRule="auto"/>
        <w:ind w:left="0" w:leftChars="0" w:firstLine="480" w:firstLineChars="20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厚度基本尺寸为H</w:t>
      </w: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 xml:space="preserve">H 取值范围为（7 </w:t>
      </w: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 xml:space="preserve"> 20）mm。</w:t>
      </w:r>
    </w:p>
    <w:p>
      <w:pPr>
        <w:pStyle w:val="77"/>
        <w:numPr>
          <w:numId w:val="0"/>
        </w:numPr>
        <w:tabs>
          <w:tab w:val="center" w:pos="4201"/>
          <w:tab w:val="right" w:leader="dot" w:pos="9298"/>
        </w:tabs>
        <w:spacing w:line="360" w:lineRule="auto"/>
        <w:ind w:right="0" w:right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2、检定方法的确定</w:t>
      </w:r>
    </w:p>
    <w:p>
      <w:pPr>
        <w:pStyle w:val="77"/>
        <w:keepNext w:val="0"/>
        <w:keepLines w:val="0"/>
        <w:pageBreakBefore w:val="0"/>
        <w:widowControl/>
        <w:numPr>
          <w:numId w:val="0"/>
        </w:numPr>
        <w:tabs>
          <w:tab w:val="center" w:pos="4201"/>
          <w:tab w:val="right" w:leader="dot" w:pos="9298"/>
        </w:tabs>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本检定方法参考了T/CMA JD025-2020 《客车、专用校车乘客通道和引道量规通用技术要求》团体标准，考虑国内客车通道、引道测量装置的主要生产厂家的使用说明书、客车通道、引道测量装置实际需要等相关内容并结合国内生产实际，结合实际校准工作经验，使用游标卡尺、长爪卡尺、π尺、钢卷尺、钢直尺、水平尺、楔形塞尺和激光测距仪等仪器设备，以满足计量性能指标校准需求，保证被校准客车通道、引道测量装置量值传递要求。</w:t>
      </w:r>
    </w:p>
    <w:p>
      <w:pPr>
        <w:pStyle w:val="77"/>
        <w:keepNext w:val="0"/>
        <w:keepLines w:val="0"/>
        <w:pageBreakBefore w:val="0"/>
        <w:widowControl/>
        <w:numPr>
          <w:numId w:val="0"/>
        </w:numPr>
        <w:tabs>
          <w:tab w:val="center" w:pos="4201"/>
          <w:tab w:val="right" w:leader="dot" w:pos="9298"/>
        </w:tabs>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本校准方法既具有实际可操作性又具有科学合理性，既可方便现场工作需要，又满足量传要求。</w:t>
      </w:r>
    </w:p>
    <w:p>
      <w:pPr>
        <w:keepNext w:val="0"/>
        <w:keepLines w:val="0"/>
        <w:widowControl w:val="0"/>
        <w:suppressLineNumbers w:val="0"/>
        <w:snapToGrid w:val="0"/>
        <w:spacing w:before="0" w:beforeAutospacing="0" w:after="0" w:afterAutospacing="0" w:line="360" w:lineRule="auto"/>
        <w:ind w:left="0" w:right="0"/>
        <w:jc w:val="both"/>
        <w:rPr>
          <w:rFonts w:ascii="黑体" w:hAnsi="黑体" w:eastAsia="黑体"/>
          <w:sz w:val="24"/>
          <w:szCs w:val="24"/>
        </w:rPr>
      </w:pPr>
      <w:r>
        <w:rPr>
          <w:rFonts w:hint="eastAsia" w:ascii="黑体" w:hAnsi="黑体" w:eastAsia="黑体"/>
          <w:sz w:val="24"/>
          <w:szCs w:val="24"/>
          <w:lang w:val="en-US" w:eastAsia="zh-CN"/>
        </w:rPr>
        <w:t>七</w:t>
      </w:r>
      <w:r>
        <w:rPr>
          <w:rFonts w:hint="eastAsia" w:ascii="黑体" w:hAnsi="黑体" w:eastAsia="黑体"/>
          <w:sz w:val="24"/>
          <w:szCs w:val="24"/>
        </w:rPr>
        <w:t>、</w:t>
      </w:r>
      <w:r>
        <w:rPr>
          <w:rFonts w:hint="eastAsia" w:ascii="黑体" w:hAnsi="黑体" w:eastAsia="黑体"/>
          <w:sz w:val="24"/>
          <w:szCs w:val="24"/>
          <w:lang w:val="en-US" w:eastAsia="zh-CN"/>
        </w:rPr>
        <w:t>工作简要过程</w:t>
      </w:r>
      <w:r>
        <w:rPr>
          <w:rFonts w:hint="eastAsia" w:ascii="黑体" w:hAnsi="黑体" w:eastAsia="黑体"/>
          <w:sz w:val="24"/>
          <w:szCs w:val="24"/>
        </w:rPr>
        <w:t>及参与人员分工</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.1</w:t>
      </w:r>
      <w:r>
        <w:rPr>
          <w:rFonts w:hint="eastAsia" w:asciiTheme="minorEastAsia" w:hAnsiTheme="minorEastAsia" w:eastAsiaTheme="minorEastAsia"/>
          <w:sz w:val="24"/>
          <w:szCs w:val="24"/>
          <w:lang w:val="en-US" w:eastAsia="zh-CN"/>
        </w:rPr>
        <w:t>工作</w:t>
      </w:r>
      <w:r>
        <w:rPr>
          <w:rFonts w:hint="eastAsia" w:asciiTheme="minorEastAsia" w:hAnsiTheme="minorEastAsia" w:eastAsiaTheme="minorEastAsia"/>
          <w:sz w:val="24"/>
          <w:szCs w:val="24"/>
        </w:rPr>
        <w:t>进度安排如下：</w:t>
      </w:r>
    </w:p>
    <w:p>
      <w:pPr>
        <w:pStyle w:val="77"/>
        <w:keepNext w:val="0"/>
        <w:keepLines w:val="0"/>
        <w:pageBreakBefore w:val="0"/>
        <w:widowControl/>
        <w:numPr>
          <w:ilvl w:val="0"/>
          <w:numId w:val="0"/>
        </w:numPr>
        <w:tabs>
          <w:tab w:val="center" w:pos="4201"/>
          <w:tab w:val="right" w:leader="dot" w:pos="9298"/>
        </w:tabs>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起草小组成立后，主要完成了以下工作：</w:t>
      </w:r>
    </w:p>
    <w:p>
      <w:pPr>
        <w:pStyle w:val="77"/>
        <w:keepNext w:val="0"/>
        <w:keepLines w:val="0"/>
        <w:pageBreakBefore w:val="0"/>
        <w:widowControl/>
        <w:numPr>
          <w:ilvl w:val="0"/>
          <w:numId w:val="0"/>
        </w:numPr>
        <w:tabs>
          <w:tab w:val="center" w:pos="4201"/>
          <w:tab w:val="right" w:leader="dot" w:pos="9298"/>
        </w:tabs>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20</w:t>
      </w:r>
      <w:r>
        <w:rPr>
          <w:rFonts w:hint="eastAsia" w:ascii="Times New Roman" w:hAnsi="Times New Roman" w:eastAsia="宋体" w:cs="Times New Roman"/>
          <w:kern w:val="2"/>
          <w:sz w:val="24"/>
          <w:szCs w:val="24"/>
          <w:lang w:val="en-US" w:eastAsia="zh-CN" w:bidi="ar-SA"/>
        </w:rPr>
        <w:t>20年5月</w:t>
      </w:r>
      <w:r>
        <w:rPr>
          <w:rFonts w:hint="default" w:ascii="Times New Roman" w:hAnsi="Times New Roman" w:eastAsia="宋体"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～7月收集资料与调研国内外标准的适用性。</w:t>
      </w:r>
    </w:p>
    <w:p>
      <w:pPr>
        <w:pStyle w:val="77"/>
        <w:keepNext w:val="0"/>
        <w:keepLines w:val="0"/>
        <w:pageBreakBefore w:val="0"/>
        <w:widowControl/>
        <w:numPr>
          <w:ilvl w:val="0"/>
          <w:numId w:val="0"/>
        </w:numPr>
        <w:tabs>
          <w:tab w:val="center" w:pos="4201"/>
          <w:tab w:val="right" w:leader="dot" w:pos="9298"/>
        </w:tabs>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20</w:t>
      </w:r>
      <w:r>
        <w:rPr>
          <w:rFonts w:hint="eastAsia" w:ascii="Times New Roman" w:hAnsi="Times New Roman" w:eastAsia="宋体" w:cs="Times New Roman"/>
          <w:kern w:val="2"/>
          <w:sz w:val="24"/>
          <w:szCs w:val="24"/>
          <w:lang w:val="en-US" w:eastAsia="zh-CN" w:bidi="ar-SA"/>
        </w:rPr>
        <w:t>20年</w:t>
      </w:r>
      <w:r>
        <w:rPr>
          <w:rFonts w:hint="default" w:ascii="Times New Roman" w:hAnsi="Times New Roman" w:eastAsia="宋体" w:cs="Times New Roman"/>
          <w:kern w:val="2"/>
          <w:sz w:val="24"/>
          <w:szCs w:val="24"/>
          <w:lang w:val="en-US" w:eastAsia="zh-CN" w:bidi="ar-SA"/>
        </w:rPr>
        <w:t>11</w:t>
      </w:r>
      <w:r>
        <w:rPr>
          <w:rFonts w:hint="eastAsia" w:ascii="Times New Roman" w:hAnsi="Times New Roman" w:eastAsia="宋体" w:cs="Times New Roman"/>
          <w:kern w:val="2"/>
          <w:sz w:val="24"/>
          <w:szCs w:val="24"/>
          <w:lang w:val="en-US" w:eastAsia="zh-CN" w:bidi="ar-SA"/>
        </w:rPr>
        <w:t>月～</w:t>
      </w:r>
      <w:r>
        <w:rPr>
          <w:rFonts w:hint="default" w:ascii="Times New Roman" w:hAnsi="Times New Roman" w:eastAsia="宋体" w:cs="Times New Roman"/>
          <w:kern w:val="2"/>
          <w:sz w:val="24"/>
          <w:szCs w:val="24"/>
          <w:lang w:val="en-US" w:eastAsia="zh-CN" w:bidi="ar-SA"/>
        </w:rPr>
        <w:t xml:space="preserve"> 12</w:t>
      </w:r>
      <w:r>
        <w:rPr>
          <w:rFonts w:hint="eastAsia" w:ascii="Times New Roman" w:hAnsi="Times New Roman" w:eastAsia="宋体" w:cs="Times New Roman"/>
          <w:kern w:val="2"/>
          <w:sz w:val="24"/>
          <w:szCs w:val="24"/>
          <w:lang w:val="en-US" w:eastAsia="zh-CN" w:bidi="ar-SA"/>
        </w:rPr>
        <w:t>月完成校准规范初稿，形成计量性能指标要求并进行检定方法的试验验证。</w:t>
      </w:r>
    </w:p>
    <w:p>
      <w:pPr>
        <w:pStyle w:val="77"/>
        <w:keepNext w:val="0"/>
        <w:keepLines w:val="0"/>
        <w:pageBreakBefore w:val="0"/>
        <w:widowControl/>
        <w:numPr>
          <w:ilvl w:val="0"/>
          <w:numId w:val="0"/>
        </w:numPr>
        <w:tabs>
          <w:tab w:val="center" w:pos="4201"/>
          <w:tab w:val="right" w:leader="dot" w:pos="9298"/>
        </w:tabs>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202</w:t>
      </w:r>
      <w:r>
        <w:rPr>
          <w:rFonts w:hint="eastAsia" w:ascii="Times New Roman" w:hAnsi="Times New Roman" w:eastAsia="宋体" w:cs="Times New Roman"/>
          <w:kern w:val="2"/>
          <w:sz w:val="24"/>
          <w:szCs w:val="24"/>
          <w:lang w:val="en-US" w:eastAsia="zh-CN" w:bidi="ar-SA"/>
        </w:rPr>
        <w:t>1年</w:t>
      </w:r>
      <w:r>
        <w:rPr>
          <w:rFonts w:hint="default" w:ascii="Times New Roman" w:hAnsi="Times New Roman" w:eastAsia="宋体" w:cs="Times New Roman"/>
          <w:kern w:val="2"/>
          <w:sz w:val="24"/>
          <w:szCs w:val="24"/>
          <w:lang w:val="en-US" w:eastAsia="zh-CN" w:bidi="ar-SA"/>
        </w:rPr>
        <w:t>1</w:t>
      </w:r>
      <w:r>
        <w:rPr>
          <w:rFonts w:hint="eastAsia" w:ascii="Times New Roman" w:hAnsi="Times New Roman" w:eastAsia="宋体" w:cs="Times New Roman"/>
          <w:kern w:val="2"/>
          <w:sz w:val="24"/>
          <w:szCs w:val="24"/>
          <w:lang w:val="en-US" w:eastAsia="zh-CN" w:bidi="ar-SA"/>
        </w:rPr>
        <w:t>月～</w:t>
      </w:r>
      <w:r>
        <w:rPr>
          <w:rFonts w:hint="default" w:ascii="Times New Roman" w:hAnsi="Times New Roman" w:eastAsia="宋体"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2月完成校准规范征求意见初稿，并在起草小组内广泛讨论论证、征求意见并组织汇总完善。</w:t>
      </w:r>
    </w:p>
    <w:p>
      <w:pPr>
        <w:pStyle w:val="77"/>
        <w:keepNext w:val="0"/>
        <w:keepLines w:val="0"/>
        <w:pageBreakBefore w:val="0"/>
        <w:widowControl/>
        <w:numPr>
          <w:ilvl w:val="0"/>
          <w:numId w:val="0"/>
        </w:numPr>
        <w:tabs>
          <w:tab w:val="center" w:pos="4201"/>
          <w:tab w:val="right" w:leader="dot" w:pos="9298"/>
        </w:tabs>
        <w:kinsoku/>
        <w:wordWrap/>
        <w:overflowPunct/>
        <w:topLinePunct w:val="0"/>
        <w:autoSpaceDE w:val="0"/>
        <w:autoSpaceDN w:val="0"/>
        <w:bidi w:val="0"/>
        <w:adjustRightInd/>
        <w:snapToGrid/>
        <w:spacing w:line="360" w:lineRule="auto"/>
        <w:ind w:right="0" w:rightChars="0" w:firstLine="480" w:firstLineChars="200"/>
        <w:textAlignment w:val="auto"/>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2020</w:t>
      </w:r>
      <w:r>
        <w:rPr>
          <w:rFonts w:hint="eastAsia" w:ascii="Times New Roman" w:hAnsi="Times New Roman" w:eastAsia="宋体" w:cs="Times New Roman"/>
          <w:kern w:val="2"/>
          <w:sz w:val="24"/>
          <w:szCs w:val="24"/>
          <w:lang w:val="en-US" w:eastAsia="zh-CN" w:bidi="ar-SA"/>
        </w:rPr>
        <w:t>年3月起草小组针对起草小组内部提出的意见建议，进行了认真汇总分析，在此基础上形成了正式征求意见稿。</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.2 人员分工</w:t>
      </w:r>
    </w:p>
    <w:tbl>
      <w:tblPr>
        <w:tblStyle w:val="20"/>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994"/>
        <w:gridCol w:w="2054"/>
        <w:gridCol w:w="1223"/>
        <w:gridCol w:w="1330"/>
        <w:gridCol w:w="1330"/>
        <w:gridCol w:w="10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52" w:hRule="atLeast"/>
          <w:jc w:val="center"/>
        </w:trPr>
        <w:tc>
          <w:tcPr>
            <w:tcW w:w="1107"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起草单位</w:t>
            </w:r>
          </w:p>
        </w:tc>
        <w:tc>
          <w:tcPr>
            <w:tcW w:w="1140"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ind w:right="-87"/>
              <w:jc w:val="center"/>
              <w:rPr>
                <w:rFonts w:hint="eastAsia" w:ascii="宋体" w:hAnsi="宋体" w:eastAsia="宋体" w:cs="宋体"/>
                <w:sz w:val="21"/>
                <w:szCs w:val="21"/>
              </w:rPr>
            </w:pPr>
            <w:r>
              <w:rPr>
                <w:rFonts w:hint="eastAsia" w:ascii="宋体" w:hAnsi="宋体" w:eastAsia="宋体" w:cs="宋体"/>
                <w:sz w:val="21"/>
                <w:szCs w:val="21"/>
              </w:rPr>
              <w:t>主要起草人姓名</w:t>
            </w:r>
          </w:p>
        </w:tc>
        <w:tc>
          <w:tcPr>
            <w:tcW w:w="679"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职称</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从事专业</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项目分工</w:t>
            </w:r>
          </w:p>
        </w:tc>
        <w:tc>
          <w:tcPr>
            <w:tcW w:w="595"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0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广东省计量科学研究院</w:t>
            </w:r>
          </w:p>
        </w:tc>
        <w:tc>
          <w:tcPr>
            <w:tcW w:w="114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杨永灿</w:t>
            </w:r>
          </w:p>
        </w:tc>
        <w:tc>
          <w:tcPr>
            <w:tcW w:w="67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高级工程师</w:t>
            </w:r>
          </w:p>
        </w:tc>
        <w:tc>
          <w:tcPr>
            <w:tcW w:w="7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力学、机动车设备检测</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统筹及编写项目文件</w:t>
            </w:r>
          </w:p>
        </w:tc>
        <w:tc>
          <w:tcPr>
            <w:tcW w:w="595"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40" w:hRule="atLeast"/>
          <w:jc w:val="center"/>
        </w:trPr>
        <w:tc>
          <w:tcPr>
            <w:tcW w:w="110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甘肃省计量研究院</w:t>
            </w:r>
          </w:p>
        </w:tc>
        <w:tc>
          <w:tcPr>
            <w:tcW w:w="114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高德成</w:t>
            </w:r>
          </w:p>
        </w:tc>
        <w:tc>
          <w:tcPr>
            <w:tcW w:w="67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kern w:val="2"/>
                <w:sz w:val="21"/>
                <w:szCs w:val="21"/>
                <w:lang w:val="en-US" w:eastAsia="zh-CN" w:bidi="ar-SA"/>
              </w:rPr>
            </w:pPr>
            <w:r>
              <w:rPr>
                <w:rFonts w:hint="eastAsia" w:ascii="宋体" w:hAnsi="宋体" w:eastAsia="宋体" w:cs="宋体"/>
                <w:sz w:val="21"/>
                <w:szCs w:val="21"/>
                <w:lang w:val="en-US" w:eastAsia="zh-CN"/>
              </w:rPr>
              <w:t>高级工程师</w:t>
            </w:r>
          </w:p>
        </w:tc>
        <w:tc>
          <w:tcPr>
            <w:tcW w:w="7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机动车设备检测</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实验分析</w:t>
            </w:r>
          </w:p>
        </w:tc>
        <w:tc>
          <w:tcPr>
            <w:tcW w:w="595"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1107" w:type="pct"/>
            <w:tcBorders>
              <w:top w:val="single" w:color="auto" w:sz="4" w:space="0"/>
              <w:left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江西省计量测试研究院</w:t>
            </w:r>
          </w:p>
        </w:tc>
        <w:tc>
          <w:tcPr>
            <w:tcW w:w="114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管锐</w:t>
            </w:r>
          </w:p>
        </w:tc>
        <w:tc>
          <w:tcPr>
            <w:tcW w:w="67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工程师</w:t>
            </w:r>
          </w:p>
        </w:tc>
        <w:tc>
          <w:tcPr>
            <w:tcW w:w="73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机动车设备检测</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line="240"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不确定度评定</w:t>
            </w:r>
          </w:p>
        </w:tc>
        <w:tc>
          <w:tcPr>
            <w:tcW w:w="595" w:type="pct"/>
            <w:tcBorders>
              <w:top w:val="single" w:color="auto" w:sz="4" w:space="0"/>
              <w:left w:val="single" w:color="auto" w:sz="4" w:space="0"/>
              <w:bottom w:val="single" w:color="auto" w:sz="4" w:space="0"/>
              <w:right w:val="single" w:color="auto" w:sz="4" w:space="0"/>
            </w:tcBorders>
            <w:vAlign w:val="center"/>
          </w:tcPr>
          <w:p>
            <w:pPr>
              <w:pStyle w:val="18"/>
              <w:spacing w:line="240" w:lineRule="atLeas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4" w:hRule="atLeast"/>
          <w:jc w:val="center"/>
        </w:trPr>
        <w:tc>
          <w:tcPr>
            <w:tcW w:w="1107"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参加起草单位</w:t>
            </w:r>
          </w:p>
        </w:tc>
        <w:tc>
          <w:tcPr>
            <w:tcW w:w="1140"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ind w:right="-87"/>
              <w:jc w:val="center"/>
              <w:rPr>
                <w:rFonts w:hint="eastAsia" w:ascii="宋体" w:hAnsi="宋体" w:eastAsia="宋体" w:cs="宋体"/>
                <w:sz w:val="21"/>
                <w:szCs w:val="21"/>
              </w:rPr>
            </w:pPr>
            <w:r>
              <w:rPr>
                <w:rFonts w:hint="eastAsia" w:ascii="宋体" w:hAnsi="宋体" w:eastAsia="宋体" w:cs="宋体"/>
                <w:sz w:val="21"/>
                <w:szCs w:val="21"/>
              </w:rPr>
              <w:t>参加起草人</w:t>
            </w:r>
          </w:p>
          <w:p>
            <w:pPr>
              <w:pStyle w:val="18"/>
              <w:spacing w:before="0" w:beforeAutospacing="0" w:after="0" w:afterAutospacing="0" w:line="240" w:lineRule="atLeast"/>
              <w:ind w:right="-108"/>
              <w:jc w:val="center"/>
              <w:rPr>
                <w:rFonts w:hint="eastAsia" w:ascii="宋体" w:hAnsi="宋体" w:eastAsia="宋体" w:cs="宋体"/>
                <w:sz w:val="21"/>
                <w:szCs w:val="21"/>
              </w:rPr>
            </w:pPr>
            <w:r>
              <w:rPr>
                <w:rFonts w:hint="eastAsia" w:ascii="宋体" w:hAnsi="宋体" w:eastAsia="宋体" w:cs="宋体"/>
                <w:sz w:val="21"/>
                <w:szCs w:val="21"/>
              </w:rPr>
              <w:t>姓名</w:t>
            </w:r>
          </w:p>
        </w:tc>
        <w:tc>
          <w:tcPr>
            <w:tcW w:w="679"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职称</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从事专业</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项目分工</w:t>
            </w:r>
          </w:p>
        </w:tc>
        <w:tc>
          <w:tcPr>
            <w:tcW w:w="595"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1107"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中国测试技术研究院</w:t>
            </w:r>
          </w:p>
        </w:tc>
        <w:tc>
          <w:tcPr>
            <w:tcW w:w="114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王晓龙</w:t>
            </w:r>
          </w:p>
        </w:tc>
        <w:tc>
          <w:tcPr>
            <w:tcW w:w="679"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工程师</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line="240" w:lineRule="atLeast"/>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机动车设备检测</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资料查阅</w:t>
            </w:r>
          </w:p>
        </w:tc>
        <w:tc>
          <w:tcPr>
            <w:tcW w:w="595"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10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广州市腾畅交通科技有限公司</w:t>
            </w:r>
          </w:p>
        </w:tc>
        <w:tc>
          <w:tcPr>
            <w:tcW w:w="114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陈文辉</w:t>
            </w:r>
          </w:p>
        </w:tc>
        <w:tc>
          <w:tcPr>
            <w:tcW w:w="67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总经理</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line="240" w:lineRule="atLeast"/>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研发</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技术项目开发</w:t>
            </w:r>
          </w:p>
        </w:tc>
        <w:tc>
          <w:tcPr>
            <w:tcW w:w="595"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10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梁山恒泰测量装置研发有限公司</w:t>
            </w:r>
          </w:p>
        </w:tc>
        <w:tc>
          <w:tcPr>
            <w:tcW w:w="114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董圣民</w:t>
            </w:r>
          </w:p>
        </w:tc>
        <w:tc>
          <w:tcPr>
            <w:tcW w:w="67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总经理</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line="240" w:lineRule="atLeast"/>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研发</w:t>
            </w:r>
          </w:p>
        </w:tc>
        <w:tc>
          <w:tcPr>
            <w:tcW w:w="738"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lang w:val="en-US" w:eastAsia="zh-CN"/>
              </w:rPr>
              <w:t>技术项目开发</w:t>
            </w:r>
          </w:p>
        </w:tc>
        <w:tc>
          <w:tcPr>
            <w:tcW w:w="595" w:type="pct"/>
            <w:tcBorders>
              <w:top w:val="single" w:color="auto" w:sz="4" w:space="0"/>
              <w:left w:val="single" w:color="auto" w:sz="4" w:space="0"/>
              <w:bottom w:val="single" w:color="auto" w:sz="4" w:space="0"/>
              <w:right w:val="single" w:color="auto" w:sz="4" w:space="0"/>
            </w:tcBorders>
            <w:vAlign w:val="center"/>
          </w:tcPr>
          <w:p>
            <w:pPr>
              <w:pStyle w:val="18"/>
              <w:spacing w:before="0" w:beforeAutospacing="0" w:after="0" w:afterAutospacing="0" w:line="240" w:lineRule="atLeast"/>
              <w:jc w:val="center"/>
              <w:rPr>
                <w:rFonts w:hint="eastAsia" w:ascii="宋体" w:hAnsi="宋体" w:eastAsia="宋体" w:cs="宋体"/>
                <w:sz w:val="21"/>
                <w:szCs w:val="21"/>
              </w:rPr>
            </w:pPr>
          </w:p>
        </w:tc>
      </w:tr>
    </w:tbl>
    <w:p>
      <w:pPr>
        <w:spacing w:line="360" w:lineRule="auto"/>
        <w:ind w:firstLine="480" w:firstLineChars="200"/>
        <w:rPr>
          <w:rFonts w:asciiTheme="minorEastAsia" w:hAnsiTheme="minorEastAsia" w:eastAsiaTheme="minorEastAsia"/>
          <w:sz w:val="24"/>
          <w:szCs w:val="24"/>
        </w:rPr>
      </w:pPr>
    </w:p>
    <w:p>
      <w:pPr>
        <w:ind w:left="-2" w:leftChars="-1" w:firstLine="523" w:firstLineChars="218"/>
        <w:rPr>
          <w:rFonts w:ascii="宋体" w:hAnsi="宋体"/>
          <w:sz w:val="24"/>
          <w:szCs w:val="24"/>
        </w:rPr>
      </w:pPr>
    </w:p>
    <w:p>
      <w:pPr>
        <w:ind w:left="-2" w:leftChars="-1" w:firstLine="523" w:firstLineChars="218"/>
        <w:rPr>
          <w:rFonts w:ascii="宋体" w:hAnsi="宋体"/>
          <w:sz w:val="24"/>
          <w:szCs w:val="24"/>
        </w:rPr>
      </w:pPr>
      <w:r>
        <w:rPr>
          <w:rFonts w:hint="eastAsia" w:ascii="宋体" w:hAnsi="宋体"/>
          <w:sz w:val="24"/>
          <w:szCs w:val="24"/>
        </w:rPr>
        <w:t xml:space="preserve"> </w:t>
      </w:r>
    </w:p>
    <w:p>
      <w:pPr>
        <w:ind w:left="-2" w:leftChars="-1" w:firstLine="523" w:firstLineChars="218"/>
        <w:rPr>
          <w:rFonts w:ascii="宋体" w:hAnsi="宋体"/>
          <w:sz w:val="24"/>
          <w:szCs w:val="24"/>
        </w:rPr>
      </w:pPr>
      <w:r>
        <w:rPr>
          <w:rFonts w:hint="eastAsia" w:ascii="宋体" w:hAnsi="宋体"/>
          <w:sz w:val="24"/>
          <w:szCs w:val="24"/>
        </w:rPr>
        <w:t xml:space="preserve"> </w:t>
      </w:r>
    </w:p>
    <w:p>
      <w:pPr>
        <w:ind w:left="-2" w:leftChars="-1" w:firstLine="7231" w:firstLineChars="3013"/>
        <w:jc w:val="right"/>
        <w:rPr>
          <w:rFonts w:ascii="宋体" w:hAnsi="宋体"/>
          <w:sz w:val="24"/>
          <w:szCs w:val="24"/>
        </w:rPr>
      </w:pPr>
      <w:r>
        <w:rPr>
          <w:rFonts w:hint="eastAsia" w:ascii="宋体" w:hAnsi="宋体"/>
          <w:sz w:val="24"/>
          <w:szCs w:val="24"/>
        </w:rPr>
        <w:t xml:space="preserve">                                                    </w:t>
      </w:r>
      <w:r>
        <w:rPr>
          <w:rFonts w:hint="eastAsia" w:ascii="宋体" w:hAnsi="宋体"/>
          <w:sz w:val="24"/>
          <w:szCs w:val="24"/>
          <w:lang w:eastAsia="zh-CN"/>
        </w:rPr>
        <w:t>《</w:t>
      </w:r>
      <w:r>
        <w:rPr>
          <w:rFonts w:hint="eastAsia" w:ascii="宋体" w:hAnsi="宋体"/>
          <w:sz w:val="24"/>
          <w:szCs w:val="24"/>
          <w:lang w:val="en-US" w:eastAsia="zh-CN"/>
        </w:rPr>
        <w:t>客车通道、引道测量装置》</w:t>
      </w:r>
      <w:r>
        <w:rPr>
          <w:rFonts w:hint="eastAsia" w:ascii="宋体" w:hAnsi="宋体"/>
          <w:sz w:val="24"/>
          <w:szCs w:val="24"/>
        </w:rPr>
        <w:t>起草小组</w:t>
      </w:r>
      <w:bookmarkStart w:id="4" w:name="_GoBack"/>
      <w:bookmarkEnd w:id="4"/>
    </w:p>
    <w:p>
      <w:pPr>
        <w:ind w:left="-2" w:leftChars="-1" w:firstLine="523" w:firstLineChars="218"/>
        <w:jc w:val="right"/>
        <w:rPr>
          <w:rFonts w:hint="eastAsia" w:ascii="宋体" w:hAnsi="宋体" w:eastAsia="宋体"/>
          <w:sz w:val="24"/>
          <w:szCs w:val="24"/>
          <w:lang w:eastAsia="zh-CN"/>
        </w:rPr>
      </w:pPr>
      <w:r>
        <w:rPr>
          <w:rFonts w:hint="eastAsia" w:ascii="宋体" w:hAnsi="宋体"/>
          <w:sz w:val="24"/>
          <w:szCs w:val="24"/>
        </w:rPr>
        <w:t xml:space="preserve">                                                             20</w:t>
      </w:r>
      <w:r>
        <w:rPr>
          <w:rFonts w:hint="eastAsia" w:ascii="宋体" w:hAnsi="宋体"/>
          <w:sz w:val="24"/>
          <w:szCs w:val="24"/>
          <w:lang w:val="en-US" w:eastAsia="zh-CN"/>
        </w:rPr>
        <w:t>21</w:t>
      </w:r>
      <w:r>
        <w:rPr>
          <w:rFonts w:hint="eastAsia" w:ascii="宋体" w:hAnsi="宋体"/>
          <w:sz w:val="24"/>
          <w:szCs w:val="24"/>
        </w:rPr>
        <w:t>-</w:t>
      </w:r>
      <w:r>
        <w:rPr>
          <w:rFonts w:hint="eastAsia" w:ascii="宋体" w:hAnsi="宋体"/>
          <w:sz w:val="24"/>
          <w:szCs w:val="24"/>
          <w:lang w:val="en-US" w:eastAsia="zh-CN"/>
        </w:rPr>
        <w:t>03</w:t>
      </w:r>
      <w:r>
        <w:rPr>
          <w:rFonts w:hint="eastAsia" w:ascii="宋体" w:hAnsi="宋体"/>
          <w:sz w:val="24"/>
          <w:szCs w:val="24"/>
        </w:rPr>
        <w:t>-0</w:t>
      </w:r>
      <w:r>
        <w:rPr>
          <w:rFonts w:hint="eastAsia" w:ascii="宋体" w:hAnsi="宋体"/>
          <w:sz w:val="24"/>
          <w:szCs w:val="24"/>
          <w:lang w:val="en-US" w:eastAsia="zh-CN"/>
        </w:rPr>
        <w:t>1</w:t>
      </w:r>
    </w:p>
    <w:p>
      <w:pPr>
        <w:spacing w:line="360" w:lineRule="auto"/>
        <w:rPr>
          <w:sz w:val="24"/>
          <w:szCs w:val="24"/>
        </w:rPr>
      </w:pPr>
    </w:p>
    <w:sectPr>
      <w:headerReference r:id="rId3" w:type="default"/>
      <w:pgSz w:w="11906" w:h="16838"/>
      <w:pgMar w:top="1418" w:right="1418" w:bottom="1418" w:left="1701" w:header="851" w:footer="851"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EUDC">
    <w:altName w:val="AMGDT"/>
    <w:panose1 w:val="00000000000000000000"/>
    <w:charset w:val="00"/>
    <w:family w:val="auto"/>
    <w:pitch w:val="default"/>
    <w:sig w:usb0="00000000" w:usb1="00000000" w:usb2="00000000" w:usb3="00000000" w:csb0="00000000" w:csb1="00000000"/>
  </w:font>
  <w:font w:name="SCM Times New Roman">
    <w:panose1 w:val="02020603050405020304"/>
    <w:charset w:val="00"/>
    <w:family w:val="auto"/>
    <w:pitch w:val="default"/>
    <w:sig w:usb0="E0002AFF" w:usb1="C0007841" w:usb2="00000009" w:usb3="00000000" w:csb0="400001FF" w:csb1="FFFF0000"/>
  </w:font>
  <w:font w:name="AMGDT">
    <w:panose1 w:val="02000400000000000000"/>
    <w:charset w:val="00"/>
    <w:family w:val="auto"/>
    <w:pitch w:val="default"/>
    <w:sig w:usb0="80000003" w:usb1="10000000" w:usb2="00000000" w:usb3="00000000" w:csb0="00000001" w:csb1="00000000"/>
  </w:font>
  <w:font w:name="@宋体">
    <w:panose1 w:val="02010600030101010101"/>
    <w:charset w:val="86"/>
    <w:family w:val="auto"/>
    <w:pitch w:val="variable"/>
    <w:sig w:usb0="000000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 w:name="@黑体">
    <w:panose1 w:val="02010609060101010101"/>
    <w:charset w:val="86"/>
    <w:family w:val="auto"/>
    <w:pitch w:val="fixed"/>
    <w:sig w:usb0="800002BF" w:usb1="38CF7CFA" w:usb2="00000016" w:usb3="00000000" w:csb0="00040001" w:csb1="00000000"/>
  </w:font>
  <w:font w:name="Courier New">
    <w:panose1 w:val="02070309020205020404"/>
    <w:charset w:val="00"/>
    <w:family w:val="auto"/>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6" w:space="0"/>
      </w:pBdr>
      <w:rPr>
        <w:sz w:val="21"/>
        <w:szCs w:val="21"/>
      </w:rPr>
    </w:pPr>
    <w:r>
      <w:rPr>
        <w:sz w:val="21"/>
        <w:szCs w:val="21"/>
      </w:rPr>
      <w:t>JJ</w:t>
    </w:r>
    <w:r>
      <w:rPr>
        <w:rFonts w:hint="eastAsia"/>
        <w:sz w:val="21"/>
        <w:szCs w:val="21"/>
        <w:lang w:val="en-US" w:eastAsia="zh-CN"/>
      </w:rPr>
      <w:t xml:space="preserve">F </w:t>
    </w:r>
    <w:r>
      <w:rPr>
        <w:sz w:val="21"/>
        <w:szCs w:val="21"/>
      </w:rPr>
      <w:t>XXX</w:t>
    </w:r>
    <w:r>
      <w:rPr>
        <w:rFonts w:hint="eastAsia"/>
        <w:sz w:val="21"/>
        <w:szCs w:val="21"/>
        <w:lang w:val="en-US" w:eastAsia="zh-CN"/>
      </w:rPr>
      <w:t>X</w:t>
    </w:r>
    <w:r>
      <w:rPr>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6E355"/>
    <w:multiLevelType w:val="singleLevel"/>
    <w:tmpl w:val="0EB6E355"/>
    <w:lvl w:ilvl="0" w:tentative="0">
      <w:start w:val="1"/>
      <w:numFmt w:val="upperLetter"/>
      <w:suff w:val="space"/>
      <w:lvlText w:val="%1)"/>
      <w:lvlJc w:val="left"/>
    </w:lvl>
  </w:abstractNum>
  <w:abstractNum w:abstractNumId="1">
    <w:nsid w:val="41BB58C5"/>
    <w:multiLevelType w:val="multilevel"/>
    <w:tmpl w:val="41BB58C5"/>
    <w:lvl w:ilvl="0" w:tentative="0">
      <w:start w:val="1"/>
      <w:numFmt w:val="none"/>
      <w:suff w:val="nothing"/>
      <w:lvlText w:val="%1"/>
      <w:lvlJc w:val="left"/>
      <w:pPr>
        <w:ind w:left="0" w:firstLine="0"/>
      </w:pPr>
      <w:rPr>
        <w:rFonts w:hint="default" w:ascii="Times New Roman" w:hAnsi="Times New Roman" w:cs="Times New Roman"/>
        <w:b/>
        <w:sz w:val="21"/>
      </w:rPr>
    </w:lvl>
    <w:lvl w:ilvl="1" w:tentative="0">
      <w:start w:val="1"/>
      <w:numFmt w:val="decimal"/>
      <w:suff w:val="nothing"/>
      <w:lvlText w:val="%1%2　"/>
      <w:lvlJc w:val="left"/>
      <w:pPr>
        <w:ind w:left="0" w:firstLine="0"/>
      </w:pPr>
      <w:rPr>
        <w:rFonts w:hint="eastAsia" w:ascii="黑体" w:hAnsi="Times New Roman" w:eastAsia="黑体" w:cs="黑体"/>
        <w:b w:val="0"/>
        <w:sz w:val="24"/>
        <w:szCs w:val="24"/>
      </w:rPr>
    </w:lvl>
    <w:lvl w:ilvl="2" w:tentative="0">
      <w:start w:val="1"/>
      <w:numFmt w:val="decimal"/>
      <w:pStyle w:val="79"/>
      <w:suff w:val="nothing"/>
      <w:lvlText w:val="%1%2.%3　"/>
      <w:lvlJc w:val="left"/>
      <w:pPr>
        <w:ind w:left="3570" w:firstLine="0"/>
      </w:pPr>
      <w:rPr>
        <w:rFonts w:hint="eastAsia" w:ascii="黑体" w:hAnsi="Times New Roman" w:eastAsia="黑体" w:cs="黑体"/>
        <w:b w:val="0"/>
        <w:sz w:val="21"/>
      </w:rPr>
    </w:lvl>
    <w:lvl w:ilvl="3" w:tentative="0">
      <w:start w:val="1"/>
      <w:numFmt w:val="decimal"/>
      <w:pStyle w:val="80"/>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EA64B7"/>
    <w:rsid w:val="00025566"/>
    <w:rsid w:val="0003192C"/>
    <w:rsid w:val="00075784"/>
    <w:rsid w:val="000C6B1A"/>
    <w:rsid w:val="000C7908"/>
    <w:rsid w:val="000D6B41"/>
    <w:rsid w:val="00103511"/>
    <w:rsid w:val="00114A93"/>
    <w:rsid w:val="001247A3"/>
    <w:rsid w:val="00127055"/>
    <w:rsid w:val="00152A49"/>
    <w:rsid w:val="00156580"/>
    <w:rsid w:val="001C3CB3"/>
    <w:rsid w:val="001C647A"/>
    <w:rsid w:val="001D6506"/>
    <w:rsid w:val="00214F67"/>
    <w:rsid w:val="00232759"/>
    <w:rsid w:val="00237F6B"/>
    <w:rsid w:val="002415FC"/>
    <w:rsid w:val="00243166"/>
    <w:rsid w:val="00262000"/>
    <w:rsid w:val="002A3FCD"/>
    <w:rsid w:val="002B23BE"/>
    <w:rsid w:val="00306D3D"/>
    <w:rsid w:val="003214E4"/>
    <w:rsid w:val="00321806"/>
    <w:rsid w:val="00322E79"/>
    <w:rsid w:val="003454F4"/>
    <w:rsid w:val="003A41C3"/>
    <w:rsid w:val="003F5887"/>
    <w:rsid w:val="00426448"/>
    <w:rsid w:val="00432E62"/>
    <w:rsid w:val="004646AB"/>
    <w:rsid w:val="004C13BB"/>
    <w:rsid w:val="004D6AC1"/>
    <w:rsid w:val="00520F59"/>
    <w:rsid w:val="00526612"/>
    <w:rsid w:val="00531D95"/>
    <w:rsid w:val="00551381"/>
    <w:rsid w:val="00563881"/>
    <w:rsid w:val="00573E92"/>
    <w:rsid w:val="005B580A"/>
    <w:rsid w:val="005D374F"/>
    <w:rsid w:val="005F028B"/>
    <w:rsid w:val="00673EEC"/>
    <w:rsid w:val="006D14AA"/>
    <w:rsid w:val="006E073D"/>
    <w:rsid w:val="006F2A98"/>
    <w:rsid w:val="006F4CEF"/>
    <w:rsid w:val="00721246"/>
    <w:rsid w:val="00775940"/>
    <w:rsid w:val="00784737"/>
    <w:rsid w:val="0079110C"/>
    <w:rsid w:val="00794074"/>
    <w:rsid w:val="007B327C"/>
    <w:rsid w:val="0080795A"/>
    <w:rsid w:val="00814697"/>
    <w:rsid w:val="00835BD1"/>
    <w:rsid w:val="008609E5"/>
    <w:rsid w:val="00885ADB"/>
    <w:rsid w:val="008912BA"/>
    <w:rsid w:val="008A48BF"/>
    <w:rsid w:val="008C632B"/>
    <w:rsid w:val="008C70A1"/>
    <w:rsid w:val="008E04D2"/>
    <w:rsid w:val="008E1B17"/>
    <w:rsid w:val="00915EDF"/>
    <w:rsid w:val="00932370"/>
    <w:rsid w:val="009374D0"/>
    <w:rsid w:val="00973803"/>
    <w:rsid w:val="00982A56"/>
    <w:rsid w:val="009F6528"/>
    <w:rsid w:val="00A01439"/>
    <w:rsid w:val="00A23ED0"/>
    <w:rsid w:val="00B03116"/>
    <w:rsid w:val="00B0393D"/>
    <w:rsid w:val="00B90172"/>
    <w:rsid w:val="00BB0C97"/>
    <w:rsid w:val="00BC3B15"/>
    <w:rsid w:val="00BE43B2"/>
    <w:rsid w:val="00C52140"/>
    <w:rsid w:val="00C63C5C"/>
    <w:rsid w:val="00D01A07"/>
    <w:rsid w:val="00D63142"/>
    <w:rsid w:val="00DB1872"/>
    <w:rsid w:val="00DC44D2"/>
    <w:rsid w:val="00DD6BAF"/>
    <w:rsid w:val="00E52D27"/>
    <w:rsid w:val="00E7246F"/>
    <w:rsid w:val="00EA64B7"/>
    <w:rsid w:val="00ED53E9"/>
    <w:rsid w:val="00EF05A9"/>
    <w:rsid w:val="00F2164F"/>
    <w:rsid w:val="00F70CA1"/>
    <w:rsid w:val="00F84BA3"/>
    <w:rsid w:val="00FD1686"/>
    <w:rsid w:val="00FD1911"/>
    <w:rsid w:val="00FE4ADA"/>
    <w:rsid w:val="114842FB"/>
    <w:rsid w:val="1D8C0281"/>
    <w:rsid w:val="2886133C"/>
    <w:rsid w:val="39AE18D5"/>
    <w:rsid w:val="45CA39AA"/>
    <w:rsid w:val="460925CD"/>
    <w:rsid w:val="4642020B"/>
    <w:rsid w:val="63D1361B"/>
    <w:rsid w:val="69B36F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99" w:semiHidden="0" w:name="heading 3" w:locked="1"/>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ocked="1"/>
    <w:lsdException w:qFormat="1" w:unhideWhenUsed="0" w:uiPriority="99" w:semiHidden="0" w:name="toc 2" w:locked="1"/>
    <w:lsdException w:qFormat="1" w:unhideWhenUsed="0" w:uiPriority="9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3"/>
    <w:qFormat/>
    <w:locked/>
    <w:uiPriority w:val="99"/>
    <w:pPr>
      <w:keepNext/>
      <w:outlineLvl w:val="0"/>
    </w:pPr>
    <w:rPr>
      <w:rFonts w:ascii="黑体" w:eastAsia="黑体" w:cs="黑体"/>
      <w:sz w:val="40"/>
      <w:szCs w:val="40"/>
    </w:rPr>
  </w:style>
  <w:style w:type="paragraph" w:styleId="3">
    <w:name w:val="heading 2"/>
    <w:basedOn w:val="1"/>
    <w:next w:val="1"/>
    <w:link w:val="34"/>
    <w:qFormat/>
    <w:locked/>
    <w:uiPriority w:val="99"/>
    <w:pPr>
      <w:keepNext/>
      <w:jc w:val="center"/>
      <w:outlineLvl w:val="1"/>
    </w:pPr>
    <w:rPr>
      <w:sz w:val="24"/>
      <w:szCs w:val="24"/>
    </w:rPr>
  </w:style>
  <w:style w:type="paragraph" w:styleId="4">
    <w:name w:val="heading 3"/>
    <w:basedOn w:val="1"/>
    <w:next w:val="1"/>
    <w:link w:val="35"/>
    <w:qFormat/>
    <w:locked/>
    <w:uiPriority w:val="99"/>
    <w:pPr>
      <w:keepNext/>
      <w:spacing w:line="440" w:lineRule="exact"/>
      <w:outlineLvl w:val="2"/>
    </w:pPr>
    <w:rPr>
      <w:rFonts w:ascii="Arial" w:hAnsi="Arial" w:eastAsia="黑体" w:cs="Arial"/>
      <w:sz w:val="28"/>
      <w:szCs w:val="28"/>
    </w:rPr>
  </w:style>
  <w:style w:type="paragraph" w:styleId="5">
    <w:name w:val="heading 4"/>
    <w:basedOn w:val="1"/>
    <w:next w:val="1"/>
    <w:link w:val="36"/>
    <w:qFormat/>
    <w:locked/>
    <w:uiPriority w:val="99"/>
    <w:pPr>
      <w:keepNext/>
      <w:jc w:val="center"/>
      <w:outlineLvl w:val="3"/>
    </w:pPr>
    <w:rPr>
      <w:rFonts w:ascii="黑体" w:hAnsi="宋体" w:eastAsia="黑体" w:cs="黑体"/>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6">
    <w:name w:val="annotation text"/>
    <w:basedOn w:val="1"/>
    <w:link w:val="40"/>
    <w:semiHidden/>
    <w:qFormat/>
    <w:uiPriority w:val="99"/>
    <w:pPr>
      <w:jc w:val="left"/>
    </w:pPr>
  </w:style>
  <w:style w:type="paragraph" w:styleId="7">
    <w:name w:val="Body Text"/>
    <w:basedOn w:val="1"/>
    <w:link w:val="32"/>
    <w:qFormat/>
    <w:uiPriority w:val="99"/>
    <w:pPr>
      <w:widowControl/>
      <w:jc w:val="left"/>
    </w:pPr>
    <w:rPr>
      <w:rFonts w:ascii="宋体"/>
      <w:kern w:val="0"/>
      <w:sz w:val="28"/>
      <w:szCs w:val="20"/>
    </w:rPr>
  </w:style>
  <w:style w:type="paragraph" w:styleId="8">
    <w:name w:val="Body Text Indent"/>
    <w:basedOn w:val="1"/>
    <w:link w:val="37"/>
    <w:qFormat/>
    <w:uiPriority w:val="99"/>
    <w:pPr>
      <w:spacing w:beforeLines="50"/>
      <w:ind w:firstLine="420" w:firstLineChars="200"/>
    </w:pPr>
  </w:style>
  <w:style w:type="paragraph" w:styleId="9">
    <w:name w:val="toc 3"/>
    <w:basedOn w:val="1"/>
    <w:next w:val="1"/>
    <w:qFormat/>
    <w:locked/>
    <w:uiPriority w:val="99"/>
    <w:pPr>
      <w:ind w:left="840" w:leftChars="400"/>
    </w:pPr>
    <w:rPr>
      <w:rFonts w:ascii="Calibri" w:hAnsi="Calibri" w:cs="Calibri"/>
    </w:rPr>
  </w:style>
  <w:style w:type="paragraph" w:styleId="10">
    <w:name w:val="Plain Text"/>
    <w:basedOn w:val="1"/>
    <w:link w:val="42"/>
    <w:qFormat/>
    <w:uiPriority w:val="99"/>
    <w:rPr>
      <w:rFonts w:ascii="宋体" w:hAnsi="Courier New" w:cs="宋体"/>
    </w:rPr>
  </w:style>
  <w:style w:type="paragraph" w:styleId="11">
    <w:name w:val="Date"/>
    <w:basedOn w:val="1"/>
    <w:next w:val="1"/>
    <w:link w:val="29"/>
    <w:uiPriority w:val="99"/>
    <w:rPr>
      <w:szCs w:val="24"/>
    </w:rPr>
  </w:style>
  <w:style w:type="paragraph" w:styleId="12">
    <w:name w:val="Body Text Indent 2"/>
    <w:basedOn w:val="1"/>
    <w:link w:val="46"/>
    <w:qFormat/>
    <w:uiPriority w:val="99"/>
    <w:pPr>
      <w:spacing w:after="120" w:line="480" w:lineRule="auto"/>
      <w:ind w:left="420" w:leftChars="200"/>
    </w:pPr>
  </w:style>
  <w:style w:type="paragraph" w:styleId="13">
    <w:name w:val="Balloon Text"/>
    <w:basedOn w:val="1"/>
    <w:link w:val="31"/>
    <w:semiHidden/>
    <w:uiPriority w:val="99"/>
    <w:rPr>
      <w:sz w:val="18"/>
      <w:szCs w:val="18"/>
    </w:rPr>
  </w:style>
  <w:style w:type="paragraph" w:styleId="14">
    <w:name w:val="footer"/>
    <w:basedOn w:val="1"/>
    <w:link w:val="28"/>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27"/>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4"/>
    <w:qFormat/>
    <w:locked/>
    <w:uiPriority w:val="99"/>
    <w:pPr>
      <w:tabs>
        <w:tab w:val="center" w:pos="4365"/>
        <w:tab w:val="left" w:pos="5250"/>
      </w:tabs>
      <w:spacing w:line="360" w:lineRule="auto"/>
      <w:ind w:firstLine="3080"/>
      <w:jc w:val="left"/>
    </w:pPr>
    <w:rPr>
      <w:rFonts w:ascii="黑体" w:eastAsia="黑体" w:cs="黑体"/>
      <w:sz w:val="28"/>
      <w:szCs w:val="28"/>
    </w:rPr>
  </w:style>
  <w:style w:type="paragraph" w:styleId="17">
    <w:name w:val="toc 2"/>
    <w:basedOn w:val="1"/>
    <w:next w:val="1"/>
    <w:qFormat/>
    <w:locked/>
    <w:uiPriority w:val="99"/>
    <w:pPr>
      <w:ind w:left="420" w:leftChars="200"/>
    </w:pPr>
    <w:rPr>
      <w:rFonts w:ascii="Calibri" w:hAnsi="Calibri" w:cs="Calibri"/>
    </w:rPr>
  </w:style>
  <w:style w:type="paragraph" w:styleId="18">
    <w:name w:val="Normal (Web)"/>
    <w:basedOn w:val="1"/>
    <w:uiPriority w:val="99"/>
    <w:pPr>
      <w:widowControl/>
      <w:spacing w:before="100" w:beforeAutospacing="1" w:after="100" w:afterAutospacing="1" w:line="360" w:lineRule="atLeast"/>
      <w:jc w:val="left"/>
    </w:pPr>
    <w:rPr>
      <w:rFonts w:ascii="宋体" w:hAnsi="宋体"/>
      <w:kern w:val="0"/>
    </w:rPr>
  </w:style>
  <w:style w:type="paragraph" w:styleId="19">
    <w:name w:val="Title"/>
    <w:basedOn w:val="2"/>
    <w:next w:val="1"/>
    <w:link w:val="48"/>
    <w:qFormat/>
    <w:locked/>
    <w:uiPriority w:val="99"/>
    <w:pPr>
      <w:keepNext w:val="0"/>
      <w:spacing w:beforeLines="50" w:afterLines="50"/>
      <w:jc w:val="center"/>
    </w:pPr>
    <w:rPr>
      <w:rFonts w:hAnsi="黑体"/>
      <w:b/>
      <w:bCs/>
      <w:sz w:val="32"/>
      <w:szCs w:val="32"/>
    </w:rPr>
  </w:style>
  <w:style w:type="table" w:styleId="21">
    <w:name w:val="Table Grid"/>
    <w:basedOn w:val="20"/>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uiPriority w:val="99"/>
  </w:style>
  <w:style w:type="character" w:styleId="24">
    <w:name w:val="FollowedHyperlink"/>
    <w:basedOn w:val="22"/>
    <w:semiHidden/>
    <w:uiPriority w:val="99"/>
    <w:rPr>
      <w:color w:val="800080"/>
      <w:u w:val="single"/>
    </w:rPr>
  </w:style>
  <w:style w:type="character" w:styleId="25">
    <w:name w:val="Emphasis"/>
    <w:basedOn w:val="22"/>
    <w:qFormat/>
    <w:locked/>
    <w:uiPriority w:val="0"/>
    <w:rPr>
      <w:i/>
    </w:rPr>
  </w:style>
  <w:style w:type="character" w:styleId="26">
    <w:name w:val="Hyperlink"/>
    <w:basedOn w:val="22"/>
    <w:unhideWhenUsed/>
    <w:qFormat/>
    <w:uiPriority w:val="99"/>
    <w:rPr>
      <w:rFonts w:hint="default" w:ascii="Times New Roman" w:hAnsi="Times New Roman" w:cs="Times New Roman"/>
      <w:color w:val="0000FF"/>
      <w:u w:val="single"/>
    </w:rPr>
  </w:style>
  <w:style w:type="character" w:customStyle="1" w:styleId="27">
    <w:name w:val="页眉 Char"/>
    <w:basedOn w:val="22"/>
    <w:link w:val="15"/>
    <w:locked/>
    <w:uiPriority w:val="99"/>
    <w:rPr>
      <w:rFonts w:cs="Times New Roman"/>
      <w:sz w:val="18"/>
      <w:szCs w:val="18"/>
    </w:rPr>
  </w:style>
  <w:style w:type="character" w:customStyle="1" w:styleId="28">
    <w:name w:val="页脚 Char"/>
    <w:basedOn w:val="22"/>
    <w:link w:val="14"/>
    <w:qFormat/>
    <w:locked/>
    <w:uiPriority w:val="99"/>
    <w:rPr>
      <w:rFonts w:cs="Times New Roman"/>
      <w:sz w:val="18"/>
      <w:szCs w:val="18"/>
    </w:rPr>
  </w:style>
  <w:style w:type="character" w:customStyle="1" w:styleId="29">
    <w:name w:val="日期 Char"/>
    <w:basedOn w:val="22"/>
    <w:link w:val="11"/>
    <w:qFormat/>
    <w:locked/>
    <w:uiPriority w:val="99"/>
    <w:rPr>
      <w:rFonts w:ascii="Times New Roman" w:hAnsi="Times New Roman" w:eastAsia="宋体" w:cs="Times New Roman"/>
      <w:sz w:val="24"/>
      <w:szCs w:val="24"/>
    </w:rPr>
  </w:style>
  <w:style w:type="character" w:customStyle="1" w:styleId="30">
    <w:name w:val="apple-style-span"/>
    <w:basedOn w:val="22"/>
    <w:qFormat/>
    <w:uiPriority w:val="99"/>
    <w:rPr>
      <w:rFonts w:cs="Times New Roman"/>
    </w:rPr>
  </w:style>
  <w:style w:type="character" w:customStyle="1" w:styleId="31">
    <w:name w:val="批注框文本 Char"/>
    <w:basedOn w:val="22"/>
    <w:link w:val="13"/>
    <w:semiHidden/>
    <w:qFormat/>
    <w:locked/>
    <w:uiPriority w:val="99"/>
    <w:rPr>
      <w:rFonts w:ascii="Times New Roman" w:hAnsi="Times New Roman" w:eastAsia="宋体" w:cs="Times New Roman"/>
      <w:sz w:val="18"/>
      <w:szCs w:val="18"/>
    </w:rPr>
  </w:style>
  <w:style w:type="character" w:customStyle="1" w:styleId="32">
    <w:name w:val="正文文本 Char"/>
    <w:basedOn w:val="22"/>
    <w:link w:val="7"/>
    <w:qFormat/>
    <w:uiPriority w:val="99"/>
    <w:rPr>
      <w:rFonts w:ascii="宋体" w:hAnsi="Times New Roman"/>
      <w:kern w:val="0"/>
      <w:sz w:val="28"/>
      <w:szCs w:val="20"/>
    </w:rPr>
  </w:style>
  <w:style w:type="character" w:customStyle="1" w:styleId="33">
    <w:name w:val="标题 1 Char"/>
    <w:basedOn w:val="22"/>
    <w:link w:val="2"/>
    <w:qFormat/>
    <w:uiPriority w:val="99"/>
    <w:rPr>
      <w:rFonts w:ascii="黑体" w:hAnsi="Times New Roman" w:eastAsia="黑体" w:cs="黑体"/>
      <w:sz w:val="40"/>
      <w:szCs w:val="40"/>
    </w:rPr>
  </w:style>
  <w:style w:type="character" w:customStyle="1" w:styleId="34">
    <w:name w:val="标题 2 Char"/>
    <w:basedOn w:val="22"/>
    <w:link w:val="3"/>
    <w:qFormat/>
    <w:uiPriority w:val="99"/>
    <w:rPr>
      <w:rFonts w:ascii="Times New Roman" w:hAnsi="Times New Roman"/>
      <w:sz w:val="24"/>
      <w:szCs w:val="24"/>
    </w:rPr>
  </w:style>
  <w:style w:type="character" w:customStyle="1" w:styleId="35">
    <w:name w:val="标题 3 Char"/>
    <w:basedOn w:val="22"/>
    <w:link w:val="4"/>
    <w:qFormat/>
    <w:uiPriority w:val="99"/>
    <w:rPr>
      <w:rFonts w:ascii="Arial" w:hAnsi="Arial" w:eastAsia="黑体" w:cs="Arial"/>
      <w:sz w:val="28"/>
      <w:szCs w:val="28"/>
    </w:rPr>
  </w:style>
  <w:style w:type="character" w:customStyle="1" w:styleId="36">
    <w:name w:val="标题 4 Char"/>
    <w:basedOn w:val="22"/>
    <w:link w:val="5"/>
    <w:qFormat/>
    <w:uiPriority w:val="99"/>
    <w:rPr>
      <w:rFonts w:ascii="黑体" w:hAnsi="宋体" w:eastAsia="黑体" w:cs="黑体"/>
      <w:sz w:val="28"/>
      <w:szCs w:val="28"/>
    </w:rPr>
  </w:style>
  <w:style w:type="character" w:customStyle="1" w:styleId="37">
    <w:name w:val="正文文本缩进 Char"/>
    <w:basedOn w:val="22"/>
    <w:link w:val="8"/>
    <w:qFormat/>
    <w:uiPriority w:val="99"/>
    <w:rPr>
      <w:rFonts w:ascii="Times New Roman" w:hAnsi="Times New Roman"/>
      <w:szCs w:val="21"/>
    </w:rPr>
  </w:style>
  <w:style w:type="paragraph" w:customStyle="1" w:styleId="38">
    <w:name w:val="Default"/>
    <w:qFormat/>
    <w:uiPriority w:val="99"/>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39">
    <w:name w:val=".y.."/>
    <w:basedOn w:val="38"/>
    <w:next w:val="38"/>
    <w:qFormat/>
    <w:uiPriority w:val="99"/>
    <w:rPr>
      <w:color w:val="auto"/>
      <w:sz w:val="20"/>
      <w:szCs w:val="20"/>
    </w:rPr>
  </w:style>
  <w:style w:type="character" w:customStyle="1" w:styleId="40">
    <w:name w:val="批注文字 Char"/>
    <w:basedOn w:val="22"/>
    <w:link w:val="6"/>
    <w:semiHidden/>
    <w:qFormat/>
    <w:uiPriority w:val="99"/>
    <w:rPr>
      <w:rFonts w:ascii="Times New Roman" w:hAnsi="Times New Roman"/>
      <w:szCs w:val="21"/>
    </w:rPr>
  </w:style>
  <w:style w:type="paragraph" w:customStyle="1" w:styleId="41">
    <w:name w:val="样式"/>
    <w:uiPriority w:val="99"/>
    <w:rPr>
      <w:rFonts w:ascii="Calibri" w:hAnsi="Calibri" w:eastAsia="宋体" w:cs="Calibri"/>
      <w:kern w:val="2"/>
      <w:sz w:val="21"/>
      <w:szCs w:val="21"/>
      <w:lang w:val="en-US" w:eastAsia="zh-CN" w:bidi="ar-SA"/>
    </w:rPr>
  </w:style>
  <w:style w:type="character" w:customStyle="1" w:styleId="42">
    <w:name w:val="纯文本 Char"/>
    <w:basedOn w:val="22"/>
    <w:link w:val="10"/>
    <w:uiPriority w:val="99"/>
    <w:rPr>
      <w:rFonts w:ascii="宋体" w:hAnsi="Courier New" w:cs="宋体"/>
      <w:szCs w:val="21"/>
    </w:rPr>
  </w:style>
  <w:style w:type="character" w:customStyle="1" w:styleId="43">
    <w:name w:val="short_text1"/>
    <w:basedOn w:val="22"/>
    <w:qFormat/>
    <w:uiPriority w:val="99"/>
    <w:rPr>
      <w:sz w:val="29"/>
      <w:szCs w:val="29"/>
    </w:rPr>
  </w:style>
  <w:style w:type="paragraph" w:customStyle="1" w:styleId="44">
    <w:name w:val="Char"/>
    <w:basedOn w:val="1"/>
    <w:qFormat/>
    <w:uiPriority w:val="99"/>
    <w:pPr>
      <w:widowControl/>
      <w:spacing w:after="160" w:line="240" w:lineRule="exact"/>
      <w:jc w:val="left"/>
    </w:pPr>
    <w:rPr>
      <w:rFonts w:ascii="Arial" w:hAnsi="Arial" w:cs="Arial"/>
      <w:b/>
      <w:bCs/>
      <w:kern w:val="0"/>
      <w:sz w:val="24"/>
      <w:szCs w:val="24"/>
      <w:lang w:eastAsia="en-US"/>
    </w:rPr>
  </w:style>
  <w:style w:type="paragraph" w:customStyle="1" w:styleId="45">
    <w:name w:val="Char1"/>
    <w:basedOn w:val="1"/>
    <w:qFormat/>
    <w:uiPriority w:val="99"/>
    <w:pPr>
      <w:widowControl/>
      <w:spacing w:after="160" w:line="240" w:lineRule="exact"/>
      <w:jc w:val="left"/>
    </w:pPr>
    <w:rPr>
      <w:rFonts w:ascii="Arial" w:hAnsi="Arial" w:cs="Arial"/>
      <w:b/>
      <w:bCs/>
      <w:kern w:val="0"/>
      <w:sz w:val="24"/>
      <w:szCs w:val="24"/>
      <w:lang w:eastAsia="en-US"/>
    </w:rPr>
  </w:style>
  <w:style w:type="character" w:customStyle="1" w:styleId="46">
    <w:name w:val="正文文本缩进 2 Char"/>
    <w:basedOn w:val="22"/>
    <w:link w:val="12"/>
    <w:qFormat/>
    <w:uiPriority w:val="99"/>
    <w:rPr>
      <w:rFonts w:ascii="Times New Roman" w:hAnsi="Times New Roman"/>
      <w:szCs w:val="21"/>
    </w:rPr>
  </w:style>
  <w:style w:type="paragraph" w:styleId="47">
    <w:name w:val="List Paragraph"/>
    <w:basedOn w:val="1"/>
    <w:qFormat/>
    <w:uiPriority w:val="99"/>
    <w:pPr>
      <w:ind w:firstLine="420" w:firstLineChars="200"/>
    </w:pPr>
    <w:rPr>
      <w:rFonts w:ascii="Calibri" w:hAnsi="Calibri" w:cs="Calibri"/>
    </w:rPr>
  </w:style>
  <w:style w:type="character" w:customStyle="1" w:styleId="48">
    <w:name w:val="标题 Char"/>
    <w:basedOn w:val="22"/>
    <w:link w:val="19"/>
    <w:qFormat/>
    <w:uiPriority w:val="99"/>
    <w:rPr>
      <w:rFonts w:ascii="黑体" w:hAnsi="黑体" w:eastAsia="黑体" w:cs="黑体"/>
      <w:b/>
      <w:bCs/>
      <w:sz w:val="32"/>
      <w:szCs w:val="32"/>
    </w:rPr>
  </w:style>
  <w:style w:type="paragraph" w:customStyle="1" w:styleId="49">
    <w:name w:val="附录表标题"/>
    <w:next w:val="1"/>
    <w:qFormat/>
    <w:uiPriority w:val="99"/>
    <w:pPr>
      <w:jc w:val="center"/>
      <w:textAlignment w:val="baseline"/>
    </w:pPr>
    <w:rPr>
      <w:rFonts w:ascii="黑体" w:hAnsi="Times New Roman" w:eastAsia="黑体" w:cs="黑体"/>
      <w:kern w:val="21"/>
      <w:sz w:val="21"/>
      <w:szCs w:val="21"/>
      <w:lang w:val="en-US" w:eastAsia="zh-CN" w:bidi="ar-SA"/>
    </w:rPr>
  </w:style>
  <w:style w:type="paragraph" w:customStyle="1" w:styleId="50">
    <w:name w:val="标准文件_段"/>
    <w:qFormat/>
    <w:uiPriority w:val="0"/>
    <w:pPr>
      <w:autoSpaceDE w:val="0"/>
      <w:autoSpaceDN w:val="0"/>
      <w:adjustRightInd w:val="0"/>
      <w:snapToGrid w:val="0"/>
      <w:spacing w:line="276" w:lineRule="auto"/>
      <w:ind w:left="-126" w:leftChars="-60" w:right="-105" w:rightChars="-50" w:firstLine="419" w:firstLineChars="196"/>
      <w:jc w:val="both"/>
    </w:pPr>
    <w:rPr>
      <w:rFonts w:ascii="Times New Roman" w:hAnsi="Times New Roman" w:eastAsia="宋体" w:cs="Times New Roman"/>
      <w:spacing w:val="2"/>
      <w:kern w:val="0"/>
      <w:sz w:val="21"/>
      <w:szCs w:val="20"/>
      <w:lang w:val="en-US" w:eastAsia="zh-CN" w:bidi="ar-SA"/>
    </w:rPr>
  </w:style>
  <w:style w:type="character" w:customStyle="1" w:styleId="51">
    <w:name w:val="font112"/>
    <w:basedOn w:val="22"/>
    <w:qFormat/>
    <w:uiPriority w:val="0"/>
    <w:rPr>
      <w:rFonts w:hint="default" w:ascii="Times New Roman" w:hAnsi="Times New Roman" w:cs="Times New Roman"/>
      <w:color w:val="000000"/>
      <w:sz w:val="21"/>
      <w:szCs w:val="21"/>
      <w:u w:val="none"/>
    </w:rPr>
  </w:style>
  <w:style w:type="character" w:customStyle="1" w:styleId="52">
    <w:name w:val="font51"/>
    <w:basedOn w:val="22"/>
    <w:qFormat/>
    <w:uiPriority w:val="0"/>
    <w:rPr>
      <w:rFonts w:hint="eastAsia" w:ascii="宋体" w:hAnsi="宋体" w:eastAsia="宋体" w:cs="宋体"/>
      <w:color w:val="000000"/>
      <w:sz w:val="21"/>
      <w:szCs w:val="21"/>
      <w:u w:val="none"/>
    </w:rPr>
  </w:style>
  <w:style w:type="character" w:customStyle="1" w:styleId="53">
    <w:name w:val="font131"/>
    <w:basedOn w:val="22"/>
    <w:qFormat/>
    <w:uiPriority w:val="0"/>
    <w:rPr>
      <w:rFonts w:hint="default" w:ascii="Times New Roman" w:hAnsi="Times New Roman" w:cs="Times New Roman"/>
      <w:color w:val="000000"/>
      <w:sz w:val="20"/>
      <w:szCs w:val="20"/>
      <w:u w:val="none"/>
    </w:rPr>
  </w:style>
  <w:style w:type="character" w:customStyle="1" w:styleId="54">
    <w:name w:val="font21"/>
    <w:basedOn w:val="22"/>
    <w:qFormat/>
    <w:uiPriority w:val="0"/>
    <w:rPr>
      <w:rFonts w:hint="eastAsia" w:ascii="宋体" w:hAnsi="宋体" w:eastAsia="宋体" w:cs="宋体"/>
      <w:color w:val="000000"/>
      <w:sz w:val="20"/>
      <w:szCs w:val="20"/>
      <w:u w:val="none"/>
    </w:rPr>
  </w:style>
  <w:style w:type="character" w:customStyle="1" w:styleId="55">
    <w:name w:val="font61"/>
    <w:basedOn w:val="22"/>
    <w:qFormat/>
    <w:uiPriority w:val="0"/>
    <w:rPr>
      <w:rFonts w:hint="default" w:ascii="Times New Roman" w:hAnsi="Times New Roman" w:cs="Times New Roman"/>
      <w:color w:val="000000"/>
      <w:sz w:val="21"/>
      <w:szCs w:val="21"/>
      <w:u w:val="none"/>
    </w:rPr>
  </w:style>
  <w:style w:type="character" w:customStyle="1" w:styleId="56">
    <w:name w:val="font91"/>
    <w:basedOn w:val="22"/>
    <w:qFormat/>
    <w:uiPriority w:val="0"/>
    <w:rPr>
      <w:rFonts w:hint="eastAsia" w:ascii="宋体" w:hAnsi="宋体" w:eastAsia="宋体" w:cs="宋体"/>
      <w:color w:val="000000"/>
      <w:sz w:val="21"/>
      <w:szCs w:val="21"/>
      <w:u w:val="none"/>
    </w:rPr>
  </w:style>
  <w:style w:type="character" w:customStyle="1" w:styleId="57">
    <w:name w:val="font11"/>
    <w:basedOn w:val="22"/>
    <w:qFormat/>
    <w:uiPriority w:val="0"/>
    <w:rPr>
      <w:rFonts w:ascii="EUDC" w:hAnsi="EUDC" w:eastAsia="EUDC" w:cs="EUDC"/>
      <w:color w:val="000000"/>
      <w:sz w:val="21"/>
      <w:szCs w:val="21"/>
      <w:u w:val="none"/>
    </w:rPr>
  </w:style>
  <w:style w:type="character" w:customStyle="1" w:styleId="58">
    <w:name w:val="font81"/>
    <w:basedOn w:val="22"/>
    <w:uiPriority w:val="0"/>
    <w:rPr>
      <w:rFonts w:hint="default" w:ascii="Times New Roman" w:hAnsi="Times New Roman" w:cs="Times New Roman"/>
      <w:color w:val="000000"/>
      <w:sz w:val="21"/>
      <w:szCs w:val="21"/>
      <w:u w:val="none"/>
    </w:rPr>
  </w:style>
  <w:style w:type="character" w:customStyle="1" w:styleId="59">
    <w:name w:val="font101"/>
    <w:basedOn w:val="22"/>
    <w:qFormat/>
    <w:uiPriority w:val="0"/>
    <w:rPr>
      <w:rFonts w:hint="eastAsia" w:ascii="宋体" w:hAnsi="宋体" w:eastAsia="宋体" w:cs="宋体"/>
      <w:color w:val="000000"/>
      <w:sz w:val="21"/>
      <w:szCs w:val="21"/>
      <w:u w:val="none"/>
    </w:rPr>
  </w:style>
  <w:style w:type="character" w:customStyle="1" w:styleId="60">
    <w:name w:val="font31"/>
    <w:basedOn w:val="22"/>
    <w:uiPriority w:val="0"/>
    <w:rPr>
      <w:rFonts w:hint="eastAsia" w:ascii="宋体" w:hAnsi="宋体" w:eastAsia="宋体" w:cs="宋体"/>
      <w:color w:val="000000"/>
      <w:sz w:val="18"/>
      <w:szCs w:val="18"/>
      <w:u w:val="none"/>
    </w:rPr>
  </w:style>
  <w:style w:type="character" w:customStyle="1" w:styleId="61">
    <w:name w:val="font71"/>
    <w:basedOn w:val="22"/>
    <w:qFormat/>
    <w:uiPriority w:val="0"/>
    <w:rPr>
      <w:rFonts w:hint="eastAsia" w:ascii="宋体" w:hAnsi="宋体" w:eastAsia="宋体" w:cs="宋体"/>
      <w:color w:val="000000"/>
      <w:sz w:val="20"/>
      <w:szCs w:val="20"/>
      <w:u w:val="none"/>
    </w:rPr>
  </w:style>
  <w:style w:type="character" w:customStyle="1" w:styleId="62">
    <w:name w:val="font151"/>
    <w:basedOn w:val="22"/>
    <w:qFormat/>
    <w:uiPriority w:val="0"/>
    <w:rPr>
      <w:rFonts w:hint="default" w:ascii="Times New Roman" w:hAnsi="Times New Roman" w:cs="Times New Roman"/>
      <w:color w:val="000000"/>
      <w:sz w:val="20"/>
      <w:szCs w:val="20"/>
      <w:u w:val="none"/>
    </w:rPr>
  </w:style>
  <w:style w:type="character" w:customStyle="1" w:styleId="63">
    <w:name w:val="font141"/>
    <w:basedOn w:val="22"/>
    <w:qFormat/>
    <w:uiPriority w:val="0"/>
    <w:rPr>
      <w:rFonts w:hint="default" w:ascii="Times New Roman" w:hAnsi="Times New Roman" w:cs="Times New Roman"/>
      <w:color w:val="000000"/>
      <w:sz w:val="21"/>
      <w:szCs w:val="21"/>
      <w:u w:val="none"/>
    </w:rPr>
  </w:style>
  <w:style w:type="character" w:customStyle="1" w:styleId="64">
    <w:name w:val="font201"/>
    <w:basedOn w:val="22"/>
    <w:uiPriority w:val="0"/>
    <w:rPr>
      <w:rFonts w:ascii="EUDC" w:hAnsi="EUDC" w:eastAsia="EUDC" w:cs="EUDC"/>
      <w:color w:val="000000"/>
      <w:sz w:val="21"/>
      <w:szCs w:val="21"/>
      <w:u w:val="none"/>
    </w:rPr>
  </w:style>
  <w:style w:type="character" w:customStyle="1" w:styleId="65">
    <w:name w:val="font161"/>
    <w:basedOn w:val="22"/>
    <w:qFormat/>
    <w:uiPriority w:val="0"/>
    <w:rPr>
      <w:rFonts w:hint="eastAsia" w:ascii="宋体" w:hAnsi="宋体" w:eastAsia="宋体" w:cs="宋体"/>
      <w:color w:val="FFFFFF"/>
      <w:sz w:val="22"/>
      <w:szCs w:val="22"/>
      <w:u w:val="none"/>
    </w:rPr>
  </w:style>
  <w:style w:type="character" w:customStyle="1" w:styleId="66">
    <w:name w:val="font181"/>
    <w:basedOn w:val="22"/>
    <w:qFormat/>
    <w:uiPriority w:val="0"/>
    <w:rPr>
      <w:rFonts w:hint="default" w:ascii="Times New Roman" w:hAnsi="Times New Roman" w:cs="Times New Roman"/>
      <w:color w:val="FFFFFF"/>
      <w:sz w:val="22"/>
      <w:szCs w:val="22"/>
      <w:u w:val="none"/>
    </w:rPr>
  </w:style>
  <w:style w:type="character" w:customStyle="1" w:styleId="67">
    <w:name w:val="font01"/>
    <w:basedOn w:val="22"/>
    <w:qFormat/>
    <w:uiPriority w:val="0"/>
    <w:rPr>
      <w:rFonts w:hint="eastAsia" w:ascii="宋体" w:hAnsi="宋体" w:eastAsia="宋体" w:cs="宋体"/>
      <w:color w:val="FFFFFF"/>
      <w:sz w:val="22"/>
      <w:szCs w:val="22"/>
      <w:u w:val="none"/>
    </w:rPr>
  </w:style>
  <w:style w:type="character" w:customStyle="1" w:styleId="68">
    <w:name w:val="font212"/>
    <w:basedOn w:val="22"/>
    <w:qFormat/>
    <w:uiPriority w:val="0"/>
    <w:rPr>
      <w:rFonts w:hint="default" w:ascii="Times New Roman" w:hAnsi="Times New Roman" w:cs="Times New Roman"/>
      <w:color w:val="000000"/>
      <w:sz w:val="18"/>
      <w:szCs w:val="18"/>
      <w:u w:val="none"/>
    </w:rPr>
  </w:style>
  <w:style w:type="character" w:customStyle="1" w:styleId="69">
    <w:name w:val="font41"/>
    <w:basedOn w:val="22"/>
    <w:uiPriority w:val="0"/>
    <w:rPr>
      <w:rFonts w:hint="eastAsia" w:ascii="宋体" w:hAnsi="宋体" w:eastAsia="宋体" w:cs="宋体"/>
      <w:color w:val="000000"/>
      <w:sz w:val="21"/>
      <w:szCs w:val="21"/>
      <w:u w:val="none"/>
    </w:rPr>
  </w:style>
  <w:style w:type="character" w:customStyle="1" w:styleId="70">
    <w:name w:val="font191"/>
    <w:basedOn w:val="22"/>
    <w:qFormat/>
    <w:uiPriority w:val="0"/>
    <w:rPr>
      <w:rFonts w:hint="default" w:ascii="Times New Roman" w:hAnsi="Times New Roman" w:cs="Times New Roman"/>
      <w:color w:val="000000"/>
      <w:sz w:val="16"/>
      <w:szCs w:val="16"/>
      <w:u w:val="none"/>
    </w:rPr>
  </w:style>
  <w:style w:type="character" w:customStyle="1" w:styleId="71">
    <w:name w:val="font251"/>
    <w:basedOn w:val="22"/>
    <w:uiPriority w:val="0"/>
    <w:rPr>
      <w:rFonts w:ascii="EUDC" w:hAnsi="EUDC" w:eastAsia="EUDC" w:cs="EUDC"/>
      <w:color w:val="000000"/>
      <w:sz w:val="21"/>
      <w:szCs w:val="21"/>
      <w:u w:val="none"/>
    </w:rPr>
  </w:style>
  <w:style w:type="character" w:customStyle="1" w:styleId="72">
    <w:name w:val="font241"/>
    <w:basedOn w:val="22"/>
    <w:qFormat/>
    <w:uiPriority w:val="0"/>
    <w:rPr>
      <w:rFonts w:hint="eastAsia" w:ascii="宋体" w:hAnsi="宋体" w:eastAsia="宋体" w:cs="宋体"/>
      <w:color w:val="FFFFFF"/>
      <w:sz w:val="21"/>
      <w:szCs w:val="21"/>
      <w:u w:val="none"/>
    </w:rPr>
  </w:style>
  <w:style w:type="character" w:customStyle="1" w:styleId="73">
    <w:name w:val="font171"/>
    <w:basedOn w:val="22"/>
    <w:qFormat/>
    <w:uiPriority w:val="0"/>
    <w:rPr>
      <w:rFonts w:hint="default" w:ascii="SCM Times New Roman" w:hAnsi="SCM Times New Roman" w:eastAsia="SCM Times New Roman" w:cs="SCM Times New Roman"/>
      <w:color w:val="FFFFFF"/>
      <w:sz w:val="21"/>
      <w:szCs w:val="21"/>
      <w:u w:val="none"/>
    </w:rPr>
  </w:style>
  <w:style w:type="character" w:customStyle="1" w:styleId="74">
    <w:name w:val="font231"/>
    <w:basedOn w:val="22"/>
    <w:uiPriority w:val="0"/>
    <w:rPr>
      <w:rFonts w:hint="eastAsia" w:ascii="宋体" w:hAnsi="宋体" w:eastAsia="宋体" w:cs="宋体"/>
      <w:color w:val="FFFFFF"/>
      <w:sz w:val="22"/>
      <w:szCs w:val="22"/>
      <w:u w:val="none"/>
    </w:rPr>
  </w:style>
  <w:style w:type="character" w:customStyle="1" w:styleId="75">
    <w:name w:val="font121"/>
    <w:basedOn w:val="22"/>
    <w:qFormat/>
    <w:uiPriority w:val="0"/>
    <w:rPr>
      <w:rFonts w:hint="default" w:ascii="SCM Times New Roman" w:hAnsi="SCM Times New Roman" w:eastAsia="SCM Times New Roman" w:cs="SCM Times New Roman"/>
      <w:color w:val="FFFFFF"/>
      <w:sz w:val="22"/>
      <w:szCs w:val="22"/>
      <w:u w:val="none"/>
    </w:rPr>
  </w:style>
  <w:style w:type="character" w:customStyle="1" w:styleId="76">
    <w:name w:val="段 Char"/>
    <w:basedOn w:val="22"/>
    <w:link w:val="77"/>
    <w:uiPriority w:val="0"/>
    <w:rPr>
      <w:rFonts w:hint="eastAsia" w:ascii="宋体" w:hAnsi="宋体" w:eastAsia="宋体" w:cs="宋体"/>
      <w:sz w:val="21"/>
    </w:rPr>
  </w:style>
  <w:style w:type="paragraph" w:customStyle="1" w:styleId="77">
    <w:name w:val="段"/>
    <w:basedOn w:val="1"/>
    <w:link w:val="76"/>
    <w:uiPriority w:val="0"/>
    <w:pPr>
      <w:keepNext w:val="0"/>
      <w:keepLines w:val="0"/>
      <w:widowControl/>
      <w:suppressLineNumbers w:val="0"/>
      <w:autoSpaceDE w:val="0"/>
      <w:autoSpaceDN w:val="0"/>
      <w:spacing w:before="0" w:beforeAutospacing="0" w:after="0" w:afterAutospacing="0"/>
      <w:ind w:left="0" w:right="0" w:firstLine="200" w:firstLineChars="200"/>
      <w:jc w:val="both"/>
    </w:pPr>
    <w:rPr>
      <w:rFonts w:hint="eastAsia" w:ascii="宋体" w:hAnsi="Times New Roman" w:eastAsia="宋体" w:cs="Times New Roman"/>
      <w:kern w:val="0"/>
      <w:sz w:val="21"/>
      <w:szCs w:val="20"/>
      <w:lang w:val="en-US" w:eastAsia="zh-CN" w:bidi="ar"/>
    </w:rPr>
  </w:style>
  <w:style w:type="character" w:customStyle="1" w:styleId="78">
    <w:name w:val="一级条标题 Char"/>
    <w:basedOn w:val="22"/>
    <w:link w:val="79"/>
    <w:uiPriority w:val="0"/>
    <w:rPr>
      <w:rFonts w:hint="eastAsia" w:ascii="黑体" w:hAnsi="宋体" w:eastAsia="黑体" w:cs="黑体"/>
      <w:sz w:val="21"/>
    </w:rPr>
  </w:style>
  <w:style w:type="paragraph" w:customStyle="1" w:styleId="79">
    <w:name w:val="一级条标题"/>
    <w:link w:val="78"/>
    <w:uiPriority w:val="0"/>
    <w:pPr>
      <w:keepNext w:val="0"/>
      <w:keepLines w:val="0"/>
      <w:widowControl/>
      <w:numPr>
        <w:ilvl w:val="2"/>
        <w:numId w:val="1"/>
      </w:numPr>
      <w:suppressLineNumbers w:val="0"/>
      <w:spacing w:before="0" w:beforeLines="-2147483648" w:beforeAutospacing="0" w:after="0" w:afterLines="-2147483648" w:afterAutospacing="0"/>
      <w:ind w:left="3570" w:right="0" w:firstLine="0"/>
      <w:jc w:val="both"/>
      <w:outlineLvl w:val="2"/>
    </w:pPr>
    <w:rPr>
      <w:rFonts w:hint="eastAsia" w:ascii="黑体" w:hAnsi="Times New Roman" w:eastAsia="黑体" w:cs="Times New Roman"/>
      <w:kern w:val="0"/>
      <w:sz w:val="21"/>
      <w:szCs w:val="20"/>
      <w:lang w:val="en-US" w:eastAsia="zh-CN" w:bidi="ar"/>
    </w:rPr>
  </w:style>
  <w:style w:type="paragraph" w:customStyle="1" w:styleId="80">
    <w:name w:val="二级条标题"/>
    <w:basedOn w:val="79"/>
    <w:link w:val="81"/>
    <w:uiPriority w:val="0"/>
    <w:pPr>
      <w:keepNext w:val="0"/>
      <w:keepLines w:val="0"/>
      <w:widowControl/>
      <w:numPr>
        <w:ilvl w:val="3"/>
        <w:numId w:val="1"/>
      </w:numPr>
      <w:suppressLineNumbers w:val="0"/>
      <w:tabs>
        <w:tab w:val="left" w:pos="360"/>
      </w:tabs>
      <w:spacing w:before="0" w:beforeAutospacing="0" w:after="0" w:afterAutospacing="0"/>
      <w:ind w:left="0" w:right="0" w:firstLine="0"/>
      <w:jc w:val="both"/>
      <w:outlineLvl w:val="3"/>
    </w:pPr>
    <w:rPr>
      <w:rFonts w:hint="eastAsia" w:ascii="黑体" w:hAnsi="Times New Roman" w:eastAsia="黑体" w:cs="Times New Roman"/>
      <w:kern w:val="0"/>
      <w:sz w:val="21"/>
      <w:szCs w:val="20"/>
      <w:lang w:val="en-US" w:eastAsia="zh-CN" w:bidi="ar"/>
    </w:rPr>
  </w:style>
  <w:style w:type="character" w:customStyle="1" w:styleId="81">
    <w:name w:val="二级条标题 Char"/>
    <w:basedOn w:val="22"/>
    <w:link w:val="80"/>
    <w:uiPriority w:val="0"/>
    <w:rPr>
      <w:rFonts w:hint="eastAsia" w:ascii="黑体" w:hAnsi="宋体" w:eastAsia="黑体" w:cs="黑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17</Pages>
  <Words>2378</Words>
  <Characters>13561</Characters>
  <Lines>113</Lines>
  <Paragraphs>31</Paragraphs>
  <TotalTime>2</TotalTime>
  <ScaleCrop>false</ScaleCrop>
  <LinksUpToDate>false</LinksUpToDate>
  <CharactersWithSpaces>15908</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2018-12-10T02:11:00Z</dcterms:created>
  <dc:creator>lgx</dc:creator>
  <cp:lastModifiedBy>Clarence  Yeung</cp:lastModifiedBy>
  <dcterms:modified xsi:type="dcterms:W3CDTF">2021-03-30T15:36:16Z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