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ind w:left="-318" w:right="-301" w:firstLine="318"/>
        <w:jc w:val="right"/>
        <w:rPr>
          <w:bCs/>
          <w:sz w:val="84"/>
          <w:szCs w:val="84"/>
        </w:rPr>
      </w:pPr>
      <w:r>
        <w:rPr>
          <w:rFonts w:hint="eastAsia"/>
          <w:sz w:val="84"/>
        </w:rPr>
        <w:t>JJG</w:t>
      </w:r>
      <w:r>
        <w:rPr>
          <w:rFonts w:hint="eastAsia" w:ascii="黑体" w:eastAsia="黑体"/>
          <w:sz w:val="84"/>
          <w:szCs w:val="84"/>
        </w:rPr>
        <w:t>(沪)</w:t>
      </w:r>
      <w:r>
        <w:rPr>
          <w:rFonts w:ascii="宋体" w:hAnsi="宋体"/>
          <w:color w:val="000000"/>
          <w:sz w:val="52"/>
        </w:rPr>
        <w:t xml:space="preserve">         </w:t>
      </w:r>
      <w:r>
        <w:rPr>
          <w:rFonts w:ascii="宋体" w:hAnsi="宋体"/>
          <w:color w:val="000000"/>
        </w:rPr>
        <w:t xml:space="preserve">            </w:t>
      </w:r>
      <w:r>
        <w:rPr>
          <w:rFonts w:hint="eastAsia" w:ascii="宋体" w:hAnsi="宋体"/>
          <w:color w:val="000000"/>
        </w:rPr>
        <w:t xml:space="preserve">  </w:t>
      </w:r>
    </w:p>
    <w:p>
      <w:pPr>
        <w:spacing w:line="300" w:lineRule="auto"/>
        <w:jc w:val="distribute"/>
        <w:rPr>
          <w:rFonts w:ascii="方正小标宋简体" w:hAnsi="宋体" w:eastAsia="方正小标宋简体"/>
          <w:color w:val="000000"/>
          <w:w w:val="120"/>
          <w:kern w:val="0"/>
          <w:sz w:val="52"/>
          <w:szCs w:val="52"/>
        </w:rPr>
      </w:pPr>
      <w:r>
        <w:rPr>
          <w:rFonts w:hint="eastAsia" w:ascii="方正小标宋_GBK" w:eastAsia="方正小标宋_GBK"/>
          <w:w w:val="120"/>
          <w:sz w:val="52"/>
          <w:szCs w:val="52"/>
        </w:rPr>
        <w:t>上海市地方计量检定规程</w:t>
      </w:r>
    </w:p>
    <w:p>
      <w:pPr>
        <w:ind w:left="-9" w:leftChars="-33" w:hanging="60" w:hangingChars="20"/>
        <w:jc w:val="right"/>
        <w:rPr>
          <w:rFonts w:ascii="黑体" w:hAnsi="黑体" w:eastAsia="黑体"/>
          <w:bCs/>
          <w:sz w:val="28"/>
          <w:szCs w:val="28"/>
        </w:rPr>
      </w:pPr>
      <w:r>
        <w:rPr>
          <w:rFonts w:ascii="宋体" w:hAnsi="宋体"/>
          <w:b/>
          <w:color w:val="000000"/>
          <w:sz w:val="30"/>
          <w:szCs w:val="30"/>
        </w:rPr>
        <w:t xml:space="preserve">                     </w:t>
      </w:r>
      <w:r>
        <w:rPr>
          <w:rFonts w:hint="eastAsia" w:ascii="宋体" w:hAnsi="宋体"/>
          <w:b/>
          <w:color w:val="000000"/>
          <w:sz w:val="30"/>
          <w:szCs w:val="30"/>
        </w:rPr>
        <w:t xml:space="preserve">      </w:t>
      </w:r>
      <w:r>
        <w:rPr>
          <w:rFonts w:ascii="宋体" w:hAnsi="宋体"/>
          <w:b/>
          <w:color w:val="000000"/>
          <w:sz w:val="30"/>
          <w:szCs w:val="30"/>
        </w:rPr>
        <w:t xml:space="preserve"> </w:t>
      </w:r>
      <w:r>
        <w:rPr>
          <w:rFonts w:hint="eastAsia" w:ascii="宋体" w:hAnsi="宋体"/>
          <w:b/>
          <w:color w:val="000000"/>
          <w:sz w:val="30"/>
          <w:szCs w:val="30"/>
        </w:rPr>
        <w:t xml:space="preserve">       </w:t>
      </w:r>
      <w:r>
        <w:rPr>
          <w:rFonts w:ascii="黑体" w:hAnsi="黑体" w:eastAsia="黑体"/>
          <w:bCs/>
          <w:sz w:val="28"/>
          <w:szCs w:val="28"/>
        </w:rPr>
        <w:t>JJG</w:t>
      </w:r>
      <w:r>
        <w:rPr>
          <w:rFonts w:hint="eastAsia" w:ascii="黑体" w:hAnsi="黑体" w:eastAsia="黑体"/>
          <w:bCs/>
          <w:sz w:val="28"/>
          <w:szCs w:val="28"/>
        </w:rPr>
        <w:t>（沪）</w:t>
      </w:r>
      <w:r>
        <w:rPr>
          <w:rFonts w:ascii="黑体" w:hAnsi="黑体" w:eastAsia="黑体"/>
          <w:sz w:val="28"/>
          <w:szCs w:val="28"/>
        </w:rPr>
        <w:t>XXXX</w:t>
      </w:r>
      <w:r>
        <w:rPr>
          <w:rFonts w:ascii="黑体" w:hAnsi="黑体" w:eastAsia="黑体"/>
          <w:bCs/>
          <w:sz w:val="28"/>
          <w:szCs w:val="28"/>
        </w:rPr>
        <w:t>－2021</w:t>
      </w:r>
    </w:p>
    <w:p>
      <w:pPr>
        <w:snapToGrid w:val="0"/>
        <w:rPr>
          <w:rFonts w:ascii="宋体" w:hAnsi="宋体"/>
          <w:b/>
          <w:color w:val="000000"/>
        </w:rPr>
      </w:pPr>
      <w:r>
        <w:rPr>
          <w:rFonts w:ascii="宋体" w:hAnsi="宋体"/>
          <w:color w:val="000000"/>
        </w:rPr>
        <mc:AlternateContent>
          <mc:Choice Requires="wps">
            <w:drawing>
              <wp:anchor distT="0" distB="0" distL="114300" distR="114300" simplePos="0" relativeHeight="251664384" behindDoc="0" locked="0" layoutInCell="1" allowOverlap="1">
                <wp:simplePos x="0" y="0"/>
                <wp:positionH relativeFrom="column">
                  <wp:posOffset>95250</wp:posOffset>
                </wp:positionH>
                <wp:positionV relativeFrom="paragraph">
                  <wp:posOffset>102870</wp:posOffset>
                </wp:positionV>
                <wp:extent cx="5715000" cy="0"/>
                <wp:effectExtent l="0" t="0" r="19050" b="19050"/>
                <wp:wrapNone/>
                <wp:docPr id="10" name="直接连接符 2"/>
                <wp:cNvGraphicFramePr/>
                <a:graphic xmlns:a="http://schemas.openxmlformats.org/drawingml/2006/main">
                  <a:graphicData uri="http://schemas.microsoft.com/office/word/2010/wordprocessingShape">
                    <wps:wsp>
                      <wps:cNvCnPr>
                        <a:cxnSpLocks noChangeShapeType="true"/>
                      </wps:cNvCnPr>
                      <wps:spPr bwMode="auto">
                        <a:xfrm>
                          <a:off x="0" y="0"/>
                          <a:ext cx="5715000" cy="0"/>
                        </a:xfrm>
                        <a:prstGeom prst="line">
                          <a:avLst/>
                        </a:prstGeom>
                        <a:noFill/>
                        <a:ln w="19050" cmpd="sng">
                          <a:solidFill>
                            <a:srgbClr val="000000"/>
                          </a:solidFill>
                          <a:round/>
                        </a:ln>
                      </wps:spPr>
                      <wps:bodyPr/>
                    </wps:wsp>
                  </a:graphicData>
                </a:graphic>
              </wp:anchor>
            </w:drawing>
          </mc:Choice>
          <mc:Fallback>
            <w:pict>
              <v:line id="直接连接符 2" o:spid="_x0000_s1026" o:spt="20" style="position:absolute;left:0pt;margin-left:7.5pt;margin-top:8.1pt;height:0pt;width:450pt;z-index:251664384;mso-width-relative:page;mso-height-relative:page;" filled="f" stroked="t" coordsize="21600,21600" o:gfxdata="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BYAAABkcnMvUEsBAhQAFAAAAAgAh07iQM/u0U7SAAAACAEA&#10;AA8AAAAAAAAAAQAgAAAAOAAAAGRycy9kb3ducmV2LnhtbFBLAQIUABQAAAAIAIdO4kD7Qoq00QEA&#10;AGwDAAAOAAAAAAAAAAEAIAAAADcBAABkcnMvZTJvRG9jLnhtbFBLBQYAAAAABgAGAFkBAAB6BQAA&#10;AAA=&#10;">
                <v:fill on="f" focussize="0,0"/>
                <v:stroke weight="1.5pt" color="#000000" joinstyle="round"/>
                <v:imagedata o:title=""/>
                <o:lock v:ext="edit" aspectratio="f"/>
              </v:line>
            </w:pict>
          </mc:Fallback>
        </mc:AlternateContent>
      </w:r>
      <w:r>
        <w:rPr>
          <w:rFonts w:ascii="宋体" w:hAnsi="宋体"/>
          <w:b/>
          <w:color w:val="000000"/>
        </w:rPr>
        <w:t xml:space="preserve">                                                                 </w:t>
      </w:r>
      <w:r>
        <w:rPr>
          <w:rFonts w:hint="eastAsia" w:ascii="宋体" w:hAnsi="宋体"/>
          <w:b/>
          <w:color w:val="000000"/>
        </w:rPr>
        <w:t xml:space="preserve">  </w:t>
      </w:r>
      <w:r>
        <w:rPr>
          <w:rFonts w:ascii="宋体" w:hAnsi="宋体"/>
          <w:b/>
          <w:color w:val="000000"/>
        </w:rPr>
        <w:t xml:space="preserve">                 </w:t>
      </w:r>
      <w:r>
        <w:rPr>
          <w:rFonts w:hint="eastAsia" w:ascii="宋体" w:hAnsi="宋体"/>
          <w:b/>
          <w:color w:val="000000"/>
        </w:rPr>
        <w:t xml:space="preserve">  </w:t>
      </w:r>
    </w:p>
    <w:p>
      <w:pPr>
        <w:rPr>
          <w:rFonts w:ascii="宋体" w:hAnsi="宋体"/>
          <w:color w:val="000000"/>
        </w:rPr>
      </w:pPr>
    </w:p>
    <w:p>
      <w:pPr>
        <w:snapToGrid w:val="0"/>
        <w:spacing w:line="360" w:lineRule="auto"/>
        <w:rPr>
          <w:rFonts w:ascii="宋体" w:hAnsi="宋体"/>
          <w:color w:val="000000"/>
        </w:rPr>
      </w:pPr>
    </w:p>
    <w:p>
      <w:pPr>
        <w:snapToGrid w:val="0"/>
        <w:spacing w:line="360" w:lineRule="auto"/>
        <w:rPr>
          <w:rFonts w:ascii="宋体" w:hAnsi="宋体"/>
          <w:color w:val="000000"/>
        </w:rPr>
      </w:pPr>
    </w:p>
    <w:p>
      <w:pPr>
        <w:snapToGrid w:val="0"/>
        <w:spacing w:line="360" w:lineRule="auto"/>
        <w:rPr>
          <w:rFonts w:ascii="宋体" w:hAnsi="宋体"/>
          <w:color w:val="000000"/>
        </w:rPr>
      </w:pPr>
    </w:p>
    <w:p>
      <w:pPr>
        <w:adjustRightInd w:val="0"/>
        <w:spacing w:line="300" w:lineRule="auto"/>
        <w:jc w:val="center"/>
        <w:rPr>
          <w:rFonts w:ascii="黑体" w:hAnsi="黑体" w:eastAsia="黑体"/>
          <w:color w:val="000000"/>
          <w:sz w:val="52"/>
          <w:szCs w:val="52"/>
        </w:rPr>
      </w:pPr>
      <w:r>
        <w:rPr>
          <w:rFonts w:hint="eastAsia" w:ascii="黑体" w:hAnsi="黑体" w:eastAsia="黑体"/>
          <w:sz w:val="52"/>
        </w:rPr>
        <w:t>网联出租汽车计价器</w:t>
      </w:r>
    </w:p>
    <w:p>
      <w:pPr>
        <w:spacing w:line="300" w:lineRule="auto"/>
        <w:jc w:val="center"/>
        <w:rPr>
          <w:rFonts w:ascii="黑体" w:hAnsi="宋体" w:eastAsia="黑体"/>
          <w:color w:val="000000"/>
          <w:sz w:val="28"/>
          <w:szCs w:val="28"/>
        </w:rPr>
      </w:pPr>
      <w:r>
        <w:rPr>
          <w:rFonts w:hint="eastAsia" w:eastAsia="黑体"/>
          <w:b/>
          <w:sz w:val="28"/>
          <w:szCs w:val="28"/>
        </w:rPr>
        <w:t xml:space="preserve"> Network Connection Taximeters</w:t>
      </w:r>
    </w:p>
    <w:p>
      <w:pPr>
        <w:snapToGrid w:val="0"/>
        <w:spacing w:line="360" w:lineRule="auto"/>
        <w:jc w:val="center"/>
        <w:rPr>
          <w:rFonts w:ascii="黑体" w:hAnsi="黑体" w:eastAsia="黑体"/>
          <w:color w:val="000000"/>
          <w:sz w:val="28"/>
          <w:szCs w:val="28"/>
        </w:rPr>
      </w:pPr>
    </w:p>
    <w:p>
      <w:pPr>
        <w:rPr>
          <w:rFonts w:ascii="宋体" w:hAnsi="宋体"/>
          <w:color w:val="000000"/>
        </w:rPr>
      </w:pPr>
    </w:p>
    <w:p>
      <w:pPr>
        <w:snapToGrid w:val="0"/>
        <w:spacing w:line="360" w:lineRule="auto"/>
        <w:rPr>
          <w:rFonts w:ascii="宋体" w:hAnsi="宋体"/>
          <w:color w:val="000000"/>
        </w:rPr>
      </w:pPr>
    </w:p>
    <w:p>
      <w:pPr>
        <w:snapToGrid w:val="0"/>
        <w:spacing w:line="360" w:lineRule="auto"/>
        <w:rPr>
          <w:rFonts w:ascii="宋体" w:hAnsi="宋体"/>
          <w:color w:val="000000"/>
        </w:rPr>
      </w:pPr>
    </w:p>
    <w:p>
      <w:pPr>
        <w:snapToGrid w:val="0"/>
        <w:spacing w:line="360" w:lineRule="auto"/>
        <w:rPr>
          <w:rFonts w:ascii="宋体" w:hAnsi="宋体"/>
          <w:color w:val="000000"/>
        </w:rPr>
      </w:pPr>
    </w:p>
    <w:p>
      <w:pPr>
        <w:snapToGrid w:val="0"/>
        <w:spacing w:line="360" w:lineRule="auto"/>
        <w:rPr>
          <w:rFonts w:ascii="宋体" w:hAnsi="宋体"/>
          <w:color w:val="000000"/>
        </w:rPr>
      </w:pPr>
    </w:p>
    <w:p>
      <w:pPr>
        <w:snapToGrid w:val="0"/>
        <w:spacing w:line="360" w:lineRule="auto"/>
        <w:rPr>
          <w:rFonts w:ascii="宋体" w:hAnsi="宋体"/>
          <w:color w:val="000000"/>
        </w:rPr>
      </w:pPr>
    </w:p>
    <w:p>
      <w:pPr>
        <w:snapToGrid w:val="0"/>
        <w:spacing w:line="360" w:lineRule="auto"/>
        <w:rPr>
          <w:rFonts w:ascii="宋体" w:hAnsi="宋体"/>
          <w:color w:val="000000"/>
        </w:rPr>
      </w:pPr>
    </w:p>
    <w:p>
      <w:pPr>
        <w:snapToGrid w:val="0"/>
        <w:spacing w:line="360" w:lineRule="auto"/>
        <w:rPr>
          <w:rFonts w:ascii="宋体" w:hAnsi="宋体"/>
          <w:color w:val="000000"/>
        </w:rPr>
      </w:pPr>
    </w:p>
    <w:p>
      <w:pPr>
        <w:snapToGrid w:val="0"/>
        <w:spacing w:line="360" w:lineRule="auto"/>
        <w:rPr>
          <w:rFonts w:ascii="宋体" w:hAnsi="宋体"/>
          <w:color w:val="000000"/>
        </w:rPr>
      </w:pPr>
    </w:p>
    <w:p>
      <w:pPr>
        <w:snapToGrid w:val="0"/>
        <w:spacing w:line="360" w:lineRule="auto"/>
        <w:rPr>
          <w:rFonts w:ascii="宋体" w:hAnsi="宋体"/>
          <w:color w:val="000000"/>
        </w:rPr>
      </w:pPr>
    </w:p>
    <w:p>
      <w:pPr>
        <w:snapToGrid w:val="0"/>
        <w:ind w:firstLine="1260" w:firstLineChars="450"/>
        <w:rPr>
          <w:rFonts w:ascii="黑体" w:hAnsi="宋体" w:eastAsia="黑体"/>
          <w:b/>
          <w:color w:val="000000"/>
          <w:sz w:val="28"/>
          <w:szCs w:val="28"/>
        </w:rPr>
      </w:pPr>
      <w:r>
        <w:rPr>
          <w:rFonts w:hint="eastAsia" w:ascii="黑体" w:hAnsi="黑体" w:eastAsia="黑体"/>
          <w:color w:val="000000"/>
          <w:sz w:val="28"/>
          <w:szCs w:val="28"/>
        </w:rPr>
        <w:t>2021-</w:t>
      </w:r>
      <w:r>
        <w:rPr>
          <w:rFonts w:hint="eastAsia" w:ascii="黑体" w:hAnsi="黑体" w:eastAsia="黑体"/>
          <w:sz w:val="28"/>
          <w:szCs w:val="28"/>
        </w:rPr>
        <w:t>X</w:t>
      </w:r>
      <w:r>
        <w:rPr>
          <w:rFonts w:hint="eastAsia" w:ascii="黑体" w:hAnsi="黑体" w:eastAsia="黑体"/>
          <w:color w:val="000000"/>
          <w:sz w:val="28"/>
          <w:szCs w:val="28"/>
        </w:rPr>
        <w:t>-</w:t>
      </w:r>
      <w:r>
        <w:rPr>
          <w:rFonts w:hint="eastAsia" w:ascii="黑体" w:hAnsi="黑体" w:eastAsia="黑体"/>
          <w:sz w:val="28"/>
          <w:szCs w:val="28"/>
        </w:rPr>
        <w:t>XX</w:t>
      </w:r>
      <w:r>
        <w:rPr>
          <w:rFonts w:hint="eastAsia" w:ascii="黑体" w:hAnsi="黑体" w:eastAsia="黑体"/>
          <w:color w:val="000000"/>
          <w:sz w:val="28"/>
          <w:szCs w:val="28"/>
        </w:rPr>
        <w:t>发布</w:t>
      </w:r>
      <w:r>
        <w:rPr>
          <w:rFonts w:hint="eastAsia" w:ascii="黑体" w:hAnsi="宋体" w:eastAsia="黑体"/>
          <w:b/>
          <w:color w:val="000000"/>
          <w:sz w:val="28"/>
          <w:szCs w:val="28"/>
        </w:rPr>
        <w:t xml:space="preserve">                  　</w:t>
      </w:r>
      <w:r>
        <w:rPr>
          <w:rFonts w:hint="eastAsia" w:ascii="黑体" w:hAnsi="宋体" w:eastAsia="黑体"/>
          <w:color w:val="000000"/>
          <w:sz w:val="28"/>
          <w:szCs w:val="28"/>
        </w:rPr>
        <w:t>202X-</w:t>
      </w:r>
      <w:r>
        <w:rPr>
          <w:rFonts w:hint="eastAsia" w:ascii="黑体" w:eastAsia="黑体"/>
          <w:sz w:val="28"/>
          <w:szCs w:val="28"/>
        </w:rPr>
        <w:t>X</w:t>
      </w:r>
      <w:r>
        <w:rPr>
          <w:rFonts w:hint="eastAsia" w:ascii="黑体" w:hAnsi="宋体" w:eastAsia="黑体"/>
          <w:color w:val="000000"/>
          <w:sz w:val="28"/>
          <w:szCs w:val="28"/>
        </w:rPr>
        <w:t>-</w:t>
      </w:r>
      <w:r>
        <w:rPr>
          <w:rFonts w:hint="eastAsia" w:ascii="黑体" w:eastAsia="黑体"/>
          <w:sz w:val="28"/>
          <w:szCs w:val="28"/>
        </w:rPr>
        <w:t>XX</w:t>
      </w:r>
      <w:r>
        <w:rPr>
          <w:rFonts w:hint="eastAsia" w:ascii="黑体" w:hAnsi="宋体" w:eastAsia="黑体"/>
          <w:color w:val="000000"/>
          <w:sz w:val="28"/>
          <w:szCs w:val="28"/>
        </w:rPr>
        <w:t>实施</w:t>
      </w:r>
    </w:p>
    <w:p>
      <w:pPr>
        <w:snapToGrid w:val="0"/>
        <w:spacing w:line="100" w:lineRule="exact"/>
        <w:jc w:val="left"/>
        <w:rPr>
          <w:rFonts w:ascii="宋体" w:hAnsi="宋体"/>
          <w:color w:val="000000"/>
          <w:sz w:val="28"/>
          <w:u w:val="single"/>
        </w:rPr>
      </w:pPr>
      <w:r>
        <w:rPr>
          <w:rFonts w:ascii="宋体" w:hAnsi="宋体"/>
          <w:color w:val="000000"/>
          <w:sz w:val="28"/>
          <w:u w:val="single"/>
        </w:rPr>
        <mc:AlternateContent>
          <mc:Choice Requires="wps">
            <w:drawing>
              <wp:anchor distT="0" distB="0" distL="114300" distR="114300" simplePos="0" relativeHeight="251663360" behindDoc="0" locked="0" layoutInCell="1" allowOverlap="1">
                <wp:simplePos x="0" y="0"/>
                <wp:positionH relativeFrom="column">
                  <wp:posOffset>19050</wp:posOffset>
                </wp:positionH>
                <wp:positionV relativeFrom="paragraph">
                  <wp:posOffset>25400</wp:posOffset>
                </wp:positionV>
                <wp:extent cx="5600700" cy="0"/>
                <wp:effectExtent l="0" t="0" r="19050" b="19050"/>
                <wp:wrapNone/>
                <wp:docPr id="9" name="直接连接符 3"/>
                <wp:cNvGraphicFramePr/>
                <a:graphic xmlns:a="http://schemas.openxmlformats.org/drawingml/2006/main">
                  <a:graphicData uri="http://schemas.microsoft.com/office/word/2010/wordprocessingShape">
                    <wps:wsp>
                      <wps:cNvCnPr>
                        <a:cxnSpLocks noChangeShapeType="true"/>
                      </wps:cNvCnPr>
                      <wps:spPr bwMode="auto">
                        <a:xfrm>
                          <a:off x="0" y="0"/>
                          <a:ext cx="5600700" cy="0"/>
                        </a:xfrm>
                        <a:prstGeom prst="line">
                          <a:avLst/>
                        </a:prstGeom>
                        <a:noFill/>
                        <a:ln w="19050" cmpd="sng">
                          <a:solidFill>
                            <a:srgbClr val="000000"/>
                          </a:solidFill>
                          <a:round/>
                        </a:ln>
                      </wps:spPr>
                      <wps:bodyPr/>
                    </wps:wsp>
                  </a:graphicData>
                </a:graphic>
              </wp:anchor>
            </w:drawing>
          </mc:Choice>
          <mc:Fallback>
            <w:pict>
              <v:line id="直接连接符 3" o:spid="_x0000_s1026" o:spt="20" style="position:absolute;left:0pt;margin-left:1.5pt;margin-top:2pt;height:0pt;width:441pt;z-index:251663360;mso-width-relative:page;mso-height-relative:page;" filled="f" stroked="t" coordsize="21600,21600" o:gfxdata="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BYAAABkcnMvUEsBAhQAFAAAAAgAh07iQE7EViXSAAAABQEA&#10;AA8AAAAAAAAAAQAgAAAAOAAAAGRycy9kb3ducmV2LnhtbFBLAQIUABQAAAAIAIdO4kBFB1q60QEA&#10;AGsDAAAOAAAAAAAAAAEAIAAAADcBAABkcnMvZTJvRG9jLnhtbFBLBQYAAAAABgAGAFkBAAB6BQAA&#10;AAA=&#10;">
                <v:fill on="f" focussize="0,0"/>
                <v:stroke weight="1.5pt" color="#000000" joinstyle="round"/>
                <v:imagedata o:title=""/>
                <o:lock v:ext="edit" aspectratio="f"/>
              </v:line>
            </w:pict>
          </mc:Fallback>
        </mc:AlternateContent>
      </w:r>
    </w:p>
    <w:p>
      <w:pPr>
        <w:adjustRightInd w:val="0"/>
        <w:snapToGrid w:val="0"/>
        <w:ind w:firstLine="1697" w:firstLineChars="393"/>
        <w:jc w:val="left"/>
        <w:rPr>
          <w:rFonts w:ascii="方正小标宋_GBK" w:eastAsia="方正小标宋_GBK"/>
          <w:w w:val="120"/>
          <w:sz w:val="36"/>
          <w:szCs w:val="36"/>
        </w:rPr>
      </w:pPr>
    </w:p>
    <w:p>
      <w:pPr>
        <w:adjustRightInd w:val="0"/>
        <w:snapToGrid w:val="0"/>
        <w:ind w:firstLine="1697" w:firstLineChars="393"/>
        <w:jc w:val="left"/>
        <w:rPr>
          <w:rFonts w:ascii="黑体" w:hAnsi="宋体" w:eastAsia="黑体"/>
          <w:color w:val="000000"/>
          <w:spacing w:val="30"/>
          <w:sz w:val="36"/>
          <w:szCs w:val="36"/>
        </w:rPr>
      </w:pPr>
      <w:r>
        <w:rPr>
          <w:rFonts w:hint="eastAsia" w:ascii="方正小标宋_GBK" w:eastAsia="方正小标宋_GBK"/>
          <w:w w:val="120"/>
          <w:sz w:val="36"/>
          <w:szCs w:val="36"/>
          <w:lang w:eastAsia="ko-KR"/>
        </w:rPr>
        <w:t>上海市市场监督管理局</w:t>
      </w:r>
      <w:r>
        <w:rPr>
          <w:rFonts w:hint="eastAsia" w:ascii="方正小标宋简体" w:hAnsi="宋体" w:eastAsia="方正小标宋简体"/>
          <w:color w:val="000000"/>
          <w:spacing w:val="80"/>
          <w:sz w:val="36"/>
          <w:szCs w:val="36"/>
        </w:rPr>
        <w:t xml:space="preserve"> </w:t>
      </w:r>
      <w:r>
        <w:rPr>
          <w:rFonts w:hint="eastAsia" w:eastAsia="黑体"/>
          <w:w w:val="120"/>
          <w:sz w:val="28"/>
          <w:szCs w:val="21"/>
          <w:lang w:eastAsia="ko-KR"/>
        </w:rPr>
        <w:t>发</w:t>
      </w:r>
      <w:r>
        <w:rPr>
          <w:rFonts w:hint="eastAsia" w:eastAsia="黑体"/>
          <w:w w:val="120"/>
          <w:sz w:val="28"/>
          <w:szCs w:val="21"/>
        </w:rPr>
        <w:t xml:space="preserve"> </w:t>
      </w:r>
      <w:r>
        <w:rPr>
          <w:rFonts w:hint="eastAsia" w:eastAsia="黑体"/>
          <w:w w:val="120"/>
          <w:sz w:val="28"/>
          <w:szCs w:val="21"/>
          <w:lang w:eastAsia="ko-KR"/>
        </w:rPr>
        <w:t>布</w:t>
      </w:r>
    </w:p>
    <w:p>
      <w:pPr>
        <w:snapToGrid w:val="0"/>
        <w:spacing w:before="249" w:beforeLines="80"/>
        <w:rPr>
          <w:rFonts w:ascii="黑体" w:hAnsi="宋体" w:eastAsia="黑体"/>
          <w:b/>
          <w:color w:val="000000"/>
          <w:sz w:val="28"/>
          <w:szCs w:val="28"/>
        </w:rPr>
        <w:sectPr>
          <w:footerReference r:id="rId4" w:type="default"/>
          <w:headerReference r:id="rId3" w:type="even"/>
          <w:footerReference r:id="rId5" w:type="even"/>
          <w:pgSz w:w="11906" w:h="16838"/>
          <w:pgMar w:top="1418" w:right="1418" w:bottom="1418" w:left="1418" w:header="851" w:footer="992" w:gutter="0"/>
          <w:pgNumType w:fmt="numberInDash" w:start="1"/>
          <w:cols w:space="720" w:num="1"/>
          <w:docGrid w:type="lines" w:linePitch="312" w:charSpace="0"/>
        </w:sectPr>
      </w:pPr>
    </w:p>
    <w:tbl>
      <w:tblPr>
        <w:tblStyle w:val="24"/>
        <w:tblW w:w="0" w:type="auto"/>
        <w:tblInd w:w="71" w:type="dxa"/>
        <w:tblBorders>
          <w:top w:val="none" w:color="auto" w:sz="0"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157"/>
        <w:gridCol w:w="2730"/>
      </w:tblGrid>
      <w:tr>
        <w:tblPrEx>
          <w:tblBorders>
            <w:top w:val="none" w:color="auto" w:sz="0"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2725" w:hRule="atLeast"/>
        </w:trPr>
        <w:tc>
          <w:tcPr>
            <w:tcW w:w="6157" w:type="dxa"/>
            <w:vAlign w:val="center"/>
          </w:tcPr>
          <w:p>
            <w:pPr>
              <w:snapToGrid w:val="0"/>
              <w:spacing w:line="360" w:lineRule="auto"/>
              <w:ind w:firstLine="1100" w:firstLineChars="250"/>
              <w:rPr>
                <w:rFonts w:ascii="黑体" w:hAnsi="宋体" w:eastAsia="黑体"/>
                <w:color w:val="000000"/>
                <w:sz w:val="44"/>
                <w:szCs w:val="44"/>
              </w:rPr>
            </w:pPr>
          </w:p>
          <w:p>
            <w:pPr>
              <w:snapToGrid w:val="0"/>
              <w:spacing w:line="360" w:lineRule="auto"/>
              <w:ind w:firstLine="700" w:firstLineChars="250"/>
              <w:rPr>
                <w:rFonts w:ascii="黑体" w:hAnsi="宋体" w:eastAsia="黑体"/>
                <w:color w:val="000000"/>
                <w:sz w:val="44"/>
                <w:szCs w:val="44"/>
              </w:rPr>
            </w:pPr>
            <w:r>
              <w:rPr>
                <w:rFonts w:ascii="黑体" w:hAnsi="宋体" w:eastAsia="黑体"/>
                <w:color w:val="000000"/>
                <w:sz w:val="28"/>
                <w:szCs w:val="28"/>
              </w:rPr>
              <mc:AlternateContent>
                <mc:Choice Requires="wpg">
                  <w:drawing>
                    <wp:anchor distT="0" distB="0" distL="114300" distR="114300" simplePos="0" relativeHeight="251668480" behindDoc="0" locked="0" layoutInCell="1" allowOverlap="1">
                      <wp:simplePos x="0" y="0"/>
                      <wp:positionH relativeFrom="column">
                        <wp:posOffset>3394710</wp:posOffset>
                      </wp:positionH>
                      <wp:positionV relativeFrom="paragraph">
                        <wp:posOffset>171450</wp:posOffset>
                      </wp:positionV>
                      <wp:extent cx="2215515" cy="738505"/>
                      <wp:effectExtent l="19050" t="19050" r="13335" b="23495"/>
                      <wp:wrapNone/>
                      <wp:docPr id="1" name="Group 507"/>
                      <wp:cNvGraphicFramePr/>
                      <a:graphic xmlns:a="http://schemas.openxmlformats.org/drawingml/2006/main">
                        <a:graphicData uri="http://schemas.microsoft.com/office/word/2010/wordprocessingGroup">
                          <wpg:wgp>
                            <wpg:cNvGrpSpPr/>
                            <wpg:grpSpPr>
                              <a:xfrm>
                                <a:off x="0" y="0"/>
                                <a:ext cx="2215515" cy="738505"/>
                                <a:chOff x="6952" y="3195"/>
                                <a:chExt cx="3489" cy="1163"/>
                              </a:xfrm>
                            </wpg:grpSpPr>
                            <wps:wsp>
                              <wps:cNvPr id="2" name="矩形 37"/>
                              <wps:cNvSpPr>
                                <a:spLocks noChangeArrowheads="true"/>
                              </wps:cNvSpPr>
                              <wps:spPr bwMode="auto">
                                <a:xfrm>
                                  <a:off x="6952" y="3195"/>
                                  <a:ext cx="3489" cy="1163"/>
                                </a:xfrm>
                                <a:prstGeom prst="rect">
                                  <a:avLst/>
                                </a:prstGeom>
                                <a:noFill/>
                                <a:ln w="28575" cap="rnd">
                                  <a:solidFill>
                                    <a:srgbClr val="000000"/>
                                  </a:solidFill>
                                  <a:prstDash val="sysDot"/>
                                  <a:miter lim="800000"/>
                                </a:ln>
                              </wps:spPr>
                              <wps:bodyPr rot="0" vert="horz" wrap="square" lIns="91440" tIns="45720" rIns="91440" bIns="45720" anchor="t" anchorCtr="false" upright="true">
                                <a:noAutofit/>
                              </wps:bodyPr>
                            </wps:wsp>
                            <wps:wsp>
                              <wps:cNvPr id="5" name="文本框 38"/>
                              <wps:cNvSpPr txBox="true">
                                <a:spLocks noChangeArrowheads="true"/>
                              </wps:cNvSpPr>
                              <wps:spPr bwMode="auto">
                                <a:xfrm>
                                  <a:off x="7198" y="3532"/>
                                  <a:ext cx="3041" cy="478"/>
                                </a:xfrm>
                                <a:prstGeom prst="rect">
                                  <a:avLst/>
                                </a:prstGeom>
                                <a:solidFill>
                                  <a:srgbClr val="FFFFFF"/>
                                </a:solidFill>
                                <a:ln w="9525">
                                  <a:solidFill>
                                    <a:srgbClr val="FFFFFF"/>
                                  </a:solidFill>
                                  <a:miter lim="800000"/>
                                </a:ln>
                              </wps:spPr>
                              <wps:txbx>
                                <w:txbxContent>
                                  <w:p>
                                    <w:pPr>
                                      <w:ind w:right="-141" w:rightChars="-67"/>
                                      <w:jc w:val="left"/>
                                      <w:rPr>
                                        <w:rFonts w:ascii="宋体" w:hAnsi="宋体"/>
                                        <w:szCs w:val="21"/>
                                      </w:rPr>
                                    </w:pPr>
                                    <w:r>
                                      <w:rPr>
                                        <w:rFonts w:hint="eastAsia" w:ascii="黑体" w:hAnsi="黑体" w:eastAsia="黑体"/>
                                        <w:szCs w:val="21"/>
                                        <w:lang w:val="nl-NL"/>
                                      </w:rPr>
                                      <w:t xml:space="preserve">  JJG（</w:t>
                                    </w:r>
                                    <w:r>
                                      <w:rPr>
                                        <w:rFonts w:hint="eastAsia" w:ascii="黑体" w:hAnsi="黑体" w:eastAsia="黑体"/>
                                        <w:szCs w:val="21"/>
                                      </w:rPr>
                                      <w:t>沪</w:t>
                                    </w:r>
                                    <w:r>
                                      <w:rPr>
                                        <w:rFonts w:hint="eastAsia" w:ascii="黑体" w:hAnsi="黑体" w:eastAsia="黑体"/>
                                        <w:szCs w:val="21"/>
                                        <w:lang w:val="nl-NL"/>
                                      </w:rPr>
                                      <w:t>）</w:t>
                                    </w:r>
                                    <w:r>
                                      <w:rPr>
                                        <w:rFonts w:hint="eastAsia" w:eastAsia="黑体"/>
                                        <w:szCs w:val="21"/>
                                      </w:rPr>
                                      <w:t>xxxx</w:t>
                                    </w:r>
                                    <w:r>
                                      <w:rPr>
                                        <w:rFonts w:hint="eastAsia" w:ascii="黑体" w:hAnsi="黑体" w:eastAsia="黑体"/>
                                        <w:szCs w:val="21"/>
                                      </w:rPr>
                                      <w:t>－</w:t>
                                    </w:r>
                                    <w:r>
                                      <w:rPr>
                                        <w:rFonts w:hint="eastAsia" w:eastAsia="黑体"/>
                                        <w:szCs w:val="21"/>
                                      </w:rPr>
                                      <w:t>202</w:t>
                                    </w:r>
                                    <w:r>
                                      <w:rPr>
                                        <w:rFonts w:eastAsia="黑体"/>
                                        <w:szCs w:val="21"/>
                                      </w:rPr>
                                      <w:t>1</w:t>
                                    </w:r>
                                  </w:p>
                                </w:txbxContent>
                              </wps:txbx>
                              <wps:bodyPr rot="0" vert="horz" wrap="square" lIns="91440" tIns="45720" rIns="91440" bIns="45720" anchor="t" anchorCtr="false" upright="true">
                                <a:noAutofit/>
                              </wps:bodyPr>
                            </wps:wsp>
                          </wpg:wgp>
                        </a:graphicData>
                      </a:graphic>
                    </wp:anchor>
                  </w:drawing>
                </mc:Choice>
                <mc:Fallback>
                  <w:pict>
                    <v:group id="Group 507" o:spid="_x0000_s1026" o:spt="203" style="position:absolute;left:0pt;margin-left:267.3pt;margin-top:13.5pt;height:58.15pt;width:174.45pt;z-index:251668480;mso-width-relative:page;mso-height-relative:page;" coordorigin="6952,3195" coordsize="3489,1163" o:gfxdata="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">
                      <o:lock v:ext="edit" aspectratio="f"/>
                      <v:rect id="矩形 37" o:spid="_x0000_s1026" o:spt="1" style="position:absolute;left:6952;top:3195;height:1163;width:3489;" filled="f" stroked="t" coordsize="21600,21600" o:gfxdata="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oNc8BboAAADaAAAADwAAAAAAAAABACAAAAA4AAAAZHJzL2Rvd25yZXYueG1s&#10;UEsBAhQAFAAAAAgAh07iQDMvBZ47AAAAOQAAABAAAAAAAAAAAQAgAAAAHwEAAGRycy9zaGFwZXht&#10;bC54bWxQSwUGAAAAAAYABgBbAQAAyQMAAAAA&#10;">
                        <v:fill on="f" focussize="0,0"/>
                        <v:stroke weight="2.25pt" color="#000000" miterlimit="8" joinstyle="miter" dashstyle="1 1" endcap="round"/>
                        <v:imagedata o:title=""/>
                        <o:lock v:ext="edit" aspectratio="f"/>
                      </v:rect>
                      <v:shape id="文本框 38" o:spid="_x0000_s1026" o:spt="202" type="#_x0000_t202" style="position:absolute;left:7198;top:3532;height:478;width:3041;" fillcolor="#FFFFFF" filled="t" stroked="t" coordsize="21600,21600" o:gfxdata="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KTxemvAAAANoAAAAPAAAAAAAAAAEAIAAAADgAAABkcnMvZG93bnJldi54&#10;bWxQSwECFAAUAAAACACHTuJAMy8FnjsAAAA5AAAAEAAAAAAAAAABACAAAAAhAQAAZHJzL3NoYXBl&#10;eG1sLnhtbFBLBQYAAAAABgAGAFsBAADLAwAAAAA=&#10;">
                        <v:fill on="t" focussize="0,0"/>
                        <v:stroke color="#FFFFFF" miterlimit="8" joinstyle="miter"/>
                        <v:imagedata o:title=""/>
                        <o:lock v:ext="edit" aspectratio="f"/>
                        <v:textbox>
                          <w:txbxContent>
                            <w:p>
                              <w:pPr>
                                <w:ind w:right="-141" w:rightChars="-67"/>
                                <w:jc w:val="left"/>
                                <w:rPr>
                                  <w:rFonts w:ascii="宋体" w:hAnsi="宋体"/>
                                  <w:szCs w:val="21"/>
                                </w:rPr>
                              </w:pPr>
                              <w:r>
                                <w:rPr>
                                  <w:rFonts w:hint="eastAsia" w:ascii="黑体" w:hAnsi="黑体" w:eastAsia="黑体"/>
                                  <w:szCs w:val="21"/>
                                  <w:lang w:val="nl-NL"/>
                                </w:rPr>
                                <w:t xml:space="preserve">  JJG（</w:t>
                              </w:r>
                              <w:r>
                                <w:rPr>
                                  <w:rFonts w:hint="eastAsia" w:ascii="黑体" w:hAnsi="黑体" w:eastAsia="黑体"/>
                                  <w:szCs w:val="21"/>
                                </w:rPr>
                                <w:t>沪</w:t>
                              </w:r>
                              <w:r>
                                <w:rPr>
                                  <w:rFonts w:hint="eastAsia" w:ascii="黑体" w:hAnsi="黑体" w:eastAsia="黑体"/>
                                  <w:szCs w:val="21"/>
                                  <w:lang w:val="nl-NL"/>
                                </w:rPr>
                                <w:t>）</w:t>
                              </w:r>
                              <w:r>
                                <w:rPr>
                                  <w:rFonts w:hint="eastAsia" w:eastAsia="黑体"/>
                                  <w:szCs w:val="21"/>
                                </w:rPr>
                                <w:t>xxxx</w:t>
                              </w:r>
                              <w:r>
                                <w:rPr>
                                  <w:rFonts w:hint="eastAsia" w:ascii="黑体" w:hAnsi="黑体" w:eastAsia="黑体"/>
                                  <w:szCs w:val="21"/>
                                </w:rPr>
                                <w:t>－</w:t>
                              </w:r>
                              <w:r>
                                <w:rPr>
                                  <w:rFonts w:hint="eastAsia" w:eastAsia="黑体"/>
                                  <w:szCs w:val="21"/>
                                </w:rPr>
                                <w:t>202</w:t>
                              </w:r>
                              <w:r>
                                <w:rPr>
                                  <w:rFonts w:eastAsia="黑体"/>
                                  <w:szCs w:val="21"/>
                                </w:rPr>
                                <w:t>1</w:t>
                              </w:r>
                            </w:p>
                          </w:txbxContent>
                        </v:textbox>
                      </v:shape>
                    </v:group>
                  </w:pict>
                </mc:Fallback>
              </mc:AlternateContent>
            </w:r>
            <w:r>
              <w:rPr>
                <w:rFonts w:hint="eastAsia" w:ascii="黑体" w:hAnsi="宋体" w:eastAsia="黑体"/>
                <w:color w:val="000000"/>
                <w:sz w:val="44"/>
                <w:szCs w:val="44"/>
              </w:rPr>
              <w:t>网联出租汽车计价器</w:t>
            </w:r>
          </w:p>
          <w:p>
            <w:pPr>
              <w:snapToGrid w:val="0"/>
              <w:jc w:val="center"/>
              <w:rPr>
                <w:rFonts w:eastAsia="黑体"/>
                <w:b/>
                <w:color w:val="000000"/>
                <w:sz w:val="28"/>
                <w:szCs w:val="28"/>
              </w:rPr>
            </w:pPr>
            <w:r>
              <w:rPr>
                <w:rFonts w:eastAsia="黑体"/>
                <w:b/>
                <w:color w:val="000000"/>
                <w:sz w:val="28"/>
                <w:szCs w:val="28"/>
              </w:rPr>
              <w:t xml:space="preserve">Network Connection </w:t>
            </w:r>
          </w:p>
          <w:p>
            <w:pPr>
              <w:snapToGrid w:val="0"/>
              <w:spacing w:line="300" w:lineRule="auto"/>
              <w:jc w:val="center"/>
              <w:rPr>
                <w:rFonts w:ascii="宋体" w:hAnsi="宋体"/>
                <w:color w:val="000000"/>
                <w:sz w:val="32"/>
                <w:szCs w:val="32"/>
              </w:rPr>
            </w:pPr>
            <w:r>
              <w:rPr>
                <w:rFonts w:eastAsia="黑体"/>
                <w:b/>
                <w:color w:val="000000"/>
                <w:sz w:val="28"/>
                <w:szCs w:val="28"/>
              </w:rPr>
              <w:t>Taximeter</w:t>
            </w:r>
            <w:r>
              <w:rPr>
                <w:rFonts w:hint="eastAsia" w:eastAsia="黑体"/>
                <w:b/>
                <w:color w:val="000000"/>
                <w:sz w:val="28"/>
                <w:szCs w:val="28"/>
              </w:rPr>
              <w:t>s</w:t>
            </w:r>
          </w:p>
        </w:tc>
        <w:tc>
          <w:tcPr>
            <w:tcW w:w="2730" w:type="dxa"/>
          </w:tcPr>
          <w:p>
            <w:pPr>
              <w:snapToGrid w:val="0"/>
              <w:spacing w:line="360" w:lineRule="auto"/>
              <w:rPr>
                <w:rFonts w:ascii="宋体" w:hAnsi="宋体"/>
                <w:color w:val="000000"/>
                <w:sz w:val="32"/>
                <w:szCs w:val="32"/>
              </w:rPr>
            </w:pPr>
          </w:p>
        </w:tc>
      </w:tr>
    </w:tbl>
    <w:p>
      <w:pPr>
        <w:snapToGrid w:val="0"/>
        <w:spacing w:line="360" w:lineRule="auto"/>
        <w:rPr>
          <w:rFonts w:ascii="宋体" w:hAnsi="宋体"/>
          <w:b/>
          <w:color w:val="000000"/>
        </w:rPr>
      </w:pPr>
    </w:p>
    <w:p>
      <w:pPr>
        <w:pStyle w:val="4"/>
        <w:snapToGrid w:val="0"/>
        <w:spacing w:line="360" w:lineRule="auto"/>
        <w:ind w:firstLine="0"/>
        <w:rPr>
          <w:rFonts w:ascii="宋体" w:hAnsi="宋体"/>
          <w:color w:val="000000"/>
        </w:rPr>
      </w:pPr>
    </w:p>
    <w:p>
      <w:pPr>
        <w:pStyle w:val="4"/>
        <w:snapToGrid w:val="0"/>
        <w:spacing w:line="360" w:lineRule="auto"/>
        <w:ind w:firstLine="0"/>
        <w:rPr>
          <w:rFonts w:ascii="宋体" w:hAnsi="宋体"/>
          <w:color w:val="000000"/>
        </w:rPr>
      </w:pPr>
    </w:p>
    <w:p>
      <w:pPr>
        <w:pStyle w:val="4"/>
        <w:snapToGrid w:val="0"/>
        <w:spacing w:line="360" w:lineRule="auto"/>
        <w:ind w:firstLine="0"/>
        <w:rPr>
          <w:rFonts w:ascii="宋体" w:hAnsi="宋体"/>
          <w:color w:val="000000"/>
        </w:rPr>
      </w:pPr>
    </w:p>
    <w:p>
      <w:pPr>
        <w:pStyle w:val="4"/>
        <w:snapToGrid w:val="0"/>
        <w:spacing w:line="360" w:lineRule="auto"/>
        <w:ind w:firstLine="0"/>
        <w:rPr>
          <w:rFonts w:ascii="宋体" w:hAnsi="宋体"/>
          <w:color w:val="000000"/>
        </w:rPr>
      </w:pPr>
    </w:p>
    <w:p>
      <w:pPr>
        <w:snapToGrid w:val="0"/>
        <w:spacing w:line="360" w:lineRule="auto"/>
        <w:rPr>
          <w:rFonts w:ascii="宋体" w:hAnsi="宋体"/>
          <w:color w:val="000000"/>
        </w:rPr>
      </w:pPr>
    </w:p>
    <w:p>
      <w:pPr>
        <w:snapToGrid w:val="0"/>
        <w:spacing w:line="360" w:lineRule="auto"/>
        <w:ind w:left="57" w:leftChars="27" w:firstLine="879" w:firstLineChars="300"/>
        <w:rPr>
          <w:rFonts w:asciiTheme="minorEastAsia" w:hAnsiTheme="minorEastAsia" w:eastAsiaTheme="minorEastAsia"/>
          <w:color w:val="000000"/>
          <w:sz w:val="28"/>
          <w:szCs w:val="28"/>
        </w:rPr>
      </w:pPr>
      <w:r>
        <w:rPr>
          <w:rFonts w:hint="eastAsia" w:ascii="黑体" w:hAnsi="宋体" w:eastAsia="黑体"/>
          <w:b/>
          <w:color w:val="000000"/>
          <w:spacing w:val="6"/>
          <w:sz w:val="28"/>
          <w:szCs w:val="28"/>
        </w:rPr>
        <w:t xml:space="preserve">      归 口 单 位</w:t>
      </w:r>
      <w:r>
        <w:rPr>
          <w:rFonts w:hint="eastAsia" w:ascii="黑体" w:hAnsi="宋体" w:eastAsia="黑体"/>
          <w:b/>
          <w:color w:val="000000"/>
          <w:sz w:val="28"/>
          <w:szCs w:val="28"/>
        </w:rPr>
        <w:t xml:space="preserve">： </w:t>
      </w:r>
      <w:r>
        <w:rPr>
          <w:rFonts w:hint="eastAsia" w:asciiTheme="minorEastAsia" w:hAnsiTheme="minorEastAsia" w:eastAsiaTheme="minorEastAsia"/>
          <w:color w:val="000000"/>
          <w:sz w:val="28"/>
          <w:szCs w:val="28"/>
        </w:rPr>
        <w:t>上海市市场监督管理局</w:t>
      </w:r>
    </w:p>
    <w:p>
      <w:pPr>
        <w:snapToGrid w:val="0"/>
        <w:spacing w:line="360" w:lineRule="auto"/>
        <w:ind w:left="57" w:leftChars="27" w:firstLine="840" w:firstLineChars="3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 xml:space="preserve">                </w:t>
      </w:r>
    </w:p>
    <w:p>
      <w:pPr>
        <w:snapToGrid w:val="0"/>
        <w:spacing w:line="360" w:lineRule="auto"/>
        <w:ind w:left="57" w:leftChars="27" w:firstLine="843" w:firstLineChars="300"/>
        <w:rPr>
          <w:rFonts w:asciiTheme="minorEastAsia" w:hAnsiTheme="minorEastAsia" w:eastAsiaTheme="minorEastAsia"/>
          <w:b/>
          <w:color w:val="000000"/>
          <w:sz w:val="28"/>
          <w:szCs w:val="28"/>
        </w:rPr>
      </w:pPr>
      <w:r>
        <w:rPr>
          <w:rFonts w:hint="eastAsia" w:asciiTheme="minorEastAsia" w:hAnsiTheme="minorEastAsia" w:eastAsiaTheme="minorEastAsia"/>
          <w:b/>
          <w:color w:val="000000"/>
          <w:sz w:val="28"/>
          <w:szCs w:val="28"/>
        </w:rPr>
        <w:t xml:space="preserve">               </w:t>
      </w:r>
      <w:r>
        <w:rPr>
          <w:rFonts w:hint="eastAsia" w:asciiTheme="minorEastAsia" w:hAnsiTheme="minorEastAsia" w:eastAsiaTheme="minorEastAsia"/>
          <w:color w:val="000000"/>
          <w:sz w:val="28"/>
          <w:szCs w:val="28"/>
        </w:rPr>
        <w:t xml:space="preserve"> </w:t>
      </w:r>
    </w:p>
    <w:p>
      <w:pPr>
        <w:snapToGrid w:val="0"/>
        <w:spacing w:line="360" w:lineRule="auto"/>
        <w:ind w:left="57" w:leftChars="27" w:firstLine="843" w:firstLineChars="300"/>
        <w:rPr>
          <w:rFonts w:asciiTheme="minorEastAsia" w:hAnsiTheme="minorEastAsia" w:eastAsiaTheme="minorEastAsia"/>
          <w:color w:val="000000"/>
          <w:sz w:val="28"/>
          <w:szCs w:val="28"/>
        </w:rPr>
      </w:pPr>
      <w:r>
        <w:rPr>
          <w:rFonts w:hint="eastAsia" w:asciiTheme="minorEastAsia" w:hAnsiTheme="minorEastAsia" w:eastAsiaTheme="minorEastAsia"/>
          <w:b/>
          <w:color w:val="000000"/>
          <w:sz w:val="28"/>
          <w:szCs w:val="28"/>
        </w:rPr>
        <w:t xml:space="preserve">               </w:t>
      </w:r>
      <w:r>
        <w:rPr>
          <w:rFonts w:hint="eastAsia" w:asciiTheme="minorEastAsia" w:hAnsiTheme="minorEastAsia" w:eastAsiaTheme="minorEastAsia"/>
          <w:color w:val="000000"/>
          <w:sz w:val="28"/>
          <w:szCs w:val="28"/>
        </w:rPr>
        <w:t xml:space="preserve"> </w:t>
      </w:r>
    </w:p>
    <w:p>
      <w:pPr>
        <w:snapToGrid w:val="0"/>
        <w:spacing w:line="360" w:lineRule="auto"/>
        <w:ind w:left="57" w:leftChars="27" w:firstLine="843" w:firstLineChars="300"/>
        <w:rPr>
          <w:rFonts w:asciiTheme="minorEastAsia" w:hAnsiTheme="minorEastAsia" w:eastAsiaTheme="minorEastAsia"/>
          <w:b/>
          <w:color w:val="000000"/>
          <w:sz w:val="28"/>
          <w:szCs w:val="28"/>
        </w:rPr>
      </w:pPr>
      <w:r>
        <w:rPr>
          <w:rFonts w:hint="eastAsia" w:ascii="黑体" w:hAnsi="宋体" w:eastAsia="黑体"/>
          <w:b/>
          <w:color w:val="000000"/>
          <w:sz w:val="28"/>
          <w:szCs w:val="28"/>
        </w:rPr>
        <w:t xml:space="preserve">      主要起草单位： </w:t>
      </w:r>
      <w:r>
        <w:rPr>
          <w:rFonts w:hint="eastAsia" w:asciiTheme="minorEastAsia" w:hAnsiTheme="minorEastAsia" w:eastAsiaTheme="minorEastAsia"/>
          <w:color w:val="000000"/>
          <w:sz w:val="28"/>
          <w:szCs w:val="28"/>
        </w:rPr>
        <w:t>上海市计量测试技术研究院</w:t>
      </w:r>
    </w:p>
    <w:p>
      <w:pPr>
        <w:snapToGrid w:val="0"/>
        <w:spacing w:line="360" w:lineRule="auto"/>
        <w:ind w:left="57" w:leftChars="27" w:firstLine="843" w:firstLineChars="300"/>
        <w:rPr>
          <w:rFonts w:asciiTheme="minorEastAsia" w:hAnsiTheme="minorEastAsia" w:eastAsiaTheme="minorEastAsia"/>
          <w:color w:val="000000"/>
          <w:sz w:val="28"/>
          <w:szCs w:val="28"/>
        </w:rPr>
      </w:pPr>
      <w:r>
        <w:rPr>
          <w:rFonts w:hint="eastAsia" w:asciiTheme="minorEastAsia" w:hAnsiTheme="minorEastAsia" w:eastAsiaTheme="minorEastAsia"/>
          <w:b/>
          <w:color w:val="000000"/>
          <w:sz w:val="28"/>
          <w:szCs w:val="28"/>
        </w:rPr>
        <w:t xml:space="preserve">               </w:t>
      </w:r>
    </w:p>
    <w:p>
      <w:pPr>
        <w:snapToGrid w:val="0"/>
        <w:spacing w:line="360" w:lineRule="auto"/>
        <w:ind w:left="57" w:leftChars="27" w:firstLine="843" w:firstLineChars="300"/>
        <w:rPr>
          <w:rFonts w:asciiTheme="minorEastAsia" w:hAnsiTheme="minorEastAsia" w:eastAsiaTheme="minorEastAsia"/>
          <w:b/>
          <w:color w:val="000000"/>
          <w:sz w:val="28"/>
          <w:szCs w:val="28"/>
        </w:rPr>
      </w:pPr>
      <w:r>
        <w:rPr>
          <w:rFonts w:hint="eastAsia" w:ascii="黑体" w:hAnsi="宋体" w:eastAsia="黑体"/>
          <w:b/>
          <w:color w:val="000000"/>
          <w:sz w:val="28"/>
          <w:szCs w:val="28"/>
        </w:rPr>
        <w:t xml:space="preserve">      参加起草单位： </w:t>
      </w:r>
      <w:r>
        <w:rPr>
          <w:rFonts w:hint="eastAsia" w:asciiTheme="minorEastAsia" w:hAnsiTheme="minorEastAsia" w:eastAsiaTheme="minorEastAsia"/>
          <w:color w:val="000000"/>
          <w:sz w:val="28"/>
          <w:szCs w:val="28"/>
        </w:rPr>
        <w:t>上海浦东软件平台有限公司</w:t>
      </w:r>
    </w:p>
    <w:p>
      <w:pPr>
        <w:snapToGrid w:val="0"/>
        <w:spacing w:line="360" w:lineRule="auto"/>
        <w:ind w:left="57" w:leftChars="27" w:firstLine="843" w:firstLineChars="300"/>
        <w:rPr>
          <w:rFonts w:ascii="宋体" w:hAnsi="宋体"/>
          <w:color w:val="000000"/>
          <w:sz w:val="28"/>
        </w:rPr>
      </w:pPr>
      <w:r>
        <w:rPr>
          <w:rFonts w:hint="eastAsia" w:asciiTheme="minorEastAsia" w:hAnsiTheme="minorEastAsia" w:eastAsiaTheme="minorEastAsia"/>
          <w:b/>
          <w:color w:val="000000"/>
          <w:sz w:val="28"/>
          <w:szCs w:val="28"/>
        </w:rPr>
        <w:t xml:space="preserve">               </w:t>
      </w:r>
      <w:r>
        <w:rPr>
          <w:rFonts w:hint="eastAsia" w:asciiTheme="minorEastAsia" w:hAnsiTheme="minorEastAsia" w:eastAsiaTheme="minorEastAsia"/>
          <w:color w:val="000000"/>
          <w:sz w:val="28"/>
          <w:szCs w:val="28"/>
        </w:rPr>
        <w:t xml:space="preserve"> </w:t>
      </w:r>
    </w:p>
    <w:p>
      <w:pPr>
        <w:snapToGrid w:val="0"/>
        <w:spacing w:line="360" w:lineRule="auto"/>
        <w:rPr>
          <w:rFonts w:ascii="宋体" w:hAnsi="宋体"/>
          <w:color w:val="000000"/>
          <w:sz w:val="28"/>
        </w:rPr>
      </w:pPr>
    </w:p>
    <w:p>
      <w:pPr>
        <w:snapToGrid w:val="0"/>
        <w:spacing w:line="360" w:lineRule="auto"/>
        <w:rPr>
          <w:rFonts w:ascii="宋体" w:hAnsi="宋体"/>
          <w:color w:val="000000"/>
          <w:sz w:val="28"/>
        </w:rPr>
      </w:pPr>
    </w:p>
    <w:p>
      <w:pPr>
        <w:snapToGrid w:val="0"/>
        <w:spacing w:line="360" w:lineRule="auto"/>
        <w:rPr>
          <w:rFonts w:ascii="宋体" w:hAnsi="宋体"/>
          <w:color w:val="000000"/>
          <w:sz w:val="28"/>
        </w:rPr>
      </w:pPr>
    </w:p>
    <w:p>
      <w:pPr>
        <w:snapToGrid w:val="0"/>
        <w:spacing w:line="360" w:lineRule="auto"/>
        <w:rPr>
          <w:rFonts w:ascii="宋体" w:hAnsi="宋体"/>
          <w:color w:val="000000"/>
          <w:sz w:val="28"/>
        </w:rPr>
      </w:pPr>
    </w:p>
    <w:p>
      <w:pPr>
        <w:snapToGrid w:val="0"/>
        <w:ind w:firstLine="840" w:firstLineChars="300"/>
        <w:jc w:val="center"/>
        <w:rPr>
          <w:rFonts w:ascii="黑体" w:hAnsi="宋体" w:eastAsia="黑体"/>
          <w:color w:val="000000"/>
          <w:sz w:val="28"/>
          <w:szCs w:val="28"/>
        </w:rPr>
      </w:pPr>
    </w:p>
    <w:p>
      <w:pPr>
        <w:snapToGrid w:val="0"/>
        <w:ind w:firstLine="560" w:firstLineChars="20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 xml:space="preserve">         本规程委托上海市计量测试技术研究院负责解释</w:t>
      </w:r>
    </w:p>
    <w:p>
      <w:pPr>
        <w:snapToGrid w:val="0"/>
        <w:ind w:firstLine="560" w:firstLineChars="200"/>
        <w:rPr>
          <w:rFonts w:asciiTheme="minorEastAsia" w:hAnsiTheme="minorEastAsia" w:eastAsiaTheme="minorEastAsia"/>
          <w:color w:val="000000"/>
          <w:sz w:val="28"/>
          <w:szCs w:val="28"/>
        </w:rPr>
        <w:sectPr>
          <w:headerReference r:id="rId6" w:type="default"/>
          <w:pgSz w:w="11906" w:h="16838"/>
          <w:pgMar w:top="1418" w:right="1418" w:bottom="1418" w:left="1418" w:header="851" w:footer="992" w:gutter="0"/>
          <w:pgNumType w:fmt="upperRoman" w:start="1"/>
          <w:cols w:space="720" w:num="1"/>
          <w:docGrid w:type="lines" w:linePitch="312" w:charSpace="0"/>
        </w:sectPr>
      </w:pPr>
    </w:p>
    <w:p>
      <w:pPr>
        <w:snapToGrid w:val="0"/>
        <w:ind w:firstLine="560" w:firstLineChars="200"/>
        <w:rPr>
          <w:rFonts w:asciiTheme="minorEastAsia" w:hAnsiTheme="minorEastAsia" w:eastAsiaTheme="minorEastAsia"/>
          <w:color w:val="000000"/>
          <w:sz w:val="28"/>
          <w:szCs w:val="28"/>
        </w:rPr>
      </w:pPr>
    </w:p>
    <w:p>
      <w:pPr>
        <w:snapToGrid w:val="0"/>
        <w:ind w:firstLine="560" w:firstLineChars="200"/>
        <w:rPr>
          <w:rFonts w:asciiTheme="minorEastAsia" w:hAnsiTheme="minorEastAsia" w:eastAsiaTheme="minorEastAsia"/>
          <w:color w:val="000000"/>
          <w:sz w:val="28"/>
          <w:szCs w:val="28"/>
        </w:rPr>
      </w:pPr>
    </w:p>
    <w:p>
      <w:pPr>
        <w:snapToGrid w:val="0"/>
        <w:ind w:firstLine="560" w:firstLineChars="200"/>
        <w:rPr>
          <w:rFonts w:asciiTheme="minorEastAsia" w:hAnsiTheme="minorEastAsia" w:eastAsiaTheme="minorEastAsia"/>
          <w:color w:val="000000"/>
          <w:sz w:val="28"/>
          <w:szCs w:val="28"/>
        </w:rPr>
      </w:pPr>
    </w:p>
    <w:p>
      <w:pPr>
        <w:snapToGrid w:val="0"/>
        <w:ind w:firstLine="560" w:firstLineChars="200"/>
        <w:rPr>
          <w:rFonts w:asciiTheme="minorEastAsia" w:hAnsiTheme="minorEastAsia" w:eastAsiaTheme="minorEastAsia"/>
          <w:color w:val="000000"/>
          <w:sz w:val="28"/>
          <w:szCs w:val="28"/>
        </w:rPr>
      </w:pPr>
    </w:p>
    <w:p>
      <w:pPr>
        <w:snapToGrid w:val="0"/>
        <w:spacing w:line="360" w:lineRule="auto"/>
        <w:ind w:firstLine="843" w:firstLineChars="300"/>
        <w:jc w:val="left"/>
        <w:rPr>
          <w:rFonts w:ascii="黑体" w:hAnsi="宋体" w:eastAsia="黑体"/>
          <w:b/>
          <w:color w:val="000000"/>
          <w:sz w:val="28"/>
          <w:szCs w:val="28"/>
        </w:rPr>
      </w:pPr>
    </w:p>
    <w:p>
      <w:pPr>
        <w:snapToGrid w:val="0"/>
        <w:spacing w:line="360" w:lineRule="auto"/>
        <w:ind w:firstLine="843" w:firstLineChars="300"/>
        <w:jc w:val="left"/>
        <w:rPr>
          <w:rFonts w:ascii="黑体" w:hAnsi="宋体" w:eastAsia="黑体"/>
          <w:b/>
          <w:color w:val="000000"/>
          <w:sz w:val="28"/>
          <w:szCs w:val="28"/>
        </w:rPr>
      </w:pPr>
    </w:p>
    <w:p>
      <w:pPr>
        <w:snapToGrid w:val="0"/>
        <w:spacing w:line="360" w:lineRule="auto"/>
        <w:ind w:firstLine="843" w:firstLineChars="300"/>
        <w:jc w:val="left"/>
        <w:rPr>
          <w:rFonts w:ascii="黑体" w:hAnsi="宋体" w:eastAsia="黑体"/>
          <w:b/>
          <w:color w:val="000000"/>
          <w:sz w:val="28"/>
          <w:szCs w:val="28"/>
        </w:rPr>
      </w:pPr>
      <w:r>
        <w:rPr>
          <w:rFonts w:hint="eastAsia" w:ascii="黑体" w:hAnsi="宋体" w:eastAsia="黑体"/>
          <w:b/>
          <w:color w:val="000000"/>
          <w:sz w:val="28"/>
          <w:szCs w:val="28"/>
        </w:rPr>
        <w:t>本规程主要起草人：</w:t>
      </w:r>
    </w:p>
    <w:p>
      <w:pPr>
        <w:snapToGrid w:val="0"/>
        <w:spacing w:line="360" w:lineRule="auto"/>
        <w:ind w:firstLine="2366" w:firstLineChars="845"/>
        <w:jc w:val="left"/>
        <w:rPr>
          <w:rFonts w:asciiTheme="minorEastAsia" w:hAnsiTheme="minorEastAsia" w:eastAsiaTheme="minorEastAsia"/>
          <w:b/>
          <w:color w:val="000000"/>
          <w:sz w:val="28"/>
        </w:rPr>
      </w:pPr>
      <w:r>
        <w:rPr>
          <w:rFonts w:hint="eastAsia" w:asciiTheme="minorEastAsia" w:hAnsiTheme="minorEastAsia" w:eastAsiaTheme="minorEastAsia"/>
          <w:color w:val="000000"/>
          <w:sz w:val="28"/>
          <w:szCs w:val="28"/>
        </w:rPr>
        <w:t>臧晓伟 （上海市计量测试技术研究院）</w:t>
      </w:r>
    </w:p>
    <w:p>
      <w:pPr>
        <w:snapToGrid w:val="0"/>
        <w:spacing w:line="360" w:lineRule="auto"/>
        <w:ind w:left="-2" w:leftChars="-1" w:firstLine="420" w:firstLineChars="15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 xml:space="preserve">              江  鲲 （上海市计量测试技术研究院）</w:t>
      </w:r>
    </w:p>
    <w:p>
      <w:pPr>
        <w:snapToGrid w:val="0"/>
        <w:spacing w:line="360" w:lineRule="auto"/>
        <w:ind w:left="-2" w:leftChars="-1" w:firstLine="420" w:firstLineChars="150"/>
        <w:rPr>
          <w:rFonts w:ascii="黑体" w:hAnsi="宋体" w:eastAsia="黑体"/>
          <w:color w:val="000000"/>
          <w:sz w:val="28"/>
          <w:szCs w:val="28"/>
        </w:rPr>
      </w:pPr>
      <w:r>
        <w:rPr>
          <w:rFonts w:hint="eastAsia" w:asciiTheme="minorEastAsia" w:hAnsiTheme="minorEastAsia" w:eastAsiaTheme="minorEastAsia"/>
          <w:color w:val="000000"/>
          <w:sz w:val="28"/>
          <w:szCs w:val="28"/>
        </w:rPr>
        <w:t xml:space="preserve">              </w:t>
      </w:r>
    </w:p>
    <w:p>
      <w:pPr>
        <w:snapToGrid w:val="0"/>
        <w:spacing w:line="360" w:lineRule="auto"/>
        <w:ind w:left="-2" w:leftChars="-1" w:firstLine="420" w:firstLineChars="150"/>
        <w:rPr>
          <w:rFonts w:ascii="黑体" w:hAnsi="宋体" w:eastAsia="黑体"/>
          <w:color w:val="000000"/>
          <w:sz w:val="28"/>
          <w:szCs w:val="28"/>
        </w:rPr>
      </w:pPr>
      <w:r>
        <w:rPr>
          <w:rFonts w:hint="eastAsia" w:ascii="黑体" w:hAnsi="宋体" w:eastAsia="黑体"/>
          <w:color w:val="000000"/>
          <w:sz w:val="28"/>
          <w:szCs w:val="28"/>
        </w:rPr>
        <w:t xml:space="preserve">         </w:t>
      </w:r>
      <w:r>
        <w:rPr>
          <w:rFonts w:hint="eastAsia" w:ascii="黑体" w:hAnsi="宋体" w:eastAsia="黑体"/>
          <w:b/>
          <w:color w:val="000000"/>
          <w:sz w:val="28"/>
          <w:szCs w:val="28"/>
        </w:rPr>
        <w:t>参加起草人</w:t>
      </w:r>
      <w:r>
        <w:rPr>
          <w:rFonts w:hint="eastAsia" w:ascii="黑体" w:hAnsi="宋体" w:eastAsia="黑体"/>
          <w:color w:val="000000"/>
          <w:sz w:val="28"/>
          <w:szCs w:val="28"/>
        </w:rPr>
        <w:t>：</w:t>
      </w:r>
    </w:p>
    <w:p>
      <w:pPr>
        <w:snapToGrid w:val="0"/>
        <w:spacing w:line="360" w:lineRule="auto"/>
        <w:ind w:left="-2" w:leftChars="-1" w:firstLine="2380" w:firstLineChars="85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叶  菁 （上海市计量测试技术研究院）</w:t>
      </w:r>
    </w:p>
    <w:p>
      <w:pPr>
        <w:snapToGrid w:val="0"/>
        <w:spacing w:line="360" w:lineRule="auto"/>
        <w:ind w:left="-2" w:leftChars="-1" w:firstLine="2380" w:firstLineChars="85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陈  康 （上海市计量测试技术研究院）</w:t>
      </w:r>
    </w:p>
    <w:p>
      <w:pPr>
        <w:snapToGrid w:val="0"/>
        <w:spacing w:line="360" w:lineRule="auto"/>
        <w:ind w:left="-2" w:leftChars="-1" w:firstLine="2380" w:firstLineChars="85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侯  觅 （上海浦东软件平台有限公司）</w:t>
      </w:r>
    </w:p>
    <w:p>
      <w:pPr>
        <w:snapToGrid w:val="0"/>
        <w:spacing w:line="360" w:lineRule="auto"/>
        <w:ind w:left="-2" w:leftChars="-1" w:firstLine="2380" w:firstLineChars="850"/>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陆君一 （上海市计量测试技术研究院）</w:t>
      </w:r>
    </w:p>
    <w:p>
      <w:pPr>
        <w:snapToGrid w:val="0"/>
        <w:spacing w:line="360" w:lineRule="auto"/>
        <w:jc w:val="center"/>
        <w:rPr>
          <w:rFonts w:ascii="宋体" w:hAnsi="宋体"/>
          <w:color w:val="000000"/>
          <w:sz w:val="32"/>
          <w:szCs w:val="44"/>
        </w:rPr>
        <w:sectPr>
          <w:footerReference r:id="rId7" w:type="even"/>
          <w:type w:val="continuous"/>
          <w:pgSz w:w="11906" w:h="16838"/>
          <w:pgMar w:top="1418" w:right="1418" w:bottom="1418" w:left="1418" w:header="851" w:footer="992" w:gutter="0"/>
          <w:pgNumType w:fmt="upperRoman" w:start="1"/>
          <w:cols w:space="720" w:num="1"/>
          <w:docGrid w:type="lines" w:linePitch="312" w:charSpace="0"/>
        </w:sectPr>
      </w:pPr>
      <w:r>
        <w:rPr>
          <w:rFonts w:ascii="宋体" w:hAnsi="宋体"/>
          <w:color w:val="000000"/>
          <w:sz w:val="32"/>
          <w:szCs w:val="44"/>
        </w:rPr>
        <w:t xml:space="preserve">                      </w:t>
      </w:r>
    </w:p>
    <w:p>
      <w:pPr>
        <w:snapToGrid w:val="0"/>
        <w:spacing w:line="360" w:lineRule="auto"/>
        <w:jc w:val="center"/>
        <w:rPr>
          <w:rFonts w:ascii="宋体" w:hAnsi="宋体"/>
          <w:color w:val="000000"/>
          <w:sz w:val="18"/>
          <w:szCs w:val="18"/>
        </w:rPr>
      </w:pPr>
    </w:p>
    <w:p>
      <w:pPr>
        <w:snapToGrid w:val="0"/>
        <w:spacing w:line="360" w:lineRule="auto"/>
        <w:jc w:val="center"/>
        <w:rPr>
          <w:rFonts w:ascii="黑体" w:hAnsi="黑体" w:eastAsia="黑体"/>
          <w:color w:val="000000"/>
          <w:sz w:val="44"/>
          <w:szCs w:val="44"/>
        </w:rPr>
      </w:pPr>
      <w:r>
        <w:rPr>
          <w:rFonts w:ascii="黑体" w:hAnsi="黑体" w:eastAsia="黑体"/>
          <w:color w:val="000000"/>
          <w:sz w:val="44"/>
          <w:szCs w:val="44"/>
        </w:rPr>
        <w:t>目</w:t>
      </w:r>
      <w:r>
        <w:rPr>
          <w:rFonts w:hint="eastAsia" w:ascii="黑体" w:hAnsi="黑体" w:eastAsia="黑体"/>
          <w:color w:val="000000"/>
          <w:sz w:val="44"/>
          <w:szCs w:val="44"/>
        </w:rPr>
        <w:t xml:space="preserve"> </w:t>
      </w:r>
      <w:r>
        <w:rPr>
          <w:rFonts w:ascii="黑体" w:hAnsi="黑体" w:eastAsia="黑体"/>
          <w:color w:val="000000"/>
          <w:sz w:val="44"/>
          <w:szCs w:val="44"/>
        </w:rPr>
        <w:t xml:space="preserve"> 录</w:t>
      </w:r>
    </w:p>
    <w:p>
      <w:pPr>
        <w:pStyle w:val="18"/>
        <w:tabs>
          <w:tab w:val="right" w:leader="dot" w:pos="9060"/>
        </w:tabs>
        <w:spacing w:line="380" w:lineRule="exact"/>
        <w:rPr>
          <w:rFonts w:ascii="宋体" w:hAnsi="宋体"/>
          <w:b w:val="0"/>
          <w:bCs w:val="0"/>
          <w:caps w:val="0"/>
          <w:sz w:val="24"/>
        </w:rPr>
      </w:pPr>
      <w:r>
        <w:rPr>
          <w:rFonts w:ascii="宋体" w:hAnsi="宋体"/>
          <w:bCs w:val="0"/>
          <w:caps w:val="0"/>
          <w:sz w:val="24"/>
        </w:rPr>
        <w:fldChar w:fldCharType="begin"/>
      </w:r>
      <w:r>
        <w:rPr>
          <w:rFonts w:ascii="宋体" w:hAnsi="宋体"/>
          <w:bCs w:val="0"/>
          <w:caps w:val="0"/>
          <w:sz w:val="24"/>
        </w:rPr>
        <w:instrText xml:space="preserve"> TOC \o "1-2" \h \z \u </w:instrText>
      </w:r>
      <w:r>
        <w:rPr>
          <w:rFonts w:ascii="宋体" w:hAnsi="宋体"/>
          <w:bCs w:val="0"/>
          <w:caps w:val="0"/>
          <w:sz w:val="24"/>
        </w:rPr>
        <w:fldChar w:fldCharType="separate"/>
      </w:r>
      <w:r>
        <w:rPr>
          <w:rFonts w:hint="eastAsia" w:ascii="宋体" w:hAnsi="宋体"/>
          <w:b w:val="0"/>
          <w:bCs w:val="0"/>
          <w:caps w:val="0"/>
          <w:sz w:val="24"/>
        </w:rPr>
        <w:t>引言</w:t>
      </w:r>
      <w:r>
        <w:rPr>
          <w:rFonts w:hint="eastAsia" w:ascii="宋体" w:hAnsi="宋体"/>
          <w:b w:val="0"/>
          <w:bCs w:val="0"/>
          <w:caps w:val="0"/>
          <w:sz w:val="24"/>
        </w:rPr>
        <w:tab/>
      </w:r>
      <w:r>
        <w:rPr>
          <w:rFonts w:hint="eastAsia" w:ascii="宋体" w:hAnsi="宋体"/>
          <w:b w:val="0"/>
          <w:bCs w:val="0"/>
          <w:caps w:val="0"/>
          <w:sz w:val="24"/>
        </w:rPr>
        <w:t>（</w:t>
      </w:r>
      <w:r>
        <w:rPr>
          <w:rFonts w:hint="eastAsia" w:ascii="宋体" w:hAnsi="宋体"/>
          <w:b w:val="0"/>
          <w:bCs w:val="0"/>
          <w:caps w:val="0"/>
          <w:spacing w:val="-20"/>
          <w:sz w:val="24"/>
        </w:rPr>
        <w:t>II</w:t>
      </w:r>
      <w:r>
        <w:rPr>
          <w:rFonts w:hint="eastAsia" w:ascii="宋体" w:hAnsi="宋体"/>
          <w:b w:val="0"/>
          <w:bCs w:val="0"/>
          <w:caps w:val="0"/>
          <w:sz w:val="24"/>
        </w:rPr>
        <w:t>）</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1  范围</w:t>
      </w:r>
      <w:r>
        <w:rPr>
          <w:rFonts w:hint="eastAsia" w:ascii="宋体" w:hAnsi="宋体"/>
          <w:b w:val="0"/>
          <w:bCs w:val="0"/>
          <w:caps w:val="0"/>
          <w:sz w:val="24"/>
        </w:rPr>
        <w:tab/>
      </w:r>
      <w:r>
        <w:rPr>
          <w:rFonts w:hint="eastAsia" w:ascii="宋体" w:hAnsi="宋体"/>
          <w:b w:val="0"/>
          <w:bCs w:val="0"/>
          <w:caps w:val="0"/>
          <w:sz w:val="24"/>
        </w:rPr>
        <w:t>（1）</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2  引用文件</w:t>
      </w:r>
      <w:r>
        <w:rPr>
          <w:rFonts w:hint="eastAsia" w:ascii="宋体" w:hAnsi="宋体"/>
          <w:b w:val="0"/>
          <w:bCs w:val="0"/>
          <w:caps w:val="0"/>
          <w:sz w:val="24"/>
        </w:rPr>
        <w:tab/>
      </w:r>
      <w:r>
        <w:rPr>
          <w:rFonts w:hint="eastAsia" w:ascii="宋体" w:hAnsi="宋体"/>
          <w:b w:val="0"/>
          <w:bCs w:val="0"/>
          <w:caps w:val="0"/>
          <w:sz w:val="24"/>
        </w:rPr>
        <w:t>（1）</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3  术语</w:t>
      </w:r>
      <w:r>
        <w:rPr>
          <w:rFonts w:hint="eastAsia" w:ascii="宋体" w:hAnsi="宋体"/>
          <w:b w:val="0"/>
          <w:bCs w:val="0"/>
          <w:caps w:val="0"/>
          <w:sz w:val="24"/>
        </w:rPr>
        <w:tab/>
      </w:r>
      <w:r>
        <w:rPr>
          <w:rFonts w:hint="eastAsia" w:ascii="宋体" w:hAnsi="宋体"/>
          <w:b w:val="0"/>
          <w:bCs w:val="0"/>
          <w:caps w:val="0"/>
          <w:sz w:val="24"/>
        </w:rPr>
        <w:t>（1）</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4  概述</w:t>
      </w:r>
      <w:r>
        <w:rPr>
          <w:rFonts w:hint="eastAsia" w:ascii="宋体" w:hAnsi="宋体"/>
          <w:b w:val="0"/>
          <w:bCs w:val="0"/>
          <w:caps w:val="0"/>
          <w:sz w:val="24"/>
        </w:rPr>
        <w:tab/>
      </w:r>
      <w:r>
        <w:rPr>
          <w:rFonts w:hint="eastAsia" w:ascii="宋体" w:hAnsi="宋体"/>
          <w:b w:val="0"/>
          <w:bCs w:val="0"/>
          <w:caps w:val="0"/>
          <w:sz w:val="24"/>
        </w:rPr>
        <w:t>（3）</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5  计量性能要求</w:t>
      </w:r>
      <w:r>
        <w:rPr>
          <w:rFonts w:hint="eastAsia" w:ascii="宋体" w:hAnsi="宋体"/>
          <w:b w:val="0"/>
          <w:bCs w:val="0"/>
          <w:caps w:val="0"/>
          <w:sz w:val="24"/>
        </w:rPr>
        <w:tab/>
      </w:r>
      <w:r>
        <w:rPr>
          <w:rFonts w:hint="eastAsia" w:ascii="宋体" w:hAnsi="宋体"/>
          <w:b w:val="0"/>
          <w:bCs w:val="0"/>
          <w:caps w:val="0"/>
          <w:sz w:val="24"/>
        </w:rPr>
        <w:t>（3）</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5.1  装车后的网联计价器计程最大允许误差</w:t>
      </w:r>
      <w:r>
        <w:rPr>
          <w:rFonts w:hint="eastAsia" w:ascii="宋体" w:hAnsi="宋体"/>
          <w:b w:val="0"/>
          <w:bCs w:val="0"/>
          <w:caps w:val="0"/>
          <w:sz w:val="24"/>
        </w:rPr>
        <w:tab/>
      </w:r>
      <w:r>
        <w:rPr>
          <w:rFonts w:hint="eastAsia" w:ascii="宋体" w:hAnsi="宋体"/>
          <w:b w:val="0"/>
          <w:bCs w:val="0"/>
          <w:caps w:val="0"/>
          <w:sz w:val="24"/>
        </w:rPr>
        <w:t>（4）</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6  通用技术要求</w:t>
      </w:r>
      <w:r>
        <w:rPr>
          <w:rFonts w:hint="eastAsia" w:ascii="宋体" w:hAnsi="宋体"/>
          <w:b w:val="0"/>
          <w:bCs w:val="0"/>
          <w:caps w:val="0"/>
          <w:sz w:val="24"/>
        </w:rPr>
        <w:tab/>
      </w:r>
      <w:r>
        <w:rPr>
          <w:rFonts w:hint="eastAsia" w:ascii="宋体" w:hAnsi="宋体"/>
          <w:b w:val="0"/>
          <w:bCs w:val="0"/>
          <w:caps w:val="0"/>
          <w:sz w:val="24"/>
        </w:rPr>
        <w:t>（4）</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6.1  外观与结构</w:t>
      </w:r>
      <w:r>
        <w:rPr>
          <w:rFonts w:hint="eastAsia" w:ascii="宋体" w:hAnsi="宋体"/>
          <w:b w:val="0"/>
          <w:bCs w:val="0"/>
          <w:caps w:val="0"/>
          <w:sz w:val="24"/>
        </w:rPr>
        <w:tab/>
      </w:r>
      <w:r>
        <w:rPr>
          <w:rFonts w:hint="eastAsia" w:ascii="宋体" w:hAnsi="宋体"/>
          <w:b w:val="0"/>
          <w:bCs w:val="0"/>
          <w:caps w:val="0"/>
          <w:sz w:val="24"/>
        </w:rPr>
        <w:t>（4）</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6.2  铭牌</w:t>
      </w:r>
      <w:r>
        <w:rPr>
          <w:rFonts w:hint="eastAsia" w:ascii="宋体" w:hAnsi="宋体"/>
          <w:b w:val="0"/>
          <w:bCs w:val="0"/>
          <w:caps w:val="0"/>
          <w:sz w:val="24"/>
        </w:rPr>
        <w:tab/>
      </w:r>
      <w:r>
        <w:rPr>
          <w:rFonts w:hint="eastAsia" w:ascii="宋体" w:hAnsi="宋体"/>
          <w:b w:val="0"/>
          <w:bCs w:val="0"/>
          <w:caps w:val="0"/>
          <w:sz w:val="24"/>
        </w:rPr>
        <w:t>（4）</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6.3  显示屏</w:t>
      </w:r>
      <w:r>
        <w:rPr>
          <w:rFonts w:hint="eastAsia" w:ascii="宋体" w:hAnsi="宋体"/>
          <w:b w:val="0"/>
          <w:bCs w:val="0"/>
          <w:caps w:val="0"/>
          <w:sz w:val="24"/>
        </w:rPr>
        <w:tab/>
      </w:r>
      <w:r>
        <w:rPr>
          <w:rFonts w:hint="eastAsia" w:ascii="宋体" w:hAnsi="宋体"/>
          <w:b w:val="0"/>
          <w:bCs w:val="0"/>
          <w:caps w:val="0"/>
          <w:sz w:val="24"/>
        </w:rPr>
        <w:t>（4）</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6.4  里程测量传感器</w:t>
      </w:r>
      <w:r>
        <w:rPr>
          <w:rFonts w:hint="eastAsia" w:ascii="宋体" w:hAnsi="宋体"/>
          <w:b w:val="0"/>
          <w:bCs w:val="0"/>
          <w:caps w:val="0"/>
          <w:sz w:val="24"/>
        </w:rPr>
        <w:tab/>
      </w:r>
      <w:r>
        <w:rPr>
          <w:rFonts w:hint="eastAsia" w:ascii="宋体" w:hAnsi="宋体"/>
          <w:b w:val="0"/>
          <w:bCs w:val="0"/>
          <w:caps w:val="0"/>
          <w:sz w:val="24"/>
        </w:rPr>
        <w:t>（5）</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6.5  空重车转换装置</w:t>
      </w:r>
      <w:r>
        <w:rPr>
          <w:rFonts w:hint="eastAsia" w:ascii="宋体" w:hAnsi="宋体"/>
          <w:b w:val="0"/>
          <w:bCs w:val="0"/>
          <w:caps w:val="0"/>
          <w:sz w:val="24"/>
        </w:rPr>
        <w:tab/>
      </w:r>
      <w:r>
        <w:rPr>
          <w:rFonts w:hint="eastAsia" w:ascii="宋体" w:hAnsi="宋体"/>
          <w:b w:val="0"/>
          <w:bCs w:val="0"/>
          <w:caps w:val="0"/>
          <w:sz w:val="24"/>
        </w:rPr>
        <w:t>（5）</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6.6  计价模式</w:t>
      </w:r>
      <w:r>
        <w:rPr>
          <w:rFonts w:hint="eastAsia" w:ascii="宋体" w:hAnsi="宋体"/>
          <w:b w:val="0"/>
          <w:bCs w:val="0"/>
          <w:caps w:val="0"/>
          <w:sz w:val="24"/>
        </w:rPr>
        <w:tab/>
      </w:r>
      <w:r>
        <w:rPr>
          <w:rFonts w:hint="eastAsia" w:ascii="宋体" w:hAnsi="宋体"/>
          <w:b w:val="0"/>
          <w:bCs w:val="0"/>
          <w:caps w:val="0"/>
          <w:sz w:val="24"/>
        </w:rPr>
        <w:t>（5）</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6.7  计费程序设计的基本原则</w:t>
      </w:r>
      <w:r>
        <w:rPr>
          <w:rFonts w:hint="eastAsia" w:ascii="宋体" w:hAnsi="宋体"/>
          <w:b w:val="0"/>
          <w:bCs w:val="0"/>
          <w:caps w:val="0"/>
          <w:sz w:val="24"/>
        </w:rPr>
        <w:tab/>
      </w:r>
      <w:r>
        <w:rPr>
          <w:rFonts w:hint="eastAsia" w:ascii="宋体" w:hAnsi="宋体"/>
          <w:b w:val="0"/>
          <w:bCs w:val="0"/>
          <w:caps w:val="0"/>
          <w:sz w:val="24"/>
        </w:rPr>
        <w:t>（6）</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6.8  计价功能</w:t>
      </w:r>
      <w:r>
        <w:rPr>
          <w:rFonts w:hint="eastAsia" w:ascii="宋体" w:hAnsi="宋体"/>
          <w:b w:val="0"/>
          <w:bCs w:val="0"/>
          <w:caps w:val="0"/>
          <w:sz w:val="24"/>
        </w:rPr>
        <w:tab/>
      </w:r>
      <w:r>
        <w:rPr>
          <w:rFonts w:hint="eastAsia" w:ascii="宋体" w:hAnsi="宋体"/>
          <w:b w:val="0"/>
          <w:bCs w:val="0"/>
          <w:caps w:val="0"/>
          <w:sz w:val="24"/>
        </w:rPr>
        <w:t>（6）</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7  计量器具控制</w:t>
      </w:r>
      <w:r>
        <w:rPr>
          <w:rFonts w:hint="eastAsia" w:ascii="宋体" w:hAnsi="宋体"/>
          <w:b w:val="0"/>
          <w:bCs w:val="0"/>
          <w:caps w:val="0"/>
          <w:sz w:val="24"/>
        </w:rPr>
        <w:tab/>
      </w:r>
      <w:r>
        <w:rPr>
          <w:rFonts w:hint="eastAsia" w:ascii="宋体" w:hAnsi="宋体"/>
          <w:b w:val="0"/>
          <w:bCs w:val="0"/>
          <w:caps w:val="0"/>
          <w:sz w:val="24"/>
        </w:rPr>
        <w:t>（6）</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7.1  装车后的网联计价器检定</w:t>
      </w:r>
      <w:r>
        <w:rPr>
          <w:rFonts w:hint="eastAsia" w:ascii="宋体" w:hAnsi="宋体"/>
          <w:b w:val="0"/>
          <w:bCs w:val="0"/>
          <w:caps w:val="0"/>
          <w:sz w:val="24"/>
        </w:rPr>
        <w:tab/>
      </w:r>
      <w:r>
        <w:rPr>
          <w:rFonts w:hint="eastAsia" w:ascii="宋体" w:hAnsi="宋体"/>
          <w:b w:val="0"/>
          <w:bCs w:val="0"/>
          <w:caps w:val="0"/>
          <w:sz w:val="24"/>
        </w:rPr>
        <w:t>（6）</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7.2  检定结果的处理</w:t>
      </w:r>
      <w:r>
        <w:rPr>
          <w:rFonts w:hint="eastAsia" w:ascii="宋体" w:hAnsi="宋体"/>
          <w:b w:val="0"/>
          <w:bCs w:val="0"/>
          <w:caps w:val="0"/>
          <w:sz w:val="24"/>
        </w:rPr>
        <w:tab/>
      </w:r>
      <w:r>
        <w:rPr>
          <w:rFonts w:hint="eastAsia" w:ascii="宋体" w:hAnsi="宋体"/>
          <w:b w:val="0"/>
          <w:bCs w:val="0"/>
          <w:caps w:val="0"/>
          <w:sz w:val="24"/>
        </w:rPr>
        <w:t>（9）</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7.3  检定周期</w:t>
      </w:r>
      <w:r>
        <w:rPr>
          <w:rFonts w:hint="eastAsia" w:ascii="宋体" w:hAnsi="宋体"/>
          <w:b w:val="0"/>
          <w:bCs w:val="0"/>
          <w:caps w:val="0"/>
          <w:sz w:val="24"/>
        </w:rPr>
        <w:tab/>
      </w:r>
      <w:r>
        <w:rPr>
          <w:rFonts w:hint="eastAsia" w:ascii="宋体" w:hAnsi="宋体"/>
          <w:b w:val="0"/>
          <w:bCs w:val="0"/>
          <w:caps w:val="0"/>
          <w:sz w:val="24"/>
        </w:rPr>
        <w:t>（9）</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附录</w:t>
      </w:r>
      <w:r>
        <w:rPr>
          <w:rFonts w:ascii="Times New Roman" w:hAnsi="Times New Roman" w:cs="Times New Roman"/>
          <w:b w:val="0"/>
          <w:bCs w:val="0"/>
          <w:caps w:val="0"/>
          <w:sz w:val="24"/>
        </w:rPr>
        <w:t>A</w:t>
      </w:r>
      <w:r>
        <w:rPr>
          <w:rFonts w:hint="eastAsia" w:ascii="宋体" w:hAnsi="宋体"/>
          <w:b w:val="0"/>
          <w:bCs w:val="0"/>
          <w:caps w:val="0"/>
          <w:sz w:val="24"/>
        </w:rPr>
        <w:t xml:space="preserve">  里程测量传感器与网联计价器适用性条件</w:t>
      </w:r>
      <w:r>
        <w:rPr>
          <w:rFonts w:hint="eastAsia" w:ascii="宋体" w:hAnsi="宋体"/>
          <w:b w:val="0"/>
          <w:bCs w:val="0"/>
          <w:caps w:val="0"/>
          <w:sz w:val="24"/>
        </w:rPr>
        <w:tab/>
      </w:r>
      <w:r>
        <w:rPr>
          <w:rFonts w:hint="eastAsia" w:ascii="宋体" w:hAnsi="宋体"/>
          <w:b w:val="0"/>
          <w:bCs w:val="0"/>
          <w:caps w:val="0"/>
          <w:sz w:val="24"/>
        </w:rPr>
        <w:t>（10）</w:t>
      </w:r>
    </w:p>
    <w:p>
      <w:pPr>
        <w:pStyle w:val="18"/>
        <w:tabs>
          <w:tab w:val="right" w:leader="dot" w:pos="9060"/>
        </w:tabs>
        <w:spacing w:line="380" w:lineRule="exact"/>
        <w:rPr>
          <w:rFonts w:ascii="宋体" w:hAnsi="宋体"/>
          <w:b w:val="0"/>
          <w:bCs w:val="0"/>
          <w:caps w:val="0"/>
          <w:sz w:val="24"/>
        </w:rPr>
      </w:pPr>
      <w:r>
        <w:rPr>
          <w:rFonts w:hint="eastAsia" w:ascii="宋体" w:hAnsi="宋体"/>
          <w:b w:val="0"/>
          <w:bCs w:val="0"/>
          <w:caps w:val="0"/>
          <w:sz w:val="24"/>
        </w:rPr>
        <w:t>附录</w:t>
      </w:r>
      <w:r>
        <w:rPr>
          <w:rFonts w:hint="eastAsia" w:ascii="Times New Roman" w:hAnsi="Times New Roman" w:cs="Times New Roman"/>
          <w:b w:val="0"/>
          <w:bCs w:val="0"/>
          <w:caps w:val="0"/>
          <w:sz w:val="24"/>
        </w:rPr>
        <w:t>B</w:t>
      </w:r>
      <w:r>
        <w:rPr>
          <w:rFonts w:hint="eastAsia" w:ascii="宋体" w:hAnsi="宋体"/>
          <w:b w:val="0"/>
          <w:bCs w:val="0"/>
          <w:caps w:val="0"/>
          <w:sz w:val="24"/>
        </w:rPr>
        <w:t xml:space="preserve">  轮胎修正值测量方法</w:t>
      </w:r>
      <w:r>
        <w:rPr>
          <w:rFonts w:hint="eastAsia" w:ascii="宋体" w:hAnsi="宋体"/>
          <w:b w:val="0"/>
          <w:bCs w:val="0"/>
          <w:caps w:val="0"/>
          <w:sz w:val="24"/>
        </w:rPr>
        <w:tab/>
      </w:r>
      <w:r>
        <w:rPr>
          <w:rFonts w:hint="eastAsia" w:ascii="宋体" w:hAnsi="宋体"/>
          <w:b w:val="0"/>
          <w:bCs w:val="0"/>
          <w:caps w:val="0"/>
          <w:sz w:val="24"/>
        </w:rPr>
        <w:t>（11）</w:t>
      </w:r>
    </w:p>
    <w:p>
      <w:pPr>
        <w:pStyle w:val="18"/>
        <w:tabs>
          <w:tab w:val="right" w:leader="dot" w:pos="9060"/>
        </w:tabs>
        <w:spacing w:before="0" w:after="0" w:line="380" w:lineRule="exact"/>
        <w:rPr>
          <w:rFonts w:ascii="宋体" w:hAnsi="宋体"/>
          <w:b w:val="0"/>
          <w:bCs w:val="0"/>
          <w:caps w:val="0"/>
          <w:sz w:val="24"/>
        </w:rPr>
      </w:pPr>
      <w:r>
        <w:rPr>
          <w:rFonts w:hint="eastAsia" w:ascii="宋体" w:hAnsi="宋体"/>
          <w:b w:val="0"/>
          <w:bCs w:val="0"/>
          <w:caps w:val="0"/>
          <w:sz w:val="24"/>
        </w:rPr>
        <w:t>附录</w:t>
      </w:r>
      <w:r>
        <w:rPr>
          <w:rFonts w:hint="eastAsia" w:ascii="Times New Roman" w:hAnsi="Times New Roman" w:cs="Times New Roman"/>
          <w:b w:val="0"/>
          <w:bCs w:val="0"/>
          <w:caps w:val="0"/>
          <w:sz w:val="24"/>
        </w:rPr>
        <w:t>C</w:t>
      </w:r>
      <w:r>
        <w:rPr>
          <w:rFonts w:hint="eastAsia" w:ascii="宋体" w:hAnsi="宋体"/>
          <w:b w:val="0"/>
          <w:bCs w:val="0"/>
          <w:caps w:val="0"/>
          <w:sz w:val="24"/>
        </w:rPr>
        <w:t xml:space="preserve">  装车后的网联计价器检定证书内页信息</w:t>
      </w:r>
      <w:r>
        <w:rPr>
          <w:rFonts w:hint="eastAsia" w:ascii="宋体" w:hAnsi="宋体"/>
          <w:b w:val="0"/>
          <w:bCs w:val="0"/>
          <w:caps w:val="0"/>
          <w:sz w:val="24"/>
        </w:rPr>
        <w:tab/>
      </w:r>
      <w:r>
        <w:rPr>
          <w:rFonts w:hint="eastAsia" w:ascii="宋体" w:hAnsi="宋体"/>
          <w:b w:val="0"/>
          <w:bCs w:val="0"/>
          <w:caps w:val="0"/>
          <w:sz w:val="24"/>
        </w:rPr>
        <w:t>（12）</w:t>
      </w:r>
    </w:p>
    <w:p>
      <w:pPr>
        <w:pStyle w:val="18"/>
        <w:tabs>
          <w:tab w:val="right" w:leader="dot" w:pos="9060"/>
        </w:tabs>
        <w:spacing w:line="380" w:lineRule="exact"/>
        <w:rPr>
          <w:rFonts w:eastAsiaTheme="minorEastAsia" w:cstheme="minorBidi"/>
          <w:b w:val="0"/>
          <w:bCs w:val="0"/>
          <w:caps w:val="0"/>
          <w:sz w:val="21"/>
          <w:szCs w:val="22"/>
        </w:rPr>
      </w:pPr>
      <w:r>
        <w:rPr>
          <w:rFonts w:hint="eastAsia" w:ascii="宋体" w:hAnsi="宋体"/>
          <w:b w:val="0"/>
          <w:bCs w:val="0"/>
          <w:caps w:val="0"/>
          <w:sz w:val="24"/>
        </w:rPr>
        <w:t>附录</w:t>
      </w:r>
      <w:r>
        <w:rPr>
          <w:rFonts w:hint="eastAsia" w:ascii="Times New Roman" w:hAnsi="Times New Roman" w:cs="Times New Roman"/>
          <w:b w:val="0"/>
          <w:bCs w:val="0"/>
          <w:caps w:val="0"/>
          <w:sz w:val="24"/>
        </w:rPr>
        <w:t>D</w:t>
      </w:r>
      <w:r>
        <w:rPr>
          <w:rFonts w:hint="eastAsia" w:ascii="宋体" w:hAnsi="宋体"/>
          <w:b w:val="0"/>
          <w:bCs w:val="0"/>
          <w:caps w:val="0"/>
          <w:sz w:val="24"/>
        </w:rPr>
        <w:t xml:space="preserve">  装车后的网联计价器检定结果通知书内页信息</w:t>
      </w:r>
      <w:r>
        <w:rPr>
          <w:rFonts w:hint="eastAsia" w:ascii="宋体" w:hAnsi="宋体"/>
          <w:b w:val="0"/>
          <w:bCs w:val="0"/>
          <w:caps w:val="0"/>
          <w:sz w:val="24"/>
        </w:rPr>
        <w:tab/>
      </w:r>
      <w:r>
        <w:rPr>
          <w:rFonts w:hint="eastAsia" w:ascii="宋体" w:hAnsi="宋体"/>
          <w:b w:val="0"/>
          <w:bCs w:val="0"/>
          <w:caps w:val="0"/>
          <w:sz w:val="24"/>
        </w:rPr>
        <w:t>（13）</w:t>
      </w:r>
    </w:p>
    <w:p>
      <w:pPr>
        <w:widowControl/>
        <w:jc w:val="left"/>
        <w:rPr>
          <w:rFonts w:ascii="宋体" w:hAnsi="宋体" w:cstheme="minorHAnsi"/>
          <w:bCs/>
          <w:caps/>
          <w:sz w:val="24"/>
          <w:szCs w:val="20"/>
        </w:rPr>
      </w:pPr>
      <w:r>
        <w:rPr>
          <w:rFonts w:ascii="宋体" w:hAnsi="宋体" w:cstheme="minorHAnsi"/>
          <w:bCs/>
          <w:caps/>
          <w:sz w:val="24"/>
          <w:szCs w:val="20"/>
        </w:rPr>
        <w:fldChar w:fldCharType="end"/>
      </w:r>
      <w:bookmarkStart w:id="0" w:name="_Toc411058912"/>
      <w:r>
        <w:rPr>
          <w:rFonts w:ascii="宋体" w:hAnsi="宋体" w:cstheme="minorHAnsi"/>
          <w:bCs/>
          <w:caps/>
          <w:sz w:val="24"/>
          <w:szCs w:val="20"/>
        </w:rPr>
        <w:br w:type="page"/>
      </w:r>
    </w:p>
    <w:p>
      <w:pPr>
        <w:pStyle w:val="2"/>
        <w:spacing w:before="624" w:beforeLines="200" w:after="312" w:afterLines="100" w:line="360" w:lineRule="auto"/>
        <w:rPr>
          <w:sz w:val="44"/>
          <w:szCs w:val="44"/>
          <w:lang w:val="en-GB"/>
        </w:rPr>
      </w:pPr>
      <w:bookmarkStart w:id="1" w:name="_Toc70327698"/>
      <w:bookmarkStart w:id="2" w:name="_Toc70323992"/>
      <w:bookmarkStart w:id="3" w:name="_Toc85663464"/>
      <w:r>
        <w:rPr>
          <w:rFonts w:hint="eastAsia"/>
          <w:sz w:val="44"/>
          <w:szCs w:val="44"/>
        </w:rPr>
        <w:t>引  言</w:t>
      </w:r>
      <w:bookmarkEnd w:id="0"/>
      <w:bookmarkEnd w:id="1"/>
      <w:bookmarkEnd w:id="2"/>
      <w:bookmarkEnd w:id="3"/>
    </w:p>
    <w:p>
      <w:pPr>
        <w:widowControl/>
        <w:snapToGrid w:val="0"/>
        <w:spacing w:line="360" w:lineRule="auto"/>
        <w:ind w:firstLine="480" w:firstLineChars="200"/>
        <w:rPr>
          <w:color w:val="000000"/>
          <w:sz w:val="24"/>
        </w:rPr>
      </w:pPr>
      <w:r>
        <w:rPr>
          <w:rFonts w:hint="eastAsia"/>
          <w:color w:val="000000"/>
          <w:sz w:val="24"/>
        </w:rPr>
        <w:t>本规程依据国家计量技术规范JJF 1002-2010《国家计量检定规程编写规则》编制。</w:t>
      </w:r>
    </w:p>
    <w:p>
      <w:pPr>
        <w:widowControl/>
        <w:snapToGrid w:val="0"/>
        <w:spacing w:line="360" w:lineRule="auto"/>
        <w:ind w:firstLine="480" w:firstLineChars="200"/>
        <w:rPr>
          <w:sz w:val="24"/>
        </w:rPr>
      </w:pPr>
      <w:r>
        <w:rPr>
          <w:rFonts w:hint="eastAsia"/>
          <w:sz w:val="24"/>
        </w:rPr>
        <w:t>本规程以国家计量检定规程JJG 517-2016 《出租汽车计价器》为技术依据，并根据行业的需求以及政府有关部门的要求，主要针对本市在用计价器的工作方式、结构形式以及检定结果的封印处理方式等进行了适当的变化，形成现有的网联出租汽车计价器。主要技术变化如下：</w:t>
      </w:r>
    </w:p>
    <w:p>
      <w:pPr>
        <w:widowControl/>
        <w:snapToGrid w:val="0"/>
        <w:spacing w:line="360" w:lineRule="auto"/>
        <w:ind w:firstLine="480" w:firstLineChars="200"/>
        <w:rPr>
          <w:sz w:val="24"/>
        </w:rPr>
      </w:pPr>
      <w:r>
        <w:rPr>
          <w:sz w:val="24"/>
        </w:rPr>
        <w:t>——</w:t>
      </w:r>
      <w:r>
        <w:rPr>
          <w:rFonts w:hint="eastAsia"/>
          <w:sz w:val="24"/>
        </w:rPr>
        <w:t>定义了网联出租汽车计价器</w:t>
      </w:r>
      <w:r>
        <w:rPr>
          <w:sz w:val="24"/>
        </w:rPr>
        <w:t>；</w:t>
      </w:r>
    </w:p>
    <w:p>
      <w:pPr>
        <w:widowControl/>
        <w:snapToGrid w:val="0"/>
        <w:spacing w:line="360" w:lineRule="auto"/>
        <w:ind w:firstLine="480" w:firstLineChars="200"/>
        <w:rPr>
          <w:sz w:val="24"/>
        </w:rPr>
      </w:pPr>
      <w:r>
        <w:rPr>
          <w:sz w:val="24"/>
        </w:rPr>
        <w:t>——</w:t>
      </w:r>
      <w:r>
        <w:rPr>
          <w:rFonts w:hint="eastAsia"/>
          <w:sz w:val="24"/>
        </w:rPr>
        <w:t>定义了电子封印及电子封印系统；</w:t>
      </w:r>
    </w:p>
    <w:p>
      <w:pPr>
        <w:widowControl/>
        <w:snapToGrid w:val="0"/>
        <w:spacing w:line="360" w:lineRule="auto"/>
        <w:ind w:firstLine="480" w:firstLineChars="200"/>
        <w:rPr>
          <w:sz w:val="24"/>
        </w:rPr>
      </w:pPr>
      <w:r>
        <w:rPr>
          <w:sz w:val="24"/>
        </w:rPr>
        <w:t>——</w:t>
      </w:r>
      <w:r>
        <w:rPr>
          <w:rFonts w:hint="eastAsia"/>
          <w:sz w:val="24"/>
        </w:rPr>
        <w:t>增加网联出租汽车计价器的结构形式；</w:t>
      </w:r>
    </w:p>
    <w:p>
      <w:pPr>
        <w:widowControl/>
        <w:snapToGrid w:val="0"/>
        <w:spacing w:line="360" w:lineRule="auto"/>
        <w:ind w:firstLine="480" w:firstLineChars="200"/>
        <w:rPr>
          <w:sz w:val="24"/>
        </w:rPr>
      </w:pPr>
      <w:r>
        <w:rPr>
          <w:sz w:val="24"/>
        </w:rPr>
        <w:t>——</w:t>
      </w:r>
      <w:r>
        <w:rPr>
          <w:rFonts w:hint="eastAsia"/>
          <w:sz w:val="24"/>
        </w:rPr>
        <w:t>增加网联出租汽车计价器的安全要求；</w:t>
      </w:r>
    </w:p>
    <w:p>
      <w:pPr>
        <w:widowControl/>
        <w:snapToGrid w:val="0"/>
        <w:spacing w:line="360" w:lineRule="auto"/>
        <w:ind w:firstLine="480" w:firstLineChars="200"/>
        <w:rPr>
          <w:sz w:val="24"/>
        </w:rPr>
      </w:pPr>
      <w:r>
        <w:rPr>
          <w:sz w:val="24"/>
        </w:rPr>
        <w:t>——</w:t>
      </w:r>
      <w:r>
        <w:rPr>
          <w:rFonts w:hint="eastAsia"/>
          <w:sz w:val="24"/>
        </w:rPr>
        <w:t>增加网联出租汽车计价器的电子封印方法；</w:t>
      </w:r>
    </w:p>
    <w:p>
      <w:pPr>
        <w:widowControl/>
        <w:snapToGrid w:val="0"/>
        <w:spacing w:line="360" w:lineRule="auto"/>
        <w:ind w:firstLine="480" w:firstLineChars="200"/>
        <w:rPr>
          <w:sz w:val="24"/>
        </w:rPr>
      </w:pPr>
      <w:r>
        <w:rPr>
          <w:sz w:val="24"/>
        </w:rPr>
        <w:t>——</w:t>
      </w:r>
      <w:r>
        <w:rPr>
          <w:rFonts w:hint="eastAsia"/>
          <w:sz w:val="24"/>
        </w:rPr>
        <w:t>删除了本机检定内容。</w:t>
      </w:r>
    </w:p>
    <w:p>
      <w:pPr>
        <w:widowControl/>
        <w:snapToGrid w:val="0"/>
        <w:spacing w:line="360" w:lineRule="auto"/>
        <w:ind w:firstLine="480" w:firstLineChars="200"/>
        <w:rPr>
          <w:rFonts w:ascii="宋体" w:hAnsi="宋体"/>
          <w:color w:val="000000"/>
          <w:sz w:val="24"/>
        </w:rPr>
      </w:pPr>
      <w:r>
        <w:rPr>
          <w:color w:val="000000"/>
          <w:sz w:val="24"/>
          <w:lang w:val="en-GB"/>
        </w:rPr>
        <w:t>本</w:t>
      </w:r>
      <w:r>
        <w:rPr>
          <w:rFonts w:hint="eastAsia"/>
          <w:color w:val="000000"/>
          <w:sz w:val="24"/>
        </w:rPr>
        <w:t>规程</w:t>
      </w:r>
      <w:r>
        <w:rPr>
          <w:color w:val="000000"/>
          <w:sz w:val="24"/>
          <w:lang w:val="en-GB"/>
        </w:rPr>
        <w:t>为首次</w:t>
      </w:r>
      <w:r>
        <w:rPr>
          <w:rFonts w:hint="eastAsia"/>
          <w:color w:val="000000"/>
          <w:sz w:val="24"/>
          <w:lang w:val="en-GB"/>
        </w:rPr>
        <w:t>发布。</w:t>
      </w:r>
    </w:p>
    <w:p>
      <w:pPr>
        <w:snapToGrid w:val="0"/>
        <w:spacing w:line="360" w:lineRule="auto"/>
        <w:rPr>
          <w:rFonts w:ascii="宋体" w:hAnsi="宋体"/>
          <w:color w:val="000000"/>
          <w:sz w:val="24"/>
          <w:lang w:val="en-GB"/>
        </w:rPr>
      </w:pPr>
    </w:p>
    <w:p>
      <w:pPr>
        <w:snapToGrid w:val="0"/>
        <w:spacing w:line="360" w:lineRule="auto"/>
        <w:rPr>
          <w:rFonts w:ascii="宋体" w:hAnsi="宋体"/>
          <w:color w:val="000000"/>
          <w:sz w:val="24"/>
          <w:lang w:val="en-GB"/>
        </w:rPr>
      </w:pPr>
    </w:p>
    <w:p>
      <w:pPr>
        <w:snapToGrid w:val="0"/>
        <w:spacing w:line="360" w:lineRule="auto"/>
        <w:rPr>
          <w:rFonts w:ascii="宋体" w:hAnsi="宋体"/>
          <w:color w:val="000000"/>
          <w:sz w:val="24"/>
          <w:lang w:val="en-GB"/>
        </w:rPr>
      </w:pPr>
    </w:p>
    <w:p>
      <w:pPr>
        <w:snapToGrid w:val="0"/>
        <w:spacing w:line="360" w:lineRule="auto"/>
        <w:rPr>
          <w:rFonts w:ascii="宋体" w:hAnsi="宋体"/>
          <w:color w:val="000000"/>
          <w:sz w:val="24"/>
          <w:lang w:val="en-GB"/>
        </w:rPr>
      </w:pPr>
    </w:p>
    <w:p>
      <w:pPr>
        <w:snapToGrid w:val="0"/>
        <w:spacing w:line="360" w:lineRule="auto"/>
        <w:rPr>
          <w:rFonts w:ascii="宋体" w:hAnsi="宋体"/>
          <w:color w:val="000000"/>
          <w:sz w:val="24"/>
          <w:lang w:val="en-GB"/>
        </w:rPr>
      </w:pPr>
    </w:p>
    <w:p>
      <w:pPr>
        <w:snapToGrid w:val="0"/>
        <w:spacing w:line="360" w:lineRule="auto"/>
        <w:rPr>
          <w:rFonts w:ascii="宋体" w:hAnsi="宋体"/>
          <w:color w:val="000000"/>
          <w:sz w:val="24"/>
          <w:lang w:val="en-GB"/>
        </w:rPr>
      </w:pPr>
    </w:p>
    <w:p>
      <w:pPr>
        <w:snapToGrid w:val="0"/>
        <w:spacing w:line="360" w:lineRule="auto"/>
        <w:rPr>
          <w:rFonts w:ascii="宋体" w:hAnsi="宋体"/>
          <w:color w:val="000000"/>
          <w:sz w:val="24"/>
          <w:lang w:val="en-GB"/>
        </w:rPr>
      </w:pPr>
    </w:p>
    <w:p>
      <w:pPr>
        <w:snapToGrid w:val="0"/>
        <w:spacing w:line="360" w:lineRule="auto"/>
        <w:rPr>
          <w:rFonts w:ascii="宋体" w:hAnsi="宋体"/>
          <w:color w:val="000000"/>
          <w:sz w:val="24"/>
          <w:lang w:val="en-GB"/>
        </w:rPr>
      </w:pPr>
    </w:p>
    <w:p>
      <w:pPr>
        <w:snapToGrid w:val="0"/>
        <w:spacing w:line="360" w:lineRule="auto"/>
        <w:rPr>
          <w:rFonts w:ascii="宋体" w:hAnsi="宋体"/>
          <w:color w:val="000000"/>
          <w:sz w:val="24"/>
          <w:lang w:val="en-GB"/>
        </w:rPr>
      </w:pPr>
    </w:p>
    <w:p>
      <w:pPr>
        <w:snapToGrid w:val="0"/>
        <w:spacing w:line="360" w:lineRule="auto"/>
        <w:rPr>
          <w:rFonts w:ascii="宋体" w:hAnsi="宋体"/>
          <w:color w:val="000000"/>
          <w:sz w:val="24"/>
          <w:lang w:val="en-GB"/>
        </w:rPr>
      </w:pPr>
    </w:p>
    <w:p>
      <w:pPr>
        <w:snapToGrid w:val="0"/>
        <w:spacing w:line="360" w:lineRule="auto"/>
        <w:rPr>
          <w:rFonts w:ascii="宋体" w:hAnsi="宋体"/>
          <w:color w:val="000000"/>
          <w:sz w:val="24"/>
          <w:lang w:val="en-GB"/>
        </w:rPr>
      </w:pPr>
    </w:p>
    <w:p>
      <w:pPr>
        <w:snapToGrid w:val="0"/>
        <w:spacing w:line="360" w:lineRule="auto"/>
        <w:rPr>
          <w:rFonts w:ascii="宋体" w:hAnsi="宋体"/>
          <w:color w:val="000000"/>
          <w:sz w:val="24"/>
          <w:lang w:val="en-GB"/>
        </w:rPr>
      </w:pPr>
    </w:p>
    <w:p>
      <w:pPr>
        <w:snapToGrid w:val="0"/>
        <w:spacing w:line="360" w:lineRule="auto"/>
        <w:rPr>
          <w:rFonts w:ascii="宋体" w:hAnsi="宋体"/>
          <w:color w:val="000000"/>
          <w:sz w:val="24"/>
          <w:lang w:val="en-GB"/>
        </w:rPr>
      </w:pPr>
    </w:p>
    <w:p>
      <w:pPr>
        <w:snapToGrid w:val="0"/>
        <w:spacing w:line="360" w:lineRule="auto"/>
        <w:rPr>
          <w:rFonts w:ascii="宋体" w:hAnsi="宋体"/>
          <w:color w:val="000000"/>
          <w:sz w:val="24"/>
          <w:lang w:val="en-GB"/>
        </w:rPr>
      </w:pPr>
    </w:p>
    <w:p>
      <w:pPr>
        <w:snapToGrid w:val="0"/>
        <w:spacing w:line="360" w:lineRule="auto"/>
        <w:rPr>
          <w:rFonts w:ascii="宋体" w:hAnsi="宋体"/>
          <w:color w:val="000000"/>
          <w:sz w:val="24"/>
          <w:lang w:val="en-GB"/>
        </w:rPr>
      </w:pPr>
    </w:p>
    <w:p>
      <w:pPr>
        <w:snapToGrid w:val="0"/>
        <w:spacing w:line="360" w:lineRule="auto"/>
        <w:rPr>
          <w:rFonts w:ascii="宋体" w:hAnsi="宋体"/>
          <w:color w:val="000000"/>
          <w:sz w:val="24"/>
          <w:lang w:val="en-GB"/>
        </w:rPr>
        <w:sectPr>
          <w:footerReference r:id="rId8" w:type="default"/>
          <w:footerReference r:id="rId9" w:type="even"/>
          <w:pgSz w:w="11906" w:h="16838"/>
          <w:pgMar w:top="1418" w:right="1418" w:bottom="1418" w:left="1418" w:header="851" w:footer="992" w:gutter="0"/>
          <w:pgNumType w:fmt="upperRoman" w:start="1"/>
          <w:cols w:space="720" w:num="1"/>
          <w:docGrid w:type="lines" w:linePitch="312" w:charSpace="0"/>
        </w:sectPr>
      </w:pPr>
    </w:p>
    <w:p>
      <w:pPr>
        <w:tabs>
          <w:tab w:val="left" w:pos="7575"/>
        </w:tabs>
        <w:snapToGrid w:val="0"/>
        <w:spacing w:before="312" w:beforeLines="100" w:line="480" w:lineRule="auto"/>
        <w:jc w:val="center"/>
        <w:rPr>
          <w:rFonts w:ascii="黑体" w:hAnsi="宋体" w:eastAsia="黑体"/>
          <w:sz w:val="32"/>
          <w:szCs w:val="32"/>
        </w:rPr>
      </w:pPr>
      <w:bookmarkStart w:id="4" w:name="_Toc411058913"/>
      <w:r>
        <w:rPr>
          <w:rFonts w:hint="eastAsia" w:ascii="黑体" w:hAnsi="宋体" w:eastAsia="黑体"/>
          <w:sz w:val="32"/>
          <w:szCs w:val="32"/>
        </w:rPr>
        <w:t>网联出租汽车计价器检定规程</w:t>
      </w:r>
    </w:p>
    <w:p>
      <w:pPr>
        <w:pStyle w:val="2"/>
        <w:numPr>
          <w:ilvl w:val="0"/>
          <w:numId w:val="1"/>
        </w:numPr>
        <w:snapToGrid w:val="0"/>
        <w:spacing w:before="156" w:beforeLines="50" w:after="156" w:afterLines="50" w:line="360" w:lineRule="auto"/>
        <w:ind w:left="357" w:hanging="357"/>
        <w:jc w:val="both"/>
        <w:rPr>
          <w:rFonts w:hAnsi="黑体"/>
          <w:color w:val="000000"/>
          <w:sz w:val="24"/>
        </w:rPr>
      </w:pPr>
      <w:bookmarkStart w:id="5" w:name="_Toc85663465"/>
      <w:bookmarkStart w:id="6" w:name="_Toc70327699"/>
      <w:bookmarkStart w:id="7" w:name="_Toc65742856"/>
      <w:bookmarkStart w:id="8" w:name="_Toc70323993"/>
      <w:r>
        <w:rPr>
          <w:rFonts w:hAnsi="黑体"/>
          <w:color w:val="000000"/>
          <w:sz w:val="24"/>
        </w:rPr>
        <w:t>范围</w:t>
      </w:r>
      <w:bookmarkEnd w:id="4"/>
      <w:bookmarkEnd w:id="5"/>
      <w:bookmarkEnd w:id="6"/>
      <w:bookmarkEnd w:id="7"/>
      <w:bookmarkEnd w:id="8"/>
    </w:p>
    <w:p>
      <w:pPr>
        <w:snapToGrid w:val="0"/>
        <w:spacing w:line="360" w:lineRule="auto"/>
        <w:ind w:firstLine="480" w:firstLineChars="200"/>
        <w:rPr>
          <w:rFonts w:ascii="宋体" w:hAnsi="宋体"/>
          <w:color w:val="000000"/>
          <w:sz w:val="24"/>
        </w:rPr>
      </w:pPr>
      <w:r>
        <w:rPr>
          <w:rFonts w:hint="eastAsia" w:ascii="宋体" w:hAnsi="宋体"/>
          <w:color w:val="000000"/>
          <w:sz w:val="24"/>
        </w:rPr>
        <w:t>本规程适用于网联出租汽车计价器（以下简称网联计价器）装车后的首次检定和后续检定。</w:t>
      </w:r>
    </w:p>
    <w:p>
      <w:pPr>
        <w:pStyle w:val="2"/>
        <w:numPr>
          <w:ilvl w:val="0"/>
          <w:numId w:val="1"/>
        </w:numPr>
        <w:snapToGrid w:val="0"/>
        <w:spacing w:before="156" w:beforeLines="50" w:after="156" w:afterLines="50" w:line="360" w:lineRule="auto"/>
        <w:ind w:left="357" w:hanging="357"/>
        <w:jc w:val="both"/>
        <w:rPr>
          <w:rFonts w:hAnsi="黑体"/>
          <w:color w:val="000000"/>
          <w:sz w:val="24"/>
        </w:rPr>
      </w:pPr>
      <w:bookmarkStart w:id="9" w:name="_Toc85663466"/>
      <w:bookmarkStart w:id="10" w:name="_Toc65742857"/>
      <w:bookmarkStart w:id="11" w:name="_Toc411058914"/>
      <w:bookmarkStart w:id="12" w:name="_Toc70323994"/>
      <w:bookmarkStart w:id="13" w:name="_Toc70327700"/>
      <w:r>
        <w:rPr>
          <w:rFonts w:hAnsi="黑体"/>
          <w:color w:val="000000"/>
          <w:sz w:val="24"/>
        </w:rPr>
        <w:t>引用文件</w:t>
      </w:r>
      <w:bookmarkEnd w:id="9"/>
      <w:bookmarkEnd w:id="10"/>
      <w:bookmarkEnd w:id="11"/>
      <w:bookmarkEnd w:id="12"/>
      <w:bookmarkEnd w:id="13"/>
    </w:p>
    <w:p>
      <w:pPr>
        <w:pStyle w:val="8"/>
        <w:snapToGrid w:val="0"/>
        <w:spacing w:line="360" w:lineRule="auto"/>
        <w:ind w:firstLine="480" w:firstLineChars="200"/>
        <w:rPr>
          <w:color w:val="000000"/>
          <w:sz w:val="24"/>
        </w:rPr>
      </w:pPr>
      <w:r>
        <w:rPr>
          <w:rFonts w:hint="eastAsia"/>
          <w:color w:val="000000"/>
          <w:sz w:val="24"/>
        </w:rPr>
        <w:t>本规程引用了下列文件：</w:t>
      </w:r>
    </w:p>
    <w:p>
      <w:pPr>
        <w:pStyle w:val="8"/>
        <w:snapToGrid w:val="0"/>
        <w:spacing w:line="360" w:lineRule="auto"/>
        <w:ind w:firstLine="480" w:firstLineChars="200"/>
        <w:rPr>
          <w:color w:val="000000"/>
          <w:sz w:val="24"/>
        </w:rPr>
      </w:pPr>
      <w:r>
        <w:rPr>
          <w:rFonts w:hint="eastAsia"/>
          <w:color w:val="000000"/>
          <w:sz w:val="24"/>
        </w:rPr>
        <w:t>JJG 517-2016 《出租汽车计价器》</w:t>
      </w:r>
    </w:p>
    <w:p>
      <w:pPr>
        <w:pStyle w:val="8"/>
        <w:snapToGrid w:val="0"/>
        <w:spacing w:line="360" w:lineRule="auto"/>
        <w:ind w:firstLine="480" w:firstLineChars="200"/>
        <w:rPr>
          <w:color w:val="000000"/>
          <w:sz w:val="24"/>
        </w:rPr>
      </w:pPr>
      <w:r>
        <w:rPr>
          <w:rFonts w:hint="eastAsia"/>
          <w:color w:val="000000"/>
          <w:sz w:val="24"/>
        </w:rPr>
        <w:t>凡是标注日期的引用文件，仅注日期的版本适用于本规程；凡是不注日期的引用文件，其最新版本（包括所有的修改单）适用于本规程。</w:t>
      </w:r>
    </w:p>
    <w:p>
      <w:pPr>
        <w:pStyle w:val="2"/>
        <w:numPr>
          <w:ilvl w:val="0"/>
          <w:numId w:val="1"/>
        </w:numPr>
        <w:snapToGrid w:val="0"/>
        <w:spacing w:before="156" w:beforeLines="50" w:after="156" w:afterLines="50" w:line="360" w:lineRule="auto"/>
        <w:ind w:left="357" w:hanging="357"/>
        <w:jc w:val="both"/>
        <w:rPr>
          <w:rFonts w:hAnsi="黑体"/>
          <w:color w:val="000000"/>
          <w:sz w:val="24"/>
        </w:rPr>
      </w:pPr>
      <w:bookmarkStart w:id="14" w:name="_Toc70323995"/>
      <w:bookmarkStart w:id="15" w:name="_Toc85663467"/>
      <w:bookmarkStart w:id="16" w:name="_Toc411058915"/>
      <w:bookmarkStart w:id="17" w:name="_Toc70327701"/>
      <w:bookmarkStart w:id="18" w:name="_Toc65742858"/>
      <w:r>
        <w:rPr>
          <w:rFonts w:hAnsi="黑体"/>
          <w:color w:val="000000"/>
          <w:sz w:val="24"/>
        </w:rPr>
        <w:t>术语</w:t>
      </w:r>
      <w:bookmarkEnd w:id="14"/>
      <w:bookmarkEnd w:id="15"/>
      <w:bookmarkEnd w:id="16"/>
      <w:bookmarkEnd w:id="17"/>
      <w:bookmarkEnd w:id="18"/>
      <w:bookmarkStart w:id="19" w:name="_Toc65744321"/>
      <w:bookmarkStart w:id="20" w:name="_Toc411058916"/>
      <w:bookmarkStart w:id="21" w:name="_Toc65742859"/>
      <w:r>
        <w:rPr>
          <w:rFonts w:hAnsi="黑体"/>
          <w:color w:val="000000"/>
          <w:sz w:val="24"/>
        </w:rPr>
        <w:t xml:space="preserve"> </w:t>
      </w:r>
      <w:bookmarkEnd w:id="19"/>
      <w:bookmarkEnd w:id="20"/>
      <w:bookmarkEnd w:id="21"/>
    </w:p>
    <w:p>
      <w:pPr>
        <w:pStyle w:val="3"/>
        <w:snapToGrid w:val="0"/>
        <w:spacing w:line="360" w:lineRule="auto"/>
        <w:ind w:firstLine="0"/>
        <w:jc w:val="both"/>
        <w:rPr>
          <w:i w:val="0"/>
        </w:rPr>
      </w:pPr>
      <w:bookmarkStart w:id="22" w:name="_Toc70323996"/>
      <w:bookmarkStart w:id="23" w:name="_Toc411058917"/>
      <w:bookmarkStart w:id="24" w:name="_Toc65742860"/>
      <w:bookmarkStart w:id="25" w:name="_Toc70327702"/>
      <w:bookmarkStart w:id="26" w:name="_Toc85663468"/>
      <w:r>
        <w:rPr>
          <w:rFonts w:ascii="Times New Roman"/>
          <w:i w:val="0"/>
          <w:color w:val="000000"/>
          <w:sz w:val="24"/>
          <w:szCs w:val="28"/>
        </w:rPr>
        <w:t>3.</w:t>
      </w:r>
      <w:r>
        <w:rPr>
          <w:rFonts w:hint="eastAsia" w:ascii="Times New Roman"/>
          <w:i w:val="0"/>
          <w:color w:val="000000"/>
          <w:sz w:val="24"/>
          <w:szCs w:val="28"/>
        </w:rPr>
        <w:t>1</w:t>
      </w:r>
      <w:bookmarkEnd w:id="22"/>
      <w:bookmarkEnd w:id="23"/>
      <w:bookmarkEnd w:id="24"/>
      <w:bookmarkEnd w:id="25"/>
      <w:r>
        <w:rPr>
          <w:rFonts w:hint="eastAsia" w:ascii="Times New Roman"/>
          <w:i w:val="0"/>
          <w:color w:val="000000"/>
          <w:sz w:val="24"/>
          <w:szCs w:val="28"/>
        </w:rPr>
        <w:t xml:space="preserve">  </w:t>
      </w:r>
      <w:r>
        <w:rPr>
          <w:rFonts w:hint="eastAsia" w:ascii="Times New Roman"/>
          <w:i w:val="0"/>
          <w:color w:val="000000"/>
          <w:sz w:val="24"/>
          <w:szCs w:val="24"/>
        </w:rPr>
        <w:t xml:space="preserve">网联出租汽车计价器  network connection </w:t>
      </w:r>
      <w:bookmarkEnd w:id="26"/>
      <w:r>
        <w:rPr>
          <w:rFonts w:hint="eastAsia" w:ascii="Times New Roman"/>
          <w:i w:val="0"/>
          <w:color w:val="000000"/>
          <w:sz w:val="24"/>
          <w:szCs w:val="24"/>
        </w:rPr>
        <w:t>taximeter</w:t>
      </w:r>
    </w:p>
    <w:p>
      <w:pPr>
        <w:pStyle w:val="8"/>
        <w:snapToGrid w:val="0"/>
        <w:spacing w:line="360" w:lineRule="auto"/>
        <w:ind w:firstLine="480" w:firstLineChars="200"/>
        <w:rPr>
          <w:color w:val="000000"/>
          <w:sz w:val="24"/>
        </w:rPr>
      </w:pPr>
      <w:r>
        <w:rPr>
          <w:rFonts w:hint="eastAsia"/>
          <w:color w:val="000000"/>
          <w:sz w:val="24"/>
        </w:rPr>
        <w:t>是用于测量出租汽车运营过程中行驶的里程及低速状态时的计时时间，以测得的运营里程及计时时间为依据，计算并显示乘客租车应付费用的计量器具。具备通过互联网与电子封印系统进行数据交互</w:t>
      </w:r>
      <w:r>
        <w:rPr>
          <w:rFonts w:hint="eastAsia"/>
          <w:sz w:val="24"/>
        </w:rPr>
        <w:t>的功能。通过电子封印对涉及计量参数、计程计时费用计算的软件进行保护。</w:t>
      </w:r>
    </w:p>
    <w:p>
      <w:pPr>
        <w:pStyle w:val="3"/>
        <w:snapToGrid w:val="0"/>
        <w:spacing w:line="360" w:lineRule="auto"/>
        <w:ind w:firstLine="0"/>
        <w:jc w:val="both"/>
        <w:rPr>
          <w:rFonts w:hAnsi="宋体" w:cs="宋体"/>
          <w:i w:val="0"/>
          <w:kern w:val="0"/>
          <w:sz w:val="24"/>
        </w:rPr>
      </w:pPr>
      <w:bookmarkStart w:id="27" w:name="_Toc85663469"/>
      <w:r>
        <w:rPr>
          <w:rFonts w:hint="eastAsia" w:ascii="Times New Roman"/>
          <w:i w:val="0"/>
          <w:color w:val="000000"/>
          <w:sz w:val="24"/>
          <w:szCs w:val="28"/>
        </w:rPr>
        <w:t xml:space="preserve">3.2  </w:t>
      </w:r>
      <w:r>
        <w:rPr>
          <w:rFonts w:hint="eastAsia" w:ascii="Times New Roman"/>
          <w:i w:val="0"/>
          <w:color w:val="000000"/>
          <w:sz w:val="24"/>
          <w:szCs w:val="24"/>
        </w:rPr>
        <w:t>网联计价器常数</w:t>
      </w:r>
      <w:r>
        <w:rPr>
          <w:rFonts w:hint="eastAsia" w:ascii="Times New Roman" w:eastAsia="华光行楷_CNKI"/>
          <w:color w:val="000000"/>
          <w:sz w:val="24"/>
          <w:szCs w:val="24"/>
        </w:rPr>
        <w:t>k</w:t>
      </w:r>
      <w:r>
        <w:rPr>
          <w:rFonts w:hint="eastAsia" w:ascii="Times New Roman"/>
          <w:i w:val="0"/>
          <w:color w:val="000000"/>
          <w:sz w:val="24"/>
          <w:szCs w:val="24"/>
        </w:rPr>
        <w:t xml:space="preserve">  network connection </w:t>
      </w:r>
      <w:r>
        <w:rPr>
          <w:rFonts w:ascii="Times New Roman"/>
          <w:i w:val="0"/>
          <w:color w:val="000000"/>
          <w:sz w:val="24"/>
          <w:szCs w:val="24"/>
        </w:rPr>
        <w:t xml:space="preserve">taximeter constant </w:t>
      </w:r>
      <w:r>
        <w:rPr>
          <w:rFonts w:ascii="Times New Roman"/>
          <w:color w:val="000000"/>
          <w:sz w:val="24"/>
          <w:szCs w:val="24"/>
        </w:rPr>
        <w:t>k</w:t>
      </w:r>
      <w:bookmarkEnd w:id="27"/>
    </w:p>
    <w:p>
      <w:pPr>
        <w:pStyle w:val="8"/>
        <w:snapToGrid w:val="0"/>
        <w:spacing w:line="360" w:lineRule="auto"/>
        <w:ind w:firstLine="480" w:firstLineChars="200"/>
        <w:rPr>
          <w:color w:val="000000"/>
          <w:sz w:val="24"/>
        </w:rPr>
      </w:pPr>
      <w:r>
        <w:rPr>
          <w:rFonts w:hint="eastAsia"/>
          <w:color w:val="000000"/>
          <w:sz w:val="24"/>
        </w:rPr>
        <w:t>网联计价器为正确显示出租汽车行驶每公里行程时接收的脉冲数。</w:t>
      </w:r>
    </w:p>
    <w:p>
      <w:pPr>
        <w:pStyle w:val="3"/>
        <w:snapToGrid w:val="0"/>
        <w:spacing w:line="360" w:lineRule="auto"/>
        <w:ind w:firstLine="0"/>
        <w:jc w:val="both"/>
        <w:rPr>
          <w:i w:val="0"/>
        </w:rPr>
      </w:pPr>
      <w:bookmarkStart w:id="28" w:name="_Toc65742861"/>
      <w:bookmarkStart w:id="29" w:name="_Toc70323997"/>
      <w:bookmarkStart w:id="30" w:name="_Toc70327703"/>
      <w:bookmarkStart w:id="31" w:name="_Toc85663470"/>
      <w:r>
        <w:rPr>
          <w:rFonts w:hint="eastAsia" w:ascii="Times New Roman"/>
          <w:i w:val="0"/>
          <w:color w:val="000000"/>
          <w:sz w:val="24"/>
          <w:szCs w:val="28"/>
        </w:rPr>
        <w:t>3</w:t>
      </w:r>
      <w:r>
        <w:rPr>
          <w:rFonts w:ascii="Times New Roman"/>
          <w:i w:val="0"/>
          <w:color w:val="000000"/>
          <w:sz w:val="24"/>
          <w:szCs w:val="28"/>
        </w:rPr>
        <w:t>.</w:t>
      </w:r>
      <w:bookmarkEnd w:id="28"/>
      <w:r>
        <w:rPr>
          <w:rFonts w:hint="eastAsia" w:ascii="Times New Roman"/>
          <w:i w:val="0"/>
          <w:color w:val="000000"/>
          <w:sz w:val="24"/>
          <w:szCs w:val="28"/>
        </w:rPr>
        <w:t>3</w:t>
      </w:r>
      <w:bookmarkEnd w:id="29"/>
      <w:bookmarkEnd w:id="30"/>
      <w:r>
        <w:rPr>
          <w:rFonts w:hint="eastAsia" w:ascii="Times New Roman"/>
          <w:i w:val="0"/>
          <w:color w:val="000000"/>
          <w:sz w:val="24"/>
          <w:szCs w:val="28"/>
        </w:rPr>
        <w:t xml:space="preserve">  </w:t>
      </w:r>
      <w:r>
        <w:rPr>
          <w:rFonts w:hint="eastAsia" w:ascii="Times New Roman"/>
          <w:i w:val="0"/>
          <w:color w:val="000000"/>
          <w:sz w:val="24"/>
          <w:szCs w:val="24"/>
        </w:rPr>
        <w:t>里程测量传感器  distance measurement transducer</w:t>
      </w:r>
      <w:bookmarkEnd w:id="31"/>
    </w:p>
    <w:p>
      <w:pPr>
        <w:pStyle w:val="8"/>
        <w:snapToGrid w:val="0"/>
        <w:spacing w:line="360" w:lineRule="auto"/>
        <w:ind w:firstLine="480" w:firstLineChars="200"/>
        <w:rPr>
          <w:color w:val="000000"/>
          <w:sz w:val="24"/>
        </w:rPr>
      </w:pPr>
      <w:r>
        <w:rPr>
          <w:rFonts w:hint="eastAsia"/>
          <w:color w:val="000000"/>
          <w:sz w:val="24"/>
        </w:rPr>
        <w:t>能够直接将出租汽车变速器或驱动轮的转动信号转换成网联计价器可识别的脉冲信号并输入给网联计价器的传感器。</w:t>
      </w:r>
    </w:p>
    <w:p>
      <w:pPr>
        <w:pStyle w:val="3"/>
        <w:snapToGrid w:val="0"/>
        <w:spacing w:line="360" w:lineRule="auto"/>
        <w:ind w:firstLine="0"/>
        <w:jc w:val="both"/>
        <w:rPr>
          <w:rFonts w:ascii="Times New Roman"/>
          <w:i w:val="0"/>
          <w:color w:val="000000"/>
          <w:sz w:val="24"/>
          <w:szCs w:val="24"/>
        </w:rPr>
      </w:pPr>
      <w:bookmarkStart w:id="32" w:name="_Toc85663471"/>
      <w:r>
        <w:rPr>
          <w:rFonts w:hint="eastAsia" w:ascii="Times New Roman"/>
          <w:i w:val="0"/>
          <w:color w:val="000000"/>
          <w:sz w:val="24"/>
          <w:szCs w:val="28"/>
        </w:rPr>
        <w:t>3</w:t>
      </w:r>
      <w:r>
        <w:rPr>
          <w:rFonts w:ascii="Times New Roman"/>
          <w:i w:val="0"/>
          <w:color w:val="000000"/>
          <w:sz w:val="24"/>
          <w:szCs w:val="28"/>
        </w:rPr>
        <w:t>.4</w:t>
      </w:r>
      <w:r>
        <w:rPr>
          <w:rFonts w:hint="eastAsia" w:ascii="Times New Roman"/>
          <w:i w:val="0"/>
          <w:color w:val="000000"/>
          <w:sz w:val="24"/>
          <w:szCs w:val="28"/>
        </w:rPr>
        <w:t xml:space="preserve">  </w:t>
      </w:r>
      <w:r>
        <w:rPr>
          <w:rFonts w:hint="eastAsia" w:ascii="Times New Roman"/>
          <w:i w:val="0"/>
          <w:color w:val="000000"/>
          <w:sz w:val="24"/>
          <w:szCs w:val="24"/>
        </w:rPr>
        <w:t>空车</w:t>
      </w:r>
      <w:r>
        <w:rPr>
          <w:rFonts w:ascii="Times New Roman"/>
          <w:i w:val="0"/>
          <w:color w:val="000000"/>
          <w:sz w:val="24"/>
          <w:szCs w:val="24"/>
        </w:rPr>
        <w:t xml:space="preserve">  for hire</w:t>
      </w:r>
      <w:bookmarkEnd w:id="32"/>
    </w:p>
    <w:p>
      <w:pPr>
        <w:pStyle w:val="8"/>
        <w:snapToGrid w:val="0"/>
        <w:spacing w:line="360" w:lineRule="auto"/>
        <w:ind w:firstLine="480" w:firstLineChars="200"/>
        <w:rPr>
          <w:color w:val="000000"/>
          <w:sz w:val="24"/>
        </w:rPr>
      </w:pPr>
      <w:r>
        <w:rPr>
          <w:rFonts w:hint="eastAsia"/>
          <w:color w:val="000000"/>
          <w:sz w:val="24"/>
        </w:rPr>
        <w:t>出租汽车处于待租时的状态。</w:t>
      </w:r>
    </w:p>
    <w:p>
      <w:pPr>
        <w:pStyle w:val="8"/>
        <w:snapToGrid w:val="0"/>
        <w:spacing w:line="360" w:lineRule="auto"/>
        <w:ind w:firstLine="480" w:firstLineChars="200"/>
        <w:rPr>
          <w:color w:val="000000"/>
          <w:sz w:val="24"/>
        </w:rPr>
      </w:pPr>
      <w:r>
        <w:rPr>
          <w:color w:val="000000"/>
          <w:sz w:val="24"/>
        </w:rPr>
        <w:t>[ JJG 517-2016</w:t>
      </w:r>
      <w:r>
        <w:rPr>
          <w:rFonts w:hint="eastAsia"/>
          <w:color w:val="000000"/>
          <w:sz w:val="24"/>
        </w:rPr>
        <w:t>，</w:t>
      </w:r>
      <w:r>
        <w:rPr>
          <w:color w:val="000000"/>
          <w:sz w:val="24"/>
        </w:rPr>
        <w:t>3.4 ]</w:t>
      </w:r>
    </w:p>
    <w:p>
      <w:pPr>
        <w:pStyle w:val="3"/>
        <w:snapToGrid w:val="0"/>
        <w:spacing w:line="360" w:lineRule="auto"/>
        <w:ind w:firstLine="0"/>
        <w:jc w:val="both"/>
        <w:rPr>
          <w:rFonts w:ascii="Times New Roman"/>
          <w:i w:val="0"/>
          <w:color w:val="000000"/>
          <w:sz w:val="24"/>
          <w:szCs w:val="24"/>
        </w:rPr>
      </w:pPr>
      <w:bookmarkStart w:id="33" w:name="_Toc85663472"/>
      <w:r>
        <w:rPr>
          <w:rFonts w:hint="eastAsia" w:ascii="Times New Roman"/>
          <w:i w:val="0"/>
          <w:color w:val="000000"/>
          <w:sz w:val="24"/>
          <w:szCs w:val="24"/>
        </w:rPr>
        <w:t>3.5  重车  hired</w:t>
      </w:r>
      <w:bookmarkEnd w:id="33"/>
    </w:p>
    <w:p>
      <w:pPr>
        <w:pStyle w:val="8"/>
        <w:snapToGrid w:val="0"/>
        <w:spacing w:line="360" w:lineRule="auto"/>
        <w:ind w:firstLine="480" w:firstLineChars="200"/>
        <w:rPr>
          <w:color w:val="000000"/>
          <w:sz w:val="24"/>
        </w:rPr>
      </w:pPr>
      <w:r>
        <w:rPr>
          <w:rFonts w:hint="eastAsia"/>
          <w:color w:val="000000"/>
          <w:sz w:val="24"/>
        </w:rPr>
        <w:t>出租汽车处于租用时的状态。</w:t>
      </w:r>
    </w:p>
    <w:p>
      <w:pPr>
        <w:pStyle w:val="8"/>
        <w:snapToGrid w:val="0"/>
        <w:spacing w:line="360" w:lineRule="auto"/>
        <w:ind w:firstLine="480" w:firstLineChars="200"/>
        <w:rPr>
          <w:color w:val="000000"/>
          <w:sz w:val="24"/>
        </w:rPr>
      </w:pPr>
      <w:r>
        <w:rPr>
          <w:color w:val="000000"/>
          <w:sz w:val="24"/>
        </w:rPr>
        <w:t>[</w:t>
      </w:r>
      <w:r>
        <w:rPr>
          <w:rFonts w:hint="eastAsia"/>
          <w:color w:val="000000"/>
          <w:sz w:val="24"/>
        </w:rPr>
        <w:t xml:space="preserve"> </w:t>
      </w:r>
      <w:r>
        <w:rPr>
          <w:color w:val="000000"/>
          <w:sz w:val="24"/>
        </w:rPr>
        <w:t>JJG 517-2016</w:t>
      </w:r>
      <w:r>
        <w:rPr>
          <w:rFonts w:hint="eastAsia"/>
          <w:color w:val="000000"/>
          <w:sz w:val="24"/>
        </w:rPr>
        <w:t>，</w:t>
      </w:r>
      <w:r>
        <w:rPr>
          <w:color w:val="000000"/>
          <w:sz w:val="24"/>
        </w:rPr>
        <w:t>3.5</w:t>
      </w:r>
      <w:r>
        <w:rPr>
          <w:rFonts w:hint="eastAsia"/>
          <w:color w:val="000000"/>
          <w:sz w:val="24"/>
        </w:rPr>
        <w:t xml:space="preserve"> </w:t>
      </w:r>
      <w:r>
        <w:rPr>
          <w:color w:val="000000"/>
          <w:sz w:val="24"/>
        </w:rPr>
        <w:t>]</w:t>
      </w:r>
    </w:p>
    <w:p>
      <w:pPr>
        <w:pStyle w:val="3"/>
        <w:snapToGrid w:val="0"/>
        <w:spacing w:line="360" w:lineRule="auto"/>
        <w:ind w:firstLine="0"/>
        <w:jc w:val="both"/>
        <w:rPr>
          <w:rFonts w:ascii="Times New Roman"/>
          <w:i w:val="0"/>
          <w:color w:val="000000"/>
          <w:sz w:val="24"/>
          <w:szCs w:val="24"/>
        </w:rPr>
      </w:pPr>
      <w:bookmarkStart w:id="34" w:name="_Toc85663473"/>
      <w:r>
        <w:rPr>
          <w:rFonts w:hint="eastAsia" w:ascii="Times New Roman"/>
          <w:i w:val="0"/>
          <w:color w:val="000000"/>
          <w:sz w:val="24"/>
          <w:szCs w:val="28"/>
        </w:rPr>
        <w:t>3</w:t>
      </w:r>
      <w:r>
        <w:rPr>
          <w:rFonts w:ascii="Times New Roman"/>
          <w:i w:val="0"/>
          <w:color w:val="000000"/>
          <w:sz w:val="24"/>
          <w:szCs w:val="28"/>
        </w:rPr>
        <w:t>.6</w:t>
      </w:r>
      <w:r>
        <w:rPr>
          <w:rFonts w:hint="eastAsia" w:ascii="Times New Roman"/>
          <w:i w:val="0"/>
          <w:color w:val="000000"/>
          <w:sz w:val="24"/>
          <w:szCs w:val="28"/>
        </w:rPr>
        <w:t xml:space="preserve">  </w:t>
      </w:r>
      <w:r>
        <w:rPr>
          <w:rFonts w:hint="eastAsia" w:ascii="Times New Roman"/>
          <w:i w:val="0"/>
          <w:color w:val="000000"/>
          <w:sz w:val="24"/>
          <w:szCs w:val="24"/>
        </w:rPr>
        <w:t>切换速度  switching speed</w:t>
      </w:r>
      <w:bookmarkEnd w:id="34"/>
    </w:p>
    <w:p>
      <w:pPr>
        <w:pStyle w:val="8"/>
        <w:snapToGrid w:val="0"/>
        <w:spacing w:line="360" w:lineRule="auto"/>
        <w:ind w:firstLine="480" w:firstLineChars="200"/>
        <w:rPr>
          <w:color w:val="000000"/>
          <w:sz w:val="24"/>
        </w:rPr>
      </w:pPr>
      <w:r>
        <w:rPr>
          <w:rFonts w:hint="eastAsia"/>
          <w:color w:val="000000"/>
          <w:sz w:val="24"/>
        </w:rPr>
        <w:t>计价器从计程收费状态转换为计程计时同时收费状态时的切换点速度。</w:t>
      </w:r>
    </w:p>
    <w:p>
      <w:pPr>
        <w:pStyle w:val="8"/>
        <w:snapToGrid w:val="0"/>
        <w:spacing w:line="360" w:lineRule="auto"/>
        <w:ind w:firstLine="480" w:firstLineChars="200"/>
        <w:rPr>
          <w:color w:val="000000"/>
          <w:sz w:val="24"/>
        </w:rPr>
      </w:pPr>
      <w:r>
        <w:rPr>
          <w:color w:val="000000"/>
          <w:sz w:val="24"/>
        </w:rPr>
        <w:t>[</w:t>
      </w:r>
      <w:r>
        <w:rPr>
          <w:rFonts w:hint="eastAsia"/>
          <w:color w:val="000000"/>
          <w:sz w:val="24"/>
        </w:rPr>
        <w:t xml:space="preserve"> </w:t>
      </w:r>
      <w:r>
        <w:rPr>
          <w:color w:val="000000"/>
          <w:sz w:val="24"/>
        </w:rPr>
        <w:t>JJG 517-2016</w:t>
      </w:r>
      <w:r>
        <w:rPr>
          <w:rFonts w:hint="eastAsia"/>
          <w:color w:val="000000"/>
          <w:sz w:val="24"/>
        </w:rPr>
        <w:t>，</w:t>
      </w:r>
      <w:r>
        <w:rPr>
          <w:color w:val="000000"/>
          <w:sz w:val="24"/>
        </w:rPr>
        <w:t>3.6</w:t>
      </w:r>
      <w:r>
        <w:rPr>
          <w:rFonts w:hint="eastAsia"/>
          <w:color w:val="000000"/>
          <w:sz w:val="24"/>
        </w:rPr>
        <w:t xml:space="preserve"> </w:t>
      </w:r>
      <w:r>
        <w:rPr>
          <w:color w:val="000000"/>
          <w:sz w:val="24"/>
        </w:rPr>
        <w:t>]</w:t>
      </w:r>
    </w:p>
    <w:p>
      <w:pPr>
        <w:pStyle w:val="3"/>
        <w:snapToGrid w:val="0"/>
        <w:spacing w:line="360" w:lineRule="auto"/>
        <w:ind w:firstLine="0"/>
        <w:jc w:val="both"/>
        <w:rPr>
          <w:rFonts w:ascii="Times New Roman"/>
          <w:i w:val="0"/>
          <w:color w:val="000000"/>
          <w:sz w:val="24"/>
          <w:szCs w:val="24"/>
        </w:rPr>
      </w:pPr>
      <w:bookmarkStart w:id="35" w:name="_Toc85663474"/>
      <w:r>
        <w:rPr>
          <w:rFonts w:hint="eastAsia" w:ascii="Times New Roman"/>
          <w:i w:val="0"/>
          <w:color w:val="000000"/>
          <w:sz w:val="24"/>
          <w:szCs w:val="28"/>
        </w:rPr>
        <w:t>3</w:t>
      </w:r>
      <w:r>
        <w:rPr>
          <w:rFonts w:ascii="Times New Roman"/>
          <w:i w:val="0"/>
          <w:color w:val="000000"/>
          <w:sz w:val="24"/>
          <w:szCs w:val="28"/>
        </w:rPr>
        <w:t>.7</w:t>
      </w:r>
      <w:r>
        <w:rPr>
          <w:rFonts w:hint="eastAsia" w:ascii="Times New Roman"/>
          <w:i w:val="0"/>
          <w:color w:val="000000"/>
          <w:sz w:val="24"/>
          <w:szCs w:val="28"/>
        </w:rPr>
        <w:t xml:space="preserve">  </w:t>
      </w:r>
      <w:r>
        <w:rPr>
          <w:rFonts w:hint="eastAsia" w:ascii="Times New Roman"/>
          <w:i w:val="0"/>
          <w:color w:val="000000"/>
          <w:sz w:val="24"/>
          <w:szCs w:val="24"/>
        </w:rPr>
        <w:t>低速  low-speed</w:t>
      </w:r>
      <w:bookmarkEnd w:id="35"/>
    </w:p>
    <w:p>
      <w:pPr>
        <w:pStyle w:val="8"/>
        <w:snapToGrid w:val="0"/>
        <w:spacing w:line="360" w:lineRule="auto"/>
        <w:ind w:firstLine="480" w:firstLineChars="200"/>
        <w:rPr>
          <w:color w:val="000000"/>
          <w:sz w:val="24"/>
        </w:rPr>
      </w:pPr>
      <w:r>
        <w:rPr>
          <w:rFonts w:hint="eastAsia"/>
          <w:color w:val="000000"/>
          <w:sz w:val="24"/>
        </w:rPr>
        <w:t>出租汽车的速度等于或低于切换速度时的运营状态。</w:t>
      </w:r>
    </w:p>
    <w:p>
      <w:pPr>
        <w:pStyle w:val="8"/>
        <w:snapToGrid w:val="0"/>
        <w:spacing w:line="360" w:lineRule="auto"/>
        <w:ind w:firstLine="480" w:firstLineChars="200"/>
        <w:rPr>
          <w:color w:val="000000"/>
          <w:sz w:val="24"/>
        </w:rPr>
      </w:pPr>
      <w:r>
        <w:rPr>
          <w:color w:val="000000"/>
          <w:sz w:val="24"/>
        </w:rPr>
        <w:t>[</w:t>
      </w:r>
      <w:r>
        <w:rPr>
          <w:rFonts w:hint="eastAsia"/>
          <w:color w:val="000000"/>
          <w:sz w:val="24"/>
        </w:rPr>
        <w:t xml:space="preserve"> </w:t>
      </w:r>
      <w:r>
        <w:rPr>
          <w:color w:val="000000"/>
          <w:sz w:val="24"/>
        </w:rPr>
        <w:t>JJG 517-2016</w:t>
      </w:r>
      <w:r>
        <w:rPr>
          <w:rFonts w:hint="eastAsia"/>
          <w:color w:val="000000"/>
          <w:sz w:val="24"/>
        </w:rPr>
        <w:t>，</w:t>
      </w:r>
      <w:r>
        <w:rPr>
          <w:color w:val="000000"/>
          <w:sz w:val="24"/>
        </w:rPr>
        <w:t>3.7</w:t>
      </w:r>
      <w:r>
        <w:rPr>
          <w:rFonts w:hint="eastAsia"/>
          <w:color w:val="000000"/>
          <w:sz w:val="24"/>
        </w:rPr>
        <w:t xml:space="preserve"> </w:t>
      </w:r>
      <w:r>
        <w:rPr>
          <w:color w:val="000000"/>
          <w:sz w:val="24"/>
        </w:rPr>
        <w:t>]</w:t>
      </w:r>
    </w:p>
    <w:p>
      <w:pPr>
        <w:pStyle w:val="3"/>
        <w:snapToGrid w:val="0"/>
        <w:spacing w:line="360" w:lineRule="auto"/>
        <w:ind w:firstLine="0"/>
        <w:jc w:val="both"/>
        <w:rPr>
          <w:rFonts w:ascii="Times New Roman"/>
          <w:i w:val="0"/>
          <w:color w:val="000000"/>
          <w:sz w:val="24"/>
          <w:szCs w:val="24"/>
        </w:rPr>
      </w:pPr>
      <w:bookmarkStart w:id="36" w:name="_Toc85663475"/>
      <w:r>
        <w:rPr>
          <w:rFonts w:hint="eastAsia" w:ascii="Times New Roman"/>
          <w:i w:val="0"/>
          <w:color w:val="000000"/>
          <w:sz w:val="24"/>
          <w:szCs w:val="28"/>
        </w:rPr>
        <w:t>3</w:t>
      </w:r>
      <w:r>
        <w:rPr>
          <w:rFonts w:ascii="Times New Roman"/>
          <w:i w:val="0"/>
          <w:color w:val="000000"/>
          <w:sz w:val="24"/>
          <w:szCs w:val="28"/>
        </w:rPr>
        <w:t>.8</w:t>
      </w:r>
      <w:r>
        <w:rPr>
          <w:rFonts w:hint="eastAsia" w:ascii="Times New Roman"/>
          <w:i w:val="0"/>
          <w:color w:val="000000"/>
          <w:sz w:val="24"/>
          <w:szCs w:val="28"/>
        </w:rPr>
        <w:t xml:space="preserve">  </w:t>
      </w:r>
      <w:r>
        <w:rPr>
          <w:rFonts w:hint="eastAsia" w:ascii="Times New Roman"/>
          <w:i w:val="0"/>
          <w:color w:val="000000"/>
          <w:sz w:val="24"/>
          <w:szCs w:val="24"/>
        </w:rPr>
        <w:t>昼间  daytime</w:t>
      </w:r>
      <w:bookmarkEnd w:id="36"/>
    </w:p>
    <w:p>
      <w:pPr>
        <w:pStyle w:val="8"/>
        <w:snapToGrid w:val="0"/>
        <w:spacing w:line="360" w:lineRule="auto"/>
        <w:ind w:firstLine="480" w:firstLineChars="200"/>
        <w:rPr>
          <w:color w:val="000000"/>
          <w:sz w:val="24"/>
        </w:rPr>
      </w:pPr>
      <w:r>
        <w:rPr>
          <w:rFonts w:hint="eastAsia"/>
          <w:color w:val="000000"/>
          <w:sz w:val="24"/>
        </w:rPr>
        <w:t>出租汽车运营标准规定的白天起止时间段（不含终止时刻）。</w:t>
      </w:r>
    </w:p>
    <w:p>
      <w:pPr>
        <w:pStyle w:val="8"/>
        <w:snapToGrid w:val="0"/>
        <w:spacing w:line="360" w:lineRule="auto"/>
        <w:ind w:firstLine="480" w:firstLineChars="200"/>
        <w:rPr>
          <w:color w:val="000000"/>
          <w:sz w:val="24"/>
        </w:rPr>
      </w:pPr>
      <w:r>
        <w:rPr>
          <w:color w:val="000000"/>
          <w:sz w:val="24"/>
        </w:rPr>
        <w:t>[</w:t>
      </w:r>
      <w:r>
        <w:rPr>
          <w:rFonts w:hint="eastAsia"/>
          <w:color w:val="000000"/>
          <w:sz w:val="24"/>
        </w:rPr>
        <w:t xml:space="preserve"> </w:t>
      </w:r>
      <w:r>
        <w:rPr>
          <w:color w:val="000000"/>
          <w:sz w:val="24"/>
        </w:rPr>
        <w:t>JJG 517-2016</w:t>
      </w:r>
      <w:r>
        <w:rPr>
          <w:rFonts w:hint="eastAsia"/>
          <w:color w:val="000000"/>
          <w:sz w:val="24"/>
        </w:rPr>
        <w:t>，</w:t>
      </w:r>
      <w:r>
        <w:rPr>
          <w:color w:val="000000"/>
          <w:sz w:val="24"/>
        </w:rPr>
        <w:t>3.8</w:t>
      </w:r>
      <w:r>
        <w:rPr>
          <w:rFonts w:hint="eastAsia"/>
          <w:color w:val="000000"/>
          <w:sz w:val="24"/>
        </w:rPr>
        <w:t xml:space="preserve"> </w:t>
      </w:r>
      <w:r>
        <w:rPr>
          <w:color w:val="000000"/>
          <w:sz w:val="24"/>
        </w:rPr>
        <w:t>]</w:t>
      </w:r>
    </w:p>
    <w:p>
      <w:pPr>
        <w:pStyle w:val="3"/>
        <w:snapToGrid w:val="0"/>
        <w:spacing w:line="360" w:lineRule="auto"/>
        <w:ind w:firstLine="0"/>
        <w:jc w:val="both"/>
        <w:rPr>
          <w:rFonts w:ascii="Times New Roman"/>
          <w:i w:val="0"/>
          <w:color w:val="000000"/>
          <w:sz w:val="24"/>
          <w:szCs w:val="24"/>
        </w:rPr>
      </w:pPr>
      <w:bookmarkStart w:id="37" w:name="_Toc85663476"/>
      <w:r>
        <w:rPr>
          <w:rFonts w:hint="eastAsia" w:ascii="Times New Roman"/>
          <w:i w:val="0"/>
          <w:color w:val="000000"/>
          <w:sz w:val="24"/>
          <w:szCs w:val="28"/>
        </w:rPr>
        <w:t>3</w:t>
      </w:r>
      <w:r>
        <w:rPr>
          <w:rFonts w:ascii="Times New Roman"/>
          <w:i w:val="0"/>
          <w:color w:val="000000"/>
          <w:sz w:val="24"/>
          <w:szCs w:val="28"/>
        </w:rPr>
        <w:t>.9</w:t>
      </w:r>
      <w:r>
        <w:rPr>
          <w:rFonts w:hint="eastAsia" w:ascii="Times New Roman"/>
          <w:i w:val="0"/>
          <w:color w:val="000000"/>
          <w:sz w:val="24"/>
          <w:szCs w:val="28"/>
        </w:rPr>
        <w:t xml:space="preserve">  夜间  night</w:t>
      </w:r>
      <w:bookmarkEnd w:id="37"/>
    </w:p>
    <w:p>
      <w:pPr>
        <w:pStyle w:val="8"/>
        <w:snapToGrid w:val="0"/>
        <w:spacing w:line="360" w:lineRule="auto"/>
        <w:ind w:firstLine="480" w:firstLineChars="200"/>
        <w:rPr>
          <w:color w:val="000000"/>
          <w:sz w:val="24"/>
        </w:rPr>
      </w:pPr>
      <w:r>
        <w:rPr>
          <w:rFonts w:hint="eastAsia"/>
          <w:color w:val="000000"/>
          <w:sz w:val="24"/>
        </w:rPr>
        <w:t>出租汽车运营标准规定的夜间起止时间段（不含终止时刻）。</w:t>
      </w:r>
    </w:p>
    <w:p>
      <w:pPr>
        <w:pStyle w:val="8"/>
        <w:snapToGrid w:val="0"/>
        <w:spacing w:line="360" w:lineRule="auto"/>
        <w:ind w:firstLine="480" w:firstLineChars="200"/>
        <w:rPr>
          <w:color w:val="000000"/>
          <w:sz w:val="24"/>
        </w:rPr>
      </w:pPr>
      <w:r>
        <w:rPr>
          <w:color w:val="000000"/>
          <w:sz w:val="24"/>
        </w:rPr>
        <w:t>[</w:t>
      </w:r>
      <w:r>
        <w:rPr>
          <w:rFonts w:hint="eastAsia"/>
          <w:color w:val="000000"/>
          <w:sz w:val="24"/>
        </w:rPr>
        <w:t xml:space="preserve"> </w:t>
      </w:r>
      <w:r>
        <w:rPr>
          <w:color w:val="000000"/>
          <w:sz w:val="24"/>
        </w:rPr>
        <w:t>JJG 517-2016</w:t>
      </w:r>
      <w:r>
        <w:rPr>
          <w:rFonts w:hint="eastAsia"/>
          <w:color w:val="000000"/>
          <w:sz w:val="24"/>
        </w:rPr>
        <w:t>，</w:t>
      </w:r>
      <w:r>
        <w:rPr>
          <w:color w:val="000000"/>
          <w:sz w:val="24"/>
        </w:rPr>
        <w:t>3.9</w:t>
      </w:r>
      <w:r>
        <w:rPr>
          <w:rFonts w:hint="eastAsia"/>
          <w:color w:val="000000"/>
          <w:sz w:val="24"/>
        </w:rPr>
        <w:t xml:space="preserve"> </w:t>
      </w:r>
      <w:r>
        <w:rPr>
          <w:color w:val="000000"/>
          <w:sz w:val="24"/>
        </w:rPr>
        <w:t>]</w:t>
      </w:r>
    </w:p>
    <w:p>
      <w:pPr>
        <w:pStyle w:val="3"/>
        <w:snapToGrid w:val="0"/>
        <w:spacing w:line="360" w:lineRule="auto"/>
        <w:ind w:firstLine="0"/>
        <w:jc w:val="both"/>
        <w:rPr>
          <w:rFonts w:ascii="Times New Roman"/>
          <w:i w:val="0"/>
          <w:color w:val="000000"/>
          <w:sz w:val="24"/>
          <w:szCs w:val="24"/>
        </w:rPr>
      </w:pPr>
      <w:bookmarkStart w:id="38" w:name="_Toc85663477"/>
      <w:r>
        <w:rPr>
          <w:rFonts w:hint="eastAsia" w:ascii="Times New Roman"/>
          <w:i w:val="0"/>
          <w:color w:val="000000"/>
          <w:sz w:val="24"/>
          <w:szCs w:val="28"/>
        </w:rPr>
        <w:t>3</w:t>
      </w:r>
      <w:r>
        <w:rPr>
          <w:rFonts w:ascii="Times New Roman"/>
          <w:i w:val="0"/>
          <w:color w:val="000000"/>
          <w:sz w:val="24"/>
          <w:szCs w:val="28"/>
        </w:rPr>
        <w:t>.10</w:t>
      </w:r>
      <w:r>
        <w:rPr>
          <w:rFonts w:hint="eastAsia" w:ascii="Times New Roman"/>
          <w:i w:val="0"/>
          <w:color w:val="000000"/>
          <w:sz w:val="24"/>
          <w:szCs w:val="28"/>
        </w:rPr>
        <w:t xml:space="preserve"> </w:t>
      </w:r>
      <w:r>
        <w:rPr>
          <w:rFonts w:hint="eastAsia" w:ascii="Times New Roman"/>
          <w:i w:val="0"/>
          <w:color w:val="000000"/>
          <w:sz w:val="24"/>
          <w:szCs w:val="24"/>
        </w:rPr>
        <w:t>基本单价  basic price</w:t>
      </w:r>
      <w:bookmarkEnd w:id="38"/>
    </w:p>
    <w:p>
      <w:pPr>
        <w:pStyle w:val="8"/>
        <w:snapToGrid w:val="0"/>
        <w:spacing w:line="360" w:lineRule="auto"/>
        <w:ind w:firstLine="480" w:firstLineChars="200"/>
        <w:rPr>
          <w:color w:val="000000"/>
          <w:sz w:val="24"/>
        </w:rPr>
      </w:pPr>
      <w:r>
        <w:rPr>
          <w:rFonts w:hint="eastAsia"/>
          <w:color w:val="000000"/>
          <w:sz w:val="24"/>
        </w:rPr>
        <w:t>出租汽车不含加价的每公里租金。</w:t>
      </w:r>
    </w:p>
    <w:p>
      <w:pPr>
        <w:pStyle w:val="8"/>
        <w:snapToGrid w:val="0"/>
        <w:spacing w:line="360" w:lineRule="auto"/>
        <w:ind w:firstLine="480" w:firstLineChars="200"/>
        <w:rPr>
          <w:color w:val="000000"/>
          <w:sz w:val="24"/>
        </w:rPr>
      </w:pPr>
      <w:r>
        <w:rPr>
          <w:color w:val="000000"/>
          <w:sz w:val="24"/>
        </w:rPr>
        <w:t>[</w:t>
      </w:r>
      <w:r>
        <w:rPr>
          <w:rFonts w:hint="eastAsia"/>
          <w:color w:val="000000"/>
          <w:sz w:val="24"/>
        </w:rPr>
        <w:t xml:space="preserve"> </w:t>
      </w:r>
      <w:r>
        <w:rPr>
          <w:color w:val="000000"/>
          <w:sz w:val="24"/>
        </w:rPr>
        <w:t>JJG 517-2016</w:t>
      </w:r>
      <w:r>
        <w:rPr>
          <w:rFonts w:hint="eastAsia"/>
          <w:color w:val="000000"/>
          <w:sz w:val="24"/>
        </w:rPr>
        <w:t>，</w:t>
      </w:r>
      <w:r>
        <w:rPr>
          <w:color w:val="000000"/>
          <w:sz w:val="24"/>
        </w:rPr>
        <w:t>3.10</w:t>
      </w:r>
      <w:r>
        <w:rPr>
          <w:rFonts w:hint="eastAsia"/>
          <w:color w:val="000000"/>
          <w:sz w:val="24"/>
        </w:rPr>
        <w:t xml:space="preserve"> </w:t>
      </w:r>
      <w:r>
        <w:rPr>
          <w:color w:val="000000"/>
          <w:sz w:val="24"/>
        </w:rPr>
        <w:t>]</w:t>
      </w:r>
    </w:p>
    <w:p>
      <w:pPr>
        <w:pStyle w:val="3"/>
        <w:snapToGrid w:val="0"/>
        <w:spacing w:line="360" w:lineRule="auto"/>
        <w:ind w:firstLine="0"/>
        <w:jc w:val="both"/>
        <w:rPr>
          <w:rFonts w:ascii="Times New Roman"/>
          <w:i w:val="0"/>
          <w:color w:val="000000"/>
          <w:sz w:val="24"/>
          <w:szCs w:val="24"/>
        </w:rPr>
      </w:pPr>
      <w:bookmarkStart w:id="39" w:name="_Toc85663478"/>
      <w:r>
        <w:rPr>
          <w:rFonts w:hint="eastAsia" w:ascii="Times New Roman"/>
          <w:i w:val="0"/>
          <w:color w:val="000000"/>
          <w:sz w:val="24"/>
          <w:szCs w:val="28"/>
        </w:rPr>
        <w:t>3</w:t>
      </w:r>
      <w:r>
        <w:rPr>
          <w:rFonts w:ascii="Times New Roman"/>
          <w:i w:val="0"/>
          <w:color w:val="000000"/>
          <w:sz w:val="24"/>
          <w:szCs w:val="28"/>
        </w:rPr>
        <w:t>.11</w:t>
      </w:r>
      <w:r>
        <w:rPr>
          <w:rFonts w:hint="eastAsia" w:ascii="Times New Roman"/>
          <w:i w:val="0"/>
          <w:color w:val="000000"/>
          <w:sz w:val="24"/>
          <w:szCs w:val="28"/>
        </w:rPr>
        <w:t xml:space="preserve"> </w:t>
      </w:r>
      <w:r>
        <w:rPr>
          <w:rFonts w:hint="eastAsia" w:ascii="Times New Roman"/>
          <w:i w:val="0"/>
          <w:color w:val="000000"/>
          <w:sz w:val="24"/>
          <w:szCs w:val="24"/>
        </w:rPr>
        <w:t>单价  price</w:t>
      </w:r>
      <w:bookmarkEnd w:id="39"/>
    </w:p>
    <w:p>
      <w:pPr>
        <w:pStyle w:val="8"/>
        <w:snapToGrid w:val="0"/>
        <w:spacing w:line="360" w:lineRule="auto"/>
        <w:ind w:firstLine="480" w:firstLineChars="200"/>
        <w:rPr>
          <w:color w:val="000000"/>
          <w:sz w:val="24"/>
        </w:rPr>
      </w:pPr>
      <w:r>
        <w:rPr>
          <w:rFonts w:hint="eastAsia"/>
          <w:color w:val="000000"/>
          <w:sz w:val="24"/>
        </w:rPr>
        <w:t>出租汽车含加价的每公里租金。</w:t>
      </w:r>
    </w:p>
    <w:p>
      <w:pPr>
        <w:pStyle w:val="8"/>
        <w:snapToGrid w:val="0"/>
        <w:spacing w:line="360" w:lineRule="auto"/>
        <w:ind w:firstLine="480" w:firstLineChars="200"/>
        <w:rPr>
          <w:color w:val="000000"/>
          <w:sz w:val="24"/>
        </w:rPr>
      </w:pPr>
      <w:r>
        <w:rPr>
          <w:color w:val="000000"/>
          <w:sz w:val="24"/>
        </w:rPr>
        <w:t>[</w:t>
      </w:r>
      <w:r>
        <w:rPr>
          <w:rFonts w:hint="eastAsia"/>
          <w:color w:val="000000"/>
          <w:sz w:val="24"/>
        </w:rPr>
        <w:t xml:space="preserve"> </w:t>
      </w:r>
      <w:r>
        <w:rPr>
          <w:color w:val="000000"/>
          <w:sz w:val="24"/>
        </w:rPr>
        <w:t>JJG 517-2016</w:t>
      </w:r>
      <w:r>
        <w:rPr>
          <w:rFonts w:hint="eastAsia"/>
          <w:color w:val="000000"/>
          <w:sz w:val="24"/>
        </w:rPr>
        <w:t>，</w:t>
      </w:r>
      <w:r>
        <w:rPr>
          <w:color w:val="000000"/>
          <w:sz w:val="24"/>
        </w:rPr>
        <w:t>3.11</w:t>
      </w:r>
      <w:r>
        <w:rPr>
          <w:rFonts w:hint="eastAsia"/>
          <w:color w:val="000000"/>
          <w:sz w:val="24"/>
        </w:rPr>
        <w:t xml:space="preserve"> </w:t>
      </w:r>
      <w:r>
        <w:rPr>
          <w:color w:val="000000"/>
          <w:sz w:val="24"/>
        </w:rPr>
        <w:t>]</w:t>
      </w:r>
    </w:p>
    <w:p>
      <w:pPr>
        <w:pStyle w:val="3"/>
        <w:snapToGrid w:val="0"/>
        <w:spacing w:line="360" w:lineRule="auto"/>
        <w:ind w:firstLine="0"/>
        <w:jc w:val="both"/>
        <w:rPr>
          <w:rFonts w:ascii="Times New Roman"/>
          <w:i w:val="0"/>
          <w:color w:val="000000"/>
          <w:sz w:val="24"/>
          <w:szCs w:val="24"/>
        </w:rPr>
      </w:pPr>
      <w:bookmarkStart w:id="40" w:name="_Toc85663479"/>
      <w:r>
        <w:rPr>
          <w:rFonts w:hint="eastAsia" w:ascii="Times New Roman"/>
          <w:i w:val="0"/>
          <w:color w:val="000000"/>
          <w:sz w:val="24"/>
          <w:szCs w:val="28"/>
        </w:rPr>
        <w:t>3</w:t>
      </w:r>
      <w:r>
        <w:rPr>
          <w:rFonts w:ascii="Times New Roman"/>
          <w:i w:val="0"/>
          <w:color w:val="000000"/>
          <w:sz w:val="24"/>
          <w:szCs w:val="28"/>
        </w:rPr>
        <w:t>.12</w:t>
      </w:r>
      <w:r>
        <w:rPr>
          <w:rFonts w:hint="eastAsia" w:ascii="Times New Roman"/>
          <w:i w:val="0"/>
          <w:color w:val="000000"/>
          <w:sz w:val="24"/>
          <w:szCs w:val="28"/>
        </w:rPr>
        <w:t xml:space="preserve"> </w:t>
      </w:r>
      <w:r>
        <w:rPr>
          <w:rFonts w:hint="eastAsia" w:ascii="Times New Roman"/>
          <w:i w:val="0"/>
          <w:color w:val="000000"/>
          <w:sz w:val="24"/>
          <w:szCs w:val="24"/>
        </w:rPr>
        <w:t>起程  start mileage</w:t>
      </w:r>
      <w:bookmarkEnd w:id="40"/>
    </w:p>
    <w:p>
      <w:pPr>
        <w:pStyle w:val="8"/>
        <w:snapToGrid w:val="0"/>
        <w:spacing w:line="360" w:lineRule="auto"/>
        <w:ind w:firstLine="480" w:firstLineChars="200"/>
        <w:rPr>
          <w:color w:val="000000"/>
          <w:sz w:val="24"/>
        </w:rPr>
      </w:pPr>
      <w:r>
        <w:rPr>
          <w:rFonts w:hint="eastAsia"/>
          <w:color w:val="000000"/>
          <w:sz w:val="24"/>
        </w:rPr>
        <w:t>出租汽车的最低计价里程。</w:t>
      </w:r>
    </w:p>
    <w:p>
      <w:pPr>
        <w:pStyle w:val="8"/>
        <w:snapToGrid w:val="0"/>
        <w:spacing w:line="360" w:lineRule="auto"/>
        <w:ind w:firstLine="480" w:firstLineChars="200"/>
        <w:rPr>
          <w:color w:val="000000"/>
          <w:sz w:val="24"/>
        </w:rPr>
      </w:pPr>
      <w:r>
        <w:rPr>
          <w:color w:val="000000"/>
          <w:sz w:val="24"/>
        </w:rPr>
        <w:t>[</w:t>
      </w:r>
      <w:r>
        <w:rPr>
          <w:rFonts w:hint="eastAsia"/>
          <w:color w:val="000000"/>
          <w:sz w:val="24"/>
        </w:rPr>
        <w:t xml:space="preserve"> </w:t>
      </w:r>
      <w:r>
        <w:rPr>
          <w:color w:val="000000"/>
          <w:sz w:val="24"/>
        </w:rPr>
        <w:t>JJG 517-2016</w:t>
      </w:r>
      <w:r>
        <w:rPr>
          <w:rFonts w:hint="eastAsia"/>
          <w:color w:val="000000"/>
          <w:sz w:val="24"/>
        </w:rPr>
        <w:t>，</w:t>
      </w:r>
      <w:r>
        <w:rPr>
          <w:color w:val="000000"/>
          <w:sz w:val="24"/>
        </w:rPr>
        <w:t>3.12</w:t>
      </w:r>
      <w:r>
        <w:rPr>
          <w:rFonts w:hint="eastAsia"/>
          <w:color w:val="000000"/>
          <w:sz w:val="24"/>
        </w:rPr>
        <w:t xml:space="preserve"> </w:t>
      </w:r>
      <w:r>
        <w:rPr>
          <w:color w:val="000000"/>
          <w:sz w:val="24"/>
        </w:rPr>
        <w:t>]</w:t>
      </w:r>
    </w:p>
    <w:p>
      <w:pPr>
        <w:pStyle w:val="3"/>
        <w:snapToGrid w:val="0"/>
        <w:spacing w:line="360" w:lineRule="auto"/>
        <w:ind w:firstLine="0"/>
        <w:jc w:val="both"/>
        <w:rPr>
          <w:rFonts w:ascii="Times New Roman"/>
          <w:i w:val="0"/>
          <w:color w:val="000000"/>
          <w:sz w:val="24"/>
          <w:szCs w:val="24"/>
        </w:rPr>
      </w:pPr>
      <w:bookmarkStart w:id="41" w:name="_Toc85663480"/>
      <w:r>
        <w:rPr>
          <w:rFonts w:hint="eastAsia" w:ascii="Times New Roman"/>
          <w:i w:val="0"/>
          <w:color w:val="000000"/>
          <w:sz w:val="24"/>
          <w:szCs w:val="28"/>
        </w:rPr>
        <w:t>3</w:t>
      </w:r>
      <w:r>
        <w:rPr>
          <w:rFonts w:ascii="Times New Roman"/>
          <w:i w:val="0"/>
          <w:color w:val="000000"/>
          <w:sz w:val="24"/>
          <w:szCs w:val="28"/>
        </w:rPr>
        <w:t>.13</w:t>
      </w:r>
      <w:r>
        <w:rPr>
          <w:rFonts w:hint="eastAsia" w:ascii="Times New Roman"/>
          <w:i w:val="0"/>
          <w:color w:val="000000"/>
          <w:sz w:val="24"/>
          <w:szCs w:val="28"/>
        </w:rPr>
        <w:t xml:space="preserve"> </w:t>
      </w:r>
      <w:r>
        <w:rPr>
          <w:rFonts w:hint="eastAsia" w:ascii="Times New Roman"/>
          <w:i w:val="0"/>
          <w:color w:val="000000"/>
          <w:sz w:val="24"/>
          <w:szCs w:val="24"/>
        </w:rPr>
        <w:t>续程  increase mileage</w:t>
      </w:r>
      <w:bookmarkEnd w:id="41"/>
    </w:p>
    <w:p>
      <w:pPr>
        <w:pStyle w:val="8"/>
        <w:snapToGrid w:val="0"/>
        <w:spacing w:line="360" w:lineRule="auto"/>
        <w:ind w:firstLine="480" w:firstLineChars="200"/>
        <w:rPr>
          <w:color w:val="000000"/>
          <w:sz w:val="24"/>
        </w:rPr>
      </w:pPr>
      <w:r>
        <w:rPr>
          <w:rFonts w:hint="eastAsia"/>
          <w:color w:val="000000"/>
          <w:sz w:val="24"/>
        </w:rPr>
        <w:t>出租汽车到达起程后计价的最小里程。</w:t>
      </w:r>
    </w:p>
    <w:p>
      <w:pPr>
        <w:pStyle w:val="8"/>
        <w:snapToGrid w:val="0"/>
        <w:spacing w:line="360" w:lineRule="auto"/>
        <w:ind w:firstLine="480" w:firstLineChars="200"/>
        <w:rPr>
          <w:color w:val="000000"/>
          <w:sz w:val="24"/>
        </w:rPr>
      </w:pPr>
      <w:r>
        <w:rPr>
          <w:color w:val="000000"/>
          <w:sz w:val="24"/>
        </w:rPr>
        <w:t>[</w:t>
      </w:r>
      <w:r>
        <w:rPr>
          <w:rFonts w:hint="eastAsia"/>
          <w:color w:val="000000"/>
          <w:sz w:val="24"/>
        </w:rPr>
        <w:t xml:space="preserve"> </w:t>
      </w:r>
      <w:r>
        <w:rPr>
          <w:color w:val="000000"/>
          <w:sz w:val="24"/>
        </w:rPr>
        <w:t>JJG 517-2016</w:t>
      </w:r>
      <w:r>
        <w:rPr>
          <w:rFonts w:hint="eastAsia"/>
          <w:color w:val="000000"/>
          <w:sz w:val="24"/>
        </w:rPr>
        <w:t>，</w:t>
      </w:r>
      <w:r>
        <w:rPr>
          <w:color w:val="000000"/>
          <w:sz w:val="24"/>
        </w:rPr>
        <w:t>3.13</w:t>
      </w:r>
      <w:r>
        <w:rPr>
          <w:rFonts w:hint="eastAsia"/>
          <w:color w:val="000000"/>
          <w:sz w:val="24"/>
        </w:rPr>
        <w:t xml:space="preserve"> </w:t>
      </w:r>
      <w:r>
        <w:rPr>
          <w:color w:val="000000"/>
          <w:sz w:val="24"/>
        </w:rPr>
        <w:t>]</w:t>
      </w:r>
    </w:p>
    <w:p>
      <w:pPr>
        <w:pStyle w:val="3"/>
        <w:snapToGrid w:val="0"/>
        <w:spacing w:line="360" w:lineRule="auto"/>
        <w:ind w:firstLine="0"/>
        <w:jc w:val="both"/>
        <w:rPr>
          <w:rFonts w:ascii="Times New Roman"/>
          <w:i w:val="0"/>
          <w:color w:val="000000"/>
          <w:sz w:val="24"/>
          <w:szCs w:val="24"/>
        </w:rPr>
      </w:pPr>
      <w:bookmarkStart w:id="42" w:name="_Toc85663481"/>
      <w:r>
        <w:rPr>
          <w:rFonts w:hint="eastAsia" w:ascii="Times New Roman"/>
          <w:i w:val="0"/>
          <w:color w:val="000000"/>
          <w:sz w:val="24"/>
          <w:szCs w:val="28"/>
        </w:rPr>
        <w:t>3</w:t>
      </w:r>
      <w:r>
        <w:rPr>
          <w:rFonts w:ascii="Times New Roman"/>
          <w:i w:val="0"/>
          <w:color w:val="000000"/>
          <w:sz w:val="24"/>
          <w:szCs w:val="28"/>
        </w:rPr>
        <w:t>.14</w:t>
      </w:r>
      <w:r>
        <w:rPr>
          <w:rFonts w:hint="eastAsia" w:ascii="Times New Roman"/>
          <w:i w:val="0"/>
          <w:color w:val="000000"/>
          <w:sz w:val="24"/>
          <w:szCs w:val="28"/>
        </w:rPr>
        <w:t xml:space="preserve"> </w:t>
      </w:r>
      <w:r>
        <w:rPr>
          <w:rFonts w:hint="eastAsia" w:ascii="Times New Roman"/>
          <w:i w:val="0"/>
          <w:color w:val="000000"/>
          <w:sz w:val="24"/>
          <w:szCs w:val="24"/>
        </w:rPr>
        <w:t>计程  distance-counting</w:t>
      </w:r>
      <w:bookmarkEnd w:id="42"/>
    </w:p>
    <w:p>
      <w:pPr>
        <w:pStyle w:val="8"/>
        <w:snapToGrid w:val="0"/>
        <w:spacing w:line="360" w:lineRule="auto"/>
        <w:ind w:firstLine="480" w:firstLineChars="200"/>
        <w:rPr>
          <w:color w:val="000000"/>
          <w:sz w:val="24"/>
        </w:rPr>
      </w:pPr>
      <w:r>
        <w:rPr>
          <w:rFonts w:hint="eastAsia"/>
          <w:color w:val="000000"/>
          <w:sz w:val="24"/>
        </w:rPr>
        <w:t>出租汽车重车状态下计价的里程。</w:t>
      </w:r>
    </w:p>
    <w:p>
      <w:pPr>
        <w:pStyle w:val="8"/>
        <w:snapToGrid w:val="0"/>
        <w:spacing w:line="360" w:lineRule="auto"/>
        <w:ind w:firstLine="480" w:firstLineChars="200"/>
        <w:rPr>
          <w:color w:val="000000"/>
          <w:sz w:val="24"/>
        </w:rPr>
      </w:pPr>
      <w:r>
        <w:rPr>
          <w:color w:val="000000"/>
          <w:sz w:val="24"/>
        </w:rPr>
        <w:t>[</w:t>
      </w:r>
      <w:r>
        <w:rPr>
          <w:rFonts w:hint="eastAsia"/>
          <w:color w:val="000000"/>
          <w:sz w:val="24"/>
        </w:rPr>
        <w:t xml:space="preserve"> </w:t>
      </w:r>
      <w:r>
        <w:rPr>
          <w:color w:val="000000"/>
          <w:sz w:val="24"/>
        </w:rPr>
        <w:t>JJG 517-2016</w:t>
      </w:r>
      <w:r>
        <w:rPr>
          <w:rFonts w:hint="eastAsia"/>
          <w:color w:val="000000"/>
          <w:sz w:val="24"/>
        </w:rPr>
        <w:t>，</w:t>
      </w:r>
      <w:r>
        <w:rPr>
          <w:color w:val="000000"/>
          <w:sz w:val="24"/>
        </w:rPr>
        <w:t>3.14</w:t>
      </w:r>
      <w:r>
        <w:rPr>
          <w:rFonts w:hint="eastAsia"/>
          <w:color w:val="000000"/>
          <w:sz w:val="24"/>
        </w:rPr>
        <w:t xml:space="preserve"> </w:t>
      </w:r>
      <w:r>
        <w:rPr>
          <w:color w:val="000000"/>
          <w:sz w:val="24"/>
        </w:rPr>
        <w:t>]</w:t>
      </w:r>
    </w:p>
    <w:p>
      <w:pPr>
        <w:pStyle w:val="3"/>
        <w:snapToGrid w:val="0"/>
        <w:spacing w:line="360" w:lineRule="auto"/>
        <w:ind w:firstLine="0"/>
        <w:jc w:val="both"/>
        <w:rPr>
          <w:rFonts w:ascii="Times New Roman"/>
          <w:i w:val="0"/>
          <w:color w:val="000000"/>
          <w:sz w:val="24"/>
          <w:szCs w:val="24"/>
        </w:rPr>
      </w:pPr>
      <w:bookmarkStart w:id="43" w:name="_Toc85663482"/>
      <w:r>
        <w:rPr>
          <w:rFonts w:hint="eastAsia" w:ascii="Times New Roman"/>
          <w:i w:val="0"/>
          <w:color w:val="000000"/>
          <w:sz w:val="24"/>
          <w:szCs w:val="28"/>
        </w:rPr>
        <w:t>3</w:t>
      </w:r>
      <w:r>
        <w:rPr>
          <w:rFonts w:ascii="Times New Roman"/>
          <w:i w:val="0"/>
          <w:color w:val="000000"/>
          <w:sz w:val="24"/>
          <w:szCs w:val="28"/>
        </w:rPr>
        <w:t>.15</w:t>
      </w:r>
      <w:r>
        <w:rPr>
          <w:rFonts w:hint="eastAsia" w:ascii="Times New Roman"/>
          <w:i w:val="0"/>
          <w:color w:val="000000"/>
          <w:sz w:val="24"/>
          <w:szCs w:val="28"/>
        </w:rPr>
        <w:t xml:space="preserve"> </w:t>
      </w:r>
      <w:r>
        <w:rPr>
          <w:rFonts w:hint="eastAsia" w:ascii="Times New Roman"/>
          <w:i w:val="0"/>
          <w:color w:val="000000"/>
          <w:sz w:val="24"/>
          <w:szCs w:val="24"/>
        </w:rPr>
        <w:t>计时  time-counting</w:t>
      </w:r>
      <w:bookmarkEnd w:id="43"/>
    </w:p>
    <w:p>
      <w:pPr>
        <w:pStyle w:val="8"/>
        <w:snapToGrid w:val="0"/>
        <w:spacing w:line="360" w:lineRule="auto"/>
        <w:ind w:firstLine="480" w:firstLineChars="200"/>
        <w:rPr>
          <w:color w:val="000000"/>
          <w:sz w:val="24"/>
        </w:rPr>
      </w:pPr>
      <w:r>
        <w:rPr>
          <w:rFonts w:hint="eastAsia"/>
          <w:color w:val="000000"/>
          <w:sz w:val="24"/>
        </w:rPr>
        <w:t>出租汽车重车低速状态时计价的时间。</w:t>
      </w:r>
    </w:p>
    <w:p>
      <w:pPr>
        <w:pStyle w:val="8"/>
        <w:snapToGrid w:val="0"/>
        <w:spacing w:line="360" w:lineRule="auto"/>
        <w:ind w:firstLine="480" w:firstLineChars="200"/>
        <w:rPr>
          <w:color w:val="000000"/>
          <w:sz w:val="24"/>
        </w:rPr>
      </w:pPr>
      <w:r>
        <w:rPr>
          <w:color w:val="000000"/>
          <w:sz w:val="24"/>
        </w:rPr>
        <w:t>[</w:t>
      </w:r>
      <w:r>
        <w:rPr>
          <w:rFonts w:hint="eastAsia"/>
          <w:color w:val="000000"/>
          <w:sz w:val="24"/>
        </w:rPr>
        <w:t xml:space="preserve"> </w:t>
      </w:r>
      <w:r>
        <w:rPr>
          <w:color w:val="000000"/>
          <w:sz w:val="24"/>
        </w:rPr>
        <w:t>JJG 517-2016</w:t>
      </w:r>
      <w:r>
        <w:rPr>
          <w:rFonts w:hint="eastAsia"/>
          <w:color w:val="000000"/>
          <w:sz w:val="24"/>
        </w:rPr>
        <w:t>，</w:t>
      </w:r>
      <w:r>
        <w:rPr>
          <w:color w:val="000000"/>
          <w:sz w:val="24"/>
        </w:rPr>
        <w:t>3.15</w:t>
      </w:r>
      <w:r>
        <w:rPr>
          <w:rFonts w:hint="eastAsia"/>
          <w:color w:val="000000"/>
          <w:sz w:val="24"/>
        </w:rPr>
        <w:t xml:space="preserve"> </w:t>
      </w:r>
      <w:r>
        <w:rPr>
          <w:color w:val="000000"/>
          <w:sz w:val="24"/>
        </w:rPr>
        <w:t>]</w:t>
      </w:r>
    </w:p>
    <w:p>
      <w:pPr>
        <w:pStyle w:val="3"/>
        <w:snapToGrid w:val="0"/>
        <w:spacing w:line="360" w:lineRule="auto"/>
        <w:ind w:firstLine="0"/>
        <w:jc w:val="both"/>
        <w:rPr>
          <w:rFonts w:ascii="Times New Roman"/>
          <w:i w:val="0"/>
          <w:color w:val="000000"/>
          <w:sz w:val="24"/>
          <w:szCs w:val="24"/>
        </w:rPr>
      </w:pPr>
      <w:bookmarkStart w:id="44" w:name="_Toc85663483"/>
      <w:r>
        <w:rPr>
          <w:rFonts w:hint="eastAsia" w:ascii="Times New Roman"/>
          <w:i w:val="0"/>
          <w:color w:val="000000"/>
          <w:sz w:val="24"/>
          <w:szCs w:val="28"/>
        </w:rPr>
        <w:t>3</w:t>
      </w:r>
      <w:r>
        <w:rPr>
          <w:rFonts w:ascii="Times New Roman"/>
          <w:i w:val="0"/>
          <w:color w:val="000000"/>
          <w:sz w:val="24"/>
          <w:szCs w:val="28"/>
        </w:rPr>
        <w:t>.1</w:t>
      </w:r>
      <w:r>
        <w:rPr>
          <w:rFonts w:hint="eastAsia" w:ascii="Times New Roman"/>
          <w:i w:val="0"/>
          <w:color w:val="000000"/>
          <w:sz w:val="24"/>
          <w:szCs w:val="28"/>
        </w:rPr>
        <w:t xml:space="preserve">6 </w:t>
      </w:r>
      <w:r>
        <w:rPr>
          <w:rFonts w:hint="eastAsia" w:ascii="Times New Roman"/>
          <w:i w:val="0"/>
          <w:color w:val="000000"/>
          <w:sz w:val="24"/>
          <w:szCs w:val="24"/>
        </w:rPr>
        <w:t>单程（里贴） one-way</w:t>
      </w:r>
      <w:bookmarkEnd w:id="44"/>
    </w:p>
    <w:p>
      <w:pPr>
        <w:pStyle w:val="8"/>
        <w:snapToGrid w:val="0"/>
        <w:spacing w:line="360" w:lineRule="auto"/>
        <w:ind w:firstLine="480" w:firstLineChars="200"/>
        <w:rPr>
          <w:color w:val="000000"/>
          <w:sz w:val="24"/>
        </w:rPr>
      </w:pPr>
      <w:r>
        <w:rPr>
          <w:rFonts w:hint="eastAsia"/>
          <w:color w:val="000000"/>
          <w:sz w:val="24"/>
        </w:rPr>
        <w:t>租用出租汽车从起点到目的地的运营收费方式。</w:t>
      </w:r>
    </w:p>
    <w:p>
      <w:pPr>
        <w:pStyle w:val="8"/>
        <w:snapToGrid w:val="0"/>
        <w:spacing w:line="360" w:lineRule="auto"/>
        <w:ind w:firstLine="480" w:firstLineChars="200"/>
        <w:rPr>
          <w:color w:val="000000"/>
          <w:sz w:val="24"/>
        </w:rPr>
      </w:pPr>
      <w:r>
        <w:rPr>
          <w:color w:val="000000"/>
          <w:sz w:val="24"/>
        </w:rPr>
        <w:t>[</w:t>
      </w:r>
      <w:r>
        <w:rPr>
          <w:rFonts w:hint="eastAsia"/>
          <w:color w:val="000000"/>
          <w:sz w:val="24"/>
        </w:rPr>
        <w:t xml:space="preserve"> </w:t>
      </w:r>
      <w:r>
        <w:rPr>
          <w:color w:val="000000"/>
          <w:sz w:val="24"/>
        </w:rPr>
        <w:t>JJG 517-2016</w:t>
      </w:r>
      <w:r>
        <w:rPr>
          <w:rFonts w:hint="eastAsia"/>
          <w:color w:val="000000"/>
          <w:sz w:val="24"/>
        </w:rPr>
        <w:t>，</w:t>
      </w:r>
      <w:r>
        <w:rPr>
          <w:color w:val="000000"/>
          <w:sz w:val="24"/>
        </w:rPr>
        <w:t>3.17</w:t>
      </w:r>
      <w:r>
        <w:rPr>
          <w:rFonts w:hint="eastAsia"/>
          <w:color w:val="000000"/>
          <w:sz w:val="24"/>
        </w:rPr>
        <w:t xml:space="preserve"> </w:t>
      </w:r>
      <w:r>
        <w:rPr>
          <w:color w:val="000000"/>
          <w:sz w:val="24"/>
        </w:rPr>
        <w:t>]</w:t>
      </w:r>
    </w:p>
    <w:p>
      <w:pPr>
        <w:pStyle w:val="3"/>
        <w:snapToGrid w:val="0"/>
        <w:spacing w:line="360" w:lineRule="auto"/>
        <w:ind w:firstLine="0"/>
        <w:jc w:val="both"/>
        <w:rPr>
          <w:rFonts w:ascii="Times New Roman"/>
          <w:i w:val="0"/>
          <w:color w:val="000000"/>
          <w:sz w:val="24"/>
          <w:szCs w:val="24"/>
        </w:rPr>
      </w:pPr>
      <w:bookmarkStart w:id="45" w:name="_Toc85663484"/>
      <w:r>
        <w:rPr>
          <w:rFonts w:hint="eastAsia" w:ascii="Times New Roman"/>
          <w:i w:val="0"/>
          <w:color w:val="000000"/>
          <w:sz w:val="24"/>
          <w:szCs w:val="28"/>
        </w:rPr>
        <w:t>3</w:t>
      </w:r>
      <w:r>
        <w:rPr>
          <w:rFonts w:ascii="Times New Roman"/>
          <w:i w:val="0"/>
          <w:color w:val="000000"/>
          <w:sz w:val="24"/>
          <w:szCs w:val="28"/>
        </w:rPr>
        <w:t>.1</w:t>
      </w:r>
      <w:r>
        <w:rPr>
          <w:rFonts w:hint="eastAsia" w:ascii="Times New Roman"/>
          <w:i w:val="0"/>
          <w:color w:val="000000"/>
          <w:sz w:val="24"/>
          <w:szCs w:val="28"/>
        </w:rPr>
        <w:t xml:space="preserve">7 </w:t>
      </w:r>
      <w:r>
        <w:rPr>
          <w:rFonts w:hint="eastAsia" w:ascii="Times New Roman"/>
          <w:i w:val="0"/>
          <w:color w:val="000000"/>
          <w:sz w:val="24"/>
          <w:szCs w:val="24"/>
        </w:rPr>
        <w:t>等距法  equidistance method</w:t>
      </w:r>
      <w:bookmarkEnd w:id="45"/>
    </w:p>
    <w:p>
      <w:pPr>
        <w:pStyle w:val="8"/>
        <w:snapToGrid w:val="0"/>
        <w:spacing w:line="360" w:lineRule="auto"/>
        <w:ind w:firstLine="480" w:firstLineChars="200"/>
        <w:rPr>
          <w:color w:val="000000"/>
          <w:sz w:val="24"/>
        </w:rPr>
      </w:pPr>
      <w:r>
        <w:rPr>
          <w:rFonts w:hint="eastAsia"/>
          <w:color w:val="000000"/>
          <w:sz w:val="24"/>
        </w:rPr>
        <w:t>以单位里程为定值，租金为变量的网联计价器计费程序设计方法。</w:t>
      </w:r>
    </w:p>
    <w:p>
      <w:pPr>
        <w:pStyle w:val="8"/>
        <w:snapToGrid w:val="0"/>
        <w:spacing w:line="360" w:lineRule="auto"/>
        <w:ind w:firstLine="480" w:firstLineChars="200"/>
        <w:rPr>
          <w:color w:val="000000"/>
          <w:sz w:val="24"/>
        </w:rPr>
      </w:pPr>
      <w:r>
        <w:rPr>
          <w:color w:val="000000"/>
          <w:sz w:val="24"/>
        </w:rPr>
        <w:t>[</w:t>
      </w:r>
      <w:r>
        <w:rPr>
          <w:rFonts w:hint="eastAsia"/>
          <w:color w:val="000000"/>
          <w:sz w:val="24"/>
        </w:rPr>
        <w:t xml:space="preserve"> </w:t>
      </w:r>
      <w:r>
        <w:rPr>
          <w:color w:val="000000"/>
          <w:sz w:val="24"/>
        </w:rPr>
        <w:t>JJG 517-2016</w:t>
      </w:r>
      <w:r>
        <w:rPr>
          <w:rFonts w:hint="eastAsia"/>
          <w:color w:val="000000"/>
          <w:sz w:val="24"/>
        </w:rPr>
        <w:t>，</w:t>
      </w:r>
      <w:r>
        <w:rPr>
          <w:color w:val="000000"/>
          <w:sz w:val="24"/>
        </w:rPr>
        <w:t>3.19</w:t>
      </w:r>
      <w:r>
        <w:rPr>
          <w:rFonts w:hint="eastAsia"/>
          <w:color w:val="000000"/>
          <w:sz w:val="24"/>
        </w:rPr>
        <w:t xml:space="preserve"> </w:t>
      </w:r>
      <w:r>
        <w:rPr>
          <w:color w:val="000000"/>
          <w:sz w:val="24"/>
        </w:rPr>
        <w:t>]</w:t>
      </w:r>
    </w:p>
    <w:p>
      <w:pPr>
        <w:pStyle w:val="3"/>
        <w:snapToGrid w:val="0"/>
        <w:spacing w:line="360" w:lineRule="auto"/>
        <w:ind w:firstLine="0"/>
        <w:jc w:val="both"/>
        <w:rPr>
          <w:rFonts w:ascii="Times New Roman"/>
          <w:i w:val="0"/>
          <w:color w:val="000000"/>
          <w:sz w:val="24"/>
          <w:szCs w:val="24"/>
        </w:rPr>
      </w:pPr>
      <w:bookmarkStart w:id="46" w:name="_Toc85663485"/>
      <w:r>
        <w:rPr>
          <w:rFonts w:hint="eastAsia" w:ascii="Times New Roman"/>
          <w:i w:val="0"/>
          <w:color w:val="000000"/>
          <w:sz w:val="24"/>
          <w:szCs w:val="28"/>
        </w:rPr>
        <w:t>3</w:t>
      </w:r>
      <w:r>
        <w:rPr>
          <w:rFonts w:ascii="Times New Roman"/>
          <w:i w:val="0"/>
          <w:color w:val="000000"/>
          <w:sz w:val="24"/>
          <w:szCs w:val="28"/>
        </w:rPr>
        <w:t>.1</w:t>
      </w:r>
      <w:r>
        <w:rPr>
          <w:rFonts w:hint="eastAsia" w:ascii="Times New Roman"/>
          <w:i w:val="0"/>
          <w:color w:val="000000"/>
          <w:sz w:val="24"/>
          <w:szCs w:val="28"/>
        </w:rPr>
        <w:t xml:space="preserve">8 </w:t>
      </w:r>
      <w:r>
        <w:rPr>
          <w:rFonts w:hint="eastAsia" w:ascii="Times New Roman"/>
          <w:i w:val="0"/>
          <w:color w:val="000000"/>
          <w:sz w:val="24"/>
          <w:szCs w:val="24"/>
        </w:rPr>
        <w:t>滚轮测距法  roller ranging method</w:t>
      </w:r>
      <w:bookmarkEnd w:id="46"/>
    </w:p>
    <w:p>
      <w:pPr>
        <w:pStyle w:val="8"/>
        <w:snapToGrid w:val="0"/>
        <w:spacing w:line="360" w:lineRule="auto"/>
        <w:ind w:firstLine="480" w:firstLineChars="200"/>
        <w:rPr>
          <w:color w:val="000000"/>
          <w:sz w:val="24"/>
        </w:rPr>
      </w:pPr>
      <w:r>
        <w:rPr>
          <w:rFonts w:hint="eastAsia"/>
          <w:color w:val="000000"/>
          <w:sz w:val="24"/>
        </w:rPr>
        <w:t>在滚轮式计价器检定装置上，用滚轮通过摩擦传动的方式带动出租汽车驱动轮转动并测量出租汽车实际行驶的里程，检定装车后网联计价器计程误差的方法。</w:t>
      </w:r>
    </w:p>
    <w:p>
      <w:pPr>
        <w:pStyle w:val="8"/>
        <w:snapToGrid w:val="0"/>
        <w:spacing w:line="360" w:lineRule="auto"/>
        <w:ind w:firstLine="480" w:firstLineChars="200"/>
        <w:rPr>
          <w:color w:val="000000"/>
          <w:sz w:val="24"/>
        </w:rPr>
      </w:pPr>
      <w:r>
        <w:rPr>
          <w:color w:val="000000"/>
          <w:sz w:val="24"/>
        </w:rPr>
        <w:t>[</w:t>
      </w:r>
      <w:r>
        <w:rPr>
          <w:rFonts w:hint="eastAsia"/>
          <w:color w:val="000000"/>
          <w:sz w:val="24"/>
        </w:rPr>
        <w:t xml:space="preserve"> </w:t>
      </w:r>
      <w:r>
        <w:rPr>
          <w:color w:val="000000"/>
          <w:sz w:val="24"/>
        </w:rPr>
        <w:t>JJG 517-2016</w:t>
      </w:r>
      <w:r>
        <w:rPr>
          <w:rFonts w:hint="eastAsia"/>
          <w:color w:val="000000"/>
          <w:sz w:val="24"/>
        </w:rPr>
        <w:t>，</w:t>
      </w:r>
      <w:r>
        <w:rPr>
          <w:color w:val="000000"/>
          <w:sz w:val="24"/>
        </w:rPr>
        <w:t>3.20</w:t>
      </w:r>
      <w:r>
        <w:rPr>
          <w:rFonts w:hint="eastAsia"/>
          <w:color w:val="000000"/>
          <w:sz w:val="24"/>
        </w:rPr>
        <w:t xml:space="preserve"> ]</w:t>
      </w:r>
    </w:p>
    <w:p>
      <w:pPr>
        <w:pStyle w:val="3"/>
        <w:snapToGrid w:val="0"/>
        <w:spacing w:line="360" w:lineRule="auto"/>
        <w:ind w:firstLine="0"/>
        <w:jc w:val="both"/>
        <w:rPr>
          <w:i w:val="0"/>
        </w:rPr>
      </w:pPr>
      <w:bookmarkStart w:id="47" w:name="_Toc85663487"/>
      <w:r>
        <w:rPr>
          <w:rFonts w:hint="eastAsia" w:ascii="Times New Roman"/>
          <w:i w:val="0"/>
          <w:color w:val="000000"/>
          <w:sz w:val="24"/>
          <w:szCs w:val="28"/>
        </w:rPr>
        <w:t>3</w:t>
      </w:r>
      <w:r>
        <w:rPr>
          <w:rFonts w:ascii="Times New Roman"/>
          <w:i w:val="0"/>
          <w:color w:val="000000"/>
          <w:sz w:val="24"/>
          <w:szCs w:val="28"/>
        </w:rPr>
        <w:t>.</w:t>
      </w:r>
      <w:r>
        <w:rPr>
          <w:rFonts w:hint="eastAsia" w:ascii="Times New Roman"/>
          <w:i w:val="0"/>
          <w:color w:val="000000"/>
          <w:sz w:val="24"/>
          <w:szCs w:val="28"/>
        </w:rPr>
        <w:t>19</w:t>
      </w:r>
      <w:r>
        <w:rPr>
          <w:rFonts w:hint="eastAsia" w:ascii="Times New Roman"/>
          <w:i w:val="0"/>
          <w:color w:val="000000"/>
          <w:sz w:val="24"/>
          <w:szCs w:val="24"/>
        </w:rPr>
        <w:t>电子封印  electronic seal</w:t>
      </w:r>
      <w:bookmarkEnd w:id="47"/>
    </w:p>
    <w:p>
      <w:pPr>
        <w:pStyle w:val="8"/>
        <w:snapToGrid w:val="0"/>
        <w:spacing w:line="360" w:lineRule="auto"/>
        <w:ind w:firstLine="480" w:firstLineChars="200"/>
        <w:rPr>
          <w:color w:val="000000"/>
          <w:sz w:val="24"/>
        </w:rPr>
      </w:pPr>
      <w:r>
        <w:rPr>
          <w:rFonts w:hint="eastAsia"/>
          <w:color w:val="000000"/>
          <w:sz w:val="24"/>
        </w:rPr>
        <w:t>一种用于防止网联计价器涉及计量参数、计程计时费用计算软件以及授权人员介入操作记录等被篡改的保护措施。</w:t>
      </w:r>
    </w:p>
    <w:p>
      <w:pPr>
        <w:pStyle w:val="3"/>
        <w:snapToGrid w:val="0"/>
        <w:spacing w:line="360" w:lineRule="auto"/>
        <w:ind w:firstLine="0"/>
        <w:jc w:val="both"/>
        <w:rPr>
          <w:i w:val="0"/>
        </w:rPr>
      </w:pPr>
      <w:bookmarkStart w:id="48" w:name="_Toc85663488"/>
      <w:r>
        <w:rPr>
          <w:rFonts w:hint="eastAsia" w:ascii="Times New Roman"/>
          <w:i w:val="0"/>
          <w:color w:val="000000"/>
          <w:sz w:val="24"/>
          <w:szCs w:val="28"/>
        </w:rPr>
        <w:t>3</w:t>
      </w:r>
      <w:r>
        <w:rPr>
          <w:rFonts w:ascii="Times New Roman"/>
          <w:i w:val="0"/>
          <w:color w:val="000000"/>
          <w:sz w:val="24"/>
          <w:szCs w:val="28"/>
        </w:rPr>
        <w:t>.2</w:t>
      </w:r>
      <w:r>
        <w:rPr>
          <w:rFonts w:hint="eastAsia" w:ascii="Times New Roman"/>
          <w:i w:val="0"/>
          <w:color w:val="000000"/>
          <w:sz w:val="24"/>
          <w:szCs w:val="28"/>
        </w:rPr>
        <w:t xml:space="preserve">0 </w:t>
      </w:r>
      <w:r>
        <w:rPr>
          <w:rFonts w:hint="eastAsia" w:ascii="Times New Roman"/>
          <w:i w:val="0"/>
          <w:color w:val="000000"/>
          <w:sz w:val="24"/>
          <w:szCs w:val="24"/>
        </w:rPr>
        <w:t>电子封印系统  electronic seal system</w:t>
      </w:r>
      <w:bookmarkEnd w:id="48"/>
    </w:p>
    <w:p>
      <w:pPr>
        <w:pStyle w:val="8"/>
        <w:snapToGrid w:val="0"/>
        <w:spacing w:line="360" w:lineRule="auto"/>
        <w:ind w:firstLine="480" w:firstLineChars="200"/>
        <w:rPr>
          <w:color w:val="000000"/>
          <w:sz w:val="24"/>
        </w:rPr>
      </w:pPr>
      <w:r>
        <w:rPr>
          <w:rFonts w:hint="eastAsia"/>
          <w:color w:val="000000"/>
          <w:sz w:val="24"/>
        </w:rPr>
        <w:t>经本市计量行政主管部门授权，用于管理网联计价器电子封印的系统平台，具有施加与移除电子封印的功能。</w:t>
      </w:r>
    </w:p>
    <w:p>
      <w:pPr>
        <w:pStyle w:val="3"/>
        <w:snapToGrid w:val="0"/>
        <w:spacing w:line="360" w:lineRule="auto"/>
        <w:ind w:firstLine="0"/>
        <w:jc w:val="both"/>
        <w:rPr>
          <w:i w:val="0"/>
        </w:rPr>
      </w:pPr>
      <w:r>
        <w:rPr>
          <w:rFonts w:hint="eastAsia" w:ascii="Times New Roman"/>
          <w:i w:val="0"/>
          <w:color w:val="000000"/>
          <w:sz w:val="24"/>
          <w:szCs w:val="28"/>
        </w:rPr>
        <w:t>3</w:t>
      </w:r>
      <w:r>
        <w:rPr>
          <w:rFonts w:ascii="Times New Roman"/>
          <w:i w:val="0"/>
          <w:color w:val="000000"/>
          <w:sz w:val="24"/>
          <w:szCs w:val="28"/>
        </w:rPr>
        <w:t>.2</w:t>
      </w:r>
      <w:r>
        <w:rPr>
          <w:rFonts w:hint="eastAsia" w:ascii="Times New Roman"/>
          <w:i w:val="0"/>
          <w:color w:val="000000"/>
          <w:sz w:val="24"/>
          <w:szCs w:val="28"/>
        </w:rPr>
        <w:t xml:space="preserve">1 </w:t>
      </w:r>
      <w:r>
        <w:rPr>
          <w:rFonts w:hint="eastAsia" w:ascii="Times New Roman"/>
          <w:i w:val="0"/>
          <w:color w:val="000000"/>
          <w:sz w:val="24"/>
          <w:szCs w:val="24"/>
        </w:rPr>
        <w:t>计量模组  measurement module</w:t>
      </w:r>
    </w:p>
    <w:p>
      <w:pPr>
        <w:snapToGrid w:val="0"/>
        <w:spacing w:line="360" w:lineRule="auto"/>
        <w:ind w:firstLine="480" w:firstLineChars="200"/>
        <w:rPr>
          <w:color w:val="000000"/>
          <w:sz w:val="24"/>
        </w:rPr>
      </w:pPr>
      <w:r>
        <w:rPr>
          <w:rFonts w:hint="eastAsia"/>
          <w:color w:val="000000"/>
          <w:sz w:val="24"/>
        </w:rPr>
        <w:t>除显示功能外，实现计价器主机其余功能的硬件单元。</w:t>
      </w:r>
    </w:p>
    <w:p>
      <w:pPr>
        <w:pStyle w:val="3"/>
        <w:snapToGrid w:val="0"/>
        <w:spacing w:line="360" w:lineRule="auto"/>
        <w:ind w:firstLine="0"/>
        <w:jc w:val="both"/>
        <w:rPr>
          <w:i w:val="0"/>
        </w:rPr>
      </w:pPr>
      <w:r>
        <w:rPr>
          <w:rFonts w:hint="eastAsia" w:ascii="Times New Roman"/>
          <w:i w:val="0"/>
          <w:color w:val="000000"/>
          <w:sz w:val="24"/>
          <w:szCs w:val="28"/>
        </w:rPr>
        <w:t>3</w:t>
      </w:r>
      <w:r>
        <w:rPr>
          <w:rFonts w:ascii="Times New Roman"/>
          <w:i w:val="0"/>
          <w:color w:val="000000"/>
          <w:sz w:val="24"/>
          <w:szCs w:val="28"/>
        </w:rPr>
        <w:t>.2</w:t>
      </w:r>
      <w:r>
        <w:rPr>
          <w:rFonts w:hint="eastAsia" w:ascii="Times New Roman"/>
          <w:i w:val="0"/>
          <w:color w:val="000000"/>
          <w:sz w:val="24"/>
          <w:szCs w:val="28"/>
        </w:rPr>
        <w:t xml:space="preserve">2 </w:t>
      </w:r>
      <w:r>
        <w:rPr>
          <w:rFonts w:hint="eastAsia" w:ascii="Times New Roman"/>
          <w:i w:val="0"/>
          <w:color w:val="000000"/>
          <w:sz w:val="24"/>
          <w:szCs w:val="24"/>
        </w:rPr>
        <w:t>分体式主机  split type main unit</w:t>
      </w:r>
    </w:p>
    <w:p>
      <w:pPr>
        <w:snapToGrid w:val="0"/>
        <w:spacing w:line="360" w:lineRule="auto"/>
        <w:ind w:firstLine="480" w:firstLineChars="200"/>
        <w:rPr>
          <w:color w:val="000000"/>
          <w:sz w:val="24"/>
        </w:rPr>
      </w:pPr>
      <w:r>
        <w:rPr>
          <w:rFonts w:hint="eastAsia"/>
          <w:color w:val="000000"/>
          <w:sz w:val="24"/>
        </w:rPr>
        <w:t>由计量模组与显示单元组成，计量模组与显示单元具有独立的物理结构。</w:t>
      </w:r>
    </w:p>
    <w:p>
      <w:pPr>
        <w:pStyle w:val="2"/>
        <w:numPr>
          <w:ilvl w:val="0"/>
          <w:numId w:val="1"/>
        </w:numPr>
        <w:snapToGrid w:val="0"/>
        <w:spacing w:before="156" w:beforeLines="50" w:after="156" w:afterLines="50" w:line="360" w:lineRule="auto"/>
        <w:ind w:left="357" w:hanging="357"/>
        <w:jc w:val="both"/>
        <w:rPr>
          <w:rFonts w:hAnsi="黑体"/>
          <w:color w:val="000000"/>
          <w:sz w:val="24"/>
        </w:rPr>
      </w:pPr>
      <w:bookmarkStart w:id="49" w:name="_Toc70327704"/>
      <w:bookmarkStart w:id="50" w:name="_Toc65742862"/>
      <w:bookmarkStart w:id="51" w:name="_Toc411058923"/>
      <w:bookmarkStart w:id="52" w:name="_Toc85663489"/>
      <w:bookmarkStart w:id="53" w:name="_Toc70323998"/>
      <w:r>
        <w:rPr>
          <w:rFonts w:hAnsi="黑体"/>
          <w:color w:val="000000"/>
          <w:sz w:val="24"/>
        </w:rPr>
        <w:t>概述</w:t>
      </w:r>
      <w:bookmarkEnd w:id="49"/>
      <w:bookmarkEnd w:id="50"/>
      <w:bookmarkEnd w:id="51"/>
      <w:bookmarkEnd w:id="52"/>
      <w:bookmarkEnd w:id="53"/>
    </w:p>
    <w:p>
      <w:pPr>
        <w:snapToGrid w:val="0"/>
        <w:spacing w:line="360" w:lineRule="auto"/>
        <w:ind w:firstLine="480" w:firstLineChars="200"/>
        <w:rPr>
          <w:rFonts w:ascii="宋体" w:hAnsi="宋体"/>
          <w:color w:val="000000"/>
          <w:sz w:val="24"/>
          <w:szCs w:val="28"/>
        </w:rPr>
      </w:pPr>
      <w:r>
        <w:rPr>
          <w:rFonts w:hint="eastAsia" w:ascii="宋体" w:hAnsi="宋体"/>
          <w:color w:val="000000"/>
          <w:sz w:val="24"/>
          <w:szCs w:val="28"/>
        </w:rPr>
        <w:t>网联计价器主要由主机（或分体式主机）、里程测量传感器、空重车转换装置等组成。它安装在出租汽车上，里程测量传感器和主机（或分体式主机）的时间测量单元分别将测量的里程信号和低速行驶时间信号输入给计量微处理器，计量微处理器将处理运算后的计费金额等参数显示在显示屏上。</w:t>
      </w:r>
    </w:p>
    <w:p>
      <w:pPr>
        <w:snapToGrid w:val="0"/>
        <w:spacing w:after="156" w:afterLines="50" w:line="360" w:lineRule="auto"/>
        <w:ind w:firstLine="480" w:firstLineChars="200"/>
        <w:rPr>
          <w:sz w:val="24"/>
          <w:szCs w:val="28"/>
        </w:rPr>
      </w:pPr>
      <w:r>
        <w:rPr>
          <w:rFonts w:hint="eastAsia" w:ascii="宋体" w:hAnsi="宋体"/>
          <w:color w:val="000000"/>
          <w:sz w:val="24"/>
          <w:szCs w:val="28"/>
        </w:rPr>
        <w:t>主机（或分体式主机）包含的电子封印专用安全芯片、事件记录储存芯片与计量微处理器</w:t>
      </w:r>
      <w:r>
        <w:rPr>
          <w:rFonts w:hint="eastAsia"/>
          <w:sz w:val="24"/>
          <w:szCs w:val="28"/>
        </w:rPr>
        <w:t>安装在同一块板级组件内。</w:t>
      </w:r>
    </w:p>
    <w:p>
      <w:pPr>
        <w:pStyle w:val="2"/>
        <w:numPr>
          <w:ilvl w:val="0"/>
          <w:numId w:val="1"/>
        </w:numPr>
        <w:snapToGrid w:val="0"/>
        <w:spacing w:before="156" w:beforeLines="50" w:after="156" w:afterLines="50" w:line="360" w:lineRule="auto"/>
        <w:ind w:left="357" w:hanging="357"/>
        <w:jc w:val="both"/>
        <w:rPr>
          <w:rFonts w:hAnsi="黑体"/>
          <w:color w:val="000000"/>
          <w:sz w:val="24"/>
        </w:rPr>
      </w:pPr>
      <w:r>
        <w:rPr>
          <w:rFonts w:hint="eastAsia" w:hAnsi="黑体"/>
          <w:color w:val="000000"/>
          <w:sz w:val="24"/>
        </w:rPr>
        <w:t>计量性能要求</w:t>
      </w:r>
    </w:p>
    <w:p>
      <w:pPr>
        <w:pStyle w:val="3"/>
        <w:snapToGrid w:val="0"/>
        <w:spacing w:line="360" w:lineRule="auto"/>
        <w:ind w:firstLine="0"/>
        <w:jc w:val="both"/>
        <w:rPr>
          <w:i w:val="0"/>
          <w:color w:val="000000"/>
          <w:sz w:val="24"/>
          <w:szCs w:val="28"/>
        </w:rPr>
      </w:pPr>
      <w:bookmarkStart w:id="54" w:name="_Toc65742864"/>
      <w:bookmarkStart w:id="55" w:name="_Toc70327706"/>
      <w:bookmarkStart w:id="56" w:name="_Toc70324000"/>
      <w:bookmarkStart w:id="57" w:name="_Toc411058926"/>
      <w:bookmarkStart w:id="58" w:name="_Toc85663491"/>
      <w:r>
        <w:rPr>
          <w:rFonts w:ascii="Times New Roman"/>
          <w:i w:val="0"/>
          <w:color w:val="000000"/>
          <w:sz w:val="24"/>
          <w:szCs w:val="28"/>
        </w:rPr>
        <w:t>5.1</w:t>
      </w:r>
      <w:r>
        <w:rPr>
          <w:rFonts w:hAnsi="宋体"/>
          <w:i w:val="0"/>
          <w:color w:val="000000"/>
          <w:sz w:val="24"/>
          <w:szCs w:val="24"/>
        </w:rPr>
        <w:t xml:space="preserve"> </w:t>
      </w:r>
      <w:bookmarkEnd w:id="54"/>
      <w:bookmarkEnd w:id="55"/>
      <w:bookmarkEnd w:id="56"/>
      <w:bookmarkEnd w:id="57"/>
      <w:r>
        <w:rPr>
          <w:rFonts w:hint="eastAsia"/>
          <w:i w:val="0"/>
          <w:color w:val="000000"/>
          <w:sz w:val="24"/>
          <w:szCs w:val="28"/>
        </w:rPr>
        <w:t>装车后的网联计价器计程最大允许误差</w:t>
      </w:r>
      <w:bookmarkEnd w:id="58"/>
    </w:p>
    <w:p>
      <w:pPr>
        <w:pStyle w:val="4"/>
        <w:spacing w:line="360" w:lineRule="auto"/>
        <w:ind w:firstLine="480" w:firstLineChars="200"/>
        <w:rPr>
          <w:sz w:val="24"/>
          <w:szCs w:val="24"/>
        </w:rPr>
      </w:pPr>
      <w:r>
        <w:rPr>
          <w:rFonts w:hint="eastAsia" w:ascii="宋体" w:hAnsi="宋体"/>
          <w:sz w:val="24"/>
          <w:szCs w:val="24"/>
        </w:rPr>
        <w:t>-4.0%～+1.0%。</w:t>
      </w:r>
    </w:p>
    <w:p>
      <w:pPr>
        <w:pStyle w:val="4"/>
        <w:spacing w:before="156" w:beforeLines="50" w:after="156" w:afterLines="50" w:line="360" w:lineRule="auto"/>
        <w:ind w:firstLine="315" w:firstLineChars="150"/>
        <w:rPr>
          <w:sz w:val="24"/>
          <w:szCs w:val="24"/>
        </w:rPr>
      </w:pPr>
      <w:r>
        <w:rPr>
          <w:rFonts w:hint="eastAsia" w:ascii="仿宋" w:hAnsi="仿宋" w:eastAsia="仿宋"/>
          <w:color w:val="000000"/>
          <w:szCs w:val="21"/>
        </w:rPr>
        <w:t>注：网联计价器装车后，应调整网联计价器常数</w:t>
      </w:r>
      <w:r>
        <w:rPr>
          <w:rFonts w:hint="eastAsia" w:ascii="仿宋" w:hAnsi="仿宋" w:eastAsia="仿宋"/>
          <w:i/>
          <w:color w:val="000000"/>
          <w:szCs w:val="21"/>
        </w:rPr>
        <w:t>k</w:t>
      </w:r>
      <w:r>
        <w:rPr>
          <w:rFonts w:hint="eastAsia" w:ascii="仿宋" w:hAnsi="仿宋" w:eastAsia="仿宋"/>
          <w:color w:val="000000"/>
          <w:szCs w:val="21"/>
        </w:rPr>
        <w:t>，使计程误差尽可能接近最大允许误差的中值。</w:t>
      </w:r>
    </w:p>
    <w:p>
      <w:pPr>
        <w:pStyle w:val="2"/>
        <w:numPr>
          <w:ilvl w:val="0"/>
          <w:numId w:val="1"/>
        </w:numPr>
        <w:snapToGrid w:val="0"/>
        <w:spacing w:before="156" w:beforeLines="50" w:after="156" w:afterLines="50" w:line="360" w:lineRule="auto"/>
        <w:ind w:left="357" w:hanging="357"/>
        <w:jc w:val="both"/>
        <w:rPr>
          <w:rFonts w:hAnsi="黑体"/>
          <w:color w:val="000000"/>
          <w:sz w:val="24"/>
        </w:rPr>
      </w:pPr>
      <w:bookmarkStart w:id="59" w:name="_Toc85663492"/>
      <w:r>
        <w:rPr>
          <w:rFonts w:hint="eastAsia" w:hAnsi="黑体"/>
          <w:color w:val="000000"/>
          <w:sz w:val="24"/>
        </w:rPr>
        <w:t>通用技术要求</w:t>
      </w:r>
      <w:bookmarkEnd w:id="59"/>
    </w:p>
    <w:p>
      <w:pPr>
        <w:pStyle w:val="3"/>
        <w:snapToGrid w:val="0"/>
        <w:spacing w:line="360" w:lineRule="auto"/>
        <w:ind w:firstLine="0"/>
        <w:jc w:val="both"/>
        <w:rPr>
          <w:i w:val="0"/>
          <w:color w:val="000000"/>
          <w:sz w:val="24"/>
          <w:szCs w:val="28"/>
        </w:rPr>
      </w:pPr>
      <w:bookmarkStart w:id="60" w:name="_Toc70324011"/>
      <w:bookmarkStart w:id="61" w:name="_Toc65742866"/>
      <w:bookmarkStart w:id="62" w:name="_Toc411058930"/>
      <w:bookmarkStart w:id="63" w:name="_Toc70327717"/>
      <w:bookmarkStart w:id="64" w:name="_Toc85663493"/>
      <w:r>
        <w:rPr>
          <w:rFonts w:ascii="Times New Roman"/>
          <w:i w:val="0"/>
          <w:color w:val="000000"/>
          <w:sz w:val="24"/>
          <w:szCs w:val="28"/>
        </w:rPr>
        <w:t>6.1</w:t>
      </w:r>
      <w:r>
        <w:rPr>
          <w:i w:val="0"/>
          <w:color w:val="000000"/>
          <w:sz w:val="24"/>
          <w:szCs w:val="28"/>
        </w:rPr>
        <w:t xml:space="preserve"> </w:t>
      </w:r>
      <w:bookmarkEnd w:id="60"/>
      <w:bookmarkEnd w:id="61"/>
      <w:bookmarkEnd w:id="62"/>
      <w:bookmarkEnd w:id="63"/>
      <w:r>
        <w:rPr>
          <w:rFonts w:hint="eastAsia"/>
          <w:i w:val="0"/>
          <w:color w:val="000000"/>
          <w:sz w:val="24"/>
          <w:szCs w:val="28"/>
        </w:rPr>
        <w:t xml:space="preserve"> 外观与结构</w:t>
      </w:r>
      <w:bookmarkEnd w:id="64"/>
    </w:p>
    <w:p>
      <w:pPr>
        <w:pStyle w:val="49"/>
        <w:snapToGrid w:val="0"/>
        <w:spacing w:line="360" w:lineRule="auto"/>
        <w:rPr>
          <w:rFonts w:ascii="Times New Roman" w:eastAsia="宋体"/>
          <w:color w:val="000000"/>
          <w:sz w:val="24"/>
          <w:szCs w:val="24"/>
        </w:rPr>
      </w:pPr>
      <w:r>
        <w:rPr>
          <w:rFonts w:ascii="Times New Roman" w:eastAsia="宋体"/>
          <w:color w:val="000000"/>
          <w:sz w:val="24"/>
          <w:szCs w:val="24"/>
        </w:rPr>
        <w:t>6.1.1</w:t>
      </w:r>
      <w:r>
        <w:rPr>
          <w:rFonts w:hint="eastAsia" w:ascii="Times New Roman" w:eastAsia="宋体"/>
          <w:color w:val="000000"/>
          <w:sz w:val="24"/>
          <w:szCs w:val="24"/>
        </w:rPr>
        <w:t xml:space="preserve">  壳体</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网联计价器壳体应有可靠的封印机构，不破坏封印不能打开壳体。</w:t>
      </w:r>
    </w:p>
    <w:p>
      <w:pPr>
        <w:pStyle w:val="49"/>
        <w:snapToGrid w:val="0"/>
        <w:spacing w:line="360" w:lineRule="auto"/>
        <w:rPr>
          <w:rFonts w:ascii="Times New Roman" w:eastAsia="宋体"/>
          <w:color w:val="000000"/>
          <w:sz w:val="24"/>
          <w:szCs w:val="24"/>
        </w:rPr>
      </w:pPr>
      <w:r>
        <w:rPr>
          <w:rFonts w:ascii="Times New Roman" w:eastAsia="宋体"/>
          <w:color w:val="000000"/>
          <w:sz w:val="24"/>
          <w:szCs w:val="24"/>
        </w:rPr>
        <w:t>6.1.2</w:t>
      </w:r>
      <w:r>
        <w:rPr>
          <w:rFonts w:hint="eastAsia" w:ascii="Times New Roman" w:eastAsia="宋体"/>
          <w:color w:val="000000"/>
          <w:sz w:val="24"/>
          <w:szCs w:val="24"/>
        </w:rPr>
        <w:t xml:space="preserve">  调整窗</w:t>
      </w:r>
    </w:p>
    <w:p>
      <w:pPr>
        <w:spacing w:after="156" w:afterLines="50" w:line="360" w:lineRule="auto"/>
        <w:ind w:firstLine="480" w:firstLineChars="200"/>
        <w:rPr>
          <w:color w:val="000000"/>
          <w:sz w:val="24"/>
        </w:rPr>
      </w:pPr>
      <w:r>
        <w:rPr>
          <w:rFonts w:hint="eastAsia"/>
          <w:color w:val="000000"/>
          <w:kern w:val="0"/>
          <w:sz w:val="24"/>
        </w:rPr>
        <w:t>影响网联计价器计量性能和读取事件记录存储芯片记录的调整开关、控制开关应置于机壳内。调整窗与壳体使用同一封印。</w:t>
      </w:r>
    </w:p>
    <w:p>
      <w:pPr>
        <w:pStyle w:val="49"/>
        <w:snapToGrid w:val="0"/>
        <w:spacing w:line="360" w:lineRule="auto"/>
        <w:rPr>
          <w:rFonts w:ascii="Times New Roman" w:eastAsia="宋体"/>
          <w:color w:val="000000"/>
          <w:sz w:val="24"/>
          <w:szCs w:val="24"/>
        </w:rPr>
      </w:pPr>
      <w:r>
        <w:rPr>
          <w:rFonts w:ascii="Times New Roman" w:eastAsia="宋体"/>
          <w:color w:val="000000"/>
          <w:sz w:val="24"/>
          <w:szCs w:val="24"/>
        </w:rPr>
        <w:t>6.1.3</w:t>
      </w:r>
      <w:r>
        <w:rPr>
          <w:rFonts w:hint="eastAsia" w:ascii="Times New Roman" w:eastAsia="宋体"/>
          <w:color w:val="000000"/>
          <w:sz w:val="24"/>
          <w:szCs w:val="24"/>
        </w:rPr>
        <w:t xml:space="preserve">  封印</w:t>
      </w:r>
    </w:p>
    <w:p>
      <w:pPr>
        <w:spacing w:after="156" w:afterLines="50" w:line="360" w:lineRule="auto"/>
        <w:ind w:firstLine="480" w:firstLineChars="200"/>
        <w:rPr>
          <w:color w:val="000000"/>
          <w:kern w:val="0"/>
          <w:sz w:val="24"/>
        </w:rPr>
      </w:pPr>
      <w:r>
        <w:rPr>
          <w:rFonts w:hint="eastAsia"/>
          <w:color w:val="000000"/>
          <w:kern w:val="0"/>
          <w:sz w:val="24"/>
        </w:rPr>
        <w:t>网联计价器应具备物理封印和施加电子封印的功能。在车辆运营状态下，网联计价器应正确显示电子封印的状态标识。其采用的加密方式应符合国家密码管理部门发布的国密</w:t>
      </w:r>
      <w:r>
        <w:rPr>
          <w:color w:val="000000"/>
          <w:kern w:val="0"/>
          <w:sz w:val="24"/>
        </w:rPr>
        <w:t>SM3</w:t>
      </w:r>
      <w:r>
        <w:rPr>
          <w:rFonts w:hint="eastAsia"/>
          <w:color w:val="000000"/>
          <w:kern w:val="0"/>
          <w:sz w:val="24"/>
        </w:rPr>
        <w:t>算法、国密</w:t>
      </w:r>
      <w:r>
        <w:rPr>
          <w:color w:val="000000"/>
          <w:kern w:val="0"/>
          <w:sz w:val="24"/>
        </w:rPr>
        <w:t>SM4</w:t>
      </w:r>
      <w:r>
        <w:rPr>
          <w:rFonts w:hint="eastAsia"/>
          <w:color w:val="000000"/>
          <w:kern w:val="0"/>
          <w:sz w:val="24"/>
        </w:rPr>
        <w:t>算法行业标准规范。</w:t>
      </w:r>
    </w:p>
    <w:p>
      <w:pPr>
        <w:pStyle w:val="3"/>
        <w:snapToGrid w:val="0"/>
        <w:spacing w:line="360" w:lineRule="auto"/>
        <w:ind w:firstLine="0"/>
        <w:jc w:val="both"/>
        <w:rPr>
          <w:i w:val="0"/>
          <w:color w:val="000000"/>
          <w:sz w:val="24"/>
          <w:szCs w:val="28"/>
        </w:rPr>
      </w:pPr>
      <w:bookmarkStart w:id="65" w:name="_Toc411058931"/>
      <w:bookmarkStart w:id="66" w:name="_Toc70324012"/>
      <w:bookmarkStart w:id="67" w:name="_Toc70327718"/>
      <w:bookmarkStart w:id="68" w:name="_Toc85663494"/>
      <w:r>
        <w:rPr>
          <w:rFonts w:ascii="Times New Roman"/>
          <w:i w:val="0"/>
          <w:color w:val="000000"/>
          <w:sz w:val="24"/>
          <w:szCs w:val="28"/>
        </w:rPr>
        <w:t xml:space="preserve">6.2 </w:t>
      </w:r>
      <w:bookmarkEnd w:id="65"/>
      <w:bookmarkEnd w:id="66"/>
      <w:bookmarkEnd w:id="67"/>
      <w:bookmarkStart w:id="69" w:name="_Toc411058932"/>
      <w:r>
        <w:rPr>
          <w:rFonts w:hint="eastAsia" w:ascii="Times New Roman"/>
          <w:i w:val="0"/>
          <w:color w:val="000000"/>
          <w:sz w:val="24"/>
          <w:szCs w:val="28"/>
        </w:rPr>
        <w:t xml:space="preserve"> </w:t>
      </w:r>
      <w:r>
        <w:rPr>
          <w:rFonts w:hint="eastAsia"/>
          <w:i w:val="0"/>
          <w:color w:val="000000"/>
          <w:sz w:val="24"/>
          <w:szCs w:val="28"/>
        </w:rPr>
        <w:t>铭牌</w:t>
      </w:r>
      <w:bookmarkEnd w:id="68"/>
    </w:p>
    <w:p>
      <w:pPr>
        <w:spacing w:line="360" w:lineRule="auto"/>
        <w:ind w:firstLine="480" w:firstLineChars="200"/>
        <w:rPr>
          <w:rFonts w:ascii="宋体" w:hAnsi="宋体"/>
          <w:color w:val="000000"/>
          <w:sz w:val="24"/>
        </w:rPr>
      </w:pPr>
      <w:r>
        <w:rPr>
          <w:rFonts w:hint="eastAsia" w:ascii="宋体" w:hAnsi="宋体"/>
          <w:color w:val="000000"/>
          <w:sz w:val="24"/>
        </w:rPr>
        <w:t>网联计价器应有铭牌，铭牌上应标明：</w:t>
      </w:r>
    </w:p>
    <w:p>
      <w:pPr>
        <w:spacing w:line="360" w:lineRule="auto"/>
        <w:ind w:firstLine="480" w:firstLineChars="200"/>
        <w:rPr>
          <w:rFonts w:ascii="宋体" w:hAnsi="宋体"/>
          <w:color w:val="000000"/>
          <w:sz w:val="24"/>
        </w:rPr>
      </w:pPr>
      <w:r>
        <w:rPr>
          <w:color w:val="000000"/>
          <w:sz w:val="24"/>
        </w:rPr>
        <w:t>a)</w:t>
      </w:r>
      <w:r>
        <w:rPr>
          <w:rFonts w:hint="eastAsia" w:ascii="宋体" w:hAnsi="宋体"/>
          <w:color w:val="000000"/>
          <w:sz w:val="24"/>
        </w:rPr>
        <w:t xml:space="preserve"> 制造厂名称；</w:t>
      </w:r>
    </w:p>
    <w:p>
      <w:pPr>
        <w:spacing w:line="360" w:lineRule="auto"/>
        <w:ind w:firstLine="480" w:firstLineChars="200"/>
        <w:rPr>
          <w:rFonts w:ascii="宋体" w:hAnsi="宋体"/>
          <w:color w:val="000000"/>
          <w:sz w:val="24"/>
        </w:rPr>
      </w:pPr>
      <w:r>
        <w:rPr>
          <w:rFonts w:hint="eastAsia"/>
          <w:color w:val="000000"/>
          <w:sz w:val="24"/>
        </w:rPr>
        <w:t>b)</w:t>
      </w:r>
      <w:r>
        <w:rPr>
          <w:rFonts w:hint="eastAsia" w:ascii="宋体" w:hAnsi="宋体"/>
          <w:color w:val="000000"/>
          <w:sz w:val="24"/>
        </w:rPr>
        <w:t xml:space="preserve"> 产品名称；</w:t>
      </w:r>
    </w:p>
    <w:p>
      <w:pPr>
        <w:spacing w:line="360" w:lineRule="auto"/>
        <w:ind w:firstLine="480" w:firstLineChars="200"/>
        <w:rPr>
          <w:rFonts w:ascii="宋体" w:hAnsi="宋体"/>
          <w:color w:val="000000"/>
          <w:sz w:val="24"/>
        </w:rPr>
      </w:pPr>
      <w:r>
        <w:rPr>
          <w:rFonts w:hint="eastAsia"/>
          <w:color w:val="000000"/>
          <w:sz w:val="24"/>
        </w:rPr>
        <w:t>c)</w:t>
      </w:r>
      <w:r>
        <w:rPr>
          <w:rFonts w:hint="eastAsia" w:ascii="宋体" w:hAnsi="宋体"/>
          <w:color w:val="000000"/>
          <w:sz w:val="24"/>
        </w:rPr>
        <w:t xml:space="preserve"> 产品型号；</w:t>
      </w:r>
    </w:p>
    <w:p>
      <w:pPr>
        <w:spacing w:line="360" w:lineRule="auto"/>
        <w:ind w:firstLine="480" w:firstLineChars="200"/>
        <w:rPr>
          <w:rFonts w:ascii="宋体" w:hAnsi="宋体"/>
          <w:color w:val="000000"/>
          <w:sz w:val="24"/>
        </w:rPr>
      </w:pPr>
      <w:r>
        <w:rPr>
          <w:rFonts w:hint="eastAsia"/>
          <w:color w:val="000000"/>
          <w:sz w:val="24"/>
        </w:rPr>
        <w:t>d)</w:t>
      </w:r>
      <w:r>
        <w:rPr>
          <w:rFonts w:hint="eastAsia" w:ascii="宋体" w:hAnsi="宋体"/>
          <w:color w:val="000000"/>
          <w:sz w:val="24"/>
        </w:rPr>
        <w:t xml:space="preserve"> 出厂编号；</w:t>
      </w:r>
    </w:p>
    <w:p>
      <w:pPr>
        <w:spacing w:after="156" w:line="360" w:lineRule="auto"/>
        <w:ind w:firstLine="480" w:firstLineChars="200"/>
        <w:rPr>
          <w:rFonts w:ascii="宋体" w:hAnsi="宋体"/>
          <w:color w:val="000000"/>
          <w:sz w:val="24"/>
        </w:rPr>
      </w:pPr>
      <w:r>
        <w:rPr>
          <w:rFonts w:hint="eastAsia"/>
          <w:color w:val="000000"/>
          <w:sz w:val="24"/>
        </w:rPr>
        <w:t>e)</w:t>
      </w:r>
      <w:r>
        <w:rPr>
          <w:rFonts w:hint="eastAsia" w:ascii="宋体" w:hAnsi="宋体"/>
          <w:color w:val="000000"/>
          <w:sz w:val="24"/>
        </w:rPr>
        <w:t xml:space="preserve"> 出厂日期。</w:t>
      </w:r>
    </w:p>
    <w:p>
      <w:pPr>
        <w:spacing w:after="156" w:afterLines="50" w:line="360" w:lineRule="auto"/>
        <w:ind w:firstLine="420" w:firstLineChars="200"/>
        <w:rPr>
          <w:rFonts w:ascii="仿宋" w:hAnsi="仿宋" w:eastAsia="仿宋"/>
          <w:color w:val="000000"/>
          <w:szCs w:val="21"/>
        </w:rPr>
      </w:pPr>
      <w:r>
        <w:rPr>
          <w:rFonts w:hint="eastAsia" w:ascii="仿宋" w:hAnsi="仿宋" w:eastAsia="仿宋"/>
          <w:color w:val="000000"/>
          <w:szCs w:val="21"/>
        </w:rPr>
        <w:t>注：分体式网联计价器其计量模组与显示单元所属设备的各自出厂编号</w:t>
      </w:r>
      <w:r>
        <w:rPr>
          <w:rFonts w:ascii="仿宋" w:hAnsi="仿宋" w:eastAsia="仿宋"/>
          <w:color w:val="000000"/>
          <w:szCs w:val="21"/>
        </w:rPr>
        <w:t>应标注在同一铭牌上</w:t>
      </w:r>
      <w:r>
        <w:rPr>
          <w:rFonts w:hint="eastAsia" w:ascii="仿宋" w:hAnsi="仿宋" w:eastAsia="仿宋"/>
          <w:color w:val="000000"/>
          <w:szCs w:val="21"/>
        </w:rPr>
        <w:t>。</w:t>
      </w:r>
    </w:p>
    <w:p>
      <w:pPr>
        <w:pStyle w:val="3"/>
        <w:snapToGrid w:val="0"/>
        <w:spacing w:line="360" w:lineRule="auto"/>
        <w:ind w:firstLine="0"/>
        <w:jc w:val="both"/>
        <w:rPr>
          <w:i w:val="0"/>
          <w:color w:val="000000"/>
          <w:sz w:val="24"/>
          <w:szCs w:val="28"/>
        </w:rPr>
      </w:pPr>
      <w:bookmarkStart w:id="70" w:name="_Toc85663495"/>
      <w:r>
        <w:rPr>
          <w:rFonts w:ascii="Times New Roman"/>
          <w:i w:val="0"/>
          <w:color w:val="000000"/>
          <w:sz w:val="24"/>
          <w:szCs w:val="28"/>
        </w:rPr>
        <w:t xml:space="preserve">6.3 </w:t>
      </w:r>
      <w:r>
        <w:rPr>
          <w:rFonts w:hint="eastAsia" w:ascii="Times New Roman"/>
          <w:i w:val="0"/>
          <w:color w:val="000000"/>
          <w:sz w:val="24"/>
          <w:szCs w:val="28"/>
        </w:rPr>
        <w:t xml:space="preserve"> </w:t>
      </w:r>
      <w:r>
        <w:rPr>
          <w:rFonts w:hint="eastAsia"/>
          <w:i w:val="0"/>
          <w:color w:val="000000"/>
          <w:sz w:val="24"/>
          <w:szCs w:val="28"/>
        </w:rPr>
        <w:t>显示屏</w:t>
      </w:r>
      <w:bookmarkEnd w:id="70"/>
    </w:p>
    <w:p>
      <w:pPr>
        <w:pStyle w:val="49"/>
        <w:snapToGrid w:val="0"/>
        <w:spacing w:line="360" w:lineRule="auto"/>
        <w:rPr>
          <w:rFonts w:ascii="Times New Roman" w:eastAsia="宋体"/>
          <w:color w:val="000000"/>
          <w:sz w:val="24"/>
          <w:szCs w:val="24"/>
        </w:rPr>
      </w:pPr>
      <w:r>
        <w:rPr>
          <w:rFonts w:ascii="Times New Roman" w:eastAsia="宋体"/>
          <w:color w:val="000000"/>
          <w:sz w:val="24"/>
          <w:szCs w:val="24"/>
        </w:rPr>
        <w:t>6.3.1</w:t>
      </w:r>
      <w:r>
        <w:rPr>
          <w:rFonts w:hint="eastAsia" w:ascii="Times New Roman" w:eastAsia="宋体"/>
          <w:color w:val="000000"/>
          <w:sz w:val="24"/>
          <w:szCs w:val="24"/>
        </w:rPr>
        <w:t xml:space="preserve">  显示屏计价项目</w:t>
      </w:r>
    </w:p>
    <w:p>
      <w:pPr>
        <w:spacing w:line="360" w:lineRule="auto"/>
        <w:ind w:firstLine="480" w:firstLineChars="200"/>
        <w:rPr>
          <w:rFonts w:ascii="宋体" w:hAnsi="宋体"/>
          <w:color w:val="000000"/>
          <w:sz w:val="24"/>
        </w:rPr>
      </w:pPr>
      <w:r>
        <w:rPr>
          <w:rFonts w:hint="eastAsia" w:ascii="宋体" w:hAnsi="宋体"/>
          <w:color w:val="000000"/>
          <w:sz w:val="24"/>
        </w:rPr>
        <w:t>网联计价器的显示屏至少设置单价、计程、计时、金额四个项目。单价屏、计程屏、计时屏应按自左至右或自上而下的设计方式依次排列。</w:t>
      </w:r>
    </w:p>
    <w:p>
      <w:pPr>
        <w:spacing w:line="360" w:lineRule="auto"/>
        <w:ind w:firstLine="480" w:firstLineChars="200"/>
        <w:rPr>
          <w:rFonts w:ascii="宋体" w:hAnsi="宋体"/>
          <w:color w:val="000000"/>
          <w:sz w:val="24"/>
        </w:rPr>
      </w:pPr>
      <w:r>
        <w:rPr>
          <w:rFonts w:hint="eastAsia" w:ascii="宋体" w:hAnsi="宋体"/>
          <w:color w:val="000000"/>
          <w:sz w:val="24"/>
        </w:rPr>
        <w:t>计价项目必须有计量单位，规定如下：</w:t>
      </w:r>
    </w:p>
    <w:p>
      <w:pPr>
        <w:spacing w:line="360" w:lineRule="auto"/>
        <w:ind w:firstLine="480" w:firstLineChars="200"/>
        <w:rPr>
          <w:rFonts w:ascii="宋体" w:hAnsi="宋体"/>
          <w:color w:val="000000"/>
          <w:sz w:val="24"/>
        </w:rPr>
      </w:pPr>
      <w:r>
        <w:rPr>
          <w:rFonts w:hint="eastAsia" w:ascii="宋体" w:hAnsi="宋体"/>
          <w:color w:val="000000"/>
          <w:sz w:val="24"/>
        </w:rPr>
        <w:t>单价：元/公里；计程：公里；计时：时、分、秒；金额：元（人民币）。</w:t>
      </w:r>
    </w:p>
    <w:p>
      <w:pPr>
        <w:pStyle w:val="49"/>
        <w:snapToGrid w:val="0"/>
        <w:spacing w:line="360" w:lineRule="auto"/>
        <w:rPr>
          <w:rFonts w:ascii="Times New Roman" w:eastAsia="宋体"/>
          <w:color w:val="000000"/>
          <w:sz w:val="24"/>
          <w:szCs w:val="24"/>
        </w:rPr>
      </w:pPr>
      <w:r>
        <w:rPr>
          <w:rFonts w:ascii="Times New Roman" w:eastAsia="宋体"/>
          <w:color w:val="000000"/>
          <w:sz w:val="24"/>
          <w:szCs w:val="24"/>
        </w:rPr>
        <w:t>6.3.2</w:t>
      </w:r>
      <w:r>
        <w:rPr>
          <w:rFonts w:hint="eastAsia" w:ascii="Times New Roman" w:eastAsia="宋体"/>
          <w:color w:val="000000"/>
          <w:sz w:val="24"/>
          <w:szCs w:val="24"/>
        </w:rPr>
        <w:t xml:space="preserve">  显示屏运营状态项目</w:t>
      </w:r>
    </w:p>
    <w:p>
      <w:pPr>
        <w:spacing w:line="360" w:lineRule="auto"/>
        <w:ind w:firstLine="480" w:firstLineChars="200"/>
        <w:rPr>
          <w:rFonts w:ascii="宋体" w:hAnsi="宋体"/>
          <w:color w:val="000000"/>
          <w:sz w:val="24"/>
        </w:rPr>
      </w:pPr>
      <w:r>
        <w:rPr>
          <w:rFonts w:hint="eastAsia" w:ascii="宋体" w:hAnsi="宋体"/>
          <w:color w:val="000000"/>
          <w:sz w:val="24"/>
        </w:rPr>
        <w:t>网联计价器的显示屏应显示出租车的运营状态。显示的运营状态至少应包括  “里贴”“低速”“夜间”“暂停”四种状态。</w:t>
      </w:r>
    </w:p>
    <w:p>
      <w:pPr>
        <w:pStyle w:val="49"/>
        <w:snapToGrid w:val="0"/>
        <w:spacing w:line="360" w:lineRule="auto"/>
        <w:rPr>
          <w:rFonts w:ascii="Times New Roman" w:eastAsia="宋体"/>
          <w:color w:val="000000"/>
          <w:sz w:val="24"/>
          <w:szCs w:val="24"/>
        </w:rPr>
      </w:pPr>
      <w:r>
        <w:rPr>
          <w:rFonts w:ascii="Times New Roman" w:eastAsia="宋体"/>
          <w:color w:val="000000"/>
          <w:sz w:val="24"/>
          <w:szCs w:val="24"/>
        </w:rPr>
        <w:t>6.3.3</w:t>
      </w:r>
      <w:r>
        <w:rPr>
          <w:rFonts w:hint="eastAsia" w:ascii="Times New Roman" w:eastAsia="宋体"/>
          <w:color w:val="000000"/>
          <w:sz w:val="24"/>
          <w:szCs w:val="24"/>
        </w:rPr>
        <w:t xml:space="preserve">  重车状态的显示要求</w:t>
      </w:r>
    </w:p>
    <w:p>
      <w:pPr>
        <w:spacing w:line="360" w:lineRule="auto"/>
        <w:ind w:firstLine="480" w:firstLineChars="200"/>
        <w:rPr>
          <w:rFonts w:ascii="宋体" w:hAnsi="宋体"/>
          <w:color w:val="000000"/>
          <w:sz w:val="24"/>
        </w:rPr>
      </w:pPr>
      <w:r>
        <w:rPr>
          <w:color w:val="000000"/>
          <w:sz w:val="24"/>
        </w:rPr>
        <w:t>a)</w:t>
      </w:r>
      <w:r>
        <w:rPr>
          <w:rFonts w:hint="eastAsia" w:ascii="宋体" w:hAnsi="宋体"/>
          <w:color w:val="000000"/>
          <w:sz w:val="24"/>
        </w:rPr>
        <w:t xml:space="preserve"> 金额屏显示总金额。</w:t>
      </w:r>
    </w:p>
    <w:p>
      <w:pPr>
        <w:spacing w:line="360" w:lineRule="auto"/>
        <w:ind w:firstLine="480" w:firstLineChars="200"/>
        <w:rPr>
          <w:rFonts w:ascii="宋体" w:hAnsi="宋体"/>
          <w:color w:val="000000"/>
          <w:sz w:val="24"/>
        </w:rPr>
      </w:pPr>
      <w:r>
        <w:rPr>
          <w:color w:val="000000"/>
          <w:sz w:val="24"/>
        </w:rPr>
        <w:t>b)</w:t>
      </w:r>
      <w:r>
        <w:rPr>
          <w:rFonts w:hint="eastAsia" w:ascii="宋体" w:hAnsi="宋体"/>
          <w:color w:val="000000"/>
          <w:sz w:val="24"/>
        </w:rPr>
        <w:t xml:space="preserve"> 单价屏显示当前运营状态的每公里租金。</w:t>
      </w:r>
    </w:p>
    <w:p>
      <w:pPr>
        <w:spacing w:line="360" w:lineRule="auto"/>
        <w:ind w:firstLine="480" w:firstLineChars="200"/>
        <w:rPr>
          <w:rFonts w:ascii="宋体" w:hAnsi="宋体"/>
          <w:color w:val="000000"/>
          <w:sz w:val="24"/>
        </w:rPr>
      </w:pPr>
      <w:r>
        <w:rPr>
          <w:rFonts w:hint="eastAsia"/>
          <w:color w:val="000000"/>
          <w:sz w:val="24"/>
        </w:rPr>
        <w:t>c)</w:t>
      </w:r>
      <w:r>
        <w:rPr>
          <w:rFonts w:hint="eastAsia" w:ascii="宋体" w:hAnsi="宋体"/>
          <w:color w:val="000000"/>
          <w:sz w:val="24"/>
        </w:rPr>
        <w:t xml:space="preserve"> 计程屏显示运营里程，应从“</w:t>
      </w:r>
      <w:r>
        <w:rPr>
          <w:color w:val="000000"/>
          <w:sz w:val="24"/>
        </w:rPr>
        <w:t>0.0</w:t>
      </w:r>
      <w:r>
        <w:rPr>
          <w:rFonts w:hint="eastAsia" w:ascii="宋体" w:hAnsi="宋体"/>
          <w:color w:val="000000"/>
          <w:sz w:val="24"/>
        </w:rPr>
        <w:t>公里”开始显示。</w:t>
      </w:r>
    </w:p>
    <w:p>
      <w:pPr>
        <w:spacing w:line="360" w:lineRule="auto"/>
        <w:ind w:firstLine="480" w:firstLineChars="200"/>
        <w:rPr>
          <w:rFonts w:ascii="宋体" w:hAnsi="宋体"/>
          <w:color w:val="000000"/>
          <w:sz w:val="24"/>
        </w:rPr>
      </w:pPr>
      <w:r>
        <w:rPr>
          <w:rFonts w:hint="eastAsia"/>
          <w:color w:val="000000"/>
          <w:sz w:val="24"/>
        </w:rPr>
        <w:t>d)</w:t>
      </w:r>
      <w:r>
        <w:rPr>
          <w:rFonts w:hint="eastAsia" w:ascii="宋体" w:hAnsi="宋体"/>
          <w:color w:val="000000"/>
          <w:sz w:val="24"/>
        </w:rPr>
        <w:t xml:space="preserve"> 计时屏显示低速运营的计时累计值，应从“</w:t>
      </w:r>
      <w:r>
        <w:rPr>
          <w:color w:val="000000"/>
          <w:sz w:val="24"/>
        </w:rPr>
        <w:t>0</w:t>
      </w:r>
      <w:r>
        <w:rPr>
          <w:rFonts w:hint="eastAsia" w:ascii="宋体" w:hAnsi="宋体"/>
          <w:color w:val="000000"/>
          <w:sz w:val="24"/>
        </w:rPr>
        <w:t>秒”开始显示。</w:t>
      </w:r>
    </w:p>
    <w:p>
      <w:pPr>
        <w:spacing w:line="360" w:lineRule="auto"/>
        <w:ind w:firstLine="480" w:firstLineChars="200"/>
        <w:rPr>
          <w:rFonts w:ascii="宋体" w:hAnsi="宋体"/>
          <w:color w:val="000000"/>
          <w:sz w:val="24"/>
        </w:rPr>
      </w:pPr>
      <w:r>
        <w:rPr>
          <w:rFonts w:hint="eastAsia"/>
          <w:color w:val="000000"/>
          <w:sz w:val="24"/>
        </w:rPr>
        <w:t>e)</w:t>
      </w:r>
      <w:r>
        <w:rPr>
          <w:rFonts w:hint="eastAsia" w:ascii="宋体" w:hAnsi="宋体"/>
          <w:color w:val="000000"/>
          <w:sz w:val="24"/>
        </w:rPr>
        <w:t xml:space="preserve"> 状态屏应显示当前的运营状态。</w:t>
      </w:r>
    </w:p>
    <w:p>
      <w:pPr>
        <w:pStyle w:val="49"/>
        <w:snapToGrid w:val="0"/>
        <w:spacing w:line="360" w:lineRule="auto"/>
        <w:rPr>
          <w:rFonts w:ascii="Times New Roman" w:eastAsia="宋体"/>
          <w:color w:val="000000"/>
          <w:sz w:val="24"/>
          <w:szCs w:val="24"/>
        </w:rPr>
      </w:pPr>
      <w:r>
        <w:rPr>
          <w:rFonts w:ascii="Times New Roman" w:eastAsia="宋体"/>
          <w:color w:val="000000"/>
          <w:sz w:val="24"/>
          <w:szCs w:val="24"/>
        </w:rPr>
        <w:t>6.3.</w:t>
      </w:r>
      <w:r>
        <w:rPr>
          <w:rFonts w:hint="eastAsia" w:ascii="Times New Roman" w:eastAsia="宋体"/>
          <w:color w:val="000000"/>
          <w:sz w:val="24"/>
          <w:szCs w:val="24"/>
        </w:rPr>
        <w:t>4  空车状态的显示要求</w:t>
      </w:r>
    </w:p>
    <w:p>
      <w:pPr>
        <w:spacing w:line="360" w:lineRule="auto"/>
        <w:ind w:firstLine="480" w:firstLineChars="200"/>
        <w:rPr>
          <w:rFonts w:ascii="宋体" w:hAnsi="宋体"/>
          <w:color w:val="000000"/>
          <w:sz w:val="24"/>
        </w:rPr>
      </w:pPr>
      <w:r>
        <w:rPr>
          <w:rFonts w:hint="eastAsia"/>
          <w:color w:val="000000"/>
          <w:sz w:val="24"/>
        </w:rPr>
        <w:t>a)</w:t>
      </w:r>
      <w:r>
        <w:rPr>
          <w:rFonts w:hint="eastAsia" w:ascii="宋体" w:hAnsi="宋体"/>
          <w:color w:val="000000"/>
          <w:sz w:val="24"/>
        </w:rPr>
        <w:t xml:space="preserve"> 时钟屏（可以与计时屏并用）显示实时时间。</w:t>
      </w:r>
    </w:p>
    <w:p>
      <w:pPr>
        <w:spacing w:line="360" w:lineRule="auto"/>
        <w:ind w:firstLine="480" w:firstLineChars="200"/>
        <w:rPr>
          <w:rFonts w:ascii="宋体" w:hAnsi="宋体"/>
          <w:color w:val="000000"/>
          <w:sz w:val="24"/>
        </w:rPr>
      </w:pPr>
      <w:r>
        <w:rPr>
          <w:rFonts w:hint="eastAsia"/>
          <w:color w:val="000000"/>
          <w:sz w:val="24"/>
        </w:rPr>
        <w:t>b)</w:t>
      </w:r>
      <w:r>
        <w:rPr>
          <w:rFonts w:hint="eastAsia" w:ascii="宋体" w:hAnsi="宋体"/>
          <w:color w:val="000000"/>
          <w:sz w:val="24"/>
        </w:rPr>
        <w:t xml:space="preserve"> 计程屏显示空驶里程，应从“</w:t>
      </w:r>
      <w:r>
        <w:rPr>
          <w:color w:val="000000"/>
          <w:sz w:val="24"/>
        </w:rPr>
        <w:t>0.0</w:t>
      </w:r>
      <w:r>
        <w:rPr>
          <w:rFonts w:hint="eastAsia" w:ascii="宋体" w:hAnsi="宋体"/>
          <w:color w:val="000000"/>
          <w:sz w:val="24"/>
        </w:rPr>
        <w:t>公里”开始显示。</w:t>
      </w:r>
    </w:p>
    <w:p>
      <w:pPr>
        <w:pStyle w:val="49"/>
        <w:snapToGrid w:val="0"/>
        <w:spacing w:line="360" w:lineRule="auto"/>
        <w:rPr>
          <w:rFonts w:ascii="Times New Roman" w:eastAsia="宋体"/>
          <w:color w:val="000000"/>
          <w:sz w:val="24"/>
          <w:szCs w:val="24"/>
        </w:rPr>
      </w:pPr>
      <w:r>
        <w:rPr>
          <w:rFonts w:ascii="Times New Roman" w:eastAsia="宋体"/>
          <w:color w:val="000000"/>
          <w:sz w:val="24"/>
          <w:szCs w:val="24"/>
        </w:rPr>
        <w:t>6.3.</w:t>
      </w:r>
      <w:r>
        <w:rPr>
          <w:rFonts w:hint="eastAsia" w:ascii="Times New Roman" w:eastAsia="宋体"/>
          <w:color w:val="000000"/>
          <w:sz w:val="24"/>
          <w:szCs w:val="24"/>
        </w:rPr>
        <w:t>5  显示屏显示要求</w:t>
      </w:r>
    </w:p>
    <w:p>
      <w:pPr>
        <w:spacing w:line="360" w:lineRule="auto"/>
        <w:ind w:firstLine="480" w:firstLineChars="200"/>
        <w:rPr>
          <w:rFonts w:ascii="宋体" w:hAnsi="宋体"/>
          <w:color w:val="000000"/>
          <w:sz w:val="24"/>
        </w:rPr>
      </w:pPr>
      <w:r>
        <w:rPr>
          <w:rFonts w:hint="eastAsia" w:ascii="宋体" w:hAnsi="宋体"/>
          <w:color w:val="000000"/>
          <w:sz w:val="24"/>
        </w:rPr>
        <w:t>网联计价器的计价项目、运营状态应唯一显示，不得多屏显示。在网联计价器进入重车状态后，计价项目及运营状态信息应始终在显示界面上显示，不可切换至其他界面。</w:t>
      </w:r>
    </w:p>
    <w:p>
      <w:pPr>
        <w:spacing w:line="360" w:lineRule="auto"/>
      </w:pPr>
      <w:r>
        <w:rPr>
          <w:rFonts w:hint="eastAsia" w:ascii="宋体" w:hAnsi="宋体"/>
          <w:color w:val="000000"/>
          <w:sz w:val="24"/>
        </w:rPr>
        <w:t xml:space="preserve">    计价界面显示的内容应正确，字迹清晰，不能出现缺画断码现象。</w:t>
      </w:r>
    </w:p>
    <w:p>
      <w:pPr>
        <w:spacing w:line="360" w:lineRule="auto"/>
      </w:pPr>
      <w:r>
        <w:rPr>
          <w:color w:val="000000"/>
          <w:kern w:val="0"/>
          <w:sz w:val="24"/>
        </w:rPr>
        <w:t>6.3.6</w:t>
      </w:r>
      <w:r>
        <w:rPr>
          <w:rFonts w:hint="eastAsia" w:ascii="宋体" w:hAnsi="宋体"/>
          <w:color w:val="000000"/>
          <w:sz w:val="24"/>
        </w:rPr>
        <w:t xml:space="preserve">  与显示屏连接的要求</w:t>
      </w:r>
    </w:p>
    <w:p>
      <w:pPr>
        <w:spacing w:after="156" w:afterLines="50" w:line="360" w:lineRule="auto"/>
      </w:pPr>
      <w:r>
        <w:rPr>
          <w:rFonts w:hint="eastAsia" w:ascii="宋体" w:hAnsi="宋体"/>
          <w:color w:val="000000"/>
          <w:sz w:val="24"/>
          <w:szCs w:val="28"/>
        </w:rPr>
        <w:t xml:space="preserve">    分体式主机形式的网联计价器，在送显时应采取有效可靠的防范措施，确保显示单元的显示内容不能被篡改或旁路显示。</w:t>
      </w:r>
    </w:p>
    <w:p>
      <w:pPr>
        <w:pStyle w:val="3"/>
        <w:snapToGrid w:val="0"/>
        <w:spacing w:line="360" w:lineRule="auto"/>
        <w:ind w:firstLine="0"/>
        <w:jc w:val="both"/>
        <w:rPr>
          <w:i w:val="0"/>
          <w:color w:val="000000"/>
          <w:sz w:val="24"/>
          <w:szCs w:val="28"/>
        </w:rPr>
      </w:pPr>
      <w:bookmarkStart w:id="71" w:name="_Toc85663496"/>
      <w:r>
        <w:rPr>
          <w:rFonts w:ascii="Times New Roman"/>
          <w:i w:val="0"/>
          <w:color w:val="000000"/>
          <w:sz w:val="24"/>
          <w:szCs w:val="28"/>
        </w:rPr>
        <w:t>6.</w:t>
      </w:r>
      <w:r>
        <w:rPr>
          <w:rFonts w:hint="eastAsia" w:ascii="Times New Roman"/>
          <w:i w:val="0"/>
          <w:color w:val="000000"/>
          <w:sz w:val="24"/>
          <w:szCs w:val="28"/>
        </w:rPr>
        <w:t>4</w:t>
      </w:r>
      <w:r>
        <w:rPr>
          <w:rFonts w:ascii="Times New Roman"/>
          <w:i w:val="0"/>
          <w:color w:val="000000"/>
          <w:sz w:val="24"/>
          <w:szCs w:val="28"/>
        </w:rPr>
        <w:t xml:space="preserve"> </w:t>
      </w:r>
      <w:r>
        <w:rPr>
          <w:rFonts w:hint="eastAsia" w:ascii="Times New Roman"/>
          <w:i w:val="0"/>
          <w:color w:val="000000"/>
          <w:sz w:val="24"/>
          <w:szCs w:val="28"/>
        </w:rPr>
        <w:t xml:space="preserve"> </w:t>
      </w:r>
      <w:r>
        <w:rPr>
          <w:rFonts w:hint="eastAsia"/>
          <w:i w:val="0"/>
          <w:color w:val="000000"/>
          <w:sz w:val="24"/>
          <w:szCs w:val="28"/>
        </w:rPr>
        <w:t>里程测量传感器</w:t>
      </w:r>
      <w:bookmarkEnd w:id="71"/>
    </w:p>
    <w:p>
      <w:pPr>
        <w:spacing w:line="360" w:lineRule="auto"/>
        <w:ind w:firstLine="480" w:firstLineChars="200"/>
        <w:rPr>
          <w:rFonts w:ascii="宋体" w:hAnsi="宋体"/>
          <w:color w:val="000000"/>
          <w:sz w:val="24"/>
        </w:rPr>
      </w:pPr>
      <w:r>
        <w:rPr>
          <w:rFonts w:hint="eastAsia" w:ascii="宋体" w:hAnsi="宋体"/>
          <w:color w:val="000000"/>
          <w:sz w:val="24"/>
        </w:rPr>
        <w:t>里程测量传感器应能够直接将出租汽车变速器或驱动轮的转动信号转换成网联计价器可识别的脉冲信号。网联计价器安装到出租汽车上，必须使用与网联计价器匹配的独立传感器。</w:t>
      </w:r>
    </w:p>
    <w:p>
      <w:pPr>
        <w:spacing w:after="156" w:afterLines="50" w:line="360" w:lineRule="auto"/>
        <w:ind w:firstLine="480" w:firstLineChars="200"/>
        <w:rPr>
          <w:rFonts w:ascii="宋体" w:hAnsi="宋体"/>
          <w:color w:val="000000"/>
          <w:sz w:val="24"/>
        </w:rPr>
      </w:pPr>
      <w:r>
        <w:rPr>
          <w:rFonts w:hint="eastAsia" w:ascii="宋体" w:hAnsi="宋体"/>
          <w:color w:val="000000"/>
          <w:sz w:val="24"/>
        </w:rPr>
        <w:t>里程测量传感器与网联计价器适用性条件见附录</w:t>
      </w:r>
      <w:r>
        <w:rPr>
          <w:color w:val="000000"/>
          <w:sz w:val="24"/>
        </w:rPr>
        <w:t>A</w:t>
      </w:r>
      <w:r>
        <w:rPr>
          <w:rFonts w:hint="eastAsia" w:ascii="宋体" w:hAnsi="宋体"/>
          <w:color w:val="000000"/>
          <w:sz w:val="24"/>
        </w:rPr>
        <w:t>。</w:t>
      </w:r>
    </w:p>
    <w:p>
      <w:pPr>
        <w:pStyle w:val="3"/>
        <w:snapToGrid w:val="0"/>
        <w:spacing w:line="360" w:lineRule="auto"/>
        <w:ind w:firstLine="0"/>
        <w:jc w:val="both"/>
        <w:rPr>
          <w:i w:val="0"/>
          <w:color w:val="000000"/>
          <w:sz w:val="24"/>
          <w:szCs w:val="28"/>
        </w:rPr>
      </w:pPr>
      <w:bookmarkStart w:id="72" w:name="_Toc85663497"/>
      <w:r>
        <w:rPr>
          <w:rFonts w:ascii="Times New Roman"/>
          <w:i w:val="0"/>
          <w:color w:val="000000"/>
          <w:sz w:val="24"/>
          <w:szCs w:val="28"/>
        </w:rPr>
        <w:t>6.</w:t>
      </w:r>
      <w:r>
        <w:rPr>
          <w:rFonts w:hint="eastAsia" w:ascii="Times New Roman"/>
          <w:i w:val="0"/>
          <w:color w:val="000000"/>
          <w:sz w:val="24"/>
          <w:szCs w:val="28"/>
        </w:rPr>
        <w:t>5</w:t>
      </w:r>
      <w:r>
        <w:rPr>
          <w:rFonts w:ascii="Times New Roman"/>
          <w:i w:val="0"/>
          <w:color w:val="000000"/>
          <w:sz w:val="24"/>
          <w:szCs w:val="28"/>
        </w:rPr>
        <w:t xml:space="preserve"> </w:t>
      </w:r>
      <w:r>
        <w:rPr>
          <w:rFonts w:hint="eastAsia" w:ascii="Times New Roman"/>
          <w:i w:val="0"/>
          <w:color w:val="000000"/>
          <w:sz w:val="24"/>
          <w:szCs w:val="28"/>
        </w:rPr>
        <w:t xml:space="preserve"> </w:t>
      </w:r>
      <w:r>
        <w:rPr>
          <w:rFonts w:hint="eastAsia"/>
          <w:i w:val="0"/>
          <w:color w:val="000000"/>
          <w:sz w:val="24"/>
          <w:szCs w:val="28"/>
        </w:rPr>
        <w:t>空重车转换装置</w:t>
      </w:r>
      <w:bookmarkEnd w:id="72"/>
    </w:p>
    <w:p>
      <w:pPr>
        <w:spacing w:after="156" w:afterLines="50" w:line="360" w:lineRule="auto"/>
        <w:ind w:firstLine="480" w:firstLineChars="200"/>
        <w:rPr>
          <w:rFonts w:ascii="宋体" w:hAnsi="宋体"/>
          <w:color w:val="000000"/>
          <w:sz w:val="24"/>
        </w:rPr>
      </w:pPr>
      <w:r>
        <w:rPr>
          <w:rFonts w:hint="eastAsia" w:ascii="宋体" w:hAnsi="宋体"/>
          <w:color w:val="000000"/>
          <w:sz w:val="24"/>
        </w:rPr>
        <w:t>空重车转换装置应可靠地实现空车、重车状态的转变。</w:t>
      </w:r>
    </w:p>
    <w:p>
      <w:pPr>
        <w:pStyle w:val="3"/>
        <w:snapToGrid w:val="0"/>
        <w:spacing w:line="360" w:lineRule="auto"/>
        <w:ind w:firstLine="0"/>
        <w:jc w:val="both"/>
        <w:rPr>
          <w:i w:val="0"/>
          <w:color w:val="000000"/>
          <w:sz w:val="24"/>
          <w:szCs w:val="28"/>
        </w:rPr>
      </w:pPr>
      <w:bookmarkStart w:id="73" w:name="_Toc85663498"/>
      <w:r>
        <w:rPr>
          <w:rFonts w:ascii="Times New Roman"/>
          <w:i w:val="0"/>
          <w:color w:val="000000"/>
          <w:sz w:val="24"/>
          <w:szCs w:val="28"/>
        </w:rPr>
        <w:t>6.</w:t>
      </w:r>
      <w:r>
        <w:rPr>
          <w:rFonts w:hint="eastAsia" w:ascii="Times New Roman"/>
          <w:i w:val="0"/>
          <w:color w:val="000000"/>
          <w:sz w:val="24"/>
          <w:szCs w:val="28"/>
        </w:rPr>
        <w:t xml:space="preserve">6  </w:t>
      </w:r>
      <w:r>
        <w:rPr>
          <w:rFonts w:hint="eastAsia"/>
          <w:i w:val="0"/>
          <w:color w:val="000000"/>
          <w:sz w:val="24"/>
          <w:szCs w:val="28"/>
        </w:rPr>
        <w:t>计价模式</w:t>
      </w:r>
      <w:bookmarkEnd w:id="73"/>
    </w:p>
    <w:p>
      <w:pPr>
        <w:pStyle w:val="49"/>
        <w:snapToGrid w:val="0"/>
        <w:spacing w:line="360" w:lineRule="auto"/>
        <w:rPr>
          <w:rFonts w:ascii="Times New Roman" w:eastAsia="宋体"/>
          <w:color w:val="000000"/>
          <w:sz w:val="24"/>
          <w:szCs w:val="24"/>
        </w:rPr>
      </w:pPr>
      <w:r>
        <w:rPr>
          <w:rFonts w:ascii="Times New Roman" w:eastAsia="宋体"/>
          <w:color w:val="000000"/>
          <w:sz w:val="24"/>
          <w:szCs w:val="24"/>
        </w:rPr>
        <w:t>6.</w:t>
      </w:r>
      <w:r>
        <w:rPr>
          <w:rFonts w:hint="eastAsia" w:ascii="Times New Roman" w:eastAsia="宋体"/>
          <w:color w:val="000000"/>
          <w:sz w:val="24"/>
          <w:szCs w:val="24"/>
        </w:rPr>
        <w:t>6</w:t>
      </w:r>
      <w:r>
        <w:rPr>
          <w:rFonts w:ascii="Times New Roman" w:eastAsia="宋体"/>
          <w:color w:val="000000"/>
          <w:sz w:val="24"/>
          <w:szCs w:val="24"/>
        </w:rPr>
        <w:t>.</w:t>
      </w:r>
      <w:r>
        <w:rPr>
          <w:rFonts w:hint="eastAsia" w:ascii="Times New Roman" w:eastAsia="宋体"/>
          <w:color w:val="000000"/>
          <w:sz w:val="24"/>
          <w:szCs w:val="24"/>
        </w:rPr>
        <w:t>1  起程</w:t>
      </w:r>
    </w:p>
    <w:p>
      <w:pPr>
        <w:spacing w:line="360" w:lineRule="auto"/>
        <w:ind w:firstLine="480" w:firstLineChars="200"/>
        <w:rPr>
          <w:rFonts w:ascii="宋体" w:hAnsi="宋体"/>
          <w:color w:val="000000"/>
          <w:sz w:val="24"/>
        </w:rPr>
      </w:pPr>
      <w:r>
        <w:rPr>
          <w:rFonts w:hint="eastAsia" w:ascii="宋体" w:hAnsi="宋体"/>
          <w:color w:val="000000"/>
          <w:sz w:val="24"/>
        </w:rPr>
        <w:t>起程应为</w:t>
      </w:r>
      <w:r>
        <w:rPr>
          <w:color w:val="000000"/>
          <w:sz w:val="24"/>
        </w:rPr>
        <w:t>0.1km</w:t>
      </w:r>
      <w:r>
        <w:rPr>
          <w:rFonts w:hint="eastAsia" w:ascii="宋体" w:hAnsi="宋体"/>
          <w:color w:val="000000"/>
          <w:sz w:val="24"/>
        </w:rPr>
        <w:t>的整数倍数，网联计价器到达起程时即变价。</w:t>
      </w:r>
    </w:p>
    <w:p>
      <w:pPr>
        <w:pStyle w:val="49"/>
        <w:snapToGrid w:val="0"/>
        <w:spacing w:line="360" w:lineRule="auto"/>
        <w:rPr>
          <w:rFonts w:ascii="Times New Roman" w:eastAsia="宋体"/>
          <w:color w:val="000000"/>
          <w:sz w:val="24"/>
          <w:szCs w:val="24"/>
        </w:rPr>
      </w:pPr>
      <w:r>
        <w:rPr>
          <w:rFonts w:ascii="Times New Roman" w:eastAsia="宋体"/>
          <w:color w:val="000000"/>
          <w:sz w:val="24"/>
          <w:szCs w:val="24"/>
        </w:rPr>
        <w:t>6.</w:t>
      </w:r>
      <w:r>
        <w:rPr>
          <w:rFonts w:hint="eastAsia" w:ascii="Times New Roman" w:eastAsia="宋体"/>
          <w:color w:val="000000"/>
          <w:sz w:val="24"/>
          <w:szCs w:val="24"/>
        </w:rPr>
        <w:t>6</w:t>
      </w:r>
      <w:r>
        <w:rPr>
          <w:rFonts w:ascii="Times New Roman" w:eastAsia="宋体"/>
          <w:color w:val="000000"/>
          <w:sz w:val="24"/>
          <w:szCs w:val="24"/>
        </w:rPr>
        <w:t>.</w:t>
      </w:r>
      <w:r>
        <w:rPr>
          <w:rFonts w:hint="eastAsia" w:ascii="Times New Roman" w:eastAsia="宋体"/>
          <w:color w:val="000000"/>
          <w:sz w:val="24"/>
          <w:szCs w:val="24"/>
        </w:rPr>
        <w:t>2  续程</w:t>
      </w:r>
    </w:p>
    <w:p>
      <w:pPr>
        <w:spacing w:line="360" w:lineRule="auto"/>
        <w:ind w:firstLine="480" w:firstLineChars="200"/>
        <w:rPr>
          <w:rFonts w:ascii="宋体" w:hAnsi="宋体"/>
          <w:color w:val="000000"/>
          <w:sz w:val="24"/>
        </w:rPr>
      </w:pPr>
      <w:r>
        <w:rPr>
          <w:rFonts w:hint="eastAsia" w:ascii="宋体" w:hAnsi="宋体"/>
          <w:color w:val="000000"/>
          <w:sz w:val="24"/>
        </w:rPr>
        <w:t>续程应为</w:t>
      </w:r>
      <w:r>
        <w:rPr>
          <w:rFonts w:hint="eastAsia"/>
          <w:color w:val="000000"/>
          <w:sz w:val="24"/>
        </w:rPr>
        <w:t>0.1 km</w:t>
      </w:r>
      <w:r>
        <w:rPr>
          <w:rFonts w:hint="eastAsia" w:ascii="宋体" w:hAnsi="宋体"/>
          <w:color w:val="000000"/>
          <w:sz w:val="24"/>
        </w:rPr>
        <w:t>的整数倍数，网联计价器每到达续程点时即变价。</w:t>
      </w:r>
    </w:p>
    <w:p>
      <w:pPr>
        <w:pStyle w:val="49"/>
        <w:snapToGrid w:val="0"/>
        <w:spacing w:line="360" w:lineRule="auto"/>
        <w:rPr>
          <w:rFonts w:ascii="Times New Roman" w:eastAsia="宋体"/>
          <w:color w:val="000000"/>
          <w:sz w:val="24"/>
          <w:szCs w:val="24"/>
        </w:rPr>
      </w:pPr>
      <w:r>
        <w:rPr>
          <w:rFonts w:ascii="Times New Roman" w:eastAsia="宋体"/>
          <w:color w:val="000000"/>
          <w:sz w:val="24"/>
          <w:szCs w:val="24"/>
        </w:rPr>
        <w:t>6.</w:t>
      </w:r>
      <w:r>
        <w:rPr>
          <w:rFonts w:hint="eastAsia" w:ascii="Times New Roman" w:eastAsia="宋体"/>
          <w:color w:val="000000"/>
          <w:sz w:val="24"/>
          <w:szCs w:val="24"/>
        </w:rPr>
        <w:t>6</w:t>
      </w:r>
      <w:r>
        <w:rPr>
          <w:rFonts w:ascii="Times New Roman" w:eastAsia="宋体"/>
          <w:color w:val="000000"/>
          <w:sz w:val="24"/>
          <w:szCs w:val="24"/>
        </w:rPr>
        <w:t>.</w:t>
      </w:r>
      <w:r>
        <w:rPr>
          <w:rFonts w:hint="eastAsia" w:ascii="Times New Roman" w:eastAsia="宋体"/>
          <w:color w:val="000000"/>
          <w:sz w:val="24"/>
          <w:szCs w:val="24"/>
        </w:rPr>
        <w:t>3  单程（里贴）加价</w:t>
      </w:r>
    </w:p>
    <w:p>
      <w:pPr>
        <w:spacing w:line="360" w:lineRule="auto"/>
        <w:ind w:firstLine="480" w:firstLineChars="200"/>
        <w:rPr>
          <w:rFonts w:ascii="宋体" w:hAnsi="宋体"/>
          <w:color w:val="000000"/>
          <w:sz w:val="24"/>
        </w:rPr>
      </w:pPr>
      <w:r>
        <w:rPr>
          <w:rFonts w:hint="eastAsia" w:ascii="宋体" w:hAnsi="宋体"/>
          <w:color w:val="000000"/>
          <w:sz w:val="24"/>
        </w:rPr>
        <w:t>单程（里贴）应加收基本单价</w:t>
      </w:r>
      <w:r>
        <w:rPr>
          <w:color w:val="000000"/>
          <w:sz w:val="24"/>
        </w:rPr>
        <w:t>10%</w:t>
      </w:r>
      <w:r>
        <w:rPr>
          <w:rFonts w:hint="eastAsia" w:ascii="宋体" w:hAnsi="宋体"/>
          <w:color w:val="000000"/>
          <w:sz w:val="24"/>
        </w:rPr>
        <w:t>的整数倍数。</w:t>
      </w:r>
    </w:p>
    <w:p>
      <w:pPr>
        <w:pStyle w:val="49"/>
        <w:snapToGrid w:val="0"/>
        <w:spacing w:line="360" w:lineRule="auto"/>
        <w:rPr>
          <w:rFonts w:ascii="Times New Roman" w:eastAsia="宋体"/>
          <w:color w:val="000000"/>
          <w:sz w:val="24"/>
          <w:szCs w:val="24"/>
        </w:rPr>
      </w:pPr>
      <w:r>
        <w:rPr>
          <w:rFonts w:ascii="Times New Roman" w:eastAsia="宋体"/>
          <w:color w:val="000000"/>
          <w:sz w:val="24"/>
          <w:szCs w:val="24"/>
        </w:rPr>
        <w:t>6.</w:t>
      </w:r>
      <w:r>
        <w:rPr>
          <w:rFonts w:hint="eastAsia" w:ascii="Times New Roman" w:eastAsia="宋体"/>
          <w:color w:val="000000"/>
          <w:sz w:val="24"/>
          <w:szCs w:val="24"/>
        </w:rPr>
        <w:t>6</w:t>
      </w:r>
      <w:r>
        <w:rPr>
          <w:rFonts w:ascii="Times New Roman" w:eastAsia="宋体"/>
          <w:color w:val="000000"/>
          <w:sz w:val="24"/>
          <w:szCs w:val="24"/>
        </w:rPr>
        <w:t>.</w:t>
      </w:r>
      <w:r>
        <w:rPr>
          <w:rFonts w:hint="eastAsia" w:ascii="Times New Roman" w:eastAsia="宋体"/>
          <w:color w:val="000000"/>
          <w:sz w:val="24"/>
          <w:szCs w:val="24"/>
        </w:rPr>
        <w:t>4  夜间加价</w:t>
      </w:r>
    </w:p>
    <w:p>
      <w:pPr>
        <w:spacing w:after="156" w:afterLines="50" w:line="360" w:lineRule="auto"/>
        <w:ind w:firstLine="480" w:firstLineChars="200"/>
        <w:rPr>
          <w:rFonts w:ascii="宋体" w:hAnsi="宋体"/>
          <w:color w:val="000000"/>
          <w:sz w:val="24"/>
        </w:rPr>
      </w:pPr>
      <w:r>
        <w:rPr>
          <w:rFonts w:hint="eastAsia" w:ascii="宋体" w:hAnsi="宋体"/>
          <w:color w:val="000000"/>
          <w:sz w:val="24"/>
        </w:rPr>
        <w:t>夜间应加收基本单价</w:t>
      </w:r>
      <w:r>
        <w:rPr>
          <w:color w:val="000000"/>
          <w:sz w:val="24"/>
        </w:rPr>
        <w:t>10%</w:t>
      </w:r>
      <w:r>
        <w:rPr>
          <w:rFonts w:hint="eastAsia" w:ascii="宋体" w:hAnsi="宋体"/>
          <w:color w:val="000000"/>
          <w:sz w:val="24"/>
        </w:rPr>
        <w:t>的整数倍数。</w:t>
      </w:r>
    </w:p>
    <w:p>
      <w:pPr>
        <w:pStyle w:val="3"/>
        <w:snapToGrid w:val="0"/>
        <w:spacing w:line="360" w:lineRule="auto"/>
        <w:ind w:firstLine="0"/>
        <w:jc w:val="both"/>
        <w:rPr>
          <w:i w:val="0"/>
          <w:color w:val="000000"/>
          <w:sz w:val="24"/>
          <w:szCs w:val="28"/>
        </w:rPr>
      </w:pPr>
      <w:bookmarkStart w:id="74" w:name="_Toc85663499"/>
      <w:r>
        <w:rPr>
          <w:rFonts w:ascii="Times New Roman"/>
          <w:i w:val="0"/>
          <w:color w:val="000000"/>
          <w:sz w:val="24"/>
          <w:szCs w:val="28"/>
        </w:rPr>
        <w:t>6.</w:t>
      </w:r>
      <w:r>
        <w:rPr>
          <w:rFonts w:hint="eastAsia" w:ascii="Times New Roman"/>
          <w:i w:val="0"/>
          <w:color w:val="000000"/>
          <w:sz w:val="24"/>
          <w:szCs w:val="28"/>
        </w:rPr>
        <w:t xml:space="preserve">7  </w:t>
      </w:r>
      <w:r>
        <w:rPr>
          <w:rFonts w:hint="eastAsia"/>
          <w:i w:val="0"/>
          <w:color w:val="000000"/>
          <w:sz w:val="24"/>
          <w:szCs w:val="28"/>
        </w:rPr>
        <w:t>计费程序设计的基本原则</w:t>
      </w:r>
      <w:bookmarkEnd w:id="74"/>
    </w:p>
    <w:p>
      <w:pPr>
        <w:pStyle w:val="49"/>
        <w:snapToGrid w:val="0"/>
        <w:spacing w:line="360" w:lineRule="auto"/>
        <w:rPr>
          <w:rFonts w:ascii="Times New Roman" w:eastAsia="宋体"/>
          <w:color w:val="000000"/>
          <w:sz w:val="24"/>
          <w:szCs w:val="24"/>
        </w:rPr>
      </w:pPr>
      <w:r>
        <w:rPr>
          <w:rFonts w:ascii="Times New Roman" w:eastAsia="宋体"/>
          <w:color w:val="000000"/>
          <w:sz w:val="24"/>
          <w:szCs w:val="24"/>
        </w:rPr>
        <w:t>6.</w:t>
      </w:r>
      <w:r>
        <w:rPr>
          <w:rFonts w:hint="eastAsia" w:ascii="Times New Roman" w:eastAsia="宋体"/>
          <w:color w:val="000000"/>
          <w:sz w:val="24"/>
          <w:szCs w:val="24"/>
        </w:rPr>
        <w:t>7</w:t>
      </w:r>
      <w:r>
        <w:rPr>
          <w:rFonts w:ascii="Times New Roman" w:eastAsia="宋体"/>
          <w:color w:val="000000"/>
          <w:sz w:val="24"/>
          <w:szCs w:val="24"/>
        </w:rPr>
        <w:t>.</w:t>
      </w:r>
      <w:r>
        <w:rPr>
          <w:rFonts w:hint="eastAsia" w:ascii="Times New Roman" w:eastAsia="宋体"/>
          <w:color w:val="000000"/>
          <w:sz w:val="24"/>
          <w:szCs w:val="24"/>
        </w:rPr>
        <w:t>1  计费方法</w:t>
      </w:r>
    </w:p>
    <w:p>
      <w:pPr>
        <w:spacing w:line="360" w:lineRule="auto"/>
        <w:ind w:firstLine="480" w:firstLineChars="200"/>
        <w:rPr>
          <w:rFonts w:ascii="宋体" w:hAnsi="宋体"/>
          <w:color w:val="000000"/>
          <w:sz w:val="24"/>
        </w:rPr>
      </w:pPr>
      <w:r>
        <w:rPr>
          <w:rFonts w:hint="eastAsia" w:ascii="宋体" w:hAnsi="宋体"/>
          <w:color w:val="000000"/>
          <w:sz w:val="24"/>
        </w:rPr>
        <w:t>计费程序设计应采用“等距法”。</w:t>
      </w:r>
    </w:p>
    <w:p>
      <w:pPr>
        <w:pStyle w:val="49"/>
        <w:snapToGrid w:val="0"/>
        <w:spacing w:line="360" w:lineRule="auto"/>
        <w:rPr>
          <w:rFonts w:ascii="Times New Roman" w:eastAsia="宋体"/>
          <w:color w:val="000000"/>
          <w:sz w:val="24"/>
          <w:szCs w:val="24"/>
        </w:rPr>
      </w:pPr>
      <w:r>
        <w:rPr>
          <w:rFonts w:ascii="Times New Roman" w:eastAsia="宋体"/>
          <w:color w:val="000000"/>
          <w:sz w:val="24"/>
          <w:szCs w:val="24"/>
        </w:rPr>
        <w:t>6.</w:t>
      </w:r>
      <w:r>
        <w:rPr>
          <w:rFonts w:hint="eastAsia" w:ascii="Times New Roman" w:eastAsia="宋体"/>
          <w:color w:val="000000"/>
          <w:sz w:val="24"/>
          <w:szCs w:val="24"/>
        </w:rPr>
        <w:t>7</w:t>
      </w:r>
      <w:r>
        <w:rPr>
          <w:rFonts w:ascii="Times New Roman" w:eastAsia="宋体"/>
          <w:color w:val="000000"/>
          <w:sz w:val="24"/>
          <w:szCs w:val="24"/>
        </w:rPr>
        <w:t>.</w:t>
      </w:r>
      <w:r>
        <w:rPr>
          <w:rFonts w:hint="eastAsia" w:ascii="Times New Roman" w:eastAsia="宋体"/>
          <w:color w:val="000000"/>
          <w:sz w:val="24"/>
          <w:szCs w:val="24"/>
        </w:rPr>
        <w:t>2  时距冲抵</w:t>
      </w:r>
    </w:p>
    <w:p>
      <w:pPr>
        <w:spacing w:line="360" w:lineRule="auto"/>
        <w:ind w:firstLine="480" w:firstLineChars="200"/>
        <w:rPr>
          <w:rFonts w:ascii="宋体" w:hAnsi="宋体"/>
          <w:color w:val="000000"/>
          <w:sz w:val="24"/>
        </w:rPr>
      </w:pPr>
      <w:r>
        <w:rPr>
          <w:rFonts w:hint="eastAsia" w:ascii="宋体" w:hAnsi="宋体"/>
          <w:color w:val="000000"/>
          <w:sz w:val="24"/>
        </w:rPr>
        <w:t>在起程公里内，计时应冲抵计程，但单程（里贴）加价里程点不变。</w:t>
      </w:r>
    </w:p>
    <w:p>
      <w:pPr>
        <w:pStyle w:val="49"/>
        <w:snapToGrid w:val="0"/>
        <w:spacing w:line="360" w:lineRule="auto"/>
        <w:rPr>
          <w:rFonts w:ascii="Times New Roman" w:eastAsia="宋体"/>
          <w:color w:val="000000"/>
          <w:sz w:val="24"/>
          <w:szCs w:val="24"/>
        </w:rPr>
      </w:pPr>
      <w:r>
        <w:rPr>
          <w:rFonts w:ascii="Times New Roman" w:eastAsia="宋体"/>
          <w:color w:val="000000"/>
          <w:sz w:val="24"/>
          <w:szCs w:val="24"/>
        </w:rPr>
        <w:t>6.</w:t>
      </w:r>
      <w:r>
        <w:rPr>
          <w:rFonts w:hint="eastAsia" w:ascii="Times New Roman" w:eastAsia="宋体"/>
          <w:color w:val="000000"/>
          <w:sz w:val="24"/>
          <w:szCs w:val="24"/>
        </w:rPr>
        <w:t>7</w:t>
      </w:r>
      <w:r>
        <w:rPr>
          <w:rFonts w:ascii="Times New Roman" w:eastAsia="宋体"/>
          <w:color w:val="000000"/>
          <w:sz w:val="24"/>
          <w:szCs w:val="24"/>
        </w:rPr>
        <w:t>.</w:t>
      </w:r>
      <w:r>
        <w:rPr>
          <w:rFonts w:hint="eastAsia" w:ascii="Times New Roman" w:eastAsia="宋体"/>
          <w:color w:val="000000"/>
          <w:sz w:val="24"/>
          <w:szCs w:val="24"/>
        </w:rPr>
        <w:t>3  计程收费</w:t>
      </w:r>
    </w:p>
    <w:p>
      <w:pPr>
        <w:spacing w:line="360" w:lineRule="auto"/>
        <w:ind w:firstLine="480" w:firstLineChars="200"/>
        <w:rPr>
          <w:rFonts w:ascii="宋体" w:hAnsi="宋体"/>
          <w:color w:val="000000"/>
          <w:sz w:val="24"/>
        </w:rPr>
      </w:pPr>
      <w:r>
        <w:rPr>
          <w:rFonts w:hint="eastAsia" w:ascii="宋体" w:hAnsi="宋体"/>
          <w:color w:val="000000"/>
          <w:sz w:val="24"/>
        </w:rPr>
        <w:t>在无时距冲抵的条件下，网联计价器“计程”时第一次增加金额应在计程里程等于起程时发生，之后每到续程即增加相应的金额。</w:t>
      </w:r>
    </w:p>
    <w:p>
      <w:pPr>
        <w:pStyle w:val="49"/>
        <w:snapToGrid w:val="0"/>
        <w:spacing w:line="360" w:lineRule="auto"/>
        <w:rPr>
          <w:rFonts w:ascii="Times New Roman" w:eastAsia="宋体"/>
          <w:color w:val="000000"/>
          <w:sz w:val="24"/>
          <w:szCs w:val="24"/>
        </w:rPr>
      </w:pPr>
      <w:r>
        <w:rPr>
          <w:rFonts w:ascii="Times New Roman" w:eastAsia="宋体"/>
          <w:color w:val="000000"/>
          <w:sz w:val="24"/>
          <w:szCs w:val="24"/>
        </w:rPr>
        <w:t>6.</w:t>
      </w:r>
      <w:r>
        <w:rPr>
          <w:rFonts w:hint="eastAsia" w:ascii="Times New Roman" w:eastAsia="宋体"/>
          <w:color w:val="000000"/>
          <w:sz w:val="24"/>
          <w:szCs w:val="24"/>
        </w:rPr>
        <w:t>7</w:t>
      </w:r>
      <w:r>
        <w:rPr>
          <w:rFonts w:ascii="Times New Roman" w:eastAsia="宋体"/>
          <w:color w:val="000000"/>
          <w:sz w:val="24"/>
          <w:szCs w:val="24"/>
        </w:rPr>
        <w:t>.</w:t>
      </w:r>
      <w:r>
        <w:rPr>
          <w:rFonts w:hint="eastAsia" w:ascii="Times New Roman" w:eastAsia="宋体"/>
          <w:color w:val="000000"/>
          <w:sz w:val="24"/>
          <w:szCs w:val="24"/>
        </w:rPr>
        <w:t>4  计时收费</w:t>
      </w:r>
    </w:p>
    <w:p>
      <w:pPr>
        <w:spacing w:line="360" w:lineRule="auto"/>
        <w:ind w:firstLine="480" w:firstLineChars="200"/>
        <w:rPr>
          <w:rFonts w:ascii="宋体" w:hAnsi="宋体"/>
          <w:color w:val="000000"/>
          <w:sz w:val="24"/>
        </w:rPr>
      </w:pPr>
      <w:r>
        <w:rPr>
          <w:rFonts w:hint="eastAsia" w:ascii="宋体" w:hAnsi="宋体"/>
          <w:color w:val="000000"/>
          <w:sz w:val="24"/>
        </w:rPr>
        <w:t>网联计价器“计时”增加金额，应在到达规定的计时时间发生。</w:t>
      </w:r>
    </w:p>
    <w:p>
      <w:pPr>
        <w:pStyle w:val="3"/>
        <w:snapToGrid w:val="0"/>
        <w:spacing w:line="360" w:lineRule="auto"/>
        <w:ind w:firstLine="0"/>
        <w:jc w:val="both"/>
        <w:rPr>
          <w:i w:val="0"/>
          <w:color w:val="000000"/>
          <w:sz w:val="24"/>
          <w:szCs w:val="28"/>
        </w:rPr>
      </w:pPr>
      <w:bookmarkStart w:id="75" w:name="_Toc85663500"/>
      <w:r>
        <w:rPr>
          <w:rFonts w:ascii="Times New Roman"/>
          <w:i w:val="0"/>
          <w:color w:val="000000"/>
          <w:sz w:val="24"/>
          <w:szCs w:val="28"/>
        </w:rPr>
        <w:t>6.</w:t>
      </w:r>
      <w:r>
        <w:rPr>
          <w:rFonts w:hint="eastAsia" w:ascii="Times New Roman"/>
          <w:i w:val="0"/>
          <w:color w:val="000000"/>
          <w:sz w:val="24"/>
          <w:szCs w:val="28"/>
        </w:rPr>
        <w:t xml:space="preserve">8  </w:t>
      </w:r>
      <w:r>
        <w:rPr>
          <w:rFonts w:hint="eastAsia"/>
          <w:i w:val="0"/>
          <w:color w:val="000000"/>
          <w:sz w:val="24"/>
          <w:szCs w:val="28"/>
        </w:rPr>
        <w:t>计价功能</w:t>
      </w:r>
      <w:bookmarkEnd w:id="75"/>
    </w:p>
    <w:p>
      <w:pPr>
        <w:spacing w:line="360" w:lineRule="auto"/>
        <w:ind w:firstLine="480" w:firstLineChars="200"/>
        <w:rPr>
          <w:rFonts w:ascii="宋体" w:hAnsi="宋体"/>
          <w:color w:val="000000"/>
          <w:sz w:val="24"/>
        </w:rPr>
      </w:pPr>
      <w:r>
        <w:rPr>
          <w:rFonts w:hint="eastAsia" w:ascii="宋体" w:hAnsi="宋体"/>
          <w:color w:val="000000"/>
          <w:sz w:val="24"/>
        </w:rPr>
        <w:t>应符合本市政府有关主管部门制定的计费标准。</w:t>
      </w:r>
    </w:p>
    <w:bookmarkEnd w:id="69"/>
    <w:p>
      <w:pPr>
        <w:pStyle w:val="2"/>
        <w:numPr>
          <w:ilvl w:val="0"/>
          <w:numId w:val="1"/>
        </w:numPr>
        <w:snapToGrid w:val="0"/>
        <w:spacing w:before="156" w:beforeLines="50" w:after="156" w:afterLines="50" w:line="360" w:lineRule="auto"/>
        <w:ind w:left="357" w:hanging="357"/>
        <w:jc w:val="both"/>
        <w:rPr>
          <w:rFonts w:hAnsi="黑体"/>
          <w:color w:val="000000"/>
          <w:sz w:val="24"/>
        </w:rPr>
      </w:pPr>
      <w:bookmarkStart w:id="76" w:name="_Toc85663501"/>
      <w:bookmarkStart w:id="77" w:name="_Toc65742868"/>
      <w:bookmarkStart w:id="78" w:name="_Toc411058933"/>
      <w:bookmarkStart w:id="79" w:name="_Toc70324014"/>
      <w:bookmarkStart w:id="80" w:name="_Toc70327720"/>
      <w:r>
        <w:rPr>
          <w:rFonts w:hint="eastAsia" w:hAnsi="黑体"/>
          <w:color w:val="000000"/>
          <w:sz w:val="24"/>
        </w:rPr>
        <w:t>计量器具控制</w:t>
      </w:r>
      <w:bookmarkEnd w:id="76"/>
    </w:p>
    <w:p>
      <w:pPr>
        <w:pStyle w:val="3"/>
        <w:snapToGrid w:val="0"/>
        <w:spacing w:line="360" w:lineRule="auto"/>
        <w:ind w:firstLine="0"/>
        <w:jc w:val="both"/>
        <w:rPr>
          <w:i w:val="0"/>
          <w:color w:val="000000"/>
          <w:sz w:val="24"/>
          <w:szCs w:val="28"/>
        </w:rPr>
      </w:pPr>
      <w:bookmarkStart w:id="81" w:name="_Toc85663502"/>
      <w:r>
        <w:rPr>
          <w:rFonts w:hint="eastAsia" w:ascii="Times New Roman"/>
          <w:i w:val="0"/>
          <w:color w:val="000000"/>
          <w:sz w:val="24"/>
          <w:szCs w:val="28"/>
        </w:rPr>
        <w:t>7.1</w:t>
      </w:r>
      <w:bookmarkEnd w:id="77"/>
      <w:bookmarkEnd w:id="78"/>
      <w:r>
        <w:rPr>
          <w:rFonts w:hint="eastAsia" w:ascii="Times New Roman"/>
          <w:i w:val="0"/>
          <w:color w:val="000000"/>
          <w:sz w:val="24"/>
          <w:szCs w:val="28"/>
        </w:rPr>
        <w:t xml:space="preserve"> </w:t>
      </w:r>
      <w:bookmarkEnd w:id="79"/>
      <w:bookmarkEnd w:id="80"/>
      <w:r>
        <w:rPr>
          <w:rFonts w:hint="eastAsia" w:ascii="Times New Roman"/>
          <w:i w:val="0"/>
          <w:color w:val="000000"/>
          <w:sz w:val="24"/>
          <w:szCs w:val="28"/>
        </w:rPr>
        <w:t xml:space="preserve"> </w:t>
      </w:r>
      <w:r>
        <w:rPr>
          <w:rFonts w:hint="eastAsia"/>
          <w:i w:val="0"/>
          <w:color w:val="000000"/>
          <w:sz w:val="24"/>
          <w:szCs w:val="28"/>
        </w:rPr>
        <w:t>装车后的网联计价器检定</w:t>
      </w:r>
      <w:bookmarkEnd w:id="81"/>
    </w:p>
    <w:p>
      <w:pPr>
        <w:snapToGrid w:val="0"/>
        <w:spacing w:line="360" w:lineRule="auto"/>
        <w:ind w:left="-141" w:leftChars="-67" w:firstLine="480" w:firstLineChars="200"/>
        <w:jc w:val="left"/>
        <w:rPr>
          <w:sz w:val="24"/>
          <w:szCs w:val="28"/>
        </w:rPr>
      </w:pPr>
      <w:r>
        <w:rPr>
          <w:rFonts w:hint="eastAsia" w:ascii="宋体" w:hAnsi="宋体"/>
          <w:sz w:val="24"/>
        </w:rPr>
        <w:t>出厂检验合格的网联计价器安装到出租汽车上后，应连同车辆一起进行计程的误差检定。检定方法为滚轮测距法。</w:t>
      </w:r>
    </w:p>
    <w:p>
      <w:pPr>
        <w:pStyle w:val="49"/>
        <w:snapToGrid w:val="0"/>
        <w:spacing w:line="360" w:lineRule="auto"/>
        <w:rPr>
          <w:rFonts w:ascii="Times New Roman" w:eastAsia="宋体"/>
          <w:color w:val="000000"/>
          <w:sz w:val="24"/>
          <w:szCs w:val="24"/>
        </w:rPr>
      </w:pPr>
      <w:r>
        <w:rPr>
          <w:rFonts w:hint="eastAsia" w:ascii="Times New Roman" w:eastAsia="宋体"/>
          <w:color w:val="000000"/>
          <w:sz w:val="24"/>
          <w:szCs w:val="24"/>
        </w:rPr>
        <w:t>7</w:t>
      </w:r>
      <w:r>
        <w:rPr>
          <w:rFonts w:ascii="Times New Roman" w:eastAsia="宋体"/>
          <w:color w:val="000000"/>
          <w:sz w:val="24"/>
          <w:szCs w:val="24"/>
        </w:rPr>
        <w:t>.</w:t>
      </w:r>
      <w:r>
        <w:rPr>
          <w:rFonts w:hint="eastAsia" w:ascii="Times New Roman" w:eastAsia="宋体"/>
          <w:color w:val="000000"/>
          <w:sz w:val="24"/>
          <w:szCs w:val="24"/>
        </w:rPr>
        <w:t>1</w:t>
      </w:r>
      <w:r>
        <w:rPr>
          <w:rFonts w:ascii="Times New Roman" w:eastAsia="宋体"/>
          <w:color w:val="000000"/>
          <w:sz w:val="24"/>
          <w:szCs w:val="24"/>
        </w:rPr>
        <w:t>.</w:t>
      </w:r>
      <w:r>
        <w:rPr>
          <w:rFonts w:hint="eastAsia" w:ascii="Times New Roman" w:eastAsia="宋体"/>
          <w:color w:val="000000"/>
          <w:sz w:val="24"/>
          <w:szCs w:val="24"/>
        </w:rPr>
        <w:t>1  检定条件</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(1) 计量标准器及配套设备见表1。</w:t>
      </w:r>
    </w:p>
    <w:p/>
    <w:p/>
    <w:p>
      <w:pPr>
        <w:pStyle w:val="49"/>
        <w:snapToGrid w:val="0"/>
        <w:spacing w:line="360" w:lineRule="auto"/>
        <w:jc w:val="center"/>
        <w:rPr>
          <w:rFonts w:hAnsi="黑体"/>
          <w:color w:val="000000"/>
          <w:szCs w:val="21"/>
        </w:rPr>
      </w:pPr>
      <w:r>
        <w:rPr>
          <w:rFonts w:hAnsi="黑体"/>
          <w:color w:val="000000"/>
          <w:szCs w:val="21"/>
        </w:rPr>
        <w:t>表</w:t>
      </w:r>
      <w:r>
        <w:rPr>
          <w:rFonts w:hint="eastAsia" w:hAnsi="黑体"/>
          <w:color w:val="000000"/>
          <w:szCs w:val="21"/>
        </w:rPr>
        <w:t>1滚轮测距法检定用计量标准器及配套设备</w:t>
      </w:r>
    </w:p>
    <w:tbl>
      <w:tblPr>
        <w:tblStyle w:val="24"/>
        <w:tblW w:w="91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2976"/>
        <w:gridCol w:w="5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022" w:type="dxa"/>
            <w:vAlign w:val="center"/>
          </w:tcPr>
          <w:p>
            <w:pPr>
              <w:jc w:val="center"/>
              <w:rPr>
                <w:rFonts w:ascii="宋体" w:hAnsi="宋体" w:cs="宋体"/>
                <w:kern w:val="0"/>
                <w:szCs w:val="21"/>
              </w:rPr>
            </w:pPr>
            <w:r>
              <w:rPr>
                <w:rFonts w:hint="eastAsia" w:ascii="宋体" w:hAnsi="宋体" w:cs="宋体"/>
                <w:kern w:val="0"/>
                <w:szCs w:val="21"/>
              </w:rPr>
              <w:t>序号</w:t>
            </w:r>
          </w:p>
        </w:tc>
        <w:tc>
          <w:tcPr>
            <w:tcW w:w="2976" w:type="dxa"/>
            <w:vAlign w:val="center"/>
          </w:tcPr>
          <w:p>
            <w:pPr>
              <w:jc w:val="center"/>
              <w:rPr>
                <w:rFonts w:ascii="宋体" w:hAnsi="宋体" w:cs="宋体"/>
                <w:kern w:val="0"/>
                <w:szCs w:val="21"/>
              </w:rPr>
            </w:pPr>
            <w:r>
              <w:rPr>
                <w:rFonts w:hint="eastAsia" w:ascii="宋体" w:hAnsi="宋体" w:cs="宋体"/>
                <w:szCs w:val="21"/>
              </w:rPr>
              <w:t>名称</w:t>
            </w:r>
          </w:p>
        </w:tc>
        <w:tc>
          <w:tcPr>
            <w:tcW w:w="5129" w:type="dxa"/>
            <w:vAlign w:val="center"/>
          </w:tcPr>
          <w:p>
            <w:pPr>
              <w:jc w:val="center"/>
              <w:rPr>
                <w:rFonts w:ascii="宋体" w:hAnsi="宋体" w:cs="宋体"/>
                <w:szCs w:val="21"/>
              </w:rPr>
            </w:pPr>
            <w:r>
              <w:rPr>
                <w:rFonts w:hint="eastAsia" w:ascii="宋体" w:hAnsi="宋体" w:cs="宋体"/>
                <w:szCs w:val="21"/>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22" w:type="dxa"/>
            <w:vMerge w:val="restart"/>
            <w:vAlign w:val="center"/>
          </w:tcPr>
          <w:p>
            <w:pPr>
              <w:jc w:val="center"/>
              <w:rPr>
                <w:rFonts w:ascii="宋体" w:hAnsi="宋体" w:cs="宋体"/>
                <w:kern w:val="0"/>
                <w:szCs w:val="21"/>
              </w:rPr>
            </w:pPr>
            <w:r>
              <w:rPr>
                <w:rFonts w:hint="eastAsia" w:ascii="宋体" w:hAnsi="宋体" w:cs="宋体"/>
                <w:kern w:val="0"/>
                <w:szCs w:val="21"/>
              </w:rPr>
              <w:t>1</w:t>
            </w:r>
          </w:p>
        </w:tc>
        <w:tc>
          <w:tcPr>
            <w:tcW w:w="2976" w:type="dxa"/>
            <w:vMerge w:val="restart"/>
            <w:vAlign w:val="center"/>
          </w:tcPr>
          <w:p>
            <w:pPr>
              <w:jc w:val="center"/>
              <w:rPr>
                <w:szCs w:val="21"/>
              </w:rPr>
            </w:pPr>
            <w:r>
              <w:rPr>
                <w:rStyle w:val="30"/>
                <w:rFonts w:hint="eastAsia"/>
                <w:color w:val="auto"/>
                <w:szCs w:val="21"/>
                <w:u w:val="none"/>
              </w:rPr>
              <w:t>滚轮测距法出租汽车计价器(使用)检定装置</w:t>
            </w:r>
          </w:p>
        </w:tc>
        <w:tc>
          <w:tcPr>
            <w:tcW w:w="5129" w:type="dxa"/>
            <w:vAlign w:val="center"/>
          </w:tcPr>
          <w:p>
            <w:pPr>
              <w:jc w:val="left"/>
              <w:rPr>
                <w:rFonts w:ascii="宋体" w:hAnsi="宋体" w:cs="宋体"/>
                <w:szCs w:val="21"/>
              </w:rPr>
            </w:pPr>
            <w:r>
              <w:rPr>
                <w:rFonts w:hint="eastAsia" w:ascii="宋体" w:hAnsi="宋体" w:cs="宋体"/>
                <w:szCs w:val="21"/>
              </w:rPr>
              <w:t>主滚轮周长不小于</w:t>
            </w:r>
            <w:r>
              <w:rPr>
                <w:szCs w:val="21"/>
              </w:rPr>
              <w:t>1m</w:t>
            </w:r>
            <w:r>
              <w:rPr>
                <w:rFonts w:hint="eastAsia" w:ascii="宋体" w:hAnsi="宋体" w:cs="宋体"/>
                <w:szCs w:val="21"/>
              </w:rPr>
              <w:t>，</w:t>
            </w:r>
            <w:r>
              <w:rPr>
                <w:szCs w:val="21"/>
              </w:rPr>
              <w:t>MPE：±0.2%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22" w:type="dxa"/>
            <w:vMerge w:val="continue"/>
            <w:vAlign w:val="center"/>
          </w:tcPr>
          <w:p>
            <w:pPr>
              <w:jc w:val="center"/>
              <w:rPr>
                <w:rFonts w:ascii="宋体" w:hAnsi="宋体" w:cs="宋体"/>
                <w:kern w:val="0"/>
                <w:szCs w:val="21"/>
              </w:rPr>
            </w:pPr>
          </w:p>
        </w:tc>
        <w:tc>
          <w:tcPr>
            <w:tcW w:w="2976" w:type="dxa"/>
            <w:vMerge w:val="continue"/>
            <w:vAlign w:val="center"/>
          </w:tcPr>
          <w:p>
            <w:pPr>
              <w:jc w:val="center"/>
              <w:rPr>
                <w:rStyle w:val="30"/>
                <w:color w:val="auto"/>
                <w:szCs w:val="21"/>
                <w:u w:val="none"/>
              </w:rPr>
            </w:pPr>
          </w:p>
        </w:tc>
        <w:tc>
          <w:tcPr>
            <w:tcW w:w="5129" w:type="dxa"/>
            <w:vAlign w:val="center"/>
          </w:tcPr>
          <w:p>
            <w:pPr>
              <w:jc w:val="left"/>
              <w:rPr>
                <w:szCs w:val="21"/>
              </w:rPr>
            </w:pPr>
            <w:r>
              <w:rPr>
                <w:rFonts w:hint="eastAsia"/>
                <w:szCs w:val="21"/>
              </w:rPr>
              <w:t>计数器计数范围0~9999，MPE：±[(读数×0.1%)+1r]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22" w:type="dxa"/>
            <w:vMerge w:val="continue"/>
            <w:vAlign w:val="center"/>
          </w:tcPr>
          <w:p>
            <w:pPr>
              <w:jc w:val="center"/>
              <w:rPr>
                <w:rFonts w:ascii="宋体" w:hAnsi="宋体" w:cs="宋体"/>
                <w:kern w:val="0"/>
                <w:szCs w:val="21"/>
              </w:rPr>
            </w:pPr>
          </w:p>
        </w:tc>
        <w:tc>
          <w:tcPr>
            <w:tcW w:w="2976" w:type="dxa"/>
            <w:vMerge w:val="continue"/>
            <w:vAlign w:val="center"/>
          </w:tcPr>
          <w:p>
            <w:pPr>
              <w:jc w:val="center"/>
              <w:rPr>
                <w:rStyle w:val="30"/>
                <w:color w:val="auto"/>
                <w:szCs w:val="21"/>
                <w:u w:val="none"/>
              </w:rPr>
            </w:pPr>
          </w:p>
        </w:tc>
        <w:tc>
          <w:tcPr>
            <w:tcW w:w="5129" w:type="dxa"/>
            <w:vAlign w:val="center"/>
          </w:tcPr>
          <w:p>
            <w:pPr>
              <w:jc w:val="left"/>
              <w:rPr>
                <w:szCs w:val="21"/>
              </w:rPr>
            </w:pPr>
            <w:r>
              <w:rPr>
                <w:rFonts w:hint="eastAsia"/>
                <w:szCs w:val="21"/>
              </w:rPr>
              <w:t>主滚轮速度60km/h或40km/h，MPE：±3km/h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22" w:type="dxa"/>
            <w:vMerge w:val="continue"/>
            <w:vAlign w:val="center"/>
          </w:tcPr>
          <w:p>
            <w:pPr>
              <w:jc w:val="center"/>
              <w:rPr>
                <w:rFonts w:ascii="宋体" w:hAnsi="宋体" w:cs="宋体"/>
                <w:kern w:val="0"/>
                <w:szCs w:val="21"/>
              </w:rPr>
            </w:pPr>
          </w:p>
        </w:tc>
        <w:tc>
          <w:tcPr>
            <w:tcW w:w="2976" w:type="dxa"/>
            <w:vMerge w:val="continue"/>
            <w:vAlign w:val="center"/>
          </w:tcPr>
          <w:p>
            <w:pPr>
              <w:jc w:val="center"/>
              <w:rPr>
                <w:rStyle w:val="30"/>
                <w:color w:val="auto"/>
                <w:szCs w:val="21"/>
                <w:u w:val="none"/>
              </w:rPr>
            </w:pPr>
          </w:p>
        </w:tc>
        <w:tc>
          <w:tcPr>
            <w:tcW w:w="5129" w:type="dxa"/>
            <w:vAlign w:val="center"/>
          </w:tcPr>
          <w:p>
            <w:pPr>
              <w:jc w:val="left"/>
              <w:rPr>
                <w:szCs w:val="21"/>
              </w:rPr>
            </w:pPr>
            <w:r>
              <w:rPr>
                <w:rFonts w:hint="eastAsia"/>
                <w:szCs w:val="21"/>
              </w:rPr>
              <w:t>主滚轮带动出租汽车驱动轮转动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jc w:val="center"/>
        </w:trPr>
        <w:tc>
          <w:tcPr>
            <w:tcW w:w="1022" w:type="dxa"/>
            <w:vAlign w:val="center"/>
          </w:tcPr>
          <w:p>
            <w:pPr>
              <w:jc w:val="center"/>
              <w:rPr>
                <w:rFonts w:ascii="宋体" w:hAnsi="宋体" w:cs="宋体"/>
                <w:kern w:val="0"/>
                <w:szCs w:val="21"/>
              </w:rPr>
            </w:pPr>
            <w:r>
              <w:rPr>
                <w:rFonts w:hint="eastAsia" w:ascii="宋体" w:hAnsi="宋体" w:cs="宋体"/>
                <w:kern w:val="0"/>
                <w:szCs w:val="21"/>
              </w:rPr>
              <w:t>2</w:t>
            </w:r>
          </w:p>
        </w:tc>
        <w:tc>
          <w:tcPr>
            <w:tcW w:w="2976" w:type="dxa"/>
            <w:vAlign w:val="center"/>
          </w:tcPr>
          <w:p>
            <w:pPr>
              <w:jc w:val="center"/>
              <w:rPr>
                <w:szCs w:val="21"/>
              </w:rPr>
            </w:pPr>
            <w:r>
              <w:rPr>
                <w:rStyle w:val="30"/>
                <w:rFonts w:hint="eastAsia"/>
                <w:color w:val="auto"/>
                <w:szCs w:val="21"/>
                <w:u w:val="none"/>
              </w:rPr>
              <w:t>轮胎压力表</w:t>
            </w:r>
          </w:p>
        </w:tc>
        <w:tc>
          <w:tcPr>
            <w:tcW w:w="5129" w:type="dxa"/>
            <w:vAlign w:val="center"/>
          </w:tcPr>
          <w:p>
            <w:pPr>
              <w:jc w:val="left"/>
              <w:rPr>
                <w:rFonts w:ascii="宋体" w:hAnsi="宋体" w:cs="宋体"/>
                <w:szCs w:val="21"/>
              </w:rPr>
            </w:pPr>
            <w:r>
              <w:rPr>
                <w:rFonts w:hint="eastAsia" w:ascii="宋体" w:hAnsi="宋体" w:cs="宋体"/>
                <w:szCs w:val="21"/>
              </w:rPr>
              <w:t>测量范围</w:t>
            </w:r>
            <w:r>
              <w:rPr>
                <w:szCs w:val="21"/>
              </w:rPr>
              <w:t>(0～0.5)MPa</w:t>
            </w:r>
            <w:r>
              <w:rPr>
                <w:rFonts w:hint="eastAsia" w:ascii="宋体" w:hAnsi="宋体" w:cs="宋体"/>
                <w:szCs w:val="21"/>
              </w:rPr>
              <w:t>，分度值不大于</w:t>
            </w:r>
            <w:r>
              <w:rPr>
                <w:szCs w:val="21"/>
              </w:rPr>
              <w:t>0.02MPa</w:t>
            </w:r>
          </w:p>
          <w:p>
            <w:pPr>
              <w:jc w:val="left"/>
              <w:rPr>
                <w:rFonts w:ascii="宋体" w:hAnsi="宋体" w:cs="宋体"/>
                <w:szCs w:val="21"/>
              </w:rPr>
            </w:pPr>
            <w:r>
              <w:rPr>
                <w:rFonts w:hint="eastAsia" w:ascii="宋体" w:hAnsi="宋体" w:cs="宋体"/>
                <w:szCs w:val="21"/>
              </w:rPr>
              <w:t>准确度等级：</w:t>
            </w:r>
            <w:r>
              <w:rPr>
                <w:szCs w:val="21"/>
              </w:rPr>
              <w:t>2.5级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22" w:type="dxa"/>
            <w:vAlign w:val="center"/>
          </w:tcPr>
          <w:p>
            <w:pPr>
              <w:jc w:val="center"/>
              <w:rPr>
                <w:rFonts w:ascii="宋体" w:hAnsi="宋体" w:cs="宋体"/>
                <w:kern w:val="0"/>
                <w:szCs w:val="21"/>
              </w:rPr>
            </w:pPr>
            <w:r>
              <w:rPr>
                <w:rFonts w:hint="eastAsia" w:ascii="宋体" w:hAnsi="宋体" w:cs="宋体"/>
                <w:kern w:val="0"/>
                <w:szCs w:val="21"/>
              </w:rPr>
              <w:t>3</w:t>
            </w:r>
          </w:p>
        </w:tc>
        <w:tc>
          <w:tcPr>
            <w:tcW w:w="2976" w:type="dxa"/>
            <w:vAlign w:val="center"/>
          </w:tcPr>
          <w:p>
            <w:pPr>
              <w:jc w:val="center"/>
              <w:rPr>
                <w:rFonts w:ascii="宋体" w:hAnsi="宋体" w:cs="宋体"/>
                <w:szCs w:val="21"/>
              </w:rPr>
            </w:pPr>
            <w:r>
              <w:rPr>
                <w:rStyle w:val="30"/>
                <w:rFonts w:hint="eastAsia"/>
                <w:color w:val="auto"/>
                <w:szCs w:val="21"/>
                <w:u w:val="none"/>
              </w:rPr>
              <w:t>钢卷尺</w:t>
            </w:r>
          </w:p>
        </w:tc>
        <w:tc>
          <w:tcPr>
            <w:tcW w:w="5129" w:type="dxa"/>
            <w:vAlign w:val="center"/>
          </w:tcPr>
          <w:p>
            <w:pPr>
              <w:jc w:val="left"/>
              <w:rPr>
                <w:rFonts w:ascii="宋体" w:hAnsi="宋体" w:cs="宋体"/>
                <w:szCs w:val="21"/>
              </w:rPr>
            </w:pPr>
            <w:r>
              <w:rPr>
                <w:rFonts w:hint="eastAsia"/>
                <w:szCs w:val="21"/>
              </w:rPr>
              <w:t>测量范围</w:t>
            </w:r>
            <w:r>
              <w:rPr>
                <w:szCs w:val="21"/>
              </w:rPr>
              <w:t>(0</w:t>
            </w:r>
            <w:r>
              <w:rPr>
                <w:rFonts w:hint="eastAsia" w:ascii="MS Mincho" w:hAnsi="MS Mincho" w:eastAsia="MS Mincho" w:cs="MS Mincho"/>
                <w:szCs w:val="21"/>
              </w:rPr>
              <w:t>〜</w:t>
            </w:r>
            <w:r>
              <w:rPr>
                <w:szCs w:val="21"/>
              </w:rPr>
              <w:t>20)m</w:t>
            </w:r>
            <w:r>
              <w:rPr>
                <w:rFonts w:hint="eastAsia"/>
                <w:szCs w:val="21"/>
              </w:rPr>
              <w:t>，准确度等级，</w:t>
            </w:r>
            <w:r>
              <w:rPr>
                <w:szCs w:val="21"/>
              </w:rPr>
              <w:t>II</w:t>
            </w:r>
            <w:r>
              <w:rPr>
                <w:rFonts w:hint="eastAsia"/>
                <w:szCs w:val="21"/>
              </w:rPr>
              <w:t>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022" w:type="dxa"/>
            <w:vAlign w:val="center"/>
          </w:tcPr>
          <w:p>
            <w:pPr>
              <w:jc w:val="center"/>
              <w:rPr>
                <w:rFonts w:ascii="宋体" w:hAnsi="宋体" w:cs="宋体"/>
                <w:kern w:val="0"/>
                <w:szCs w:val="21"/>
              </w:rPr>
            </w:pPr>
            <w:r>
              <w:rPr>
                <w:rFonts w:hint="eastAsia" w:ascii="宋体" w:hAnsi="宋体" w:cs="宋体"/>
                <w:kern w:val="0"/>
                <w:szCs w:val="21"/>
              </w:rPr>
              <w:t>4</w:t>
            </w:r>
          </w:p>
        </w:tc>
        <w:tc>
          <w:tcPr>
            <w:tcW w:w="2976" w:type="dxa"/>
            <w:vAlign w:val="center"/>
          </w:tcPr>
          <w:p>
            <w:pPr>
              <w:jc w:val="center"/>
              <w:rPr>
                <w:rStyle w:val="30"/>
                <w:color w:val="auto"/>
                <w:szCs w:val="21"/>
                <w:u w:val="none"/>
              </w:rPr>
            </w:pPr>
            <w:r>
              <w:rPr>
                <w:rStyle w:val="30"/>
                <w:rFonts w:hint="eastAsia"/>
                <w:color w:val="auto"/>
                <w:szCs w:val="21"/>
                <w:u w:val="none"/>
              </w:rPr>
              <w:t>电子封印系统</w:t>
            </w:r>
          </w:p>
        </w:tc>
        <w:tc>
          <w:tcPr>
            <w:tcW w:w="5129" w:type="dxa"/>
            <w:vAlign w:val="center"/>
          </w:tcPr>
          <w:p>
            <w:pPr>
              <w:jc w:val="left"/>
              <w:rPr>
                <w:szCs w:val="21"/>
              </w:rPr>
            </w:pPr>
            <w:r>
              <w:rPr>
                <w:rFonts w:hint="eastAsia"/>
                <w:szCs w:val="21"/>
              </w:rPr>
              <w:t>具有施加与移除电子封印的功能</w:t>
            </w:r>
          </w:p>
        </w:tc>
      </w:tr>
    </w:tbl>
    <w:p>
      <w:pPr>
        <w:pStyle w:val="49"/>
        <w:snapToGrid w:val="0"/>
        <w:spacing w:before="156" w:beforeLines="50"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(2) 检定场地应清洁平整，有轮胎充气设备。</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(3) 车辆的轮胎应清洁、干燥。</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(4) 车辆的载荷应为</w:t>
      </w:r>
      <w:r>
        <w:rPr>
          <w:rFonts w:ascii="Times New Roman" w:eastAsia="宋体"/>
          <w:color w:val="000000"/>
          <w:sz w:val="24"/>
          <w:szCs w:val="24"/>
        </w:rPr>
        <w:t>1</w:t>
      </w:r>
      <w:r>
        <w:rPr>
          <w:rFonts w:hint="eastAsia" w:ascii="Times New Roman" w:eastAsiaTheme="minorEastAsia"/>
          <w:color w:val="000000"/>
          <w:sz w:val="24"/>
          <w:szCs w:val="24"/>
        </w:rPr>
        <w:t>~</w:t>
      </w:r>
      <w:r>
        <w:rPr>
          <w:rFonts w:ascii="Times New Roman" w:eastAsia="宋体"/>
          <w:color w:val="000000"/>
          <w:sz w:val="24"/>
          <w:szCs w:val="24"/>
        </w:rPr>
        <w:t>2</w:t>
      </w:r>
      <w:r>
        <w:rPr>
          <w:rFonts w:hint="eastAsia" w:ascii="Times New Roman" w:eastAsia="宋体"/>
          <w:color w:val="000000"/>
          <w:sz w:val="24"/>
          <w:szCs w:val="24"/>
        </w:rPr>
        <w:t>名成年人的重量。</w:t>
      </w:r>
    </w:p>
    <w:p>
      <w:pPr>
        <w:pStyle w:val="49"/>
        <w:snapToGrid w:val="0"/>
        <w:spacing w:after="156" w:afterLines="50"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(5) 车辆轮胎气压应为汽车制造厂规定的气压。</w:t>
      </w:r>
    </w:p>
    <w:p>
      <w:pPr>
        <w:pStyle w:val="49"/>
        <w:snapToGrid w:val="0"/>
        <w:spacing w:line="360" w:lineRule="auto"/>
        <w:rPr>
          <w:rFonts w:ascii="Times New Roman" w:eastAsia="宋体"/>
          <w:color w:val="000000"/>
          <w:sz w:val="24"/>
          <w:szCs w:val="24"/>
        </w:rPr>
      </w:pPr>
      <w:r>
        <w:rPr>
          <w:rFonts w:hint="eastAsia" w:ascii="Times New Roman" w:eastAsia="宋体"/>
          <w:color w:val="000000"/>
          <w:sz w:val="24"/>
          <w:szCs w:val="24"/>
        </w:rPr>
        <w:t>7</w:t>
      </w:r>
      <w:r>
        <w:rPr>
          <w:rFonts w:ascii="Times New Roman" w:eastAsia="宋体"/>
          <w:color w:val="000000"/>
          <w:sz w:val="24"/>
          <w:szCs w:val="24"/>
        </w:rPr>
        <w:t>.</w:t>
      </w:r>
      <w:r>
        <w:rPr>
          <w:rFonts w:hint="eastAsia" w:ascii="Times New Roman" w:eastAsia="宋体"/>
          <w:color w:val="000000"/>
          <w:sz w:val="24"/>
          <w:szCs w:val="24"/>
        </w:rPr>
        <w:t>1</w:t>
      </w:r>
      <w:r>
        <w:rPr>
          <w:rFonts w:ascii="Times New Roman" w:eastAsia="宋体"/>
          <w:color w:val="000000"/>
          <w:sz w:val="24"/>
          <w:szCs w:val="24"/>
        </w:rPr>
        <w:t>.2</w:t>
      </w:r>
      <w:r>
        <w:rPr>
          <w:rFonts w:hint="eastAsia" w:ascii="Times New Roman" w:eastAsia="宋体"/>
          <w:color w:val="000000"/>
          <w:sz w:val="24"/>
          <w:szCs w:val="24"/>
        </w:rPr>
        <w:t xml:space="preserve">  检定项目</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首次检定和后续检定的项目见表2。</w:t>
      </w:r>
    </w:p>
    <w:p>
      <w:pPr>
        <w:pStyle w:val="49"/>
        <w:snapToGrid w:val="0"/>
        <w:spacing w:line="360" w:lineRule="auto"/>
        <w:jc w:val="center"/>
        <w:rPr>
          <w:rFonts w:hAnsi="黑体"/>
          <w:color w:val="000000"/>
          <w:szCs w:val="21"/>
        </w:rPr>
      </w:pPr>
      <w:r>
        <w:rPr>
          <w:rFonts w:hAnsi="黑体"/>
          <w:color w:val="000000"/>
          <w:szCs w:val="21"/>
        </w:rPr>
        <w:t>表2</w:t>
      </w:r>
      <w:r>
        <w:rPr>
          <w:rFonts w:hint="eastAsia" w:hAnsi="黑体"/>
          <w:color w:val="000000"/>
          <w:szCs w:val="21"/>
        </w:rPr>
        <w:t>装车后的网联计价器检定项目</w:t>
      </w:r>
    </w:p>
    <w:tbl>
      <w:tblPr>
        <w:tblStyle w:val="24"/>
        <w:tblW w:w="91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2"/>
        <w:gridCol w:w="2026"/>
        <w:gridCol w:w="3039"/>
        <w:gridCol w:w="3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022" w:type="dxa"/>
            <w:vAlign w:val="center"/>
          </w:tcPr>
          <w:p>
            <w:pPr>
              <w:jc w:val="center"/>
              <w:rPr>
                <w:rFonts w:ascii="宋体" w:hAnsi="宋体" w:cs="宋体"/>
                <w:kern w:val="0"/>
                <w:szCs w:val="21"/>
              </w:rPr>
            </w:pPr>
            <w:r>
              <w:rPr>
                <w:rFonts w:hint="eastAsia" w:ascii="宋体" w:hAnsi="宋体" w:cs="宋体"/>
                <w:kern w:val="0"/>
                <w:szCs w:val="21"/>
              </w:rPr>
              <w:t>序号</w:t>
            </w:r>
          </w:p>
        </w:tc>
        <w:tc>
          <w:tcPr>
            <w:tcW w:w="2026" w:type="dxa"/>
            <w:vAlign w:val="center"/>
          </w:tcPr>
          <w:p>
            <w:pPr>
              <w:jc w:val="center"/>
              <w:rPr>
                <w:rFonts w:ascii="宋体" w:hAnsi="宋体" w:cs="宋体"/>
                <w:kern w:val="0"/>
                <w:szCs w:val="21"/>
              </w:rPr>
            </w:pPr>
            <w:r>
              <w:rPr>
                <w:rFonts w:hint="eastAsia" w:ascii="宋体" w:hAnsi="宋体" w:cs="宋体"/>
                <w:szCs w:val="21"/>
              </w:rPr>
              <w:t>检定项目</w:t>
            </w:r>
          </w:p>
        </w:tc>
        <w:tc>
          <w:tcPr>
            <w:tcW w:w="3039" w:type="dxa"/>
            <w:vAlign w:val="center"/>
          </w:tcPr>
          <w:p>
            <w:pPr>
              <w:jc w:val="center"/>
              <w:rPr>
                <w:rFonts w:ascii="宋体" w:hAnsi="宋体" w:cs="宋体"/>
                <w:szCs w:val="21"/>
              </w:rPr>
            </w:pPr>
            <w:r>
              <w:rPr>
                <w:rFonts w:hint="eastAsia" w:ascii="宋体" w:hAnsi="宋体" w:cs="宋体"/>
                <w:szCs w:val="21"/>
              </w:rPr>
              <w:t>首次检定</w:t>
            </w:r>
          </w:p>
        </w:tc>
        <w:tc>
          <w:tcPr>
            <w:tcW w:w="3040" w:type="dxa"/>
            <w:vAlign w:val="center"/>
          </w:tcPr>
          <w:p>
            <w:pPr>
              <w:jc w:val="center"/>
              <w:rPr>
                <w:rFonts w:ascii="宋体" w:hAnsi="宋体" w:cs="宋体"/>
                <w:szCs w:val="21"/>
              </w:rPr>
            </w:pPr>
            <w:r>
              <w:rPr>
                <w:rFonts w:hint="eastAsia" w:ascii="宋体" w:hAnsi="宋体" w:cs="宋体"/>
                <w:szCs w:val="21"/>
              </w:rPr>
              <w:t>后续检定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022" w:type="dxa"/>
            <w:vAlign w:val="center"/>
          </w:tcPr>
          <w:p>
            <w:pPr>
              <w:jc w:val="center"/>
              <w:rPr>
                <w:rFonts w:ascii="宋体" w:hAnsi="宋体" w:cs="宋体"/>
                <w:kern w:val="0"/>
                <w:szCs w:val="21"/>
              </w:rPr>
            </w:pPr>
            <w:r>
              <w:rPr>
                <w:rFonts w:hint="eastAsia" w:ascii="宋体" w:hAnsi="宋体" w:cs="宋体"/>
                <w:kern w:val="0"/>
                <w:szCs w:val="21"/>
              </w:rPr>
              <w:t>1</w:t>
            </w:r>
          </w:p>
        </w:tc>
        <w:tc>
          <w:tcPr>
            <w:tcW w:w="2026" w:type="dxa"/>
            <w:vAlign w:val="center"/>
          </w:tcPr>
          <w:p>
            <w:pPr>
              <w:jc w:val="center"/>
              <w:rPr>
                <w:szCs w:val="21"/>
              </w:rPr>
            </w:pPr>
            <w:r>
              <w:rPr>
                <w:rStyle w:val="30"/>
                <w:rFonts w:hint="eastAsia"/>
                <w:color w:val="auto"/>
                <w:szCs w:val="21"/>
                <w:u w:val="none"/>
              </w:rPr>
              <w:t>里程测量传感器</w:t>
            </w:r>
          </w:p>
        </w:tc>
        <w:tc>
          <w:tcPr>
            <w:tcW w:w="3039" w:type="dxa"/>
            <w:vAlign w:val="center"/>
          </w:tcPr>
          <w:p>
            <w:pPr>
              <w:jc w:val="center"/>
              <w:rPr>
                <w:rFonts w:ascii="宋体" w:hAnsi="宋体" w:cs="宋体"/>
                <w:szCs w:val="21"/>
              </w:rPr>
            </w:pPr>
            <w:r>
              <w:rPr>
                <w:rFonts w:ascii="宋体" w:hAnsi="宋体" w:cs="宋体"/>
                <w:szCs w:val="21"/>
              </w:rPr>
              <w:t>+</w:t>
            </w:r>
          </w:p>
        </w:tc>
        <w:tc>
          <w:tcPr>
            <w:tcW w:w="3040" w:type="dxa"/>
            <w:vAlign w:val="center"/>
          </w:tcPr>
          <w:p>
            <w:pPr>
              <w:jc w:val="center"/>
              <w:rPr>
                <w:rFonts w:ascii="宋体" w:hAnsi="宋体" w:cs="宋体"/>
                <w:szCs w:val="21"/>
              </w:rPr>
            </w:pPr>
            <w:r>
              <w:rPr>
                <w:rFonts w:hint="eastAsia"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022" w:type="dxa"/>
            <w:vAlign w:val="center"/>
          </w:tcPr>
          <w:p>
            <w:pPr>
              <w:jc w:val="center"/>
              <w:rPr>
                <w:rFonts w:ascii="宋体" w:hAnsi="宋体" w:cs="宋体"/>
                <w:kern w:val="0"/>
                <w:szCs w:val="21"/>
              </w:rPr>
            </w:pPr>
            <w:r>
              <w:rPr>
                <w:rFonts w:hint="eastAsia" w:ascii="宋体" w:hAnsi="宋体" w:cs="宋体"/>
                <w:kern w:val="0"/>
                <w:szCs w:val="21"/>
              </w:rPr>
              <w:t>2</w:t>
            </w:r>
          </w:p>
        </w:tc>
        <w:tc>
          <w:tcPr>
            <w:tcW w:w="2026" w:type="dxa"/>
            <w:vAlign w:val="center"/>
          </w:tcPr>
          <w:p>
            <w:pPr>
              <w:jc w:val="center"/>
              <w:rPr>
                <w:szCs w:val="21"/>
              </w:rPr>
            </w:pPr>
            <w:r>
              <w:rPr>
                <w:rStyle w:val="30"/>
                <w:rFonts w:hint="eastAsia"/>
                <w:color w:val="auto"/>
                <w:szCs w:val="21"/>
                <w:u w:val="none"/>
              </w:rPr>
              <w:t>铭牌</w:t>
            </w:r>
          </w:p>
        </w:tc>
        <w:tc>
          <w:tcPr>
            <w:tcW w:w="3039" w:type="dxa"/>
            <w:vAlign w:val="center"/>
          </w:tcPr>
          <w:p>
            <w:pPr>
              <w:jc w:val="center"/>
            </w:pPr>
            <w:r>
              <w:rPr>
                <w:rFonts w:ascii="宋体" w:hAnsi="宋体" w:cs="宋体"/>
                <w:szCs w:val="21"/>
              </w:rPr>
              <w:t>+</w:t>
            </w:r>
          </w:p>
        </w:tc>
        <w:tc>
          <w:tcPr>
            <w:tcW w:w="3040" w:type="dxa"/>
            <w:vAlign w:val="center"/>
          </w:tcPr>
          <w:p>
            <w:pPr>
              <w:jc w:val="center"/>
            </w:pPr>
            <w:r>
              <w:rPr>
                <w:rFonts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022" w:type="dxa"/>
            <w:vAlign w:val="center"/>
          </w:tcPr>
          <w:p>
            <w:pPr>
              <w:jc w:val="center"/>
              <w:rPr>
                <w:rFonts w:ascii="宋体" w:hAnsi="宋体" w:cs="宋体"/>
                <w:kern w:val="0"/>
                <w:szCs w:val="21"/>
              </w:rPr>
            </w:pPr>
            <w:r>
              <w:rPr>
                <w:rFonts w:hint="eastAsia" w:ascii="宋体" w:hAnsi="宋体" w:cs="宋体"/>
                <w:kern w:val="0"/>
                <w:szCs w:val="21"/>
              </w:rPr>
              <w:t>3</w:t>
            </w:r>
          </w:p>
        </w:tc>
        <w:tc>
          <w:tcPr>
            <w:tcW w:w="2026" w:type="dxa"/>
            <w:vAlign w:val="center"/>
          </w:tcPr>
          <w:p>
            <w:pPr>
              <w:jc w:val="center"/>
              <w:rPr>
                <w:rFonts w:ascii="宋体" w:hAnsi="宋体" w:cs="宋体"/>
                <w:szCs w:val="21"/>
              </w:rPr>
            </w:pPr>
            <w:r>
              <w:rPr>
                <w:rStyle w:val="30"/>
                <w:rFonts w:hint="eastAsia"/>
                <w:color w:val="auto"/>
                <w:szCs w:val="21"/>
                <w:u w:val="none"/>
              </w:rPr>
              <w:t>显示屏</w:t>
            </w:r>
          </w:p>
        </w:tc>
        <w:tc>
          <w:tcPr>
            <w:tcW w:w="3039" w:type="dxa"/>
            <w:vAlign w:val="center"/>
          </w:tcPr>
          <w:p>
            <w:pPr>
              <w:jc w:val="center"/>
            </w:pPr>
            <w:r>
              <w:rPr>
                <w:rFonts w:ascii="宋体" w:hAnsi="宋体" w:cs="宋体"/>
                <w:szCs w:val="21"/>
              </w:rPr>
              <w:t>+</w:t>
            </w:r>
          </w:p>
        </w:tc>
        <w:tc>
          <w:tcPr>
            <w:tcW w:w="3040" w:type="dxa"/>
            <w:vAlign w:val="center"/>
          </w:tcPr>
          <w:p>
            <w:pPr>
              <w:jc w:val="center"/>
            </w:pPr>
            <w:r>
              <w:rPr>
                <w:rFonts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022" w:type="dxa"/>
            <w:vAlign w:val="center"/>
          </w:tcPr>
          <w:p>
            <w:pPr>
              <w:jc w:val="center"/>
              <w:rPr>
                <w:rFonts w:ascii="宋体" w:hAnsi="宋体" w:cs="宋体"/>
                <w:kern w:val="0"/>
                <w:szCs w:val="21"/>
              </w:rPr>
            </w:pPr>
            <w:r>
              <w:rPr>
                <w:rFonts w:hint="eastAsia" w:ascii="宋体" w:hAnsi="宋体" w:cs="宋体"/>
                <w:kern w:val="0"/>
                <w:szCs w:val="21"/>
              </w:rPr>
              <w:t>4</w:t>
            </w:r>
          </w:p>
        </w:tc>
        <w:tc>
          <w:tcPr>
            <w:tcW w:w="2026" w:type="dxa"/>
            <w:vAlign w:val="center"/>
          </w:tcPr>
          <w:p>
            <w:pPr>
              <w:jc w:val="center"/>
              <w:rPr>
                <w:rStyle w:val="30"/>
                <w:color w:val="auto"/>
                <w:szCs w:val="21"/>
                <w:u w:val="none"/>
              </w:rPr>
            </w:pPr>
            <w:r>
              <w:rPr>
                <w:rStyle w:val="30"/>
                <w:rFonts w:hint="eastAsia"/>
                <w:color w:val="auto"/>
                <w:szCs w:val="21"/>
                <w:u w:val="none"/>
              </w:rPr>
              <w:t>计程误差</w:t>
            </w:r>
          </w:p>
        </w:tc>
        <w:tc>
          <w:tcPr>
            <w:tcW w:w="3039" w:type="dxa"/>
            <w:vAlign w:val="center"/>
          </w:tcPr>
          <w:p>
            <w:pPr>
              <w:jc w:val="center"/>
            </w:pPr>
            <w:r>
              <w:rPr>
                <w:rFonts w:ascii="宋体" w:hAnsi="宋体" w:cs="宋体"/>
                <w:szCs w:val="21"/>
              </w:rPr>
              <w:t>+</w:t>
            </w:r>
          </w:p>
        </w:tc>
        <w:tc>
          <w:tcPr>
            <w:tcW w:w="3040" w:type="dxa"/>
            <w:vAlign w:val="center"/>
          </w:tcPr>
          <w:p>
            <w:pPr>
              <w:jc w:val="center"/>
            </w:pPr>
            <w:r>
              <w:rPr>
                <w:rFonts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022" w:type="dxa"/>
            <w:vAlign w:val="center"/>
          </w:tcPr>
          <w:p>
            <w:pPr>
              <w:jc w:val="center"/>
              <w:rPr>
                <w:rFonts w:ascii="宋体" w:hAnsi="宋体" w:cs="宋体"/>
                <w:kern w:val="0"/>
                <w:szCs w:val="21"/>
              </w:rPr>
            </w:pPr>
            <w:r>
              <w:rPr>
                <w:rFonts w:hint="eastAsia" w:ascii="宋体" w:hAnsi="宋体" w:cs="宋体"/>
                <w:kern w:val="0"/>
                <w:szCs w:val="21"/>
              </w:rPr>
              <w:t>5</w:t>
            </w:r>
          </w:p>
        </w:tc>
        <w:tc>
          <w:tcPr>
            <w:tcW w:w="2026" w:type="dxa"/>
            <w:vAlign w:val="center"/>
          </w:tcPr>
          <w:p>
            <w:pPr>
              <w:jc w:val="center"/>
              <w:rPr>
                <w:rStyle w:val="30"/>
                <w:color w:val="auto"/>
                <w:szCs w:val="21"/>
                <w:u w:val="none"/>
              </w:rPr>
            </w:pPr>
            <w:r>
              <w:rPr>
                <w:rStyle w:val="30"/>
                <w:rFonts w:hint="eastAsia"/>
                <w:color w:val="auto"/>
                <w:szCs w:val="21"/>
                <w:u w:val="none"/>
              </w:rPr>
              <w:t>电子封印状态标识</w:t>
            </w:r>
          </w:p>
        </w:tc>
        <w:tc>
          <w:tcPr>
            <w:tcW w:w="3039" w:type="dxa"/>
            <w:vAlign w:val="center"/>
          </w:tcPr>
          <w:p>
            <w:pPr>
              <w:jc w:val="center"/>
              <w:rPr>
                <w:rFonts w:ascii="宋体" w:hAnsi="宋体" w:cs="宋体"/>
                <w:szCs w:val="21"/>
              </w:rPr>
            </w:pPr>
            <w:r>
              <w:rPr>
                <w:rFonts w:ascii="宋体" w:hAnsi="宋体" w:cs="宋体"/>
                <w:szCs w:val="21"/>
              </w:rPr>
              <w:t>+</w:t>
            </w:r>
          </w:p>
        </w:tc>
        <w:tc>
          <w:tcPr>
            <w:tcW w:w="3040" w:type="dxa"/>
            <w:vAlign w:val="center"/>
          </w:tcPr>
          <w:p>
            <w:pPr>
              <w:jc w:val="center"/>
              <w:rPr>
                <w:rFonts w:ascii="宋体" w:hAnsi="宋体" w:cs="宋体"/>
                <w:szCs w:val="21"/>
              </w:rPr>
            </w:pPr>
            <w:r>
              <w:rPr>
                <w:rFonts w:ascii="宋体" w:hAnsi="宋体"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127" w:type="dxa"/>
            <w:gridSpan w:val="4"/>
            <w:vAlign w:val="center"/>
          </w:tcPr>
          <w:p>
            <w:pPr>
              <w:snapToGrid w:val="0"/>
              <w:spacing w:line="360" w:lineRule="auto"/>
              <w:ind w:firstLine="420" w:firstLineChars="200"/>
              <w:rPr>
                <w:rFonts w:ascii="仿宋" w:hAnsi="仿宋" w:eastAsia="仿宋"/>
                <w:color w:val="000000"/>
                <w:szCs w:val="21"/>
              </w:rPr>
            </w:pPr>
            <w:r>
              <w:rPr>
                <w:rFonts w:hint="eastAsia" w:ascii="仿宋" w:hAnsi="仿宋" w:eastAsia="仿宋"/>
                <w:color w:val="000000"/>
                <w:szCs w:val="21"/>
              </w:rPr>
              <w:t>注： “+” 表示应检项目，“</w:t>
            </w:r>
            <w:r>
              <w:rPr>
                <w:rFonts w:ascii="宋体" w:hAnsi="宋体" w:cs="宋体"/>
                <w:szCs w:val="21"/>
              </w:rPr>
              <w:t>-</w:t>
            </w:r>
            <w:r>
              <w:rPr>
                <w:rFonts w:hint="eastAsia" w:ascii="仿宋" w:hAnsi="仿宋" w:eastAsia="仿宋"/>
                <w:color w:val="000000"/>
                <w:szCs w:val="21"/>
              </w:rPr>
              <w:t>”表示不检项目</w:t>
            </w:r>
          </w:p>
        </w:tc>
      </w:tr>
    </w:tbl>
    <w:p>
      <w:pPr>
        <w:pStyle w:val="49"/>
        <w:snapToGrid w:val="0"/>
        <w:spacing w:before="156" w:beforeLines="50" w:line="360" w:lineRule="auto"/>
        <w:rPr>
          <w:rFonts w:ascii="Times New Roman" w:eastAsia="宋体"/>
          <w:color w:val="000000"/>
          <w:sz w:val="24"/>
          <w:szCs w:val="24"/>
        </w:rPr>
      </w:pPr>
      <w:r>
        <w:rPr>
          <w:rFonts w:hint="eastAsia" w:ascii="Times New Roman" w:eastAsia="宋体"/>
          <w:color w:val="000000"/>
          <w:sz w:val="24"/>
          <w:szCs w:val="24"/>
        </w:rPr>
        <w:t>7</w:t>
      </w:r>
      <w:r>
        <w:rPr>
          <w:rFonts w:ascii="Times New Roman" w:eastAsia="宋体"/>
          <w:color w:val="000000"/>
          <w:sz w:val="24"/>
          <w:szCs w:val="24"/>
        </w:rPr>
        <w:t>.</w:t>
      </w:r>
      <w:r>
        <w:rPr>
          <w:rFonts w:hint="eastAsia" w:ascii="Times New Roman" w:eastAsia="宋体"/>
          <w:color w:val="000000"/>
          <w:sz w:val="24"/>
          <w:szCs w:val="24"/>
        </w:rPr>
        <w:t>1</w:t>
      </w:r>
      <w:r>
        <w:rPr>
          <w:rFonts w:ascii="Times New Roman" w:eastAsia="宋体"/>
          <w:color w:val="000000"/>
          <w:sz w:val="24"/>
          <w:szCs w:val="24"/>
        </w:rPr>
        <w:t>.3</w:t>
      </w:r>
      <w:r>
        <w:rPr>
          <w:rFonts w:hint="eastAsia" w:ascii="Times New Roman" w:eastAsia="宋体"/>
          <w:color w:val="000000"/>
          <w:sz w:val="24"/>
          <w:szCs w:val="24"/>
        </w:rPr>
        <w:t xml:space="preserve">  检定方法</w:t>
      </w:r>
    </w:p>
    <w:p>
      <w:pPr>
        <w:pStyle w:val="49"/>
        <w:snapToGrid w:val="0"/>
        <w:spacing w:line="360" w:lineRule="auto"/>
        <w:rPr>
          <w:rFonts w:ascii="Times New Roman" w:eastAsia="宋体"/>
          <w:color w:val="000000"/>
          <w:sz w:val="24"/>
          <w:szCs w:val="24"/>
        </w:rPr>
      </w:pPr>
      <w:r>
        <w:rPr>
          <w:rFonts w:hint="eastAsia" w:ascii="Times New Roman" w:eastAsia="宋体"/>
          <w:color w:val="000000"/>
          <w:sz w:val="24"/>
          <w:szCs w:val="24"/>
        </w:rPr>
        <w:t>7</w:t>
      </w:r>
      <w:r>
        <w:rPr>
          <w:rFonts w:ascii="Times New Roman" w:eastAsia="宋体"/>
          <w:color w:val="000000"/>
          <w:sz w:val="24"/>
          <w:szCs w:val="24"/>
        </w:rPr>
        <w:t>.</w:t>
      </w:r>
      <w:r>
        <w:rPr>
          <w:rFonts w:hint="eastAsia" w:ascii="Times New Roman" w:eastAsia="宋体"/>
          <w:color w:val="000000"/>
          <w:sz w:val="24"/>
          <w:szCs w:val="24"/>
        </w:rPr>
        <w:t>1</w:t>
      </w:r>
      <w:r>
        <w:rPr>
          <w:rFonts w:ascii="Times New Roman" w:eastAsia="宋体"/>
          <w:color w:val="000000"/>
          <w:sz w:val="24"/>
          <w:szCs w:val="24"/>
        </w:rPr>
        <w:t>.3</w:t>
      </w:r>
      <w:r>
        <w:rPr>
          <w:rFonts w:hint="eastAsia" w:ascii="Times New Roman" w:eastAsia="宋体"/>
          <w:color w:val="000000"/>
          <w:sz w:val="24"/>
          <w:szCs w:val="24"/>
        </w:rPr>
        <w:t>.1  里程测量传感器检査</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检査里程测量传感器是否安装到出租汽车变速器或驱动轮上，其结果应符合6.4的要求。</w:t>
      </w:r>
    </w:p>
    <w:p>
      <w:pPr>
        <w:pStyle w:val="49"/>
        <w:snapToGrid w:val="0"/>
        <w:spacing w:line="360" w:lineRule="auto"/>
        <w:rPr>
          <w:rFonts w:ascii="Times New Roman" w:eastAsia="宋体"/>
          <w:color w:val="000000"/>
          <w:sz w:val="24"/>
          <w:szCs w:val="24"/>
        </w:rPr>
      </w:pPr>
      <w:r>
        <w:rPr>
          <w:rFonts w:hint="eastAsia" w:ascii="Times New Roman" w:eastAsia="宋体"/>
          <w:color w:val="000000"/>
          <w:sz w:val="24"/>
          <w:szCs w:val="24"/>
        </w:rPr>
        <w:t>7</w:t>
      </w:r>
      <w:r>
        <w:rPr>
          <w:rFonts w:ascii="Times New Roman" w:eastAsia="宋体"/>
          <w:color w:val="000000"/>
          <w:sz w:val="24"/>
          <w:szCs w:val="24"/>
        </w:rPr>
        <w:t>.</w:t>
      </w:r>
      <w:r>
        <w:rPr>
          <w:rFonts w:hint="eastAsia" w:ascii="Times New Roman" w:eastAsia="宋体"/>
          <w:color w:val="000000"/>
          <w:sz w:val="24"/>
          <w:szCs w:val="24"/>
        </w:rPr>
        <w:t>1</w:t>
      </w:r>
      <w:r>
        <w:rPr>
          <w:rFonts w:ascii="Times New Roman" w:eastAsia="宋体"/>
          <w:color w:val="000000"/>
          <w:sz w:val="24"/>
          <w:szCs w:val="24"/>
        </w:rPr>
        <w:t>.3</w:t>
      </w:r>
      <w:r>
        <w:rPr>
          <w:rFonts w:hint="eastAsia" w:ascii="Times New Roman" w:eastAsia="宋体"/>
          <w:color w:val="000000"/>
          <w:sz w:val="24"/>
          <w:szCs w:val="24"/>
        </w:rPr>
        <w:t>.2  铭牌检查</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检査网联计价器的铭牌信息，其结果应符合6.2的要求。</w:t>
      </w:r>
    </w:p>
    <w:p>
      <w:pPr>
        <w:pStyle w:val="49"/>
        <w:snapToGrid w:val="0"/>
        <w:spacing w:line="360" w:lineRule="auto"/>
        <w:rPr>
          <w:rFonts w:ascii="Times New Roman" w:eastAsia="宋体"/>
          <w:color w:val="000000"/>
          <w:sz w:val="24"/>
          <w:szCs w:val="24"/>
        </w:rPr>
      </w:pPr>
      <w:r>
        <w:rPr>
          <w:rFonts w:hint="eastAsia" w:ascii="Times New Roman" w:eastAsia="宋体"/>
          <w:color w:val="000000"/>
          <w:sz w:val="24"/>
          <w:szCs w:val="24"/>
        </w:rPr>
        <w:t>7</w:t>
      </w:r>
      <w:r>
        <w:rPr>
          <w:rFonts w:ascii="Times New Roman" w:eastAsia="宋体"/>
          <w:color w:val="000000"/>
          <w:sz w:val="24"/>
          <w:szCs w:val="24"/>
        </w:rPr>
        <w:t>.</w:t>
      </w:r>
      <w:r>
        <w:rPr>
          <w:rFonts w:hint="eastAsia" w:ascii="Times New Roman" w:eastAsia="宋体"/>
          <w:color w:val="000000"/>
          <w:sz w:val="24"/>
          <w:szCs w:val="24"/>
        </w:rPr>
        <w:t>1</w:t>
      </w:r>
      <w:r>
        <w:rPr>
          <w:rFonts w:ascii="Times New Roman" w:eastAsia="宋体"/>
          <w:color w:val="000000"/>
          <w:sz w:val="24"/>
          <w:szCs w:val="24"/>
        </w:rPr>
        <w:t>.3</w:t>
      </w:r>
      <w:r>
        <w:rPr>
          <w:rFonts w:hint="eastAsia" w:ascii="Times New Roman" w:eastAsia="宋体"/>
          <w:color w:val="000000"/>
          <w:sz w:val="24"/>
          <w:szCs w:val="24"/>
        </w:rPr>
        <w:t>.3  显示屏检查</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检査网联计价器的显示屏，其结果应符合6.3的要求。</w:t>
      </w:r>
    </w:p>
    <w:p>
      <w:pPr>
        <w:pStyle w:val="49"/>
        <w:snapToGrid w:val="0"/>
        <w:spacing w:line="360" w:lineRule="auto"/>
        <w:rPr>
          <w:rFonts w:ascii="Times New Roman" w:eastAsia="宋体"/>
          <w:color w:val="000000"/>
          <w:sz w:val="24"/>
          <w:szCs w:val="24"/>
        </w:rPr>
      </w:pPr>
      <w:r>
        <w:rPr>
          <w:rFonts w:hint="eastAsia" w:ascii="Times New Roman" w:eastAsia="宋体"/>
          <w:color w:val="000000"/>
          <w:sz w:val="24"/>
          <w:szCs w:val="24"/>
        </w:rPr>
        <w:t>7</w:t>
      </w:r>
      <w:r>
        <w:rPr>
          <w:rFonts w:ascii="Times New Roman" w:eastAsia="宋体"/>
          <w:color w:val="000000"/>
          <w:sz w:val="24"/>
          <w:szCs w:val="24"/>
        </w:rPr>
        <w:t>.</w:t>
      </w:r>
      <w:r>
        <w:rPr>
          <w:rFonts w:hint="eastAsia" w:ascii="Times New Roman" w:eastAsia="宋体"/>
          <w:color w:val="000000"/>
          <w:sz w:val="24"/>
          <w:szCs w:val="24"/>
        </w:rPr>
        <w:t>1</w:t>
      </w:r>
      <w:r>
        <w:rPr>
          <w:rFonts w:ascii="Times New Roman" w:eastAsia="宋体"/>
          <w:color w:val="000000"/>
          <w:sz w:val="24"/>
          <w:szCs w:val="24"/>
        </w:rPr>
        <w:t>.3</w:t>
      </w:r>
      <w:r>
        <w:rPr>
          <w:rFonts w:hint="eastAsia" w:ascii="Times New Roman" w:eastAsia="宋体"/>
          <w:color w:val="000000"/>
          <w:sz w:val="24"/>
          <w:szCs w:val="24"/>
        </w:rPr>
        <w:t>.4  电子封印检查</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检査网联计价器的电子封印状态，其结果应符合6.1.3的要求。</w:t>
      </w:r>
    </w:p>
    <w:p>
      <w:pPr>
        <w:pStyle w:val="49"/>
        <w:snapToGrid w:val="0"/>
        <w:spacing w:line="360" w:lineRule="auto"/>
        <w:rPr>
          <w:rFonts w:ascii="Times New Roman" w:eastAsia="宋体"/>
          <w:color w:val="000000"/>
          <w:sz w:val="24"/>
          <w:szCs w:val="24"/>
        </w:rPr>
      </w:pPr>
      <w:r>
        <w:rPr>
          <w:rFonts w:hint="eastAsia" w:ascii="Times New Roman" w:eastAsia="宋体"/>
          <w:color w:val="000000"/>
          <w:sz w:val="24"/>
          <w:szCs w:val="24"/>
        </w:rPr>
        <w:t>7</w:t>
      </w:r>
      <w:r>
        <w:rPr>
          <w:rFonts w:ascii="Times New Roman" w:eastAsia="宋体"/>
          <w:color w:val="000000"/>
          <w:sz w:val="24"/>
          <w:szCs w:val="24"/>
        </w:rPr>
        <w:t>.</w:t>
      </w:r>
      <w:r>
        <w:rPr>
          <w:rFonts w:hint="eastAsia" w:ascii="Times New Roman" w:eastAsia="宋体"/>
          <w:color w:val="000000"/>
          <w:sz w:val="24"/>
          <w:szCs w:val="24"/>
        </w:rPr>
        <w:t>1</w:t>
      </w:r>
      <w:r>
        <w:rPr>
          <w:rFonts w:ascii="Times New Roman" w:eastAsia="宋体"/>
          <w:color w:val="000000"/>
          <w:sz w:val="24"/>
          <w:szCs w:val="24"/>
        </w:rPr>
        <w:t>.3</w:t>
      </w:r>
      <w:r>
        <w:rPr>
          <w:rFonts w:hint="eastAsia" w:ascii="Times New Roman" w:eastAsia="宋体"/>
          <w:color w:val="000000"/>
          <w:sz w:val="24"/>
          <w:szCs w:val="24"/>
        </w:rPr>
        <w:t>.5  计程误差检定</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(1) 检定点的选择</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计程误差的检定应不少于三个检定点，包括起程点和两个续程点。</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(2) 检定步骤</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a) 对于出租汽车新车型，在首次计程误差检定时应测量并确定该车型的轮胎修正值。轮胎修正值测量方法见附录B</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b) 引导车辆驶上出租汽车计价器（使用）检定装置，使汽车驱动轮落在检定装置的主、副滚轮之间，并以适当的方法固定车辆。</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c) 记录车辆驱动轮轮胎的型号，用轮胎压力表测量轮胎气压，使其满足本规程7.1.1条中（5）的规定。</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d) 检定员坐在驾驶室副座，置“空挡”，且松开制动器。对于前驱动的车辆，施加驻车制动；对于后驱动的车辆，释放驻车制动。</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e) 网联计价器进入重车状态。</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f) 启动检定装置，观察被检网联计价器的计程屏，当计程值到达规定的检定点时，立即按下控制器的“采样键”进行采样并记录采样值，此值即为检定装置测量的计程值。</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g) 计程误差计算公式</w:t>
      </w:r>
    </w:p>
    <w:p>
      <w:pPr>
        <w:wordWrap w:val="0"/>
        <w:jc w:val="right"/>
      </w:pPr>
      <w:r>
        <w:rPr>
          <w:rFonts w:ascii="宋体" w:hAnsi="宋体" w:cs="宋体"/>
          <w:position w:val="-30"/>
          <w:sz w:val="24"/>
          <w:lang w:val="zh-TW"/>
        </w:rPr>
        <w:object>
          <v:shape id="_x0000_i1025" o:spt="75" type="#_x0000_t75" style="height:37.1pt;width:140.7pt;" o:ole="t" filled="f" o:preferrelative="t" stroked="f" coordsize="21600,21600">
            <v:path/>
            <v:fill on="f" focussize="0,0"/>
            <v:stroke on="f" joinstyle="miter"/>
            <v:imagedata r:id="rId20" o:title=""/>
            <o:lock v:ext="edit" aspectratio="t"/>
            <w10:wrap type="none"/>
            <w10:anchorlock/>
          </v:shape>
          <o:OLEObject Type="Embed" ProgID="Equation.DSMT4" ShapeID="_x0000_i1025" DrawAspect="Content" ObjectID="_1468075725" r:id="rId19">
            <o:LockedField>false</o:LockedField>
          </o:OLEObject>
        </w:object>
      </w:r>
      <w:r>
        <w:rPr>
          <w:rFonts w:hint="eastAsia"/>
          <w:position w:val="-24"/>
          <w:sz w:val="24"/>
        </w:rPr>
        <w:t xml:space="preserve">                       （1）</w:t>
      </w:r>
    </w:p>
    <w:p>
      <w:pPr>
        <w:snapToGrid w:val="0"/>
        <w:spacing w:line="360" w:lineRule="auto"/>
        <w:ind w:left="-141" w:leftChars="-67" w:firstLine="480" w:firstLineChars="200"/>
        <w:rPr>
          <w:rFonts w:ascii="宋体" w:hAnsi="宋体"/>
          <w:sz w:val="24"/>
        </w:rPr>
      </w:pPr>
      <w:r>
        <w:rPr>
          <w:rFonts w:hint="eastAsia" w:ascii="宋体" w:hAnsi="宋体"/>
          <w:sz w:val="24"/>
        </w:rPr>
        <w:t>式中：</w:t>
      </w:r>
    </w:p>
    <w:p>
      <w:pPr>
        <w:snapToGrid w:val="0"/>
        <w:spacing w:line="360" w:lineRule="auto"/>
        <w:ind w:firstLine="426" w:firstLineChars="142"/>
        <w:rPr>
          <w:rFonts w:ascii="宋体" w:hAnsi="宋体"/>
          <w:sz w:val="24"/>
        </w:rPr>
      </w:pPr>
      <w:r>
        <w:rPr>
          <w:rFonts w:hint="eastAsia" w:ascii="宋体" w:hAnsi="宋体" w:cs="宋体"/>
          <w:position w:val="-12"/>
          <w:sz w:val="30"/>
          <w:szCs w:val="30"/>
          <w:vertAlign w:val="subscript"/>
        </w:rPr>
        <w:t xml:space="preserve"> </w:t>
      </w:r>
      <w:r>
        <w:rPr>
          <w:rFonts w:ascii="宋体" w:hAnsi="宋体" w:cs="宋体"/>
          <w:position w:val="-12"/>
          <w:sz w:val="30"/>
          <w:szCs w:val="30"/>
          <w:vertAlign w:val="subscript"/>
        </w:rPr>
        <w:object>
          <v:shape id="_x0000_i1026" o:spt="75" type="#_x0000_t75" style="height:19.4pt;width:19.4pt;" o:ole="t" filled="f" o:preferrelative="t" stroked="f" coordsize="21600,21600">
            <v:path/>
            <v:fill on="f" focussize="0,0"/>
            <v:stroke on="f" joinstyle="miter"/>
            <v:imagedata r:id="rId22" o:title=""/>
            <o:lock v:ext="edit" aspectratio="t"/>
            <w10:wrap type="none"/>
            <w10:anchorlock/>
          </v:shape>
          <o:OLEObject Type="Embed" ProgID="Equation.DSMT4" ShapeID="_x0000_i1026" DrawAspect="Content" ObjectID="_1468075726" r:id="rId21">
            <o:LockedField>false</o:LockedField>
          </o:OLEObject>
        </w:object>
      </w:r>
      <w:r>
        <w:rPr>
          <w:rFonts w:hint="eastAsia" w:ascii="宋体" w:hAnsi="宋体"/>
          <w:w w:val="200"/>
          <w:sz w:val="24"/>
        </w:rPr>
        <w:t>—</w:t>
      </w:r>
      <w:r>
        <w:rPr>
          <w:rFonts w:hint="eastAsia" w:ascii="宋体" w:hAnsi="宋体"/>
          <w:sz w:val="24"/>
        </w:rPr>
        <w:t>计程误差，</w:t>
      </w:r>
      <w:r>
        <w:rPr>
          <w:rFonts w:hint="eastAsia"/>
          <w:sz w:val="24"/>
        </w:rPr>
        <w:t>％</w:t>
      </w:r>
      <w:r>
        <w:rPr>
          <w:rFonts w:hint="eastAsia" w:ascii="宋体" w:hAnsi="宋体"/>
          <w:sz w:val="24"/>
        </w:rPr>
        <w:t>；</w:t>
      </w:r>
    </w:p>
    <w:p>
      <w:pPr>
        <w:snapToGrid w:val="0"/>
        <w:spacing w:line="360" w:lineRule="auto"/>
        <w:ind w:firstLine="544" w:firstLineChars="170"/>
        <w:rPr>
          <w:rFonts w:ascii="宋体" w:hAnsi="宋体"/>
          <w:sz w:val="24"/>
        </w:rPr>
      </w:pPr>
      <w:r>
        <w:rPr>
          <w:rFonts w:ascii="宋体" w:hAnsi="宋体" w:cs="宋体"/>
          <w:i/>
          <w:iCs/>
          <w:position w:val="-4"/>
          <w:sz w:val="32"/>
          <w:szCs w:val="32"/>
        </w:rPr>
        <w:object>
          <v:shape id="_x0000_i1027" o:spt="75" type="#_x0000_t75" style="height:14.95pt;width:14.95pt;" o:ole="t" filled="f" o:preferrelative="t" stroked="f" coordsize="21600,21600">
            <v:path/>
            <v:fill on="f" focussize="0,0"/>
            <v:stroke on="f" joinstyle="miter"/>
            <v:imagedata r:id="rId24" o:title=""/>
            <o:lock v:ext="edit" aspectratio="t"/>
            <w10:wrap type="none"/>
            <w10:anchorlock/>
          </v:shape>
          <o:OLEObject Type="Embed" ProgID="Equation.DSMT4" ShapeID="_x0000_i1027" DrawAspect="Content" ObjectID="_1468075727" r:id="rId23">
            <o:LockedField>false</o:LockedField>
          </o:OLEObject>
        </w:object>
      </w:r>
      <w:r>
        <w:rPr>
          <w:rFonts w:hint="eastAsia" w:ascii="宋体" w:hAnsi="宋体"/>
          <w:w w:val="200"/>
          <w:sz w:val="24"/>
        </w:rPr>
        <w:t>—</w:t>
      </w:r>
      <w:r>
        <w:rPr>
          <w:rFonts w:hint="eastAsia"/>
          <w:sz w:val="24"/>
        </w:rPr>
        <w:t>网联计价器示值，m</w:t>
      </w:r>
      <w:r>
        <w:rPr>
          <w:rFonts w:hint="eastAsia" w:ascii="宋体" w:hAnsi="宋体"/>
          <w:sz w:val="24"/>
        </w:rPr>
        <w:t>；</w:t>
      </w:r>
    </w:p>
    <w:p>
      <w:pPr>
        <w:snapToGrid w:val="0"/>
        <w:spacing w:line="360" w:lineRule="auto"/>
        <w:ind w:firstLine="544" w:firstLineChars="170"/>
        <w:rPr>
          <w:rFonts w:ascii="宋体" w:hAnsi="宋体"/>
          <w:sz w:val="24"/>
        </w:rPr>
      </w:pPr>
      <w:r>
        <w:rPr>
          <w:rFonts w:ascii="宋体" w:hAnsi="宋体" w:cs="宋体"/>
          <w:i/>
          <w:position w:val="-6"/>
          <w:sz w:val="32"/>
          <w:szCs w:val="32"/>
        </w:rPr>
        <w:object>
          <v:shape id="_x0000_i1028" o:spt="75" type="#_x0000_t75" style="height:14.95pt;width:14.95pt;" o:ole="t" filled="f" o:preferrelative="t" stroked="f" coordsize="21600,21600">
            <v:path/>
            <v:fill on="f" focussize="0,0"/>
            <v:stroke on="f" joinstyle="miter"/>
            <v:imagedata r:id="rId26" o:title=""/>
            <o:lock v:ext="edit" aspectratio="t"/>
            <w10:wrap type="none"/>
            <w10:anchorlock/>
          </v:shape>
          <o:OLEObject Type="Embed" ProgID="Equation.DSMT4" ShapeID="_x0000_i1028" DrawAspect="Content" ObjectID="_1468075728" r:id="rId25">
            <o:LockedField>false</o:LockedField>
          </o:OLEObject>
        </w:object>
      </w:r>
      <w:r>
        <w:rPr>
          <w:rFonts w:hint="eastAsia" w:ascii="宋体" w:hAnsi="宋体"/>
          <w:w w:val="200"/>
          <w:sz w:val="24"/>
        </w:rPr>
        <w:t>—</w:t>
      </w:r>
      <w:r>
        <w:rPr>
          <w:rFonts w:hint="eastAsia"/>
          <w:sz w:val="24"/>
        </w:rPr>
        <w:t>轮胎修正值，％</w:t>
      </w:r>
      <w:r>
        <w:rPr>
          <w:rFonts w:hint="eastAsia" w:ascii="宋体" w:hAnsi="宋体"/>
          <w:sz w:val="24"/>
        </w:rPr>
        <w:t>；</w:t>
      </w:r>
    </w:p>
    <w:p>
      <w:pPr>
        <w:snapToGrid w:val="0"/>
        <w:spacing w:line="360" w:lineRule="auto"/>
        <w:ind w:firstLine="512" w:firstLineChars="160"/>
        <w:rPr>
          <w:rFonts w:ascii="宋体" w:hAnsi="宋体"/>
          <w:sz w:val="24"/>
        </w:rPr>
      </w:pPr>
      <w:r>
        <w:rPr>
          <w:rFonts w:ascii="宋体" w:hAnsi="宋体" w:cs="宋体"/>
          <w:i/>
          <w:position w:val="-12"/>
          <w:sz w:val="32"/>
          <w:szCs w:val="32"/>
        </w:rPr>
        <w:object>
          <v:shape id="_x0000_i1029" o:spt="75" type="#_x0000_t75" style="height:19.4pt;width:14.95pt;" o:ole="t" filled="f" o:preferrelative="t" stroked="f" coordsize="21600,21600">
            <v:path/>
            <v:fill on="f" focussize="0,0"/>
            <v:stroke on="f" joinstyle="miter"/>
            <v:imagedata r:id="rId28" o:title=""/>
            <o:lock v:ext="edit" aspectratio="t"/>
            <w10:wrap type="none"/>
            <w10:anchorlock/>
          </v:shape>
          <o:OLEObject Type="Embed" ProgID="Equation.DSMT4" ShapeID="_x0000_i1029" DrawAspect="Content" ObjectID="_1468075729" r:id="rId27">
            <o:LockedField>false</o:LockedField>
          </o:OLEObject>
        </w:object>
      </w:r>
      <w:r>
        <w:rPr>
          <w:rFonts w:hint="eastAsia" w:ascii="宋体" w:hAnsi="宋体"/>
          <w:w w:val="200"/>
          <w:sz w:val="24"/>
        </w:rPr>
        <w:t>—</w:t>
      </w:r>
      <w:r>
        <w:rPr>
          <w:rFonts w:hint="eastAsia"/>
          <w:sz w:val="24"/>
        </w:rPr>
        <w:t>检定装置测量的计程值，m。</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h) 三个检定点的计程误差均应符合5.1的要求。</w:t>
      </w:r>
    </w:p>
    <w:p>
      <w:pPr>
        <w:pStyle w:val="3"/>
        <w:snapToGrid w:val="0"/>
        <w:spacing w:line="360" w:lineRule="auto"/>
        <w:ind w:firstLine="0"/>
        <w:jc w:val="both"/>
        <w:rPr>
          <w:i w:val="0"/>
          <w:color w:val="000000"/>
          <w:sz w:val="24"/>
        </w:rPr>
      </w:pPr>
      <w:bookmarkStart w:id="82" w:name="_Toc70324015"/>
      <w:bookmarkStart w:id="83" w:name="_Toc70327721"/>
      <w:bookmarkStart w:id="84" w:name="_Toc85663503"/>
      <w:r>
        <w:rPr>
          <w:rFonts w:ascii="Times New Roman"/>
          <w:i w:val="0"/>
          <w:color w:val="000000"/>
          <w:sz w:val="24"/>
          <w:szCs w:val="28"/>
        </w:rPr>
        <w:t>7.2</w:t>
      </w:r>
      <w:bookmarkEnd w:id="82"/>
      <w:bookmarkEnd w:id="83"/>
      <w:r>
        <w:rPr>
          <w:rFonts w:hint="eastAsia" w:ascii="Times New Roman"/>
          <w:i w:val="0"/>
          <w:color w:val="000000"/>
          <w:sz w:val="24"/>
          <w:szCs w:val="28"/>
        </w:rPr>
        <w:t xml:space="preserve">  </w:t>
      </w:r>
      <w:r>
        <w:rPr>
          <w:rFonts w:hint="eastAsia"/>
          <w:i w:val="0"/>
          <w:color w:val="000000"/>
          <w:sz w:val="24"/>
        </w:rPr>
        <w:t>检定结果的处理</w:t>
      </w:r>
      <w:bookmarkEnd w:id="84"/>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对装车后检定合格的网联计价器，开具检定证书，通过电子封印系统对检定合格的网联计价器施加电子封印，使网联计价器显示有效的电子封印标识。检定证书内页的信息见附录C。</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检定不合格的网联计价器，开具检定结果通知书，检定结果通知书内页的信息见附录D。</w:t>
      </w:r>
    </w:p>
    <w:p>
      <w:pPr>
        <w:pStyle w:val="3"/>
        <w:snapToGrid w:val="0"/>
        <w:spacing w:line="360" w:lineRule="auto"/>
        <w:ind w:firstLine="0"/>
        <w:jc w:val="both"/>
        <w:rPr>
          <w:i w:val="0"/>
          <w:color w:val="000000"/>
          <w:sz w:val="24"/>
        </w:rPr>
      </w:pPr>
      <w:bookmarkStart w:id="85" w:name="_Toc85663504"/>
      <w:r>
        <w:rPr>
          <w:rFonts w:ascii="Times New Roman"/>
          <w:i w:val="0"/>
          <w:color w:val="000000"/>
          <w:sz w:val="24"/>
          <w:szCs w:val="28"/>
        </w:rPr>
        <w:t>7.</w:t>
      </w:r>
      <w:r>
        <w:rPr>
          <w:rFonts w:hint="eastAsia" w:ascii="Times New Roman"/>
          <w:i w:val="0"/>
          <w:color w:val="000000"/>
          <w:sz w:val="24"/>
          <w:szCs w:val="28"/>
        </w:rPr>
        <w:t xml:space="preserve">3  </w:t>
      </w:r>
      <w:r>
        <w:rPr>
          <w:rFonts w:hint="eastAsia"/>
          <w:i w:val="0"/>
          <w:color w:val="000000"/>
          <w:sz w:val="24"/>
        </w:rPr>
        <w:t>检定周期</w:t>
      </w:r>
      <w:bookmarkEnd w:id="85"/>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装车后的网联计价器检定周期为1年。</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装车后的网联计价器，有下列情况之一的，应重新检定网联计价器：</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a) 网联计价器修理后；</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b) 车辆更换与原车轮胎型号不一致的驱动轮轮胎；</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c) 车辆修理改变了车辆的传动比；</w:t>
      </w:r>
    </w:p>
    <w:p>
      <w:pPr>
        <w:pStyle w:val="49"/>
        <w:snapToGrid w:val="0"/>
        <w:spacing w:line="360" w:lineRule="auto"/>
        <w:ind w:firstLine="480" w:firstLineChars="200"/>
        <w:rPr>
          <w:rFonts w:ascii="Times New Roman" w:eastAsia="宋体"/>
          <w:color w:val="000000"/>
          <w:sz w:val="24"/>
          <w:szCs w:val="24"/>
        </w:rPr>
      </w:pPr>
      <w:r>
        <w:rPr>
          <w:rFonts w:hint="eastAsia" w:ascii="Times New Roman" w:eastAsia="宋体"/>
          <w:color w:val="000000"/>
          <w:sz w:val="24"/>
          <w:szCs w:val="24"/>
        </w:rPr>
        <w:t>d) 网联计价器电子封印状态存在异常。</w:t>
      </w:r>
    </w:p>
    <w:p>
      <w:pPr>
        <w:pStyle w:val="2"/>
        <w:snapToGrid w:val="0"/>
        <w:spacing w:line="360" w:lineRule="auto"/>
        <w:jc w:val="both"/>
        <w:rPr>
          <w:rFonts w:hAnsi="黑体"/>
          <w:color w:val="000000"/>
          <w:szCs w:val="28"/>
        </w:rPr>
        <w:sectPr>
          <w:footerReference r:id="rId10" w:type="default"/>
          <w:pgSz w:w="11906" w:h="16838"/>
          <w:pgMar w:top="1418" w:right="1418" w:bottom="1418" w:left="1418" w:header="851" w:footer="992" w:gutter="0"/>
          <w:pgNumType w:start="1"/>
          <w:cols w:space="720" w:num="1"/>
          <w:docGrid w:type="lines" w:linePitch="312" w:charSpace="0"/>
        </w:sectPr>
      </w:pPr>
      <w:bookmarkStart w:id="86" w:name="_Toc70324028"/>
      <w:bookmarkStart w:id="87" w:name="_Toc70327734"/>
      <w:bookmarkStart w:id="88" w:name="_Toc65742872"/>
    </w:p>
    <w:p>
      <w:pPr>
        <w:pStyle w:val="2"/>
        <w:snapToGrid w:val="0"/>
        <w:spacing w:line="360" w:lineRule="auto"/>
        <w:jc w:val="both"/>
        <w:rPr>
          <w:rFonts w:hAnsi="黑体"/>
          <w:color w:val="000000"/>
          <w:szCs w:val="28"/>
        </w:rPr>
      </w:pPr>
      <w:bookmarkStart w:id="89" w:name="_Toc85663505"/>
      <w:r>
        <w:rPr>
          <w:rFonts w:hint="eastAsia" w:hAnsi="黑体"/>
          <w:color w:val="000000"/>
          <w:szCs w:val="28"/>
        </w:rPr>
        <w:t>附录A</w:t>
      </w:r>
      <w:bookmarkEnd w:id="86"/>
      <w:bookmarkEnd w:id="87"/>
      <w:bookmarkEnd w:id="88"/>
      <w:bookmarkEnd w:id="89"/>
      <w:r>
        <w:rPr>
          <w:rFonts w:hint="eastAsia" w:hAnsi="黑体"/>
          <w:color w:val="000000"/>
          <w:szCs w:val="28"/>
        </w:rPr>
        <w:t xml:space="preserve">  </w:t>
      </w:r>
    </w:p>
    <w:p>
      <w:pPr>
        <w:widowControl/>
        <w:tabs>
          <w:tab w:val="left" w:pos="5670"/>
        </w:tabs>
        <w:spacing w:before="156" w:beforeLines="50" w:after="156" w:afterLines="50" w:line="480" w:lineRule="auto"/>
        <w:jc w:val="center"/>
        <w:rPr>
          <w:rFonts w:ascii="黑体" w:hAnsi="宋体" w:eastAsia="黑体"/>
          <w:color w:val="000000"/>
          <w:sz w:val="28"/>
          <w:szCs w:val="28"/>
        </w:rPr>
      </w:pPr>
      <w:r>
        <w:rPr>
          <w:rFonts w:hint="eastAsia" w:ascii="黑体" w:hAnsi="宋体" w:eastAsia="黑体"/>
          <w:color w:val="000000"/>
          <w:sz w:val="28"/>
          <w:szCs w:val="28"/>
        </w:rPr>
        <w:t>里程测量传感器与网联计价器适用性条件</w:t>
      </w:r>
    </w:p>
    <w:p>
      <w:pPr>
        <w:spacing w:line="360" w:lineRule="auto"/>
        <w:rPr>
          <w:kern w:val="0"/>
          <w:sz w:val="24"/>
        </w:rPr>
      </w:pPr>
      <w:r>
        <w:rPr>
          <w:rFonts w:hint="eastAsia"/>
          <w:kern w:val="0"/>
          <w:sz w:val="24"/>
        </w:rPr>
        <w:t>A.1  网联计价器与其使用里程测量传感器的适用性</w:t>
      </w:r>
    </w:p>
    <w:p>
      <w:pPr>
        <w:spacing w:line="360" w:lineRule="auto"/>
        <w:ind w:firstLine="480" w:firstLineChars="200"/>
        <w:rPr>
          <w:kern w:val="0"/>
          <w:sz w:val="24"/>
        </w:rPr>
      </w:pPr>
      <w:r>
        <w:rPr>
          <w:rFonts w:hint="eastAsia"/>
          <w:kern w:val="0"/>
          <w:sz w:val="24"/>
        </w:rPr>
        <w:t>网联计价器制造商应明确说明里程测量传感器与网联计价器的适用性。本附录确保网联计价器与其使用里程测量传感器的适用性符合国际建议的要求。</w:t>
      </w:r>
    </w:p>
    <w:p>
      <w:pPr>
        <w:spacing w:line="360" w:lineRule="auto"/>
        <w:rPr>
          <w:kern w:val="0"/>
          <w:sz w:val="24"/>
        </w:rPr>
      </w:pPr>
      <w:r>
        <w:rPr>
          <w:rFonts w:hint="eastAsia"/>
          <w:kern w:val="0"/>
          <w:sz w:val="24"/>
        </w:rPr>
        <w:t>A.2  里程测量传感器的描述和用途</w:t>
      </w:r>
    </w:p>
    <w:p>
      <w:pPr>
        <w:spacing w:line="360" w:lineRule="auto"/>
        <w:ind w:firstLine="480" w:firstLineChars="200"/>
        <w:rPr>
          <w:kern w:val="0"/>
          <w:sz w:val="24"/>
        </w:rPr>
      </w:pPr>
      <w:r>
        <w:rPr>
          <w:rFonts w:hint="eastAsia"/>
          <w:kern w:val="0"/>
          <w:sz w:val="24"/>
        </w:rPr>
        <w:t>里程测量传感器安装在车辆上，用于提供车辆行驶里程的可靠的信息。里程测量传感器与车辆的运动部件连接。</w:t>
      </w:r>
    </w:p>
    <w:p>
      <w:pPr>
        <w:spacing w:line="360" w:lineRule="auto"/>
        <w:rPr>
          <w:kern w:val="0"/>
          <w:sz w:val="24"/>
        </w:rPr>
      </w:pPr>
      <w:r>
        <w:rPr>
          <w:rFonts w:hint="eastAsia"/>
          <w:kern w:val="0"/>
          <w:sz w:val="24"/>
        </w:rPr>
        <w:t>A.3  操作的适宜性和安全性</w:t>
      </w:r>
    </w:p>
    <w:p>
      <w:pPr>
        <w:spacing w:line="360" w:lineRule="auto"/>
        <w:ind w:firstLine="480" w:firstLineChars="200"/>
        <w:rPr>
          <w:kern w:val="0"/>
          <w:sz w:val="24"/>
        </w:rPr>
      </w:pPr>
      <w:r>
        <w:rPr>
          <w:rFonts w:hint="eastAsia"/>
          <w:kern w:val="0"/>
          <w:sz w:val="24"/>
        </w:rPr>
        <w:t>里程测量传感器的设计要与操作方法和安装的车辆适合，应能连续不断地测量行驶里程并安全地传送信息。</w:t>
      </w:r>
    </w:p>
    <w:p>
      <w:pPr>
        <w:spacing w:line="360" w:lineRule="auto"/>
        <w:rPr>
          <w:kern w:val="0"/>
          <w:sz w:val="24"/>
        </w:rPr>
      </w:pPr>
      <w:r>
        <w:rPr>
          <w:rFonts w:hint="eastAsia"/>
          <w:kern w:val="0"/>
          <w:sz w:val="24"/>
        </w:rPr>
        <w:t>A.4  出租汽车所安装的里程测量传感器应满足以下要求：</w:t>
      </w:r>
    </w:p>
    <w:p>
      <w:pPr>
        <w:spacing w:line="360" w:lineRule="auto"/>
        <w:ind w:firstLine="480" w:firstLineChars="200"/>
        <w:rPr>
          <w:kern w:val="0"/>
          <w:sz w:val="24"/>
        </w:rPr>
      </w:pPr>
      <w:r>
        <w:rPr>
          <w:rFonts w:hint="eastAsia"/>
          <w:kern w:val="0"/>
          <w:sz w:val="24"/>
        </w:rPr>
        <w:t>(1) 在行程的所有速度下，里程测量传感器能提供稳定的信号。</w:t>
      </w:r>
    </w:p>
    <w:p>
      <w:pPr>
        <w:spacing w:line="360" w:lineRule="auto"/>
        <w:ind w:firstLine="480" w:firstLineChars="200"/>
        <w:rPr>
          <w:kern w:val="0"/>
          <w:sz w:val="24"/>
        </w:rPr>
      </w:pPr>
      <w:r>
        <w:rPr>
          <w:rFonts w:hint="eastAsia"/>
          <w:kern w:val="0"/>
          <w:sz w:val="24"/>
        </w:rPr>
        <w:t>(2) 里程测量传感器将决定电平高低、脉冲宽度、速度和频率的关系等特性。</w:t>
      </w:r>
    </w:p>
    <w:p>
      <w:pPr>
        <w:spacing w:line="360" w:lineRule="auto"/>
        <w:ind w:firstLine="480" w:firstLineChars="200"/>
        <w:rPr>
          <w:kern w:val="0"/>
          <w:sz w:val="24"/>
        </w:rPr>
      </w:pPr>
      <w:r>
        <w:rPr>
          <w:rFonts w:hint="eastAsia"/>
          <w:kern w:val="0"/>
          <w:sz w:val="24"/>
        </w:rPr>
        <w:t>(3) 里程测量传感器应能够确定和鉴别与其连接装置的唯一性。</w:t>
      </w:r>
    </w:p>
    <w:p>
      <w:pPr>
        <w:spacing w:line="360" w:lineRule="auto"/>
        <w:ind w:firstLine="480" w:firstLineChars="200"/>
        <w:rPr>
          <w:kern w:val="0"/>
          <w:sz w:val="24"/>
        </w:rPr>
      </w:pPr>
      <w:r>
        <w:rPr>
          <w:rFonts w:hint="eastAsia"/>
          <w:kern w:val="0"/>
          <w:sz w:val="24"/>
        </w:rPr>
        <w:t>(4) 里程测量传感器要确保运动数据只可能是来源于转换器机械的接口。</w:t>
      </w:r>
    </w:p>
    <w:p>
      <w:pPr>
        <w:spacing w:line="360" w:lineRule="auto"/>
        <w:rPr>
          <w:kern w:val="0"/>
          <w:sz w:val="24"/>
        </w:rPr>
      </w:pPr>
      <w:r>
        <w:rPr>
          <w:rFonts w:hint="eastAsia"/>
          <w:kern w:val="0"/>
          <w:sz w:val="24"/>
        </w:rPr>
        <w:t>A.5  当里程测量传感器的结构发生变化时，应在原型式评价的基础上进行相关的补充试验。</w:t>
      </w:r>
    </w:p>
    <w:p>
      <w:pPr>
        <w:spacing w:line="360" w:lineRule="auto"/>
        <w:ind w:firstLine="480" w:firstLineChars="200"/>
        <w:rPr>
          <w:kern w:val="0"/>
          <w:sz w:val="24"/>
        </w:rPr>
      </w:pPr>
    </w:p>
    <w:p>
      <w:pPr>
        <w:widowControl/>
        <w:spacing w:before="156" w:after="156"/>
        <w:rPr>
          <w:rFonts w:ascii="黑体" w:hAnsi="宋体" w:eastAsia="黑体"/>
          <w:color w:val="000000"/>
          <w:sz w:val="28"/>
          <w:szCs w:val="28"/>
        </w:rPr>
      </w:pPr>
      <w:r>
        <w:rPr>
          <w:rFonts w:ascii="黑体" w:hAnsi="宋体" w:eastAsia="黑体"/>
          <w:color w:val="000000"/>
          <w:sz w:val="28"/>
          <w:szCs w:val="28"/>
        </w:rPr>
        <w:br w:type="page"/>
      </w:r>
    </w:p>
    <w:p>
      <w:pPr>
        <w:pStyle w:val="2"/>
        <w:snapToGrid w:val="0"/>
        <w:spacing w:line="360" w:lineRule="auto"/>
        <w:jc w:val="both"/>
        <w:rPr>
          <w:rFonts w:hAnsi="黑体"/>
          <w:color w:val="000000"/>
          <w:szCs w:val="28"/>
        </w:rPr>
      </w:pPr>
      <w:bookmarkStart w:id="90" w:name="_Toc85663506"/>
      <w:r>
        <w:rPr>
          <w:rFonts w:hint="eastAsia" w:hAnsi="黑体"/>
          <w:color w:val="000000"/>
          <w:szCs w:val="28"/>
        </w:rPr>
        <w:t>附录B</w:t>
      </w:r>
      <w:bookmarkEnd w:id="90"/>
      <w:r>
        <w:rPr>
          <w:rFonts w:hint="eastAsia" w:hAnsi="黑体"/>
          <w:color w:val="000000"/>
          <w:szCs w:val="28"/>
        </w:rPr>
        <w:t xml:space="preserve">  </w:t>
      </w:r>
    </w:p>
    <w:p>
      <w:pPr>
        <w:widowControl/>
        <w:tabs>
          <w:tab w:val="left" w:pos="5670"/>
        </w:tabs>
        <w:spacing w:before="156" w:beforeLines="50" w:after="156" w:afterLines="50" w:line="480" w:lineRule="auto"/>
        <w:jc w:val="center"/>
        <w:rPr>
          <w:rFonts w:ascii="黑体" w:hAnsi="宋体" w:eastAsia="黑体"/>
          <w:color w:val="000000"/>
          <w:sz w:val="28"/>
          <w:szCs w:val="28"/>
        </w:rPr>
      </w:pPr>
      <w:r>
        <w:rPr>
          <w:rFonts w:hint="eastAsia" w:ascii="黑体" w:hAnsi="宋体" w:eastAsia="黑体"/>
          <w:color w:val="000000"/>
          <w:sz w:val="28"/>
          <w:szCs w:val="28"/>
        </w:rPr>
        <w:t>轮胎修正值测量方法</w:t>
      </w:r>
    </w:p>
    <w:p>
      <w:pPr>
        <w:spacing w:line="360" w:lineRule="auto"/>
        <w:rPr>
          <w:kern w:val="0"/>
          <w:sz w:val="24"/>
        </w:rPr>
      </w:pPr>
      <w:r>
        <w:rPr>
          <w:rFonts w:hint="eastAsia"/>
          <w:kern w:val="0"/>
          <w:sz w:val="24"/>
        </w:rPr>
        <w:t>B.1  车辆要求</w:t>
      </w:r>
    </w:p>
    <w:p>
      <w:pPr>
        <w:spacing w:line="360" w:lineRule="auto"/>
        <w:ind w:firstLine="480" w:firstLineChars="200"/>
        <w:rPr>
          <w:kern w:val="0"/>
          <w:sz w:val="24"/>
        </w:rPr>
      </w:pPr>
      <w:r>
        <w:rPr>
          <w:rFonts w:hint="eastAsia"/>
          <w:kern w:val="0"/>
          <w:sz w:val="24"/>
        </w:rPr>
        <w:t>选择一定数量同一车型的出租汽车进行轮胎修正值测量。车辆轮胎气压调整至车辆制造厂规定的气压。</w:t>
      </w:r>
    </w:p>
    <w:p>
      <w:pPr>
        <w:spacing w:line="360" w:lineRule="auto"/>
        <w:rPr>
          <w:kern w:val="0"/>
          <w:sz w:val="24"/>
        </w:rPr>
      </w:pPr>
      <w:r>
        <w:rPr>
          <w:rFonts w:hint="eastAsia"/>
          <w:kern w:val="0"/>
          <w:sz w:val="24"/>
        </w:rPr>
        <w:t>B.2  网联计价器要求</w:t>
      </w:r>
    </w:p>
    <w:p>
      <w:pPr>
        <w:spacing w:line="360" w:lineRule="auto"/>
        <w:ind w:firstLine="480" w:firstLineChars="200"/>
        <w:rPr>
          <w:kern w:val="0"/>
          <w:sz w:val="24"/>
        </w:rPr>
      </w:pPr>
      <w:r>
        <w:rPr>
          <w:rFonts w:hint="eastAsia"/>
          <w:kern w:val="0"/>
          <w:sz w:val="24"/>
        </w:rPr>
        <w:t>在选定的车辆上，尽可能安装不同厂家制造的网联计价器。</w:t>
      </w:r>
    </w:p>
    <w:p>
      <w:pPr>
        <w:spacing w:line="360" w:lineRule="auto"/>
        <w:rPr>
          <w:kern w:val="0"/>
          <w:sz w:val="24"/>
        </w:rPr>
      </w:pPr>
      <w:r>
        <w:rPr>
          <w:rFonts w:hint="eastAsia"/>
          <w:kern w:val="0"/>
          <w:sz w:val="24"/>
        </w:rPr>
        <w:t>B.3  测量方法</w:t>
      </w:r>
    </w:p>
    <w:p>
      <w:pPr>
        <w:spacing w:line="360" w:lineRule="auto"/>
        <w:ind w:firstLine="480" w:firstLineChars="200"/>
        <w:rPr>
          <w:kern w:val="0"/>
          <w:sz w:val="24"/>
        </w:rPr>
      </w:pPr>
      <w:r>
        <w:rPr>
          <w:rFonts w:hint="eastAsia"/>
          <w:kern w:val="0"/>
          <w:sz w:val="24"/>
        </w:rPr>
        <w:t>(1) 在一段平直路面上，按岀租汽车轮距的宽度划两条足够长的平行直线，标出起点位置。</w:t>
      </w:r>
    </w:p>
    <w:p>
      <w:pPr>
        <w:spacing w:line="360" w:lineRule="auto"/>
        <w:ind w:firstLine="480" w:firstLineChars="200"/>
        <w:rPr>
          <w:kern w:val="0"/>
          <w:sz w:val="24"/>
        </w:rPr>
      </w:pPr>
      <w:r>
        <w:rPr>
          <w:rFonts w:hint="eastAsia"/>
          <w:kern w:val="0"/>
          <w:sz w:val="24"/>
        </w:rPr>
        <w:t>(2) 在出租车左右驱动轮上各划一条标记，与路面平行直线的起点位置重合。</w:t>
      </w:r>
    </w:p>
    <w:p>
      <w:pPr>
        <w:spacing w:line="360" w:lineRule="auto"/>
        <w:ind w:firstLine="480" w:firstLineChars="200"/>
        <w:rPr>
          <w:kern w:val="0"/>
          <w:sz w:val="24"/>
        </w:rPr>
      </w:pPr>
      <w:r>
        <w:rPr>
          <w:rFonts w:hint="eastAsia"/>
          <w:kern w:val="0"/>
          <w:sz w:val="24"/>
        </w:rPr>
        <w:t>(3) 慢速开动汽车，使驱动轮旋转5周并在地面上的平行线上标记。</w:t>
      </w:r>
    </w:p>
    <w:p>
      <w:pPr>
        <w:spacing w:line="360" w:lineRule="auto"/>
        <w:ind w:firstLine="480" w:firstLineChars="200"/>
        <w:rPr>
          <w:kern w:val="0"/>
          <w:sz w:val="24"/>
        </w:rPr>
      </w:pPr>
      <w:r>
        <w:rPr>
          <w:rFonts w:hint="eastAsia"/>
          <w:kern w:val="0"/>
          <w:sz w:val="24"/>
        </w:rPr>
        <w:t>(4) 分别测出左右驱动轮行使5周的里程的B1、B2。</w:t>
      </w:r>
    </w:p>
    <w:p>
      <w:pPr>
        <w:spacing w:line="360" w:lineRule="auto"/>
        <w:ind w:firstLine="480" w:firstLineChars="200"/>
        <w:rPr>
          <w:kern w:val="0"/>
          <w:sz w:val="24"/>
        </w:rPr>
      </w:pPr>
      <w:r>
        <w:rPr>
          <w:rFonts w:hint="eastAsia"/>
          <w:kern w:val="0"/>
          <w:sz w:val="24"/>
        </w:rPr>
        <w:t>(5) 将出租汽车开上滚轮测距法出租汽车计价器(使用)检定装置，使左右驱动轮 在主滚轮上沿着汽车前进方向转5周，在主滚轮上分别测出左右驱动轮行使5周的里程A1、A2。</w:t>
      </w:r>
    </w:p>
    <w:p>
      <w:pPr>
        <w:spacing w:line="360" w:lineRule="auto"/>
        <w:ind w:firstLine="480" w:firstLineChars="200"/>
        <w:rPr>
          <w:kern w:val="0"/>
          <w:sz w:val="24"/>
        </w:rPr>
      </w:pPr>
      <w:r>
        <w:rPr>
          <w:rFonts w:hint="eastAsia"/>
          <w:kern w:val="0"/>
          <w:sz w:val="24"/>
        </w:rPr>
        <w:t>(6) 轮胎修正值计算公式</w:t>
      </w:r>
    </w:p>
    <w:p>
      <w:pPr>
        <w:wordWrap w:val="0"/>
        <w:spacing w:line="360" w:lineRule="auto"/>
        <w:jc w:val="right"/>
        <w:rPr>
          <w:sz w:val="24"/>
        </w:rPr>
      </w:pPr>
      <w:r>
        <w:rPr>
          <w:rFonts w:ascii="宋体" w:hAnsi="宋体" w:cs="宋体"/>
          <w:position w:val="-28"/>
          <w:sz w:val="24"/>
          <w:lang w:val="zh-TW"/>
        </w:rPr>
        <w:object>
          <v:shape id="_x0000_i1030" o:spt="75" type="#_x0000_t75" style="height:32.7pt;width:93.6pt;" o:ole="t" filled="f" o:preferrelative="t" stroked="f" coordsize="21600,21600">
            <v:path/>
            <v:fill on="f" focussize="0,0"/>
            <v:stroke on="f" joinstyle="miter"/>
            <v:imagedata r:id="rId30" o:title=""/>
            <o:lock v:ext="edit" aspectratio="t"/>
            <w10:wrap type="none"/>
            <w10:anchorlock/>
          </v:shape>
          <o:OLEObject Type="Embed" ProgID="Equation.DSMT4" ShapeID="_x0000_i1030" DrawAspect="Content" ObjectID="_1468075730" r:id="rId29">
            <o:LockedField>false</o:LockedField>
          </o:OLEObject>
        </w:object>
      </w:r>
      <w:r>
        <w:rPr>
          <w:rFonts w:hint="eastAsia"/>
          <w:position w:val="-24"/>
          <w:sz w:val="24"/>
        </w:rPr>
        <w:t xml:space="preserve">                  </w:t>
      </w:r>
      <w:r>
        <w:rPr>
          <w:rFonts w:hint="eastAsia"/>
          <w:color w:val="FF0000"/>
          <w:position w:val="-24"/>
          <w:sz w:val="24"/>
        </w:rPr>
        <w:t xml:space="preserve">        </w:t>
      </w:r>
      <w:r>
        <w:rPr>
          <w:rFonts w:hint="eastAsia"/>
          <w:position w:val="-24"/>
          <w:sz w:val="24"/>
        </w:rPr>
        <w:t xml:space="preserve"> </w:t>
      </w:r>
      <w:r>
        <w:rPr>
          <w:rFonts w:hint="eastAsia"/>
          <w:sz w:val="24"/>
        </w:rPr>
        <w:t>（B</w:t>
      </w:r>
      <w:r>
        <w:rPr>
          <w:sz w:val="24"/>
        </w:rPr>
        <w:t>.1</w:t>
      </w:r>
      <w:r>
        <w:rPr>
          <w:rFonts w:hint="eastAsia"/>
          <w:sz w:val="24"/>
        </w:rPr>
        <w:t>）</w:t>
      </w:r>
    </w:p>
    <w:p>
      <w:pPr>
        <w:snapToGrid w:val="0"/>
        <w:spacing w:line="360" w:lineRule="auto"/>
        <w:ind w:left="-141" w:leftChars="-67" w:firstLine="480" w:firstLineChars="200"/>
        <w:rPr>
          <w:rFonts w:ascii="宋体" w:hAnsi="宋体"/>
          <w:sz w:val="24"/>
        </w:rPr>
      </w:pPr>
      <w:r>
        <w:rPr>
          <w:rFonts w:hint="eastAsia" w:ascii="宋体" w:hAnsi="宋体"/>
          <w:sz w:val="24"/>
        </w:rPr>
        <w:t>式中：</w:t>
      </w:r>
    </w:p>
    <w:p>
      <w:pPr>
        <w:snapToGrid w:val="0"/>
        <w:spacing w:line="360" w:lineRule="auto"/>
        <w:ind w:left="-141" w:leftChars="-67" w:firstLine="480" w:firstLineChars="200"/>
        <w:rPr>
          <w:rFonts w:ascii="宋体" w:hAnsi="宋体"/>
          <w:sz w:val="24"/>
        </w:rPr>
      </w:pPr>
      <w:r>
        <w:rPr>
          <w:rFonts w:hint="eastAsia" w:ascii="宋体" w:hAnsi="宋体"/>
          <w:position w:val="-6"/>
          <w:sz w:val="24"/>
        </w:rPr>
        <w:object>
          <v:shape id="_x0000_i1031" o:spt="75" type="#_x0000_t75" style="height:14.95pt;width:14.95pt;" o:ole="t" filled="f" o:preferrelative="t" stroked="f" coordsize="21600,21600">
            <v:path/>
            <v:fill on="f" focussize="0,0"/>
            <v:stroke on="f" joinstyle="miter"/>
            <v:imagedata r:id="rId32" o:title=""/>
            <o:lock v:ext="edit" aspectratio="t"/>
            <w10:wrap type="none"/>
            <w10:anchorlock/>
          </v:shape>
          <o:OLEObject Type="Embed" ProgID="Equation.DSMT4" ShapeID="_x0000_i1031" DrawAspect="Content" ObjectID="_1468075731" r:id="rId31">
            <o:LockedField>false</o:LockedField>
          </o:OLEObject>
        </w:object>
      </w:r>
      <w:r>
        <w:rPr>
          <w:rFonts w:hint="eastAsia" w:ascii="宋体" w:hAnsi="宋体"/>
          <w:w w:val="200"/>
          <w:sz w:val="24"/>
        </w:rPr>
        <w:t>—</w:t>
      </w:r>
      <w:r>
        <w:rPr>
          <w:rFonts w:hint="eastAsia"/>
          <w:sz w:val="24"/>
        </w:rPr>
        <w:t>轮胎修正值，％</w:t>
      </w:r>
      <w:r>
        <w:rPr>
          <w:rFonts w:hint="eastAsia" w:ascii="宋体" w:hAnsi="宋体"/>
          <w:sz w:val="24"/>
        </w:rPr>
        <w:t>；</w:t>
      </w:r>
    </w:p>
    <w:p>
      <w:pPr>
        <w:snapToGrid w:val="0"/>
        <w:spacing w:line="360" w:lineRule="auto"/>
        <w:ind w:left="-141" w:leftChars="-67" w:firstLine="480" w:firstLineChars="200"/>
        <w:rPr>
          <w:rFonts w:ascii="宋体" w:hAnsi="宋体"/>
          <w:sz w:val="24"/>
        </w:rPr>
      </w:pPr>
      <w:r>
        <w:rPr>
          <w:rFonts w:hint="eastAsia" w:ascii="宋体" w:hAnsi="宋体"/>
          <w:position w:val="-4"/>
          <w:sz w:val="24"/>
        </w:rPr>
        <w:object>
          <v:shape id="_x0000_i1032" o:spt="75" type="#_x0000_t75" style="height:14.95pt;width:14.95pt;" o:ole="t" filled="f" o:preferrelative="t" stroked="f" coordsize="21600,21600">
            <v:path/>
            <v:fill on="f" focussize="0,0"/>
            <v:stroke on="f" joinstyle="miter"/>
            <v:imagedata r:id="rId34" o:title=""/>
            <o:lock v:ext="edit" aspectratio="t"/>
            <w10:wrap type="none"/>
            <w10:anchorlock/>
          </v:shape>
          <o:OLEObject Type="Embed" ProgID="Equation.DSMT4" ShapeID="_x0000_i1032" DrawAspect="Content" ObjectID="_1468075732" r:id="rId33">
            <o:LockedField>false</o:LockedField>
          </o:OLEObject>
        </w:object>
      </w:r>
      <w:r>
        <w:rPr>
          <w:rFonts w:hint="eastAsia" w:ascii="宋体" w:hAnsi="宋体"/>
          <w:w w:val="200"/>
          <w:sz w:val="24"/>
        </w:rPr>
        <w:t>—</w:t>
      </w:r>
      <w:r>
        <w:rPr>
          <w:rFonts w:hint="eastAsia" w:ascii="宋体" w:hAnsi="宋体"/>
          <w:sz w:val="24"/>
        </w:rPr>
        <w:t>在主滚轮上测出的左右驱动轮转</w:t>
      </w:r>
      <w:r>
        <w:rPr>
          <w:sz w:val="24"/>
        </w:rPr>
        <w:t>5</w:t>
      </w:r>
      <w:r>
        <w:rPr>
          <w:rFonts w:hint="eastAsia" w:ascii="宋体" w:hAnsi="宋体"/>
          <w:sz w:val="24"/>
        </w:rPr>
        <w:t>周的平均值</w:t>
      </w:r>
      <w:r>
        <w:rPr>
          <w:rFonts w:ascii="宋体" w:hAnsi="宋体" w:cs="宋体"/>
          <w:position w:val="-24"/>
          <w:sz w:val="22"/>
          <w:lang w:val="zh-TW" w:eastAsia="zh-TW"/>
        </w:rPr>
        <w:object>
          <v:shape id="_x0000_i1033" o:spt="75" type="#_x0000_t75" style="height:32.7pt;width:57.05pt;" o:ole="t" filled="f" o:preferrelative="t" stroked="f" coordsize="21600,21600">
            <v:path/>
            <v:fill on="f" focussize="0,0"/>
            <v:stroke on="f" joinstyle="miter"/>
            <v:imagedata r:id="rId36" o:title=""/>
            <o:lock v:ext="edit" aspectratio="t"/>
            <w10:wrap type="none"/>
            <w10:anchorlock/>
          </v:shape>
          <o:OLEObject Type="Embed" ProgID="Equation.DSMT4" ShapeID="_x0000_i1033" DrawAspect="Content" ObjectID="_1468075733" r:id="rId35">
            <o:LockedField>false</o:LockedField>
          </o:OLEObject>
        </w:object>
      </w:r>
      <w:r>
        <w:rPr>
          <w:rFonts w:hint="eastAsia" w:ascii="宋体" w:hAnsi="宋体"/>
          <w:sz w:val="24"/>
        </w:rPr>
        <w:t>，</w:t>
      </w:r>
      <w:r>
        <w:rPr>
          <w:sz w:val="24"/>
        </w:rPr>
        <w:t>m</w:t>
      </w:r>
      <w:r>
        <w:rPr>
          <w:rFonts w:hint="eastAsia" w:ascii="宋体" w:hAnsi="宋体"/>
          <w:sz w:val="24"/>
        </w:rPr>
        <w:t>；</w:t>
      </w:r>
    </w:p>
    <w:p>
      <w:pPr>
        <w:snapToGrid w:val="0"/>
        <w:spacing w:line="360" w:lineRule="auto"/>
        <w:ind w:left="-141" w:leftChars="-67" w:firstLine="480" w:firstLineChars="200"/>
        <w:rPr>
          <w:rFonts w:ascii="宋体" w:hAnsi="宋体"/>
          <w:sz w:val="24"/>
        </w:rPr>
      </w:pPr>
      <w:r>
        <w:rPr>
          <w:rFonts w:hint="eastAsia" w:ascii="宋体" w:hAnsi="宋体"/>
          <w:position w:val="-4"/>
          <w:sz w:val="24"/>
        </w:rPr>
        <w:object>
          <v:shape id="_x0000_i1034" o:spt="75" type="#_x0000_t75" style="height:14.95pt;width:14.95pt;" o:ole="t" filled="f" o:preferrelative="t" stroked="f" coordsize="21600,21600">
            <v:path/>
            <v:fill on="f" focussize="0,0"/>
            <v:stroke on="f" joinstyle="miter"/>
            <v:imagedata r:id="rId38" o:title=""/>
            <o:lock v:ext="edit" aspectratio="t"/>
            <w10:wrap type="none"/>
            <w10:anchorlock/>
          </v:shape>
          <o:OLEObject Type="Embed" ProgID="Equation.DSMT4" ShapeID="_x0000_i1034" DrawAspect="Content" ObjectID="_1468075734" r:id="rId37">
            <o:LockedField>false</o:LockedField>
          </o:OLEObject>
        </w:object>
      </w:r>
      <w:r>
        <w:rPr>
          <w:rFonts w:hint="eastAsia" w:ascii="宋体" w:hAnsi="宋体"/>
          <w:w w:val="200"/>
          <w:sz w:val="24"/>
        </w:rPr>
        <w:t>—</w:t>
      </w:r>
      <w:r>
        <w:rPr>
          <w:rFonts w:hint="eastAsia" w:ascii="宋体" w:hAnsi="宋体"/>
          <w:color w:val="000000"/>
          <w:sz w:val="24"/>
        </w:rPr>
        <w:t>垂</w:t>
      </w:r>
      <w:r>
        <w:rPr>
          <w:rFonts w:hint="eastAsia" w:ascii="宋体" w:hAnsi="宋体"/>
          <w:sz w:val="24"/>
        </w:rPr>
        <w:t>在地面上测出的左右驱动轮转</w:t>
      </w:r>
      <w:r>
        <w:rPr>
          <w:sz w:val="24"/>
        </w:rPr>
        <w:t>5</w:t>
      </w:r>
      <w:r>
        <w:rPr>
          <w:rFonts w:hint="eastAsia" w:ascii="宋体" w:hAnsi="宋体"/>
          <w:sz w:val="24"/>
        </w:rPr>
        <w:t>周的平均值</w:t>
      </w:r>
      <w:r>
        <w:rPr>
          <w:rFonts w:ascii="宋体" w:hAnsi="宋体" w:cs="宋体"/>
          <w:position w:val="-24"/>
          <w:sz w:val="22"/>
          <w:lang w:val="zh-TW" w:eastAsia="zh-TW"/>
        </w:rPr>
        <w:object>
          <v:shape id="_x0000_i1035" o:spt="75" type="#_x0000_t75" style="height:32.7pt;width:57.05pt;" o:ole="t" filled="f" o:preferrelative="t" stroked="f" coordsize="21600,21600">
            <v:path/>
            <v:fill on="f" focussize="0,0"/>
            <v:stroke on="f" joinstyle="miter"/>
            <v:imagedata r:id="rId40" o:title=""/>
            <o:lock v:ext="edit" aspectratio="t"/>
            <w10:wrap type="none"/>
            <w10:anchorlock/>
          </v:shape>
          <o:OLEObject Type="Embed" ProgID="Equation.DSMT4" ShapeID="_x0000_i1035" DrawAspect="Content" ObjectID="_1468075735" r:id="rId39">
            <o:LockedField>false</o:LockedField>
          </o:OLEObject>
        </w:object>
      </w:r>
      <w:r>
        <w:rPr>
          <w:rFonts w:hint="eastAsia" w:ascii="宋体" w:hAnsi="宋体"/>
          <w:sz w:val="24"/>
        </w:rPr>
        <w:t>，</w:t>
      </w:r>
      <w:r>
        <w:rPr>
          <w:sz w:val="24"/>
        </w:rPr>
        <w:t>m。</w:t>
      </w:r>
    </w:p>
    <w:p>
      <w:pPr>
        <w:spacing w:line="360" w:lineRule="auto"/>
        <w:rPr>
          <w:kern w:val="0"/>
          <w:sz w:val="24"/>
        </w:rPr>
      </w:pPr>
      <w:r>
        <w:rPr>
          <w:rFonts w:hint="eastAsia"/>
          <w:kern w:val="0"/>
          <w:sz w:val="24"/>
        </w:rPr>
        <w:t>B.4  确定轮胎修正值</w:t>
      </w:r>
    </w:p>
    <w:p>
      <w:pPr>
        <w:spacing w:line="360" w:lineRule="auto"/>
        <w:ind w:firstLine="480" w:firstLineChars="200"/>
        <w:rPr>
          <w:kern w:val="0"/>
          <w:sz w:val="24"/>
        </w:rPr>
        <w:sectPr>
          <w:footerReference r:id="rId11" w:type="default"/>
          <w:footerReference r:id="rId12" w:type="even"/>
          <w:pgSz w:w="11906" w:h="16838"/>
          <w:pgMar w:top="1418" w:right="1418" w:bottom="1418" w:left="1418" w:header="851" w:footer="992" w:gutter="0"/>
          <w:pgNumType w:start="10"/>
          <w:cols w:space="720" w:num="1"/>
          <w:docGrid w:type="lines" w:linePitch="312" w:charSpace="0"/>
        </w:sectPr>
      </w:pPr>
      <w:r>
        <w:rPr>
          <w:rFonts w:hint="eastAsia"/>
          <w:kern w:val="0"/>
          <w:sz w:val="24"/>
        </w:rPr>
        <w:t>取所有测量车辆轮胎修正值的算术平均值作为该车型的轮胎修正值。</w:t>
      </w:r>
    </w:p>
    <w:p>
      <w:pPr>
        <w:pStyle w:val="2"/>
        <w:snapToGrid w:val="0"/>
        <w:spacing w:line="360" w:lineRule="auto"/>
        <w:jc w:val="both"/>
        <w:rPr>
          <w:rFonts w:hAnsi="黑体"/>
          <w:color w:val="000000"/>
          <w:szCs w:val="28"/>
        </w:rPr>
      </w:pPr>
      <w:bookmarkStart w:id="91" w:name="_Toc65742880"/>
      <w:bookmarkStart w:id="92" w:name="_Toc411058941"/>
      <w:bookmarkStart w:id="93" w:name="_Toc70327735"/>
      <w:bookmarkStart w:id="94" w:name="_Toc70324029"/>
      <w:bookmarkStart w:id="95" w:name="_Toc85663507"/>
      <w:r>
        <w:rPr>
          <w:rFonts w:hint="eastAsia" w:hAnsi="黑体"/>
          <w:color w:val="000000"/>
          <w:szCs w:val="28"/>
        </w:rPr>
        <w:t>附录</w:t>
      </w:r>
      <w:bookmarkEnd w:id="91"/>
      <w:bookmarkEnd w:id="92"/>
      <w:bookmarkEnd w:id="93"/>
      <w:bookmarkEnd w:id="94"/>
      <w:r>
        <w:rPr>
          <w:rFonts w:hint="eastAsia" w:hAnsi="黑体"/>
          <w:color w:val="000000"/>
          <w:szCs w:val="28"/>
        </w:rPr>
        <w:t>C</w:t>
      </w:r>
      <w:bookmarkEnd w:id="95"/>
    </w:p>
    <w:p>
      <w:pPr>
        <w:snapToGrid w:val="0"/>
        <w:spacing w:line="480" w:lineRule="auto"/>
        <w:jc w:val="center"/>
        <w:rPr>
          <w:rFonts w:ascii="黑体" w:hAnsi="宋体" w:eastAsia="黑体"/>
          <w:color w:val="000000"/>
          <w:sz w:val="28"/>
          <w:szCs w:val="28"/>
        </w:rPr>
      </w:pPr>
      <w:r>
        <w:rPr>
          <w:rFonts w:hint="eastAsia" w:ascii="黑体" w:hAnsi="宋体" w:eastAsia="黑体"/>
          <w:color w:val="000000"/>
          <w:sz w:val="28"/>
          <w:szCs w:val="28"/>
        </w:rPr>
        <w:t>装车后的网联计价器检定证书内页信息</w:t>
      </w:r>
    </w:p>
    <w:p>
      <w:pPr>
        <w:snapToGrid w:val="0"/>
        <w:spacing w:line="360" w:lineRule="auto"/>
        <w:rPr>
          <w:color w:val="000000"/>
          <w:sz w:val="24"/>
        </w:rPr>
      </w:pPr>
      <w:r>
        <w:rPr>
          <w:rFonts w:hint="eastAsia"/>
          <w:color w:val="000000"/>
          <w:sz w:val="24"/>
        </w:rPr>
        <w:t>（一）检定依据</w:t>
      </w:r>
    </w:p>
    <w:p>
      <w:pPr>
        <w:snapToGrid w:val="0"/>
        <w:spacing w:line="360" w:lineRule="auto"/>
        <w:rPr>
          <w:color w:val="000000"/>
          <w:sz w:val="24"/>
        </w:rPr>
      </w:pPr>
      <w:r>
        <w:rPr>
          <w:rFonts w:hint="eastAsia"/>
          <w:color w:val="000000"/>
          <w:sz w:val="24"/>
        </w:rPr>
        <w:t>（二）检定用计量标准信息</w:t>
      </w:r>
    </w:p>
    <w:p>
      <w:pPr>
        <w:snapToGrid w:val="0"/>
        <w:spacing w:line="480" w:lineRule="auto"/>
        <w:rPr>
          <w:color w:val="000000"/>
          <w:sz w:val="24"/>
        </w:rPr>
      </w:pPr>
    </w:p>
    <w:p>
      <w:pPr>
        <w:snapToGrid w:val="0"/>
        <w:spacing w:line="480" w:lineRule="auto"/>
        <w:rPr>
          <w:color w:val="000000"/>
          <w:sz w:val="24"/>
        </w:rPr>
      </w:pPr>
    </w:p>
    <w:p>
      <w:pPr>
        <w:snapToGrid w:val="0"/>
        <w:spacing w:line="480" w:lineRule="auto"/>
        <w:rPr>
          <w:color w:val="000000"/>
          <w:sz w:val="24"/>
        </w:rPr>
      </w:pPr>
    </w:p>
    <w:p>
      <w:pPr>
        <w:snapToGrid w:val="0"/>
        <w:spacing w:line="480" w:lineRule="auto"/>
        <w:rPr>
          <w:color w:val="000000"/>
          <w:sz w:val="24"/>
        </w:rPr>
      </w:pPr>
    </w:p>
    <w:p>
      <w:pPr>
        <w:snapToGrid w:val="0"/>
        <w:spacing w:line="480" w:lineRule="auto"/>
        <w:rPr>
          <w:color w:val="000000"/>
          <w:sz w:val="24"/>
        </w:rPr>
      </w:pPr>
    </w:p>
    <w:p>
      <w:pPr>
        <w:snapToGrid w:val="0"/>
        <w:spacing w:line="360" w:lineRule="auto"/>
        <w:ind w:firstLine="480" w:firstLineChars="200"/>
        <w:rPr>
          <w:color w:val="000000"/>
          <w:sz w:val="24"/>
        </w:rPr>
      </w:pPr>
      <w:r>
        <w:rPr>
          <w:rFonts w:hint="eastAsia"/>
          <w:color w:val="000000"/>
          <w:sz w:val="24"/>
        </w:rPr>
        <w:t>说明：</w:t>
      </w:r>
    </w:p>
    <w:p>
      <w:pPr>
        <w:snapToGrid w:val="0"/>
        <w:spacing w:line="360" w:lineRule="auto"/>
        <w:ind w:firstLine="480" w:firstLineChars="200"/>
        <w:rPr>
          <w:color w:val="000000"/>
          <w:sz w:val="24"/>
        </w:rPr>
      </w:pPr>
      <w:r>
        <w:rPr>
          <w:rFonts w:hint="eastAsia"/>
          <w:color w:val="000000"/>
          <w:sz w:val="24"/>
        </w:rPr>
        <w:t>1. 在检定周期内发现网联计价器有异常情况，应立即到原检定机构进行检定。</w:t>
      </w:r>
    </w:p>
    <w:p>
      <w:pPr>
        <w:snapToGrid w:val="0"/>
        <w:spacing w:line="360" w:lineRule="auto"/>
        <w:ind w:firstLine="480" w:firstLineChars="200"/>
        <w:rPr>
          <w:color w:val="000000"/>
          <w:sz w:val="24"/>
        </w:rPr>
      </w:pPr>
      <w:r>
        <w:rPr>
          <w:rFonts w:hint="eastAsia"/>
          <w:color w:val="000000"/>
          <w:sz w:val="24"/>
        </w:rPr>
        <w:t>2. 使用中的网联计价器，有下列情况之一的，应重新检定网联计价器：</w:t>
      </w:r>
    </w:p>
    <w:p>
      <w:pPr>
        <w:snapToGrid w:val="0"/>
        <w:spacing w:line="360" w:lineRule="auto"/>
        <w:ind w:firstLine="480" w:firstLineChars="200"/>
        <w:rPr>
          <w:color w:val="000000"/>
          <w:sz w:val="24"/>
        </w:rPr>
      </w:pPr>
      <w:r>
        <w:rPr>
          <w:rFonts w:hint="eastAsia"/>
          <w:color w:val="000000"/>
          <w:sz w:val="24"/>
        </w:rPr>
        <w:t>a) 网联计价器修理后；</w:t>
      </w:r>
    </w:p>
    <w:p>
      <w:pPr>
        <w:snapToGrid w:val="0"/>
        <w:spacing w:line="360" w:lineRule="auto"/>
        <w:ind w:firstLine="480" w:firstLineChars="200"/>
        <w:rPr>
          <w:color w:val="000000"/>
          <w:sz w:val="24"/>
        </w:rPr>
      </w:pPr>
      <w:r>
        <w:rPr>
          <w:rFonts w:hint="eastAsia"/>
          <w:color w:val="000000"/>
          <w:sz w:val="24"/>
        </w:rPr>
        <w:t>b) 车辆更换与原车轮胎型号不一致的驱动轮轮胎；</w:t>
      </w:r>
    </w:p>
    <w:p>
      <w:pPr>
        <w:snapToGrid w:val="0"/>
        <w:spacing w:line="360" w:lineRule="auto"/>
        <w:ind w:firstLine="480" w:firstLineChars="200"/>
        <w:rPr>
          <w:color w:val="000000"/>
          <w:sz w:val="24"/>
        </w:rPr>
      </w:pPr>
      <w:r>
        <w:rPr>
          <w:rFonts w:hint="eastAsia"/>
          <w:color w:val="000000"/>
          <w:sz w:val="24"/>
        </w:rPr>
        <w:t>c) 车辆修理改变了车辆的传动比；</w:t>
      </w:r>
    </w:p>
    <w:p>
      <w:pPr>
        <w:snapToGrid w:val="0"/>
        <w:spacing w:line="360" w:lineRule="auto"/>
        <w:ind w:firstLine="480" w:firstLineChars="200"/>
        <w:rPr>
          <w:color w:val="000000"/>
          <w:sz w:val="24"/>
        </w:rPr>
      </w:pPr>
      <w:r>
        <w:rPr>
          <w:rFonts w:hint="eastAsia"/>
          <w:color w:val="000000"/>
          <w:sz w:val="24"/>
        </w:rPr>
        <w:t>d) 网联计价器电子封印状态存在异常。</w:t>
      </w:r>
    </w:p>
    <w:p>
      <w:pPr>
        <w:widowControl/>
        <w:jc w:val="left"/>
        <w:rPr>
          <w:rFonts w:ascii="黑体" w:hAnsi="宋体" w:eastAsia="黑体"/>
          <w:color w:val="000000"/>
          <w:sz w:val="28"/>
          <w:szCs w:val="28"/>
        </w:rPr>
      </w:pPr>
      <w:r>
        <w:rPr>
          <w:rFonts w:ascii="黑体" w:hAnsi="宋体" w:eastAsia="黑体"/>
          <w:color w:val="000000"/>
          <w:sz w:val="28"/>
          <w:szCs w:val="28"/>
        </w:rPr>
        <w:br w:type="page"/>
      </w:r>
    </w:p>
    <w:p>
      <w:pPr>
        <w:pStyle w:val="2"/>
        <w:snapToGrid w:val="0"/>
        <w:spacing w:line="360" w:lineRule="auto"/>
        <w:jc w:val="both"/>
        <w:rPr>
          <w:rFonts w:hAnsi="黑体"/>
          <w:color w:val="000000"/>
          <w:szCs w:val="28"/>
        </w:rPr>
      </w:pPr>
      <w:bookmarkStart w:id="96" w:name="_Toc85663508"/>
      <w:r>
        <w:rPr>
          <w:rFonts w:hint="eastAsia" w:hAnsi="黑体"/>
          <w:color w:val="000000"/>
          <w:szCs w:val="28"/>
        </w:rPr>
        <w:t>附录D</w:t>
      </w:r>
      <w:bookmarkEnd w:id="96"/>
    </w:p>
    <w:p>
      <w:pPr>
        <w:snapToGrid w:val="0"/>
        <w:spacing w:line="480" w:lineRule="auto"/>
        <w:jc w:val="center"/>
        <w:rPr>
          <w:rFonts w:ascii="黑体" w:hAnsi="宋体" w:eastAsia="黑体"/>
          <w:color w:val="000000"/>
          <w:sz w:val="28"/>
          <w:szCs w:val="28"/>
        </w:rPr>
      </w:pPr>
      <w:r>
        <w:rPr>
          <w:rFonts w:hint="eastAsia" w:ascii="黑体" w:hAnsi="宋体" w:eastAsia="黑体"/>
          <w:color w:val="000000"/>
          <w:sz w:val="28"/>
          <w:szCs w:val="28"/>
        </w:rPr>
        <w:t>装车后的网联计价器检定结果通知书内页信息</w:t>
      </w:r>
    </w:p>
    <w:p>
      <w:pPr>
        <w:snapToGrid w:val="0"/>
        <w:spacing w:line="360" w:lineRule="auto"/>
        <w:rPr>
          <w:color w:val="000000"/>
          <w:sz w:val="24"/>
        </w:rPr>
      </w:pPr>
      <w:r>
        <w:rPr>
          <w:rFonts w:hint="eastAsia"/>
          <w:color w:val="000000"/>
          <w:sz w:val="24"/>
        </w:rPr>
        <w:t>（一）检定依据</w:t>
      </w:r>
    </w:p>
    <w:p>
      <w:pPr>
        <w:snapToGrid w:val="0"/>
        <w:spacing w:line="360" w:lineRule="auto"/>
        <w:rPr>
          <w:color w:val="000000"/>
          <w:sz w:val="24"/>
        </w:rPr>
      </w:pPr>
      <w:r>
        <w:rPr>
          <w:rFonts w:hint="eastAsia"/>
          <w:color w:val="000000"/>
          <w:sz w:val="24"/>
        </w:rPr>
        <w:t>（二）检定用计量标准信息</w:t>
      </w:r>
    </w:p>
    <w:p>
      <w:pPr>
        <w:snapToGrid w:val="0"/>
        <w:spacing w:line="360" w:lineRule="auto"/>
        <w:rPr>
          <w:color w:val="000000"/>
          <w:sz w:val="24"/>
        </w:rPr>
      </w:pPr>
    </w:p>
    <w:p>
      <w:pPr>
        <w:snapToGrid w:val="0"/>
        <w:spacing w:line="360" w:lineRule="auto"/>
        <w:rPr>
          <w:color w:val="000000"/>
          <w:sz w:val="24"/>
        </w:rPr>
      </w:pPr>
    </w:p>
    <w:p>
      <w:pPr>
        <w:snapToGrid w:val="0"/>
        <w:spacing w:line="360" w:lineRule="auto"/>
        <w:rPr>
          <w:color w:val="000000"/>
          <w:sz w:val="24"/>
        </w:rPr>
      </w:pPr>
    </w:p>
    <w:p>
      <w:pPr>
        <w:snapToGrid w:val="0"/>
        <w:spacing w:line="360" w:lineRule="auto"/>
        <w:rPr>
          <w:color w:val="000000"/>
          <w:sz w:val="24"/>
        </w:rPr>
      </w:pPr>
    </w:p>
    <w:p>
      <w:pPr>
        <w:snapToGrid w:val="0"/>
        <w:spacing w:line="360" w:lineRule="auto"/>
        <w:rPr>
          <w:color w:val="000000"/>
          <w:sz w:val="24"/>
        </w:rPr>
      </w:pPr>
      <w:r>
        <w:rPr>
          <w:rFonts w:hint="eastAsia"/>
          <w:color w:val="000000"/>
          <w:sz w:val="24"/>
        </w:rPr>
        <w:t>（三）不合格项目</w:t>
      </w:r>
    </w:p>
    <w:p>
      <w:pPr>
        <w:snapToGrid w:val="0"/>
        <w:spacing w:line="480" w:lineRule="auto"/>
        <w:rPr>
          <w:color w:val="000000"/>
          <w:sz w:val="24"/>
        </w:rPr>
      </w:pPr>
    </w:p>
    <w:p>
      <w:pPr>
        <w:snapToGrid w:val="0"/>
        <w:rPr>
          <w:rFonts w:ascii="宋体" w:hAnsi="宋体"/>
        </w:rPr>
      </w:pPr>
    </w:p>
    <w:p>
      <w:pPr>
        <w:snapToGrid w:val="0"/>
        <w:spacing w:line="360" w:lineRule="auto"/>
        <w:rPr>
          <w:rFonts w:ascii="宋体" w:hAnsi="宋体"/>
        </w:rPr>
      </w:pPr>
      <w:r>
        <w:rPr>
          <w:rFonts w:ascii="宋体" w:hAnsi="宋体"/>
        </w:rPr>
        <mc:AlternateContent>
          <mc:Choice Requires="wps">
            <w:drawing>
              <wp:anchor distT="0" distB="0" distL="114300" distR="114300" simplePos="0" relativeHeight="251658240" behindDoc="0" locked="0" layoutInCell="1" allowOverlap="1">
                <wp:simplePos x="0" y="0"/>
                <wp:positionH relativeFrom="column">
                  <wp:posOffset>1276350</wp:posOffset>
                </wp:positionH>
                <wp:positionV relativeFrom="paragraph">
                  <wp:posOffset>135255</wp:posOffset>
                </wp:positionV>
                <wp:extent cx="2971800" cy="0"/>
                <wp:effectExtent l="0" t="0" r="19050" b="19050"/>
                <wp:wrapNone/>
                <wp:docPr id="4" name="直线 27"/>
                <wp:cNvGraphicFramePr/>
                <a:graphic xmlns:a="http://schemas.openxmlformats.org/drawingml/2006/main">
                  <a:graphicData uri="http://schemas.microsoft.com/office/word/2010/wordprocessingShape">
                    <wps:wsp>
                      <wps:cNvCnPr>
                        <a:cxnSpLocks noChangeShapeType="true"/>
                      </wps:cNvCnPr>
                      <wps:spPr bwMode="auto">
                        <a:xfrm>
                          <a:off x="0" y="0"/>
                          <a:ext cx="2971800" cy="0"/>
                        </a:xfrm>
                        <a:prstGeom prst="line">
                          <a:avLst/>
                        </a:prstGeom>
                        <a:noFill/>
                        <a:ln w="19050">
                          <a:solidFill>
                            <a:srgbClr val="000000"/>
                          </a:solidFill>
                          <a:round/>
                        </a:ln>
                      </wps:spPr>
                      <wps:bodyPr/>
                    </wps:wsp>
                  </a:graphicData>
                </a:graphic>
              </wp:anchor>
            </w:drawing>
          </mc:Choice>
          <mc:Fallback>
            <w:pict>
              <v:line id="直线 27" o:spid="_x0000_s1026" o:spt="20" style="position:absolute;left:0pt;margin-left:100.5pt;margin-top:10.65pt;height:0pt;width:234pt;z-index:251658240;mso-width-relative:page;mso-height-relative:page;" filled="f" stroked="t" coordsize="21600,21600" o:gfxdata="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WAAAAZHJzL1BLAQIUABQAAAAIAIdO4kBj2m7K1gAAAAkBAAAPAAAAAAAAAAEAIAAA&#10;ADgAAABkcnMvZG93bnJldi54bWxQSwECFAAUAAAACACHTuJA+rLVRr8BAABYAwAADgAAAAAAAAAB&#10;ACAAAAA7AQAAZHJzL2Uyb0RvYy54bWxQSwUGAAAAAAYABgBZAQAAbAUAAAAA&#10;">
                <v:fill on="f" focussize="0,0"/>
                <v:stroke weight="1.5pt" color="#000000" joinstyle="round"/>
                <v:imagedata o:title=""/>
                <o:lock v:ext="edit" aspectratio="f"/>
              </v:line>
            </w:pict>
          </mc:Fallback>
        </mc:AlternateContent>
      </w:r>
    </w:p>
    <w:p>
      <w:pPr>
        <w:widowControl/>
        <w:jc w:val="left"/>
        <w:rPr>
          <w:rFonts w:ascii="宋体" w:hAnsi="宋体"/>
        </w:rPr>
        <w:sectPr>
          <w:headerReference r:id="rId13" w:type="even"/>
          <w:pgSz w:w="11906" w:h="16838"/>
          <w:pgMar w:top="1418" w:right="1418" w:bottom="1418" w:left="1418" w:header="851" w:footer="992" w:gutter="0"/>
          <w:cols w:space="720" w:num="1"/>
          <w:docGrid w:type="lines" w:linePitch="312" w:charSpace="0"/>
        </w:sectPr>
      </w:pPr>
      <w:r>
        <w:rPr>
          <w:rFonts w:ascii="宋体" w:hAnsi="宋体"/>
        </w:rPr>
        <w:br w:type="page"/>
      </w:r>
    </w:p>
    <w:p>
      <w:pPr>
        <w:widowControl/>
        <w:jc w:val="left"/>
        <w:rPr>
          <w:rFonts w:ascii="宋体" w:hAnsi="宋体"/>
        </w:rPr>
      </w:pPr>
    </w:p>
    <w:p>
      <w:pPr>
        <w:widowControl/>
        <w:jc w:val="left"/>
        <w:rPr>
          <w:rFonts w:ascii="宋体" w:hAnsi="宋体"/>
        </w:rPr>
      </w:pPr>
    </w:p>
    <w:p>
      <w:pPr>
        <w:widowControl/>
        <w:jc w:val="left"/>
        <w:rPr>
          <w:rFonts w:ascii="宋体" w:hAnsi="宋体"/>
        </w:rPr>
      </w:pPr>
    </w:p>
    <w:p>
      <w:pPr>
        <w:widowControl/>
        <w:jc w:val="left"/>
        <w:rPr>
          <w:rFonts w:ascii="宋体" w:hAnsi="宋体"/>
        </w:rPr>
      </w:pPr>
    </w:p>
    <w:p>
      <w:pPr>
        <w:snapToGrid w:val="0"/>
        <w:spacing w:line="360" w:lineRule="auto"/>
        <w:rPr>
          <w:rFonts w:ascii="宋体" w:hAnsi="宋体"/>
        </w:rPr>
      </w:pPr>
      <w:r>
        <mc:AlternateContent>
          <mc:Choice Requires="wps">
            <w:drawing>
              <wp:anchor distT="0" distB="0" distL="114300" distR="114300" simplePos="0" relativeHeight="251659264" behindDoc="0" locked="0" layoutInCell="1" allowOverlap="1">
                <wp:simplePos x="0" y="0"/>
                <wp:positionH relativeFrom="column">
                  <wp:posOffset>6004560</wp:posOffset>
                </wp:positionH>
                <wp:positionV relativeFrom="paragraph">
                  <wp:posOffset>161290</wp:posOffset>
                </wp:positionV>
                <wp:extent cx="505460" cy="2051685"/>
                <wp:effectExtent l="0" t="0" r="8890" b="5715"/>
                <wp:wrapNone/>
                <wp:docPr id="3" name="文本框 2"/>
                <wp:cNvGraphicFramePr/>
                <a:graphic xmlns:a="http://schemas.openxmlformats.org/drawingml/2006/main">
                  <a:graphicData uri="http://schemas.microsoft.com/office/word/2010/wordprocessingShape">
                    <wps:wsp>
                      <wps:cNvSpPr txBox="true">
                        <a:spLocks noChangeArrowheads="true"/>
                      </wps:cNvSpPr>
                      <wps:spPr bwMode="auto">
                        <a:xfrm>
                          <a:off x="0" y="0"/>
                          <a:ext cx="505460" cy="2051685"/>
                        </a:xfrm>
                        <a:prstGeom prst="rect">
                          <a:avLst/>
                        </a:prstGeom>
                        <a:solidFill>
                          <a:srgbClr val="FFFFFF"/>
                        </a:solidFill>
                        <a:ln>
                          <a:noFill/>
                        </a:ln>
                      </wps:spPr>
                      <wps:txbx>
                        <w:txbxContent>
                          <w:p>
                            <w:pPr>
                              <w:rPr>
                                <w:rFonts w:ascii="黑体" w:hAnsi="黑体" w:eastAsia="黑体"/>
                                <w:sz w:val="28"/>
                                <w:szCs w:val="28"/>
                              </w:rPr>
                            </w:pPr>
                            <w:r>
                              <w:rPr>
                                <w:rFonts w:ascii="黑体" w:hAnsi="黑体" w:eastAsia="黑体"/>
                                <w:sz w:val="28"/>
                                <w:szCs w:val="28"/>
                              </w:rPr>
                              <w:t>JJ</w:t>
                            </w:r>
                            <w:r>
                              <w:rPr>
                                <w:rFonts w:hint="eastAsia" w:ascii="黑体" w:hAnsi="黑体" w:eastAsia="黑体"/>
                                <w:sz w:val="28"/>
                                <w:szCs w:val="28"/>
                              </w:rPr>
                              <w:t>G</w:t>
                            </w:r>
                            <w:r>
                              <w:rPr>
                                <w:rFonts w:ascii="黑体" w:hAnsi="黑体" w:eastAsia="黑体"/>
                                <w:sz w:val="28"/>
                                <w:szCs w:val="28"/>
                              </w:rPr>
                              <w:t>(</w:t>
                            </w:r>
                            <w:r>
                              <w:rPr>
                                <w:rFonts w:hint="eastAsia" w:ascii="黑体" w:hAnsi="黑体" w:eastAsia="黑体"/>
                                <w:sz w:val="28"/>
                                <w:szCs w:val="28"/>
                              </w:rPr>
                              <w:t>沪</w:t>
                            </w:r>
                            <w:r>
                              <w:rPr>
                                <w:rFonts w:ascii="黑体" w:hAnsi="黑体" w:eastAsia="黑体"/>
                                <w:sz w:val="28"/>
                                <w:szCs w:val="28"/>
                              </w:rPr>
                              <w:t>)</w:t>
                            </w:r>
                            <w:r>
                              <w:rPr>
                                <w:rFonts w:hint="eastAsia" w:ascii="黑体" w:hAnsi="黑体" w:eastAsia="黑体"/>
                                <w:sz w:val="28"/>
                                <w:szCs w:val="28"/>
                              </w:rPr>
                              <w:t>xxxx</w:t>
                            </w:r>
                            <w:r>
                              <w:rPr>
                                <w:rFonts w:ascii="黑体" w:hAnsi="黑体" w:eastAsia="黑体"/>
                                <w:sz w:val="28"/>
                                <w:szCs w:val="28"/>
                              </w:rPr>
                              <w:t>-</w:t>
                            </w:r>
                            <w:r>
                              <w:rPr>
                                <w:rFonts w:hint="eastAsia" w:ascii="黑体" w:hAnsi="黑体" w:eastAsia="黑体"/>
                                <w:sz w:val="28"/>
                                <w:szCs w:val="28"/>
                              </w:rPr>
                              <w:t>2021</w:t>
                            </w:r>
                          </w:p>
                        </w:txbxContent>
                      </wps:txbx>
                      <wps:bodyPr rot="0" vert="vert270" wrap="square" lIns="91440" tIns="45720" rIns="91440" bIns="45720" anchor="t" anchorCtr="false" upright="true">
                        <a:noAutofit/>
                      </wps:bodyPr>
                    </wps:wsp>
                  </a:graphicData>
                </a:graphic>
              </wp:anchor>
            </w:drawing>
          </mc:Choice>
          <mc:Fallback>
            <w:pict>
              <v:shape id="文本框 2" o:spid="_x0000_s1026" o:spt="202" type="#_x0000_t202" style="position:absolute;left:0pt;margin-left:472.8pt;margin-top:12.7pt;height:161.55pt;width:39.8pt;z-index:251659264;mso-width-relative:page;mso-height-relative:page;" fillcolor="#FFFFFF" filled="t" stroked="f" coordsize="21600,21600" o:gfxdata="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WAAAAZHJzL1BLAQIUABQA&#10;AAAIAIdO4kD7ix4R2QAAAAsBAAAPAAAAAAAAAAEAIAAAADgAAABkcnMvZG93bnJldi54bWxQSwEC&#10;FAAUAAAACACHTuJAZEUqVRYCAAAABAAADgAAAAAAAAABACAAAAA+AQAAZHJzL2Uyb0RvYy54bWxQ&#10;SwUGAAAAAAYABgBZAQAAxgUAAAAA&#10;">
                <v:fill on="t" focussize="0,0"/>
                <v:stroke on="f"/>
                <v:imagedata o:title=""/>
                <o:lock v:ext="edit" aspectratio="f"/>
                <v:textbox style="layout-flow:vertical;mso-layout-flow-alt:bottom-to-top;">
                  <w:txbxContent>
                    <w:p>
                      <w:pPr>
                        <w:rPr>
                          <w:rFonts w:ascii="黑体" w:hAnsi="黑体" w:eastAsia="黑体"/>
                          <w:sz w:val="28"/>
                          <w:szCs w:val="28"/>
                        </w:rPr>
                      </w:pPr>
                      <w:r>
                        <w:rPr>
                          <w:rFonts w:ascii="黑体" w:hAnsi="黑体" w:eastAsia="黑体"/>
                          <w:sz w:val="28"/>
                          <w:szCs w:val="28"/>
                        </w:rPr>
                        <w:t>JJ</w:t>
                      </w:r>
                      <w:r>
                        <w:rPr>
                          <w:rFonts w:hint="eastAsia" w:ascii="黑体" w:hAnsi="黑体" w:eastAsia="黑体"/>
                          <w:sz w:val="28"/>
                          <w:szCs w:val="28"/>
                        </w:rPr>
                        <w:t>G</w:t>
                      </w:r>
                      <w:r>
                        <w:rPr>
                          <w:rFonts w:ascii="黑体" w:hAnsi="黑体" w:eastAsia="黑体"/>
                          <w:sz w:val="28"/>
                          <w:szCs w:val="28"/>
                        </w:rPr>
                        <w:t>(</w:t>
                      </w:r>
                      <w:r>
                        <w:rPr>
                          <w:rFonts w:hint="eastAsia" w:ascii="黑体" w:hAnsi="黑体" w:eastAsia="黑体"/>
                          <w:sz w:val="28"/>
                          <w:szCs w:val="28"/>
                        </w:rPr>
                        <w:t>沪</w:t>
                      </w:r>
                      <w:r>
                        <w:rPr>
                          <w:rFonts w:ascii="黑体" w:hAnsi="黑体" w:eastAsia="黑体"/>
                          <w:sz w:val="28"/>
                          <w:szCs w:val="28"/>
                        </w:rPr>
                        <w:t>)</w:t>
                      </w:r>
                      <w:r>
                        <w:rPr>
                          <w:rFonts w:hint="eastAsia" w:ascii="黑体" w:hAnsi="黑体" w:eastAsia="黑体"/>
                          <w:sz w:val="28"/>
                          <w:szCs w:val="28"/>
                        </w:rPr>
                        <w:t>xxxx</w:t>
                      </w:r>
                      <w:r>
                        <w:rPr>
                          <w:rFonts w:ascii="黑体" w:hAnsi="黑体" w:eastAsia="黑体"/>
                          <w:sz w:val="28"/>
                          <w:szCs w:val="28"/>
                        </w:rPr>
                        <w:t>-</w:t>
                      </w:r>
                      <w:r>
                        <w:rPr>
                          <w:rFonts w:hint="eastAsia" w:ascii="黑体" w:hAnsi="黑体" w:eastAsia="黑体"/>
                          <w:sz w:val="28"/>
                          <w:szCs w:val="28"/>
                        </w:rPr>
                        <w:t>2021</w:t>
                      </w:r>
                    </w:p>
                  </w:txbxContent>
                </v:textbox>
              </v:shape>
            </w:pict>
          </mc:Fallback>
        </mc:AlternateContent>
      </w:r>
    </w:p>
    <w:p>
      <w:pPr>
        <w:snapToGrid w:val="0"/>
        <w:spacing w:line="360" w:lineRule="auto"/>
        <w:rPr>
          <w:rFonts w:ascii="宋体" w:hAnsi="宋体"/>
        </w:rPr>
      </w:pPr>
    </w:p>
    <w:p>
      <w:pPr>
        <w:snapToGrid w:val="0"/>
        <w:spacing w:line="360" w:lineRule="auto"/>
        <w:rPr>
          <w:rFonts w:ascii="宋体" w:hAnsi="宋体"/>
        </w:rPr>
      </w:pPr>
    </w:p>
    <w:p>
      <w:pPr>
        <w:pStyle w:val="58"/>
        <w:rPr>
          <w:rFonts w:ascii="Times New Roman" w:hAnsi="Times New Roman" w:cs="Times New Roman"/>
          <w:color w:val="auto"/>
          <w:sz w:val="32"/>
          <w:szCs w:val="28"/>
        </w:rPr>
      </w:pPr>
    </w:p>
    <w:p>
      <w:pPr>
        <w:pStyle w:val="58"/>
        <w:rPr>
          <w:rFonts w:ascii="Times New Roman" w:hAnsi="Times New Roman" w:cs="Times New Roman"/>
          <w:color w:val="auto"/>
          <w:sz w:val="32"/>
          <w:szCs w:val="28"/>
        </w:rPr>
      </w:pPr>
    </w:p>
    <w:p>
      <w:pPr>
        <w:pStyle w:val="58"/>
        <w:rPr>
          <w:rFonts w:ascii="Times New Roman" w:hAnsi="Times New Roman" w:cs="Times New Roman"/>
          <w:color w:val="auto"/>
          <w:sz w:val="32"/>
          <w:szCs w:val="28"/>
        </w:rPr>
      </w:pPr>
    </w:p>
    <w:p>
      <w:pPr>
        <w:pStyle w:val="58"/>
        <w:rPr>
          <w:rFonts w:ascii="Times New Roman" w:hAnsi="Times New Roman" w:cs="Times New Roman"/>
          <w:color w:val="auto"/>
          <w:sz w:val="32"/>
          <w:szCs w:val="28"/>
        </w:rPr>
      </w:pPr>
    </w:p>
    <w:p>
      <w:pPr>
        <w:pStyle w:val="58"/>
        <w:rPr>
          <w:rFonts w:ascii="Times New Roman" w:hAnsi="Times New Roman" w:cs="Times New Roman"/>
          <w:color w:val="auto"/>
          <w:sz w:val="32"/>
          <w:szCs w:val="28"/>
        </w:rPr>
      </w:pPr>
    </w:p>
    <w:p>
      <w:pPr>
        <w:pStyle w:val="58"/>
        <w:rPr>
          <w:rFonts w:ascii="Times New Roman" w:hAnsi="Times New Roman" w:cs="Times New Roman"/>
          <w:color w:val="auto"/>
          <w:sz w:val="32"/>
          <w:szCs w:val="28"/>
        </w:rPr>
      </w:pPr>
    </w:p>
    <w:p>
      <w:pPr>
        <w:pStyle w:val="58"/>
        <w:rPr>
          <w:rFonts w:ascii="Times New Roman" w:hAnsi="Times New Roman" w:cs="Times New Roman"/>
          <w:color w:val="auto"/>
          <w:sz w:val="32"/>
          <w:szCs w:val="28"/>
        </w:rPr>
      </w:pPr>
    </w:p>
    <w:p>
      <w:pPr>
        <w:pStyle w:val="58"/>
        <w:rPr>
          <w:rFonts w:ascii="Times New Roman" w:hAnsi="Times New Roman" w:cs="Times New Roman"/>
          <w:color w:val="auto"/>
          <w:sz w:val="32"/>
          <w:szCs w:val="28"/>
        </w:rPr>
      </w:pPr>
    </w:p>
    <w:p>
      <w:pPr>
        <w:pStyle w:val="58"/>
        <w:rPr>
          <w:rFonts w:ascii="Times New Roman" w:hAnsi="Times New Roman" w:cs="Times New Roman"/>
          <w:color w:val="auto"/>
          <w:sz w:val="32"/>
          <w:szCs w:val="28"/>
        </w:rPr>
      </w:pPr>
    </w:p>
    <w:p>
      <w:pPr>
        <w:pStyle w:val="58"/>
        <w:rPr>
          <w:rFonts w:ascii="Times New Roman" w:hAnsi="Times New Roman" w:cs="Times New Roman"/>
          <w:color w:val="auto"/>
          <w:sz w:val="32"/>
          <w:szCs w:val="28"/>
        </w:rPr>
      </w:pPr>
    </w:p>
    <w:p>
      <w:pPr>
        <w:widowControl/>
        <w:autoSpaceDE w:val="0"/>
        <w:autoSpaceDN w:val="0"/>
        <w:adjustRightInd w:val="0"/>
        <w:spacing w:line="480" w:lineRule="exact"/>
        <w:jc w:val="center"/>
        <w:rPr>
          <w:rFonts w:ascii="宋体"/>
          <w:kern w:val="0"/>
          <w:sz w:val="28"/>
          <w:szCs w:val="20"/>
        </w:rPr>
      </w:pPr>
    </w:p>
    <w:p>
      <w:pPr>
        <w:widowControl/>
        <w:autoSpaceDE w:val="0"/>
        <w:autoSpaceDN w:val="0"/>
        <w:adjustRightInd w:val="0"/>
        <w:spacing w:line="480" w:lineRule="exact"/>
        <w:jc w:val="center"/>
        <w:rPr>
          <w:rFonts w:ascii="宋体"/>
          <w:kern w:val="0"/>
          <w:sz w:val="28"/>
          <w:szCs w:val="20"/>
        </w:rPr>
      </w:pPr>
    </w:p>
    <w:p>
      <w:pPr>
        <w:widowControl/>
        <w:autoSpaceDE w:val="0"/>
        <w:autoSpaceDN w:val="0"/>
        <w:adjustRightInd w:val="0"/>
        <w:spacing w:line="480" w:lineRule="exact"/>
        <w:jc w:val="center"/>
        <w:rPr>
          <w:rFonts w:ascii="宋体"/>
          <w:kern w:val="0"/>
          <w:sz w:val="28"/>
          <w:szCs w:val="20"/>
        </w:rPr>
      </w:pPr>
    </w:p>
    <w:p>
      <w:pPr>
        <w:widowControl/>
        <w:autoSpaceDE w:val="0"/>
        <w:autoSpaceDN w:val="0"/>
        <w:adjustRightInd w:val="0"/>
        <w:spacing w:line="480" w:lineRule="exact"/>
        <w:jc w:val="center"/>
        <w:rPr>
          <w:rFonts w:ascii="宋体"/>
          <w:kern w:val="0"/>
          <w:sz w:val="28"/>
          <w:szCs w:val="20"/>
        </w:rPr>
      </w:pPr>
    </w:p>
    <w:p>
      <w:pPr>
        <w:widowControl/>
        <w:autoSpaceDE w:val="0"/>
        <w:autoSpaceDN w:val="0"/>
        <w:adjustRightInd w:val="0"/>
        <w:spacing w:line="480" w:lineRule="exact"/>
        <w:jc w:val="center"/>
        <w:rPr>
          <w:rFonts w:ascii="宋体"/>
          <w:kern w:val="0"/>
          <w:sz w:val="28"/>
          <w:szCs w:val="20"/>
        </w:rPr>
      </w:pPr>
    </w:p>
    <w:p>
      <w:pPr>
        <w:widowControl/>
        <w:autoSpaceDE w:val="0"/>
        <w:autoSpaceDN w:val="0"/>
        <w:adjustRightInd w:val="0"/>
        <w:spacing w:line="480" w:lineRule="exact"/>
        <w:jc w:val="center"/>
        <w:rPr>
          <w:rFonts w:ascii="宋体"/>
          <w:kern w:val="0"/>
          <w:sz w:val="28"/>
          <w:szCs w:val="20"/>
        </w:rPr>
      </w:pPr>
    </w:p>
    <w:p>
      <w:pPr>
        <w:widowControl/>
        <w:autoSpaceDE w:val="0"/>
        <w:autoSpaceDN w:val="0"/>
        <w:adjustRightInd w:val="0"/>
        <w:spacing w:line="480" w:lineRule="exact"/>
        <w:jc w:val="center"/>
        <w:rPr>
          <w:rFonts w:ascii="宋体"/>
          <w:kern w:val="0"/>
          <w:sz w:val="28"/>
          <w:szCs w:val="20"/>
        </w:rPr>
      </w:pPr>
    </w:p>
    <w:p>
      <w:pPr>
        <w:wordWrap w:val="0"/>
        <w:spacing w:line="420" w:lineRule="exact"/>
        <w:ind w:right="210"/>
        <w:jc w:val="right"/>
        <w:rPr>
          <w:rFonts w:asciiTheme="minorEastAsia" w:hAnsiTheme="minorEastAsia" w:eastAsiaTheme="minorEastAsia"/>
          <w:kern w:val="0"/>
          <w:szCs w:val="21"/>
        </w:rPr>
      </w:pPr>
      <w:bookmarkStart w:id="97" w:name="_Toc7065"/>
      <w:bookmarkStart w:id="98" w:name="_Toc22358"/>
      <w:bookmarkStart w:id="99" w:name="_Toc70324030"/>
      <w:bookmarkStart w:id="100" w:name="_Toc11668"/>
      <w:bookmarkStart w:id="101" w:name="_Toc35256974"/>
      <w:bookmarkStart w:id="102" w:name="_Toc11059"/>
      <w:r>
        <w:rPr>
          <w:rFonts w:hint="eastAsia" w:asciiTheme="minorEastAsia" w:hAnsiTheme="minorEastAsia" w:eastAsiaTheme="minorEastAsia"/>
          <w:kern w:val="0"/>
          <w:szCs w:val="21"/>
        </w:rPr>
        <w:t>上海市地方</w:t>
      </w:r>
      <w:bookmarkEnd w:id="97"/>
      <w:bookmarkEnd w:id="98"/>
      <w:bookmarkEnd w:id="99"/>
      <w:bookmarkEnd w:id="100"/>
      <w:bookmarkEnd w:id="101"/>
      <w:bookmarkEnd w:id="102"/>
      <w:r>
        <w:rPr>
          <w:rFonts w:hint="eastAsia" w:asciiTheme="minorEastAsia" w:hAnsiTheme="minorEastAsia" w:eastAsiaTheme="minorEastAsia"/>
          <w:kern w:val="0"/>
          <w:szCs w:val="21"/>
          <w:lang w:eastAsia="zh-CN"/>
        </w:rPr>
        <w:t>计量</w:t>
      </w:r>
      <w:bookmarkStart w:id="115" w:name="_GoBack"/>
      <w:bookmarkEnd w:id="115"/>
      <w:r>
        <w:rPr>
          <w:rFonts w:hint="eastAsia" w:asciiTheme="minorEastAsia" w:hAnsiTheme="minorEastAsia" w:eastAsiaTheme="minorEastAsia"/>
          <w:kern w:val="0"/>
          <w:szCs w:val="21"/>
        </w:rPr>
        <w:t xml:space="preserve">检定规程 </w:t>
      </w:r>
    </w:p>
    <w:p>
      <w:pPr>
        <w:wordWrap w:val="0"/>
        <w:spacing w:line="420" w:lineRule="exact"/>
        <w:jc w:val="right"/>
        <w:rPr>
          <w:rFonts w:ascii="黑体" w:hAnsi="黑体" w:eastAsia="黑体"/>
          <w:kern w:val="0"/>
          <w:szCs w:val="21"/>
        </w:rPr>
      </w:pPr>
      <w:bookmarkStart w:id="103" w:name="_Toc13299"/>
      <w:bookmarkStart w:id="104" w:name="_Toc35256976"/>
      <w:bookmarkStart w:id="105" w:name="_Toc27750"/>
      <w:bookmarkStart w:id="106" w:name="_Toc8955"/>
      <w:bookmarkStart w:id="107" w:name="_Toc210"/>
      <w:r>
        <w:rPr>
          <w:rFonts w:hint="eastAsia" w:ascii="黑体" w:hAnsi="黑体" w:eastAsia="黑体"/>
          <w:kern w:val="0"/>
          <w:szCs w:val="21"/>
        </w:rPr>
        <w:t xml:space="preserve">  网联出租汽车计价器   </w:t>
      </w:r>
    </w:p>
    <w:p>
      <w:pPr>
        <w:wordWrap w:val="0"/>
        <w:spacing w:line="420" w:lineRule="exact"/>
        <w:jc w:val="right"/>
        <w:rPr>
          <w:rFonts w:asciiTheme="minorEastAsia" w:hAnsiTheme="minorEastAsia" w:eastAsiaTheme="minorEastAsia"/>
          <w:kern w:val="0"/>
          <w:szCs w:val="21"/>
        </w:rPr>
      </w:pPr>
      <w:bookmarkStart w:id="108" w:name="_Toc70324032"/>
      <w:r>
        <w:rPr>
          <w:rFonts w:eastAsiaTheme="minorEastAsia"/>
          <w:kern w:val="0"/>
          <w:szCs w:val="21"/>
        </w:rPr>
        <w:t>JJG</w:t>
      </w:r>
      <w:r>
        <w:rPr>
          <w:rFonts w:hint="eastAsia" w:asciiTheme="minorEastAsia" w:hAnsiTheme="minorEastAsia" w:eastAsiaTheme="minorEastAsia"/>
          <w:kern w:val="0"/>
          <w:szCs w:val="21"/>
        </w:rPr>
        <w:t>（沪）</w:t>
      </w:r>
      <w:r>
        <w:rPr>
          <w:rFonts w:eastAsiaTheme="minorEastAsia"/>
          <w:kern w:val="0"/>
          <w:szCs w:val="21"/>
        </w:rPr>
        <w:t>xxxx</w:t>
      </w:r>
      <w:r>
        <w:rPr>
          <w:rFonts w:hint="eastAsia" w:asciiTheme="minorEastAsia" w:hAnsiTheme="minorEastAsia" w:eastAsiaTheme="minorEastAsia"/>
          <w:kern w:val="0"/>
          <w:szCs w:val="21"/>
        </w:rPr>
        <w:t>－</w:t>
      </w:r>
      <w:bookmarkEnd w:id="103"/>
      <w:bookmarkEnd w:id="104"/>
      <w:bookmarkEnd w:id="105"/>
      <w:bookmarkEnd w:id="106"/>
      <w:bookmarkEnd w:id="107"/>
      <w:r>
        <w:rPr>
          <w:rFonts w:eastAsiaTheme="minorEastAsia"/>
          <w:kern w:val="0"/>
          <w:szCs w:val="21"/>
        </w:rPr>
        <w:t>2021</w:t>
      </w:r>
      <w:bookmarkEnd w:id="108"/>
      <w:r>
        <w:rPr>
          <w:rFonts w:hint="eastAsia" w:asciiTheme="minorEastAsia" w:hAnsiTheme="minorEastAsia" w:eastAsiaTheme="minorEastAsia"/>
          <w:kern w:val="0"/>
          <w:szCs w:val="21"/>
        </w:rPr>
        <w:t xml:space="preserve"> </w:t>
      </w:r>
    </w:p>
    <w:p>
      <w:pPr>
        <w:spacing w:line="420" w:lineRule="exact"/>
        <w:jc w:val="right"/>
        <w:rPr>
          <w:rFonts w:asciiTheme="minorEastAsia" w:hAnsiTheme="minorEastAsia" w:eastAsiaTheme="minorEastAsia"/>
          <w:sz w:val="32"/>
          <w:szCs w:val="28"/>
        </w:rPr>
      </w:pPr>
      <w:bookmarkStart w:id="109" w:name="_Toc70324033"/>
      <w:bookmarkStart w:id="110" w:name="_Toc35256977"/>
      <w:bookmarkStart w:id="111" w:name="_Toc29671"/>
      <w:bookmarkStart w:id="112" w:name="_Toc31128"/>
      <w:bookmarkStart w:id="113" w:name="_Toc13287"/>
      <w:bookmarkStart w:id="114" w:name="_Toc13741"/>
      <w:r>
        <w:rPr>
          <w:rFonts w:hint="eastAsia" w:asciiTheme="minorEastAsia" w:hAnsiTheme="minorEastAsia" w:eastAsiaTheme="minorEastAsia"/>
          <w:kern w:val="0"/>
          <w:szCs w:val="21"/>
        </w:rPr>
        <w:t xml:space="preserve">     </w:t>
      </w:r>
      <w:bookmarkEnd w:id="109"/>
      <w:bookmarkEnd w:id="110"/>
      <w:bookmarkEnd w:id="111"/>
      <w:bookmarkEnd w:id="112"/>
      <w:bookmarkEnd w:id="113"/>
      <w:bookmarkEnd w:id="114"/>
      <w:r>
        <w:rPr>
          <w:rFonts w:hint="eastAsia" w:asciiTheme="minorEastAsia" w:hAnsiTheme="minorEastAsia" w:eastAsiaTheme="minorEastAsia"/>
          <w:kern w:val="0"/>
          <w:sz w:val="28"/>
          <w:szCs w:val="28"/>
        </w:rPr>
        <w:t xml:space="preserve"> </w:t>
      </w:r>
    </w:p>
    <w:sectPr>
      <w:headerReference r:id="rId14" w:type="default"/>
      <w:footerReference r:id="rId16" w:type="default"/>
      <w:headerReference r:id="rId15" w:type="even"/>
      <w:footerReference r:id="rId17" w:type="even"/>
      <w:pgSz w:w="11906" w:h="16838"/>
      <w:pgMar w:top="1418" w:right="1418" w:bottom="1418" w:left="1418" w:header="851" w:footer="992" w:gutter="0"/>
      <w:pgNumType w:start="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Courier New">
    <w:altName w:val="DejaVu Sans"/>
    <w:panose1 w:val="02070309020205020404"/>
    <w:charset w:val="00"/>
    <w:family w:val="modern"/>
    <w:pitch w:val="default"/>
    <w:sig w:usb0="00000000" w:usb1="00000000" w:usb2="00000009" w:usb3="00000000" w:csb0="000001FF" w:csb1="00000000"/>
  </w:font>
  <w:font w:name="Arial">
    <w:altName w:val="Nimbus Roman No9 L"/>
    <w:panose1 w:val="020B0604020202020204"/>
    <w:charset w:val="00"/>
    <w:family w:val="swiss"/>
    <w:pitch w:val="default"/>
    <w:sig w:usb0="00000000" w:usb1="00000000" w:usb2="00000009" w:usb3="00000000" w:csb0="000001FF" w:csb1="00000000"/>
  </w:font>
  <w:font w:name="Cambria">
    <w:altName w:val="FreeSerif"/>
    <w:panose1 w:val="02040503050406030204"/>
    <w:charset w:val="00"/>
    <w:family w:val="roman"/>
    <w:pitch w:val="default"/>
    <w:sig w:usb0="00000000" w:usb1="00000000" w:usb2="00000000" w:usb3="00000000" w:csb0="0000019F" w:csb1="00000000"/>
  </w:font>
  <w:font w:name="方正小标宋简体">
    <w:panose1 w:val="02000000000000000000"/>
    <w:charset w:val="86"/>
    <w:family w:val="script"/>
    <w:pitch w:val="default"/>
    <w:sig w:usb0="A00002BF" w:usb1="184F6CFA" w:usb2="00000012" w:usb3="00000000" w:csb0="00040001" w:csb1="00000000"/>
  </w:font>
  <w:font w:name="方正小标宋_GBK">
    <w:panose1 w:val="02000000000000000000"/>
    <w:charset w:val="86"/>
    <w:family w:val="script"/>
    <w:pitch w:val="default"/>
    <w:sig w:usb0="00000001" w:usb1="08000000" w:usb2="00000000" w:usb3="00000000" w:csb0="00040000" w:csb1="00000000"/>
  </w:font>
  <w:font w:name="华光行楷_CNKI">
    <w:altName w:val="汉仪行楷简"/>
    <w:panose1 w:val="02000500000000000000"/>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MS Mincho">
    <w:altName w:val="方正书宋_GBK"/>
    <w:panose1 w:val="02020609040205080304"/>
    <w:charset w:val="80"/>
    <w:family w:val="modern"/>
    <w:pitch w:val="default"/>
    <w:sig w:usb0="00000000" w:usb1="00000000" w:usb2="00000012" w:usb3="00000000" w:csb0="0002009F"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䡡湄楮札䍓ⵆ潮瑳">
    <w:panose1 w:val="02010609010101010101"/>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roid Sans Fallback">
    <w:panose1 w:val="020B0502000000000001"/>
    <w:charset w:val="86"/>
    <w:family w:val="auto"/>
    <w:pitch w:val="default"/>
    <w:sig w:usb0="910002FF" w:usb1="2BDFFCFB" w:usb2="00000036" w:usb3="00000000" w:csb0="203F01FF"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pPr>
  </w:p>
  <w:p>
    <w:pPr>
      <w:pStyle w:val="16"/>
      <w:ind w:right="960"/>
      <w:jc w:val="center"/>
      <w:rPr>
        <w:rFonts w:ascii="Arial" w:hAnsi="Arial" w:cs="Arial"/>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037652"/>
    </w:sdtPr>
    <w:sdtContent>
      <w:p>
        <w:pPr>
          <w:pStyle w:val="16"/>
        </w:pPr>
        <w:r>
          <w:fldChar w:fldCharType="begin"/>
        </w:r>
        <w:r>
          <w:instrText xml:space="preserve"> PAGE   \* MERGEFORMAT </w:instrText>
        </w:r>
        <w:r>
          <w:fldChar w:fldCharType="separate"/>
        </w:r>
        <w:r>
          <w:rPr>
            <w:lang w:val="zh-CN"/>
          </w:rPr>
          <w:t>II</w:t>
        </w:r>
        <w:r>
          <w:rPr>
            <w:lang w:val="zh-CN"/>
          </w:rPr>
          <w:fldChar w:fldCharType="end"/>
        </w:r>
      </w:p>
    </w:sdtContent>
  </w:sdt>
  <w:p>
    <w:pPr>
      <w:pStyle w:val="16"/>
      <w:tabs>
        <w:tab w:val="left" w:pos="5265"/>
        <w:tab w:val="clear" w:pos="4153"/>
        <w:tab w:val="clear" w:pos="8306"/>
      </w:tabs>
      <w:ind w:right="360"/>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sdt>
    <w:sdtPr>
      <w:id w:val="858857836"/>
      <w:showingPlcHdr/>
    </w:sdtPr>
    <w:sdtContent>
      <w:p>
        <w:pPr>
          <w:pStyle w:val="16"/>
        </w:pPr>
        <w:r>
          <w:t xml:space="preserve">     </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037651"/>
    </w:sdtPr>
    <w:sdtContent>
      <w:p>
        <w:pPr>
          <w:pStyle w:val="16"/>
          <w:jc w:val="right"/>
        </w:pPr>
        <w:r>
          <w:fldChar w:fldCharType="begin"/>
        </w:r>
        <w:r>
          <w:instrText xml:space="preserve"> PAGE   \* MERGEFORMAT </w:instrText>
        </w:r>
        <w:r>
          <w:fldChar w:fldCharType="separate"/>
        </w:r>
        <w:r>
          <w:rPr>
            <w:lang w:val="zh-CN"/>
          </w:rPr>
          <w:t>I</w:t>
        </w:r>
        <w:r>
          <w:rPr>
            <w:lang w:val="zh-CN"/>
          </w:rPr>
          <w:fldChar w:fldCharType="end"/>
        </w:r>
      </w:p>
    </w:sdtContent>
  </w:sdt>
  <w:p>
    <w:pPr>
      <w:pStyle w:val="16"/>
      <w:ind w:right="960"/>
      <w:rPr>
        <w:rFonts w:ascii="Arial" w:hAnsi="Arial" w:cs="Arial"/>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2688017"/>
      <w:docPartObj>
        <w:docPartGallery w:val="autotext"/>
      </w:docPartObj>
    </w:sdtPr>
    <w:sdtContent>
      <w:p>
        <w:pPr>
          <w:pStyle w:val="16"/>
        </w:pPr>
        <w:r>
          <w:fldChar w:fldCharType="begin"/>
        </w:r>
        <w:r>
          <w:instrText xml:space="preserve">PAGE   \* MERGEFORMAT</w:instrText>
        </w:r>
        <w:r>
          <w:fldChar w:fldCharType="separate"/>
        </w:r>
        <w:r>
          <w:rPr>
            <w:lang w:val="zh-CN"/>
          </w:rPr>
          <w:t>8</w:t>
        </w:r>
        <w:r>
          <w:rPr>
            <w:lang w:val="zh-CN"/>
          </w:rPr>
          <w:fldChar w:fldCharType="end"/>
        </w:r>
      </w:p>
    </w:sdtContent>
  </w:sdt>
  <w:sdt>
    <w:sdtPr>
      <w:id w:val="-1534419362"/>
      <w:showingPlcHdr/>
    </w:sdtPr>
    <w:sdtContent>
      <w:p>
        <w:pPr>
          <w:pStyle w:val="16"/>
        </w:pPr>
        <w:r>
          <w:t xml:space="preserve">     </w:t>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7945183"/>
      <w:docPartObj>
        <w:docPartGallery w:val="autotext"/>
      </w:docPartObj>
    </w:sdtPr>
    <w:sdtContent>
      <w:p>
        <w:pPr>
          <w:pStyle w:val="16"/>
          <w:jc w:val="right"/>
        </w:pPr>
        <w:r>
          <w:fldChar w:fldCharType="begin"/>
        </w:r>
        <w:r>
          <w:instrText xml:space="preserve"> PAGE   \* MERGEFORMAT </w:instrText>
        </w:r>
        <w:r>
          <w:fldChar w:fldCharType="separate"/>
        </w:r>
        <w:r>
          <w:rPr>
            <w:lang w:val="zh-CN"/>
          </w:rPr>
          <w:t>9</w:t>
        </w:r>
        <w:r>
          <w:rPr>
            <w:lang w:val="zh-CN"/>
          </w:rPr>
          <w:fldChar w:fldCharType="end"/>
        </w:r>
      </w:p>
    </w:sdtContent>
  </w:sdt>
  <w:p>
    <w:pPr>
      <w:pStyle w:val="16"/>
      <w:jc w:val="right"/>
      <w:rPr>
        <w:rFonts w:ascii="Arial" w:hAnsi="Arial" w:cs="Arial"/>
        <w:sz w:val="21"/>
        <w:szCs w:val="21"/>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8524824"/>
      <w:docPartObj>
        <w:docPartGallery w:val="autotext"/>
      </w:docPartObj>
    </w:sdtPr>
    <w:sdtContent>
      <w:p>
        <w:pPr>
          <w:pStyle w:val="16"/>
          <w:jc w:val="right"/>
        </w:pPr>
        <w:r>
          <w:fldChar w:fldCharType="begin"/>
        </w:r>
        <w:r>
          <w:instrText xml:space="preserve"> PAGE   \* MERGEFORMAT </w:instrText>
        </w:r>
        <w:r>
          <w:fldChar w:fldCharType="separate"/>
        </w:r>
        <w:r>
          <w:rPr>
            <w:lang w:val="zh-CN"/>
          </w:rPr>
          <w:t>13</w:t>
        </w:r>
        <w:r>
          <w:rPr>
            <w:lang w:val="zh-CN"/>
          </w:rPr>
          <w:fldChar w:fldCharType="end"/>
        </w:r>
      </w:p>
    </w:sdtContent>
  </w:sdt>
  <w:p>
    <w:pPr>
      <w:pStyle w:val="16"/>
      <w:jc w:val="right"/>
      <w:rPr>
        <w:rFonts w:ascii="Arial" w:hAnsi="Arial" w:cs="Arial"/>
        <w:sz w:val="21"/>
        <w:szCs w:val="21"/>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89498379"/>
      <w:docPartObj>
        <w:docPartGallery w:val="autotext"/>
      </w:docPartObj>
    </w:sdtPr>
    <w:sdtContent>
      <w:p>
        <w:pPr>
          <w:pStyle w:val="16"/>
        </w:pPr>
        <w:r>
          <w:fldChar w:fldCharType="begin"/>
        </w:r>
        <w:r>
          <w:instrText xml:space="preserve">PAGE   \* MERGEFORMAT</w:instrText>
        </w:r>
        <w:r>
          <w:fldChar w:fldCharType="separate"/>
        </w:r>
        <w:r>
          <w:rPr>
            <w:lang w:val="zh-CN"/>
          </w:rPr>
          <w:t>12</w:t>
        </w:r>
        <w:r>
          <w:rPr>
            <w:lang w:val="zh-CN"/>
          </w:rPr>
          <w:fldChar w:fldCharType="end"/>
        </w:r>
      </w:p>
    </w:sdtContent>
  </w:sdt>
  <w:sdt>
    <w:sdtPr>
      <w:id w:val="1375508724"/>
      <w:showingPlcHdr/>
    </w:sdtPr>
    <w:sdtContent>
      <w:p>
        <w:pPr>
          <w:pStyle w:val="16"/>
        </w:pPr>
        <w:r>
          <w:t xml:space="preserve">     </w:t>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lang w:val="zh-CN"/>
      </w:rPr>
    </w:pPr>
  </w:p>
  <w:p>
    <w:pPr>
      <w:pStyle w:val="16"/>
      <w:ind w:right="960"/>
      <w:rPr>
        <w:rFonts w:ascii="Arial" w:hAnsi="Arial" w:cs="Arial"/>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pPr>
  </w:p>
  <w:p>
    <w:pPr>
      <w:pStyle w:val="17"/>
      <w:rPr>
        <w:rFonts w:ascii="黑体" w:hAnsi="黑体" w:eastAsia="黑体"/>
        <w:sz w:val="21"/>
        <w:szCs w:val="21"/>
      </w:rPr>
    </w:pPr>
    <w:r>
      <w:rPr>
        <w:rFonts w:hint="eastAsia" w:ascii="黑体" w:hAnsi="黑体" w:eastAsia="黑体"/>
        <w:sz w:val="21"/>
        <w:szCs w:val="21"/>
      </w:rPr>
      <w:t>JJG（沪）</w:t>
    </w:r>
    <w:r>
      <w:rPr>
        <w:rFonts w:ascii="黑体" w:hAnsi="黑体" w:eastAsia="黑体"/>
        <w:bCs/>
        <w:sz w:val="21"/>
        <w:szCs w:val="21"/>
      </w:rPr>
      <w:t>xxxx</w:t>
    </w:r>
    <w:r>
      <w:rPr>
        <w:rFonts w:hint="eastAsia" w:ascii="黑体" w:hAnsi="黑体" w:eastAsia="黑体"/>
        <w:sz w:val="21"/>
        <w:szCs w:val="21"/>
      </w:rPr>
      <w:t>-2021</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rPr>
        <w:rFonts w:ascii="黑体" w:hAnsi="黑体" w:eastAsia="黑体"/>
        <w:sz w:val="21"/>
        <w:szCs w:val="21"/>
      </w:rPr>
    </w:pPr>
    <w:r>
      <w:rPr>
        <w:rFonts w:hint="eastAsia" w:ascii="黑体" w:hAnsi="黑体" w:eastAsia="黑体"/>
        <w:sz w:val="21"/>
        <w:szCs w:val="21"/>
      </w:rPr>
      <w:t>JJG（沪）</w:t>
    </w:r>
    <w:r>
      <w:rPr>
        <w:rFonts w:ascii="黑体" w:hAnsi="黑体" w:eastAsia="黑体"/>
        <w:bCs/>
        <w:sz w:val="21"/>
        <w:szCs w:val="21"/>
      </w:rPr>
      <w:t>xxxx</w:t>
    </w:r>
    <w:r>
      <w:rPr>
        <w:rFonts w:hint="eastAsia" w:ascii="黑体" w:hAnsi="黑体" w:eastAsia="黑体"/>
        <w:sz w:val="21"/>
        <w:szCs w:val="21"/>
      </w:rPr>
      <w:t>-2021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right"/>
    </w:pPr>
  </w:p>
  <w:p>
    <w:pPr>
      <w:pStyle w:val="17"/>
      <w:rPr>
        <w:rFonts w:ascii="黑体" w:hAnsi="黑体" w:eastAsia="黑体"/>
        <w:sz w:val="21"/>
        <w:szCs w:val="21"/>
      </w:rPr>
    </w:pPr>
    <w:r>
      <w:rPr>
        <w:rFonts w:hint="eastAsia" w:ascii="黑体" w:hAnsi="黑体" w:eastAsia="黑体"/>
        <w:sz w:val="21"/>
        <w:szCs w:val="21"/>
      </w:rPr>
      <w:t>JJG（沪）</w:t>
    </w:r>
    <w:r>
      <w:rPr>
        <w:rFonts w:ascii="黑体" w:hAnsi="黑体" w:eastAsia="黑体"/>
        <w:bCs/>
        <w:sz w:val="21"/>
        <w:szCs w:val="21"/>
      </w:rPr>
      <w:t>xxxx</w:t>
    </w:r>
    <w:r>
      <w:rPr>
        <w:rFonts w:hint="eastAsia" w:ascii="黑体" w:hAnsi="黑体" w:eastAsia="黑体"/>
        <w:sz w:val="21"/>
        <w:szCs w:val="21"/>
      </w:rPr>
      <w:t>-2021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033090"/>
    <w:multiLevelType w:val="multilevel"/>
    <w:tmpl w:val="6E03309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evenAndOddHeaders w:val="true"/>
  <w:drawingGridHorizontalSpacing w:val="105"/>
  <w:drawingGridVerticalSpacing w:val="156"/>
  <w:displayHorizontalDrawingGridEvery w:val="2"/>
  <w:displayVerticalDrawingGridEvery w:val="2"/>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E13"/>
    <w:rsid w:val="00000848"/>
    <w:rsid w:val="000021D2"/>
    <w:rsid w:val="00006401"/>
    <w:rsid w:val="00006C06"/>
    <w:rsid w:val="000112F0"/>
    <w:rsid w:val="00011951"/>
    <w:rsid w:val="0001199C"/>
    <w:rsid w:val="00011BAD"/>
    <w:rsid w:val="00011FB6"/>
    <w:rsid w:val="000130F4"/>
    <w:rsid w:val="0001608D"/>
    <w:rsid w:val="000165E1"/>
    <w:rsid w:val="000175D3"/>
    <w:rsid w:val="000206C1"/>
    <w:rsid w:val="00023FD5"/>
    <w:rsid w:val="00027AE4"/>
    <w:rsid w:val="0003113C"/>
    <w:rsid w:val="000317EF"/>
    <w:rsid w:val="00031DBF"/>
    <w:rsid w:val="0003249C"/>
    <w:rsid w:val="00033181"/>
    <w:rsid w:val="00033851"/>
    <w:rsid w:val="000344A7"/>
    <w:rsid w:val="0003471B"/>
    <w:rsid w:val="000360C8"/>
    <w:rsid w:val="0003678F"/>
    <w:rsid w:val="00041F9F"/>
    <w:rsid w:val="0004242F"/>
    <w:rsid w:val="00042589"/>
    <w:rsid w:val="00043F6F"/>
    <w:rsid w:val="0004582B"/>
    <w:rsid w:val="00046072"/>
    <w:rsid w:val="00050B0D"/>
    <w:rsid w:val="000514D2"/>
    <w:rsid w:val="00052AA5"/>
    <w:rsid w:val="00052E29"/>
    <w:rsid w:val="000550EB"/>
    <w:rsid w:val="0005524F"/>
    <w:rsid w:val="000552D3"/>
    <w:rsid w:val="00055637"/>
    <w:rsid w:val="00057CDC"/>
    <w:rsid w:val="00060079"/>
    <w:rsid w:val="00060467"/>
    <w:rsid w:val="0006362D"/>
    <w:rsid w:val="00063AE2"/>
    <w:rsid w:val="00065DE6"/>
    <w:rsid w:val="00066742"/>
    <w:rsid w:val="00066FB8"/>
    <w:rsid w:val="0006711D"/>
    <w:rsid w:val="00067358"/>
    <w:rsid w:val="000674A7"/>
    <w:rsid w:val="00067E22"/>
    <w:rsid w:val="00067E2C"/>
    <w:rsid w:val="00070070"/>
    <w:rsid w:val="00072E86"/>
    <w:rsid w:val="00074B0A"/>
    <w:rsid w:val="00074C13"/>
    <w:rsid w:val="00075403"/>
    <w:rsid w:val="00075D19"/>
    <w:rsid w:val="00075D7E"/>
    <w:rsid w:val="00080A34"/>
    <w:rsid w:val="00081653"/>
    <w:rsid w:val="000816C3"/>
    <w:rsid w:val="000823BC"/>
    <w:rsid w:val="0008609C"/>
    <w:rsid w:val="00086D8F"/>
    <w:rsid w:val="00090797"/>
    <w:rsid w:val="00094886"/>
    <w:rsid w:val="00094A66"/>
    <w:rsid w:val="00094D54"/>
    <w:rsid w:val="000956AA"/>
    <w:rsid w:val="00096041"/>
    <w:rsid w:val="000A01E4"/>
    <w:rsid w:val="000A0C38"/>
    <w:rsid w:val="000A27FB"/>
    <w:rsid w:val="000A2CEB"/>
    <w:rsid w:val="000A3610"/>
    <w:rsid w:val="000A49A1"/>
    <w:rsid w:val="000A509C"/>
    <w:rsid w:val="000A52E3"/>
    <w:rsid w:val="000A79D8"/>
    <w:rsid w:val="000B0B52"/>
    <w:rsid w:val="000B1CA2"/>
    <w:rsid w:val="000B26D7"/>
    <w:rsid w:val="000B3B65"/>
    <w:rsid w:val="000B46B3"/>
    <w:rsid w:val="000B6928"/>
    <w:rsid w:val="000B7007"/>
    <w:rsid w:val="000B7AA5"/>
    <w:rsid w:val="000C0AC6"/>
    <w:rsid w:val="000C0FB2"/>
    <w:rsid w:val="000C189B"/>
    <w:rsid w:val="000C320E"/>
    <w:rsid w:val="000C4332"/>
    <w:rsid w:val="000C55E1"/>
    <w:rsid w:val="000C55EB"/>
    <w:rsid w:val="000C5A9A"/>
    <w:rsid w:val="000C6F33"/>
    <w:rsid w:val="000C77C6"/>
    <w:rsid w:val="000C799D"/>
    <w:rsid w:val="000C7D18"/>
    <w:rsid w:val="000D0432"/>
    <w:rsid w:val="000D10AA"/>
    <w:rsid w:val="000D2346"/>
    <w:rsid w:val="000D26B7"/>
    <w:rsid w:val="000D2C36"/>
    <w:rsid w:val="000D2DA3"/>
    <w:rsid w:val="000D6586"/>
    <w:rsid w:val="000D7134"/>
    <w:rsid w:val="000D73ED"/>
    <w:rsid w:val="000E0469"/>
    <w:rsid w:val="000E0964"/>
    <w:rsid w:val="000E0C84"/>
    <w:rsid w:val="000E1362"/>
    <w:rsid w:val="000E1886"/>
    <w:rsid w:val="000E3153"/>
    <w:rsid w:val="000E38AC"/>
    <w:rsid w:val="000E38BE"/>
    <w:rsid w:val="000E444C"/>
    <w:rsid w:val="000E52A3"/>
    <w:rsid w:val="000E750A"/>
    <w:rsid w:val="000F0989"/>
    <w:rsid w:val="000F0E90"/>
    <w:rsid w:val="000F206E"/>
    <w:rsid w:val="000F3195"/>
    <w:rsid w:val="000F49CB"/>
    <w:rsid w:val="000F55DD"/>
    <w:rsid w:val="000F687F"/>
    <w:rsid w:val="000F6AD7"/>
    <w:rsid w:val="0010033E"/>
    <w:rsid w:val="00100FE5"/>
    <w:rsid w:val="00101E2E"/>
    <w:rsid w:val="00102426"/>
    <w:rsid w:val="001029E5"/>
    <w:rsid w:val="00102D2D"/>
    <w:rsid w:val="00103DDB"/>
    <w:rsid w:val="0010476E"/>
    <w:rsid w:val="0010490D"/>
    <w:rsid w:val="00104BBD"/>
    <w:rsid w:val="00105F18"/>
    <w:rsid w:val="00106952"/>
    <w:rsid w:val="001070BC"/>
    <w:rsid w:val="0010742B"/>
    <w:rsid w:val="00111071"/>
    <w:rsid w:val="0011128D"/>
    <w:rsid w:val="00111561"/>
    <w:rsid w:val="00112A92"/>
    <w:rsid w:val="00112FE7"/>
    <w:rsid w:val="001174A4"/>
    <w:rsid w:val="00117778"/>
    <w:rsid w:val="001212C9"/>
    <w:rsid w:val="00122C65"/>
    <w:rsid w:val="0012338F"/>
    <w:rsid w:val="001246BD"/>
    <w:rsid w:val="00125056"/>
    <w:rsid w:val="00125A1B"/>
    <w:rsid w:val="00126E1C"/>
    <w:rsid w:val="001271C6"/>
    <w:rsid w:val="00127E68"/>
    <w:rsid w:val="001301D9"/>
    <w:rsid w:val="001304C8"/>
    <w:rsid w:val="001318D0"/>
    <w:rsid w:val="00131E2D"/>
    <w:rsid w:val="0013256A"/>
    <w:rsid w:val="001406BE"/>
    <w:rsid w:val="00141923"/>
    <w:rsid w:val="00142476"/>
    <w:rsid w:val="0014270E"/>
    <w:rsid w:val="00142D2F"/>
    <w:rsid w:val="0014314C"/>
    <w:rsid w:val="00143DE1"/>
    <w:rsid w:val="001444FA"/>
    <w:rsid w:val="00144CC1"/>
    <w:rsid w:val="0014513D"/>
    <w:rsid w:val="001452F0"/>
    <w:rsid w:val="001461D7"/>
    <w:rsid w:val="00146AA8"/>
    <w:rsid w:val="00150B3E"/>
    <w:rsid w:val="00150F55"/>
    <w:rsid w:val="0015137C"/>
    <w:rsid w:val="001516E6"/>
    <w:rsid w:val="00151E64"/>
    <w:rsid w:val="001522EF"/>
    <w:rsid w:val="00153FB3"/>
    <w:rsid w:val="001546FB"/>
    <w:rsid w:val="001550F3"/>
    <w:rsid w:val="001568C6"/>
    <w:rsid w:val="00156AE0"/>
    <w:rsid w:val="001609DB"/>
    <w:rsid w:val="001617EC"/>
    <w:rsid w:val="001644F6"/>
    <w:rsid w:val="0017011E"/>
    <w:rsid w:val="001701AB"/>
    <w:rsid w:val="00171B6D"/>
    <w:rsid w:val="00172CB7"/>
    <w:rsid w:val="001745BF"/>
    <w:rsid w:val="00174B39"/>
    <w:rsid w:val="00175B4C"/>
    <w:rsid w:val="00175F7B"/>
    <w:rsid w:val="00176D09"/>
    <w:rsid w:val="00176FA5"/>
    <w:rsid w:val="001823CB"/>
    <w:rsid w:val="0018245C"/>
    <w:rsid w:val="001838BE"/>
    <w:rsid w:val="00183ED3"/>
    <w:rsid w:val="0018556B"/>
    <w:rsid w:val="00187583"/>
    <w:rsid w:val="00191020"/>
    <w:rsid w:val="0019161E"/>
    <w:rsid w:val="00192741"/>
    <w:rsid w:val="00193B52"/>
    <w:rsid w:val="00193CE6"/>
    <w:rsid w:val="00194AF6"/>
    <w:rsid w:val="0019625E"/>
    <w:rsid w:val="00197BAD"/>
    <w:rsid w:val="00197E51"/>
    <w:rsid w:val="001A18B7"/>
    <w:rsid w:val="001A26D8"/>
    <w:rsid w:val="001A402A"/>
    <w:rsid w:val="001A4493"/>
    <w:rsid w:val="001A4945"/>
    <w:rsid w:val="001A579F"/>
    <w:rsid w:val="001A5FC0"/>
    <w:rsid w:val="001A626C"/>
    <w:rsid w:val="001A67F6"/>
    <w:rsid w:val="001B110F"/>
    <w:rsid w:val="001B2480"/>
    <w:rsid w:val="001B4B74"/>
    <w:rsid w:val="001B6C89"/>
    <w:rsid w:val="001C034A"/>
    <w:rsid w:val="001C2B7F"/>
    <w:rsid w:val="001C32A0"/>
    <w:rsid w:val="001C3660"/>
    <w:rsid w:val="001C3E07"/>
    <w:rsid w:val="001C43C2"/>
    <w:rsid w:val="001C6AC5"/>
    <w:rsid w:val="001C70C3"/>
    <w:rsid w:val="001D0238"/>
    <w:rsid w:val="001D1DB5"/>
    <w:rsid w:val="001D2380"/>
    <w:rsid w:val="001D489D"/>
    <w:rsid w:val="001D597B"/>
    <w:rsid w:val="001D5B9B"/>
    <w:rsid w:val="001D697A"/>
    <w:rsid w:val="001D7462"/>
    <w:rsid w:val="001E075B"/>
    <w:rsid w:val="001E2258"/>
    <w:rsid w:val="001E337F"/>
    <w:rsid w:val="001E3409"/>
    <w:rsid w:val="001E4233"/>
    <w:rsid w:val="001E4470"/>
    <w:rsid w:val="001E46AD"/>
    <w:rsid w:val="001E4C1D"/>
    <w:rsid w:val="001E4E24"/>
    <w:rsid w:val="001E69C4"/>
    <w:rsid w:val="001F015D"/>
    <w:rsid w:val="001F1411"/>
    <w:rsid w:val="001F344E"/>
    <w:rsid w:val="001F3DE6"/>
    <w:rsid w:val="001F3FCC"/>
    <w:rsid w:val="001F42D3"/>
    <w:rsid w:val="001F4577"/>
    <w:rsid w:val="001F54C0"/>
    <w:rsid w:val="001F594F"/>
    <w:rsid w:val="001F6416"/>
    <w:rsid w:val="002018EB"/>
    <w:rsid w:val="00201D91"/>
    <w:rsid w:val="00202B5D"/>
    <w:rsid w:val="00202CF1"/>
    <w:rsid w:val="00203933"/>
    <w:rsid w:val="0020442F"/>
    <w:rsid w:val="00206B46"/>
    <w:rsid w:val="002077AE"/>
    <w:rsid w:val="00207902"/>
    <w:rsid w:val="0021216C"/>
    <w:rsid w:val="00212FDD"/>
    <w:rsid w:val="0021499C"/>
    <w:rsid w:val="00215291"/>
    <w:rsid w:val="002169C0"/>
    <w:rsid w:val="002200E5"/>
    <w:rsid w:val="00220484"/>
    <w:rsid w:val="00221AF5"/>
    <w:rsid w:val="0022213B"/>
    <w:rsid w:val="002221E9"/>
    <w:rsid w:val="00222BCF"/>
    <w:rsid w:val="00225AE0"/>
    <w:rsid w:val="00225AFB"/>
    <w:rsid w:val="002260F0"/>
    <w:rsid w:val="00226EE0"/>
    <w:rsid w:val="00227E38"/>
    <w:rsid w:val="00230DC7"/>
    <w:rsid w:val="002310A4"/>
    <w:rsid w:val="00231D2B"/>
    <w:rsid w:val="00232D4E"/>
    <w:rsid w:val="002331E7"/>
    <w:rsid w:val="002342A6"/>
    <w:rsid w:val="00234A12"/>
    <w:rsid w:val="00234A52"/>
    <w:rsid w:val="00234AC5"/>
    <w:rsid w:val="00234B3D"/>
    <w:rsid w:val="002351A6"/>
    <w:rsid w:val="0023577E"/>
    <w:rsid w:val="00241A32"/>
    <w:rsid w:val="00241A5F"/>
    <w:rsid w:val="00243BEB"/>
    <w:rsid w:val="00244679"/>
    <w:rsid w:val="00244F53"/>
    <w:rsid w:val="00246017"/>
    <w:rsid w:val="00247087"/>
    <w:rsid w:val="00247BB3"/>
    <w:rsid w:val="002517EA"/>
    <w:rsid w:val="0025224C"/>
    <w:rsid w:val="002542D8"/>
    <w:rsid w:val="00254F05"/>
    <w:rsid w:val="002564EA"/>
    <w:rsid w:val="002564FA"/>
    <w:rsid w:val="00257457"/>
    <w:rsid w:val="00257B71"/>
    <w:rsid w:val="00257C96"/>
    <w:rsid w:val="0026116C"/>
    <w:rsid w:val="00261399"/>
    <w:rsid w:val="002615C5"/>
    <w:rsid w:val="002618D0"/>
    <w:rsid w:val="00262094"/>
    <w:rsid w:val="0026210B"/>
    <w:rsid w:val="002624BD"/>
    <w:rsid w:val="002626EF"/>
    <w:rsid w:val="00263B13"/>
    <w:rsid w:val="00263B90"/>
    <w:rsid w:val="00263E6D"/>
    <w:rsid w:val="00264020"/>
    <w:rsid w:val="00264406"/>
    <w:rsid w:val="002658AD"/>
    <w:rsid w:val="002661A9"/>
    <w:rsid w:val="002662C2"/>
    <w:rsid w:val="002674F5"/>
    <w:rsid w:val="00267508"/>
    <w:rsid w:val="00270EFF"/>
    <w:rsid w:val="0027132B"/>
    <w:rsid w:val="00275791"/>
    <w:rsid w:val="00277A33"/>
    <w:rsid w:val="00277AEA"/>
    <w:rsid w:val="00277D08"/>
    <w:rsid w:val="0028082A"/>
    <w:rsid w:val="002809E9"/>
    <w:rsid w:val="00282945"/>
    <w:rsid w:val="002831BC"/>
    <w:rsid w:val="00284D05"/>
    <w:rsid w:val="002855E6"/>
    <w:rsid w:val="00286C9F"/>
    <w:rsid w:val="00286F38"/>
    <w:rsid w:val="00287557"/>
    <w:rsid w:val="00287A7B"/>
    <w:rsid w:val="00287E11"/>
    <w:rsid w:val="00290001"/>
    <w:rsid w:val="002904F6"/>
    <w:rsid w:val="00291A44"/>
    <w:rsid w:val="00292C12"/>
    <w:rsid w:val="00292D0F"/>
    <w:rsid w:val="00292F97"/>
    <w:rsid w:val="0029481A"/>
    <w:rsid w:val="002959DC"/>
    <w:rsid w:val="00295F57"/>
    <w:rsid w:val="00297E60"/>
    <w:rsid w:val="002A07D0"/>
    <w:rsid w:val="002A24EC"/>
    <w:rsid w:val="002A261C"/>
    <w:rsid w:val="002A2B63"/>
    <w:rsid w:val="002A3D1F"/>
    <w:rsid w:val="002A3EB3"/>
    <w:rsid w:val="002A447D"/>
    <w:rsid w:val="002A48E6"/>
    <w:rsid w:val="002A4AD6"/>
    <w:rsid w:val="002A5A40"/>
    <w:rsid w:val="002A6B51"/>
    <w:rsid w:val="002A7557"/>
    <w:rsid w:val="002B0311"/>
    <w:rsid w:val="002B0334"/>
    <w:rsid w:val="002B3524"/>
    <w:rsid w:val="002B7A75"/>
    <w:rsid w:val="002C0974"/>
    <w:rsid w:val="002C1857"/>
    <w:rsid w:val="002C2358"/>
    <w:rsid w:val="002C2B07"/>
    <w:rsid w:val="002C402C"/>
    <w:rsid w:val="002C4524"/>
    <w:rsid w:val="002C50BF"/>
    <w:rsid w:val="002C513E"/>
    <w:rsid w:val="002C52E2"/>
    <w:rsid w:val="002C6626"/>
    <w:rsid w:val="002C6833"/>
    <w:rsid w:val="002C6B17"/>
    <w:rsid w:val="002C7A8D"/>
    <w:rsid w:val="002D09C7"/>
    <w:rsid w:val="002D146B"/>
    <w:rsid w:val="002D1AC0"/>
    <w:rsid w:val="002D1B00"/>
    <w:rsid w:val="002D308D"/>
    <w:rsid w:val="002D3B96"/>
    <w:rsid w:val="002D56A1"/>
    <w:rsid w:val="002D5D9B"/>
    <w:rsid w:val="002E097B"/>
    <w:rsid w:val="002E1B6D"/>
    <w:rsid w:val="002E1C03"/>
    <w:rsid w:val="002E2A81"/>
    <w:rsid w:val="002E2C56"/>
    <w:rsid w:val="002E3050"/>
    <w:rsid w:val="002E361D"/>
    <w:rsid w:val="002E3FBA"/>
    <w:rsid w:val="002E5328"/>
    <w:rsid w:val="002E5A12"/>
    <w:rsid w:val="002E60D9"/>
    <w:rsid w:val="002E763A"/>
    <w:rsid w:val="002F1A3D"/>
    <w:rsid w:val="002F1BAC"/>
    <w:rsid w:val="002F2A2E"/>
    <w:rsid w:val="002F3C29"/>
    <w:rsid w:val="002F49B8"/>
    <w:rsid w:val="002F4BD1"/>
    <w:rsid w:val="002F60FC"/>
    <w:rsid w:val="002F66DD"/>
    <w:rsid w:val="002F756A"/>
    <w:rsid w:val="002F784A"/>
    <w:rsid w:val="002F7C80"/>
    <w:rsid w:val="003007FC"/>
    <w:rsid w:val="00300DF2"/>
    <w:rsid w:val="003015DC"/>
    <w:rsid w:val="003020DE"/>
    <w:rsid w:val="00302D0F"/>
    <w:rsid w:val="00303DC1"/>
    <w:rsid w:val="00303FBB"/>
    <w:rsid w:val="00304E9A"/>
    <w:rsid w:val="003052B1"/>
    <w:rsid w:val="00305A76"/>
    <w:rsid w:val="00306DE4"/>
    <w:rsid w:val="003077A1"/>
    <w:rsid w:val="00310010"/>
    <w:rsid w:val="00310AD2"/>
    <w:rsid w:val="00311790"/>
    <w:rsid w:val="00312E4C"/>
    <w:rsid w:val="00314531"/>
    <w:rsid w:val="0031457E"/>
    <w:rsid w:val="00314914"/>
    <w:rsid w:val="00315F54"/>
    <w:rsid w:val="00316928"/>
    <w:rsid w:val="00316A62"/>
    <w:rsid w:val="00317F06"/>
    <w:rsid w:val="00320D62"/>
    <w:rsid w:val="00322C47"/>
    <w:rsid w:val="003233A3"/>
    <w:rsid w:val="00324582"/>
    <w:rsid w:val="00324CC8"/>
    <w:rsid w:val="00324D80"/>
    <w:rsid w:val="00326460"/>
    <w:rsid w:val="00326B63"/>
    <w:rsid w:val="0033076C"/>
    <w:rsid w:val="00331D7D"/>
    <w:rsid w:val="003322C2"/>
    <w:rsid w:val="003322C3"/>
    <w:rsid w:val="00332E9F"/>
    <w:rsid w:val="003338F2"/>
    <w:rsid w:val="00335C80"/>
    <w:rsid w:val="003364D2"/>
    <w:rsid w:val="003365EF"/>
    <w:rsid w:val="003366D9"/>
    <w:rsid w:val="00337ABC"/>
    <w:rsid w:val="00341FE6"/>
    <w:rsid w:val="003422DF"/>
    <w:rsid w:val="003423B3"/>
    <w:rsid w:val="00343A97"/>
    <w:rsid w:val="0034465D"/>
    <w:rsid w:val="003455FE"/>
    <w:rsid w:val="00347050"/>
    <w:rsid w:val="003500F4"/>
    <w:rsid w:val="00350FD3"/>
    <w:rsid w:val="0035280A"/>
    <w:rsid w:val="003531FC"/>
    <w:rsid w:val="003533C1"/>
    <w:rsid w:val="00355004"/>
    <w:rsid w:val="00357919"/>
    <w:rsid w:val="00357B03"/>
    <w:rsid w:val="003602B1"/>
    <w:rsid w:val="00360360"/>
    <w:rsid w:val="0036037A"/>
    <w:rsid w:val="003634CC"/>
    <w:rsid w:val="0036467B"/>
    <w:rsid w:val="0036504F"/>
    <w:rsid w:val="003660E4"/>
    <w:rsid w:val="00366BCC"/>
    <w:rsid w:val="0037092E"/>
    <w:rsid w:val="00370E1F"/>
    <w:rsid w:val="00371A77"/>
    <w:rsid w:val="00371FBE"/>
    <w:rsid w:val="00372682"/>
    <w:rsid w:val="00372C53"/>
    <w:rsid w:val="003737EA"/>
    <w:rsid w:val="0037499E"/>
    <w:rsid w:val="00374C08"/>
    <w:rsid w:val="00375CDF"/>
    <w:rsid w:val="00376039"/>
    <w:rsid w:val="003765AA"/>
    <w:rsid w:val="00377006"/>
    <w:rsid w:val="00380129"/>
    <w:rsid w:val="0038286F"/>
    <w:rsid w:val="003867C1"/>
    <w:rsid w:val="003872B8"/>
    <w:rsid w:val="00390005"/>
    <w:rsid w:val="0039032E"/>
    <w:rsid w:val="00391105"/>
    <w:rsid w:val="003918BC"/>
    <w:rsid w:val="00392EF8"/>
    <w:rsid w:val="00393911"/>
    <w:rsid w:val="00394AC0"/>
    <w:rsid w:val="00394E10"/>
    <w:rsid w:val="003953A1"/>
    <w:rsid w:val="00395467"/>
    <w:rsid w:val="00395499"/>
    <w:rsid w:val="003957B2"/>
    <w:rsid w:val="00395DB9"/>
    <w:rsid w:val="003962F1"/>
    <w:rsid w:val="003967CE"/>
    <w:rsid w:val="00397827"/>
    <w:rsid w:val="003A182D"/>
    <w:rsid w:val="003A1939"/>
    <w:rsid w:val="003A30A5"/>
    <w:rsid w:val="003A3201"/>
    <w:rsid w:val="003A4609"/>
    <w:rsid w:val="003A51A4"/>
    <w:rsid w:val="003A5A81"/>
    <w:rsid w:val="003A7B25"/>
    <w:rsid w:val="003B0F95"/>
    <w:rsid w:val="003B0F9B"/>
    <w:rsid w:val="003B3BBE"/>
    <w:rsid w:val="003B474B"/>
    <w:rsid w:val="003C01AF"/>
    <w:rsid w:val="003C159D"/>
    <w:rsid w:val="003C2976"/>
    <w:rsid w:val="003C338D"/>
    <w:rsid w:val="003C41DA"/>
    <w:rsid w:val="003C4366"/>
    <w:rsid w:val="003C665F"/>
    <w:rsid w:val="003D0936"/>
    <w:rsid w:val="003D0E00"/>
    <w:rsid w:val="003D2E73"/>
    <w:rsid w:val="003D5F45"/>
    <w:rsid w:val="003D67B6"/>
    <w:rsid w:val="003D6939"/>
    <w:rsid w:val="003E1252"/>
    <w:rsid w:val="003E30FB"/>
    <w:rsid w:val="003E7412"/>
    <w:rsid w:val="003F0815"/>
    <w:rsid w:val="003F1108"/>
    <w:rsid w:val="003F268D"/>
    <w:rsid w:val="003F31DD"/>
    <w:rsid w:val="003F406A"/>
    <w:rsid w:val="003F56F7"/>
    <w:rsid w:val="003F63AD"/>
    <w:rsid w:val="003F70D0"/>
    <w:rsid w:val="00401874"/>
    <w:rsid w:val="00401EA3"/>
    <w:rsid w:val="00405B33"/>
    <w:rsid w:val="00405E46"/>
    <w:rsid w:val="00406216"/>
    <w:rsid w:val="0040671C"/>
    <w:rsid w:val="00407BEE"/>
    <w:rsid w:val="00413B5D"/>
    <w:rsid w:val="00413F18"/>
    <w:rsid w:val="00416D3B"/>
    <w:rsid w:val="00416F33"/>
    <w:rsid w:val="004171A4"/>
    <w:rsid w:val="00417753"/>
    <w:rsid w:val="0042015A"/>
    <w:rsid w:val="00421822"/>
    <w:rsid w:val="00422FD3"/>
    <w:rsid w:val="00425D98"/>
    <w:rsid w:val="00425E63"/>
    <w:rsid w:val="0042622F"/>
    <w:rsid w:val="004275F8"/>
    <w:rsid w:val="004278FF"/>
    <w:rsid w:val="00427F7D"/>
    <w:rsid w:val="00430CFF"/>
    <w:rsid w:val="004310EB"/>
    <w:rsid w:val="0043175F"/>
    <w:rsid w:val="0043178E"/>
    <w:rsid w:val="00431828"/>
    <w:rsid w:val="00431A3B"/>
    <w:rsid w:val="0043594F"/>
    <w:rsid w:val="00435FFC"/>
    <w:rsid w:val="00436499"/>
    <w:rsid w:val="00436715"/>
    <w:rsid w:val="00436D6B"/>
    <w:rsid w:val="004404B5"/>
    <w:rsid w:val="0044075F"/>
    <w:rsid w:val="00440833"/>
    <w:rsid w:val="00440908"/>
    <w:rsid w:val="004412ED"/>
    <w:rsid w:val="00442A54"/>
    <w:rsid w:val="0044384F"/>
    <w:rsid w:val="00444D89"/>
    <w:rsid w:val="00446140"/>
    <w:rsid w:val="00447211"/>
    <w:rsid w:val="00447831"/>
    <w:rsid w:val="00450A84"/>
    <w:rsid w:val="004538A4"/>
    <w:rsid w:val="004544B3"/>
    <w:rsid w:val="004573F7"/>
    <w:rsid w:val="004574E0"/>
    <w:rsid w:val="00461325"/>
    <w:rsid w:val="004626B3"/>
    <w:rsid w:val="00463390"/>
    <w:rsid w:val="00463D7B"/>
    <w:rsid w:val="00463E62"/>
    <w:rsid w:val="004646C3"/>
    <w:rsid w:val="00465471"/>
    <w:rsid w:val="004655FF"/>
    <w:rsid w:val="004700FE"/>
    <w:rsid w:val="004707A7"/>
    <w:rsid w:val="00472158"/>
    <w:rsid w:val="004721D0"/>
    <w:rsid w:val="004725C1"/>
    <w:rsid w:val="00473107"/>
    <w:rsid w:val="0047397C"/>
    <w:rsid w:val="00473A2E"/>
    <w:rsid w:val="00473F65"/>
    <w:rsid w:val="00473F78"/>
    <w:rsid w:val="00474034"/>
    <w:rsid w:val="00475384"/>
    <w:rsid w:val="00476B27"/>
    <w:rsid w:val="00477558"/>
    <w:rsid w:val="0048004F"/>
    <w:rsid w:val="004826EB"/>
    <w:rsid w:val="00483378"/>
    <w:rsid w:val="0048499C"/>
    <w:rsid w:val="00484F8C"/>
    <w:rsid w:val="00485158"/>
    <w:rsid w:val="0048518A"/>
    <w:rsid w:val="00485E64"/>
    <w:rsid w:val="00486C71"/>
    <w:rsid w:val="00487EC5"/>
    <w:rsid w:val="0049036E"/>
    <w:rsid w:val="0049210B"/>
    <w:rsid w:val="00495F07"/>
    <w:rsid w:val="00496448"/>
    <w:rsid w:val="00497104"/>
    <w:rsid w:val="004972E2"/>
    <w:rsid w:val="004A0431"/>
    <w:rsid w:val="004A2D0D"/>
    <w:rsid w:val="004A3CFE"/>
    <w:rsid w:val="004A424C"/>
    <w:rsid w:val="004A5B78"/>
    <w:rsid w:val="004A62C3"/>
    <w:rsid w:val="004B0309"/>
    <w:rsid w:val="004B0961"/>
    <w:rsid w:val="004B1E60"/>
    <w:rsid w:val="004B2623"/>
    <w:rsid w:val="004B3829"/>
    <w:rsid w:val="004B6A89"/>
    <w:rsid w:val="004B701A"/>
    <w:rsid w:val="004B7814"/>
    <w:rsid w:val="004C0160"/>
    <w:rsid w:val="004C1795"/>
    <w:rsid w:val="004C1A01"/>
    <w:rsid w:val="004C1B42"/>
    <w:rsid w:val="004C1BC3"/>
    <w:rsid w:val="004C2C8B"/>
    <w:rsid w:val="004C2F05"/>
    <w:rsid w:val="004C3BF5"/>
    <w:rsid w:val="004C47CB"/>
    <w:rsid w:val="004C543E"/>
    <w:rsid w:val="004D19BD"/>
    <w:rsid w:val="004D1EF1"/>
    <w:rsid w:val="004D27C4"/>
    <w:rsid w:val="004D307F"/>
    <w:rsid w:val="004D3D83"/>
    <w:rsid w:val="004D441A"/>
    <w:rsid w:val="004D7A25"/>
    <w:rsid w:val="004E15A0"/>
    <w:rsid w:val="004E28A6"/>
    <w:rsid w:val="004E2BAB"/>
    <w:rsid w:val="004E33DB"/>
    <w:rsid w:val="004E40F6"/>
    <w:rsid w:val="004E4149"/>
    <w:rsid w:val="004E496E"/>
    <w:rsid w:val="004E55C5"/>
    <w:rsid w:val="004E5BD9"/>
    <w:rsid w:val="004E61A0"/>
    <w:rsid w:val="004E6257"/>
    <w:rsid w:val="004E6509"/>
    <w:rsid w:val="004E78C6"/>
    <w:rsid w:val="004E7FD7"/>
    <w:rsid w:val="004F1146"/>
    <w:rsid w:val="004F2F5E"/>
    <w:rsid w:val="004F53FF"/>
    <w:rsid w:val="004F73E2"/>
    <w:rsid w:val="005012D0"/>
    <w:rsid w:val="0050147D"/>
    <w:rsid w:val="005015F0"/>
    <w:rsid w:val="00503095"/>
    <w:rsid w:val="00503330"/>
    <w:rsid w:val="00503517"/>
    <w:rsid w:val="00503A55"/>
    <w:rsid w:val="00504F94"/>
    <w:rsid w:val="00506579"/>
    <w:rsid w:val="00511B0E"/>
    <w:rsid w:val="00515992"/>
    <w:rsid w:val="00515E10"/>
    <w:rsid w:val="00516258"/>
    <w:rsid w:val="0052177A"/>
    <w:rsid w:val="005222DA"/>
    <w:rsid w:val="00522327"/>
    <w:rsid w:val="00524CC0"/>
    <w:rsid w:val="00526484"/>
    <w:rsid w:val="005268A6"/>
    <w:rsid w:val="00527BD4"/>
    <w:rsid w:val="00527C80"/>
    <w:rsid w:val="00527E23"/>
    <w:rsid w:val="005309E1"/>
    <w:rsid w:val="005318A5"/>
    <w:rsid w:val="00531D2D"/>
    <w:rsid w:val="00532983"/>
    <w:rsid w:val="00534041"/>
    <w:rsid w:val="00536F2A"/>
    <w:rsid w:val="0054022D"/>
    <w:rsid w:val="00540239"/>
    <w:rsid w:val="005417AD"/>
    <w:rsid w:val="00542291"/>
    <w:rsid w:val="005441EA"/>
    <w:rsid w:val="00547DE4"/>
    <w:rsid w:val="00550249"/>
    <w:rsid w:val="00550C18"/>
    <w:rsid w:val="00552EAA"/>
    <w:rsid w:val="00552F88"/>
    <w:rsid w:val="00554682"/>
    <w:rsid w:val="00554CBC"/>
    <w:rsid w:val="0055674E"/>
    <w:rsid w:val="005607B7"/>
    <w:rsid w:val="0056097C"/>
    <w:rsid w:val="005619EB"/>
    <w:rsid w:val="00562DC9"/>
    <w:rsid w:val="00563F9F"/>
    <w:rsid w:val="00564022"/>
    <w:rsid w:val="00564A38"/>
    <w:rsid w:val="005660A7"/>
    <w:rsid w:val="00566B57"/>
    <w:rsid w:val="00567A92"/>
    <w:rsid w:val="005716EF"/>
    <w:rsid w:val="00573211"/>
    <w:rsid w:val="00573F0C"/>
    <w:rsid w:val="00573F5E"/>
    <w:rsid w:val="00574426"/>
    <w:rsid w:val="00575BFC"/>
    <w:rsid w:val="00576D04"/>
    <w:rsid w:val="00577770"/>
    <w:rsid w:val="00577D25"/>
    <w:rsid w:val="00580841"/>
    <w:rsid w:val="00583512"/>
    <w:rsid w:val="00584080"/>
    <w:rsid w:val="00584248"/>
    <w:rsid w:val="00584792"/>
    <w:rsid w:val="00584B57"/>
    <w:rsid w:val="00585456"/>
    <w:rsid w:val="005855F5"/>
    <w:rsid w:val="00587A5C"/>
    <w:rsid w:val="005909C9"/>
    <w:rsid w:val="00592244"/>
    <w:rsid w:val="00592573"/>
    <w:rsid w:val="00593327"/>
    <w:rsid w:val="00593945"/>
    <w:rsid w:val="005939C6"/>
    <w:rsid w:val="005A1256"/>
    <w:rsid w:val="005A2577"/>
    <w:rsid w:val="005A3276"/>
    <w:rsid w:val="005A395A"/>
    <w:rsid w:val="005A51F7"/>
    <w:rsid w:val="005A6172"/>
    <w:rsid w:val="005A7DD8"/>
    <w:rsid w:val="005B1457"/>
    <w:rsid w:val="005B157E"/>
    <w:rsid w:val="005B20C5"/>
    <w:rsid w:val="005B25AA"/>
    <w:rsid w:val="005B25B8"/>
    <w:rsid w:val="005B2D63"/>
    <w:rsid w:val="005B3B1D"/>
    <w:rsid w:val="005B481D"/>
    <w:rsid w:val="005B5171"/>
    <w:rsid w:val="005B666A"/>
    <w:rsid w:val="005B730E"/>
    <w:rsid w:val="005C07C1"/>
    <w:rsid w:val="005C1A95"/>
    <w:rsid w:val="005C2DAB"/>
    <w:rsid w:val="005C301B"/>
    <w:rsid w:val="005C3ADC"/>
    <w:rsid w:val="005C47E0"/>
    <w:rsid w:val="005C47FE"/>
    <w:rsid w:val="005C4918"/>
    <w:rsid w:val="005C559B"/>
    <w:rsid w:val="005C65B2"/>
    <w:rsid w:val="005C67E0"/>
    <w:rsid w:val="005C6C9F"/>
    <w:rsid w:val="005D0CC7"/>
    <w:rsid w:val="005D2C60"/>
    <w:rsid w:val="005D7752"/>
    <w:rsid w:val="005E007C"/>
    <w:rsid w:val="005E11F7"/>
    <w:rsid w:val="005E25A4"/>
    <w:rsid w:val="005E5C89"/>
    <w:rsid w:val="005E5EAF"/>
    <w:rsid w:val="005E6F2A"/>
    <w:rsid w:val="005E751D"/>
    <w:rsid w:val="005F0667"/>
    <w:rsid w:val="005F07BA"/>
    <w:rsid w:val="005F0AD0"/>
    <w:rsid w:val="005F0EA1"/>
    <w:rsid w:val="005F2E51"/>
    <w:rsid w:val="005F4B4D"/>
    <w:rsid w:val="005F4CE8"/>
    <w:rsid w:val="005F6C14"/>
    <w:rsid w:val="005F7563"/>
    <w:rsid w:val="005F7E13"/>
    <w:rsid w:val="00600478"/>
    <w:rsid w:val="006026F5"/>
    <w:rsid w:val="0060296F"/>
    <w:rsid w:val="00602FD0"/>
    <w:rsid w:val="006044E6"/>
    <w:rsid w:val="00604F1C"/>
    <w:rsid w:val="00605C80"/>
    <w:rsid w:val="0060637A"/>
    <w:rsid w:val="006068B9"/>
    <w:rsid w:val="00606DD2"/>
    <w:rsid w:val="00606E0B"/>
    <w:rsid w:val="006102E6"/>
    <w:rsid w:val="00610689"/>
    <w:rsid w:val="00612D1F"/>
    <w:rsid w:val="0061347C"/>
    <w:rsid w:val="00613DDB"/>
    <w:rsid w:val="00613E1F"/>
    <w:rsid w:val="00614821"/>
    <w:rsid w:val="0061727C"/>
    <w:rsid w:val="006213B2"/>
    <w:rsid w:val="006229B4"/>
    <w:rsid w:val="00623195"/>
    <w:rsid w:val="00623AB3"/>
    <w:rsid w:val="00623D98"/>
    <w:rsid w:val="0062451E"/>
    <w:rsid w:val="00625544"/>
    <w:rsid w:val="00625E33"/>
    <w:rsid w:val="00627B36"/>
    <w:rsid w:val="00627BEC"/>
    <w:rsid w:val="00631553"/>
    <w:rsid w:val="00635197"/>
    <w:rsid w:val="00636DF6"/>
    <w:rsid w:val="00636E20"/>
    <w:rsid w:val="0063748A"/>
    <w:rsid w:val="0064017A"/>
    <w:rsid w:val="00641AF8"/>
    <w:rsid w:val="00645B8D"/>
    <w:rsid w:val="00647A33"/>
    <w:rsid w:val="0065056F"/>
    <w:rsid w:val="00651935"/>
    <w:rsid w:val="00651A78"/>
    <w:rsid w:val="00651C1D"/>
    <w:rsid w:val="00653051"/>
    <w:rsid w:val="00653B10"/>
    <w:rsid w:val="00653E40"/>
    <w:rsid w:val="00653EA1"/>
    <w:rsid w:val="0065506E"/>
    <w:rsid w:val="0065514A"/>
    <w:rsid w:val="00657516"/>
    <w:rsid w:val="006610AE"/>
    <w:rsid w:val="00661189"/>
    <w:rsid w:val="006632D6"/>
    <w:rsid w:val="00664BB6"/>
    <w:rsid w:val="00666147"/>
    <w:rsid w:val="00667634"/>
    <w:rsid w:val="006704FB"/>
    <w:rsid w:val="006722DB"/>
    <w:rsid w:val="00672F8D"/>
    <w:rsid w:val="00673866"/>
    <w:rsid w:val="00675130"/>
    <w:rsid w:val="0067540A"/>
    <w:rsid w:val="00676AFC"/>
    <w:rsid w:val="00676E19"/>
    <w:rsid w:val="00680221"/>
    <w:rsid w:val="00681603"/>
    <w:rsid w:val="0068274A"/>
    <w:rsid w:val="00682835"/>
    <w:rsid w:val="006835B0"/>
    <w:rsid w:val="00684413"/>
    <w:rsid w:val="00684A08"/>
    <w:rsid w:val="00684D09"/>
    <w:rsid w:val="00685451"/>
    <w:rsid w:val="00690628"/>
    <w:rsid w:val="00692B64"/>
    <w:rsid w:val="00692B93"/>
    <w:rsid w:val="00695900"/>
    <w:rsid w:val="00695DBF"/>
    <w:rsid w:val="006960DC"/>
    <w:rsid w:val="00696D13"/>
    <w:rsid w:val="006977C4"/>
    <w:rsid w:val="006A103D"/>
    <w:rsid w:val="006A1750"/>
    <w:rsid w:val="006A1FE7"/>
    <w:rsid w:val="006A2633"/>
    <w:rsid w:val="006A30F4"/>
    <w:rsid w:val="006A43F4"/>
    <w:rsid w:val="006A49B1"/>
    <w:rsid w:val="006A5F65"/>
    <w:rsid w:val="006A61A2"/>
    <w:rsid w:val="006A6386"/>
    <w:rsid w:val="006B03DE"/>
    <w:rsid w:val="006B2976"/>
    <w:rsid w:val="006B358D"/>
    <w:rsid w:val="006B4028"/>
    <w:rsid w:val="006B5BB8"/>
    <w:rsid w:val="006B5E41"/>
    <w:rsid w:val="006B77BB"/>
    <w:rsid w:val="006C16C4"/>
    <w:rsid w:val="006C2367"/>
    <w:rsid w:val="006C27EB"/>
    <w:rsid w:val="006C39C4"/>
    <w:rsid w:val="006C573F"/>
    <w:rsid w:val="006C5952"/>
    <w:rsid w:val="006C6AC0"/>
    <w:rsid w:val="006C7BB4"/>
    <w:rsid w:val="006D15C0"/>
    <w:rsid w:val="006D4672"/>
    <w:rsid w:val="006D5029"/>
    <w:rsid w:val="006D6A99"/>
    <w:rsid w:val="006D6F31"/>
    <w:rsid w:val="006D7124"/>
    <w:rsid w:val="006D7D77"/>
    <w:rsid w:val="006E05A8"/>
    <w:rsid w:val="006E125A"/>
    <w:rsid w:val="006E3D34"/>
    <w:rsid w:val="006E4E36"/>
    <w:rsid w:val="006E5C07"/>
    <w:rsid w:val="006E5D9C"/>
    <w:rsid w:val="006E5FF1"/>
    <w:rsid w:val="006E6492"/>
    <w:rsid w:val="006E683F"/>
    <w:rsid w:val="006E753F"/>
    <w:rsid w:val="006F1474"/>
    <w:rsid w:val="006F1DF8"/>
    <w:rsid w:val="006F2972"/>
    <w:rsid w:val="006F3EDB"/>
    <w:rsid w:val="006F3EDF"/>
    <w:rsid w:val="006F5BB4"/>
    <w:rsid w:val="006F5BE5"/>
    <w:rsid w:val="006F6341"/>
    <w:rsid w:val="006F6A7A"/>
    <w:rsid w:val="006F6F89"/>
    <w:rsid w:val="006F7DEE"/>
    <w:rsid w:val="00700DCC"/>
    <w:rsid w:val="00701058"/>
    <w:rsid w:val="007016D4"/>
    <w:rsid w:val="00702106"/>
    <w:rsid w:val="00702681"/>
    <w:rsid w:val="00702D6E"/>
    <w:rsid w:val="00704422"/>
    <w:rsid w:val="0070565A"/>
    <w:rsid w:val="00705A24"/>
    <w:rsid w:val="00706A80"/>
    <w:rsid w:val="00707D4B"/>
    <w:rsid w:val="0071095A"/>
    <w:rsid w:val="00710B53"/>
    <w:rsid w:val="00710D41"/>
    <w:rsid w:val="00711672"/>
    <w:rsid w:val="00711A06"/>
    <w:rsid w:val="00711B13"/>
    <w:rsid w:val="00712DC2"/>
    <w:rsid w:val="007144A9"/>
    <w:rsid w:val="00715D1C"/>
    <w:rsid w:val="007210A3"/>
    <w:rsid w:val="0072171D"/>
    <w:rsid w:val="00721892"/>
    <w:rsid w:val="00722881"/>
    <w:rsid w:val="0072355A"/>
    <w:rsid w:val="007242EE"/>
    <w:rsid w:val="007249D7"/>
    <w:rsid w:val="00724B8D"/>
    <w:rsid w:val="00724C4C"/>
    <w:rsid w:val="00725242"/>
    <w:rsid w:val="00727937"/>
    <w:rsid w:val="00730FD7"/>
    <w:rsid w:val="00731CF0"/>
    <w:rsid w:val="00732FBB"/>
    <w:rsid w:val="00734E58"/>
    <w:rsid w:val="00734E9E"/>
    <w:rsid w:val="0073529C"/>
    <w:rsid w:val="007363A4"/>
    <w:rsid w:val="007373EB"/>
    <w:rsid w:val="007413D2"/>
    <w:rsid w:val="00742547"/>
    <w:rsid w:val="00745493"/>
    <w:rsid w:val="00746281"/>
    <w:rsid w:val="007467C3"/>
    <w:rsid w:val="00750AB4"/>
    <w:rsid w:val="00752430"/>
    <w:rsid w:val="00753901"/>
    <w:rsid w:val="00753C57"/>
    <w:rsid w:val="00755034"/>
    <w:rsid w:val="00757CFA"/>
    <w:rsid w:val="007607D3"/>
    <w:rsid w:val="007610C7"/>
    <w:rsid w:val="00761694"/>
    <w:rsid w:val="00761946"/>
    <w:rsid w:val="00761EAC"/>
    <w:rsid w:val="00763DE7"/>
    <w:rsid w:val="00764EB8"/>
    <w:rsid w:val="00765335"/>
    <w:rsid w:val="007665E0"/>
    <w:rsid w:val="0076740A"/>
    <w:rsid w:val="0077025B"/>
    <w:rsid w:val="00770AE7"/>
    <w:rsid w:val="00770C6C"/>
    <w:rsid w:val="00770E63"/>
    <w:rsid w:val="0077119F"/>
    <w:rsid w:val="00771AF7"/>
    <w:rsid w:val="00771F4F"/>
    <w:rsid w:val="007728F4"/>
    <w:rsid w:val="00772B59"/>
    <w:rsid w:val="007733D5"/>
    <w:rsid w:val="0077381B"/>
    <w:rsid w:val="0077488E"/>
    <w:rsid w:val="007755A6"/>
    <w:rsid w:val="0077588A"/>
    <w:rsid w:val="007809DC"/>
    <w:rsid w:val="0078278F"/>
    <w:rsid w:val="00782AB9"/>
    <w:rsid w:val="00782DDD"/>
    <w:rsid w:val="00783B80"/>
    <w:rsid w:val="007844AF"/>
    <w:rsid w:val="0078654D"/>
    <w:rsid w:val="00795361"/>
    <w:rsid w:val="00795B50"/>
    <w:rsid w:val="0079623C"/>
    <w:rsid w:val="0079795A"/>
    <w:rsid w:val="007A0F2A"/>
    <w:rsid w:val="007A2567"/>
    <w:rsid w:val="007A2A29"/>
    <w:rsid w:val="007A2BCC"/>
    <w:rsid w:val="007A2DCA"/>
    <w:rsid w:val="007A3B5F"/>
    <w:rsid w:val="007A4B61"/>
    <w:rsid w:val="007A51BC"/>
    <w:rsid w:val="007A5CA7"/>
    <w:rsid w:val="007A5E50"/>
    <w:rsid w:val="007A6354"/>
    <w:rsid w:val="007A689A"/>
    <w:rsid w:val="007A6F7C"/>
    <w:rsid w:val="007A7938"/>
    <w:rsid w:val="007B11C6"/>
    <w:rsid w:val="007B1907"/>
    <w:rsid w:val="007B22B0"/>
    <w:rsid w:val="007B27DC"/>
    <w:rsid w:val="007B39AB"/>
    <w:rsid w:val="007B455C"/>
    <w:rsid w:val="007B5788"/>
    <w:rsid w:val="007B5AC0"/>
    <w:rsid w:val="007B7F15"/>
    <w:rsid w:val="007C0761"/>
    <w:rsid w:val="007C0EEF"/>
    <w:rsid w:val="007C10AD"/>
    <w:rsid w:val="007C15A6"/>
    <w:rsid w:val="007C2C2D"/>
    <w:rsid w:val="007C35F0"/>
    <w:rsid w:val="007C3E60"/>
    <w:rsid w:val="007C4444"/>
    <w:rsid w:val="007C6F1E"/>
    <w:rsid w:val="007C7D61"/>
    <w:rsid w:val="007D1D69"/>
    <w:rsid w:val="007D2A5F"/>
    <w:rsid w:val="007D350D"/>
    <w:rsid w:val="007D3808"/>
    <w:rsid w:val="007D651F"/>
    <w:rsid w:val="007E087F"/>
    <w:rsid w:val="007E196D"/>
    <w:rsid w:val="007E314E"/>
    <w:rsid w:val="007E4313"/>
    <w:rsid w:val="007E4FBA"/>
    <w:rsid w:val="007F1715"/>
    <w:rsid w:val="007F2236"/>
    <w:rsid w:val="007F24C9"/>
    <w:rsid w:val="007F3126"/>
    <w:rsid w:val="007F3385"/>
    <w:rsid w:val="007F5063"/>
    <w:rsid w:val="007F6A43"/>
    <w:rsid w:val="007F6E1A"/>
    <w:rsid w:val="007F7EEE"/>
    <w:rsid w:val="00801A66"/>
    <w:rsid w:val="00801D40"/>
    <w:rsid w:val="008034E0"/>
    <w:rsid w:val="00803CBD"/>
    <w:rsid w:val="0080496D"/>
    <w:rsid w:val="00804B94"/>
    <w:rsid w:val="00804E28"/>
    <w:rsid w:val="00805E91"/>
    <w:rsid w:val="00807C2A"/>
    <w:rsid w:val="00810093"/>
    <w:rsid w:val="008108A4"/>
    <w:rsid w:val="00810AEB"/>
    <w:rsid w:val="0081165C"/>
    <w:rsid w:val="008128AE"/>
    <w:rsid w:val="00812CF3"/>
    <w:rsid w:val="0081586E"/>
    <w:rsid w:val="00815EA0"/>
    <w:rsid w:val="0082020C"/>
    <w:rsid w:val="00820584"/>
    <w:rsid w:val="008219F4"/>
    <w:rsid w:val="0082346E"/>
    <w:rsid w:val="008234AA"/>
    <w:rsid w:val="00825959"/>
    <w:rsid w:val="00825CB9"/>
    <w:rsid w:val="008263B5"/>
    <w:rsid w:val="00826EA3"/>
    <w:rsid w:val="00827A20"/>
    <w:rsid w:val="00827BFC"/>
    <w:rsid w:val="00830808"/>
    <w:rsid w:val="00830DCB"/>
    <w:rsid w:val="0083246E"/>
    <w:rsid w:val="0083277A"/>
    <w:rsid w:val="008347BD"/>
    <w:rsid w:val="008358E3"/>
    <w:rsid w:val="008367B2"/>
    <w:rsid w:val="008379D6"/>
    <w:rsid w:val="0084003B"/>
    <w:rsid w:val="0084005C"/>
    <w:rsid w:val="00840489"/>
    <w:rsid w:val="008412A8"/>
    <w:rsid w:val="00841E37"/>
    <w:rsid w:val="00841F1E"/>
    <w:rsid w:val="008432CF"/>
    <w:rsid w:val="008452DE"/>
    <w:rsid w:val="0084538C"/>
    <w:rsid w:val="008453A7"/>
    <w:rsid w:val="008460CD"/>
    <w:rsid w:val="008513F9"/>
    <w:rsid w:val="008529DD"/>
    <w:rsid w:val="00853914"/>
    <w:rsid w:val="00853FD8"/>
    <w:rsid w:val="008570C0"/>
    <w:rsid w:val="008614F2"/>
    <w:rsid w:val="00861ACF"/>
    <w:rsid w:val="0086217D"/>
    <w:rsid w:val="008624EE"/>
    <w:rsid w:val="00862E88"/>
    <w:rsid w:val="00863D02"/>
    <w:rsid w:val="008660C8"/>
    <w:rsid w:val="00866A09"/>
    <w:rsid w:val="00870E95"/>
    <w:rsid w:val="0087188E"/>
    <w:rsid w:val="008724C4"/>
    <w:rsid w:val="00872AB4"/>
    <w:rsid w:val="00874ACB"/>
    <w:rsid w:val="00874D74"/>
    <w:rsid w:val="00874E39"/>
    <w:rsid w:val="008767A9"/>
    <w:rsid w:val="0087775A"/>
    <w:rsid w:val="0088053B"/>
    <w:rsid w:val="00881E66"/>
    <w:rsid w:val="0088239C"/>
    <w:rsid w:val="00883D97"/>
    <w:rsid w:val="0088442B"/>
    <w:rsid w:val="00884988"/>
    <w:rsid w:val="00884CCF"/>
    <w:rsid w:val="008918C0"/>
    <w:rsid w:val="00892B64"/>
    <w:rsid w:val="00892F34"/>
    <w:rsid w:val="0089321B"/>
    <w:rsid w:val="00894372"/>
    <w:rsid w:val="00894558"/>
    <w:rsid w:val="00896294"/>
    <w:rsid w:val="0089775F"/>
    <w:rsid w:val="0089779F"/>
    <w:rsid w:val="008A0FED"/>
    <w:rsid w:val="008A15E8"/>
    <w:rsid w:val="008A29C7"/>
    <w:rsid w:val="008A31EC"/>
    <w:rsid w:val="008A38C3"/>
    <w:rsid w:val="008A46D0"/>
    <w:rsid w:val="008A501B"/>
    <w:rsid w:val="008A602C"/>
    <w:rsid w:val="008A611E"/>
    <w:rsid w:val="008A7C09"/>
    <w:rsid w:val="008B013D"/>
    <w:rsid w:val="008B18E2"/>
    <w:rsid w:val="008B4D89"/>
    <w:rsid w:val="008B51ED"/>
    <w:rsid w:val="008B5874"/>
    <w:rsid w:val="008B6622"/>
    <w:rsid w:val="008B6C46"/>
    <w:rsid w:val="008B7320"/>
    <w:rsid w:val="008C003B"/>
    <w:rsid w:val="008C169F"/>
    <w:rsid w:val="008C1CDD"/>
    <w:rsid w:val="008C4E3B"/>
    <w:rsid w:val="008C6E2C"/>
    <w:rsid w:val="008C700F"/>
    <w:rsid w:val="008C7A02"/>
    <w:rsid w:val="008D1082"/>
    <w:rsid w:val="008D1588"/>
    <w:rsid w:val="008D3AB8"/>
    <w:rsid w:val="008D4A63"/>
    <w:rsid w:val="008D4F2E"/>
    <w:rsid w:val="008E119A"/>
    <w:rsid w:val="008E30BC"/>
    <w:rsid w:val="008E325E"/>
    <w:rsid w:val="008E477E"/>
    <w:rsid w:val="008E6464"/>
    <w:rsid w:val="008E6C81"/>
    <w:rsid w:val="008E6D5A"/>
    <w:rsid w:val="008F0132"/>
    <w:rsid w:val="008F0F5A"/>
    <w:rsid w:val="008F1B14"/>
    <w:rsid w:val="008F22CA"/>
    <w:rsid w:val="008F41D8"/>
    <w:rsid w:val="008F4CB9"/>
    <w:rsid w:val="008F4EDC"/>
    <w:rsid w:val="008F660E"/>
    <w:rsid w:val="008F6987"/>
    <w:rsid w:val="008F77E7"/>
    <w:rsid w:val="009002C9"/>
    <w:rsid w:val="0090253E"/>
    <w:rsid w:val="00902AF7"/>
    <w:rsid w:val="00902B4D"/>
    <w:rsid w:val="00904A7E"/>
    <w:rsid w:val="00904F04"/>
    <w:rsid w:val="00907374"/>
    <w:rsid w:val="00912869"/>
    <w:rsid w:val="00914244"/>
    <w:rsid w:val="0091465C"/>
    <w:rsid w:val="00914A71"/>
    <w:rsid w:val="009151AD"/>
    <w:rsid w:val="0091666E"/>
    <w:rsid w:val="009169B5"/>
    <w:rsid w:val="009169E1"/>
    <w:rsid w:val="00916C7E"/>
    <w:rsid w:val="009177E2"/>
    <w:rsid w:val="00920429"/>
    <w:rsid w:val="00920DFE"/>
    <w:rsid w:val="00921122"/>
    <w:rsid w:val="0092321D"/>
    <w:rsid w:val="00923940"/>
    <w:rsid w:val="009250B3"/>
    <w:rsid w:val="0092543C"/>
    <w:rsid w:val="009273FE"/>
    <w:rsid w:val="009304C4"/>
    <w:rsid w:val="0093148A"/>
    <w:rsid w:val="0093189B"/>
    <w:rsid w:val="009328CF"/>
    <w:rsid w:val="00933A29"/>
    <w:rsid w:val="009347CE"/>
    <w:rsid w:val="009349D9"/>
    <w:rsid w:val="00934B2A"/>
    <w:rsid w:val="00934C96"/>
    <w:rsid w:val="00934E19"/>
    <w:rsid w:val="0093614A"/>
    <w:rsid w:val="00936671"/>
    <w:rsid w:val="009372F1"/>
    <w:rsid w:val="00937B4B"/>
    <w:rsid w:val="00937F0A"/>
    <w:rsid w:val="00940C94"/>
    <w:rsid w:val="0094140C"/>
    <w:rsid w:val="0094368B"/>
    <w:rsid w:val="009447FF"/>
    <w:rsid w:val="00944944"/>
    <w:rsid w:val="00944B30"/>
    <w:rsid w:val="00946793"/>
    <w:rsid w:val="00946977"/>
    <w:rsid w:val="00946EE4"/>
    <w:rsid w:val="00947573"/>
    <w:rsid w:val="0095169A"/>
    <w:rsid w:val="00951F1E"/>
    <w:rsid w:val="00953064"/>
    <w:rsid w:val="0095666E"/>
    <w:rsid w:val="00956E94"/>
    <w:rsid w:val="00957B98"/>
    <w:rsid w:val="00960013"/>
    <w:rsid w:val="00961462"/>
    <w:rsid w:val="00964A82"/>
    <w:rsid w:val="00965A7A"/>
    <w:rsid w:val="0096605B"/>
    <w:rsid w:val="00967456"/>
    <w:rsid w:val="00972D89"/>
    <w:rsid w:val="0097580C"/>
    <w:rsid w:val="00976C58"/>
    <w:rsid w:val="00976E0C"/>
    <w:rsid w:val="009802FB"/>
    <w:rsid w:val="00980575"/>
    <w:rsid w:val="0098065D"/>
    <w:rsid w:val="009838E5"/>
    <w:rsid w:val="00984935"/>
    <w:rsid w:val="0099037D"/>
    <w:rsid w:val="009909E7"/>
    <w:rsid w:val="00990C05"/>
    <w:rsid w:val="009953ED"/>
    <w:rsid w:val="009A03F0"/>
    <w:rsid w:val="009A0B9A"/>
    <w:rsid w:val="009A2A65"/>
    <w:rsid w:val="009A379E"/>
    <w:rsid w:val="009A4641"/>
    <w:rsid w:val="009A57C6"/>
    <w:rsid w:val="009A6A5F"/>
    <w:rsid w:val="009B0629"/>
    <w:rsid w:val="009B183C"/>
    <w:rsid w:val="009B2157"/>
    <w:rsid w:val="009B2D43"/>
    <w:rsid w:val="009B3376"/>
    <w:rsid w:val="009B6707"/>
    <w:rsid w:val="009B7789"/>
    <w:rsid w:val="009B7AE5"/>
    <w:rsid w:val="009C014A"/>
    <w:rsid w:val="009C04FD"/>
    <w:rsid w:val="009C2AAF"/>
    <w:rsid w:val="009C3FB6"/>
    <w:rsid w:val="009C4E14"/>
    <w:rsid w:val="009C6E53"/>
    <w:rsid w:val="009C7D76"/>
    <w:rsid w:val="009D1980"/>
    <w:rsid w:val="009D24D1"/>
    <w:rsid w:val="009D2E49"/>
    <w:rsid w:val="009D305A"/>
    <w:rsid w:val="009D3144"/>
    <w:rsid w:val="009D3957"/>
    <w:rsid w:val="009D57AE"/>
    <w:rsid w:val="009D678A"/>
    <w:rsid w:val="009E1431"/>
    <w:rsid w:val="009E1550"/>
    <w:rsid w:val="009E235F"/>
    <w:rsid w:val="009E26B9"/>
    <w:rsid w:val="009E2CDD"/>
    <w:rsid w:val="009E3104"/>
    <w:rsid w:val="009E462F"/>
    <w:rsid w:val="009E6B9A"/>
    <w:rsid w:val="009E7A3D"/>
    <w:rsid w:val="009F1457"/>
    <w:rsid w:val="009F1950"/>
    <w:rsid w:val="009F19BD"/>
    <w:rsid w:val="009F22FF"/>
    <w:rsid w:val="009F256D"/>
    <w:rsid w:val="009F4A60"/>
    <w:rsid w:val="009F5A44"/>
    <w:rsid w:val="009F7BDE"/>
    <w:rsid w:val="00A00DD5"/>
    <w:rsid w:val="00A0197A"/>
    <w:rsid w:val="00A02744"/>
    <w:rsid w:val="00A027B7"/>
    <w:rsid w:val="00A032F4"/>
    <w:rsid w:val="00A038EF"/>
    <w:rsid w:val="00A03E67"/>
    <w:rsid w:val="00A0480E"/>
    <w:rsid w:val="00A0623D"/>
    <w:rsid w:val="00A07739"/>
    <w:rsid w:val="00A1003D"/>
    <w:rsid w:val="00A100E8"/>
    <w:rsid w:val="00A10134"/>
    <w:rsid w:val="00A10881"/>
    <w:rsid w:val="00A1125A"/>
    <w:rsid w:val="00A12788"/>
    <w:rsid w:val="00A12B37"/>
    <w:rsid w:val="00A15E48"/>
    <w:rsid w:val="00A16353"/>
    <w:rsid w:val="00A173E4"/>
    <w:rsid w:val="00A174AF"/>
    <w:rsid w:val="00A178CD"/>
    <w:rsid w:val="00A17E83"/>
    <w:rsid w:val="00A204A1"/>
    <w:rsid w:val="00A2116C"/>
    <w:rsid w:val="00A217F3"/>
    <w:rsid w:val="00A23AA9"/>
    <w:rsid w:val="00A25B5E"/>
    <w:rsid w:val="00A26639"/>
    <w:rsid w:val="00A30DD4"/>
    <w:rsid w:val="00A31EFC"/>
    <w:rsid w:val="00A32543"/>
    <w:rsid w:val="00A32A27"/>
    <w:rsid w:val="00A32BCC"/>
    <w:rsid w:val="00A33289"/>
    <w:rsid w:val="00A3453F"/>
    <w:rsid w:val="00A36911"/>
    <w:rsid w:val="00A373FC"/>
    <w:rsid w:val="00A408B4"/>
    <w:rsid w:val="00A40AD1"/>
    <w:rsid w:val="00A40EB1"/>
    <w:rsid w:val="00A41161"/>
    <w:rsid w:val="00A41B87"/>
    <w:rsid w:val="00A41CF7"/>
    <w:rsid w:val="00A42F5C"/>
    <w:rsid w:val="00A434DE"/>
    <w:rsid w:val="00A4417D"/>
    <w:rsid w:val="00A44AA6"/>
    <w:rsid w:val="00A45403"/>
    <w:rsid w:val="00A4644A"/>
    <w:rsid w:val="00A47AB1"/>
    <w:rsid w:val="00A5131C"/>
    <w:rsid w:val="00A52183"/>
    <w:rsid w:val="00A5426B"/>
    <w:rsid w:val="00A54C44"/>
    <w:rsid w:val="00A551FB"/>
    <w:rsid w:val="00A560A7"/>
    <w:rsid w:val="00A60FEF"/>
    <w:rsid w:val="00A61D6D"/>
    <w:rsid w:val="00A62868"/>
    <w:rsid w:val="00A6343A"/>
    <w:rsid w:val="00A63F14"/>
    <w:rsid w:val="00A63F40"/>
    <w:rsid w:val="00A64E07"/>
    <w:rsid w:val="00A65566"/>
    <w:rsid w:val="00A6773D"/>
    <w:rsid w:val="00A701C1"/>
    <w:rsid w:val="00A70C01"/>
    <w:rsid w:val="00A70CCC"/>
    <w:rsid w:val="00A70EA2"/>
    <w:rsid w:val="00A7122E"/>
    <w:rsid w:val="00A712E1"/>
    <w:rsid w:val="00A71BAB"/>
    <w:rsid w:val="00A71F2C"/>
    <w:rsid w:val="00A72132"/>
    <w:rsid w:val="00A738CD"/>
    <w:rsid w:val="00A73BA3"/>
    <w:rsid w:val="00A7495D"/>
    <w:rsid w:val="00A74F8C"/>
    <w:rsid w:val="00A75446"/>
    <w:rsid w:val="00A75759"/>
    <w:rsid w:val="00A77230"/>
    <w:rsid w:val="00A80536"/>
    <w:rsid w:val="00A81E34"/>
    <w:rsid w:val="00A82134"/>
    <w:rsid w:val="00A82EC8"/>
    <w:rsid w:val="00A84485"/>
    <w:rsid w:val="00A858B4"/>
    <w:rsid w:val="00A91B5A"/>
    <w:rsid w:val="00A929E2"/>
    <w:rsid w:val="00A930D1"/>
    <w:rsid w:val="00A93282"/>
    <w:rsid w:val="00A93388"/>
    <w:rsid w:val="00A94471"/>
    <w:rsid w:val="00A94A4C"/>
    <w:rsid w:val="00A94DF2"/>
    <w:rsid w:val="00A95A00"/>
    <w:rsid w:val="00AA1D94"/>
    <w:rsid w:val="00AA3150"/>
    <w:rsid w:val="00AA35B2"/>
    <w:rsid w:val="00AA45D3"/>
    <w:rsid w:val="00AA4671"/>
    <w:rsid w:val="00AA57BC"/>
    <w:rsid w:val="00AA6834"/>
    <w:rsid w:val="00AA68B3"/>
    <w:rsid w:val="00AA799E"/>
    <w:rsid w:val="00AA7CC3"/>
    <w:rsid w:val="00AA7ECB"/>
    <w:rsid w:val="00AB04A0"/>
    <w:rsid w:val="00AB0952"/>
    <w:rsid w:val="00AB0CDD"/>
    <w:rsid w:val="00AB1150"/>
    <w:rsid w:val="00AB1281"/>
    <w:rsid w:val="00AB3A5D"/>
    <w:rsid w:val="00AB4929"/>
    <w:rsid w:val="00AC05EF"/>
    <w:rsid w:val="00AC0716"/>
    <w:rsid w:val="00AC19F4"/>
    <w:rsid w:val="00AC1B1B"/>
    <w:rsid w:val="00AC25F7"/>
    <w:rsid w:val="00AC27FE"/>
    <w:rsid w:val="00AC31CF"/>
    <w:rsid w:val="00AC4DB1"/>
    <w:rsid w:val="00AC60F2"/>
    <w:rsid w:val="00AC6900"/>
    <w:rsid w:val="00AC7554"/>
    <w:rsid w:val="00AC75AF"/>
    <w:rsid w:val="00AC7E0C"/>
    <w:rsid w:val="00AD00C6"/>
    <w:rsid w:val="00AD0CC0"/>
    <w:rsid w:val="00AD1495"/>
    <w:rsid w:val="00AD1B00"/>
    <w:rsid w:val="00AD291F"/>
    <w:rsid w:val="00AD3A18"/>
    <w:rsid w:val="00AD4291"/>
    <w:rsid w:val="00AD429F"/>
    <w:rsid w:val="00AD58EE"/>
    <w:rsid w:val="00AE3F26"/>
    <w:rsid w:val="00AE65E1"/>
    <w:rsid w:val="00AE6F2F"/>
    <w:rsid w:val="00AF2053"/>
    <w:rsid w:val="00AF2364"/>
    <w:rsid w:val="00AF560C"/>
    <w:rsid w:val="00AF6583"/>
    <w:rsid w:val="00AF6792"/>
    <w:rsid w:val="00B004C0"/>
    <w:rsid w:val="00B024B5"/>
    <w:rsid w:val="00B0367E"/>
    <w:rsid w:val="00B03E1F"/>
    <w:rsid w:val="00B03FF1"/>
    <w:rsid w:val="00B04F74"/>
    <w:rsid w:val="00B04FC5"/>
    <w:rsid w:val="00B07CCE"/>
    <w:rsid w:val="00B10C4E"/>
    <w:rsid w:val="00B11C6E"/>
    <w:rsid w:val="00B14D25"/>
    <w:rsid w:val="00B150C5"/>
    <w:rsid w:val="00B16E14"/>
    <w:rsid w:val="00B203A1"/>
    <w:rsid w:val="00B20C07"/>
    <w:rsid w:val="00B21BD4"/>
    <w:rsid w:val="00B2483E"/>
    <w:rsid w:val="00B25D59"/>
    <w:rsid w:val="00B26484"/>
    <w:rsid w:val="00B26927"/>
    <w:rsid w:val="00B2734F"/>
    <w:rsid w:val="00B30584"/>
    <w:rsid w:val="00B310A0"/>
    <w:rsid w:val="00B3167D"/>
    <w:rsid w:val="00B34243"/>
    <w:rsid w:val="00B34883"/>
    <w:rsid w:val="00B35C82"/>
    <w:rsid w:val="00B37390"/>
    <w:rsid w:val="00B374BC"/>
    <w:rsid w:val="00B4013F"/>
    <w:rsid w:val="00B414CA"/>
    <w:rsid w:val="00B41B8F"/>
    <w:rsid w:val="00B41CB5"/>
    <w:rsid w:val="00B4257F"/>
    <w:rsid w:val="00B438D3"/>
    <w:rsid w:val="00B43C61"/>
    <w:rsid w:val="00B43FB7"/>
    <w:rsid w:val="00B45356"/>
    <w:rsid w:val="00B46EB8"/>
    <w:rsid w:val="00B47280"/>
    <w:rsid w:val="00B477B8"/>
    <w:rsid w:val="00B500FF"/>
    <w:rsid w:val="00B511BA"/>
    <w:rsid w:val="00B527D5"/>
    <w:rsid w:val="00B52F3A"/>
    <w:rsid w:val="00B54072"/>
    <w:rsid w:val="00B5419D"/>
    <w:rsid w:val="00B54D57"/>
    <w:rsid w:val="00B551A0"/>
    <w:rsid w:val="00B5547E"/>
    <w:rsid w:val="00B55CC6"/>
    <w:rsid w:val="00B57E05"/>
    <w:rsid w:val="00B57E1A"/>
    <w:rsid w:val="00B60FFB"/>
    <w:rsid w:val="00B61138"/>
    <w:rsid w:val="00B6116E"/>
    <w:rsid w:val="00B61AC4"/>
    <w:rsid w:val="00B6241C"/>
    <w:rsid w:val="00B62BA8"/>
    <w:rsid w:val="00B6332F"/>
    <w:rsid w:val="00B63954"/>
    <w:rsid w:val="00B643AB"/>
    <w:rsid w:val="00B64731"/>
    <w:rsid w:val="00B649D9"/>
    <w:rsid w:val="00B650AA"/>
    <w:rsid w:val="00B65E7A"/>
    <w:rsid w:val="00B6614E"/>
    <w:rsid w:val="00B6694F"/>
    <w:rsid w:val="00B672E6"/>
    <w:rsid w:val="00B67F47"/>
    <w:rsid w:val="00B73772"/>
    <w:rsid w:val="00B73E51"/>
    <w:rsid w:val="00B74375"/>
    <w:rsid w:val="00B75A18"/>
    <w:rsid w:val="00B769FC"/>
    <w:rsid w:val="00B77962"/>
    <w:rsid w:val="00B803B3"/>
    <w:rsid w:val="00B81AD4"/>
    <w:rsid w:val="00B8327F"/>
    <w:rsid w:val="00B842E8"/>
    <w:rsid w:val="00B845A7"/>
    <w:rsid w:val="00B84D23"/>
    <w:rsid w:val="00B84F91"/>
    <w:rsid w:val="00B855C7"/>
    <w:rsid w:val="00B85E77"/>
    <w:rsid w:val="00B86A6F"/>
    <w:rsid w:val="00B87195"/>
    <w:rsid w:val="00B8720A"/>
    <w:rsid w:val="00B872A7"/>
    <w:rsid w:val="00B879C2"/>
    <w:rsid w:val="00B90475"/>
    <w:rsid w:val="00B91715"/>
    <w:rsid w:val="00B9388D"/>
    <w:rsid w:val="00B94CCB"/>
    <w:rsid w:val="00B94D5C"/>
    <w:rsid w:val="00B955ED"/>
    <w:rsid w:val="00B96060"/>
    <w:rsid w:val="00B96409"/>
    <w:rsid w:val="00B974E8"/>
    <w:rsid w:val="00BA175D"/>
    <w:rsid w:val="00BA2144"/>
    <w:rsid w:val="00BA26C5"/>
    <w:rsid w:val="00BA2ECA"/>
    <w:rsid w:val="00BA4682"/>
    <w:rsid w:val="00BA5046"/>
    <w:rsid w:val="00BA7512"/>
    <w:rsid w:val="00BB0F3F"/>
    <w:rsid w:val="00BB24DE"/>
    <w:rsid w:val="00BB3164"/>
    <w:rsid w:val="00BB5781"/>
    <w:rsid w:val="00BC170A"/>
    <w:rsid w:val="00BC36B7"/>
    <w:rsid w:val="00BC4152"/>
    <w:rsid w:val="00BC7401"/>
    <w:rsid w:val="00BC780C"/>
    <w:rsid w:val="00BD07EE"/>
    <w:rsid w:val="00BD1091"/>
    <w:rsid w:val="00BD2A51"/>
    <w:rsid w:val="00BD3572"/>
    <w:rsid w:val="00BD4362"/>
    <w:rsid w:val="00BD47BB"/>
    <w:rsid w:val="00BD4CB3"/>
    <w:rsid w:val="00BD4E3E"/>
    <w:rsid w:val="00BD5376"/>
    <w:rsid w:val="00BD5A24"/>
    <w:rsid w:val="00BD5AF5"/>
    <w:rsid w:val="00BD5C30"/>
    <w:rsid w:val="00BD7921"/>
    <w:rsid w:val="00BE005F"/>
    <w:rsid w:val="00BE0BFE"/>
    <w:rsid w:val="00BE27BE"/>
    <w:rsid w:val="00BE316A"/>
    <w:rsid w:val="00BE3B9A"/>
    <w:rsid w:val="00BE494F"/>
    <w:rsid w:val="00BE5CD8"/>
    <w:rsid w:val="00BE6187"/>
    <w:rsid w:val="00BE6BBC"/>
    <w:rsid w:val="00BE7B24"/>
    <w:rsid w:val="00BF009E"/>
    <w:rsid w:val="00BF340F"/>
    <w:rsid w:val="00BF41CC"/>
    <w:rsid w:val="00BF47B6"/>
    <w:rsid w:val="00BF52FF"/>
    <w:rsid w:val="00BF5936"/>
    <w:rsid w:val="00BF76BA"/>
    <w:rsid w:val="00BF7F29"/>
    <w:rsid w:val="00BF7F47"/>
    <w:rsid w:val="00C00B3D"/>
    <w:rsid w:val="00C01080"/>
    <w:rsid w:val="00C01FF6"/>
    <w:rsid w:val="00C02E73"/>
    <w:rsid w:val="00C05EAB"/>
    <w:rsid w:val="00C06AA3"/>
    <w:rsid w:val="00C10D60"/>
    <w:rsid w:val="00C124D7"/>
    <w:rsid w:val="00C128FE"/>
    <w:rsid w:val="00C133C2"/>
    <w:rsid w:val="00C142BA"/>
    <w:rsid w:val="00C143F6"/>
    <w:rsid w:val="00C15884"/>
    <w:rsid w:val="00C169F3"/>
    <w:rsid w:val="00C1703E"/>
    <w:rsid w:val="00C20FE8"/>
    <w:rsid w:val="00C23F57"/>
    <w:rsid w:val="00C246E7"/>
    <w:rsid w:val="00C2556E"/>
    <w:rsid w:val="00C263E1"/>
    <w:rsid w:val="00C27D45"/>
    <w:rsid w:val="00C322FE"/>
    <w:rsid w:val="00C325D3"/>
    <w:rsid w:val="00C34B4C"/>
    <w:rsid w:val="00C35C92"/>
    <w:rsid w:val="00C35FD1"/>
    <w:rsid w:val="00C372A1"/>
    <w:rsid w:val="00C405D4"/>
    <w:rsid w:val="00C40847"/>
    <w:rsid w:val="00C42765"/>
    <w:rsid w:val="00C43C21"/>
    <w:rsid w:val="00C43D09"/>
    <w:rsid w:val="00C4430C"/>
    <w:rsid w:val="00C45288"/>
    <w:rsid w:val="00C45B30"/>
    <w:rsid w:val="00C45D91"/>
    <w:rsid w:val="00C462AE"/>
    <w:rsid w:val="00C462D1"/>
    <w:rsid w:val="00C4683D"/>
    <w:rsid w:val="00C515B6"/>
    <w:rsid w:val="00C52B57"/>
    <w:rsid w:val="00C530A0"/>
    <w:rsid w:val="00C542AE"/>
    <w:rsid w:val="00C542DE"/>
    <w:rsid w:val="00C55167"/>
    <w:rsid w:val="00C55D0A"/>
    <w:rsid w:val="00C56535"/>
    <w:rsid w:val="00C615CA"/>
    <w:rsid w:val="00C64AB7"/>
    <w:rsid w:val="00C659AD"/>
    <w:rsid w:val="00C665A7"/>
    <w:rsid w:val="00C718C0"/>
    <w:rsid w:val="00C73B7F"/>
    <w:rsid w:val="00C7413D"/>
    <w:rsid w:val="00C81492"/>
    <w:rsid w:val="00C81E00"/>
    <w:rsid w:val="00C827FC"/>
    <w:rsid w:val="00C82B07"/>
    <w:rsid w:val="00C859CC"/>
    <w:rsid w:val="00C85F81"/>
    <w:rsid w:val="00C86EA6"/>
    <w:rsid w:val="00C93F1F"/>
    <w:rsid w:val="00C9466D"/>
    <w:rsid w:val="00C94918"/>
    <w:rsid w:val="00C949C9"/>
    <w:rsid w:val="00C94FF3"/>
    <w:rsid w:val="00C956BD"/>
    <w:rsid w:val="00C96830"/>
    <w:rsid w:val="00C969C5"/>
    <w:rsid w:val="00C97434"/>
    <w:rsid w:val="00CA05F1"/>
    <w:rsid w:val="00CA176A"/>
    <w:rsid w:val="00CA1DE1"/>
    <w:rsid w:val="00CA46B1"/>
    <w:rsid w:val="00CA474D"/>
    <w:rsid w:val="00CA5529"/>
    <w:rsid w:val="00CA6CC8"/>
    <w:rsid w:val="00CB00D3"/>
    <w:rsid w:val="00CB039D"/>
    <w:rsid w:val="00CB3D45"/>
    <w:rsid w:val="00CB5656"/>
    <w:rsid w:val="00CB6C4F"/>
    <w:rsid w:val="00CB7002"/>
    <w:rsid w:val="00CC017D"/>
    <w:rsid w:val="00CC161D"/>
    <w:rsid w:val="00CC226B"/>
    <w:rsid w:val="00CC2446"/>
    <w:rsid w:val="00CC380A"/>
    <w:rsid w:val="00CC5D6E"/>
    <w:rsid w:val="00CD14EF"/>
    <w:rsid w:val="00CD21C9"/>
    <w:rsid w:val="00CD2977"/>
    <w:rsid w:val="00CD3C4F"/>
    <w:rsid w:val="00CD5543"/>
    <w:rsid w:val="00CD70AD"/>
    <w:rsid w:val="00CE0D2F"/>
    <w:rsid w:val="00CE2006"/>
    <w:rsid w:val="00CE2170"/>
    <w:rsid w:val="00CE362E"/>
    <w:rsid w:val="00CE37D9"/>
    <w:rsid w:val="00CE3BA4"/>
    <w:rsid w:val="00CE450C"/>
    <w:rsid w:val="00CE50C3"/>
    <w:rsid w:val="00CE6D75"/>
    <w:rsid w:val="00CF13BA"/>
    <w:rsid w:val="00CF2868"/>
    <w:rsid w:val="00CF31A9"/>
    <w:rsid w:val="00CF3284"/>
    <w:rsid w:val="00CF357C"/>
    <w:rsid w:val="00CF3D18"/>
    <w:rsid w:val="00CF4851"/>
    <w:rsid w:val="00CF4D2E"/>
    <w:rsid w:val="00CF6F09"/>
    <w:rsid w:val="00D0097A"/>
    <w:rsid w:val="00D01215"/>
    <w:rsid w:val="00D017B7"/>
    <w:rsid w:val="00D01859"/>
    <w:rsid w:val="00D02166"/>
    <w:rsid w:val="00D02F5D"/>
    <w:rsid w:val="00D04586"/>
    <w:rsid w:val="00D059D4"/>
    <w:rsid w:val="00D069A2"/>
    <w:rsid w:val="00D06A8C"/>
    <w:rsid w:val="00D07A26"/>
    <w:rsid w:val="00D119B3"/>
    <w:rsid w:val="00D11CF8"/>
    <w:rsid w:val="00D13ADE"/>
    <w:rsid w:val="00D13F5F"/>
    <w:rsid w:val="00D14424"/>
    <w:rsid w:val="00D167D7"/>
    <w:rsid w:val="00D16E85"/>
    <w:rsid w:val="00D17A6C"/>
    <w:rsid w:val="00D20968"/>
    <w:rsid w:val="00D20A83"/>
    <w:rsid w:val="00D22A52"/>
    <w:rsid w:val="00D2399C"/>
    <w:rsid w:val="00D23AC1"/>
    <w:rsid w:val="00D23F19"/>
    <w:rsid w:val="00D2435F"/>
    <w:rsid w:val="00D25486"/>
    <w:rsid w:val="00D254CA"/>
    <w:rsid w:val="00D25787"/>
    <w:rsid w:val="00D27CF3"/>
    <w:rsid w:val="00D30291"/>
    <w:rsid w:val="00D30E70"/>
    <w:rsid w:val="00D31884"/>
    <w:rsid w:val="00D32034"/>
    <w:rsid w:val="00D32B54"/>
    <w:rsid w:val="00D3466F"/>
    <w:rsid w:val="00D35BC2"/>
    <w:rsid w:val="00D361BC"/>
    <w:rsid w:val="00D365C3"/>
    <w:rsid w:val="00D36610"/>
    <w:rsid w:val="00D36957"/>
    <w:rsid w:val="00D377F2"/>
    <w:rsid w:val="00D37AE7"/>
    <w:rsid w:val="00D40053"/>
    <w:rsid w:val="00D40898"/>
    <w:rsid w:val="00D42D3D"/>
    <w:rsid w:val="00D43868"/>
    <w:rsid w:val="00D44B19"/>
    <w:rsid w:val="00D450CE"/>
    <w:rsid w:val="00D5048B"/>
    <w:rsid w:val="00D50C0B"/>
    <w:rsid w:val="00D51C22"/>
    <w:rsid w:val="00D54A01"/>
    <w:rsid w:val="00D54DA5"/>
    <w:rsid w:val="00D557B7"/>
    <w:rsid w:val="00D61E80"/>
    <w:rsid w:val="00D64C19"/>
    <w:rsid w:val="00D7231E"/>
    <w:rsid w:val="00D72E82"/>
    <w:rsid w:val="00D75C80"/>
    <w:rsid w:val="00D7721D"/>
    <w:rsid w:val="00D775D9"/>
    <w:rsid w:val="00D808D8"/>
    <w:rsid w:val="00D81037"/>
    <w:rsid w:val="00D81218"/>
    <w:rsid w:val="00D81913"/>
    <w:rsid w:val="00D823A7"/>
    <w:rsid w:val="00D8254F"/>
    <w:rsid w:val="00D82F63"/>
    <w:rsid w:val="00D839A9"/>
    <w:rsid w:val="00D843CD"/>
    <w:rsid w:val="00D869E6"/>
    <w:rsid w:val="00D87027"/>
    <w:rsid w:val="00D87829"/>
    <w:rsid w:val="00D90691"/>
    <w:rsid w:val="00D90BA2"/>
    <w:rsid w:val="00D91775"/>
    <w:rsid w:val="00D919BD"/>
    <w:rsid w:val="00D91EC1"/>
    <w:rsid w:val="00D92DD9"/>
    <w:rsid w:val="00D92ECE"/>
    <w:rsid w:val="00D93FAF"/>
    <w:rsid w:val="00D941E4"/>
    <w:rsid w:val="00D946BD"/>
    <w:rsid w:val="00D9627E"/>
    <w:rsid w:val="00D9771D"/>
    <w:rsid w:val="00DA3567"/>
    <w:rsid w:val="00DA4A2D"/>
    <w:rsid w:val="00DA4FE8"/>
    <w:rsid w:val="00DA6999"/>
    <w:rsid w:val="00DA6F5C"/>
    <w:rsid w:val="00DA741B"/>
    <w:rsid w:val="00DA7C1D"/>
    <w:rsid w:val="00DB0231"/>
    <w:rsid w:val="00DB0EFF"/>
    <w:rsid w:val="00DB193D"/>
    <w:rsid w:val="00DB1FA3"/>
    <w:rsid w:val="00DB25AB"/>
    <w:rsid w:val="00DB3A5E"/>
    <w:rsid w:val="00DB4294"/>
    <w:rsid w:val="00DB506B"/>
    <w:rsid w:val="00DB6695"/>
    <w:rsid w:val="00DC2DB6"/>
    <w:rsid w:val="00DC4A5E"/>
    <w:rsid w:val="00DC67D2"/>
    <w:rsid w:val="00DD0A4E"/>
    <w:rsid w:val="00DD0CBB"/>
    <w:rsid w:val="00DD0D1E"/>
    <w:rsid w:val="00DD10C3"/>
    <w:rsid w:val="00DD15F9"/>
    <w:rsid w:val="00DD194C"/>
    <w:rsid w:val="00DD23AB"/>
    <w:rsid w:val="00DD2C9B"/>
    <w:rsid w:val="00DD527B"/>
    <w:rsid w:val="00DD68DB"/>
    <w:rsid w:val="00DD6C0B"/>
    <w:rsid w:val="00DD6CCD"/>
    <w:rsid w:val="00DD7BE3"/>
    <w:rsid w:val="00DE0B3C"/>
    <w:rsid w:val="00DE2FFD"/>
    <w:rsid w:val="00DE3F0C"/>
    <w:rsid w:val="00DE4836"/>
    <w:rsid w:val="00DE522E"/>
    <w:rsid w:val="00DE6C41"/>
    <w:rsid w:val="00DE6F19"/>
    <w:rsid w:val="00DE6F8B"/>
    <w:rsid w:val="00DE7454"/>
    <w:rsid w:val="00DE7AA8"/>
    <w:rsid w:val="00DE7E61"/>
    <w:rsid w:val="00DF2FBA"/>
    <w:rsid w:val="00DF35C7"/>
    <w:rsid w:val="00DF3F51"/>
    <w:rsid w:val="00DF4FE1"/>
    <w:rsid w:val="00DF5A36"/>
    <w:rsid w:val="00DF5C5D"/>
    <w:rsid w:val="00E00BFF"/>
    <w:rsid w:val="00E03C39"/>
    <w:rsid w:val="00E040EF"/>
    <w:rsid w:val="00E05201"/>
    <w:rsid w:val="00E06DD0"/>
    <w:rsid w:val="00E0719E"/>
    <w:rsid w:val="00E072ED"/>
    <w:rsid w:val="00E10A10"/>
    <w:rsid w:val="00E11C07"/>
    <w:rsid w:val="00E150E5"/>
    <w:rsid w:val="00E15971"/>
    <w:rsid w:val="00E165A6"/>
    <w:rsid w:val="00E213EC"/>
    <w:rsid w:val="00E25A62"/>
    <w:rsid w:val="00E265B0"/>
    <w:rsid w:val="00E266F5"/>
    <w:rsid w:val="00E26E6E"/>
    <w:rsid w:val="00E27558"/>
    <w:rsid w:val="00E2787C"/>
    <w:rsid w:val="00E30177"/>
    <w:rsid w:val="00E305DE"/>
    <w:rsid w:val="00E32136"/>
    <w:rsid w:val="00E34149"/>
    <w:rsid w:val="00E352FF"/>
    <w:rsid w:val="00E36F8F"/>
    <w:rsid w:val="00E36FDE"/>
    <w:rsid w:val="00E37015"/>
    <w:rsid w:val="00E37B30"/>
    <w:rsid w:val="00E40A7E"/>
    <w:rsid w:val="00E41BBC"/>
    <w:rsid w:val="00E42278"/>
    <w:rsid w:val="00E43877"/>
    <w:rsid w:val="00E45277"/>
    <w:rsid w:val="00E45621"/>
    <w:rsid w:val="00E45F86"/>
    <w:rsid w:val="00E47C91"/>
    <w:rsid w:val="00E47E68"/>
    <w:rsid w:val="00E50CD3"/>
    <w:rsid w:val="00E5169C"/>
    <w:rsid w:val="00E51E9F"/>
    <w:rsid w:val="00E5327D"/>
    <w:rsid w:val="00E53854"/>
    <w:rsid w:val="00E53E7B"/>
    <w:rsid w:val="00E53F1E"/>
    <w:rsid w:val="00E5412E"/>
    <w:rsid w:val="00E564F1"/>
    <w:rsid w:val="00E57F92"/>
    <w:rsid w:val="00E60706"/>
    <w:rsid w:val="00E62A14"/>
    <w:rsid w:val="00E64250"/>
    <w:rsid w:val="00E647B5"/>
    <w:rsid w:val="00E65048"/>
    <w:rsid w:val="00E65173"/>
    <w:rsid w:val="00E66A6E"/>
    <w:rsid w:val="00E71889"/>
    <w:rsid w:val="00E71E18"/>
    <w:rsid w:val="00E7265F"/>
    <w:rsid w:val="00E72A6F"/>
    <w:rsid w:val="00E7416F"/>
    <w:rsid w:val="00E74A06"/>
    <w:rsid w:val="00E75A70"/>
    <w:rsid w:val="00E80000"/>
    <w:rsid w:val="00E819DF"/>
    <w:rsid w:val="00E827EA"/>
    <w:rsid w:val="00E82EF2"/>
    <w:rsid w:val="00E8419D"/>
    <w:rsid w:val="00E873EA"/>
    <w:rsid w:val="00E9008A"/>
    <w:rsid w:val="00E9084F"/>
    <w:rsid w:val="00E90A8A"/>
    <w:rsid w:val="00E90D10"/>
    <w:rsid w:val="00E90DE5"/>
    <w:rsid w:val="00E92B1A"/>
    <w:rsid w:val="00E92C2D"/>
    <w:rsid w:val="00E937E5"/>
    <w:rsid w:val="00E979A9"/>
    <w:rsid w:val="00EA0D63"/>
    <w:rsid w:val="00EA1B35"/>
    <w:rsid w:val="00EA23DD"/>
    <w:rsid w:val="00EA2B02"/>
    <w:rsid w:val="00EA3EA0"/>
    <w:rsid w:val="00EA77D4"/>
    <w:rsid w:val="00EB1AEC"/>
    <w:rsid w:val="00EB4638"/>
    <w:rsid w:val="00EB4732"/>
    <w:rsid w:val="00EB7C1D"/>
    <w:rsid w:val="00EC01D5"/>
    <w:rsid w:val="00EC1FB5"/>
    <w:rsid w:val="00EC2E86"/>
    <w:rsid w:val="00EC3537"/>
    <w:rsid w:val="00EC3752"/>
    <w:rsid w:val="00EC3829"/>
    <w:rsid w:val="00EC43F4"/>
    <w:rsid w:val="00EC653D"/>
    <w:rsid w:val="00EC665A"/>
    <w:rsid w:val="00ED037E"/>
    <w:rsid w:val="00ED0551"/>
    <w:rsid w:val="00ED0DFF"/>
    <w:rsid w:val="00ED0FC5"/>
    <w:rsid w:val="00ED1FEE"/>
    <w:rsid w:val="00ED2A3C"/>
    <w:rsid w:val="00ED39C0"/>
    <w:rsid w:val="00ED4FA8"/>
    <w:rsid w:val="00ED52D6"/>
    <w:rsid w:val="00ED64BC"/>
    <w:rsid w:val="00ED6D26"/>
    <w:rsid w:val="00ED6D92"/>
    <w:rsid w:val="00ED79D1"/>
    <w:rsid w:val="00EE30C4"/>
    <w:rsid w:val="00EE5D06"/>
    <w:rsid w:val="00EE7E0A"/>
    <w:rsid w:val="00EE7EA7"/>
    <w:rsid w:val="00EF1579"/>
    <w:rsid w:val="00EF2EE8"/>
    <w:rsid w:val="00EF442A"/>
    <w:rsid w:val="00EF448B"/>
    <w:rsid w:val="00F0026D"/>
    <w:rsid w:val="00F0080F"/>
    <w:rsid w:val="00F00940"/>
    <w:rsid w:val="00F03A46"/>
    <w:rsid w:val="00F03F42"/>
    <w:rsid w:val="00F0432F"/>
    <w:rsid w:val="00F04C74"/>
    <w:rsid w:val="00F067DC"/>
    <w:rsid w:val="00F07552"/>
    <w:rsid w:val="00F07DF9"/>
    <w:rsid w:val="00F07E38"/>
    <w:rsid w:val="00F07EC8"/>
    <w:rsid w:val="00F07F2B"/>
    <w:rsid w:val="00F10FE9"/>
    <w:rsid w:val="00F11D71"/>
    <w:rsid w:val="00F122B8"/>
    <w:rsid w:val="00F12C2C"/>
    <w:rsid w:val="00F12F82"/>
    <w:rsid w:val="00F14711"/>
    <w:rsid w:val="00F14EBE"/>
    <w:rsid w:val="00F153A9"/>
    <w:rsid w:val="00F162CA"/>
    <w:rsid w:val="00F1794B"/>
    <w:rsid w:val="00F205BC"/>
    <w:rsid w:val="00F208C1"/>
    <w:rsid w:val="00F21140"/>
    <w:rsid w:val="00F213DC"/>
    <w:rsid w:val="00F236A0"/>
    <w:rsid w:val="00F23C4D"/>
    <w:rsid w:val="00F23DF5"/>
    <w:rsid w:val="00F3041E"/>
    <w:rsid w:val="00F32CBD"/>
    <w:rsid w:val="00F3330D"/>
    <w:rsid w:val="00F340D1"/>
    <w:rsid w:val="00F34BE1"/>
    <w:rsid w:val="00F354D3"/>
    <w:rsid w:val="00F4059B"/>
    <w:rsid w:val="00F42136"/>
    <w:rsid w:val="00F42774"/>
    <w:rsid w:val="00F43365"/>
    <w:rsid w:val="00F453C0"/>
    <w:rsid w:val="00F472BC"/>
    <w:rsid w:val="00F477A4"/>
    <w:rsid w:val="00F47DFF"/>
    <w:rsid w:val="00F506C2"/>
    <w:rsid w:val="00F50FBD"/>
    <w:rsid w:val="00F51BC4"/>
    <w:rsid w:val="00F534D0"/>
    <w:rsid w:val="00F54237"/>
    <w:rsid w:val="00F5443C"/>
    <w:rsid w:val="00F54D02"/>
    <w:rsid w:val="00F56583"/>
    <w:rsid w:val="00F56A83"/>
    <w:rsid w:val="00F57E34"/>
    <w:rsid w:val="00F57FCF"/>
    <w:rsid w:val="00F6219A"/>
    <w:rsid w:val="00F63402"/>
    <w:rsid w:val="00F63601"/>
    <w:rsid w:val="00F65B4C"/>
    <w:rsid w:val="00F66530"/>
    <w:rsid w:val="00F66858"/>
    <w:rsid w:val="00F66DD4"/>
    <w:rsid w:val="00F67A94"/>
    <w:rsid w:val="00F67D44"/>
    <w:rsid w:val="00F70DB3"/>
    <w:rsid w:val="00F70EEC"/>
    <w:rsid w:val="00F719F4"/>
    <w:rsid w:val="00F72FCB"/>
    <w:rsid w:val="00F730BA"/>
    <w:rsid w:val="00F73882"/>
    <w:rsid w:val="00F7444E"/>
    <w:rsid w:val="00F74DD0"/>
    <w:rsid w:val="00F76CFC"/>
    <w:rsid w:val="00F77069"/>
    <w:rsid w:val="00F77FB1"/>
    <w:rsid w:val="00F80C7C"/>
    <w:rsid w:val="00F80CFF"/>
    <w:rsid w:val="00F80FBC"/>
    <w:rsid w:val="00F8178B"/>
    <w:rsid w:val="00F81F8A"/>
    <w:rsid w:val="00F82AE0"/>
    <w:rsid w:val="00F84C36"/>
    <w:rsid w:val="00F8604E"/>
    <w:rsid w:val="00F86CA9"/>
    <w:rsid w:val="00F87408"/>
    <w:rsid w:val="00F905CB"/>
    <w:rsid w:val="00F9181F"/>
    <w:rsid w:val="00F9241D"/>
    <w:rsid w:val="00F93170"/>
    <w:rsid w:val="00F9411A"/>
    <w:rsid w:val="00F949DD"/>
    <w:rsid w:val="00F94AE6"/>
    <w:rsid w:val="00F96370"/>
    <w:rsid w:val="00F96808"/>
    <w:rsid w:val="00F96952"/>
    <w:rsid w:val="00FA0DA0"/>
    <w:rsid w:val="00FA1670"/>
    <w:rsid w:val="00FA18E9"/>
    <w:rsid w:val="00FA23E8"/>
    <w:rsid w:val="00FA276D"/>
    <w:rsid w:val="00FA3D3E"/>
    <w:rsid w:val="00FA54BA"/>
    <w:rsid w:val="00FA7785"/>
    <w:rsid w:val="00FB0736"/>
    <w:rsid w:val="00FB201B"/>
    <w:rsid w:val="00FB28AA"/>
    <w:rsid w:val="00FB2E9E"/>
    <w:rsid w:val="00FB3E65"/>
    <w:rsid w:val="00FB4B36"/>
    <w:rsid w:val="00FB664E"/>
    <w:rsid w:val="00FC0CB9"/>
    <w:rsid w:val="00FC1C90"/>
    <w:rsid w:val="00FC1E70"/>
    <w:rsid w:val="00FC23DA"/>
    <w:rsid w:val="00FC273C"/>
    <w:rsid w:val="00FC29F1"/>
    <w:rsid w:val="00FC3665"/>
    <w:rsid w:val="00FC3E2C"/>
    <w:rsid w:val="00FC53D1"/>
    <w:rsid w:val="00FC5887"/>
    <w:rsid w:val="00FC5BC6"/>
    <w:rsid w:val="00FC648A"/>
    <w:rsid w:val="00FC7A43"/>
    <w:rsid w:val="00FD0BBE"/>
    <w:rsid w:val="00FD14F6"/>
    <w:rsid w:val="00FD1AC8"/>
    <w:rsid w:val="00FD20F5"/>
    <w:rsid w:val="00FD2C00"/>
    <w:rsid w:val="00FD2D6A"/>
    <w:rsid w:val="00FD3AFC"/>
    <w:rsid w:val="00FD66CE"/>
    <w:rsid w:val="00FD7CD7"/>
    <w:rsid w:val="00FE0072"/>
    <w:rsid w:val="00FE062C"/>
    <w:rsid w:val="00FE1462"/>
    <w:rsid w:val="00FE21B7"/>
    <w:rsid w:val="00FE2EE4"/>
    <w:rsid w:val="00FE37BD"/>
    <w:rsid w:val="00FE3FE8"/>
    <w:rsid w:val="00FE4395"/>
    <w:rsid w:val="00FE5429"/>
    <w:rsid w:val="00FE6518"/>
    <w:rsid w:val="00FE67FD"/>
    <w:rsid w:val="00FE738B"/>
    <w:rsid w:val="00FF1AEF"/>
    <w:rsid w:val="00FF3DDD"/>
    <w:rsid w:val="00FF44A4"/>
    <w:rsid w:val="00FF4B80"/>
    <w:rsid w:val="00FF4E20"/>
    <w:rsid w:val="00FF73EB"/>
    <w:rsid w:val="00FF74A7"/>
    <w:rsid w:val="00FF7B26"/>
    <w:rsid w:val="025957B2"/>
    <w:rsid w:val="0C0A3EAB"/>
    <w:rsid w:val="1731299D"/>
    <w:rsid w:val="357F360D"/>
    <w:rsid w:val="400A6C07"/>
    <w:rsid w:val="4126249A"/>
    <w:rsid w:val="537C1243"/>
    <w:rsid w:val="62155619"/>
    <w:rsid w:val="73556206"/>
    <w:rsid w:val="76F83CE0"/>
    <w:rsid w:val="C7FF70F7"/>
    <w:rsid w:val="F5FB01E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2"/>
    <w:qFormat/>
    <w:uiPriority w:val="0"/>
    <w:pPr>
      <w:keepNext/>
      <w:jc w:val="center"/>
      <w:outlineLvl w:val="0"/>
    </w:pPr>
    <w:rPr>
      <w:rFonts w:ascii="黑体" w:eastAsia="黑体"/>
      <w:sz w:val="28"/>
      <w:szCs w:val="20"/>
    </w:rPr>
  </w:style>
  <w:style w:type="paragraph" w:styleId="3">
    <w:name w:val="heading 2"/>
    <w:basedOn w:val="1"/>
    <w:next w:val="4"/>
    <w:link w:val="39"/>
    <w:qFormat/>
    <w:uiPriority w:val="0"/>
    <w:pPr>
      <w:keepNext/>
      <w:ind w:firstLine="480"/>
      <w:jc w:val="left"/>
      <w:outlineLvl w:val="1"/>
    </w:pPr>
    <w:rPr>
      <w:rFonts w:ascii="宋体"/>
      <w:i/>
      <w:sz w:val="28"/>
      <w:szCs w:val="20"/>
    </w:rPr>
  </w:style>
  <w:style w:type="paragraph" w:styleId="5">
    <w:name w:val="heading 3"/>
    <w:basedOn w:val="1"/>
    <w:next w:val="1"/>
    <w:link w:val="55"/>
    <w:semiHidden/>
    <w:unhideWhenUsed/>
    <w:qFormat/>
    <w:uiPriority w:val="0"/>
    <w:pPr>
      <w:keepNext/>
      <w:keepLines/>
      <w:spacing w:before="260" w:after="260" w:line="416"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6">
    <w:name w:val="toc 7"/>
    <w:basedOn w:val="1"/>
    <w:next w:val="1"/>
    <w:qFormat/>
    <w:uiPriority w:val="0"/>
    <w:pPr>
      <w:ind w:left="1260"/>
      <w:jc w:val="left"/>
    </w:pPr>
    <w:rPr>
      <w:rFonts w:asciiTheme="minorHAnsi" w:hAnsiTheme="minorHAnsi" w:cstheme="minorHAnsi"/>
      <w:sz w:val="18"/>
      <w:szCs w:val="18"/>
    </w:rPr>
  </w:style>
  <w:style w:type="paragraph" w:styleId="7">
    <w:name w:val="Document Map"/>
    <w:basedOn w:val="1"/>
    <w:link w:val="59"/>
    <w:qFormat/>
    <w:uiPriority w:val="0"/>
    <w:rPr>
      <w:rFonts w:ascii="宋体"/>
      <w:sz w:val="18"/>
      <w:szCs w:val="18"/>
    </w:rPr>
  </w:style>
  <w:style w:type="paragraph" w:styleId="8">
    <w:name w:val="annotation text"/>
    <w:basedOn w:val="1"/>
    <w:link w:val="35"/>
    <w:semiHidden/>
    <w:qFormat/>
    <w:uiPriority w:val="0"/>
    <w:pPr>
      <w:jc w:val="left"/>
    </w:pPr>
  </w:style>
  <w:style w:type="paragraph" w:styleId="9">
    <w:name w:val="Body Text Indent"/>
    <w:basedOn w:val="1"/>
    <w:link w:val="40"/>
    <w:qFormat/>
    <w:uiPriority w:val="0"/>
    <w:pPr>
      <w:spacing w:line="0" w:lineRule="atLeast"/>
      <w:ind w:firstLine="560" w:firstLineChars="200"/>
    </w:pPr>
    <w:rPr>
      <w:rFonts w:eastAsia="仿宋_GB2312"/>
      <w:sz w:val="28"/>
    </w:rPr>
  </w:style>
  <w:style w:type="paragraph" w:styleId="10">
    <w:name w:val="toc 5"/>
    <w:basedOn w:val="1"/>
    <w:next w:val="1"/>
    <w:qFormat/>
    <w:uiPriority w:val="0"/>
    <w:pPr>
      <w:ind w:left="840"/>
      <w:jc w:val="left"/>
    </w:pPr>
    <w:rPr>
      <w:rFonts w:asciiTheme="minorHAnsi" w:hAnsiTheme="minorHAnsi" w:cstheme="minorHAnsi"/>
      <w:sz w:val="18"/>
      <w:szCs w:val="18"/>
    </w:rPr>
  </w:style>
  <w:style w:type="paragraph" w:styleId="11">
    <w:name w:val="toc 3"/>
    <w:basedOn w:val="1"/>
    <w:next w:val="1"/>
    <w:qFormat/>
    <w:uiPriority w:val="39"/>
    <w:pPr>
      <w:ind w:left="420"/>
      <w:jc w:val="left"/>
    </w:pPr>
    <w:rPr>
      <w:rFonts w:asciiTheme="minorHAnsi" w:hAnsiTheme="minorHAnsi" w:cstheme="minorHAnsi"/>
      <w:i/>
      <w:iCs/>
      <w:sz w:val="20"/>
      <w:szCs w:val="20"/>
    </w:rPr>
  </w:style>
  <w:style w:type="paragraph" w:styleId="12">
    <w:name w:val="Plain Text"/>
    <w:basedOn w:val="1"/>
    <w:link w:val="43"/>
    <w:qFormat/>
    <w:uiPriority w:val="0"/>
    <w:rPr>
      <w:rFonts w:ascii="宋体" w:hAnsi="Courier New"/>
      <w:szCs w:val="20"/>
    </w:rPr>
  </w:style>
  <w:style w:type="paragraph" w:styleId="13">
    <w:name w:val="toc 8"/>
    <w:basedOn w:val="1"/>
    <w:next w:val="1"/>
    <w:qFormat/>
    <w:uiPriority w:val="0"/>
    <w:pPr>
      <w:ind w:left="1470"/>
      <w:jc w:val="left"/>
    </w:pPr>
    <w:rPr>
      <w:rFonts w:asciiTheme="minorHAnsi" w:hAnsiTheme="minorHAnsi" w:cstheme="minorHAnsi"/>
      <w:sz w:val="18"/>
      <w:szCs w:val="18"/>
    </w:rPr>
  </w:style>
  <w:style w:type="paragraph" w:styleId="14">
    <w:name w:val="Date"/>
    <w:basedOn w:val="1"/>
    <w:next w:val="1"/>
    <w:link w:val="37"/>
    <w:qFormat/>
    <w:uiPriority w:val="0"/>
    <w:pPr>
      <w:ind w:left="100" w:leftChars="2500"/>
    </w:pPr>
  </w:style>
  <w:style w:type="paragraph" w:styleId="15">
    <w:name w:val="Balloon Text"/>
    <w:basedOn w:val="1"/>
    <w:semiHidden/>
    <w:qFormat/>
    <w:uiPriority w:val="0"/>
    <w:rPr>
      <w:sz w:val="18"/>
      <w:szCs w:val="18"/>
    </w:rPr>
  </w:style>
  <w:style w:type="paragraph" w:styleId="16">
    <w:name w:val="footer"/>
    <w:basedOn w:val="1"/>
    <w:link w:val="57"/>
    <w:qFormat/>
    <w:uiPriority w:val="99"/>
    <w:pPr>
      <w:tabs>
        <w:tab w:val="center" w:pos="4153"/>
        <w:tab w:val="right" w:pos="8306"/>
      </w:tabs>
      <w:snapToGrid w:val="0"/>
      <w:jc w:val="left"/>
    </w:pPr>
    <w:rPr>
      <w:sz w:val="18"/>
      <w:szCs w:val="18"/>
    </w:rPr>
  </w:style>
  <w:style w:type="paragraph" w:styleId="17">
    <w:name w:val="header"/>
    <w:basedOn w:val="1"/>
    <w:link w:val="61"/>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pPr>
      <w:spacing w:before="120" w:after="120"/>
      <w:jc w:val="left"/>
    </w:pPr>
    <w:rPr>
      <w:rFonts w:asciiTheme="minorHAnsi" w:hAnsiTheme="minorHAnsi" w:cstheme="minorHAnsi"/>
      <w:b/>
      <w:bCs/>
      <w:caps/>
      <w:sz w:val="20"/>
      <w:szCs w:val="20"/>
    </w:rPr>
  </w:style>
  <w:style w:type="paragraph" w:styleId="19">
    <w:name w:val="toc 4"/>
    <w:basedOn w:val="1"/>
    <w:next w:val="1"/>
    <w:qFormat/>
    <w:uiPriority w:val="0"/>
    <w:pPr>
      <w:ind w:left="630"/>
      <w:jc w:val="left"/>
    </w:pPr>
    <w:rPr>
      <w:rFonts w:asciiTheme="minorHAnsi" w:hAnsiTheme="minorHAnsi" w:cstheme="minorHAnsi"/>
      <w:sz w:val="18"/>
      <w:szCs w:val="18"/>
    </w:rPr>
  </w:style>
  <w:style w:type="paragraph" w:styleId="20">
    <w:name w:val="toc 6"/>
    <w:basedOn w:val="1"/>
    <w:next w:val="1"/>
    <w:qFormat/>
    <w:uiPriority w:val="0"/>
    <w:pPr>
      <w:ind w:left="1050"/>
      <w:jc w:val="left"/>
    </w:pPr>
    <w:rPr>
      <w:rFonts w:asciiTheme="minorHAnsi" w:hAnsiTheme="minorHAnsi" w:cstheme="minorHAnsi"/>
      <w:sz w:val="18"/>
      <w:szCs w:val="18"/>
    </w:rPr>
  </w:style>
  <w:style w:type="paragraph" w:styleId="21">
    <w:name w:val="toc 2"/>
    <w:basedOn w:val="1"/>
    <w:next w:val="1"/>
    <w:qFormat/>
    <w:uiPriority w:val="39"/>
    <w:pPr>
      <w:ind w:left="210"/>
      <w:jc w:val="left"/>
    </w:pPr>
    <w:rPr>
      <w:rFonts w:asciiTheme="minorHAnsi" w:hAnsiTheme="minorHAnsi" w:cstheme="minorHAnsi"/>
      <w:smallCaps/>
      <w:sz w:val="20"/>
      <w:szCs w:val="20"/>
    </w:rPr>
  </w:style>
  <w:style w:type="paragraph" w:styleId="22">
    <w:name w:val="toc 9"/>
    <w:basedOn w:val="1"/>
    <w:next w:val="1"/>
    <w:qFormat/>
    <w:uiPriority w:val="0"/>
    <w:pPr>
      <w:ind w:left="1680"/>
      <w:jc w:val="left"/>
    </w:pPr>
    <w:rPr>
      <w:rFonts w:asciiTheme="minorHAnsi" w:hAnsiTheme="minorHAnsi" w:cstheme="minorHAnsi"/>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Emphasis"/>
    <w:qFormat/>
    <w:uiPriority w:val="20"/>
    <w:rPr>
      <w:color w:val="CC0000"/>
    </w:rPr>
  </w:style>
  <w:style w:type="character" w:styleId="30">
    <w:name w:val="Hyperlink"/>
    <w:qFormat/>
    <w:uiPriority w:val="99"/>
    <w:rPr>
      <w:color w:val="0000FF"/>
      <w:u w:val="single"/>
    </w:rPr>
  </w:style>
  <w:style w:type="character" w:styleId="31">
    <w:name w:val="annotation reference"/>
    <w:qFormat/>
    <w:uiPriority w:val="0"/>
    <w:rPr>
      <w:sz w:val="21"/>
      <w:szCs w:val="21"/>
    </w:rPr>
  </w:style>
  <w:style w:type="character" w:customStyle="1" w:styleId="32">
    <w:name w:val="标题 1 Char"/>
    <w:link w:val="2"/>
    <w:qFormat/>
    <w:uiPriority w:val="0"/>
    <w:rPr>
      <w:rFonts w:ascii="黑体" w:eastAsia="黑体"/>
      <w:kern w:val="2"/>
      <w:sz w:val="28"/>
    </w:rPr>
  </w:style>
  <w:style w:type="character" w:customStyle="1" w:styleId="33">
    <w:name w:val="段 Char"/>
    <w:link w:val="34"/>
    <w:qFormat/>
    <w:uiPriority w:val="0"/>
    <w:rPr>
      <w:rFonts w:ascii="宋体"/>
      <w:sz w:val="21"/>
      <w:lang w:val="en-US" w:eastAsia="zh-CN" w:bidi="ar-SA"/>
    </w:rPr>
  </w:style>
  <w:style w:type="paragraph" w:customStyle="1" w:styleId="34">
    <w:name w:val="段"/>
    <w:link w:val="3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5">
    <w:name w:val="批注文字 Char"/>
    <w:link w:val="8"/>
    <w:semiHidden/>
    <w:qFormat/>
    <w:uiPriority w:val="0"/>
    <w:rPr>
      <w:kern w:val="2"/>
      <w:sz w:val="21"/>
      <w:szCs w:val="24"/>
    </w:rPr>
  </w:style>
  <w:style w:type="character" w:customStyle="1" w:styleId="36">
    <w:name w:val="正文文本缩进 Char1"/>
    <w:qFormat/>
    <w:uiPriority w:val="0"/>
    <w:rPr>
      <w:kern w:val="2"/>
      <w:sz w:val="21"/>
      <w:szCs w:val="24"/>
    </w:rPr>
  </w:style>
  <w:style w:type="character" w:customStyle="1" w:styleId="37">
    <w:name w:val="日期 Char"/>
    <w:link w:val="14"/>
    <w:qFormat/>
    <w:uiPriority w:val="0"/>
    <w:rPr>
      <w:kern w:val="2"/>
      <w:sz w:val="21"/>
      <w:szCs w:val="24"/>
    </w:rPr>
  </w:style>
  <w:style w:type="character" w:customStyle="1" w:styleId="38">
    <w:name w:val="批注主题 Char"/>
    <w:basedOn w:val="35"/>
    <w:link w:val="23"/>
    <w:qFormat/>
    <w:uiPriority w:val="0"/>
    <w:rPr>
      <w:kern w:val="2"/>
      <w:sz w:val="21"/>
      <w:szCs w:val="24"/>
    </w:rPr>
  </w:style>
  <w:style w:type="character" w:customStyle="1" w:styleId="39">
    <w:name w:val="标题 2 Char"/>
    <w:link w:val="3"/>
    <w:qFormat/>
    <w:uiPriority w:val="0"/>
    <w:rPr>
      <w:rFonts w:ascii="宋体" w:eastAsia="宋体"/>
      <w:i/>
      <w:kern w:val="2"/>
      <w:sz w:val="28"/>
      <w:lang w:val="en-US" w:eastAsia="zh-CN" w:bidi="ar-SA"/>
    </w:rPr>
  </w:style>
  <w:style w:type="character" w:customStyle="1" w:styleId="40">
    <w:name w:val="正文文本缩进 Char"/>
    <w:link w:val="9"/>
    <w:qFormat/>
    <w:uiPriority w:val="0"/>
    <w:rPr>
      <w:rFonts w:eastAsia="仿宋_GB2312"/>
      <w:kern w:val="2"/>
      <w:sz w:val="28"/>
      <w:szCs w:val="24"/>
    </w:rPr>
  </w:style>
  <w:style w:type="character" w:customStyle="1" w:styleId="41">
    <w:name w:val="二级条标题 Char"/>
    <w:link w:val="42"/>
    <w:qFormat/>
    <w:uiPriority w:val="0"/>
    <w:rPr>
      <w:rFonts w:ascii="黑体" w:eastAsia="黑体"/>
      <w:sz w:val="21"/>
    </w:rPr>
  </w:style>
  <w:style w:type="paragraph" w:customStyle="1" w:styleId="42">
    <w:name w:val="二级条标题"/>
    <w:basedOn w:val="1"/>
    <w:next w:val="34"/>
    <w:link w:val="41"/>
    <w:qFormat/>
    <w:uiPriority w:val="0"/>
    <w:pPr>
      <w:widowControl/>
      <w:outlineLvl w:val="3"/>
    </w:pPr>
    <w:rPr>
      <w:rFonts w:ascii="黑体" w:eastAsia="黑体"/>
      <w:kern w:val="0"/>
      <w:szCs w:val="20"/>
    </w:rPr>
  </w:style>
  <w:style w:type="character" w:customStyle="1" w:styleId="43">
    <w:name w:val="纯文本 Char"/>
    <w:link w:val="12"/>
    <w:qFormat/>
    <w:uiPriority w:val="0"/>
    <w:rPr>
      <w:rFonts w:ascii="宋体" w:hAnsi="Courier New"/>
      <w:kern w:val="2"/>
      <w:sz w:val="21"/>
    </w:rPr>
  </w:style>
  <w:style w:type="paragraph" w:customStyle="1" w:styleId="44">
    <w:name w:val="引言"/>
    <w:basedOn w:val="1"/>
    <w:qFormat/>
    <w:uiPriority w:val="0"/>
    <w:pPr>
      <w:snapToGrid w:val="0"/>
      <w:spacing w:line="360" w:lineRule="auto"/>
      <w:jc w:val="center"/>
    </w:pPr>
    <w:rPr>
      <w:rFonts w:ascii="黑体" w:hAnsi="宋体" w:eastAsia="黑体"/>
      <w:sz w:val="32"/>
      <w:szCs w:val="32"/>
      <w:lang w:val="en-GB"/>
    </w:rPr>
  </w:style>
  <w:style w:type="paragraph" w:customStyle="1" w:styleId="45">
    <w:name w:val="附录标题"/>
    <w:basedOn w:val="46"/>
    <w:qFormat/>
    <w:uiPriority w:val="0"/>
    <w:pPr>
      <w:wordWrap/>
      <w:snapToGrid w:val="0"/>
      <w:spacing w:line="360" w:lineRule="auto"/>
    </w:pPr>
    <w:rPr>
      <w:rFonts w:ascii="Arial" w:hAnsi="Arial"/>
      <w:kern w:val="0"/>
      <w:sz w:val="24"/>
    </w:rPr>
  </w:style>
  <w:style w:type="paragraph" w:customStyle="1" w:styleId="46">
    <w:name w:val="附录一级条标题"/>
    <w:basedOn w:val="1"/>
    <w:next w:val="34"/>
    <w:qFormat/>
    <w:uiPriority w:val="0"/>
    <w:pPr>
      <w:widowControl/>
      <w:wordWrap w:val="0"/>
      <w:overflowPunct w:val="0"/>
      <w:autoSpaceDE w:val="0"/>
      <w:autoSpaceDN w:val="0"/>
      <w:textAlignment w:val="baseline"/>
      <w:outlineLvl w:val="2"/>
    </w:pPr>
    <w:rPr>
      <w:rFonts w:ascii="黑体" w:eastAsia="黑体"/>
      <w:kern w:val="21"/>
      <w:szCs w:val="20"/>
    </w:rPr>
  </w:style>
  <w:style w:type="paragraph" w:customStyle="1" w:styleId="47">
    <w:name w:val="附录图标题"/>
    <w:next w:val="34"/>
    <w:qFormat/>
    <w:uiPriority w:val="0"/>
    <w:pPr>
      <w:jc w:val="center"/>
    </w:pPr>
    <w:rPr>
      <w:rFonts w:ascii="黑体" w:hAnsi="Times New Roman" w:eastAsia="黑体" w:cs="Times New Roman"/>
      <w:sz w:val="21"/>
      <w:lang w:val="en-US" w:eastAsia="zh-CN" w:bidi="ar-SA"/>
    </w:rPr>
  </w:style>
  <w:style w:type="paragraph" w:customStyle="1" w:styleId="48">
    <w:name w:val="目录"/>
    <w:basedOn w:val="1"/>
    <w:qFormat/>
    <w:uiPriority w:val="0"/>
    <w:pPr>
      <w:snapToGrid w:val="0"/>
      <w:spacing w:line="360" w:lineRule="auto"/>
      <w:jc w:val="center"/>
    </w:pPr>
    <w:rPr>
      <w:rFonts w:ascii="黑体" w:eastAsia="黑体"/>
      <w:sz w:val="28"/>
      <w:szCs w:val="28"/>
    </w:rPr>
  </w:style>
  <w:style w:type="paragraph" w:customStyle="1" w:styleId="49">
    <w:name w:val="三级条标题"/>
    <w:basedOn w:val="1"/>
    <w:next w:val="1"/>
    <w:qFormat/>
    <w:uiPriority w:val="0"/>
    <w:pPr>
      <w:widowControl/>
      <w:outlineLvl w:val="4"/>
    </w:pPr>
    <w:rPr>
      <w:rFonts w:ascii="黑体" w:eastAsia="黑体"/>
      <w:kern w:val="0"/>
      <w:szCs w:val="20"/>
    </w:rPr>
  </w:style>
  <w:style w:type="paragraph" w:customStyle="1" w:styleId="50">
    <w:name w:val="paragraph"/>
    <w:basedOn w:val="1"/>
    <w:qFormat/>
    <w:uiPriority w:val="0"/>
    <w:pPr>
      <w:widowControl/>
      <w:spacing w:before="100" w:beforeAutospacing="1" w:after="100" w:afterAutospacing="1"/>
      <w:jc w:val="left"/>
    </w:pPr>
    <w:rPr>
      <w:rFonts w:ascii="宋体" w:hAnsi="宋体" w:cs="宋体"/>
      <w:kern w:val="0"/>
      <w:sz w:val="24"/>
    </w:rPr>
  </w:style>
  <w:style w:type="paragraph" w:customStyle="1" w:styleId="51">
    <w:name w:val="附录二级条标题"/>
    <w:basedOn w:val="1"/>
    <w:qFormat/>
    <w:uiPriority w:val="0"/>
    <w:pPr>
      <w:adjustRightInd w:val="0"/>
      <w:snapToGrid w:val="0"/>
      <w:spacing w:line="360" w:lineRule="auto"/>
    </w:pPr>
    <w:rPr>
      <w:rFonts w:ascii="Arial" w:hAnsi="Arial" w:cs="Arial"/>
      <w:bCs/>
      <w:sz w:val="24"/>
    </w:rPr>
  </w:style>
  <w:style w:type="paragraph" w:customStyle="1" w:styleId="52">
    <w:name w:val="示例"/>
    <w:next w:val="34"/>
    <w:qFormat/>
    <w:uiPriority w:val="0"/>
    <w:p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53">
    <w:name w:val="一级条标题"/>
    <w:basedOn w:val="1"/>
    <w:qFormat/>
    <w:uiPriority w:val="0"/>
    <w:pPr>
      <w:snapToGrid w:val="0"/>
      <w:spacing w:line="360" w:lineRule="auto"/>
    </w:pPr>
    <w:rPr>
      <w:rFonts w:ascii="Arial" w:hAnsi="Arial" w:eastAsia="黑体" w:cs="Arial"/>
      <w:sz w:val="24"/>
    </w:rPr>
  </w:style>
  <w:style w:type="paragraph" w:customStyle="1" w:styleId="54">
    <w:name w:val="ordinary-output"/>
    <w:basedOn w:val="1"/>
    <w:qFormat/>
    <w:uiPriority w:val="0"/>
    <w:pPr>
      <w:widowControl/>
      <w:spacing w:before="100" w:beforeAutospacing="1" w:after="100" w:afterAutospacing="1"/>
      <w:jc w:val="left"/>
    </w:pPr>
    <w:rPr>
      <w:rFonts w:ascii="宋体" w:hAnsi="宋体" w:cs="宋体"/>
      <w:kern w:val="0"/>
      <w:sz w:val="24"/>
    </w:rPr>
  </w:style>
  <w:style w:type="character" w:customStyle="1" w:styleId="55">
    <w:name w:val="标题 3 Char"/>
    <w:basedOn w:val="26"/>
    <w:link w:val="5"/>
    <w:semiHidden/>
    <w:qFormat/>
    <w:uiPriority w:val="0"/>
    <w:rPr>
      <w:b/>
      <w:bCs/>
      <w:kern w:val="2"/>
      <w:sz w:val="32"/>
      <w:szCs w:val="32"/>
    </w:rPr>
  </w:style>
  <w:style w:type="paragraph" w:customStyle="1" w:styleId="56">
    <w:name w:val="TOC 标题1"/>
    <w:basedOn w:val="2"/>
    <w:next w:val="1"/>
    <w:semiHidden/>
    <w:unhideWhenUsed/>
    <w:qFormat/>
    <w:uiPriority w:val="39"/>
    <w:pPr>
      <w:keepLines/>
      <w:widowControl/>
      <w:spacing w:before="480" w:line="276" w:lineRule="auto"/>
      <w:jc w:val="left"/>
      <w:outlineLvl w:val="9"/>
    </w:pPr>
    <w:rPr>
      <w:rFonts w:ascii="Cambria" w:hAnsi="Cambria" w:eastAsia="宋体"/>
      <w:b/>
      <w:bCs/>
      <w:color w:val="365F91"/>
      <w:kern w:val="0"/>
      <w:szCs w:val="28"/>
    </w:rPr>
  </w:style>
  <w:style w:type="character" w:customStyle="1" w:styleId="57">
    <w:name w:val="页脚 Char"/>
    <w:basedOn w:val="26"/>
    <w:link w:val="16"/>
    <w:qFormat/>
    <w:uiPriority w:val="99"/>
    <w:rPr>
      <w:kern w:val="2"/>
      <w:sz w:val="18"/>
      <w:szCs w:val="18"/>
    </w:rPr>
  </w:style>
  <w:style w:type="paragraph" w:customStyle="1" w:styleId="58">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59">
    <w:name w:val="文档结构图 Char"/>
    <w:basedOn w:val="26"/>
    <w:link w:val="7"/>
    <w:qFormat/>
    <w:uiPriority w:val="0"/>
    <w:rPr>
      <w:rFonts w:ascii="宋体"/>
      <w:kern w:val="2"/>
      <w:sz w:val="18"/>
      <w:szCs w:val="18"/>
    </w:rPr>
  </w:style>
  <w:style w:type="character" w:customStyle="1" w:styleId="60">
    <w:name w:val="三号宋体"/>
    <w:qFormat/>
    <w:uiPriority w:val="1"/>
    <w:rPr>
      <w:rFonts w:ascii="Times New Roman" w:hAnsi="Times New Roman" w:eastAsia="宋体"/>
      <w:sz w:val="32"/>
    </w:rPr>
  </w:style>
  <w:style w:type="character" w:customStyle="1" w:styleId="61">
    <w:name w:val="页眉 Char"/>
    <w:basedOn w:val="26"/>
    <w:link w:val="17"/>
    <w:qFormat/>
    <w:uiPriority w:val="99"/>
    <w:rPr>
      <w:kern w:val="2"/>
      <w:sz w:val="18"/>
      <w:szCs w:val="18"/>
    </w:rPr>
  </w:style>
  <w:style w:type="paragraph" w:customStyle="1" w:styleId="62">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3" Type="http://schemas.openxmlformats.org/officeDocument/2006/relationships/fontTable" Target="fontTable.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image" Target="media/image11.wmf"/><Relationship Id="rId4" Type="http://schemas.openxmlformats.org/officeDocument/2006/relationships/footer" Target="footer1.xml"/><Relationship Id="rId39" Type="http://schemas.openxmlformats.org/officeDocument/2006/relationships/oleObject" Target="embeddings/oleObject11.bin"/><Relationship Id="rId38" Type="http://schemas.openxmlformats.org/officeDocument/2006/relationships/image" Target="media/image10.wmf"/><Relationship Id="rId37" Type="http://schemas.openxmlformats.org/officeDocument/2006/relationships/oleObject" Target="embeddings/oleObject10.bin"/><Relationship Id="rId36" Type="http://schemas.openxmlformats.org/officeDocument/2006/relationships/image" Target="media/image9.wmf"/><Relationship Id="rId35" Type="http://schemas.openxmlformats.org/officeDocument/2006/relationships/oleObject" Target="embeddings/oleObject9.bin"/><Relationship Id="rId34" Type="http://schemas.openxmlformats.org/officeDocument/2006/relationships/image" Target="media/image8.wmf"/><Relationship Id="rId33" Type="http://schemas.openxmlformats.org/officeDocument/2006/relationships/oleObject" Target="embeddings/oleObject8.bin"/><Relationship Id="rId32" Type="http://schemas.openxmlformats.org/officeDocument/2006/relationships/image" Target="media/image7.wmf"/><Relationship Id="rId31" Type="http://schemas.openxmlformats.org/officeDocument/2006/relationships/oleObject" Target="embeddings/oleObject7.bin"/><Relationship Id="rId30" Type="http://schemas.openxmlformats.org/officeDocument/2006/relationships/image" Target="media/image6.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5.wmf"/><Relationship Id="rId27" Type="http://schemas.openxmlformats.org/officeDocument/2006/relationships/oleObject" Target="embeddings/oleObject5.bin"/><Relationship Id="rId26" Type="http://schemas.openxmlformats.org/officeDocument/2006/relationships/image" Target="media/image4.wmf"/><Relationship Id="rId25" Type="http://schemas.openxmlformats.org/officeDocument/2006/relationships/oleObject" Target="embeddings/oleObject4.bin"/><Relationship Id="rId24" Type="http://schemas.openxmlformats.org/officeDocument/2006/relationships/image" Target="media/image3.wmf"/><Relationship Id="rId23" Type="http://schemas.openxmlformats.org/officeDocument/2006/relationships/oleObject" Target="embeddings/oleObject3.bin"/><Relationship Id="rId22" Type="http://schemas.openxmlformats.org/officeDocument/2006/relationships/image" Target="media/image2.wmf"/><Relationship Id="rId21" Type="http://schemas.openxmlformats.org/officeDocument/2006/relationships/oleObject" Target="embeddings/oleObject2.bin"/><Relationship Id="rId20" Type="http://schemas.openxmlformats.org/officeDocument/2006/relationships/image" Target="media/image1.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theme" Target="theme/theme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HaseeComputer</Company>
  <Pages>20</Pages>
  <Words>1233</Words>
  <Characters>7030</Characters>
  <Lines>58</Lines>
  <Paragraphs>16</Paragraphs>
  <TotalTime>1</TotalTime>
  <ScaleCrop>false</ScaleCrop>
  <LinksUpToDate>false</LinksUpToDate>
  <CharactersWithSpaces>8247</CharactersWithSpaces>
  <Application>WPS Office_11.8.2.10251_F1E327BC-269C-435d-A152-05C5408002CA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网联出租汽车计价器规程</dc:title>
  <dc:creator>admin</dc:creator>
  <cp:lastModifiedBy>scjuser</cp:lastModifiedBy>
  <cp:revision>3</cp:revision>
  <cp:lastPrinted>2021-12-23T18:04:00Z</cp:lastPrinted>
  <dcterms:created xsi:type="dcterms:W3CDTF">2021-12-23T20:17:00Z</dcterms:created>
  <dcterms:modified xsi:type="dcterms:W3CDTF">2021-12-27T12:06:54Z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2052-11.8.2.10251</vt:lpwstr>
  </property>
  <property fmtid="{D5CDD505-2E9C-101B-9397-08002B2CF9AE}" pid="3" name="MTWinEqns">
    <vt:bool>true</vt:bool>
  </property>
</Properties>
</file>