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《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石油螺纹单项参数检查</w:t>
      </w:r>
      <w:r>
        <w:rPr>
          <w:rFonts w:hint="eastAsia" w:hAnsi="宋体"/>
          <w:b/>
          <w:bCs/>
          <w:sz w:val="32"/>
          <w:szCs w:val="32"/>
        </w:rPr>
        <w:t>仪校准规范》</w:t>
      </w:r>
    </w:p>
    <w:p>
      <w:pPr>
        <w:spacing w:line="300" w:lineRule="auto"/>
        <w:jc w:val="center"/>
        <w:rPr>
          <w:b/>
          <w:bCs/>
          <w:sz w:val="32"/>
        </w:rPr>
      </w:pPr>
      <w:r>
        <w:rPr>
          <w:rFonts w:hint="eastAsia"/>
          <w:sz w:val="28"/>
          <w:szCs w:val="28"/>
        </w:rPr>
        <w:t>（征求</w:t>
      </w:r>
      <w:r>
        <w:rPr>
          <w:sz w:val="28"/>
          <w:szCs w:val="28"/>
        </w:rPr>
        <w:t>意见</w:t>
      </w:r>
      <w:r>
        <w:rPr>
          <w:rFonts w:hint="eastAsia"/>
          <w:sz w:val="28"/>
          <w:szCs w:val="28"/>
        </w:rPr>
        <w:t>稿）</w:t>
      </w:r>
    </w:p>
    <w:p>
      <w:pPr>
        <w:spacing w:line="300" w:lineRule="auto"/>
        <w:jc w:val="center"/>
        <w:rPr>
          <w:rFonts w:hint="eastAsia" w:hAnsi="宋体"/>
          <w:b/>
          <w:bCs/>
          <w:sz w:val="32"/>
          <w:szCs w:val="32"/>
        </w:rPr>
      </w:pPr>
    </w:p>
    <w:p>
      <w:pPr>
        <w:spacing w:line="300" w:lineRule="auto"/>
        <w:jc w:val="center"/>
        <w:rPr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编制说明</w:t>
      </w: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jc w:val="center"/>
        <w:rPr>
          <w:b/>
          <w:bCs/>
          <w:sz w:val="32"/>
        </w:rPr>
      </w:pPr>
      <w:r>
        <w:rPr>
          <w:rFonts w:hint="eastAsia"/>
          <w:b/>
          <w:sz w:val="30"/>
          <w:szCs w:val="30"/>
        </w:rPr>
        <w:t>规</w:t>
      </w:r>
      <w:r>
        <w:rPr>
          <w:rFonts w:hint="eastAsia"/>
          <w:b/>
          <w:sz w:val="30"/>
          <w:szCs w:val="30"/>
          <w:lang w:val="en-US" w:eastAsia="zh-CN"/>
        </w:rPr>
        <w:t>范</w:t>
      </w:r>
      <w:r>
        <w:rPr>
          <w:rFonts w:hint="eastAsia"/>
          <w:b/>
          <w:sz w:val="30"/>
          <w:szCs w:val="30"/>
        </w:rPr>
        <w:t>起草组</w:t>
      </w:r>
    </w:p>
    <w:p>
      <w:pPr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2</w:t>
      </w:r>
      <w:r>
        <w:rPr>
          <w:rFonts w:hint="eastAsia"/>
          <w:b/>
          <w:bCs/>
          <w:sz w:val="32"/>
        </w:rPr>
        <w:t>.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.</w:t>
      </w:r>
      <w:r>
        <w:rPr>
          <w:rFonts w:hint="eastAsia"/>
          <w:b/>
          <w:bCs/>
          <w:sz w:val="32"/>
          <w:lang w:val="en-US" w:eastAsia="zh-CN"/>
        </w:rPr>
        <w:t>2</w:t>
      </w:r>
      <w:r>
        <w:rPr>
          <w:b/>
          <w:bCs/>
          <w:sz w:val="32"/>
        </w:rPr>
        <w:t>0</w:t>
      </w: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Cs/>
        </w:rPr>
      </w:pPr>
    </w:p>
    <w:p>
      <w:pPr>
        <w:jc w:val="center"/>
        <w:rPr>
          <w:b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一、任务来源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2020年7月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根据MTC2-2020-2“计量技术法规文件制定/修订协议”及国家市场监督管理总局市监计量【2020】38号《市场监管总局办公厅关于下达《2020年国家计量技术规范制定、修订及宣贯计划》的通知》，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 w:eastAsia="zh-CN"/>
        </w:rPr>
        <w:t>全国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几何量长度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 w:eastAsia="zh-CN"/>
        </w:rPr>
        <w:t>计量技术委员会</w:t>
      </w:r>
      <w:r>
        <w:rPr>
          <w:rFonts w:hint="eastAsia" w:ascii="宋体" w:hAnsi="宋体" w:cs="宋体"/>
          <w:sz w:val="24"/>
        </w:rPr>
        <w:t>向中国</w:t>
      </w:r>
      <w:r>
        <w:rPr>
          <w:rFonts w:hint="eastAsia" w:ascii="宋体" w:hAnsi="宋体" w:cs="宋体"/>
          <w:sz w:val="24"/>
          <w:lang w:val="en-US" w:eastAsia="zh-CN"/>
        </w:rPr>
        <w:t>计量科学</w:t>
      </w:r>
      <w:r>
        <w:rPr>
          <w:rFonts w:hint="eastAsia" w:ascii="宋体" w:hAnsi="宋体" w:cs="宋体"/>
          <w:sz w:val="24"/>
        </w:rPr>
        <w:t>研究院下达了</w:t>
      </w:r>
      <w:r>
        <w:rPr>
          <w:rFonts w:hint="eastAsia"/>
          <w:sz w:val="24"/>
        </w:rPr>
        <w:t>《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石油螺纹单项参数检查仪</w:t>
      </w:r>
      <w:r>
        <w:rPr>
          <w:rFonts w:hint="eastAsia"/>
          <w:sz w:val="24"/>
        </w:rPr>
        <w:t>校准规范》的</w:t>
      </w:r>
      <w:r>
        <w:rPr>
          <w:rFonts w:hint="eastAsia"/>
          <w:sz w:val="24"/>
          <w:lang w:val="en-US" w:eastAsia="zh-CN"/>
        </w:rPr>
        <w:t>修订</w:t>
      </w:r>
      <w:r>
        <w:rPr>
          <w:rFonts w:hint="eastAsia"/>
          <w:sz w:val="24"/>
        </w:rPr>
        <w:t>任务</w:t>
      </w:r>
      <w:r>
        <w:rPr>
          <w:rFonts w:hint="eastAsia" w:ascii="宋体" w:hAnsi="宋体" w:cs="宋体"/>
          <w:sz w:val="24"/>
        </w:rPr>
        <w:t>。根据任务书，计划于2022年完成。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宋体" w:hAnsi="宋体" w:cs="宋体"/>
          <w:sz w:val="24"/>
        </w:rPr>
        <w:t>本规范的起草单位为：中国计量科学研究院、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新疆维吾尔自治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区计量测试研究院、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宝鸡市宝石石油量规测试中心、中国石油集团石油管工程技术研究院、西安泰锐精密机械科技有限公司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等。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二、目的及意义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石油螺纹单项参数检查仪（以下简称单项仪）是用于检测石油螺纹单项参数（如：齿高、牙型角、螺距等）的一套仪器，包括单项参数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测量仪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、标准样板、校验仪等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多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种量仪，分别用于检测石油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管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螺纹的螺纹中径、锥度、螺距、牙型角、齿高、顶径等参数。单项仪广泛应用于钢管生产企业、油田机械制造企业、管材质检部门（尤其是石油行业）、以及管材的使用单位，是石油管材和设备螺纹的主要测量仪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7" w:leftChars="-51" w:firstLine="629"/>
        <w:jc w:val="left"/>
        <w:textAlignment w:val="auto"/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石油钻采是高成本的工业。作为钻采设备的关键：钻杆、套管和油管均是由10米左右一根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带螺纹的专用管材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螺纹接头连接而成。这些螺纹的质量，是通过单项仪和其他设备一起进行检验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  <w:lang w:val="en-US" w:eastAsia="zh-CN"/>
        </w:rPr>
        <w:t>确定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的，所以单项仪的质量对钻采工程的成败有重要的作用。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《JJF1063-2000石油螺纹单项参数检查仪校准规范》自颁布以来，很好地规范和保证了单项仪在制造、使用中的质量和精度。但自2000年以来，石油螺纹相关的国际标准，如《API SPEC 7-2 旋转台肩螺纹式连接的加工和测量规范》、《API SPEC 5B 套管、油管和管线管螺纹的加工、测量和检验规范》，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分别经历了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2008年和2017年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两次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发布新的版本，并对其中的螺纹参数及公差进行了修订。这导致《JJF1063-2000石油螺纹单项参数检查仪校准规范》中的涵盖内容、对应校准方法和规定公差都已不在满足现有的标准《API SPEC 7-2-2017旋转台肩螺纹式连接的加工和测量规范》、《API SPEC 5B-2017 套管、油管和管线管螺纹的加工、测量和检验规范》中对单项仪的使用要求。长此以往，JJF 1063校准规范将无法对新的API石油螺纹标准对应的螺纹用单项仪进行检验和质量控制，从而失去其存在的意义。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为了更好地使JJF 1063校准规范满足新的API国际标准中对螺纹单项仪的精度指标要求，也为了更好地对现有的单项仪进行校准和量值溯源，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确保单项仪的生产质量和使用质量，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急需对现行的《JJF1063-2000石油螺纹单项参数检查仪校准规范》进行重新修订。</w:t>
      </w:r>
    </w:p>
    <w:p>
      <w:pPr>
        <w:spacing w:line="360" w:lineRule="auto"/>
        <w:ind w:firstLine="561"/>
        <w:rPr>
          <w:sz w:val="24"/>
        </w:rPr>
      </w:pPr>
      <w:r>
        <w:rPr>
          <w:rFonts w:hint="eastAsia"/>
          <w:sz w:val="24"/>
        </w:rPr>
        <w:t>本校准规范的</w:t>
      </w:r>
      <w:r>
        <w:rPr>
          <w:rFonts w:hint="eastAsia"/>
          <w:sz w:val="24"/>
          <w:lang w:val="en-US" w:eastAsia="zh-CN"/>
        </w:rPr>
        <w:t>修订</w:t>
      </w:r>
      <w:r>
        <w:rPr>
          <w:rFonts w:hint="eastAsia"/>
          <w:sz w:val="24"/>
        </w:rPr>
        <w:t>将为我国</w:t>
      </w:r>
      <w:r>
        <w:rPr>
          <w:rFonts w:hint="eastAsia"/>
          <w:sz w:val="24"/>
          <w:lang w:val="en-US" w:eastAsia="zh-CN"/>
        </w:rPr>
        <w:t>石油螺纹单项参数检查仪</w:t>
      </w:r>
      <w:r>
        <w:rPr>
          <w:rFonts w:hint="eastAsia"/>
          <w:sz w:val="24"/>
        </w:rPr>
        <w:t>的</w:t>
      </w:r>
      <w:r>
        <w:rPr>
          <w:rFonts w:hint="eastAsia"/>
          <w:sz w:val="24"/>
          <w:lang w:val="en-US" w:eastAsia="zh-CN"/>
        </w:rPr>
        <w:t>国内</w:t>
      </w:r>
      <w:r>
        <w:rPr>
          <w:rFonts w:hint="eastAsia"/>
          <w:sz w:val="24"/>
        </w:rPr>
        <w:t>量值统一</w:t>
      </w:r>
      <w:r>
        <w:rPr>
          <w:rFonts w:hint="eastAsia"/>
          <w:sz w:val="24"/>
          <w:lang w:val="en-US" w:eastAsia="zh-CN"/>
        </w:rPr>
        <w:t>及与国际标准接轨</w:t>
      </w:r>
      <w:r>
        <w:rPr>
          <w:rFonts w:hint="eastAsia"/>
          <w:sz w:val="24"/>
        </w:rPr>
        <w:t>提供方法保证，确保</w:t>
      </w:r>
      <w:r>
        <w:rPr>
          <w:rFonts w:hint="eastAsia"/>
          <w:sz w:val="24"/>
          <w:lang w:val="en-US" w:eastAsia="zh-CN"/>
        </w:rPr>
        <w:t>单项仪的</w:t>
      </w:r>
      <w:r>
        <w:rPr>
          <w:rFonts w:hint="eastAsia"/>
          <w:sz w:val="24"/>
        </w:rPr>
        <w:t>测量结果准确、有效、可靠、互认，为全国范围内</w:t>
      </w:r>
      <w:r>
        <w:rPr>
          <w:rFonts w:hint="eastAsia"/>
          <w:sz w:val="24"/>
          <w:lang w:val="en-US" w:eastAsia="zh-CN"/>
        </w:rPr>
        <w:t>的单项仪</w:t>
      </w:r>
      <w:r>
        <w:rPr>
          <w:rFonts w:hint="eastAsia"/>
          <w:sz w:val="24"/>
        </w:rPr>
        <w:t>的量传溯源体系</w:t>
      </w:r>
      <w:r>
        <w:rPr>
          <w:rFonts w:hint="eastAsia"/>
          <w:sz w:val="24"/>
          <w:lang w:val="en-US" w:eastAsia="zh-CN"/>
        </w:rPr>
        <w:t>正常运行</w:t>
      </w:r>
      <w:r>
        <w:rPr>
          <w:rFonts w:hint="eastAsia"/>
          <w:sz w:val="24"/>
        </w:rPr>
        <w:t>提供依据</w:t>
      </w:r>
      <w:r>
        <w:rPr>
          <w:rFonts w:hint="eastAsia"/>
          <w:sz w:val="24"/>
          <w:lang w:val="en-US" w:eastAsia="zh-CN"/>
        </w:rPr>
        <w:t>和支撑</w:t>
      </w:r>
      <w:r>
        <w:rPr>
          <w:rFonts w:hint="eastAsia"/>
          <w:sz w:val="24"/>
        </w:rPr>
        <w:t>，为</w:t>
      </w:r>
      <w:r>
        <w:rPr>
          <w:rFonts w:hint="eastAsia" w:asciiTheme="minorEastAsia" w:hAnsiTheme="minorEastAsia" w:eastAsiaTheme="minorEastAsia" w:cstheme="minorEastAsia"/>
          <w:bCs/>
          <w:spacing w:val="0"/>
          <w:sz w:val="24"/>
          <w:szCs w:val="24"/>
        </w:rPr>
        <w:t>于钢管生产企业、油田机械制造企业、管材质检部门（尤其是石油行业）、以及管材的使用单位</w:t>
      </w:r>
      <w:r>
        <w:rPr>
          <w:rFonts w:hint="eastAsia"/>
          <w:sz w:val="24"/>
        </w:rPr>
        <w:t>的正确使用提供技术支持。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三、编制依据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在本规范编制过程中，重点参照了以下计量技术规范及标准：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zh-CN"/>
        </w:rPr>
      </w:pPr>
      <w:r>
        <w:rPr>
          <w:rFonts w:hint="default" w:ascii="Times New Roman" w:hAnsi="Times New Roman" w:cs="Times New Roman"/>
          <w:sz w:val="24"/>
          <w:lang w:val="zh-CN"/>
        </w:rPr>
        <w:t>JF1001</w:t>
      </w:r>
      <w:r>
        <w:rPr>
          <w:rFonts w:hint="default" w:ascii="Times New Roman" w:hAnsi="Times New Roman" w:cs="Times New Roman"/>
          <w:sz w:val="24"/>
        </w:rPr>
        <w:t>-2011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zh-CN"/>
        </w:rPr>
        <w:t>通用计量术语及定义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zh-CN"/>
        </w:rPr>
      </w:pPr>
      <w:r>
        <w:rPr>
          <w:rFonts w:hint="default" w:ascii="Times New Roman" w:hAnsi="Times New Roman" w:cs="Times New Roman"/>
          <w:sz w:val="24"/>
          <w:lang w:val="zh-CN"/>
        </w:rPr>
        <w:t>JJF1059</w:t>
      </w:r>
      <w:r>
        <w:rPr>
          <w:rFonts w:hint="default" w:ascii="Times New Roman" w:hAnsi="Times New Roman" w:cs="Times New Roman"/>
          <w:sz w:val="24"/>
        </w:rPr>
        <w:t>.1-2012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zh-CN"/>
        </w:rPr>
        <w:t>测量不确定度评定与表示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zh-CN"/>
        </w:rPr>
      </w:pPr>
      <w:r>
        <w:rPr>
          <w:rFonts w:hint="default" w:ascii="Times New Roman" w:hAnsi="Times New Roman" w:cs="Times New Roman"/>
          <w:sz w:val="24"/>
          <w:lang w:val="zh-CN"/>
        </w:rPr>
        <w:t>JJF1071</w:t>
      </w:r>
      <w:r>
        <w:rPr>
          <w:rFonts w:hint="default" w:ascii="Times New Roman" w:hAnsi="Times New Roman" w:cs="Times New Roman"/>
          <w:sz w:val="24"/>
        </w:rPr>
        <w:t>-2010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zh-CN"/>
        </w:rPr>
        <w:t>国家计量校准规范编写规</w:t>
      </w:r>
      <w:r>
        <w:rPr>
          <w:rFonts w:hint="default" w:ascii="Times New Roman" w:hAnsi="Times New Roman" w:cs="Times New Roman"/>
          <w:sz w:val="24"/>
        </w:rPr>
        <w:t>则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lang w:val="zh-CN"/>
        </w:rPr>
      </w:pPr>
      <w:r>
        <w:rPr>
          <w:rFonts w:hint="default" w:ascii="Times New Roman" w:hAnsi="Times New Roman" w:cs="Times New Roman"/>
          <w:sz w:val="24"/>
          <w:lang w:val="zh-CN"/>
        </w:rPr>
        <w:t>GB/T 14791-2013 螺纹 术语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lang w:val="zh-CN"/>
        </w:rPr>
      </w:pPr>
      <w:r>
        <w:rPr>
          <w:rFonts w:hint="eastAsia" w:cs="Times New Roman"/>
          <w:sz w:val="24"/>
          <w:lang w:val="en-US" w:eastAsia="zh-CN"/>
        </w:rPr>
        <w:t>JB/T 13046-2017 石油管螺纹参数测量仪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API SPEC 7-2 第二版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2017 旋转台肩式螺纹连接的加工和测量规范（Threading and Gauging of Rotary Shouldered Connections）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default" w:ascii="Times New Roman" w:hAnsi="Times New Roman" w:cs="Times New Roman"/>
          <w:color w:val="auto"/>
          <w:sz w:val="24"/>
          <w:u w:val="none"/>
          <w:lang w:val="en-US" w:eastAsia="zh-CN"/>
        </w:rPr>
        <w:t>API SPEC 5B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第</w:t>
      </w:r>
      <w:r>
        <w:rPr>
          <w:rFonts w:hint="eastAsia" w:cs="Times New Roman"/>
          <w:sz w:val="24"/>
          <w:lang w:val="en-US" w:eastAsia="zh-CN"/>
        </w:rPr>
        <w:t>十六</w:t>
      </w:r>
      <w:r>
        <w:rPr>
          <w:rFonts w:hint="default" w:ascii="Times New Roman" w:hAnsi="Times New Roman" w:cs="Times New Roman"/>
          <w:sz w:val="24"/>
          <w:lang w:val="en-US" w:eastAsia="zh-CN"/>
        </w:rPr>
        <w:t>版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2017</w:t>
      </w:r>
      <w:r>
        <w:rPr>
          <w:rFonts w:hint="eastAsia" w:cs="Times New Roman"/>
          <w:sz w:val="24"/>
          <w:lang w:val="en-US" w:eastAsia="zh-CN"/>
        </w:rPr>
        <w:t xml:space="preserve"> 套管、油管和管线管螺纹的加工、测量和检验规范（</w:t>
      </w:r>
      <w:r>
        <w:rPr>
          <w:rFonts w:hint="default" w:ascii="Times New Roman" w:hAnsi="Times New Roman" w:cs="Times New Roman"/>
          <w:sz w:val="24"/>
          <w:lang w:val="en-US" w:eastAsia="zh-CN"/>
        </w:rPr>
        <w:t>Threading, Gauging, and Inspection of Casing, Tubing, and Line Pipe Threads</w:t>
      </w:r>
      <w:r>
        <w:rPr>
          <w:rFonts w:hint="eastAsia" w:cs="Times New Roman"/>
          <w:sz w:val="24"/>
          <w:lang w:val="en-US" w:eastAsia="zh-CN"/>
        </w:rPr>
        <w:t>）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 编制过程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根据任务要求，在大量调研和征求意见基础上，起草小组针对</w:t>
      </w:r>
      <w:r>
        <w:rPr>
          <w:rFonts w:hint="eastAsia" w:ascii="宋体" w:hAnsi="宋体" w:cs="宋体"/>
          <w:sz w:val="24"/>
          <w:lang w:val="zh-CN"/>
        </w:rPr>
        <w:t>单项仪</w:t>
      </w:r>
      <w:r>
        <w:rPr>
          <w:rFonts w:hint="eastAsia" w:ascii="宋体" w:hAnsi="宋体" w:cs="宋体"/>
          <w:sz w:val="24"/>
        </w:rPr>
        <w:t>准确度高，应用面广等技术特点，</w:t>
      </w:r>
      <w:r>
        <w:rPr>
          <w:rFonts w:hint="eastAsia" w:ascii="宋体" w:hAnsi="宋体" w:cs="宋体"/>
          <w:sz w:val="24"/>
          <w:lang w:val="en-US" w:eastAsia="zh-CN"/>
        </w:rPr>
        <w:t>充分理解并</w:t>
      </w:r>
      <w:r>
        <w:rPr>
          <w:rFonts w:hint="eastAsia"/>
          <w:sz w:val="24"/>
        </w:rPr>
        <w:t>参考国内外有关技术依据和标准，进行了针对性的实验工作，积累大量实验数据，在此基础上编写制定本规范，大致编写工作过程如下：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18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月～202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>自发组织的</w:t>
      </w:r>
      <w:r>
        <w:rPr>
          <w:rFonts w:hint="eastAsia"/>
          <w:sz w:val="24"/>
        </w:rPr>
        <w:t>规范</w:t>
      </w:r>
      <w:r>
        <w:rPr>
          <w:rFonts w:hint="eastAsia"/>
          <w:sz w:val="24"/>
          <w:lang w:val="en-US" w:eastAsia="zh-CN"/>
        </w:rPr>
        <w:t>修订</w:t>
      </w:r>
      <w:r>
        <w:rPr>
          <w:rFonts w:hint="eastAsia"/>
          <w:sz w:val="24"/>
        </w:rPr>
        <w:t>起草</w:t>
      </w:r>
      <w:r>
        <w:rPr>
          <w:rFonts w:hint="eastAsia"/>
          <w:sz w:val="24"/>
          <w:lang w:val="en-US" w:eastAsia="zh-CN"/>
        </w:rPr>
        <w:t>兴趣小</w:t>
      </w:r>
      <w:r>
        <w:rPr>
          <w:rFonts w:hint="eastAsia"/>
          <w:sz w:val="24"/>
        </w:rPr>
        <w:t>组对目前市面的</w:t>
      </w:r>
      <w:r>
        <w:rPr>
          <w:rFonts w:hint="eastAsia" w:ascii="宋体" w:hAnsi="宋体" w:cs="宋体"/>
          <w:sz w:val="24"/>
          <w:lang w:val="zh-CN"/>
        </w:rPr>
        <w:t>单项仪</w:t>
      </w:r>
      <w:r>
        <w:rPr>
          <w:rFonts w:hint="eastAsia"/>
          <w:sz w:val="24"/>
        </w:rPr>
        <w:t>生产状况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产品性能指标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用户使用情况进行调研和分析工作，就技术指标和校准需求进行沟通和汇总。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202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>规范</w:t>
      </w:r>
      <w:r>
        <w:rPr>
          <w:rFonts w:hint="eastAsia"/>
          <w:sz w:val="24"/>
        </w:rPr>
        <w:t>起草小组</w:t>
      </w:r>
      <w:r>
        <w:rPr>
          <w:rFonts w:hint="eastAsia"/>
          <w:sz w:val="24"/>
          <w:lang w:val="en-US" w:eastAsia="zh-CN"/>
        </w:rPr>
        <w:t>在西安</w:t>
      </w:r>
      <w:r>
        <w:rPr>
          <w:rFonts w:hint="eastAsia"/>
          <w:sz w:val="24"/>
        </w:rPr>
        <w:t>召开校准规范起草启动会，根据任务书进行讨论，提出</w:t>
      </w:r>
      <w:r>
        <w:rPr>
          <w:rFonts w:hint="eastAsia"/>
          <w:sz w:val="24"/>
          <w:lang w:val="en-US" w:eastAsia="zh-CN"/>
        </w:rPr>
        <w:t>修订</w:t>
      </w:r>
      <w:r>
        <w:rPr>
          <w:rFonts w:hint="eastAsia"/>
          <w:sz w:val="24"/>
        </w:rPr>
        <w:t>意见，并进行工作安排。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月～202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年1月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起草小组根据规范内容制定实验技术方案，并完成典型型号</w:t>
      </w:r>
      <w:r>
        <w:rPr>
          <w:rFonts w:hint="eastAsia"/>
          <w:sz w:val="24"/>
          <w:lang w:val="en-US" w:eastAsia="zh-CN"/>
        </w:rPr>
        <w:t>单项仪</w:t>
      </w:r>
      <w:r>
        <w:rPr>
          <w:rFonts w:hint="eastAsia"/>
          <w:sz w:val="24"/>
        </w:rPr>
        <w:t>的实验和方法验证、短期稳定性等多项实验内容和实验结果分析，为规范起草内容提供技术数据支撑。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022</w:t>
      </w:r>
      <w:r>
        <w:rPr>
          <w:rFonts w:hint="eastAsia"/>
          <w:sz w:val="24"/>
        </w:rPr>
        <w:t>年</w:t>
      </w:r>
      <w:r>
        <w:rPr>
          <w:sz w:val="24"/>
        </w:rPr>
        <w:t>2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完成规范初稿内容。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2022年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月～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起草</w:t>
      </w:r>
      <w:bookmarkStart w:id="1" w:name="_GoBack"/>
      <w:bookmarkEnd w:id="1"/>
      <w:r>
        <w:rPr>
          <w:rFonts w:hint="eastAsia"/>
          <w:sz w:val="24"/>
        </w:rPr>
        <w:t>小组通过意见反馈和视频会方式进行深入讨论，根据讨论意见进行修改并完善，完成征求意见稿。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2022年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月～5月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征求意见。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2022年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根据征求意见进行修改，完成报审稿。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在规范</w:t>
      </w:r>
      <w:r>
        <w:rPr>
          <w:rFonts w:hint="eastAsia" w:ascii="宋体" w:hAnsi="宋体" w:cs="宋体"/>
          <w:sz w:val="24"/>
          <w:lang w:val="en-US" w:eastAsia="zh-CN"/>
        </w:rPr>
        <w:t>修订</w:t>
      </w:r>
      <w:r>
        <w:rPr>
          <w:rFonts w:hint="eastAsia" w:ascii="宋体" w:hAnsi="宋体" w:cs="宋体"/>
          <w:sz w:val="24"/>
        </w:rPr>
        <w:t>过程中，起草小组、各起草单位、有关单位的人员进行了充分的讨论修改，形成了规范征求意见稿。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</w:rPr>
        <w:t>、编制内容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 范围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  <w:lang w:val="zh-CN"/>
        </w:rPr>
        <w:t>本规范适用于石油螺纹单项参数检查仪(以下简称单项仪)的校准</w:t>
      </w:r>
      <w:r>
        <w:rPr>
          <w:rFonts w:hint="eastAsia" w:ascii="宋体" w:hAnsi="宋体" w:cs="宋体"/>
          <w:sz w:val="24"/>
          <w:lang w:val="en-US" w:eastAsia="zh-CN"/>
        </w:rPr>
        <w:t>及使用中检查</w:t>
      </w:r>
      <w:r>
        <w:rPr>
          <w:rFonts w:hint="eastAsia" w:ascii="宋体" w:hAnsi="宋体" w:cs="宋体"/>
          <w:sz w:val="24"/>
          <w:lang w:val="zh-CN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 计量特性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 w:ascii="宋体" w:hAnsi="宋体" w:cs="宋体"/>
          <w:sz w:val="24"/>
          <w:lang w:val="zh-CN"/>
        </w:rPr>
        <w:t>单项仪</w:t>
      </w:r>
      <w:r>
        <w:rPr>
          <w:rFonts w:hint="eastAsia"/>
          <w:sz w:val="24"/>
        </w:rPr>
        <w:t>的工作过程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实际使用情况并结合其主要技术参数，本规范给出</w:t>
      </w:r>
      <w:r>
        <w:rPr>
          <w:rFonts w:hint="eastAsia" w:ascii="宋体" w:hAnsi="宋体" w:cs="宋体"/>
          <w:sz w:val="24"/>
          <w:lang w:val="zh-CN"/>
        </w:rPr>
        <w:t>单项仪</w:t>
      </w:r>
      <w:r>
        <w:rPr>
          <w:rFonts w:hint="eastAsia"/>
          <w:sz w:val="24"/>
        </w:rPr>
        <w:t>的常用技术要求：</w:t>
      </w:r>
      <w:r>
        <w:rPr>
          <w:rFonts w:hint="eastAsia" w:ascii="宋体" w:hAnsi="宋体" w:cs="宋体"/>
          <w:sz w:val="24"/>
          <w:lang w:val="en-US" w:eastAsia="zh-CN"/>
        </w:rPr>
        <w:t>外观</w:t>
      </w:r>
      <w:r>
        <w:rPr>
          <w:rFonts w:hint="eastAsia" w:ascii="宋体" w:hAnsi="宋体" w:cs="宋体"/>
          <w:sz w:val="24"/>
        </w:rPr>
        <w:t>检查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zh-CN"/>
        </w:rPr>
        <w:t>各部分相互作用、</w:t>
      </w:r>
      <w:r>
        <w:rPr>
          <w:rFonts w:hint="eastAsia"/>
          <w:sz w:val="24"/>
        </w:rPr>
        <w:t>示值误差、重复性。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2.1示值误差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利用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高精度仪器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对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单项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仪进行校准时，测得的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单项仪的示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值与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标准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值之差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。示值误差的最大值是指在测量量程范围内，计算得到的示值误差的最大值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2.2重复性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bookmarkStart w:id="0" w:name="_Toc19398"/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利用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高精度仪器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对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单项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仪进行校准时，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在相同测量条件下，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在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指定位置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的多次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校准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结果的最大值与最小值之差</w:t>
      </w:r>
      <w:r>
        <w:rPr>
          <w:rFonts w:hint="eastAsia"/>
          <w:sz w:val="24"/>
        </w:rPr>
        <w:t>，体现了测试结果的离散程度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  <w:bookmarkEnd w:id="0"/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 校准条件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3.1 环境条件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right="420" w:rightChars="200"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sz w:val="24"/>
        </w:rPr>
        <w:t>本规范对校准实验室环境温度和湿度作了限定，</w:t>
      </w:r>
      <w:r>
        <w:rPr>
          <w:rFonts w:hint="eastAsia"/>
          <w:sz w:val="24"/>
          <w:lang w:val="en-US" w:eastAsia="zh-CN"/>
        </w:rPr>
        <w:t>对不同的单项仪规定了不同的</w:t>
      </w:r>
      <w:r>
        <w:rPr>
          <w:rFonts w:hint="eastAsia"/>
          <w:sz w:val="24"/>
        </w:rPr>
        <w:t>实验环境温度</w:t>
      </w:r>
      <w:r>
        <w:rPr>
          <w:rFonts w:hint="eastAsia"/>
          <w:sz w:val="24"/>
          <w:lang w:val="en-US" w:eastAsia="zh-CN"/>
        </w:rPr>
        <w:t>范围</w: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sz w:val="24"/>
          <w:lang w:val="zh-CN"/>
        </w:rPr>
        <w:t>相对湿度不大于</w:t>
      </w:r>
      <w:r>
        <w:rPr>
          <w:rFonts w:ascii="宋体" w:hAnsi="宋体"/>
          <w:sz w:val="24"/>
        </w:rPr>
        <w:t>80</w:t>
      </w:r>
      <w:r>
        <w:rPr>
          <w:rFonts w:hint="eastAsia" w:ascii="宋体" w:hAnsi="宋体"/>
          <w:sz w:val="24"/>
          <w:lang w:val="zh-CN"/>
        </w:rPr>
        <w:t>%。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ascii="宋体" w:hAnsi="宋体" w:cs="宋体"/>
          <w:sz w:val="24"/>
        </w:rPr>
        <w:t>仪器周围不应有明显震动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  <w:lang w:val="en-US" w:eastAsia="zh-CN"/>
        </w:rPr>
        <w:t>这些条件都是开展校准必备的实验环境条件，比较容易达到。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3.2 测量标准及其他设备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</w:rPr>
        <w:t>本规范</w:t>
      </w:r>
      <w:r>
        <w:rPr>
          <w:rFonts w:hint="eastAsia"/>
          <w:sz w:val="24"/>
          <w:lang w:val="en-US" w:eastAsia="zh-CN"/>
        </w:rPr>
        <w:t>针对不同精度和应用场景的单项仪给出了相应的校准测量设备，但不做强制性要求</w:t>
      </w:r>
      <w:r>
        <w:rPr>
          <w:rFonts w:hint="eastAsia"/>
          <w:sz w:val="24"/>
        </w:rPr>
        <w:t>。</w:t>
      </w:r>
      <w:r>
        <w:rPr>
          <w:rFonts w:hint="eastAsia"/>
          <w:sz w:val="24"/>
          <w:lang w:val="en-US" w:eastAsia="zh-CN"/>
        </w:rPr>
        <w:t>并明确提出，</w:t>
      </w:r>
      <w:r>
        <w:rPr>
          <w:rFonts w:hint="eastAsia" w:ascii="宋体" w:hAnsi="宋体" w:cs="宋体"/>
          <w:sz w:val="24"/>
        </w:rPr>
        <w:t>在满足计量性能要求的前提下，</w:t>
      </w:r>
      <w:r>
        <w:rPr>
          <w:rFonts w:hint="eastAsia" w:ascii="宋体" w:hAnsi="宋体" w:cs="宋体"/>
          <w:sz w:val="24"/>
          <w:lang w:val="en-US" w:eastAsia="zh-CN"/>
        </w:rPr>
        <w:t>也可</w:t>
      </w:r>
      <w:r>
        <w:rPr>
          <w:rFonts w:hint="eastAsia" w:ascii="宋体" w:hAnsi="宋体" w:cs="宋体"/>
          <w:sz w:val="24"/>
        </w:rPr>
        <w:t>采用其它校准仪器设备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4 校准项目</w:t>
      </w:r>
    </w:p>
    <w:p>
      <w:pPr>
        <w:spacing w:line="360" w:lineRule="auto"/>
        <w:ind w:right="420" w:rightChars="200" w:firstLine="480" w:firstLineChars="200"/>
        <w:rPr>
          <w:rFonts w:hint="default"/>
          <w:sz w:val="24"/>
          <w:lang w:val="en-US"/>
        </w:rPr>
      </w:pPr>
      <w:r>
        <w:rPr>
          <w:rFonts w:hint="eastAsia"/>
          <w:sz w:val="24"/>
        </w:rPr>
        <w:t>规范给出的校准项目</w:t>
      </w:r>
      <w:r>
        <w:rPr>
          <w:rFonts w:hint="eastAsia" w:ascii="宋体" w:hAnsi="宋体" w:cs="宋体"/>
          <w:sz w:val="24"/>
          <w:lang w:val="en-US" w:eastAsia="zh-CN"/>
        </w:rPr>
        <w:t>主要有：外观及相互作用检查及针对各单项仪参数的校准，并给出了详细的校准方法和校准过程。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 xml:space="preserve"> 复校时间间隔</w:t>
      </w:r>
    </w:p>
    <w:p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单项</w:t>
      </w:r>
      <w:r>
        <w:rPr>
          <w:rFonts w:hint="eastAsia"/>
          <w:sz w:val="24"/>
        </w:rPr>
        <w:t>仪是一种</w:t>
      </w:r>
      <w:r>
        <w:rPr>
          <w:rFonts w:hint="eastAsia"/>
          <w:sz w:val="24"/>
          <w:lang w:val="en-US" w:eastAsia="zh-CN"/>
        </w:rPr>
        <w:t>组合式精密测量</w:t>
      </w:r>
      <w:r>
        <w:rPr>
          <w:rFonts w:hint="eastAsia"/>
          <w:sz w:val="24"/>
        </w:rPr>
        <w:t>仪器，随着使用时间的推移</w:t>
      </w:r>
      <w:r>
        <w:rPr>
          <w:rFonts w:hint="eastAsia"/>
          <w:sz w:val="24"/>
          <w:lang w:val="en-US" w:eastAsia="zh-CN"/>
        </w:rPr>
        <w:t>和频繁使用等原因，其</w:t>
      </w:r>
      <w:r>
        <w:rPr>
          <w:rFonts w:hint="eastAsia"/>
          <w:sz w:val="24"/>
        </w:rPr>
        <w:t>性能将发生一定的变化，因此应定期对其进行校准，本规范建议其复校时间间隔不超过</w:t>
      </w:r>
      <w:r>
        <w:rPr>
          <w:sz w:val="24"/>
        </w:rPr>
        <w:t>12</w:t>
      </w:r>
      <w:r>
        <w:rPr>
          <w:rFonts w:hint="eastAsia"/>
          <w:sz w:val="24"/>
        </w:rPr>
        <w:t>个月。</w:t>
      </w:r>
    </w:p>
    <w:p>
      <w:pPr>
        <w:tabs>
          <w:tab w:val="left" w:pos="1620"/>
          <w:tab w:val="left" w:pos="8460"/>
        </w:tabs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由于影响</w:t>
      </w:r>
      <w:r>
        <w:rPr>
          <w:rFonts w:hint="eastAsia"/>
          <w:sz w:val="24"/>
          <w:lang w:val="en-US" w:eastAsia="zh-CN"/>
        </w:rPr>
        <w:t>单项</w:t>
      </w:r>
      <w:r>
        <w:rPr>
          <w:rFonts w:hint="eastAsia"/>
          <w:sz w:val="24"/>
        </w:rPr>
        <w:t>仪测量性能的因素很多，且不属于强制检定的计量器具，因此按照JJF 1071-2010规定，本规范对复校时间间隔的规定中强调了“由于复校时间间隔的长短是由</w:t>
      </w:r>
      <w:r>
        <w:rPr>
          <w:rFonts w:hint="eastAsia"/>
          <w:sz w:val="24"/>
          <w:lang w:val="en-US" w:eastAsia="zh-CN"/>
        </w:rPr>
        <w:t>单项仪</w:t>
      </w:r>
      <w:r>
        <w:rPr>
          <w:rFonts w:hint="eastAsia"/>
          <w:sz w:val="24"/>
        </w:rPr>
        <w:t>的使用情况、使用者、</w:t>
      </w:r>
      <w:r>
        <w:rPr>
          <w:rFonts w:hint="eastAsia"/>
          <w:sz w:val="24"/>
          <w:lang w:val="en-US" w:eastAsia="zh-CN"/>
        </w:rPr>
        <w:t>单项仪</w:t>
      </w:r>
      <w:r>
        <w:rPr>
          <w:rFonts w:hint="eastAsia"/>
          <w:sz w:val="24"/>
        </w:rPr>
        <w:t>本身质量等诸因素所决定的，因此，送校单位可根据实际使用情况自主决定复校时间间隔”。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测量</w:t>
      </w:r>
      <w:r>
        <w:rPr>
          <w:rFonts w:hint="eastAsia"/>
          <w:sz w:val="24"/>
        </w:rPr>
        <w:t>不确定度评定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附录给出了数据记录格式和证书参考内容。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在附录</w:t>
      </w:r>
      <w:r>
        <w:rPr>
          <w:sz w:val="24"/>
        </w:rPr>
        <w:t>C</w:t>
      </w:r>
      <w:r>
        <w:rPr>
          <w:rFonts w:hint="eastAsia"/>
          <w:sz w:val="24"/>
        </w:rPr>
        <w:t>中给出了</w:t>
      </w:r>
      <w:r>
        <w:rPr>
          <w:rFonts w:hint="eastAsia"/>
          <w:sz w:val="24"/>
          <w:lang w:val="en-US" w:eastAsia="zh-CN"/>
        </w:rPr>
        <w:t>不同单项仪测量</w:t>
      </w:r>
      <w:r>
        <w:rPr>
          <w:rFonts w:hint="eastAsia"/>
          <w:sz w:val="24"/>
        </w:rPr>
        <w:t>不确定度评定</w:t>
      </w:r>
      <w:r>
        <w:rPr>
          <w:rFonts w:hint="eastAsia"/>
          <w:sz w:val="24"/>
          <w:lang w:val="en-US" w:eastAsia="zh-CN"/>
        </w:rPr>
        <w:t>示例</w:t>
      </w:r>
      <w:r>
        <w:rPr>
          <w:rFonts w:hint="eastAsia"/>
          <w:sz w:val="24"/>
        </w:rPr>
        <w:t>，供参考使用。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ED"/>
    <w:rsid w:val="000C75C0"/>
    <w:rsid w:val="001B7439"/>
    <w:rsid w:val="001C55B0"/>
    <w:rsid w:val="001D7D6F"/>
    <w:rsid w:val="00224E00"/>
    <w:rsid w:val="00225065"/>
    <w:rsid w:val="00231B48"/>
    <w:rsid w:val="002429ED"/>
    <w:rsid w:val="00274203"/>
    <w:rsid w:val="002A6255"/>
    <w:rsid w:val="002C3FF3"/>
    <w:rsid w:val="00352FDE"/>
    <w:rsid w:val="00375934"/>
    <w:rsid w:val="00376FB2"/>
    <w:rsid w:val="003C583C"/>
    <w:rsid w:val="003F7AA5"/>
    <w:rsid w:val="00420C8B"/>
    <w:rsid w:val="00482FCB"/>
    <w:rsid w:val="004C4BA8"/>
    <w:rsid w:val="0051732B"/>
    <w:rsid w:val="005805AA"/>
    <w:rsid w:val="005B3439"/>
    <w:rsid w:val="005C7515"/>
    <w:rsid w:val="0061327A"/>
    <w:rsid w:val="00623EDE"/>
    <w:rsid w:val="007E3BE9"/>
    <w:rsid w:val="00812A5E"/>
    <w:rsid w:val="0086079B"/>
    <w:rsid w:val="008D5B15"/>
    <w:rsid w:val="00905313"/>
    <w:rsid w:val="00946914"/>
    <w:rsid w:val="009F0F13"/>
    <w:rsid w:val="00A16F44"/>
    <w:rsid w:val="00A53E94"/>
    <w:rsid w:val="00A54BF1"/>
    <w:rsid w:val="00A63109"/>
    <w:rsid w:val="00A643A9"/>
    <w:rsid w:val="00A65952"/>
    <w:rsid w:val="00A73504"/>
    <w:rsid w:val="00AA5CB3"/>
    <w:rsid w:val="00AB7B09"/>
    <w:rsid w:val="00AB7BA0"/>
    <w:rsid w:val="00B2071D"/>
    <w:rsid w:val="00B21527"/>
    <w:rsid w:val="00B6444A"/>
    <w:rsid w:val="00C06E88"/>
    <w:rsid w:val="00C23041"/>
    <w:rsid w:val="00CB141F"/>
    <w:rsid w:val="00CC5B72"/>
    <w:rsid w:val="00CE2222"/>
    <w:rsid w:val="00D64972"/>
    <w:rsid w:val="00DC5363"/>
    <w:rsid w:val="00E37178"/>
    <w:rsid w:val="00E52C1C"/>
    <w:rsid w:val="00ED07F7"/>
    <w:rsid w:val="00F142D5"/>
    <w:rsid w:val="00F97CFB"/>
    <w:rsid w:val="00FD053F"/>
    <w:rsid w:val="02BC068B"/>
    <w:rsid w:val="02E35A00"/>
    <w:rsid w:val="03F46FCF"/>
    <w:rsid w:val="051D0DA0"/>
    <w:rsid w:val="05883915"/>
    <w:rsid w:val="063472EA"/>
    <w:rsid w:val="06F54831"/>
    <w:rsid w:val="07434BC9"/>
    <w:rsid w:val="07441502"/>
    <w:rsid w:val="07554AE6"/>
    <w:rsid w:val="0766438F"/>
    <w:rsid w:val="090277C5"/>
    <w:rsid w:val="091F6F17"/>
    <w:rsid w:val="095971CA"/>
    <w:rsid w:val="0A340CD4"/>
    <w:rsid w:val="0AFA6B16"/>
    <w:rsid w:val="0C445630"/>
    <w:rsid w:val="0C6161EF"/>
    <w:rsid w:val="0CFD6BD5"/>
    <w:rsid w:val="0E9B3EF4"/>
    <w:rsid w:val="0F9F22DD"/>
    <w:rsid w:val="10C67A51"/>
    <w:rsid w:val="10E07585"/>
    <w:rsid w:val="1254509F"/>
    <w:rsid w:val="1266623C"/>
    <w:rsid w:val="128F5E6E"/>
    <w:rsid w:val="15A0355A"/>
    <w:rsid w:val="15A175B7"/>
    <w:rsid w:val="15C43579"/>
    <w:rsid w:val="16380E22"/>
    <w:rsid w:val="16625205"/>
    <w:rsid w:val="166F6967"/>
    <w:rsid w:val="172039A2"/>
    <w:rsid w:val="17CF15D8"/>
    <w:rsid w:val="17FE515E"/>
    <w:rsid w:val="19C666A9"/>
    <w:rsid w:val="1B8C6083"/>
    <w:rsid w:val="1C710CF2"/>
    <w:rsid w:val="1C915120"/>
    <w:rsid w:val="1FAC182C"/>
    <w:rsid w:val="20606697"/>
    <w:rsid w:val="211A48B2"/>
    <w:rsid w:val="221E5217"/>
    <w:rsid w:val="24CD54C5"/>
    <w:rsid w:val="24E74A4B"/>
    <w:rsid w:val="252B17CF"/>
    <w:rsid w:val="26374B95"/>
    <w:rsid w:val="26971F92"/>
    <w:rsid w:val="26AC6A2A"/>
    <w:rsid w:val="275909D8"/>
    <w:rsid w:val="28560ECA"/>
    <w:rsid w:val="29F7376F"/>
    <w:rsid w:val="2D9E412C"/>
    <w:rsid w:val="2EA63A54"/>
    <w:rsid w:val="2FC21425"/>
    <w:rsid w:val="30AA071B"/>
    <w:rsid w:val="316E67FB"/>
    <w:rsid w:val="31A40300"/>
    <w:rsid w:val="32A36636"/>
    <w:rsid w:val="3496242A"/>
    <w:rsid w:val="34B444C3"/>
    <w:rsid w:val="363B26CA"/>
    <w:rsid w:val="374943C2"/>
    <w:rsid w:val="385212A6"/>
    <w:rsid w:val="38AC57C1"/>
    <w:rsid w:val="39251DED"/>
    <w:rsid w:val="399A0E43"/>
    <w:rsid w:val="399A221D"/>
    <w:rsid w:val="39B16EDE"/>
    <w:rsid w:val="3A64634F"/>
    <w:rsid w:val="3B1B77CE"/>
    <w:rsid w:val="3BCB5AEB"/>
    <w:rsid w:val="3D501561"/>
    <w:rsid w:val="3D6303C8"/>
    <w:rsid w:val="3D8043AE"/>
    <w:rsid w:val="3E381A83"/>
    <w:rsid w:val="3F883AE2"/>
    <w:rsid w:val="3FEE7D91"/>
    <w:rsid w:val="42497446"/>
    <w:rsid w:val="43015000"/>
    <w:rsid w:val="43DF0B40"/>
    <w:rsid w:val="4463255E"/>
    <w:rsid w:val="46457DFF"/>
    <w:rsid w:val="4693587D"/>
    <w:rsid w:val="46E666D6"/>
    <w:rsid w:val="477D7733"/>
    <w:rsid w:val="47876BED"/>
    <w:rsid w:val="47D96017"/>
    <w:rsid w:val="489373DF"/>
    <w:rsid w:val="49503139"/>
    <w:rsid w:val="4C792C01"/>
    <w:rsid w:val="4E6E0E97"/>
    <w:rsid w:val="50920C16"/>
    <w:rsid w:val="518233B1"/>
    <w:rsid w:val="54C42E25"/>
    <w:rsid w:val="54E9594B"/>
    <w:rsid w:val="55177C87"/>
    <w:rsid w:val="554B3939"/>
    <w:rsid w:val="55E52120"/>
    <w:rsid w:val="573F1EEF"/>
    <w:rsid w:val="576F1700"/>
    <w:rsid w:val="58686704"/>
    <w:rsid w:val="59CC38EE"/>
    <w:rsid w:val="5D6B7108"/>
    <w:rsid w:val="5E0963BA"/>
    <w:rsid w:val="5F4A6D2B"/>
    <w:rsid w:val="664C1657"/>
    <w:rsid w:val="66D65035"/>
    <w:rsid w:val="6A050B8B"/>
    <w:rsid w:val="6A802DD0"/>
    <w:rsid w:val="6B4713BE"/>
    <w:rsid w:val="6BA97D15"/>
    <w:rsid w:val="6CAE3DA5"/>
    <w:rsid w:val="709E1979"/>
    <w:rsid w:val="70FA64FF"/>
    <w:rsid w:val="71CA2C06"/>
    <w:rsid w:val="72354254"/>
    <w:rsid w:val="744F4C25"/>
    <w:rsid w:val="74982172"/>
    <w:rsid w:val="757437A0"/>
    <w:rsid w:val="76933C02"/>
    <w:rsid w:val="76E14054"/>
    <w:rsid w:val="77B0334D"/>
    <w:rsid w:val="7B591DB9"/>
    <w:rsid w:val="7B632309"/>
    <w:rsid w:val="7C130AAD"/>
    <w:rsid w:val="7C741A45"/>
    <w:rsid w:val="7EAC341D"/>
    <w:rsid w:val="7F2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napToGrid w:val="0"/>
      <w:spacing w:line="360" w:lineRule="auto"/>
      <w:ind w:left="1680" w:hanging="990"/>
    </w:pPr>
    <w:rPr>
      <w:rFonts w:ascii="仿宋_GB2312" w:eastAsia="仿宋_GB2312"/>
      <w:spacing w:val="-4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623</Words>
  <Characters>3557</Characters>
  <Lines>29</Lines>
  <Paragraphs>8</Paragraphs>
  <TotalTime>36</TotalTime>
  <ScaleCrop>false</ScaleCrop>
  <LinksUpToDate>false</LinksUpToDate>
  <CharactersWithSpaces>4172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2021-08-30T06:05:00Z</dcterms:created>
  <dc:creator>zhengdong</dc:creator>
  <cp:lastModifiedBy>Acer</cp:lastModifiedBy>
  <cp:lastPrinted>2020-03-30T08:00:00Z</cp:lastPrinted>
  <dcterms:modified xsi:type="dcterms:W3CDTF">2022-04-20T02:17:33Z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