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 w:themeFill="background1"/>
        <w:spacing w:before="156" w:beforeLines="50" w:after="156" w:afterLines="50" w:line="0" w:lineRule="atLeast"/>
        <w:jc w:val="center"/>
        <w:rPr>
          <w:rFonts w:ascii="黑体" w:eastAsia="黑体"/>
          <w:sz w:val="52"/>
        </w:rPr>
      </w:pPr>
    </w:p>
    <w:p>
      <w:pPr>
        <w:shd w:val="clear" w:color="auto" w:fill="FFFFFF" w:themeFill="background1"/>
        <w:spacing w:before="156" w:beforeLines="50" w:after="156" w:afterLines="50" w:line="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sz w:val="52"/>
        </w:rPr>
        <w:t>戥秤校准规范</w:t>
      </w:r>
    </w:p>
    <w:p>
      <w:pPr>
        <w:shd w:val="clear" w:color="auto" w:fill="FFFFFF" w:themeFill="background1"/>
        <w:jc w:val="center"/>
        <w:rPr>
          <w:rFonts w:ascii="黑体" w:hAnsi="黑体" w:eastAsia="黑体"/>
          <w:sz w:val="52"/>
          <w:szCs w:val="52"/>
        </w:rPr>
      </w:pPr>
    </w:p>
    <w:p>
      <w:pPr>
        <w:shd w:val="clear" w:color="auto" w:fill="FFFFFF" w:themeFill="background1"/>
        <w:jc w:val="center"/>
        <w:rPr>
          <w:rFonts w:ascii="黑体" w:hAnsi="黑体" w:eastAsia="黑体"/>
          <w:sz w:val="52"/>
          <w:szCs w:val="52"/>
        </w:rPr>
      </w:pPr>
    </w:p>
    <w:p>
      <w:pPr>
        <w:shd w:val="clear" w:color="auto" w:fill="FFFFFF" w:themeFill="background1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编 制 说 明</w:t>
      </w: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《戥秤校准规范》起草小组</w:t>
      </w:r>
    </w:p>
    <w:p>
      <w:pPr>
        <w:shd w:val="clear" w:color="auto" w:fill="FFFFFF" w:themeFill="background1"/>
        <w:jc w:val="center"/>
        <w:rPr>
          <w:rFonts w:ascii="宋体" w:hAnsi="宋体"/>
          <w:kern w:val="0"/>
          <w:position w:val="-14"/>
          <w:sz w:val="28"/>
          <w:szCs w:val="28"/>
        </w:rPr>
      </w:pPr>
    </w:p>
    <w:p>
      <w:pPr>
        <w:shd w:val="clear" w:color="auto" w:fill="FFFFFF" w:themeFill="background1"/>
        <w:jc w:val="center"/>
        <w:rPr>
          <w:rFonts w:ascii="宋体" w:hAnsi="宋体"/>
          <w:color w:val="000000"/>
          <w:kern w:val="0"/>
          <w:position w:val="-14"/>
          <w:sz w:val="30"/>
          <w:szCs w:val="30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kern w:val="0"/>
          <w:position w:val="-14"/>
          <w:sz w:val="30"/>
          <w:szCs w:val="30"/>
        </w:rPr>
        <w:t xml:space="preserve"> 2022年3月</w:t>
      </w:r>
    </w:p>
    <w:sdt>
      <w:sdtPr>
        <w:rPr>
          <w:lang w:val="zh-CN"/>
        </w:rPr>
        <w:id w:val="93082016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>
          <w:pPr>
            <w:shd w:val="clear" w:color="auto" w:fill="FFFFFF" w:themeFill="background1"/>
            <w:jc w:val="center"/>
            <w:rPr>
              <w:rFonts w:ascii="黑体" w:hAnsi="黑体" w:eastAsia="黑体"/>
              <w:sz w:val="52"/>
              <w:szCs w:val="52"/>
            </w:rPr>
          </w:pPr>
          <w:r>
            <w:rPr>
              <w:rFonts w:hint="eastAsia" w:ascii="黑体" w:hAnsi="黑体" w:eastAsia="黑体"/>
              <w:sz w:val="52"/>
              <w:szCs w:val="52"/>
            </w:rPr>
            <w:t>目 录</w:t>
          </w:r>
        </w:p>
        <w:p>
          <w:pPr>
            <w:pStyle w:val="8"/>
            <w:shd w:val="clear" w:color="auto" w:fill="FFFFFF" w:themeFill="background1"/>
            <w:tabs>
              <w:tab w:val="left" w:pos="1260"/>
              <w:tab w:val="right" w:leader="dot" w:pos="8296"/>
            </w:tabs>
            <w:rPr>
              <w:rFonts w:asciiTheme="minorEastAsia" w:hAnsiTheme="minorEastAsia" w:eastAsiaTheme="minorEastAsia" w:cstheme="minorBidi"/>
              <w:sz w:val="32"/>
              <w:szCs w:val="3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"_Toc56428270" </w:instrText>
          </w:r>
          <w:r>
            <w:fldChar w:fldCharType="separate"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一、</w:t>
          </w:r>
          <w:r>
            <w:rPr>
              <w:rFonts w:asciiTheme="minorEastAsia" w:hAnsiTheme="minorEastAsia" w:eastAsiaTheme="minorEastAsia" w:cstheme="minorBidi"/>
              <w:sz w:val="32"/>
              <w:szCs w:val="32"/>
            </w:rPr>
            <w:tab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任务来源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tab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begin"/>
          </w:r>
          <w:r>
            <w:rPr>
              <w:rFonts w:asciiTheme="minorEastAsia" w:hAnsiTheme="minorEastAsia" w:eastAsiaTheme="minorEastAsia"/>
              <w:sz w:val="32"/>
              <w:szCs w:val="32"/>
            </w:rPr>
            <w:instrText xml:space="preserve"> PAGEREF _Toc56428270 \h </w:instrTex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separate"/>
          </w:r>
          <w:r>
            <w:rPr>
              <w:rFonts w:asciiTheme="minorEastAsia" w:hAnsiTheme="minorEastAsia" w:eastAsiaTheme="minorEastAsia"/>
              <w:sz w:val="32"/>
              <w:szCs w:val="32"/>
            </w:rPr>
            <w:t>2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</w:p>
        <w:p>
          <w:pPr>
            <w:pStyle w:val="8"/>
            <w:shd w:val="clear" w:color="auto" w:fill="FFFFFF" w:themeFill="background1"/>
            <w:tabs>
              <w:tab w:val="left" w:pos="1260"/>
              <w:tab w:val="right" w:leader="dot" w:pos="8296"/>
            </w:tabs>
            <w:rPr>
              <w:rFonts w:asciiTheme="minorEastAsia" w:hAnsiTheme="minorEastAsia" w:eastAsiaTheme="minorEastAsia" w:cstheme="minorBidi"/>
              <w:sz w:val="32"/>
              <w:szCs w:val="32"/>
            </w:rPr>
          </w:pPr>
          <w:r>
            <w:fldChar w:fldCharType="begin"/>
          </w:r>
          <w:r>
            <w:instrText xml:space="preserve"> HYPERLINK \l "_Toc56428271" </w:instrText>
          </w:r>
          <w:r>
            <w:fldChar w:fldCharType="separate"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二、</w:t>
          </w:r>
          <w:r>
            <w:rPr>
              <w:rFonts w:asciiTheme="minorEastAsia" w:hAnsiTheme="minorEastAsia" w:eastAsiaTheme="minorEastAsia" w:cstheme="minorBidi"/>
              <w:sz w:val="32"/>
              <w:szCs w:val="32"/>
            </w:rPr>
            <w:tab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规范编写的必要性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tab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begin"/>
          </w:r>
          <w:r>
            <w:rPr>
              <w:rFonts w:asciiTheme="minorEastAsia" w:hAnsiTheme="minorEastAsia" w:eastAsiaTheme="minorEastAsia"/>
              <w:sz w:val="32"/>
              <w:szCs w:val="32"/>
            </w:rPr>
            <w:instrText xml:space="preserve"> PAGEREF _Toc56428271 \h </w:instrTex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separate"/>
          </w:r>
          <w:r>
            <w:rPr>
              <w:rFonts w:asciiTheme="minorEastAsia" w:hAnsiTheme="minorEastAsia" w:eastAsiaTheme="minorEastAsia"/>
              <w:sz w:val="32"/>
              <w:szCs w:val="32"/>
            </w:rPr>
            <w:t>3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</w:p>
        <w:p>
          <w:pPr>
            <w:pStyle w:val="8"/>
            <w:shd w:val="clear" w:color="auto" w:fill="FFFFFF" w:themeFill="background1"/>
            <w:tabs>
              <w:tab w:val="left" w:pos="1260"/>
              <w:tab w:val="right" w:leader="dot" w:pos="8296"/>
            </w:tabs>
            <w:rPr>
              <w:rFonts w:asciiTheme="minorEastAsia" w:hAnsiTheme="minorEastAsia" w:eastAsiaTheme="minorEastAsia" w:cstheme="minorBidi"/>
              <w:sz w:val="32"/>
              <w:szCs w:val="32"/>
            </w:rPr>
          </w:pPr>
          <w:r>
            <w:fldChar w:fldCharType="begin"/>
          </w:r>
          <w:r>
            <w:instrText xml:space="preserve"> HYPERLINK \l "_Toc56428272" </w:instrText>
          </w:r>
          <w:r>
            <w:fldChar w:fldCharType="separate"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三、</w:t>
          </w:r>
          <w:r>
            <w:rPr>
              <w:rFonts w:asciiTheme="minorEastAsia" w:hAnsiTheme="minorEastAsia" w:eastAsiaTheme="minorEastAsia" w:cstheme="minorBidi"/>
              <w:sz w:val="32"/>
              <w:szCs w:val="32"/>
            </w:rPr>
            <w:tab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编写依据和原则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tab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begin"/>
          </w:r>
          <w:r>
            <w:rPr>
              <w:rFonts w:asciiTheme="minorEastAsia" w:hAnsiTheme="minorEastAsia" w:eastAsiaTheme="minorEastAsia"/>
              <w:sz w:val="32"/>
              <w:szCs w:val="32"/>
            </w:rPr>
            <w:instrText xml:space="preserve"> PAGEREF _Toc56428272 \h </w:instrTex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separate"/>
          </w:r>
          <w:r>
            <w:rPr>
              <w:rFonts w:asciiTheme="minorEastAsia" w:hAnsiTheme="minorEastAsia" w:eastAsiaTheme="minorEastAsia"/>
              <w:sz w:val="32"/>
              <w:szCs w:val="32"/>
            </w:rPr>
            <w:t>3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</w:p>
        <w:p>
          <w:pPr>
            <w:pStyle w:val="8"/>
            <w:shd w:val="clear" w:color="auto" w:fill="FFFFFF" w:themeFill="background1"/>
            <w:tabs>
              <w:tab w:val="left" w:pos="1260"/>
              <w:tab w:val="right" w:leader="dot" w:pos="8296"/>
            </w:tabs>
            <w:rPr>
              <w:rFonts w:asciiTheme="minorEastAsia" w:hAnsiTheme="minorEastAsia" w:eastAsiaTheme="minorEastAsia" w:cstheme="minorBidi"/>
              <w:sz w:val="32"/>
              <w:szCs w:val="32"/>
            </w:rPr>
          </w:pPr>
          <w:r>
            <w:fldChar w:fldCharType="begin"/>
          </w:r>
          <w:r>
            <w:instrText xml:space="preserve"> HYPERLINK \l "_Toc56428273" </w:instrText>
          </w:r>
          <w:r>
            <w:fldChar w:fldCharType="separate"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四、</w:t>
          </w:r>
          <w:r>
            <w:rPr>
              <w:rFonts w:asciiTheme="minorEastAsia" w:hAnsiTheme="minorEastAsia" w:eastAsiaTheme="minorEastAsia" w:cstheme="minorBidi"/>
              <w:sz w:val="32"/>
              <w:szCs w:val="32"/>
            </w:rPr>
            <w:tab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编制过程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tab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begin"/>
          </w:r>
          <w:r>
            <w:rPr>
              <w:rFonts w:asciiTheme="minorEastAsia" w:hAnsiTheme="minorEastAsia" w:eastAsiaTheme="minorEastAsia"/>
              <w:sz w:val="32"/>
              <w:szCs w:val="32"/>
            </w:rPr>
            <w:instrText xml:space="preserve"> PAGEREF _Toc56428273 \h </w:instrTex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separate"/>
          </w:r>
          <w:r>
            <w:rPr>
              <w:rFonts w:asciiTheme="minorEastAsia" w:hAnsiTheme="minorEastAsia" w:eastAsiaTheme="minorEastAsia"/>
              <w:sz w:val="32"/>
              <w:szCs w:val="32"/>
            </w:rPr>
            <w:t>4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</w:p>
        <w:p>
          <w:pPr>
            <w:pStyle w:val="8"/>
            <w:shd w:val="clear" w:color="auto" w:fill="FFFFFF" w:themeFill="background1"/>
            <w:tabs>
              <w:tab w:val="left" w:pos="1260"/>
              <w:tab w:val="right" w:leader="dot" w:pos="8296"/>
            </w:tabs>
            <w:rPr>
              <w:rFonts w:asciiTheme="minorEastAsia" w:hAnsiTheme="minorEastAsia" w:eastAsiaTheme="minorEastAsia" w:cstheme="minorBidi"/>
              <w:sz w:val="32"/>
              <w:szCs w:val="32"/>
            </w:rPr>
          </w:pPr>
          <w:r>
            <w:fldChar w:fldCharType="begin"/>
          </w:r>
          <w:r>
            <w:instrText xml:space="preserve"> HYPERLINK \l "_Toc56428274" </w:instrText>
          </w:r>
          <w:r>
            <w:fldChar w:fldCharType="separate"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五、</w:t>
          </w:r>
          <w:r>
            <w:rPr>
              <w:rFonts w:asciiTheme="minorEastAsia" w:hAnsiTheme="minorEastAsia" w:eastAsiaTheme="minorEastAsia" w:cstheme="minorBidi"/>
              <w:sz w:val="32"/>
              <w:szCs w:val="32"/>
            </w:rPr>
            <w:tab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主要技术说明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tab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begin"/>
          </w:r>
          <w:r>
            <w:rPr>
              <w:rFonts w:asciiTheme="minorEastAsia" w:hAnsiTheme="minorEastAsia" w:eastAsiaTheme="minorEastAsia"/>
              <w:sz w:val="32"/>
              <w:szCs w:val="32"/>
            </w:rPr>
            <w:instrText xml:space="preserve"> PAGEREF _Toc56428274 \h </w:instrTex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separate"/>
          </w:r>
          <w:r>
            <w:rPr>
              <w:rFonts w:asciiTheme="minorEastAsia" w:hAnsiTheme="minorEastAsia" w:eastAsiaTheme="minorEastAsia"/>
              <w:sz w:val="32"/>
              <w:szCs w:val="32"/>
            </w:rPr>
            <w:t>4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</w:p>
        <w:p>
          <w:pPr>
            <w:pStyle w:val="8"/>
            <w:shd w:val="clear" w:color="auto" w:fill="FFFFFF" w:themeFill="background1"/>
            <w:tabs>
              <w:tab w:val="left" w:pos="1260"/>
              <w:tab w:val="right" w:leader="dot" w:pos="8296"/>
            </w:tabs>
            <w:rPr>
              <w:rFonts w:asciiTheme="minorEastAsia" w:hAnsiTheme="minorEastAsia" w:eastAsiaTheme="minorEastAsia" w:cstheme="minorBidi"/>
              <w:sz w:val="32"/>
              <w:szCs w:val="32"/>
            </w:rPr>
          </w:pPr>
          <w:r>
            <w:fldChar w:fldCharType="begin"/>
          </w:r>
          <w:r>
            <w:instrText xml:space="preserve"> HYPERLINK \l "_Toc56428275" </w:instrText>
          </w:r>
          <w:r>
            <w:fldChar w:fldCharType="separate"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六、</w:t>
          </w:r>
          <w:r>
            <w:rPr>
              <w:rFonts w:asciiTheme="minorEastAsia" w:hAnsiTheme="minorEastAsia" w:eastAsiaTheme="minorEastAsia" w:cstheme="minorBidi"/>
              <w:sz w:val="32"/>
              <w:szCs w:val="32"/>
            </w:rPr>
            <w:tab/>
          </w:r>
          <w:r>
            <w:rPr>
              <w:rStyle w:val="12"/>
              <w:rFonts w:hint="eastAsia" w:asciiTheme="minorEastAsia" w:hAnsiTheme="minorEastAsia" w:eastAsiaTheme="minorEastAsia"/>
              <w:sz w:val="32"/>
              <w:szCs w:val="32"/>
            </w:rPr>
            <w:t>工作小结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tab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begin"/>
          </w:r>
          <w:r>
            <w:rPr>
              <w:rFonts w:asciiTheme="minorEastAsia" w:hAnsiTheme="minorEastAsia" w:eastAsiaTheme="minorEastAsia"/>
              <w:sz w:val="32"/>
              <w:szCs w:val="32"/>
            </w:rPr>
            <w:instrText xml:space="preserve"> PAGEREF _Toc56428275 \h </w:instrTex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separate"/>
          </w:r>
          <w:r>
            <w:rPr>
              <w:rFonts w:asciiTheme="minorEastAsia" w:hAnsiTheme="minorEastAsia" w:eastAsiaTheme="minorEastAsia"/>
              <w:sz w:val="32"/>
              <w:szCs w:val="32"/>
            </w:rPr>
            <w:t>4</w:t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  <w:r>
            <w:rPr>
              <w:rFonts w:asciiTheme="minorEastAsia" w:hAnsiTheme="minorEastAsia" w:eastAsiaTheme="minorEastAsia"/>
              <w:sz w:val="32"/>
              <w:szCs w:val="32"/>
            </w:rPr>
            <w:fldChar w:fldCharType="end"/>
          </w:r>
        </w:p>
        <w:p>
          <w:pPr>
            <w:shd w:val="clear" w:color="auto" w:fill="FFFFFF" w:themeFill="background1"/>
          </w:pPr>
          <w:r>
            <w:fldChar w:fldCharType="end"/>
          </w:r>
        </w:p>
      </w:sdtContent>
    </w:sdt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shd w:val="clear" w:color="auto" w:fill="FFFFFF" w:themeFill="background1"/>
      </w:pPr>
    </w:p>
    <w:p>
      <w:pPr>
        <w:pStyle w:val="3"/>
        <w:numPr>
          <w:ilvl w:val="0"/>
          <w:numId w:val="2"/>
        </w:numPr>
        <w:shd w:val="clear" w:color="auto" w:fill="FFFFFF" w:themeFill="background1"/>
      </w:pPr>
      <w:bookmarkStart w:id="0" w:name="_Toc56428270"/>
      <w:r>
        <w:rPr>
          <w:rFonts w:hint="eastAsia"/>
        </w:rPr>
        <w:t>任务来源</w:t>
      </w:r>
      <w:bookmarkEnd w:id="0"/>
    </w:p>
    <w:p>
      <w:pPr>
        <w:shd w:val="clear" w:color="auto" w:fill="FFFFFF" w:themeFill="background1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根据国家</w:t>
      </w:r>
      <w:r>
        <w:rPr>
          <w:rFonts w:hint="eastAsia" w:asciiTheme="minorEastAsia" w:hAnsiTheme="minorEastAsia" w:eastAsiaTheme="minorEastAsia"/>
          <w:sz w:val="24"/>
        </w:rPr>
        <w:t>市场</w:t>
      </w:r>
      <w:r>
        <w:rPr>
          <w:rFonts w:hint="eastAsia" w:ascii="宋体" w:hAnsi="宋体"/>
          <w:sz w:val="24"/>
        </w:rPr>
        <w:t>监督</w:t>
      </w:r>
      <w:r>
        <w:rPr>
          <w:rFonts w:hint="eastAsia" w:asciiTheme="minorEastAsia" w:hAnsiTheme="minorEastAsia" w:eastAsiaTheme="minorEastAsia"/>
          <w:sz w:val="24"/>
        </w:rPr>
        <w:t>管理</w:t>
      </w:r>
      <w:r>
        <w:rPr>
          <w:rFonts w:hint="eastAsia" w:ascii="宋体" w:hAnsi="宋体"/>
          <w:sz w:val="24"/>
        </w:rPr>
        <w:t>总局下达的</w:t>
      </w:r>
      <w:bookmarkStart w:id="1" w:name="OLE_LINK3"/>
      <w:r>
        <w:rPr>
          <w:rFonts w:hint="eastAsia" w:asciiTheme="minorEastAsia" w:hAnsiTheme="minorEastAsia" w:eastAsiaTheme="minorEastAsia"/>
          <w:sz w:val="24"/>
        </w:rPr>
        <w:t>计量函</w:t>
      </w:r>
      <w:r>
        <w:rPr>
          <w:rFonts w:hint="eastAsia" w:ascii="宋体" w:hAnsi="宋体"/>
          <w:sz w:val="24"/>
        </w:rPr>
        <w:t>【20</w:t>
      </w:r>
      <w:r>
        <w:rPr>
          <w:rFonts w:hint="eastAsia" w:asciiTheme="minorEastAsia" w:hAnsiTheme="minorEastAsia" w:eastAsiaTheme="minorEastAsia"/>
          <w:sz w:val="24"/>
        </w:rPr>
        <w:t>20</w:t>
      </w:r>
      <w:r>
        <w:rPr>
          <w:rFonts w:hint="eastAsia" w:ascii="宋体" w:hAnsi="宋体"/>
          <w:sz w:val="24"/>
        </w:rPr>
        <w:t>】</w:t>
      </w:r>
      <w:r>
        <w:rPr>
          <w:rFonts w:hint="eastAsia" w:asciiTheme="minorEastAsia" w:hAnsiTheme="minorEastAsia" w:eastAsiaTheme="minorEastAsia"/>
          <w:sz w:val="24"/>
        </w:rPr>
        <w:t>38</w:t>
      </w:r>
      <w:r>
        <w:rPr>
          <w:rFonts w:hint="eastAsia" w:ascii="宋体" w:hAnsi="宋体"/>
          <w:sz w:val="24"/>
        </w:rPr>
        <w:t>号文“</w:t>
      </w:r>
      <w:r>
        <w:rPr>
          <w:rFonts w:hint="eastAsia" w:asciiTheme="minorEastAsia" w:hAnsiTheme="minorEastAsia" w:eastAsiaTheme="minorEastAsia"/>
          <w:sz w:val="24"/>
        </w:rPr>
        <w:t>市场</w:t>
      </w:r>
      <w:r>
        <w:rPr>
          <w:rFonts w:hint="eastAsia" w:ascii="宋体" w:hAnsi="宋体"/>
          <w:sz w:val="24"/>
        </w:rPr>
        <w:t>监</w:t>
      </w:r>
      <w:r>
        <w:rPr>
          <w:rFonts w:hint="eastAsia" w:asciiTheme="minorEastAsia" w:hAnsiTheme="minorEastAsia" w:eastAsiaTheme="minorEastAsia"/>
          <w:sz w:val="24"/>
        </w:rPr>
        <w:t>管</w:t>
      </w:r>
      <w:r>
        <w:rPr>
          <w:rFonts w:hint="eastAsia" w:ascii="宋体" w:hAnsi="宋体"/>
          <w:sz w:val="24"/>
        </w:rPr>
        <w:t>总局</w:t>
      </w:r>
      <w:r>
        <w:rPr>
          <w:rFonts w:hint="eastAsia" w:asciiTheme="minorEastAsia" w:hAnsiTheme="minorEastAsia" w:eastAsiaTheme="minorEastAsia"/>
          <w:sz w:val="24"/>
        </w:rPr>
        <w:t>计量司</w:t>
      </w:r>
      <w:r>
        <w:rPr>
          <w:rFonts w:hint="eastAsia" w:ascii="宋体" w:hAnsi="宋体"/>
          <w:sz w:val="24"/>
        </w:rPr>
        <w:t>关于做好国家计量技术规范制定、修订及宣贯计划的通知”</w:t>
      </w:r>
      <w:bookmarkEnd w:id="1"/>
      <w:r>
        <w:rPr>
          <w:rFonts w:hint="eastAsia" w:ascii="宋体" w:hAnsi="宋体"/>
          <w:sz w:val="24"/>
        </w:rPr>
        <w:t>要求，《戥秤校准规范》列入2020年国家计量技术规范制修订计划。</w:t>
      </w:r>
    </w:p>
    <w:p>
      <w:pPr>
        <w:shd w:val="clear" w:color="auto" w:fill="FFFFFF" w:themeFill="background1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《戥秤校准规范》由</w:t>
      </w:r>
      <w:r>
        <w:rPr>
          <w:rFonts w:hint="eastAsia" w:asciiTheme="minorEastAsia" w:hAnsiTheme="minorEastAsia" w:eastAsiaTheme="minorEastAsia"/>
          <w:sz w:val="24"/>
        </w:rPr>
        <w:t>陕西省计量科学研究院、安康市质量技术检验检测中心、湖北省计量测试技术研究院、西安市计量技术研究院组成起草小组，共同完成该规范的编写工作</w:t>
      </w:r>
      <w:r>
        <w:rPr>
          <w:rFonts w:hint="eastAsia" w:ascii="宋体" w:hAnsi="宋体"/>
          <w:sz w:val="24"/>
        </w:rPr>
        <w:t>。</w:t>
      </w:r>
    </w:p>
    <w:p>
      <w:pPr>
        <w:pStyle w:val="3"/>
        <w:numPr>
          <w:ilvl w:val="0"/>
          <w:numId w:val="2"/>
        </w:numPr>
        <w:shd w:val="clear" w:color="auto" w:fill="FFFFFF" w:themeFill="background1"/>
      </w:pPr>
      <w:bookmarkStart w:id="2" w:name="_Toc56428271"/>
      <w:r>
        <w:rPr>
          <w:rFonts w:hint="eastAsia"/>
        </w:rPr>
        <w:t>规范编写的必要性</w:t>
      </w:r>
      <w:bookmarkEnd w:id="2"/>
    </w:p>
    <w:p>
      <w:pPr>
        <w:shd w:val="clear" w:color="auto" w:fill="FFFFFF" w:themeFill="background1"/>
        <w:spacing w:line="360" w:lineRule="auto"/>
        <w:ind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戥秤是杆秤的典型代表，仍广泛用于各个中药店，是中药配药不可或缺的衡量仪器。戥秤的结构决定其很难在秤体（含秤砣）的任何部位固定标志，因此戥秤在“ 计量的安全性 ”和“计量法制标志”方面无法满足现行JJG 17-2016《杆秤》检定规程的要求，由于外观检查不合格，直接导致戥秤检定不合格。</w:t>
      </w:r>
      <w:r>
        <w:rPr>
          <w:rFonts w:hint="eastAsia"/>
          <w:sz w:val="24"/>
          <w:szCs w:val="28"/>
          <w:lang w:val="en-US" w:eastAsia="zh-CN"/>
        </w:rPr>
        <w:t>其测量点选择单一与实际使用不一致。</w:t>
      </w:r>
      <w:r>
        <w:rPr>
          <w:rFonts w:hint="eastAsia"/>
          <w:sz w:val="24"/>
          <w:szCs w:val="28"/>
        </w:rPr>
        <w:t>但是它的轻便、可移动使用的特性，使得它在各中药店及中药房中应大量使用，到目前为止人们还没有找到它的合适替代品。</w:t>
      </w:r>
    </w:p>
    <w:p>
      <w:pPr>
        <w:shd w:val="clear" w:color="auto" w:fill="FFFFFF" w:themeFill="background1"/>
        <w:spacing w:line="360" w:lineRule="auto"/>
        <w:ind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由于戥秤在中医配药中的作用，使得它无法停用，目前计量部门只能参照杆秤的检定规程开展校准，但此规程中的方法并不完全适用于戥秤的校准</w:t>
      </w:r>
      <w:r>
        <w:rPr>
          <w:rFonts w:hint="eastAsia"/>
          <w:sz w:val="24"/>
          <w:szCs w:val="28"/>
          <w:lang w:eastAsia="zh-CN"/>
        </w:rPr>
        <w:t>，</w:t>
      </w:r>
      <w:bookmarkStart w:id="22" w:name="_GoBack"/>
      <w:bookmarkEnd w:id="22"/>
      <w:r>
        <w:rPr>
          <w:rFonts w:hint="eastAsia"/>
          <w:sz w:val="24"/>
          <w:szCs w:val="28"/>
        </w:rPr>
        <w:t>因此，为了服务社会、保证量传的准确性，制定戥秤的校准规范，延续戥秤计量历史的传承，满足国内的实际情况，迫在眉睫。为了进一步规范</w:t>
      </w:r>
      <w:r>
        <w:rPr>
          <w:rFonts w:hint="eastAsia" w:ascii="宋体" w:hAnsi="宋体"/>
          <w:sz w:val="24"/>
        </w:rPr>
        <w:t>戥秤</w:t>
      </w:r>
      <w:r>
        <w:rPr>
          <w:rFonts w:hint="eastAsia"/>
          <w:sz w:val="24"/>
          <w:szCs w:val="28"/>
        </w:rPr>
        <w:t>校准市场，保障国家计量单位制的统一和量值的准确可靠，因此制定</w:t>
      </w:r>
      <w:r>
        <w:rPr>
          <w:rFonts w:hint="eastAsia" w:ascii="宋体" w:hAnsi="宋体"/>
          <w:sz w:val="24"/>
        </w:rPr>
        <w:t>戥秤</w:t>
      </w:r>
      <w:r>
        <w:rPr>
          <w:rFonts w:hint="eastAsia"/>
          <w:sz w:val="24"/>
          <w:szCs w:val="28"/>
        </w:rPr>
        <w:t>校准规范非常有必要性，</w:t>
      </w:r>
    </w:p>
    <w:p>
      <w:pPr>
        <w:shd w:val="clear" w:color="auto" w:fill="FFFFFF" w:themeFill="background1"/>
        <w:spacing w:line="360" w:lineRule="auto"/>
        <w:ind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本规范的测量点选择贴合实际使用情况，取消“游碗及杆秤的规格”、“ 计量的安全性 ”和“计量法制标志”的通用技术要求，符合戥秤应用现状。本规范有效地解决</w:t>
      </w:r>
      <w:r>
        <w:rPr>
          <w:rFonts w:hint="eastAsia" w:ascii="宋体" w:hAnsi="宋体"/>
          <w:sz w:val="24"/>
        </w:rPr>
        <w:t>戥秤</w:t>
      </w:r>
      <w:r>
        <w:rPr>
          <w:rFonts w:hint="eastAsia"/>
          <w:sz w:val="24"/>
          <w:szCs w:val="28"/>
        </w:rPr>
        <w:t>无校准依据的技术难题，为质量技术监督部门、认可校准机构和</w:t>
      </w:r>
      <w:r>
        <w:rPr>
          <w:rFonts w:hint="eastAsia" w:ascii="宋体" w:hAnsi="宋体"/>
          <w:sz w:val="24"/>
        </w:rPr>
        <w:t>戥秤</w:t>
      </w:r>
      <w:r>
        <w:rPr>
          <w:rFonts w:hint="eastAsia"/>
          <w:sz w:val="24"/>
          <w:szCs w:val="28"/>
        </w:rPr>
        <w:t>生产单位、使用单位实施计量管理提供技术支撑。</w:t>
      </w:r>
    </w:p>
    <w:p>
      <w:pPr>
        <w:pStyle w:val="3"/>
        <w:numPr>
          <w:ilvl w:val="0"/>
          <w:numId w:val="2"/>
        </w:numPr>
        <w:shd w:val="clear" w:color="auto" w:fill="FFFFFF" w:themeFill="background1"/>
      </w:pPr>
      <w:bookmarkStart w:id="3" w:name="_Toc56428272"/>
      <w:r>
        <w:t>编写依据和原则</w:t>
      </w:r>
      <w:bookmarkEnd w:id="3"/>
    </w:p>
    <w:p>
      <w:pPr>
        <w:shd w:val="clear" w:color="auto" w:fill="FFFFFF" w:themeFill="background1"/>
        <w:spacing w:line="360" w:lineRule="auto"/>
        <w:ind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本规范的编写格式依据JJF1071-2010《国家计量校准规范编写规则》，</w:t>
      </w:r>
      <w:r>
        <w:rPr>
          <w:rFonts w:hint="eastAsia" w:ascii="宋体" w:hAnsi="宋体"/>
          <w:sz w:val="24"/>
        </w:rPr>
        <w:t>测量不确定度评定与表示符合</w:t>
      </w:r>
      <w:r>
        <w:rPr>
          <w:rFonts w:hint="eastAsia"/>
          <w:sz w:val="24"/>
          <w:szCs w:val="28"/>
        </w:rPr>
        <w:t>JJF1059.1-2012《测量不确定度评定与表示》的要求。技术文件参考新制订中引用JJG17《杆秤》、JJG 99《砝码》、JJF 1181《衡器计量名词术语及定义》中相关技术内容、测试项目和方法。</w:t>
      </w:r>
    </w:p>
    <w:p>
      <w:pPr>
        <w:shd w:val="clear" w:color="auto" w:fill="FFFFFF" w:themeFill="background1"/>
        <w:spacing w:line="360" w:lineRule="auto"/>
        <w:ind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同时在编写过程中，起草小组掌握以下原则：（1）参考国家计量技术规范；（2）结合国内现状；（3）体现目前技术的先进性；（</w:t>
      </w:r>
      <w:r>
        <w:rPr>
          <w:sz w:val="24"/>
          <w:szCs w:val="28"/>
        </w:rPr>
        <w:t>4</w:t>
      </w:r>
      <w:r>
        <w:rPr>
          <w:rFonts w:hint="eastAsia"/>
          <w:sz w:val="24"/>
          <w:szCs w:val="28"/>
        </w:rPr>
        <w:t>）实际工作中的可操作性和可行性。</w:t>
      </w:r>
    </w:p>
    <w:p>
      <w:pPr>
        <w:pStyle w:val="3"/>
        <w:numPr>
          <w:ilvl w:val="0"/>
          <w:numId w:val="2"/>
        </w:numPr>
        <w:shd w:val="clear" w:color="auto" w:fill="FFFFFF" w:themeFill="background1"/>
      </w:pPr>
      <w:bookmarkStart w:id="4" w:name="_Toc56428273"/>
      <w:r>
        <w:rPr>
          <w:rFonts w:hint="eastAsia"/>
        </w:rPr>
        <w:t>编制过程</w:t>
      </w:r>
      <w:bookmarkEnd w:id="4"/>
    </w:p>
    <w:p>
      <w:pPr>
        <w:numPr>
          <w:ilvl w:val="0"/>
          <w:numId w:val="3"/>
        </w:numPr>
        <w:shd w:val="clear" w:color="auto" w:fill="FFFFFF" w:themeFill="background1"/>
        <w:tabs>
          <w:tab w:val="left" w:pos="426"/>
        </w:tabs>
        <w:suppressAutoHyphens/>
        <w:spacing w:line="360" w:lineRule="auto"/>
        <w:ind w:left="0" w:firstLine="0"/>
        <w:jc w:val="left"/>
        <w:rPr>
          <w:rFonts w:ascii="宋体" w:hAnsi="宋体"/>
        </w:rPr>
      </w:pPr>
      <w:r>
        <w:rPr>
          <w:rFonts w:hint="eastAsia" w:ascii="宋体" w:hAnsi="宋体"/>
          <w:sz w:val="24"/>
          <w:szCs w:val="28"/>
        </w:rPr>
        <w:t>2020年列入编写计划，初步拟定工作计划，2020年10月起草小组就规范包含的内容、主要计量性能等问题进行了讨论，确定了规范起草的主导思想和原则，提出规范相应条款的试验内容，收集与</w:t>
      </w:r>
      <w:r>
        <w:rPr>
          <w:rFonts w:hint="eastAsia" w:ascii="宋体" w:hAnsi="宋体"/>
          <w:sz w:val="24"/>
        </w:rPr>
        <w:t>戥秤装置</w:t>
      </w:r>
      <w:r>
        <w:rPr>
          <w:rFonts w:hint="eastAsia" w:ascii="宋体" w:hAnsi="宋体"/>
          <w:sz w:val="24"/>
          <w:szCs w:val="28"/>
        </w:rPr>
        <w:t>计量相关的文献资料。</w:t>
      </w:r>
    </w:p>
    <w:p>
      <w:pPr>
        <w:numPr>
          <w:ilvl w:val="0"/>
          <w:numId w:val="3"/>
        </w:numPr>
        <w:shd w:val="clear" w:color="auto" w:fill="FFFFFF" w:themeFill="background1"/>
        <w:tabs>
          <w:tab w:val="left" w:pos="426"/>
        </w:tabs>
        <w:suppressAutoHyphens/>
        <w:spacing w:line="360" w:lineRule="auto"/>
        <w:ind w:left="0" w:firstLine="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8"/>
        </w:rPr>
        <w:t>2020年12月，对产品的生产情况和使用情况进行调研工作。</w:t>
      </w:r>
    </w:p>
    <w:p>
      <w:pPr>
        <w:numPr>
          <w:ilvl w:val="0"/>
          <w:numId w:val="3"/>
        </w:numPr>
        <w:shd w:val="clear" w:color="auto" w:fill="FFFFFF" w:themeFill="background1"/>
        <w:suppressAutoHyphens/>
        <w:spacing w:line="360" w:lineRule="auto"/>
        <w:ind w:left="0" w:firstLine="0"/>
        <w:jc w:val="left"/>
        <w:rPr>
          <w:rFonts w:ascii="宋体" w:hAnsi="宋体"/>
        </w:rPr>
      </w:pPr>
      <w:r>
        <w:rPr>
          <w:rFonts w:hint="eastAsia" w:ascii="宋体" w:hAnsi="宋体"/>
          <w:sz w:val="24"/>
          <w:szCs w:val="28"/>
        </w:rPr>
        <w:t>2021年1月组织编写人员进行专题讨论。</w:t>
      </w:r>
    </w:p>
    <w:p>
      <w:pPr>
        <w:numPr>
          <w:ilvl w:val="0"/>
          <w:numId w:val="3"/>
        </w:numPr>
        <w:shd w:val="clear" w:color="auto" w:fill="FFFFFF" w:themeFill="background1"/>
        <w:suppressAutoHyphens/>
        <w:spacing w:line="360" w:lineRule="auto"/>
        <w:ind w:left="0" w:firstLine="0"/>
        <w:jc w:val="left"/>
        <w:rPr>
          <w:rFonts w:ascii="宋体" w:hAnsi="宋体"/>
        </w:rPr>
      </w:pPr>
      <w:r>
        <w:rPr>
          <w:rFonts w:hint="eastAsia" w:ascii="宋体" w:hAnsi="宋体"/>
          <w:sz w:val="24"/>
          <w:szCs w:val="28"/>
        </w:rPr>
        <w:t>2021年2月</w:t>
      </w:r>
      <w:r>
        <w:rPr>
          <w:rFonts w:hint="eastAsia" w:ascii="宋体" w:hAnsi="宋体"/>
          <w:sz w:val="24"/>
        </w:rPr>
        <w:t>主起草单位起草规范的初稿，并在工作组中征求小组成员的意见，得到反馈意见21条。</w:t>
      </w:r>
    </w:p>
    <w:p>
      <w:pPr>
        <w:numPr>
          <w:ilvl w:val="0"/>
          <w:numId w:val="3"/>
        </w:numPr>
        <w:shd w:val="clear" w:color="auto" w:fill="FFFFFF" w:themeFill="background1"/>
        <w:suppressAutoHyphens/>
        <w:spacing w:line="360" w:lineRule="auto"/>
        <w:ind w:left="0" w:firstLine="0"/>
        <w:jc w:val="left"/>
        <w:rPr>
          <w:rFonts w:ascii="宋体" w:hAnsi="宋体"/>
        </w:rPr>
      </w:pPr>
      <w:r>
        <w:rPr>
          <w:rFonts w:hint="eastAsia" w:ascii="宋体" w:hAnsi="宋体"/>
          <w:sz w:val="24"/>
          <w:szCs w:val="28"/>
        </w:rPr>
        <w:t>2021年5月</w:t>
      </w:r>
      <w:r>
        <w:rPr>
          <w:rFonts w:hint="eastAsia" w:ascii="宋体" w:hAnsi="宋体"/>
          <w:sz w:val="24"/>
        </w:rPr>
        <w:t>召开起草小组工作会议，对小组讨论稿的内容进行讨论。</w:t>
      </w:r>
    </w:p>
    <w:p>
      <w:pPr>
        <w:numPr>
          <w:ilvl w:val="0"/>
          <w:numId w:val="3"/>
        </w:numPr>
        <w:shd w:val="clear" w:color="auto" w:fill="FFFFFF" w:themeFill="background1"/>
        <w:suppressAutoHyphens/>
        <w:spacing w:line="360" w:lineRule="auto"/>
        <w:ind w:left="0" w:firstLine="0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2021年7月根据会议上的讨论结果再次修改小组讨论稿，并增加原始记录格式、不确定评定示例等附录。</w:t>
      </w:r>
    </w:p>
    <w:p>
      <w:pPr>
        <w:numPr>
          <w:ilvl w:val="0"/>
          <w:numId w:val="3"/>
        </w:numPr>
        <w:shd w:val="clear" w:color="auto" w:fill="FFFFFF" w:themeFill="background1"/>
        <w:suppressAutoHyphens/>
        <w:spacing w:line="360" w:lineRule="auto"/>
        <w:ind w:left="0" w:firstLine="0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2021年11月进行试验验证，完成编制说明和测量不确定度评定，对讨论稿内容进一步修改完善，形成起草稿。</w:t>
      </w:r>
    </w:p>
    <w:p>
      <w:pPr>
        <w:numPr>
          <w:ilvl w:val="0"/>
          <w:numId w:val="3"/>
        </w:numPr>
        <w:shd w:val="clear" w:color="auto" w:fill="FFFFFF" w:themeFill="background1"/>
        <w:suppressAutoHyphens/>
        <w:spacing w:line="360" w:lineRule="auto"/>
        <w:ind w:left="0" w:firstLine="0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2021年12月在视频会议上对征求意见稿进行讨论，随后根据会议意见进行修改。</w:t>
      </w:r>
    </w:p>
    <w:p>
      <w:pPr>
        <w:numPr>
          <w:ilvl w:val="0"/>
          <w:numId w:val="3"/>
        </w:numPr>
        <w:shd w:val="clear" w:color="auto" w:fill="FFFFFF" w:themeFill="background1"/>
        <w:suppressAutoHyphens/>
        <w:spacing w:line="360" w:lineRule="auto"/>
        <w:ind w:left="0" w:firstLine="0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</w:t>
      </w:r>
      <w:r>
        <w:rPr>
          <w:rFonts w:ascii="宋体" w:hAnsi="宋体"/>
          <w:sz w:val="24"/>
          <w:szCs w:val="28"/>
        </w:rPr>
        <w:t>021</w:t>
      </w:r>
      <w:r>
        <w:rPr>
          <w:rFonts w:hint="eastAsia" w:ascii="宋体" w:hAnsi="宋体"/>
          <w:sz w:val="24"/>
          <w:szCs w:val="28"/>
        </w:rPr>
        <w:t>年12月因西安爆发新冠疫情修改工作向后推迟。</w:t>
      </w:r>
    </w:p>
    <w:p>
      <w:pPr>
        <w:numPr>
          <w:ilvl w:val="0"/>
          <w:numId w:val="3"/>
        </w:numPr>
        <w:shd w:val="clear" w:color="auto" w:fill="FFFFFF" w:themeFill="background1"/>
        <w:suppressAutoHyphens/>
        <w:spacing w:line="360" w:lineRule="auto"/>
        <w:ind w:left="0" w:firstLine="0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2022年3月，向委员会提交规范起草稿及相关材料。</w:t>
      </w:r>
    </w:p>
    <w:p>
      <w:pPr>
        <w:numPr>
          <w:ilvl w:val="0"/>
          <w:numId w:val="3"/>
        </w:numPr>
        <w:shd w:val="clear" w:color="auto" w:fill="FFFFFF" w:themeFill="background1"/>
        <w:suppressAutoHyphens/>
        <w:spacing w:line="360" w:lineRule="auto"/>
        <w:ind w:left="0" w:firstLine="0"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2022年4月，收到秘书处反馈意见共15条，起草小组根据反馈意见修改起草稿并形成征求意见稿。</w:t>
      </w:r>
    </w:p>
    <w:p>
      <w:pPr>
        <w:pStyle w:val="3"/>
        <w:numPr>
          <w:ilvl w:val="0"/>
          <w:numId w:val="2"/>
        </w:numPr>
        <w:shd w:val="clear" w:color="auto" w:fill="FFFFFF" w:themeFill="background1"/>
      </w:pPr>
      <w:bookmarkStart w:id="5" w:name="_Toc56428274"/>
      <w:r>
        <w:rPr>
          <w:rFonts w:hint="eastAsia"/>
        </w:rPr>
        <w:t>主要技术说明</w:t>
      </w:r>
      <w:bookmarkEnd w:id="5"/>
    </w:p>
    <w:p>
      <w:pPr>
        <w:numPr>
          <w:ilvl w:val="0"/>
          <w:numId w:val="4"/>
        </w:numPr>
        <w:shd w:val="clear" w:color="auto" w:fill="FFFFFF" w:themeFill="background1"/>
        <w:tabs>
          <w:tab w:val="left" w:pos="851"/>
        </w:tabs>
        <w:adjustRightInd w:val="0"/>
        <w:snapToGrid w:val="0"/>
        <w:outlineLvl w:val="1"/>
        <w:rPr>
          <w:rFonts w:ascii="宋体" w:hAnsi="宋体" w:cs="Arial"/>
          <w:sz w:val="24"/>
        </w:rPr>
      </w:pPr>
      <w:bookmarkStart w:id="6" w:name="_Toc515475850"/>
      <w:r>
        <w:rPr>
          <w:rFonts w:hint="eastAsia" w:ascii="宋体" w:hAnsi="宋体" w:cs="Arial"/>
          <w:sz w:val="24"/>
        </w:rPr>
        <w:t>计量特性</w:t>
      </w:r>
      <w:bookmarkEnd w:id="6"/>
    </w:p>
    <w:p>
      <w:pPr>
        <w:pStyle w:val="23"/>
        <w:numPr>
          <w:ilvl w:val="1"/>
          <w:numId w:val="5"/>
        </w:numPr>
        <w:adjustRightInd w:val="0"/>
        <w:snapToGrid w:val="0"/>
        <w:spacing w:before="156" w:after="156"/>
        <w:outlineLvl w:val="1"/>
        <w:rPr>
          <w:rFonts w:ascii="Times New Roman" w:eastAsia="宋体"/>
          <w:sz w:val="24"/>
          <w:szCs w:val="24"/>
        </w:rPr>
      </w:pPr>
      <w:bookmarkStart w:id="7" w:name="_Toc8917"/>
      <w:r>
        <w:rPr>
          <w:rFonts w:hint="eastAsia" w:ascii="Times New Roman" w:eastAsia="宋体"/>
          <w:sz w:val="24"/>
          <w:szCs w:val="24"/>
        </w:rPr>
        <w:t>示值误差</w:t>
      </w:r>
      <w:bookmarkEnd w:id="7"/>
    </w:p>
    <w:p>
      <w:pPr>
        <w:adjustRightInd w:val="0"/>
        <w:snapToGrid w:val="0"/>
        <w:ind w:firstLine="480" w:firstLineChars="200"/>
        <w:rPr>
          <w:sz w:val="24"/>
        </w:rPr>
      </w:pPr>
      <w:r>
        <w:rPr>
          <w:sz w:val="24"/>
        </w:rPr>
        <w:t>戥秤称量的示值与约定真值之差。</w:t>
      </w:r>
    </w:p>
    <w:p>
      <w:pPr>
        <w:pStyle w:val="23"/>
        <w:numPr>
          <w:ilvl w:val="1"/>
          <w:numId w:val="5"/>
        </w:numPr>
        <w:adjustRightInd w:val="0"/>
        <w:snapToGrid w:val="0"/>
        <w:spacing w:before="156" w:after="156"/>
        <w:outlineLvl w:val="1"/>
        <w:rPr>
          <w:rFonts w:ascii="Times New Roman" w:eastAsia="宋体"/>
          <w:color w:val="000000"/>
          <w:sz w:val="24"/>
          <w:szCs w:val="24"/>
        </w:rPr>
      </w:pPr>
      <w:r>
        <w:rPr>
          <w:rFonts w:hint="eastAsia" w:ascii="Times New Roman" w:eastAsia="宋体"/>
          <w:color w:val="000000"/>
          <w:sz w:val="24"/>
          <w:szCs w:val="24"/>
        </w:rPr>
        <w:t>重复性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bookmarkStart w:id="8" w:name="_Toc515475851"/>
      <w:r>
        <w:rPr>
          <w:rFonts w:asciiTheme="minorEastAsia" w:hAnsiTheme="minorEastAsia" w:eastAsiaTheme="minorEastAsia"/>
          <w:sz w:val="24"/>
        </w:rPr>
        <w:t>同一载荷在相同条件下多次</w:t>
      </w:r>
      <w:r>
        <w:rPr>
          <w:rFonts w:hint="eastAsia" w:asciiTheme="minorEastAsia" w:hAnsiTheme="minorEastAsia" w:eastAsiaTheme="minorEastAsia"/>
          <w:sz w:val="24"/>
        </w:rPr>
        <w:t>测量</w:t>
      </w:r>
      <w:r>
        <w:rPr>
          <w:rFonts w:asciiTheme="minorEastAsia" w:hAnsiTheme="minorEastAsia" w:eastAsiaTheme="minorEastAsia"/>
          <w:sz w:val="24"/>
        </w:rPr>
        <w:t>结果的差值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hd w:val="clear" w:color="auto" w:fill="FFFFFF" w:themeFill="background1"/>
        <w:tabs>
          <w:tab w:val="left" w:pos="851"/>
        </w:tabs>
        <w:adjustRightInd w:val="0"/>
        <w:snapToGrid w:val="0"/>
        <w:spacing w:line="360" w:lineRule="auto"/>
        <w:outlineLvl w:val="1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 校准用</w:t>
      </w:r>
      <w:bookmarkEnd w:id="8"/>
      <w:r>
        <w:rPr>
          <w:rFonts w:hint="eastAsia" w:ascii="宋体" w:hAnsi="宋体" w:cs="Arial"/>
          <w:sz w:val="24"/>
        </w:rPr>
        <w:t>标准器</w:t>
      </w:r>
    </w:p>
    <w:p>
      <w:pPr>
        <w:shd w:val="clear" w:color="auto" w:fill="FFFFFF" w:themeFill="background1"/>
        <w:tabs>
          <w:tab w:val="left" w:pos="851"/>
        </w:tabs>
        <w:snapToGrid w:val="0"/>
        <w:spacing w:line="360" w:lineRule="auto"/>
        <w:rPr>
          <w:rFonts w:ascii="宋体" w:hAnsi="宋体" w:cs="Arial"/>
          <w:sz w:val="24"/>
        </w:rPr>
      </w:pPr>
      <w:bookmarkStart w:id="9" w:name="_Toc514418842"/>
      <w:r>
        <w:rPr>
          <w:rFonts w:hint="eastAsia" w:ascii="宋体" w:hAnsi="宋体" w:cs="Arial"/>
          <w:sz w:val="24"/>
        </w:rPr>
        <w:t>2.1</w:t>
      </w:r>
      <w:r>
        <w:rPr>
          <w:rFonts w:ascii="宋体" w:hAnsi="宋体" w:cs="Arial"/>
          <w:sz w:val="24"/>
        </w:rPr>
        <w:t xml:space="preserve"> 标准</w:t>
      </w:r>
      <w:bookmarkEnd w:id="9"/>
      <w:r>
        <w:rPr>
          <w:rFonts w:ascii="宋体" w:hAnsi="宋体" w:cs="Arial"/>
          <w:sz w:val="24"/>
        </w:rPr>
        <w:t>砝码</w:t>
      </w:r>
    </w:p>
    <w:p>
      <w:pPr>
        <w:pStyle w:val="15"/>
        <w:adjustRightInd w:val="0"/>
        <w:snapToGrid w:val="0"/>
        <w:spacing w:line="360" w:lineRule="auto"/>
        <w:ind w:firstLine="480"/>
        <w:rPr>
          <w:sz w:val="24"/>
        </w:rPr>
      </w:pPr>
      <w:bookmarkStart w:id="10" w:name="OLE_LINK36"/>
      <w:bookmarkStart w:id="11" w:name="OLE_LINK37"/>
      <w:bookmarkStart w:id="12" w:name="_Toc514418843"/>
      <w:bookmarkStart w:id="13" w:name="OLE_LINK95"/>
      <w:r>
        <w:rPr>
          <w:sz w:val="24"/>
        </w:rPr>
        <w:t>M</w:t>
      </w:r>
      <w:r>
        <w:rPr>
          <w:rFonts w:hint="eastAsia"/>
          <w:sz w:val="24"/>
          <w:vertAlign w:val="subscript"/>
        </w:rPr>
        <w:t>2</w:t>
      </w:r>
      <w:r>
        <w:rPr>
          <w:sz w:val="24"/>
        </w:rPr>
        <w:t>等级及其以上等级的砝码</w:t>
      </w:r>
      <w:r>
        <w:rPr>
          <w:rFonts w:hint="eastAsia"/>
          <w:sz w:val="24"/>
        </w:rPr>
        <w:t>，砝码的其他要求需符合JJG99《砝码》。</w:t>
      </w:r>
    </w:p>
    <w:bookmarkEnd w:id="10"/>
    <w:bookmarkEnd w:id="11"/>
    <w:bookmarkEnd w:id="12"/>
    <w:p>
      <w:pPr>
        <w:shd w:val="clear" w:color="auto" w:fill="FFFFFF" w:themeFill="background1"/>
        <w:tabs>
          <w:tab w:val="left" w:pos="851"/>
        </w:tabs>
        <w:snapToGrid w:val="0"/>
        <w:spacing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2.3 校准用具</w:t>
      </w:r>
    </w:p>
    <w:bookmarkEnd w:id="13"/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14" w:name="_Toc515475852"/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将戥秤固定悬挂，必要时使用专用校准支架。</w:t>
      </w:r>
    </w:p>
    <w:p>
      <w:pPr>
        <w:shd w:val="clear" w:color="auto" w:fill="FFFFFF" w:themeFill="background1"/>
        <w:tabs>
          <w:tab w:val="left" w:pos="851"/>
        </w:tabs>
        <w:snapToGrid w:val="0"/>
        <w:spacing w:line="360" w:lineRule="auto"/>
        <w:outlineLvl w:val="1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3. 校准项目和校准方法</w:t>
      </w:r>
      <w:bookmarkEnd w:id="14"/>
    </w:p>
    <w:p>
      <w:pPr>
        <w:shd w:val="clear" w:color="auto" w:fill="FFFFFF" w:themeFill="background1"/>
        <w:tabs>
          <w:tab w:val="left" w:pos="851"/>
        </w:tabs>
        <w:snapToGrid w:val="0"/>
        <w:spacing w:line="360" w:lineRule="auto"/>
        <w:rPr>
          <w:rFonts w:ascii="宋体" w:hAnsi="宋体" w:cs="Arial"/>
          <w:strike/>
          <w:sz w:val="24"/>
          <w:highlight w:val="lightGray"/>
        </w:rPr>
      </w:pPr>
      <w:bookmarkStart w:id="15" w:name="_Hlk101378745"/>
      <w:r>
        <w:rPr>
          <w:rFonts w:hint="eastAsia" w:ascii="宋体" w:hAnsi="宋体" w:cs="Arial"/>
          <w:sz w:val="24"/>
        </w:rPr>
        <w:t>3.1 校准项目</w:t>
      </w:r>
      <w:bookmarkEnd w:id="15"/>
    </w:p>
    <w:p>
      <w:pPr>
        <w:shd w:val="clear" w:color="auto" w:fill="FFFFFF" w:themeFill="background1"/>
        <w:tabs>
          <w:tab w:val="left" w:pos="851"/>
        </w:tabs>
        <w:snapToGrid w:val="0"/>
        <w:spacing w:line="360" w:lineRule="auto"/>
        <w:ind w:firstLine="480" w:firstLineChars="200"/>
        <w:rPr>
          <w:rFonts w:hint="eastAsia" w:ascii="宋体" w:hAnsi="宋体" w:cs="Arial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示值误差</w:t>
      </w:r>
    </w:p>
    <w:p>
      <w:pPr>
        <w:shd w:val="clear" w:color="auto" w:fill="FFFFFF" w:themeFill="background1"/>
        <w:spacing w:line="360" w:lineRule="auto"/>
        <w:jc w:val="left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3.2 校准方法</w:t>
      </w:r>
    </w:p>
    <w:p>
      <w:pPr>
        <w:shd w:val="clear" w:color="auto" w:fill="FFFFFF" w:themeFill="background1"/>
        <w:spacing w:line="360" w:lineRule="auto"/>
        <w:ind w:firstLine="480" w:firstLineChars="200"/>
        <w:jc w:val="left"/>
        <w:textAlignment w:val="baseline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校准方法参照JJG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17-2016中部分有关称量测试的方法，并根据实际情况选取测量点。</w:t>
      </w:r>
    </w:p>
    <w:p>
      <w:pPr>
        <w:shd w:val="clear" w:color="auto" w:fill="FFFFFF" w:themeFill="background1"/>
        <w:spacing w:line="360" w:lineRule="auto"/>
        <w:jc w:val="left"/>
        <w:textAlignment w:val="baseline"/>
        <w:outlineLvl w:val="1"/>
        <w:rPr>
          <w:rFonts w:ascii="宋体" w:hAnsi="宋体"/>
          <w:sz w:val="24"/>
        </w:rPr>
      </w:pPr>
      <w:bookmarkStart w:id="16" w:name="_Toc515475853"/>
      <w:r>
        <w:rPr>
          <w:rFonts w:hint="eastAsia" w:ascii="宋体" w:hAnsi="宋体"/>
          <w:sz w:val="24"/>
        </w:rPr>
        <w:t>4. 校准结果</w:t>
      </w:r>
      <w:bookmarkEnd w:id="16"/>
    </w:p>
    <w:p>
      <w:pPr>
        <w:shd w:val="clear" w:color="auto" w:fill="FFFFFF" w:themeFill="background1"/>
        <w:spacing w:line="360" w:lineRule="auto"/>
        <w:jc w:val="left"/>
        <w:textAlignment w:val="baseline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符合JJF1071 5.12要求。</w:t>
      </w:r>
    </w:p>
    <w:p>
      <w:pPr>
        <w:shd w:val="clear" w:color="auto" w:fill="FFFFFF" w:themeFill="background1"/>
        <w:spacing w:line="360" w:lineRule="auto"/>
        <w:jc w:val="left"/>
        <w:textAlignment w:val="baseline"/>
        <w:outlineLvl w:val="1"/>
        <w:rPr>
          <w:rFonts w:ascii="宋体" w:hAnsi="宋体"/>
          <w:sz w:val="24"/>
        </w:rPr>
      </w:pPr>
      <w:bookmarkStart w:id="17" w:name="_Toc515475854"/>
      <w:r>
        <w:rPr>
          <w:rFonts w:hint="eastAsia" w:ascii="宋体" w:hAnsi="宋体"/>
          <w:sz w:val="24"/>
        </w:rPr>
        <w:t>5. 复校时间间隔</w:t>
      </w:r>
      <w:bookmarkEnd w:id="17"/>
    </w:p>
    <w:p>
      <w:pPr>
        <w:shd w:val="clear" w:color="auto" w:fill="FFFFFF" w:themeFill="background1"/>
        <w:spacing w:line="360" w:lineRule="auto"/>
        <w:ind w:firstLine="480" w:firstLineChars="200"/>
        <w:jc w:val="left"/>
        <w:textAlignment w:val="baseline"/>
        <w:rPr>
          <w:rFonts w:ascii="宋体" w:hAnsi="宋体"/>
          <w:sz w:val="24"/>
        </w:rPr>
      </w:pPr>
      <w:bookmarkStart w:id="18" w:name="_Toc515475855"/>
      <w:r>
        <w:rPr>
          <w:rFonts w:hint="eastAsia" w:ascii="宋体" w:hAnsi="宋体"/>
          <w:sz w:val="24"/>
        </w:rPr>
        <w:t>复校时间间隔由用户根据使用情况确定，</w:t>
      </w:r>
      <w:bookmarkStart w:id="19" w:name="_Hlk95954728"/>
      <w:r>
        <w:rPr>
          <w:rFonts w:hint="eastAsia" w:ascii="宋体" w:hAnsi="宋体"/>
          <w:sz w:val="24"/>
        </w:rPr>
        <w:t>建议复校时间间隔为1年</w:t>
      </w:r>
      <w:bookmarkEnd w:id="19"/>
      <w:r>
        <w:rPr>
          <w:rFonts w:hint="eastAsia" w:ascii="宋体" w:hAnsi="宋体"/>
          <w:sz w:val="24"/>
        </w:rPr>
        <w:t>，使用特别频繁时应适当缩短。</w:t>
      </w:r>
    </w:p>
    <w:p>
      <w:pPr>
        <w:shd w:val="clear" w:color="auto" w:fill="FFFFFF" w:themeFill="background1"/>
        <w:spacing w:line="360" w:lineRule="auto"/>
        <w:outlineLvl w:val="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6.  附录</w:t>
      </w:r>
      <w:bookmarkEnd w:id="18"/>
    </w:p>
    <w:p>
      <w:pPr>
        <w:shd w:val="clear" w:color="auto" w:fill="FFFFFF" w:themeFill="background1"/>
        <w:spacing w:line="360" w:lineRule="auto"/>
        <w:ind w:firstLine="480" w:firstLineChars="200"/>
        <w:outlineLvl w:val="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附录A 测量不确定度评定方法</w:t>
      </w:r>
      <w:r>
        <w:rPr>
          <w:rFonts w:hint="eastAsia" w:ascii="宋体" w:hAnsi="宋体" w:cs="Arial"/>
          <w:sz w:val="24"/>
        </w:rPr>
        <w:tab/>
      </w:r>
    </w:p>
    <w:p>
      <w:pPr>
        <w:shd w:val="clear" w:color="auto" w:fill="FFFFFF" w:themeFill="background1"/>
        <w:spacing w:line="360" w:lineRule="auto"/>
        <w:ind w:firstLine="480" w:firstLineChars="200"/>
        <w:outlineLvl w:val="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附录B 测量不确定度评定示例</w:t>
      </w:r>
      <w:r>
        <w:rPr>
          <w:rFonts w:hint="eastAsia" w:ascii="宋体" w:hAnsi="宋体" w:cs="Arial"/>
          <w:sz w:val="24"/>
        </w:rPr>
        <w:tab/>
      </w:r>
    </w:p>
    <w:p>
      <w:pPr>
        <w:shd w:val="clear" w:color="auto" w:fill="FFFFFF" w:themeFill="background1"/>
        <w:spacing w:line="360" w:lineRule="auto"/>
        <w:ind w:firstLine="480" w:firstLineChars="200"/>
        <w:outlineLvl w:val="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附录C 校准原始记录推荐格式</w:t>
      </w:r>
      <w:r>
        <w:rPr>
          <w:rFonts w:hint="eastAsia" w:ascii="宋体" w:hAnsi="宋体" w:cs="Arial"/>
          <w:sz w:val="24"/>
        </w:rPr>
        <w:tab/>
      </w:r>
    </w:p>
    <w:p>
      <w:pPr>
        <w:shd w:val="clear" w:color="auto" w:fill="FFFFFF" w:themeFill="background1"/>
        <w:spacing w:line="360" w:lineRule="auto"/>
        <w:ind w:firstLine="480" w:firstLineChars="200"/>
        <w:outlineLvl w:val="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附录D 校准证书内页推荐格式</w:t>
      </w:r>
      <w:r>
        <w:rPr>
          <w:rFonts w:hint="eastAsia" w:ascii="宋体" w:hAnsi="宋体" w:cs="Arial"/>
          <w:sz w:val="24"/>
        </w:rPr>
        <w:tab/>
      </w:r>
    </w:p>
    <w:p>
      <w:pPr>
        <w:pStyle w:val="3"/>
        <w:numPr>
          <w:ilvl w:val="0"/>
          <w:numId w:val="2"/>
        </w:numPr>
        <w:shd w:val="clear" w:color="auto" w:fill="FFFFFF" w:themeFill="background1"/>
      </w:pPr>
      <w:bookmarkStart w:id="20" w:name="_Toc56428275"/>
      <w:bookmarkStart w:id="21" w:name="_Toc18573311"/>
      <w:r>
        <w:rPr>
          <w:rFonts w:hint="eastAsia"/>
        </w:rPr>
        <w:t>工作小结</w:t>
      </w:r>
      <w:bookmarkEnd w:id="20"/>
      <w:bookmarkEnd w:id="21"/>
    </w:p>
    <w:p>
      <w:pPr>
        <w:shd w:val="clear" w:color="auto" w:fill="FFFFFF" w:themeFill="background1"/>
        <w:snapToGrid w:val="0"/>
        <w:spacing w:line="360" w:lineRule="auto"/>
        <w:ind w:firstLine="480" w:firstLineChars="200"/>
        <w:rPr>
          <w:rFonts w:ascii="宋体" w:hAnsi="宋体"/>
          <w:snapToGrid w:val="0"/>
          <w:kern w:val="0"/>
          <w:sz w:val="24"/>
        </w:rPr>
      </w:pPr>
      <w:r>
        <w:rPr>
          <w:rFonts w:hint="eastAsia" w:ascii="宋体" w:hAnsi="宋体"/>
          <w:snapToGrid w:val="0"/>
          <w:kern w:val="0"/>
          <w:sz w:val="24"/>
        </w:rPr>
        <w:t>通过对</w:t>
      </w:r>
      <w:r>
        <w:rPr>
          <w:rFonts w:hint="eastAsia" w:ascii="宋体" w:hAnsi="宋体" w:cs="Arial"/>
          <w:sz w:val="24"/>
        </w:rPr>
        <w:t>《</w:t>
      </w:r>
      <w:r>
        <w:rPr>
          <w:rFonts w:hint="eastAsia" w:ascii="宋体" w:hAnsi="宋体"/>
          <w:sz w:val="24"/>
        </w:rPr>
        <w:t>戥秤</w:t>
      </w:r>
      <w:r>
        <w:rPr>
          <w:rFonts w:hint="eastAsia" w:ascii="宋体" w:hAnsi="宋体" w:cs="Arial"/>
          <w:sz w:val="24"/>
        </w:rPr>
        <w:t>》国家计量校准规范</w:t>
      </w:r>
      <w:r>
        <w:rPr>
          <w:rFonts w:hint="eastAsia" w:ascii="宋体" w:hAnsi="宋体"/>
          <w:snapToGrid w:val="0"/>
          <w:kern w:val="0"/>
          <w:sz w:val="24"/>
        </w:rPr>
        <w:t>的编写，进一步提升了起草小组成员在此类计量设备的技术能力；但此规范因所涉的校准方法与传统的方法有所差异，在后续的工作中仍需要作进一步的研究工作。由于我们的水平和能力有限，难免有些差错和考虑不周之处，还请各位专家和委员多提宝贵意见，以便我们逐步完善该校准规范，在此，向为我们提出意见并付出辛勤劳动的委员、专家和有关单位致以真诚感谢。</w:t>
      </w:r>
    </w:p>
    <w:p>
      <w:pPr>
        <w:shd w:val="clear" w:color="auto" w:fill="FFFFFF" w:themeFill="background1"/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Style w:val="11"/>
      </w:rPr>
      <w:fldChar w:fldCharType="begin"/>
    </w:r>
    <w:r>
      <w:rPr>
        <w:rStyle w:val="11"/>
      </w:rPr>
      <w:instrText xml:space="preserve"> PAGE </w:instrText>
    </w:r>
    <w:r>
      <w:rPr>
        <w:rStyle w:val="11"/>
      </w:rPr>
      <w:fldChar w:fldCharType="separate"/>
    </w:r>
    <w:r>
      <w:rPr>
        <w:rStyle w:val="11"/>
      </w:rPr>
      <w:t>6</w:t>
    </w:r>
    <w:r>
      <w:rPr>
        <w:rStyle w:val="1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Style w:val="11"/>
      </w:rPr>
      <w:fldChar w:fldCharType="begin"/>
    </w:r>
    <w:r>
      <w:rPr>
        <w:rStyle w:val="11"/>
      </w:rPr>
      <w:instrText xml:space="preserve"> PAGE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."/>
      <w:lvlJc w:val="left"/>
      <w:pPr>
        <w:tabs>
          <w:tab w:val="left" w:pos="0"/>
        </w:tabs>
        <w:ind w:left="980" w:hanging="420"/>
      </w:pPr>
      <w:rPr>
        <w:rFonts w:hint="eastAsia"/>
        <w:sz w:val="24"/>
        <w:szCs w:val="28"/>
      </w:rPr>
    </w:lvl>
  </w:abstractNum>
  <w:abstractNum w:abstractNumId="1">
    <w:nsid w:val="00000012"/>
    <w:multiLevelType w:val="multilevel"/>
    <w:tmpl w:val="00000012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24"/>
      <w:suff w:val="nothing"/>
      <w:lvlText w:val="%1%2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4"/>
        <w:szCs w:val="24"/>
      </w:rPr>
    </w:lvl>
    <w:lvl w:ilvl="2" w:tentative="0">
      <w:start w:val="1"/>
      <w:numFmt w:val="decimal"/>
      <w:suff w:val="nothing"/>
      <w:lvlText w:val="%1%2.%3　"/>
      <w:lvlJc w:val="left"/>
      <w:pPr>
        <w:ind w:left="357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8CC5CC3"/>
    <w:multiLevelType w:val="singleLevel"/>
    <w:tmpl w:val="28CC5CC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1761A52"/>
    <w:multiLevelType w:val="multilevel"/>
    <w:tmpl w:val="41761A52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224F44"/>
    <w:multiLevelType w:val="multilevel"/>
    <w:tmpl w:val="5C224F44"/>
    <w:lvl w:ilvl="0" w:tentative="0">
      <w:start w:val="1"/>
      <w:numFmt w:val="decimal"/>
      <w:lvlText w:val="%1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20"/>
        </w:tabs>
        <w:ind w:left="720" w:hanging="720"/>
      </w:pPr>
      <w:rPr>
        <w:rFonts w:hint="default" w:ascii="宋体" w:hAnsi="宋体" w:eastAsia="宋体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Theme="minorEastAsia" w:hAnsiTheme="minorEastAsia" w:eastAsiaTheme="minorEastAsia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721"/>
    <w:rsid w:val="000106BC"/>
    <w:rsid w:val="000138F4"/>
    <w:rsid w:val="0001600F"/>
    <w:rsid w:val="00022DC4"/>
    <w:rsid w:val="00034A46"/>
    <w:rsid w:val="00073CC9"/>
    <w:rsid w:val="00081609"/>
    <w:rsid w:val="000922DD"/>
    <w:rsid w:val="000B57D2"/>
    <w:rsid w:val="000C393A"/>
    <w:rsid w:val="000E02D9"/>
    <w:rsid w:val="000F2CD8"/>
    <w:rsid w:val="000F7695"/>
    <w:rsid w:val="00135C59"/>
    <w:rsid w:val="00153A4B"/>
    <w:rsid w:val="001D484C"/>
    <w:rsid w:val="00243FED"/>
    <w:rsid w:val="0025671B"/>
    <w:rsid w:val="002E1212"/>
    <w:rsid w:val="0037596E"/>
    <w:rsid w:val="003E019D"/>
    <w:rsid w:val="003F3A36"/>
    <w:rsid w:val="00413176"/>
    <w:rsid w:val="004943C4"/>
    <w:rsid w:val="004A43FB"/>
    <w:rsid w:val="004A485F"/>
    <w:rsid w:val="00577C2A"/>
    <w:rsid w:val="005A6AE9"/>
    <w:rsid w:val="005B71E4"/>
    <w:rsid w:val="006010CB"/>
    <w:rsid w:val="006510A8"/>
    <w:rsid w:val="00697347"/>
    <w:rsid w:val="00712634"/>
    <w:rsid w:val="00720C4B"/>
    <w:rsid w:val="0074574C"/>
    <w:rsid w:val="007955D8"/>
    <w:rsid w:val="00797931"/>
    <w:rsid w:val="007D29E8"/>
    <w:rsid w:val="0082065D"/>
    <w:rsid w:val="008301B5"/>
    <w:rsid w:val="008C315E"/>
    <w:rsid w:val="00905ECF"/>
    <w:rsid w:val="009239DA"/>
    <w:rsid w:val="009428E7"/>
    <w:rsid w:val="00946F83"/>
    <w:rsid w:val="00993D39"/>
    <w:rsid w:val="009B6CEE"/>
    <w:rsid w:val="009E74F2"/>
    <w:rsid w:val="00A66DD2"/>
    <w:rsid w:val="00AB50ED"/>
    <w:rsid w:val="00B07AE4"/>
    <w:rsid w:val="00B20AB9"/>
    <w:rsid w:val="00B32CC2"/>
    <w:rsid w:val="00B35D99"/>
    <w:rsid w:val="00B37055"/>
    <w:rsid w:val="00B5073D"/>
    <w:rsid w:val="00BA6252"/>
    <w:rsid w:val="00BA627E"/>
    <w:rsid w:val="00BE700A"/>
    <w:rsid w:val="00BF1782"/>
    <w:rsid w:val="00C133FC"/>
    <w:rsid w:val="00C262A2"/>
    <w:rsid w:val="00C40392"/>
    <w:rsid w:val="00CF17A5"/>
    <w:rsid w:val="00D11AF6"/>
    <w:rsid w:val="00D14FD8"/>
    <w:rsid w:val="00D2510C"/>
    <w:rsid w:val="00D748D6"/>
    <w:rsid w:val="00DB0A0E"/>
    <w:rsid w:val="00DB0B6E"/>
    <w:rsid w:val="00DC699C"/>
    <w:rsid w:val="00E43D64"/>
    <w:rsid w:val="00EC04D3"/>
    <w:rsid w:val="00EE75A6"/>
    <w:rsid w:val="00F17721"/>
    <w:rsid w:val="00F6790F"/>
    <w:rsid w:val="00F71BE1"/>
    <w:rsid w:val="00FE12F8"/>
    <w:rsid w:val="04027E05"/>
    <w:rsid w:val="0E365647"/>
    <w:rsid w:val="11AE585A"/>
    <w:rsid w:val="16816E45"/>
    <w:rsid w:val="172E0063"/>
    <w:rsid w:val="1AA87445"/>
    <w:rsid w:val="1E3869E0"/>
    <w:rsid w:val="218034A8"/>
    <w:rsid w:val="2A9B5313"/>
    <w:rsid w:val="2ABE7379"/>
    <w:rsid w:val="33A2255E"/>
    <w:rsid w:val="378766B6"/>
    <w:rsid w:val="3CDC2FC0"/>
    <w:rsid w:val="3F3439D9"/>
    <w:rsid w:val="435A58DF"/>
    <w:rsid w:val="4A66279E"/>
    <w:rsid w:val="503B379F"/>
    <w:rsid w:val="50B6032D"/>
    <w:rsid w:val="547575AF"/>
    <w:rsid w:val="55143171"/>
    <w:rsid w:val="55542489"/>
    <w:rsid w:val="55C91639"/>
    <w:rsid w:val="58490869"/>
    <w:rsid w:val="59E364DA"/>
    <w:rsid w:val="61070727"/>
    <w:rsid w:val="618525EE"/>
    <w:rsid w:val="63CF6CA6"/>
    <w:rsid w:val="654D45D9"/>
    <w:rsid w:val="6B6F671F"/>
    <w:rsid w:val="6E4C49E7"/>
    <w:rsid w:val="721B73E3"/>
    <w:rsid w:val="761E22EA"/>
    <w:rsid w:val="7620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oc 1"/>
    <w:basedOn w:val="1"/>
    <w:next w:val="1"/>
    <w:semiHidden/>
    <w:unhideWhenUsed/>
    <w:qFormat/>
    <w:uiPriority w:val="39"/>
  </w:style>
  <w:style w:type="paragraph" w:styleId="8">
    <w:name w:val="toc 2"/>
    <w:basedOn w:val="7"/>
    <w:next w:val="1"/>
    <w:unhideWhenUsed/>
    <w:qFormat/>
    <w:uiPriority w:val="39"/>
    <w:pPr>
      <w:ind w:left="420" w:leftChars="200"/>
    </w:p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5"/>
    <w:semiHidden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2 字符"/>
    <w:basedOn w:val="10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1 字符"/>
    <w:basedOn w:val="10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19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大纲正文样式"/>
    <w:basedOn w:val="1"/>
    <w:qFormat/>
    <w:uiPriority w:val="0"/>
    <w:pPr>
      <w:tabs>
        <w:tab w:val="left" w:pos="540"/>
      </w:tabs>
      <w:spacing w:line="300" w:lineRule="auto"/>
      <w:ind w:firstLine="200" w:firstLineChars="200"/>
    </w:pPr>
    <w:rPr>
      <w:color w:val="000000"/>
      <w:sz w:val="24"/>
    </w:rPr>
  </w:style>
  <w:style w:type="character" w:customStyle="1" w:styleId="21">
    <w:name w:val="emtidy-1"/>
    <w:qFormat/>
    <w:uiPriority w:val="0"/>
    <w:rPr>
      <w:rFonts w:hint="default" w:ascii="Georgia" w:hAnsi="Georgia"/>
      <w:i/>
      <w:iCs/>
    </w:rPr>
  </w:style>
  <w:style w:type="character" w:customStyle="1" w:styleId="22">
    <w:name w:val="一级条标题 Char Char Char"/>
    <w:basedOn w:val="10"/>
    <w:link w:val="23"/>
    <w:qFormat/>
    <w:uiPriority w:val="0"/>
    <w:rPr>
      <w:rFonts w:ascii="黑体" w:eastAsia="黑体"/>
    </w:rPr>
  </w:style>
  <w:style w:type="paragraph" w:customStyle="1" w:styleId="23">
    <w:name w:val="一级条标题 Char Char"/>
    <w:basedOn w:val="24"/>
    <w:next w:val="25"/>
    <w:link w:val="22"/>
    <w:qFormat/>
    <w:uiPriority w:val="0"/>
    <w:pPr>
      <w:ind w:left="3570"/>
      <w:outlineLvl w:val="2"/>
    </w:pPr>
    <w:rPr>
      <w:rFonts w:hAnsiTheme="minorHAnsi" w:cstheme="minorBidi"/>
      <w:szCs w:val="22"/>
    </w:rPr>
  </w:style>
  <w:style w:type="paragraph" w:customStyle="1" w:styleId="24">
    <w:name w:val="章标题"/>
    <w:next w:val="25"/>
    <w:qFormat/>
    <w:uiPriority w:val="0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5">
    <w:name w:val="段"/>
    <w:link w:val="26"/>
    <w:qFormat/>
    <w:uiPriority w:val="0"/>
    <w:pPr>
      <w:autoSpaceDE w:val="0"/>
      <w:autoSpaceDN w:val="0"/>
      <w:ind w:firstLine="20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6">
    <w:name w:val="段 Char Char"/>
    <w:link w:val="25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66916-2A6E-441F-BFAA-62BA197657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6</Pages>
  <Words>1883</Words>
  <Characters>2015</Characters>
  <Lines>18</Lines>
  <Paragraphs>5</Paragraphs>
  <TotalTime>1</TotalTime>
  <ScaleCrop>false</ScaleCrop>
  <LinksUpToDate>false</LinksUpToDate>
  <CharactersWithSpaces>2087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2021-01-22T01:15:00Z</dcterms:created>
  <dc:creator>HQ2-MAJ16</dc:creator>
  <cp:lastModifiedBy>雷</cp:lastModifiedBy>
  <dcterms:modified xsi:type="dcterms:W3CDTF">2022-04-25T07:24:41Z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D49E88591B934E0C9935C33FFAA2A02A</vt:lpwstr>
  </property>
  <property fmtid="{D5CDD505-2E9C-101B-9397-08002B2CF9AE}" pid="4" name="commondata">
    <vt:lpwstr>eyJoZGlkIjoiNmQ4ZDk4YzJiZGIyOWM4MWUwMzAwYjBiZmJhNjkzNDEifQ==</vt:lpwstr>
  </property>
</Properties>
</file>