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right"/>
      </w:pPr>
      <w:bookmarkStart w:id="0" w:name="_Toc311814780"/>
      <w:bookmarkStart w:id="1" w:name="_Toc311814533"/>
      <w:bookmarkStart w:id="2" w:name="_Toc311812027"/>
      <w:r>
        <w:drawing>
          <wp:inline distT="0" distB="0" distL="0" distR="0">
            <wp:extent cx="1838325" cy="695325"/>
            <wp:effectExtent l="0" t="0" r="9525" b="9525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  <w:bookmarkEnd w:id="2"/>
    </w:p>
    <w:p/>
    <w:p>
      <w:pPr>
        <w:jc w:val="distribute"/>
        <w:rPr>
          <w:rFonts w:eastAsia="华文中宋"/>
          <w:b/>
          <w:bCs/>
          <w:sz w:val="52"/>
        </w:rPr>
      </w:pPr>
      <w:r>
        <w:rPr>
          <w:rFonts w:eastAsia="华文中宋"/>
          <w:b/>
          <w:bCs/>
          <w:sz w:val="52"/>
        </w:rPr>
        <w:t>中华人民共和国国家计量校准规范</w:t>
      </w:r>
    </w:p>
    <w:p>
      <w:pPr>
        <w:wordWrap w:val="0"/>
        <w:jc w:val="right"/>
        <w:rPr>
          <w:rFonts w:eastAsia="黑体"/>
          <w:bCs/>
          <w:sz w:val="28"/>
        </w:rPr>
      </w:pPr>
      <w:r>
        <w:rPr>
          <w:rFonts w:eastAsia="黑体"/>
          <w:bCs/>
          <w:sz w:val="28"/>
        </w:rPr>
        <w:t>JJF xxxx－xxxx</w:t>
      </w:r>
    </w:p>
    <w:p/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29300" cy="635"/>
                <wp:effectExtent l="0" t="0" r="19050" b="37465"/>
                <wp:wrapNone/>
                <wp:docPr id="5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63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0pt;margin-top:0pt;height:0.05pt;width:459pt;z-index:251660288;mso-width-relative:page;mso-height-relative:page;" filled="f" stroked="t" coordsize="21600,21600" o:gfxdata="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ldG8bSAAAAAgEAAA8AAAAAAAAAAQAgAAAAIgAAAGRycy9kb3du&#10;cmV2LnhtbFBLAQIUABQAAAAIAIdO4kCRVzaIzAEAAKIDAAAOAAAAAAAAAAEAIAAAACEBAABkcnMv&#10;ZTJvRG9jLnhtbFBLBQYAAAAABgAGAFkBAABf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</w:p>
    <w:p/>
    <w:p/>
    <w:p/>
    <w:p/>
    <w:p/>
    <w:p/>
    <w:p>
      <w:pPr>
        <w:jc w:val="center"/>
        <w:rPr>
          <w:rFonts w:eastAsia="黑体"/>
          <w:sz w:val="52"/>
        </w:rPr>
      </w:pPr>
      <w:r>
        <w:rPr>
          <w:rFonts w:eastAsia="黑体"/>
          <w:b/>
          <w:bCs/>
          <w:color w:val="000000"/>
          <w:sz w:val="48"/>
        </w:rPr>
        <w:t>生鲜乳体细胞检测仪校准规范</w:t>
      </w:r>
    </w:p>
    <w:p>
      <w:pPr>
        <w:jc w:val="center"/>
        <w:rPr>
          <w:bCs/>
          <w:sz w:val="30"/>
          <w:szCs w:val="30"/>
        </w:rPr>
      </w:pPr>
      <w:r>
        <w:rPr>
          <w:sz w:val="30"/>
          <w:szCs w:val="30"/>
        </w:rPr>
        <w:t xml:space="preserve">Calibration Specification for </w:t>
      </w:r>
      <w:bookmarkStart w:id="3" w:name="OLE_LINK6"/>
      <w:bookmarkStart w:id="4" w:name="OLE_LINK5"/>
      <w:r>
        <w:rPr>
          <w:sz w:val="30"/>
          <w:szCs w:val="30"/>
        </w:rPr>
        <w:t>Somatic Cell Counter for Raw Milk</w:t>
      </w:r>
      <w:bookmarkEnd w:id="3"/>
      <w:bookmarkEnd w:id="4"/>
      <w:r>
        <w:rPr>
          <w:sz w:val="30"/>
          <w:szCs w:val="30"/>
        </w:rPr>
        <w:t xml:space="preserve"> </w:t>
      </w:r>
    </w:p>
    <w:p>
      <w:pPr>
        <w:jc w:val="center"/>
        <w:rPr>
          <w:rFonts w:eastAsia="楷体_GB2312"/>
          <w:sz w:val="48"/>
        </w:rPr>
      </w:pPr>
      <w:r>
        <w:rPr>
          <w:rFonts w:eastAsia="楷体_GB2312"/>
          <w:sz w:val="48"/>
        </w:rPr>
        <w:t>（</w:t>
      </w:r>
      <w:r>
        <w:rPr>
          <w:rFonts w:hint="eastAsia" w:ascii="宋体" w:hAnsi="宋体" w:eastAsia="宋体" w:cs="宋体"/>
          <w:sz w:val="48"/>
          <w:lang w:val="en-US" w:eastAsia="zh-CN"/>
        </w:rPr>
        <w:t>征求意见稿</w:t>
      </w:r>
      <w:r>
        <w:rPr>
          <w:rFonts w:eastAsia="楷体_GB2312"/>
          <w:sz w:val="48"/>
        </w:rPr>
        <w:t>）</w:t>
      </w:r>
    </w:p>
    <w:p>
      <w:pPr>
        <w:jc w:val="center"/>
        <w:rPr>
          <w:rFonts w:eastAsia="黑体"/>
          <w:sz w:val="52"/>
        </w:rPr>
      </w:pPr>
    </w:p>
    <w:p>
      <w:pPr>
        <w:jc w:val="center"/>
        <w:rPr>
          <w:rFonts w:eastAsia="黑体"/>
          <w:sz w:val="52"/>
        </w:rPr>
      </w:pPr>
    </w:p>
    <w:p>
      <w:pPr>
        <w:jc w:val="center"/>
        <w:rPr>
          <w:rFonts w:eastAsia="黑体"/>
          <w:sz w:val="52"/>
        </w:rPr>
      </w:pPr>
    </w:p>
    <w:p>
      <w:pPr>
        <w:jc w:val="center"/>
        <w:rPr>
          <w:rFonts w:eastAsia="黑体"/>
          <w:sz w:val="30"/>
        </w:rPr>
      </w:pPr>
    </w:p>
    <w:p>
      <w:pPr>
        <w:jc w:val="center"/>
        <w:rPr>
          <w:rFonts w:eastAsia="黑体"/>
          <w:sz w:val="24"/>
        </w:rPr>
      </w:pPr>
    </w:p>
    <w:p>
      <w:pPr>
        <w:jc w:val="center"/>
        <w:rPr>
          <w:rFonts w:eastAsia="黑体"/>
          <w:sz w:val="52"/>
        </w:rPr>
      </w:pPr>
    </w:p>
    <w:p>
      <w:pPr>
        <w:jc w:val="center"/>
        <w:rPr>
          <w:rFonts w:eastAsia="黑体"/>
          <w:b/>
          <w:bCs/>
          <w:sz w:val="30"/>
          <w:szCs w:val="30"/>
        </w:rPr>
      </w:pPr>
      <w:r>
        <w:rPr>
          <w:rFonts w:eastAsia="黑体"/>
          <w:sz w:val="30"/>
          <w:szCs w:val="30"/>
        </w:rPr>
        <w:t>×××× - ×× - ×× 发布             ××××- ×× - ×× 实施</w:t>
      </w: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-113030</wp:posOffset>
                </wp:positionH>
                <wp:positionV relativeFrom="paragraph">
                  <wp:posOffset>99060</wp:posOffset>
                </wp:positionV>
                <wp:extent cx="5828030" cy="635"/>
                <wp:effectExtent l="0" t="0" r="20320" b="37465"/>
                <wp:wrapNone/>
                <wp:docPr id="4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8030" cy="63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-8.9pt;margin-top:7.8pt;height:0.05pt;width:458.9pt;z-index:251661312;mso-width-relative:page;mso-height-relative:page;" filled="f" stroked="t" coordsize="21600,21600" o:gfxdata="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tuPu9cAAAAJAQAADwAAAAAAAAABACAAAAAiAAAAZHJz&#10;L2Rvd25yZXYueG1sUEsBAhQAFAAAAAgAh07iQFx2G+jMAQAAogMAAA4AAAAAAAAAAQAgAAAAJgEA&#10;AGRycy9lMm9Eb2MueG1sUEsFBgAAAAAGAAYAWQEAAGQFAAAAAA=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eastAsia="黑体"/>
          <w:spacing w:val="16"/>
          <w:sz w:val="44"/>
        </w:rPr>
      </w:pPr>
      <w:r>
        <w:rPr>
          <w:rFonts w:eastAsia="华文中宋"/>
          <w:b/>
          <w:bCs/>
          <w:spacing w:val="16"/>
          <w:sz w:val="36"/>
        </w:rPr>
        <w:t>国家质量监督检验检疫总局</w:t>
      </w:r>
      <w:r>
        <w:rPr>
          <w:rFonts w:eastAsia="黑体"/>
          <w:spacing w:val="16"/>
          <w:sz w:val="28"/>
        </w:rPr>
        <w:t>发布</w:t>
      </w:r>
    </w:p>
    <w:p>
      <w:pPr>
        <w:spacing w:line="240" w:lineRule="atLeast"/>
        <w:ind w:firstLine="440" w:firstLineChars="100"/>
        <w:rPr>
          <w:rFonts w:eastAsia="黑体"/>
          <w:sz w:val="44"/>
        </w:rPr>
      </w:pPr>
    </w:p>
    <w:p>
      <w:pPr>
        <w:spacing w:line="240" w:lineRule="atLeast"/>
        <w:ind w:firstLine="440" w:firstLineChars="100"/>
        <w:rPr>
          <w:rFonts w:eastAsia="黑体"/>
          <w:sz w:val="44"/>
        </w:rPr>
      </w:pPr>
    </w:p>
    <w:p>
      <w:pPr>
        <w:spacing w:line="240" w:lineRule="atLeast"/>
        <w:ind w:firstLine="440" w:firstLineChars="100"/>
        <w:rPr>
          <w:rFonts w:eastAsia="黑体"/>
          <w:sz w:val="44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794" w:right="1418" w:bottom="1134" w:left="1418" w:header="1134" w:footer="0" w:gutter="0"/>
          <w:pgNumType w:fmt="upperRoman"/>
          <w:cols w:space="720" w:num="1"/>
          <w:titlePg/>
          <w:rtlGutter w:val="1"/>
          <w:docGrid w:type="lines" w:linePitch="312" w:charSpace="0"/>
        </w:sectPr>
      </w:pPr>
    </w:p>
    <w:p>
      <w:pPr>
        <w:spacing w:line="240" w:lineRule="atLeast"/>
        <w:ind w:firstLine="440" w:firstLineChars="100"/>
        <w:rPr>
          <w:rFonts w:eastAsia="黑体"/>
          <w:sz w:val="44"/>
        </w:rPr>
      </w:pPr>
    </w:p>
    <w:p>
      <w:pPr>
        <w:framePr w:w="2415" w:h="1092" w:hSpace="180" w:wrap="around" w:vAnchor="text" w:hAnchor="page" w:x="7986" w:y="232"/>
        <w:pBdr>
          <w:top w:val="doubleWave" w:color="auto" w:sz="6" w:space="7"/>
          <w:left w:val="doubleWave" w:color="auto" w:sz="6" w:space="7"/>
          <w:bottom w:val="doubleWave" w:color="auto" w:sz="6" w:space="7"/>
          <w:right w:val="doubleWave" w:color="auto" w:sz="6" w:space="7"/>
        </w:pBdr>
        <w:shd w:val="clear" w:color="FFFFFF" w:fill="auto"/>
        <w:ind w:firstLine="0" w:firstLineChars="0"/>
        <w:outlineLvl w:val="9"/>
        <w:rPr>
          <w:sz w:val="32"/>
          <w:szCs w:val="32"/>
        </w:rPr>
      </w:pPr>
      <w:bookmarkStart w:id="5" w:name="_Toc326073501"/>
      <w:bookmarkStart w:id="6" w:name="_Toc311814782"/>
      <w:bookmarkStart w:id="7" w:name="_Toc325014211"/>
      <w:bookmarkStart w:id="8" w:name="_Toc311816175"/>
      <w:bookmarkStart w:id="9" w:name="_Toc326053332"/>
      <w:bookmarkStart w:id="10" w:name="_Toc342505573"/>
      <w:bookmarkStart w:id="11" w:name="_Toc325548820"/>
      <w:bookmarkStart w:id="12" w:name="_Toc311814535"/>
      <w:bookmarkStart w:id="13" w:name="_Toc325635044"/>
      <w:bookmarkStart w:id="14" w:name="_Toc325990740"/>
      <w:bookmarkStart w:id="15" w:name="_Toc311812029"/>
      <w:bookmarkStart w:id="16" w:name="_Toc410830121"/>
      <w:bookmarkStart w:id="17" w:name="_Toc440640743"/>
      <w:r>
        <w:rPr>
          <w:sz w:val="32"/>
          <w:szCs w:val="32"/>
        </w:rPr>
        <w:t>JJF xxxx—xx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sz w:val="32"/>
          <w:szCs w:val="32"/>
        </w:rPr>
        <w:t>xx</w:t>
      </w:r>
      <w:bookmarkEnd w:id="16"/>
      <w:bookmarkEnd w:id="17"/>
    </w:p>
    <w:p>
      <w:pPr>
        <w:spacing w:line="240" w:lineRule="atLeast"/>
        <w:jc w:val="center"/>
        <w:rPr>
          <w:b/>
          <w:bCs/>
          <w:sz w:val="32"/>
        </w:rPr>
      </w:pPr>
      <w:bookmarkStart w:id="18" w:name="OLE_LINK315"/>
      <w:bookmarkStart w:id="19" w:name="OLE_LINK317"/>
      <w:bookmarkStart w:id="20" w:name="OLE_LINK316"/>
      <w:r>
        <w:rPr>
          <w:rFonts w:eastAsia="黑体"/>
          <w:sz w:val="36"/>
          <w:szCs w:val="36"/>
        </w:rPr>
        <w:t>生鲜乳体细胞检测仪校准规范</w:t>
      </w:r>
      <w:bookmarkEnd w:id="18"/>
      <w:bookmarkEnd w:id="19"/>
      <w:bookmarkEnd w:id="20"/>
      <w:r>
        <w:rPr>
          <w:b/>
          <w:bCs/>
          <w:sz w:val="32"/>
        </w:rPr>
        <w:t>Calibration Specification for Somatic Cell Counter for Raw Milk</w:t>
      </w:r>
    </w:p>
    <w:p>
      <w:pPr>
        <w:spacing w:line="240" w:lineRule="atLeast"/>
        <w:rPr>
          <w:sz w:val="32"/>
        </w:rPr>
      </w:pPr>
    </w:p>
    <w:p>
      <w:pPr>
        <w:spacing w:line="240" w:lineRule="atLeast"/>
        <w:ind w:firstLine="640" w:firstLineChars="200"/>
        <w:rPr>
          <w:sz w:val="32"/>
        </w:rPr>
      </w:pPr>
    </w:p>
    <w:p>
      <w:pPr>
        <w:rPr>
          <w:rFonts w:eastAsia="黑体"/>
          <w:sz w:val="24"/>
        </w:rPr>
        <w:sectPr>
          <w:footerReference r:id="rId8" w:type="first"/>
          <w:footerReference r:id="rId7" w:type="default"/>
          <w:pgSz w:w="11906" w:h="16838"/>
          <w:pgMar w:top="794" w:right="1418" w:bottom="1134" w:left="1418" w:header="1134" w:footer="0" w:gutter="0"/>
          <w:pgNumType w:fmt="upperRoman" w:start="1"/>
          <w:cols w:space="720" w:num="1"/>
          <w:rtlGutter w:val="1"/>
          <w:docGrid w:type="lines" w:linePitch="312" w:charSpace="0"/>
        </w:sectPr>
      </w:pPr>
    </w:p>
    <w:p>
      <w:pPr>
        <w:rPr>
          <w:sz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ge">
                  <wp:posOffset>3168650</wp:posOffset>
                </wp:positionV>
                <wp:extent cx="5939790" cy="635"/>
                <wp:effectExtent l="0" t="0" r="22860" b="37465"/>
                <wp:wrapNone/>
                <wp:docPr id="3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top:249.5pt;height:0.05pt;width:467.7pt;mso-position-horizontal:center;mso-position-vertical-relative:page;z-index:251659264;mso-width-relative:page;mso-height-relative:page;" filled="f" stroked="t" coordsize="21600,21600" o:gfxdata="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Vu2l7VAAAACAEAAA8AAAAAAAAAAQAgAAAAIgAAAGRycy9k&#10;b3ducmV2LnhtbFBLAQIUABQAAAAIAIdO4kDZdmU8zAEAAKIDAAAOAAAAAAAAAAEAIAAAACQBAABk&#10;cnMvZTJvRG9jLnhtbFBLBQYAAAAABgAGAFkBAABi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60"/>
        </w:tabs>
        <w:ind w:firstLine="660" w:firstLineChars="150"/>
        <w:rPr>
          <w:sz w:val="32"/>
        </w:rPr>
      </w:pPr>
      <w:r>
        <w:rPr>
          <w:rFonts w:eastAsia="黑体"/>
          <w:spacing w:val="80"/>
          <w:kern w:val="10"/>
          <w:sz w:val="28"/>
          <w:szCs w:val="28"/>
        </w:rPr>
        <w:t>归口单</w:t>
      </w:r>
      <w:r>
        <w:rPr>
          <w:rFonts w:eastAsia="黑体"/>
          <w:sz w:val="28"/>
          <w:szCs w:val="28"/>
        </w:rPr>
        <w:t xml:space="preserve">位:  </w:t>
      </w:r>
      <w:r>
        <w:rPr>
          <w:sz w:val="28"/>
          <w:szCs w:val="28"/>
        </w:rPr>
        <w:t>全国生物计量技术委员会</w:t>
      </w:r>
    </w:p>
    <w:p>
      <w:pPr>
        <w:tabs>
          <w:tab w:val="left" w:pos="360"/>
        </w:tabs>
        <w:ind w:firstLine="560" w:firstLineChars="200"/>
        <w:rPr>
          <w:sz w:val="28"/>
          <w:szCs w:val="28"/>
        </w:rPr>
      </w:pPr>
      <w:r>
        <w:rPr>
          <w:rFonts w:eastAsia="黑体"/>
          <w:sz w:val="28"/>
          <w:szCs w:val="28"/>
        </w:rPr>
        <w:t xml:space="preserve">主要起草单位:  </w:t>
      </w:r>
      <w:r>
        <w:rPr>
          <w:sz w:val="28"/>
          <w:szCs w:val="28"/>
        </w:rPr>
        <w:t>中国计量科学研究院</w:t>
      </w:r>
    </w:p>
    <w:p>
      <w:pPr>
        <w:tabs>
          <w:tab w:val="left" w:pos="360"/>
        </w:tabs>
        <w:ind w:firstLine="560" w:firstLineChars="200"/>
        <w:rPr>
          <w:sz w:val="28"/>
          <w:szCs w:val="28"/>
        </w:rPr>
      </w:pPr>
      <w:r>
        <w:rPr>
          <w:rFonts w:eastAsia="黑体"/>
          <w:sz w:val="28"/>
          <w:szCs w:val="28"/>
        </w:rPr>
        <w:t xml:space="preserve">参加起草单位:  </w:t>
      </w:r>
      <w:r>
        <w:rPr>
          <w:sz w:val="28"/>
          <w:szCs w:val="28"/>
        </w:rPr>
        <w:t>上海市计量测试技术研究院</w:t>
      </w: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ind w:firstLine="140" w:firstLineChars="50"/>
        <w:rPr>
          <w:sz w:val="28"/>
          <w:szCs w:val="28"/>
        </w:rPr>
      </w:pPr>
      <w:r>
        <w:rPr>
          <w:sz w:val="28"/>
          <w:szCs w:val="28"/>
        </w:rPr>
        <w:t>本规范委托全国生物计量技术委员会负责解释</w:t>
      </w:r>
    </w:p>
    <w:p>
      <w:pPr>
        <w:tabs>
          <w:tab w:val="left" w:pos="3240"/>
        </w:tabs>
        <w:ind w:firstLine="640" w:firstLineChars="200"/>
        <w:jc w:val="center"/>
        <w:rPr>
          <w:sz w:val="32"/>
        </w:rPr>
      </w:pPr>
    </w:p>
    <w:p>
      <w:pPr>
        <w:ind w:firstLine="560" w:firstLineChars="200"/>
        <w:rPr>
          <w:rFonts w:eastAsia="黑体"/>
          <w:sz w:val="28"/>
          <w:szCs w:val="28"/>
        </w:rPr>
      </w:pPr>
    </w:p>
    <w:p>
      <w:pPr>
        <w:ind w:firstLine="560" w:firstLineChars="200"/>
        <w:rPr>
          <w:rFonts w:eastAsia="黑体"/>
          <w:sz w:val="28"/>
          <w:szCs w:val="28"/>
        </w:rPr>
      </w:pPr>
    </w:p>
    <w:p>
      <w:pPr>
        <w:ind w:firstLine="560" w:firstLineChars="200"/>
        <w:rPr>
          <w:rFonts w:eastAsia="黑体"/>
          <w:sz w:val="28"/>
          <w:szCs w:val="28"/>
        </w:rPr>
      </w:pPr>
    </w:p>
    <w:p>
      <w:pPr>
        <w:ind w:firstLine="560" w:firstLineChars="200"/>
        <w:rPr>
          <w:rFonts w:eastAsia="黑体"/>
          <w:sz w:val="28"/>
          <w:szCs w:val="28"/>
        </w:rPr>
        <w:sectPr>
          <w:headerReference r:id="rId11" w:type="first"/>
          <w:footerReference r:id="rId14" w:type="first"/>
          <w:headerReference r:id="rId9" w:type="default"/>
          <w:footerReference r:id="rId12" w:type="default"/>
          <w:headerReference r:id="rId10" w:type="even"/>
          <w:footerReference r:id="rId13" w:type="even"/>
          <w:type w:val="continuous"/>
          <w:pgSz w:w="11906" w:h="16838"/>
          <w:pgMar w:top="1361" w:right="1418" w:bottom="1361" w:left="1418" w:header="851" w:footer="567" w:gutter="0"/>
          <w:pgNumType w:fmt="upperRoman" w:start="1"/>
          <w:cols w:space="720" w:num="1"/>
          <w:docGrid w:type="lines" w:linePitch="312" w:charSpace="0"/>
        </w:sectPr>
      </w:pPr>
    </w:p>
    <w:p>
      <w:pPr>
        <w:ind w:firstLine="560" w:firstLineChars="200"/>
        <w:rPr>
          <w:rFonts w:eastAsia="黑体"/>
          <w:sz w:val="28"/>
          <w:szCs w:val="28"/>
        </w:rPr>
      </w:pPr>
    </w:p>
    <w:p>
      <w:pPr>
        <w:ind w:firstLine="560" w:firstLineChars="200"/>
        <w:rPr>
          <w:rFonts w:eastAsia="黑体"/>
          <w:sz w:val="28"/>
          <w:szCs w:val="28"/>
        </w:rPr>
      </w:pPr>
    </w:p>
    <w:p>
      <w:pPr>
        <w:ind w:firstLine="560" w:firstLineChars="2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本规范主要起草人:</w:t>
      </w:r>
    </w:p>
    <w:p>
      <w:pPr>
        <w:ind w:firstLine="2940" w:firstLineChars="1050"/>
        <w:rPr>
          <w:sz w:val="28"/>
          <w:szCs w:val="28"/>
        </w:rPr>
      </w:pPr>
      <w:r>
        <w:rPr>
          <w:sz w:val="28"/>
          <w:szCs w:val="28"/>
        </w:rPr>
        <w:t>牛春艳（中国计量科学研究院）</w:t>
      </w:r>
    </w:p>
    <w:p>
      <w:pPr>
        <w:ind w:firstLine="2940" w:firstLineChars="1050"/>
        <w:rPr>
          <w:sz w:val="28"/>
          <w:szCs w:val="28"/>
        </w:rPr>
      </w:pPr>
      <w:r>
        <w:rPr>
          <w:sz w:val="28"/>
          <w:szCs w:val="28"/>
        </w:rPr>
        <w:t>刘瑛颖（中国计量科学研究院）</w:t>
      </w:r>
    </w:p>
    <w:p>
      <w:pPr>
        <w:ind w:firstLine="2940" w:firstLineChars="1050"/>
        <w:rPr>
          <w:sz w:val="28"/>
          <w:szCs w:val="28"/>
        </w:rPr>
      </w:pPr>
      <w:r>
        <w:rPr>
          <w:sz w:val="28"/>
          <w:szCs w:val="28"/>
        </w:rPr>
        <w:t>张玲（中国计量科学研究院）</w:t>
      </w:r>
    </w:p>
    <w:p>
      <w:pPr>
        <w:ind w:firstLine="1400" w:firstLineChars="5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参加起草人：</w:t>
      </w:r>
    </w:p>
    <w:p>
      <w:pPr>
        <w:ind w:firstLine="2940" w:firstLineChars="1050"/>
        <w:rPr>
          <w:sz w:val="28"/>
          <w:szCs w:val="28"/>
        </w:rPr>
      </w:pPr>
      <w:r>
        <w:rPr>
          <w:sz w:val="28"/>
          <w:szCs w:val="28"/>
        </w:rPr>
        <w:t>李妍（上海市计量测试技术研究院）</w:t>
      </w:r>
    </w:p>
    <w:p>
      <w:pPr>
        <w:ind w:firstLine="2940" w:firstLineChars="1050"/>
        <w:rPr>
          <w:sz w:val="28"/>
          <w:szCs w:val="28"/>
        </w:rPr>
      </w:pPr>
      <w:r>
        <w:rPr>
          <w:sz w:val="28"/>
          <w:szCs w:val="28"/>
        </w:rPr>
        <w:t>许丽（上海市计量测试技术研究院）</w:t>
      </w:r>
    </w:p>
    <w:p>
      <w:pPr>
        <w:ind w:firstLine="2940" w:firstLineChars="1050"/>
        <w:rPr>
          <w:sz w:val="28"/>
          <w:szCs w:val="28"/>
        </w:rPr>
      </w:pPr>
      <w:r>
        <w:rPr>
          <w:sz w:val="28"/>
          <w:szCs w:val="28"/>
        </w:rPr>
        <w:t>刘刚（上海市计量测试技术研究院）</w:t>
      </w:r>
    </w:p>
    <w:p>
      <w:pPr>
        <w:ind w:firstLine="560" w:firstLineChars="200"/>
        <w:rPr>
          <w:rFonts w:eastAsia="黑体"/>
          <w:sz w:val="28"/>
          <w:szCs w:val="28"/>
        </w:rPr>
      </w:pPr>
    </w:p>
    <w:p>
      <w:pPr>
        <w:ind w:firstLine="560" w:firstLineChars="200"/>
        <w:rPr>
          <w:kern w:val="0"/>
          <w:sz w:val="28"/>
          <w:szCs w:val="28"/>
        </w:rPr>
      </w:pPr>
    </w:p>
    <w:p>
      <w:pPr>
        <w:pStyle w:val="10"/>
        <w:tabs>
          <w:tab w:val="left" w:pos="2160"/>
        </w:tabs>
        <w:spacing w:after="0"/>
        <w:rPr>
          <w:sz w:val="28"/>
          <w:szCs w:val="28"/>
        </w:rPr>
      </w:pPr>
    </w:p>
    <w:p>
      <w:pPr>
        <w:ind w:firstLine="640" w:firstLineChars="200"/>
        <w:rPr>
          <w:sz w:val="32"/>
        </w:rPr>
      </w:pPr>
    </w:p>
    <w:p>
      <w:pPr>
        <w:ind w:firstLine="640" w:firstLineChars="200"/>
        <w:rPr>
          <w:sz w:val="32"/>
        </w:rPr>
      </w:pPr>
    </w:p>
    <w:p>
      <w:pPr>
        <w:ind w:firstLine="640" w:firstLineChars="200"/>
        <w:rPr>
          <w:sz w:val="32"/>
        </w:rPr>
      </w:pPr>
    </w:p>
    <w:p>
      <w:pPr>
        <w:ind w:firstLine="640" w:firstLineChars="200"/>
        <w:rPr>
          <w:sz w:val="32"/>
        </w:rPr>
      </w:pPr>
    </w:p>
    <w:p>
      <w:pPr>
        <w:ind w:firstLine="640" w:firstLineChars="200"/>
        <w:rPr>
          <w:sz w:val="32"/>
        </w:rPr>
      </w:pPr>
    </w:p>
    <w:p>
      <w:pPr>
        <w:ind w:firstLine="640" w:firstLineChars="200"/>
        <w:rPr>
          <w:sz w:val="32"/>
        </w:rPr>
      </w:pPr>
    </w:p>
    <w:p>
      <w:pPr>
        <w:ind w:firstLine="640" w:firstLineChars="200"/>
        <w:rPr>
          <w:sz w:val="32"/>
        </w:rPr>
      </w:pPr>
    </w:p>
    <w:p>
      <w:pPr>
        <w:ind w:firstLine="640" w:firstLineChars="200"/>
        <w:rPr>
          <w:sz w:val="32"/>
        </w:rPr>
      </w:pPr>
    </w:p>
    <w:p>
      <w:pPr>
        <w:ind w:firstLine="640" w:firstLineChars="200"/>
        <w:rPr>
          <w:sz w:val="32"/>
        </w:rPr>
      </w:pPr>
    </w:p>
    <w:p>
      <w:pPr>
        <w:ind w:firstLine="640" w:firstLineChars="200"/>
        <w:rPr>
          <w:sz w:val="32"/>
        </w:rPr>
        <w:sectPr>
          <w:footerReference r:id="rId16" w:type="first"/>
          <w:footerReference r:id="rId15" w:type="default"/>
          <w:pgSz w:w="11906" w:h="16838"/>
          <w:pgMar w:top="1361" w:right="1418" w:bottom="1361" w:left="1418" w:header="851" w:footer="567" w:gutter="0"/>
          <w:pgNumType w:fmt="upperRoman" w:start="1"/>
          <w:cols w:space="720" w:num="1"/>
          <w:titlePg/>
          <w:docGrid w:type="lines" w:linePitch="312" w:charSpace="0"/>
        </w:sectPr>
      </w:pPr>
    </w:p>
    <w:p>
      <w:pPr>
        <w:ind w:firstLine="640" w:firstLineChars="200"/>
        <w:rPr>
          <w:sz w:val="32"/>
        </w:rPr>
      </w:pPr>
    </w:p>
    <w:p>
      <w:pPr>
        <w:ind w:firstLine="640" w:firstLineChars="200"/>
        <w:rPr>
          <w:sz w:val="32"/>
        </w:rPr>
      </w:pPr>
    </w:p>
    <w:p>
      <w:pPr>
        <w:spacing w:line="540" w:lineRule="exact"/>
        <w:jc w:val="center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目</w:t>
      </w:r>
      <w:r>
        <w:rPr>
          <w:rFonts w:hint="eastAsia" w:eastAsia="黑体"/>
          <w:sz w:val="44"/>
          <w:szCs w:val="44"/>
          <w:lang w:val="en-US" w:eastAsia="zh-CN"/>
        </w:rPr>
        <w:t xml:space="preserve">    </w:t>
      </w:r>
      <w:r>
        <w:rPr>
          <w:rFonts w:eastAsia="黑体"/>
          <w:sz w:val="44"/>
          <w:szCs w:val="44"/>
        </w:rPr>
        <w:t>录</w:t>
      </w:r>
    </w:p>
    <w:p>
      <w:pPr>
        <w:spacing w:line="540" w:lineRule="exact"/>
        <w:jc w:val="center"/>
        <w:rPr>
          <w:rFonts w:eastAsia="黑体"/>
          <w:sz w:val="44"/>
          <w:szCs w:val="44"/>
        </w:rPr>
      </w:pPr>
    </w:p>
    <w:p>
      <w:pPr>
        <w:pStyle w:val="17"/>
        <w:tabs>
          <w:tab w:val="right" w:leader="dot" w:pos="907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lang w:val="zh-CN"/>
        </w:rPr>
        <w:fldChar w:fldCharType="begin"/>
      </w:r>
      <w:r>
        <w:rPr>
          <w:rFonts w:hint="default" w:ascii="Times New Roman" w:hAnsi="Times New Roman" w:eastAsia="黑体" w:cs="Times New Roman"/>
          <w:bCs/>
          <w:sz w:val="28"/>
          <w:szCs w:val="28"/>
          <w:lang w:val="zh-CN"/>
        </w:rPr>
        <w:instrText xml:space="preserve">TOC \o "1-1" \h \u </w:instrText>
      </w:r>
      <w:r>
        <w:rPr>
          <w:rFonts w:hint="default" w:ascii="Times New Roman" w:hAnsi="Times New Roman" w:eastAsia="黑体" w:cs="Times New Roman"/>
          <w:bCs/>
          <w:sz w:val="28"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_Toc31712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lang w:val="zh-CN"/>
        </w:rPr>
        <w:t>引言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_Toc31712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II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_Toc27469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</w:rPr>
        <w:t xml:space="preserve">1 </w:t>
      </w:r>
      <w:r>
        <w:rPr>
          <w:rFonts w:hint="default" w:ascii="Times New Roman" w:hAnsi="Times New Roman" w:eastAsia="宋体" w:cs="Times New Roman"/>
          <w:lang w:val="zh-CN"/>
        </w:rPr>
        <w:t>范围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_Toc27469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_Toc11304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lang w:val="zh-CN"/>
        </w:rPr>
        <w:t>2 引用文件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_Toc11304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_Toc14113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lang w:val="zh-CN"/>
        </w:rPr>
        <w:t>3 术语和计量单位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_Toc14113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_Toc31943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lang w:val="zh-CN"/>
        </w:rPr>
        <w:t>4 概述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_Toc31943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_Toc19088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lang w:val="zh-CN"/>
        </w:rPr>
        <w:t>5 计量特性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_Toc19088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_Toc19893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lang w:val="zh-CN"/>
        </w:rPr>
        <w:t>6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val="zh-CN"/>
        </w:rPr>
        <w:t>校准条件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_Toc19893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_Toc25781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lang w:val="zh-CN"/>
        </w:rPr>
        <w:t>7 校准项目和校准方法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_Toc25781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_Toc19613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val="zh-CN"/>
        </w:rPr>
        <w:t>校准结果表达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_Toc19613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_Toc9120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lang w:val="zh-CN"/>
        </w:rPr>
        <w:t>9 复校时间间隔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_Toc9120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_Toc29202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szCs w:val="28"/>
          <w:lang w:val="zh-CN"/>
        </w:rPr>
        <w:t>附录A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_Toc29202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_Toc19771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szCs w:val="28"/>
          <w:lang w:val="zh-CN"/>
        </w:rPr>
        <w:t>附录B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_Toc19771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pStyle w:val="17"/>
        <w:tabs>
          <w:tab w:val="right" w:leader="dot" w:pos="9070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begin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instrText xml:space="preserve"> HYPERLINK \l _Toc25975 </w:instrText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separate"/>
      </w:r>
      <w:r>
        <w:rPr>
          <w:rFonts w:hint="default" w:ascii="Times New Roman" w:hAnsi="Times New Roman" w:eastAsia="宋体" w:cs="Times New Roman"/>
          <w:szCs w:val="28"/>
          <w:lang w:val="zh-CN"/>
        </w:rPr>
        <w:t>附录C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_Toc25975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  <w:bCs/>
          <w:szCs w:val="28"/>
          <w:lang w:val="zh-CN"/>
        </w:rPr>
        <w:fldChar w:fldCharType="end"/>
      </w:r>
    </w:p>
    <w:p>
      <w:pPr>
        <w:tabs>
          <w:tab w:val="left" w:pos="360"/>
        </w:tabs>
        <w:autoSpaceDE w:val="0"/>
        <w:autoSpaceDN w:val="0"/>
        <w:adjustRightInd w:val="0"/>
        <w:spacing w:line="360" w:lineRule="auto"/>
        <w:jc w:val="left"/>
        <w:rPr>
          <w:rFonts w:eastAsia="黑体"/>
          <w:bCs/>
          <w:sz w:val="28"/>
          <w:szCs w:val="28"/>
          <w:lang w:val="zh-CN"/>
        </w:rPr>
      </w:pPr>
      <w:r>
        <w:rPr>
          <w:rFonts w:hint="default" w:ascii="Times New Roman" w:hAnsi="Times New Roman" w:eastAsia="黑体" w:cs="Times New Roman"/>
          <w:bCs/>
          <w:szCs w:val="28"/>
          <w:lang w:val="zh-CN"/>
        </w:rPr>
        <w:fldChar w:fldCharType="end"/>
      </w:r>
    </w:p>
    <w:p>
      <w:pPr>
        <w:tabs>
          <w:tab w:val="left" w:pos="525"/>
        </w:tabs>
        <w:spacing w:line="520" w:lineRule="exact"/>
        <w:jc w:val="center"/>
        <w:rPr>
          <w:color w:val="000000"/>
          <w:sz w:val="28"/>
          <w:szCs w:val="28"/>
        </w:rPr>
        <w:sectPr>
          <w:footerReference r:id="rId18" w:type="first"/>
          <w:footerReference r:id="rId17" w:type="default"/>
          <w:pgSz w:w="11906" w:h="16838"/>
          <w:pgMar w:top="1361" w:right="1418" w:bottom="1361" w:left="1418" w:header="851" w:footer="567" w:gutter="0"/>
          <w:pgNumType w:fmt="upperRoman" w:start="1"/>
          <w:cols w:space="720" w:num="1"/>
          <w:docGrid w:type="lines" w:linePitch="312" w:charSpace="0"/>
        </w:sectPr>
      </w:pPr>
    </w:p>
    <w:p>
      <w:pPr>
        <w:pStyle w:val="2"/>
        <w:spacing w:line="480" w:lineRule="auto"/>
        <w:ind w:firstLine="3898" w:firstLineChars="886"/>
        <w:rPr>
          <w:rFonts w:eastAsia="黑体"/>
          <w:sz w:val="28"/>
          <w:szCs w:val="28"/>
        </w:rPr>
      </w:pPr>
      <w:bookmarkStart w:id="21" w:name="_Toc31712"/>
      <w:bookmarkStart w:id="22" w:name="_Toc31624"/>
      <w:bookmarkStart w:id="23" w:name="_Toc25266"/>
      <w:bookmarkStart w:id="24" w:name="_Toc30848"/>
      <w:r>
        <w:rPr>
          <w:rFonts w:eastAsia="黑体"/>
          <w:lang w:val="zh-CN"/>
        </w:rPr>
        <w:t>引</w:t>
      </w:r>
      <w:r>
        <w:rPr>
          <w:rFonts w:hint="eastAsia" w:eastAsia="黑体"/>
          <w:lang w:val="en-US" w:eastAsia="zh-CN"/>
        </w:rPr>
        <w:t xml:space="preserve"> </w:t>
      </w:r>
      <w:r>
        <w:rPr>
          <w:rFonts w:eastAsia="黑体"/>
          <w:lang w:val="zh-CN"/>
        </w:rPr>
        <w:t>言</w:t>
      </w:r>
      <w:bookmarkEnd w:id="21"/>
      <w:bookmarkEnd w:id="22"/>
      <w:bookmarkEnd w:id="23"/>
      <w:bookmarkEnd w:id="24"/>
    </w:p>
    <w:p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</w:rPr>
      </w:pPr>
      <w:r>
        <w:rPr>
          <w:sz w:val="24"/>
          <w:lang w:val="zh-CN"/>
        </w:rPr>
        <w:t>本规范主要参考了中华人民共和国农业部发布标准</w:t>
      </w:r>
      <w:r>
        <w:rPr>
          <w:rFonts w:hint="eastAsia"/>
          <w:sz w:val="24"/>
          <w:lang w:val="zh-CN"/>
        </w:rPr>
        <w:t>《</w:t>
      </w:r>
      <w:r>
        <w:rPr>
          <w:sz w:val="24"/>
          <w:lang w:val="zh-CN"/>
        </w:rPr>
        <w:t>NY/T 800-2004 生鲜牛乳中体细胞测定方法》</w:t>
      </w:r>
      <w:r>
        <w:rPr>
          <w:sz w:val="24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540"/>
        <w:rPr>
          <w:sz w:val="24"/>
          <w:lang w:val="zh-CN"/>
        </w:rPr>
      </w:pPr>
      <w:r>
        <w:rPr>
          <w:sz w:val="24"/>
          <w:lang w:val="zh-CN"/>
        </w:rPr>
        <w:t>本规范为首次发布。</w:t>
      </w: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rPr>
          <w:sz w:val="24"/>
        </w:rPr>
      </w:pPr>
    </w:p>
    <w:p>
      <w:pPr>
        <w:autoSpaceDE w:val="0"/>
        <w:autoSpaceDN w:val="0"/>
        <w:adjustRightInd w:val="0"/>
        <w:spacing w:line="520" w:lineRule="exact"/>
        <w:ind w:firstLine="540"/>
        <w:rPr>
          <w:sz w:val="24"/>
        </w:rPr>
        <w:sectPr>
          <w:headerReference r:id="rId21" w:type="first"/>
          <w:footerReference r:id="rId24" w:type="first"/>
          <w:headerReference r:id="rId19" w:type="default"/>
          <w:footerReference r:id="rId22" w:type="default"/>
          <w:headerReference r:id="rId20" w:type="even"/>
          <w:footerReference r:id="rId23" w:type="even"/>
          <w:pgSz w:w="11906" w:h="16838"/>
          <w:pgMar w:top="1361" w:right="1418" w:bottom="1361" w:left="1418" w:header="851" w:footer="1052" w:gutter="0"/>
          <w:pgNumType w:fmt="upperRoman" w:start="2"/>
          <w:cols w:space="720" w:num="1"/>
          <w:docGrid w:type="linesAndChars" w:linePitch="312" w:charSpace="0"/>
        </w:sectPr>
      </w:pPr>
    </w:p>
    <w:p>
      <w:pPr>
        <w:autoSpaceDE w:val="0"/>
        <w:autoSpaceDN w:val="0"/>
        <w:adjustRightInd w:val="0"/>
        <w:jc w:val="center"/>
        <w:rPr>
          <w:rFonts w:eastAsia="黑体"/>
          <w:sz w:val="32"/>
          <w:szCs w:val="32"/>
          <w:lang w:val="zh-CN"/>
        </w:rPr>
      </w:pPr>
      <w:r>
        <w:rPr>
          <w:rFonts w:eastAsia="黑体"/>
          <w:sz w:val="32"/>
          <w:szCs w:val="32"/>
          <w:lang w:val="zh-CN"/>
        </w:rPr>
        <w:t>生鲜乳体细胞检测仪校准规范</w:t>
      </w:r>
    </w:p>
    <w:p>
      <w:pPr>
        <w:autoSpaceDE w:val="0"/>
        <w:autoSpaceDN w:val="0"/>
        <w:adjustRightInd w:val="0"/>
        <w:jc w:val="center"/>
        <w:rPr>
          <w:rFonts w:eastAsia="黑体"/>
          <w:bCs/>
          <w:sz w:val="28"/>
          <w:szCs w:val="28"/>
        </w:rPr>
      </w:pPr>
    </w:p>
    <w:p>
      <w:pPr>
        <w:pStyle w:val="2"/>
        <w:spacing w:line="360" w:lineRule="auto"/>
        <w:ind w:firstLine="0" w:firstLineChars="0"/>
        <w:jc w:val="left"/>
        <w:rPr>
          <w:rFonts w:eastAsia="黑体"/>
          <w:b w:val="0"/>
          <w:sz w:val="24"/>
        </w:rPr>
      </w:pPr>
      <w:bookmarkStart w:id="25" w:name="_Toc1305"/>
      <w:bookmarkStart w:id="26" w:name="_Toc27469"/>
      <w:bookmarkStart w:id="27" w:name="_Toc7143"/>
      <w:bookmarkStart w:id="28" w:name="_Toc16607"/>
      <w:r>
        <w:rPr>
          <w:rFonts w:eastAsia="黑体"/>
          <w:b w:val="0"/>
          <w:sz w:val="24"/>
        </w:rPr>
        <w:t xml:space="preserve">1 </w:t>
      </w:r>
      <w:r>
        <w:rPr>
          <w:rFonts w:eastAsia="黑体"/>
          <w:b w:val="0"/>
          <w:sz w:val="24"/>
          <w:lang w:val="zh-CN"/>
        </w:rPr>
        <w:t>范围</w:t>
      </w:r>
      <w:bookmarkEnd w:id="25"/>
      <w:bookmarkEnd w:id="26"/>
      <w:bookmarkEnd w:id="27"/>
      <w:bookmarkEnd w:id="28"/>
    </w:p>
    <w:p>
      <w:pPr>
        <w:autoSpaceDE w:val="0"/>
        <w:autoSpaceDN w:val="0"/>
        <w:adjustRightInd w:val="0"/>
        <w:spacing w:line="360" w:lineRule="auto"/>
        <w:ind w:firstLine="528" w:firstLineChars="220"/>
        <w:rPr>
          <w:sz w:val="24"/>
        </w:rPr>
      </w:pPr>
      <w:r>
        <w:rPr>
          <w:sz w:val="24"/>
          <w:lang w:val="zh-CN"/>
        </w:rPr>
        <w:t>本规范适用于</w:t>
      </w:r>
      <w:bookmarkStart w:id="29" w:name="OLE_LINK244"/>
      <w:bookmarkStart w:id="30" w:name="OLE_LINK243"/>
      <w:bookmarkStart w:id="31" w:name="OLE_LINK245"/>
      <w:r>
        <w:rPr>
          <w:sz w:val="24"/>
          <w:lang w:val="zh-CN"/>
        </w:rPr>
        <w:t>电子粒子计数法、荧光光电计数法及计算机视觉镜检法等原理的</w:t>
      </w:r>
      <w:r>
        <w:rPr>
          <w:rFonts w:hint="eastAsia"/>
          <w:sz w:val="24"/>
          <w:lang w:val="en-US" w:eastAsia="zh-CN"/>
        </w:rPr>
        <w:t>生鲜乳</w:t>
      </w:r>
      <w:r>
        <w:rPr>
          <w:sz w:val="24"/>
          <w:lang w:val="zh-CN"/>
        </w:rPr>
        <w:t>体细胞检测仪的校准。</w:t>
      </w:r>
      <w:bookmarkEnd w:id="29"/>
      <w:bookmarkEnd w:id="30"/>
      <w:bookmarkEnd w:id="31"/>
      <w:r>
        <w:rPr>
          <w:sz w:val="24"/>
          <w:lang w:val="zh-CN"/>
        </w:rPr>
        <w:t>其它原理的</w:t>
      </w:r>
      <w:r>
        <w:rPr>
          <w:rFonts w:hint="eastAsia"/>
          <w:sz w:val="24"/>
          <w:lang w:val="en-US" w:eastAsia="zh-CN"/>
        </w:rPr>
        <w:t>生鲜乳</w:t>
      </w:r>
      <w:r>
        <w:rPr>
          <w:sz w:val="24"/>
          <w:lang w:val="zh-CN"/>
        </w:rPr>
        <w:t>体细胞检测仪，可参照本规范执行。</w:t>
      </w:r>
    </w:p>
    <w:p>
      <w:pPr>
        <w:pStyle w:val="2"/>
        <w:spacing w:line="360" w:lineRule="auto"/>
        <w:ind w:firstLine="0" w:firstLineChars="0"/>
        <w:jc w:val="left"/>
        <w:rPr>
          <w:rFonts w:eastAsia="黑体"/>
          <w:b w:val="0"/>
          <w:sz w:val="24"/>
          <w:lang w:val="zh-CN"/>
        </w:rPr>
      </w:pPr>
      <w:bookmarkStart w:id="32" w:name="_Toc11193"/>
      <w:bookmarkStart w:id="33" w:name="_Toc31990"/>
      <w:bookmarkStart w:id="34" w:name="_Toc11304"/>
      <w:bookmarkStart w:id="35" w:name="_Toc18379"/>
      <w:r>
        <w:rPr>
          <w:rFonts w:eastAsia="黑体"/>
          <w:b w:val="0"/>
          <w:sz w:val="24"/>
          <w:lang w:val="zh-CN"/>
        </w:rPr>
        <w:t>2 引用文件</w:t>
      </w:r>
      <w:bookmarkEnd w:id="32"/>
      <w:bookmarkEnd w:id="33"/>
      <w:bookmarkEnd w:id="34"/>
      <w:bookmarkEnd w:id="35"/>
    </w:p>
    <w:p>
      <w:pPr>
        <w:autoSpaceDE w:val="0"/>
        <w:autoSpaceDN w:val="0"/>
        <w:adjustRightInd w:val="0"/>
        <w:spacing w:line="360" w:lineRule="auto"/>
        <w:ind w:firstLine="540"/>
        <w:rPr>
          <w:sz w:val="24"/>
          <w:lang w:val="zh-CN"/>
        </w:rPr>
      </w:pPr>
      <w:r>
        <w:rPr>
          <w:sz w:val="24"/>
          <w:lang w:val="zh-CN"/>
        </w:rPr>
        <w:t>本规范引用了下列文件：</w:t>
      </w:r>
    </w:p>
    <w:p>
      <w:pPr>
        <w:autoSpaceDE w:val="0"/>
        <w:autoSpaceDN w:val="0"/>
        <w:adjustRightInd w:val="0"/>
        <w:spacing w:line="360" w:lineRule="auto"/>
        <w:ind w:firstLine="540"/>
        <w:rPr>
          <w:kern w:val="0"/>
          <w:sz w:val="24"/>
        </w:rPr>
      </w:pPr>
      <w:r>
        <w:rPr>
          <w:rFonts w:hint="eastAsia"/>
          <w:kern w:val="0"/>
          <w:sz w:val="24"/>
        </w:rPr>
        <w:t>JJF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1001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通用计量术语及定义</w:t>
      </w:r>
    </w:p>
    <w:p>
      <w:pPr>
        <w:autoSpaceDE w:val="0"/>
        <w:autoSpaceDN w:val="0"/>
        <w:adjustRightInd w:val="0"/>
        <w:spacing w:line="360" w:lineRule="auto"/>
        <w:ind w:firstLine="540"/>
        <w:rPr>
          <w:kern w:val="0"/>
          <w:sz w:val="24"/>
        </w:rPr>
      </w:pPr>
      <w:r>
        <w:rPr>
          <w:kern w:val="0"/>
          <w:sz w:val="24"/>
        </w:rPr>
        <w:t>JJF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kern w:val="0"/>
          <w:sz w:val="24"/>
        </w:rPr>
        <w:t>1071 国家计量校准规范编写规则</w:t>
      </w:r>
    </w:p>
    <w:p>
      <w:pPr>
        <w:autoSpaceDE w:val="0"/>
        <w:autoSpaceDN w:val="0"/>
        <w:adjustRightInd w:val="0"/>
        <w:spacing w:line="360" w:lineRule="auto"/>
        <w:ind w:firstLine="540"/>
        <w:rPr>
          <w:kern w:val="0"/>
          <w:sz w:val="24"/>
        </w:rPr>
      </w:pPr>
      <w:r>
        <w:rPr>
          <w:kern w:val="0"/>
          <w:sz w:val="24"/>
        </w:rPr>
        <w:t>JJF 1265 生物计量术语及定义</w:t>
      </w:r>
    </w:p>
    <w:p>
      <w:pPr>
        <w:autoSpaceDE w:val="0"/>
        <w:autoSpaceDN w:val="0"/>
        <w:adjustRightInd w:val="0"/>
        <w:spacing w:line="360" w:lineRule="auto"/>
        <w:ind w:firstLine="540"/>
        <w:rPr>
          <w:sz w:val="24"/>
          <w:lang w:val="zh-CN"/>
        </w:rPr>
      </w:pPr>
      <w:r>
        <w:rPr>
          <w:kern w:val="0"/>
          <w:sz w:val="24"/>
        </w:rPr>
        <w:t>凡是注日期的引用文件，仅注日期的版本适用于本规范，凡是不注日期的引用文件，其最新版本（包括所有的修订单）适用于本规范。</w:t>
      </w:r>
    </w:p>
    <w:p>
      <w:pPr>
        <w:pStyle w:val="2"/>
        <w:spacing w:line="360" w:lineRule="auto"/>
        <w:ind w:firstLine="0" w:firstLineChars="0"/>
        <w:jc w:val="left"/>
        <w:rPr>
          <w:rFonts w:eastAsia="黑体"/>
          <w:b w:val="0"/>
          <w:sz w:val="24"/>
          <w:lang w:val="zh-CN"/>
        </w:rPr>
      </w:pPr>
      <w:bookmarkStart w:id="36" w:name="_Toc25291"/>
      <w:bookmarkStart w:id="37" w:name="_Toc14113"/>
      <w:bookmarkStart w:id="38" w:name="_Toc28080"/>
      <w:bookmarkStart w:id="39" w:name="_Toc13792"/>
      <w:r>
        <w:rPr>
          <w:rFonts w:eastAsia="黑体"/>
          <w:b w:val="0"/>
          <w:sz w:val="24"/>
          <w:lang w:val="zh-CN"/>
        </w:rPr>
        <w:t>3 术语和计量单位</w:t>
      </w:r>
      <w:bookmarkEnd w:id="36"/>
      <w:bookmarkEnd w:id="37"/>
      <w:bookmarkEnd w:id="38"/>
      <w:bookmarkEnd w:id="39"/>
    </w:p>
    <w:p>
      <w:pPr>
        <w:autoSpaceDE w:val="0"/>
        <w:autoSpaceDN w:val="0"/>
        <w:adjustRightInd w:val="0"/>
        <w:spacing w:line="360" w:lineRule="auto"/>
        <w:ind w:firstLine="540"/>
        <w:rPr>
          <w:lang w:val="zh-CN"/>
        </w:rPr>
      </w:pPr>
      <w:r>
        <w:rPr>
          <w:rFonts w:hint="eastAsia"/>
          <w:kern w:val="0"/>
          <w:sz w:val="24"/>
        </w:rPr>
        <w:t>JJF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rFonts w:hint="eastAsia"/>
          <w:kern w:val="0"/>
          <w:sz w:val="24"/>
        </w:rPr>
        <w:t>1001</w:t>
      </w:r>
      <w:r>
        <w:rPr>
          <w:rFonts w:hint="eastAsia"/>
          <w:kern w:val="0"/>
          <w:sz w:val="24"/>
          <w:lang w:val="en-US" w:eastAsia="zh-CN"/>
        </w:rPr>
        <w:t>及</w:t>
      </w:r>
      <w:r>
        <w:rPr>
          <w:kern w:val="0"/>
          <w:sz w:val="24"/>
        </w:rPr>
        <w:t xml:space="preserve">JJF 1265 </w:t>
      </w:r>
      <w:r>
        <w:rPr>
          <w:rFonts w:hint="eastAsia"/>
          <w:kern w:val="0"/>
          <w:sz w:val="24"/>
        </w:rPr>
        <w:t>界定</w:t>
      </w:r>
      <w:r>
        <w:rPr>
          <w:kern w:val="0"/>
          <w:sz w:val="24"/>
        </w:rPr>
        <w:t>的术语和定义适用于本规范。</w:t>
      </w:r>
    </w:p>
    <w:p>
      <w:pPr>
        <w:pStyle w:val="2"/>
        <w:spacing w:line="360" w:lineRule="auto"/>
        <w:ind w:firstLine="0" w:firstLineChars="0"/>
        <w:jc w:val="left"/>
        <w:rPr>
          <w:rFonts w:eastAsia="黑体"/>
          <w:b w:val="0"/>
          <w:sz w:val="24"/>
          <w:lang w:val="zh-CN"/>
        </w:rPr>
      </w:pPr>
      <w:bookmarkStart w:id="40" w:name="_Toc13189"/>
      <w:bookmarkStart w:id="41" w:name="_Toc12034"/>
      <w:bookmarkStart w:id="42" w:name="_Toc26545"/>
      <w:bookmarkStart w:id="43" w:name="_Toc31943"/>
      <w:r>
        <w:rPr>
          <w:rFonts w:eastAsia="黑体"/>
          <w:b w:val="0"/>
          <w:sz w:val="24"/>
          <w:lang w:val="zh-CN"/>
        </w:rPr>
        <w:t>4 概述</w:t>
      </w:r>
      <w:bookmarkEnd w:id="40"/>
      <w:bookmarkEnd w:id="41"/>
      <w:bookmarkEnd w:id="42"/>
      <w:bookmarkEnd w:id="43"/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sz w:val="24"/>
          <w:lang w:val="zh-CN"/>
        </w:rPr>
      </w:pPr>
      <w:r>
        <w:rPr>
          <w:rFonts w:hint="eastAsia"/>
          <w:sz w:val="24"/>
          <w:lang w:val="en-US" w:eastAsia="zh-CN"/>
        </w:rPr>
        <w:t>体细胞数</w:t>
      </w:r>
      <w:r>
        <w:rPr>
          <w:sz w:val="24"/>
          <w:lang w:val="zh-CN"/>
        </w:rPr>
        <w:t>（sometic cell count, SCC）</w:t>
      </w:r>
      <w:r>
        <w:rPr>
          <w:rFonts w:hint="eastAsia"/>
          <w:sz w:val="24"/>
          <w:lang w:val="en-US" w:eastAsia="zh-CN"/>
        </w:rPr>
        <w:t>是指每毫升乳品中所含的体细胞总数，</w:t>
      </w:r>
      <w:r>
        <w:rPr>
          <w:sz w:val="24"/>
          <w:lang w:val="zh-CN"/>
        </w:rPr>
        <w:t>包括中性粒细胞、淋巴细胞、巨噬细胞及乳腺组织脱落的上皮细胞等</w:t>
      </w:r>
      <w:r>
        <w:rPr>
          <w:rFonts w:hint="eastAsia"/>
          <w:sz w:val="24"/>
          <w:lang w:val="en-US" w:eastAsia="zh-CN"/>
        </w:rPr>
        <w:t>。生鲜乳</w:t>
      </w:r>
      <w:r>
        <w:rPr>
          <w:sz w:val="24"/>
          <w:lang w:val="zh-CN"/>
        </w:rPr>
        <w:t>体细胞检测仪对生鲜乳中体细胞数进行检测。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sz w:val="24"/>
          <w:lang w:val="zh-CN"/>
        </w:rPr>
      </w:pPr>
      <w:r>
        <w:rPr>
          <w:sz w:val="24"/>
          <w:lang w:val="zh-CN"/>
        </w:rPr>
        <w:t>体细胞检测仪主要采用</w:t>
      </w:r>
      <w:bookmarkStart w:id="44" w:name="OLE_LINK8"/>
      <w:bookmarkStart w:id="45" w:name="OLE_LINK7"/>
      <w:r>
        <w:rPr>
          <w:sz w:val="24"/>
          <w:lang w:val="zh-CN"/>
        </w:rPr>
        <w:t>电子粒子计数法、荧光光电计数法及计算机视觉镜检法</w:t>
      </w:r>
      <w:bookmarkEnd w:id="44"/>
      <w:bookmarkEnd w:id="45"/>
      <w:r>
        <w:rPr>
          <w:sz w:val="24"/>
          <w:lang w:val="zh-CN"/>
        </w:rPr>
        <w:t>等。电子粒子计数法是通过记录体细胞经过狭缝时，由阻抗增值产生的电压脉冲数，读出体细胞数；荧光光电计数法是将细胞核内DNA染色产生荧光，</w:t>
      </w:r>
      <w:r>
        <w:rPr>
          <w:rFonts w:hint="eastAsia"/>
          <w:sz w:val="24"/>
          <w:lang w:val="en-US" w:eastAsia="zh-CN"/>
        </w:rPr>
        <w:t>进而</w:t>
      </w:r>
      <w:r>
        <w:rPr>
          <w:sz w:val="24"/>
          <w:lang w:val="zh-CN"/>
        </w:rPr>
        <w:t>转化为</w:t>
      </w:r>
      <w:r>
        <w:rPr>
          <w:rFonts w:hint="eastAsia"/>
          <w:sz w:val="24"/>
          <w:lang w:val="en-US" w:eastAsia="zh-CN"/>
        </w:rPr>
        <w:t>电信号</w:t>
      </w:r>
      <w:r>
        <w:rPr>
          <w:sz w:val="24"/>
          <w:lang w:val="zh-CN"/>
        </w:rPr>
        <w:t>，经放大记录，读出体细胞数</w:t>
      </w:r>
      <w:r>
        <w:rPr>
          <w:rFonts w:hint="eastAsia"/>
          <w:sz w:val="24"/>
          <w:lang w:val="zh-CN"/>
        </w:rPr>
        <w:t>，</w:t>
      </w:r>
      <w:r>
        <w:rPr>
          <w:rFonts w:hint="eastAsia"/>
          <w:sz w:val="24"/>
          <w:lang w:val="en-US" w:eastAsia="zh-CN"/>
        </w:rPr>
        <w:t>如流式细胞术检测方法，当荧光染色的体细胞在鞘液的包被下高速流动，并依次通过毛细通道时，使用光束激发荧光，实现体细胞计数</w:t>
      </w:r>
      <w:r>
        <w:rPr>
          <w:sz w:val="24"/>
          <w:lang w:val="zh-CN"/>
        </w:rPr>
        <w:t>；计算机视觉镜检法是利用数码显微镜采集奶样图像，经过图像处理和识别，得到体细胞数。</w:t>
      </w:r>
    </w:p>
    <w:p>
      <w:pPr>
        <w:pStyle w:val="2"/>
        <w:spacing w:line="360" w:lineRule="auto"/>
        <w:ind w:firstLine="0" w:firstLineChars="0"/>
        <w:jc w:val="left"/>
        <w:rPr>
          <w:rFonts w:eastAsia="黑体"/>
          <w:b w:val="0"/>
          <w:sz w:val="24"/>
          <w:lang w:val="zh-CN"/>
        </w:rPr>
      </w:pPr>
      <w:bookmarkStart w:id="46" w:name="_Toc19327"/>
      <w:bookmarkStart w:id="47" w:name="_Toc6970"/>
      <w:bookmarkStart w:id="48" w:name="_Toc26562"/>
      <w:bookmarkStart w:id="49" w:name="_Toc19088"/>
      <w:r>
        <w:rPr>
          <w:rFonts w:eastAsia="黑体"/>
          <w:b w:val="0"/>
          <w:sz w:val="24"/>
          <w:lang w:val="zh-CN"/>
        </w:rPr>
        <w:t>5 计量特性</w:t>
      </w:r>
      <w:bookmarkEnd w:id="46"/>
      <w:bookmarkEnd w:id="47"/>
      <w:bookmarkEnd w:id="48"/>
      <w:bookmarkEnd w:id="49"/>
    </w:p>
    <w:p>
      <w:pPr>
        <w:pStyle w:val="3"/>
        <w:spacing w:line="360" w:lineRule="auto"/>
        <w:rPr>
          <w:rFonts w:ascii="Times New Roman" w:hAnsi="Times New Roman"/>
          <w:b w:val="0"/>
          <w:sz w:val="24"/>
        </w:rPr>
      </w:pPr>
      <w:bookmarkStart w:id="50" w:name="_Toc5512"/>
      <w:bookmarkStart w:id="51" w:name="_Toc5057"/>
      <w:r>
        <w:rPr>
          <w:rFonts w:ascii="Times New Roman" w:hAnsi="Times New Roman"/>
          <w:b w:val="0"/>
          <w:sz w:val="24"/>
        </w:rPr>
        <w:t>5.</w:t>
      </w:r>
      <w:r>
        <w:rPr>
          <w:rFonts w:hint="eastAsia" w:ascii="Times New Roman" w:hAnsi="Times New Roman"/>
          <w:b w:val="0"/>
          <w:sz w:val="24"/>
          <w:lang w:val="en-US" w:eastAsia="zh-CN"/>
        </w:rPr>
        <w:t xml:space="preserve">1 </w:t>
      </w:r>
      <w:r>
        <w:rPr>
          <w:rFonts w:ascii="Times New Roman" w:hAnsi="Times New Roman"/>
          <w:b w:val="0"/>
          <w:sz w:val="24"/>
        </w:rPr>
        <w:t>相对示值误差</w:t>
      </w:r>
      <w:bookmarkEnd w:id="50"/>
      <w:bookmarkEnd w:id="51"/>
    </w:p>
    <w:p>
      <w:pPr>
        <w:pStyle w:val="3"/>
        <w:spacing w:line="360" w:lineRule="auto"/>
        <w:rPr>
          <w:rFonts w:ascii="Times New Roman" w:hAnsi="Times New Roman"/>
          <w:b w:val="0"/>
          <w:sz w:val="24"/>
        </w:rPr>
      </w:pPr>
      <w:bookmarkStart w:id="52" w:name="_Toc6863"/>
      <w:bookmarkStart w:id="53" w:name="_Toc11248"/>
      <w:r>
        <w:rPr>
          <w:rFonts w:ascii="Times New Roman" w:hAnsi="Times New Roman"/>
          <w:b w:val="0"/>
          <w:sz w:val="24"/>
        </w:rPr>
        <w:t>5.</w:t>
      </w:r>
      <w:r>
        <w:rPr>
          <w:rFonts w:hint="eastAsia" w:ascii="Times New Roman" w:hAnsi="Times New Roman"/>
          <w:b w:val="0"/>
          <w:sz w:val="24"/>
          <w:lang w:val="en-US" w:eastAsia="zh-CN"/>
        </w:rPr>
        <w:t xml:space="preserve">2 </w:t>
      </w:r>
      <w:r>
        <w:rPr>
          <w:rFonts w:ascii="Times New Roman" w:hAnsi="Times New Roman"/>
          <w:b w:val="0"/>
          <w:sz w:val="24"/>
        </w:rPr>
        <w:t>重复性</w:t>
      </w:r>
      <w:bookmarkEnd w:id="52"/>
      <w:bookmarkEnd w:id="53"/>
    </w:p>
    <w:p>
      <w:pPr>
        <w:pStyle w:val="3"/>
        <w:spacing w:line="360" w:lineRule="auto"/>
        <w:rPr>
          <w:rFonts w:ascii="Times New Roman" w:hAnsi="Times New Roman"/>
          <w:b w:val="0"/>
          <w:sz w:val="24"/>
        </w:rPr>
      </w:pPr>
      <w:bookmarkStart w:id="54" w:name="_Toc21326"/>
      <w:bookmarkStart w:id="55" w:name="_Toc25874"/>
      <w:r>
        <w:rPr>
          <w:rFonts w:ascii="Times New Roman" w:hAnsi="Times New Roman"/>
          <w:b w:val="0"/>
          <w:sz w:val="24"/>
        </w:rPr>
        <w:t>5.</w:t>
      </w:r>
      <w:r>
        <w:rPr>
          <w:rFonts w:hint="eastAsia" w:ascii="Times New Roman" w:hAnsi="Times New Roman"/>
          <w:b w:val="0"/>
          <w:sz w:val="24"/>
          <w:lang w:val="en-US" w:eastAsia="zh-CN"/>
        </w:rPr>
        <w:t xml:space="preserve">3 </w:t>
      </w:r>
      <w:r>
        <w:rPr>
          <w:rFonts w:ascii="Times New Roman" w:hAnsi="Times New Roman"/>
          <w:b w:val="0"/>
          <w:sz w:val="24"/>
        </w:rPr>
        <w:t>携带污染率</w:t>
      </w:r>
      <w:bookmarkEnd w:id="54"/>
      <w:bookmarkEnd w:id="55"/>
    </w:p>
    <w:p>
      <w:pPr>
        <w:ind w:firstLine="420" w:firstLineChars="200"/>
        <w:rPr>
          <w:rFonts w:hint="eastAsia" w:ascii="仿宋" w:hAnsi="仿宋" w:eastAsia="仿宋" w:cs="仿宋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sz w:val="21"/>
          <w:szCs w:val="21"/>
          <w:lang w:val="en-US" w:eastAsia="zh-CN"/>
        </w:rPr>
        <w:t>注：非液体管路仪器，例如原理为计算机视觉镜检法的仪器</w:t>
      </w:r>
      <w:bookmarkStart w:id="105" w:name="_GoBack"/>
      <w:bookmarkEnd w:id="105"/>
      <w:r>
        <w:rPr>
          <w:rFonts w:hint="eastAsia" w:ascii="仿宋" w:hAnsi="仿宋" w:eastAsia="仿宋" w:cs="仿宋"/>
          <w:b w:val="0"/>
          <w:sz w:val="21"/>
          <w:szCs w:val="21"/>
          <w:lang w:val="en-US" w:eastAsia="zh-CN"/>
        </w:rPr>
        <w:t>，不需要测量携带污染率。</w:t>
      </w:r>
    </w:p>
    <w:p>
      <w:pPr>
        <w:pStyle w:val="2"/>
        <w:spacing w:line="360" w:lineRule="auto"/>
        <w:ind w:firstLine="0" w:firstLineChars="0"/>
        <w:jc w:val="left"/>
        <w:rPr>
          <w:rFonts w:eastAsia="黑体"/>
          <w:b w:val="0"/>
          <w:sz w:val="24"/>
          <w:lang w:val="zh-CN"/>
        </w:rPr>
      </w:pPr>
      <w:bookmarkStart w:id="56" w:name="_Toc25968"/>
      <w:bookmarkStart w:id="57" w:name="_Toc12151"/>
      <w:bookmarkStart w:id="58" w:name="_Toc19893"/>
      <w:bookmarkStart w:id="59" w:name="_Toc20706"/>
      <w:r>
        <w:rPr>
          <w:rFonts w:eastAsia="黑体"/>
          <w:b w:val="0"/>
          <w:sz w:val="24"/>
          <w:lang w:val="zh-CN"/>
        </w:rPr>
        <w:t>6</w:t>
      </w:r>
      <w:r>
        <w:rPr>
          <w:rFonts w:hint="eastAsia" w:eastAsia="黑体"/>
          <w:b w:val="0"/>
          <w:sz w:val="24"/>
          <w:lang w:val="en-US" w:eastAsia="zh-CN"/>
        </w:rPr>
        <w:t xml:space="preserve"> </w:t>
      </w:r>
      <w:r>
        <w:rPr>
          <w:rFonts w:eastAsia="黑体"/>
          <w:b w:val="0"/>
          <w:sz w:val="24"/>
          <w:lang w:val="zh-CN"/>
        </w:rPr>
        <w:t>校准条件</w:t>
      </w:r>
      <w:bookmarkEnd w:id="56"/>
      <w:bookmarkEnd w:id="57"/>
      <w:bookmarkEnd w:id="58"/>
      <w:bookmarkEnd w:id="59"/>
    </w:p>
    <w:p>
      <w:pPr>
        <w:pStyle w:val="3"/>
        <w:spacing w:line="360" w:lineRule="auto"/>
        <w:rPr>
          <w:rFonts w:ascii="Times New Roman" w:hAnsi="Times New Roman"/>
          <w:b w:val="0"/>
          <w:sz w:val="24"/>
        </w:rPr>
      </w:pPr>
      <w:bookmarkStart w:id="60" w:name="_Toc15980"/>
      <w:bookmarkStart w:id="61" w:name="_Toc8909"/>
      <w:r>
        <w:rPr>
          <w:rFonts w:ascii="Times New Roman" w:hAnsi="Times New Roman"/>
          <w:b w:val="0"/>
          <w:sz w:val="24"/>
        </w:rPr>
        <w:t>6.1</w:t>
      </w:r>
      <w:r>
        <w:rPr>
          <w:rFonts w:hint="eastAsia" w:ascii="Times New Roman" w:hAnsi="Times New Roman"/>
          <w:b w:val="0"/>
          <w:sz w:val="24"/>
          <w:lang w:val="en-US" w:eastAsia="zh-CN"/>
        </w:rPr>
        <w:t xml:space="preserve"> </w:t>
      </w:r>
      <w:r>
        <w:rPr>
          <w:rFonts w:ascii="Times New Roman" w:hAnsi="Times New Roman"/>
          <w:b w:val="0"/>
          <w:sz w:val="24"/>
        </w:rPr>
        <w:t>环境条件</w:t>
      </w:r>
      <w:bookmarkEnd w:id="60"/>
      <w:bookmarkEnd w:id="61"/>
    </w:p>
    <w:p>
      <w:pPr>
        <w:tabs>
          <w:tab w:val="left" w:pos="540"/>
          <w:tab w:val="left" w:pos="720"/>
          <w:tab w:val="left" w:pos="2160"/>
        </w:tabs>
        <w:autoSpaceDE w:val="0"/>
        <w:autoSpaceDN w:val="0"/>
        <w:adjustRightInd w:val="0"/>
        <w:spacing w:line="360" w:lineRule="auto"/>
        <w:ind w:firstLine="480" w:firstLineChars="200"/>
        <w:rPr>
          <w:kern w:val="0"/>
          <w:sz w:val="24"/>
          <w:lang w:val="zh-CN"/>
        </w:rPr>
      </w:pPr>
      <w:r>
        <w:rPr>
          <w:kern w:val="0"/>
          <w:sz w:val="24"/>
          <w:lang w:val="zh-CN"/>
        </w:rPr>
        <w:t>环境温度：（1</w:t>
      </w:r>
      <w:r>
        <w:rPr>
          <w:rFonts w:hint="eastAsia"/>
          <w:kern w:val="0"/>
          <w:sz w:val="24"/>
          <w:lang w:val="en-US" w:eastAsia="zh-CN"/>
        </w:rPr>
        <w:t>5</w:t>
      </w:r>
      <w:r>
        <w:rPr>
          <w:kern w:val="0"/>
          <w:sz w:val="24"/>
          <w:lang w:val="zh-CN"/>
        </w:rPr>
        <w:t>～</w:t>
      </w:r>
      <w:r>
        <w:rPr>
          <w:rFonts w:hint="eastAsia"/>
          <w:kern w:val="0"/>
          <w:sz w:val="24"/>
          <w:lang w:val="en-US" w:eastAsia="zh-CN"/>
        </w:rPr>
        <w:t>35</w:t>
      </w:r>
      <w:r>
        <w:rPr>
          <w:kern w:val="0"/>
          <w:sz w:val="24"/>
          <w:lang w:val="zh-CN"/>
        </w:rPr>
        <w:t>）℃。</w:t>
      </w:r>
    </w:p>
    <w:p>
      <w:pPr>
        <w:tabs>
          <w:tab w:val="left" w:pos="540"/>
          <w:tab w:val="left" w:pos="720"/>
          <w:tab w:val="left" w:pos="2160"/>
        </w:tabs>
        <w:autoSpaceDE w:val="0"/>
        <w:autoSpaceDN w:val="0"/>
        <w:adjustRightInd w:val="0"/>
        <w:spacing w:line="360" w:lineRule="auto"/>
        <w:ind w:firstLine="480" w:firstLineChars="200"/>
        <w:rPr>
          <w:kern w:val="0"/>
          <w:sz w:val="24"/>
          <w:lang w:val="zh-CN"/>
        </w:rPr>
      </w:pPr>
      <w:r>
        <w:rPr>
          <w:kern w:val="0"/>
          <w:sz w:val="24"/>
          <w:lang w:val="zh-CN"/>
        </w:rPr>
        <w:t>相对湿度：</w:t>
      </w:r>
      <w:bookmarkStart w:id="62" w:name="OLE_LINK3"/>
      <w:bookmarkStart w:id="63" w:name="OLE_LINK2"/>
      <w:r>
        <w:rPr>
          <w:sz w:val="24"/>
        </w:rPr>
        <w:t>≤</w:t>
      </w:r>
      <w:bookmarkEnd w:id="62"/>
      <w:bookmarkEnd w:id="63"/>
      <w:r>
        <w:rPr>
          <w:kern w:val="0"/>
          <w:sz w:val="24"/>
          <w:lang w:val="zh-CN"/>
        </w:rPr>
        <w:t>80%。</w:t>
      </w:r>
    </w:p>
    <w:p>
      <w:pPr>
        <w:pStyle w:val="3"/>
        <w:spacing w:line="360" w:lineRule="auto"/>
        <w:rPr>
          <w:rFonts w:ascii="Times New Roman" w:hAnsi="Times New Roman"/>
          <w:b w:val="0"/>
          <w:sz w:val="24"/>
        </w:rPr>
      </w:pPr>
      <w:bookmarkStart w:id="64" w:name="OLE_LINK1"/>
      <w:bookmarkStart w:id="65" w:name="_Toc7176"/>
      <w:bookmarkStart w:id="66" w:name="_Toc18960"/>
      <w:r>
        <w:rPr>
          <w:rFonts w:ascii="Times New Roman" w:hAnsi="Times New Roman"/>
          <w:b w:val="0"/>
          <w:sz w:val="24"/>
        </w:rPr>
        <w:t>6.2 测量标准</w:t>
      </w:r>
      <w:bookmarkEnd w:id="64"/>
      <w:r>
        <w:rPr>
          <w:rFonts w:ascii="Times New Roman" w:hAnsi="Times New Roman"/>
          <w:b w:val="0"/>
          <w:sz w:val="24"/>
        </w:rPr>
        <w:t>及仪器</w:t>
      </w:r>
      <w:bookmarkEnd w:id="65"/>
      <w:bookmarkEnd w:id="66"/>
    </w:p>
    <w:p>
      <w:pPr>
        <w:tabs>
          <w:tab w:val="left" w:pos="540"/>
          <w:tab w:val="left" w:pos="720"/>
          <w:tab w:val="left" w:pos="2160"/>
        </w:tabs>
        <w:autoSpaceDE w:val="0"/>
        <w:autoSpaceDN w:val="0"/>
        <w:adjustRightInd w:val="0"/>
        <w:spacing w:line="360" w:lineRule="auto"/>
        <w:rPr>
          <w:sz w:val="24"/>
        </w:rPr>
      </w:pPr>
      <w:r>
        <w:rPr>
          <w:sz w:val="24"/>
        </w:rPr>
        <w:t>6.2.1 有证标准物质：</w:t>
      </w:r>
      <w:r>
        <w:rPr>
          <w:rFonts w:hint="eastAsia"/>
          <w:sz w:val="24"/>
          <w:lang w:val="en-US" w:eastAsia="zh-CN"/>
        </w:rPr>
        <w:t>应采用国内外有证标准物质进行仪器校准。选取</w:t>
      </w:r>
      <w:r>
        <w:rPr>
          <w:rFonts w:hint="eastAsia"/>
          <w:sz w:val="24"/>
        </w:rPr>
        <w:t>仪器</w:t>
      </w:r>
      <w:r>
        <w:rPr>
          <w:sz w:val="24"/>
        </w:rPr>
        <w:t>测量范围</w:t>
      </w:r>
      <w:r>
        <w:rPr>
          <w:rFonts w:hint="eastAsia"/>
          <w:sz w:val="24"/>
          <w:lang w:val="en-US" w:eastAsia="zh-CN"/>
        </w:rPr>
        <w:t>内</w:t>
      </w:r>
      <w:r>
        <w:rPr>
          <w:sz w:val="24"/>
        </w:rPr>
        <w:t>不同浓度</w:t>
      </w:r>
      <w:r>
        <w:rPr>
          <w:sz w:val="24"/>
          <w:lang w:val="zh-CN"/>
        </w:rPr>
        <w:t>生鲜乳体细胞数</w:t>
      </w:r>
      <w:r>
        <w:rPr>
          <w:rFonts w:hint="eastAsia"/>
          <w:sz w:val="24"/>
        </w:rPr>
        <w:t>标准物质</w:t>
      </w:r>
      <w:r>
        <w:rPr>
          <w:sz w:val="24"/>
        </w:rPr>
        <w:t>，相对扩展不确定度</w:t>
      </w:r>
      <w:r>
        <w:rPr>
          <w:rFonts w:hint="eastAsia" w:ascii="宋体" w:hAnsi="宋体" w:eastAsia="宋体" w:cs="宋体"/>
          <w:sz w:val="24"/>
        </w:rPr>
        <w:t>≦</w:t>
      </w:r>
      <w:r>
        <w:rPr>
          <w:rFonts w:hint="eastAsia"/>
          <w:sz w:val="24"/>
          <w:lang w:val="en-US" w:eastAsia="zh-CN"/>
        </w:rPr>
        <w:t>20</w:t>
      </w:r>
      <w:r>
        <w:rPr>
          <w:color w:val="auto"/>
          <w:sz w:val="24"/>
          <w:lang w:val="zh-CN"/>
        </w:rPr>
        <w:t>%</w:t>
      </w:r>
      <w:r>
        <w:rPr>
          <w:sz w:val="24"/>
        </w:rPr>
        <w:t>（</w:t>
      </w:r>
      <w:r>
        <w:rPr>
          <w:i/>
          <w:sz w:val="24"/>
        </w:rPr>
        <w:t>k</w:t>
      </w:r>
      <w:r>
        <w:rPr>
          <w:sz w:val="24"/>
        </w:rPr>
        <w:t>＝2）。</w:t>
      </w:r>
    </w:p>
    <w:p>
      <w:pPr>
        <w:tabs>
          <w:tab w:val="left" w:pos="540"/>
          <w:tab w:val="left" w:pos="720"/>
          <w:tab w:val="left" w:pos="2160"/>
        </w:tabs>
        <w:autoSpaceDE w:val="0"/>
        <w:autoSpaceDN w:val="0"/>
        <w:adjustRightInd w:val="0"/>
        <w:spacing w:line="360" w:lineRule="auto"/>
        <w:rPr>
          <w:sz w:val="24"/>
        </w:rPr>
      </w:pPr>
      <w:r>
        <w:rPr>
          <w:sz w:val="24"/>
        </w:rPr>
        <w:t xml:space="preserve">6.2.2 </w:t>
      </w:r>
      <w:r>
        <w:rPr>
          <w:kern w:val="0"/>
          <w:sz w:val="24"/>
          <w:lang w:val="zh-CN"/>
        </w:rPr>
        <w:t>水浴锅：恒温40℃</w:t>
      </w:r>
      <m:oMath>
        <m:r>
          <m:rPr>
            <m:sty m:val="p"/>
          </m:rPr>
          <w:rPr>
            <w:rFonts w:ascii="Cambria Math" w:hAnsi="Cambria Math"/>
            <w:kern w:val="0"/>
            <w:sz w:val="24"/>
            <w:lang w:val="zh-CN"/>
          </w:rPr>
          <m:t>±</m:t>
        </m:r>
      </m:oMath>
      <w:r>
        <w:rPr>
          <w:kern w:val="0"/>
          <w:sz w:val="24"/>
          <w:lang w:val="zh-CN"/>
        </w:rPr>
        <w:t xml:space="preserve">1℃。 </w:t>
      </w:r>
    </w:p>
    <w:p>
      <w:pPr>
        <w:pStyle w:val="2"/>
        <w:spacing w:line="360" w:lineRule="auto"/>
        <w:ind w:firstLine="0" w:firstLineChars="0"/>
        <w:jc w:val="left"/>
        <w:rPr>
          <w:rFonts w:eastAsia="黑体"/>
          <w:b w:val="0"/>
          <w:sz w:val="24"/>
          <w:lang w:val="zh-CN"/>
        </w:rPr>
      </w:pPr>
      <w:bookmarkStart w:id="67" w:name="_Toc13512"/>
      <w:bookmarkStart w:id="68" w:name="_Toc25781"/>
      <w:bookmarkStart w:id="69" w:name="_Toc13363"/>
      <w:bookmarkStart w:id="70" w:name="_Toc13973"/>
      <w:r>
        <w:rPr>
          <w:rFonts w:eastAsia="黑体"/>
          <w:b w:val="0"/>
          <w:sz w:val="24"/>
          <w:lang w:val="zh-CN"/>
        </w:rPr>
        <w:t>7 校准项目和校准方法</w:t>
      </w:r>
      <w:bookmarkEnd w:id="67"/>
      <w:bookmarkEnd w:id="68"/>
      <w:bookmarkEnd w:id="69"/>
      <w:bookmarkEnd w:id="70"/>
    </w:p>
    <w:p>
      <w:pPr>
        <w:pStyle w:val="3"/>
        <w:spacing w:line="360" w:lineRule="auto"/>
        <w:rPr>
          <w:rFonts w:ascii="Times New Roman" w:hAnsi="Times New Roman"/>
          <w:b w:val="0"/>
          <w:sz w:val="24"/>
        </w:rPr>
      </w:pPr>
      <w:bookmarkStart w:id="71" w:name="_Toc26149"/>
      <w:bookmarkStart w:id="72" w:name="_Toc6818"/>
      <w:r>
        <w:rPr>
          <w:rFonts w:ascii="Times New Roman" w:hAnsi="Times New Roman"/>
          <w:b w:val="0"/>
          <w:sz w:val="24"/>
        </w:rPr>
        <w:t>7.1 校准前准备</w:t>
      </w:r>
      <w:bookmarkEnd w:id="71"/>
      <w:bookmarkEnd w:id="72"/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>
        <w:rPr>
          <w:sz w:val="24"/>
        </w:rPr>
        <w:t xml:space="preserve">.1.1 </w:t>
      </w:r>
      <w:r>
        <w:rPr>
          <w:rFonts w:hint="eastAsia"/>
          <w:sz w:val="24"/>
          <w:lang w:val="en-US" w:eastAsia="zh-CN"/>
        </w:rPr>
        <w:t>将</w:t>
      </w:r>
      <w:r>
        <w:rPr>
          <w:sz w:val="24"/>
        </w:rPr>
        <w:t>标准物质在上机测试之前</w:t>
      </w:r>
      <w:r>
        <w:rPr>
          <w:rFonts w:hint="eastAsia"/>
          <w:sz w:val="24"/>
        </w:rPr>
        <w:t>置于水浴锅中加热</w:t>
      </w:r>
      <w:r>
        <w:rPr>
          <w:sz w:val="24"/>
        </w:rPr>
        <w:t>10~15</w:t>
      </w:r>
      <w:r>
        <w:rPr>
          <w:rFonts w:hint="eastAsia"/>
          <w:sz w:val="24"/>
        </w:rPr>
        <w:t>分钟，不超过</w:t>
      </w:r>
      <w:r>
        <w:rPr>
          <w:sz w:val="24"/>
        </w:rPr>
        <w:t>20</w:t>
      </w:r>
      <w:r>
        <w:rPr>
          <w:rFonts w:hint="eastAsia"/>
          <w:sz w:val="24"/>
        </w:rPr>
        <w:t>分钟。预热好的</w:t>
      </w:r>
      <w:r>
        <w:rPr>
          <w:rFonts w:hint="eastAsia"/>
          <w:sz w:val="24"/>
          <w:lang w:val="en-US" w:eastAsia="zh-CN"/>
        </w:rPr>
        <w:t>标准物质</w:t>
      </w:r>
      <w:r>
        <w:rPr>
          <w:sz w:val="24"/>
        </w:rPr>
        <w:t>在每次测试前进行摇匀，</w:t>
      </w:r>
      <w:r>
        <w:rPr>
          <w:rFonts w:hint="eastAsia"/>
          <w:sz w:val="24"/>
        </w:rPr>
        <w:t>上下颠倒</w:t>
      </w:r>
      <w:r>
        <w:rPr>
          <w:rFonts w:hint="eastAsia"/>
          <w:sz w:val="24"/>
          <w:lang w:val="en-US" w:eastAsia="zh-CN"/>
        </w:rPr>
        <w:t>8~10</w:t>
      </w:r>
      <w:r>
        <w:rPr>
          <w:rFonts w:hint="eastAsia"/>
          <w:sz w:val="24"/>
        </w:rPr>
        <w:t>次，再水平振摇5~</w:t>
      </w:r>
      <w:r>
        <w:rPr>
          <w:sz w:val="24"/>
        </w:rPr>
        <w:t>8</w:t>
      </w:r>
      <w:r>
        <w:rPr>
          <w:rFonts w:hint="eastAsia"/>
          <w:sz w:val="24"/>
        </w:rPr>
        <w:t>次</w:t>
      </w:r>
      <w:r>
        <w:rPr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sz w:val="24"/>
        </w:rPr>
        <w:t>7.1.2 参照仪器说明书对仪器进行预热，</w:t>
      </w:r>
      <w:r>
        <w:rPr>
          <w:rFonts w:hint="eastAsia"/>
          <w:sz w:val="24"/>
        </w:rPr>
        <w:t>至仪器达到稳定状态。</w:t>
      </w:r>
      <w:r>
        <w:rPr>
          <w:sz w:val="24"/>
        </w:rPr>
        <w:t>运行</w:t>
      </w:r>
      <w:r>
        <w:rPr>
          <w:rFonts w:hint="eastAsia"/>
          <w:sz w:val="24"/>
        </w:rPr>
        <w:t>仪器的</w:t>
      </w:r>
      <w:r>
        <w:rPr>
          <w:sz w:val="24"/>
        </w:rPr>
        <w:t xml:space="preserve">常规清洗、调零、质控等程序。  </w:t>
      </w:r>
    </w:p>
    <w:p>
      <w:pPr>
        <w:pStyle w:val="3"/>
        <w:spacing w:line="360" w:lineRule="auto"/>
        <w:rPr>
          <w:rFonts w:ascii="Times New Roman" w:hAnsi="Times New Roman"/>
          <w:b w:val="0"/>
          <w:sz w:val="24"/>
        </w:rPr>
      </w:pPr>
      <w:bookmarkStart w:id="73" w:name="_Toc21751"/>
      <w:bookmarkStart w:id="74" w:name="_Toc28564"/>
      <w:r>
        <w:rPr>
          <w:rFonts w:ascii="Times New Roman" w:hAnsi="Times New Roman"/>
          <w:b w:val="0"/>
          <w:sz w:val="24"/>
        </w:rPr>
        <w:t>7.</w:t>
      </w:r>
      <w:r>
        <w:rPr>
          <w:rFonts w:hint="eastAsia" w:ascii="Times New Roman" w:hAnsi="Times New Roman"/>
          <w:b w:val="0"/>
          <w:sz w:val="24"/>
          <w:lang w:val="en-US" w:eastAsia="zh-CN"/>
        </w:rPr>
        <w:t>2</w:t>
      </w:r>
      <w:r>
        <w:rPr>
          <w:rFonts w:ascii="Times New Roman" w:hAnsi="Times New Roman"/>
          <w:b w:val="0"/>
          <w:sz w:val="24"/>
        </w:rPr>
        <w:t xml:space="preserve"> 相对示值误差</w:t>
      </w:r>
      <w:bookmarkEnd w:id="73"/>
      <w:bookmarkEnd w:id="74"/>
    </w:p>
    <w:p>
      <w:pPr>
        <w:spacing w:line="360" w:lineRule="auto"/>
        <w:ind w:firstLine="482"/>
        <w:rPr>
          <w:sz w:val="24"/>
        </w:rPr>
      </w:pPr>
      <w:r>
        <w:rPr>
          <w:sz w:val="24"/>
        </w:rPr>
        <w:t>选取</w:t>
      </w:r>
      <w:r>
        <w:rPr>
          <w:rFonts w:hint="eastAsia"/>
          <w:sz w:val="24"/>
          <w:lang w:val="en-US" w:eastAsia="zh-CN"/>
        </w:rPr>
        <w:t>细胞</w:t>
      </w:r>
      <w:r>
        <w:rPr>
          <w:sz w:val="24"/>
        </w:rPr>
        <w:t>浓度</w:t>
      </w:r>
      <w:r>
        <w:rPr>
          <w:rFonts w:hint="eastAsia"/>
          <w:sz w:val="24"/>
          <w:lang w:val="en-US" w:eastAsia="zh-CN"/>
        </w:rPr>
        <w:t>范围在</w:t>
      </w:r>
      <w:r>
        <w:rPr>
          <w:rFonts w:hint="eastAsia"/>
          <w:color w:val="auto"/>
          <w:sz w:val="24"/>
          <w:lang w:eastAsia="zh-CN"/>
        </w:rPr>
        <w:t>（</w:t>
      </w:r>
      <w:r>
        <w:rPr>
          <w:rFonts w:hint="eastAsia"/>
          <w:color w:val="auto"/>
          <w:sz w:val="24"/>
          <w:lang w:val="en-US" w:eastAsia="zh-CN"/>
        </w:rPr>
        <w:t>30~75</w:t>
      </w:r>
      <w:r>
        <w:rPr>
          <w:rFonts w:hint="eastAsia"/>
          <w:color w:val="auto"/>
          <w:sz w:val="24"/>
          <w:lang w:eastAsia="zh-CN"/>
        </w:rPr>
        <w:t>）</w:t>
      </w:r>
      <w:r>
        <w:rPr>
          <w:rFonts w:hint="default" w:ascii="Arial" w:hAnsi="Arial" w:cs="Arial"/>
          <w:color w:val="auto"/>
          <w:sz w:val="24"/>
          <w:lang w:eastAsia="zh-CN"/>
        </w:rPr>
        <w:t>×</w:t>
      </w:r>
      <w:r>
        <w:rPr>
          <w:rFonts w:hint="eastAsia"/>
          <w:color w:val="auto"/>
          <w:sz w:val="24"/>
          <w:lang w:val="en-US" w:eastAsia="zh-CN"/>
        </w:rPr>
        <w:t>10</w:t>
      </w:r>
      <w:r>
        <w:rPr>
          <w:rFonts w:hint="eastAsia"/>
          <w:color w:val="auto"/>
          <w:sz w:val="24"/>
          <w:vertAlign w:val="superscript"/>
          <w:lang w:val="en-US" w:eastAsia="zh-CN"/>
        </w:rPr>
        <w:t>4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mL</w:t>
      </w:r>
      <w:r>
        <w:rPr>
          <w:sz w:val="24"/>
        </w:rPr>
        <w:t>的标准物质，</w:t>
      </w:r>
      <w:r>
        <w:rPr>
          <w:rFonts w:hint="eastAsia"/>
          <w:sz w:val="24"/>
        </w:rPr>
        <w:t>按7</w:t>
      </w:r>
      <w:r>
        <w:rPr>
          <w:sz w:val="24"/>
        </w:rPr>
        <w:t>.1.1</w:t>
      </w:r>
      <w:r>
        <w:rPr>
          <w:rFonts w:hint="eastAsia"/>
          <w:sz w:val="24"/>
        </w:rPr>
        <w:t>的要求</w:t>
      </w:r>
      <w:r>
        <w:rPr>
          <w:sz w:val="24"/>
        </w:rPr>
        <w:t>混匀后连续测量</w:t>
      </w:r>
      <w:r>
        <w:rPr>
          <w:rFonts w:hint="eastAsia"/>
          <w:sz w:val="24"/>
          <w:lang w:val="en-US" w:eastAsia="zh-CN"/>
        </w:rPr>
        <w:t>6</w:t>
      </w:r>
      <w:r>
        <w:rPr>
          <w:sz w:val="24"/>
        </w:rPr>
        <w:t>次，</w:t>
      </w:r>
      <w:r>
        <w:rPr>
          <w:rFonts w:hint="eastAsia"/>
          <w:sz w:val="24"/>
        </w:rPr>
        <w:t>记录</w:t>
      </w:r>
      <w:r>
        <w:rPr>
          <w:sz w:val="24"/>
        </w:rPr>
        <w:t>测量值，</w:t>
      </w:r>
      <w:r>
        <w:rPr>
          <w:rFonts w:hint="eastAsia"/>
          <w:sz w:val="24"/>
          <w:lang w:val="en-US" w:eastAsia="zh-CN"/>
        </w:rPr>
        <w:t>并计算测量平均值，</w:t>
      </w:r>
      <w:r>
        <w:rPr>
          <w:sz w:val="24"/>
        </w:rPr>
        <w:t>按公式</w:t>
      </w:r>
      <w:r>
        <w:rPr>
          <w:rFonts w:hint="eastAsia"/>
          <w:sz w:val="24"/>
        </w:rPr>
        <w:t>（1）</w:t>
      </w:r>
      <w:r>
        <w:rPr>
          <w:sz w:val="24"/>
        </w:rPr>
        <w:t>计算仪器的相对示值误差。</w:t>
      </w:r>
    </w:p>
    <w:p>
      <w:pPr>
        <w:spacing w:line="360" w:lineRule="auto"/>
        <w:ind w:firstLine="3360" w:firstLineChars="1400"/>
        <w:rPr>
          <w:rFonts w:hint="eastAsia"/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</w:rPr>
            <m:t>∆</m:t>
          </m:r>
          <m:r>
            <m:rPr>
              <m:sty m:val="p"/>
            </m:rPr>
            <w:rPr>
              <w:rFonts w:hint="default" w:ascii="Cambria Math" w:hAnsi="Cambria Math"/>
              <w:sz w:val="24"/>
              <w:lang w:val="en-US" w:eastAsia="zh-CN"/>
            </w:rPr>
            <m:t>=</m:t>
          </m:r>
          <m:f>
            <m:fPr>
              <m:ctrlPr>
                <w:rPr>
                  <w:rFonts w:hint="default" w:ascii="Cambria Math" w:hAnsi="Cambria Math"/>
                  <w:b w:val="0"/>
                  <w:i w:val="0"/>
                  <w:sz w:val="24"/>
                  <w:lang w:val="en-US" w:eastAsia="zh-CN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hint="default" w:ascii="Cambria Math" w:hAnsi="Cambria Math"/>
                      <w:b w:val="0"/>
                      <w:i w:val="0"/>
                      <w:sz w:val="24"/>
                      <w:lang w:val="en-US" w:eastAsia="zh-CN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 w:eastAsia="zh-CN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hint="default" w:ascii="Cambria Math" w:hAnsi="Cambria Math"/>
                              <w:i/>
                              <w:sz w:val="24"/>
                              <w:lang w:val="en-US"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lang w:val="en-US" w:eastAsia="zh-CN"/>
                            </w:rPr>
                            <m:t>C</m:t>
                          </m:r>
                          <m:ctrlPr>
                            <w:rPr>
                              <w:rFonts w:hint="default" w:ascii="Cambria Math" w:hAnsi="Cambria Math"/>
                              <w:i/>
                              <w:sz w:val="24"/>
                              <w:lang w:val="en-US"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lang w:val="en-US" w:eastAsia="zh-CN"/>
                            </w:rPr>
                            <m:t>i</m:t>
                          </m:r>
                          <m:ctrlPr>
                            <w:rPr>
                              <w:rFonts w:hint="default" w:ascii="Cambria Math" w:hAnsi="Cambria Math"/>
                              <w:i/>
                              <w:sz w:val="24"/>
                              <w:lang w:val="en-US" w:eastAsia="zh-CN"/>
                            </w:rPr>
                          </m:ctrlPr>
                        </m:sub>
                      </m:sSub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 w:eastAsia="zh-CN"/>
                        </w:rPr>
                      </m:ctrlPr>
                    </m:e>
                  </m:bar>
                  <m:r>
                    <m:rPr/>
                    <w:rPr>
                      <w:rFonts w:hint="default" w:ascii="Cambria Math" w:hAnsi="Cambria Math"/>
                      <w:sz w:val="24"/>
                      <w:lang w:val="en-US" w:eastAsia="zh-CN"/>
                    </w:rPr>
                    <m:t>−</m:t>
                  </m:r>
                  <m:sSub>
                    <m:sSubPr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 w:eastAsia="zh-CN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C</m:t>
                      </m:r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 w:eastAsia="zh-CN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s</m:t>
                      </m:r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 w:eastAsia="zh-CN"/>
                        </w:rPr>
                      </m:ctrlPr>
                    </m:sub>
                  </m:sSub>
                  <m:ctrlPr>
                    <w:rPr>
                      <w:rFonts w:hint="default" w:ascii="Cambria Math" w:hAnsi="Cambria Math"/>
                      <w:b w:val="0"/>
                      <w:i w:val="0"/>
                      <w:sz w:val="24"/>
                      <w:lang w:val="en-US" w:eastAsia="zh-CN"/>
                    </w:rPr>
                  </m:ctrlPr>
                </m:e>
              </m:d>
              <m:ctrlPr>
                <w:rPr>
                  <w:rFonts w:hint="default" w:ascii="Cambria Math" w:hAnsi="Cambria Math"/>
                  <w:b w:val="0"/>
                  <w:i w:val="0"/>
                  <w:sz w:val="24"/>
                  <w:lang w:val="en-US" w:eastAsia="zh-CN"/>
                </w:rPr>
              </m:ctrlPr>
            </m:num>
            <m:den>
              <m:sSub>
                <m:sSubPr>
                  <m:ctrlPr>
                    <w:rPr>
                      <w:rFonts w:hint="default" w:ascii="Cambria Math" w:hAnsi="Cambria Math"/>
                      <w:i/>
                      <w:sz w:val="24"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  <w:sz w:val="24"/>
                      <w:lang w:val="en-US" w:eastAsia="zh-CN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sz w:val="24"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sz w:val="24"/>
                      <w:lang w:val="en-US" w:eastAsia="zh-CN"/>
                    </w:rPr>
                    <m:t>s</m:t>
                  </m:r>
                  <m:ctrlPr>
                    <w:rPr>
                      <w:rFonts w:hint="default" w:ascii="Cambria Math" w:hAnsi="Cambria Math"/>
                      <w:i/>
                      <w:sz w:val="24"/>
                      <w:lang w:val="en-US" w:eastAsia="zh-CN"/>
                    </w:rPr>
                  </m:ctrlPr>
                </m:sub>
              </m:sSub>
              <m:ctrlPr>
                <w:rPr>
                  <w:rFonts w:hint="default" w:ascii="Cambria Math" w:hAnsi="Cambria Math"/>
                  <w:b w:val="0"/>
                  <w:i w:val="0"/>
                  <w:sz w:val="24"/>
                  <w:lang w:val="en-US" w:eastAsia="zh-CN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  <w:sz w:val="24"/>
              <w:lang w:val="en-US"/>
            </w:rPr>
            <m:t>×</m:t>
          </m:r>
          <m:r>
            <m:rPr>
              <m:sty m:val="p"/>
            </m:rPr>
            <w:rPr>
              <w:rFonts w:hint="default" w:ascii="Cambria Math" w:hAnsi="Cambria Math"/>
              <w:sz w:val="24"/>
              <w:lang w:val="en-US" w:eastAsia="zh-CN"/>
            </w:rPr>
            <m:t>100</m:t>
          </m:r>
          <m:r>
            <m:rPr>
              <m:sty m:val="p"/>
            </m:rPr>
            <w:rPr>
              <w:rFonts w:ascii="Cambria Math" w:hAnsi="Cambria Math"/>
              <w:sz w:val="24"/>
              <w:lang w:val="en-US"/>
            </w:rPr>
            <m:t>%</m:t>
          </m:r>
        </m:oMath>
      </m:oMathPara>
      <w:r>
        <w:rPr>
          <w:rFonts w:ascii="Cambria Math" w:hAnsi="Cambria Math"/>
          <w:b w:val="0"/>
          <w:i w:val="0"/>
          <w:sz w:val="24"/>
          <w:lang w:val="en-US"/>
        </w:rPr>
        <w:br w:type="textWrapping"/>
      </w:r>
      <w:r>
        <w:rPr>
          <w:rFonts w:hint="eastAsia" w:hAnsi="Cambria Math"/>
          <w:b w:val="0"/>
          <w:i w:val="0"/>
          <w:sz w:val="24"/>
          <w:lang w:val="en-US" w:eastAsia="zh-CN"/>
        </w:rPr>
        <w:t xml:space="preserve">                                                                      (1)         </w:t>
      </w:r>
    </w:p>
    <w:p>
      <w:pPr>
        <w:spacing w:line="360" w:lineRule="auto"/>
        <w:ind w:firstLine="720" w:firstLineChars="300"/>
        <w:rPr>
          <w:sz w:val="24"/>
        </w:rPr>
      </w:pPr>
      <w:bookmarkStart w:id="75" w:name="_Hlk26537646"/>
      <w:r>
        <w:rPr>
          <w:sz w:val="24"/>
        </w:rPr>
        <w:t>式中：</w:t>
      </w:r>
    </w:p>
    <w:p>
      <w:pPr>
        <w:spacing w:line="360" w:lineRule="auto"/>
        <w:ind w:firstLine="720" w:firstLineChars="300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</m:oMath>
      <w:r>
        <w:rPr>
          <w:color w:val="000000"/>
          <w:sz w:val="24"/>
        </w:rPr>
        <w:t>——相对示值误差，%；</w:t>
      </w:r>
    </w:p>
    <w:p>
      <w:pPr>
        <w:spacing w:line="360" w:lineRule="auto"/>
        <w:ind w:leftChars="300"/>
        <w:rPr>
          <w:sz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C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4"/>
                  </w:rPr>
                  <m:t>i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i/>
                <w:sz w:val="24"/>
              </w:rPr>
            </m:ctrlPr>
          </m:e>
        </m:acc>
      </m:oMath>
      <w:r>
        <w:rPr>
          <w:color w:val="000000"/>
          <w:sz w:val="24"/>
        </w:rPr>
        <w:t>——</w:t>
      </w:r>
      <w:r>
        <w:rPr>
          <w:sz w:val="24"/>
        </w:rPr>
        <w:t>测量</w:t>
      </w:r>
      <w:r>
        <w:rPr>
          <w:rFonts w:hint="eastAsia"/>
          <w:sz w:val="24"/>
        </w:rPr>
        <w:t>平均值</w:t>
      </w:r>
      <w:r>
        <w:rPr>
          <w:sz w:val="24"/>
        </w:rPr>
        <w:t>，/</w:t>
      </w:r>
      <w:r>
        <w:rPr>
          <w:rFonts w:hint="eastAsia"/>
          <w:sz w:val="24"/>
          <w:lang w:val="en-US" w:eastAsia="zh-CN"/>
        </w:rPr>
        <w:t>mL</w:t>
      </w:r>
      <w:r>
        <w:rPr>
          <w:sz w:val="24"/>
        </w:rPr>
        <w:t>；</w:t>
      </w:r>
    </w:p>
    <w:p>
      <w:pPr>
        <w:spacing w:line="360" w:lineRule="auto"/>
        <w:ind w:leftChars="300"/>
        <w:jc w:val="left"/>
        <w:rPr>
          <w:sz w:val="24"/>
        </w:rPr>
      </w:pPr>
      <m:oMath>
        <m:r>
          <m:rPr/>
          <w:rPr>
            <w:rFonts w:ascii="Cambria Math" w:hAnsi="Cambria Math"/>
            <w:sz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s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>——标准物质的</w:t>
      </w:r>
      <w:r>
        <w:rPr>
          <w:rFonts w:hint="eastAsia"/>
          <w:sz w:val="24"/>
          <w:lang w:val="en-US" w:eastAsia="zh-CN"/>
        </w:rPr>
        <w:t>标准</w:t>
      </w:r>
      <w:r>
        <w:rPr>
          <w:sz w:val="24"/>
        </w:rPr>
        <w:t>值，/</w:t>
      </w:r>
      <w:r>
        <w:rPr>
          <w:rFonts w:hint="eastAsia"/>
          <w:sz w:val="24"/>
          <w:lang w:val="en-US" w:eastAsia="zh-CN"/>
        </w:rPr>
        <w:t>mL</w:t>
      </w:r>
      <w:r>
        <w:rPr>
          <w:sz w:val="24"/>
        </w:rPr>
        <w:t>。</w:t>
      </w:r>
    </w:p>
    <w:bookmarkEnd w:id="75"/>
    <w:p>
      <w:pPr>
        <w:pStyle w:val="3"/>
        <w:spacing w:line="360" w:lineRule="auto"/>
        <w:rPr>
          <w:rFonts w:ascii="Times New Roman" w:hAnsi="Times New Roman"/>
          <w:b w:val="0"/>
          <w:sz w:val="24"/>
        </w:rPr>
      </w:pPr>
      <w:bookmarkStart w:id="76" w:name="_Toc5380"/>
      <w:bookmarkStart w:id="77" w:name="_Toc22755"/>
      <w:r>
        <w:rPr>
          <w:rFonts w:ascii="Times New Roman" w:hAnsi="Times New Roman"/>
          <w:b w:val="0"/>
          <w:sz w:val="24"/>
        </w:rPr>
        <w:t>7.</w:t>
      </w:r>
      <w:r>
        <w:rPr>
          <w:rFonts w:hint="eastAsia" w:ascii="Times New Roman" w:hAnsi="Times New Roman"/>
          <w:b w:val="0"/>
          <w:sz w:val="24"/>
          <w:lang w:val="en-US" w:eastAsia="zh-CN"/>
        </w:rPr>
        <w:t xml:space="preserve">3 </w:t>
      </w:r>
      <w:r>
        <w:rPr>
          <w:rFonts w:ascii="Times New Roman" w:hAnsi="Times New Roman"/>
          <w:b w:val="0"/>
          <w:sz w:val="24"/>
        </w:rPr>
        <w:t>重复性</w:t>
      </w:r>
      <w:bookmarkEnd w:id="76"/>
      <w:bookmarkEnd w:id="77"/>
    </w:p>
    <w:p>
      <w:pPr>
        <w:spacing w:line="360" w:lineRule="auto"/>
        <w:ind w:firstLine="482"/>
        <w:rPr>
          <w:sz w:val="24"/>
        </w:rPr>
      </w:pPr>
      <w:bookmarkStart w:id="78" w:name="_Hlk26537604"/>
      <w:r>
        <w:rPr>
          <w:sz w:val="24"/>
        </w:rPr>
        <w:t>选取</w:t>
      </w:r>
      <w:r>
        <w:rPr>
          <w:rFonts w:hint="eastAsia"/>
          <w:sz w:val="24"/>
          <w:lang w:val="en-US" w:eastAsia="zh-CN"/>
        </w:rPr>
        <w:t>仪器测量范围内至少三种</w:t>
      </w:r>
      <w:r>
        <w:rPr>
          <w:sz w:val="24"/>
        </w:rPr>
        <w:t>不同浓度标准物质</w:t>
      </w:r>
      <w:bookmarkEnd w:id="78"/>
      <w:r>
        <w:rPr>
          <w:rFonts w:hint="eastAsia"/>
          <w:sz w:val="24"/>
          <w:lang w:val="en-US" w:eastAsia="zh-CN"/>
        </w:rPr>
        <w:t>进行重复性测量</w:t>
      </w:r>
      <w:r>
        <w:rPr>
          <w:sz w:val="24"/>
        </w:rPr>
        <w:t>，</w:t>
      </w:r>
      <w:r>
        <w:rPr>
          <w:rFonts w:hint="eastAsia"/>
          <w:sz w:val="24"/>
          <w:lang w:val="en-US" w:eastAsia="zh-CN"/>
        </w:rPr>
        <w:t>浓度范围可参考表1进行选择。标准物质</w:t>
      </w:r>
      <w:r>
        <w:rPr>
          <w:rFonts w:hint="eastAsia"/>
          <w:sz w:val="24"/>
        </w:rPr>
        <w:t>按7</w:t>
      </w:r>
      <w:r>
        <w:rPr>
          <w:sz w:val="24"/>
        </w:rPr>
        <w:t>.1.1</w:t>
      </w:r>
      <w:r>
        <w:rPr>
          <w:rFonts w:hint="eastAsia"/>
          <w:sz w:val="24"/>
        </w:rPr>
        <w:t>的要求</w:t>
      </w:r>
      <w:r>
        <w:rPr>
          <w:sz w:val="24"/>
        </w:rPr>
        <w:t>混匀后分别连续测量10次，记录每次测量值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并计算测量平均值</w:t>
      </w:r>
      <w:r>
        <w:rPr>
          <w:sz w:val="24"/>
        </w:rPr>
        <w:t>。以每种浓度标准物质10次测量结果的相对标准偏差（</w:t>
      </w:r>
      <w:r>
        <w:rPr>
          <w:i w:val="0"/>
          <w:iCs/>
          <w:sz w:val="24"/>
        </w:rPr>
        <w:t>RSD</w:t>
      </w:r>
      <w:r>
        <w:rPr>
          <w:sz w:val="24"/>
        </w:rPr>
        <w:t>值）表示仪器在该标准物质浓度所在范围内的测量重复性。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sz w:val="24"/>
        </w:rPr>
        <w:t>按式（2）计算</w:t>
      </w:r>
      <w:r>
        <w:rPr>
          <w:i w:val="0"/>
          <w:iCs/>
          <w:sz w:val="24"/>
        </w:rPr>
        <w:t>RSD</w:t>
      </w:r>
      <w:r>
        <w:rPr>
          <w:sz w:val="24"/>
        </w:rPr>
        <w:t>值：</w:t>
      </w:r>
      <w:r>
        <w:rPr>
          <w:sz w:val="24"/>
        </w:rPr>
        <w:fldChar w:fldCharType="begin"/>
      </w:r>
      <w:r>
        <w:rPr>
          <w:sz w:val="24"/>
        </w:rPr>
        <w:instrText xml:space="preserve"> QUOTE </w:instrText>
      </w:r>
      <w:r>
        <w:rPr>
          <w:sz w:val="24"/>
        </w:rPr>
        <w:pict>
          <v:shape id="_x0000_i1025" o:spt="75" type="#_x0000_t75" style="height:14.25pt;width:50.25pt;" filled="f" o:preferrelative="t" stroked="f" coordsize="21600,21600" equationxml="&lt;">
            <v:path/>
            <v:fill on="f" focussize="0,0"/>
            <v:stroke on="f" joinstyle="miter"/>
            <v:imagedata r:id="rId29" chromakey="#FFFFFF" o:title=""/>
            <o:lock v:ext="edit" aspectratio="t"/>
            <w10:wrap type="none"/>
            <w10:anchorlock/>
          </v:shape>
        </w:pict>
      </w:r>
      <w:r>
        <w:rPr>
          <w:sz w:val="24"/>
        </w:rPr>
        <w:fldChar w:fldCharType="end"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</w:p>
    <w:p>
      <w:pPr>
        <w:tabs>
          <w:tab w:val="center" w:pos="4055"/>
          <w:tab w:val="right" w:pos="8110"/>
        </w:tabs>
        <w:spacing w:line="360" w:lineRule="auto"/>
        <w:ind w:right="960"/>
        <w:jc w:val="left"/>
        <w:rPr>
          <w:sz w:val="24"/>
        </w:rPr>
      </w:pPr>
      <w:r>
        <w:rPr>
          <w:color w:val="000000"/>
          <w:sz w:val="24"/>
        </w:rPr>
        <w:tab/>
      </w:r>
      <w:r>
        <w:rPr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  <w:lang w:val="en-US" w:eastAsia="zh-CN"/>
        </w:rPr>
        <w:t xml:space="preserve">        </w:t>
      </w:r>
      <w:r>
        <w:rPr>
          <w:color w:val="000000"/>
          <w:sz w:val="24"/>
        </w:rPr>
        <w:t xml:space="preserve">    </w:t>
      </w:r>
      <w:r>
        <w:rPr>
          <w:color w:val="000000"/>
          <w:position w:val="-26"/>
          <w:sz w:val="24"/>
        </w:rPr>
        <w:object>
          <v:shape id="_x0000_i1026" o:spt="75" type="#_x0000_t75" style="height:46.55pt;width:200.1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26" DrawAspect="Content" ObjectID="_1468075725" r:id="rId30">
            <o:LockedField>false</o:LockedField>
          </o:OLEObject>
        </w:object>
      </w:r>
      <m:oMath>
        <m:r>
          <m:rPr>
            <m:sty m:val="p"/>
          </m:rPr>
          <w:rPr>
            <w:rFonts w:ascii="Cambria Math" w:hAnsi="Cambria Math"/>
            <w:color w:val="000000"/>
            <w:sz w:val="24"/>
          </w:rPr>
          <m:t xml:space="preserve"> </m:t>
        </m:r>
      </m:oMath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  <w:lang w:val="en-US" w:eastAsia="zh-CN"/>
        </w:rPr>
        <w:t xml:space="preserve">       </w:t>
      </w:r>
      <w:r>
        <w:rPr>
          <w:rFonts w:hint="eastAsia"/>
          <w:color w:val="000000"/>
          <w:sz w:val="24"/>
        </w:rPr>
        <w:t>（2）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>式中：</w:t>
      </w:r>
    </w:p>
    <w:p>
      <w:pPr>
        <w:tabs>
          <w:tab w:val="center" w:pos="4055"/>
          <w:tab w:val="right" w:pos="8110"/>
        </w:tabs>
        <w:spacing w:line="360" w:lineRule="auto"/>
        <w:ind w:right="960" w:firstLine="480" w:firstLineChars="200"/>
        <w:jc w:val="left"/>
        <w:rPr>
          <w:sz w:val="24"/>
        </w:rPr>
      </w:pPr>
      <w:r>
        <w:rPr>
          <w:i w:val="0"/>
          <w:iCs/>
          <w:sz w:val="24"/>
        </w:rPr>
        <w:t>RSD</w:t>
      </w:r>
      <w:r>
        <w:rPr>
          <w:color w:val="000000"/>
          <w:sz w:val="24"/>
        </w:rPr>
        <w:t>——</w:t>
      </w:r>
      <w:r>
        <w:rPr>
          <w:sz w:val="24"/>
          <w:lang w:val="zh-CN"/>
        </w:rPr>
        <w:t>相对标准偏差</w:t>
      </w:r>
      <w:r>
        <w:rPr>
          <w:rFonts w:hint="eastAsia"/>
          <w:sz w:val="24"/>
          <w:lang w:val="zh-CN"/>
        </w:rPr>
        <w:t>，</w:t>
      </w:r>
      <w:r>
        <w:rPr>
          <w:sz w:val="24"/>
          <w:lang w:val="zh-CN"/>
        </w:rPr>
        <w:t>%；</w:t>
      </w:r>
    </w:p>
    <w:p>
      <w:pPr>
        <w:spacing w:line="360" w:lineRule="auto"/>
        <w:ind w:firstLine="480" w:firstLineChars="200"/>
        <w:rPr>
          <w:sz w:val="24"/>
        </w:rPr>
      </w:pPr>
      <w:bookmarkStart w:id="79" w:name="_Hlk26537420"/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i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color w:val="000000"/>
          <w:sz w:val="24"/>
        </w:rPr>
        <w:t>——</w:t>
      </w:r>
      <w:r>
        <w:rPr>
          <w:sz w:val="24"/>
        </w:rPr>
        <w:t>第</w:t>
      </w:r>
      <w:r>
        <w:rPr>
          <w:sz w:val="24"/>
        </w:rPr>
        <w:object>
          <v:shape id="_x0000_i1027" o:spt="75" type="#_x0000_t75" style="height:14.25pt;width:7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7" DrawAspect="Content" ObjectID="_1468075726" r:id="rId32">
            <o:LockedField>false</o:LockedField>
          </o:OLEObject>
        </w:object>
      </w:r>
      <w:r>
        <w:rPr>
          <w:sz w:val="24"/>
        </w:rPr>
        <w:t>次测量的结果，/</w:t>
      </w:r>
      <w:r>
        <w:rPr>
          <w:rFonts w:hint="eastAsia"/>
          <w:sz w:val="24"/>
          <w:lang w:val="en-US" w:eastAsia="zh-CN"/>
        </w:rPr>
        <w:t>mL</w:t>
      </w:r>
      <w:r>
        <w:rPr>
          <w:sz w:val="24"/>
        </w:rPr>
        <w:t>；</w:t>
      </w:r>
    </w:p>
    <w:p>
      <w:pPr>
        <w:spacing w:line="360" w:lineRule="auto"/>
        <w:ind w:firstLine="480" w:firstLineChars="200"/>
        <w:rPr>
          <w:sz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C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4"/>
                  </w:rPr>
                  <m:t>i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i/>
                <w:sz w:val="24"/>
              </w:rPr>
            </m:ctrlPr>
          </m:e>
        </m:acc>
      </m:oMath>
      <w:r>
        <w:rPr>
          <w:color w:val="000000"/>
          <w:sz w:val="24"/>
        </w:rPr>
        <w:t>——</w:t>
      </w:r>
      <w:r>
        <w:rPr>
          <w:b w:val="0"/>
          <w:bCs w:val="0"/>
          <w:i/>
          <w:iCs/>
          <w:sz w:val="24"/>
          <w:u w:val="none"/>
        </w:rPr>
        <w:t>n</w:t>
      </w:r>
      <w:r>
        <w:rPr>
          <w:sz w:val="24"/>
        </w:rPr>
        <w:t>次测量结果的平均值，/</w:t>
      </w:r>
      <w:r>
        <w:rPr>
          <w:rFonts w:hint="eastAsia"/>
          <w:sz w:val="24"/>
          <w:lang w:val="en-US" w:eastAsia="zh-CN"/>
        </w:rPr>
        <w:t>mL</w:t>
      </w:r>
      <w:r>
        <w:rPr>
          <w:sz w:val="24"/>
        </w:rPr>
        <w:t>；</w:t>
      </w:r>
    </w:p>
    <w:bookmarkEnd w:id="79"/>
    <w:p>
      <w:pPr>
        <w:spacing w:line="360" w:lineRule="auto"/>
        <w:ind w:firstLine="480"/>
        <w:rPr>
          <w:sz w:val="24"/>
        </w:rPr>
      </w:pPr>
      <w:r>
        <w:rPr>
          <w:i/>
          <w:iCs/>
          <w:sz w:val="24"/>
        </w:rPr>
        <w:t>n</w:t>
      </w:r>
      <w:r>
        <w:rPr>
          <w:color w:val="000000"/>
          <w:sz w:val="24"/>
        </w:rPr>
        <w:t>——</w:t>
      </w:r>
      <w:r>
        <w:rPr>
          <w:sz w:val="24"/>
        </w:rPr>
        <w:t>测量次数。</w:t>
      </w:r>
    </w:p>
    <w:p>
      <w:pPr>
        <w:spacing w:line="360" w:lineRule="auto"/>
        <w:ind w:firstLine="480"/>
        <w:jc w:val="center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表1. 不同浓度标准物质细胞数范围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8"/>
        <w:gridCol w:w="6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编号</w:t>
            </w:r>
          </w:p>
        </w:tc>
        <w:tc>
          <w:tcPr>
            <w:tcW w:w="630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细胞数范围（</w:t>
            </w:r>
            <w:r>
              <w:rPr>
                <w:rFonts w:hint="default" w:ascii="Arial" w:hAnsi="Arial" w:cs="Arial"/>
                <w:color w:val="auto"/>
                <w:sz w:val="21"/>
                <w:szCs w:val="21"/>
                <w:lang w:eastAsia="zh-CN"/>
              </w:rPr>
              <w:t>×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 xml:space="preserve"> /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mL）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30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0-15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30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15-30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30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30-50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630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50-85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6308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85-200</w:t>
            </w:r>
          </w:p>
        </w:tc>
      </w:tr>
    </w:tbl>
    <w:p>
      <w:pPr>
        <w:spacing w:line="360" w:lineRule="auto"/>
        <w:ind w:firstLine="480"/>
        <w:jc w:val="center"/>
        <w:rPr>
          <w:rFonts w:hint="eastAsia" w:ascii="黑体" w:hAnsi="黑体" w:eastAsia="黑体" w:cs="黑体"/>
          <w:sz w:val="21"/>
          <w:szCs w:val="21"/>
          <w:lang w:val="en-US" w:eastAsia="zh-CN"/>
        </w:rPr>
      </w:pPr>
    </w:p>
    <w:p>
      <w:pPr>
        <w:pStyle w:val="3"/>
        <w:spacing w:line="360" w:lineRule="auto"/>
        <w:rPr>
          <w:rFonts w:ascii="Times New Roman" w:hAnsi="Times New Roman"/>
          <w:b w:val="0"/>
          <w:sz w:val="24"/>
        </w:rPr>
      </w:pPr>
      <w:bookmarkStart w:id="80" w:name="_Toc20131"/>
      <w:bookmarkStart w:id="81" w:name="_Toc1371"/>
      <w:r>
        <w:rPr>
          <w:rFonts w:ascii="Times New Roman" w:hAnsi="Times New Roman"/>
          <w:b w:val="0"/>
          <w:sz w:val="24"/>
        </w:rPr>
        <w:t>7.</w:t>
      </w:r>
      <w:r>
        <w:rPr>
          <w:rFonts w:hint="eastAsia" w:ascii="Times New Roman" w:hAnsi="Times New Roman"/>
          <w:b w:val="0"/>
          <w:sz w:val="24"/>
          <w:lang w:val="en-US" w:eastAsia="zh-CN"/>
        </w:rPr>
        <w:t>4</w:t>
      </w:r>
      <w:r>
        <w:rPr>
          <w:rFonts w:ascii="Times New Roman" w:hAnsi="Times New Roman"/>
          <w:b w:val="0"/>
          <w:sz w:val="24"/>
        </w:rPr>
        <w:t xml:space="preserve"> 携带污染率</w:t>
      </w:r>
      <w:bookmarkEnd w:id="80"/>
      <w:bookmarkEnd w:id="81"/>
    </w:p>
    <w:p>
      <w:pPr>
        <w:spacing w:line="360" w:lineRule="auto"/>
        <w:ind w:firstLine="482"/>
        <w:rPr>
          <w:color w:val="000000"/>
          <w:sz w:val="24"/>
        </w:rPr>
      </w:pPr>
      <w:r>
        <w:rPr>
          <w:color w:val="000000"/>
          <w:sz w:val="24"/>
        </w:rPr>
        <w:t>选取</w:t>
      </w:r>
      <w:r>
        <w:rPr>
          <w:rFonts w:hint="eastAsia"/>
          <w:color w:val="000000"/>
          <w:sz w:val="24"/>
          <w:lang w:val="en-US" w:eastAsia="zh-CN"/>
        </w:rPr>
        <w:t>两种不同浓度</w:t>
      </w:r>
      <w:r>
        <w:rPr>
          <w:color w:val="000000"/>
          <w:sz w:val="24"/>
        </w:rPr>
        <w:t>标准物质</w:t>
      </w:r>
      <w:r>
        <w:rPr>
          <w:rFonts w:hint="eastAsia"/>
          <w:color w:val="000000"/>
          <w:sz w:val="24"/>
          <w:lang w:eastAsia="zh-CN"/>
        </w:rPr>
        <w:t>（</w:t>
      </w:r>
      <w:r>
        <w:rPr>
          <w:color w:val="000000"/>
          <w:sz w:val="24"/>
        </w:rPr>
        <w:t>高值及低值</w:t>
      </w:r>
      <w:r>
        <w:rPr>
          <w:rFonts w:hint="eastAsia"/>
          <w:color w:val="000000"/>
          <w:sz w:val="24"/>
          <w:lang w:eastAsia="zh-CN"/>
        </w:rPr>
        <w:t>）</w:t>
      </w:r>
      <w:r>
        <w:rPr>
          <w:color w:val="000000"/>
          <w:sz w:val="24"/>
        </w:rPr>
        <w:t>，使用前</w:t>
      </w:r>
      <w:r>
        <w:rPr>
          <w:rFonts w:hint="eastAsia"/>
          <w:sz w:val="24"/>
        </w:rPr>
        <w:t>按7</w:t>
      </w:r>
      <w:r>
        <w:rPr>
          <w:sz w:val="24"/>
        </w:rPr>
        <w:t>.1.1</w:t>
      </w:r>
      <w:r>
        <w:rPr>
          <w:rFonts w:hint="eastAsia"/>
          <w:sz w:val="24"/>
        </w:rPr>
        <w:t>的要求</w:t>
      </w:r>
      <w:r>
        <w:rPr>
          <w:color w:val="000000"/>
          <w:sz w:val="24"/>
        </w:rPr>
        <w:t>混匀。先测高值</w:t>
      </w:r>
      <w:bookmarkStart w:id="82" w:name="OLE_LINK4"/>
      <w:r>
        <w:rPr>
          <w:rFonts w:hint="eastAsia"/>
          <w:color w:val="000000"/>
          <w:sz w:val="24"/>
          <w:lang w:val="en-US" w:eastAsia="zh-CN"/>
        </w:rPr>
        <w:t>标准物质</w:t>
      </w:r>
      <w:r>
        <w:rPr>
          <w:color w:val="000000"/>
          <w:sz w:val="24"/>
        </w:rPr>
        <w:t>，连续测量3次，测量值</w:t>
      </w:r>
      <w:r>
        <w:rPr>
          <w:rFonts w:hint="eastAsia"/>
          <w:color w:val="000000"/>
          <w:sz w:val="24"/>
          <w:lang w:val="en-US" w:eastAsia="zh-CN"/>
        </w:rPr>
        <w:t>记</w:t>
      </w:r>
      <w:r>
        <w:rPr>
          <w:color w:val="000000"/>
          <w:sz w:val="24"/>
        </w:rPr>
        <w:t>为</w:t>
      </w:r>
      <w:bookmarkEnd w:id="82"/>
      <w:r>
        <w:rPr>
          <w:i/>
          <w:iCs/>
          <w:color w:val="000000"/>
          <w:sz w:val="24"/>
        </w:rPr>
        <w:t>i</w:t>
      </w:r>
      <w:r>
        <w:rPr>
          <w:color w:val="000000"/>
          <w:sz w:val="24"/>
          <w:vertAlign w:val="subscript"/>
        </w:rPr>
        <w:t>1</w:t>
      </w:r>
      <w:r>
        <w:rPr>
          <w:color w:val="000000"/>
          <w:sz w:val="24"/>
        </w:rPr>
        <w:t xml:space="preserve">, </w:t>
      </w:r>
      <w:r>
        <w:rPr>
          <w:i/>
          <w:iCs/>
          <w:color w:val="000000"/>
          <w:sz w:val="24"/>
        </w:rPr>
        <w:t>i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 xml:space="preserve">, </w:t>
      </w:r>
      <w:r>
        <w:rPr>
          <w:i/>
          <w:iCs/>
          <w:color w:val="000000"/>
          <w:sz w:val="24"/>
        </w:rPr>
        <w:t>i</w:t>
      </w:r>
      <w:r>
        <w:rPr>
          <w:color w:val="000000"/>
          <w:sz w:val="24"/>
          <w:vertAlign w:val="subscript"/>
        </w:rPr>
        <w:t>3</w:t>
      </w:r>
      <w:r>
        <w:rPr>
          <w:rFonts w:hint="eastAsia"/>
          <w:color w:val="000000"/>
          <w:sz w:val="24"/>
          <w:lang w:eastAsia="zh-CN"/>
        </w:rPr>
        <w:t>，</w:t>
      </w:r>
      <w:r>
        <w:rPr>
          <w:color w:val="000000"/>
          <w:sz w:val="24"/>
        </w:rPr>
        <w:t>再测低值</w:t>
      </w:r>
      <w:r>
        <w:rPr>
          <w:rFonts w:hint="eastAsia"/>
          <w:color w:val="000000"/>
          <w:sz w:val="24"/>
          <w:lang w:val="en-US" w:eastAsia="zh-CN"/>
        </w:rPr>
        <w:t>标准物质</w:t>
      </w:r>
      <w:r>
        <w:rPr>
          <w:color w:val="000000"/>
          <w:sz w:val="24"/>
        </w:rPr>
        <w:t>，连续测量3次，测量值</w:t>
      </w:r>
      <w:r>
        <w:rPr>
          <w:rFonts w:hint="eastAsia"/>
          <w:color w:val="000000"/>
          <w:sz w:val="24"/>
          <w:lang w:val="en-US" w:eastAsia="zh-CN"/>
        </w:rPr>
        <w:t>记</w:t>
      </w:r>
      <w:r>
        <w:rPr>
          <w:color w:val="000000"/>
          <w:sz w:val="24"/>
        </w:rPr>
        <w:t>为</w:t>
      </w:r>
      <w:r>
        <w:rPr>
          <w:i/>
          <w:iCs/>
          <w:color w:val="000000"/>
          <w:sz w:val="24"/>
        </w:rPr>
        <w:t>j</w:t>
      </w:r>
      <w:r>
        <w:rPr>
          <w:color w:val="000000"/>
          <w:sz w:val="24"/>
          <w:vertAlign w:val="subscript"/>
        </w:rPr>
        <w:t>1</w:t>
      </w:r>
      <w:r>
        <w:rPr>
          <w:color w:val="000000"/>
          <w:sz w:val="24"/>
        </w:rPr>
        <w:t xml:space="preserve">, </w:t>
      </w:r>
      <w:r>
        <w:rPr>
          <w:i/>
          <w:iCs/>
          <w:color w:val="000000"/>
          <w:sz w:val="24"/>
        </w:rPr>
        <w:t>j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 xml:space="preserve">, </w:t>
      </w:r>
      <w:r>
        <w:rPr>
          <w:i/>
          <w:iCs/>
          <w:color w:val="000000"/>
          <w:sz w:val="24"/>
        </w:rPr>
        <w:t>j</w:t>
      </w:r>
      <w:r>
        <w:rPr>
          <w:color w:val="000000"/>
          <w:sz w:val="24"/>
          <w:vertAlign w:val="subscript"/>
        </w:rPr>
        <w:t>3</w:t>
      </w:r>
      <w:r>
        <w:rPr>
          <w:rFonts w:hint="eastAsia"/>
          <w:color w:val="000000"/>
          <w:sz w:val="24"/>
          <w:vertAlign w:val="subscript"/>
          <w:lang w:eastAsia="zh-CN"/>
        </w:rPr>
        <w:t>。</w:t>
      </w:r>
      <w:r>
        <w:rPr>
          <w:color w:val="000000"/>
          <w:sz w:val="24"/>
        </w:rPr>
        <w:t>按照公式</w:t>
      </w:r>
      <w:r>
        <w:rPr>
          <w:rFonts w:hint="eastAsia"/>
          <w:color w:val="000000"/>
          <w:sz w:val="24"/>
        </w:rPr>
        <w:t>(</w:t>
      </w:r>
      <w:r>
        <w:rPr>
          <w:color w:val="000000"/>
          <w:sz w:val="24"/>
        </w:rPr>
        <w:t>3)计算携带污染率。</w:t>
      </w:r>
    </w:p>
    <w:p>
      <w:pPr>
        <w:spacing w:line="360" w:lineRule="auto"/>
        <w:ind w:firstLine="2880" w:firstLineChars="1200"/>
        <w:rPr>
          <w:color w:val="000000"/>
          <w:sz w:val="24"/>
        </w:rPr>
      </w:pPr>
      <w:r>
        <w:rPr>
          <w:position w:val="-30"/>
          <w:sz w:val="24"/>
        </w:rPr>
        <w:object>
          <v:shape id="_x0000_i1028" o:spt="75" type="#_x0000_t75" style="height:36.95pt;width:115.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34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               </w:t>
      </w:r>
      <w:r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3</w:t>
      </w:r>
      <w:r>
        <w:rPr>
          <w:color w:val="000000"/>
          <w:sz w:val="24"/>
        </w:rPr>
        <w:t>）</w:t>
      </w:r>
    </w:p>
    <w:p>
      <w:pPr>
        <w:spacing w:line="360" w:lineRule="auto"/>
        <w:ind w:firstLine="482"/>
        <w:rPr>
          <w:color w:val="000000"/>
          <w:sz w:val="24"/>
        </w:rPr>
      </w:pPr>
      <w:r>
        <w:rPr>
          <w:color w:val="000000"/>
          <w:sz w:val="24"/>
        </w:rPr>
        <w:t>式中：</w:t>
      </w:r>
      <w:bookmarkStart w:id="83" w:name="_Hlk26537793"/>
    </w:p>
    <w:p>
      <w:pPr>
        <w:spacing w:line="360" w:lineRule="auto"/>
        <w:ind w:firstLine="482"/>
        <w:rPr>
          <w:color w:val="000000"/>
          <w:sz w:val="24"/>
        </w:rPr>
      </w:pPr>
      <w:r>
        <w:rPr>
          <w:rFonts w:hint="eastAsia"/>
          <w:i/>
          <w:iCs/>
          <w:color w:val="000000"/>
          <w:sz w:val="24"/>
          <w:lang w:val="en-US" w:eastAsia="zh-CN"/>
        </w:rPr>
        <w:t>CO</w:t>
      </w:r>
      <w:r>
        <w:rPr>
          <w:i/>
          <w:iCs/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携带污染率</w:t>
      </w:r>
      <w:r>
        <w:rPr>
          <w:color w:val="000000"/>
          <w:sz w:val="24"/>
        </w:rPr>
        <w:t>，%；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m:rPr/>
              <w:rPr>
                <w:rFonts w:hint="eastAsia" w:ascii="Cambria Math" w:hAnsi="Cambria Math"/>
                <w:color w:val="000000"/>
                <w:sz w:val="24"/>
              </w:rPr>
              <m:t>i</m:t>
            </m: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 w:val="24"/>
              </w:rPr>
              <m:t>3</m:t>
            </m: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ub>
        </m:sSub>
      </m:oMath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高值标准物质的第3次测量值</w:t>
      </w:r>
      <w:r>
        <w:rPr>
          <w:color w:val="000000"/>
          <w:sz w:val="24"/>
        </w:rPr>
        <w:t>，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mL</w:t>
      </w:r>
      <w:r>
        <w:rPr>
          <w:color w:val="000000"/>
          <w:sz w:val="24"/>
        </w:rPr>
        <w:t>；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 w:val="24"/>
              </w:rPr>
              <m:t>j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 w:val="24"/>
              </w:rPr>
              <m:t>1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sub>
        </m:sSub>
      </m:oMath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低值标准物质的第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次测量值</w:t>
      </w:r>
      <w:r>
        <w:rPr>
          <w:color w:val="000000"/>
          <w:sz w:val="24"/>
        </w:rPr>
        <w:t>，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mL</w:t>
      </w:r>
      <w:r>
        <w:rPr>
          <w:rFonts w:hint="eastAsia"/>
          <w:color w:val="000000"/>
          <w:sz w:val="24"/>
        </w:rPr>
        <w:t>；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 w:val="24"/>
              </w:rPr>
              <m:t>j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 w:val="24"/>
              </w:rPr>
              <m:t>3</m:t>
            </m:r>
            <m:ctrlPr>
              <w:rPr>
                <w:rFonts w:ascii="Cambria Math" w:hAnsi="Cambria Math"/>
                <w:color w:val="000000"/>
                <w:sz w:val="24"/>
              </w:rPr>
            </m:ctrlPr>
          </m:sub>
        </m:sSub>
      </m:oMath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低值标准物质的第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次测量值</w:t>
      </w:r>
      <w:r>
        <w:rPr>
          <w:color w:val="000000"/>
          <w:sz w:val="24"/>
        </w:rPr>
        <w:t>，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mL</w:t>
      </w:r>
      <w:r>
        <w:rPr>
          <w:rFonts w:hint="eastAsia"/>
          <w:color w:val="000000"/>
          <w:sz w:val="24"/>
        </w:rPr>
        <w:t>。</w:t>
      </w:r>
    </w:p>
    <w:bookmarkEnd w:id="83"/>
    <w:p>
      <w:pPr>
        <w:pStyle w:val="2"/>
        <w:tabs>
          <w:tab w:val="left" w:pos="2520"/>
        </w:tabs>
        <w:spacing w:line="360" w:lineRule="auto"/>
        <w:ind w:firstLine="0" w:firstLineChars="0"/>
        <w:jc w:val="left"/>
        <w:rPr>
          <w:rFonts w:eastAsia="黑体"/>
          <w:b w:val="0"/>
          <w:sz w:val="24"/>
        </w:rPr>
      </w:pPr>
      <w:bookmarkStart w:id="84" w:name="_Toc19588"/>
      <w:bookmarkStart w:id="85" w:name="_Toc19613"/>
      <w:bookmarkStart w:id="86" w:name="_Toc27703"/>
      <w:bookmarkStart w:id="87" w:name="_Toc14867"/>
      <w:r>
        <w:rPr>
          <w:rFonts w:eastAsia="黑体"/>
          <w:b w:val="0"/>
          <w:sz w:val="24"/>
        </w:rPr>
        <w:t>8</w:t>
      </w:r>
      <w:r>
        <w:rPr>
          <w:rFonts w:hint="eastAsia" w:eastAsia="黑体"/>
          <w:b w:val="0"/>
          <w:sz w:val="24"/>
          <w:lang w:val="en-US" w:eastAsia="zh-CN"/>
        </w:rPr>
        <w:t xml:space="preserve"> </w:t>
      </w:r>
      <w:r>
        <w:rPr>
          <w:rFonts w:eastAsia="黑体"/>
          <w:b w:val="0"/>
          <w:sz w:val="24"/>
          <w:lang w:val="zh-CN"/>
        </w:rPr>
        <w:t>校准结果表达</w:t>
      </w:r>
      <w:bookmarkEnd w:id="84"/>
      <w:bookmarkEnd w:id="85"/>
      <w:bookmarkEnd w:id="86"/>
      <w:bookmarkEnd w:id="87"/>
      <w:r>
        <w:rPr>
          <w:rFonts w:eastAsia="黑体"/>
          <w:b w:val="0"/>
          <w:sz w:val="24"/>
          <w:lang w:val="zh-CN"/>
        </w:rPr>
        <w:tab/>
      </w:r>
    </w:p>
    <w:p>
      <w:pPr>
        <w:spacing w:line="360" w:lineRule="auto"/>
        <w:ind w:firstLine="482"/>
        <w:rPr>
          <w:sz w:val="24"/>
          <w:lang w:val="zh-CN"/>
        </w:rPr>
      </w:pPr>
      <w:r>
        <w:rPr>
          <w:color w:val="000000"/>
          <w:sz w:val="24"/>
        </w:rPr>
        <w:t>经校准的</w:t>
      </w:r>
      <w:r>
        <w:rPr>
          <w:sz w:val="24"/>
          <w:lang w:val="zh-CN"/>
        </w:rPr>
        <w:t>体细胞检测仪</w:t>
      </w:r>
      <w:r>
        <w:rPr>
          <w:color w:val="000000"/>
          <w:sz w:val="24"/>
        </w:rPr>
        <w:t>，出具校准证书，校准证书应符合JJF1071中5.12的要求，推荐的校准证书（内页）格式内容见附录</w:t>
      </w:r>
      <w:r>
        <w:rPr>
          <w:rFonts w:hint="eastAsia"/>
          <w:color w:val="000000"/>
          <w:sz w:val="24"/>
        </w:rPr>
        <w:t>B</w:t>
      </w:r>
      <w:r>
        <w:rPr>
          <w:color w:val="000000"/>
          <w:sz w:val="24"/>
        </w:rPr>
        <w:t>。</w:t>
      </w:r>
    </w:p>
    <w:p>
      <w:pPr>
        <w:pStyle w:val="2"/>
        <w:spacing w:line="360" w:lineRule="auto"/>
        <w:ind w:firstLine="0" w:firstLineChars="0"/>
        <w:jc w:val="left"/>
        <w:rPr>
          <w:rFonts w:eastAsia="黑体"/>
          <w:b w:val="0"/>
          <w:sz w:val="24"/>
          <w:lang w:val="zh-CN"/>
        </w:rPr>
      </w:pPr>
      <w:bookmarkStart w:id="88" w:name="_Toc9263"/>
      <w:bookmarkStart w:id="89" w:name="_Toc19057"/>
      <w:bookmarkStart w:id="90" w:name="_Toc21409"/>
      <w:bookmarkStart w:id="91" w:name="_Toc9120"/>
      <w:r>
        <w:rPr>
          <w:rFonts w:eastAsia="黑体"/>
          <w:b w:val="0"/>
          <w:sz w:val="24"/>
          <w:lang w:val="zh-CN"/>
        </w:rPr>
        <w:t>9 复校时间间隔</w:t>
      </w:r>
      <w:bookmarkEnd w:id="88"/>
      <w:bookmarkEnd w:id="89"/>
      <w:bookmarkEnd w:id="90"/>
      <w:bookmarkEnd w:id="91"/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="480"/>
        <w:rPr>
          <w:sz w:val="24"/>
          <w:lang w:val="zh-CN"/>
        </w:rPr>
      </w:pPr>
      <w:r>
        <w:rPr>
          <w:sz w:val="24"/>
          <w:lang w:val="zh-CN"/>
        </w:rPr>
        <w:t>由于复校时间间隔的长短是由仪器的使用情况、使用者、仪器本身质量等诸因素所决定的，因此，送校单位可根据实际使用情况自主决定复校时间间隔。复校时间间隔建议不超过一年。</w:t>
      </w: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="480"/>
        <w:rPr>
          <w:sz w:val="24"/>
          <w:lang w:val="zh-CN"/>
        </w:rPr>
      </w:pPr>
    </w:p>
    <w:p>
      <w:pPr>
        <w:rPr>
          <w:rFonts w:eastAsia="黑体"/>
          <w:sz w:val="28"/>
          <w:szCs w:val="28"/>
          <w:lang w:val="zh-CN"/>
        </w:rPr>
      </w:pPr>
      <w:bookmarkStart w:id="92" w:name="_Toc17665"/>
      <w:bookmarkStart w:id="93" w:name="_Toc27439"/>
      <w:bookmarkStart w:id="94" w:name="_Toc29202"/>
      <w:bookmarkStart w:id="95" w:name="_Toc13674"/>
      <w:r>
        <w:rPr>
          <w:rFonts w:eastAsia="黑体"/>
          <w:sz w:val="28"/>
          <w:szCs w:val="28"/>
          <w:lang w:val="zh-CN"/>
        </w:rPr>
        <w:br w:type="page"/>
      </w:r>
    </w:p>
    <w:p>
      <w:pPr>
        <w:pStyle w:val="2"/>
        <w:ind w:firstLine="0" w:firstLineChars="0"/>
        <w:rPr>
          <w:rFonts w:eastAsia="黑体"/>
          <w:b w:val="0"/>
          <w:bCs w:val="0"/>
          <w:kern w:val="2"/>
          <w:sz w:val="28"/>
          <w:szCs w:val="28"/>
          <w:lang w:val="zh-CN"/>
        </w:rPr>
      </w:pPr>
      <w:r>
        <w:rPr>
          <w:rFonts w:eastAsia="黑体"/>
          <w:sz w:val="28"/>
          <w:szCs w:val="28"/>
          <w:lang w:val="zh-CN"/>
        </w:rPr>
        <w:t>附录A</w:t>
      </w:r>
      <w:bookmarkEnd w:id="92"/>
      <w:bookmarkEnd w:id="93"/>
      <w:bookmarkEnd w:id="94"/>
      <w:bookmarkEnd w:id="95"/>
    </w:p>
    <w:p>
      <w:pPr>
        <w:pStyle w:val="63"/>
        <w:tabs>
          <w:tab w:val="left" w:pos="720"/>
        </w:tabs>
        <w:autoSpaceDE w:val="0"/>
        <w:autoSpaceDN w:val="0"/>
        <w:adjustRightInd w:val="0"/>
        <w:spacing w:line="520" w:lineRule="exact"/>
        <w:ind w:firstLineChars="0"/>
        <w:jc w:val="center"/>
        <w:rPr>
          <w:rFonts w:eastAsia="黑体"/>
          <w:sz w:val="28"/>
          <w:szCs w:val="28"/>
          <w:lang w:val="zh-CN"/>
        </w:rPr>
      </w:pPr>
      <w:r>
        <w:rPr>
          <w:rFonts w:hint="eastAsia" w:eastAsia="黑体"/>
          <w:sz w:val="28"/>
          <w:szCs w:val="28"/>
          <w:lang w:val="zh-CN"/>
        </w:rPr>
        <w:t>校准原始记录参考格式</w:t>
      </w:r>
    </w:p>
    <w:tbl>
      <w:tblPr>
        <w:tblStyle w:val="24"/>
        <w:tblW w:w="93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1369"/>
        <w:gridCol w:w="1046"/>
        <w:gridCol w:w="128"/>
        <w:gridCol w:w="1814"/>
        <w:gridCol w:w="271"/>
        <w:gridCol w:w="903"/>
        <w:gridCol w:w="1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022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客户名称</w:t>
            </w:r>
          </w:p>
        </w:tc>
        <w:tc>
          <w:tcPr>
            <w:tcW w:w="2415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2213" w:type="dxa"/>
            <w:gridSpan w:val="3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  <w:t>仪器名称</w:t>
            </w:r>
          </w:p>
        </w:tc>
        <w:tc>
          <w:tcPr>
            <w:tcW w:w="2668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022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客户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  <w:t>地址</w:t>
            </w:r>
          </w:p>
        </w:tc>
        <w:tc>
          <w:tcPr>
            <w:tcW w:w="2415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2213" w:type="dxa"/>
            <w:gridSpan w:val="3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  <w:t>厂商</w:t>
            </w:r>
          </w:p>
        </w:tc>
        <w:tc>
          <w:tcPr>
            <w:tcW w:w="2668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022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  <w:t>校准日期</w:t>
            </w:r>
          </w:p>
        </w:tc>
        <w:tc>
          <w:tcPr>
            <w:tcW w:w="2415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2213" w:type="dxa"/>
            <w:gridSpan w:val="3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  <w:t>型号</w:t>
            </w:r>
          </w:p>
        </w:tc>
        <w:tc>
          <w:tcPr>
            <w:tcW w:w="2668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022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接收日期</w:t>
            </w:r>
          </w:p>
        </w:tc>
        <w:tc>
          <w:tcPr>
            <w:tcW w:w="2415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2213" w:type="dxa"/>
            <w:gridSpan w:val="3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  <w:t>出厂编号</w:t>
            </w:r>
          </w:p>
        </w:tc>
        <w:tc>
          <w:tcPr>
            <w:tcW w:w="2668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022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  <w:t>相对湿度</w:t>
            </w:r>
          </w:p>
        </w:tc>
        <w:tc>
          <w:tcPr>
            <w:tcW w:w="2415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2213" w:type="dxa"/>
            <w:gridSpan w:val="3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  <w:t>记录编号</w:t>
            </w:r>
          </w:p>
        </w:tc>
        <w:tc>
          <w:tcPr>
            <w:tcW w:w="2668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022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  <w:t>温度</w:t>
            </w:r>
          </w:p>
        </w:tc>
        <w:tc>
          <w:tcPr>
            <w:tcW w:w="2415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2213" w:type="dxa"/>
            <w:gridSpan w:val="3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  <w:t>证书编号</w:t>
            </w:r>
          </w:p>
        </w:tc>
        <w:tc>
          <w:tcPr>
            <w:tcW w:w="2668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022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校准依据技术文件</w:t>
            </w:r>
          </w:p>
        </w:tc>
        <w:tc>
          <w:tcPr>
            <w:tcW w:w="7296" w:type="dxa"/>
            <w:gridSpan w:val="7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022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校准周期</w:t>
            </w:r>
          </w:p>
        </w:tc>
        <w:tc>
          <w:tcPr>
            <w:tcW w:w="7296" w:type="dxa"/>
            <w:gridSpan w:val="7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022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校准地址</w:t>
            </w:r>
          </w:p>
        </w:tc>
        <w:tc>
          <w:tcPr>
            <w:tcW w:w="7296" w:type="dxa"/>
            <w:gridSpan w:val="7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2022" w:type="dxa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校准使用的计量基（标）准装置（含标准物质）</w:t>
            </w:r>
          </w:p>
        </w:tc>
        <w:tc>
          <w:tcPr>
            <w:tcW w:w="136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174" w:type="dxa"/>
            <w:gridSpan w:val="2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测量范围</w:t>
            </w:r>
          </w:p>
        </w:tc>
        <w:tc>
          <w:tcPr>
            <w:tcW w:w="181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不确定度/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准确度等级</w:t>
            </w:r>
          </w:p>
        </w:tc>
        <w:tc>
          <w:tcPr>
            <w:tcW w:w="11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证书编号</w:t>
            </w:r>
          </w:p>
        </w:tc>
        <w:tc>
          <w:tcPr>
            <w:tcW w:w="176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证书有效期至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(YYYY-MM-DD)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022" w:type="dxa"/>
            <w:vMerge w:val="continue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369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174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814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174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765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022" w:type="dxa"/>
            <w:vMerge w:val="continue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369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174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814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174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765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022" w:type="dxa"/>
            <w:vMerge w:val="continue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369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174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814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174" w:type="dxa"/>
            <w:gridSpan w:val="2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  <w:tc>
          <w:tcPr>
            <w:tcW w:w="1765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zh-CN"/>
              </w:rPr>
            </w:pP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lang w:val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zh-CN"/>
        </w:rPr>
        <w:t>A.</w:t>
      </w:r>
      <w:r>
        <w:rPr>
          <w:rFonts w:hint="eastAsia"/>
          <w:sz w:val="24"/>
          <w:szCs w:val="32"/>
          <w:lang w:val="en-US" w:eastAsia="zh-CN"/>
        </w:rPr>
        <w:t>1</w:t>
      </w: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zh-CN"/>
        </w:rPr>
        <w:t>相对示值误差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4"/>
        <w:gridCol w:w="1080"/>
        <w:gridCol w:w="1080"/>
        <w:gridCol w:w="1080"/>
        <w:gridCol w:w="1080"/>
        <w:gridCol w:w="1080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9" w:hRule="atLeast"/>
        </w:trPr>
        <w:tc>
          <w:tcPr>
            <w:tcW w:w="2474" w:type="dxa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测量值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1"/>
                <w:szCs w:val="21"/>
                <w:lang w:eastAsia="zh-CN"/>
              </w:rPr>
              <w:t>×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1"/>
                <w:szCs w:val="21"/>
                <w:vertAlign w:val="superscript"/>
                <w:lang w:val="en-US" w:eastAsia="zh-CN"/>
              </w:rPr>
              <w:t>4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mL)</w:t>
            </w:r>
          </w:p>
        </w:tc>
        <w:tc>
          <w:tcPr>
            <w:tcW w:w="108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4"/>
                <w:lang w:val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zh-CN"/>
              </w:rPr>
              <w:t>1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474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/>
                <w:sz w:val="21"/>
                <w:szCs w:val="24"/>
                <w:lang w:val="zh-CN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/>
                <w:sz w:val="21"/>
                <w:szCs w:val="24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47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测量</w:t>
            </w:r>
            <w:r>
              <w:rPr>
                <w:rFonts w:hint="eastAsia"/>
                <w:sz w:val="21"/>
                <w:szCs w:val="21"/>
                <w:lang w:val="zh-CN"/>
              </w:rPr>
              <w:t>平均值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1"/>
                <w:szCs w:val="21"/>
                <w:lang w:eastAsia="zh-CN"/>
              </w:rPr>
              <w:t>×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1"/>
                <w:szCs w:val="21"/>
                <w:vertAlign w:val="superscript"/>
                <w:lang w:val="en-US" w:eastAsia="zh-CN"/>
              </w:rPr>
              <w:t>4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mL)</w:t>
            </w:r>
          </w:p>
        </w:tc>
        <w:tc>
          <w:tcPr>
            <w:tcW w:w="6482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47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标准值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1"/>
                <w:szCs w:val="21"/>
                <w:lang w:eastAsia="zh-CN"/>
              </w:rPr>
              <w:t>×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1"/>
                <w:szCs w:val="21"/>
                <w:vertAlign w:val="superscript"/>
                <w:lang w:val="en-US" w:eastAsia="zh-CN"/>
              </w:rPr>
              <w:t>4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mL)</w:t>
            </w:r>
          </w:p>
        </w:tc>
        <w:tc>
          <w:tcPr>
            <w:tcW w:w="6482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6" w:hRule="atLeast"/>
        </w:trPr>
        <w:tc>
          <w:tcPr>
            <w:tcW w:w="247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相对示值误差%</w:t>
            </w:r>
          </w:p>
        </w:tc>
        <w:tc>
          <w:tcPr>
            <w:tcW w:w="6482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47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相对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不确定度</w:t>
            </w:r>
            <w:r>
              <w:rPr>
                <w:rFonts w:hint="eastAsia"/>
                <w:sz w:val="21"/>
                <w:szCs w:val="24"/>
                <w:lang w:val="zh-CN"/>
              </w:rPr>
              <w:t>%</w:t>
            </w:r>
          </w:p>
        </w:tc>
        <w:tc>
          <w:tcPr>
            <w:tcW w:w="6482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zh-CN"/>
        </w:rPr>
        <w:t>A.</w:t>
      </w:r>
      <w:r>
        <w:rPr>
          <w:rFonts w:hint="eastAsia"/>
          <w:sz w:val="24"/>
          <w:szCs w:val="32"/>
          <w:lang w:val="en-US" w:eastAsia="zh-CN"/>
        </w:rPr>
        <w:t>2</w:t>
      </w: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zh-CN"/>
        </w:rPr>
        <w:t>重复性</w:t>
      </w:r>
    </w:p>
    <w:tbl>
      <w:tblPr>
        <w:tblStyle w:val="24"/>
        <w:tblW w:w="9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919"/>
        <w:gridCol w:w="1436"/>
        <w:gridCol w:w="1331"/>
        <w:gridCol w:w="1375"/>
        <w:gridCol w:w="1375"/>
        <w:gridCol w:w="1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2405" w:type="dxa"/>
            <w:gridSpan w:val="2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标准值</w:t>
            </w:r>
          </w:p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浓度1</w:t>
            </w: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浓度2</w:t>
            </w: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浓度3</w:t>
            </w: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2405" w:type="dxa"/>
            <w:gridSpan w:val="2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86" w:type="dxa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测量值</w:t>
            </w:r>
          </w:p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9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8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2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8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3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8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4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8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5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8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6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8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7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8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8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8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9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8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  <w:r>
              <w:rPr>
                <w:sz w:val="21"/>
                <w:szCs w:val="21"/>
                <w:lang w:val="zh-CN"/>
              </w:rPr>
              <w:t>0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2405" w:type="dxa"/>
            <w:gridSpan w:val="2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测量平均值</w:t>
            </w:r>
          </w:p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2405" w:type="dxa"/>
            <w:gridSpan w:val="2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重复性（RSD）%</w:t>
            </w:r>
          </w:p>
        </w:tc>
        <w:tc>
          <w:tcPr>
            <w:tcW w:w="1436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</w:p>
        </w:tc>
        <w:tc>
          <w:tcPr>
            <w:tcW w:w="133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</w:p>
        </w:tc>
        <w:tc>
          <w:tcPr>
            <w:tcW w:w="137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zh-CN"/>
        </w:rPr>
        <w:t>A.</w:t>
      </w:r>
      <w:r>
        <w:rPr>
          <w:rFonts w:hint="eastAsia"/>
          <w:sz w:val="24"/>
          <w:szCs w:val="32"/>
          <w:lang w:val="en-US" w:eastAsia="zh-CN"/>
        </w:rPr>
        <w:t>3</w:t>
      </w: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zh-CN"/>
        </w:rPr>
        <w:t>携带污染率</w:t>
      </w: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zh-CN"/>
        </w:rPr>
      </w:pP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1"/>
        <w:gridCol w:w="2019"/>
        <w:gridCol w:w="2019"/>
        <w:gridCol w:w="2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98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测量次数</w:t>
            </w:r>
          </w:p>
        </w:tc>
        <w:tc>
          <w:tcPr>
            <w:tcW w:w="20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</w:p>
        </w:tc>
        <w:tc>
          <w:tcPr>
            <w:tcW w:w="20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2</w:t>
            </w:r>
          </w:p>
        </w:tc>
        <w:tc>
          <w:tcPr>
            <w:tcW w:w="202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981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高浓度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测量值（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20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20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202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981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低浓度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测量值（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20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2019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202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81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携带污染率%</w:t>
            </w:r>
          </w:p>
        </w:tc>
        <w:tc>
          <w:tcPr>
            <w:tcW w:w="6058" w:type="dxa"/>
            <w:gridSpan w:val="3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rPr>
                <w:sz w:val="21"/>
                <w:szCs w:val="21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line="560" w:lineRule="exact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560" w:lineRule="exact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520" w:lineRule="exact"/>
        <w:rPr>
          <w:rFonts w:eastAsia="黑体"/>
          <w:sz w:val="28"/>
          <w:szCs w:val="28"/>
          <w:lang w:val="zh-CN"/>
        </w:rPr>
      </w:pPr>
      <w:r>
        <w:rPr>
          <w:sz w:val="24"/>
          <w:lang w:val="zh-CN"/>
        </w:rPr>
        <w:t>校准员：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lang w:val="zh-CN"/>
        </w:rPr>
        <w:t>核验员：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>
      <w:pPr>
        <w:pStyle w:val="2"/>
        <w:ind w:firstLine="0" w:firstLineChars="0"/>
        <w:rPr>
          <w:kern w:val="0"/>
          <w:sz w:val="24"/>
          <w:lang w:val="zh-CN"/>
        </w:rPr>
      </w:pPr>
      <w:bookmarkStart w:id="96" w:name="_Toc30167"/>
      <w:bookmarkStart w:id="97" w:name="_Toc18230"/>
      <w:bookmarkStart w:id="98" w:name="_Toc19771"/>
      <w:bookmarkStart w:id="99" w:name="_Toc2754"/>
      <w:r>
        <w:rPr>
          <w:rFonts w:eastAsia="黑体"/>
          <w:sz w:val="28"/>
          <w:szCs w:val="28"/>
          <w:lang w:val="zh-CN"/>
        </w:rPr>
        <w:t>附</w:t>
      </w:r>
      <w:r>
        <w:rPr>
          <w:rFonts w:hint="eastAsia" w:eastAsia="黑体"/>
          <w:sz w:val="28"/>
          <w:szCs w:val="28"/>
          <w:lang w:val="zh-CN"/>
        </w:rPr>
        <w:t>录B</w:t>
      </w:r>
      <w:bookmarkEnd w:id="96"/>
      <w:bookmarkEnd w:id="97"/>
      <w:bookmarkEnd w:id="98"/>
      <w:bookmarkEnd w:id="99"/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rPr>
          <w:kern w:val="0"/>
          <w:sz w:val="24"/>
          <w:lang w:val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rPr>
          <w:rFonts w:eastAsia="黑体"/>
          <w:sz w:val="32"/>
          <w:szCs w:val="32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jc w:val="center"/>
        <w:rPr>
          <w:rFonts w:eastAsia="黑体"/>
          <w:sz w:val="28"/>
          <w:szCs w:val="28"/>
          <w:lang w:val="zh-CN"/>
        </w:rPr>
      </w:pPr>
      <w:r>
        <w:rPr>
          <w:rFonts w:eastAsia="黑体"/>
          <w:sz w:val="28"/>
          <w:szCs w:val="28"/>
          <w:lang w:val="zh-CN"/>
        </w:rPr>
        <w:t>校准证书（内页）格式</w:t>
      </w: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ind w:firstLine="3480"/>
        <w:rPr>
          <w:sz w:val="24"/>
          <w:u w:val="double"/>
          <w:lang w:val="zh-CN"/>
        </w:rPr>
      </w:pPr>
      <w:r>
        <w:rPr>
          <w:sz w:val="24"/>
          <w:lang w:val="zh-CN"/>
        </w:rPr>
        <w:t>（推荐性表格）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520" w:lineRule="exact"/>
        <w:ind w:left="120" w:leftChars="0"/>
        <w:rPr>
          <w:sz w:val="24"/>
          <w:u w:val="none"/>
          <w:lang w:val="zh-CN"/>
        </w:rPr>
      </w:pPr>
      <w:r>
        <w:rPr>
          <w:rFonts w:hint="eastAsia"/>
          <w:sz w:val="24"/>
          <w:u w:val="none"/>
          <w:lang w:val="en-US" w:eastAsia="zh-CN"/>
        </w:rPr>
        <w:t xml:space="preserve"> 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20" w:lineRule="exact"/>
        <w:ind w:left="120" w:leftChars="0" w:firstLine="0" w:firstLineChars="0"/>
        <w:rPr>
          <w:sz w:val="24"/>
          <w:u w:val="none"/>
          <w:lang w:val="zh-CN"/>
        </w:rPr>
      </w:pPr>
      <w:r>
        <w:rPr>
          <w:rFonts w:hint="eastAsia"/>
          <w:sz w:val="24"/>
          <w:u w:val="none"/>
          <w:lang w:val="en-US" w:eastAsia="zh-CN"/>
        </w:rPr>
        <w:t>示值误差：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493"/>
        <w:gridCol w:w="2150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标准值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249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测量平均值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21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相对示值误差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(</w:t>
            </w:r>
            <w:r>
              <w:rPr>
                <w:rFonts w:hint="eastAsia"/>
                <w:i/>
                <w:iCs/>
                <w:sz w:val="21"/>
                <w:szCs w:val="21"/>
                <w:u w:val="none"/>
                <w:vertAlign w:val="baseline"/>
                <w:lang w:val="en-US" w:eastAsia="zh-CN"/>
              </w:rPr>
              <w:t>n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=6)</w:t>
            </w:r>
          </w:p>
        </w:tc>
        <w:tc>
          <w:tcPr>
            <w:tcW w:w="232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相对不确定度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rFonts w:hint="eastAsia" w:eastAsia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（</w:t>
            </w:r>
            <w:r>
              <w:rPr>
                <w:i/>
                <w:sz w:val="21"/>
                <w:szCs w:val="21"/>
                <w:lang w:val="zh-CN"/>
              </w:rPr>
              <w:t>k</w:t>
            </w:r>
            <w:r>
              <w:rPr>
                <w:sz w:val="21"/>
                <w:szCs w:val="21"/>
                <w:lang w:val="zh-CN"/>
              </w:rPr>
              <w:t>=2)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3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  <w:tc>
          <w:tcPr>
            <w:tcW w:w="249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  <w:tc>
          <w:tcPr>
            <w:tcW w:w="215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  <w:tc>
          <w:tcPr>
            <w:tcW w:w="232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</w:tr>
    </w:tbl>
    <w:p>
      <w:pPr>
        <w:numPr>
          <w:ilvl w:val="0"/>
          <w:numId w:val="1"/>
        </w:numPr>
        <w:autoSpaceDE w:val="0"/>
        <w:autoSpaceDN w:val="0"/>
        <w:adjustRightInd w:val="0"/>
        <w:spacing w:line="520" w:lineRule="exact"/>
        <w:ind w:left="120" w:leftChars="0" w:firstLine="0" w:firstLineChars="0"/>
        <w:rPr>
          <w:sz w:val="24"/>
          <w:u w:val="none"/>
          <w:lang w:val="zh-CN"/>
        </w:rPr>
      </w:pPr>
      <w:r>
        <w:rPr>
          <w:rFonts w:hint="eastAsia"/>
          <w:sz w:val="24"/>
          <w:u w:val="none"/>
          <w:lang w:val="en-US" w:eastAsia="zh-CN"/>
        </w:rPr>
        <w:t>重复性:</w:t>
      </w:r>
    </w:p>
    <w:tbl>
      <w:tblPr>
        <w:tblStyle w:val="24"/>
        <w:tblW w:w="8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0"/>
        <w:gridCol w:w="4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标准值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rFonts w:hint="default" w:eastAsia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重复性RSD (</w:t>
            </w:r>
            <w:r>
              <w:rPr>
                <w:rFonts w:hint="eastAsia"/>
                <w:i/>
                <w:iCs/>
                <w:sz w:val="21"/>
                <w:szCs w:val="21"/>
                <w:u w:val="none"/>
                <w:lang w:val="en-US" w:eastAsia="zh-CN"/>
              </w:rPr>
              <w:t>n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=10)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  <w:tc>
          <w:tcPr>
            <w:tcW w:w="40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sz w:val="21"/>
                <w:szCs w:val="21"/>
                <w:u w:val="none"/>
                <w:vertAlign w:val="baseli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line="520" w:lineRule="exact"/>
        <w:ind w:left="120" w:leftChars="0"/>
        <w:rPr>
          <w:sz w:val="24"/>
          <w:u w:val="none"/>
          <w:lang w:val="zh-CN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spacing w:line="520" w:lineRule="exact"/>
        <w:ind w:left="120" w:leftChars="0" w:firstLine="0" w:firstLineChars="0"/>
        <w:rPr>
          <w:sz w:val="24"/>
          <w:lang w:val="zh-CN"/>
        </w:rPr>
      </w:pPr>
      <w:r>
        <w:rPr>
          <w:rFonts w:hint="eastAsia"/>
          <w:sz w:val="24"/>
          <w:u w:val="none"/>
          <w:lang w:val="en-US" w:eastAsia="zh-CN"/>
        </w:rPr>
        <w:t>携带污染率：</w:t>
      </w:r>
      <w:r>
        <w:rPr>
          <w:rFonts w:hint="eastAsia"/>
          <w:sz w:val="24"/>
          <w:lang w:val="en-US" w:eastAsia="zh-CN"/>
        </w:rPr>
        <w:t>______</w:t>
      </w:r>
      <w:r>
        <w:rPr>
          <w:rFonts w:hint="eastAsia"/>
          <w:sz w:val="24"/>
          <w:u w:val="none"/>
          <w:lang w:val="en-US" w:eastAsia="zh-CN"/>
        </w:rPr>
        <w:t xml:space="preserve"> %</w:t>
      </w:r>
      <w:r>
        <w:rPr>
          <w:sz w:val="24"/>
          <w:lang w:val="zh-CN"/>
        </w:rPr>
        <w:t xml:space="preserve">      </w:t>
      </w:r>
    </w:p>
    <w:p>
      <w:pPr>
        <w:pStyle w:val="63"/>
        <w:autoSpaceDE w:val="0"/>
        <w:autoSpaceDN w:val="0"/>
        <w:adjustRightInd w:val="0"/>
        <w:spacing w:line="520" w:lineRule="exact"/>
        <w:ind w:left="705" w:firstLine="0" w:firstLineChars="0"/>
        <w:rPr>
          <w:sz w:val="24"/>
          <w:lang w:val="zh-CN"/>
        </w:rPr>
      </w:pPr>
    </w:p>
    <w:p>
      <w:pPr>
        <w:pStyle w:val="63"/>
        <w:autoSpaceDE w:val="0"/>
        <w:autoSpaceDN w:val="0"/>
        <w:adjustRightInd w:val="0"/>
        <w:spacing w:line="520" w:lineRule="exact"/>
        <w:ind w:left="705" w:firstLine="0" w:firstLineChars="0"/>
        <w:rPr>
          <w:sz w:val="24"/>
          <w:lang w:val="zh-CN"/>
        </w:rPr>
      </w:pPr>
    </w:p>
    <w:p>
      <w:pPr>
        <w:pStyle w:val="63"/>
        <w:autoSpaceDE w:val="0"/>
        <w:autoSpaceDN w:val="0"/>
        <w:adjustRightInd w:val="0"/>
        <w:spacing w:line="520" w:lineRule="exact"/>
        <w:ind w:left="705" w:firstLine="0" w:firstLineChars="0"/>
        <w:rPr>
          <w:sz w:val="24"/>
          <w:lang w:val="zh-CN"/>
        </w:rPr>
      </w:pPr>
    </w:p>
    <w:p>
      <w:pPr>
        <w:pStyle w:val="63"/>
        <w:autoSpaceDE w:val="0"/>
        <w:autoSpaceDN w:val="0"/>
        <w:adjustRightInd w:val="0"/>
        <w:spacing w:line="520" w:lineRule="exact"/>
        <w:ind w:left="705" w:firstLine="0" w:firstLineChars="0"/>
        <w:rPr>
          <w:sz w:val="24"/>
          <w:lang w:val="zh-CN"/>
        </w:rPr>
      </w:pPr>
    </w:p>
    <w:p>
      <w:pPr>
        <w:pStyle w:val="63"/>
        <w:autoSpaceDE w:val="0"/>
        <w:autoSpaceDN w:val="0"/>
        <w:adjustRightInd w:val="0"/>
        <w:spacing w:line="520" w:lineRule="exact"/>
        <w:ind w:firstLine="0" w:firstLineChars="0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520" w:lineRule="exact"/>
        <w:rPr>
          <w:rFonts w:eastAsia="黑体"/>
          <w:sz w:val="28"/>
          <w:szCs w:val="28"/>
          <w:lang w:val="zh-CN"/>
        </w:rPr>
      </w:pPr>
      <w:r>
        <w:rPr>
          <w:sz w:val="24"/>
          <w:lang w:val="zh-CN"/>
        </w:rPr>
        <w:t>校准员：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lang w:val="zh-CN"/>
        </w:rPr>
        <w:t>核验员：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>
      <w:pPr>
        <w:pStyle w:val="63"/>
        <w:tabs>
          <w:tab w:val="left" w:pos="720"/>
        </w:tabs>
        <w:autoSpaceDE w:val="0"/>
        <w:autoSpaceDN w:val="0"/>
        <w:adjustRightInd w:val="0"/>
        <w:spacing w:line="520" w:lineRule="exact"/>
        <w:ind w:firstLineChars="0"/>
        <w:jc w:val="center"/>
        <w:rPr>
          <w:rFonts w:eastAsia="黑体"/>
          <w:sz w:val="28"/>
          <w:szCs w:val="28"/>
          <w:lang w:val="zh-CN"/>
        </w:rPr>
      </w:pPr>
    </w:p>
    <w:p>
      <w:pPr>
        <w:widowControl/>
        <w:jc w:val="left"/>
        <w:rPr>
          <w:rFonts w:eastAsia="黑体"/>
          <w:sz w:val="28"/>
          <w:szCs w:val="28"/>
          <w:lang w:val="zh-CN"/>
        </w:rPr>
      </w:pPr>
      <w:r>
        <w:rPr>
          <w:rFonts w:eastAsia="黑体"/>
          <w:sz w:val="28"/>
          <w:szCs w:val="28"/>
          <w:lang w:val="zh-CN"/>
        </w:rPr>
        <w:br w:type="page"/>
      </w:r>
    </w:p>
    <w:p>
      <w:pPr>
        <w:pStyle w:val="2"/>
        <w:ind w:firstLine="0" w:firstLineChars="0"/>
        <w:rPr>
          <w:kern w:val="0"/>
          <w:sz w:val="24"/>
          <w:lang w:val="zh-CN"/>
        </w:rPr>
      </w:pPr>
      <w:bookmarkStart w:id="100" w:name="_Toc4687"/>
      <w:bookmarkStart w:id="101" w:name="_Toc19532"/>
      <w:bookmarkStart w:id="102" w:name="_Toc6629"/>
      <w:bookmarkStart w:id="103" w:name="_Toc25975"/>
      <w:r>
        <w:rPr>
          <w:rFonts w:eastAsia="黑体"/>
          <w:sz w:val="28"/>
          <w:szCs w:val="28"/>
          <w:lang w:val="zh-CN"/>
        </w:rPr>
        <w:t>附</w:t>
      </w:r>
      <w:r>
        <w:rPr>
          <w:rFonts w:hint="eastAsia" w:eastAsia="黑体"/>
          <w:sz w:val="28"/>
          <w:szCs w:val="28"/>
          <w:lang w:val="zh-CN"/>
        </w:rPr>
        <w:t>录</w:t>
      </w:r>
      <w:r>
        <w:rPr>
          <w:rFonts w:eastAsia="黑体"/>
          <w:sz w:val="28"/>
          <w:szCs w:val="28"/>
          <w:lang w:val="zh-CN"/>
        </w:rPr>
        <w:t>C</w:t>
      </w:r>
      <w:bookmarkEnd w:id="100"/>
      <w:bookmarkEnd w:id="101"/>
      <w:bookmarkEnd w:id="102"/>
      <w:bookmarkEnd w:id="103"/>
    </w:p>
    <w:p>
      <w:pPr>
        <w:pStyle w:val="63"/>
        <w:tabs>
          <w:tab w:val="left" w:pos="720"/>
        </w:tabs>
        <w:autoSpaceDE w:val="0"/>
        <w:autoSpaceDN w:val="0"/>
        <w:adjustRightInd w:val="0"/>
        <w:spacing w:line="520" w:lineRule="exact"/>
        <w:ind w:firstLineChars="0"/>
        <w:jc w:val="center"/>
        <w:rPr>
          <w:kern w:val="0"/>
          <w:sz w:val="24"/>
          <w:lang w:val="zh-CN"/>
        </w:rPr>
      </w:pPr>
      <w:r>
        <w:rPr>
          <w:rFonts w:eastAsia="黑体"/>
          <w:sz w:val="28"/>
          <w:szCs w:val="28"/>
          <w:lang w:val="zh-CN"/>
        </w:rPr>
        <w:t>相对示值误差校准不确定度评定示例</w:t>
      </w:r>
    </w:p>
    <w:p>
      <w:pPr>
        <w:spacing w:line="400" w:lineRule="exact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sz w:val="24"/>
        </w:rPr>
        <w:t>C.1 测量模型</w:t>
      </w:r>
    </w:p>
    <w:p>
      <w:pPr>
        <w:spacing w:line="360" w:lineRule="auto"/>
        <w:jc w:val="center"/>
        <w:rPr>
          <w:color w:val="000000"/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</w:rPr>
            <m:t>∆</m:t>
          </m:r>
          <m:r>
            <m:rPr>
              <m:sty m:val="p"/>
            </m:rPr>
            <w:rPr>
              <w:rFonts w:hint="default" w:ascii="Cambria Math" w:hAnsi="Cambria Math"/>
              <w:sz w:val="24"/>
              <w:lang w:val="en-US" w:eastAsia="zh-CN"/>
            </w:rPr>
            <m:t>=</m:t>
          </m:r>
          <m:f>
            <m:fPr>
              <m:ctrlPr>
                <w:rPr>
                  <w:rFonts w:hint="default" w:ascii="Cambria Math" w:hAnsi="Cambria Math"/>
                  <w:b w:val="0"/>
                  <w:i w:val="0"/>
                  <w:sz w:val="24"/>
                  <w:lang w:val="en-US" w:eastAsia="zh-CN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hint="default" w:ascii="Cambria Math" w:hAnsi="Cambria Math"/>
                      <w:b w:val="0"/>
                      <w:i w:val="0"/>
                      <w:sz w:val="24"/>
                      <w:lang w:val="en-US" w:eastAsia="zh-CN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 w:eastAsia="zh-CN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hint="default" w:ascii="Cambria Math" w:hAnsi="Cambria Math"/>
                              <w:i/>
                              <w:sz w:val="24"/>
                              <w:lang w:val="en-US"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lang w:val="en-US" w:eastAsia="zh-CN"/>
                            </w:rPr>
                            <m:t>C</m:t>
                          </m:r>
                          <m:ctrlPr>
                            <w:rPr>
                              <w:rFonts w:hint="default" w:ascii="Cambria Math" w:hAnsi="Cambria Math"/>
                              <w:i/>
                              <w:sz w:val="24"/>
                              <w:lang w:val="en-US"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hint="default" w:ascii="Cambria Math" w:hAnsi="Cambria Math"/>
                              <w:sz w:val="24"/>
                              <w:lang w:val="en-US" w:eastAsia="zh-CN"/>
                            </w:rPr>
                            <m:t>i</m:t>
                          </m:r>
                          <m:ctrlPr>
                            <w:rPr>
                              <w:rFonts w:hint="default" w:ascii="Cambria Math" w:hAnsi="Cambria Math"/>
                              <w:i/>
                              <w:sz w:val="24"/>
                              <w:lang w:val="en-US" w:eastAsia="zh-CN"/>
                            </w:rPr>
                          </m:ctrlPr>
                        </m:sub>
                      </m:sSub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 w:eastAsia="zh-CN"/>
                        </w:rPr>
                      </m:ctrlPr>
                    </m:e>
                  </m:bar>
                  <m:r>
                    <m:rPr/>
                    <w:rPr>
                      <w:rFonts w:hint="default" w:ascii="Cambria Math" w:hAnsi="Cambria Math"/>
                      <w:sz w:val="24"/>
                      <w:lang w:val="en-US" w:eastAsia="zh-CN"/>
                    </w:rPr>
                    <m:t>−</m:t>
                  </m:r>
                  <m:sSub>
                    <m:sSubPr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 w:eastAsia="zh-CN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C</m:t>
                      </m:r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 w:eastAsia="zh-CN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s</m:t>
                      </m:r>
                      <m:ctrlPr>
                        <w:rPr>
                          <w:rFonts w:hint="default" w:ascii="Cambria Math" w:hAnsi="Cambria Math"/>
                          <w:i/>
                          <w:sz w:val="24"/>
                          <w:lang w:val="en-US" w:eastAsia="zh-CN"/>
                        </w:rPr>
                      </m:ctrlPr>
                    </m:sub>
                  </m:sSub>
                  <m:ctrlPr>
                    <w:rPr>
                      <w:rFonts w:hint="default" w:ascii="Cambria Math" w:hAnsi="Cambria Math"/>
                      <w:b w:val="0"/>
                      <w:i w:val="0"/>
                      <w:sz w:val="24"/>
                      <w:lang w:val="en-US" w:eastAsia="zh-CN"/>
                    </w:rPr>
                  </m:ctrlPr>
                </m:e>
              </m:d>
              <m:ctrlPr>
                <w:rPr>
                  <w:rFonts w:hint="default" w:ascii="Cambria Math" w:hAnsi="Cambria Math"/>
                  <w:b w:val="0"/>
                  <w:i w:val="0"/>
                  <w:sz w:val="24"/>
                  <w:lang w:val="en-US" w:eastAsia="zh-CN"/>
                </w:rPr>
              </m:ctrlPr>
            </m:num>
            <m:den>
              <m:sSub>
                <m:sSubPr>
                  <m:ctrlPr>
                    <w:rPr>
                      <w:rFonts w:hint="default" w:ascii="Cambria Math" w:hAnsi="Cambria Math"/>
                      <w:i/>
                      <w:sz w:val="24"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  <w:sz w:val="24"/>
                      <w:lang w:val="en-US" w:eastAsia="zh-CN"/>
                    </w:rPr>
                    <m:t>C</m:t>
                  </m:r>
                  <m:ctrlPr>
                    <w:rPr>
                      <w:rFonts w:hint="default" w:ascii="Cambria Math" w:hAnsi="Cambria Math"/>
                      <w:i/>
                      <w:sz w:val="24"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sz w:val="24"/>
                      <w:lang w:val="en-US" w:eastAsia="zh-CN"/>
                    </w:rPr>
                    <m:t>s</m:t>
                  </m:r>
                  <m:ctrlPr>
                    <w:rPr>
                      <w:rFonts w:hint="default" w:ascii="Cambria Math" w:hAnsi="Cambria Math"/>
                      <w:i/>
                      <w:sz w:val="24"/>
                      <w:lang w:val="en-US" w:eastAsia="zh-CN"/>
                    </w:rPr>
                  </m:ctrlPr>
                </m:sub>
              </m:sSub>
              <m:ctrlPr>
                <w:rPr>
                  <w:rFonts w:hint="default" w:ascii="Cambria Math" w:hAnsi="Cambria Math"/>
                  <w:b w:val="0"/>
                  <w:i w:val="0"/>
                  <w:sz w:val="24"/>
                  <w:lang w:val="en-US" w:eastAsia="zh-CN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  <w:sz w:val="24"/>
              <w:lang w:val="en-US"/>
            </w:rPr>
            <m:t>×</m:t>
          </m:r>
          <m:r>
            <m:rPr>
              <m:sty m:val="p"/>
            </m:rPr>
            <w:rPr>
              <w:rFonts w:hint="default" w:ascii="Cambria Math" w:hAnsi="Cambria Math"/>
              <w:sz w:val="24"/>
              <w:lang w:val="en-US" w:eastAsia="zh-CN"/>
            </w:rPr>
            <m:t>100</m:t>
          </m:r>
          <m:r>
            <m:rPr>
              <m:sty m:val="p"/>
            </m:rPr>
            <w:rPr>
              <w:rFonts w:ascii="Cambria Math" w:hAnsi="Cambria Math"/>
              <w:sz w:val="24"/>
              <w:lang w:val="en-US"/>
            </w:rPr>
            <m:t>%</m:t>
          </m:r>
        </m:oMath>
      </m:oMathPara>
    </w:p>
    <w:p>
      <w:pPr>
        <w:spacing w:line="360" w:lineRule="auto"/>
        <w:ind w:firstLine="720" w:firstLineChars="300"/>
        <w:rPr>
          <w:sz w:val="24"/>
        </w:rPr>
      </w:pPr>
      <w:r>
        <w:rPr>
          <w:color w:val="000000"/>
          <w:sz w:val="24"/>
        </w:rPr>
        <w:t>式中：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</m:oMath>
      <w:r>
        <w:rPr>
          <w:color w:val="000000"/>
          <w:sz w:val="24"/>
        </w:rPr>
        <w:t>——相对示值误差，%；</w:t>
      </w:r>
    </w:p>
    <w:p>
      <w:pPr>
        <w:spacing w:line="360" w:lineRule="auto"/>
        <w:ind w:firstLine="1281" w:firstLineChars="534"/>
        <w:rPr>
          <w:sz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C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4"/>
                  </w:rPr>
                  <m:t>i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i/>
                <w:sz w:val="24"/>
              </w:rPr>
            </m:ctrlPr>
          </m:e>
        </m:acc>
      </m:oMath>
      <w:r>
        <w:rPr>
          <w:color w:val="000000"/>
          <w:sz w:val="24"/>
        </w:rPr>
        <w:t>——</w:t>
      </w:r>
      <w:r>
        <w:rPr>
          <w:sz w:val="24"/>
        </w:rPr>
        <w:t>测量</w:t>
      </w:r>
      <w:r>
        <w:rPr>
          <w:rFonts w:hint="eastAsia"/>
          <w:sz w:val="24"/>
        </w:rPr>
        <w:t>平均值</w:t>
      </w:r>
      <w:r>
        <w:rPr>
          <w:sz w:val="24"/>
        </w:rPr>
        <w:t>，</w:t>
      </w:r>
      <w:r>
        <w:rPr>
          <w:rFonts w:hint="default" w:ascii="Arial" w:hAnsi="Arial" w:cs="Arial"/>
          <w:color w:val="auto"/>
          <w:sz w:val="24"/>
          <w:lang w:eastAsia="zh-CN"/>
        </w:rPr>
        <w:t>×</w:t>
      </w:r>
      <w:r>
        <w:rPr>
          <w:rFonts w:hint="eastAsia"/>
          <w:color w:val="auto"/>
          <w:sz w:val="24"/>
          <w:lang w:val="en-US" w:eastAsia="zh-CN"/>
        </w:rPr>
        <w:t>10</w:t>
      </w:r>
      <w:r>
        <w:rPr>
          <w:rFonts w:hint="eastAsia"/>
          <w:color w:val="auto"/>
          <w:sz w:val="24"/>
          <w:vertAlign w:val="superscript"/>
          <w:lang w:val="en-US" w:eastAsia="zh-CN"/>
        </w:rPr>
        <w:t>4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mL</w:t>
      </w:r>
      <w:r>
        <w:rPr>
          <w:sz w:val="24"/>
        </w:rPr>
        <w:t>；</w:t>
      </w:r>
    </w:p>
    <w:p>
      <w:pPr>
        <w:spacing w:line="360" w:lineRule="auto"/>
        <w:ind w:left="0" w:leftChars="0" w:firstLine="1260" w:firstLineChars="525"/>
        <w:jc w:val="left"/>
        <w:rPr>
          <w:sz w:val="24"/>
        </w:rPr>
      </w:pPr>
      <m:oMath>
        <m:r>
          <m:rPr/>
          <w:rPr>
            <w:rFonts w:ascii="Cambria Math" w:hAnsi="Cambria Math"/>
            <w:sz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</w:rPr>
              <m:t>s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sz w:val="24"/>
        </w:rPr>
        <w:t>——标准物质的</w:t>
      </w:r>
      <w:r>
        <w:rPr>
          <w:rFonts w:hint="eastAsia"/>
          <w:sz w:val="24"/>
          <w:lang w:val="en-US" w:eastAsia="zh-CN"/>
        </w:rPr>
        <w:t>标准</w:t>
      </w:r>
      <w:r>
        <w:rPr>
          <w:sz w:val="24"/>
        </w:rPr>
        <w:t>值，</w:t>
      </w:r>
      <w:r>
        <w:rPr>
          <w:rFonts w:hint="default" w:ascii="Arial" w:hAnsi="Arial" w:cs="Arial"/>
          <w:color w:val="auto"/>
          <w:sz w:val="24"/>
          <w:lang w:eastAsia="zh-CN"/>
        </w:rPr>
        <w:t>×</w:t>
      </w:r>
      <w:r>
        <w:rPr>
          <w:rFonts w:hint="eastAsia"/>
          <w:color w:val="auto"/>
          <w:sz w:val="24"/>
          <w:lang w:val="en-US" w:eastAsia="zh-CN"/>
        </w:rPr>
        <w:t>10</w:t>
      </w:r>
      <w:r>
        <w:rPr>
          <w:rFonts w:hint="eastAsia"/>
          <w:color w:val="auto"/>
          <w:sz w:val="24"/>
          <w:vertAlign w:val="superscript"/>
          <w:lang w:val="en-US" w:eastAsia="zh-CN"/>
        </w:rPr>
        <w:t>4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mL</w:t>
      </w:r>
      <w:r>
        <w:rPr>
          <w:sz w:val="24"/>
        </w:rPr>
        <w:t>。</w:t>
      </w:r>
    </w:p>
    <w:p>
      <w:pPr>
        <w:spacing w:line="360" w:lineRule="auto"/>
        <w:rPr>
          <w:sz w:val="24"/>
        </w:rPr>
      </w:pPr>
      <w:r>
        <w:rPr>
          <w:sz w:val="24"/>
        </w:rPr>
        <w:t>C.2 不确定度来源</w:t>
      </w:r>
    </w:p>
    <w:p>
      <w:pPr>
        <w:spacing w:line="360" w:lineRule="auto"/>
        <w:ind w:left="420" w:leftChars="200"/>
        <w:rPr>
          <w:sz w:val="24"/>
        </w:rPr>
      </w:pPr>
      <w:r>
        <w:rPr>
          <w:sz w:val="24"/>
        </w:rPr>
        <w:t>（1）</w:t>
      </w:r>
      <w:r>
        <w:rPr>
          <w:rFonts w:hint="eastAsia"/>
          <w:sz w:val="24"/>
        </w:rPr>
        <w:t>体细胞数</w:t>
      </w:r>
      <w:r>
        <w:rPr>
          <w:color w:val="000000"/>
          <w:sz w:val="24"/>
        </w:rPr>
        <w:t>测量</w:t>
      </w:r>
      <w:r>
        <w:rPr>
          <w:rFonts w:hint="eastAsia"/>
          <w:color w:val="000000"/>
          <w:sz w:val="24"/>
        </w:rPr>
        <w:t>重复性</w:t>
      </w:r>
      <w:r>
        <w:rPr>
          <w:sz w:val="24"/>
        </w:rPr>
        <w:t>引入的不确定度。</w:t>
      </w:r>
    </w:p>
    <w:p>
      <w:pPr>
        <w:spacing w:line="360" w:lineRule="auto"/>
        <w:ind w:left="420" w:leftChars="200"/>
        <w:rPr>
          <w:color w:val="000000"/>
          <w:sz w:val="24"/>
        </w:rPr>
      </w:pPr>
      <w:r>
        <w:rPr>
          <w:sz w:val="24"/>
        </w:rPr>
        <w:t>（2）</w:t>
      </w:r>
      <w:r>
        <w:rPr>
          <w:rFonts w:hint="eastAsia"/>
          <w:sz w:val="24"/>
        </w:rPr>
        <w:t>标准物质</w:t>
      </w:r>
      <w:r>
        <w:rPr>
          <w:color w:val="000000"/>
          <w:sz w:val="24"/>
        </w:rPr>
        <w:t>引入的不确定度。</w:t>
      </w:r>
    </w:p>
    <w:p>
      <w:pPr>
        <w:spacing w:line="360" w:lineRule="auto"/>
        <w:rPr>
          <w:sz w:val="24"/>
        </w:rPr>
      </w:pPr>
      <w:r>
        <w:rPr>
          <w:sz w:val="24"/>
        </w:rPr>
        <w:t>C.3 不确定度分量的计算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C.3.1</w:t>
      </w:r>
      <w:r>
        <w:rPr>
          <w:rFonts w:hint="eastAsia"/>
          <w:color w:val="000000"/>
          <w:sz w:val="24"/>
        </w:rPr>
        <w:t>体细胞数测量重复性引入的不确定度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 w:hAnsi="宋体"/>
          <w:bCs/>
          <w:sz w:val="24"/>
        </w:rPr>
        <w:t>采用</w:t>
      </w:r>
      <w:r>
        <w:rPr>
          <w:rFonts w:hAnsi="宋体"/>
          <w:bCs/>
          <w:sz w:val="24"/>
        </w:rPr>
        <w:t>贝塞尔</w:t>
      </w:r>
      <w:r>
        <w:rPr>
          <w:rFonts w:hint="eastAsia" w:hAnsi="宋体"/>
          <w:bCs/>
          <w:sz w:val="24"/>
        </w:rPr>
        <w:t>公式</w:t>
      </w:r>
      <w:r>
        <w:rPr>
          <w:rFonts w:hAnsi="宋体"/>
          <w:bCs/>
          <w:sz w:val="24"/>
        </w:rPr>
        <w:t>求出</w:t>
      </w:r>
      <w:r>
        <w:rPr>
          <w:rFonts w:hint="eastAsia" w:hAnsi="宋体"/>
          <w:bCs/>
          <w:sz w:val="24"/>
          <w:lang w:val="en-US" w:eastAsia="zh-CN"/>
        </w:rPr>
        <w:t>实验</w:t>
      </w:r>
      <w:r>
        <w:rPr>
          <w:rFonts w:hAnsi="宋体"/>
          <w:bCs/>
          <w:sz w:val="24"/>
        </w:rPr>
        <w:t>标准偏差。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ascii="宋体" w:hAnsi="宋体"/>
          <w:position w:val="-26"/>
          <w:sz w:val="24"/>
        </w:rPr>
        <w:object>
          <v:shape id="_x0000_i1029" o:spt="75" type="#_x0000_t75" style="height:58.9pt;width:117.1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36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体细胞6次测量结果分别为(72，66，65，74，68，70)</w:t>
      </w:r>
      <w:r>
        <w:rPr>
          <w:rFonts w:hint="default" w:ascii="Arial" w:hAnsi="Arial" w:cs="Arial"/>
          <w:color w:val="auto"/>
          <w:sz w:val="24"/>
          <w:lang w:eastAsia="zh-CN"/>
        </w:rPr>
        <w:t>×</w:t>
      </w:r>
      <w:r>
        <w:rPr>
          <w:rFonts w:hint="eastAsia"/>
          <w:color w:val="auto"/>
          <w:sz w:val="24"/>
          <w:lang w:val="en-US" w:eastAsia="zh-CN"/>
        </w:rPr>
        <w:t>10</w:t>
      </w:r>
      <w:r>
        <w:rPr>
          <w:rFonts w:hint="eastAsia"/>
          <w:color w:val="auto"/>
          <w:sz w:val="24"/>
          <w:vertAlign w:val="superscript"/>
          <w:lang w:val="en-US" w:eastAsia="zh-CN"/>
        </w:rPr>
        <w:t>4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mL，平均值为69</w:t>
      </w:r>
      <w:r>
        <w:rPr>
          <w:rFonts w:hint="default" w:ascii="Arial" w:hAnsi="Arial" w:cs="Arial"/>
          <w:color w:val="auto"/>
          <w:sz w:val="24"/>
          <w:lang w:eastAsia="zh-CN"/>
        </w:rPr>
        <w:t>×</w:t>
      </w:r>
      <w:r>
        <w:rPr>
          <w:rFonts w:hint="eastAsia"/>
          <w:color w:val="auto"/>
          <w:sz w:val="24"/>
          <w:lang w:val="en-US" w:eastAsia="zh-CN"/>
        </w:rPr>
        <w:t>10</w:t>
      </w:r>
      <w:r>
        <w:rPr>
          <w:rFonts w:hint="eastAsia"/>
          <w:color w:val="auto"/>
          <w:sz w:val="24"/>
          <w:vertAlign w:val="superscript"/>
          <w:lang w:val="en-US" w:eastAsia="zh-CN"/>
        </w:rPr>
        <w:t>4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mL，</w:t>
      </w:r>
      <w:r>
        <w:rPr>
          <w:rFonts w:hint="eastAsia"/>
          <w:sz w:val="24"/>
        </w:rPr>
        <w:t>根据上式，计算得到</w:t>
      </w:r>
      <w:r>
        <w:rPr>
          <w:kern w:val="0"/>
          <w:sz w:val="24"/>
        </w:rPr>
        <w:t>测量</w:t>
      </w:r>
      <w:r>
        <w:rPr>
          <w:rFonts w:hAnsi="宋体"/>
          <w:bCs/>
          <w:sz w:val="24"/>
        </w:rPr>
        <w:t>重复性</w:t>
      </w:r>
      <w:r>
        <w:rPr>
          <w:rFonts w:hint="eastAsia" w:hAnsi="宋体"/>
          <w:bCs/>
          <w:sz w:val="24"/>
        </w:rPr>
        <w:t>引入的标准不确定度</w:t>
      </w:r>
      <w:r>
        <w:rPr>
          <w:position w:val="-10"/>
        </w:rPr>
        <w:object>
          <v:shape id="_x0000_i1030" o:spt="75" type="#_x0000_t75" style="height:19.55pt;width:26.2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38">
            <o:LockedField>false</o:LockedField>
          </o:OLEObject>
        </w:object>
      </w:r>
      <w:r>
        <w:rPr>
          <w:bCs/>
          <w:sz w:val="24"/>
        </w:rPr>
        <w:t>＝</w:t>
      </w:r>
      <w:r>
        <w:rPr>
          <w:rFonts w:hint="eastAsia"/>
          <w:i/>
          <w:iCs/>
          <w:sz w:val="24"/>
          <w:szCs w:val="32"/>
        </w:rPr>
        <w:t>s</w:t>
      </w:r>
      <w:r>
        <w:rPr>
          <w:sz w:val="24"/>
        </w:rPr>
        <w:t>=</w:t>
      </w:r>
      <w:r>
        <w:rPr>
          <w:rFonts w:hint="eastAsia"/>
          <w:sz w:val="24"/>
          <w:lang w:val="en-US" w:eastAsia="zh-CN"/>
        </w:rPr>
        <w:t>3.5</w:t>
      </w:r>
      <w:r>
        <w:rPr>
          <w:rFonts w:hint="default" w:ascii="Arial" w:hAnsi="Arial" w:cs="Arial"/>
          <w:color w:val="auto"/>
          <w:sz w:val="24"/>
          <w:lang w:eastAsia="zh-CN"/>
        </w:rPr>
        <w:t>×</w:t>
      </w:r>
      <w:r>
        <w:rPr>
          <w:rFonts w:hint="eastAsia"/>
          <w:color w:val="auto"/>
          <w:sz w:val="24"/>
          <w:lang w:val="en-US" w:eastAsia="zh-CN"/>
        </w:rPr>
        <w:t>10</w:t>
      </w:r>
      <w:r>
        <w:rPr>
          <w:rFonts w:hint="eastAsia"/>
          <w:color w:val="auto"/>
          <w:sz w:val="24"/>
          <w:vertAlign w:val="superscript"/>
          <w:lang w:val="en-US" w:eastAsia="zh-CN"/>
        </w:rPr>
        <w:t>4</w:t>
      </w:r>
      <w:r>
        <w:rPr>
          <w:sz w:val="24"/>
        </w:rPr>
        <w:t>/</w:t>
      </w:r>
      <w:r>
        <w:rPr>
          <w:rFonts w:hint="eastAsia"/>
          <w:sz w:val="24"/>
          <w:lang w:val="en-US" w:eastAsia="zh-CN"/>
        </w:rPr>
        <w:t>mL</w:t>
      </w:r>
      <w:r>
        <w:rPr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</w:rPr>
        <w:t>相对标准不确定度</w:t>
      </w:r>
      <w:r>
        <w:rPr>
          <w:position w:val="-12"/>
        </w:rPr>
        <w:object>
          <v:shape id="_x0000_i1031" o:spt="75" type="#_x0000_t75" style="height:20.6pt;width:144.9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40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C.3.</w:t>
      </w:r>
      <w:r>
        <w:rPr>
          <w:sz w:val="24"/>
        </w:rPr>
        <w:t>2</w:t>
      </w:r>
      <w:r>
        <w:rPr>
          <w:rFonts w:hint="eastAsia"/>
          <w:sz w:val="24"/>
        </w:rPr>
        <w:t>标准物质</w:t>
      </w:r>
      <w:r>
        <w:rPr>
          <w:color w:val="000000"/>
          <w:sz w:val="24"/>
        </w:rPr>
        <w:t>引入的不确定度</w:t>
      </w:r>
    </w:p>
    <w:p>
      <w:pPr>
        <w:spacing w:line="360" w:lineRule="auto"/>
        <w:ind w:firstLine="480" w:firstLineChars="200"/>
        <w:rPr>
          <w:kern w:val="0"/>
          <w:sz w:val="24"/>
          <w:lang w:val="zh-CN"/>
        </w:rPr>
      </w:pPr>
      <w:r>
        <w:rPr>
          <w:rFonts w:hint="eastAsia"/>
          <w:kern w:val="0"/>
          <w:sz w:val="24"/>
          <w:lang w:val="zh-CN"/>
        </w:rPr>
        <w:t>由证书获得标准物质引入的</w:t>
      </w:r>
      <w:r>
        <w:rPr>
          <w:rFonts w:hint="eastAsia"/>
          <w:kern w:val="0"/>
          <w:sz w:val="24"/>
          <w:lang w:val="en-US" w:eastAsia="zh-CN"/>
        </w:rPr>
        <w:t>相对标准</w:t>
      </w:r>
      <w:r>
        <w:rPr>
          <w:rFonts w:hint="eastAsia"/>
          <w:kern w:val="0"/>
          <w:sz w:val="24"/>
          <w:lang w:val="zh-CN"/>
        </w:rPr>
        <w:t>不确定度</w:t>
      </w:r>
      <w:r>
        <w:rPr>
          <w:position w:val="-12"/>
        </w:rPr>
        <w:object>
          <v:shape id="_x0000_i1032" o:spt="75" type="#_x0000_t75" style="height:18.55pt;width:37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DSMT4" ShapeID="_x0000_i1032" DrawAspect="Content" ObjectID="_1468075731" r:id="rId42">
            <o:LockedField>false</o:LockedField>
          </o:OLEObject>
        </w:object>
      </w:r>
      <w:r>
        <w:rPr>
          <w:rFonts w:hint="eastAsia"/>
          <w:kern w:val="0"/>
          <w:sz w:val="24"/>
          <w:lang w:val="en-US" w:eastAsia="zh-CN"/>
        </w:rPr>
        <w:t>为5%</w:t>
      </w:r>
      <w:r>
        <w:rPr>
          <w:rFonts w:hint="eastAsia"/>
          <w:kern w:val="0"/>
          <w:sz w:val="24"/>
          <w:lang w:val="zh-CN"/>
        </w:rPr>
        <w:t>。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C.4 </w:t>
      </w:r>
      <w:r>
        <w:rPr>
          <w:rFonts w:hint="eastAsia"/>
          <w:sz w:val="24"/>
        </w:rPr>
        <w:t>相对合成标准</w:t>
      </w:r>
      <w:r>
        <w:rPr>
          <w:sz w:val="24"/>
        </w:rPr>
        <w:t>不确定度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rPr>
          <w:position w:val="-14"/>
        </w:rPr>
      </w:pPr>
      <w:bookmarkStart w:id="104" w:name="_Hlk26529855"/>
      <w:r>
        <w:rPr>
          <w:position w:val="-14"/>
        </w:rPr>
        <w:object>
          <v:shape id="_x0000_i1033" o:spt="75" type="#_x0000_t75" style="height:24pt;width:16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44">
            <o:LockedField>false</o:LockedField>
          </o:OLEObject>
        </w:object>
      </w:r>
      <w:bookmarkEnd w:id="104"/>
    </w:p>
    <w:p>
      <w:pPr>
        <w:autoSpaceDE w:val="0"/>
        <w:autoSpaceDN w:val="0"/>
        <w:adjustRightInd w:val="0"/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 xml:space="preserve">C.5 </w:t>
      </w:r>
      <w:r>
        <w:rPr>
          <w:rFonts w:hint="eastAsia"/>
          <w:sz w:val="24"/>
          <w:lang w:val="en-US" w:eastAsia="zh-CN"/>
        </w:rPr>
        <w:t>相对</w:t>
      </w:r>
      <w:r>
        <w:rPr>
          <w:rFonts w:hint="eastAsia"/>
          <w:sz w:val="24"/>
        </w:rPr>
        <w:t>扩展不确定度</w:t>
      </w:r>
      <w:r>
        <w:rPr>
          <w:rFonts w:hint="eastAsia"/>
          <w:sz w:val="24"/>
          <w:lang w:val="en-US" w:eastAsia="zh-CN"/>
        </w:rPr>
        <w:t>(</w:t>
      </w:r>
      <w:r>
        <w:rPr>
          <w:rFonts w:hint="eastAsia"/>
          <w:i/>
          <w:iCs/>
          <w:sz w:val="24"/>
          <w:lang w:val="en-US" w:eastAsia="zh-CN"/>
        </w:rPr>
        <w:t>k</w:t>
      </w:r>
      <w:r>
        <w:rPr>
          <w:rFonts w:hint="eastAsia"/>
          <w:sz w:val="24"/>
          <w:lang w:val="en-US" w:eastAsia="zh-CN"/>
        </w:rPr>
        <w:t>=2)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eastAsia="宋体"/>
          <w:sz w:val="24"/>
          <w:vertAlign w:val="subscript"/>
          <w:lang w:val="en-US" w:eastAsia="zh-CN"/>
        </w:rPr>
      </w:pPr>
      <w:r>
        <w:rPr>
          <w:position w:val="-12"/>
        </w:rPr>
        <w:object>
          <v:shape id="_x0000_i1034" o:spt="75" type="#_x0000_t75" style="height:18pt;width:114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DSMT4" ShapeID="_x0000_i1034" DrawAspect="Content" ObjectID="_1468075733" r:id="rId46">
            <o:LockedField>false</o:LockedField>
          </o:OLEObject>
        </w:object>
      </w:r>
    </w:p>
    <w:p>
      <w:pPr>
        <w:autoSpaceDE w:val="0"/>
        <w:autoSpaceDN w:val="0"/>
        <w:adjustRightInd w:val="0"/>
        <w:spacing w:line="520" w:lineRule="exact"/>
        <w:rPr>
          <w:sz w:val="24"/>
          <w:lang w:val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1957070</wp:posOffset>
                </wp:positionH>
                <wp:positionV relativeFrom="paragraph">
                  <wp:posOffset>113665</wp:posOffset>
                </wp:positionV>
                <wp:extent cx="1952625" cy="0"/>
                <wp:effectExtent l="0" t="0" r="9525" b="19050"/>
                <wp:wrapNone/>
                <wp:docPr id="2" name="Auto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26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5" o:spid="_x0000_s1026" o:spt="32" type="#_x0000_t32" style="position:absolute;left:0pt;margin-left:154.1pt;margin-top:8.95pt;height:0pt;width:153.75pt;z-index:251662336;mso-width-relative:page;mso-height-relative:page;" filled="f" stroked="t" coordsize="21600,21600" o:gfxdata="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WKyZ/UAAAACQEAAA8AAAAAAAAAAQAgAAAAIgAA&#10;AGRycy9kb3ducmV2LnhtbFBLAQIUABQAAAAIAIdO4kDnOleD0wEAALMDAAAOAAAAAAAAAAEAIAAA&#10;ACMBAABkcnMvZTJvRG9jLnhtbFBLBQYAAAAABgAGAFkBAABo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sectPr>
      <w:footerReference r:id="rId25" w:type="default"/>
      <w:footerReference r:id="rId26" w:type="even"/>
      <w:pgSz w:w="11906" w:h="16838"/>
      <w:pgMar w:top="1361" w:right="1418" w:bottom="1361" w:left="1418" w:header="851" w:footer="1052" w:gutter="0"/>
      <w:pgNumType w:fmt="decimal"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firstLine="4500" w:firstLineChars="2500"/>
    </w:pPr>
    <w:r>
      <w:t>I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firstLine="4500" w:firstLineChars="2500"/>
    </w:pPr>
    <w:r>
      <w:t>I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aJO4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GEsM0Kn768f30&#10;8+H06xvBGQRqXJgh7t4hMrbvbIu2Gc4DDhPvtvI6fcGIwA95jxd5RRsJT5emk+k0h4vDN2yAnz1e&#10;dz7E98JqkoyCetSvk5UdNiH2oUNIymbsWirV1VAZ0hT06vX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F7aJO4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page" w:x="5956" w:y="22"/>
      <w:rPr>
        <w:rStyle w:val="53"/>
      </w:rPr>
    </w:pPr>
    <w:r>
      <w:rPr>
        <w:rStyle w:val="53"/>
      </w:rPr>
      <w:t>1</w:t>
    </w:r>
  </w:p>
  <w:p>
    <w:pPr>
      <w:pStyle w:val="15"/>
      <w:ind w:right="360"/>
      <w:jc w:val="both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4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4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5"/>
      <w:ind w:right="720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15"/>
      <w:ind w:right="36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firstLine="4500" w:firstLineChars="250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firstLine="4500" w:firstLineChars="2500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>I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margin" w:hAnchor="text" w:y="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firstLine="4500" w:firstLineChars="2500"/>
    </w:pPr>
    <w:r>
      <w:t>I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single" w:color="auto" w:sz="6" w:space="9"/>
      </w:pBdr>
      <w:rPr>
        <w:b/>
        <w:sz w:val="24"/>
        <w:szCs w:val="24"/>
      </w:rPr>
    </w:pPr>
    <w:r>
      <w:rPr>
        <w:b/>
        <w:sz w:val="24"/>
        <w:szCs w:val="24"/>
      </w:rPr>
      <w:t>JJF××××—××××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sz w:val="24"/>
        <w:szCs w:val="24"/>
      </w:rPr>
    </w:pPr>
    <w:r>
      <w:rPr>
        <w:sz w:val="24"/>
        <w:szCs w:val="24"/>
      </w:rPr>
      <w:t xml:space="preserve">JJF </w:t>
    </w:r>
    <w:r>
      <w:rPr>
        <w:rFonts w:eastAsia="黑体"/>
        <w:bCs/>
        <w:sz w:val="24"/>
        <w:szCs w:val="24"/>
      </w:rPr>
      <w:t>xxxx</w:t>
    </w:r>
    <w:r>
      <w:rPr>
        <w:rFonts w:hint="eastAsia" w:eastAsia="黑体"/>
        <w:bCs/>
        <w:sz w:val="24"/>
        <w:szCs w:val="24"/>
      </w:rPr>
      <w:t>－</w:t>
    </w:r>
    <w:r>
      <w:rPr>
        <w:rFonts w:eastAsia="黑体"/>
        <w:bCs/>
        <w:sz w:val="24"/>
        <w:szCs w:val="24"/>
      </w:rPr>
      <w:t>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b/>
        <w:sz w:val="24"/>
        <w:szCs w:val="24"/>
      </w:rPr>
    </w:pPr>
    <w:r>
      <w:rPr>
        <w:b/>
        <w:sz w:val="24"/>
        <w:szCs w:val="24"/>
      </w:rPr>
      <w:t>JJF××××—××××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sz w:val="24"/>
        <w:szCs w:val="24"/>
      </w:rPr>
    </w:pPr>
    <w:r>
      <w:rPr>
        <w:b/>
        <w:sz w:val="24"/>
        <w:szCs w:val="24"/>
      </w:rPr>
      <w:t>JJF××××—××××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rPr>
        <w:rFonts w:ascii="宋体" w:hAnsi="宋体"/>
        <w:b/>
        <w:sz w:val="21"/>
        <w:szCs w:val="21"/>
      </w:rPr>
      <w:t>JJF</w:t>
    </w:r>
    <w:r>
      <w:rPr>
        <w:rFonts w:hint="eastAsia" w:ascii="宋体" w:hAnsi="宋体"/>
        <w:b/>
        <w:sz w:val="21"/>
        <w:szCs w:val="21"/>
      </w:rPr>
      <w:t>××××</w:t>
    </w:r>
    <w:r>
      <w:rPr>
        <w:rFonts w:ascii="宋体" w:hAnsi="宋体"/>
        <w:b/>
        <w:sz w:val="21"/>
        <w:szCs w:val="21"/>
      </w:rPr>
      <w:t>——</w:t>
    </w:r>
    <w:r>
      <w:rPr>
        <w:rFonts w:hint="eastAsia" w:ascii="宋体" w:hAnsi="宋体"/>
        <w:b/>
        <w:sz w:val="21"/>
        <w:szCs w:val="21"/>
      </w:rPr>
      <w:t>××××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b/>
        <w:sz w:val="24"/>
        <w:szCs w:val="24"/>
      </w:rPr>
    </w:pPr>
    <w:r>
      <w:rPr>
        <w:sz w:val="24"/>
        <w:szCs w:val="24"/>
      </w:rPr>
      <w:t>JJF</w:t>
    </w:r>
    <w:r>
      <w:rPr>
        <w:b/>
        <w:sz w:val="24"/>
        <w:szCs w:val="24"/>
      </w:rPr>
      <w:t xml:space="preserve"> ××××—××××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rPr>
        <w:rFonts w:ascii="宋体" w:hAnsi="宋体"/>
        <w:b/>
        <w:sz w:val="21"/>
        <w:szCs w:val="21"/>
      </w:rPr>
      <w:t>JJF</w:t>
    </w:r>
    <w:r>
      <w:rPr>
        <w:rFonts w:hint="eastAsia" w:ascii="宋体" w:hAnsi="宋体"/>
        <w:b/>
        <w:sz w:val="21"/>
        <w:szCs w:val="21"/>
      </w:rPr>
      <w:t>××××</w:t>
    </w:r>
    <w:r>
      <w:rPr>
        <w:rFonts w:ascii="宋体" w:hAnsi="宋体"/>
        <w:b/>
        <w:sz w:val="21"/>
        <w:szCs w:val="21"/>
      </w:rPr>
      <w:t>——</w:t>
    </w:r>
    <w:r>
      <w:rPr>
        <w:rFonts w:hint="eastAsia" w:ascii="宋体" w:hAnsi="宋体"/>
        <w:b/>
        <w:sz w:val="21"/>
        <w:szCs w:val="21"/>
      </w:rPr>
      <w:t>××××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rPr>
        <w:rFonts w:ascii="宋体" w:hAnsi="宋体"/>
        <w:b/>
        <w:sz w:val="21"/>
        <w:szCs w:val="21"/>
      </w:rPr>
      <w:t>JJF</w:t>
    </w:r>
    <w:r>
      <w:rPr>
        <w:rFonts w:hint="eastAsia" w:ascii="宋体" w:hAnsi="宋体"/>
        <w:b/>
        <w:sz w:val="21"/>
        <w:szCs w:val="21"/>
      </w:rPr>
      <w:t>××××</w:t>
    </w:r>
    <w:r>
      <w:rPr>
        <w:rFonts w:ascii="宋体" w:hAnsi="宋体"/>
        <w:b/>
        <w:sz w:val="21"/>
        <w:szCs w:val="21"/>
      </w:rPr>
      <w:t>——</w:t>
    </w:r>
    <w:r>
      <w:rPr>
        <w:rFonts w:hint="eastAsia" w:ascii="宋体" w:hAnsi="宋体"/>
        <w:b/>
        <w:sz w:val="21"/>
        <w:szCs w:val="21"/>
      </w:rPr>
      <w:t>××××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9233A8"/>
    <w:multiLevelType w:val="singleLevel"/>
    <w:tmpl w:val="1C9233A8"/>
    <w:lvl w:ilvl="0" w:tentative="0">
      <w:start w:val="1"/>
      <w:numFmt w:val="decimal"/>
      <w:suff w:val="space"/>
      <w:lvlText w:val="%1."/>
      <w:lvlJc w:val="left"/>
      <w:pPr>
        <w:ind w:left="1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4OTFkNGJiZjQ2ZGEwZjA2ZDc5NTgzMWFmNjFjM2EifQ=="/>
  </w:docVars>
  <w:rsids>
    <w:rsidRoot w:val="00172A27"/>
    <w:rsid w:val="00013CB2"/>
    <w:rsid w:val="00014A58"/>
    <w:rsid w:val="000162E2"/>
    <w:rsid w:val="00022E63"/>
    <w:rsid w:val="00025B63"/>
    <w:rsid w:val="0002698D"/>
    <w:rsid w:val="0003000C"/>
    <w:rsid w:val="00037A00"/>
    <w:rsid w:val="00053C99"/>
    <w:rsid w:val="00056ED1"/>
    <w:rsid w:val="000621EA"/>
    <w:rsid w:val="000810FC"/>
    <w:rsid w:val="00085AA6"/>
    <w:rsid w:val="00094050"/>
    <w:rsid w:val="00095DEB"/>
    <w:rsid w:val="00097538"/>
    <w:rsid w:val="00097CBF"/>
    <w:rsid w:val="000A7932"/>
    <w:rsid w:val="000B163A"/>
    <w:rsid w:val="000B2225"/>
    <w:rsid w:val="000B2B97"/>
    <w:rsid w:val="000C209D"/>
    <w:rsid w:val="000C7DF4"/>
    <w:rsid w:val="000C7E1F"/>
    <w:rsid w:val="000D3125"/>
    <w:rsid w:val="000D4087"/>
    <w:rsid w:val="000D4B23"/>
    <w:rsid w:val="000E11EA"/>
    <w:rsid w:val="000E158F"/>
    <w:rsid w:val="000E17EA"/>
    <w:rsid w:val="000F1130"/>
    <w:rsid w:val="00112BEF"/>
    <w:rsid w:val="00113356"/>
    <w:rsid w:val="00114D3F"/>
    <w:rsid w:val="00121D68"/>
    <w:rsid w:val="00132CB5"/>
    <w:rsid w:val="00133B90"/>
    <w:rsid w:val="0013435C"/>
    <w:rsid w:val="00141724"/>
    <w:rsid w:val="001445B4"/>
    <w:rsid w:val="00147BF2"/>
    <w:rsid w:val="00150360"/>
    <w:rsid w:val="00151964"/>
    <w:rsid w:val="001607F2"/>
    <w:rsid w:val="001648AE"/>
    <w:rsid w:val="00172A27"/>
    <w:rsid w:val="0017691C"/>
    <w:rsid w:val="00187B66"/>
    <w:rsid w:val="00191488"/>
    <w:rsid w:val="0019471E"/>
    <w:rsid w:val="001A7BE6"/>
    <w:rsid w:val="001B1A96"/>
    <w:rsid w:val="001B3FC3"/>
    <w:rsid w:val="001B4875"/>
    <w:rsid w:val="001C4DE6"/>
    <w:rsid w:val="001D0933"/>
    <w:rsid w:val="001D368E"/>
    <w:rsid w:val="001D5161"/>
    <w:rsid w:val="001D5684"/>
    <w:rsid w:val="001D587E"/>
    <w:rsid w:val="001D7CBB"/>
    <w:rsid w:val="001E1352"/>
    <w:rsid w:val="001E6B67"/>
    <w:rsid w:val="001E7868"/>
    <w:rsid w:val="001F3D07"/>
    <w:rsid w:val="00204F29"/>
    <w:rsid w:val="00210AB3"/>
    <w:rsid w:val="002152DF"/>
    <w:rsid w:val="00215996"/>
    <w:rsid w:val="00215B9F"/>
    <w:rsid w:val="002273B0"/>
    <w:rsid w:val="002303EB"/>
    <w:rsid w:val="00231A03"/>
    <w:rsid w:val="002322DC"/>
    <w:rsid w:val="0024476A"/>
    <w:rsid w:val="0025433E"/>
    <w:rsid w:val="002549FD"/>
    <w:rsid w:val="00254CAE"/>
    <w:rsid w:val="002568CE"/>
    <w:rsid w:val="0025792F"/>
    <w:rsid w:val="002668CD"/>
    <w:rsid w:val="0027036B"/>
    <w:rsid w:val="002716C2"/>
    <w:rsid w:val="00272C8B"/>
    <w:rsid w:val="00281996"/>
    <w:rsid w:val="002874B2"/>
    <w:rsid w:val="00292BFA"/>
    <w:rsid w:val="00295132"/>
    <w:rsid w:val="002A15B7"/>
    <w:rsid w:val="002A70DE"/>
    <w:rsid w:val="002B6190"/>
    <w:rsid w:val="002C41C3"/>
    <w:rsid w:val="002D4F05"/>
    <w:rsid w:val="002D7F64"/>
    <w:rsid w:val="002E6B24"/>
    <w:rsid w:val="002E7B58"/>
    <w:rsid w:val="002F0250"/>
    <w:rsid w:val="002F4D54"/>
    <w:rsid w:val="003067BF"/>
    <w:rsid w:val="0031564B"/>
    <w:rsid w:val="003159A2"/>
    <w:rsid w:val="003168FE"/>
    <w:rsid w:val="00322A70"/>
    <w:rsid w:val="0032398B"/>
    <w:rsid w:val="00325F8E"/>
    <w:rsid w:val="003309FF"/>
    <w:rsid w:val="00331888"/>
    <w:rsid w:val="003342C1"/>
    <w:rsid w:val="00334B8F"/>
    <w:rsid w:val="00341C72"/>
    <w:rsid w:val="003500DF"/>
    <w:rsid w:val="003502EB"/>
    <w:rsid w:val="00351251"/>
    <w:rsid w:val="00351840"/>
    <w:rsid w:val="00355C0E"/>
    <w:rsid w:val="00355E01"/>
    <w:rsid w:val="00362BAC"/>
    <w:rsid w:val="0036485D"/>
    <w:rsid w:val="00377467"/>
    <w:rsid w:val="00377CF1"/>
    <w:rsid w:val="00383B64"/>
    <w:rsid w:val="00387B75"/>
    <w:rsid w:val="00397F6D"/>
    <w:rsid w:val="003A581E"/>
    <w:rsid w:val="003A7F35"/>
    <w:rsid w:val="003B0643"/>
    <w:rsid w:val="003B1D33"/>
    <w:rsid w:val="003C0655"/>
    <w:rsid w:val="003C2E17"/>
    <w:rsid w:val="003C3296"/>
    <w:rsid w:val="003C7073"/>
    <w:rsid w:val="003D084C"/>
    <w:rsid w:val="003D2CF9"/>
    <w:rsid w:val="003D3D3D"/>
    <w:rsid w:val="003D3F25"/>
    <w:rsid w:val="003D46BF"/>
    <w:rsid w:val="003D68D6"/>
    <w:rsid w:val="003D6FC3"/>
    <w:rsid w:val="003E2A60"/>
    <w:rsid w:val="003F39A4"/>
    <w:rsid w:val="003F511A"/>
    <w:rsid w:val="003F7A31"/>
    <w:rsid w:val="00406D37"/>
    <w:rsid w:val="0041069C"/>
    <w:rsid w:val="00420723"/>
    <w:rsid w:val="00424F6E"/>
    <w:rsid w:val="00432CD9"/>
    <w:rsid w:val="004432E4"/>
    <w:rsid w:val="0044590D"/>
    <w:rsid w:val="00446FA8"/>
    <w:rsid w:val="004509B9"/>
    <w:rsid w:val="0045507C"/>
    <w:rsid w:val="00456C08"/>
    <w:rsid w:val="00456D55"/>
    <w:rsid w:val="0045705A"/>
    <w:rsid w:val="00457B2A"/>
    <w:rsid w:val="00460D7C"/>
    <w:rsid w:val="00463B9D"/>
    <w:rsid w:val="00474C1B"/>
    <w:rsid w:val="00474DE0"/>
    <w:rsid w:val="004760CE"/>
    <w:rsid w:val="004814E5"/>
    <w:rsid w:val="004820F7"/>
    <w:rsid w:val="004845C3"/>
    <w:rsid w:val="00486CBF"/>
    <w:rsid w:val="004A028F"/>
    <w:rsid w:val="004A1647"/>
    <w:rsid w:val="004A2C15"/>
    <w:rsid w:val="004A3DF5"/>
    <w:rsid w:val="004B06A5"/>
    <w:rsid w:val="004B2D3D"/>
    <w:rsid w:val="004C088B"/>
    <w:rsid w:val="004C2625"/>
    <w:rsid w:val="004C35B6"/>
    <w:rsid w:val="004C466A"/>
    <w:rsid w:val="004C5A44"/>
    <w:rsid w:val="004C77C1"/>
    <w:rsid w:val="004C7A4D"/>
    <w:rsid w:val="004D3F25"/>
    <w:rsid w:val="004D4912"/>
    <w:rsid w:val="004D7AA6"/>
    <w:rsid w:val="004E4B8E"/>
    <w:rsid w:val="004F06D1"/>
    <w:rsid w:val="004F4E71"/>
    <w:rsid w:val="004F57BB"/>
    <w:rsid w:val="00505745"/>
    <w:rsid w:val="00512E89"/>
    <w:rsid w:val="0052518A"/>
    <w:rsid w:val="00530649"/>
    <w:rsid w:val="00530B7F"/>
    <w:rsid w:val="0053448A"/>
    <w:rsid w:val="00543D34"/>
    <w:rsid w:val="00553A91"/>
    <w:rsid w:val="00553D51"/>
    <w:rsid w:val="00564121"/>
    <w:rsid w:val="0056590D"/>
    <w:rsid w:val="00566D72"/>
    <w:rsid w:val="00571804"/>
    <w:rsid w:val="00572014"/>
    <w:rsid w:val="00576280"/>
    <w:rsid w:val="00581341"/>
    <w:rsid w:val="00583681"/>
    <w:rsid w:val="0058528D"/>
    <w:rsid w:val="00593D63"/>
    <w:rsid w:val="005943BB"/>
    <w:rsid w:val="005A27DE"/>
    <w:rsid w:val="005A3AF0"/>
    <w:rsid w:val="005A3B91"/>
    <w:rsid w:val="005A655E"/>
    <w:rsid w:val="005B2CBC"/>
    <w:rsid w:val="005B3049"/>
    <w:rsid w:val="005C1D4F"/>
    <w:rsid w:val="005C6CA8"/>
    <w:rsid w:val="005D31F7"/>
    <w:rsid w:val="005D3F65"/>
    <w:rsid w:val="005D4725"/>
    <w:rsid w:val="005D47AA"/>
    <w:rsid w:val="005F113C"/>
    <w:rsid w:val="005F5F87"/>
    <w:rsid w:val="005F7EB0"/>
    <w:rsid w:val="00604353"/>
    <w:rsid w:val="00620A04"/>
    <w:rsid w:val="00621F51"/>
    <w:rsid w:val="00643FFD"/>
    <w:rsid w:val="006508AC"/>
    <w:rsid w:val="0066483F"/>
    <w:rsid w:val="00666CDB"/>
    <w:rsid w:val="00672B81"/>
    <w:rsid w:val="00673718"/>
    <w:rsid w:val="00674293"/>
    <w:rsid w:val="00675162"/>
    <w:rsid w:val="00680FD6"/>
    <w:rsid w:val="00681E37"/>
    <w:rsid w:val="006833AE"/>
    <w:rsid w:val="00683CB9"/>
    <w:rsid w:val="00683FBD"/>
    <w:rsid w:val="006843F3"/>
    <w:rsid w:val="00684700"/>
    <w:rsid w:val="006865E8"/>
    <w:rsid w:val="006A17B5"/>
    <w:rsid w:val="006A2430"/>
    <w:rsid w:val="006A6216"/>
    <w:rsid w:val="006B0E81"/>
    <w:rsid w:val="006B17C3"/>
    <w:rsid w:val="006C208A"/>
    <w:rsid w:val="006C47A3"/>
    <w:rsid w:val="006C7A6E"/>
    <w:rsid w:val="006D3FE6"/>
    <w:rsid w:val="006D5296"/>
    <w:rsid w:val="006E487F"/>
    <w:rsid w:val="006F2361"/>
    <w:rsid w:val="006F2686"/>
    <w:rsid w:val="006F34E8"/>
    <w:rsid w:val="00705A7D"/>
    <w:rsid w:val="007117C2"/>
    <w:rsid w:val="00716FF1"/>
    <w:rsid w:val="00717180"/>
    <w:rsid w:val="007310FE"/>
    <w:rsid w:val="00736BC3"/>
    <w:rsid w:val="0073715C"/>
    <w:rsid w:val="00737B21"/>
    <w:rsid w:val="00740C39"/>
    <w:rsid w:val="007423E7"/>
    <w:rsid w:val="00745F17"/>
    <w:rsid w:val="00746429"/>
    <w:rsid w:val="00747A0D"/>
    <w:rsid w:val="00764597"/>
    <w:rsid w:val="007674EB"/>
    <w:rsid w:val="00770456"/>
    <w:rsid w:val="00770CA9"/>
    <w:rsid w:val="0077120C"/>
    <w:rsid w:val="00773728"/>
    <w:rsid w:val="007754F5"/>
    <w:rsid w:val="007840FF"/>
    <w:rsid w:val="00796A60"/>
    <w:rsid w:val="007B3186"/>
    <w:rsid w:val="007B31E3"/>
    <w:rsid w:val="007B3927"/>
    <w:rsid w:val="007B6426"/>
    <w:rsid w:val="007B6E22"/>
    <w:rsid w:val="007D305C"/>
    <w:rsid w:val="007D5616"/>
    <w:rsid w:val="007D7CEE"/>
    <w:rsid w:val="007E6CAD"/>
    <w:rsid w:val="007E7159"/>
    <w:rsid w:val="007F65A4"/>
    <w:rsid w:val="007F7874"/>
    <w:rsid w:val="00804302"/>
    <w:rsid w:val="00804949"/>
    <w:rsid w:val="008162D1"/>
    <w:rsid w:val="008246AE"/>
    <w:rsid w:val="00830FCA"/>
    <w:rsid w:val="008368E4"/>
    <w:rsid w:val="008445F6"/>
    <w:rsid w:val="00850760"/>
    <w:rsid w:val="00865BED"/>
    <w:rsid w:val="00867BF2"/>
    <w:rsid w:val="00870953"/>
    <w:rsid w:val="00870E57"/>
    <w:rsid w:val="0087332E"/>
    <w:rsid w:val="00874143"/>
    <w:rsid w:val="0087785E"/>
    <w:rsid w:val="008811B0"/>
    <w:rsid w:val="0088242B"/>
    <w:rsid w:val="00884993"/>
    <w:rsid w:val="00885D5E"/>
    <w:rsid w:val="00890191"/>
    <w:rsid w:val="008924A8"/>
    <w:rsid w:val="00892893"/>
    <w:rsid w:val="008A3E57"/>
    <w:rsid w:val="008B0A1B"/>
    <w:rsid w:val="008B2DC4"/>
    <w:rsid w:val="008B34AE"/>
    <w:rsid w:val="008D09AC"/>
    <w:rsid w:val="008D1F1E"/>
    <w:rsid w:val="008D380B"/>
    <w:rsid w:val="008D5B3C"/>
    <w:rsid w:val="008D6268"/>
    <w:rsid w:val="008E01AE"/>
    <w:rsid w:val="008E3E44"/>
    <w:rsid w:val="008E4EEE"/>
    <w:rsid w:val="008E7CD5"/>
    <w:rsid w:val="0090216C"/>
    <w:rsid w:val="009049D0"/>
    <w:rsid w:val="0090533B"/>
    <w:rsid w:val="00905B89"/>
    <w:rsid w:val="00910960"/>
    <w:rsid w:val="00911B8F"/>
    <w:rsid w:val="00915F8B"/>
    <w:rsid w:val="00920650"/>
    <w:rsid w:val="009211DE"/>
    <w:rsid w:val="00922149"/>
    <w:rsid w:val="0092386C"/>
    <w:rsid w:val="00933FE7"/>
    <w:rsid w:val="00942B84"/>
    <w:rsid w:val="00950613"/>
    <w:rsid w:val="00951EEF"/>
    <w:rsid w:val="009527B1"/>
    <w:rsid w:val="00953795"/>
    <w:rsid w:val="00953C8D"/>
    <w:rsid w:val="009574B9"/>
    <w:rsid w:val="009605B3"/>
    <w:rsid w:val="009622C7"/>
    <w:rsid w:val="00963CDA"/>
    <w:rsid w:val="00964F2B"/>
    <w:rsid w:val="009702E2"/>
    <w:rsid w:val="00971F6C"/>
    <w:rsid w:val="00974DA6"/>
    <w:rsid w:val="00975791"/>
    <w:rsid w:val="0097797D"/>
    <w:rsid w:val="009860A5"/>
    <w:rsid w:val="0099169D"/>
    <w:rsid w:val="00991D9A"/>
    <w:rsid w:val="00991F6C"/>
    <w:rsid w:val="00995F67"/>
    <w:rsid w:val="009A10A1"/>
    <w:rsid w:val="009A27A1"/>
    <w:rsid w:val="009B6F75"/>
    <w:rsid w:val="009B73E2"/>
    <w:rsid w:val="009B7A1C"/>
    <w:rsid w:val="009C158A"/>
    <w:rsid w:val="009C6CB7"/>
    <w:rsid w:val="009C7493"/>
    <w:rsid w:val="009D2743"/>
    <w:rsid w:val="009D37D3"/>
    <w:rsid w:val="009D50B3"/>
    <w:rsid w:val="009E29A4"/>
    <w:rsid w:val="009E2CFC"/>
    <w:rsid w:val="009F285B"/>
    <w:rsid w:val="00A03AE8"/>
    <w:rsid w:val="00A04342"/>
    <w:rsid w:val="00A06590"/>
    <w:rsid w:val="00A14A63"/>
    <w:rsid w:val="00A2163B"/>
    <w:rsid w:val="00A25C78"/>
    <w:rsid w:val="00A27922"/>
    <w:rsid w:val="00A27975"/>
    <w:rsid w:val="00A50BE2"/>
    <w:rsid w:val="00A57F0D"/>
    <w:rsid w:val="00A71A3B"/>
    <w:rsid w:val="00A74511"/>
    <w:rsid w:val="00A75CB5"/>
    <w:rsid w:val="00A77A47"/>
    <w:rsid w:val="00A845C2"/>
    <w:rsid w:val="00A8532B"/>
    <w:rsid w:val="00A85707"/>
    <w:rsid w:val="00A85A4B"/>
    <w:rsid w:val="00A85DEE"/>
    <w:rsid w:val="00A86B6B"/>
    <w:rsid w:val="00A90973"/>
    <w:rsid w:val="00A90D82"/>
    <w:rsid w:val="00A93863"/>
    <w:rsid w:val="00A9465F"/>
    <w:rsid w:val="00A94CA5"/>
    <w:rsid w:val="00AA0804"/>
    <w:rsid w:val="00AA1535"/>
    <w:rsid w:val="00AA209B"/>
    <w:rsid w:val="00AA29A8"/>
    <w:rsid w:val="00AA6819"/>
    <w:rsid w:val="00AA6A0E"/>
    <w:rsid w:val="00AA749C"/>
    <w:rsid w:val="00AB746C"/>
    <w:rsid w:val="00AC193D"/>
    <w:rsid w:val="00AC19BB"/>
    <w:rsid w:val="00AC1CEE"/>
    <w:rsid w:val="00AC45DD"/>
    <w:rsid w:val="00AD5FC5"/>
    <w:rsid w:val="00AD7193"/>
    <w:rsid w:val="00AE3980"/>
    <w:rsid w:val="00AF0337"/>
    <w:rsid w:val="00AF05BE"/>
    <w:rsid w:val="00AF7397"/>
    <w:rsid w:val="00B00BE4"/>
    <w:rsid w:val="00B01303"/>
    <w:rsid w:val="00B04379"/>
    <w:rsid w:val="00B06111"/>
    <w:rsid w:val="00B07CF5"/>
    <w:rsid w:val="00B10C23"/>
    <w:rsid w:val="00B15CBE"/>
    <w:rsid w:val="00B17644"/>
    <w:rsid w:val="00B27421"/>
    <w:rsid w:val="00B320B6"/>
    <w:rsid w:val="00B3247A"/>
    <w:rsid w:val="00B45B59"/>
    <w:rsid w:val="00B47624"/>
    <w:rsid w:val="00B50E21"/>
    <w:rsid w:val="00B527D6"/>
    <w:rsid w:val="00B53C8B"/>
    <w:rsid w:val="00B63DB1"/>
    <w:rsid w:val="00B63FB0"/>
    <w:rsid w:val="00B65F2C"/>
    <w:rsid w:val="00B6726C"/>
    <w:rsid w:val="00B71A41"/>
    <w:rsid w:val="00B740CA"/>
    <w:rsid w:val="00B7563D"/>
    <w:rsid w:val="00B86DD6"/>
    <w:rsid w:val="00B92196"/>
    <w:rsid w:val="00B97176"/>
    <w:rsid w:val="00BA18A7"/>
    <w:rsid w:val="00BB10F6"/>
    <w:rsid w:val="00BB19A9"/>
    <w:rsid w:val="00BB2397"/>
    <w:rsid w:val="00BB54F1"/>
    <w:rsid w:val="00BC2238"/>
    <w:rsid w:val="00BC344F"/>
    <w:rsid w:val="00BC7649"/>
    <w:rsid w:val="00BD1E67"/>
    <w:rsid w:val="00BD434C"/>
    <w:rsid w:val="00BD5E42"/>
    <w:rsid w:val="00BE6B5A"/>
    <w:rsid w:val="00BF1CE3"/>
    <w:rsid w:val="00BF2DF5"/>
    <w:rsid w:val="00BF4BBD"/>
    <w:rsid w:val="00BF4E66"/>
    <w:rsid w:val="00BF6D2F"/>
    <w:rsid w:val="00C061F8"/>
    <w:rsid w:val="00C073D9"/>
    <w:rsid w:val="00C10A70"/>
    <w:rsid w:val="00C1202E"/>
    <w:rsid w:val="00C4020A"/>
    <w:rsid w:val="00C43CC6"/>
    <w:rsid w:val="00C45F29"/>
    <w:rsid w:val="00C5491D"/>
    <w:rsid w:val="00C566DB"/>
    <w:rsid w:val="00C607BB"/>
    <w:rsid w:val="00C65802"/>
    <w:rsid w:val="00C746F8"/>
    <w:rsid w:val="00C81502"/>
    <w:rsid w:val="00C81798"/>
    <w:rsid w:val="00C81962"/>
    <w:rsid w:val="00C85DA9"/>
    <w:rsid w:val="00C873FE"/>
    <w:rsid w:val="00C962DE"/>
    <w:rsid w:val="00CA10A7"/>
    <w:rsid w:val="00CA1633"/>
    <w:rsid w:val="00CB0872"/>
    <w:rsid w:val="00CB33A2"/>
    <w:rsid w:val="00CB5EB6"/>
    <w:rsid w:val="00CE7E2F"/>
    <w:rsid w:val="00CF2ABD"/>
    <w:rsid w:val="00CF4616"/>
    <w:rsid w:val="00D0571B"/>
    <w:rsid w:val="00D119DB"/>
    <w:rsid w:val="00D14387"/>
    <w:rsid w:val="00D240F5"/>
    <w:rsid w:val="00D24820"/>
    <w:rsid w:val="00D3036F"/>
    <w:rsid w:val="00D36919"/>
    <w:rsid w:val="00D41CBD"/>
    <w:rsid w:val="00D502D6"/>
    <w:rsid w:val="00D5138D"/>
    <w:rsid w:val="00D571C0"/>
    <w:rsid w:val="00D62BF0"/>
    <w:rsid w:val="00D72450"/>
    <w:rsid w:val="00D8292D"/>
    <w:rsid w:val="00D87C2C"/>
    <w:rsid w:val="00D90A41"/>
    <w:rsid w:val="00D91093"/>
    <w:rsid w:val="00D9267C"/>
    <w:rsid w:val="00D92C4B"/>
    <w:rsid w:val="00DA1A3A"/>
    <w:rsid w:val="00DA242B"/>
    <w:rsid w:val="00DB66BA"/>
    <w:rsid w:val="00DB6773"/>
    <w:rsid w:val="00DD22CF"/>
    <w:rsid w:val="00DE037B"/>
    <w:rsid w:val="00DE1FC8"/>
    <w:rsid w:val="00DE2EEC"/>
    <w:rsid w:val="00DE41B0"/>
    <w:rsid w:val="00DE4D1B"/>
    <w:rsid w:val="00DE78F4"/>
    <w:rsid w:val="00DF1D8D"/>
    <w:rsid w:val="00DF45C5"/>
    <w:rsid w:val="00DF4B20"/>
    <w:rsid w:val="00E039C5"/>
    <w:rsid w:val="00E12462"/>
    <w:rsid w:val="00E14203"/>
    <w:rsid w:val="00E156E5"/>
    <w:rsid w:val="00E2274A"/>
    <w:rsid w:val="00E3426A"/>
    <w:rsid w:val="00E41DA6"/>
    <w:rsid w:val="00E42A50"/>
    <w:rsid w:val="00E4509F"/>
    <w:rsid w:val="00E47229"/>
    <w:rsid w:val="00E53321"/>
    <w:rsid w:val="00E6185E"/>
    <w:rsid w:val="00E71F52"/>
    <w:rsid w:val="00E73EAB"/>
    <w:rsid w:val="00E75AA3"/>
    <w:rsid w:val="00E83302"/>
    <w:rsid w:val="00E837C0"/>
    <w:rsid w:val="00E85A47"/>
    <w:rsid w:val="00E956F9"/>
    <w:rsid w:val="00E97D81"/>
    <w:rsid w:val="00EA3B90"/>
    <w:rsid w:val="00EB2A98"/>
    <w:rsid w:val="00EB2E96"/>
    <w:rsid w:val="00EC35F1"/>
    <w:rsid w:val="00EC606F"/>
    <w:rsid w:val="00EC6FFC"/>
    <w:rsid w:val="00ED45EB"/>
    <w:rsid w:val="00ED4B2E"/>
    <w:rsid w:val="00EE1C79"/>
    <w:rsid w:val="00EE20F0"/>
    <w:rsid w:val="00EE7672"/>
    <w:rsid w:val="00EF094A"/>
    <w:rsid w:val="00EF4B78"/>
    <w:rsid w:val="00F00946"/>
    <w:rsid w:val="00F01C32"/>
    <w:rsid w:val="00F0275C"/>
    <w:rsid w:val="00F05120"/>
    <w:rsid w:val="00F057A6"/>
    <w:rsid w:val="00F069EA"/>
    <w:rsid w:val="00F06D94"/>
    <w:rsid w:val="00F113E4"/>
    <w:rsid w:val="00F11C17"/>
    <w:rsid w:val="00F14402"/>
    <w:rsid w:val="00F34A90"/>
    <w:rsid w:val="00F34E1F"/>
    <w:rsid w:val="00F4127C"/>
    <w:rsid w:val="00F47576"/>
    <w:rsid w:val="00F53038"/>
    <w:rsid w:val="00F60C53"/>
    <w:rsid w:val="00F61BCA"/>
    <w:rsid w:val="00F735A3"/>
    <w:rsid w:val="00F7442D"/>
    <w:rsid w:val="00F8062B"/>
    <w:rsid w:val="00F8345D"/>
    <w:rsid w:val="00F92742"/>
    <w:rsid w:val="00F93E2A"/>
    <w:rsid w:val="00F94D0B"/>
    <w:rsid w:val="00F958F4"/>
    <w:rsid w:val="00F97313"/>
    <w:rsid w:val="00FA059D"/>
    <w:rsid w:val="00FA5BD5"/>
    <w:rsid w:val="00FB49FF"/>
    <w:rsid w:val="00FB5E0C"/>
    <w:rsid w:val="00FC2082"/>
    <w:rsid w:val="00FC349E"/>
    <w:rsid w:val="00FC7A79"/>
    <w:rsid w:val="00FD3144"/>
    <w:rsid w:val="00FE0F2B"/>
    <w:rsid w:val="00FF07EA"/>
    <w:rsid w:val="00FF79B6"/>
    <w:rsid w:val="012307FE"/>
    <w:rsid w:val="049326A4"/>
    <w:rsid w:val="10F0353F"/>
    <w:rsid w:val="120E1C01"/>
    <w:rsid w:val="1B245324"/>
    <w:rsid w:val="1CCD579A"/>
    <w:rsid w:val="1D0E49A1"/>
    <w:rsid w:val="1DC736D9"/>
    <w:rsid w:val="22D11ADB"/>
    <w:rsid w:val="26EC24FB"/>
    <w:rsid w:val="277D4F7C"/>
    <w:rsid w:val="28A30200"/>
    <w:rsid w:val="33565788"/>
    <w:rsid w:val="40E21D7B"/>
    <w:rsid w:val="46C71DA3"/>
    <w:rsid w:val="4BC31A6A"/>
    <w:rsid w:val="4F41537D"/>
    <w:rsid w:val="54A31FCC"/>
    <w:rsid w:val="66B13157"/>
    <w:rsid w:val="69AD0A67"/>
    <w:rsid w:val="716B46E4"/>
    <w:rsid w:val="73F45BE8"/>
    <w:rsid w:val="7F2C1B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0"/>
    <w:pPr>
      <w:keepNext/>
      <w:ind w:firstLine="5880" w:firstLineChars="700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qFormat/>
    <w:uiPriority w:val="0"/>
    <w:pPr>
      <w:keepNext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44"/>
    <w:qFormat/>
    <w:uiPriority w:val="0"/>
    <w:pPr>
      <w:keepNext/>
      <w:ind w:firstLine="400" w:firstLineChars="200"/>
      <w:jc w:val="center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35"/>
    <w:qFormat/>
    <w:uiPriority w:val="0"/>
    <w:pPr>
      <w:keepNext/>
      <w:jc w:val="center"/>
      <w:outlineLvl w:val="3"/>
    </w:pPr>
    <w:rPr>
      <w:rFonts w:ascii="Cambria" w:hAnsi="Cambr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38"/>
    <w:qFormat/>
    <w:uiPriority w:val="0"/>
    <w:pPr>
      <w:keepNext/>
      <w:tabs>
        <w:tab w:val="right" w:leader="dot" w:pos="9360"/>
        <w:tab w:val="right" w:leader="dot" w:pos="9450"/>
        <w:tab w:val="right" w:leader="dot" w:pos="11340"/>
        <w:tab w:val="right" w:leader="dot" w:pos="14742"/>
      </w:tabs>
      <w:ind w:left="-358" w:leftChars="-171"/>
      <w:jc w:val="center"/>
      <w:outlineLvl w:val="4"/>
    </w:pPr>
    <w:rPr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54"/>
    <w:qFormat/>
    <w:uiPriority w:val="0"/>
    <w:pPr>
      <w:keepNext/>
      <w:outlineLvl w:val="5"/>
    </w:pPr>
    <w:rPr>
      <w:rFonts w:ascii="Cambria" w:hAnsi="Cambria"/>
      <w:b/>
      <w:bCs/>
      <w:kern w:val="0"/>
      <w:sz w:val="24"/>
    </w:rPr>
  </w:style>
  <w:style w:type="paragraph" w:styleId="8">
    <w:name w:val="heading 7"/>
    <w:basedOn w:val="1"/>
    <w:next w:val="1"/>
    <w:link w:val="36"/>
    <w:qFormat/>
    <w:uiPriority w:val="0"/>
    <w:pPr>
      <w:keepNext/>
      <w:ind w:left="1256" w:hanging="1256"/>
      <w:jc w:val="center"/>
      <w:outlineLvl w:val="6"/>
    </w:pPr>
    <w:rPr>
      <w:b/>
      <w:bCs/>
      <w:kern w:val="0"/>
      <w:sz w:val="24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toc 7"/>
    <w:basedOn w:val="1"/>
    <w:next w:val="1"/>
    <w:qFormat/>
    <w:uiPriority w:val="0"/>
    <w:pPr>
      <w:ind w:left="2520" w:leftChars="1200"/>
    </w:pPr>
  </w:style>
  <w:style w:type="paragraph" w:styleId="10">
    <w:name w:val="Body Text"/>
    <w:basedOn w:val="1"/>
    <w:link w:val="39"/>
    <w:qFormat/>
    <w:uiPriority w:val="0"/>
    <w:pPr>
      <w:spacing w:after="120"/>
    </w:pPr>
    <w:rPr>
      <w:sz w:val="24"/>
    </w:rPr>
  </w:style>
  <w:style w:type="paragraph" w:styleId="11">
    <w:name w:val="toc 5"/>
    <w:basedOn w:val="1"/>
    <w:next w:val="1"/>
    <w:qFormat/>
    <w:uiPriority w:val="0"/>
    <w:pPr>
      <w:ind w:left="1680" w:leftChars="800"/>
    </w:pPr>
  </w:style>
  <w:style w:type="paragraph" w:styleId="12">
    <w:name w:val="toc 3"/>
    <w:basedOn w:val="1"/>
    <w:next w:val="1"/>
    <w:qFormat/>
    <w:uiPriority w:val="0"/>
    <w:pPr>
      <w:ind w:left="840" w:leftChars="400"/>
    </w:pPr>
  </w:style>
  <w:style w:type="paragraph" w:styleId="13">
    <w:name w:val="toc 8"/>
    <w:basedOn w:val="1"/>
    <w:next w:val="1"/>
    <w:qFormat/>
    <w:uiPriority w:val="0"/>
    <w:pPr>
      <w:ind w:left="2940" w:leftChars="1400"/>
    </w:pPr>
  </w:style>
  <w:style w:type="paragraph" w:styleId="14">
    <w:name w:val="Balloon Text"/>
    <w:basedOn w:val="1"/>
    <w:link w:val="32"/>
    <w:qFormat/>
    <w:uiPriority w:val="0"/>
    <w:rPr>
      <w:sz w:val="18"/>
      <w:szCs w:val="18"/>
    </w:rPr>
  </w:style>
  <w:style w:type="paragraph" w:styleId="15">
    <w:name w:val="footer"/>
    <w:basedOn w:val="1"/>
    <w:link w:val="4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next w:val="1"/>
    <w:qFormat/>
    <w:uiPriority w:val="39"/>
    <w:pPr>
      <w:snapToGrid w:val="0"/>
      <w:spacing w:line="360" w:lineRule="auto"/>
    </w:pPr>
    <w:rPr>
      <w:rFonts w:ascii="Times New Roman" w:hAnsi="Times New Roman" w:eastAsia="宋体" w:cs="Times New Roman"/>
      <w:sz w:val="24"/>
    </w:rPr>
  </w:style>
  <w:style w:type="paragraph" w:styleId="18">
    <w:name w:val="toc 4"/>
    <w:basedOn w:val="1"/>
    <w:next w:val="1"/>
    <w:qFormat/>
    <w:uiPriority w:val="0"/>
    <w:pPr>
      <w:ind w:left="1260" w:leftChars="600"/>
    </w:pPr>
  </w:style>
  <w:style w:type="paragraph" w:styleId="19">
    <w:name w:val="toc 6"/>
    <w:basedOn w:val="1"/>
    <w:next w:val="1"/>
    <w:qFormat/>
    <w:uiPriority w:val="0"/>
    <w:pPr>
      <w:ind w:left="2100" w:leftChars="1000"/>
    </w:pPr>
  </w:style>
  <w:style w:type="paragraph" w:styleId="20">
    <w:name w:val="toc 2"/>
    <w:basedOn w:val="1"/>
    <w:next w:val="1"/>
    <w:qFormat/>
    <w:uiPriority w:val="39"/>
    <w:pPr>
      <w:snapToGrid w:val="0"/>
      <w:spacing w:line="360" w:lineRule="auto"/>
      <w:ind w:left="0" w:leftChars="0"/>
    </w:pPr>
    <w:rPr>
      <w:rFonts w:ascii="Times New Roman" w:hAnsi="Times New Roman"/>
      <w:sz w:val="24"/>
    </w:rPr>
  </w:style>
  <w:style w:type="paragraph" w:styleId="21">
    <w:name w:val="toc 9"/>
    <w:basedOn w:val="1"/>
    <w:next w:val="1"/>
    <w:qFormat/>
    <w:uiPriority w:val="0"/>
    <w:pPr>
      <w:ind w:left="3360" w:leftChars="1600"/>
    </w:pPr>
  </w:style>
  <w:style w:type="paragraph" w:styleId="2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qFormat/>
    <w:uiPriority w:val="0"/>
    <w:rPr>
      <w:rFonts w:cs="Times New Roman"/>
      <w:b/>
      <w:bCs/>
    </w:rPr>
  </w:style>
  <w:style w:type="character" w:styleId="27">
    <w:name w:val="FollowedHyperlink"/>
    <w:qFormat/>
    <w:uiPriority w:val="0"/>
    <w:rPr>
      <w:rFonts w:cs="Times New Roman"/>
      <w:color w:val="800080"/>
      <w:u w:val="single"/>
    </w:rPr>
  </w:style>
  <w:style w:type="character" w:styleId="28">
    <w:name w:val="Emphasis"/>
    <w:qFormat/>
    <w:uiPriority w:val="20"/>
    <w:rPr>
      <w:rFonts w:cs="Times New Roman"/>
      <w:color w:val="CC0033"/>
    </w:rPr>
  </w:style>
  <w:style w:type="character" w:styleId="29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30">
    <w:name w:val="st"/>
    <w:qFormat/>
    <w:uiPriority w:val="0"/>
    <w:rPr>
      <w:rFonts w:cs="Times New Roman"/>
    </w:rPr>
  </w:style>
  <w:style w:type="character" w:customStyle="1" w:styleId="31">
    <w:name w:val="word_other"/>
    <w:qFormat/>
    <w:uiPriority w:val="0"/>
    <w:rPr>
      <w:rFonts w:cs="Times New Roman"/>
    </w:rPr>
  </w:style>
  <w:style w:type="character" w:customStyle="1" w:styleId="32">
    <w:name w:val="批注框文本 字符"/>
    <w:link w:val="14"/>
    <w:qFormat/>
    <w:uiPriority w:val="0"/>
    <w:rPr>
      <w:rFonts w:cs="Times New Roman"/>
      <w:kern w:val="2"/>
      <w:sz w:val="18"/>
      <w:szCs w:val="18"/>
    </w:rPr>
  </w:style>
  <w:style w:type="character" w:customStyle="1" w:styleId="33">
    <w:name w:val="样式1 Char"/>
    <w:link w:val="34"/>
    <w:qFormat/>
    <w:uiPriority w:val="0"/>
    <w:rPr>
      <w:rFonts w:eastAsia="宋体" w:cs="Times New Roman"/>
      <w:kern w:val="2"/>
      <w:sz w:val="18"/>
      <w:szCs w:val="18"/>
      <w:lang w:val="en-US" w:eastAsia="zh-CN"/>
    </w:rPr>
  </w:style>
  <w:style w:type="paragraph" w:customStyle="1" w:styleId="34">
    <w:name w:val="样式1"/>
    <w:basedOn w:val="16"/>
    <w:link w:val="33"/>
    <w:qFormat/>
    <w:uiPriority w:val="0"/>
    <w:pPr>
      <w:pBdr>
        <w:bottom w:val="single" w:color="auto" w:sz="12" w:space="1"/>
      </w:pBdr>
    </w:pPr>
  </w:style>
  <w:style w:type="character" w:customStyle="1" w:styleId="35">
    <w:name w:val="标题 4 字符"/>
    <w:link w:val="5"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character" w:customStyle="1" w:styleId="36">
    <w:name w:val="标题 7 字符"/>
    <w:link w:val="8"/>
    <w:qFormat/>
    <w:uiPriority w:val="0"/>
    <w:rPr>
      <w:rFonts w:cs="Times New Roman"/>
      <w:b/>
      <w:bCs/>
      <w:sz w:val="24"/>
      <w:szCs w:val="24"/>
    </w:rPr>
  </w:style>
  <w:style w:type="character" w:customStyle="1" w:styleId="37">
    <w:name w:val="标题 2 字符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8">
    <w:name w:val="标题 5 字符"/>
    <w:link w:val="6"/>
    <w:qFormat/>
    <w:uiPriority w:val="0"/>
    <w:rPr>
      <w:rFonts w:cs="Times New Roman"/>
      <w:b/>
      <w:bCs/>
      <w:sz w:val="28"/>
      <w:szCs w:val="28"/>
    </w:rPr>
  </w:style>
  <w:style w:type="character" w:customStyle="1" w:styleId="39">
    <w:name w:val="正文文本 字符"/>
    <w:link w:val="10"/>
    <w:qFormat/>
    <w:uiPriority w:val="0"/>
    <w:rPr>
      <w:rFonts w:eastAsia="宋体" w:cs="Times New Roman"/>
      <w:kern w:val="2"/>
      <w:sz w:val="24"/>
      <w:szCs w:val="24"/>
      <w:lang w:val="en-US" w:eastAsia="zh-CN"/>
    </w:rPr>
  </w:style>
  <w:style w:type="character" w:customStyle="1" w:styleId="40">
    <w:name w:val="正文文本缩进 2 Char"/>
    <w:link w:val="41"/>
    <w:qFormat/>
    <w:uiPriority w:val="0"/>
    <w:rPr>
      <w:rFonts w:cs="Times New Roman"/>
      <w:kern w:val="2"/>
      <w:sz w:val="24"/>
      <w:szCs w:val="24"/>
    </w:rPr>
  </w:style>
  <w:style w:type="paragraph" w:customStyle="1" w:styleId="41">
    <w:name w:val="正文文本缩进 21"/>
    <w:basedOn w:val="1"/>
    <w:link w:val="40"/>
    <w:qFormat/>
    <w:uiPriority w:val="0"/>
    <w:pPr>
      <w:spacing w:after="120" w:line="480" w:lineRule="auto"/>
      <w:ind w:left="420" w:leftChars="200"/>
    </w:pPr>
    <w:rPr>
      <w:sz w:val="24"/>
    </w:rPr>
  </w:style>
  <w:style w:type="character" w:customStyle="1" w:styleId="42">
    <w:name w:val="日期 Char"/>
    <w:link w:val="43"/>
    <w:qFormat/>
    <w:uiPriority w:val="0"/>
    <w:rPr>
      <w:rFonts w:cs="Times New Roman"/>
      <w:sz w:val="24"/>
      <w:szCs w:val="24"/>
    </w:rPr>
  </w:style>
  <w:style w:type="paragraph" w:customStyle="1" w:styleId="43">
    <w:name w:val="日期1"/>
    <w:basedOn w:val="1"/>
    <w:next w:val="1"/>
    <w:link w:val="42"/>
    <w:qFormat/>
    <w:uiPriority w:val="0"/>
    <w:pPr>
      <w:ind w:left="100" w:leftChars="2500"/>
    </w:pPr>
    <w:rPr>
      <w:kern w:val="0"/>
      <w:sz w:val="24"/>
    </w:rPr>
  </w:style>
  <w:style w:type="character" w:customStyle="1" w:styleId="44">
    <w:name w:val="标题 3 字符"/>
    <w:link w:val="4"/>
    <w:qFormat/>
    <w:uiPriority w:val="0"/>
    <w:rPr>
      <w:rFonts w:cs="Times New Roman"/>
      <w:b/>
      <w:bCs/>
      <w:sz w:val="32"/>
      <w:szCs w:val="32"/>
    </w:rPr>
  </w:style>
  <w:style w:type="character" w:customStyle="1" w:styleId="45">
    <w:name w:val="页眉 字符"/>
    <w:link w:val="16"/>
    <w:qFormat/>
    <w:uiPriority w:val="99"/>
    <w:rPr>
      <w:rFonts w:eastAsia="宋体" w:cs="Times New Roman"/>
      <w:kern w:val="2"/>
      <w:sz w:val="18"/>
      <w:szCs w:val="18"/>
      <w:lang w:val="en-US" w:eastAsia="zh-CN"/>
    </w:rPr>
  </w:style>
  <w:style w:type="character" w:customStyle="1" w:styleId="46">
    <w:name w:val="标题 1 字符"/>
    <w:link w:val="2"/>
    <w:qFormat/>
    <w:uiPriority w:val="0"/>
    <w:rPr>
      <w:rFonts w:cs="Times New Roman"/>
      <w:b/>
      <w:bCs/>
      <w:kern w:val="44"/>
      <w:sz w:val="44"/>
      <w:szCs w:val="44"/>
    </w:rPr>
  </w:style>
  <w:style w:type="character" w:customStyle="1" w:styleId="47">
    <w:name w:val="webdict1"/>
    <w:qFormat/>
    <w:uiPriority w:val="0"/>
    <w:rPr>
      <w:rFonts w:cs="Times New Roman"/>
      <w:b/>
      <w:bCs/>
    </w:rPr>
  </w:style>
  <w:style w:type="character" w:customStyle="1" w:styleId="48">
    <w:name w:val="页脚 字符"/>
    <w:link w:val="15"/>
    <w:qFormat/>
    <w:uiPriority w:val="99"/>
    <w:rPr>
      <w:rFonts w:cs="Times New Roman"/>
      <w:kern w:val="2"/>
      <w:sz w:val="18"/>
      <w:szCs w:val="18"/>
    </w:rPr>
  </w:style>
  <w:style w:type="character" w:customStyle="1" w:styleId="49">
    <w:name w:val="正文文本缩进 Char"/>
    <w:link w:val="50"/>
    <w:qFormat/>
    <w:uiPriority w:val="0"/>
    <w:rPr>
      <w:rFonts w:cs="Times New Roman"/>
      <w:sz w:val="24"/>
      <w:szCs w:val="24"/>
    </w:rPr>
  </w:style>
  <w:style w:type="paragraph" w:customStyle="1" w:styleId="50">
    <w:name w:val="正文文本缩进1"/>
    <w:basedOn w:val="1"/>
    <w:link w:val="49"/>
    <w:qFormat/>
    <w:uiPriority w:val="0"/>
    <w:pPr>
      <w:tabs>
        <w:tab w:val="right" w:leader="dot" w:pos="9360"/>
        <w:tab w:val="right" w:leader="dot" w:pos="9450"/>
        <w:tab w:val="right" w:leader="dot" w:pos="11340"/>
        <w:tab w:val="right" w:leader="dot" w:pos="14742"/>
      </w:tabs>
      <w:ind w:left="-359" w:leftChars="-171"/>
    </w:pPr>
    <w:rPr>
      <w:kern w:val="0"/>
      <w:sz w:val="24"/>
    </w:rPr>
  </w:style>
  <w:style w:type="character" w:customStyle="1" w:styleId="51">
    <w:name w:val="文档结构图 Char"/>
    <w:link w:val="52"/>
    <w:qFormat/>
    <w:uiPriority w:val="0"/>
    <w:rPr>
      <w:rFonts w:cs="Times New Roman"/>
      <w:sz w:val="2"/>
    </w:rPr>
  </w:style>
  <w:style w:type="paragraph" w:customStyle="1" w:styleId="52">
    <w:name w:val="文档结构图1"/>
    <w:basedOn w:val="1"/>
    <w:link w:val="51"/>
    <w:qFormat/>
    <w:uiPriority w:val="0"/>
    <w:pPr>
      <w:shd w:val="clear" w:color="auto" w:fill="000080"/>
    </w:pPr>
    <w:rPr>
      <w:kern w:val="0"/>
      <w:sz w:val="2"/>
      <w:szCs w:val="20"/>
    </w:rPr>
  </w:style>
  <w:style w:type="character" w:customStyle="1" w:styleId="53">
    <w:name w:val="页码1"/>
    <w:qFormat/>
    <w:uiPriority w:val="0"/>
    <w:rPr>
      <w:rFonts w:cs="Times New Roman"/>
    </w:rPr>
  </w:style>
  <w:style w:type="character" w:customStyle="1" w:styleId="54">
    <w:name w:val="标题 6 字符"/>
    <w:link w:val="7"/>
    <w:qFormat/>
    <w:uiPriority w:val="0"/>
    <w:rPr>
      <w:rFonts w:ascii="Cambria" w:hAnsi="Cambria" w:eastAsia="宋体" w:cs="Times New Roman"/>
      <w:b/>
      <w:bCs/>
      <w:sz w:val="24"/>
      <w:szCs w:val="24"/>
    </w:rPr>
  </w:style>
  <w:style w:type="paragraph" w:customStyle="1" w:styleId="55">
    <w:name w:val="正文缩进1"/>
    <w:basedOn w:val="1"/>
    <w:qFormat/>
    <w:uiPriority w:val="0"/>
    <w:pPr>
      <w:ind w:firstLine="420"/>
    </w:pPr>
    <w:rPr>
      <w:szCs w:val="20"/>
    </w:rPr>
  </w:style>
  <w:style w:type="paragraph" w:customStyle="1" w:styleId="56">
    <w:name w:val="图表目录1"/>
    <w:basedOn w:val="1"/>
    <w:next w:val="1"/>
    <w:qFormat/>
    <w:uiPriority w:val="0"/>
    <w:pPr>
      <w:ind w:left="840" w:leftChars="200" w:hanging="420" w:hangingChars="200"/>
    </w:pPr>
  </w:style>
  <w:style w:type="paragraph" w:customStyle="1" w:styleId="57">
    <w:name w:val="Char 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8">
    <w:name w:val="章标题"/>
    <w:next w:val="59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9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0">
    <w:name w:val="普通(网站)1"/>
    <w:basedOn w:val="1"/>
    <w:qFormat/>
    <w:uiPriority w:val="0"/>
    <w:pPr>
      <w:widowControl/>
      <w:spacing w:line="300" w:lineRule="atLeast"/>
      <w:jc w:val="left"/>
    </w:pPr>
    <w:rPr>
      <w:rFonts w:ascii="宋体" w:hAnsi="宋体" w:cs="宋体"/>
      <w:kern w:val="0"/>
      <w:sz w:val="24"/>
    </w:rPr>
  </w:style>
  <w:style w:type="paragraph" w:customStyle="1" w:styleId="61">
    <w:name w:val="列表1"/>
    <w:basedOn w:val="1"/>
    <w:qFormat/>
    <w:uiPriority w:val="0"/>
    <w:pPr>
      <w:ind w:left="200" w:hanging="200" w:hangingChars="200"/>
    </w:pPr>
  </w:style>
  <w:style w:type="paragraph" w:customStyle="1" w:styleId="62">
    <w:name w:val="Char"/>
    <w:basedOn w:val="1"/>
    <w:qFormat/>
    <w:uiPriority w:val="0"/>
    <w:pPr>
      <w:widowControl/>
      <w:jc w:val="left"/>
    </w:pPr>
    <w:rPr>
      <w:rFonts w:ascii="宋体" w:hAnsi="宋体" w:cs="Courier New"/>
      <w:kern w:val="0"/>
      <w:sz w:val="32"/>
      <w:szCs w:val="32"/>
    </w:rPr>
  </w:style>
  <w:style w:type="paragraph" w:customStyle="1" w:styleId="63">
    <w:name w:val="列出段落1"/>
    <w:basedOn w:val="1"/>
    <w:qFormat/>
    <w:uiPriority w:val="99"/>
    <w:pPr>
      <w:ind w:firstLine="420" w:firstLineChars="200"/>
    </w:pPr>
  </w:style>
  <w:style w:type="paragraph" w:customStyle="1" w:styleId="64">
    <w:name w:val="二级条标题"/>
    <w:basedOn w:val="1"/>
    <w:next w:val="1"/>
    <w:qFormat/>
    <w:uiPriority w:val="0"/>
    <w:pPr>
      <w:widowControl/>
      <w:spacing w:line="360" w:lineRule="auto"/>
      <w:jc w:val="left"/>
      <w:outlineLvl w:val="3"/>
    </w:pPr>
    <w:rPr>
      <w:rFonts w:ascii="仿宋_GB2312" w:eastAsia="仿宋_GB2312"/>
      <w:sz w:val="28"/>
      <w:szCs w:val="28"/>
    </w:rPr>
  </w:style>
  <w:style w:type="paragraph" w:customStyle="1" w:styleId="65">
    <w:name w:val="Char Char Char Char Char Char Char Char Char Char"/>
    <w:basedOn w:val="4"/>
    <w:qFormat/>
    <w:uiPriority w:val="0"/>
    <w:pPr>
      <w:keepLines/>
      <w:spacing w:before="260" w:after="260" w:line="240" w:lineRule="atLeast"/>
      <w:ind w:firstLine="0" w:firstLineChars="0"/>
      <w:jc w:val="left"/>
    </w:pPr>
    <w:rPr>
      <w:sz w:val="24"/>
      <w:szCs w:val="21"/>
    </w:rPr>
  </w:style>
  <w:style w:type="character" w:customStyle="1" w:styleId="66">
    <w:name w:val="label_list1"/>
    <w:basedOn w:val="25"/>
    <w:qFormat/>
    <w:uiPriority w:val="0"/>
  </w:style>
  <w:style w:type="paragraph" w:styleId="67">
    <w:name w:val="List Paragraph"/>
    <w:basedOn w:val="1"/>
    <w:qFormat/>
    <w:uiPriority w:val="0"/>
    <w:pPr>
      <w:ind w:firstLine="420" w:firstLineChars="200"/>
    </w:pPr>
  </w:style>
  <w:style w:type="paragraph" w:styleId="68">
    <w:name w:val="No Spacing"/>
    <w:link w:val="6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69">
    <w:name w:val="无间隔 字符"/>
    <w:basedOn w:val="25"/>
    <w:link w:val="68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character" w:styleId="70">
    <w:name w:val="Placeholder Text"/>
    <w:basedOn w:val="2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1" Type="http://schemas.openxmlformats.org/officeDocument/2006/relationships/fontTable" Target="fontTable.xml"/><Relationship Id="rId50" Type="http://schemas.openxmlformats.org/officeDocument/2006/relationships/customXml" Target="../customXml/item2.xml"/><Relationship Id="rId5" Type="http://schemas.openxmlformats.org/officeDocument/2006/relationships/footer" Target="footer1.xml"/><Relationship Id="rId49" Type="http://schemas.openxmlformats.org/officeDocument/2006/relationships/numbering" Target="numbering.xml"/><Relationship Id="rId48" Type="http://schemas.openxmlformats.org/officeDocument/2006/relationships/customXml" Target="../customXml/item1.xml"/><Relationship Id="rId47" Type="http://schemas.openxmlformats.org/officeDocument/2006/relationships/image" Target="media/image11.wmf"/><Relationship Id="rId46" Type="http://schemas.openxmlformats.org/officeDocument/2006/relationships/oleObject" Target="embeddings/oleObject9.bin"/><Relationship Id="rId45" Type="http://schemas.openxmlformats.org/officeDocument/2006/relationships/image" Target="media/image10.wmf"/><Relationship Id="rId44" Type="http://schemas.openxmlformats.org/officeDocument/2006/relationships/oleObject" Target="embeddings/oleObject8.bin"/><Relationship Id="rId43" Type="http://schemas.openxmlformats.org/officeDocument/2006/relationships/image" Target="media/image9.wmf"/><Relationship Id="rId42" Type="http://schemas.openxmlformats.org/officeDocument/2006/relationships/oleObject" Target="embeddings/oleObject7.bin"/><Relationship Id="rId41" Type="http://schemas.openxmlformats.org/officeDocument/2006/relationships/image" Target="media/image8.wmf"/><Relationship Id="rId40" Type="http://schemas.openxmlformats.org/officeDocument/2006/relationships/oleObject" Target="embeddings/oleObject6.bin"/><Relationship Id="rId4" Type="http://schemas.openxmlformats.org/officeDocument/2006/relationships/header" Target="header2.xml"/><Relationship Id="rId39" Type="http://schemas.openxmlformats.org/officeDocument/2006/relationships/image" Target="media/image7.wmf"/><Relationship Id="rId38" Type="http://schemas.openxmlformats.org/officeDocument/2006/relationships/oleObject" Target="embeddings/oleObject5.bin"/><Relationship Id="rId37" Type="http://schemas.openxmlformats.org/officeDocument/2006/relationships/image" Target="media/image6.wmf"/><Relationship Id="rId36" Type="http://schemas.openxmlformats.org/officeDocument/2006/relationships/oleObject" Target="embeddings/oleObject4.bin"/><Relationship Id="rId35" Type="http://schemas.openxmlformats.org/officeDocument/2006/relationships/image" Target="media/image5.wmf"/><Relationship Id="rId34" Type="http://schemas.openxmlformats.org/officeDocument/2006/relationships/oleObject" Target="embeddings/oleObject3.bin"/><Relationship Id="rId33" Type="http://schemas.openxmlformats.org/officeDocument/2006/relationships/image" Target="media/image4.wmf"/><Relationship Id="rId32" Type="http://schemas.openxmlformats.org/officeDocument/2006/relationships/oleObject" Target="embeddings/oleObject2.bin"/><Relationship Id="rId31" Type="http://schemas.openxmlformats.org/officeDocument/2006/relationships/image" Target="media/image3.wmf"/><Relationship Id="rId30" Type="http://schemas.openxmlformats.org/officeDocument/2006/relationships/oleObject" Target="embeddings/oleObject1.bin"/><Relationship Id="rId3" Type="http://schemas.openxmlformats.org/officeDocument/2006/relationships/header" Target="header1.xml"/><Relationship Id="rId29" Type="http://schemas.openxmlformats.org/officeDocument/2006/relationships/image" Target="media/image2.png"/><Relationship Id="rId28" Type="http://schemas.openxmlformats.org/officeDocument/2006/relationships/image" Target="media/image1.jpeg"/><Relationship Id="rId27" Type="http://schemas.openxmlformats.org/officeDocument/2006/relationships/theme" Target="theme/theme1.xml"/><Relationship Id="rId26" Type="http://schemas.openxmlformats.org/officeDocument/2006/relationships/footer" Target="footer16.xml"/><Relationship Id="rId25" Type="http://schemas.openxmlformats.org/officeDocument/2006/relationships/footer" Target="footer15.xml"/><Relationship Id="rId24" Type="http://schemas.openxmlformats.org/officeDocument/2006/relationships/footer" Target="footer14.xml"/><Relationship Id="rId23" Type="http://schemas.openxmlformats.org/officeDocument/2006/relationships/footer" Target="footer13.xml"/><Relationship Id="rId22" Type="http://schemas.openxmlformats.org/officeDocument/2006/relationships/footer" Target="footer12.xml"/><Relationship Id="rId21" Type="http://schemas.openxmlformats.org/officeDocument/2006/relationships/header" Target="header8.xml"/><Relationship Id="rId20" Type="http://schemas.openxmlformats.org/officeDocument/2006/relationships/header" Target="header7.xml"/><Relationship Id="rId2" Type="http://schemas.openxmlformats.org/officeDocument/2006/relationships/settings" Target="settings.xml"/><Relationship Id="rId19" Type="http://schemas.openxmlformats.org/officeDocument/2006/relationships/header" Target="header6.xml"/><Relationship Id="rId18" Type="http://schemas.openxmlformats.org/officeDocument/2006/relationships/footer" Target="footer11.xml"/><Relationship Id="rId17" Type="http://schemas.openxmlformats.org/officeDocument/2006/relationships/footer" Target="footer10.xml"/><Relationship Id="rId16" Type="http://schemas.openxmlformats.org/officeDocument/2006/relationships/footer" Target="footer9.xml"/><Relationship Id="rId15" Type="http://schemas.openxmlformats.org/officeDocument/2006/relationships/footer" Target="footer8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E8B342-EA7A-479F-9459-32F00BDEE5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13</Pages>
  <Words>2544</Words>
  <Characters>3087</Characters>
  <Lines>37</Lines>
  <Paragraphs>10</Paragraphs>
  <TotalTime>1</TotalTime>
  <ScaleCrop>false</ScaleCrop>
  <LinksUpToDate>false</LinksUpToDate>
  <CharactersWithSpaces>3390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2017-12-11T08:59:00Z</dcterms:created>
  <dc:creator>whl</dc:creator>
  <cp:lastModifiedBy>Niu</cp:lastModifiedBy>
  <cp:lastPrinted>2017-02-03T06:25:00Z</cp:lastPrinted>
  <dcterms:modified xsi:type="dcterms:W3CDTF">2022-09-23T07:39:59Z</dcterms:modified>
  <dc:title>JJF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550B7AABE42C416BB86EE3283A4F1D69</vt:lpwstr>
  </property>
</Properties>
</file>