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eastAsia="黑体"/>
          <w:sz w:val="32"/>
        </w:rPr>
      </w:pPr>
    </w:p>
    <w:p>
      <w:pPr>
        <w:spacing w:line="360" w:lineRule="auto"/>
        <w:jc w:val="center"/>
        <w:rPr>
          <w:rFonts w:eastAsia="黑体"/>
          <w:sz w:val="32"/>
        </w:rPr>
      </w:pPr>
    </w:p>
    <w:p>
      <w:pPr>
        <w:spacing w:line="360" w:lineRule="auto"/>
        <w:jc w:val="center"/>
        <w:rPr>
          <w:rFonts w:eastAsia="黑体"/>
          <w:sz w:val="32"/>
        </w:rPr>
      </w:pPr>
      <w:r>
        <w:rPr>
          <w:rFonts w:eastAsia="黑体"/>
          <w:sz w:val="32"/>
        </w:rPr>
        <w:t>国家计量技术规范规程制修订</w:t>
      </w:r>
    </w:p>
    <w:p>
      <w:pPr>
        <w:spacing w:line="360" w:lineRule="auto"/>
        <w:jc w:val="center"/>
        <w:rPr>
          <w:rFonts w:eastAsia="黑体"/>
          <w:sz w:val="28"/>
        </w:rPr>
      </w:pPr>
    </w:p>
    <w:p>
      <w:pPr>
        <w:spacing w:line="360" w:lineRule="auto"/>
        <w:jc w:val="center"/>
        <w:rPr>
          <w:rFonts w:eastAsia="黑体"/>
          <w:sz w:val="28"/>
        </w:rPr>
      </w:pPr>
    </w:p>
    <w:p>
      <w:pPr>
        <w:jc w:val="center"/>
        <w:rPr>
          <w:rFonts w:eastAsia="黑体"/>
          <w:sz w:val="46"/>
          <w:szCs w:val="46"/>
        </w:rPr>
      </w:pPr>
      <w:r>
        <w:rPr>
          <w:rFonts w:eastAsia="黑体"/>
          <w:sz w:val="46"/>
          <w:szCs w:val="46"/>
        </w:rPr>
        <w:t>《</w:t>
      </w:r>
      <w:r>
        <w:rPr>
          <w:rFonts w:hint="eastAsia" w:eastAsia="黑体"/>
          <w:sz w:val="46"/>
          <w:szCs w:val="46"/>
        </w:rPr>
        <w:t>生鲜乳体细胞检测仪校准规范</w:t>
      </w:r>
      <w:r>
        <w:rPr>
          <w:rFonts w:eastAsia="黑体"/>
          <w:sz w:val="46"/>
          <w:szCs w:val="46"/>
        </w:rPr>
        <w:t>》</w:t>
      </w:r>
    </w:p>
    <w:p>
      <w:pPr>
        <w:spacing w:line="360" w:lineRule="auto"/>
        <w:jc w:val="center"/>
        <w:outlineLvl w:val="0"/>
        <w:rPr>
          <w:rFonts w:eastAsia="黑体"/>
          <w:sz w:val="44"/>
        </w:rPr>
      </w:pPr>
      <w:r>
        <w:rPr>
          <w:rFonts w:eastAsia="黑体"/>
          <w:sz w:val="44"/>
        </w:rPr>
        <w:t>（</w:t>
      </w:r>
      <w:r>
        <w:rPr>
          <w:rFonts w:hint="eastAsia" w:eastAsia="黑体"/>
          <w:sz w:val="44"/>
          <w:lang w:val="en-US" w:eastAsia="zh-CN"/>
        </w:rPr>
        <w:t>征求意见稿</w:t>
      </w:r>
      <w:r>
        <w:rPr>
          <w:rFonts w:eastAsia="黑体"/>
          <w:sz w:val="44"/>
        </w:rPr>
        <w:t>）</w:t>
      </w:r>
    </w:p>
    <w:p>
      <w:pPr>
        <w:spacing w:line="360" w:lineRule="auto"/>
        <w:jc w:val="center"/>
        <w:outlineLvl w:val="0"/>
        <w:rPr>
          <w:rFonts w:eastAsia="黑体"/>
          <w:sz w:val="44"/>
        </w:rPr>
      </w:pPr>
      <w:r>
        <w:rPr>
          <w:rFonts w:eastAsia="黑体"/>
          <w:sz w:val="44"/>
        </w:rPr>
        <w:t>编</w:t>
      </w:r>
      <w:r>
        <w:rPr>
          <w:rFonts w:hint="eastAsia" w:eastAsia="黑体"/>
          <w:sz w:val="44"/>
        </w:rPr>
        <w:t>制</w:t>
      </w:r>
      <w:r>
        <w:rPr>
          <w:rFonts w:eastAsia="黑体"/>
          <w:sz w:val="44"/>
        </w:rPr>
        <w:t>说明</w:t>
      </w:r>
    </w:p>
    <w:p>
      <w:pPr>
        <w:spacing w:line="360" w:lineRule="auto"/>
        <w:jc w:val="center"/>
        <w:rPr>
          <w:rFonts w:eastAsia="黑体"/>
          <w:sz w:val="28"/>
        </w:rPr>
      </w:pPr>
    </w:p>
    <w:p>
      <w:pPr>
        <w:spacing w:line="360" w:lineRule="auto"/>
        <w:jc w:val="center"/>
        <w:rPr>
          <w:rFonts w:eastAsia="黑体"/>
          <w:sz w:val="28"/>
        </w:rPr>
      </w:pPr>
    </w:p>
    <w:p>
      <w:pPr>
        <w:spacing w:line="360" w:lineRule="auto"/>
        <w:jc w:val="center"/>
        <w:rPr>
          <w:rFonts w:eastAsia="黑体"/>
          <w:sz w:val="28"/>
        </w:rPr>
      </w:pPr>
    </w:p>
    <w:p>
      <w:pPr>
        <w:spacing w:line="360" w:lineRule="auto"/>
        <w:jc w:val="center"/>
        <w:rPr>
          <w:rFonts w:eastAsia="黑体"/>
          <w:sz w:val="28"/>
        </w:rPr>
      </w:pPr>
    </w:p>
    <w:p>
      <w:pPr>
        <w:spacing w:line="360" w:lineRule="auto"/>
        <w:jc w:val="center"/>
        <w:rPr>
          <w:rFonts w:eastAsia="黑体"/>
          <w:sz w:val="28"/>
        </w:rPr>
      </w:pPr>
    </w:p>
    <w:p>
      <w:pPr>
        <w:spacing w:line="360" w:lineRule="auto"/>
        <w:jc w:val="center"/>
        <w:rPr>
          <w:rFonts w:eastAsia="黑体"/>
          <w:sz w:val="28"/>
        </w:rPr>
      </w:pPr>
    </w:p>
    <w:p>
      <w:pPr>
        <w:spacing w:line="360" w:lineRule="auto"/>
        <w:jc w:val="center"/>
        <w:rPr>
          <w:rFonts w:eastAsia="黑体"/>
          <w:sz w:val="28"/>
        </w:rPr>
      </w:pPr>
    </w:p>
    <w:p>
      <w:pPr>
        <w:spacing w:line="360" w:lineRule="auto"/>
        <w:jc w:val="center"/>
        <w:rPr>
          <w:rFonts w:eastAsia="黑体"/>
          <w:sz w:val="28"/>
        </w:rPr>
      </w:pPr>
    </w:p>
    <w:p>
      <w:pPr>
        <w:spacing w:line="360" w:lineRule="auto"/>
        <w:jc w:val="center"/>
        <w:rPr>
          <w:rFonts w:eastAsia="黑体"/>
          <w:sz w:val="28"/>
        </w:rPr>
      </w:pPr>
    </w:p>
    <w:p>
      <w:pPr>
        <w:spacing w:line="360" w:lineRule="auto"/>
        <w:jc w:val="center"/>
        <w:rPr>
          <w:rFonts w:hint="eastAsia" w:eastAsia="黑体"/>
          <w:sz w:val="28"/>
        </w:rPr>
      </w:pPr>
    </w:p>
    <w:p>
      <w:pPr>
        <w:spacing w:line="360" w:lineRule="auto"/>
        <w:jc w:val="center"/>
        <w:rPr>
          <w:rFonts w:eastAsia="黑体"/>
          <w:sz w:val="28"/>
        </w:rPr>
      </w:pPr>
    </w:p>
    <w:p>
      <w:pPr>
        <w:spacing w:line="360" w:lineRule="auto"/>
        <w:jc w:val="center"/>
        <w:rPr>
          <w:rFonts w:eastAsia="黑体"/>
          <w:sz w:val="28"/>
        </w:rPr>
      </w:pPr>
      <w:r>
        <w:rPr>
          <w:rFonts w:hint="eastAsia" w:eastAsia="黑体"/>
          <w:sz w:val="28"/>
        </w:rPr>
        <w:t>中国</w:t>
      </w:r>
      <w:r>
        <w:rPr>
          <w:rFonts w:eastAsia="黑体"/>
          <w:sz w:val="28"/>
        </w:rPr>
        <w:t>计量科学研究院</w:t>
      </w:r>
    </w:p>
    <w:p>
      <w:pPr>
        <w:spacing w:line="360" w:lineRule="auto"/>
        <w:jc w:val="center"/>
        <w:rPr>
          <w:sz w:val="28"/>
        </w:rPr>
      </w:pPr>
      <w:r>
        <w:rPr>
          <w:rFonts w:eastAsia="黑体"/>
          <w:sz w:val="28"/>
        </w:rPr>
        <w:t>20</w:t>
      </w:r>
      <w:r>
        <w:rPr>
          <w:rFonts w:hint="eastAsia" w:eastAsia="黑体"/>
          <w:sz w:val="28"/>
        </w:rPr>
        <w:t>2</w:t>
      </w:r>
      <w:r>
        <w:rPr>
          <w:rFonts w:hint="eastAsia" w:eastAsia="黑体"/>
          <w:sz w:val="28"/>
          <w:lang w:val="en-US" w:eastAsia="zh-CN"/>
        </w:rPr>
        <w:t>2</w:t>
      </w:r>
      <w:r>
        <w:rPr>
          <w:rFonts w:eastAsia="黑体"/>
          <w:sz w:val="28"/>
        </w:rPr>
        <w:t>年</w:t>
      </w:r>
      <w:r>
        <w:rPr>
          <w:rFonts w:hint="eastAsia" w:eastAsia="黑体"/>
          <w:sz w:val="28"/>
          <w:lang w:val="en-US" w:eastAsia="zh-CN"/>
        </w:rPr>
        <w:t>9</w:t>
      </w:r>
      <w:r>
        <w:rPr>
          <w:rFonts w:eastAsia="黑体"/>
          <w:sz w:val="28"/>
        </w:rPr>
        <w:t>月</w:t>
      </w:r>
    </w:p>
    <w:p>
      <w:pPr>
        <w:spacing w:line="360" w:lineRule="auto"/>
        <w:jc w:val="center"/>
        <w:rPr>
          <w:rFonts w:eastAsia="黑体"/>
          <w:sz w:val="28"/>
        </w:rPr>
        <w:sectPr>
          <w:headerReference r:id="rId3" w:type="default"/>
          <w:pgSz w:w="11906" w:h="16838"/>
          <w:pgMar w:top="1440" w:right="1800" w:bottom="1440" w:left="1800" w:header="851" w:footer="992" w:gutter="0"/>
          <w:cols w:space="720" w:num="1"/>
          <w:docGrid w:type="lines" w:linePitch="312" w:charSpace="0"/>
        </w:sectPr>
      </w:pPr>
    </w:p>
    <w:p>
      <w:pPr>
        <w:spacing w:line="360" w:lineRule="auto"/>
        <w:jc w:val="center"/>
        <w:rPr>
          <w:rFonts w:eastAsia="黑体"/>
          <w:sz w:val="28"/>
        </w:rPr>
      </w:pPr>
      <w:r>
        <w:rPr>
          <w:rFonts w:eastAsia="黑体"/>
          <w:sz w:val="28"/>
        </w:rPr>
        <w:t>《</w:t>
      </w:r>
      <w:r>
        <w:rPr>
          <w:rFonts w:hint="eastAsia" w:ascii="黑体" w:hAnsi="黑体" w:eastAsia="黑体"/>
          <w:sz w:val="28"/>
        </w:rPr>
        <w:t>生鲜乳体细胞检测仪校准规范</w:t>
      </w:r>
      <w:r>
        <w:rPr>
          <w:rFonts w:eastAsia="黑体"/>
          <w:sz w:val="28"/>
        </w:rPr>
        <w:t>》（</w:t>
      </w:r>
      <w:r>
        <w:rPr>
          <w:rFonts w:hint="eastAsia" w:eastAsia="黑体"/>
          <w:sz w:val="28"/>
          <w:lang w:val="en-US" w:eastAsia="zh-CN"/>
        </w:rPr>
        <w:t>征求意见稿</w:t>
      </w:r>
      <w:r>
        <w:rPr>
          <w:rFonts w:eastAsia="黑体"/>
          <w:sz w:val="28"/>
        </w:rPr>
        <w:t>）</w:t>
      </w:r>
    </w:p>
    <w:p>
      <w:pPr>
        <w:spacing w:line="360" w:lineRule="auto"/>
        <w:jc w:val="center"/>
        <w:rPr>
          <w:sz w:val="28"/>
        </w:rPr>
      </w:pPr>
      <w:r>
        <w:rPr>
          <w:rFonts w:eastAsia="黑体"/>
          <w:sz w:val="28"/>
        </w:rPr>
        <w:t>编写说明</w:t>
      </w:r>
    </w:p>
    <w:p>
      <w:pPr>
        <w:spacing w:line="360" w:lineRule="auto"/>
        <w:outlineLvl w:val="0"/>
        <w:rPr>
          <w:rFonts w:eastAsia="黑体"/>
          <w:sz w:val="28"/>
        </w:rPr>
      </w:pPr>
      <w:r>
        <w:rPr>
          <w:rFonts w:eastAsia="黑体"/>
          <w:sz w:val="28"/>
        </w:rPr>
        <w:t>一、任务来源</w:t>
      </w:r>
    </w:p>
    <w:p>
      <w:pPr>
        <w:spacing w:line="360" w:lineRule="auto"/>
        <w:ind w:firstLine="560" w:firstLineChars="200"/>
        <w:rPr>
          <w:sz w:val="28"/>
        </w:rPr>
      </w:pPr>
      <w:r>
        <w:rPr>
          <w:sz w:val="28"/>
        </w:rPr>
        <w:t>根据</w:t>
      </w:r>
      <w:r>
        <w:rPr>
          <w:rFonts w:hint="eastAsia"/>
          <w:sz w:val="28"/>
        </w:rPr>
        <w:t>市场监管总局</w:t>
      </w:r>
      <w:r>
        <w:rPr>
          <w:rFonts w:hint="eastAsia"/>
          <w:sz w:val="28"/>
          <w:lang w:val="en-US" w:eastAsia="zh-CN"/>
        </w:rPr>
        <w:t>计量司2017年关于《国家计量技术规范制定、修订及宣贯计划有关事项的</w:t>
      </w:r>
      <w:r>
        <w:rPr>
          <w:rFonts w:hint="eastAsia"/>
          <w:sz w:val="28"/>
          <w:highlight w:val="none"/>
        </w:rPr>
        <w:t>通知</w:t>
      </w:r>
      <w:r>
        <w:rPr>
          <w:rFonts w:hint="eastAsia"/>
          <w:sz w:val="28"/>
          <w:lang w:val="en-US" w:eastAsia="zh-CN"/>
        </w:rPr>
        <w:t>》</w:t>
      </w:r>
      <w:r>
        <w:rPr>
          <w:sz w:val="28"/>
          <w:highlight w:val="none"/>
        </w:rPr>
        <w:t>（</w:t>
      </w:r>
      <w:r>
        <w:rPr>
          <w:rFonts w:hint="eastAsia"/>
          <w:sz w:val="28"/>
          <w:highlight w:val="none"/>
          <w:lang w:val="en-US" w:eastAsia="zh-CN"/>
        </w:rPr>
        <w:t>质检量函</w:t>
      </w:r>
      <w:r>
        <w:rPr>
          <w:sz w:val="28"/>
          <w:highlight w:val="none"/>
        </w:rPr>
        <w:t>[20</w:t>
      </w:r>
      <w:r>
        <w:rPr>
          <w:rFonts w:hint="eastAsia"/>
          <w:sz w:val="28"/>
          <w:highlight w:val="none"/>
          <w:lang w:val="en-US" w:eastAsia="zh-CN"/>
        </w:rPr>
        <w:t>17</w:t>
      </w:r>
      <w:r>
        <w:rPr>
          <w:sz w:val="28"/>
          <w:highlight w:val="none"/>
        </w:rPr>
        <w:t xml:space="preserve">] </w:t>
      </w:r>
      <w:r>
        <w:rPr>
          <w:rFonts w:hint="eastAsia"/>
          <w:sz w:val="28"/>
          <w:highlight w:val="none"/>
          <w:lang w:val="en-US" w:eastAsia="zh-CN"/>
        </w:rPr>
        <w:t>25</w:t>
      </w:r>
      <w:r>
        <w:rPr>
          <w:sz w:val="28"/>
          <w:highlight w:val="none"/>
        </w:rPr>
        <w:t>号）</w:t>
      </w:r>
      <w:r>
        <w:rPr>
          <w:rFonts w:hint="eastAsia"/>
          <w:sz w:val="28"/>
          <w:highlight w:val="none"/>
        </w:rPr>
        <w:t>，</w:t>
      </w:r>
      <w:r>
        <w:rPr>
          <w:sz w:val="28"/>
        </w:rPr>
        <w:t>由中国计量科学研究院</w:t>
      </w:r>
      <w:r>
        <w:rPr>
          <w:rFonts w:hint="eastAsia"/>
          <w:sz w:val="28"/>
        </w:rPr>
        <w:t>牵头</w:t>
      </w:r>
      <w:r>
        <w:rPr>
          <w:sz w:val="28"/>
        </w:rPr>
        <w:t>承担《</w:t>
      </w:r>
      <w:r>
        <w:rPr>
          <w:rFonts w:hint="eastAsia" w:ascii="宋体" w:hAnsi="宋体" w:cs="宋体"/>
          <w:sz w:val="28"/>
        </w:rPr>
        <w:t>生鲜乳体细胞检测仪校准规范</w:t>
      </w:r>
      <w:r>
        <w:rPr>
          <w:sz w:val="28"/>
        </w:rPr>
        <w:t>》的制定工作</w:t>
      </w:r>
      <w:r>
        <w:rPr>
          <w:rFonts w:hint="eastAsia"/>
          <w:sz w:val="28"/>
        </w:rPr>
        <w:t>，</w:t>
      </w:r>
      <w:r>
        <w:rPr>
          <w:sz w:val="28"/>
        </w:rPr>
        <w:t>归口单位为全国生物计量技术委员会</w:t>
      </w:r>
      <w:r>
        <w:rPr>
          <w:rFonts w:hint="eastAsia"/>
          <w:sz w:val="28"/>
        </w:rPr>
        <w:t>，参加单位为上海市计量测试技术研究院</w:t>
      </w:r>
      <w:r>
        <w:rPr>
          <w:sz w:val="28"/>
        </w:rPr>
        <w:t>。</w:t>
      </w:r>
    </w:p>
    <w:p>
      <w:pPr>
        <w:spacing w:line="360" w:lineRule="auto"/>
        <w:outlineLvl w:val="0"/>
        <w:rPr>
          <w:rFonts w:eastAsia="黑体"/>
          <w:sz w:val="28"/>
        </w:rPr>
      </w:pPr>
      <w:r>
        <w:rPr>
          <w:rFonts w:eastAsia="黑体"/>
          <w:sz w:val="28"/>
        </w:rPr>
        <w:t>二、规范制定的必要性</w:t>
      </w:r>
    </w:p>
    <w:p>
      <w:pPr>
        <w:spacing w:line="360" w:lineRule="auto"/>
        <w:ind w:firstLine="560" w:firstLineChars="200"/>
        <w:outlineLvl w:val="0"/>
        <w:rPr>
          <w:rFonts w:hint="eastAsia"/>
          <w:bCs/>
          <w:sz w:val="28"/>
        </w:rPr>
      </w:pPr>
      <w:r>
        <w:rPr>
          <w:rFonts w:hint="eastAsia"/>
          <w:bCs/>
          <w:sz w:val="28"/>
        </w:rPr>
        <w:t>目前中国奶制品消费处于不断增长阶段，乳制品安全和品质的检测影响着大众健康，也影响着奶牛产业的发展。国际通用的牛场管理与奶牛健康检测测定体系</w:t>
      </w:r>
      <w:r>
        <w:rPr>
          <w:rFonts w:hint="eastAsia"/>
          <w:bCs/>
          <w:sz w:val="28"/>
          <w:lang w:val="en-US" w:eastAsia="zh-CN"/>
        </w:rPr>
        <w:t>即</w:t>
      </w:r>
      <w:r>
        <w:rPr>
          <w:rFonts w:hint="eastAsia"/>
          <w:bCs/>
          <w:sz w:val="28"/>
        </w:rPr>
        <w:t>奶牛群体改良计划（dairy herd improvement</w:t>
      </w:r>
      <w:r>
        <w:rPr>
          <w:rFonts w:hint="eastAsia"/>
          <w:bCs/>
          <w:sz w:val="28"/>
          <w:lang w:eastAsia="zh-CN"/>
        </w:rPr>
        <w:t>，</w:t>
      </w:r>
      <w:r>
        <w:rPr>
          <w:rFonts w:hint="eastAsia"/>
          <w:bCs/>
          <w:sz w:val="28"/>
        </w:rPr>
        <w:t>DHI）中，体细胞数（somatic cell count, SCC）由于与乳脂率、产奶量、蛋白量等其它指标存在着一定的相关关系，因此成为了DHI体系中最重要的指标。</w:t>
      </w:r>
    </w:p>
    <w:p>
      <w:pPr>
        <w:spacing w:line="360" w:lineRule="auto"/>
        <w:ind w:firstLine="560" w:firstLineChars="200"/>
        <w:outlineLvl w:val="0"/>
        <w:rPr>
          <w:rFonts w:hint="eastAsia"/>
          <w:bCs/>
          <w:sz w:val="28"/>
        </w:rPr>
      </w:pPr>
      <w:r>
        <w:rPr>
          <w:rFonts w:hint="eastAsia"/>
          <w:bCs/>
          <w:sz w:val="28"/>
        </w:rPr>
        <w:t>牛奶体细胞数是指每毫升牛奶中包括巨噬细胞、淋巴细胞、嗜中性白细胞及少量乳腺组织上皮细胞在内的体细胞总数。正常情况下，牛奶中体细胞数在20～30万个/mL；当乳房产生炎症时，机体将分泌大量白细胞，体细胞数一般超过50万个/mL。因此，体细胞数反映了牛奶产量、质量及奶牛健康状况，是奶牛乳房健康状况的重要指标，同时也反映了一个地区或国家奶牛产业发展的管理水平。</w:t>
      </w:r>
    </w:p>
    <w:p>
      <w:pPr>
        <w:spacing w:line="360" w:lineRule="auto"/>
        <w:ind w:firstLine="560" w:firstLineChars="200"/>
        <w:outlineLvl w:val="0"/>
        <w:rPr>
          <w:rFonts w:hint="eastAsia"/>
          <w:bCs/>
          <w:sz w:val="28"/>
        </w:rPr>
      </w:pPr>
    </w:p>
    <w:p>
      <w:pPr>
        <w:spacing w:line="360" w:lineRule="auto"/>
        <w:ind w:firstLine="560" w:firstLineChars="200"/>
        <w:outlineLvl w:val="0"/>
        <w:rPr>
          <w:rFonts w:hint="eastAsia"/>
          <w:bCs/>
          <w:sz w:val="28"/>
        </w:rPr>
      </w:pPr>
      <w:r>
        <w:rPr>
          <w:rFonts w:hint="eastAsia"/>
          <w:bCs/>
          <w:sz w:val="28"/>
        </w:rPr>
        <w:t>国外奶牛生产先进国家，早在19世纪末就开始进行DHI测试工作，美国、法国、荷兰等乳业发达国家通过DHI体系为奶农提供指导服务，使牛群的遗传水平和生产性能持续提高。我国的DHI起步较晚，1992年引入DHI技术，1999年中国奶业协会组织成立了“全国奶牛生产性能测定（DHI）工作委员会”，截止2013年，我国奶牛参加DHI测定的比例不足8%（美国、日本等发达国家的参测率已达50%以上）。自2008年起，我国大规模开展DHI工作。2015年农业部根据《中国奶牛群体遗传改良计划（2008-2020）年》规定，制定了《奶牛生产性能测定工作办法》。DHI工作在我国逐步受到重视和信赖。</w:t>
      </w:r>
    </w:p>
    <w:p>
      <w:pPr>
        <w:spacing w:line="360" w:lineRule="auto"/>
        <w:ind w:firstLine="560" w:firstLineChars="200"/>
        <w:outlineLvl w:val="0"/>
        <w:rPr>
          <w:rFonts w:hint="eastAsia"/>
          <w:bCs/>
          <w:sz w:val="28"/>
        </w:rPr>
      </w:pPr>
      <w:r>
        <w:rPr>
          <w:rFonts w:hint="eastAsia"/>
          <w:bCs/>
          <w:sz w:val="28"/>
        </w:rPr>
        <w:t>2016年中国农垦乳业发展峰会上发布了《中国农垦生鲜乳生产和质量标准》。该企业标准首次将我国现行标准中没有提到但反映奶牛乳房健康水平的体细胞数首次纳入到了此次新发布的标准中，限量每毫升为40万个以下。2017年中国奶业协会团体标准T /DAC 003-2017《学生饮用奶 生牛乳》中规定体细胞数限量40万个/mL。2018年修订的GB 19301《食品安全国家标准 生乳》（第一次讨论稿）中首次增加了体细胞限量值分级标准。说明我国已开始重视体细胞对于乳制品的重要性，这对我国奶业发展有着重要的意义。</w:t>
      </w:r>
    </w:p>
    <w:p>
      <w:pPr>
        <w:spacing w:line="360" w:lineRule="auto"/>
        <w:ind w:firstLine="560" w:firstLineChars="200"/>
        <w:outlineLvl w:val="0"/>
        <w:rPr>
          <w:rFonts w:hint="eastAsia"/>
          <w:bCs/>
          <w:sz w:val="28"/>
        </w:rPr>
      </w:pPr>
      <w:r>
        <w:rPr>
          <w:rFonts w:hint="eastAsia"/>
          <w:bCs/>
          <w:sz w:val="28"/>
        </w:rPr>
        <w:t>牛奶体细胞检测仪通过DNA法、ATP法、粘度法、电脉冲法、视觉镜检法等不同原理对牛奶中的体细胞进行计数（或分型）。目前，国际上已将SCC作为牛奶收购标准之一。我国也建立了多处奶牛生产性能测定实验室，并将检测数据应用于奶业生产。</w:t>
      </w:r>
    </w:p>
    <w:p>
      <w:pPr>
        <w:spacing w:line="360" w:lineRule="auto"/>
        <w:ind w:firstLine="560" w:firstLineChars="200"/>
        <w:outlineLvl w:val="0"/>
        <w:rPr>
          <w:rFonts w:hint="eastAsia"/>
          <w:bCs/>
          <w:sz w:val="28"/>
          <w:lang w:eastAsia="zh-CN"/>
        </w:rPr>
      </w:pPr>
      <w:r>
        <w:rPr>
          <w:rFonts w:hint="eastAsia"/>
          <w:bCs/>
          <w:sz w:val="28"/>
        </w:rPr>
        <w:t>DNA法、ATP法、粘度法、pH法、EC法、IRT法等间接测量方法检测相应理化值，然后通过模型计算得到体细胞数，与SCC之间的相关性较差，准确率较低；以电脉冲法、光脉冲法</w:t>
      </w:r>
      <w:r>
        <w:rPr>
          <w:rFonts w:hint="eastAsia"/>
          <w:bCs/>
          <w:sz w:val="28"/>
          <w:lang w:val="en-US" w:eastAsia="zh-CN"/>
        </w:rPr>
        <w:t>等</w:t>
      </w:r>
      <w:r>
        <w:rPr>
          <w:rFonts w:hint="eastAsia"/>
          <w:bCs/>
          <w:sz w:val="28"/>
        </w:rPr>
        <w:t>为原理的体细胞直接计数仪检测速率较快，准确率较高。由于精确检测SCC有助于区分处于临界状态的奶牛健康状况，有助于识别处于亚健康或隐性乳腺炎的奶牛，对持续改善奶场管理，促进奶牛产业发展具有重要意义</w:t>
      </w:r>
      <w:r>
        <w:rPr>
          <w:rFonts w:hint="eastAsia"/>
          <w:bCs/>
          <w:sz w:val="28"/>
          <w:lang w:eastAsia="zh-CN"/>
        </w:rPr>
        <w:t>。</w:t>
      </w:r>
    </w:p>
    <w:p>
      <w:pPr>
        <w:spacing w:line="360" w:lineRule="auto"/>
        <w:ind w:firstLine="560" w:firstLineChars="200"/>
        <w:outlineLvl w:val="0"/>
        <w:rPr>
          <w:rFonts w:hint="eastAsia"/>
          <w:sz w:val="28"/>
        </w:rPr>
      </w:pPr>
      <w:r>
        <w:rPr>
          <w:rFonts w:hint="eastAsia"/>
          <w:bCs/>
          <w:sz w:val="28"/>
        </w:rPr>
        <w:t>因此，</w:t>
      </w:r>
      <w:r>
        <w:rPr>
          <w:rFonts w:hint="eastAsia"/>
          <w:bCs/>
          <w:sz w:val="28"/>
          <w:lang w:val="en-US" w:eastAsia="zh-CN"/>
        </w:rPr>
        <w:t>为</w:t>
      </w:r>
      <w:r>
        <w:rPr>
          <w:rFonts w:hint="eastAsia"/>
          <w:bCs/>
          <w:sz w:val="28"/>
        </w:rPr>
        <w:t>保证</w:t>
      </w:r>
      <w:r>
        <w:rPr>
          <w:rFonts w:hint="eastAsia"/>
          <w:bCs/>
          <w:sz w:val="28"/>
          <w:lang w:val="en-US" w:eastAsia="zh-CN"/>
        </w:rPr>
        <w:t>该类</w:t>
      </w:r>
      <w:r>
        <w:rPr>
          <w:rFonts w:hint="eastAsia"/>
          <w:bCs/>
          <w:sz w:val="28"/>
        </w:rPr>
        <w:t>仪器性能的可靠性和检测结果的准确性</w:t>
      </w:r>
      <w:r>
        <w:rPr>
          <w:rFonts w:hint="eastAsia"/>
          <w:bCs/>
          <w:sz w:val="28"/>
          <w:lang w:eastAsia="zh-CN"/>
        </w:rPr>
        <w:t>，</w:t>
      </w:r>
      <w:r>
        <w:rPr>
          <w:rFonts w:hint="eastAsia"/>
          <w:bCs/>
          <w:sz w:val="28"/>
        </w:rPr>
        <w:t>需要对牛奶体细胞检测仪的性能参数如示值误差、重复性、交叉污染等进行</w:t>
      </w:r>
      <w:r>
        <w:rPr>
          <w:rFonts w:hint="eastAsia"/>
          <w:bCs/>
          <w:sz w:val="28"/>
          <w:lang w:val="en-US" w:eastAsia="zh-CN"/>
        </w:rPr>
        <w:t>检测</w:t>
      </w:r>
      <w:r>
        <w:rPr>
          <w:rFonts w:hint="eastAsia"/>
          <w:bCs/>
          <w:sz w:val="28"/>
        </w:rPr>
        <w:t>校准</w:t>
      </w:r>
      <w:r>
        <w:rPr>
          <w:rFonts w:hint="eastAsia"/>
          <w:bCs/>
          <w:sz w:val="28"/>
          <w:lang w:eastAsia="zh-CN"/>
        </w:rPr>
        <w:t>。</w:t>
      </w:r>
      <w:r>
        <w:rPr>
          <w:rFonts w:hint="eastAsia"/>
          <w:sz w:val="28"/>
        </w:rPr>
        <w:t>但是目前国内外并没有针对该设备的计量校准规范</w:t>
      </w:r>
      <w:r>
        <w:rPr>
          <w:rFonts w:hint="eastAsia"/>
          <w:sz w:val="28"/>
          <w:lang w:eastAsia="zh-CN"/>
        </w:rPr>
        <w:t>，</w:t>
      </w:r>
      <w:r>
        <w:rPr>
          <w:rFonts w:hint="eastAsia"/>
          <w:sz w:val="28"/>
        </w:rPr>
        <w:t>只有相关</w:t>
      </w:r>
      <w:r>
        <w:rPr>
          <w:rFonts w:hint="eastAsia"/>
          <w:sz w:val="28"/>
          <w:lang w:val="en-US" w:eastAsia="zh-CN"/>
        </w:rPr>
        <w:t>参数的测试方法标准</w:t>
      </w:r>
      <w:r>
        <w:rPr>
          <w:rFonts w:hint="eastAsia"/>
          <w:sz w:val="28"/>
        </w:rPr>
        <w:t>，</w:t>
      </w:r>
      <w:r>
        <w:rPr>
          <w:rFonts w:hint="eastAsia"/>
          <w:sz w:val="28"/>
          <w:lang w:val="en-US" w:eastAsia="zh-CN"/>
        </w:rPr>
        <w:t>如</w:t>
      </w:r>
      <w:r>
        <w:rPr>
          <w:rFonts w:hint="eastAsia"/>
          <w:sz w:val="28"/>
        </w:rPr>
        <w:t>农业部行业标准NY/T 800-2004《生鲜牛乳中体细胞的测定方法》</w:t>
      </w:r>
      <w:r>
        <w:rPr>
          <w:rFonts w:hint="eastAsia"/>
          <w:sz w:val="28"/>
          <w:lang w:eastAsia="zh-CN"/>
        </w:rPr>
        <w:t>。</w:t>
      </w:r>
      <w:r>
        <w:rPr>
          <w:rFonts w:hint="eastAsia"/>
          <w:sz w:val="28"/>
        </w:rPr>
        <w:t>因此，需要尽快开发计量标准</w:t>
      </w:r>
      <w:r>
        <w:rPr>
          <w:rFonts w:hint="eastAsia"/>
          <w:sz w:val="28"/>
          <w:lang w:val="en-US" w:eastAsia="zh-CN"/>
        </w:rPr>
        <w:t>及校准规范</w:t>
      </w:r>
      <w:r>
        <w:rPr>
          <w:rFonts w:hint="eastAsia"/>
          <w:sz w:val="28"/>
        </w:rPr>
        <w:t>，配合</w:t>
      </w:r>
      <w:r>
        <w:rPr>
          <w:rFonts w:hint="eastAsia"/>
          <w:sz w:val="28"/>
          <w:lang w:val="en-US" w:eastAsia="zh-CN"/>
        </w:rPr>
        <w:t>相关检测</w:t>
      </w:r>
      <w:r>
        <w:rPr>
          <w:rFonts w:hint="eastAsia"/>
          <w:sz w:val="28"/>
        </w:rPr>
        <w:t>部门，保障测量的准确性和溯源性。</w:t>
      </w:r>
    </w:p>
    <w:p>
      <w:pPr>
        <w:spacing w:line="360" w:lineRule="auto"/>
        <w:ind w:firstLine="560" w:firstLineChars="200"/>
        <w:outlineLvl w:val="0"/>
        <w:rPr>
          <w:sz w:val="28"/>
        </w:rPr>
      </w:pPr>
      <w:r>
        <w:rPr>
          <w:sz w:val="28"/>
        </w:rPr>
        <w:t>本项目</w:t>
      </w:r>
      <w:r>
        <w:rPr>
          <w:rFonts w:hint="eastAsia"/>
          <w:sz w:val="28"/>
        </w:rPr>
        <w:t>开展了</w:t>
      </w:r>
      <w:r>
        <w:rPr>
          <w:rFonts w:hint="eastAsia"/>
          <w:sz w:val="28"/>
          <w:lang w:val="en-US" w:eastAsia="zh-CN"/>
        </w:rPr>
        <w:t>生鲜乳体细胞检测仪</w:t>
      </w:r>
      <w:r>
        <w:rPr>
          <w:sz w:val="28"/>
        </w:rPr>
        <w:t>校准方法的研究，</w:t>
      </w:r>
      <w:r>
        <w:rPr>
          <w:rFonts w:hint="eastAsia"/>
          <w:sz w:val="28"/>
        </w:rPr>
        <w:t>针对使用中客户比较关注的参数，编写了国家</w:t>
      </w:r>
      <w:r>
        <w:rPr>
          <w:sz w:val="28"/>
        </w:rPr>
        <w:t>校准规范，</w:t>
      </w:r>
      <w:r>
        <w:rPr>
          <w:rFonts w:hint="eastAsia"/>
          <w:sz w:val="28"/>
        </w:rPr>
        <w:t>填补了国内外</w:t>
      </w:r>
      <w:r>
        <w:rPr>
          <w:rFonts w:hint="eastAsia"/>
          <w:sz w:val="28"/>
          <w:lang w:val="en-US" w:eastAsia="zh-CN"/>
        </w:rPr>
        <w:t>体细胞检测仪</w:t>
      </w:r>
      <w:r>
        <w:rPr>
          <w:sz w:val="28"/>
        </w:rPr>
        <w:t>校准</w:t>
      </w:r>
      <w:r>
        <w:rPr>
          <w:rFonts w:hint="eastAsia"/>
          <w:sz w:val="28"/>
        </w:rPr>
        <w:t>领域</w:t>
      </w:r>
      <w:r>
        <w:rPr>
          <w:sz w:val="28"/>
        </w:rPr>
        <w:t>的空白，加强对</w:t>
      </w:r>
      <w:r>
        <w:rPr>
          <w:rFonts w:hint="eastAsia"/>
          <w:sz w:val="28"/>
          <w:lang w:val="en-US" w:eastAsia="zh-CN"/>
        </w:rPr>
        <w:t>生鲜乳体细胞检测仪性能参数</w:t>
      </w:r>
      <w:r>
        <w:rPr>
          <w:sz w:val="28"/>
        </w:rPr>
        <w:t>的</w:t>
      </w:r>
      <w:r>
        <w:rPr>
          <w:rFonts w:hint="eastAsia"/>
          <w:sz w:val="28"/>
          <w:lang w:val="en-US" w:eastAsia="zh-CN"/>
        </w:rPr>
        <w:t>质量控制</w:t>
      </w:r>
      <w:r>
        <w:rPr>
          <w:sz w:val="28"/>
        </w:rPr>
        <w:t>，保证计量性能的量值传递准确可靠，为</w:t>
      </w:r>
      <w:r>
        <w:rPr>
          <w:rFonts w:hint="eastAsia"/>
          <w:sz w:val="28"/>
          <w:lang w:val="en-US" w:eastAsia="zh-CN"/>
        </w:rPr>
        <w:t>乳制品安全及奶牛产业发展</w:t>
      </w:r>
      <w:r>
        <w:rPr>
          <w:sz w:val="28"/>
        </w:rPr>
        <w:t>提供保障。</w:t>
      </w:r>
    </w:p>
    <w:p>
      <w:pPr>
        <w:spacing w:line="360" w:lineRule="auto"/>
        <w:outlineLvl w:val="0"/>
        <w:rPr>
          <w:rFonts w:eastAsia="黑体"/>
          <w:sz w:val="28"/>
        </w:rPr>
      </w:pPr>
      <w:r>
        <w:rPr>
          <w:rFonts w:eastAsia="黑体"/>
          <w:sz w:val="28"/>
        </w:rPr>
        <w:t>三、规范制定过程</w:t>
      </w:r>
    </w:p>
    <w:p>
      <w:pPr>
        <w:spacing w:line="360" w:lineRule="auto"/>
        <w:ind w:firstLine="560" w:firstLineChars="200"/>
        <w:outlineLvl w:val="0"/>
        <w:rPr>
          <w:rFonts w:hint="eastAsia" w:ascii="Times New Roman" w:hAnsi="Times New Roman" w:eastAsia="宋体" w:cs="Times New Roman"/>
          <w:sz w:val="28"/>
        </w:rPr>
      </w:pPr>
      <w:r>
        <w:rPr>
          <w:rFonts w:hint="eastAsia" w:ascii="Times New Roman" w:hAnsi="Times New Roman" w:eastAsia="宋体" w:cs="Times New Roman"/>
          <w:sz w:val="28"/>
        </w:rPr>
        <w:t>20</w:t>
      </w:r>
      <w:r>
        <w:rPr>
          <w:rFonts w:hint="eastAsia" w:ascii="Times New Roman" w:hAnsi="Times New Roman" w:eastAsia="宋体" w:cs="Times New Roman"/>
          <w:sz w:val="28"/>
          <w:lang w:val="en-US" w:eastAsia="zh-CN"/>
        </w:rPr>
        <w:t>17</w:t>
      </w:r>
      <w:r>
        <w:rPr>
          <w:rFonts w:hint="eastAsia" w:ascii="Times New Roman" w:hAnsi="Times New Roman" w:eastAsia="宋体" w:cs="Times New Roman"/>
          <w:sz w:val="28"/>
        </w:rPr>
        <w:t>年</w:t>
      </w:r>
      <w:r>
        <w:rPr>
          <w:rFonts w:hint="eastAsia" w:ascii="Times New Roman" w:hAnsi="Times New Roman" w:eastAsia="宋体" w:cs="Times New Roman"/>
          <w:sz w:val="28"/>
          <w:lang w:val="en-US" w:eastAsia="zh-CN"/>
        </w:rPr>
        <w:t>6</w:t>
      </w:r>
      <w:r>
        <w:rPr>
          <w:rFonts w:hint="eastAsia" w:ascii="Times New Roman" w:hAnsi="Times New Roman" w:eastAsia="宋体" w:cs="Times New Roman"/>
          <w:sz w:val="28"/>
        </w:rPr>
        <w:t>月~20</w:t>
      </w:r>
      <w:r>
        <w:rPr>
          <w:rFonts w:hint="eastAsia" w:ascii="Times New Roman" w:hAnsi="Times New Roman" w:eastAsia="宋体" w:cs="Times New Roman"/>
          <w:sz w:val="28"/>
          <w:lang w:val="en-US" w:eastAsia="zh-CN"/>
        </w:rPr>
        <w:t>17</w:t>
      </w:r>
      <w:r>
        <w:rPr>
          <w:rFonts w:hint="eastAsia" w:ascii="Times New Roman" w:hAnsi="Times New Roman" w:eastAsia="宋体" w:cs="Times New Roman"/>
          <w:sz w:val="28"/>
        </w:rPr>
        <w:t>年12月，</w:t>
      </w:r>
      <w:r>
        <w:rPr>
          <w:rFonts w:hint="eastAsia" w:ascii="Times New Roman" w:hAnsi="Times New Roman" w:eastAsia="宋体" w:cs="Times New Roman"/>
          <w:sz w:val="28"/>
          <w:lang w:val="en-US" w:eastAsia="zh-CN"/>
        </w:rPr>
        <w:t>中国计量科学研究院联合</w:t>
      </w:r>
      <w:r>
        <w:rPr>
          <w:rFonts w:hint="eastAsia" w:ascii="Times New Roman" w:hAnsi="Times New Roman" w:eastAsia="宋体" w:cs="Times New Roman"/>
          <w:sz w:val="28"/>
        </w:rPr>
        <w:t>上海市计量测试技术研究院</w:t>
      </w:r>
      <w:r>
        <w:rPr>
          <w:rFonts w:hint="eastAsia" w:ascii="Times New Roman" w:hAnsi="Times New Roman" w:eastAsia="宋体" w:cs="Times New Roman"/>
          <w:sz w:val="28"/>
          <w:lang w:val="en-US" w:eastAsia="zh-CN"/>
        </w:rPr>
        <w:t>成立起草小组，</w:t>
      </w:r>
      <w:r>
        <w:rPr>
          <w:rFonts w:hint="eastAsia" w:ascii="Times New Roman" w:hAnsi="Times New Roman" w:eastAsia="宋体" w:cs="Times New Roman"/>
          <w:sz w:val="28"/>
        </w:rPr>
        <w:t>向委员会秘书处提交制定的《</w:t>
      </w:r>
      <w:r>
        <w:rPr>
          <w:rFonts w:hint="eastAsia" w:ascii="Times New Roman" w:hAnsi="Times New Roman" w:eastAsia="宋体" w:cs="Times New Roman"/>
          <w:sz w:val="28"/>
          <w:lang w:val="en-US" w:eastAsia="zh-CN"/>
        </w:rPr>
        <w:t>生鲜乳体细胞检测仪</w:t>
      </w:r>
      <w:r>
        <w:rPr>
          <w:rFonts w:hint="eastAsia" w:ascii="Times New Roman" w:hAnsi="Times New Roman" w:eastAsia="宋体" w:cs="Times New Roman"/>
          <w:sz w:val="28"/>
        </w:rPr>
        <w:t>校准规范》计划任务书，申报市场监管总局计量司计量技术规范立项申请并获得总局计量司批复。</w:t>
      </w:r>
    </w:p>
    <w:p>
      <w:pPr>
        <w:spacing w:line="360" w:lineRule="auto"/>
        <w:ind w:firstLine="560" w:firstLineChars="200"/>
        <w:outlineLvl w:val="0"/>
        <w:rPr>
          <w:rFonts w:hint="eastAsia" w:ascii="Times New Roman" w:hAnsi="Times New Roman" w:eastAsia="宋体" w:cs="Times New Roman"/>
          <w:sz w:val="28"/>
        </w:rPr>
      </w:pPr>
      <w:r>
        <w:rPr>
          <w:rFonts w:hint="eastAsia" w:ascii="Times New Roman" w:hAnsi="Times New Roman" w:eastAsia="宋体" w:cs="Times New Roman"/>
          <w:sz w:val="28"/>
        </w:rPr>
        <w:t>20</w:t>
      </w:r>
      <w:r>
        <w:rPr>
          <w:rFonts w:hint="eastAsia" w:ascii="Times New Roman" w:hAnsi="Times New Roman" w:eastAsia="宋体" w:cs="Times New Roman"/>
          <w:sz w:val="28"/>
          <w:lang w:val="en-US" w:eastAsia="zh-CN"/>
        </w:rPr>
        <w:t>18</w:t>
      </w:r>
      <w:r>
        <w:rPr>
          <w:rFonts w:hint="eastAsia" w:ascii="Times New Roman" w:hAnsi="Times New Roman" w:eastAsia="宋体" w:cs="Times New Roman"/>
          <w:sz w:val="28"/>
        </w:rPr>
        <w:t>年</w:t>
      </w:r>
      <w:r>
        <w:rPr>
          <w:rFonts w:hint="eastAsia" w:ascii="Times New Roman" w:hAnsi="Times New Roman" w:eastAsia="宋体" w:cs="Times New Roman"/>
          <w:sz w:val="28"/>
          <w:lang w:val="en-US" w:eastAsia="zh-CN"/>
        </w:rPr>
        <w:t>1</w:t>
      </w:r>
      <w:r>
        <w:rPr>
          <w:rFonts w:hint="eastAsia" w:ascii="Times New Roman" w:hAnsi="Times New Roman" w:eastAsia="宋体" w:cs="Times New Roman"/>
          <w:sz w:val="28"/>
        </w:rPr>
        <w:t>月~20</w:t>
      </w:r>
      <w:r>
        <w:rPr>
          <w:rFonts w:hint="eastAsia" w:ascii="Times New Roman" w:hAnsi="Times New Roman" w:eastAsia="宋体" w:cs="Times New Roman"/>
          <w:sz w:val="28"/>
          <w:lang w:val="en-US" w:eastAsia="zh-CN"/>
        </w:rPr>
        <w:t>18</w:t>
      </w:r>
      <w:r>
        <w:rPr>
          <w:rFonts w:hint="eastAsia" w:ascii="Times New Roman" w:hAnsi="Times New Roman" w:eastAsia="宋体" w:cs="Times New Roman"/>
          <w:sz w:val="28"/>
        </w:rPr>
        <w:t>年</w:t>
      </w:r>
      <w:r>
        <w:rPr>
          <w:rFonts w:hint="eastAsia" w:ascii="Times New Roman" w:hAnsi="Times New Roman" w:eastAsia="宋体" w:cs="Times New Roman"/>
          <w:sz w:val="28"/>
          <w:lang w:val="en-US" w:eastAsia="zh-CN"/>
        </w:rPr>
        <w:t>12</w:t>
      </w:r>
      <w:r>
        <w:rPr>
          <w:rFonts w:hint="eastAsia" w:ascii="Times New Roman" w:hAnsi="Times New Roman" w:eastAsia="宋体" w:cs="Times New Roman"/>
          <w:sz w:val="28"/>
        </w:rPr>
        <w:t>月，中国计量科学研究院</w:t>
      </w:r>
      <w:r>
        <w:rPr>
          <w:rFonts w:hint="eastAsia" w:ascii="Times New Roman" w:hAnsi="Times New Roman" w:eastAsia="宋体" w:cs="Times New Roman"/>
          <w:sz w:val="28"/>
          <w:lang w:val="en-US" w:eastAsia="zh-CN"/>
        </w:rPr>
        <w:t>通过国内外文献、国家标准、国际标准、企业标准等资料调研，</w:t>
      </w:r>
      <w:r>
        <w:rPr>
          <w:rFonts w:hint="eastAsia" w:ascii="Times New Roman" w:hAnsi="Times New Roman" w:eastAsia="宋体" w:cs="Times New Roman"/>
          <w:sz w:val="28"/>
        </w:rPr>
        <w:t>制定</w:t>
      </w:r>
      <w:r>
        <w:rPr>
          <w:rFonts w:hint="eastAsia" w:ascii="Times New Roman" w:hAnsi="Times New Roman" w:eastAsia="宋体" w:cs="Times New Roman"/>
          <w:sz w:val="28"/>
          <w:lang w:val="en-US" w:eastAsia="zh-CN"/>
        </w:rPr>
        <w:t>了</w:t>
      </w:r>
      <w:r>
        <w:rPr>
          <w:rFonts w:hint="eastAsia" w:ascii="Times New Roman" w:hAnsi="Times New Roman" w:eastAsia="宋体" w:cs="Times New Roman"/>
          <w:sz w:val="28"/>
        </w:rPr>
        <w:t>生鲜乳体细胞检测仪测试作业指导书，开展生鲜乳体细胞检测仪测试</w:t>
      </w:r>
      <w:r>
        <w:rPr>
          <w:rFonts w:hint="eastAsia" w:ascii="Times New Roman" w:hAnsi="Times New Roman" w:eastAsia="宋体" w:cs="Times New Roman"/>
          <w:sz w:val="28"/>
          <w:lang w:val="en-US" w:eastAsia="zh-CN"/>
        </w:rPr>
        <w:t>研究工作</w:t>
      </w:r>
      <w:r>
        <w:rPr>
          <w:rFonts w:hint="eastAsia" w:ascii="Times New Roman" w:hAnsi="Times New Roman" w:eastAsia="宋体" w:cs="Times New Roman"/>
          <w:sz w:val="28"/>
        </w:rPr>
        <w:t>。</w:t>
      </w:r>
    </w:p>
    <w:p>
      <w:pPr>
        <w:spacing w:line="360" w:lineRule="auto"/>
        <w:ind w:firstLine="560" w:firstLineChars="200"/>
        <w:outlineLvl w:val="0"/>
        <w:rPr>
          <w:rFonts w:hint="eastAsia" w:ascii="Times New Roman" w:hAnsi="Times New Roman" w:eastAsia="宋体" w:cs="Times New Roman"/>
          <w:sz w:val="28"/>
        </w:rPr>
      </w:pPr>
      <w:r>
        <w:rPr>
          <w:rFonts w:hint="eastAsia" w:ascii="Times New Roman" w:hAnsi="Times New Roman" w:eastAsia="宋体" w:cs="Times New Roman"/>
          <w:sz w:val="28"/>
          <w:lang w:val="en-US" w:eastAsia="zh-CN"/>
        </w:rPr>
        <w:t>2019年1月~2021年12月，</w:t>
      </w:r>
      <w:r>
        <w:rPr>
          <w:rFonts w:hint="eastAsia" w:ascii="Times New Roman" w:hAnsi="Times New Roman" w:eastAsia="宋体" w:cs="Times New Roman"/>
          <w:sz w:val="28"/>
        </w:rPr>
        <w:t>起草小组通过赴</w:t>
      </w:r>
      <w:r>
        <w:rPr>
          <w:rFonts w:hint="eastAsia" w:ascii="Times New Roman" w:hAnsi="Times New Roman" w:eastAsia="宋体" w:cs="Times New Roman"/>
          <w:sz w:val="28"/>
          <w:lang w:val="en-US" w:eastAsia="zh-CN"/>
        </w:rPr>
        <w:t>全国畜牧总站、北京市奶牛中</w:t>
      </w:r>
      <w:r>
        <w:rPr>
          <w:rFonts w:hint="eastAsia" w:ascii="Times New Roman" w:hAnsi="Times New Roman" w:eastAsia="宋体" w:cs="Times New Roman"/>
          <w:sz w:val="28"/>
        </w:rPr>
        <w:t>心</w:t>
      </w:r>
      <w:r>
        <w:rPr>
          <w:rFonts w:hint="eastAsia" w:ascii="Times New Roman" w:hAnsi="Times New Roman" w:eastAsia="宋体" w:cs="Times New Roman"/>
          <w:sz w:val="28"/>
          <w:lang w:val="en-US" w:eastAsia="zh-CN"/>
        </w:rPr>
        <w:t>乳品质量检验站</w:t>
      </w:r>
      <w:r>
        <w:rPr>
          <w:rFonts w:hint="eastAsia" w:ascii="Times New Roman" w:hAnsi="Times New Roman" w:eastAsia="宋体" w:cs="Times New Roman"/>
          <w:sz w:val="28"/>
        </w:rPr>
        <w:t>、哈罗德（北京）科技有限公司</w:t>
      </w:r>
      <w:r>
        <w:rPr>
          <w:rFonts w:hint="eastAsia" w:ascii="Times New Roman" w:hAnsi="Times New Roman" w:eastAsia="宋体" w:cs="Times New Roman"/>
          <w:sz w:val="28"/>
          <w:lang w:val="en-US" w:eastAsia="zh-CN"/>
        </w:rPr>
        <w:t>等地</w:t>
      </w:r>
      <w:r>
        <w:rPr>
          <w:rFonts w:hint="eastAsia" w:ascii="Times New Roman" w:hAnsi="Times New Roman" w:eastAsia="宋体" w:cs="Times New Roman"/>
          <w:sz w:val="28"/>
        </w:rPr>
        <w:t>调研了生鲜乳体细胞检测仪参数，</w:t>
      </w:r>
      <w:r>
        <w:rPr>
          <w:rFonts w:hint="eastAsia" w:ascii="Times New Roman" w:hAnsi="Times New Roman" w:eastAsia="宋体" w:cs="Times New Roman"/>
          <w:sz w:val="28"/>
          <w:lang w:val="en-US" w:eastAsia="zh-CN"/>
        </w:rPr>
        <w:t>与我国奶牛生产性能测定管理机构、实际用户及仪器</w:t>
      </w:r>
      <w:r>
        <w:rPr>
          <w:rFonts w:hint="eastAsia" w:ascii="Times New Roman" w:hAnsi="Times New Roman" w:eastAsia="宋体" w:cs="Times New Roman"/>
          <w:sz w:val="28"/>
        </w:rPr>
        <w:t>厂家</w:t>
      </w:r>
      <w:r>
        <w:rPr>
          <w:rFonts w:hint="eastAsia" w:ascii="Times New Roman" w:hAnsi="Times New Roman" w:eastAsia="宋体" w:cs="Times New Roman"/>
          <w:sz w:val="28"/>
          <w:lang w:val="en-US" w:eastAsia="zh-CN"/>
        </w:rPr>
        <w:t>等进行深入</w:t>
      </w:r>
      <w:r>
        <w:rPr>
          <w:rFonts w:hint="eastAsia" w:ascii="Times New Roman" w:hAnsi="Times New Roman" w:eastAsia="宋体" w:cs="Times New Roman"/>
          <w:sz w:val="28"/>
        </w:rPr>
        <w:t>沟通交流</w:t>
      </w:r>
      <w:r>
        <w:rPr>
          <w:rFonts w:hint="eastAsia" w:ascii="Times New Roman" w:hAnsi="Times New Roman" w:eastAsia="宋体" w:cs="Times New Roman"/>
          <w:sz w:val="28"/>
          <w:lang w:eastAsia="zh-CN"/>
        </w:rPr>
        <w:t>，</w:t>
      </w:r>
      <w:r>
        <w:rPr>
          <w:rFonts w:hint="eastAsia" w:ascii="Times New Roman" w:hAnsi="Times New Roman" w:eastAsia="宋体" w:cs="Times New Roman"/>
          <w:sz w:val="28"/>
          <w:lang w:val="en-US" w:eastAsia="zh-CN"/>
        </w:rPr>
        <w:t>并</w:t>
      </w:r>
      <w:r>
        <w:rPr>
          <w:rFonts w:hint="eastAsia" w:ascii="Times New Roman" w:hAnsi="Times New Roman" w:eastAsia="宋体" w:cs="Times New Roman"/>
          <w:sz w:val="28"/>
        </w:rPr>
        <w:t>在此期间召开了2次研讨会，探讨生鲜乳体细胞检测仪参数校准的技术方案，针对生鲜乳体细胞检测仪拟定了开展的具体校准参数，形成了初稿。</w:t>
      </w:r>
    </w:p>
    <w:p>
      <w:pPr>
        <w:spacing w:line="360" w:lineRule="auto"/>
        <w:ind w:firstLine="560" w:firstLineChars="200"/>
        <w:outlineLvl w:val="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同时，在此期间，中国计量科学研究院开展了牛奶体细胞标准物质研制工作，先后制备了不同批次的牛奶体细胞标准物质候选物，通过在不同仪器上进行测试，不断改进制备方式，优化定值方法，初步形成了标准物质研制方案。</w:t>
      </w:r>
    </w:p>
    <w:p>
      <w:pPr>
        <w:spacing w:line="360" w:lineRule="auto"/>
        <w:ind w:firstLine="560" w:firstLineChars="200"/>
        <w:outlineLvl w:val="0"/>
        <w:rPr>
          <w:rFonts w:hint="eastAsia" w:ascii="Times New Roman" w:hAnsi="Times New Roman" w:eastAsia="宋体" w:cs="Times New Roman"/>
          <w:sz w:val="28"/>
        </w:rPr>
      </w:pPr>
      <w:r>
        <w:rPr>
          <w:rFonts w:hint="eastAsia" w:ascii="Times New Roman" w:hAnsi="Times New Roman" w:eastAsia="宋体" w:cs="Times New Roman"/>
          <w:sz w:val="28"/>
        </w:rPr>
        <w:t>202</w:t>
      </w:r>
      <w:r>
        <w:rPr>
          <w:rFonts w:hint="eastAsia" w:ascii="Times New Roman" w:hAnsi="Times New Roman" w:eastAsia="宋体" w:cs="Times New Roman"/>
          <w:sz w:val="28"/>
          <w:lang w:val="en-US" w:eastAsia="zh-CN"/>
        </w:rPr>
        <w:t>2</w:t>
      </w:r>
      <w:r>
        <w:rPr>
          <w:rFonts w:hint="eastAsia" w:ascii="Times New Roman" w:hAnsi="Times New Roman" w:eastAsia="宋体" w:cs="Times New Roman"/>
          <w:sz w:val="28"/>
        </w:rPr>
        <w:t>年1月~202</w:t>
      </w:r>
      <w:r>
        <w:rPr>
          <w:rFonts w:hint="eastAsia" w:ascii="Times New Roman" w:hAnsi="Times New Roman" w:eastAsia="宋体" w:cs="Times New Roman"/>
          <w:sz w:val="28"/>
          <w:lang w:val="en-US" w:eastAsia="zh-CN"/>
        </w:rPr>
        <w:t>2</w:t>
      </w:r>
      <w:r>
        <w:rPr>
          <w:rFonts w:hint="eastAsia" w:ascii="Times New Roman" w:hAnsi="Times New Roman" w:eastAsia="宋体" w:cs="Times New Roman"/>
          <w:sz w:val="28"/>
        </w:rPr>
        <w:t>年</w:t>
      </w:r>
      <w:r>
        <w:rPr>
          <w:rFonts w:hint="eastAsia" w:ascii="Times New Roman" w:hAnsi="Times New Roman" w:eastAsia="宋体" w:cs="Times New Roman"/>
          <w:sz w:val="28"/>
          <w:lang w:val="en-US" w:eastAsia="zh-CN"/>
        </w:rPr>
        <w:t>9</w:t>
      </w:r>
      <w:r>
        <w:rPr>
          <w:rFonts w:hint="eastAsia" w:ascii="Times New Roman" w:hAnsi="Times New Roman" w:eastAsia="宋体" w:cs="Times New Roman"/>
          <w:sz w:val="28"/>
        </w:rPr>
        <w:t>月，</w:t>
      </w:r>
      <w:r>
        <w:rPr>
          <w:rFonts w:hint="eastAsia" w:ascii="Times New Roman" w:hAnsi="Times New Roman" w:eastAsia="宋体" w:cs="Times New Roman"/>
          <w:sz w:val="28"/>
          <w:lang w:val="en-US" w:eastAsia="zh-CN"/>
        </w:rPr>
        <w:t>中国计量科学研究院研制完成5种不同浓度牛奶体细胞标准物质，并在Bentley公司、FOSS公司及哈罗德公司不同仪器型号仪器进行了实验验证。针对测试结果，并结合与厂家沟通交流等方式，起草小组进一步完善校准草案，</w:t>
      </w:r>
      <w:r>
        <w:rPr>
          <w:rFonts w:hint="eastAsia" w:ascii="Times New Roman" w:hAnsi="Times New Roman" w:eastAsia="宋体" w:cs="Times New Roman"/>
          <w:sz w:val="28"/>
        </w:rPr>
        <w:t>合理确定了生鲜乳体细胞检测仪参数的计量特性、校准条件、校准项目和校准方法等内容，完成了适用性验证实验，最后编制完成《生鲜乳体细胞检测仪校准规范》（征求意见稿）</w:t>
      </w:r>
      <w:r>
        <w:rPr>
          <w:rFonts w:hint="eastAsia" w:ascii="Times New Roman" w:hAnsi="Times New Roman" w:eastAsia="宋体" w:cs="Times New Roman"/>
          <w:sz w:val="28"/>
          <w:lang w:val="en-US" w:eastAsia="zh-CN"/>
        </w:rPr>
        <w:t>及</w:t>
      </w:r>
      <w:r>
        <w:rPr>
          <w:rFonts w:hint="eastAsia" w:ascii="Times New Roman" w:hAnsi="Times New Roman" w:eastAsia="宋体" w:cs="Times New Roman"/>
          <w:sz w:val="28"/>
        </w:rPr>
        <w:t>编制说明。</w:t>
      </w:r>
    </w:p>
    <w:p>
      <w:pPr>
        <w:tabs>
          <w:tab w:val="left" w:pos="360"/>
        </w:tabs>
        <w:ind w:firstLine="504" w:firstLineChars="200"/>
        <w:rPr>
          <w:rFonts w:hint="eastAsia"/>
          <w:w w:val="90"/>
          <w:kern w:val="28"/>
          <w:sz w:val="28"/>
        </w:rPr>
      </w:pPr>
    </w:p>
    <w:p>
      <w:pPr>
        <w:outlineLvl w:val="0"/>
        <w:rPr>
          <w:rFonts w:eastAsia="黑体"/>
          <w:sz w:val="28"/>
        </w:rPr>
      </w:pPr>
      <w:r>
        <w:rPr>
          <w:rFonts w:eastAsia="黑体"/>
          <w:sz w:val="28"/>
        </w:rPr>
        <w:t>四、规范制定的主要技术依据及原则</w:t>
      </w:r>
    </w:p>
    <w:p>
      <w:pPr>
        <w:pStyle w:val="3"/>
        <w:spacing w:before="0" w:after="0" w:line="240" w:lineRule="auto"/>
        <w:rPr>
          <w:rFonts w:ascii="Times New Roman" w:hAnsi="Times New Roman"/>
          <w:sz w:val="28"/>
        </w:rPr>
      </w:pPr>
      <w:r>
        <w:rPr>
          <w:rFonts w:ascii="Times New Roman" w:hAnsi="Times New Roman"/>
          <w:sz w:val="28"/>
        </w:rPr>
        <w:t>（一）、依据</w:t>
      </w:r>
    </w:p>
    <w:p>
      <w:pPr>
        <w:spacing w:line="360" w:lineRule="auto"/>
        <w:ind w:firstLine="560" w:firstLineChars="200"/>
        <w:outlineLvl w:val="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本次制订中校准规范文本结构按照JJF 1071-2010《国家计量校准规范编写规则》的要求完成。其中不确定度评定部分按照JJF 1059.1-2012《测量不确定度评定与表示》要求完成。</w:t>
      </w:r>
    </w:p>
    <w:p>
      <w:pPr>
        <w:pStyle w:val="3"/>
        <w:spacing w:before="0" w:after="0"/>
        <w:rPr>
          <w:rFonts w:ascii="Times New Roman" w:hAnsi="Times New Roman"/>
          <w:sz w:val="28"/>
        </w:rPr>
      </w:pPr>
      <w:r>
        <w:rPr>
          <w:rFonts w:ascii="Times New Roman" w:hAnsi="Times New Roman"/>
          <w:sz w:val="28"/>
        </w:rPr>
        <w:t>（二）、原则</w:t>
      </w:r>
    </w:p>
    <w:p>
      <w:pPr>
        <w:spacing w:line="360" w:lineRule="auto"/>
        <w:rPr>
          <w:b/>
          <w:sz w:val="28"/>
        </w:rPr>
      </w:pPr>
      <w:r>
        <w:rPr>
          <w:b/>
          <w:sz w:val="28"/>
        </w:rPr>
        <w:t>1、架构</w:t>
      </w:r>
    </w:p>
    <w:p>
      <w:pPr>
        <w:spacing w:line="360" w:lineRule="auto"/>
        <w:rPr>
          <w:sz w:val="28"/>
        </w:rPr>
      </w:pPr>
      <w:r>
        <w:rPr>
          <w:sz w:val="28"/>
        </w:rPr>
        <w:tab/>
      </w:r>
      <w:r>
        <w:rPr>
          <w:rFonts w:hint="eastAsia" w:ascii="Times New Roman" w:hAnsi="Times New Roman" w:eastAsia="宋体" w:cs="Times New Roman"/>
          <w:sz w:val="28"/>
          <w:lang w:val="en-US" w:eastAsia="zh-CN"/>
        </w:rPr>
        <w:t>架构结构根据封面、扉页、目录、引言、范围、引用文件、术语和计量单位、概述、计量特性、校准条件、校准项目和校准方法、校准结果表达、复校间隔时间几个部分制定《生鲜乳体细胞检测仪校准规范》。</w:t>
      </w:r>
    </w:p>
    <w:p>
      <w:pPr>
        <w:spacing w:line="360" w:lineRule="auto"/>
        <w:rPr>
          <w:b/>
          <w:sz w:val="28"/>
        </w:rPr>
      </w:pPr>
      <w:r>
        <w:rPr>
          <w:b/>
          <w:sz w:val="28"/>
        </w:rPr>
        <w:t>2、术语与计量单位的选择</w:t>
      </w:r>
    </w:p>
    <w:p>
      <w:pPr>
        <w:spacing w:line="360" w:lineRule="auto"/>
        <w:ind w:firstLine="560" w:firstLineChars="200"/>
        <w:rPr>
          <w:sz w:val="28"/>
        </w:rPr>
      </w:pPr>
      <w:r>
        <w:rPr>
          <w:rFonts w:hint="eastAsia" w:ascii="Times New Roman" w:hAnsi="Times New Roman" w:eastAsia="宋体" w:cs="Times New Roman"/>
          <w:sz w:val="28"/>
          <w:lang w:val="en-US" w:eastAsia="zh-CN"/>
        </w:rPr>
        <w:t>术语和计量单位的选择遵照JJF1001-2011《通用计量术语及定义》及JJF 1265-2010《生物计量术语及定义》选择使用。</w:t>
      </w:r>
    </w:p>
    <w:p>
      <w:pPr>
        <w:spacing w:line="360" w:lineRule="auto"/>
        <w:rPr>
          <w:b/>
          <w:sz w:val="28"/>
        </w:rPr>
      </w:pPr>
      <w:r>
        <w:rPr>
          <w:b/>
          <w:sz w:val="28"/>
        </w:rPr>
        <w:t>3、计量特性确定原则</w:t>
      </w:r>
    </w:p>
    <w:p>
      <w:pPr>
        <w:spacing w:line="360" w:lineRule="auto"/>
        <w:ind w:firstLine="560" w:firstLineChars="200"/>
        <w:outlineLvl w:val="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根据生鲜乳体细胞检测仪的结构及特点，确定生鲜乳体细胞检测仪校准的计量特性；计量特性确定过程中也参照了现行有效的中华人民共和国农业部发布标准NY/T 800-2004 《生鲜牛乳中体细胞测定方法》及国家计量技术规范JJG 714-2012 《血细胞分析仪》检定规程。</w:t>
      </w:r>
    </w:p>
    <w:p>
      <w:pPr>
        <w:spacing w:line="360" w:lineRule="auto"/>
        <w:outlineLvl w:val="0"/>
        <w:rPr>
          <w:rFonts w:eastAsia="黑体"/>
          <w:sz w:val="28"/>
        </w:rPr>
      </w:pPr>
      <w:r>
        <w:rPr>
          <w:rFonts w:eastAsia="黑体"/>
          <w:sz w:val="28"/>
        </w:rPr>
        <w:t>五、规范制定说明</w:t>
      </w:r>
    </w:p>
    <w:p>
      <w:pPr>
        <w:spacing w:line="360" w:lineRule="auto"/>
        <w:ind w:firstLine="560" w:firstLineChars="200"/>
        <w:outlineLvl w:val="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《生鲜乳体细胞检测仪校准规范》共分为10个部分，即范围、引用文件、术语和计量单位、概述、计量特性、校准条件、校准项目和校准方法、校准结果表达、复校时间间隔和附录。</w:t>
      </w:r>
    </w:p>
    <w:p>
      <w:pPr>
        <w:pStyle w:val="3"/>
        <w:spacing w:before="0" w:after="0"/>
        <w:rPr>
          <w:rFonts w:hint="eastAsia" w:ascii="Times New Roman" w:hAnsi="Times New Roman"/>
          <w:sz w:val="28"/>
          <w:lang w:eastAsia="zh-CN"/>
        </w:rPr>
      </w:pPr>
      <w:r>
        <w:rPr>
          <w:rFonts w:ascii="Times New Roman" w:hAnsi="Times New Roman"/>
          <w:sz w:val="28"/>
        </w:rPr>
        <w:t>1、范围</w:t>
      </w:r>
    </w:p>
    <w:p>
      <w:pPr>
        <w:spacing w:line="360" w:lineRule="auto"/>
        <w:ind w:firstLine="560" w:firstLineChars="200"/>
        <w:outlineLvl w:val="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本规范适用于电子粒子计数法、荧光光电计数法及计算机视觉镜检法等原理的体细胞检测仪的校准。其它原理的体细胞检测仪，可参照本规范执行。</w:t>
      </w:r>
    </w:p>
    <w:p>
      <w:pPr>
        <w:pStyle w:val="3"/>
        <w:spacing w:before="0" w:after="0"/>
        <w:rPr>
          <w:rFonts w:ascii="Times New Roman" w:hAnsi="Times New Roman"/>
          <w:sz w:val="28"/>
        </w:rPr>
      </w:pPr>
      <w:r>
        <w:rPr>
          <w:rFonts w:ascii="Times New Roman" w:hAnsi="Times New Roman"/>
          <w:sz w:val="28"/>
        </w:rPr>
        <w:t>2、引用文献</w:t>
      </w:r>
    </w:p>
    <w:p>
      <w:pPr>
        <w:ind w:firstLine="560" w:firstLineChars="200"/>
        <w:rPr>
          <w:sz w:val="28"/>
          <w:szCs w:val="28"/>
        </w:rPr>
      </w:pPr>
      <w:r>
        <w:rPr>
          <w:rFonts w:hint="eastAsia" w:ascii="Times New Roman" w:hAnsi="Times New Roman" w:eastAsia="宋体" w:cs="Times New Roman"/>
          <w:sz w:val="28"/>
          <w:lang w:val="en-US" w:eastAsia="zh-CN"/>
        </w:rPr>
        <w:t>列出了本规范参考和引用的文件包括JJF 1001 通用计量术语及定义、JJF 1059.1 测量不确定度评定与表示、JJF 1071 国家计量校准规范编写规则、JJF 1265 生物计量术语及定义，凡是注日期的引用文件，仅注日期的版本适用于本规范，凡是不注日期的引用文件，其最新版本（包括所有的修订单）适用于本规范。</w:t>
      </w:r>
    </w:p>
    <w:p>
      <w:pPr>
        <w:pStyle w:val="3"/>
        <w:spacing w:before="0" w:after="0"/>
        <w:rPr>
          <w:rFonts w:ascii="Times New Roman" w:hAnsi="Times New Roman"/>
          <w:sz w:val="28"/>
        </w:rPr>
      </w:pPr>
      <w:r>
        <w:rPr>
          <w:rFonts w:ascii="Times New Roman" w:hAnsi="Times New Roman"/>
          <w:sz w:val="28"/>
        </w:rPr>
        <w:t>3、术语和计量单位</w:t>
      </w:r>
    </w:p>
    <w:p>
      <w:pPr>
        <w:spacing w:line="360" w:lineRule="auto"/>
        <w:ind w:firstLine="560" w:firstLineChars="200"/>
        <w:outlineLvl w:val="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JJF 1001及JJF 1265 界定的术语和定义适用于本规范。</w:t>
      </w:r>
    </w:p>
    <w:p>
      <w:pPr>
        <w:spacing w:line="360" w:lineRule="auto"/>
        <w:ind w:firstLine="560" w:firstLineChars="200"/>
        <w:outlineLvl w:val="0"/>
        <w:rPr>
          <w:sz w:val="28"/>
          <w:szCs w:val="28"/>
        </w:rPr>
      </w:pPr>
      <w:r>
        <w:rPr>
          <w:rFonts w:hint="eastAsia" w:ascii="Times New Roman" w:hAnsi="Times New Roman" w:eastAsia="宋体" w:cs="Times New Roman"/>
          <w:sz w:val="28"/>
          <w:lang w:val="en-US" w:eastAsia="zh-CN"/>
        </w:rPr>
        <w:t>本规范没有需要特殊标注的术语及计量单位。</w:t>
      </w:r>
    </w:p>
    <w:p>
      <w:pPr>
        <w:pStyle w:val="3"/>
        <w:spacing w:before="0" w:after="0"/>
        <w:rPr>
          <w:rFonts w:ascii="Times New Roman" w:hAnsi="Times New Roman"/>
          <w:sz w:val="28"/>
        </w:rPr>
      </w:pPr>
      <w:r>
        <w:rPr>
          <w:rFonts w:ascii="Times New Roman" w:hAnsi="Times New Roman"/>
          <w:sz w:val="28"/>
        </w:rPr>
        <w:t>4、概述</w:t>
      </w:r>
    </w:p>
    <w:p>
      <w:pPr>
        <w:spacing w:line="360" w:lineRule="auto"/>
        <w:ind w:firstLine="560" w:firstLineChars="200"/>
        <w:outlineLvl w:val="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这部分主要描述了生鲜乳体细胞检测仪的用途及仪器依据的主要方法原理。</w:t>
      </w:r>
    </w:p>
    <w:p>
      <w:pPr>
        <w:pStyle w:val="3"/>
        <w:spacing w:before="0" w:after="0"/>
        <w:rPr>
          <w:rFonts w:ascii="Times New Roman" w:hAnsi="Times New Roman"/>
          <w:sz w:val="28"/>
        </w:rPr>
      </w:pPr>
      <w:r>
        <w:rPr>
          <w:rFonts w:ascii="Times New Roman" w:hAnsi="Times New Roman"/>
          <w:sz w:val="28"/>
        </w:rPr>
        <w:t>5、计量特性</w:t>
      </w:r>
    </w:p>
    <w:p>
      <w:pPr>
        <w:ind w:firstLine="560" w:firstLineChars="200"/>
        <w:rPr>
          <w:sz w:val="28"/>
          <w:szCs w:val="28"/>
        </w:rPr>
      </w:pPr>
      <w:r>
        <w:rPr>
          <w:rFonts w:hint="eastAsia" w:ascii="Times New Roman" w:hAnsi="Times New Roman" w:eastAsia="宋体" w:cs="Times New Roman"/>
          <w:sz w:val="28"/>
          <w:lang w:val="en-US" w:eastAsia="zh-CN"/>
        </w:rPr>
        <w:t>这部分规定了生鲜乳体细胞检测仪的计量特性，通过对生产厂家和用户的调研，选择了相对示值误差、重复性和携带污染率。</w:t>
      </w:r>
    </w:p>
    <w:p>
      <w:pPr>
        <w:pStyle w:val="3"/>
        <w:spacing w:before="0" w:after="0"/>
        <w:rPr>
          <w:rFonts w:ascii="Times New Roman" w:hAnsi="Times New Roman"/>
          <w:sz w:val="28"/>
        </w:rPr>
      </w:pPr>
      <w:r>
        <w:rPr>
          <w:rFonts w:ascii="Times New Roman" w:hAnsi="Times New Roman"/>
          <w:sz w:val="28"/>
        </w:rPr>
        <w:t>6、校准条件</w:t>
      </w:r>
    </w:p>
    <w:p>
      <w:pPr>
        <w:ind w:firstLine="560" w:firstLineChars="200"/>
        <w:rPr>
          <w:sz w:val="28"/>
          <w:szCs w:val="28"/>
        </w:rPr>
      </w:pPr>
      <w:r>
        <w:rPr>
          <w:sz w:val="28"/>
          <w:szCs w:val="28"/>
        </w:rPr>
        <w:t>这部分主要规定了</w:t>
      </w:r>
      <w:r>
        <w:rPr>
          <w:rFonts w:hint="eastAsia"/>
          <w:sz w:val="28"/>
          <w:lang w:val="en-US" w:eastAsia="zh-CN"/>
        </w:rPr>
        <w:t>生鲜乳体细胞检测仪</w:t>
      </w:r>
      <w:r>
        <w:rPr>
          <w:sz w:val="28"/>
          <w:szCs w:val="28"/>
        </w:rPr>
        <w:t>校准时需要满足的环境条件，以及使用的</w:t>
      </w:r>
      <w:r>
        <w:rPr>
          <w:rFonts w:hint="eastAsia"/>
          <w:sz w:val="28"/>
          <w:szCs w:val="28"/>
          <w:lang w:val="en-US" w:eastAsia="zh-CN"/>
        </w:rPr>
        <w:t>测量标准及仪器设备</w:t>
      </w:r>
      <w:r>
        <w:rPr>
          <w:sz w:val="28"/>
          <w:szCs w:val="28"/>
        </w:rPr>
        <w:t>。</w:t>
      </w:r>
    </w:p>
    <w:p>
      <w:pPr>
        <w:spacing w:line="360" w:lineRule="auto"/>
        <w:ind w:firstLine="560" w:firstLineChars="200"/>
        <w:outlineLvl w:val="0"/>
        <w:rPr>
          <w:rFonts w:hint="default"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校准环境需满足环境温度：（15～3</w:t>
      </w:r>
      <w:r>
        <w:rPr>
          <w:rFonts w:hint="eastAsia" w:cs="Times New Roman"/>
          <w:sz w:val="28"/>
          <w:lang w:val="en-US" w:eastAsia="zh-CN"/>
        </w:rPr>
        <w:t>5</w:t>
      </w:r>
      <w:bookmarkStart w:id="0" w:name="_GoBack"/>
      <w:bookmarkEnd w:id="0"/>
      <w:r>
        <w:rPr>
          <w:rFonts w:hint="eastAsia" w:ascii="Times New Roman" w:hAnsi="Times New Roman" w:eastAsia="宋体" w:cs="Times New Roman"/>
          <w:sz w:val="28"/>
          <w:lang w:val="en-US" w:eastAsia="zh-CN"/>
        </w:rPr>
        <w:t>）℃，相对湿度：≤80%。校准使用的测量标准有证标准物质，需使用覆盖仪器测量范围的不同浓度生鲜乳体细胞数标准物质，相对扩展不确定度≤15%（k＝2）。使用到的主要仪器设备为水浴锅，需满足恒温40℃</w:t>
      </w:r>
      <m:oMath>
        <m:r>
          <m:rPr>
            <m:sty m:val="p"/>
          </m:rPr>
          <w:rPr>
            <w:rFonts w:hint="eastAsia" w:ascii="Cambria Math" w:hAnsi="Cambria Math" w:eastAsia="宋体" w:cs="Times New Roman"/>
            <w:sz w:val="28"/>
            <w:lang w:val="en-US" w:eastAsia="zh-CN"/>
          </w:rPr>
          <m:t>±</m:t>
        </m:r>
      </m:oMath>
      <w:r>
        <w:rPr>
          <w:rFonts w:hint="eastAsia" w:ascii="Times New Roman" w:hAnsi="Times New Roman" w:eastAsia="宋体" w:cs="Times New Roman"/>
          <w:sz w:val="28"/>
          <w:lang w:val="en-US" w:eastAsia="zh-CN"/>
        </w:rPr>
        <w:t>1℃。</w:t>
      </w:r>
    </w:p>
    <w:p>
      <w:pPr>
        <w:pStyle w:val="3"/>
        <w:spacing w:before="0" w:after="0"/>
        <w:rPr>
          <w:rFonts w:ascii="Times New Roman" w:hAnsi="Times New Roman"/>
          <w:sz w:val="28"/>
        </w:rPr>
      </w:pPr>
      <w:r>
        <w:rPr>
          <w:rFonts w:ascii="Times New Roman" w:hAnsi="Times New Roman"/>
          <w:sz w:val="28"/>
        </w:rPr>
        <w:t>7、校准项目和校准方法</w:t>
      </w:r>
    </w:p>
    <w:p>
      <w:pPr>
        <w:ind w:firstLine="560" w:firstLineChars="200"/>
        <w:rPr>
          <w:sz w:val="28"/>
          <w:szCs w:val="28"/>
        </w:rPr>
      </w:pPr>
      <w:r>
        <w:rPr>
          <w:rFonts w:hint="eastAsia" w:ascii="Times New Roman" w:hAnsi="Times New Roman" w:eastAsia="宋体" w:cs="Times New Roman"/>
          <w:sz w:val="28"/>
          <w:lang w:val="en-US" w:eastAsia="zh-CN"/>
        </w:rPr>
        <w:t>这部分主要针对生鲜乳体细胞检测仪针对具体校准指标：相对示值误差、重复性和携带污染率，对其校准方法进行了具体说明和数学公式化处理。</w:t>
      </w:r>
    </w:p>
    <w:p>
      <w:pPr>
        <w:pStyle w:val="3"/>
        <w:spacing w:before="0" w:after="0"/>
        <w:rPr>
          <w:rFonts w:ascii="Times New Roman" w:hAnsi="Times New Roman"/>
          <w:sz w:val="28"/>
        </w:rPr>
      </w:pPr>
      <w:r>
        <w:rPr>
          <w:rFonts w:ascii="Times New Roman" w:hAnsi="Times New Roman"/>
          <w:sz w:val="28"/>
        </w:rPr>
        <w:t>8、校准结果表达</w:t>
      </w:r>
    </w:p>
    <w:p>
      <w:pPr>
        <w:spacing w:line="360" w:lineRule="auto"/>
        <w:ind w:firstLine="560" w:firstLineChars="200"/>
        <w:outlineLvl w:val="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经过校准的生鲜乳体细胞检测仪出具校准证书，证书应符合JJF 1071-2010中5.12的要求，校准记录格式见附录A，校准证书内容见附录B。</w:t>
      </w:r>
    </w:p>
    <w:p>
      <w:pPr>
        <w:pStyle w:val="3"/>
        <w:spacing w:before="0" w:after="0"/>
        <w:rPr>
          <w:rFonts w:ascii="Times New Roman" w:hAnsi="Times New Roman"/>
          <w:sz w:val="28"/>
        </w:rPr>
      </w:pPr>
      <w:r>
        <w:rPr>
          <w:rFonts w:ascii="Times New Roman" w:hAnsi="Times New Roman"/>
          <w:sz w:val="28"/>
        </w:rPr>
        <w:t>9、复校时间间隔</w:t>
      </w:r>
    </w:p>
    <w:p>
      <w:pPr>
        <w:spacing w:line="360" w:lineRule="auto"/>
        <w:ind w:firstLine="560" w:firstLineChars="200"/>
        <w:outlineLvl w:val="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由于复校时间间隔的长短是由仪器的使用情况、使用者、仪器本身质量等诸因素所决定的，因此，送校单位可根据实际使用情况自主决定复校时间间隔，复校时间间隔建议不超过1年。</w:t>
      </w:r>
    </w:p>
    <w:p>
      <w:pPr>
        <w:pStyle w:val="3"/>
        <w:spacing w:before="0" w:after="0"/>
        <w:rPr>
          <w:rFonts w:ascii="Times New Roman" w:hAnsi="Times New Roman"/>
          <w:sz w:val="28"/>
        </w:rPr>
      </w:pPr>
      <w:r>
        <w:rPr>
          <w:rFonts w:ascii="Times New Roman" w:hAnsi="Times New Roman"/>
          <w:sz w:val="28"/>
        </w:rPr>
        <w:t>10、附录</w:t>
      </w:r>
    </w:p>
    <w:p>
      <w:pPr>
        <w:spacing w:line="360" w:lineRule="auto"/>
        <w:ind w:firstLine="560" w:firstLineChars="200"/>
        <w:outlineLvl w:val="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征求意见稿中附录A和附录B给出了校准记录和校准证书的内容，附录C给出了测量结果不确定度评定示例。</w:t>
      </w:r>
    </w:p>
    <w:p>
      <w:pPr>
        <w:spacing w:line="360" w:lineRule="auto"/>
        <w:ind w:firstLine="420"/>
        <w:jc w:val="right"/>
        <w:rPr>
          <w:sz w:val="28"/>
        </w:rPr>
      </w:pPr>
      <w:r>
        <w:rPr>
          <w:sz w:val="28"/>
        </w:rPr>
        <w:t>《</w:t>
      </w:r>
      <w:r>
        <w:rPr>
          <w:rFonts w:hint="eastAsia"/>
          <w:sz w:val="28"/>
          <w:lang w:val="en-US" w:eastAsia="zh-CN"/>
        </w:rPr>
        <w:t>生鲜乳体细胞检测仪校准规范</w:t>
      </w:r>
      <w:r>
        <w:rPr>
          <w:sz w:val="28"/>
        </w:rPr>
        <w:t>》</w:t>
      </w:r>
      <w:r>
        <w:rPr>
          <w:rFonts w:hint="eastAsia"/>
          <w:sz w:val="28"/>
        </w:rPr>
        <w:t>国家校准</w:t>
      </w:r>
      <w:r>
        <w:rPr>
          <w:sz w:val="28"/>
        </w:rPr>
        <w:t>规范制定起草小组</w:t>
      </w:r>
    </w:p>
    <w:p>
      <w:pPr>
        <w:spacing w:line="360" w:lineRule="auto"/>
        <w:ind w:firstLine="420"/>
        <w:jc w:val="right"/>
        <w:rPr>
          <w:sz w:val="28"/>
        </w:rPr>
      </w:pPr>
      <w:r>
        <w:rPr>
          <w:sz w:val="28"/>
        </w:rPr>
        <w:t>20</w:t>
      </w:r>
      <w:r>
        <w:rPr>
          <w:rFonts w:hint="eastAsia"/>
          <w:sz w:val="28"/>
        </w:rPr>
        <w:t>2</w:t>
      </w:r>
      <w:r>
        <w:rPr>
          <w:rFonts w:hint="eastAsia"/>
          <w:sz w:val="28"/>
          <w:lang w:val="en-US" w:eastAsia="zh-CN"/>
        </w:rPr>
        <w:t>2</w:t>
      </w:r>
      <w:r>
        <w:rPr>
          <w:sz w:val="28"/>
        </w:rPr>
        <w:t>年</w:t>
      </w:r>
      <w:r>
        <w:rPr>
          <w:rFonts w:hint="eastAsia"/>
          <w:sz w:val="28"/>
          <w:lang w:val="en-US" w:eastAsia="zh-CN"/>
        </w:rPr>
        <w:t>9</w:t>
      </w:r>
      <w:r>
        <w:rPr>
          <w:sz w:val="28"/>
        </w:rPr>
        <w:t>月</w:t>
      </w:r>
    </w:p>
    <w:p>
      <w:pPr>
        <w:spacing w:line="360" w:lineRule="auto"/>
        <w:outlineLvl w:val="0"/>
        <w:rPr>
          <w:rFonts w:eastAsia="黑体"/>
          <w:b/>
          <w:sz w:val="28"/>
        </w:rPr>
      </w:pPr>
      <w:r>
        <w:rPr>
          <w:rFonts w:hint="eastAsia" w:eastAsia="黑体"/>
          <w:b/>
          <w:sz w:val="28"/>
        </w:rPr>
        <w:t>参考文献</w:t>
      </w:r>
    </w:p>
    <w:p>
      <w:pPr>
        <w:spacing w:line="360" w:lineRule="auto"/>
        <w:rPr>
          <w:rFonts w:hint="eastAsia"/>
          <w:sz w:val="28"/>
        </w:rPr>
      </w:pPr>
      <w:r>
        <w:rPr>
          <w:rFonts w:hint="eastAsia"/>
          <w:sz w:val="28"/>
        </w:rPr>
        <w:t xml:space="preserve">[1] </w:t>
      </w:r>
      <w:r>
        <w:rPr>
          <w:rFonts w:hint="eastAsia"/>
          <w:sz w:val="28"/>
          <w:lang w:val="en-US" w:eastAsia="zh-CN"/>
        </w:rPr>
        <w:t>NY/T 800-2004 生鲜牛乳中体细胞测定方法</w:t>
      </w:r>
    </w:p>
    <w:p>
      <w:pPr>
        <w:spacing w:line="360" w:lineRule="auto"/>
        <w:rPr>
          <w:rFonts w:hint="eastAsia" w:ascii="Times New Roman" w:hAnsi="Times New Roman" w:eastAsia="宋体" w:cs="Times New Roman"/>
          <w:sz w:val="28"/>
          <w:lang w:val="en-US" w:eastAsia="zh-CN"/>
        </w:rPr>
      </w:pPr>
      <w:r>
        <w:rPr>
          <w:rFonts w:hint="eastAsia"/>
          <w:sz w:val="28"/>
        </w:rPr>
        <w:t>[2]</w:t>
      </w:r>
      <w:r>
        <w:rPr>
          <w:rFonts w:hint="eastAsia"/>
          <w:sz w:val="28"/>
          <w:lang w:val="en-US" w:eastAsia="zh-CN"/>
        </w:rPr>
        <w:t xml:space="preserve"> </w:t>
      </w:r>
      <w:r>
        <w:rPr>
          <w:rFonts w:hint="eastAsia" w:ascii="Times New Roman" w:hAnsi="Times New Roman" w:eastAsia="宋体" w:cs="Times New Roman"/>
          <w:sz w:val="28"/>
          <w:lang w:val="en-US" w:eastAsia="zh-CN"/>
        </w:rPr>
        <w:t>JJG 714-2012 血细胞分析仪</w:t>
      </w:r>
    </w:p>
    <w:p>
      <w:pPr>
        <w:spacing w:line="360" w:lineRule="auto"/>
        <w:rPr>
          <w:rFonts w:hint="default" w:eastAsia="宋体"/>
          <w:sz w:val="28"/>
          <w:lang w:val="en-US" w:eastAsia="zh-CN"/>
        </w:rPr>
      </w:pPr>
      <w:r>
        <w:rPr>
          <w:rFonts w:hint="eastAsia"/>
          <w:sz w:val="28"/>
        </w:rPr>
        <w:t>[3]</w:t>
      </w:r>
      <w:r>
        <w:rPr>
          <w:rFonts w:hint="eastAsia"/>
          <w:sz w:val="28"/>
          <w:lang w:val="en-US" w:eastAsia="zh-CN"/>
        </w:rPr>
        <w:t xml:space="preserve"> 刘丑生，李丽丽，张胜利等. 奶牛生产性能测定及应用[M].北京：中国农业出版社，2016年.58-121.</w:t>
      </w:r>
    </w:p>
    <w:p>
      <w:pPr>
        <w:spacing w:line="360" w:lineRule="auto"/>
        <w:rPr>
          <w:rFonts w:hint="eastAsia"/>
          <w:sz w:val="28"/>
        </w:rPr>
      </w:pPr>
      <w:r>
        <w:rPr>
          <w:rFonts w:hint="eastAsia"/>
          <w:sz w:val="28"/>
        </w:rPr>
        <w:t>[4]</w:t>
      </w:r>
      <w:r>
        <w:rPr>
          <w:rFonts w:hint="eastAsia"/>
          <w:sz w:val="28"/>
          <w:lang w:val="en-US" w:eastAsia="zh-CN"/>
        </w:rPr>
        <w:t xml:space="preserve"> </w:t>
      </w:r>
      <w:r>
        <w:rPr>
          <w:rFonts w:hint="eastAsia"/>
          <w:sz w:val="28"/>
        </w:rPr>
        <w:t>王玲玲, DHI在奶牛生产中的应用[J]. 现代畜牧兽医, 2011(9): 27-29.</w:t>
      </w:r>
    </w:p>
    <w:p>
      <w:pPr>
        <w:spacing w:line="360" w:lineRule="auto"/>
        <w:rPr>
          <w:rFonts w:hint="eastAsia"/>
          <w:sz w:val="28"/>
        </w:rPr>
      </w:pPr>
      <w:r>
        <w:rPr>
          <w:rFonts w:hint="eastAsia"/>
          <w:sz w:val="28"/>
        </w:rPr>
        <w:t>[5] 肖西山, DHI在奶牛生产中的应用[J]. 北京农业职业学院学报, 2013. 27(6): 22-25.</w:t>
      </w:r>
    </w:p>
    <w:p>
      <w:pPr>
        <w:spacing w:line="360" w:lineRule="auto"/>
        <w:rPr>
          <w:sz w:val="28"/>
        </w:rPr>
      </w:pPr>
      <w:r>
        <w:rPr>
          <w:rFonts w:hint="eastAsia"/>
          <w:sz w:val="28"/>
        </w:rPr>
        <w:t>[6]</w:t>
      </w:r>
      <w:r>
        <w:rPr>
          <w:sz w:val="28"/>
        </w:rPr>
        <w:t xml:space="preserve"> Murphy, S.C., et al., Influence of raw milk quality on processed dairy products: How do raw milk quality test results relate to product quality and yield</w:t>
      </w:r>
      <w:r>
        <w:rPr>
          <w:rFonts w:hint="eastAsia"/>
          <w:sz w:val="28"/>
          <w:lang w:val="en-US" w:eastAsia="zh-CN"/>
        </w:rPr>
        <w:t>[J]</w:t>
      </w:r>
      <w:r>
        <w:rPr>
          <w:sz w:val="28"/>
        </w:rPr>
        <w:t xml:space="preserve"> J Dairy Sci, 2016. 99(12): 10128-10149.</w:t>
      </w:r>
    </w:p>
    <w:p>
      <w:pPr>
        <w:spacing w:line="360" w:lineRule="auto"/>
        <w:rPr>
          <w:rFonts w:hint="eastAsia"/>
          <w:sz w:val="28"/>
        </w:rPr>
      </w:pPr>
      <w:r>
        <w:rPr>
          <w:rFonts w:hint="eastAsia"/>
          <w:sz w:val="28"/>
        </w:rPr>
        <w:t>[</w:t>
      </w:r>
      <w:r>
        <w:rPr>
          <w:sz w:val="28"/>
        </w:rPr>
        <w:t>7</w:t>
      </w:r>
      <w:r>
        <w:rPr>
          <w:rFonts w:hint="eastAsia"/>
          <w:sz w:val="28"/>
        </w:rPr>
        <w:t>]</w:t>
      </w:r>
      <w:r>
        <w:rPr>
          <w:rFonts w:hint="eastAsia"/>
          <w:sz w:val="28"/>
        </w:rPr>
        <w:tab/>
      </w:r>
      <w:r>
        <w:rPr>
          <w:rFonts w:hint="eastAsia"/>
          <w:sz w:val="28"/>
        </w:rPr>
        <w:t>赵春娟，赫彩霞，高文惠, 牛奶体细胞数检测方法的研究进展[J]. 中国奶牛, 2014(13): 39-43.</w:t>
      </w:r>
    </w:p>
    <w:p>
      <w:pPr>
        <w:spacing w:line="360" w:lineRule="auto"/>
        <w:rPr>
          <w:rFonts w:hint="eastAsia"/>
          <w:sz w:val="28"/>
        </w:rPr>
      </w:pPr>
      <w:r>
        <w:rPr>
          <w:rFonts w:hint="eastAsia"/>
          <w:sz w:val="28"/>
        </w:rPr>
        <w:t>[</w:t>
      </w:r>
      <w:r>
        <w:rPr>
          <w:sz w:val="28"/>
        </w:rPr>
        <w:t>8</w:t>
      </w:r>
      <w:r>
        <w:rPr>
          <w:rFonts w:hint="eastAsia"/>
          <w:sz w:val="28"/>
        </w:rPr>
        <w:t>]</w:t>
      </w:r>
      <w:r>
        <w:rPr>
          <w:sz w:val="28"/>
        </w:rPr>
        <w:t xml:space="preserve"> </w:t>
      </w:r>
      <w:r>
        <w:rPr>
          <w:rFonts w:hint="eastAsia"/>
          <w:sz w:val="28"/>
        </w:rPr>
        <w:t>付天骄，田雨，管勇佳，姜瞻梅，田波, 生乳体细胞数检测方法的研究[J]. 中国乳品工业, 2012. 40(7): 57-59.</w:t>
      </w:r>
    </w:p>
    <w:p>
      <w:pPr>
        <w:spacing w:line="360" w:lineRule="auto"/>
        <w:rPr>
          <w:rFonts w:hint="eastAsia"/>
          <w:sz w:val="28"/>
        </w:rPr>
      </w:pPr>
      <w:r>
        <w:rPr>
          <w:rFonts w:hint="eastAsia"/>
          <w:sz w:val="28"/>
          <w:lang w:val="en-US" w:eastAsia="zh-CN"/>
        </w:rPr>
        <w:t xml:space="preserve">[9] </w:t>
      </w:r>
      <w:r>
        <w:rPr>
          <w:rFonts w:hint="eastAsia"/>
          <w:sz w:val="28"/>
        </w:rPr>
        <w:t>Koess, C. and J. Hamann, Detection of mastitis in the bovine mammary gland by flow cytometry at early stages</w:t>
      </w:r>
      <w:r>
        <w:rPr>
          <w:rFonts w:hint="eastAsia"/>
          <w:sz w:val="28"/>
          <w:lang w:val="en-US" w:eastAsia="zh-CN"/>
        </w:rPr>
        <w:t xml:space="preserve"> [J]</w:t>
      </w:r>
      <w:r>
        <w:rPr>
          <w:rFonts w:hint="eastAsia"/>
          <w:sz w:val="28"/>
        </w:rPr>
        <w:t>. Journal of Dairy Research, 2008. 75(2):225.</w:t>
      </w:r>
    </w:p>
    <w:p>
      <w:pPr>
        <w:spacing w:line="360" w:lineRule="auto"/>
        <w:rPr>
          <w:rFonts w:hint="eastAsia"/>
          <w:sz w:val="28"/>
        </w:rPr>
      </w:pPr>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sz w:val="22"/>
        <w:szCs w:val="22"/>
      </w:rPr>
    </w:pPr>
    <w:r>
      <w:rPr>
        <w:rFonts w:hint="eastAsia"/>
        <w:sz w:val="22"/>
        <w:szCs w:val="22"/>
      </w:rPr>
      <w:t>《生鲜乳体细胞检测仪校准规范》编制说明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4OTFkNGJiZjQ2ZGEwZjA2ZDc5NTgzMWFmNjFjM2EifQ=="/>
  </w:docVars>
  <w:rsids>
    <w:rsidRoot w:val="00172A27"/>
    <w:rsid w:val="00000D00"/>
    <w:rsid w:val="00010EDE"/>
    <w:rsid w:val="00012363"/>
    <w:rsid w:val="0001432D"/>
    <w:rsid w:val="00016FE3"/>
    <w:rsid w:val="000171B7"/>
    <w:rsid w:val="00035BA5"/>
    <w:rsid w:val="00056FE0"/>
    <w:rsid w:val="00063C1A"/>
    <w:rsid w:val="000664FE"/>
    <w:rsid w:val="00066B98"/>
    <w:rsid w:val="00074FC3"/>
    <w:rsid w:val="00084067"/>
    <w:rsid w:val="000869D4"/>
    <w:rsid w:val="00086F78"/>
    <w:rsid w:val="000912F5"/>
    <w:rsid w:val="0009253C"/>
    <w:rsid w:val="00094C05"/>
    <w:rsid w:val="0009707A"/>
    <w:rsid w:val="000A13AF"/>
    <w:rsid w:val="000A2699"/>
    <w:rsid w:val="000A410D"/>
    <w:rsid w:val="000A4476"/>
    <w:rsid w:val="000A54C0"/>
    <w:rsid w:val="000A73BB"/>
    <w:rsid w:val="000A770A"/>
    <w:rsid w:val="000B055A"/>
    <w:rsid w:val="000B1039"/>
    <w:rsid w:val="000B11EE"/>
    <w:rsid w:val="000D18AE"/>
    <w:rsid w:val="000D5F10"/>
    <w:rsid w:val="000D77C5"/>
    <w:rsid w:val="000E44C4"/>
    <w:rsid w:val="000F3281"/>
    <w:rsid w:val="001171EE"/>
    <w:rsid w:val="0012264D"/>
    <w:rsid w:val="001321D4"/>
    <w:rsid w:val="00133505"/>
    <w:rsid w:val="001535FA"/>
    <w:rsid w:val="00154721"/>
    <w:rsid w:val="001547A7"/>
    <w:rsid w:val="00160065"/>
    <w:rsid w:val="001612AD"/>
    <w:rsid w:val="001638BD"/>
    <w:rsid w:val="00166F7B"/>
    <w:rsid w:val="00166FFB"/>
    <w:rsid w:val="00167E02"/>
    <w:rsid w:val="00181AD3"/>
    <w:rsid w:val="001822C0"/>
    <w:rsid w:val="001823B1"/>
    <w:rsid w:val="00187860"/>
    <w:rsid w:val="001878DC"/>
    <w:rsid w:val="0019071F"/>
    <w:rsid w:val="00190D7C"/>
    <w:rsid w:val="001944A3"/>
    <w:rsid w:val="00195731"/>
    <w:rsid w:val="001A5F71"/>
    <w:rsid w:val="001B6BD6"/>
    <w:rsid w:val="001C69F5"/>
    <w:rsid w:val="001C72D1"/>
    <w:rsid w:val="001D071E"/>
    <w:rsid w:val="001D59A8"/>
    <w:rsid w:val="001D7DAD"/>
    <w:rsid w:val="001E2AB7"/>
    <w:rsid w:val="001E3D40"/>
    <w:rsid w:val="001E7E1C"/>
    <w:rsid w:val="001F3722"/>
    <w:rsid w:val="001F6CFC"/>
    <w:rsid w:val="00202E57"/>
    <w:rsid w:val="00213009"/>
    <w:rsid w:val="00221530"/>
    <w:rsid w:val="0022512D"/>
    <w:rsid w:val="002256C2"/>
    <w:rsid w:val="00231414"/>
    <w:rsid w:val="002325BB"/>
    <w:rsid w:val="00234F16"/>
    <w:rsid w:val="00241580"/>
    <w:rsid w:val="00242623"/>
    <w:rsid w:val="002450DF"/>
    <w:rsid w:val="002536C2"/>
    <w:rsid w:val="00264ED3"/>
    <w:rsid w:val="00281BF1"/>
    <w:rsid w:val="00291534"/>
    <w:rsid w:val="00292757"/>
    <w:rsid w:val="00295F3B"/>
    <w:rsid w:val="002973E3"/>
    <w:rsid w:val="002A0A90"/>
    <w:rsid w:val="002A4214"/>
    <w:rsid w:val="002B0C70"/>
    <w:rsid w:val="002B1F3B"/>
    <w:rsid w:val="002B2393"/>
    <w:rsid w:val="002B3A23"/>
    <w:rsid w:val="002C02E7"/>
    <w:rsid w:val="002D08B4"/>
    <w:rsid w:val="002D3A5D"/>
    <w:rsid w:val="002D3B64"/>
    <w:rsid w:val="002D3F14"/>
    <w:rsid w:val="002D4CF2"/>
    <w:rsid w:val="002D77C4"/>
    <w:rsid w:val="002E369F"/>
    <w:rsid w:val="003034AA"/>
    <w:rsid w:val="00315DEC"/>
    <w:rsid w:val="00316D47"/>
    <w:rsid w:val="00326035"/>
    <w:rsid w:val="00326204"/>
    <w:rsid w:val="00340B85"/>
    <w:rsid w:val="00346B9C"/>
    <w:rsid w:val="00351F3B"/>
    <w:rsid w:val="00352ED3"/>
    <w:rsid w:val="003554DB"/>
    <w:rsid w:val="00374C0A"/>
    <w:rsid w:val="003811EC"/>
    <w:rsid w:val="00386832"/>
    <w:rsid w:val="003A0011"/>
    <w:rsid w:val="003A2B6D"/>
    <w:rsid w:val="003A2F46"/>
    <w:rsid w:val="003A3419"/>
    <w:rsid w:val="003A6083"/>
    <w:rsid w:val="003B1602"/>
    <w:rsid w:val="003B4853"/>
    <w:rsid w:val="003B660E"/>
    <w:rsid w:val="003C796A"/>
    <w:rsid w:val="003D238B"/>
    <w:rsid w:val="003D40D4"/>
    <w:rsid w:val="003E5E95"/>
    <w:rsid w:val="003F23D0"/>
    <w:rsid w:val="003F72DF"/>
    <w:rsid w:val="003F73D6"/>
    <w:rsid w:val="0040722C"/>
    <w:rsid w:val="00434909"/>
    <w:rsid w:val="00441E20"/>
    <w:rsid w:val="004426CD"/>
    <w:rsid w:val="00443D6F"/>
    <w:rsid w:val="0045223B"/>
    <w:rsid w:val="00453CEB"/>
    <w:rsid w:val="004629C4"/>
    <w:rsid w:val="00464A7B"/>
    <w:rsid w:val="00465B00"/>
    <w:rsid w:val="004707BD"/>
    <w:rsid w:val="00474B86"/>
    <w:rsid w:val="00475928"/>
    <w:rsid w:val="00482309"/>
    <w:rsid w:val="00483977"/>
    <w:rsid w:val="00490F3E"/>
    <w:rsid w:val="00496D0E"/>
    <w:rsid w:val="004A3029"/>
    <w:rsid w:val="004A352C"/>
    <w:rsid w:val="004A6B40"/>
    <w:rsid w:val="004B3625"/>
    <w:rsid w:val="004B5A6E"/>
    <w:rsid w:val="004B7F17"/>
    <w:rsid w:val="004D4711"/>
    <w:rsid w:val="004D7BB7"/>
    <w:rsid w:val="004F626D"/>
    <w:rsid w:val="005051EB"/>
    <w:rsid w:val="00516838"/>
    <w:rsid w:val="00524B05"/>
    <w:rsid w:val="00527BD5"/>
    <w:rsid w:val="00532FB7"/>
    <w:rsid w:val="00533BCF"/>
    <w:rsid w:val="00544E37"/>
    <w:rsid w:val="00546EEA"/>
    <w:rsid w:val="0056018B"/>
    <w:rsid w:val="00561FB5"/>
    <w:rsid w:val="00562711"/>
    <w:rsid w:val="0057044D"/>
    <w:rsid w:val="00573DDF"/>
    <w:rsid w:val="005747EB"/>
    <w:rsid w:val="00576E8B"/>
    <w:rsid w:val="00585058"/>
    <w:rsid w:val="00595425"/>
    <w:rsid w:val="005A1ABE"/>
    <w:rsid w:val="005A270B"/>
    <w:rsid w:val="005A3D17"/>
    <w:rsid w:val="005B3CD7"/>
    <w:rsid w:val="005B3D85"/>
    <w:rsid w:val="005B7C93"/>
    <w:rsid w:val="005C0B45"/>
    <w:rsid w:val="005C4B1F"/>
    <w:rsid w:val="005D186B"/>
    <w:rsid w:val="005D287B"/>
    <w:rsid w:val="005D5AF7"/>
    <w:rsid w:val="006179C5"/>
    <w:rsid w:val="00630D75"/>
    <w:rsid w:val="00635973"/>
    <w:rsid w:val="00641A8B"/>
    <w:rsid w:val="00643BAF"/>
    <w:rsid w:val="00645B39"/>
    <w:rsid w:val="006477F8"/>
    <w:rsid w:val="0065413E"/>
    <w:rsid w:val="006653C3"/>
    <w:rsid w:val="00675F5B"/>
    <w:rsid w:val="00680311"/>
    <w:rsid w:val="006932C6"/>
    <w:rsid w:val="006953D7"/>
    <w:rsid w:val="006A7924"/>
    <w:rsid w:val="006B1895"/>
    <w:rsid w:val="006B32E0"/>
    <w:rsid w:val="006B3A07"/>
    <w:rsid w:val="006C10CD"/>
    <w:rsid w:val="006C362B"/>
    <w:rsid w:val="006C42A0"/>
    <w:rsid w:val="006D3896"/>
    <w:rsid w:val="006D4647"/>
    <w:rsid w:val="0071076D"/>
    <w:rsid w:val="00717DAE"/>
    <w:rsid w:val="007256DB"/>
    <w:rsid w:val="0072690A"/>
    <w:rsid w:val="0072700B"/>
    <w:rsid w:val="007344D2"/>
    <w:rsid w:val="00734E8E"/>
    <w:rsid w:val="00757915"/>
    <w:rsid w:val="00761545"/>
    <w:rsid w:val="00762EB1"/>
    <w:rsid w:val="007675FE"/>
    <w:rsid w:val="007677D9"/>
    <w:rsid w:val="00777D8A"/>
    <w:rsid w:val="007A6243"/>
    <w:rsid w:val="007C3ACD"/>
    <w:rsid w:val="007D28B7"/>
    <w:rsid w:val="007E5F72"/>
    <w:rsid w:val="007E7EE2"/>
    <w:rsid w:val="007F3369"/>
    <w:rsid w:val="007F51BB"/>
    <w:rsid w:val="007F748C"/>
    <w:rsid w:val="007F7E64"/>
    <w:rsid w:val="00801E1B"/>
    <w:rsid w:val="00802F2D"/>
    <w:rsid w:val="0081381F"/>
    <w:rsid w:val="00814BD2"/>
    <w:rsid w:val="00830B0F"/>
    <w:rsid w:val="008354A5"/>
    <w:rsid w:val="00836DC6"/>
    <w:rsid w:val="00837020"/>
    <w:rsid w:val="00837EBD"/>
    <w:rsid w:val="008432C6"/>
    <w:rsid w:val="0084646C"/>
    <w:rsid w:val="00846860"/>
    <w:rsid w:val="00855D81"/>
    <w:rsid w:val="00866395"/>
    <w:rsid w:val="0087516E"/>
    <w:rsid w:val="00875F28"/>
    <w:rsid w:val="00877577"/>
    <w:rsid w:val="0088312B"/>
    <w:rsid w:val="00884429"/>
    <w:rsid w:val="00884CD5"/>
    <w:rsid w:val="00885821"/>
    <w:rsid w:val="00890C88"/>
    <w:rsid w:val="00893DE0"/>
    <w:rsid w:val="008A0D81"/>
    <w:rsid w:val="008A1609"/>
    <w:rsid w:val="008A6065"/>
    <w:rsid w:val="008A6C67"/>
    <w:rsid w:val="008A7277"/>
    <w:rsid w:val="008B6C61"/>
    <w:rsid w:val="008C3EF9"/>
    <w:rsid w:val="008C71A6"/>
    <w:rsid w:val="008D1DFB"/>
    <w:rsid w:val="008D38F9"/>
    <w:rsid w:val="008D3C9A"/>
    <w:rsid w:val="008D550F"/>
    <w:rsid w:val="008E06B1"/>
    <w:rsid w:val="008E2FF5"/>
    <w:rsid w:val="008E30F4"/>
    <w:rsid w:val="008E3778"/>
    <w:rsid w:val="008E49CA"/>
    <w:rsid w:val="008E4B86"/>
    <w:rsid w:val="008E6BF8"/>
    <w:rsid w:val="008E75F3"/>
    <w:rsid w:val="008E7AD8"/>
    <w:rsid w:val="008F0B1E"/>
    <w:rsid w:val="008F609E"/>
    <w:rsid w:val="008F7BEE"/>
    <w:rsid w:val="00902197"/>
    <w:rsid w:val="00915FE4"/>
    <w:rsid w:val="00916CFD"/>
    <w:rsid w:val="009301AE"/>
    <w:rsid w:val="00930399"/>
    <w:rsid w:val="00936BCD"/>
    <w:rsid w:val="00936D36"/>
    <w:rsid w:val="00945E92"/>
    <w:rsid w:val="009549C9"/>
    <w:rsid w:val="009665B6"/>
    <w:rsid w:val="00983CFA"/>
    <w:rsid w:val="009925A9"/>
    <w:rsid w:val="00996353"/>
    <w:rsid w:val="009A6D8C"/>
    <w:rsid w:val="009A73F5"/>
    <w:rsid w:val="009C25F4"/>
    <w:rsid w:val="009C7DE6"/>
    <w:rsid w:val="009D1269"/>
    <w:rsid w:val="009D69EE"/>
    <w:rsid w:val="009E1FFB"/>
    <w:rsid w:val="009E3E53"/>
    <w:rsid w:val="009F5FBC"/>
    <w:rsid w:val="00A0408A"/>
    <w:rsid w:val="00A058CD"/>
    <w:rsid w:val="00A07E56"/>
    <w:rsid w:val="00A10CA9"/>
    <w:rsid w:val="00A11838"/>
    <w:rsid w:val="00A16C87"/>
    <w:rsid w:val="00A178D7"/>
    <w:rsid w:val="00A22577"/>
    <w:rsid w:val="00A227CD"/>
    <w:rsid w:val="00A30CA6"/>
    <w:rsid w:val="00A30F1A"/>
    <w:rsid w:val="00A33588"/>
    <w:rsid w:val="00A4265B"/>
    <w:rsid w:val="00A438F9"/>
    <w:rsid w:val="00A46644"/>
    <w:rsid w:val="00A54ECE"/>
    <w:rsid w:val="00A867AE"/>
    <w:rsid w:val="00A92249"/>
    <w:rsid w:val="00A94276"/>
    <w:rsid w:val="00AB2D3C"/>
    <w:rsid w:val="00AB6577"/>
    <w:rsid w:val="00AC574A"/>
    <w:rsid w:val="00AC5AFA"/>
    <w:rsid w:val="00AD35BA"/>
    <w:rsid w:val="00AE1663"/>
    <w:rsid w:val="00AE48A9"/>
    <w:rsid w:val="00AF1463"/>
    <w:rsid w:val="00AF2EA1"/>
    <w:rsid w:val="00AF453D"/>
    <w:rsid w:val="00B10984"/>
    <w:rsid w:val="00B116E0"/>
    <w:rsid w:val="00B119E4"/>
    <w:rsid w:val="00B12335"/>
    <w:rsid w:val="00B179C0"/>
    <w:rsid w:val="00B311DA"/>
    <w:rsid w:val="00B365BE"/>
    <w:rsid w:val="00B3770D"/>
    <w:rsid w:val="00B37D55"/>
    <w:rsid w:val="00B518CA"/>
    <w:rsid w:val="00B609C0"/>
    <w:rsid w:val="00B7010C"/>
    <w:rsid w:val="00B702CD"/>
    <w:rsid w:val="00B731B9"/>
    <w:rsid w:val="00B75007"/>
    <w:rsid w:val="00B81056"/>
    <w:rsid w:val="00B819ED"/>
    <w:rsid w:val="00B82465"/>
    <w:rsid w:val="00B838A8"/>
    <w:rsid w:val="00BA3DB0"/>
    <w:rsid w:val="00BA56C6"/>
    <w:rsid w:val="00BA7790"/>
    <w:rsid w:val="00BB1C12"/>
    <w:rsid w:val="00BB29AC"/>
    <w:rsid w:val="00BB7B8D"/>
    <w:rsid w:val="00BC156A"/>
    <w:rsid w:val="00BC7259"/>
    <w:rsid w:val="00BE2A7C"/>
    <w:rsid w:val="00BE76DE"/>
    <w:rsid w:val="00BF242F"/>
    <w:rsid w:val="00BF4C57"/>
    <w:rsid w:val="00C22DC6"/>
    <w:rsid w:val="00C25A84"/>
    <w:rsid w:val="00C26D66"/>
    <w:rsid w:val="00C357F1"/>
    <w:rsid w:val="00C52C80"/>
    <w:rsid w:val="00C54456"/>
    <w:rsid w:val="00C63A3E"/>
    <w:rsid w:val="00C71FB8"/>
    <w:rsid w:val="00C756EE"/>
    <w:rsid w:val="00C76967"/>
    <w:rsid w:val="00C76F6C"/>
    <w:rsid w:val="00C8784D"/>
    <w:rsid w:val="00C964FB"/>
    <w:rsid w:val="00CA1F91"/>
    <w:rsid w:val="00CB5023"/>
    <w:rsid w:val="00CB6FB5"/>
    <w:rsid w:val="00CB7015"/>
    <w:rsid w:val="00CC18B5"/>
    <w:rsid w:val="00CC384B"/>
    <w:rsid w:val="00CD474E"/>
    <w:rsid w:val="00CE4831"/>
    <w:rsid w:val="00CF255A"/>
    <w:rsid w:val="00CF3BC0"/>
    <w:rsid w:val="00CF538D"/>
    <w:rsid w:val="00D02A4E"/>
    <w:rsid w:val="00D04281"/>
    <w:rsid w:val="00D17C32"/>
    <w:rsid w:val="00D32CEC"/>
    <w:rsid w:val="00D334C9"/>
    <w:rsid w:val="00D33F09"/>
    <w:rsid w:val="00D474C0"/>
    <w:rsid w:val="00D549B1"/>
    <w:rsid w:val="00D56A85"/>
    <w:rsid w:val="00D57235"/>
    <w:rsid w:val="00D7639B"/>
    <w:rsid w:val="00D85C22"/>
    <w:rsid w:val="00D85C6D"/>
    <w:rsid w:val="00D877E1"/>
    <w:rsid w:val="00D90857"/>
    <w:rsid w:val="00D96B9A"/>
    <w:rsid w:val="00D97772"/>
    <w:rsid w:val="00D97BC5"/>
    <w:rsid w:val="00DB0546"/>
    <w:rsid w:val="00DB091F"/>
    <w:rsid w:val="00DB0B24"/>
    <w:rsid w:val="00DC15FA"/>
    <w:rsid w:val="00DD3746"/>
    <w:rsid w:val="00DD7FEA"/>
    <w:rsid w:val="00DE0324"/>
    <w:rsid w:val="00DE613D"/>
    <w:rsid w:val="00DF02E8"/>
    <w:rsid w:val="00DF0666"/>
    <w:rsid w:val="00DF2A1B"/>
    <w:rsid w:val="00DF6616"/>
    <w:rsid w:val="00E11A6B"/>
    <w:rsid w:val="00E1250D"/>
    <w:rsid w:val="00E129E6"/>
    <w:rsid w:val="00E16BFC"/>
    <w:rsid w:val="00E172AC"/>
    <w:rsid w:val="00E26AD5"/>
    <w:rsid w:val="00E33DCF"/>
    <w:rsid w:val="00E4094B"/>
    <w:rsid w:val="00E43314"/>
    <w:rsid w:val="00E4620D"/>
    <w:rsid w:val="00E47074"/>
    <w:rsid w:val="00E529D9"/>
    <w:rsid w:val="00E63052"/>
    <w:rsid w:val="00E74640"/>
    <w:rsid w:val="00E826B1"/>
    <w:rsid w:val="00E83B6A"/>
    <w:rsid w:val="00E912C6"/>
    <w:rsid w:val="00E95E77"/>
    <w:rsid w:val="00E968BA"/>
    <w:rsid w:val="00EA0626"/>
    <w:rsid w:val="00EA5A22"/>
    <w:rsid w:val="00EB1E08"/>
    <w:rsid w:val="00EB584C"/>
    <w:rsid w:val="00EB681A"/>
    <w:rsid w:val="00EC34F6"/>
    <w:rsid w:val="00EC519C"/>
    <w:rsid w:val="00EC5989"/>
    <w:rsid w:val="00EC5F2C"/>
    <w:rsid w:val="00EC6625"/>
    <w:rsid w:val="00EC6C6F"/>
    <w:rsid w:val="00ED302A"/>
    <w:rsid w:val="00ED3C9A"/>
    <w:rsid w:val="00EE2654"/>
    <w:rsid w:val="00EE5504"/>
    <w:rsid w:val="00EE62EF"/>
    <w:rsid w:val="00EF0A02"/>
    <w:rsid w:val="00EF5BD8"/>
    <w:rsid w:val="00EF6F38"/>
    <w:rsid w:val="00EF7201"/>
    <w:rsid w:val="00F022F9"/>
    <w:rsid w:val="00F11C4B"/>
    <w:rsid w:val="00F16139"/>
    <w:rsid w:val="00F201FE"/>
    <w:rsid w:val="00F23000"/>
    <w:rsid w:val="00F25707"/>
    <w:rsid w:val="00F27065"/>
    <w:rsid w:val="00F324CC"/>
    <w:rsid w:val="00F33A8A"/>
    <w:rsid w:val="00F40444"/>
    <w:rsid w:val="00F42709"/>
    <w:rsid w:val="00F469A0"/>
    <w:rsid w:val="00F47679"/>
    <w:rsid w:val="00F706BE"/>
    <w:rsid w:val="00F80A33"/>
    <w:rsid w:val="00F80C3C"/>
    <w:rsid w:val="00F92B3B"/>
    <w:rsid w:val="00FA3009"/>
    <w:rsid w:val="00FA3145"/>
    <w:rsid w:val="00FA5F36"/>
    <w:rsid w:val="00FB40D6"/>
    <w:rsid w:val="00FE1745"/>
    <w:rsid w:val="00FE3C5A"/>
    <w:rsid w:val="00FE4003"/>
    <w:rsid w:val="00FF4E43"/>
    <w:rsid w:val="00FF6189"/>
    <w:rsid w:val="00FF7A6E"/>
    <w:rsid w:val="02D22AD8"/>
    <w:rsid w:val="09F43820"/>
    <w:rsid w:val="11CD6485"/>
    <w:rsid w:val="233926EC"/>
    <w:rsid w:val="2E994631"/>
    <w:rsid w:val="3BD472CA"/>
    <w:rsid w:val="40AF4BCA"/>
    <w:rsid w:val="41F929C8"/>
    <w:rsid w:val="44C630C2"/>
    <w:rsid w:val="48FD4D32"/>
    <w:rsid w:val="796647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8">
    <w:name w:val="Default Paragraph Font"/>
    <w:uiPriority w:val="0"/>
  </w:style>
  <w:style w:type="table" w:default="1" w:styleId="16">
    <w:name w:val="Normal Table"/>
    <w:unhideWhenUsed/>
    <w:uiPriority w:val="99"/>
    <w:tblPr>
      <w:tblCellMar>
        <w:top w:w="0" w:type="dxa"/>
        <w:left w:w="108" w:type="dxa"/>
        <w:bottom w:w="0" w:type="dxa"/>
        <w:right w:w="108" w:type="dxa"/>
      </w:tblCellMar>
    </w:tblPr>
  </w:style>
  <w:style w:type="paragraph" w:styleId="5">
    <w:name w:val="Document Map"/>
    <w:basedOn w:val="1"/>
    <w:link w:val="23"/>
    <w:unhideWhenUsed/>
    <w:uiPriority w:val="99"/>
    <w:rPr>
      <w:rFonts w:ascii="宋体"/>
      <w:sz w:val="18"/>
      <w:szCs w:val="18"/>
    </w:rPr>
  </w:style>
  <w:style w:type="paragraph" w:styleId="6">
    <w:name w:val="annotation text"/>
    <w:basedOn w:val="1"/>
    <w:link w:val="24"/>
    <w:unhideWhenUsed/>
    <w:uiPriority w:val="99"/>
    <w:pPr>
      <w:jc w:val="left"/>
    </w:pPr>
  </w:style>
  <w:style w:type="paragraph" w:styleId="7">
    <w:name w:val="Plain Text"/>
    <w:basedOn w:val="1"/>
    <w:link w:val="25"/>
    <w:uiPriority w:val="0"/>
    <w:rPr>
      <w:rFonts w:ascii="宋体" w:hAnsi="Courier New"/>
    </w:rPr>
  </w:style>
  <w:style w:type="paragraph" w:styleId="8">
    <w:name w:val="Date"/>
    <w:basedOn w:val="1"/>
    <w:next w:val="1"/>
    <w:link w:val="26"/>
    <w:unhideWhenUsed/>
    <w:uiPriority w:val="99"/>
    <w:pPr>
      <w:ind w:left="100" w:leftChars="2500"/>
    </w:pPr>
  </w:style>
  <w:style w:type="paragraph" w:styleId="9">
    <w:name w:val="Balloon Text"/>
    <w:basedOn w:val="1"/>
    <w:link w:val="27"/>
    <w:unhideWhenUsed/>
    <w:uiPriority w:val="99"/>
    <w:rPr>
      <w:sz w:val="18"/>
      <w:szCs w:val="18"/>
    </w:rPr>
  </w:style>
  <w:style w:type="paragraph" w:styleId="10">
    <w:name w:val="footer"/>
    <w:basedOn w:val="1"/>
    <w:link w:val="28"/>
    <w:uiPriority w:val="0"/>
    <w:pPr>
      <w:tabs>
        <w:tab w:val="center" w:pos="4153"/>
        <w:tab w:val="right" w:pos="8306"/>
      </w:tabs>
      <w:snapToGrid w:val="0"/>
      <w:jc w:val="left"/>
    </w:pPr>
    <w:rPr>
      <w:sz w:val="18"/>
    </w:rPr>
  </w:style>
  <w:style w:type="paragraph" w:styleId="11">
    <w:name w:val="header"/>
    <w:basedOn w:val="1"/>
    <w:link w:val="29"/>
    <w:uiPriority w:val="0"/>
    <w:pPr>
      <w:pBdr>
        <w:bottom w:val="single" w:color="auto" w:sz="6" w:space="1"/>
      </w:pBdr>
      <w:tabs>
        <w:tab w:val="center" w:pos="4153"/>
        <w:tab w:val="right" w:pos="8306"/>
      </w:tabs>
      <w:snapToGrid w:val="0"/>
      <w:jc w:val="center"/>
    </w:pPr>
    <w:rPr>
      <w:sz w:val="18"/>
    </w:rPr>
  </w:style>
  <w:style w:type="paragraph" w:styleId="12">
    <w:name w:val="Subtitle"/>
    <w:basedOn w:val="1"/>
    <w:next w:val="1"/>
    <w:link w:val="30"/>
    <w:qFormat/>
    <w:uiPriority w:val="11"/>
    <w:pPr>
      <w:spacing w:before="240" w:after="60" w:line="312" w:lineRule="auto"/>
      <w:jc w:val="left"/>
      <w:outlineLvl w:val="1"/>
    </w:pPr>
    <w:rPr>
      <w:rFonts w:ascii="Cambria" w:hAnsi="Cambria"/>
      <w:b/>
      <w:bCs/>
      <w:kern w:val="28"/>
      <w:sz w:val="32"/>
      <w:szCs w:val="32"/>
    </w:rPr>
  </w:style>
  <w:style w:type="paragraph" w:styleId="13">
    <w:name w:val="HTML Preformatted"/>
    <w:basedOn w:val="1"/>
    <w:link w:val="31"/>
    <w:unhideWhenUsed/>
    <w:qFormat/>
    <w:uiPriority w:val="99"/>
    <w:rPr>
      <w:rFonts w:ascii="Courier New" w:hAnsi="Courier New"/>
      <w:sz w:val="20"/>
    </w:rPr>
  </w:style>
  <w:style w:type="paragraph" w:styleId="14">
    <w:name w:val="Title"/>
    <w:basedOn w:val="1"/>
    <w:next w:val="1"/>
    <w:link w:val="32"/>
    <w:qFormat/>
    <w:uiPriority w:val="10"/>
    <w:pPr>
      <w:spacing w:before="240" w:after="60"/>
      <w:jc w:val="center"/>
      <w:outlineLvl w:val="0"/>
    </w:pPr>
    <w:rPr>
      <w:rFonts w:ascii="Cambria" w:hAnsi="Cambria"/>
      <w:b/>
      <w:bCs/>
      <w:sz w:val="32"/>
      <w:szCs w:val="32"/>
    </w:rPr>
  </w:style>
  <w:style w:type="paragraph" w:styleId="15">
    <w:name w:val="annotation subject"/>
    <w:basedOn w:val="6"/>
    <w:next w:val="6"/>
    <w:link w:val="33"/>
    <w:unhideWhenUsed/>
    <w:uiPriority w:val="99"/>
    <w:rPr>
      <w:b/>
      <w:bCs/>
    </w:rPr>
  </w:style>
  <w:style w:type="table" w:styleId="17">
    <w:name w:val="Table Grid"/>
    <w:basedOn w:val="1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136EC2"/>
      <w:u w:val="single"/>
    </w:rPr>
  </w:style>
  <w:style w:type="character" w:styleId="20">
    <w:name w:val="annotation reference"/>
    <w:unhideWhenUsed/>
    <w:uiPriority w:val="99"/>
    <w:rPr>
      <w:sz w:val="21"/>
      <w:szCs w:val="21"/>
    </w:rPr>
  </w:style>
  <w:style w:type="character" w:customStyle="1" w:styleId="21">
    <w:name w:val="标题 1 Char"/>
    <w:link w:val="2"/>
    <w:uiPriority w:val="9"/>
    <w:rPr>
      <w:b/>
      <w:bCs/>
      <w:kern w:val="44"/>
      <w:sz w:val="44"/>
      <w:szCs w:val="44"/>
    </w:rPr>
  </w:style>
  <w:style w:type="character" w:customStyle="1" w:styleId="22">
    <w:name w:val="标题 2 Char"/>
    <w:link w:val="3"/>
    <w:semiHidden/>
    <w:uiPriority w:val="9"/>
    <w:rPr>
      <w:rFonts w:ascii="Cambria" w:hAnsi="Cambria" w:eastAsia="宋体" w:cs="Times New Roman"/>
      <w:b/>
      <w:bCs/>
      <w:kern w:val="2"/>
      <w:sz w:val="32"/>
      <w:szCs w:val="32"/>
    </w:rPr>
  </w:style>
  <w:style w:type="character" w:customStyle="1" w:styleId="23">
    <w:name w:val="文档结构图 Char"/>
    <w:link w:val="5"/>
    <w:semiHidden/>
    <w:uiPriority w:val="99"/>
    <w:rPr>
      <w:rFonts w:ascii="宋体"/>
      <w:kern w:val="2"/>
      <w:sz w:val="18"/>
      <w:szCs w:val="18"/>
    </w:rPr>
  </w:style>
  <w:style w:type="character" w:customStyle="1" w:styleId="24">
    <w:name w:val="批注文字 Char"/>
    <w:link w:val="6"/>
    <w:semiHidden/>
    <w:qFormat/>
    <w:uiPriority w:val="99"/>
    <w:rPr>
      <w:kern w:val="2"/>
      <w:sz w:val="21"/>
    </w:rPr>
  </w:style>
  <w:style w:type="character" w:customStyle="1" w:styleId="25">
    <w:name w:val="纯文本 Char"/>
    <w:link w:val="7"/>
    <w:uiPriority w:val="0"/>
    <w:rPr>
      <w:rFonts w:ascii="宋体" w:hAnsi="Courier New"/>
      <w:kern w:val="2"/>
      <w:sz w:val="21"/>
    </w:rPr>
  </w:style>
  <w:style w:type="character" w:customStyle="1" w:styleId="26">
    <w:name w:val="日期 字符"/>
    <w:link w:val="8"/>
    <w:semiHidden/>
    <w:qFormat/>
    <w:uiPriority w:val="99"/>
    <w:rPr>
      <w:kern w:val="2"/>
      <w:sz w:val="21"/>
    </w:rPr>
  </w:style>
  <w:style w:type="character" w:customStyle="1" w:styleId="27">
    <w:name w:val="批注框文本 Char"/>
    <w:link w:val="9"/>
    <w:semiHidden/>
    <w:uiPriority w:val="99"/>
    <w:rPr>
      <w:kern w:val="2"/>
      <w:sz w:val="18"/>
      <w:szCs w:val="18"/>
    </w:rPr>
  </w:style>
  <w:style w:type="character" w:customStyle="1" w:styleId="28">
    <w:name w:val="页脚 Char"/>
    <w:link w:val="10"/>
    <w:uiPriority w:val="0"/>
    <w:rPr>
      <w:kern w:val="2"/>
      <w:sz w:val="18"/>
    </w:rPr>
  </w:style>
  <w:style w:type="character" w:customStyle="1" w:styleId="29">
    <w:name w:val="页眉 Char"/>
    <w:link w:val="11"/>
    <w:uiPriority w:val="0"/>
    <w:rPr>
      <w:kern w:val="2"/>
      <w:sz w:val="18"/>
    </w:rPr>
  </w:style>
  <w:style w:type="character" w:customStyle="1" w:styleId="30">
    <w:name w:val="副标题 Char"/>
    <w:link w:val="12"/>
    <w:qFormat/>
    <w:uiPriority w:val="11"/>
    <w:rPr>
      <w:rFonts w:ascii="Cambria" w:hAnsi="Cambria" w:cs="Times New Roman"/>
      <w:b/>
      <w:bCs/>
      <w:kern w:val="28"/>
      <w:sz w:val="32"/>
      <w:szCs w:val="32"/>
    </w:rPr>
  </w:style>
  <w:style w:type="character" w:customStyle="1" w:styleId="31">
    <w:name w:val="HTML 预设格式 字符"/>
    <w:link w:val="13"/>
    <w:semiHidden/>
    <w:qFormat/>
    <w:uiPriority w:val="99"/>
    <w:rPr>
      <w:rFonts w:ascii="Courier New" w:hAnsi="Courier New" w:cs="Courier New"/>
      <w:kern w:val="2"/>
    </w:rPr>
  </w:style>
  <w:style w:type="character" w:customStyle="1" w:styleId="32">
    <w:name w:val="标题 Char"/>
    <w:link w:val="14"/>
    <w:qFormat/>
    <w:uiPriority w:val="10"/>
    <w:rPr>
      <w:rFonts w:ascii="Cambria" w:hAnsi="Cambria" w:cs="Times New Roman"/>
      <w:b/>
      <w:bCs/>
      <w:kern w:val="2"/>
      <w:sz w:val="32"/>
      <w:szCs w:val="32"/>
    </w:rPr>
  </w:style>
  <w:style w:type="character" w:customStyle="1" w:styleId="33">
    <w:name w:val="批注主题 Char"/>
    <w:link w:val="15"/>
    <w:semiHidden/>
    <w:qFormat/>
    <w:uiPriority w:val="99"/>
    <w:rPr>
      <w:b/>
      <w:bCs/>
      <w:kern w:val="2"/>
      <w:sz w:val="21"/>
    </w:rPr>
  </w:style>
  <w:style w:type="paragraph" w:customStyle="1" w:styleId="34">
    <w:name w:val="默认段落字体 Para Char Char Char Char"/>
    <w:basedOn w:val="4"/>
    <w:qFormat/>
    <w:uiPriority w:val="0"/>
    <w:pPr>
      <w:spacing w:line="240" w:lineRule="atLeast"/>
      <w:jc w:val="left"/>
    </w:pPr>
  </w:style>
  <w:style w:type="paragraph" w:customStyle="1" w:styleId="35">
    <w:name w:val=" Char Char Char Char Char Char Char Char Char Char"/>
    <w:basedOn w:val="4"/>
    <w:qFormat/>
    <w:uiPriority w:val="0"/>
    <w:pPr>
      <w:spacing w:line="240" w:lineRule="atLeast"/>
      <w:jc w:val="left"/>
    </w:pPr>
    <w:rPr>
      <w:bCs/>
      <w:kern w:val="0"/>
      <w:sz w:val="24"/>
      <w:szCs w:val="21"/>
    </w:rPr>
  </w:style>
  <w:style w:type="character" w:customStyle="1" w:styleId="36">
    <w:name w:val="页码1"/>
    <w:qFormat/>
    <w:uiPriority w:val="0"/>
    <w:rPr>
      <w:rFonts w:cs="Times New Roman"/>
    </w:rPr>
  </w:style>
  <w:style w:type="paragraph" w:customStyle="1" w:styleId="37">
    <w:name w:val="EndNote Bibliography"/>
    <w:basedOn w:val="1"/>
    <w:qFormat/>
    <w:uiPriority w:val="0"/>
    <w:pPr>
      <w:spacing w:line="240" w:lineRule="auto"/>
    </w:pPr>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www.ftpdown.com</Company>
  <Pages>9</Pages>
  <Words>3759</Words>
  <Characters>4432</Characters>
  <Lines>28</Lines>
  <Paragraphs>8</Paragraphs>
  <TotalTime>8</TotalTime>
  <ScaleCrop>false</ScaleCrop>
  <LinksUpToDate>false</LinksUpToDate>
  <CharactersWithSpaces>4552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2016-05-23T01:42:00Z</dcterms:created>
  <dc:creator>user</dc:creator>
  <cp:lastModifiedBy>Niu</cp:lastModifiedBy>
  <cp:lastPrinted>2017-11-13T01:03:00Z</cp:lastPrinted>
  <dcterms:modified xsi:type="dcterms:W3CDTF">2022-09-23T07:38:47Z</dcterms:modified>
  <dc:title>JJF1001《通用计量术语及定义》国家计量</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CDF1B9BF2ACF4B6B88A44E0F035A0092</vt:lpwstr>
  </property>
</Properties>
</file>