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华文中宋" w:hAnsi="华文中宋" w:eastAsia="华文中宋" w:cs="Times New Roman"/>
          <w:b/>
          <w:color w:val="auto"/>
          <w:sz w:val="44"/>
          <w:szCs w:val="44"/>
        </w:rPr>
      </w:pPr>
    </w:p>
    <w:p>
      <w:pPr>
        <w:spacing w:line="560" w:lineRule="exact"/>
        <w:jc w:val="center"/>
        <w:rPr>
          <w:rFonts w:ascii="华文中宋" w:hAnsi="华文中宋" w:eastAsia="华文中宋" w:cs="Times New Roman"/>
          <w:b/>
          <w:color w:val="auto"/>
          <w:sz w:val="44"/>
          <w:szCs w:val="44"/>
        </w:rPr>
      </w:pPr>
    </w:p>
    <w:p>
      <w:pPr>
        <w:spacing w:line="560" w:lineRule="exact"/>
        <w:jc w:val="center"/>
        <w:rPr>
          <w:rFonts w:ascii="华文中宋" w:hAnsi="华文中宋" w:eastAsia="华文中宋" w:cs="Times New Roman"/>
          <w:b/>
          <w:color w:val="auto"/>
          <w:sz w:val="44"/>
          <w:szCs w:val="44"/>
        </w:rPr>
      </w:pPr>
    </w:p>
    <w:p>
      <w:pPr>
        <w:spacing w:line="560" w:lineRule="exact"/>
        <w:jc w:val="center"/>
        <w:rPr>
          <w:rFonts w:ascii="华文中宋" w:hAnsi="华文中宋" w:eastAsia="华文中宋" w:cs="Times New Roman"/>
          <w:b/>
          <w:color w:val="auto"/>
          <w:sz w:val="44"/>
          <w:szCs w:val="44"/>
        </w:rPr>
      </w:pPr>
    </w:p>
    <w:p>
      <w:pPr>
        <w:spacing w:line="560" w:lineRule="exact"/>
        <w:jc w:val="center"/>
        <w:rPr>
          <w:rFonts w:ascii="华文中宋" w:hAnsi="华文中宋" w:eastAsia="华文中宋" w:cs="Times New Roman"/>
          <w:b/>
          <w:color w:val="auto"/>
          <w:sz w:val="44"/>
          <w:szCs w:val="44"/>
        </w:rPr>
      </w:pPr>
    </w:p>
    <w:p>
      <w:pPr>
        <w:jc w:val="center"/>
        <w:rPr>
          <w:rFonts w:hint="eastAsia" w:ascii="黑体" w:hAnsi="黑体" w:eastAsia="黑体" w:cs="黑体"/>
          <w:b/>
          <w:color w:val="auto"/>
          <w:sz w:val="56"/>
          <w:szCs w:val="56"/>
        </w:rPr>
      </w:pPr>
      <w:r>
        <w:rPr>
          <w:rFonts w:hint="eastAsia" w:ascii="黑体" w:hAnsi="黑体" w:eastAsia="黑体" w:cs="黑体"/>
          <w:b/>
          <w:color w:val="auto"/>
          <w:sz w:val="56"/>
          <w:szCs w:val="56"/>
        </w:rPr>
        <w:t>氧指数测定仪校准规范</w:t>
      </w:r>
    </w:p>
    <w:p>
      <w:pPr>
        <w:jc w:val="center"/>
        <w:rPr>
          <w:rFonts w:hint="eastAsia" w:ascii="黑体" w:hAnsi="黑体" w:eastAsia="黑体" w:cs="黑体"/>
          <w:b/>
          <w:color w:val="auto"/>
          <w:sz w:val="56"/>
          <w:szCs w:val="56"/>
        </w:rPr>
      </w:pPr>
      <w:r>
        <w:rPr>
          <w:rFonts w:hint="eastAsia" w:ascii="黑体" w:hAnsi="黑体" w:eastAsia="黑体" w:cs="黑体"/>
          <w:b/>
          <w:color w:val="auto"/>
          <w:sz w:val="56"/>
          <w:szCs w:val="56"/>
        </w:rPr>
        <w:t>试验验证报告</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jc w:val="center"/>
        <w:rPr>
          <w:color w:val="auto"/>
          <w:sz w:val="30"/>
          <w:szCs w:val="30"/>
        </w:rPr>
      </w:pPr>
      <w:r>
        <w:rPr>
          <w:rFonts w:hint="eastAsia"/>
          <w:color w:val="auto"/>
          <w:sz w:val="30"/>
          <w:szCs w:val="30"/>
        </w:rPr>
        <w:t>规范起草小组</w:t>
      </w:r>
    </w:p>
    <w:p>
      <w:pPr>
        <w:jc w:val="center"/>
        <w:rPr>
          <w:color w:val="auto"/>
          <w:sz w:val="30"/>
          <w:szCs w:val="30"/>
        </w:rPr>
      </w:pPr>
      <w:r>
        <w:rPr>
          <w:rFonts w:hint="eastAsia"/>
          <w:color w:val="auto"/>
          <w:sz w:val="30"/>
          <w:szCs w:val="30"/>
        </w:rPr>
        <w:t>20</w:t>
      </w:r>
      <w:r>
        <w:rPr>
          <w:rFonts w:hint="eastAsia"/>
          <w:color w:val="auto"/>
          <w:sz w:val="30"/>
          <w:szCs w:val="30"/>
          <w:lang w:val="en-US" w:eastAsia="zh-CN"/>
        </w:rPr>
        <w:t>22</w:t>
      </w:r>
      <w:r>
        <w:rPr>
          <w:rFonts w:hint="eastAsia"/>
          <w:color w:val="auto"/>
          <w:sz w:val="30"/>
          <w:szCs w:val="30"/>
        </w:rPr>
        <w:t>年</w:t>
      </w:r>
      <w:r>
        <w:rPr>
          <w:color w:val="auto"/>
          <w:sz w:val="30"/>
          <w:szCs w:val="30"/>
        </w:rPr>
        <w:t>1</w:t>
      </w:r>
      <w:r>
        <w:rPr>
          <w:rFonts w:hint="eastAsia"/>
          <w:color w:val="auto"/>
          <w:sz w:val="30"/>
          <w:szCs w:val="30"/>
          <w:lang w:val="en-US" w:eastAsia="zh-CN"/>
        </w:rPr>
        <w:t>0</w:t>
      </w:r>
      <w:r>
        <w:rPr>
          <w:rFonts w:hint="eastAsia"/>
          <w:color w:val="auto"/>
          <w:sz w:val="30"/>
          <w:szCs w:val="30"/>
        </w:rPr>
        <w:t>月</w:t>
      </w:r>
    </w:p>
    <w:p>
      <w:pPr>
        <w:spacing w:line="560" w:lineRule="exact"/>
        <w:rPr>
          <w:rFonts w:ascii="黑体" w:hAnsi="黑体" w:eastAsia="黑体" w:cs="黑体"/>
          <w:bCs/>
          <w:color w:val="auto"/>
          <w:sz w:val="32"/>
          <w:szCs w:val="32"/>
        </w:rPr>
      </w:pPr>
    </w:p>
    <w:p>
      <w:pPr>
        <w:spacing w:line="560" w:lineRule="exact"/>
        <w:jc w:val="center"/>
        <w:rPr>
          <w:rFonts w:ascii="黑体" w:hAnsi="黑体" w:eastAsia="黑体" w:cs="黑体"/>
          <w:bCs/>
          <w:color w:val="auto"/>
          <w:sz w:val="32"/>
          <w:szCs w:val="32"/>
        </w:rPr>
        <w:sectPr>
          <w:pgSz w:w="11906" w:h="16838"/>
          <w:pgMar w:top="1440" w:right="1800" w:bottom="1440" w:left="1800" w:header="851" w:footer="992" w:gutter="0"/>
          <w:cols w:space="425" w:num="1"/>
          <w:docGrid w:type="lines" w:linePitch="312" w:charSpace="0"/>
        </w:sectPr>
      </w:pPr>
    </w:p>
    <w:p>
      <w:pPr>
        <w:spacing w:line="560" w:lineRule="exact"/>
        <w:jc w:val="center"/>
        <w:rPr>
          <w:rFonts w:ascii="黑体" w:hAnsi="黑体" w:eastAsia="黑体" w:cs="黑体"/>
          <w:bCs/>
          <w:color w:val="auto"/>
          <w:sz w:val="32"/>
          <w:szCs w:val="32"/>
        </w:rPr>
      </w:pPr>
    </w:p>
    <w:p>
      <w:pPr>
        <w:spacing w:line="560" w:lineRule="exact"/>
        <w:jc w:val="center"/>
        <w:rPr>
          <w:rFonts w:ascii="黑体" w:hAnsi="黑体" w:eastAsia="黑体" w:cs="黑体"/>
          <w:bCs/>
          <w:color w:val="auto"/>
          <w:sz w:val="36"/>
          <w:szCs w:val="36"/>
        </w:rPr>
      </w:pPr>
      <w:r>
        <w:rPr>
          <w:rFonts w:hint="eastAsia" w:ascii="黑体" w:hAnsi="黑体" w:eastAsia="黑体" w:cs="黑体"/>
          <w:bCs/>
          <w:color w:val="auto"/>
          <w:sz w:val="36"/>
          <w:szCs w:val="36"/>
        </w:rPr>
        <w:t>目   录</w:t>
      </w:r>
    </w:p>
    <w:p>
      <w:pPr>
        <w:spacing w:line="560" w:lineRule="exact"/>
        <w:jc w:val="left"/>
        <w:rPr>
          <w:rFonts w:ascii="黑体" w:hAnsi="黑体" w:eastAsia="黑体" w:cs="黑体"/>
          <w:bCs/>
          <w:color w:val="auto"/>
          <w:sz w:val="32"/>
          <w:szCs w:val="32"/>
        </w:rPr>
      </w:pPr>
    </w:p>
    <w:p>
      <w:pPr>
        <w:numPr>
          <w:ilvl w:val="0"/>
          <w:numId w:val="2"/>
        </w:numPr>
        <w:spacing w:line="560" w:lineRule="exact"/>
        <w:jc w:val="left"/>
        <w:rPr>
          <w:rFonts w:hint="eastAsia" w:hAnsi="宋体"/>
          <w:color w:val="auto"/>
          <w:sz w:val="24"/>
        </w:rPr>
      </w:pPr>
      <w:r>
        <w:rPr>
          <w:rFonts w:hint="eastAsia" w:hAnsi="宋体"/>
          <w:color w:val="auto"/>
          <w:sz w:val="24"/>
        </w:rPr>
        <w:t xml:space="preserve"> 关于气流稳定性的验证试验</w:t>
      </w:r>
    </w:p>
    <w:p>
      <w:pPr>
        <w:numPr>
          <w:ilvl w:val="0"/>
          <w:numId w:val="2"/>
        </w:numPr>
        <w:spacing w:line="560" w:lineRule="exact"/>
        <w:jc w:val="left"/>
        <w:rPr>
          <w:rFonts w:hint="eastAsia" w:hAnsi="宋体"/>
          <w:color w:val="auto"/>
          <w:sz w:val="24"/>
        </w:rPr>
      </w:pPr>
      <w:r>
        <w:rPr>
          <w:rFonts w:hint="eastAsia" w:hAnsi="宋体"/>
          <w:color w:val="auto"/>
          <w:sz w:val="24"/>
          <w:lang w:val="en-US" w:eastAsia="zh-CN"/>
        </w:rPr>
        <w:t xml:space="preserve"> 关于流量示值误差的</w:t>
      </w:r>
    </w:p>
    <w:p>
      <w:pPr>
        <w:numPr>
          <w:ilvl w:val="0"/>
          <w:numId w:val="2"/>
        </w:numPr>
        <w:spacing w:line="560" w:lineRule="exact"/>
        <w:jc w:val="left"/>
        <w:rPr>
          <w:rFonts w:hint="eastAsia" w:hAnsi="宋体"/>
          <w:color w:val="auto"/>
          <w:sz w:val="24"/>
        </w:rPr>
      </w:pPr>
      <w:r>
        <w:rPr>
          <w:rFonts w:hint="eastAsia" w:hAnsi="宋体"/>
          <w:color w:val="auto"/>
          <w:sz w:val="24"/>
          <w:lang w:val="en-US" w:eastAsia="zh-CN"/>
        </w:rPr>
        <w:t>关于压力示值误差的</w:t>
      </w:r>
    </w:p>
    <w:p>
      <w:pPr>
        <w:spacing w:line="560" w:lineRule="exact"/>
        <w:jc w:val="left"/>
        <w:rPr>
          <w:rFonts w:hAnsi="宋体"/>
          <w:color w:val="auto"/>
          <w:sz w:val="24"/>
        </w:rPr>
      </w:pPr>
      <w:r>
        <w:rPr>
          <w:rFonts w:hint="eastAsia" w:hAnsi="宋体"/>
          <w:color w:val="auto"/>
          <w:sz w:val="24"/>
        </w:rPr>
        <w:t>第</w:t>
      </w:r>
      <w:r>
        <w:rPr>
          <w:rFonts w:hint="eastAsia" w:hAnsi="宋体"/>
          <w:color w:val="auto"/>
          <w:sz w:val="24"/>
          <w:lang w:eastAsia="zh-CN"/>
        </w:rPr>
        <w:t>四</w:t>
      </w:r>
      <w:r>
        <w:rPr>
          <w:rFonts w:hint="eastAsia" w:hAnsi="宋体"/>
          <w:color w:val="auto"/>
          <w:sz w:val="24"/>
        </w:rPr>
        <w:t xml:space="preserve">部分 </w:t>
      </w:r>
      <w:r>
        <w:rPr>
          <w:rFonts w:hAnsi="宋体"/>
          <w:color w:val="auto"/>
          <w:sz w:val="24"/>
        </w:rPr>
        <w:t xml:space="preserve"> </w:t>
      </w:r>
      <w:r>
        <w:rPr>
          <w:rFonts w:hint="eastAsia" w:hAnsi="宋体"/>
          <w:color w:val="auto"/>
          <w:sz w:val="24"/>
        </w:rPr>
        <w:t>关于</w:t>
      </w:r>
      <w:r>
        <w:rPr>
          <w:rFonts w:hint="eastAsia" w:hAnsi="宋体"/>
          <w:color w:val="auto"/>
          <w:sz w:val="24"/>
          <w:lang w:eastAsia="zh-CN"/>
        </w:rPr>
        <w:t>氧浓度</w:t>
      </w:r>
      <w:r>
        <w:rPr>
          <w:rFonts w:hint="eastAsia" w:hAnsi="宋体"/>
          <w:color w:val="auto"/>
          <w:sz w:val="24"/>
        </w:rPr>
        <w:t>示值误差的验证试验</w:t>
      </w:r>
    </w:p>
    <w:p>
      <w:pPr>
        <w:spacing w:line="560" w:lineRule="exact"/>
        <w:jc w:val="left"/>
        <w:rPr>
          <w:rFonts w:hAnsi="宋体"/>
          <w:color w:val="auto"/>
          <w:sz w:val="24"/>
        </w:rPr>
      </w:pPr>
      <w:r>
        <w:rPr>
          <w:rFonts w:hint="eastAsia" w:hAnsi="宋体"/>
          <w:color w:val="auto"/>
          <w:sz w:val="24"/>
        </w:rPr>
        <w:t>第</w:t>
      </w:r>
      <w:r>
        <w:rPr>
          <w:rFonts w:hint="eastAsia" w:hAnsi="宋体"/>
          <w:color w:val="auto"/>
          <w:sz w:val="24"/>
          <w:lang w:eastAsia="zh-CN"/>
        </w:rPr>
        <w:t>五</w:t>
      </w:r>
      <w:r>
        <w:rPr>
          <w:rFonts w:hint="eastAsia" w:hAnsi="宋体"/>
          <w:color w:val="auto"/>
          <w:sz w:val="24"/>
        </w:rPr>
        <w:t>部分  关于</w:t>
      </w:r>
      <w:r>
        <w:rPr>
          <w:rFonts w:hint="eastAsia" w:hAnsi="宋体"/>
          <w:color w:val="auto"/>
          <w:sz w:val="24"/>
          <w:lang w:eastAsia="zh-CN"/>
        </w:rPr>
        <w:t>氧指数测量</w:t>
      </w:r>
      <w:r>
        <w:rPr>
          <w:rFonts w:hint="eastAsia" w:hAnsi="宋体"/>
          <w:color w:val="auto"/>
          <w:sz w:val="24"/>
        </w:rPr>
        <w:t>误差的验证试验</w:t>
      </w:r>
    </w:p>
    <w:p>
      <w:pPr>
        <w:spacing w:line="560" w:lineRule="exact"/>
        <w:jc w:val="left"/>
        <w:rPr>
          <w:rFonts w:asciiTheme="minorEastAsia" w:hAnsiTheme="minorEastAsia" w:cstheme="minorEastAsia"/>
          <w:bCs/>
          <w:color w:val="auto"/>
          <w:sz w:val="24"/>
        </w:rPr>
      </w:pPr>
      <w:r>
        <w:rPr>
          <w:rFonts w:hint="eastAsia" w:asciiTheme="minorEastAsia" w:hAnsiTheme="minorEastAsia" w:cstheme="minorEastAsia"/>
          <w:bCs/>
          <w:color w:val="auto"/>
          <w:sz w:val="24"/>
        </w:rPr>
        <w:t>第</w:t>
      </w:r>
      <w:r>
        <w:rPr>
          <w:rFonts w:hint="eastAsia" w:asciiTheme="minorEastAsia" w:hAnsiTheme="minorEastAsia" w:cstheme="minorEastAsia"/>
          <w:bCs/>
          <w:color w:val="auto"/>
          <w:sz w:val="24"/>
          <w:lang w:eastAsia="zh-CN"/>
        </w:rPr>
        <w:t>六</w:t>
      </w:r>
      <w:r>
        <w:rPr>
          <w:rFonts w:hint="eastAsia" w:asciiTheme="minorEastAsia" w:hAnsiTheme="minorEastAsia" w:cstheme="minorEastAsia"/>
          <w:bCs/>
          <w:color w:val="auto"/>
          <w:sz w:val="24"/>
        </w:rPr>
        <w:t xml:space="preserve">部分 </w:t>
      </w:r>
      <w:r>
        <w:rPr>
          <w:rFonts w:asciiTheme="minorEastAsia" w:hAnsiTheme="minorEastAsia" w:cstheme="minorEastAsia"/>
          <w:bCs/>
          <w:color w:val="auto"/>
          <w:sz w:val="24"/>
        </w:rPr>
        <w:t xml:space="preserve"> </w:t>
      </w:r>
      <w:r>
        <w:rPr>
          <w:rFonts w:hint="eastAsia" w:asciiTheme="minorEastAsia" w:hAnsiTheme="minorEastAsia" w:cstheme="minorEastAsia"/>
          <w:bCs/>
          <w:color w:val="auto"/>
          <w:sz w:val="24"/>
        </w:rPr>
        <w:t>关于</w:t>
      </w:r>
      <w:r>
        <w:rPr>
          <w:rFonts w:hint="eastAsia" w:hAnsi="宋体"/>
          <w:color w:val="auto"/>
          <w:sz w:val="24"/>
          <w:lang w:eastAsia="zh-CN"/>
        </w:rPr>
        <w:t>氧指数测量</w:t>
      </w:r>
      <w:r>
        <w:rPr>
          <w:rFonts w:hint="eastAsia" w:hAnsi="宋体"/>
          <w:color w:val="auto"/>
          <w:sz w:val="24"/>
        </w:rPr>
        <w:t>重复性的</w:t>
      </w:r>
      <w:r>
        <w:rPr>
          <w:rFonts w:hint="eastAsia" w:asciiTheme="minorEastAsia" w:hAnsiTheme="minorEastAsia" w:cstheme="minorEastAsia"/>
          <w:bCs/>
          <w:color w:val="auto"/>
          <w:sz w:val="24"/>
        </w:rPr>
        <w:t>验证试验</w:t>
      </w:r>
    </w:p>
    <w:p>
      <w:pPr>
        <w:spacing w:line="560" w:lineRule="exact"/>
        <w:jc w:val="left"/>
        <w:rPr>
          <w:rFonts w:asciiTheme="minorEastAsia" w:hAnsiTheme="minorEastAsia" w:cstheme="minorEastAsia"/>
          <w:bCs/>
          <w:color w:val="auto"/>
          <w:sz w:val="24"/>
        </w:rPr>
      </w:pPr>
      <w:r>
        <w:rPr>
          <w:rFonts w:hint="eastAsia" w:asciiTheme="minorEastAsia" w:hAnsiTheme="minorEastAsia" w:cstheme="minorEastAsia"/>
          <w:bCs/>
          <w:color w:val="auto"/>
          <w:sz w:val="24"/>
        </w:rPr>
        <w:t>第</w:t>
      </w:r>
      <w:r>
        <w:rPr>
          <w:rFonts w:hint="eastAsia" w:asciiTheme="minorEastAsia" w:hAnsiTheme="minorEastAsia" w:cstheme="minorEastAsia"/>
          <w:bCs/>
          <w:color w:val="auto"/>
          <w:sz w:val="24"/>
          <w:lang w:eastAsia="zh-CN"/>
        </w:rPr>
        <w:t>七</w:t>
      </w:r>
      <w:r>
        <w:rPr>
          <w:rFonts w:hint="eastAsia" w:asciiTheme="minorEastAsia" w:hAnsiTheme="minorEastAsia" w:cstheme="minorEastAsia"/>
          <w:bCs/>
          <w:color w:val="auto"/>
          <w:sz w:val="24"/>
        </w:rPr>
        <w:t xml:space="preserve">部分 </w:t>
      </w:r>
      <w:r>
        <w:rPr>
          <w:rFonts w:asciiTheme="minorEastAsia" w:hAnsiTheme="minorEastAsia" w:cstheme="minorEastAsia"/>
          <w:bCs/>
          <w:color w:val="auto"/>
          <w:sz w:val="24"/>
        </w:rPr>
        <w:t xml:space="preserve"> </w:t>
      </w:r>
      <w:r>
        <w:rPr>
          <w:rFonts w:hint="eastAsia" w:asciiTheme="minorEastAsia" w:hAnsiTheme="minorEastAsia" w:cstheme="minorEastAsia"/>
          <w:bCs/>
          <w:color w:val="auto"/>
          <w:sz w:val="24"/>
        </w:rPr>
        <w:t>试验报告总结论</w:t>
      </w:r>
    </w:p>
    <w:p>
      <w:pPr>
        <w:spacing w:line="560" w:lineRule="exact"/>
        <w:jc w:val="center"/>
        <w:rPr>
          <w:rFonts w:ascii="黑体" w:hAnsi="黑体" w:eastAsia="黑体" w:cs="黑体"/>
          <w:bCs/>
          <w:color w:val="auto"/>
          <w:sz w:val="32"/>
          <w:szCs w:val="32"/>
        </w:rPr>
      </w:pPr>
    </w:p>
    <w:p>
      <w:pPr>
        <w:spacing w:line="560" w:lineRule="exact"/>
        <w:jc w:val="center"/>
        <w:rPr>
          <w:rFonts w:ascii="黑体" w:hAnsi="黑体" w:eastAsia="黑体" w:cs="黑体"/>
          <w:bCs/>
          <w:color w:val="auto"/>
          <w:sz w:val="32"/>
          <w:szCs w:val="32"/>
        </w:rPr>
      </w:pPr>
    </w:p>
    <w:p>
      <w:pPr>
        <w:spacing w:line="560" w:lineRule="exact"/>
        <w:jc w:val="center"/>
        <w:rPr>
          <w:rFonts w:ascii="黑体" w:hAnsi="黑体" w:eastAsia="黑体" w:cs="黑体"/>
          <w:bCs/>
          <w:color w:val="auto"/>
          <w:sz w:val="32"/>
          <w:szCs w:val="32"/>
        </w:rPr>
      </w:pPr>
    </w:p>
    <w:p>
      <w:pPr>
        <w:spacing w:line="560" w:lineRule="exact"/>
        <w:jc w:val="center"/>
        <w:rPr>
          <w:rFonts w:ascii="黑体" w:hAnsi="黑体" w:eastAsia="黑体" w:cs="黑体"/>
          <w:bCs/>
          <w:color w:val="auto"/>
          <w:sz w:val="32"/>
          <w:szCs w:val="32"/>
        </w:rPr>
      </w:pPr>
    </w:p>
    <w:p>
      <w:pPr>
        <w:spacing w:line="560" w:lineRule="exact"/>
        <w:jc w:val="center"/>
        <w:rPr>
          <w:rFonts w:ascii="黑体" w:hAnsi="黑体" w:eastAsia="黑体" w:cs="黑体"/>
          <w:bCs/>
          <w:color w:val="auto"/>
          <w:sz w:val="32"/>
          <w:szCs w:val="32"/>
        </w:rPr>
      </w:pPr>
    </w:p>
    <w:p>
      <w:pPr>
        <w:spacing w:line="560" w:lineRule="exact"/>
        <w:jc w:val="center"/>
        <w:rPr>
          <w:rFonts w:ascii="黑体" w:hAnsi="黑体" w:eastAsia="黑体" w:cs="黑体"/>
          <w:bCs/>
          <w:color w:val="auto"/>
          <w:sz w:val="32"/>
          <w:szCs w:val="32"/>
        </w:rPr>
      </w:pPr>
    </w:p>
    <w:p>
      <w:pPr>
        <w:spacing w:line="560" w:lineRule="exact"/>
        <w:jc w:val="center"/>
        <w:rPr>
          <w:rFonts w:ascii="黑体" w:hAnsi="黑体" w:eastAsia="黑体" w:cs="黑体"/>
          <w:bCs/>
          <w:color w:val="auto"/>
          <w:sz w:val="32"/>
          <w:szCs w:val="32"/>
        </w:rPr>
      </w:pPr>
    </w:p>
    <w:p>
      <w:pPr>
        <w:spacing w:line="560" w:lineRule="exact"/>
        <w:jc w:val="center"/>
        <w:rPr>
          <w:rFonts w:ascii="黑体" w:hAnsi="黑体" w:eastAsia="黑体" w:cs="黑体"/>
          <w:bCs/>
          <w:color w:val="auto"/>
          <w:sz w:val="32"/>
          <w:szCs w:val="32"/>
        </w:rPr>
      </w:pPr>
    </w:p>
    <w:p>
      <w:pPr>
        <w:spacing w:line="560" w:lineRule="exact"/>
        <w:jc w:val="center"/>
        <w:rPr>
          <w:rFonts w:ascii="黑体" w:hAnsi="黑体" w:eastAsia="黑体" w:cs="黑体"/>
          <w:bCs/>
          <w:color w:val="auto"/>
          <w:sz w:val="32"/>
          <w:szCs w:val="32"/>
        </w:rPr>
      </w:pPr>
    </w:p>
    <w:p>
      <w:pPr>
        <w:widowControl/>
        <w:jc w:val="left"/>
        <w:rPr>
          <w:rFonts w:ascii="黑体" w:hAnsi="黑体" w:eastAsia="黑体" w:cs="黑体"/>
          <w:bCs/>
          <w:color w:val="auto"/>
          <w:sz w:val="32"/>
          <w:szCs w:val="32"/>
        </w:rPr>
      </w:pPr>
      <w:r>
        <w:rPr>
          <w:rFonts w:ascii="黑体" w:hAnsi="黑体" w:eastAsia="黑体" w:cs="黑体"/>
          <w:bCs/>
          <w:color w:val="auto"/>
          <w:sz w:val="32"/>
          <w:szCs w:val="32"/>
        </w:rPr>
        <w:br w:type="page"/>
      </w:r>
    </w:p>
    <w:p>
      <w:pPr>
        <w:spacing w:line="560" w:lineRule="exact"/>
        <w:jc w:val="center"/>
        <w:rPr>
          <w:rFonts w:ascii="黑体" w:hAnsi="黑体" w:eastAsia="黑体" w:cs="黑体"/>
          <w:bCs/>
          <w:color w:val="auto"/>
          <w:sz w:val="32"/>
          <w:szCs w:val="32"/>
        </w:rPr>
      </w:pPr>
      <w:r>
        <w:rPr>
          <w:rFonts w:hint="eastAsia" w:ascii="黑体" w:hAnsi="黑体" w:eastAsia="黑体" w:cs="黑体"/>
          <w:bCs/>
          <w:color w:val="auto"/>
          <w:sz w:val="32"/>
          <w:szCs w:val="32"/>
        </w:rPr>
        <w:t>《氧指数测定仪校准规范》试验验证报告</w:t>
      </w:r>
    </w:p>
    <w:p>
      <w:pPr>
        <w:spacing w:line="560" w:lineRule="exact"/>
        <w:jc w:val="center"/>
        <w:rPr>
          <w:rFonts w:ascii="黑体" w:hAnsi="黑体" w:eastAsia="黑体" w:cs="黑体"/>
          <w:bCs/>
          <w:color w:val="auto"/>
          <w:sz w:val="32"/>
          <w:szCs w:val="32"/>
        </w:rPr>
      </w:pPr>
    </w:p>
    <w:p>
      <w:pPr>
        <w:jc w:val="center"/>
        <w:rPr>
          <w:rFonts w:ascii="黑体" w:hAnsi="黑体" w:eastAsia="黑体" w:cs="黑体"/>
          <w:color w:val="auto"/>
          <w:sz w:val="28"/>
          <w:szCs w:val="28"/>
        </w:rPr>
      </w:pPr>
      <w:r>
        <w:rPr>
          <w:rFonts w:hint="eastAsia" w:ascii="黑体" w:hAnsi="黑体" w:eastAsia="黑体" w:cs="黑体"/>
          <w:color w:val="auto"/>
          <w:sz w:val="28"/>
          <w:szCs w:val="28"/>
        </w:rPr>
        <w:t>第一部分  关于气流稳定性的验证试验</w:t>
      </w:r>
    </w:p>
    <w:p>
      <w:pPr>
        <w:numPr>
          <w:ilvl w:val="0"/>
          <w:numId w:val="3"/>
        </w:numPr>
        <w:jc w:val="left"/>
        <w:rPr>
          <w:rFonts w:ascii="黑体" w:hAnsi="黑体" w:eastAsia="黑体" w:cs="黑体"/>
          <w:color w:val="auto"/>
          <w:sz w:val="28"/>
          <w:szCs w:val="28"/>
        </w:rPr>
      </w:pPr>
      <w:r>
        <w:rPr>
          <w:rFonts w:hint="eastAsia" w:ascii="黑体" w:hAnsi="黑体" w:eastAsia="黑体" w:cs="黑体"/>
          <w:color w:val="auto"/>
          <w:sz w:val="28"/>
          <w:szCs w:val="28"/>
        </w:rPr>
        <w:t>试验目的</w:t>
      </w:r>
    </w:p>
    <w:p>
      <w:pPr>
        <w:spacing w:line="360" w:lineRule="auto"/>
        <w:ind w:firstLine="480" w:firstLineChars="200"/>
        <w:rPr>
          <w:color w:val="auto"/>
          <w:sz w:val="24"/>
        </w:rPr>
      </w:pPr>
      <w:r>
        <w:rPr>
          <w:rFonts w:hint="eastAsia"/>
          <w:color w:val="auto"/>
          <w:sz w:val="24"/>
        </w:rPr>
        <w:t>通过实验数据，观测计量特性数据是否满足起草规范中的计量特性要求，验证起草规范中</w:t>
      </w:r>
      <w:r>
        <w:rPr>
          <w:rFonts w:hint="eastAsia"/>
          <w:color w:val="auto"/>
          <w:sz w:val="24"/>
          <w:lang w:eastAsia="zh-CN"/>
        </w:rPr>
        <w:t>气流稳定性</w:t>
      </w:r>
      <w:r>
        <w:rPr>
          <w:rFonts w:hint="eastAsia"/>
          <w:color w:val="auto"/>
          <w:sz w:val="24"/>
        </w:rPr>
        <w:t>计量特性的合理性。</w:t>
      </w:r>
    </w:p>
    <w:p>
      <w:pPr>
        <w:numPr>
          <w:ilvl w:val="0"/>
          <w:numId w:val="3"/>
        </w:numPr>
        <w:jc w:val="left"/>
        <w:rPr>
          <w:rFonts w:ascii="黑体" w:hAnsi="黑体" w:eastAsia="黑体" w:cs="黑体"/>
          <w:color w:val="auto"/>
          <w:sz w:val="28"/>
          <w:szCs w:val="28"/>
        </w:rPr>
      </w:pPr>
      <w:r>
        <w:rPr>
          <w:rFonts w:hint="eastAsia" w:ascii="黑体" w:hAnsi="黑体" w:eastAsia="黑体" w:cs="黑体"/>
          <w:color w:val="auto"/>
          <w:sz w:val="28"/>
          <w:szCs w:val="28"/>
        </w:rPr>
        <w:t>主要试验设备（标准器、校准装置）名称、编号</w:t>
      </w:r>
    </w:p>
    <w:p>
      <w:pPr>
        <w:jc w:val="center"/>
        <w:rPr>
          <w:rFonts w:ascii="黑体" w:hAnsi="黑体" w:eastAsia="黑体" w:cs="黑体"/>
          <w:b/>
          <w:color w:val="auto"/>
          <w:szCs w:val="21"/>
        </w:rPr>
      </w:pPr>
      <w:r>
        <w:rPr>
          <w:rFonts w:hint="eastAsia" w:ascii="黑体" w:hAnsi="黑体" w:eastAsia="黑体" w:cs="黑体"/>
          <w:b/>
          <w:color w:val="auto"/>
          <w:szCs w:val="21"/>
        </w:rPr>
        <w:t>表</w:t>
      </w:r>
      <w:r>
        <w:rPr>
          <w:rFonts w:ascii="黑体" w:hAnsi="黑体" w:eastAsia="黑体" w:cs="黑体"/>
          <w:b/>
          <w:color w:val="auto"/>
          <w:szCs w:val="21"/>
        </w:rPr>
        <w:t xml:space="preserve">1 </w:t>
      </w:r>
      <w:r>
        <w:rPr>
          <w:rFonts w:hint="eastAsia" w:ascii="黑体" w:hAnsi="黑体" w:eastAsia="黑体" w:cs="黑体"/>
          <w:b/>
          <w:color w:val="auto"/>
          <w:szCs w:val="21"/>
        </w:rPr>
        <w:t>验证用主要标准物质</w:t>
      </w:r>
    </w:p>
    <w:tbl>
      <w:tblPr>
        <w:tblStyle w:val="7"/>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18"/>
        <w:gridCol w:w="1134"/>
        <w:gridCol w:w="1559"/>
        <w:gridCol w:w="1672"/>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360" w:lineRule="auto"/>
              <w:jc w:val="center"/>
              <w:rPr>
                <w:color w:val="auto"/>
                <w:szCs w:val="21"/>
              </w:rPr>
            </w:pPr>
            <w:r>
              <w:rPr>
                <w:rFonts w:hint="eastAsia"/>
                <w:color w:val="auto"/>
                <w:szCs w:val="21"/>
              </w:rPr>
              <w:t>名称</w:t>
            </w:r>
          </w:p>
        </w:tc>
        <w:tc>
          <w:tcPr>
            <w:tcW w:w="1418" w:type="dxa"/>
            <w:vAlign w:val="center"/>
          </w:tcPr>
          <w:p>
            <w:pPr>
              <w:spacing w:line="360" w:lineRule="auto"/>
              <w:jc w:val="center"/>
              <w:rPr>
                <w:color w:val="auto"/>
                <w:szCs w:val="21"/>
              </w:rPr>
            </w:pPr>
            <w:r>
              <w:rPr>
                <w:rFonts w:hint="eastAsia"/>
                <w:color w:val="auto"/>
                <w:szCs w:val="21"/>
              </w:rPr>
              <w:t>测量范围</w:t>
            </w:r>
          </w:p>
        </w:tc>
        <w:tc>
          <w:tcPr>
            <w:tcW w:w="1134" w:type="dxa"/>
            <w:vAlign w:val="center"/>
          </w:tcPr>
          <w:p>
            <w:pPr>
              <w:spacing w:line="360" w:lineRule="auto"/>
              <w:jc w:val="center"/>
              <w:rPr>
                <w:color w:val="auto"/>
                <w:szCs w:val="21"/>
              </w:rPr>
            </w:pPr>
            <w:r>
              <w:rPr>
                <w:rFonts w:hint="eastAsia"/>
                <w:color w:val="auto"/>
                <w:szCs w:val="21"/>
              </w:rPr>
              <w:t>编号</w:t>
            </w:r>
          </w:p>
        </w:tc>
        <w:tc>
          <w:tcPr>
            <w:tcW w:w="1559" w:type="dxa"/>
            <w:vAlign w:val="center"/>
          </w:tcPr>
          <w:p>
            <w:pPr>
              <w:spacing w:line="360" w:lineRule="auto"/>
              <w:jc w:val="center"/>
              <w:rPr>
                <w:color w:val="auto"/>
                <w:szCs w:val="21"/>
              </w:rPr>
            </w:pPr>
            <w:r>
              <w:rPr>
                <w:rFonts w:hint="eastAsia"/>
                <w:color w:val="auto"/>
                <w:szCs w:val="21"/>
              </w:rPr>
              <w:t>技术特征</w:t>
            </w:r>
          </w:p>
        </w:tc>
        <w:tc>
          <w:tcPr>
            <w:tcW w:w="1672" w:type="dxa"/>
            <w:vAlign w:val="center"/>
          </w:tcPr>
          <w:p>
            <w:pPr>
              <w:spacing w:line="360" w:lineRule="auto"/>
              <w:jc w:val="center"/>
              <w:rPr>
                <w:color w:val="auto"/>
                <w:szCs w:val="21"/>
              </w:rPr>
            </w:pPr>
            <w:r>
              <w:rPr>
                <w:rFonts w:hint="eastAsia"/>
                <w:color w:val="auto"/>
                <w:szCs w:val="21"/>
              </w:rPr>
              <w:t>证书号</w:t>
            </w:r>
          </w:p>
        </w:tc>
        <w:tc>
          <w:tcPr>
            <w:tcW w:w="1417" w:type="dxa"/>
            <w:vAlign w:val="center"/>
          </w:tcPr>
          <w:p>
            <w:pPr>
              <w:spacing w:line="360" w:lineRule="auto"/>
              <w:jc w:val="center"/>
              <w:rPr>
                <w:color w:val="auto"/>
                <w:szCs w:val="21"/>
              </w:rPr>
            </w:pPr>
            <w:r>
              <w:rPr>
                <w:rFonts w:hint="eastAsia"/>
                <w:color w:val="auto"/>
                <w:szCs w:val="21"/>
              </w:rPr>
              <w:t>有限期至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jc w:val="center"/>
              <w:rPr>
                <w:rFonts w:ascii="Times New Roman" w:hAnsi="Times New Roman" w:cs="Times New Roman"/>
                <w:color w:val="auto"/>
              </w:rPr>
            </w:pPr>
            <w:r>
              <w:rPr>
                <w:rFonts w:hint="eastAsia" w:ascii="Times New Roman" w:hAnsi="Times New Roman" w:cs="Times New Roman"/>
                <w:color w:val="auto"/>
              </w:rPr>
              <w:t>流量计</w:t>
            </w:r>
          </w:p>
        </w:tc>
        <w:tc>
          <w:tcPr>
            <w:tcW w:w="1418" w:type="dxa"/>
            <w:vAlign w:val="center"/>
          </w:tcPr>
          <w:p>
            <w:pPr>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w:t>
            </w:r>
            <w:r>
              <w:rPr>
                <w:rFonts w:ascii="Times New Roman" w:hAnsi="Times New Roman" w:cs="Times New Roman"/>
                <w:color w:val="auto"/>
                <w:sz w:val="20"/>
                <w:szCs w:val="20"/>
              </w:rPr>
              <w:t>1.5~15)L/min</w:t>
            </w:r>
          </w:p>
        </w:tc>
        <w:tc>
          <w:tcPr>
            <w:tcW w:w="1134" w:type="dxa"/>
            <w:vAlign w:val="center"/>
          </w:tcPr>
          <w:p>
            <w:pPr>
              <w:jc w:val="center"/>
              <w:rPr>
                <w:rFonts w:ascii="Times New Roman" w:hAnsi="Times New Roman" w:cs="Times New Roman"/>
                <w:color w:val="auto"/>
              </w:rPr>
            </w:pPr>
            <w:r>
              <w:rPr>
                <w:rFonts w:hint="eastAsia" w:ascii="Times New Roman" w:hAnsi="Times New Roman" w:cs="Times New Roman"/>
                <w:color w:val="auto"/>
              </w:rPr>
              <w:t>/</w:t>
            </w:r>
          </w:p>
        </w:tc>
        <w:tc>
          <w:tcPr>
            <w:tcW w:w="1559" w:type="dxa"/>
            <w:vAlign w:val="center"/>
          </w:tcPr>
          <w:p>
            <w:pPr>
              <w:jc w:val="center"/>
              <w:rPr>
                <w:rFonts w:ascii="Times New Roman" w:hAnsi="Times New Roman" w:cs="Times New Roman"/>
                <w:color w:val="auto"/>
              </w:rPr>
            </w:pPr>
            <w:r>
              <w:rPr>
                <w:rFonts w:hint="eastAsia" w:ascii="Times New Roman" w:hAnsi="Times New Roman" w:cs="Times New Roman"/>
                <w:color w:val="auto"/>
                <w:lang w:eastAsia="zh-CN"/>
              </w:rPr>
              <w:t>最大允许误差不超</w:t>
            </w:r>
            <w:r>
              <w:rPr>
                <w:rFonts w:hint="eastAsia" w:ascii="Times New Roman" w:hAnsi="Times New Roman" w:cs="Times New Roman"/>
                <w:color w:val="auto"/>
                <w:lang w:val="en-US" w:eastAsia="zh-CN"/>
              </w:rPr>
              <w:t>±1%</w:t>
            </w:r>
          </w:p>
        </w:tc>
        <w:tc>
          <w:tcPr>
            <w:tcW w:w="1672" w:type="dxa"/>
            <w:vAlign w:val="center"/>
          </w:tcPr>
          <w:p>
            <w:pPr>
              <w:jc w:val="center"/>
              <w:rPr>
                <w:rFonts w:ascii="Times New Roman" w:hAnsi="Times New Roman" w:eastAsia="宋体" w:cs="Times New Roman"/>
                <w:color w:val="auto"/>
                <w:kern w:val="0"/>
                <w:sz w:val="18"/>
                <w:szCs w:val="18"/>
              </w:rPr>
            </w:pPr>
            <w:r>
              <w:rPr>
                <w:rFonts w:ascii="Times New Roman" w:hAnsi="Times New Roman" w:eastAsia="宋体" w:cs="Times New Roman"/>
                <w:color w:val="auto"/>
                <w:kern w:val="0"/>
                <w:sz w:val="18"/>
                <w:szCs w:val="18"/>
              </w:rPr>
              <w:t>20</w:t>
            </w:r>
            <w:r>
              <w:rPr>
                <w:rFonts w:hint="eastAsia" w:ascii="Times New Roman" w:hAnsi="Times New Roman" w:eastAsia="宋体" w:cs="Times New Roman"/>
                <w:color w:val="auto"/>
                <w:kern w:val="0"/>
                <w:sz w:val="18"/>
                <w:szCs w:val="18"/>
                <w:lang w:val="en-US" w:eastAsia="zh-CN"/>
              </w:rPr>
              <w:t>21</w:t>
            </w:r>
            <w:r>
              <w:rPr>
                <w:rFonts w:ascii="Times New Roman" w:hAnsi="Times New Roman" w:eastAsia="宋体" w:cs="Times New Roman"/>
                <w:color w:val="auto"/>
                <w:kern w:val="0"/>
                <w:sz w:val="18"/>
                <w:szCs w:val="18"/>
              </w:rPr>
              <w:t>110601368</w:t>
            </w:r>
          </w:p>
        </w:tc>
        <w:tc>
          <w:tcPr>
            <w:tcW w:w="1417" w:type="dxa"/>
            <w:vAlign w:val="center"/>
          </w:tcPr>
          <w:p>
            <w:pPr>
              <w:jc w:val="center"/>
              <w:rPr>
                <w:rFonts w:ascii="Times New Roman" w:hAnsi="Times New Roman" w:cs="Times New Roman"/>
                <w:color w:val="auto"/>
              </w:rPr>
            </w:pPr>
            <w:r>
              <w:rPr>
                <w:rFonts w:hint="eastAsia" w:ascii="Times New Roman" w:hAnsi="Times New Roman" w:cs="Times New Roman"/>
                <w:color w:val="auto"/>
              </w:rPr>
              <w:t>2</w:t>
            </w:r>
            <w:r>
              <w:rPr>
                <w:rFonts w:ascii="Times New Roman" w:hAnsi="Times New Roman" w:cs="Times New Roman"/>
                <w:color w:val="auto"/>
              </w:rPr>
              <w:t>02</w:t>
            </w:r>
            <w:r>
              <w:rPr>
                <w:rFonts w:hint="eastAsia" w:ascii="Times New Roman" w:hAnsi="Times New Roman" w:cs="Times New Roman"/>
                <w:color w:val="auto"/>
                <w:lang w:val="en-US" w:eastAsia="zh-CN"/>
              </w:rPr>
              <w:t>2</w:t>
            </w:r>
            <w:r>
              <w:rPr>
                <w:rFonts w:ascii="Times New Roman" w:hAnsi="Times New Roman" w:cs="Times New Roman"/>
                <w:color w:val="auto"/>
              </w:rPr>
              <w:t>.11.05</w:t>
            </w:r>
          </w:p>
        </w:tc>
      </w:tr>
    </w:tbl>
    <w:p>
      <w:pPr>
        <w:numPr>
          <w:ilvl w:val="0"/>
          <w:numId w:val="3"/>
        </w:numPr>
        <w:jc w:val="left"/>
        <w:rPr>
          <w:rFonts w:ascii="黑体" w:hAnsi="黑体" w:eastAsia="黑体" w:cs="黑体"/>
          <w:color w:val="auto"/>
          <w:sz w:val="28"/>
          <w:szCs w:val="28"/>
        </w:rPr>
      </w:pPr>
      <w:r>
        <w:rPr>
          <w:rFonts w:hint="eastAsia" w:ascii="黑体" w:hAnsi="黑体" w:eastAsia="黑体" w:cs="黑体"/>
          <w:color w:val="auto"/>
          <w:sz w:val="28"/>
          <w:szCs w:val="28"/>
        </w:rPr>
        <w:t>试验方法</w:t>
      </w:r>
    </w:p>
    <w:p>
      <w:pPr>
        <w:spacing w:line="360" w:lineRule="auto"/>
        <w:ind w:firstLine="480" w:firstLineChars="200"/>
        <w:rPr>
          <w:color w:val="auto"/>
          <w:sz w:val="24"/>
        </w:rPr>
      </w:pPr>
      <w:r>
        <w:rPr>
          <w:rFonts w:hint="eastAsia"/>
          <w:color w:val="auto"/>
          <w:sz w:val="24"/>
        </w:rPr>
        <w:t>仪器开机，根据操作说明书要求预热仪器</w:t>
      </w:r>
      <w:r>
        <w:rPr>
          <w:rFonts w:hint="eastAsia"/>
          <w:color w:val="auto"/>
          <w:sz w:val="24"/>
          <w:lang w:eastAsia="zh-CN"/>
        </w:rPr>
        <w:t>，打开气源</w:t>
      </w:r>
      <w:r>
        <w:rPr>
          <w:rFonts w:hint="eastAsia"/>
          <w:color w:val="auto"/>
          <w:sz w:val="24"/>
        </w:rPr>
        <w:t>，调整气体流速，记录并计算其稳定性。</w:t>
      </w:r>
    </w:p>
    <w:p>
      <w:pPr>
        <w:numPr>
          <w:ilvl w:val="0"/>
          <w:numId w:val="3"/>
        </w:numPr>
        <w:jc w:val="left"/>
        <w:rPr>
          <w:rFonts w:ascii="黑体" w:hAnsi="黑体" w:eastAsia="黑体" w:cs="黑体"/>
          <w:color w:val="auto"/>
          <w:sz w:val="28"/>
          <w:szCs w:val="28"/>
        </w:rPr>
      </w:pPr>
      <w:r>
        <w:rPr>
          <w:rFonts w:hint="eastAsia" w:ascii="黑体" w:hAnsi="黑体" w:eastAsia="黑体" w:cs="黑体"/>
          <w:color w:val="auto"/>
          <w:sz w:val="28"/>
          <w:szCs w:val="28"/>
        </w:rPr>
        <w:t>试验环境条件</w:t>
      </w:r>
    </w:p>
    <w:p>
      <w:pPr>
        <w:widowControl/>
        <w:tabs>
          <w:tab w:val="left" w:pos="3885"/>
        </w:tabs>
        <w:spacing w:line="440" w:lineRule="exact"/>
        <w:ind w:firstLine="480" w:firstLineChars="200"/>
        <w:jc w:val="left"/>
        <w:rPr>
          <w:color w:val="auto"/>
          <w:sz w:val="24"/>
        </w:rPr>
      </w:pPr>
      <w:r>
        <w:rPr>
          <w:rFonts w:hint="eastAsia"/>
          <w:color w:val="auto"/>
          <w:sz w:val="24"/>
        </w:rPr>
        <w:t>环境温度：2</w:t>
      </w:r>
      <w:r>
        <w:rPr>
          <w:color w:val="auto"/>
          <w:sz w:val="24"/>
        </w:rPr>
        <w:t>2.8</w:t>
      </w:r>
      <w:r>
        <w:rPr>
          <w:rFonts w:hint="eastAsia"/>
          <w:color w:val="auto"/>
          <w:sz w:val="24"/>
        </w:rPr>
        <w:t>℃</w:t>
      </w:r>
    </w:p>
    <w:p>
      <w:pPr>
        <w:widowControl/>
        <w:tabs>
          <w:tab w:val="left" w:pos="3885"/>
        </w:tabs>
        <w:spacing w:line="440" w:lineRule="exact"/>
        <w:ind w:firstLine="480" w:firstLineChars="200"/>
        <w:jc w:val="left"/>
        <w:rPr>
          <w:color w:val="auto"/>
          <w:sz w:val="24"/>
        </w:rPr>
      </w:pPr>
      <w:r>
        <w:rPr>
          <w:color w:val="auto"/>
          <w:sz w:val="24"/>
        </w:rPr>
        <w:t>相对湿度：</w:t>
      </w:r>
      <w:r>
        <w:rPr>
          <w:rFonts w:hint="eastAsia"/>
          <w:color w:val="auto"/>
          <w:sz w:val="24"/>
        </w:rPr>
        <w:t>6</w:t>
      </w:r>
      <w:r>
        <w:rPr>
          <w:color w:val="auto"/>
          <w:sz w:val="24"/>
        </w:rPr>
        <w:t>0%RH</w:t>
      </w:r>
    </w:p>
    <w:p>
      <w:pPr>
        <w:widowControl/>
        <w:tabs>
          <w:tab w:val="left" w:pos="3885"/>
        </w:tabs>
        <w:spacing w:line="440" w:lineRule="exact"/>
        <w:ind w:firstLine="480" w:firstLineChars="200"/>
        <w:jc w:val="left"/>
        <w:rPr>
          <w:color w:val="auto"/>
          <w:sz w:val="24"/>
        </w:rPr>
      </w:pPr>
      <w:r>
        <w:rPr>
          <w:color w:val="auto"/>
          <w:sz w:val="24"/>
        </w:rPr>
        <w:t>周围无影响仪器正常工作的电磁</w:t>
      </w:r>
      <w:r>
        <w:rPr>
          <w:rFonts w:hint="eastAsia"/>
          <w:color w:val="auto"/>
          <w:sz w:val="24"/>
        </w:rPr>
        <w:t>干扰</w:t>
      </w:r>
      <w:r>
        <w:rPr>
          <w:color w:val="auto"/>
          <w:sz w:val="24"/>
        </w:rPr>
        <w:t>和机械振动，无腐蚀性</w:t>
      </w:r>
      <w:r>
        <w:rPr>
          <w:rFonts w:hint="eastAsia"/>
          <w:color w:val="auto"/>
          <w:sz w:val="24"/>
          <w:lang w:eastAsia="zh-CN"/>
        </w:rPr>
        <w:t>气体</w:t>
      </w:r>
      <w:r>
        <w:rPr>
          <w:rFonts w:hint="eastAsia"/>
          <w:color w:val="auto"/>
          <w:sz w:val="24"/>
        </w:rPr>
        <w:t>液</w:t>
      </w:r>
      <w:r>
        <w:rPr>
          <w:color w:val="auto"/>
          <w:sz w:val="24"/>
        </w:rPr>
        <w:t>体存在。</w:t>
      </w:r>
    </w:p>
    <w:p>
      <w:pPr>
        <w:numPr>
          <w:ilvl w:val="0"/>
          <w:numId w:val="3"/>
        </w:numPr>
        <w:jc w:val="left"/>
        <w:rPr>
          <w:rFonts w:ascii="黑体" w:hAnsi="黑体" w:eastAsia="黑体" w:cs="黑体"/>
          <w:color w:val="auto"/>
          <w:sz w:val="28"/>
          <w:szCs w:val="28"/>
        </w:rPr>
      </w:pPr>
      <w:r>
        <w:rPr>
          <w:rFonts w:hint="eastAsia" w:ascii="黑体" w:hAnsi="黑体" w:eastAsia="黑体" w:cs="黑体"/>
          <w:color w:val="auto"/>
          <w:sz w:val="28"/>
          <w:szCs w:val="28"/>
        </w:rPr>
        <w:t>试验过程（试验内容）</w:t>
      </w:r>
    </w:p>
    <w:p>
      <w:pPr>
        <w:keepNext w:val="0"/>
        <w:keepLines w:val="0"/>
        <w:pageBreakBefore w:val="0"/>
        <w:widowControl w:val="0"/>
        <w:kinsoku/>
        <w:wordWrap/>
        <w:overflowPunct/>
        <w:topLinePunct w:val="0"/>
        <w:autoSpaceDE/>
        <w:autoSpaceDN/>
        <w:bidi w:val="0"/>
        <w:adjustRightInd/>
        <w:snapToGrid w:val="0"/>
        <w:spacing w:line="440" w:lineRule="exact"/>
        <w:ind w:right="6" w:firstLine="480" w:firstLineChars="200"/>
        <w:textAlignment w:val="auto"/>
        <w:outlineLvl w:val="1"/>
        <w:rPr>
          <w:rFonts w:hint="eastAsia" w:hAnsi="宋体"/>
          <w:color w:val="auto"/>
          <w:sz w:val="24"/>
        </w:rPr>
      </w:pPr>
      <w:r>
        <w:rPr>
          <w:rFonts w:hint="eastAsia" w:hAnsi="宋体"/>
          <w:color w:val="auto"/>
          <w:sz w:val="24"/>
        </w:rPr>
        <w:t>选取如下五个生产厂家生产的氧指数测定仪作为测试对象，分别是：南京市江宁区分析仪器厂（型号J</w:t>
      </w:r>
      <w:r>
        <w:rPr>
          <w:rFonts w:hAnsi="宋体"/>
          <w:color w:val="auto"/>
          <w:sz w:val="24"/>
        </w:rPr>
        <w:t>F-3</w:t>
      </w:r>
      <w:r>
        <w:rPr>
          <w:rFonts w:hint="eastAsia" w:hAnsi="宋体"/>
          <w:color w:val="auto"/>
          <w:sz w:val="24"/>
        </w:rPr>
        <w:t>，编号2</w:t>
      </w:r>
      <w:r>
        <w:rPr>
          <w:rFonts w:hAnsi="宋体"/>
          <w:color w:val="auto"/>
          <w:sz w:val="24"/>
        </w:rPr>
        <w:t>01701007</w:t>
      </w:r>
      <w:r>
        <w:rPr>
          <w:rFonts w:hint="eastAsia" w:hAnsi="宋体"/>
          <w:color w:val="auto"/>
          <w:sz w:val="24"/>
        </w:rPr>
        <w:t>，简称仪器A）、东莞市品高仪器设备有限公司（型号</w:t>
      </w:r>
      <w:r>
        <w:rPr>
          <w:rFonts w:hAnsi="宋体"/>
          <w:color w:val="auto"/>
          <w:sz w:val="24"/>
        </w:rPr>
        <w:t>PG5074</w:t>
      </w:r>
      <w:r>
        <w:rPr>
          <w:rFonts w:hint="eastAsia" w:hAnsi="宋体"/>
          <w:color w:val="auto"/>
          <w:sz w:val="24"/>
        </w:rPr>
        <w:t>，编号</w:t>
      </w:r>
      <w:r>
        <w:rPr>
          <w:rFonts w:hAnsi="宋体"/>
          <w:color w:val="auto"/>
          <w:sz w:val="24"/>
        </w:rPr>
        <w:t>106654</w:t>
      </w:r>
      <w:r>
        <w:rPr>
          <w:rFonts w:hint="eastAsia" w:hAnsi="宋体"/>
          <w:color w:val="auto"/>
          <w:sz w:val="24"/>
        </w:rPr>
        <w:t>，简称仪器</w:t>
      </w:r>
      <w:r>
        <w:rPr>
          <w:rFonts w:hAnsi="宋体"/>
          <w:color w:val="auto"/>
          <w:sz w:val="24"/>
        </w:rPr>
        <w:t>B</w:t>
      </w:r>
      <w:r>
        <w:rPr>
          <w:rFonts w:hint="eastAsia" w:hAnsi="宋体"/>
          <w:color w:val="auto"/>
          <w:sz w:val="24"/>
        </w:rPr>
        <w:t>）、江南正瑞泰邦电子科技有限公司（型号</w:t>
      </w:r>
      <w:r>
        <w:rPr>
          <w:rFonts w:hAnsi="宋体"/>
          <w:color w:val="auto"/>
          <w:sz w:val="24"/>
        </w:rPr>
        <w:t>JF-3</w:t>
      </w:r>
      <w:r>
        <w:rPr>
          <w:rFonts w:hint="eastAsia" w:hAnsi="宋体"/>
          <w:color w:val="auto"/>
          <w:sz w:val="24"/>
        </w:rPr>
        <w:t>，编号</w:t>
      </w:r>
      <w:r>
        <w:rPr>
          <w:rFonts w:hAnsi="宋体"/>
          <w:color w:val="auto"/>
          <w:sz w:val="24"/>
        </w:rPr>
        <w:t>2016014</w:t>
      </w:r>
      <w:r>
        <w:rPr>
          <w:rFonts w:hint="eastAsia" w:hAnsi="宋体"/>
          <w:color w:val="auto"/>
          <w:sz w:val="24"/>
        </w:rPr>
        <w:t>，简称仪器C）、绍兴市上虞区科南仪器有限公司（型号</w:t>
      </w:r>
      <w:r>
        <w:rPr>
          <w:rFonts w:hAnsi="宋体"/>
          <w:color w:val="auto"/>
          <w:sz w:val="24"/>
        </w:rPr>
        <w:t>JF-3</w:t>
      </w:r>
      <w:r>
        <w:rPr>
          <w:rFonts w:hint="eastAsia" w:hAnsi="宋体"/>
          <w:color w:val="auto"/>
          <w:sz w:val="24"/>
        </w:rPr>
        <w:t>，编号</w:t>
      </w:r>
      <w:r>
        <w:rPr>
          <w:rFonts w:hAnsi="宋体"/>
          <w:color w:val="auto"/>
          <w:sz w:val="24"/>
        </w:rPr>
        <w:t>2015044</w:t>
      </w:r>
      <w:r>
        <w:rPr>
          <w:rFonts w:hint="eastAsia" w:hAnsi="宋体"/>
          <w:color w:val="auto"/>
          <w:sz w:val="24"/>
        </w:rPr>
        <w:t>，简称仪器</w:t>
      </w:r>
      <w:r>
        <w:rPr>
          <w:rFonts w:hAnsi="宋体"/>
          <w:color w:val="auto"/>
          <w:sz w:val="24"/>
        </w:rPr>
        <w:t>D</w:t>
      </w:r>
      <w:r>
        <w:rPr>
          <w:rFonts w:hint="eastAsia" w:hAnsi="宋体"/>
          <w:color w:val="auto"/>
          <w:sz w:val="24"/>
        </w:rPr>
        <w:t>）、济南艾德普仪器有限公司（型号</w:t>
      </w:r>
      <w:r>
        <w:rPr>
          <w:rFonts w:hAnsi="宋体"/>
          <w:color w:val="auto"/>
          <w:sz w:val="24"/>
        </w:rPr>
        <w:t>JF-3</w:t>
      </w:r>
      <w:r>
        <w:rPr>
          <w:rFonts w:hint="eastAsia" w:hAnsi="宋体"/>
          <w:color w:val="auto"/>
          <w:sz w:val="24"/>
        </w:rPr>
        <w:t>，编号1</w:t>
      </w:r>
      <w:r>
        <w:rPr>
          <w:rFonts w:hAnsi="宋体"/>
          <w:color w:val="auto"/>
          <w:sz w:val="24"/>
        </w:rPr>
        <w:t>02154</w:t>
      </w:r>
      <w:r>
        <w:rPr>
          <w:rFonts w:hint="eastAsia" w:hAnsi="宋体"/>
          <w:color w:val="auto"/>
          <w:sz w:val="24"/>
        </w:rPr>
        <w:t>，简称仪器</w:t>
      </w:r>
      <w:r>
        <w:rPr>
          <w:rFonts w:hAnsi="宋体"/>
          <w:color w:val="auto"/>
          <w:sz w:val="24"/>
        </w:rPr>
        <w:t>E</w:t>
      </w:r>
      <w:r>
        <w:rPr>
          <w:rFonts w:hint="eastAsia" w:hAnsi="宋体"/>
          <w:color w:val="auto"/>
          <w:sz w:val="24"/>
        </w:rPr>
        <w:t>）。</w:t>
      </w:r>
    </w:p>
    <w:p>
      <w:pPr>
        <w:spacing w:line="360" w:lineRule="auto"/>
        <w:ind w:firstLine="480" w:firstLineChars="200"/>
        <w:rPr>
          <w:color w:val="auto"/>
          <w:sz w:val="24"/>
        </w:rPr>
      </w:pPr>
      <w:r>
        <w:rPr>
          <w:rFonts w:hint="eastAsia"/>
          <w:color w:val="auto"/>
          <w:sz w:val="24"/>
          <w:lang w:val="en-US" w:eastAsia="zh-CN"/>
        </w:rPr>
        <w:t>启动电源</w:t>
      </w:r>
      <w:r>
        <w:rPr>
          <w:rFonts w:hint="eastAsia"/>
          <w:color w:val="auto"/>
          <w:sz w:val="24"/>
        </w:rPr>
        <w:t>，根据操作说明书要求预热仪器。</w:t>
      </w:r>
      <w:r>
        <w:rPr>
          <w:rFonts w:hint="eastAsia"/>
          <w:color w:val="auto"/>
          <w:sz w:val="24"/>
          <w:lang w:eastAsia="zh-CN"/>
        </w:rPr>
        <w:t>打开气源开关，调节气流总流量约为</w:t>
      </w:r>
      <w:r>
        <w:rPr>
          <w:rFonts w:hint="eastAsia"/>
          <w:color w:val="auto"/>
          <w:sz w:val="24"/>
          <w:lang w:val="en-US" w:eastAsia="zh-CN"/>
        </w:rPr>
        <w:t>10L/min</w:t>
      </w:r>
      <w:r>
        <w:rPr>
          <w:rFonts w:hint="eastAsia"/>
          <w:color w:val="auto"/>
          <w:sz w:val="24"/>
        </w:rPr>
        <w:t>，</w:t>
      </w:r>
      <w:r>
        <w:rPr>
          <w:rFonts w:hint="eastAsia"/>
          <w:color w:val="auto"/>
          <w:sz w:val="24"/>
          <w:lang w:eastAsia="zh-CN"/>
        </w:rPr>
        <w:t>待流量稳定后，每间隔</w:t>
      </w:r>
      <w:r>
        <w:rPr>
          <w:rFonts w:hint="eastAsia"/>
          <w:color w:val="auto"/>
          <w:sz w:val="24"/>
          <w:lang w:val="en-US" w:eastAsia="zh-CN"/>
        </w:rPr>
        <w:t>1min重复读数，共读数7次</w:t>
      </w:r>
      <w:r>
        <w:rPr>
          <w:rFonts w:hint="eastAsia" w:hAnsi="宋体"/>
          <w:color w:val="auto"/>
          <w:sz w:val="24"/>
        </w:rPr>
        <w:t>。</w:t>
      </w:r>
    </w:p>
    <w:p>
      <w:pPr>
        <w:numPr>
          <w:ilvl w:val="0"/>
          <w:numId w:val="3"/>
        </w:numPr>
        <w:jc w:val="left"/>
        <w:rPr>
          <w:rFonts w:ascii="黑体" w:hAnsi="黑体" w:eastAsia="黑体" w:cs="黑体"/>
          <w:color w:val="auto"/>
          <w:sz w:val="28"/>
          <w:szCs w:val="28"/>
        </w:rPr>
      </w:pPr>
      <w:r>
        <w:rPr>
          <w:rFonts w:hint="eastAsia" w:ascii="黑体" w:hAnsi="黑体" w:eastAsia="黑体" w:cs="黑体"/>
          <w:color w:val="auto"/>
          <w:sz w:val="28"/>
          <w:szCs w:val="28"/>
        </w:rPr>
        <w:t>试验数据</w:t>
      </w:r>
    </w:p>
    <w:p>
      <w:pPr>
        <w:jc w:val="center"/>
        <w:rPr>
          <w:rFonts w:hint="eastAsia" w:ascii="黑体" w:hAnsi="黑体" w:eastAsia="黑体" w:cs="黑体"/>
          <w:b/>
          <w:color w:val="auto"/>
          <w:szCs w:val="21"/>
          <w:lang w:eastAsia="zh-CN"/>
        </w:rPr>
      </w:pPr>
      <w:r>
        <w:rPr>
          <w:rFonts w:hint="eastAsia" w:ascii="黑体" w:hAnsi="黑体" w:eastAsia="黑体" w:cs="黑体"/>
          <w:b/>
          <w:color w:val="auto"/>
          <w:szCs w:val="21"/>
        </w:rPr>
        <w:t>表2</w:t>
      </w:r>
      <w:r>
        <w:rPr>
          <w:rFonts w:ascii="黑体" w:hAnsi="黑体" w:eastAsia="黑体" w:cs="黑体"/>
          <w:b/>
          <w:color w:val="auto"/>
          <w:szCs w:val="21"/>
        </w:rPr>
        <w:t xml:space="preserve"> </w:t>
      </w:r>
      <w:r>
        <w:rPr>
          <w:rFonts w:hint="eastAsia" w:ascii="黑体" w:hAnsi="黑体" w:eastAsia="黑体" w:cs="黑体"/>
          <w:b/>
          <w:color w:val="auto"/>
          <w:szCs w:val="21"/>
          <w:lang w:eastAsia="zh-CN"/>
        </w:rPr>
        <w:t>气流稳定性</w:t>
      </w:r>
      <w:r>
        <w:rPr>
          <w:rFonts w:hint="eastAsia" w:ascii="黑体" w:hAnsi="黑体" w:eastAsia="黑体" w:cs="黑体"/>
          <w:b/>
          <w:color w:val="auto"/>
          <w:szCs w:val="21"/>
        </w:rPr>
        <w:t>校准</w:t>
      </w:r>
      <w:r>
        <w:rPr>
          <w:rFonts w:hint="eastAsia" w:ascii="黑体" w:hAnsi="黑体" w:eastAsia="黑体" w:cs="黑体"/>
          <w:b/>
          <w:color w:val="auto"/>
          <w:szCs w:val="21"/>
          <w:lang w:eastAsia="zh-CN"/>
        </w:rPr>
        <w:t>数据和结果</w:t>
      </w:r>
    </w:p>
    <w:tbl>
      <w:tblPr>
        <w:tblStyle w:val="7"/>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838"/>
        <w:gridCol w:w="757"/>
        <w:gridCol w:w="757"/>
        <w:gridCol w:w="757"/>
        <w:gridCol w:w="758"/>
        <w:gridCol w:w="757"/>
        <w:gridCol w:w="757"/>
        <w:gridCol w:w="758"/>
        <w:gridCol w:w="1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jc w:val="center"/>
              <w:rPr>
                <w:color w:val="auto"/>
                <w:szCs w:val="21"/>
              </w:rPr>
            </w:pPr>
            <w:r>
              <w:rPr>
                <w:rFonts w:hint="eastAsia"/>
                <w:color w:val="auto"/>
                <w:szCs w:val="21"/>
              </w:rPr>
              <w:t>仪器</w:t>
            </w:r>
          </w:p>
        </w:tc>
        <w:tc>
          <w:tcPr>
            <w:tcW w:w="1838" w:type="dxa"/>
            <w:shd w:val="clear" w:color="auto" w:fill="auto"/>
            <w:vAlign w:val="center"/>
          </w:tcPr>
          <w:p>
            <w:pPr>
              <w:jc w:val="center"/>
              <w:rPr>
                <w:color w:val="auto"/>
                <w:szCs w:val="21"/>
              </w:rPr>
            </w:pPr>
            <w:r>
              <w:rPr>
                <w:rFonts w:hint="eastAsia"/>
                <w:color w:val="auto"/>
                <w:szCs w:val="21"/>
              </w:rPr>
              <w:t>测量次数</w:t>
            </w:r>
          </w:p>
        </w:tc>
        <w:tc>
          <w:tcPr>
            <w:tcW w:w="757" w:type="dxa"/>
            <w:shd w:val="clear" w:color="auto" w:fill="auto"/>
            <w:vAlign w:val="center"/>
          </w:tcPr>
          <w:p>
            <w:pPr>
              <w:jc w:val="center"/>
              <w:rPr>
                <w:color w:val="auto"/>
                <w:szCs w:val="21"/>
              </w:rPr>
            </w:pPr>
            <w:r>
              <w:rPr>
                <w:rFonts w:hint="eastAsia"/>
                <w:color w:val="auto"/>
                <w:szCs w:val="21"/>
              </w:rPr>
              <w:t>1</w:t>
            </w:r>
          </w:p>
        </w:tc>
        <w:tc>
          <w:tcPr>
            <w:tcW w:w="757" w:type="dxa"/>
            <w:shd w:val="clear" w:color="auto" w:fill="auto"/>
            <w:vAlign w:val="center"/>
          </w:tcPr>
          <w:p>
            <w:pPr>
              <w:jc w:val="center"/>
              <w:rPr>
                <w:color w:val="auto"/>
                <w:szCs w:val="21"/>
              </w:rPr>
            </w:pPr>
            <w:r>
              <w:rPr>
                <w:rFonts w:hint="eastAsia"/>
                <w:color w:val="auto"/>
                <w:szCs w:val="21"/>
              </w:rPr>
              <w:t>2</w:t>
            </w:r>
          </w:p>
        </w:tc>
        <w:tc>
          <w:tcPr>
            <w:tcW w:w="757" w:type="dxa"/>
            <w:shd w:val="clear" w:color="auto" w:fill="auto"/>
            <w:vAlign w:val="center"/>
          </w:tcPr>
          <w:p>
            <w:pPr>
              <w:jc w:val="center"/>
              <w:rPr>
                <w:color w:val="auto"/>
                <w:szCs w:val="21"/>
              </w:rPr>
            </w:pPr>
            <w:r>
              <w:rPr>
                <w:rFonts w:hint="eastAsia"/>
                <w:color w:val="auto"/>
                <w:szCs w:val="21"/>
              </w:rPr>
              <w:t>3</w:t>
            </w:r>
          </w:p>
        </w:tc>
        <w:tc>
          <w:tcPr>
            <w:tcW w:w="758" w:type="dxa"/>
            <w:shd w:val="clear" w:color="auto" w:fill="auto"/>
            <w:vAlign w:val="center"/>
          </w:tcPr>
          <w:p>
            <w:pPr>
              <w:jc w:val="center"/>
              <w:rPr>
                <w:color w:val="auto"/>
                <w:szCs w:val="21"/>
              </w:rPr>
            </w:pPr>
            <w:r>
              <w:rPr>
                <w:rFonts w:hint="eastAsia"/>
                <w:color w:val="auto"/>
                <w:szCs w:val="21"/>
              </w:rPr>
              <w:t>4</w:t>
            </w:r>
          </w:p>
        </w:tc>
        <w:tc>
          <w:tcPr>
            <w:tcW w:w="757" w:type="dxa"/>
            <w:shd w:val="clear" w:color="auto" w:fill="auto"/>
            <w:vAlign w:val="center"/>
          </w:tcPr>
          <w:p>
            <w:pPr>
              <w:jc w:val="center"/>
              <w:rPr>
                <w:color w:val="auto"/>
                <w:szCs w:val="21"/>
              </w:rPr>
            </w:pPr>
            <w:r>
              <w:rPr>
                <w:rFonts w:hint="eastAsia"/>
                <w:color w:val="auto"/>
                <w:szCs w:val="21"/>
              </w:rPr>
              <w:t>5</w:t>
            </w:r>
          </w:p>
        </w:tc>
        <w:tc>
          <w:tcPr>
            <w:tcW w:w="757" w:type="dxa"/>
            <w:shd w:val="clear" w:color="auto" w:fill="auto"/>
            <w:vAlign w:val="center"/>
          </w:tcPr>
          <w:p>
            <w:pPr>
              <w:jc w:val="center"/>
              <w:rPr>
                <w:color w:val="auto"/>
                <w:szCs w:val="21"/>
              </w:rPr>
            </w:pPr>
            <w:r>
              <w:rPr>
                <w:rFonts w:hint="eastAsia"/>
                <w:color w:val="auto"/>
                <w:szCs w:val="21"/>
              </w:rPr>
              <w:t>6</w:t>
            </w:r>
          </w:p>
        </w:tc>
        <w:tc>
          <w:tcPr>
            <w:tcW w:w="758" w:type="dxa"/>
            <w:shd w:val="clear" w:color="auto" w:fill="auto"/>
            <w:vAlign w:val="center"/>
          </w:tcPr>
          <w:p>
            <w:pPr>
              <w:jc w:val="center"/>
              <w:rPr>
                <w:color w:val="auto"/>
                <w:szCs w:val="21"/>
              </w:rPr>
            </w:pPr>
            <w:r>
              <w:rPr>
                <w:rFonts w:hint="eastAsia"/>
                <w:color w:val="auto"/>
                <w:szCs w:val="21"/>
              </w:rPr>
              <w:t>7</w:t>
            </w:r>
          </w:p>
        </w:tc>
        <w:tc>
          <w:tcPr>
            <w:tcW w:w="1503" w:type="dxa"/>
            <w:shd w:val="clear" w:color="auto" w:fill="auto"/>
            <w:vAlign w:val="center"/>
          </w:tcPr>
          <w:p>
            <w:pPr>
              <w:jc w:val="center"/>
              <w:rPr>
                <w:color w:val="auto"/>
                <w:szCs w:val="21"/>
                <w:u w:val="single"/>
              </w:rPr>
            </w:pPr>
            <w:r>
              <w:rPr>
                <w:rFonts w:hint="eastAsia"/>
                <w:color w:val="auto"/>
                <w:szCs w:val="21"/>
              </w:rPr>
              <w:t>稳定性（%）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jc w:val="center"/>
              <w:rPr>
                <w:color w:val="auto"/>
                <w:szCs w:val="21"/>
              </w:rPr>
            </w:pPr>
            <w:r>
              <w:rPr>
                <w:rFonts w:hint="eastAsia"/>
                <w:color w:val="auto"/>
                <w:szCs w:val="21"/>
              </w:rPr>
              <w:t>A</w:t>
            </w:r>
          </w:p>
        </w:tc>
        <w:tc>
          <w:tcPr>
            <w:tcW w:w="1838" w:type="dxa"/>
            <w:shd w:val="clear" w:color="auto" w:fill="auto"/>
            <w:vAlign w:val="center"/>
          </w:tcPr>
          <w:p>
            <w:pPr>
              <w:jc w:val="center"/>
              <w:rPr>
                <w:color w:val="auto"/>
                <w:szCs w:val="21"/>
              </w:rPr>
            </w:pPr>
            <w:r>
              <w:rPr>
                <w:rFonts w:hint="eastAsia"/>
                <w:color w:val="auto"/>
                <w:szCs w:val="21"/>
              </w:rPr>
              <w:t>测量值（</w:t>
            </w:r>
            <w:r>
              <w:rPr>
                <w:color w:val="auto"/>
                <w:szCs w:val="21"/>
              </w:rPr>
              <w:t>L/min</w:t>
            </w:r>
            <w:r>
              <w:rPr>
                <w:rFonts w:hint="eastAsia"/>
                <w:color w:val="auto"/>
                <w:szCs w:val="21"/>
              </w:rPr>
              <w:t>）</w:t>
            </w:r>
          </w:p>
        </w:tc>
        <w:tc>
          <w:tcPr>
            <w:tcW w:w="757" w:type="dxa"/>
            <w:shd w:val="clear" w:color="auto" w:fill="auto"/>
            <w:vAlign w:val="center"/>
          </w:tcPr>
          <w:p>
            <w:pPr>
              <w:jc w:val="center"/>
              <w:rPr>
                <w:color w:val="auto"/>
                <w:szCs w:val="21"/>
              </w:rPr>
            </w:pPr>
            <w:r>
              <w:rPr>
                <w:rFonts w:hint="eastAsia"/>
                <w:color w:val="auto"/>
                <w:szCs w:val="21"/>
              </w:rPr>
              <w:t xml:space="preserve">10.0 </w:t>
            </w:r>
          </w:p>
        </w:tc>
        <w:tc>
          <w:tcPr>
            <w:tcW w:w="757" w:type="dxa"/>
            <w:shd w:val="clear" w:color="auto" w:fill="auto"/>
            <w:vAlign w:val="center"/>
          </w:tcPr>
          <w:p>
            <w:pPr>
              <w:jc w:val="center"/>
              <w:rPr>
                <w:color w:val="auto"/>
                <w:szCs w:val="21"/>
              </w:rPr>
            </w:pPr>
            <w:r>
              <w:rPr>
                <w:rFonts w:hint="eastAsia"/>
                <w:color w:val="auto"/>
                <w:szCs w:val="21"/>
              </w:rPr>
              <w:t>10.</w:t>
            </w:r>
            <w:r>
              <w:rPr>
                <w:rFonts w:hint="eastAsia"/>
                <w:color w:val="auto"/>
                <w:szCs w:val="21"/>
                <w:lang w:val="en-US" w:eastAsia="zh-CN"/>
              </w:rPr>
              <w:t>2</w:t>
            </w:r>
            <w:r>
              <w:rPr>
                <w:rFonts w:hint="eastAsia"/>
                <w:color w:val="auto"/>
                <w:szCs w:val="21"/>
              </w:rPr>
              <w:t xml:space="preserve"> </w:t>
            </w:r>
          </w:p>
        </w:tc>
        <w:tc>
          <w:tcPr>
            <w:tcW w:w="757" w:type="dxa"/>
            <w:shd w:val="clear" w:color="auto" w:fill="auto"/>
            <w:vAlign w:val="center"/>
          </w:tcPr>
          <w:p>
            <w:pPr>
              <w:jc w:val="center"/>
              <w:rPr>
                <w:color w:val="auto"/>
                <w:szCs w:val="21"/>
              </w:rPr>
            </w:pPr>
            <w:r>
              <w:rPr>
                <w:rFonts w:hint="eastAsia"/>
                <w:color w:val="auto"/>
                <w:szCs w:val="21"/>
              </w:rPr>
              <w:t>10.</w:t>
            </w:r>
            <w:r>
              <w:rPr>
                <w:rFonts w:hint="eastAsia"/>
                <w:color w:val="auto"/>
                <w:szCs w:val="21"/>
                <w:lang w:val="en-US" w:eastAsia="zh-CN"/>
              </w:rPr>
              <w:t>1</w:t>
            </w:r>
            <w:r>
              <w:rPr>
                <w:rFonts w:hint="eastAsia"/>
                <w:color w:val="auto"/>
                <w:szCs w:val="21"/>
              </w:rPr>
              <w:t xml:space="preserve"> </w:t>
            </w:r>
          </w:p>
        </w:tc>
        <w:tc>
          <w:tcPr>
            <w:tcW w:w="758" w:type="dxa"/>
            <w:shd w:val="clear" w:color="auto" w:fill="auto"/>
            <w:vAlign w:val="center"/>
          </w:tcPr>
          <w:p>
            <w:pPr>
              <w:jc w:val="center"/>
              <w:rPr>
                <w:color w:val="auto"/>
                <w:szCs w:val="21"/>
              </w:rPr>
            </w:pPr>
            <w:r>
              <w:rPr>
                <w:rFonts w:hint="eastAsia"/>
                <w:color w:val="auto"/>
                <w:szCs w:val="21"/>
              </w:rPr>
              <w:t>10.</w:t>
            </w:r>
            <w:r>
              <w:rPr>
                <w:rFonts w:hint="eastAsia"/>
                <w:color w:val="auto"/>
                <w:szCs w:val="21"/>
                <w:lang w:val="en-US" w:eastAsia="zh-CN"/>
              </w:rPr>
              <w:t>1</w:t>
            </w:r>
            <w:r>
              <w:rPr>
                <w:rFonts w:hint="eastAsia"/>
                <w:color w:val="auto"/>
                <w:szCs w:val="21"/>
              </w:rPr>
              <w:t xml:space="preserve"> </w:t>
            </w:r>
          </w:p>
        </w:tc>
        <w:tc>
          <w:tcPr>
            <w:tcW w:w="757" w:type="dxa"/>
            <w:shd w:val="clear" w:color="auto" w:fill="auto"/>
            <w:vAlign w:val="center"/>
          </w:tcPr>
          <w:p>
            <w:pPr>
              <w:jc w:val="center"/>
              <w:rPr>
                <w:color w:val="auto"/>
                <w:szCs w:val="21"/>
              </w:rPr>
            </w:pPr>
            <w:r>
              <w:rPr>
                <w:rFonts w:hint="eastAsia"/>
                <w:color w:val="auto"/>
                <w:szCs w:val="21"/>
              </w:rPr>
              <w:t>10.</w:t>
            </w:r>
            <w:r>
              <w:rPr>
                <w:rFonts w:hint="eastAsia"/>
                <w:color w:val="auto"/>
                <w:szCs w:val="21"/>
                <w:lang w:val="en-US" w:eastAsia="zh-CN"/>
              </w:rPr>
              <w:t>0</w:t>
            </w:r>
            <w:r>
              <w:rPr>
                <w:rFonts w:hint="eastAsia"/>
                <w:color w:val="auto"/>
                <w:szCs w:val="21"/>
              </w:rPr>
              <w:t xml:space="preserve"> </w:t>
            </w:r>
          </w:p>
        </w:tc>
        <w:tc>
          <w:tcPr>
            <w:tcW w:w="757" w:type="dxa"/>
            <w:shd w:val="clear" w:color="auto" w:fill="auto"/>
            <w:vAlign w:val="center"/>
          </w:tcPr>
          <w:p>
            <w:pPr>
              <w:jc w:val="center"/>
              <w:rPr>
                <w:color w:val="auto"/>
                <w:szCs w:val="21"/>
              </w:rPr>
            </w:pPr>
            <w:r>
              <w:rPr>
                <w:rFonts w:hint="eastAsia"/>
                <w:color w:val="auto"/>
                <w:szCs w:val="21"/>
              </w:rPr>
              <w:t xml:space="preserve">9.8 </w:t>
            </w:r>
          </w:p>
        </w:tc>
        <w:tc>
          <w:tcPr>
            <w:tcW w:w="758" w:type="dxa"/>
            <w:shd w:val="clear" w:color="auto" w:fill="auto"/>
            <w:vAlign w:val="center"/>
          </w:tcPr>
          <w:p>
            <w:pPr>
              <w:jc w:val="center"/>
              <w:rPr>
                <w:color w:val="auto"/>
                <w:szCs w:val="21"/>
              </w:rPr>
            </w:pPr>
            <w:r>
              <w:rPr>
                <w:rFonts w:hint="eastAsia"/>
                <w:color w:val="auto"/>
                <w:szCs w:val="21"/>
              </w:rPr>
              <w:t>9.</w:t>
            </w:r>
            <w:r>
              <w:rPr>
                <w:rFonts w:hint="eastAsia"/>
                <w:color w:val="auto"/>
                <w:szCs w:val="21"/>
                <w:lang w:val="en-US" w:eastAsia="zh-CN"/>
              </w:rPr>
              <w:t>9</w:t>
            </w:r>
            <w:r>
              <w:rPr>
                <w:rFonts w:hint="eastAsia"/>
                <w:color w:val="auto"/>
                <w:szCs w:val="21"/>
              </w:rPr>
              <w:t xml:space="preserve"> </w:t>
            </w:r>
          </w:p>
        </w:tc>
        <w:tc>
          <w:tcPr>
            <w:tcW w:w="1503" w:type="dxa"/>
            <w:shd w:val="clear" w:color="auto" w:fill="auto"/>
            <w:vAlign w:val="center"/>
          </w:tcPr>
          <w:p>
            <w:pPr>
              <w:jc w:val="center"/>
              <w:rPr>
                <w:rFonts w:hint="eastAsia" w:eastAsiaTheme="minorEastAsia"/>
                <w:color w:val="auto"/>
                <w:szCs w:val="21"/>
                <w:lang w:eastAsia="zh-CN"/>
              </w:rPr>
            </w:pPr>
            <w:r>
              <w:rPr>
                <w:rFonts w:hint="eastAsia"/>
                <w:color w:val="auto"/>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jc w:val="center"/>
              <w:rPr>
                <w:color w:val="auto"/>
                <w:szCs w:val="21"/>
              </w:rPr>
            </w:pPr>
            <w:r>
              <w:rPr>
                <w:rFonts w:hint="eastAsia"/>
                <w:color w:val="auto"/>
                <w:szCs w:val="21"/>
              </w:rPr>
              <w:t>B</w:t>
            </w:r>
          </w:p>
        </w:tc>
        <w:tc>
          <w:tcPr>
            <w:tcW w:w="1838" w:type="dxa"/>
            <w:shd w:val="clear" w:color="auto" w:fill="auto"/>
          </w:tcPr>
          <w:p>
            <w:pPr>
              <w:jc w:val="center"/>
              <w:rPr>
                <w:color w:val="auto"/>
              </w:rPr>
            </w:pPr>
            <w:r>
              <w:rPr>
                <w:rFonts w:hint="eastAsia"/>
                <w:color w:val="auto"/>
                <w:szCs w:val="21"/>
              </w:rPr>
              <w:t>测量值（</w:t>
            </w:r>
            <w:r>
              <w:rPr>
                <w:color w:val="auto"/>
                <w:szCs w:val="21"/>
              </w:rPr>
              <w:t>L/min</w:t>
            </w:r>
            <w:r>
              <w:rPr>
                <w:rFonts w:hint="eastAsia"/>
                <w:color w:val="auto"/>
                <w:szCs w:val="21"/>
              </w:rPr>
              <w:t>）</w:t>
            </w:r>
          </w:p>
        </w:tc>
        <w:tc>
          <w:tcPr>
            <w:tcW w:w="757" w:type="dxa"/>
            <w:shd w:val="clear" w:color="auto" w:fill="auto"/>
            <w:vAlign w:val="center"/>
          </w:tcPr>
          <w:p>
            <w:pPr>
              <w:jc w:val="center"/>
              <w:rPr>
                <w:color w:val="auto"/>
                <w:szCs w:val="21"/>
              </w:rPr>
            </w:pPr>
            <w:r>
              <w:rPr>
                <w:rFonts w:hint="eastAsia"/>
                <w:color w:val="auto"/>
                <w:szCs w:val="21"/>
              </w:rPr>
              <w:t xml:space="preserve">10.2 </w:t>
            </w:r>
          </w:p>
        </w:tc>
        <w:tc>
          <w:tcPr>
            <w:tcW w:w="757" w:type="dxa"/>
            <w:shd w:val="clear" w:color="auto" w:fill="auto"/>
            <w:vAlign w:val="center"/>
          </w:tcPr>
          <w:p>
            <w:pPr>
              <w:jc w:val="center"/>
              <w:rPr>
                <w:color w:val="auto"/>
                <w:szCs w:val="21"/>
              </w:rPr>
            </w:pPr>
            <w:r>
              <w:rPr>
                <w:rFonts w:hint="eastAsia"/>
                <w:color w:val="auto"/>
                <w:szCs w:val="21"/>
              </w:rPr>
              <w:t xml:space="preserve">10.0 </w:t>
            </w:r>
          </w:p>
        </w:tc>
        <w:tc>
          <w:tcPr>
            <w:tcW w:w="757" w:type="dxa"/>
            <w:shd w:val="clear" w:color="auto" w:fill="auto"/>
            <w:vAlign w:val="center"/>
          </w:tcPr>
          <w:p>
            <w:pPr>
              <w:jc w:val="center"/>
              <w:rPr>
                <w:color w:val="auto"/>
                <w:szCs w:val="21"/>
              </w:rPr>
            </w:pPr>
            <w:r>
              <w:rPr>
                <w:rFonts w:hint="eastAsia"/>
                <w:color w:val="auto"/>
                <w:szCs w:val="21"/>
              </w:rPr>
              <w:t>9.</w:t>
            </w:r>
            <w:r>
              <w:rPr>
                <w:rFonts w:hint="eastAsia"/>
                <w:color w:val="auto"/>
                <w:szCs w:val="21"/>
                <w:lang w:val="en-US" w:eastAsia="zh-CN"/>
              </w:rPr>
              <w:t>9</w:t>
            </w:r>
            <w:r>
              <w:rPr>
                <w:rFonts w:hint="eastAsia"/>
                <w:color w:val="auto"/>
                <w:szCs w:val="21"/>
              </w:rPr>
              <w:t xml:space="preserve"> </w:t>
            </w:r>
          </w:p>
        </w:tc>
        <w:tc>
          <w:tcPr>
            <w:tcW w:w="758" w:type="dxa"/>
            <w:shd w:val="clear" w:color="auto" w:fill="auto"/>
            <w:vAlign w:val="center"/>
          </w:tcPr>
          <w:p>
            <w:pPr>
              <w:jc w:val="center"/>
              <w:rPr>
                <w:color w:val="auto"/>
                <w:szCs w:val="21"/>
              </w:rPr>
            </w:pPr>
            <w:r>
              <w:rPr>
                <w:rFonts w:hint="eastAsia"/>
                <w:color w:val="auto"/>
                <w:szCs w:val="21"/>
              </w:rPr>
              <w:t>9.</w:t>
            </w:r>
            <w:r>
              <w:rPr>
                <w:rFonts w:hint="eastAsia"/>
                <w:color w:val="auto"/>
                <w:szCs w:val="21"/>
                <w:lang w:val="en-US" w:eastAsia="zh-CN"/>
              </w:rPr>
              <w:t>9</w:t>
            </w:r>
            <w:r>
              <w:rPr>
                <w:rFonts w:hint="eastAsia"/>
                <w:color w:val="auto"/>
                <w:szCs w:val="21"/>
              </w:rPr>
              <w:t xml:space="preserve"> </w:t>
            </w:r>
          </w:p>
        </w:tc>
        <w:tc>
          <w:tcPr>
            <w:tcW w:w="757" w:type="dxa"/>
            <w:shd w:val="clear" w:color="auto" w:fill="auto"/>
            <w:vAlign w:val="center"/>
          </w:tcPr>
          <w:p>
            <w:pPr>
              <w:jc w:val="center"/>
              <w:rPr>
                <w:color w:val="auto"/>
                <w:szCs w:val="21"/>
              </w:rPr>
            </w:pPr>
            <w:r>
              <w:rPr>
                <w:rFonts w:hint="eastAsia"/>
                <w:color w:val="auto"/>
                <w:szCs w:val="21"/>
              </w:rPr>
              <w:t>10.</w:t>
            </w:r>
            <w:r>
              <w:rPr>
                <w:rFonts w:hint="eastAsia"/>
                <w:color w:val="auto"/>
                <w:szCs w:val="21"/>
                <w:lang w:val="en-US" w:eastAsia="zh-CN"/>
              </w:rPr>
              <w:t>1</w:t>
            </w:r>
            <w:r>
              <w:rPr>
                <w:rFonts w:hint="eastAsia"/>
                <w:color w:val="auto"/>
                <w:szCs w:val="21"/>
              </w:rPr>
              <w:t xml:space="preserve"> </w:t>
            </w:r>
          </w:p>
        </w:tc>
        <w:tc>
          <w:tcPr>
            <w:tcW w:w="757" w:type="dxa"/>
            <w:shd w:val="clear" w:color="auto" w:fill="auto"/>
            <w:vAlign w:val="center"/>
          </w:tcPr>
          <w:p>
            <w:pPr>
              <w:jc w:val="center"/>
              <w:rPr>
                <w:color w:val="auto"/>
                <w:szCs w:val="21"/>
              </w:rPr>
            </w:pPr>
            <w:r>
              <w:rPr>
                <w:rFonts w:hint="eastAsia"/>
                <w:color w:val="auto"/>
                <w:szCs w:val="21"/>
              </w:rPr>
              <w:t>10.</w:t>
            </w:r>
            <w:r>
              <w:rPr>
                <w:rFonts w:hint="eastAsia"/>
                <w:color w:val="auto"/>
                <w:szCs w:val="21"/>
                <w:lang w:val="en-US" w:eastAsia="zh-CN"/>
              </w:rPr>
              <w:t>9</w:t>
            </w:r>
            <w:r>
              <w:rPr>
                <w:rFonts w:hint="eastAsia"/>
                <w:color w:val="auto"/>
                <w:szCs w:val="21"/>
              </w:rPr>
              <w:t xml:space="preserve"> </w:t>
            </w:r>
          </w:p>
        </w:tc>
        <w:tc>
          <w:tcPr>
            <w:tcW w:w="758" w:type="dxa"/>
            <w:shd w:val="clear" w:color="auto" w:fill="auto"/>
            <w:vAlign w:val="center"/>
          </w:tcPr>
          <w:p>
            <w:pPr>
              <w:jc w:val="center"/>
              <w:rPr>
                <w:color w:val="auto"/>
                <w:szCs w:val="21"/>
              </w:rPr>
            </w:pPr>
            <w:r>
              <w:rPr>
                <w:rFonts w:hint="eastAsia"/>
                <w:color w:val="auto"/>
                <w:szCs w:val="21"/>
              </w:rPr>
              <w:t xml:space="preserve">10.1 </w:t>
            </w:r>
          </w:p>
        </w:tc>
        <w:tc>
          <w:tcPr>
            <w:tcW w:w="1503" w:type="dxa"/>
            <w:shd w:val="clear" w:color="auto" w:fill="auto"/>
            <w:vAlign w:val="center"/>
          </w:tcPr>
          <w:p>
            <w:pPr>
              <w:jc w:val="center"/>
              <w:rPr>
                <w:rFonts w:hint="eastAsia" w:eastAsiaTheme="minorEastAsia"/>
                <w:color w:val="auto"/>
                <w:szCs w:val="21"/>
                <w:lang w:eastAsia="zh-CN"/>
              </w:rPr>
            </w:pPr>
            <w:r>
              <w:rPr>
                <w:rFonts w:hint="eastAsia"/>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jc w:val="center"/>
              <w:rPr>
                <w:color w:val="auto"/>
                <w:szCs w:val="21"/>
              </w:rPr>
            </w:pPr>
            <w:r>
              <w:rPr>
                <w:rFonts w:hint="eastAsia"/>
                <w:color w:val="auto"/>
                <w:szCs w:val="21"/>
              </w:rPr>
              <w:t>C</w:t>
            </w:r>
          </w:p>
        </w:tc>
        <w:tc>
          <w:tcPr>
            <w:tcW w:w="1838" w:type="dxa"/>
            <w:shd w:val="clear" w:color="auto" w:fill="auto"/>
          </w:tcPr>
          <w:p>
            <w:pPr>
              <w:jc w:val="center"/>
              <w:rPr>
                <w:color w:val="auto"/>
              </w:rPr>
            </w:pPr>
            <w:r>
              <w:rPr>
                <w:rFonts w:hint="eastAsia"/>
                <w:color w:val="auto"/>
                <w:szCs w:val="21"/>
              </w:rPr>
              <w:t>测量值（</w:t>
            </w:r>
            <w:r>
              <w:rPr>
                <w:color w:val="auto"/>
                <w:szCs w:val="21"/>
              </w:rPr>
              <w:t>L/min</w:t>
            </w:r>
            <w:r>
              <w:rPr>
                <w:rFonts w:hint="eastAsia"/>
                <w:color w:val="auto"/>
                <w:szCs w:val="21"/>
              </w:rPr>
              <w:t>）</w:t>
            </w:r>
          </w:p>
        </w:tc>
        <w:tc>
          <w:tcPr>
            <w:tcW w:w="757" w:type="dxa"/>
            <w:shd w:val="clear" w:color="auto" w:fill="auto"/>
          </w:tcPr>
          <w:p>
            <w:pPr>
              <w:jc w:val="center"/>
              <w:rPr>
                <w:color w:val="auto"/>
                <w:szCs w:val="21"/>
              </w:rPr>
            </w:pPr>
            <w:r>
              <w:rPr>
                <w:color w:val="auto"/>
                <w:szCs w:val="21"/>
              </w:rPr>
              <w:t xml:space="preserve">9.8 </w:t>
            </w:r>
          </w:p>
        </w:tc>
        <w:tc>
          <w:tcPr>
            <w:tcW w:w="757" w:type="dxa"/>
            <w:shd w:val="clear" w:color="auto" w:fill="auto"/>
          </w:tcPr>
          <w:p>
            <w:pPr>
              <w:jc w:val="center"/>
              <w:rPr>
                <w:color w:val="auto"/>
                <w:szCs w:val="21"/>
              </w:rPr>
            </w:pPr>
            <w:r>
              <w:rPr>
                <w:rFonts w:hint="eastAsia"/>
                <w:color w:val="auto"/>
                <w:szCs w:val="21"/>
                <w:lang w:val="en-US" w:eastAsia="zh-CN"/>
              </w:rPr>
              <w:t>9.9</w:t>
            </w:r>
            <w:r>
              <w:rPr>
                <w:color w:val="auto"/>
                <w:szCs w:val="21"/>
              </w:rPr>
              <w:t xml:space="preserve"> </w:t>
            </w:r>
          </w:p>
        </w:tc>
        <w:tc>
          <w:tcPr>
            <w:tcW w:w="757" w:type="dxa"/>
            <w:shd w:val="clear" w:color="auto" w:fill="auto"/>
          </w:tcPr>
          <w:p>
            <w:pPr>
              <w:jc w:val="center"/>
              <w:rPr>
                <w:color w:val="auto"/>
                <w:szCs w:val="21"/>
              </w:rPr>
            </w:pPr>
            <w:r>
              <w:rPr>
                <w:color w:val="auto"/>
                <w:szCs w:val="21"/>
              </w:rPr>
              <w:t xml:space="preserve">10.0 </w:t>
            </w:r>
          </w:p>
        </w:tc>
        <w:tc>
          <w:tcPr>
            <w:tcW w:w="758" w:type="dxa"/>
            <w:shd w:val="clear" w:color="auto" w:fill="auto"/>
          </w:tcPr>
          <w:p>
            <w:pPr>
              <w:jc w:val="center"/>
              <w:rPr>
                <w:rFonts w:hint="eastAsia" w:eastAsiaTheme="minorEastAsia"/>
                <w:color w:val="auto"/>
                <w:szCs w:val="21"/>
                <w:lang w:eastAsia="zh-CN"/>
              </w:rPr>
            </w:pPr>
            <w:r>
              <w:rPr>
                <w:color w:val="auto"/>
                <w:szCs w:val="21"/>
              </w:rPr>
              <w:t>9.</w:t>
            </w:r>
            <w:r>
              <w:rPr>
                <w:rFonts w:hint="eastAsia"/>
                <w:color w:val="auto"/>
                <w:szCs w:val="21"/>
                <w:lang w:val="en-US" w:eastAsia="zh-CN"/>
              </w:rPr>
              <w:t>9</w:t>
            </w:r>
          </w:p>
        </w:tc>
        <w:tc>
          <w:tcPr>
            <w:tcW w:w="757" w:type="dxa"/>
            <w:shd w:val="clear" w:color="auto" w:fill="auto"/>
          </w:tcPr>
          <w:p>
            <w:pPr>
              <w:jc w:val="center"/>
              <w:rPr>
                <w:rFonts w:hint="eastAsia" w:eastAsiaTheme="minorEastAsia"/>
                <w:color w:val="auto"/>
                <w:szCs w:val="21"/>
                <w:lang w:eastAsia="zh-CN"/>
              </w:rPr>
            </w:pPr>
            <w:r>
              <w:rPr>
                <w:color w:val="auto"/>
                <w:szCs w:val="21"/>
              </w:rPr>
              <w:t>9.</w:t>
            </w:r>
            <w:r>
              <w:rPr>
                <w:rFonts w:hint="eastAsia"/>
                <w:color w:val="auto"/>
                <w:szCs w:val="21"/>
                <w:lang w:val="en-US" w:eastAsia="zh-CN"/>
              </w:rPr>
              <w:t>9</w:t>
            </w:r>
          </w:p>
        </w:tc>
        <w:tc>
          <w:tcPr>
            <w:tcW w:w="757" w:type="dxa"/>
            <w:shd w:val="clear" w:color="auto" w:fill="auto"/>
          </w:tcPr>
          <w:p>
            <w:pPr>
              <w:jc w:val="center"/>
              <w:rPr>
                <w:color w:val="auto"/>
                <w:szCs w:val="21"/>
              </w:rPr>
            </w:pPr>
            <w:r>
              <w:rPr>
                <w:color w:val="auto"/>
                <w:szCs w:val="21"/>
              </w:rPr>
              <w:t>9.</w:t>
            </w:r>
            <w:r>
              <w:rPr>
                <w:rFonts w:hint="eastAsia"/>
                <w:color w:val="auto"/>
                <w:szCs w:val="21"/>
                <w:lang w:val="en-US" w:eastAsia="zh-CN"/>
              </w:rPr>
              <w:t>9</w:t>
            </w:r>
            <w:r>
              <w:rPr>
                <w:color w:val="auto"/>
                <w:szCs w:val="21"/>
              </w:rPr>
              <w:t xml:space="preserve"> </w:t>
            </w:r>
          </w:p>
        </w:tc>
        <w:tc>
          <w:tcPr>
            <w:tcW w:w="758" w:type="dxa"/>
            <w:shd w:val="clear" w:color="auto" w:fill="auto"/>
          </w:tcPr>
          <w:p>
            <w:pPr>
              <w:jc w:val="center"/>
              <w:rPr>
                <w:color w:val="auto"/>
                <w:szCs w:val="21"/>
              </w:rPr>
            </w:pPr>
            <w:r>
              <w:rPr>
                <w:color w:val="auto"/>
                <w:szCs w:val="21"/>
              </w:rPr>
              <w:t>9.</w:t>
            </w:r>
            <w:r>
              <w:rPr>
                <w:rFonts w:hint="eastAsia"/>
                <w:color w:val="auto"/>
                <w:szCs w:val="21"/>
                <w:lang w:val="en-US" w:eastAsia="zh-CN"/>
              </w:rPr>
              <w:t>9</w:t>
            </w:r>
            <w:r>
              <w:rPr>
                <w:color w:val="auto"/>
                <w:szCs w:val="21"/>
              </w:rPr>
              <w:t xml:space="preserve"> </w:t>
            </w:r>
          </w:p>
        </w:tc>
        <w:tc>
          <w:tcPr>
            <w:tcW w:w="1503" w:type="dxa"/>
            <w:shd w:val="clear" w:color="auto" w:fill="auto"/>
          </w:tcPr>
          <w:p>
            <w:pPr>
              <w:jc w:val="center"/>
              <w:rPr>
                <w:rFonts w:hint="default" w:eastAsiaTheme="minorEastAsia"/>
                <w:color w:val="auto"/>
                <w:szCs w:val="21"/>
                <w:lang w:val="en-US" w:eastAsia="zh-CN"/>
              </w:rPr>
            </w:pPr>
            <w:r>
              <w:rPr>
                <w:rFonts w:hint="eastAsia"/>
                <w:color w:val="auto"/>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jc w:val="center"/>
              <w:rPr>
                <w:color w:val="auto"/>
                <w:szCs w:val="21"/>
              </w:rPr>
            </w:pPr>
            <w:r>
              <w:rPr>
                <w:rFonts w:hint="eastAsia"/>
                <w:color w:val="auto"/>
                <w:szCs w:val="21"/>
              </w:rPr>
              <w:t>D</w:t>
            </w:r>
          </w:p>
        </w:tc>
        <w:tc>
          <w:tcPr>
            <w:tcW w:w="1838" w:type="dxa"/>
            <w:shd w:val="clear" w:color="auto" w:fill="auto"/>
          </w:tcPr>
          <w:p>
            <w:pPr>
              <w:jc w:val="center"/>
              <w:rPr>
                <w:color w:val="auto"/>
              </w:rPr>
            </w:pPr>
            <w:r>
              <w:rPr>
                <w:rFonts w:hint="eastAsia"/>
                <w:color w:val="auto"/>
                <w:szCs w:val="21"/>
              </w:rPr>
              <w:t>测量值（</w:t>
            </w:r>
            <w:r>
              <w:rPr>
                <w:color w:val="auto"/>
                <w:szCs w:val="21"/>
              </w:rPr>
              <w:t>L/min</w:t>
            </w:r>
            <w:r>
              <w:rPr>
                <w:rFonts w:hint="eastAsia"/>
                <w:color w:val="auto"/>
                <w:szCs w:val="21"/>
              </w:rPr>
              <w:t>）</w:t>
            </w:r>
          </w:p>
        </w:tc>
        <w:tc>
          <w:tcPr>
            <w:tcW w:w="757" w:type="dxa"/>
            <w:shd w:val="clear" w:color="auto" w:fill="auto"/>
            <w:vAlign w:val="center"/>
          </w:tcPr>
          <w:p>
            <w:pPr>
              <w:jc w:val="center"/>
              <w:rPr>
                <w:color w:val="auto"/>
                <w:szCs w:val="21"/>
              </w:rPr>
            </w:pPr>
            <w:r>
              <w:rPr>
                <w:rFonts w:hint="eastAsia"/>
                <w:color w:val="auto"/>
                <w:szCs w:val="21"/>
              </w:rPr>
              <w:t xml:space="preserve">10.2 </w:t>
            </w:r>
          </w:p>
        </w:tc>
        <w:tc>
          <w:tcPr>
            <w:tcW w:w="757" w:type="dxa"/>
            <w:shd w:val="clear" w:color="auto" w:fill="auto"/>
            <w:vAlign w:val="center"/>
          </w:tcPr>
          <w:p>
            <w:pPr>
              <w:jc w:val="center"/>
              <w:rPr>
                <w:color w:val="auto"/>
                <w:szCs w:val="21"/>
              </w:rPr>
            </w:pPr>
            <w:r>
              <w:rPr>
                <w:rFonts w:hint="eastAsia"/>
                <w:color w:val="auto"/>
                <w:szCs w:val="21"/>
              </w:rPr>
              <w:t>10.</w:t>
            </w:r>
            <w:r>
              <w:rPr>
                <w:rFonts w:hint="eastAsia"/>
                <w:color w:val="auto"/>
                <w:szCs w:val="21"/>
                <w:lang w:val="en-US" w:eastAsia="zh-CN"/>
              </w:rPr>
              <w:t>1</w:t>
            </w:r>
            <w:r>
              <w:rPr>
                <w:rFonts w:hint="eastAsia"/>
                <w:color w:val="auto"/>
                <w:szCs w:val="21"/>
              </w:rPr>
              <w:t xml:space="preserve"> </w:t>
            </w:r>
          </w:p>
        </w:tc>
        <w:tc>
          <w:tcPr>
            <w:tcW w:w="757" w:type="dxa"/>
            <w:shd w:val="clear" w:color="auto" w:fill="auto"/>
            <w:vAlign w:val="center"/>
          </w:tcPr>
          <w:p>
            <w:pPr>
              <w:jc w:val="center"/>
              <w:rPr>
                <w:color w:val="auto"/>
                <w:szCs w:val="21"/>
              </w:rPr>
            </w:pPr>
            <w:r>
              <w:rPr>
                <w:rFonts w:hint="eastAsia"/>
                <w:color w:val="auto"/>
                <w:szCs w:val="21"/>
              </w:rPr>
              <w:t>10.</w:t>
            </w:r>
            <w:r>
              <w:rPr>
                <w:rFonts w:hint="eastAsia"/>
                <w:color w:val="auto"/>
                <w:szCs w:val="21"/>
                <w:lang w:val="en-US" w:eastAsia="zh-CN"/>
              </w:rPr>
              <w:t>1</w:t>
            </w:r>
            <w:r>
              <w:rPr>
                <w:rFonts w:hint="eastAsia"/>
                <w:color w:val="auto"/>
                <w:szCs w:val="21"/>
              </w:rPr>
              <w:t xml:space="preserve"> </w:t>
            </w:r>
          </w:p>
        </w:tc>
        <w:tc>
          <w:tcPr>
            <w:tcW w:w="758" w:type="dxa"/>
            <w:shd w:val="clear" w:color="auto" w:fill="auto"/>
            <w:vAlign w:val="center"/>
          </w:tcPr>
          <w:p>
            <w:pPr>
              <w:jc w:val="center"/>
              <w:rPr>
                <w:color w:val="auto"/>
                <w:szCs w:val="21"/>
              </w:rPr>
            </w:pPr>
            <w:r>
              <w:rPr>
                <w:rFonts w:hint="eastAsia"/>
                <w:color w:val="auto"/>
                <w:szCs w:val="21"/>
              </w:rPr>
              <w:t xml:space="preserve">10.1 </w:t>
            </w:r>
          </w:p>
        </w:tc>
        <w:tc>
          <w:tcPr>
            <w:tcW w:w="757" w:type="dxa"/>
            <w:shd w:val="clear" w:color="auto" w:fill="auto"/>
            <w:vAlign w:val="center"/>
          </w:tcPr>
          <w:p>
            <w:pPr>
              <w:jc w:val="center"/>
              <w:rPr>
                <w:color w:val="auto"/>
                <w:szCs w:val="21"/>
              </w:rPr>
            </w:pPr>
            <w:r>
              <w:rPr>
                <w:rFonts w:hint="eastAsia"/>
                <w:color w:val="auto"/>
                <w:szCs w:val="21"/>
              </w:rPr>
              <w:t>10.</w:t>
            </w:r>
            <w:r>
              <w:rPr>
                <w:rFonts w:hint="eastAsia"/>
                <w:color w:val="auto"/>
                <w:szCs w:val="21"/>
                <w:lang w:val="en-US" w:eastAsia="zh-CN"/>
              </w:rPr>
              <w:t>1</w:t>
            </w:r>
            <w:r>
              <w:rPr>
                <w:rFonts w:hint="eastAsia"/>
                <w:color w:val="auto"/>
                <w:szCs w:val="21"/>
              </w:rPr>
              <w:t xml:space="preserve"> </w:t>
            </w:r>
          </w:p>
        </w:tc>
        <w:tc>
          <w:tcPr>
            <w:tcW w:w="757" w:type="dxa"/>
            <w:shd w:val="clear" w:color="auto" w:fill="auto"/>
            <w:vAlign w:val="center"/>
          </w:tcPr>
          <w:p>
            <w:pPr>
              <w:jc w:val="center"/>
              <w:rPr>
                <w:rFonts w:hint="eastAsia" w:eastAsiaTheme="minorEastAsia"/>
                <w:color w:val="auto"/>
                <w:szCs w:val="21"/>
                <w:lang w:eastAsia="zh-CN"/>
              </w:rPr>
            </w:pPr>
            <w:r>
              <w:rPr>
                <w:rFonts w:hint="eastAsia"/>
                <w:color w:val="auto"/>
                <w:szCs w:val="21"/>
              </w:rPr>
              <w:t>10.</w:t>
            </w:r>
            <w:r>
              <w:rPr>
                <w:rFonts w:hint="eastAsia"/>
                <w:color w:val="auto"/>
                <w:szCs w:val="21"/>
                <w:lang w:val="en-US" w:eastAsia="zh-CN"/>
              </w:rPr>
              <w:t>1</w:t>
            </w:r>
          </w:p>
        </w:tc>
        <w:tc>
          <w:tcPr>
            <w:tcW w:w="758" w:type="dxa"/>
            <w:shd w:val="clear" w:color="auto" w:fill="auto"/>
            <w:vAlign w:val="center"/>
          </w:tcPr>
          <w:p>
            <w:pPr>
              <w:jc w:val="center"/>
              <w:rPr>
                <w:rFonts w:hint="eastAsia" w:eastAsiaTheme="minorEastAsia"/>
                <w:color w:val="auto"/>
                <w:szCs w:val="21"/>
                <w:lang w:eastAsia="zh-CN"/>
              </w:rPr>
            </w:pPr>
            <w:r>
              <w:rPr>
                <w:rFonts w:hint="eastAsia"/>
                <w:color w:val="auto"/>
                <w:szCs w:val="21"/>
              </w:rPr>
              <w:t>10.</w:t>
            </w:r>
            <w:r>
              <w:rPr>
                <w:rFonts w:hint="eastAsia"/>
                <w:color w:val="auto"/>
                <w:szCs w:val="21"/>
                <w:lang w:val="en-US" w:eastAsia="zh-CN"/>
              </w:rPr>
              <w:t>1</w:t>
            </w:r>
          </w:p>
        </w:tc>
        <w:tc>
          <w:tcPr>
            <w:tcW w:w="1503" w:type="dxa"/>
            <w:shd w:val="clear" w:color="auto" w:fill="auto"/>
            <w:vAlign w:val="center"/>
          </w:tcPr>
          <w:p>
            <w:pPr>
              <w:jc w:val="center"/>
              <w:rPr>
                <w:rFonts w:hint="eastAsia" w:eastAsiaTheme="minorEastAsia"/>
                <w:color w:val="auto"/>
                <w:szCs w:val="21"/>
                <w:lang w:eastAsia="zh-CN"/>
              </w:rPr>
            </w:pPr>
            <w:r>
              <w:rPr>
                <w:rFonts w:hint="eastAsia"/>
                <w:color w:val="auto"/>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tcPr>
          <w:p>
            <w:pPr>
              <w:jc w:val="center"/>
              <w:rPr>
                <w:color w:val="auto"/>
                <w:szCs w:val="21"/>
              </w:rPr>
            </w:pPr>
            <w:r>
              <w:rPr>
                <w:rFonts w:hint="eastAsia"/>
                <w:color w:val="auto"/>
                <w:szCs w:val="21"/>
              </w:rPr>
              <w:t>E</w:t>
            </w:r>
          </w:p>
        </w:tc>
        <w:tc>
          <w:tcPr>
            <w:tcW w:w="1838" w:type="dxa"/>
            <w:shd w:val="clear" w:color="auto" w:fill="auto"/>
          </w:tcPr>
          <w:p>
            <w:pPr>
              <w:jc w:val="center"/>
              <w:rPr>
                <w:color w:val="auto"/>
              </w:rPr>
            </w:pPr>
            <w:r>
              <w:rPr>
                <w:rFonts w:hint="eastAsia"/>
                <w:color w:val="auto"/>
                <w:szCs w:val="21"/>
              </w:rPr>
              <w:t>测量值（</w:t>
            </w:r>
            <w:r>
              <w:rPr>
                <w:color w:val="auto"/>
                <w:szCs w:val="21"/>
              </w:rPr>
              <w:t>L/min</w:t>
            </w:r>
            <w:r>
              <w:rPr>
                <w:rFonts w:hint="eastAsia"/>
                <w:color w:val="auto"/>
                <w:szCs w:val="21"/>
              </w:rPr>
              <w:t>）</w:t>
            </w:r>
          </w:p>
        </w:tc>
        <w:tc>
          <w:tcPr>
            <w:tcW w:w="757" w:type="dxa"/>
            <w:shd w:val="clear" w:color="auto" w:fill="auto"/>
            <w:vAlign w:val="center"/>
          </w:tcPr>
          <w:p>
            <w:pPr>
              <w:jc w:val="center"/>
              <w:rPr>
                <w:rFonts w:hint="eastAsia" w:eastAsiaTheme="minorEastAsia"/>
                <w:color w:val="auto"/>
                <w:szCs w:val="21"/>
                <w:lang w:eastAsia="zh-CN"/>
              </w:rPr>
            </w:pPr>
            <w:r>
              <w:rPr>
                <w:rFonts w:hint="eastAsia"/>
                <w:color w:val="auto"/>
                <w:szCs w:val="21"/>
              </w:rPr>
              <w:t>1</w:t>
            </w:r>
            <w:r>
              <w:rPr>
                <w:color w:val="auto"/>
                <w:szCs w:val="21"/>
              </w:rPr>
              <w:t>0.</w:t>
            </w:r>
            <w:r>
              <w:rPr>
                <w:rFonts w:hint="eastAsia"/>
                <w:color w:val="auto"/>
                <w:szCs w:val="21"/>
                <w:lang w:val="en-US" w:eastAsia="zh-CN"/>
              </w:rPr>
              <w:t>2</w:t>
            </w:r>
          </w:p>
        </w:tc>
        <w:tc>
          <w:tcPr>
            <w:tcW w:w="757" w:type="dxa"/>
            <w:shd w:val="clear" w:color="auto" w:fill="auto"/>
            <w:vAlign w:val="center"/>
          </w:tcPr>
          <w:p>
            <w:pPr>
              <w:jc w:val="center"/>
              <w:rPr>
                <w:rFonts w:hint="eastAsia" w:eastAsiaTheme="minorEastAsia"/>
                <w:color w:val="auto"/>
                <w:szCs w:val="21"/>
                <w:lang w:eastAsia="zh-CN"/>
              </w:rPr>
            </w:pPr>
            <w:r>
              <w:rPr>
                <w:rFonts w:hint="eastAsia"/>
                <w:color w:val="auto"/>
                <w:szCs w:val="21"/>
              </w:rPr>
              <w:t>1</w:t>
            </w:r>
            <w:r>
              <w:rPr>
                <w:color w:val="auto"/>
                <w:szCs w:val="21"/>
              </w:rPr>
              <w:t>0.</w:t>
            </w:r>
            <w:r>
              <w:rPr>
                <w:rFonts w:hint="eastAsia"/>
                <w:color w:val="auto"/>
                <w:szCs w:val="21"/>
                <w:lang w:val="en-US" w:eastAsia="zh-CN"/>
              </w:rPr>
              <w:t>2</w:t>
            </w:r>
          </w:p>
        </w:tc>
        <w:tc>
          <w:tcPr>
            <w:tcW w:w="757" w:type="dxa"/>
            <w:shd w:val="clear" w:color="auto" w:fill="auto"/>
            <w:vAlign w:val="center"/>
          </w:tcPr>
          <w:p>
            <w:pPr>
              <w:jc w:val="center"/>
              <w:rPr>
                <w:color w:val="auto"/>
                <w:szCs w:val="21"/>
              </w:rPr>
            </w:pPr>
            <w:r>
              <w:rPr>
                <w:rFonts w:hint="eastAsia"/>
                <w:color w:val="auto"/>
                <w:szCs w:val="21"/>
              </w:rPr>
              <w:t>1</w:t>
            </w:r>
            <w:r>
              <w:rPr>
                <w:color w:val="auto"/>
                <w:szCs w:val="21"/>
              </w:rPr>
              <w:t>0.0</w:t>
            </w:r>
          </w:p>
        </w:tc>
        <w:tc>
          <w:tcPr>
            <w:tcW w:w="758" w:type="dxa"/>
            <w:shd w:val="clear" w:color="auto" w:fill="auto"/>
            <w:vAlign w:val="center"/>
          </w:tcPr>
          <w:p>
            <w:pPr>
              <w:jc w:val="center"/>
              <w:rPr>
                <w:rFonts w:hint="eastAsia" w:eastAsiaTheme="minorEastAsia"/>
                <w:color w:val="auto"/>
                <w:szCs w:val="21"/>
                <w:lang w:eastAsia="zh-CN"/>
              </w:rPr>
            </w:pPr>
            <w:r>
              <w:rPr>
                <w:rFonts w:hint="eastAsia"/>
                <w:color w:val="auto"/>
                <w:szCs w:val="21"/>
              </w:rPr>
              <w:t>1</w:t>
            </w:r>
            <w:r>
              <w:rPr>
                <w:color w:val="auto"/>
                <w:szCs w:val="21"/>
              </w:rPr>
              <w:t>0.</w:t>
            </w:r>
            <w:r>
              <w:rPr>
                <w:rFonts w:hint="eastAsia"/>
                <w:color w:val="auto"/>
                <w:szCs w:val="21"/>
                <w:lang w:val="en-US" w:eastAsia="zh-CN"/>
              </w:rPr>
              <w:t>1</w:t>
            </w:r>
          </w:p>
        </w:tc>
        <w:tc>
          <w:tcPr>
            <w:tcW w:w="757"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10.1</w:t>
            </w:r>
          </w:p>
        </w:tc>
        <w:tc>
          <w:tcPr>
            <w:tcW w:w="757" w:type="dxa"/>
            <w:shd w:val="clear" w:color="auto" w:fill="auto"/>
            <w:vAlign w:val="center"/>
          </w:tcPr>
          <w:p>
            <w:pPr>
              <w:jc w:val="center"/>
              <w:rPr>
                <w:color w:val="auto"/>
                <w:szCs w:val="21"/>
              </w:rPr>
            </w:pPr>
            <w:r>
              <w:rPr>
                <w:rFonts w:hint="eastAsia"/>
                <w:color w:val="auto"/>
                <w:szCs w:val="21"/>
              </w:rPr>
              <w:t>1</w:t>
            </w:r>
            <w:r>
              <w:rPr>
                <w:color w:val="auto"/>
                <w:szCs w:val="21"/>
              </w:rPr>
              <w:t>0.0</w:t>
            </w:r>
          </w:p>
        </w:tc>
        <w:tc>
          <w:tcPr>
            <w:tcW w:w="758" w:type="dxa"/>
            <w:shd w:val="clear" w:color="auto" w:fill="auto"/>
            <w:vAlign w:val="center"/>
          </w:tcPr>
          <w:p>
            <w:pPr>
              <w:jc w:val="center"/>
              <w:rPr>
                <w:color w:val="auto"/>
                <w:szCs w:val="21"/>
              </w:rPr>
            </w:pPr>
            <w:r>
              <w:rPr>
                <w:rFonts w:hint="eastAsia"/>
                <w:color w:val="auto"/>
                <w:szCs w:val="21"/>
              </w:rPr>
              <w:t>1</w:t>
            </w:r>
            <w:r>
              <w:rPr>
                <w:color w:val="auto"/>
                <w:szCs w:val="21"/>
              </w:rPr>
              <w:t>0.0</w:t>
            </w:r>
          </w:p>
        </w:tc>
        <w:tc>
          <w:tcPr>
            <w:tcW w:w="1503" w:type="dxa"/>
            <w:shd w:val="clear" w:color="auto" w:fill="auto"/>
            <w:vAlign w:val="center"/>
          </w:tcPr>
          <w:p>
            <w:pPr>
              <w:jc w:val="center"/>
              <w:rPr>
                <w:rFonts w:hint="eastAsia" w:eastAsiaTheme="minorEastAsia"/>
                <w:color w:val="auto"/>
                <w:szCs w:val="21"/>
                <w:lang w:eastAsia="zh-CN"/>
              </w:rPr>
            </w:pPr>
            <w:r>
              <w:rPr>
                <w:rFonts w:hint="eastAsia"/>
                <w:color w:val="auto"/>
                <w:szCs w:val="21"/>
                <w:lang w:val="en-US" w:eastAsia="zh-CN"/>
              </w:rPr>
              <w:t>2</w:t>
            </w:r>
          </w:p>
        </w:tc>
      </w:tr>
    </w:tbl>
    <w:p>
      <w:pPr>
        <w:keepNext w:val="0"/>
        <w:keepLines w:val="0"/>
        <w:pageBreakBefore w:val="0"/>
        <w:widowControl w:val="0"/>
        <w:kinsoku/>
        <w:wordWrap/>
        <w:overflowPunct/>
        <w:topLinePunct w:val="0"/>
        <w:autoSpaceDE/>
        <w:autoSpaceDN/>
        <w:bidi w:val="0"/>
        <w:adjustRightInd/>
        <w:snapToGrid/>
        <w:spacing w:before="157" w:beforeLines="50"/>
        <w:ind w:firstLine="480" w:firstLineChars="200"/>
        <w:jc w:val="left"/>
        <w:textAlignment w:val="auto"/>
        <w:rPr>
          <w:rFonts w:ascii="黑体" w:hAnsi="黑体" w:eastAsia="黑体" w:cs="黑体"/>
          <w:color w:val="auto"/>
          <w:sz w:val="28"/>
          <w:szCs w:val="28"/>
        </w:rPr>
      </w:pPr>
      <w:r>
        <w:rPr>
          <w:rFonts w:hint="eastAsia" w:hAnsi="宋体"/>
          <w:color w:val="auto"/>
          <w:sz w:val="24"/>
        </w:rPr>
        <w:t>由上表，可得：氧指数测定仪的</w:t>
      </w:r>
      <w:r>
        <w:rPr>
          <w:rFonts w:hint="eastAsia" w:hAnsi="宋体"/>
          <w:color w:val="auto"/>
          <w:sz w:val="24"/>
          <w:lang w:eastAsia="zh-CN"/>
        </w:rPr>
        <w:t>流量</w:t>
      </w:r>
      <w:r>
        <w:rPr>
          <w:rFonts w:hint="eastAsia" w:hAnsi="宋体"/>
          <w:color w:val="auto"/>
          <w:sz w:val="24"/>
        </w:rPr>
        <w:t>稳定性最大值为</w:t>
      </w:r>
      <w:r>
        <w:rPr>
          <w:rFonts w:hint="eastAsia" w:hAnsi="宋体"/>
          <w:color w:val="auto"/>
          <w:sz w:val="24"/>
          <w:lang w:val="en-US" w:eastAsia="zh-CN"/>
        </w:rPr>
        <w:t>4</w:t>
      </w:r>
      <w:r>
        <w:rPr>
          <w:rFonts w:hAnsi="宋体"/>
          <w:color w:val="auto"/>
          <w:sz w:val="24"/>
        </w:rPr>
        <w:t>%</w:t>
      </w:r>
      <w:r>
        <w:rPr>
          <w:rFonts w:ascii="Times New Roman"/>
          <w:color w:val="auto"/>
          <w:sz w:val="24"/>
        </w:rPr>
        <w:t>。</w:t>
      </w:r>
    </w:p>
    <w:p>
      <w:pPr>
        <w:numPr>
          <w:ilvl w:val="0"/>
          <w:numId w:val="3"/>
        </w:numPr>
        <w:jc w:val="left"/>
        <w:rPr>
          <w:rFonts w:ascii="黑体" w:hAnsi="黑体" w:eastAsia="黑体" w:cs="黑体"/>
          <w:color w:val="auto"/>
          <w:sz w:val="28"/>
          <w:szCs w:val="28"/>
        </w:rPr>
      </w:pPr>
      <w:r>
        <w:rPr>
          <w:rFonts w:hint="eastAsia" w:ascii="黑体" w:hAnsi="黑体" w:eastAsia="黑体" w:cs="黑体"/>
          <w:color w:val="auto"/>
          <w:sz w:val="28"/>
          <w:szCs w:val="28"/>
        </w:rPr>
        <w:t>试验结论</w:t>
      </w:r>
    </w:p>
    <w:p>
      <w:pPr>
        <w:pStyle w:val="3"/>
        <w:ind w:right="0" w:firstLine="480" w:firstLineChars="200"/>
        <w:jc w:val="left"/>
        <w:rPr>
          <w:rFonts w:hAnsi="宋体"/>
          <w:color w:val="auto"/>
          <w:sz w:val="24"/>
        </w:rPr>
      </w:pPr>
      <w:r>
        <w:rPr>
          <w:rFonts w:hint="eastAsia" w:hAnsi="宋体"/>
          <w:color w:val="auto"/>
          <w:sz w:val="24"/>
        </w:rPr>
        <w:t>本规范规定</w:t>
      </w:r>
      <w:r>
        <w:rPr>
          <w:rFonts w:hint="eastAsia" w:ascii="Times New Roman"/>
          <w:color w:val="auto"/>
          <w:sz w:val="24"/>
        </w:rPr>
        <w:t>气流稳定性不超过5</w:t>
      </w:r>
      <w:r>
        <w:rPr>
          <w:rFonts w:ascii="Times New Roman"/>
          <w:color w:val="auto"/>
          <w:sz w:val="24"/>
        </w:rPr>
        <w:t>%</w:t>
      </w:r>
      <w:r>
        <w:rPr>
          <w:rFonts w:hint="eastAsia" w:ascii="Times New Roman"/>
          <w:color w:val="auto"/>
          <w:sz w:val="24"/>
        </w:rPr>
        <w:t>，</w:t>
      </w:r>
      <w:r>
        <w:rPr>
          <w:rFonts w:hint="eastAsia" w:hAnsi="宋体"/>
          <w:color w:val="auto"/>
          <w:sz w:val="24"/>
        </w:rPr>
        <w:t>由试验数据可见，氧指数测定仪的气流稳定性满足要求。</w:t>
      </w:r>
    </w:p>
    <w:p>
      <w:pPr>
        <w:pStyle w:val="3"/>
        <w:ind w:right="0" w:firstLine="480" w:firstLineChars="200"/>
        <w:jc w:val="left"/>
        <w:rPr>
          <w:rFonts w:hAnsi="宋体"/>
          <w:color w:val="auto"/>
          <w:sz w:val="24"/>
        </w:rPr>
      </w:pPr>
    </w:p>
    <w:p>
      <w:pPr>
        <w:jc w:val="center"/>
        <w:rPr>
          <w:rFonts w:ascii="黑体" w:hAnsi="黑体" w:eastAsia="黑体" w:cs="黑体"/>
          <w:color w:val="auto"/>
          <w:sz w:val="28"/>
          <w:szCs w:val="28"/>
        </w:rPr>
      </w:pPr>
      <w:r>
        <w:rPr>
          <w:rFonts w:hint="eastAsia" w:ascii="黑体" w:hAnsi="黑体" w:eastAsia="黑体" w:cs="黑体"/>
          <w:color w:val="auto"/>
          <w:sz w:val="28"/>
          <w:szCs w:val="28"/>
        </w:rPr>
        <w:t>第</w:t>
      </w:r>
      <w:r>
        <w:rPr>
          <w:rFonts w:hint="eastAsia" w:ascii="黑体" w:hAnsi="黑体" w:eastAsia="黑体" w:cs="黑体"/>
          <w:color w:val="auto"/>
          <w:sz w:val="28"/>
          <w:szCs w:val="28"/>
          <w:lang w:eastAsia="zh-CN"/>
        </w:rPr>
        <w:t>二</w:t>
      </w:r>
      <w:r>
        <w:rPr>
          <w:rFonts w:hint="eastAsia" w:ascii="黑体" w:hAnsi="黑体" w:eastAsia="黑体" w:cs="黑体"/>
          <w:color w:val="auto"/>
          <w:sz w:val="28"/>
          <w:szCs w:val="28"/>
        </w:rPr>
        <w:t>部分  关于</w:t>
      </w:r>
      <w:r>
        <w:rPr>
          <w:rFonts w:hint="eastAsia" w:ascii="黑体" w:hAnsi="黑体" w:eastAsia="黑体" w:cs="黑体"/>
          <w:color w:val="auto"/>
          <w:sz w:val="28"/>
          <w:szCs w:val="28"/>
          <w:lang w:eastAsia="zh-CN"/>
        </w:rPr>
        <w:t>流量示值误差</w:t>
      </w:r>
      <w:r>
        <w:rPr>
          <w:rFonts w:hint="eastAsia" w:ascii="黑体" w:hAnsi="黑体" w:eastAsia="黑体" w:cs="黑体"/>
          <w:color w:val="auto"/>
          <w:sz w:val="28"/>
          <w:szCs w:val="28"/>
        </w:rPr>
        <w:t>的验证试验</w:t>
      </w: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一、</w:t>
      </w:r>
      <w:r>
        <w:rPr>
          <w:rFonts w:hint="eastAsia" w:ascii="黑体" w:hAnsi="黑体" w:eastAsia="黑体" w:cs="黑体"/>
          <w:color w:val="auto"/>
          <w:sz w:val="28"/>
          <w:szCs w:val="28"/>
        </w:rPr>
        <w:t>试验目的</w:t>
      </w:r>
    </w:p>
    <w:p>
      <w:pPr>
        <w:spacing w:line="360" w:lineRule="auto"/>
        <w:ind w:firstLine="480" w:firstLineChars="200"/>
        <w:rPr>
          <w:color w:val="auto"/>
          <w:sz w:val="24"/>
        </w:rPr>
      </w:pPr>
      <w:r>
        <w:rPr>
          <w:rFonts w:hint="eastAsia"/>
          <w:color w:val="auto"/>
          <w:sz w:val="24"/>
        </w:rPr>
        <w:t>通过实验数据，观测计量特性数据是否满足起草规范中的计量特性要求，验证起草规范中</w:t>
      </w:r>
      <w:r>
        <w:rPr>
          <w:rFonts w:hint="eastAsia"/>
          <w:color w:val="auto"/>
          <w:sz w:val="24"/>
          <w:lang w:eastAsia="zh-CN"/>
        </w:rPr>
        <w:t>流量示值误差</w:t>
      </w:r>
      <w:r>
        <w:rPr>
          <w:rFonts w:hint="eastAsia"/>
          <w:color w:val="auto"/>
          <w:sz w:val="24"/>
        </w:rPr>
        <w:t>计量特性的合理性。</w:t>
      </w:r>
    </w:p>
    <w:p>
      <w:pPr>
        <w:numPr>
          <w:ilvl w:val="0"/>
          <w:numId w:val="0"/>
        </w:numPr>
        <w:jc w:val="left"/>
        <w:rPr>
          <w:rFonts w:hint="eastAsia" w:ascii="黑体" w:hAnsi="黑体" w:eastAsia="黑体" w:cs="黑体"/>
          <w:color w:val="auto"/>
          <w:sz w:val="28"/>
          <w:szCs w:val="28"/>
          <w:lang w:eastAsia="zh-CN"/>
        </w:rPr>
      </w:pPr>
      <w:r>
        <w:rPr>
          <w:rFonts w:hint="eastAsia" w:ascii="黑体" w:hAnsi="黑体" w:eastAsia="黑体" w:cs="黑体"/>
          <w:color w:val="auto"/>
          <w:sz w:val="28"/>
          <w:szCs w:val="28"/>
          <w:lang w:eastAsia="zh-CN"/>
        </w:rPr>
        <w:t>二、主要试验设备（标准器、校准装置）名称、编号</w:t>
      </w:r>
    </w:p>
    <w:p>
      <w:pPr>
        <w:jc w:val="center"/>
        <w:rPr>
          <w:rFonts w:ascii="黑体" w:hAnsi="黑体" w:eastAsia="黑体" w:cs="黑体"/>
          <w:b/>
          <w:color w:val="auto"/>
          <w:szCs w:val="21"/>
        </w:rPr>
      </w:pPr>
      <w:r>
        <w:rPr>
          <w:rFonts w:hint="eastAsia" w:ascii="黑体" w:hAnsi="黑体" w:eastAsia="黑体" w:cs="黑体"/>
          <w:b/>
          <w:color w:val="auto"/>
          <w:szCs w:val="21"/>
        </w:rPr>
        <w:t>表</w:t>
      </w:r>
      <w:r>
        <w:rPr>
          <w:rFonts w:hint="eastAsia" w:ascii="黑体" w:hAnsi="黑体" w:eastAsia="黑体" w:cs="黑体"/>
          <w:b/>
          <w:color w:val="auto"/>
          <w:szCs w:val="21"/>
          <w:lang w:val="en-US" w:eastAsia="zh-CN"/>
        </w:rPr>
        <w:t>3</w:t>
      </w:r>
      <w:r>
        <w:rPr>
          <w:rFonts w:ascii="黑体" w:hAnsi="黑体" w:eastAsia="黑体" w:cs="黑体"/>
          <w:b/>
          <w:color w:val="auto"/>
          <w:szCs w:val="21"/>
        </w:rPr>
        <w:t xml:space="preserve"> </w:t>
      </w:r>
      <w:r>
        <w:rPr>
          <w:rFonts w:hint="eastAsia" w:ascii="黑体" w:hAnsi="黑体" w:eastAsia="黑体" w:cs="黑体"/>
          <w:b/>
          <w:color w:val="auto"/>
          <w:szCs w:val="21"/>
        </w:rPr>
        <w:t>验证用主要标准物质</w:t>
      </w:r>
    </w:p>
    <w:tbl>
      <w:tblPr>
        <w:tblStyle w:val="7"/>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18"/>
        <w:gridCol w:w="1134"/>
        <w:gridCol w:w="1559"/>
        <w:gridCol w:w="1672"/>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360" w:lineRule="auto"/>
              <w:jc w:val="center"/>
              <w:rPr>
                <w:color w:val="auto"/>
                <w:szCs w:val="21"/>
              </w:rPr>
            </w:pPr>
            <w:r>
              <w:rPr>
                <w:rFonts w:hint="eastAsia"/>
                <w:color w:val="auto"/>
                <w:szCs w:val="21"/>
              </w:rPr>
              <w:t>名称</w:t>
            </w:r>
          </w:p>
        </w:tc>
        <w:tc>
          <w:tcPr>
            <w:tcW w:w="1418" w:type="dxa"/>
            <w:vAlign w:val="center"/>
          </w:tcPr>
          <w:p>
            <w:pPr>
              <w:spacing w:line="360" w:lineRule="auto"/>
              <w:jc w:val="center"/>
              <w:rPr>
                <w:color w:val="auto"/>
                <w:szCs w:val="21"/>
              </w:rPr>
            </w:pPr>
            <w:r>
              <w:rPr>
                <w:rFonts w:hint="eastAsia"/>
                <w:color w:val="auto"/>
                <w:szCs w:val="21"/>
              </w:rPr>
              <w:t>测量范围</w:t>
            </w:r>
          </w:p>
        </w:tc>
        <w:tc>
          <w:tcPr>
            <w:tcW w:w="1134" w:type="dxa"/>
            <w:vAlign w:val="center"/>
          </w:tcPr>
          <w:p>
            <w:pPr>
              <w:spacing w:line="360" w:lineRule="auto"/>
              <w:jc w:val="center"/>
              <w:rPr>
                <w:color w:val="auto"/>
                <w:szCs w:val="21"/>
              </w:rPr>
            </w:pPr>
            <w:r>
              <w:rPr>
                <w:rFonts w:hint="eastAsia"/>
                <w:color w:val="auto"/>
                <w:szCs w:val="21"/>
              </w:rPr>
              <w:t>编号</w:t>
            </w:r>
          </w:p>
        </w:tc>
        <w:tc>
          <w:tcPr>
            <w:tcW w:w="1559" w:type="dxa"/>
            <w:vAlign w:val="center"/>
          </w:tcPr>
          <w:p>
            <w:pPr>
              <w:spacing w:line="360" w:lineRule="auto"/>
              <w:jc w:val="center"/>
              <w:rPr>
                <w:color w:val="auto"/>
                <w:szCs w:val="21"/>
              </w:rPr>
            </w:pPr>
            <w:r>
              <w:rPr>
                <w:rFonts w:hint="eastAsia"/>
                <w:color w:val="auto"/>
                <w:szCs w:val="21"/>
              </w:rPr>
              <w:t>技术特征</w:t>
            </w:r>
          </w:p>
        </w:tc>
        <w:tc>
          <w:tcPr>
            <w:tcW w:w="1672" w:type="dxa"/>
            <w:vAlign w:val="center"/>
          </w:tcPr>
          <w:p>
            <w:pPr>
              <w:spacing w:line="360" w:lineRule="auto"/>
              <w:jc w:val="center"/>
              <w:rPr>
                <w:color w:val="auto"/>
                <w:szCs w:val="21"/>
              </w:rPr>
            </w:pPr>
            <w:r>
              <w:rPr>
                <w:rFonts w:hint="eastAsia"/>
                <w:color w:val="auto"/>
                <w:szCs w:val="21"/>
              </w:rPr>
              <w:t>证书号</w:t>
            </w:r>
          </w:p>
        </w:tc>
        <w:tc>
          <w:tcPr>
            <w:tcW w:w="1417" w:type="dxa"/>
            <w:vAlign w:val="center"/>
          </w:tcPr>
          <w:p>
            <w:pPr>
              <w:spacing w:line="360" w:lineRule="auto"/>
              <w:jc w:val="center"/>
              <w:rPr>
                <w:color w:val="auto"/>
                <w:szCs w:val="21"/>
              </w:rPr>
            </w:pPr>
            <w:r>
              <w:rPr>
                <w:rFonts w:hint="eastAsia"/>
                <w:color w:val="auto"/>
                <w:szCs w:val="21"/>
              </w:rPr>
              <w:t>有限期至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jc w:val="center"/>
              <w:rPr>
                <w:rFonts w:hint="eastAsia" w:ascii="Times New Roman" w:hAnsi="Times New Roman" w:cs="Times New Roman" w:eastAsiaTheme="minorEastAsia"/>
                <w:color w:val="auto"/>
                <w:lang w:eastAsia="zh-CN"/>
              </w:rPr>
            </w:pPr>
            <w:r>
              <w:rPr>
                <w:rFonts w:hint="eastAsia" w:ascii="Times New Roman" w:hAnsi="Times New Roman" w:cs="Times New Roman"/>
                <w:color w:val="auto"/>
              </w:rPr>
              <w:t>流量</w:t>
            </w:r>
            <w:r>
              <w:rPr>
                <w:rFonts w:hint="eastAsia" w:ascii="Times New Roman" w:hAnsi="Times New Roman" w:cs="Times New Roman"/>
                <w:color w:val="auto"/>
                <w:lang w:eastAsia="zh-CN"/>
              </w:rPr>
              <w:t>计</w:t>
            </w:r>
          </w:p>
        </w:tc>
        <w:tc>
          <w:tcPr>
            <w:tcW w:w="1418" w:type="dxa"/>
            <w:vAlign w:val="center"/>
          </w:tcPr>
          <w:p>
            <w:pPr>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w:t>
            </w:r>
            <w:r>
              <w:rPr>
                <w:rFonts w:ascii="Times New Roman" w:hAnsi="Times New Roman" w:cs="Times New Roman"/>
                <w:color w:val="auto"/>
                <w:sz w:val="20"/>
                <w:szCs w:val="20"/>
              </w:rPr>
              <w:t>1.5~15)L/min</w:t>
            </w:r>
          </w:p>
        </w:tc>
        <w:tc>
          <w:tcPr>
            <w:tcW w:w="1134" w:type="dxa"/>
            <w:vAlign w:val="center"/>
          </w:tcPr>
          <w:p>
            <w:pPr>
              <w:jc w:val="center"/>
              <w:rPr>
                <w:rFonts w:ascii="Times New Roman" w:hAnsi="Times New Roman" w:cs="Times New Roman"/>
                <w:color w:val="auto"/>
              </w:rPr>
            </w:pPr>
            <w:r>
              <w:rPr>
                <w:rFonts w:hint="eastAsia" w:ascii="Times New Roman" w:hAnsi="Times New Roman" w:cs="Times New Roman"/>
                <w:color w:val="auto"/>
              </w:rPr>
              <w:t>/</w:t>
            </w:r>
          </w:p>
        </w:tc>
        <w:tc>
          <w:tcPr>
            <w:tcW w:w="1559" w:type="dxa"/>
            <w:vAlign w:val="center"/>
          </w:tcPr>
          <w:p>
            <w:pPr>
              <w:jc w:val="center"/>
              <w:rPr>
                <w:rFonts w:ascii="Times New Roman" w:hAnsi="Times New Roman" w:cs="Times New Roman"/>
                <w:color w:val="auto"/>
              </w:rPr>
            </w:pPr>
            <w:r>
              <w:rPr>
                <w:rFonts w:hint="eastAsia" w:ascii="Times New Roman" w:hAnsi="Times New Roman" w:cs="Times New Roman"/>
                <w:color w:val="auto"/>
                <w:lang w:eastAsia="zh-CN"/>
              </w:rPr>
              <w:t>最大允许误差不超</w:t>
            </w:r>
            <w:r>
              <w:rPr>
                <w:rFonts w:hint="eastAsia" w:ascii="Times New Roman" w:hAnsi="Times New Roman" w:cs="Times New Roman"/>
                <w:color w:val="auto"/>
                <w:lang w:val="en-US" w:eastAsia="zh-CN"/>
              </w:rPr>
              <w:t>±1%</w:t>
            </w:r>
          </w:p>
        </w:tc>
        <w:tc>
          <w:tcPr>
            <w:tcW w:w="1672" w:type="dxa"/>
            <w:vAlign w:val="center"/>
          </w:tcPr>
          <w:p>
            <w:pPr>
              <w:jc w:val="center"/>
              <w:rPr>
                <w:rFonts w:hint="eastAsia" w:ascii="Times New Roman" w:hAnsi="Times New Roman" w:eastAsia="宋体" w:cs="Times New Roman"/>
                <w:color w:val="auto"/>
                <w:kern w:val="0"/>
                <w:sz w:val="18"/>
                <w:szCs w:val="18"/>
                <w:lang w:eastAsia="zh-CN"/>
              </w:rPr>
            </w:pPr>
            <w:r>
              <w:rPr>
                <w:rFonts w:ascii="Times New Roman" w:hAnsi="Times New Roman" w:eastAsia="宋体" w:cs="Times New Roman"/>
                <w:color w:val="auto"/>
                <w:kern w:val="0"/>
                <w:sz w:val="18"/>
                <w:szCs w:val="18"/>
              </w:rPr>
              <w:t>20</w:t>
            </w:r>
            <w:r>
              <w:rPr>
                <w:rFonts w:hint="eastAsia" w:ascii="Times New Roman" w:hAnsi="Times New Roman" w:eastAsia="宋体" w:cs="Times New Roman"/>
                <w:color w:val="auto"/>
                <w:kern w:val="0"/>
                <w:sz w:val="18"/>
                <w:szCs w:val="18"/>
                <w:lang w:val="en-US" w:eastAsia="zh-CN"/>
              </w:rPr>
              <w:t>21</w:t>
            </w:r>
            <w:r>
              <w:rPr>
                <w:rFonts w:ascii="Times New Roman" w:hAnsi="Times New Roman" w:eastAsia="宋体" w:cs="Times New Roman"/>
                <w:color w:val="auto"/>
                <w:kern w:val="0"/>
                <w:sz w:val="18"/>
                <w:szCs w:val="18"/>
              </w:rPr>
              <w:t>11060136</w:t>
            </w:r>
            <w:r>
              <w:rPr>
                <w:rFonts w:hint="eastAsia" w:ascii="Times New Roman" w:hAnsi="Times New Roman" w:eastAsia="宋体" w:cs="Times New Roman"/>
                <w:color w:val="auto"/>
                <w:kern w:val="0"/>
                <w:sz w:val="18"/>
                <w:szCs w:val="18"/>
                <w:lang w:val="en-US" w:eastAsia="zh-CN"/>
              </w:rPr>
              <w:t>9</w:t>
            </w:r>
          </w:p>
        </w:tc>
        <w:tc>
          <w:tcPr>
            <w:tcW w:w="1417" w:type="dxa"/>
            <w:vAlign w:val="center"/>
          </w:tcPr>
          <w:p>
            <w:pPr>
              <w:jc w:val="center"/>
              <w:rPr>
                <w:rFonts w:ascii="Times New Roman" w:hAnsi="Times New Roman" w:cs="Times New Roman"/>
                <w:color w:val="auto"/>
              </w:rPr>
            </w:pPr>
            <w:r>
              <w:rPr>
                <w:rFonts w:hint="eastAsia" w:ascii="Times New Roman" w:hAnsi="Times New Roman" w:cs="Times New Roman"/>
                <w:color w:val="auto"/>
              </w:rPr>
              <w:t>2</w:t>
            </w:r>
            <w:r>
              <w:rPr>
                <w:rFonts w:ascii="Times New Roman" w:hAnsi="Times New Roman" w:cs="Times New Roman"/>
                <w:color w:val="auto"/>
              </w:rPr>
              <w:t>02</w:t>
            </w:r>
            <w:r>
              <w:rPr>
                <w:rFonts w:hint="eastAsia" w:ascii="Times New Roman" w:hAnsi="Times New Roman" w:cs="Times New Roman"/>
                <w:color w:val="auto"/>
                <w:lang w:val="en-US" w:eastAsia="zh-CN"/>
              </w:rPr>
              <w:t>2</w:t>
            </w:r>
            <w:r>
              <w:rPr>
                <w:rFonts w:ascii="Times New Roman" w:hAnsi="Times New Roman" w:cs="Times New Roman"/>
                <w:color w:val="auto"/>
              </w:rPr>
              <w:t>.11.05</w:t>
            </w:r>
          </w:p>
        </w:tc>
      </w:tr>
    </w:tbl>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三、</w:t>
      </w:r>
      <w:r>
        <w:rPr>
          <w:rFonts w:hint="eastAsia" w:ascii="黑体" w:hAnsi="黑体" w:eastAsia="黑体" w:cs="黑体"/>
          <w:color w:val="auto"/>
          <w:sz w:val="28"/>
          <w:szCs w:val="28"/>
        </w:rPr>
        <w:t>试验方法</w:t>
      </w:r>
    </w:p>
    <w:p>
      <w:pPr>
        <w:widowControl/>
        <w:tabs>
          <w:tab w:val="left" w:pos="3885"/>
        </w:tabs>
        <w:spacing w:line="440" w:lineRule="exact"/>
        <w:ind w:firstLine="480" w:firstLineChars="200"/>
        <w:jc w:val="left"/>
        <w:rPr>
          <w:rFonts w:hint="eastAsia"/>
          <w:color w:val="auto"/>
          <w:sz w:val="24"/>
          <w:lang w:val="en-US" w:eastAsia="zh-CN"/>
        </w:rPr>
      </w:pPr>
      <w:r>
        <w:rPr>
          <w:rFonts w:hint="eastAsia"/>
          <w:color w:val="auto"/>
          <w:sz w:val="24"/>
          <w:lang w:eastAsia="zh-CN"/>
        </w:rPr>
        <w:t>仪器开机，根据操作说明书要求预热仪器。</w:t>
      </w:r>
      <w:r>
        <w:rPr>
          <w:rFonts w:hint="eastAsia"/>
          <w:color w:val="auto"/>
          <w:sz w:val="24"/>
          <w:lang w:val="en-US" w:eastAsia="zh-CN"/>
        </w:rPr>
        <w:t>打开气源开关，调节减压阀，使气体出口压力为0.1MPa，调节气体总流量至8L/min待读数稳定后重复读数3次，再依次调节气体总流量至10L/min、12L/min，记录数据。</w:t>
      </w: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四、</w:t>
      </w:r>
      <w:r>
        <w:rPr>
          <w:rFonts w:hint="eastAsia" w:ascii="黑体" w:hAnsi="黑体" w:eastAsia="黑体" w:cs="黑体"/>
          <w:color w:val="auto"/>
          <w:sz w:val="28"/>
          <w:szCs w:val="28"/>
        </w:rPr>
        <w:t>试验环境条件</w:t>
      </w:r>
    </w:p>
    <w:p>
      <w:pPr>
        <w:widowControl/>
        <w:tabs>
          <w:tab w:val="left" w:pos="3885"/>
        </w:tabs>
        <w:spacing w:line="440" w:lineRule="exact"/>
        <w:ind w:firstLine="480" w:firstLineChars="200"/>
        <w:jc w:val="left"/>
        <w:rPr>
          <w:color w:val="auto"/>
          <w:sz w:val="24"/>
        </w:rPr>
      </w:pPr>
      <w:r>
        <w:rPr>
          <w:rFonts w:hint="eastAsia"/>
          <w:color w:val="auto"/>
          <w:sz w:val="24"/>
        </w:rPr>
        <w:t>环境温度：2</w:t>
      </w:r>
      <w:r>
        <w:rPr>
          <w:color w:val="auto"/>
          <w:sz w:val="24"/>
        </w:rPr>
        <w:t>2.8</w:t>
      </w:r>
      <w:r>
        <w:rPr>
          <w:rFonts w:hint="eastAsia"/>
          <w:color w:val="auto"/>
          <w:sz w:val="24"/>
        </w:rPr>
        <w:t>℃</w:t>
      </w:r>
    </w:p>
    <w:p>
      <w:pPr>
        <w:widowControl/>
        <w:tabs>
          <w:tab w:val="left" w:pos="3885"/>
        </w:tabs>
        <w:spacing w:line="440" w:lineRule="exact"/>
        <w:ind w:firstLine="480" w:firstLineChars="200"/>
        <w:jc w:val="left"/>
        <w:rPr>
          <w:color w:val="auto"/>
          <w:sz w:val="24"/>
        </w:rPr>
      </w:pPr>
      <w:r>
        <w:rPr>
          <w:color w:val="auto"/>
          <w:sz w:val="24"/>
        </w:rPr>
        <w:t>相对湿度：</w:t>
      </w:r>
      <w:r>
        <w:rPr>
          <w:rFonts w:hint="eastAsia"/>
          <w:color w:val="auto"/>
          <w:sz w:val="24"/>
        </w:rPr>
        <w:t>6</w:t>
      </w:r>
      <w:r>
        <w:rPr>
          <w:color w:val="auto"/>
          <w:sz w:val="24"/>
        </w:rPr>
        <w:t>0%RH</w:t>
      </w:r>
    </w:p>
    <w:p>
      <w:pPr>
        <w:widowControl/>
        <w:tabs>
          <w:tab w:val="left" w:pos="3885"/>
        </w:tabs>
        <w:spacing w:line="440" w:lineRule="exact"/>
        <w:ind w:firstLine="480" w:firstLineChars="200"/>
        <w:jc w:val="left"/>
        <w:rPr>
          <w:color w:val="auto"/>
          <w:sz w:val="24"/>
        </w:rPr>
      </w:pPr>
      <w:r>
        <w:rPr>
          <w:color w:val="auto"/>
          <w:sz w:val="24"/>
        </w:rPr>
        <w:t>周围无影响仪器正常工作的电磁</w:t>
      </w:r>
      <w:r>
        <w:rPr>
          <w:rFonts w:hint="eastAsia"/>
          <w:color w:val="auto"/>
          <w:sz w:val="24"/>
        </w:rPr>
        <w:t>干扰</w:t>
      </w:r>
      <w:r>
        <w:rPr>
          <w:color w:val="auto"/>
          <w:sz w:val="24"/>
        </w:rPr>
        <w:t>和机械振动，无腐蚀性</w:t>
      </w:r>
      <w:r>
        <w:rPr>
          <w:rFonts w:hint="eastAsia"/>
          <w:color w:val="auto"/>
          <w:sz w:val="24"/>
          <w:lang w:eastAsia="zh-CN"/>
        </w:rPr>
        <w:t>气体</w:t>
      </w:r>
      <w:r>
        <w:rPr>
          <w:rFonts w:hint="eastAsia"/>
          <w:color w:val="auto"/>
          <w:sz w:val="24"/>
        </w:rPr>
        <w:t>液</w:t>
      </w:r>
      <w:r>
        <w:rPr>
          <w:color w:val="auto"/>
          <w:sz w:val="24"/>
        </w:rPr>
        <w:t>体存在。</w:t>
      </w: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五、</w:t>
      </w:r>
      <w:r>
        <w:rPr>
          <w:rFonts w:hint="eastAsia" w:ascii="黑体" w:hAnsi="黑体" w:eastAsia="黑体" w:cs="黑体"/>
          <w:color w:val="auto"/>
          <w:sz w:val="28"/>
          <w:szCs w:val="28"/>
        </w:rPr>
        <w:t>试验过程（试验内容）</w:t>
      </w:r>
    </w:p>
    <w:p>
      <w:pPr>
        <w:keepNext w:val="0"/>
        <w:keepLines w:val="0"/>
        <w:pageBreakBefore w:val="0"/>
        <w:widowControl w:val="0"/>
        <w:kinsoku/>
        <w:wordWrap/>
        <w:overflowPunct/>
        <w:topLinePunct w:val="0"/>
        <w:autoSpaceDE/>
        <w:autoSpaceDN/>
        <w:bidi w:val="0"/>
        <w:adjustRightInd/>
        <w:snapToGrid w:val="0"/>
        <w:spacing w:line="440" w:lineRule="exact"/>
        <w:ind w:right="6" w:firstLine="480" w:firstLineChars="200"/>
        <w:textAlignment w:val="auto"/>
        <w:outlineLvl w:val="1"/>
        <w:rPr>
          <w:rFonts w:hint="eastAsia" w:hAnsi="宋体"/>
          <w:color w:val="auto"/>
          <w:sz w:val="24"/>
        </w:rPr>
      </w:pPr>
      <w:r>
        <w:rPr>
          <w:rFonts w:hint="eastAsia" w:hAnsi="宋体"/>
          <w:color w:val="auto"/>
          <w:sz w:val="24"/>
        </w:rPr>
        <w:t>选取如下五个生产厂家生产的氧指数测定仪作为测试对象，分别是：南京市江宁区分析仪器厂（型号JF-3，编号201701007，简称仪器A）、东莞市品高仪器设备有限公司（型号PG5074，编号106654，简称仪器B）、江南正瑞泰邦电子科技有限公司（型号JF-3，编号2016014，简称仪器C）、绍兴市上虞区科南仪器有限公司（型号JF-3，编号2015044，简称仪器D）、济南艾德普仪器有限公司（型号JF-3，编号102154，简称仪器E）。</w:t>
      </w:r>
    </w:p>
    <w:p>
      <w:pPr>
        <w:spacing w:line="360" w:lineRule="auto"/>
        <w:ind w:firstLine="480" w:firstLineChars="200"/>
        <w:rPr>
          <w:color w:val="auto"/>
          <w:sz w:val="24"/>
        </w:rPr>
      </w:pPr>
      <w:r>
        <w:rPr>
          <w:rFonts w:hint="eastAsia" w:hAnsi="宋体"/>
          <w:color w:val="auto"/>
          <w:sz w:val="24"/>
        </w:rPr>
        <w:t>仪器开机，根据操作说明书要求预热仪器</w:t>
      </w:r>
      <w:r>
        <w:rPr>
          <w:rFonts w:hint="eastAsia" w:hAnsi="宋体"/>
          <w:color w:val="auto"/>
          <w:sz w:val="24"/>
          <w:lang w:eastAsia="zh-CN"/>
        </w:rPr>
        <w:t>。</w:t>
      </w:r>
      <w:r>
        <w:rPr>
          <w:rFonts w:hint="eastAsia" w:hAnsi="宋体"/>
          <w:color w:val="auto"/>
          <w:sz w:val="24"/>
          <w:lang w:val="en-US" w:eastAsia="zh-CN"/>
        </w:rPr>
        <w:t>打开气源开关，调节减压阀，使气体出口压力为0.1MPa，调节气体总流量至8L/min，待读数稳定后重复读数3次</w:t>
      </w:r>
      <w:r>
        <w:rPr>
          <w:rFonts w:hint="eastAsia" w:hAnsi="宋体"/>
          <w:color w:val="auto"/>
          <w:sz w:val="24"/>
        </w:rPr>
        <w:t>。</w:t>
      </w:r>
      <w:r>
        <w:rPr>
          <w:rFonts w:hint="eastAsia" w:hAnsi="宋体"/>
          <w:color w:val="auto"/>
          <w:sz w:val="24"/>
          <w:lang w:val="en-US" w:eastAsia="zh-CN"/>
        </w:rPr>
        <w:t>再依次调节气体总流量至10L/min、12L/min，记录数据。</w:t>
      </w: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六、</w:t>
      </w:r>
      <w:r>
        <w:rPr>
          <w:rFonts w:hint="eastAsia" w:ascii="黑体" w:hAnsi="黑体" w:eastAsia="黑体" w:cs="黑体"/>
          <w:color w:val="auto"/>
          <w:sz w:val="28"/>
          <w:szCs w:val="28"/>
        </w:rPr>
        <w:t>试验数据</w:t>
      </w:r>
    </w:p>
    <w:p>
      <w:pPr>
        <w:jc w:val="center"/>
        <w:rPr>
          <w:rFonts w:hint="eastAsia" w:ascii="黑体" w:hAnsi="黑体" w:eastAsia="黑体" w:cs="黑体"/>
          <w:b/>
          <w:color w:val="auto"/>
          <w:szCs w:val="21"/>
          <w:lang w:eastAsia="zh-CN"/>
        </w:rPr>
      </w:pPr>
      <w:r>
        <w:rPr>
          <w:rFonts w:hint="eastAsia" w:ascii="黑体" w:hAnsi="黑体" w:eastAsia="黑体" w:cs="黑体"/>
          <w:b/>
          <w:color w:val="auto"/>
          <w:szCs w:val="21"/>
        </w:rPr>
        <w:t>表</w:t>
      </w:r>
      <w:r>
        <w:rPr>
          <w:rFonts w:hint="eastAsia" w:ascii="黑体" w:hAnsi="黑体" w:eastAsia="黑体" w:cs="黑体"/>
          <w:b/>
          <w:color w:val="auto"/>
          <w:szCs w:val="21"/>
          <w:lang w:val="en-US" w:eastAsia="zh-CN"/>
        </w:rPr>
        <w:t>4</w:t>
      </w:r>
      <w:r>
        <w:rPr>
          <w:rFonts w:ascii="黑体" w:hAnsi="黑体" w:eastAsia="黑体" w:cs="黑体"/>
          <w:b/>
          <w:color w:val="auto"/>
          <w:szCs w:val="21"/>
        </w:rPr>
        <w:t xml:space="preserve"> </w:t>
      </w:r>
      <w:r>
        <w:rPr>
          <w:rFonts w:hint="eastAsia" w:ascii="黑体" w:hAnsi="黑体" w:eastAsia="黑体" w:cs="黑体"/>
          <w:b/>
          <w:color w:val="auto"/>
          <w:szCs w:val="21"/>
          <w:lang w:eastAsia="zh-CN"/>
        </w:rPr>
        <w:t>流量示值误差</w:t>
      </w:r>
      <w:r>
        <w:rPr>
          <w:rFonts w:hint="eastAsia" w:ascii="黑体" w:hAnsi="黑体" w:eastAsia="黑体" w:cs="黑体"/>
          <w:b/>
          <w:color w:val="auto"/>
          <w:szCs w:val="21"/>
        </w:rPr>
        <w:t>校准</w:t>
      </w:r>
      <w:r>
        <w:rPr>
          <w:rFonts w:hint="eastAsia" w:ascii="黑体" w:hAnsi="黑体" w:eastAsia="黑体" w:cs="黑体"/>
          <w:b/>
          <w:color w:val="auto"/>
          <w:szCs w:val="21"/>
          <w:lang w:eastAsia="zh-CN"/>
        </w:rPr>
        <w:t>数据和结果</w:t>
      </w:r>
    </w:p>
    <w:tbl>
      <w:tblPr>
        <w:tblStyle w:val="7"/>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1263"/>
        <w:gridCol w:w="1084"/>
        <w:gridCol w:w="1084"/>
        <w:gridCol w:w="1088"/>
        <w:gridCol w:w="1460"/>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72" w:type="dxa"/>
            <w:vMerge w:val="restart"/>
            <w:shd w:val="clear" w:color="auto" w:fill="auto"/>
            <w:noWrap w:val="0"/>
            <w:vAlign w:val="center"/>
          </w:tcPr>
          <w:p>
            <w:pPr>
              <w:jc w:val="center"/>
              <w:rPr>
                <w:rFonts w:hint="eastAsia"/>
                <w:color w:val="auto"/>
                <w:sz w:val="24"/>
                <w:szCs w:val="24"/>
                <w:lang w:val="en-US" w:eastAsia="zh-CN"/>
              </w:rPr>
            </w:pPr>
            <w:r>
              <w:rPr>
                <w:rFonts w:hint="eastAsia"/>
                <w:color w:val="auto"/>
                <w:sz w:val="24"/>
                <w:szCs w:val="24"/>
              </w:rPr>
              <w:t>仪器</w:t>
            </w:r>
          </w:p>
        </w:tc>
        <w:tc>
          <w:tcPr>
            <w:tcW w:w="1174" w:type="dxa"/>
            <w:vMerge w:val="restart"/>
            <w:shd w:val="clear" w:color="auto" w:fill="auto"/>
            <w:noWrap w:val="0"/>
            <w:vAlign w:val="center"/>
          </w:tcPr>
          <w:p>
            <w:pPr>
              <w:jc w:val="center"/>
              <w:rPr>
                <w:rFonts w:hint="eastAsia"/>
                <w:color w:val="auto"/>
                <w:sz w:val="24"/>
                <w:szCs w:val="24"/>
              </w:rPr>
            </w:pPr>
            <w:r>
              <w:rPr>
                <w:rFonts w:hint="eastAsia"/>
                <w:color w:val="auto"/>
                <w:sz w:val="24"/>
                <w:szCs w:val="24"/>
                <w:lang w:val="en-US" w:eastAsia="zh-CN"/>
              </w:rPr>
              <w:t>标准流量计示值</w:t>
            </w:r>
            <w:r>
              <w:rPr>
                <w:rFonts w:hint="eastAsia"/>
                <w:color w:val="auto"/>
                <w:sz w:val="24"/>
                <w:szCs w:val="24"/>
              </w:rPr>
              <w:t>（</w:t>
            </w:r>
            <w:r>
              <w:rPr>
                <w:color w:val="auto"/>
                <w:sz w:val="24"/>
                <w:szCs w:val="24"/>
              </w:rPr>
              <w:t>L/min</w:t>
            </w:r>
            <w:r>
              <w:rPr>
                <w:rFonts w:hint="eastAsia"/>
                <w:color w:val="auto"/>
                <w:sz w:val="24"/>
                <w:szCs w:val="24"/>
              </w:rPr>
              <w:t>）</w:t>
            </w:r>
          </w:p>
        </w:tc>
        <w:tc>
          <w:tcPr>
            <w:tcW w:w="3301" w:type="dxa"/>
            <w:gridSpan w:val="3"/>
            <w:shd w:val="clear" w:color="auto" w:fill="auto"/>
            <w:noWrap w:val="0"/>
            <w:vAlign w:val="center"/>
          </w:tcPr>
          <w:p>
            <w:pPr>
              <w:jc w:val="center"/>
              <w:rPr>
                <w:rFonts w:hint="eastAsia"/>
                <w:color w:val="auto"/>
                <w:sz w:val="24"/>
                <w:szCs w:val="24"/>
              </w:rPr>
            </w:pPr>
            <w:r>
              <w:rPr>
                <w:rFonts w:hint="eastAsia"/>
                <w:color w:val="auto"/>
                <w:sz w:val="24"/>
                <w:szCs w:val="24"/>
                <w:lang w:val="en-US" w:eastAsia="zh-CN"/>
              </w:rPr>
              <w:t>被校流量计示值</w:t>
            </w:r>
            <w:r>
              <w:rPr>
                <w:rFonts w:hint="eastAsia"/>
                <w:color w:val="auto"/>
                <w:sz w:val="24"/>
                <w:szCs w:val="24"/>
              </w:rPr>
              <w:t>（</w:t>
            </w:r>
            <w:r>
              <w:rPr>
                <w:color w:val="auto"/>
                <w:sz w:val="24"/>
                <w:szCs w:val="24"/>
              </w:rPr>
              <w:t>L/min</w:t>
            </w:r>
            <w:r>
              <w:rPr>
                <w:rFonts w:hint="eastAsia"/>
                <w:color w:val="auto"/>
                <w:sz w:val="24"/>
                <w:szCs w:val="24"/>
              </w:rPr>
              <w:t>）</w:t>
            </w:r>
          </w:p>
        </w:tc>
        <w:tc>
          <w:tcPr>
            <w:tcW w:w="1466" w:type="dxa"/>
            <w:vMerge w:val="restart"/>
            <w:shd w:val="clear" w:color="auto" w:fill="auto"/>
            <w:noWrap w:val="0"/>
            <w:vAlign w:val="center"/>
          </w:tcPr>
          <w:p>
            <w:pPr>
              <w:jc w:val="center"/>
              <w:rPr>
                <w:rFonts w:hint="eastAsia"/>
                <w:color w:val="auto"/>
                <w:sz w:val="24"/>
                <w:szCs w:val="24"/>
              </w:rPr>
            </w:pPr>
            <w:r>
              <w:rPr>
                <w:color w:val="auto"/>
                <w:sz w:val="24"/>
                <w:szCs w:val="24"/>
              </w:rPr>
              <w:t>平均值</w:t>
            </w:r>
            <w:r>
              <w:rPr>
                <w:rFonts w:hint="eastAsia"/>
                <w:color w:val="auto"/>
                <w:sz w:val="24"/>
                <w:szCs w:val="24"/>
              </w:rPr>
              <w:t>（</w:t>
            </w:r>
            <w:r>
              <w:rPr>
                <w:color w:val="auto"/>
                <w:sz w:val="24"/>
                <w:szCs w:val="24"/>
              </w:rPr>
              <w:t>L/min</w:t>
            </w:r>
            <w:r>
              <w:rPr>
                <w:rFonts w:hint="eastAsia"/>
                <w:color w:val="auto"/>
                <w:sz w:val="24"/>
                <w:szCs w:val="24"/>
              </w:rPr>
              <w:t>）</w:t>
            </w:r>
          </w:p>
        </w:tc>
        <w:tc>
          <w:tcPr>
            <w:tcW w:w="1585" w:type="dxa"/>
            <w:vMerge w:val="restart"/>
            <w:shd w:val="clear" w:color="auto" w:fill="auto"/>
            <w:noWrap w:val="0"/>
            <w:vAlign w:val="center"/>
          </w:tcPr>
          <w:p>
            <w:pPr>
              <w:jc w:val="center"/>
              <w:rPr>
                <w:color w:val="auto"/>
                <w:sz w:val="24"/>
                <w:szCs w:val="24"/>
              </w:rPr>
            </w:pPr>
            <w:r>
              <w:rPr>
                <w:rFonts w:hint="eastAsia"/>
                <w:color w:val="auto"/>
                <w:sz w:val="24"/>
                <w:szCs w:val="24"/>
              </w:rPr>
              <w:t>示值误差</w:t>
            </w:r>
            <w:r>
              <w:rPr>
                <w:color w:val="auto"/>
                <w:sz w:val="24"/>
                <w:szCs w:val="24"/>
              </w:rPr>
              <w:t>（%</w:t>
            </w:r>
            <w:r>
              <w:rPr>
                <w:rFonts w:hint="eastAsia"/>
                <w:color w:val="auto"/>
                <w:sz w:val="24"/>
                <w:szCs w:val="24"/>
                <w:lang w:val="en-US" w:eastAsia="zh-CN"/>
              </w:rPr>
              <w:t>FS</w:t>
            </w:r>
            <w:r>
              <w:rPr>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172" w:type="dxa"/>
            <w:vMerge w:val="continue"/>
            <w:tcBorders>
              <w:bottom w:val="single" w:color="auto" w:sz="4" w:space="0"/>
            </w:tcBorders>
            <w:shd w:val="clear" w:color="auto" w:fill="auto"/>
            <w:noWrap w:val="0"/>
            <w:vAlign w:val="center"/>
          </w:tcPr>
          <w:p>
            <w:pPr>
              <w:jc w:val="center"/>
              <w:rPr>
                <w:rFonts w:hint="eastAsia"/>
                <w:color w:val="auto"/>
                <w:sz w:val="24"/>
                <w:szCs w:val="24"/>
              </w:rPr>
            </w:pPr>
          </w:p>
        </w:tc>
        <w:tc>
          <w:tcPr>
            <w:tcW w:w="1174" w:type="dxa"/>
            <w:vMerge w:val="continue"/>
            <w:tcBorders>
              <w:bottom w:val="single" w:color="auto" w:sz="4" w:space="0"/>
            </w:tcBorders>
            <w:shd w:val="clear" w:color="auto" w:fill="auto"/>
            <w:noWrap w:val="0"/>
            <w:vAlign w:val="center"/>
          </w:tcPr>
          <w:p>
            <w:pPr>
              <w:jc w:val="center"/>
              <w:rPr>
                <w:rFonts w:hint="eastAsia"/>
                <w:color w:val="auto"/>
                <w:sz w:val="24"/>
                <w:szCs w:val="24"/>
              </w:rPr>
            </w:pPr>
          </w:p>
        </w:tc>
        <w:tc>
          <w:tcPr>
            <w:tcW w:w="1099" w:type="dxa"/>
            <w:shd w:val="clear" w:color="auto" w:fill="auto"/>
            <w:noWrap w:val="0"/>
            <w:vAlign w:val="center"/>
          </w:tcPr>
          <w:p>
            <w:pPr>
              <w:jc w:val="center"/>
              <w:rPr>
                <w:rFonts w:hint="eastAsia"/>
                <w:color w:val="auto"/>
                <w:sz w:val="24"/>
                <w:szCs w:val="24"/>
              </w:rPr>
            </w:pPr>
            <w:r>
              <w:rPr>
                <w:rFonts w:hint="eastAsia"/>
                <w:color w:val="auto"/>
                <w:sz w:val="24"/>
                <w:szCs w:val="24"/>
              </w:rPr>
              <w:t>1</w:t>
            </w:r>
          </w:p>
        </w:tc>
        <w:tc>
          <w:tcPr>
            <w:tcW w:w="1099" w:type="dxa"/>
            <w:shd w:val="clear" w:color="auto" w:fill="auto"/>
            <w:noWrap w:val="0"/>
            <w:vAlign w:val="center"/>
          </w:tcPr>
          <w:p>
            <w:pPr>
              <w:jc w:val="center"/>
              <w:rPr>
                <w:rFonts w:hint="eastAsia"/>
                <w:color w:val="auto"/>
                <w:sz w:val="24"/>
                <w:szCs w:val="24"/>
              </w:rPr>
            </w:pPr>
            <w:r>
              <w:rPr>
                <w:rFonts w:hint="eastAsia"/>
                <w:color w:val="auto"/>
                <w:sz w:val="24"/>
                <w:szCs w:val="24"/>
              </w:rPr>
              <w:t>2</w:t>
            </w:r>
          </w:p>
        </w:tc>
        <w:tc>
          <w:tcPr>
            <w:tcW w:w="1103" w:type="dxa"/>
            <w:shd w:val="clear" w:color="auto" w:fill="auto"/>
            <w:noWrap w:val="0"/>
            <w:vAlign w:val="center"/>
          </w:tcPr>
          <w:p>
            <w:pPr>
              <w:jc w:val="center"/>
              <w:rPr>
                <w:rFonts w:hint="eastAsia"/>
                <w:color w:val="auto"/>
                <w:sz w:val="24"/>
                <w:szCs w:val="24"/>
              </w:rPr>
            </w:pPr>
            <w:r>
              <w:rPr>
                <w:rFonts w:hint="eastAsia"/>
                <w:color w:val="auto"/>
                <w:sz w:val="24"/>
                <w:szCs w:val="24"/>
              </w:rPr>
              <w:t>3</w:t>
            </w:r>
          </w:p>
        </w:tc>
        <w:tc>
          <w:tcPr>
            <w:tcW w:w="1466" w:type="dxa"/>
            <w:vMerge w:val="continue"/>
            <w:tcBorders>
              <w:bottom w:val="single" w:color="auto" w:sz="4" w:space="0"/>
            </w:tcBorders>
            <w:shd w:val="clear" w:color="auto" w:fill="auto"/>
            <w:noWrap w:val="0"/>
            <w:vAlign w:val="center"/>
          </w:tcPr>
          <w:p>
            <w:pPr>
              <w:jc w:val="center"/>
              <w:rPr>
                <w:color w:val="auto"/>
                <w:sz w:val="24"/>
                <w:szCs w:val="24"/>
              </w:rPr>
            </w:pPr>
          </w:p>
        </w:tc>
        <w:tc>
          <w:tcPr>
            <w:tcW w:w="1585" w:type="dxa"/>
            <w:vMerge w:val="continue"/>
            <w:tcBorders>
              <w:bottom w:val="single" w:color="auto" w:sz="4" w:space="0"/>
            </w:tcBorders>
            <w:shd w:val="clear" w:color="auto" w:fill="auto"/>
            <w:noWrap w:val="0"/>
            <w:vAlign w:val="center"/>
          </w:tcPr>
          <w:p>
            <w:pPr>
              <w:jc w:val="center"/>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restart"/>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rPr>
              <w:t>A</w:t>
            </w:r>
          </w:p>
        </w:tc>
        <w:tc>
          <w:tcPr>
            <w:tcW w:w="1174" w:type="dxa"/>
            <w:shd w:val="clear" w:color="auto" w:fill="auto"/>
            <w:noWrap w:val="0"/>
            <w:vAlign w:val="center"/>
          </w:tcPr>
          <w:p>
            <w:pPr>
              <w:jc w:val="center"/>
              <w:rPr>
                <w:rFonts w:hint="default"/>
                <w:color w:val="auto"/>
                <w:sz w:val="24"/>
                <w:szCs w:val="24"/>
                <w:lang w:val="en-US" w:eastAsia="zh-CN"/>
              </w:rPr>
            </w:pPr>
            <w:r>
              <w:rPr>
                <w:rFonts w:hint="default"/>
                <w:color w:val="auto"/>
                <w:sz w:val="24"/>
                <w:szCs w:val="24"/>
                <w:lang w:val="en-US" w:eastAsia="zh-CN"/>
              </w:rPr>
              <w:t>8.</w:t>
            </w:r>
            <w:r>
              <w:rPr>
                <w:rFonts w:hint="eastAsia"/>
                <w:color w:val="auto"/>
                <w:sz w:val="24"/>
                <w:szCs w:val="24"/>
                <w:lang w:val="en-US" w:eastAsia="zh-CN"/>
              </w:rPr>
              <w:t>0</w:t>
            </w:r>
          </w:p>
        </w:tc>
        <w:tc>
          <w:tcPr>
            <w:tcW w:w="1099" w:type="dxa"/>
            <w:shd w:val="clear" w:color="auto" w:fill="auto"/>
            <w:noWrap w:val="0"/>
            <w:vAlign w:val="center"/>
          </w:tcPr>
          <w:p>
            <w:pPr>
              <w:jc w:val="center"/>
              <w:rPr>
                <w:rFonts w:hint="default"/>
                <w:color w:val="auto"/>
                <w:sz w:val="24"/>
                <w:szCs w:val="24"/>
                <w:lang w:val="en-US" w:eastAsia="zh-CN"/>
              </w:rPr>
            </w:pPr>
            <w:r>
              <w:rPr>
                <w:rFonts w:hint="default"/>
                <w:color w:val="auto"/>
                <w:sz w:val="24"/>
                <w:szCs w:val="24"/>
                <w:lang w:val="en-US" w:eastAsia="zh-CN"/>
              </w:rPr>
              <w:t>8.1</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8.0</w:t>
            </w:r>
          </w:p>
        </w:tc>
        <w:tc>
          <w:tcPr>
            <w:tcW w:w="1103"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8.1</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8.1</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default"/>
                <w:color w:val="auto"/>
                <w:sz w:val="24"/>
                <w:szCs w:val="24"/>
                <w:lang w:val="en-US" w:eastAsia="zh-CN"/>
              </w:rPr>
            </w:pPr>
            <w:r>
              <w:rPr>
                <w:rFonts w:hint="eastAsia"/>
                <w:color w:val="auto"/>
                <w:sz w:val="24"/>
                <w:szCs w:val="24"/>
                <w:lang w:val="en-US" w:eastAsia="zh-CN"/>
              </w:rPr>
              <w:t>10.0</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12.1</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12.3</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12.3</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12.3</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172" w:type="dxa"/>
            <w:vMerge w:val="restart"/>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rPr>
              <w:t>B</w:t>
            </w:r>
          </w:p>
        </w:tc>
        <w:tc>
          <w:tcPr>
            <w:tcW w:w="1174" w:type="dxa"/>
            <w:shd w:val="clear" w:color="auto" w:fill="auto"/>
            <w:noWrap w:val="0"/>
            <w:vAlign w:val="center"/>
          </w:tcPr>
          <w:p>
            <w:pPr>
              <w:jc w:val="center"/>
              <w:rPr>
                <w:rFonts w:hint="default"/>
                <w:color w:val="auto"/>
                <w:sz w:val="24"/>
                <w:szCs w:val="24"/>
                <w:lang w:val="en-US" w:eastAsia="zh-CN"/>
              </w:rPr>
            </w:pPr>
            <w:r>
              <w:rPr>
                <w:rFonts w:hint="default"/>
                <w:color w:val="auto"/>
                <w:sz w:val="24"/>
                <w:szCs w:val="24"/>
                <w:lang w:val="en-US" w:eastAsia="zh-CN"/>
              </w:rPr>
              <w:t>8.</w:t>
            </w:r>
            <w:r>
              <w:rPr>
                <w:rFonts w:hint="eastAsia"/>
                <w:color w:val="auto"/>
                <w:sz w:val="24"/>
                <w:szCs w:val="24"/>
                <w:lang w:val="en-US" w:eastAsia="zh-CN"/>
              </w:rPr>
              <w:t>1</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8.1</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8.3</w:t>
            </w:r>
          </w:p>
        </w:tc>
        <w:tc>
          <w:tcPr>
            <w:tcW w:w="1103"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8.1</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8.2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10.0</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10.4</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10.3</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12.1</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11.9</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12.3</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12.3</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restart"/>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rPr>
              <w:t>C</w:t>
            </w:r>
          </w:p>
        </w:tc>
        <w:tc>
          <w:tcPr>
            <w:tcW w:w="1174" w:type="dxa"/>
            <w:shd w:val="clear" w:color="auto" w:fill="auto"/>
            <w:noWrap w:val="0"/>
            <w:vAlign w:val="center"/>
          </w:tcPr>
          <w:p>
            <w:pPr>
              <w:jc w:val="center"/>
              <w:rPr>
                <w:rFonts w:hint="default"/>
                <w:color w:val="auto"/>
                <w:sz w:val="24"/>
                <w:szCs w:val="24"/>
                <w:lang w:val="en-US" w:eastAsia="zh-CN"/>
              </w:rPr>
            </w:pPr>
            <w:r>
              <w:rPr>
                <w:rFonts w:hint="default"/>
                <w:color w:val="auto"/>
                <w:sz w:val="24"/>
                <w:szCs w:val="24"/>
                <w:lang w:val="en-US" w:eastAsia="zh-CN"/>
              </w:rPr>
              <w:t>8.</w:t>
            </w:r>
            <w:r>
              <w:rPr>
                <w:rFonts w:hint="eastAsia"/>
                <w:color w:val="auto"/>
                <w:sz w:val="24"/>
                <w:szCs w:val="24"/>
                <w:lang w:val="en-US" w:eastAsia="zh-CN"/>
              </w:rPr>
              <w:t>1</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8.2</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8.3</w:t>
            </w:r>
          </w:p>
        </w:tc>
        <w:tc>
          <w:tcPr>
            <w:tcW w:w="1103"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8.1</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8.2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10.0</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10.1</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10.4</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12.1</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11.9</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11.8</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12.3</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12.0</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restart"/>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rPr>
              <w:t>D</w:t>
            </w:r>
          </w:p>
        </w:tc>
        <w:tc>
          <w:tcPr>
            <w:tcW w:w="1174"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8.2</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8.3</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8.3</w:t>
            </w:r>
          </w:p>
        </w:tc>
        <w:tc>
          <w:tcPr>
            <w:tcW w:w="1103"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8.1</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8.2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10.1</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10.4</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p>
        </w:tc>
        <w:tc>
          <w:tcPr>
            <w:tcW w:w="1174" w:type="dxa"/>
            <w:shd w:val="clear" w:color="auto" w:fill="auto"/>
            <w:noWrap w:val="0"/>
            <w:vAlign w:val="center"/>
          </w:tcPr>
          <w:p>
            <w:pPr>
              <w:jc w:val="center"/>
              <w:rPr>
                <w:rFonts w:hint="default"/>
                <w:color w:val="auto"/>
                <w:sz w:val="24"/>
                <w:szCs w:val="24"/>
                <w:lang w:val="en-US" w:eastAsia="zh-CN"/>
              </w:rPr>
            </w:pPr>
            <w:r>
              <w:rPr>
                <w:rFonts w:hint="eastAsia"/>
                <w:color w:val="auto"/>
                <w:sz w:val="24"/>
                <w:szCs w:val="24"/>
                <w:lang w:val="en-US" w:eastAsia="zh-CN"/>
              </w:rPr>
              <w:t>12.3</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11.9</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12.3</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12.1</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restart"/>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rPr>
              <w:t>E</w:t>
            </w:r>
          </w:p>
        </w:tc>
        <w:tc>
          <w:tcPr>
            <w:tcW w:w="1174"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7.9</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8.0</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8.0</w:t>
            </w:r>
          </w:p>
        </w:tc>
        <w:tc>
          <w:tcPr>
            <w:tcW w:w="1103"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8.1</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8.0</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top"/>
          </w:tcPr>
          <w:p>
            <w:pPr>
              <w:jc w:val="center"/>
              <w:rPr>
                <w:rFonts w:asciiTheme="minorHAnsi" w:hAnsiTheme="minorHAnsi" w:eastAsiaTheme="minorEastAsia" w:cstheme="minorBidi"/>
                <w:color w:val="auto"/>
                <w:kern w:val="2"/>
                <w:sz w:val="24"/>
                <w:szCs w:val="24"/>
                <w:lang w:val="en-US" w:eastAsia="zh-CN" w:bidi="ar-SA"/>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9.9</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10.1</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10.4</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10.2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172" w:type="dxa"/>
            <w:vMerge w:val="continue"/>
            <w:shd w:val="clear" w:color="auto" w:fill="auto"/>
            <w:noWrap w:val="0"/>
            <w:vAlign w:val="top"/>
          </w:tcPr>
          <w:p>
            <w:pPr>
              <w:jc w:val="center"/>
              <w:rPr>
                <w:rFonts w:asciiTheme="minorHAnsi" w:hAnsiTheme="minorHAnsi" w:eastAsiaTheme="minorEastAsia" w:cstheme="minorBidi"/>
                <w:color w:val="auto"/>
                <w:kern w:val="2"/>
                <w:sz w:val="24"/>
                <w:szCs w:val="24"/>
                <w:lang w:val="en-US" w:eastAsia="zh-CN" w:bidi="ar-SA"/>
              </w:rPr>
            </w:pPr>
          </w:p>
        </w:tc>
        <w:tc>
          <w:tcPr>
            <w:tcW w:w="1174" w:type="dxa"/>
            <w:shd w:val="clear" w:color="auto" w:fill="auto"/>
            <w:noWrap w:val="0"/>
            <w:vAlign w:val="center"/>
          </w:tcPr>
          <w:p>
            <w:pPr>
              <w:jc w:val="center"/>
              <w:rPr>
                <w:rFonts w:hint="default"/>
                <w:color w:val="auto"/>
                <w:sz w:val="24"/>
                <w:szCs w:val="24"/>
                <w:lang w:val="en-US" w:eastAsia="zh-CN"/>
              </w:rPr>
            </w:pPr>
            <w:r>
              <w:rPr>
                <w:rFonts w:hint="eastAsia"/>
                <w:color w:val="auto"/>
                <w:sz w:val="24"/>
                <w:szCs w:val="24"/>
                <w:lang w:val="en-US" w:eastAsia="zh-CN"/>
              </w:rPr>
              <w:t>12.2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11.9</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12.3</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12.1</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-0.9</w:t>
            </w:r>
          </w:p>
        </w:tc>
      </w:tr>
    </w:tbl>
    <w:p>
      <w:pPr>
        <w:jc w:val="center"/>
        <w:rPr>
          <w:rFonts w:hint="eastAsia" w:ascii="黑体" w:hAnsi="黑体" w:eastAsia="黑体" w:cs="黑体"/>
          <w:b/>
          <w:color w:val="auto"/>
          <w:szCs w:val="21"/>
        </w:rPr>
      </w:pPr>
    </w:p>
    <w:p>
      <w:pPr>
        <w:ind w:firstLine="480" w:firstLineChars="200"/>
        <w:jc w:val="left"/>
        <w:rPr>
          <w:rFonts w:ascii="黑体" w:hAnsi="黑体" w:eastAsia="黑体" w:cs="黑体"/>
          <w:color w:val="auto"/>
          <w:sz w:val="28"/>
          <w:szCs w:val="28"/>
        </w:rPr>
      </w:pPr>
      <w:r>
        <w:rPr>
          <w:rFonts w:hint="eastAsia" w:hAnsi="宋体"/>
          <w:color w:val="auto"/>
          <w:sz w:val="24"/>
        </w:rPr>
        <w:t>由上表，可得：氧指数测定仪的</w:t>
      </w:r>
      <w:r>
        <w:rPr>
          <w:rFonts w:hint="eastAsia" w:hAnsi="宋体"/>
          <w:color w:val="auto"/>
          <w:sz w:val="24"/>
          <w:lang w:eastAsia="zh-CN"/>
        </w:rPr>
        <w:t>流量示值误差</w:t>
      </w:r>
      <w:r>
        <w:rPr>
          <w:rFonts w:hint="eastAsia" w:hAnsi="宋体"/>
          <w:color w:val="auto"/>
          <w:sz w:val="24"/>
        </w:rPr>
        <w:t>最大值为</w:t>
      </w:r>
      <w:r>
        <w:rPr>
          <w:rFonts w:hint="eastAsia" w:hAnsi="宋体"/>
          <w:color w:val="auto"/>
          <w:sz w:val="24"/>
          <w:lang w:val="en-US" w:eastAsia="zh-CN"/>
        </w:rPr>
        <w:t>1.8</w:t>
      </w:r>
      <w:r>
        <w:rPr>
          <w:rFonts w:hAnsi="宋体"/>
          <w:color w:val="auto"/>
          <w:sz w:val="24"/>
        </w:rPr>
        <w:t>%</w:t>
      </w:r>
      <w:r>
        <w:rPr>
          <w:rFonts w:hint="eastAsia" w:hAnsi="宋体"/>
          <w:color w:val="auto"/>
          <w:sz w:val="24"/>
          <w:lang w:val="en-US" w:eastAsia="zh-CN"/>
        </w:rPr>
        <w:t>FS</w:t>
      </w:r>
      <w:r>
        <w:rPr>
          <w:rFonts w:ascii="Times New Roman"/>
          <w:color w:val="auto"/>
          <w:sz w:val="24"/>
        </w:rPr>
        <w:t>。</w:t>
      </w: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七、</w:t>
      </w:r>
      <w:r>
        <w:rPr>
          <w:rFonts w:hint="eastAsia" w:ascii="黑体" w:hAnsi="黑体" w:eastAsia="黑体" w:cs="黑体"/>
          <w:color w:val="auto"/>
          <w:sz w:val="28"/>
          <w:szCs w:val="28"/>
        </w:rPr>
        <w:t>试验结论</w:t>
      </w:r>
    </w:p>
    <w:p>
      <w:pPr>
        <w:pStyle w:val="3"/>
        <w:ind w:right="0" w:firstLine="480" w:firstLineChars="200"/>
        <w:jc w:val="left"/>
        <w:rPr>
          <w:rFonts w:hAnsi="宋体"/>
          <w:color w:val="auto"/>
          <w:sz w:val="24"/>
        </w:rPr>
      </w:pPr>
      <w:r>
        <w:rPr>
          <w:rFonts w:hint="eastAsia" w:hAnsi="宋体"/>
          <w:color w:val="auto"/>
          <w:sz w:val="24"/>
        </w:rPr>
        <w:t>本规范规定</w:t>
      </w:r>
      <w:r>
        <w:rPr>
          <w:rFonts w:hint="eastAsia" w:ascii="Times New Roman"/>
          <w:color w:val="auto"/>
          <w:sz w:val="24"/>
          <w:lang w:eastAsia="zh-CN"/>
        </w:rPr>
        <w:t>流量示值误差为</w:t>
      </w:r>
      <w:r>
        <w:rPr>
          <w:rFonts w:hint="eastAsia" w:ascii="Times New Roman"/>
          <w:color w:val="auto"/>
          <w:sz w:val="24"/>
          <w:lang w:val="en-US" w:eastAsia="zh-CN"/>
        </w:rPr>
        <w:t>2.5</w:t>
      </w:r>
      <w:r>
        <w:rPr>
          <w:rFonts w:ascii="Times New Roman"/>
          <w:color w:val="auto"/>
          <w:sz w:val="24"/>
        </w:rPr>
        <w:t>%</w:t>
      </w:r>
      <w:r>
        <w:rPr>
          <w:rFonts w:hint="eastAsia" w:ascii="Times New Roman"/>
          <w:color w:val="auto"/>
          <w:sz w:val="24"/>
          <w:lang w:val="en-US" w:eastAsia="zh-CN"/>
        </w:rPr>
        <w:t>FS</w:t>
      </w:r>
      <w:r>
        <w:rPr>
          <w:rFonts w:hint="eastAsia" w:ascii="Times New Roman"/>
          <w:color w:val="auto"/>
          <w:sz w:val="24"/>
        </w:rPr>
        <w:t>，</w:t>
      </w:r>
      <w:r>
        <w:rPr>
          <w:rFonts w:hint="eastAsia" w:hAnsi="宋体"/>
          <w:color w:val="auto"/>
          <w:sz w:val="24"/>
        </w:rPr>
        <w:t>由试验数据可见，氧指数测定仪</w:t>
      </w:r>
      <w:r>
        <w:rPr>
          <w:rFonts w:hint="eastAsia" w:hAnsi="宋体"/>
          <w:color w:val="auto"/>
          <w:sz w:val="24"/>
          <w:lang w:eastAsia="zh-CN"/>
        </w:rPr>
        <w:t>的流量示值误差</w:t>
      </w:r>
      <w:r>
        <w:rPr>
          <w:rFonts w:hint="eastAsia" w:hAnsi="宋体"/>
          <w:color w:val="auto"/>
          <w:sz w:val="24"/>
        </w:rPr>
        <w:t>满足要求。</w:t>
      </w:r>
    </w:p>
    <w:p>
      <w:pPr>
        <w:numPr>
          <w:ilvl w:val="0"/>
          <w:numId w:val="4"/>
        </w:numPr>
        <w:jc w:val="center"/>
        <w:rPr>
          <w:rFonts w:hint="eastAsia" w:ascii="黑体" w:hAnsi="黑体" w:eastAsia="黑体" w:cs="黑体"/>
          <w:color w:val="auto"/>
          <w:sz w:val="28"/>
          <w:szCs w:val="28"/>
        </w:rPr>
      </w:pPr>
      <w:r>
        <w:rPr>
          <w:rFonts w:hint="eastAsia" w:ascii="黑体" w:hAnsi="黑体" w:eastAsia="黑体" w:cs="黑体"/>
          <w:color w:val="auto"/>
          <w:sz w:val="28"/>
          <w:szCs w:val="28"/>
        </w:rPr>
        <w:t xml:space="preserve"> 关于</w:t>
      </w:r>
      <w:r>
        <w:rPr>
          <w:rFonts w:hint="eastAsia" w:ascii="黑体" w:hAnsi="黑体" w:eastAsia="黑体" w:cs="黑体"/>
          <w:color w:val="auto"/>
          <w:sz w:val="28"/>
          <w:szCs w:val="28"/>
          <w:lang w:eastAsia="zh-CN"/>
        </w:rPr>
        <w:t>压力示值误差</w:t>
      </w:r>
      <w:r>
        <w:rPr>
          <w:rFonts w:hint="eastAsia" w:ascii="黑体" w:hAnsi="黑体" w:eastAsia="黑体" w:cs="黑体"/>
          <w:color w:val="auto"/>
          <w:sz w:val="28"/>
          <w:szCs w:val="28"/>
        </w:rPr>
        <w:t>的验证试验</w:t>
      </w: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一、</w:t>
      </w:r>
      <w:r>
        <w:rPr>
          <w:rFonts w:hint="eastAsia" w:ascii="黑体" w:hAnsi="黑体" w:eastAsia="黑体" w:cs="黑体"/>
          <w:color w:val="auto"/>
          <w:sz w:val="28"/>
          <w:szCs w:val="28"/>
        </w:rPr>
        <w:t>试验目的</w:t>
      </w:r>
    </w:p>
    <w:p>
      <w:pPr>
        <w:spacing w:line="360" w:lineRule="auto"/>
        <w:ind w:firstLine="480" w:firstLineChars="200"/>
        <w:rPr>
          <w:color w:val="auto"/>
          <w:sz w:val="24"/>
        </w:rPr>
      </w:pPr>
      <w:r>
        <w:rPr>
          <w:rFonts w:hint="eastAsia"/>
          <w:color w:val="auto"/>
          <w:sz w:val="24"/>
        </w:rPr>
        <w:t>通过实验数据，观测计量特性数据是否满足起草规范中的计量特性要求，验证起草规范中</w:t>
      </w:r>
      <w:r>
        <w:rPr>
          <w:rFonts w:hint="eastAsia"/>
          <w:color w:val="auto"/>
          <w:sz w:val="24"/>
          <w:lang w:eastAsia="zh-CN"/>
        </w:rPr>
        <w:t>器压力示值误差计</w:t>
      </w:r>
      <w:r>
        <w:rPr>
          <w:rFonts w:hint="eastAsia"/>
          <w:color w:val="auto"/>
          <w:sz w:val="24"/>
        </w:rPr>
        <w:t>量特性的合理性。</w:t>
      </w:r>
    </w:p>
    <w:p>
      <w:pPr>
        <w:numPr>
          <w:ilvl w:val="0"/>
          <w:numId w:val="0"/>
        </w:numPr>
        <w:jc w:val="left"/>
        <w:rPr>
          <w:rFonts w:hint="eastAsia" w:ascii="黑体" w:hAnsi="黑体" w:eastAsia="黑体" w:cs="黑体"/>
          <w:color w:val="auto"/>
          <w:sz w:val="28"/>
          <w:szCs w:val="28"/>
          <w:lang w:eastAsia="zh-CN"/>
        </w:rPr>
      </w:pPr>
      <w:r>
        <w:rPr>
          <w:rFonts w:hint="eastAsia" w:ascii="黑体" w:hAnsi="黑体" w:eastAsia="黑体" w:cs="黑体"/>
          <w:color w:val="auto"/>
          <w:sz w:val="28"/>
          <w:szCs w:val="28"/>
          <w:lang w:eastAsia="zh-CN"/>
        </w:rPr>
        <w:t>二、主要试验设备（标准器、校准装置）名称、编号</w:t>
      </w:r>
    </w:p>
    <w:p>
      <w:pPr>
        <w:jc w:val="center"/>
        <w:rPr>
          <w:rFonts w:ascii="黑体" w:hAnsi="黑体" w:eastAsia="黑体" w:cs="黑体"/>
          <w:b/>
          <w:color w:val="auto"/>
          <w:szCs w:val="21"/>
        </w:rPr>
      </w:pPr>
      <w:r>
        <w:rPr>
          <w:rFonts w:hint="eastAsia" w:ascii="黑体" w:hAnsi="黑体" w:eastAsia="黑体" w:cs="黑体"/>
          <w:b/>
          <w:color w:val="auto"/>
          <w:szCs w:val="21"/>
        </w:rPr>
        <w:t>表</w:t>
      </w:r>
      <w:r>
        <w:rPr>
          <w:rFonts w:hint="eastAsia" w:ascii="黑体" w:hAnsi="黑体" w:eastAsia="黑体" w:cs="黑体"/>
          <w:b/>
          <w:color w:val="auto"/>
          <w:szCs w:val="21"/>
          <w:lang w:val="en-US" w:eastAsia="zh-CN"/>
        </w:rPr>
        <w:t>5</w:t>
      </w:r>
      <w:r>
        <w:rPr>
          <w:rFonts w:ascii="黑体" w:hAnsi="黑体" w:eastAsia="黑体" w:cs="黑体"/>
          <w:b/>
          <w:color w:val="auto"/>
          <w:szCs w:val="21"/>
        </w:rPr>
        <w:t xml:space="preserve"> </w:t>
      </w:r>
      <w:r>
        <w:rPr>
          <w:rFonts w:hint="eastAsia" w:ascii="黑体" w:hAnsi="黑体" w:eastAsia="黑体" w:cs="黑体"/>
          <w:b/>
          <w:color w:val="auto"/>
          <w:szCs w:val="21"/>
        </w:rPr>
        <w:t>验证用主要标准物质</w:t>
      </w:r>
    </w:p>
    <w:tbl>
      <w:tblPr>
        <w:tblStyle w:val="7"/>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18"/>
        <w:gridCol w:w="1134"/>
        <w:gridCol w:w="1559"/>
        <w:gridCol w:w="1672"/>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360" w:lineRule="auto"/>
              <w:jc w:val="center"/>
              <w:rPr>
                <w:color w:val="auto"/>
                <w:szCs w:val="21"/>
              </w:rPr>
            </w:pPr>
            <w:r>
              <w:rPr>
                <w:rFonts w:hint="eastAsia"/>
                <w:color w:val="auto"/>
                <w:szCs w:val="21"/>
              </w:rPr>
              <w:t>名称</w:t>
            </w:r>
          </w:p>
        </w:tc>
        <w:tc>
          <w:tcPr>
            <w:tcW w:w="1418" w:type="dxa"/>
            <w:vAlign w:val="center"/>
          </w:tcPr>
          <w:p>
            <w:pPr>
              <w:spacing w:line="360" w:lineRule="auto"/>
              <w:jc w:val="center"/>
              <w:rPr>
                <w:color w:val="auto"/>
                <w:szCs w:val="21"/>
              </w:rPr>
            </w:pPr>
            <w:r>
              <w:rPr>
                <w:rFonts w:hint="eastAsia"/>
                <w:color w:val="auto"/>
                <w:szCs w:val="21"/>
              </w:rPr>
              <w:t>测量范围</w:t>
            </w:r>
          </w:p>
        </w:tc>
        <w:tc>
          <w:tcPr>
            <w:tcW w:w="1134" w:type="dxa"/>
            <w:vAlign w:val="center"/>
          </w:tcPr>
          <w:p>
            <w:pPr>
              <w:spacing w:line="360" w:lineRule="auto"/>
              <w:jc w:val="center"/>
              <w:rPr>
                <w:color w:val="auto"/>
                <w:szCs w:val="21"/>
              </w:rPr>
            </w:pPr>
            <w:r>
              <w:rPr>
                <w:rFonts w:hint="eastAsia"/>
                <w:color w:val="auto"/>
                <w:szCs w:val="21"/>
              </w:rPr>
              <w:t>编号</w:t>
            </w:r>
          </w:p>
        </w:tc>
        <w:tc>
          <w:tcPr>
            <w:tcW w:w="1559" w:type="dxa"/>
            <w:vAlign w:val="center"/>
          </w:tcPr>
          <w:p>
            <w:pPr>
              <w:spacing w:line="360" w:lineRule="auto"/>
              <w:jc w:val="center"/>
              <w:rPr>
                <w:color w:val="auto"/>
                <w:szCs w:val="21"/>
              </w:rPr>
            </w:pPr>
            <w:r>
              <w:rPr>
                <w:rFonts w:hint="eastAsia"/>
                <w:color w:val="auto"/>
                <w:szCs w:val="21"/>
              </w:rPr>
              <w:t>技术特征</w:t>
            </w:r>
          </w:p>
        </w:tc>
        <w:tc>
          <w:tcPr>
            <w:tcW w:w="1672" w:type="dxa"/>
            <w:vAlign w:val="center"/>
          </w:tcPr>
          <w:p>
            <w:pPr>
              <w:spacing w:line="360" w:lineRule="auto"/>
              <w:jc w:val="center"/>
              <w:rPr>
                <w:color w:val="auto"/>
                <w:szCs w:val="21"/>
              </w:rPr>
            </w:pPr>
            <w:r>
              <w:rPr>
                <w:rFonts w:hint="eastAsia"/>
                <w:color w:val="auto"/>
                <w:szCs w:val="21"/>
              </w:rPr>
              <w:t>证书号</w:t>
            </w:r>
          </w:p>
        </w:tc>
        <w:tc>
          <w:tcPr>
            <w:tcW w:w="1417" w:type="dxa"/>
            <w:vAlign w:val="center"/>
          </w:tcPr>
          <w:p>
            <w:pPr>
              <w:spacing w:line="360" w:lineRule="auto"/>
              <w:jc w:val="center"/>
              <w:rPr>
                <w:color w:val="auto"/>
                <w:szCs w:val="21"/>
              </w:rPr>
            </w:pPr>
            <w:r>
              <w:rPr>
                <w:rFonts w:hint="eastAsia"/>
                <w:color w:val="auto"/>
                <w:szCs w:val="21"/>
              </w:rPr>
              <w:t>有限期至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jc w:val="center"/>
              <w:rPr>
                <w:rFonts w:hint="eastAsia" w:ascii="Times New Roman" w:hAnsi="Times New Roman" w:cs="Times New Roman" w:eastAsiaTheme="minorEastAsia"/>
                <w:color w:val="auto"/>
                <w:lang w:eastAsia="zh-CN"/>
              </w:rPr>
            </w:pPr>
            <w:r>
              <w:rPr>
                <w:rFonts w:hint="eastAsia" w:ascii="Times New Roman" w:hAnsi="Times New Roman" w:cs="Times New Roman"/>
                <w:color w:val="auto"/>
                <w:lang w:eastAsia="zh-CN"/>
              </w:rPr>
              <w:t>压力表</w:t>
            </w:r>
          </w:p>
        </w:tc>
        <w:tc>
          <w:tcPr>
            <w:tcW w:w="1418" w:type="dxa"/>
            <w:vAlign w:val="center"/>
          </w:tcPr>
          <w:p>
            <w:pPr>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w:t>
            </w:r>
            <w:r>
              <w:rPr>
                <w:rFonts w:hint="eastAsia" w:ascii="Times New Roman" w:hAnsi="Times New Roman" w:cs="Times New Roman"/>
                <w:color w:val="auto"/>
                <w:sz w:val="20"/>
                <w:szCs w:val="20"/>
                <w:lang w:val="en-US" w:eastAsia="zh-CN"/>
              </w:rPr>
              <w:t>0~0.25</w:t>
            </w:r>
            <w:r>
              <w:rPr>
                <w:rFonts w:ascii="Times New Roman" w:hAnsi="Times New Roman" w:cs="Times New Roman"/>
                <w:color w:val="auto"/>
                <w:sz w:val="20"/>
                <w:szCs w:val="20"/>
              </w:rPr>
              <w:t>)</w:t>
            </w:r>
            <w:r>
              <w:rPr>
                <w:rFonts w:hint="eastAsia" w:ascii="Times New Roman" w:hAnsi="Times New Roman" w:cs="Times New Roman"/>
                <w:color w:val="auto"/>
                <w:sz w:val="20"/>
                <w:szCs w:val="20"/>
                <w:lang w:val="en-US" w:eastAsia="zh-CN"/>
              </w:rPr>
              <w:t>MPa</w:t>
            </w:r>
          </w:p>
        </w:tc>
        <w:tc>
          <w:tcPr>
            <w:tcW w:w="1134" w:type="dxa"/>
            <w:vAlign w:val="center"/>
          </w:tcPr>
          <w:p>
            <w:pPr>
              <w:jc w:val="center"/>
              <w:rPr>
                <w:rFonts w:ascii="Times New Roman" w:hAnsi="Times New Roman" w:cs="Times New Roman"/>
                <w:color w:val="auto"/>
              </w:rPr>
            </w:pPr>
            <w:r>
              <w:rPr>
                <w:rFonts w:hint="eastAsia" w:ascii="Times New Roman" w:hAnsi="Times New Roman" w:cs="Times New Roman"/>
                <w:color w:val="auto"/>
              </w:rPr>
              <w:t>/</w:t>
            </w:r>
          </w:p>
        </w:tc>
        <w:tc>
          <w:tcPr>
            <w:tcW w:w="1559" w:type="dxa"/>
            <w:vAlign w:val="center"/>
          </w:tcPr>
          <w:p>
            <w:pPr>
              <w:jc w:val="center"/>
              <w:rPr>
                <w:rFonts w:ascii="Times New Roman" w:hAnsi="Times New Roman" w:cs="Times New Roman"/>
                <w:color w:val="auto"/>
              </w:rPr>
            </w:pPr>
            <w:r>
              <w:rPr>
                <w:rFonts w:hint="eastAsia" w:ascii="Times New Roman" w:hAnsi="Times New Roman" w:cs="Times New Roman"/>
                <w:color w:val="auto"/>
                <w:lang w:eastAsia="zh-CN"/>
              </w:rPr>
              <w:t>最大允许误差不超</w:t>
            </w:r>
            <w:r>
              <w:rPr>
                <w:rFonts w:hint="eastAsia" w:ascii="Times New Roman" w:hAnsi="Times New Roman" w:cs="Times New Roman"/>
                <w:color w:val="auto"/>
                <w:lang w:val="en-US" w:eastAsia="zh-CN"/>
              </w:rPr>
              <w:t>±0.5%</w:t>
            </w:r>
          </w:p>
        </w:tc>
        <w:tc>
          <w:tcPr>
            <w:tcW w:w="1672" w:type="dxa"/>
            <w:vAlign w:val="center"/>
          </w:tcPr>
          <w:p>
            <w:pPr>
              <w:jc w:val="center"/>
              <w:rPr>
                <w:rFonts w:hint="default" w:ascii="Times New Roman" w:hAnsi="Times New Roman" w:eastAsia="宋体" w:cs="Times New Roman"/>
                <w:color w:val="auto"/>
                <w:kern w:val="0"/>
                <w:sz w:val="18"/>
                <w:szCs w:val="18"/>
                <w:lang w:val="en-US" w:eastAsia="zh-CN"/>
              </w:rPr>
            </w:pPr>
            <w:r>
              <w:rPr>
                <w:rFonts w:hint="eastAsia" w:ascii="Times New Roman" w:hAnsi="Times New Roman" w:eastAsia="宋体" w:cs="Times New Roman"/>
                <w:color w:val="auto"/>
                <w:kern w:val="0"/>
                <w:sz w:val="18"/>
                <w:szCs w:val="18"/>
                <w:lang w:val="en-US" w:eastAsia="zh-CN"/>
              </w:rPr>
              <w:t>2022548287446</w:t>
            </w:r>
          </w:p>
        </w:tc>
        <w:tc>
          <w:tcPr>
            <w:tcW w:w="1417" w:type="dxa"/>
            <w:vAlign w:val="center"/>
          </w:tcPr>
          <w:p>
            <w:pPr>
              <w:jc w:val="center"/>
              <w:rPr>
                <w:rFonts w:ascii="Times New Roman" w:hAnsi="Times New Roman" w:cs="Times New Roman"/>
                <w:color w:val="auto"/>
              </w:rPr>
            </w:pPr>
            <w:r>
              <w:rPr>
                <w:rFonts w:hint="eastAsia" w:ascii="Times New Roman" w:hAnsi="Times New Roman" w:cs="Times New Roman"/>
                <w:color w:val="auto"/>
              </w:rPr>
              <w:t>2</w:t>
            </w:r>
            <w:r>
              <w:rPr>
                <w:rFonts w:ascii="Times New Roman" w:hAnsi="Times New Roman" w:cs="Times New Roman"/>
                <w:color w:val="auto"/>
              </w:rPr>
              <w:t>02</w:t>
            </w:r>
            <w:r>
              <w:rPr>
                <w:rFonts w:hint="eastAsia" w:ascii="Times New Roman" w:hAnsi="Times New Roman" w:cs="Times New Roman"/>
                <w:color w:val="auto"/>
                <w:lang w:val="en-US" w:eastAsia="zh-CN"/>
              </w:rPr>
              <w:t>3</w:t>
            </w:r>
            <w:r>
              <w:rPr>
                <w:rFonts w:ascii="Times New Roman" w:hAnsi="Times New Roman" w:cs="Times New Roman"/>
                <w:color w:val="auto"/>
              </w:rPr>
              <w:t>.</w:t>
            </w:r>
            <w:r>
              <w:rPr>
                <w:rFonts w:hint="eastAsia" w:ascii="Times New Roman" w:hAnsi="Times New Roman" w:cs="Times New Roman"/>
                <w:color w:val="auto"/>
                <w:lang w:val="en-US" w:eastAsia="zh-CN"/>
              </w:rPr>
              <w:t>8</w:t>
            </w:r>
            <w:r>
              <w:rPr>
                <w:rFonts w:ascii="Times New Roman" w:hAnsi="Times New Roman" w:cs="Times New Roman"/>
                <w:color w:val="auto"/>
              </w:rPr>
              <w:t>.05</w:t>
            </w:r>
          </w:p>
        </w:tc>
      </w:tr>
    </w:tbl>
    <w:p>
      <w:pPr>
        <w:numPr>
          <w:ilvl w:val="0"/>
          <w:numId w:val="0"/>
        </w:numPr>
        <w:jc w:val="left"/>
        <w:rPr>
          <w:rFonts w:hint="eastAsia" w:ascii="黑体" w:hAnsi="黑体" w:eastAsia="黑体" w:cs="黑体"/>
          <w:color w:val="auto"/>
          <w:sz w:val="28"/>
          <w:szCs w:val="28"/>
          <w:lang w:eastAsia="zh-CN"/>
        </w:rPr>
      </w:pP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三、</w:t>
      </w:r>
      <w:r>
        <w:rPr>
          <w:rFonts w:hint="eastAsia" w:ascii="黑体" w:hAnsi="黑体" w:eastAsia="黑体" w:cs="黑体"/>
          <w:color w:val="auto"/>
          <w:sz w:val="28"/>
          <w:szCs w:val="28"/>
        </w:rPr>
        <w:t>试验方法</w:t>
      </w:r>
    </w:p>
    <w:p>
      <w:pPr>
        <w:spacing w:line="360" w:lineRule="auto"/>
        <w:ind w:firstLine="480" w:firstLineChars="200"/>
        <w:rPr>
          <w:color w:val="auto"/>
          <w:sz w:val="24"/>
        </w:rPr>
      </w:pPr>
      <w:r>
        <w:rPr>
          <w:rFonts w:hint="eastAsia"/>
          <w:color w:val="auto"/>
          <w:sz w:val="24"/>
        </w:rPr>
        <w:t>仪器开机，根据操作说明书要求预热仪器。</w:t>
      </w:r>
      <w:r>
        <w:rPr>
          <w:rFonts w:hint="eastAsia"/>
          <w:color w:val="auto"/>
          <w:sz w:val="24"/>
          <w:lang w:val="en-US" w:eastAsia="zh-CN"/>
        </w:rPr>
        <w:t>通过连接管将标准压力表串联入气路，通过气源减压阀</w:t>
      </w:r>
      <w:r>
        <w:rPr>
          <w:rFonts w:hint="eastAsia"/>
          <w:color w:val="auto"/>
          <w:sz w:val="24"/>
        </w:rPr>
        <w:t>调整</w:t>
      </w:r>
      <w:r>
        <w:rPr>
          <w:rFonts w:hint="eastAsia"/>
          <w:color w:val="auto"/>
          <w:sz w:val="24"/>
          <w:lang w:eastAsia="zh-CN"/>
        </w:rPr>
        <w:t>压力</w:t>
      </w:r>
      <w:r>
        <w:rPr>
          <w:rFonts w:hint="eastAsia"/>
          <w:color w:val="auto"/>
          <w:sz w:val="24"/>
        </w:rPr>
        <w:t>，记录并计算其</w:t>
      </w:r>
      <w:r>
        <w:rPr>
          <w:rFonts w:hint="eastAsia"/>
          <w:color w:val="auto"/>
          <w:sz w:val="24"/>
          <w:lang w:eastAsia="zh-CN"/>
        </w:rPr>
        <w:t>示值误差</w:t>
      </w:r>
      <w:r>
        <w:rPr>
          <w:rFonts w:hint="eastAsia"/>
          <w:color w:val="auto"/>
          <w:sz w:val="24"/>
        </w:rPr>
        <w:t>。</w:t>
      </w: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四、</w:t>
      </w:r>
      <w:r>
        <w:rPr>
          <w:rFonts w:hint="eastAsia" w:ascii="黑体" w:hAnsi="黑体" w:eastAsia="黑体" w:cs="黑体"/>
          <w:color w:val="auto"/>
          <w:sz w:val="28"/>
          <w:szCs w:val="28"/>
        </w:rPr>
        <w:t>试验环境条件</w:t>
      </w:r>
    </w:p>
    <w:p>
      <w:pPr>
        <w:widowControl/>
        <w:tabs>
          <w:tab w:val="left" w:pos="3885"/>
        </w:tabs>
        <w:spacing w:line="440" w:lineRule="exact"/>
        <w:ind w:firstLine="480" w:firstLineChars="200"/>
        <w:jc w:val="left"/>
        <w:rPr>
          <w:color w:val="auto"/>
          <w:sz w:val="24"/>
        </w:rPr>
      </w:pPr>
      <w:r>
        <w:rPr>
          <w:rFonts w:hint="eastAsia"/>
          <w:color w:val="auto"/>
          <w:sz w:val="24"/>
        </w:rPr>
        <w:t>环境温度：2</w:t>
      </w:r>
      <w:r>
        <w:rPr>
          <w:color w:val="auto"/>
          <w:sz w:val="24"/>
        </w:rPr>
        <w:t>2.8</w:t>
      </w:r>
      <w:r>
        <w:rPr>
          <w:rFonts w:hint="eastAsia"/>
          <w:color w:val="auto"/>
          <w:sz w:val="24"/>
        </w:rPr>
        <w:t>℃</w:t>
      </w:r>
    </w:p>
    <w:p>
      <w:pPr>
        <w:widowControl/>
        <w:tabs>
          <w:tab w:val="left" w:pos="3885"/>
        </w:tabs>
        <w:spacing w:line="440" w:lineRule="exact"/>
        <w:ind w:firstLine="480" w:firstLineChars="200"/>
        <w:jc w:val="left"/>
        <w:rPr>
          <w:color w:val="auto"/>
          <w:sz w:val="24"/>
        </w:rPr>
      </w:pPr>
      <w:r>
        <w:rPr>
          <w:color w:val="auto"/>
          <w:sz w:val="24"/>
        </w:rPr>
        <w:t>相对湿度：</w:t>
      </w:r>
      <w:r>
        <w:rPr>
          <w:rFonts w:hint="eastAsia"/>
          <w:color w:val="auto"/>
          <w:sz w:val="24"/>
        </w:rPr>
        <w:t>6</w:t>
      </w:r>
      <w:r>
        <w:rPr>
          <w:color w:val="auto"/>
          <w:sz w:val="24"/>
        </w:rPr>
        <w:t>0%RH</w:t>
      </w:r>
    </w:p>
    <w:p>
      <w:pPr>
        <w:widowControl/>
        <w:tabs>
          <w:tab w:val="left" w:pos="3885"/>
        </w:tabs>
        <w:spacing w:line="440" w:lineRule="exact"/>
        <w:ind w:firstLine="480" w:firstLineChars="200"/>
        <w:jc w:val="left"/>
        <w:rPr>
          <w:color w:val="auto"/>
          <w:sz w:val="24"/>
        </w:rPr>
      </w:pPr>
      <w:r>
        <w:rPr>
          <w:color w:val="auto"/>
          <w:sz w:val="24"/>
        </w:rPr>
        <w:t>周围无影响仪器正常工作的电磁</w:t>
      </w:r>
      <w:r>
        <w:rPr>
          <w:rFonts w:hint="eastAsia"/>
          <w:color w:val="auto"/>
          <w:sz w:val="24"/>
        </w:rPr>
        <w:t>干扰</w:t>
      </w:r>
      <w:r>
        <w:rPr>
          <w:color w:val="auto"/>
          <w:sz w:val="24"/>
        </w:rPr>
        <w:t>和机械振动，无腐蚀性</w:t>
      </w:r>
      <w:r>
        <w:rPr>
          <w:rFonts w:hint="eastAsia"/>
          <w:color w:val="auto"/>
          <w:sz w:val="24"/>
          <w:lang w:eastAsia="zh-CN"/>
        </w:rPr>
        <w:t>气体</w:t>
      </w:r>
      <w:r>
        <w:rPr>
          <w:rFonts w:hint="eastAsia"/>
          <w:color w:val="auto"/>
          <w:sz w:val="24"/>
        </w:rPr>
        <w:t>液</w:t>
      </w:r>
      <w:r>
        <w:rPr>
          <w:color w:val="auto"/>
          <w:sz w:val="24"/>
        </w:rPr>
        <w:t>体存在。</w:t>
      </w: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五、</w:t>
      </w:r>
      <w:r>
        <w:rPr>
          <w:rFonts w:hint="eastAsia" w:ascii="黑体" w:hAnsi="黑体" w:eastAsia="黑体" w:cs="黑体"/>
          <w:color w:val="auto"/>
          <w:sz w:val="28"/>
          <w:szCs w:val="28"/>
        </w:rPr>
        <w:t>试验过程（试验内容）</w:t>
      </w:r>
    </w:p>
    <w:p>
      <w:pPr>
        <w:keepNext w:val="0"/>
        <w:keepLines w:val="0"/>
        <w:pageBreakBefore w:val="0"/>
        <w:widowControl w:val="0"/>
        <w:kinsoku/>
        <w:wordWrap/>
        <w:overflowPunct/>
        <w:topLinePunct w:val="0"/>
        <w:autoSpaceDE/>
        <w:autoSpaceDN/>
        <w:bidi w:val="0"/>
        <w:adjustRightInd/>
        <w:snapToGrid w:val="0"/>
        <w:spacing w:line="440" w:lineRule="exact"/>
        <w:ind w:right="6" w:firstLine="480" w:firstLineChars="200"/>
        <w:textAlignment w:val="auto"/>
        <w:outlineLvl w:val="1"/>
        <w:rPr>
          <w:rFonts w:hint="eastAsia" w:hAnsi="宋体"/>
          <w:color w:val="auto"/>
          <w:sz w:val="24"/>
        </w:rPr>
      </w:pPr>
      <w:r>
        <w:rPr>
          <w:rFonts w:hint="eastAsia" w:hAnsi="宋体"/>
          <w:color w:val="auto"/>
          <w:sz w:val="24"/>
        </w:rPr>
        <w:t>选取如下五个生产厂家生产的氧指数测定仪作为测试对象，分别是：南京市江宁区分析仪器厂（型号JF-3，编号201701007，简称仪器A）、东莞市品高仪器设备有限公司（型号PG5074，编号106654，简称仪器B）、江南正瑞泰邦电子科技有限公司（型号JF-3，编号2016014，简称仪器C）、绍兴市上虞区科南仪器有限公司（型号JF-3，编号2015044，简称仪器D）、济南艾德普仪器有限公司（型号JF-3，编号102154，简称仪器E）。</w:t>
      </w:r>
    </w:p>
    <w:p>
      <w:pPr>
        <w:spacing w:line="360" w:lineRule="auto"/>
        <w:ind w:firstLine="480" w:firstLineChars="200"/>
        <w:rPr>
          <w:color w:val="auto"/>
          <w:sz w:val="24"/>
        </w:rPr>
      </w:pPr>
      <w:r>
        <w:rPr>
          <w:rFonts w:hint="eastAsia"/>
          <w:color w:val="auto"/>
          <w:sz w:val="24"/>
          <w:lang w:val="en-US" w:eastAsia="zh-CN"/>
        </w:rPr>
        <w:t>仪器开机，打开气源，</w:t>
      </w:r>
      <w:bookmarkStart w:id="5" w:name="_GoBack"/>
      <w:bookmarkEnd w:id="5"/>
      <w:r>
        <w:rPr>
          <w:rFonts w:hint="eastAsia"/>
          <w:color w:val="auto"/>
          <w:sz w:val="24"/>
          <w:lang w:val="en-US" w:eastAsia="zh-CN"/>
        </w:rPr>
        <w:t>调节气源减压阀至标准压力表示值约为0.05MPa，待读数稳定后重复读数3次，取其算术平均值作为压力测量值。再依次调节气源减压阀至标准压力表示值为0.1MPa、0.15MPa，</w:t>
      </w:r>
      <w:r>
        <w:rPr>
          <w:rFonts w:hint="eastAsia"/>
          <w:color w:val="auto"/>
          <w:sz w:val="24"/>
          <w:lang w:eastAsia="zh-CN"/>
        </w:rPr>
        <w:t>待读数稳定后，记录读数</w:t>
      </w:r>
      <w:r>
        <w:rPr>
          <w:rFonts w:hint="eastAsia" w:hAnsi="宋体"/>
          <w:color w:val="auto"/>
          <w:sz w:val="24"/>
        </w:rPr>
        <w:t>。</w:t>
      </w: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六、</w:t>
      </w:r>
      <w:r>
        <w:rPr>
          <w:rFonts w:hint="eastAsia" w:ascii="黑体" w:hAnsi="黑体" w:eastAsia="黑体" w:cs="黑体"/>
          <w:color w:val="auto"/>
          <w:sz w:val="28"/>
          <w:szCs w:val="28"/>
        </w:rPr>
        <w:t>试验数据</w:t>
      </w:r>
    </w:p>
    <w:p>
      <w:pPr>
        <w:jc w:val="center"/>
        <w:rPr>
          <w:rFonts w:hint="eastAsia" w:ascii="黑体" w:hAnsi="黑体" w:eastAsia="黑体" w:cs="黑体"/>
          <w:b/>
          <w:color w:val="auto"/>
          <w:szCs w:val="21"/>
          <w:lang w:eastAsia="zh-CN"/>
        </w:rPr>
      </w:pPr>
      <w:r>
        <w:rPr>
          <w:rFonts w:hint="eastAsia" w:ascii="黑体" w:hAnsi="黑体" w:eastAsia="黑体" w:cs="黑体"/>
          <w:b/>
          <w:color w:val="auto"/>
          <w:szCs w:val="21"/>
        </w:rPr>
        <w:t>表</w:t>
      </w:r>
      <w:r>
        <w:rPr>
          <w:rFonts w:hint="eastAsia" w:ascii="黑体" w:hAnsi="黑体" w:eastAsia="黑体" w:cs="黑体"/>
          <w:b/>
          <w:color w:val="auto"/>
          <w:szCs w:val="21"/>
          <w:lang w:val="en-US" w:eastAsia="zh-CN"/>
        </w:rPr>
        <w:t>6</w:t>
      </w:r>
      <w:r>
        <w:rPr>
          <w:rFonts w:ascii="黑体" w:hAnsi="黑体" w:eastAsia="黑体" w:cs="黑体"/>
          <w:b/>
          <w:color w:val="auto"/>
          <w:szCs w:val="21"/>
        </w:rPr>
        <w:t xml:space="preserve"> </w:t>
      </w:r>
      <w:r>
        <w:rPr>
          <w:rFonts w:hint="eastAsia" w:ascii="黑体" w:hAnsi="黑体" w:eastAsia="黑体" w:cs="黑体"/>
          <w:b/>
          <w:color w:val="auto"/>
          <w:szCs w:val="21"/>
          <w:lang w:eastAsia="zh-CN"/>
        </w:rPr>
        <w:t>压力示值误差</w:t>
      </w:r>
      <w:r>
        <w:rPr>
          <w:rFonts w:hint="eastAsia" w:ascii="黑体" w:hAnsi="黑体" w:eastAsia="黑体" w:cs="黑体"/>
          <w:b/>
          <w:color w:val="auto"/>
          <w:szCs w:val="21"/>
        </w:rPr>
        <w:t>校准</w:t>
      </w:r>
      <w:r>
        <w:rPr>
          <w:rFonts w:hint="eastAsia" w:ascii="黑体" w:hAnsi="黑体" w:eastAsia="黑体" w:cs="黑体"/>
          <w:b/>
          <w:color w:val="auto"/>
          <w:szCs w:val="21"/>
          <w:lang w:eastAsia="zh-CN"/>
        </w:rPr>
        <w:t>数据和结果</w:t>
      </w:r>
    </w:p>
    <w:tbl>
      <w:tblPr>
        <w:tblStyle w:val="7"/>
        <w:tblW w:w="86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2"/>
        <w:gridCol w:w="1174"/>
        <w:gridCol w:w="1099"/>
        <w:gridCol w:w="1099"/>
        <w:gridCol w:w="1103"/>
        <w:gridCol w:w="1466"/>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172" w:type="dxa"/>
            <w:vMerge w:val="restart"/>
            <w:shd w:val="clear" w:color="auto" w:fill="auto"/>
            <w:noWrap w:val="0"/>
            <w:vAlign w:val="center"/>
          </w:tcPr>
          <w:p>
            <w:pPr>
              <w:jc w:val="center"/>
              <w:rPr>
                <w:rFonts w:hint="eastAsia"/>
                <w:color w:val="auto"/>
                <w:sz w:val="24"/>
                <w:szCs w:val="24"/>
                <w:lang w:val="en-US" w:eastAsia="zh-CN"/>
              </w:rPr>
            </w:pPr>
            <w:r>
              <w:rPr>
                <w:rFonts w:hint="eastAsia"/>
                <w:color w:val="auto"/>
                <w:sz w:val="24"/>
                <w:szCs w:val="24"/>
              </w:rPr>
              <w:t>仪器</w:t>
            </w:r>
          </w:p>
        </w:tc>
        <w:tc>
          <w:tcPr>
            <w:tcW w:w="1174" w:type="dxa"/>
            <w:vMerge w:val="restart"/>
            <w:shd w:val="clear" w:color="auto" w:fill="auto"/>
            <w:noWrap w:val="0"/>
            <w:vAlign w:val="center"/>
          </w:tcPr>
          <w:p>
            <w:pPr>
              <w:jc w:val="center"/>
              <w:rPr>
                <w:rFonts w:hint="eastAsia"/>
                <w:color w:val="auto"/>
                <w:sz w:val="24"/>
                <w:szCs w:val="24"/>
              </w:rPr>
            </w:pPr>
            <w:r>
              <w:rPr>
                <w:rFonts w:hint="eastAsia"/>
                <w:color w:val="auto"/>
                <w:sz w:val="24"/>
                <w:szCs w:val="24"/>
                <w:lang w:val="en-US" w:eastAsia="zh-CN"/>
              </w:rPr>
              <w:t>标准压力表示值（MPa）</w:t>
            </w:r>
          </w:p>
        </w:tc>
        <w:tc>
          <w:tcPr>
            <w:tcW w:w="3301" w:type="dxa"/>
            <w:gridSpan w:val="3"/>
            <w:shd w:val="clear" w:color="auto" w:fill="auto"/>
            <w:noWrap w:val="0"/>
            <w:vAlign w:val="center"/>
          </w:tcPr>
          <w:p>
            <w:pPr>
              <w:jc w:val="center"/>
              <w:rPr>
                <w:rFonts w:hint="eastAsia"/>
                <w:color w:val="auto"/>
                <w:sz w:val="24"/>
                <w:szCs w:val="24"/>
              </w:rPr>
            </w:pPr>
            <w:r>
              <w:rPr>
                <w:rFonts w:hint="eastAsia"/>
                <w:color w:val="auto"/>
                <w:sz w:val="24"/>
                <w:szCs w:val="24"/>
                <w:lang w:val="en-US" w:eastAsia="zh-CN"/>
              </w:rPr>
              <w:t>被校压力表示值（MPa）</w:t>
            </w:r>
          </w:p>
        </w:tc>
        <w:tc>
          <w:tcPr>
            <w:tcW w:w="1466" w:type="dxa"/>
            <w:vMerge w:val="restart"/>
            <w:shd w:val="clear" w:color="auto" w:fill="auto"/>
            <w:noWrap w:val="0"/>
            <w:vAlign w:val="center"/>
          </w:tcPr>
          <w:p>
            <w:pPr>
              <w:jc w:val="center"/>
              <w:rPr>
                <w:rFonts w:hint="eastAsia"/>
                <w:color w:val="auto"/>
                <w:sz w:val="24"/>
                <w:szCs w:val="24"/>
              </w:rPr>
            </w:pPr>
            <w:r>
              <w:rPr>
                <w:color w:val="auto"/>
                <w:sz w:val="24"/>
                <w:szCs w:val="24"/>
              </w:rPr>
              <w:t>平均值</w:t>
            </w:r>
            <w:r>
              <w:rPr>
                <w:rFonts w:hint="eastAsia"/>
                <w:color w:val="auto"/>
                <w:sz w:val="24"/>
                <w:szCs w:val="24"/>
                <w:lang w:val="en-US" w:eastAsia="zh-CN"/>
              </w:rPr>
              <w:t>（MPa）</w:t>
            </w:r>
          </w:p>
        </w:tc>
        <w:tc>
          <w:tcPr>
            <w:tcW w:w="1585" w:type="dxa"/>
            <w:vMerge w:val="restart"/>
            <w:shd w:val="clear" w:color="auto" w:fill="auto"/>
            <w:noWrap w:val="0"/>
            <w:vAlign w:val="center"/>
          </w:tcPr>
          <w:p>
            <w:pPr>
              <w:jc w:val="center"/>
              <w:rPr>
                <w:color w:val="auto"/>
                <w:sz w:val="24"/>
                <w:szCs w:val="24"/>
              </w:rPr>
            </w:pPr>
            <w:r>
              <w:rPr>
                <w:rFonts w:hint="eastAsia"/>
                <w:color w:val="auto"/>
                <w:sz w:val="24"/>
                <w:szCs w:val="24"/>
              </w:rPr>
              <w:t>示值误差</w:t>
            </w:r>
            <w:r>
              <w:rPr>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172" w:type="dxa"/>
            <w:vMerge w:val="continue"/>
            <w:tcBorders>
              <w:bottom w:val="single" w:color="auto" w:sz="4" w:space="0"/>
            </w:tcBorders>
            <w:shd w:val="clear" w:color="auto" w:fill="auto"/>
            <w:noWrap w:val="0"/>
            <w:vAlign w:val="center"/>
          </w:tcPr>
          <w:p>
            <w:pPr>
              <w:jc w:val="center"/>
              <w:rPr>
                <w:rFonts w:hint="eastAsia"/>
                <w:color w:val="auto"/>
                <w:sz w:val="24"/>
                <w:szCs w:val="24"/>
              </w:rPr>
            </w:pPr>
          </w:p>
        </w:tc>
        <w:tc>
          <w:tcPr>
            <w:tcW w:w="1174" w:type="dxa"/>
            <w:vMerge w:val="continue"/>
            <w:tcBorders>
              <w:bottom w:val="single" w:color="auto" w:sz="4" w:space="0"/>
            </w:tcBorders>
            <w:shd w:val="clear" w:color="auto" w:fill="auto"/>
            <w:noWrap w:val="0"/>
            <w:vAlign w:val="center"/>
          </w:tcPr>
          <w:p>
            <w:pPr>
              <w:jc w:val="center"/>
              <w:rPr>
                <w:rFonts w:hint="eastAsia"/>
                <w:color w:val="auto"/>
                <w:sz w:val="24"/>
                <w:szCs w:val="24"/>
              </w:rPr>
            </w:pPr>
          </w:p>
        </w:tc>
        <w:tc>
          <w:tcPr>
            <w:tcW w:w="1099" w:type="dxa"/>
            <w:shd w:val="clear" w:color="auto" w:fill="auto"/>
            <w:noWrap w:val="0"/>
            <w:vAlign w:val="center"/>
          </w:tcPr>
          <w:p>
            <w:pPr>
              <w:jc w:val="center"/>
              <w:rPr>
                <w:rFonts w:hint="eastAsia"/>
                <w:color w:val="auto"/>
                <w:sz w:val="24"/>
                <w:szCs w:val="24"/>
              </w:rPr>
            </w:pPr>
            <w:r>
              <w:rPr>
                <w:rFonts w:hint="eastAsia"/>
                <w:color w:val="auto"/>
                <w:sz w:val="24"/>
                <w:szCs w:val="24"/>
              </w:rPr>
              <w:t>1</w:t>
            </w:r>
          </w:p>
        </w:tc>
        <w:tc>
          <w:tcPr>
            <w:tcW w:w="1099" w:type="dxa"/>
            <w:shd w:val="clear" w:color="auto" w:fill="auto"/>
            <w:noWrap w:val="0"/>
            <w:vAlign w:val="center"/>
          </w:tcPr>
          <w:p>
            <w:pPr>
              <w:jc w:val="center"/>
              <w:rPr>
                <w:rFonts w:hint="eastAsia"/>
                <w:color w:val="auto"/>
                <w:sz w:val="24"/>
                <w:szCs w:val="24"/>
              </w:rPr>
            </w:pPr>
            <w:r>
              <w:rPr>
                <w:rFonts w:hint="eastAsia"/>
                <w:color w:val="auto"/>
                <w:sz w:val="24"/>
                <w:szCs w:val="24"/>
              </w:rPr>
              <w:t>2</w:t>
            </w:r>
          </w:p>
        </w:tc>
        <w:tc>
          <w:tcPr>
            <w:tcW w:w="1103" w:type="dxa"/>
            <w:shd w:val="clear" w:color="auto" w:fill="auto"/>
            <w:noWrap w:val="0"/>
            <w:vAlign w:val="center"/>
          </w:tcPr>
          <w:p>
            <w:pPr>
              <w:jc w:val="center"/>
              <w:rPr>
                <w:rFonts w:hint="eastAsia"/>
                <w:color w:val="auto"/>
                <w:sz w:val="24"/>
                <w:szCs w:val="24"/>
              </w:rPr>
            </w:pPr>
            <w:r>
              <w:rPr>
                <w:rFonts w:hint="eastAsia"/>
                <w:color w:val="auto"/>
                <w:sz w:val="24"/>
                <w:szCs w:val="24"/>
              </w:rPr>
              <w:t>3</w:t>
            </w:r>
          </w:p>
        </w:tc>
        <w:tc>
          <w:tcPr>
            <w:tcW w:w="1466" w:type="dxa"/>
            <w:vMerge w:val="continue"/>
            <w:tcBorders>
              <w:bottom w:val="single" w:color="auto" w:sz="4" w:space="0"/>
            </w:tcBorders>
            <w:shd w:val="clear" w:color="auto" w:fill="auto"/>
            <w:noWrap w:val="0"/>
            <w:vAlign w:val="center"/>
          </w:tcPr>
          <w:p>
            <w:pPr>
              <w:jc w:val="center"/>
              <w:rPr>
                <w:color w:val="auto"/>
                <w:sz w:val="24"/>
                <w:szCs w:val="24"/>
              </w:rPr>
            </w:pPr>
          </w:p>
        </w:tc>
        <w:tc>
          <w:tcPr>
            <w:tcW w:w="1585" w:type="dxa"/>
            <w:vMerge w:val="continue"/>
            <w:tcBorders>
              <w:bottom w:val="single" w:color="auto" w:sz="4" w:space="0"/>
            </w:tcBorders>
            <w:shd w:val="clear" w:color="auto" w:fill="auto"/>
            <w:noWrap w:val="0"/>
            <w:vAlign w:val="center"/>
          </w:tcPr>
          <w:p>
            <w:pPr>
              <w:jc w:val="center"/>
              <w:rPr>
                <w:rFonts w:hint="eastAsia"/>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restart"/>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rPr>
              <w:t>A</w:t>
            </w:r>
          </w:p>
        </w:tc>
        <w:tc>
          <w:tcPr>
            <w:tcW w:w="1174" w:type="dxa"/>
            <w:shd w:val="clear" w:color="auto" w:fill="auto"/>
            <w:noWrap w:val="0"/>
            <w:vAlign w:val="center"/>
          </w:tcPr>
          <w:p>
            <w:pPr>
              <w:jc w:val="center"/>
              <w:rPr>
                <w:rFonts w:hint="default"/>
                <w:color w:val="auto"/>
                <w:sz w:val="24"/>
                <w:szCs w:val="24"/>
                <w:lang w:val="en-US" w:eastAsia="zh-CN"/>
              </w:rPr>
            </w:pPr>
            <w:r>
              <w:rPr>
                <w:rFonts w:hint="default"/>
                <w:color w:val="auto"/>
                <w:sz w:val="24"/>
                <w:szCs w:val="24"/>
                <w:lang w:val="en-US" w:eastAsia="zh-CN"/>
              </w:rPr>
              <w:t>0.052</w:t>
            </w:r>
          </w:p>
        </w:tc>
        <w:tc>
          <w:tcPr>
            <w:tcW w:w="1099" w:type="dxa"/>
            <w:shd w:val="clear" w:color="auto" w:fill="auto"/>
            <w:noWrap w:val="0"/>
            <w:vAlign w:val="center"/>
          </w:tcPr>
          <w:p>
            <w:pPr>
              <w:jc w:val="center"/>
              <w:rPr>
                <w:rFonts w:hint="default"/>
                <w:color w:val="auto"/>
                <w:sz w:val="24"/>
                <w:szCs w:val="24"/>
                <w:lang w:val="en-US" w:eastAsia="zh-CN"/>
              </w:rPr>
            </w:pPr>
            <w:r>
              <w:rPr>
                <w:rFonts w:hint="default"/>
                <w:color w:val="auto"/>
                <w:sz w:val="24"/>
                <w:szCs w:val="24"/>
                <w:lang w:val="en-US" w:eastAsia="zh-CN"/>
              </w:rPr>
              <w:t>0.052</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0.060</w:t>
            </w:r>
          </w:p>
        </w:tc>
        <w:tc>
          <w:tcPr>
            <w:tcW w:w="1103"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0.050</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0.054</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0.100</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0.104</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0.106</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0.104</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0.150</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0.152</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0.154</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0.153</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1172" w:type="dxa"/>
            <w:vMerge w:val="restart"/>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rPr>
              <w:t>B</w:t>
            </w:r>
          </w:p>
        </w:tc>
        <w:tc>
          <w:tcPr>
            <w:tcW w:w="1174" w:type="dxa"/>
            <w:shd w:val="clear" w:color="auto" w:fill="auto"/>
            <w:noWrap w:val="0"/>
            <w:vAlign w:val="center"/>
          </w:tcPr>
          <w:p>
            <w:pPr>
              <w:jc w:val="center"/>
              <w:rPr>
                <w:rFonts w:hint="default"/>
                <w:color w:val="auto"/>
                <w:sz w:val="24"/>
                <w:szCs w:val="24"/>
                <w:lang w:val="en-US" w:eastAsia="zh-CN"/>
              </w:rPr>
            </w:pPr>
            <w:r>
              <w:rPr>
                <w:rFonts w:hint="default"/>
                <w:color w:val="auto"/>
                <w:sz w:val="24"/>
                <w:szCs w:val="24"/>
                <w:lang w:val="en-US" w:eastAsia="zh-CN"/>
              </w:rPr>
              <w:t>0.054</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0.052</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0.062</w:t>
            </w:r>
          </w:p>
        </w:tc>
        <w:tc>
          <w:tcPr>
            <w:tcW w:w="1103"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0.054</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0.056</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0.103</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0.106</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0.106</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0.105</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0.150</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0.156</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0.154</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0.154</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restart"/>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rPr>
              <w:t>C</w:t>
            </w:r>
          </w:p>
        </w:tc>
        <w:tc>
          <w:tcPr>
            <w:tcW w:w="1174" w:type="dxa"/>
            <w:shd w:val="clear" w:color="auto" w:fill="auto"/>
            <w:noWrap w:val="0"/>
            <w:vAlign w:val="center"/>
          </w:tcPr>
          <w:p>
            <w:pPr>
              <w:jc w:val="center"/>
              <w:rPr>
                <w:rFonts w:hint="default"/>
                <w:color w:val="auto"/>
                <w:sz w:val="24"/>
                <w:szCs w:val="24"/>
                <w:lang w:val="en-US" w:eastAsia="zh-CN"/>
              </w:rPr>
            </w:pPr>
            <w:r>
              <w:rPr>
                <w:rFonts w:hint="default"/>
                <w:color w:val="auto"/>
                <w:sz w:val="24"/>
                <w:szCs w:val="24"/>
                <w:lang w:val="en-US" w:eastAsia="zh-CN"/>
              </w:rPr>
              <w:t>0.049</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0.052</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0.052</w:t>
            </w:r>
          </w:p>
        </w:tc>
        <w:tc>
          <w:tcPr>
            <w:tcW w:w="1103"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0.054</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0.053</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0.099</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0.151</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0.156</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0.154</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0.154</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restart"/>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rPr>
              <w:t>D</w:t>
            </w:r>
          </w:p>
        </w:tc>
        <w:tc>
          <w:tcPr>
            <w:tcW w:w="1174"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0.048</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0.052</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0.052</w:t>
            </w:r>
          </w:p>
        </w:tc>
        <w:tc>
          <w:tcPr>
            <w:tcW w:w="1103"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0.050</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0.051</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hint="eastAsia"/>
                <w:color w:val="auto"/>
                <w:sz w:val="24"/>
                <w:szCs w:val="24"/>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0.098</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p>
        </w:tc>
        <w:tc>
          <w:tcPr>
            <w:tcW w:w="1174" w:type="dxa"/>
            <w:shd w:val="clear" w:color="auto" w:fill="auto"/>
            <w:noWrap w:val="0"/>
            <w:vAlign w:val="center"/>
          </w:tcPr>
          <w:p>
            <w:pPr>
              <w:jc w:val="center"/>
              <w:rPr>
                <w:rFonts w:hint="default"/>
                <w:color w:val="auto"/>
                <w:sz w:val="24"/>
                <w:szCs w:val="24"/>
                <w:lang w:val="en-US" w:eastAsia="zh-CN"/>
              </w:rPr>
            </w:pPr>
            <w:r>
              <w:rPr>
                <w:rFonts w:hint="eastAsia"/>
                <w:color w:val="auto"/>
                <w:sz w:val="24"/>
                <w:szCs w:val="24"/>
                <w:lang w:val="en-US" w:eastAsia="zh-CN"/>
              </w:rPr>
              <w:t>0.149</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0.152</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0.152</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0.150</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0.151</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restart"/>
            <w:shd w:val="clear" w:color="auto" w:fill="auto"/>
            <w:noWrap w:val="0"/>
            <w:vAlign w:val="center"/>
          </w:tcPr>
          <w:p>
            <w:pPr>
              <w:jc w:val="center"/>
              <w:rPr>
                <w:rFonts w:asciiTheme="minorHAnsi" w:hAnsiTheme="minorHAnsi" w:eastAsiaTheme="minorEastAsia" w:cstheme="minorBidi"/>
                <w:color w:val="auto"/>
                <w:kern w:val="2"/>
                <w:sz w:val="24"/>
                <w:szCs w:val="24"/>
                <w:lang w:val="en-US" w:eastAsia="zh-CN" w:bidi="ar-SA"/>
              </w:rPr>
            </w:pPr>
            <w:r>
              <w:rPr>
                <w:rFonts w:hint="eastAsia"/>
                <w:color w:val="auto"/>
                <w:sz w:val="24"/>
                <w:szCs w:val="24"/>
              </w:rPr>
              <w:t>E</w:t>
            </w:r>
          </w:p>
        </w:tc>
        <w:tc>
          <w:tcPr>
            <w:tcW w:w="1174"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0.051</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0.056</w:t>
            </w:r>
          </w:p>
        </w:tc>
        <w:tc>
          <w:tcPr>
            <w:tcW w:w="1099"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0.052</w:t>
            </w:r>
          </w:p>
        </w:tc>
        <w:tc>
          <w:tcPr>
            <w:tcW w:w="1103" w:type="dxa"/>
            <w:shd w:val="clear" w:color="auto" w:fill="auto"/>
            <w:noWrap w:val="0"/>
            <w:vAlign w:val="center"/>
          </w:tcPr>
          <w:p>
            <w:pPr>
              <w:jc w:val="center"/>
              <w:rPr>
                <w:rFonts w:hint="eastAsia"/>
                <w:color w:val="auto"/>
                <w:sz w:val="24"/>
                <w:szCs w:val="24"/>
                <w:lang w:val="en-US" w:eastAsia="zh-CN"/>
              </w:rPr>
            </w:pPr>
            <w:r>
              <w:rPr>
                <w:rFonts w:hint="default"/>
                <w:color w:val="auto"/>
                <w:sz w:val="24"/>
                <w:szCs w:val="24"/>
                <w:lang w:val="en-US" w:eastAsia="zh-CN"/>
              </w:rPr>
              <w:t>0.050</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0.053</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172" w:type="dxa"/>
            <w:vMerge w:val="continue"/>
            <w:shd w:val="clear" w:color="auto" w:fill="auto"/>
            <w:noWrap w:val="0"/>
            <w:vAlign w:val="top"/>
          </w:tcPr>
          <w:p>
            <w:pPr>
              <w:jc w:val="center"/>
              <w:rPr>
                <w:rFonts w:asciiTheme="minorHAnsi" w:hAnsiTheme="minorHAnsi" w:eastAsiaTheme="minorEastAsia" w:cstheme="minorBidi"/>
                <w:color w:val="auto"/>
                <w:kern w:val="2"/>
                <w:sz w:val="24"/>
                <w:szCs w:val="24"/>
                <w:lang w:val="en-US" w:eastAsia="zh-CN" w:bidi="ar-SA"/>
              </w:rPr>
            </w:pPr>
          </w:p>
        </w:tc>
        <w:tc>
          <w:tcPr>
            <w:tcW w:w="1174"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0.101</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0.104</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0.104</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0.102</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0.103</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172" w:type="dxa"/>
            <w:vMerge w:val="continue"/>
            <w:shd w:val="clear" w:color="auto" w:fill="auto"/>
            <w:noWrap w:val="0"/>
            <w:vAlign w:val="top"/>
          </w:tcPr>
          <w:p>
            <w:pPr>
              <w:jc w:val="center"/>
              <w:rPr>
                <w:rFonts w:asciiTheme="minorHAnsi" w:hAnsiTheme="minorHAnsi" w:eastAsiaTheme="minorEastAsia" w:cstheme="minorBidi"/>
                <w:color w:val="auto"/>
                <w:kern w:val="2"/>
                <w:sz w:val="24"/>
                <w:szCs w:val="24"/>
                <w:lang w:val="en-US" w:eastAsia="zh-CN" w:bidi="ar-SA"/>
              </w:rPr>
            </w:pPr>
          </w:p>
        </w:tc>
        <w:tc>
          <w:tcPr>
            <w:tcW w:w="1174" w:type="dxa"/>
            <w:shd w:val="clear" w:color="auto" w:fill="auto"/>
            <w:noWrap w:val="0"/>
            <w:vAlign w:val="center"/>
          </w:tcPr>
          <w:p>
            <w:pPr>
              <w:jc w:val="center"/>
              <w:rPr>
                <w:rFonts w:hint="default"/>
                <w:color w:val="auto"/>
                <w:sz w:val="24"/>
                <w:szCs w:val="24"/>
                <w:lang w:val="en-US" w:eastAsia="zh-CN"/>
              </w:rPr>
            </w:pPr>
            <w:r>
              <w:rPr>
                <w:rFonts w:hint="eastAsia"/>
                <w:color w:val="auto"/>
                <w:sz w:val="24"/>
                <w:szCs w:val="24"/>
                <w:lang w:val="en-US" w:eastAsia="zh-CN"/>
              </w:rPr>
              <w:t>0.151</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0.154</w:t>
            </w:r>
          </w:p>
        </w:tc>
        <w:tc>
          <w:tcPr>
            <w:tcW w:w="1099"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0.152</w:t>
            </w:r>
          </w:p>
        </w:tc>
        <w:tc>
          <w:tcPr>
            <w:tcW w:w="1103"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0.150</w:t>
            </w:r>
          </w:p>
        </w:tc>
        <w:tc>
          <w:tcPr>
            <w:tcW w:w="1466"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0.152</w:t>
            </w:r>
          </w:p>
        </w:tc>
        <w:tc>
          <w:tcPr>
            <w:tcW w:w="1585" w:type="dxa"/>
            <w:shd w:val="clear" w:color="auto" w:fill="auto"/>
            <w:noWrap w:val="0"/>
            <w:vAlign w:val="center"/>
          </w:tcPr>
          <w:p>
            <w:pPr>
              <w:jc w:val="center"/>
              <w:rPr>
                <w:rFonts w:hint="eastAsia"/>
                <w:color w:val="auto"/>
                <w:sz w:val="24"/>
                <w:szCs w:val="24"/>
                <w:lang w:val="en-US" w:eastAsia="zh-CN"/>
              </w:rPr>
            </w:pPr>
            <w:r>
              <w:rPr>
                <w:rFonts w:hint="eastAsia"/>
                <w:color w:val="auto"/>
                <w:sz w:val="24"/>
                <w:szCs w:val="24"/>
                <w:lang w:val="en-US" w:eastAsia="zh-CN"/>
              </w:rPr>
              <w:t>0.4</w:t>
            </w:r>
          </w:p>
        </w:tc>
      </w:tr>
    </w:tbl>
    <w:p>
      <w:pPr>
        <w:jc w:val="center"/>
        <w:rPr>
          <w:rFonts w:hint="eastAsia" w:ascii="黑体" w:hAnsi="黑体" w:eastAsia="黑体" w:cs="黑体"/>
          <w:b/>
          <w:color w:val="auto"/>
          <w:szCs w:val="21"/>
        </w:rPr>
      </w:pPr>
    </w:p>
    <w:p>
      <w:pPr>
        <w:ind w:firstLine="480" w:firstLineChars="200"/>
        <w:jc w:val="left"/>
        <w:rPr>
          <w:rFonts w:ascii="黑体" w:hAnsi="黑体" w:eastAsia="黑体" w:cs="黑体"/>
          <w:color w:val="auto"/>
          <w:sz w:val="28"/>
          <w:szCs w:val="28"/>
        </w:rPr>
      </w:pPr>
      <w:r>
        <w:rPr>
          <w:rFonts w:hint="eastAsia" w:hAnsi="宋体"/>
          <w:color w:val="auto"/>
          <w:sz w:val="24"/>
        </w:rPr>
        <w:t>由上表，可得：氧指数测定仪的</w:t>
      </w:r>
      <w:r>
        <w:rPr>
          <w:rFonts w:hint="eastAsia" w:hAnsi="宋体"/>
          <w:color w:val="auto"/>
          <w:sz w:val="24"/>
          <w:lang w:eastAsia="zh-CN"/>
        </w:rPr>
        <w:t>压力示值误差</w:t>
      </w:r>
      <w:r>
        <w:rPr>
          <w:rFonts w:hint="eastAsia" w:hAnsi="宋体"/>
          <w:color w:val="auto"/>
          <w:sz w:val="24"/>
        </w:rPr>
        <w:t>最大值为</w:t>
      </w:r>
      <w:r>
        <w:rPr>
          <w:rFonts w:hint="eastAsia" w:hAnsi="宋体"/>
          <w:color w:val="auto"/>
          <w:sz w:val="24"/>
          <w:lang w:val="en-US" w:eastAsia="zh-CN"/>
        </w:rPr>
        <w:t>1.6</w:t>
      </w:r>
      <w:r>
        <w:rPr>
          <w:rFonts w:hAnsi="宋体"/>
          <w:color w:val="auto"/>
          <w:sz w:val="24"/>
        </w:rPr>
        <w:t>%</w:t>
      </w:r>
      <w:r>
        <w:rPr>
          <w:rFonts w:hint="eastAsia" w:hAnsi="宋体"/>
          <w:color w:val="auto"/>
          <w:sz w:val="24"/>
          <w:lang w:val="en-US" w:eastAsia="zh-CN"/>
        </w:rPr>
        <w:t>FS</w:t>
      </w:r>
      <w:r>
        <w:rPr>
          <w:rFonts w:ascii="Times New Roman"/>
          <w:color w:val="auto"/>
          <w:sz w:val="24"/>
        </w:rPr>
        <w:t>。</w:t>
      </w:r>
    </w:p>
    <w:p>
      <w:pPr>
        <w:numPr>
          <w:ilvl w:val="0"/>
          <w:numId w:val="0"/>
        </w:numPr>
        <w:jc w:val="left"/>
        <w:rPr>
          <w:rFonts w:ascii="黑体" w:hAnsi="黑体" w:eastAsia="黑体" w:cs="黑体"/>
          <w:color w:val="auto"/>
          <w:sz w:val="28"/>
          <w:szCs w:val="28"/>
        </w:rPr>
      </w:pPr>
      <w:r>
        <w:rPr>
          <w:rFonts w:hint="eastAsia" w:ascii="黑体" w:hAnsi="黑体" w:eastAsia="黑体" w:cs="黑体"/>
          <w:color w:val="auto"/>
          <w:sz w:val="28"/>
          <w:szCs w:val="28"/>
          <w:lang w:eastAsia="zh-CN"/>
        </w:rPr>
        <w:t>七、</w:t>
      </w:r>
      <w:r>
        <w:rPr>
          <w:rFonts w:hint="eastAsia" w:ascii="黑体" w:hAnsi="黑体" w:eastAsia="黑体" w:cs="黑体"/>
          <w:color w:val="auto"/>
          <w:sz w:val="28"/>
          <w:szCs w:val="28"/>
        </w:rPr>
        <w:t>试验结论</w:t>
      </w:r>
    </w:p>
    <w:p>
      <w:pPr>
        <w:pStyle w:val="3"/>
        <w:ind w:right="0" w:firstLine="480" w:firstLineChars="200"/>
        <w:jc w:val="left"/>
        <w:rPr>
          <w:rFonts w:hAnsi="宋体"/>
          <w:color w:val="auto"/>
          <w:sz w:val="24"/>
        </w:rPr>
      </w:pPr>
      <w:r>
        <w:rPr>
          <w:rFonts w:hint="eastAsia" w:hAnsi="宋体"/>
          <w:color w:val="auto"/>
          <w:sz w:val="24"/>
        </w:rPr>
        <w:t>本规范规定</w:t>
      </w:r>
      <w:r>
        <w:rPr>
          <w:rFonts w:hint="eastAsia" w:ascii="Times New Roman"/>
          <w:color w:val="auto"/>
          <w:sz w:val="24"/>
          <w:lang w:eastAsia="zh-CN"/>
        </w:rPr>
        <w:t>压力示值误差</w:t>
      </w:r>
      <w:r>
        <w:rPr>
          <w:rFonts w:hint="eastAsia" w:ascii="Times New Roman"/>
          <w:color w:val="auto"/>
          <w:sz w:val="24"/>
        </w:rPr>
        <w:t>不超过</w:t>
      </w:r>
      <w:r>
        <w:rPr>
          <w:rFonts w:hint="eastAsia" w:ascii="Times New Roman"/>
          <w:color w:val="auto"/>
          <w:sz w:val="24"/>
          <w:lang w:val="en-US" w:eastAsia="zh-CN"/>
        </w:rPr>
        <w:t>±2.5</w:t>
      </w:r>
      <w:r>
        <w:rPr>
          <w:rFonts w:ascii="Times New Roman"/>
          <w:color w:val="auto"/>
          <w:sz w:val="24"/>
        </w:rPr>
        <w:t>%</w:t>
      </w:r>
      <w:r>
        <w:rPr>
          <w:rFonts w:hint="eastAsia" w:ascii="Times New Roman"/>
          <w:color w:val="auto"/>
          <w:sz w:val="24"/>
          <w:lang w:val="en-US" w:eastAsia="zh-CN"/>
        </w:rPr>
        <w:t>FS</w:t>
      </w:r>
      <w:r>
        <w:rPr>
          <w:rFonts w:hint="eastAsia" w:ascii="Times New Roman"/>
          <w:color w:val="auto"/>
          <w:sz w:val="24"/>
        </w:rPr>
        <w:t>，</w:t>
      </w:r>
      <w:r>
        <w:rPr>
          <w:rFonts w:hint="eastAsia" w:hAnsi="宋体"/>
          <w:color w:val="auto"/>
          <w:sz w:val="24"/>
        </w:rPr>
        <w:t>由试验数据可见，氧指数测定仪的</w:t>
      </w:r>
      <w:r>
        <w:rPr>
          <w:rFonts w:hint="eastAsia" w:hAnsi="宋体"/>
          <w:color w:val="auto"/>
          <w:sz w:val="24"/>
          <w:lang w:eastAsia="zh-CN"/>
        </w:rPr>
        <w:t>压力示值误差</w:t>
      </w:r>
      <w:r>
        <w:rPr>
          <w:rFonts w:hint="eastAsia" w:hAnsi="宋体"/>
          <w:color w:val="auto"/>
          <w:sz w:val="24"/>
        </w:rPr>
        <w:t>满足要求。</w:t>
      </w:r>
    </w:p>
    <w:p>
      <w:pPr>
        <w:jc w:val="center"/>
        <w:rPr>
          <w:rFonts w:hint="eastAsia" w:ascii="黑体" w:hAnsi="黑体" w:eastAsia="黑体" w:cs="黑体"/>
          <w:color w:val="auto"/>
          <w:sz w:val="28"/>
          <w:szCs w:val="28"/>
        </w:rPr>
      </w:pPr>
    </w:p>
    <w:p>
      <w:pPr>
        <w:jc w:val="center"/>
        <w:rPr>
          <w:rFonts w:ascii="黑体" w:hAnsi="黑体" w:eastAsia="黑体" w:cs="黑体"/>
          <w:color w:val="auto"/>
          <w:sz w:val="28"/>
          <w:szCs w:val="28"/>
        </w:rPr>
      </w:pPr>
      <w:r>
        <w:rPr>
          <w:rFonts w:hint="eastAsia" w:ascii="黑体" w:hAnsi="黑体" w:eastAsia="黑体" w:cs="黑体"/>
          <w:color w:val="auto"/>
          <w:sz w:val="28"/>
          <w:szCs w:val="28"/>
        </w:rPr>
        <w:t>第</w:t>
      </w:r>
      <w:r>
        <w:rPr>
          <w:rFonts w:hint="eastAsia" w:ascii="黑体" w:hAnsi="黑体" w:eastAsia="黑体" w:cs="黑体"/>
          <w:color w:val="auto"/>
          <w:sz w:val="28"/>
          <w:szCs w:val="28"/>
          <w:lang w:eastAsia="zh-CN"/>
        </w:rPr>
        <w:t>四</w:t>
      </w:r>
      <w:r>
        <w:rPr>
          <w:rFonts w:hint="eastAsia" w:ascii="黑体" w:hAnsi="黑体" w:eastAsia="黑体" w:cs="黑体"/>
          <w:color w:val="auto"/>
          <w:sz w:val="28"/>
          <w:szCs w:val="28"/>
        </w:rPr>
        <w:t xml:space="preserve">部分 </w:t>
      </w:r>
      <w:r>
        <w:rPr>
          <w:rFonts w:ascii="黑体" w:hAnsi="黑体" w:eastAsia="黑体" w:cs="黑体"/>
          <w:color w:val="auto"/>
          <w:sz w:val="28"/>
          <w:szCs w:val="28"/>
        </w:rPr>
        <w:t xml:space="preserve"> </w:t>
      </w:r>
      <w:r>
        <w:rPr>
          <w:rFonts w:hint="eastAsia" w:ascii="黑体" w:hAnsi="黑体" w:eastAsia="黑体" w:cs="黑体"/>
          <w:color w:val="auto"/>
          <w:sz w:val="28"/>
          <w:szCs w:val="28"/>
        </w:rPr>
        <w:t>关于</w:t>
      </w:r>
      <w:r>
        <w:rPr>
          <w:rFonts w:hint="eastAsia" w:ascii="黑体" w:hAnsi="黑体" w:eastAsia="黑体" w:cs="黑体"/>
          <w:color w:val="auto"/>
          <w:sz w:val="28"/>
          <w:szCs w:val="28"/>
          <w:lang w:eastAsia="zh-CN"/>
        </w:rPr>
        <w:t>氧浓度示值误差</w:t>
      </w:r>
      <w:r>
        <w:rPr>
          <w:rFonts w:hint="eastAsia" w:ascii="黑体" w:hAnsi="黑体" w:eastAsia="黑体" w:cs="黑体"/>
          <w:color w:val="auto"/>
          <w:sz w:val="28"/>
          <w:szCs w:val="28"/>
        </w:rPr>
        <w:t>的验证试验</w:t>
      </w:r>
    </w:p>
    <w:p>
      <w:pPr>
        <w:pStyle w:val="11"/>
        <w:numPr>
          <w:ilvl w:val="0"/>
          <w:numId w:val="5"/>
        </w:numPr>
        <w:ind w:firstLineChars="0"/>
        <w:jc w:val="left"/>
        <w:rPr>
          <w:rFonts w:ascii="黑体" w:hAnsi="黑体" w:eastAsia="黑体" w:cs="黑体"/>
          <w:color w:val="auto"/>
          <w:sz w:val="28"/>
          <w:szCs w:val="28"/>
        </w:rPr>
      </w:pPr>
      <w:r>
        <w:rPr>
          <w:rFonts w:hint="eastAsia" w:ascii="黑体" w:hAnsi="黑体" w:eastAsia="黑体" w:cs="黑体"/>
          <w:color w:val="auto"/>
          <w:sz w:val="28"/>
          <w:szCs w:val="28"/>
        </w:rPr>
        <w:t>试验目的</w:t>
      </w:r>
    </w:p>
    <w:p>
      <w:pPr>
        <w:pStyle w:val="11"/>
        <w:snapToGrid w:val="0"/>
        <w:ind w:right="6" w:firstLine="566" w:firstLineChars="236"/>
        <w:outlineLvl w:val="1"/>
        <w:rPr>
          <w:rFonts w:hAnsi="宋体"/>
          <w:color w:val="auto"/>
          <w:sz w:val="24"/>
        </w:rPr>
      </w:pPr>
      <w:r>
        <w:rPr>
          <w:rFonts w:hint="eastAsia" w:hAnsi="宋体"/>
          <w:color w:val="auto"/>
          <w:sz w:val="24"/>
        </w:rPr>
        <w:t>通过实验数据，观测计量特性数据是否满足起草规范中的计量特性要求，验证起草规范中</w:t>
      </w:r>
      <w:r>
        <w:rPr>
          <w:rFonts w:hint="eastAsia" w:hAnsi="宋体"/>
          <w:color w:val="auto"/>
          <w:sz w:val="24"/>
          <w:lang w:eastAsia="zh-CN"/>
        </w:rPr>
        <w:t>氧浓度</w:t>
      </w:r>
      <w:r>
        <w:rPr>
          <w:rFonts w:hint="eastAsia" w:hAnsi="宋体"/>
          <w:color w:val="auto"/>
          <w:sz w:val="24"/>
        </w:rPr>
        <w:t>示值误差计量特性的合理性。</w:t>
      </w:r>
    </w:p>
    <w:p>
      <w:pPr>
        <w:pStyle w:val="11"/>
        <w:numPr>
          <w:ilvl w:val="0"/>
          <w:numId w:val="5"/>
        </w:numPr>
        <w:ind w:firstLineChars="0"/>
        <w:jc w:val="left"/>
        <w:rPr>
          <w:rFonts w:ascii="黑体" w:hAnsi="黑体" w:eastAsia="黑体" w:cs="黑体"/>
          <w:color w:val="auto"/>
          <w:sz w:val="28"/>
          <w:szCs w:val="28"/>
        </w:rPr>
      </w:pPr>
      <w:r>
        <w:rPr>
          <w:rFonts w:hint="eastAsia" w:ascii="黑体" w:hAnsi="黑体" w:eastAsia="黑体" w:cs="黑体"/>
          <w:color w:val="auto"/>
          <w:sz w:val="28"/>
          <w:szCs w:val="28"/>
        </w:rPr>
        <w:t>主要试验设备（标准器、校准装置）名称、编号</w:t>
      </w:r>
    </w:p>
    <w:p>
      <w:pPr>
        <w:jc w:val="center"/>
        <w:rPr>
          <w:rFonts w:ascii="黑体" w:hAnsi="黑体" w:eastAsia="黑体" w:cs="黑体"/>
          <w:b/>
          <w:color w:val="auto"/>
          <w:szCs w:val="21"/>
        </w:rPr>
      </w:pPr>
      <w:r>
        <w:rPr>
          <w:rFonts w:hint="eastAsia" w:ascii="黑体" w:hAnsi="黑体" w:eastAsia="黑体" w:cs="黑体"/>
          <w:b/>
          <w:color w:val="auto"/>
          <w:szCs w:val="21"/>
        </w:rPr>
        <w:t>表</w:t>
      </w:r>
      <w:r>
        <w:rPr>
          <w:rFonts w:hint="eastAsia" w:ascii="黑体" w:hAnsi="黑体" w:eastAsia="黑体" w:cs="黑体"/>
          <w:b/>
          <w:color w:val="auto"/>
          <w:szCs w:val="21"/>
          <w:lang w:val="en-US" w:eastAsia="zh-CN"/>
        </w:rPr>
        <w:t>7</w:t>
      </w:r>
      <w:r>
        <w:rPr>
          <w:rFonts w:ascii="黑体" w:hAnsi="黑体" w:eastAsia="黑体" w:cs="黑体"/>
          <w:b/>
          <w:color w:val="auto"/>
          <w:szCs w:val="21"/>
        </w:rPr>
        <w:t xml:space="preserve"> </w:t>
      </w:r>
      <w:r>
        <w:rPr>
          <w:rFonts w:hint="eastAsia" w:ascii="黑体" w:hAnsi="黑体" w:eastAsia="黑体" w:cs="黑体"/>
          <w:b/>
          <w:color w:val="auto"/>
          <w:szCs w:val="21"/>
        </w:rPr>
        <w:t>验证用主要标准物质</w:t>
      </w:r>
    </w:p>
    <w:tbl>
      <w:tblPr>
        <w:tblStyle w:val="7"/>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76"/>
        <w:gridCol w:w="1134"/>
        <w:gridCol w:w="1701"/>
        <w:gridCol w:w="1672"/>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360" w:lineRule="auto"/>
              <w:jc w:val="center"/>
              <w:rPr>
                <w:color w:val="auto"/>
                <w:szCs w:val="21"/>
              </w:rPr>
            </w:pPr>
            <w:r>
              <w:rPr>
                <w:rFonts w:hint="eastAsia"/>
                <w:color w:val="auto"/>
                <w:szCs w:val="21"/>
              </w:rPr>
              <w:t>名称</w:t>
            </w:r>
          </w:p>
        </w:tc>
        <w:tc>
          <w:tcPr>
            <w:tcW w:w="1276" w:type="dxa"/>
            <w:vAlign w:val="center"/>
          </w:tcPr>
          <w:p>
            <w:pPr>
              <w:spacing w:line="360" w:lineRule="auto"/>
              <w:jc w:val="center"/>
              <w:rPr>
                <w:color w:val="auto"/>
                <w:szCs w:val="21"/>
              </w:rPr>
            </w:pPr>
            <w:r>
              <w:rPr>
                <w:rFonts w:hint="eastAsia"/>
                <w:color w:val="auto"/>
                <w:szCs w:val="21"/>
              </w:rPr>
              <w:t>测量范围</w:t>
            </w:r>
          </w:p>
        </w:tc>
        <w:tc>
          <w:tcPr>
            <w:tcW w:w="1134" w:type="dxa"/>
            <w:vAlign w:val="center"/>
          </w:tcPr>
          <w:p>
            <w:pPr>
              <w:spacing w:line="360" w:lineRule="auto"/>
              <w:jc w:val="center"/>
              <w:rPr>
                <w:color w:val="auto"/>
                <w:szCs w:val="21"/>
              </w:rPr>
            </w:pPr>
            <w:r>
              <w:rPr>
                <w:rFonts w:hint="eastAsia"/>
                <w:color w:val="auto"/>
                <w:szCs w:val="21"/>
              </w:rPr>
              <w:t>编号</w:t>
            </w:r>
          </w:p>
        </w:tc>
        <w:tc>
          <w:tcPr>
            <w:tcW w:w="1701" w:type="dxa"/>
            <w:vAlign w:val="center"/>
          </w:tcPr>
          <w:p>
            <w:pPr>
              <w:spacing w:line="360" w:lineRule="auto"/>
              <w:jc w:val="center"/>
              <w:rPr>
                <w:color w:val="auto"/>
                <w:szCs w:val="21"/>
              </w:rPr>
            </w:pPr>
            <w:r>
              <w:rPr>
                <w:rFonts w:hint="eastAsia"/>
                <w:color w:val="auto"/>
                <w:szCs w:val="21"/>
              </w:rPr>
              <w:t>技术特征</w:t>
            </w:r>
          </w:p>
        </w:tc>
        <w:tc>
          <w:tcPr>
            <w:tcW w:w="1672" w:type="dxa"/>
            <w:vAlign w:val="center"/>
          </w:tcPr>
          <w:p>
            <w:pPr>
              <w:spacing w:line="360" w:lineRule="auto"/>
              <w:jc w:val="center"/>
              <w:rPr>
                <w:color w:val="auto"/>
                <w:szCs w:val="21"/>
              </w:rPr>
            </w:pPr>
            <w:r>
              <w:rPr>
                <w:rFonts w:hint="eastAsia"/>
                <w:color w:val="auto"/>
                <w:szCs w:val="21"/>
              </w:rPr>
              <w:t>证书号</w:t>
            </w:r>
          </w:p>
        </w:tc>
        <w:tc>
          <w:tcPr>
            <w:tcW w:w="1417" w:type="dxa"/>
            <w:vAlign w:val="center"/>
          </w:tcPr>
          <w:p>
            <w:pPr>
              <w:spacing w:line="360" w:lineRule="auto"/>
              <w:jc w:val="center"/>
              <w:rPr>
                <w:color w:val="auto"/>
                <w:szCs w:val="21"/>
              </w:rPr>
            </w:pPr>
            <w:r>
              <w:rPr>
                <w:rFonts w:hint="eastAsia"/>
                <w:color w:val="auto"/>
                <w:szCs w:val="21"/>
              </w:rPr>
              <w:t>有限期至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rPr>
                <w:rFonts w:ascii="Times New Roman" w:hAnsi="Times New Roman" w:cs="Times New Roman"/>
                <w:color w:val="auto"/>
              </w:rPr>
            </w:pPr>
            <w:bookmarkStart w:id="0" w:name="_Hlk26521248"/>
            <w:r>
              <w:rPr>
                <w:rFonts w:hint="eastAsia" w:ascii="Times New Roman" w:hAnsi="Times New Roman" w:cs="Times New Roman"/>
                <w:color w:val="auto"/>
              </w:rPr>
              <w:t>氮中氧气体标准物质</w:t>
            </w:r>
          </w:p>
        </w:tc>
        <w:tc>
          <w:tcPr>
            <w:tcW w:w="1276" w:type="dxa"/>
            <w:vAlign w:val="center"/>
          </w:tcPr>
          <w:p>
            <w:pPr>
              <w:jc w:val="center"/>
              <w:rPr>
                <w:rFonts w:ascii="Times New Roman" w:hAnsi="Times New Roman" w:cs="Times New Roman"/>
                <w:color w:val="auto"/>
                <w:sz w:val="20"/>
                <w:szCs w:val="20"/>
              </w:rPr>
            </w:pPr>
            <w:r>
              <w:rPr>
                <w:rFonts w:hint="eastAsia" w:ascii="Times New Roman" w:hAnsi="Times New Roman" w:cs="Times New Roman"/>
                <w:color w:val="auto"/>
                <w:sz w:val="20"/>
                <w:szCs w:val="20"/>
                <w:lang w:val="en-US" w:eastAsia="zh-CN"/>
              </w:rPr>
              <w:t>18</w:t>
            </w:r>
            <w:r>
              <w:rPr>
                <w:rFonts w:ascii="Times New Roman" w:hAnsi="Times New Roman" w:cs="Times New Roman"/>
                <w:color w:val="auto"/>
                <w:sz w:val="20"/>
                <w:szCs w:val="20"/>
              </w:rPr>
              <w:t>%</w:t>
            </w:r>
          </w:p>
        </w:tc>
        <w:tc>
          <w:tcPr>
            <w:tcW w:w="1134" w:type="dxa"/>
            <w:vAlign w:val="center"/>
          </w:tcPr>
          <w:p>
            <w:pPr>
              <w:jc w:val="center"/>
              <w:rPr>
                <w:rFonts w:ascii="Times New Roman" w:hAnsi="Times New Roman" w:cs="Times New Roman"/>
                <w:color w:val="auto"/>
              </w:rPr>
            </w:pPr>
            <w:r>
              <w:rPr>
                <w:rFonts w:hint="eastAsia" w:ascii="Times New Roman" w:hAnsi="Times New Roman" w:cs="Times New Roman"/>
                <w:color w:val="auto"/>
              </w:rPr>
              <w:t>/</w:t>
            </w:r>
          </w:p>
        </w:tc>
        <w:tc>
          <w:tcPr>
            <w:tcW w:w="1701" w:type="dxa"/>
            <w:vAlign w:val="center"/>
          </w:tcPr>
          <w:p>
            <w:pPr>
              <w:jc w:val="center"/>
              <w:rPr>
                <w:rFonts w:ascii="Times New Roman" w:hAnsi="Times New Roman" w:cs="Times New Roman"/>
                <w:i/>
                <w:color w:val="auto"/>
              </w:rPr>
            </w:pPr>
            <w:r>
              <w:rPr>
                <w:rFonts w:ascii="Times New Roman" w:hAnsi="Times New Roman" w:cs="Times New Roman"/>
                <w:i/>
                <w:color w:val="auto"/>
              </w:rPr>
              <w:t>U</w:t>
            </w:r>
            <w:r>
              <w:rPr>
                <w:rFonts w:hint="eastAsia" w:ascii="Times New Roman" w:hAnsi="Times New Roman" w:cs="Times New Roman"/>
                <w:i w:val="0"/>
                <w:iCs/>
                <w:color w:val="auto"/>
                <w:vertAlign w:val="subscript"/>
                <w:lang w:val="en-US" w:eastAsia="zh-CN"/>
              </w:rPr>
              <w:t>rel</w:t>
            </w:r>
            <w:r>
              <w:rPr>
                <w:rFonts w:ascii="Times New Roman" w:hAnsi="Times New Roman" w:cs="Times New Roman"/>
                <w:color w:val="auto"/>
              </w:rPr>
              <w:t xml:space="preserve"> = </w:t>
            </w:r>
            <w:r>
              <w:rPr>
                <w:rFonts w:hint="eastAsia" w:ascii="Times New Roman" w:hAnsi="Times New Roman" w:cs="Times New Roman"/>
                <w:color w:val="auto"/>
                <w:lang w:val="en-US" w:eastAsia="zh-CN"/>
              </w:rPr>
              <w:t>1</w:t>
            </w:r>
            <w:r>
              <w:rPr>
                <w:rFonts w:ascii="Times New Roman" w:hAnsi="Times New Roman" w:cs="Times New Roman"/>
                <w:color w:val="auto"/>
              </w:rPr>
              <w:t>%，</w:t>
            </w:r>
            <w:r>
              <w:rPr>
                <w:rFonts w:ascii="Times New Roman" w:hAnsi="Times New Roman" w:cs="Times New Roman"/>
                <w:i/>
                <w:color w:val="auto"/>
              </w:rPr>
              <w:t>k</w:t>
            </w:r>
            <w:r>
              <w:rPr>
                <w:rFonts w:ascii="Times New Roman" w:hAnsi="Times New Roman" w:cs="Times New Roman"/>
                <w:color w:val="auto"/>
              </w:rPr>
              <w:t xml:space="preserve"> = 2</w:t>
            </w:r>
          </w:p>
        </w:tc>
        <w:tc>
          <w:tcPr>
            <w:tcW w:w="1672" w:type="dxa"/>
            <w:vAlign w:val="center"/>
          </w:tcPr>
          <w:p>
            <w:pPr>
              <w:jc w:val="center"/>
              <w:rPr>
                <w:rFonts w:ascii="Times New Roman" w:hAnsi="Times New Roman" w:eastAsia="宋体" w:cs="Times New Roman"/>
                <w:color w:val="auto"/>
                <w:kern w:val="0"/>
                <w:sz w:val="18"/>
                <w:szCs w:val="18"/>
              </w:rPr>
            </w:pPr>
            <w:r>
              <w:rPr>
                <w:color w:val="auto"/>
              </w:rPr>
              <w:fldChar w:fldCharType="begin"/>
            </w:r>
            <w:r>
              <w:rPr>
                <w:color w:val="auto"/>
              </w:rPr>
              <w:instrText xml:space="preserve"> HYPERLINK "https://www.ncrm.org.cn/Web/Ordering/MaterialDetail?autoID=10292" \o "聚丙烯氧指数标准物质" </w:instrText>
            </w:r>
            <w:r>
              <w:rPr>
                <w:color w:val="auto"/>
              </w:rPr>
              <w:fldChar w:fldCharType="separate"/>
            </w:r>
            <w:r>
              <w:rPr>
                <w:rFonts w:hint="eastAsia" w:ascii="Times New Roman" w:hAnsi="Times New Roman" w:cs="Times New Roman"/>
                <w:color w:val="auto"/>
              </w:rPr>
              <w:t>GBW(E)</w:t>
            </w:r>
            <w:r>
              <w:rPr>
                <w:color w:val="auto"/>
              </w:rPr>
              <w:t>060185</w:t>
            </w:r>
            <w:r>
              <w:rPr>
                <w:color w:val="auto"/>
              </w:rPr>
              <w:fldChar w:fldCharType="end"/>
            </w:r>
          </w:p>
        </w:tc>
        <w:tc>
          <w:tcPr>
            <w:tcW w:w="1417" w:type="dxa"/>
            <w:vAlign w:val="center"/>
          </w:tcPr>
          <w:p>
            <w:pPr>
              <w:jc w:val="center"/>
              <w:rPr>
                <w:rFonts w:ascii="Times New Roman" w:hAnsi="Times New Roman" w:cs="Times New Roman"/>
                <w:i/>
                <w:color w:val="auto"/>
              </w:rPr>
            </w:pPr>
            <w:r>
              <w:rPr>
                <w:rFonts w:hint="eastAsia" w:ascii="Times New Roman" w:hAnsi="Times New Roman" w:cs="Times New Roman"/>
                <w:i w:val="0"/>
                <w:iCs/>
                <w:color w:val="auto"/>
                <w:lang w:val="en-US" w:eastAsia="zh-CN"/>
              </w:rPr>
              <w:t>2022</w:t>
            </w:r>
            <w:r>
              <w:rPr>
                <w:rFonts w:ascii="Times New Roman" w:hAnsi="Times New Roman" w:cs="Times New Roman"/>
                <w:i w:val="0"/>
                <w:iCs/>
                <w:color w:val="auto"/>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rPr>
                <w:rFonts w:hint="eastAsia" w:ascii="Times New Roman" w:hAnsi="Times New Roman" w:cs="Times New Roman"/>
                <w:color w:val="auto"/>
              </w:rPr>
            </w:pPr>
            <w:r>
              <w:rPr>
                <w:rFonts w:hint="eastAsia" w:ascii="Times New Roman" w:hAnsi="Times New Roman" w:cs="Times New Roman"/>
                <w:color w:val="auto"/>
              </w:rPr>
              <w:t>氮中氧气体标准物质</w:t>
            </w:r>
          </w:p>
        </w:tc>
        <w:tc>
          <w:tcPr>
            <w:tcW w:w="1276" w:type="dxa"/>
            <w:vAlign w:val="center"/>
          </w:tcPr>
          <w:p>
            <w:pPr>
              <w:jc w:val="center"/>
              <w:rPr>
                <w:rFonts w:hint="eastAsia" w:ascii="Times New Roman" w:hAnsi="Times New Roman" w:cs="Times New Roman"/>
                <w:color w:val="auto"/>
                <w:sz w:val="20"/>
                <w:szCs w:val="20"/>
              </w:rPr>
            </w:pPr>
            <w:r>
              <w:rPr>
                <w:rFonts w:hint="eastAsia" w:ascii="Times New Roman" w:hAnsi="Times New Roman" w:cs="Times New Roman"/>
                <w:color w:val="auto"/>
                <w:sz w:val="20"/>
                <w:szCs w:val="20"/>
                <w:lang w:val="en-US" w:eastAsia="zh-CN"/>
              </w:rPr>
              <w:t>25</w:t>
            </w:r>
            <w:r>
              <w:rPr>
                <w:rFonts w:ascii="Times New Roman" w:hAnsi="Times New Roman" w:cs="Times New Roman"/>
                <w:color w:val="auto"/>
                <w:sz w:val="20"/>
                <w:szCs w:val="20"/>
              </w:rPr>
              <w:t>%</w:t>
            </w:r>
          </w:p>
        </w:tc>
        <w:tc>
          <w:tcPr>
            <w:tcW w:w="1134" w:type="dxa"/>
            <w:vAlign w:val="center"/>
          </w:tcPr>
          <w:p>
            <w:pPr>
              <w:jc w:val="center"/>
              <w:rPr>
                <w:rFonts w:hint="eastAsia" w:ascii="Times New Roman" w:hAnsi="Times New Roman" w:cs="Times New Roman" w:eastAsiaTheme="minorEastAsia"/>
                <w:color w:val="auto"/>
                <w:lang w:val="en-US" w:eastAsia="zh-CN"/>
              </w:rPr>
            </w:pPr>
            <w:r>
              <w:rPr>
                <w:rFonts w:hint="eastAsia" w:ascii="Times New Roman" w:hAnsi="Times New Roman" w:cs="Times New Roman"/>
                <w:color w:val="auto"/>
                <w:lang w:val="en-US" w:eastAsia="zh-CN"/>
              </w:rPr>
              <w:t>/</w:t>
            </w:r>
          </w:p>
        </w:tc>
        <w:tc>
          <w:tcPr>
            <w:tcW w:w="1701" w:type="dxa"/>
            <w:vAlign w:val="center"/>
          </w:tcPr>
          <w:p>
            <w:pPr>
              <w:jc w:val="center"/>
              <w:rPr>
                <w:rFonts w:ascii="Times New Roman" w:hAnsi="Times New Roman" w:cs="Times New Roman"/>
                <w:i/>
                <w:color w:val="auto"/>
              </w:rPr>
            </w:pPr>
            <w:r>
              <w:rPr>
                <w:rFonts w:ascii="Times New Roman" w:hAnsi="Times New Roman" w:cs="Times New Roman"/>
                <w:i/>
                <w:color w:val="auto"/>
              </w:rPr>
              <w:t>U</w:t>
            </w:r>
            <w:r>
              <w:rPr>
                <w:rFonts w:hint="eastAsia" w:ascii="Times New Roman" w:hAnsi="Times New Roman" w:cs="Times New Roman"/>
                <w:i w:val="0"/>
                <w:iCs/>
                <w:color w:val="auto"/>
                <w:vertAlign w:val="subscript"/>
                <w:lang w:val="en-US" w:eastAsia="zh-CN"/>
              </w:rPr>
              <w:t>rel</w:t>
            </w:r>
            <w:r>
              <w:rPr>
                <w:rFonts w:ascii="Times New Roman" w:hAnsi="Times New Roman" w:cs="Times New Roman"/>
                <w:color w:val="auto"/>
              </w:rPr>
              <w:t xml:space="preserve"> = </w:t>
            </w:r>
            <w:r>
              <w:rPr>
                <w:rFonts w:hint="eastAsia" w:ascii="Times New Roman" w:hAnsi="Times New Roman" w:cs="Times New Roman"/>
                <w:color w:val="auto"/>
                <w:lang w:val="en-US" w:eastAsia="zh-CN"/>
              </w:rPr>
              <w:t>1</w:t>
            </w:r>
            <w:r>
              <w:rPr>
                <w:rFonts w:ascii="Times New Roman" w:hAnsi="Times New Roman" w:cs="Times New Roman"/>
                <w:color w:val="auto"/>
              </w:rPr>
              <w:t>%，</w:t>
            </w:r>
            <w:r>
              <w:rPr>
                <w:rFonts w:ascii="Times New Roman" w:hAnsi="Times New Roman" w:cs="Times New Roman"/>
                <w:i/>
                <w:color w:val="auto"/>
              </w:rPr>
              <w:t>k</w:t>
            </w:r>
            <w:r>
              <w:rPr>
                <w:rFonts w:ascii="Times New Roman" w:hAnsi="Times New Roman" w:cs="Times New Roman"/>
                <w:color w:val="auto"/>
              </w:rPr>
              <w:t xml:space="preserve"> = 2</w:t>
            </w:r>
          </w:p>
        </w:tc>
        <w:tc>
          <w:tcPr>
            <w:tcW w:w="1672" w:type="dxa"/>
            <w:vAlign w:val="center"/>
          </w:tcPr>
          <w:p>
            <w:pPr>
              <w:jc w:val="center"/>
              <w:rPr>
                <w:color w:val="auto"/>
              </w:rPr>
            </w:pPr>
            <w:r>
              <w:rPr>
                <w:color w:val="auto"/>
              </w:rPr>
              <w:fldChar w:fldCharType="begin"/>
            </w:r>
            <w:r>
              <w:rPr>
                <w:color w:val="auto"/>
              </w:rPr>
              <w:instrText xml:space="preserve"> HYPERLINK "https://www.ncrm.org.cn/Web/Ordering/MaterialDetail?autoID=10292" \o "聚丙烯氧指数标准物质" </w:instrText>
            </w:r>
            <w:r>
              <w:rPr>
                <w:color w:val="auto"/>
              </w:rPr>
              <w:fldChar w:fldCharType="separate"/>
            </w:r>
            <w:r>
              <w:rPr>
                <w:rFonts w:hint="eastAsia" w:ascii="Times New Roman" w:hAnsi="Times New Roman" w:cs="Times New Roman"/>
                <w:color w:val="auto"/>
              </w:rPr>
              <w:t>GBW(E)</w:t>
            </w:r>
            <w:r>
              <w:rPr>
                <w:color w:val="auto"/>
              </w:rPr>
              <w:t>060185</w:t>
            </w:r>
            <w:r>
              <w:rPr>
                <w:color w:val="auto"/>
              </w:rPr>
              <w:fldChar w:fldCharType="end"/>
            </w:r>
          </w:p>
        </w:tc>
        <w:tc>
          <w:tcPr>
            <w:tcW w:w="1417" w:type="dxa"/>
            <w:vAlign w:val="center"/>
          </w:tcPr>
          <w:p>
            <w:pPr>
              <w:jc w:val="center"/>
              <w:rPr>
                <w:rFonts w:hint="eastAsia" w:ascii="Times New Roman" w:hAnsi="Times New Roman" w:cs="Times New Roman"/>
                <w:i/>
                <w:color w:val="auto"/>
              </w:rPr>
            </w:pPr>
            <w:r>
              <w:rPr>
                <w:rFonts w:hint="eastAsia" w:ascii="Times New Roman" w:hAnsi="Times New Roman" w:cs="Times New Roman"/>
                <w:i w:val="0"/>
                <w:iCs/>
                <w:color w:val="auto"/>
                <w:lang w:val="en-US" w:eastAsia="zh-CN"/>
              </w:rPr>
              <w:t>2022</w:t>
            </w:r>
            <w:r>
              <w:rPr>
                <w:rFonts w:ascii="Times New Roman" w:hAnsi="Times New Roman" w:cs="Times New Roman"/>
                <w:i w:val="0"/>
                <w:iCs/>
                <w:color w:val="auto"/>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rPr>
                <w:rFonts w:hint="eastAsia" w:ascii="Times New Roman" w:hAnsi="Times New Roman" w:cs="Times New Roman"/>
                <w:color w:val="auto"/>
              </w:rPr>
            </w:pPr>
            <w:r>
              <w:rPr>
                <w:rFonts w:hint="eastAsia" w:ascii="Times New Roman" w:hAnsi="Times New Roman" w:cs="Times New Roman"/>
                <w:color w:val="auto"/>
              </w:rPr>
              <w:t>氮中氧气体标准物质</w:t>
            </w:r>
          </w:p>
        </w:tc>
        <w:tc>
          <w:tcPr>
            <w:tcW w:w="1276" w:type="dxa"/>
            <w:vAlign w:val="center"/>
          </w:tcPr>
          <w:p>
            <w:pPr>
              <w:jc w:val="center"/>
              <w:rPr>
                <w:rFonts w:hint="eastAsia" w:ascii="Times New Roman" w:hAnsi="Times New Roman" w:cs="Times New Roman"/>
                <w:color w:val="auto"/>
                <w:sz w:val="20"/>
                <w:szCs w:val="20"/>
              </w:rPr>
            </w:pPr>
            <w:r>
              <w:rPr>
                <w:rFonts w:hint="eastAsia" w:ascii="Times New Roman" w:hAnsi="Times New Roman" w:cs="Times New Roman"/>
                <w:color w:val="auto"/>
                <w:sz w:val="20"/>
                <w:szCs w:val="20"/>
                <w:lang w:val="en-US" w:eastAsia="zh-CN"/>
              </w:rPr>
              <w:t>35</w:t>
            </w:r>
            <w:r>
              <w:rPr>
                <w:rFonts w:ascii="Times New Roman" w:hAnsi="Times New Roman" w:cs="Times New Roman"/>
                <w:color w:val="auto"/>
                <w:sz w:val="20"/>
                <w:szCs w:val="20"/>
              </w:rPr>
              <w:t>%</w:t>
            </w:r>
          </w:p>
        </w:tc>
        <w:tc>
          <w:tcPr>
            <w:tcW w:w="1134" w:type="dxa"/>
            <w:vAlign w:val="center"/>
          </w:tcPr>
          <w:p>
            <w:pPr>
              <w:jc w:val="center"/>
              <w:rPr>
                <w:rFonts w:hint="eastAsia" w:ascii="Times New Roman" w:hAnsi="Times New Roman" w:cs="Times New Roman" w:eastAsiaTheme="minorEastAsia"/>
                <w:color w:val="auto"/>
                <w:lang w:val="en-US" w:eastAsia="zh-CN"/>
              </w:rPr>
            </w:pPr>
            <w:r>
              <w:rPr>
                <w:rFonts w:hint="eastAsia" w:ascii="Times New Roman" w:hAnsi="Times New Roman" w:cs="Times New Roman"/>
                <w:color w:val="auto"/>
                <w:lang w:val="en-US" w:eastAsia="zh-CN"/>
              </w:rPr>
              <w:t>/</w:t>
            </w:r>
          </w:p>
        </w:tc>
        <w:tc>
          <w:tcPr>
            <w:tcW w:w="1701" w:type="dxa"/>
            <w:vAlign w:val="center"/>
          </w:tcPr>
          <w:p>
            <w:pPr>
              <w:jc w:val="center"/>
              <w:rPr>
                <w:rFonts w:ascii="Times New Roman" w:hAnsi="Times New Roman" w:cs="Times New Roman"/>
                <w:i/>
                <w:color w:val="auto"/>
              </w:rPr>
            </w:pPr>
            <w:r>
              <w:rPr>
                <w:rFonts w:ascii="Times New Roman" w:hAnsi="Times New Roman" w:cs="Times New Roman"/>
                <w:i/>
                <w:color w:val="auto"/>
              </w:rPr>
              <w:t>U</w:t>
            </w:r>
            <w:r>
              <w:rPr>
                <w:rFonts w:hint="eastAsia" w:ascii="Times New Roman" w:hAnsi="Times New Roman" w:cs="Times New Roman"/>
                <w:i w:val="0"/>
                <w:iCs/>
                <w:color w:val="auto"/>
                <w:vertAlign w:val="subscript"/>
                <w:lang w:val="en-US" w:eastAsia="zh-CN"/>
              </w:rPr>
              <w:t>rel</w:t>
            </w:r>
            <w:r>
              <w:rPr>
                <w:rFonts w:ascii="Times New Roman" w:hAnsi="Times New Roman" w:cs="Times New Roman"/>
                <w:color w:val="auto"/>
              </w:rPr>
              <w:t xml:space="preserve"> = </w:t>
            </w:r>
            <w:r>
              <w:rPr>
                <w:rFonts w:hint="eastAsia" w:ascii="Times New Roman" w:hAnsi="Times New Roman" w:cs="Times New Roman"/>
                <w:color w:val="auto"/>
                <w:lang w:val="en-US" w:eastAsia="zh-CN"/>
              </w:rPr>
              <w:t>1</w:t>
            </w:r>
            <w:r>
              <w:rPr>
                <w:rFonts w:ascii="Times New Roman" w:hAnsi="Times New Roman" w:cs="Times New Roman"/>
                <w:color w:val="auto"/>
              </w:rPr>
              <w:t>%，</w:t>
            </w:r>
            <w:r>
              <w:rPr>
                <w:rFonts w:ascii="Times New Roman" w:hAnsi="Times New Roman" w:cs="Times New Roman"/>
                <w:i/>
                <w:color w:val="auto"/>
              </w:rPr>
              <w:t>k</w:t>
            </w:r>
            <w:r>
              <w:rPr>
                <w:rFonts w:ascii="Times New Roman" w:hAnsi="Times New Roman" w:cs="Times New Roman"/>
                <w:color w:val="auto"/>
              </w:rPr>
              <w:t xml:space="preserve"> = 2</w:t>
            </w:r>
          </w:p>
        </w:tc>
        <w:tc>
          <w:tcPr>
            <w:tcW w:w="1672" w:type="dxa"/>
            <w:vAlign w:val="center"/>
          </w:tcPr>
          <w:p>
            <w:pPr>
              <w:jc w:val="center"/>
              <w:rPr>
                <w:color w:val="auto"/>
              </w:rPr>
            </w:pPr>
            <w:r>
              <w:rPr>
                <w:color w:val="auto"/>
              </w:rPr>
              <w:fldChar w:fldCharType="begin"/>
            </w:r>
            <w:r>
              <w:rPr>
                <w:color w:val="auto"/>
              </w:rPr>
              <w:instrText xml:space="preserve"> HYPERLINK "https://www.ncrm.org.cn/Web/Ordering/MaterialDetail?autoID=10292" \o "聚丙烯氧指数标准物质" </w:instrText>
            </w:r>
            <w:r>
              <w:rPr>
                <w:color w:val="auto"/>
              </w:rPr>
              <w:fldChar w:fldCharType="separate"/>
            </w:r>
            <w:r>
              <w:rPr>
                <w:rFonts w:hint="eastAsia" w:ascii="Times New Roman" w:hAnsi="Times New Roman" w:cs="Times New Roman"/>
                <w:color w:val="auto"/>
              </w:rPr>
              <w:t>GBW(E)</w:t>
            </w:r>
            <w:r>
              <w:rPr>
                <w:color w:val="auto"/>
              </w:rPr>
              <w:t>060185</w:t>
            </w:r>
            <w:r>
              <w:rPr>
                <w:color w:val="auto"/>
              </w:rPr>
              <w:fldChar w:fldCharType="end"/>
            </w:r>
          </w:p>
        </w:tc>
        <w:tc>
          <w:tcPr>
            <w:tcW w:w="1417" w:type="dxa"/>
            <w:vAlign w:val="center"/>
          </w:tcPr>
          <w:p>
            <w:pPr>
              <w:jc w:val="center"/>
              <w:rPr>
                <w:rFonts w:hint="eastAsia" w:ascii="Times New Roman" w:hAnsi="Times New Roman" w:cs="Times New Roman"/>
                <w:color w:val="auto"/>
              </w:rPr>
            </w:pPr>
            <w:r>
              <w:rPr>
                <w:rFonts w:hint="eastAsia" w:ascii="Times New Roman" w:hAnsi="Times New Roman" w:cs="Times New Roman"/>
                <w:i w:val="0"/>
                <w:iCs/>
                <w:color w:val="auto"/>
                <w:lang w:val="en-US" w:eastAsia="zh-CN"/>
              </w:rPr>
              <w:t>2022</w:t>
            </w:r>
            <w:r>
              <w:rPr>
                <w:rFonts w:ascii="Times New Roman" w:hAnsi="Times New Roman" w:cs="Times New Roman"/>
                <w:i w:val="0"/>
                <w:iCs/>
                <w:color w:val="auto"/>
              </w:rPr>
              <w:t>-11-05</w:t>
            </w:r>
          </w:p>
        </w:tc>
      </w:tr>
      <w:bookmarkEnd w:id="0"/>
    </w:tbl>
    <w:p>
      <w:pPr>
        <w:pStyle w:val="11"/>
        <w:numPr>
          <w:ilvl w:val="0"/>
          <w:numId w:val="5"/>
        </w:numPr>
        <w:ind w:firstLineChars="0"/>
        <w:jc w:val="left"/>
        <w:rPr>
          <w:rFonts w:ascii="黑体" w:hAnsi="黑体" w:eastAsia="黑体" w:cs="黑体"/>
          <w:color w:val="auto"/>
          <w:sz w:val="28"/>
          <w:szCs w:val="28"/>
        </w:rPr>
      </w:pPr>
      <w:r>
        <w:rPr>
          <w:rFonts w:hint="eastAsia" w:ascii="黑体" w:hAnsi="黑体" w:eastAsia="黑体" w:cs="黑体"/>
          <w:color w:val="auto"/>
          <w:sz w:val="28"/>
          <w:szCs w:val="28"/>
        </w:rPr>
        <w:t>试验方法</w:t>
      </w:r>
    </w:p>
    <w:p>
      <w:pPr>
        <w:spacing w:line="360" w:lineRule="auto"/>
        <w:ind w:firstLine="480" w:firstLineChars="200"/>
        <w:rPr>
          <w:rFonts w:ascii="宋体" w:hAnsi="宋体"/>
          <w:color w:val="auto"/>
          <w:sz w:val="24"/>
        </w:rPr>
      </w:pPr>
      <w:r>
        <w:rPr>
          <w:rFonts w:hint="eastAsia"/>
          <w:color w:val="auto"/>
          <w:sz w:val="24"/>
        </w:rPr>
        <w:t>仪器开机，根据操作说明书要求预热仪器。将氮中氧气体标准物质接入氧气进气口，关闭氮气进气阀，根据说明书调节气体流速，待氧分析仪读数稳定后开始记录数据。</w:t>
      </w:r>
    </w:p>
    <w:p>
      <w:pPr>
        <w:pStyle w:val="11"/>
        <w:numPr>
          <w:ilvl w:val="0"/>
          <w:numId w:val="5"/>
        </w:numPr>
        <w:ind w:firstLineChars="0"/>
        <w:jc w:val="left"/>
        <w:rPr>
          <w:rFonts w:ascii="黑体" w:hAnsi="黑体" w:eastAsia="黑体" w:cs="黑体"/>
          <w:color w:val="auto"/>
          <w:sz w:val="28"/>
          <w:szCs w:val="28"/>
        </w:rPr>
      </w:pPr>
      <w:r>
        <w:rPr>
          <w:rFonts w:hint="eastAsia" w:ascii="黑体" w:hAnsi="黑体" w:eastAsia="黑体" w:cs="黑体"/>
          <w:color w:val="auto"/>
          <w:sz w:val="28"/>
          <w:szCs w:val="28"/>
        </w:rPr>
        <w:t>试验环境条件</w:t>
      </w:r>
    </w:p>
    <w:p>
      <w:pPr>
        <w:widowControl/>
        <w:tabs>
          <w:tab w:val="left" w:pos="3885"/>
        </w:tabs>
        <w:spacing w:line="440" w:lineRule="exact"/>
        <w:ind w:firstLine="480" w:firstLineChars="200"/>
        <w:jc w:val="left"/>
        <w:rPr>
          <w:color w:val="auto"/>
          <w:sz w:val="24"/>
        </w:rPr>
      </w:pPr>
      <w:r>
        <w:rPr>
          <w:rFonts w:hint="eastAsia"/>
          <w:color w:val="auto"/>
          <w:sz w:val="24"/>
        </w:rPr>
        <w:t>环境温度：2</w:t>
      </w:r>
      <w:r>
        <w:rPr>
          <w:color w:val="auto"/>
          <w:sz w:val="24"/>
        </w:rPr>
        <w:t>2.7</w:t>
      </w:r>
      <w:r>
        <w:rPr>
          <w:rFonts w:hint="eastAsia"/>
          <w:color w:val="auto"/>
          <w:sz w:val="24"/>
        </w:rPr>
        <w:t>℃</w:t>
      </w:r>
    </w:p>
    <w:p>
      <w:pPr>
        <w:widowControl/>
        <w:tabs>
          <w:tab w:val="left" w:pos="3885"/>
        </w:tabs>
        <w:spacing w:line="440" w:lineRule="exact"/>
        <w:ind w:firstLine="480" w:firstLineChars="200"/>
        <w:jc w:val="left"/>
        <w:rPr>
          <w:color w:val="auto"/>
          <w:sz w:val="24"/>
        </w:rPr>
      </w:pPr>
      <w:r>
        <w:rPr>
          <w:color w:val="auto"/>
          <w:sz w:val="24"/>
        </w:rPr>
        <w:t>相对湿度：</w:t>
      </w:r>
      <w:r>
        <w:rPr>
          <w:rFonts w:hint="eastAsia"/>
          <w:color w:val="auto"/>
          <w:sz w:val="24"/>
        </w:rPr>
        <w:t>6</w:t>
      </w:r>
      <w:r>
        <w:rPr>
          <w:color w:val="auto"/>
          <w:sz w:val="24"/>
        </w:rPr>
        <w:t>2%RH</w:t>
      </w:r>
    </w:p>
    <w:p>
      <w:pPr>
        <w:widowControl/>
        <w:tabs>
          <w:tab w:val="left" w:pos="3885"/>
        </w:tabs>
        <w:spacing w:line="440" w:lineRule="exact"/>
        <w:ind w:firstLine="480" w:firstLineChars="200"/>
        <w:jc w:val="left"/>
        <w:rPr>
          <w:color w:val="auto"/>
          <w:sz w:val="24"/>
        </w:rPr>
      </w:pPr>
      <w:r>
        <w:rPr>
          <w:color w:val="auto"/>
          <w:sz w:val="24"/>
        </w:rPr>
        <w:t>周围无影响仪器正常工作的电磁</w:t>
      </w:r>
      <w:r>
        <w:rPr>
          <w:rFonts w:hint="eastAsia"/>
          <w:color w:val="auto"/>
          <w:sz w:val="24"/>
        </w:rPr>
        <w:t>干扰</w:t>
      </w:r>
      <w:r>
        <w:rPr>
          <w:color w:val="auto"/>
          <w:sz w:val="24"/>
        </w:rPr>
        <w:t>和机械振动，无腐蚀性</w:t>
      </w:r>
      <w:r>
        <w:rPr>
          <w:rFonts w:hint="eastAsia"/>
          <w:color w:val="auto"/>
          <w:sz w:val="24"/>
          <w:lang w:eastAsia="zh-CN"/>
        </w:rPr>
        <w:t>气体</w:t>
      </w:r>
      <w:r>
        <w:rPr>
          <w:rFonts w:hint="eastAsia"/>
          <w:color w:val="auto"/>
          <w:sz w:val="24"/>
        </w:rPr>
        <w:t>液</w:t>
      </w:r>
      <w:r>
        <w:rPr>
          <w:color w:val="auto"/>
          <w:sz w:val="24"/>
        </w:rPr>
        <w:t>体存在。</w:t>
      </w:r>
    </w:p>
    <w:p>
      <w:pPr>
        <w:pStyle w:val="11"/>
        <w:numPr>
          <w:ilvl w:val="0"/>
          <w:numId w:val="5"/>
        </w:numPr>
        <w:ind w:firstLineChars="0"/>
        <w:jc w:val="left"/>
        <w:rPr>
          <w:rFonts w:ascii="黑体" w:hAnsi="黑体" w:eastAsia="黑体" w:cs="黑体"/>
          <w:color w:val="auto"/>
          <w:sz w:val="28"/>
          <w:szCs w:val="28"/>
        </w:rPr>
      </w:pPr>
      <w:r>
        <w:rPr>
          <w:rFonts w:hint="eastAsia" w:ascii="黑体" w:hAnsi="黑体" w:eastAsia="黑体" w:cs="黑体"/>
          <w:color w:val="auto"/>
          <w:sz w:val="28"/>
          <w:szCs w:val="28"/>
        </w:rPr>
        <w:t>试验过程（试验内容）</w:t>
      </w:r>
    </w:p>
    <w:p>
      <w:pPr>
        <w:keepNext w:val="0"/>
        <w:keepLines w:val="0"/>
        <w:pageBreakBefore w:val="0"/>
        <w:widowControl w:val="0"/>
        <w:kinsoku/>
        <w:wordWrap/>
        <w:overflowPunct/>
        <w:topLinePunct w:val="0"/>
        <w:autoSpaceDE/>
        <w:autoSpaceDN/>
        <w:bidi w:val="0"/>
        <w:adjustRightInd/>
        <w:snapToGrid w:val="0"/>
        <w:spacing w:line="440" w:lineRule="exact"/>
        <w:ind w:right="6" w:firstLine="480" w:firstLineChars="200"/>
        <w:textAlignment w:val="auto"/>
        <w:outlineLvl w:val="1"/>
        <w:rPr>
          <w:rFonts w:hint="eastAsia" w:hAnsi="宋体"/>
          <w:color w:val="auto"/>
          <w:sz w:val="24"/>
        </w:rPr>
      </w:pPr>
      <w:r>
        <w:rPr>
          <w:rFonts w:hint="eastAsia" w:hAnsi="宋体"/>
          <w:color w:val="auto"/>
          <w:sz w:val="24"/>
        </w:rPr>
        <w:t>选取如下五个生产厂家生产的氧指数测定仪作为测试对象，分别是：南京市江宁区分析仪器厂</w:t>
      </w:r>
      <w:bookmarkStart w:id="1" w:name="_Hlk27429834"/>
      <w:r>
        <w:rPr>
          <w:rFonts w:hint="eastAsia" w:hAnsi="宋体"/>
          <w:color w:val="auto"/>
          <w:sz w:val="24"/>
        </w:rPr>
        <w:t>（型号JF-3，编号201701007，简称仪器A）</w:t>
      </w:r>
      <w:bookmarkEnd w:id="1"/>
      <w:r>
        <w:rPr>
          <w:rFonts w:hint="eastAsia" w:hAnsi="宋体"/>
          <w:color w:val="auto"/>
          <w:sz w:val="24"/>
        </w:rPr>
        <w:t>、东莞市品高仪器设备有限公司</w:t>
      </w:r>
      <w:bookmarkStart w:id="2" w:name="_Hlk27429867"/>
      <w:r>
        <w:rPr>
          <w:rFonts w:hint="eastAsia" w:hAnsi="宋体"/>
          <w:color w:val="auto"/>
          <w:sz w:val="24"/>
        </w:rPr>
        <w:t>（型号PG5074，编号106654，简称仪器B）</w:t>
      </w:r>
      <w:bookmarkEnd w:id="2"/>
      <w:r>
        <w:rPr>
          <w:rFonts w:hint="eastAsia" w:hAnsi="宋体"/>
          <w:color w:val="auto"/>
          <w:sz w:val="24"/>
        </w:rPr>
        <w:t>、江南正瑞泰邦电子科技有限公司（型号JF-3，编号2016014，简称仪器C）、绍兴市上虞区科南仪器有限公司（型号JF-3，编号2015044，简称仪器D）、济南艾德普仪器有限公司（型号JF-3，编号102154，简称仪器E）。</w:t>
      </w:r>
    </w:p>
    <w:p>
      <w:pPr>
        <w:pStyle w:val="11"/>
        <w:snapToGrid w:val="0"/>
        <w:spacing w:line="440" w:lineRule="exact"/>
        <w:ind w:right="6" w:firstLine="480"/>
        <w:outlineLvl w:val="1"/>
        <w:rPr>
          <w:rFonts w:hint="eastAsia"/>
          <w:color w:val="auto"/>
          <w:sz w:val="24"/>
        </w:rPr>
      </w:pPr>
      <w:r>
        <w:rPr>
          <w:rFonts w:hint="eastAsia"/>
          <w:color w:val="auto"/>
          <w:sz w:val="24"/>
        </w:rPr>
        <w:t>仪器开机，根据操作说明书要求预热仪器。待仪器预热完毕后</w:t>
      </w:r>
      <w:r>
        <w:rPr>
          <w:rFonts w:hint="eastAsia"/>
          <w:color w:val="auto"/>
          <w:sz w:val="24"/>
          <w:lang w:eastAsia="zh-CN"/>
        </w:rPr>
        <w:t>按照从低浓度点至高浓度点的顺序</w:t>
      </w:r>
      <w:r>
        <w:rPr>
          <w:rFonts w:hint="eastAsia"/>
          <w:color w:val="auto"/>
          <w:sz w:val="24"/>
        </w:rPr>
        <w:t>，</w:t>
      </w:r>
      <w:r>
        <w:rPr>
          <w:rFonts w:hint="eastAsia"/>
          <w:color w:val="auto"/>
          <w:sz w:val="24"/>
          <w:lang w:eastAsia="zh-CN"/>
        </w:rPr>
        <w:t>在规定流量下将已知浓度的</w:t>
      </w:r>
      <w:r>
        <w:rPr>
          <w:rFonts w:hint="eastAsia"/>
          <w:color w:val="auto"/>
          <w:sz w:val="24"/>
        </w:rPr>
        <w:t>氮中氧气体标准物质通入</w:t>
      </w:r>
      <w:r>
        <w:rPr>
          <w:rFonts w:hint="eastAsia"/>
          <w:color w:val="auto"/>
          <w:sz w:val="24"/>
          <w:lang w:eastAsia="zh-CN"/>
        </w:rPr>
        <w:t>仪器</w:t>
      </w:r>
      <w:r>
        <w:rPr>
          <w:rFonts w:hint="eastAsia"/>
          <w:color w:val="auto"/>
          <w:sz w:val="24"/>
        </w:rPr>
        <w:t>，待读数稳定后</w:t>
      </w:r>
      <w:r>
        <w:rPr>
          <w:rFonts w:hint="eastAsia"/>
          <w:color w:val="auto"/>
          <w:sz w:val="24"/>
          <w:lang w:eastAsia="zh-CN"/>
        </w:rPr>
        <w:t>读数</w:t>
      </w:r>
      <w:r>
        <w:rPr>
          <w:rFonts w:hint="eastAsia"/>
          <w:color w:val="auto"/>
          <w:sz w:val="24"/>
        </w:rPr>
        <w:t>，</w:t>
      </w:r>
      <w:r>
        <w:rPr>
          <w:rFonts w:hint="eastAsia"/>
          <w:color w:val="auto"/>
          <w:sz w:val="24"/>
          <w:lang w:eastAsia="zh-CN"/>
        </w:rPr>
        <w:t>每个点</w:t>
      </w:r>
      <w:r>
        <w:rPr>
          <w:rFonts w:hint="eastAsia"/>
          <w:color w:val="auto"/>
          <w:sz w:val="24"/>
        </w:rPr>
        <w:t>重复测量3次</w:t>
      </w:r>
    </w:p>
    <w:p>
      <w:pPr>
        <w:pStyle w:val="11"/>
        <w:snapToGrid w:val="0"/>
        <w:spacing w:line="440" w:lineRule="exact"/>
        <w:ind w:right="6" w:firstLine="480"/>
        <w:outlineLvl w:val="1"/>
        <w:rPr>
          <w:rFonts w:hint="eastAsia"/>
          <w:color w:val="auto"/>
          <w:sz w:val="24"/>
        </w:rPr>
      </w:pPr>
    </w:p>
    <w:p>
      <w:pPr>
        <w:pStyle w:val="11"/>
        <w:snapToGrid w:val="0"/>
        <w:spacing w:line="440" w:lineRule="exact"/>
        <w:ind w:right="6" w:firstLine="480"/>
        <w:outlineLvl w:val="1"/>
        <w:rPr>
          <w:rFonts w:hint="eastAsia" w:ascii="黑体" w:hAnsi="黑体" w:eastAsia="黑体" w:cs="黑体"/>
          <w:color w:val="auto"/>
          <w:sz w:val="28"/>
          <w:szCs w:val="28"/>
        </w:rPr>
      </w:pPr>
      <w:r>
        <w:rPr>
          <w:rFonts w:hint="eastAsia" w:ascii="黑体" w:hAnsi="黑体" w:eastAsia="黑体" w:cs="黑体"/>
          <w:color w:val="auto"/>
          <w:sz w:val="28"/>
          <w:szCs w:val="28"/>
          <w:lang w:eastAsia="zh-CN"/>
        </w:rPr>
        <w:t>六</w:t>
      </w:r>
      <w:r>
        <w:rPr>
          <w:rFonts w:hint="eastAsia" w:ascii="黑体" w:hAnsi="黑体" w:eastAsia="黑体" w:cs="黑体"/>
          <w:color w:val="auto"/>
          <w:sz w:val="28"/>
          <w:szCs w:val="28"/>
          <w:lang w:val="en-US" w:eastAsia="zh-CN"/>
        </w:rPr>
        <w:t xml:space="preserve"> </w:t>
      </w:r>
      <w:r>
        <w:rPr>
          <w:rFonts w:hint="eastAsia" w:ascii="黑体" w:hAnsi="黑体" w:eastAsia="黑体" w:cs="黑体"/>
          <w:color w:val="auto"/>
          <w:sz w:val="28"/>
          <w:szCs w:val="28"/>
        </w:rPr>
        <w:t>试验数据</w:t>
      </w:r>
    </w:p>
    <w:p>
      <w:pPr>
        <w:jc w:val="center"/>
        <w:rPr>
          <w:rFonts w:hint="eastAsia" w:ascii="黑体" w:hAnsi="黑体" w:eastAsia="黑体" w:cs="黑体"/>
          <w:b/>
          <w:color w:val="auto"/>
          <w:szCs w:val="21"/>
          <w:lang w:eastAsia="zh-CN"/>
        </w:rPr>
      </w:pPr>
      <w:r>
        <w:rPr>
          <w:rFonts w:hint="eastAsia" w:ascii="黑体" w:hAnsi="黑体" w:eastAsia="黑体" w:cs="黑体"/>
          <w:b/>
          <w:color w:val="auto"/>
          <w:szCs w:val="21"/>
        </w:rPr>
        <w:t>表</w:t>
      </w:r>
      <w:r>
        <w:rPr>
          <w:rFonts w:hint="eastAsia" w:ascii="黑体" w:hAnsi="黑体" w:eastAsia="黑体" w:cs="黑体"/>
          <w:b/>
          <w:color w:val="auto"/>
          <w:szCs w:val="21"/>
          <w:lang w:val="en-US" w:eastAsia="zh-CN"/>
        </w:rPr>
        <w:t>8</w:t>
      </w:r>
      <w:r>
        <w:rPr>
          <w:rFonts w:ascii="黑体" w:hAnsi="黑体" w:eastAsia="黑体" w:cs="黑体"/>
          <w:b/>
          <w:color w:val="auto"/>
          <w:szCs w:val="21"/>
        </w:rPr>
        <w:t xml:space="preserve"> </w:t>
      </w:r>
      <w:r>
        <w:rPr>
          <w:rFonts w:hint="eastAsia" w:ascii="黑体" w:hAnsi="黑体" w:eastAsia="黑体" w:cs="黑体"/>
          <w:b/>
          <w:color w:val="auto"/>
          <w:szCs w:val="21"/>
          <w:lang w:eastAsia="zh-CN"/>
        </w:rPr>
        <w:t>氧浓度示值误差校准数据和结果</w:t>
      </w:r>
    </w:p>
    <w:tbl>
      <w:tblPr>
        <w:tblStyle w:val="7"/>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1179"/>
        <w:gridCol w:w="872"/>
        <w:gridCol w:w="981"/>
        <w:gridCol w:w="981"/>
        <w:gridCol w:w="834"/>
        <w:gridCol w:w="1136"/>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restart"/>
            <w:vAlign w:val="center"/>
          </w:tcPr>
          <w:p>
            <w:pPr>
              <w:jc w:val="center"/>
              <w:rPr>
                <w:rFonts w:ascii="Times New Roman" w:hAnsi="Times New Roman" w:cs="Times New Roman"/>
                <w:color w:val="auto"/>
              </w:rPr>
            </w:pPr>
            <w:r>
              <w:rPr>
                <w:rFonts w:hint="eastAsia" w:ascii="Times New Roman" w:hAnsi="Times New Roman" w:cs="Times New Roman"/>
                <w:color w:val="auto"/>
              </w:rPr>
              <w:t>仪器</w:t>
            </w:r>
          </w:p>
        </w:tc>
        <w:tc>
          <w:tcPr>
            <w:tcW w:w="1179" w:type="dxa"/>
            <w:vMerge w:val="restart"/>
            <w:shd w:val="clear" w:color="auto" w:fill="auto"/>
            <w:vAlign w:val="center"/>
          </w:tcPr>
          <w:p>
            <w:pPr>
              <w:jc w:val="center"/>
              <w:rPr>
                <w:color w:val="auto"/>
                <w:szCs w:val="21"/>
              </w:rPr>
            </w:pPr>
            <w:r>
              <w:rPr>
                <w:rFonts w:hint="eastAsia" w:ascii="Times New Roman" w:hAnsi="Times New Roman" w:cs="Times New Roman"/>
                <w:color w:val="auto"/>
              </w:rPr>
              <w:t>氮中氧气体标准物质</w:t>
            </w:r>
          </w:p>
        </w:tc>
        <w:tc>
          <w:tcPr>
            <w:tcW w:w="2834" w:type="dxa"/>
            <w:gridSpan w:val="3"/>
            <w:shd w:val="clear" w:color="auto" w:fill="auto"/>
            <w:vAlign w:val="center"/>
          </w:tcPr>
          <w:p>
            <w:pPr>
              <w:jc w:val="center"/>
              <w:rPr>
                <w:color w:val="auto"/>
                <w:szCs w:val="21"/>
              </w:rPr>
            </w:pPr>
            <w:r>
              <w:rPr>
                <w:color w:val="auto"/>
                <w:szCs w:val="21"/>
              </w:rPr>
              <w:t>实校值（%）</w:t>
            </w:r>
          </w:p>
        </w:tc>
        <w:tc>
          <w:tcPr>
            <w:tcW w:w="834" w:type="dxa"/>
            <w:vMerge w:val="restart"/>
            <w:shd w:val="clear" w:color="auto" w:fill="auto"/>
            <w:vAlign w:val="center"/>
          </w:tcPr>
          <w:p>
            <w:pPr>
              <w:jc w:val="center"/>
              <w:rPr>
                <w:color w:val="auto"/>
                <w:szCs w:val="21"/>
              </w:rPr>
            </w:pPr>
            <w:r>
              <w:rPr>
                <w:color w:val="auto"/>
                <w:szCs w:val="21"/>
              </w:rPr>
              <w:t>平均值（%）</w:t>
            </w:r>
          </w:p>
        </w:tc>
        <w:tc>
          <w:tcPr>
            <w:tcW w:w="1136" w:type="dxa"/>
            <w:vMerge w:val="restart"/>
            <w:shd w:val="clear" w:color="auto" w:fill="auto"/>
            <w:vAlign w:val="center"/>
          </w:tcPr>
          <w:p>
            <w:pPr>
              <w:jc w:val="center"/>
              <w:rPr>
                <w:color w:val="auto"/>
                <w:szCs w:val="21"/>
              </w:rPr>
            </w:pPr>
            <w:r>
              <w:rPr>
                <w:rFonts w:hint="eastAsia"/>
                <w:color w:val="auto"/>
                <w:szCs w:val="21"/>
              </w:rPr>
              <w:t>示值误差</w:t>
            </w:r>
            <w:r>
              <w:rPr>
                <w:color w:val="auto"/>
                <w:szCs w:val="21"/>
              </w:rPr>
              <w:t>（%FS）</w:t>
            </w:r>
          </w:p>
        </w:tc>
        <w:tc>
          <w:tcPr>
            <w:tcW w:w="1239" w:type="dxa"/>
            <w:vMerge w:val="restart"/>
            <w:vAlign w:val="center"/>
          </w:tcPr>
          <w:p>
            <w:pPr>
              <w:jc w:val="center"/>
              <w:rPr>
                <w:color w:val="auto"/>
                <w:szCs w:val="21"/>
              </w:rPr>
            </w:pPr>
            <w:r>
              <w:rPr>
                <w:rFonts w:hint="eastAsia"/>
                <w:color w:val="auto"/>
                <w:szCs w:val="21"/>
              </w:rPr>
              <w:t>氧分析仪示值误差</w:t>
            </w:r>
            <w:r>
              <w:rPr>
                <w:color w:val="auto"/>
                <w:szCs w:val="21"/>
              </w:rPr>
              <w:t>（%FS）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vAlign w:val="center"/>
          </w:tcPr>
          <w:p>
            <w:pPr>
              <w:jc w:val="center"/>
              <w:rPr>
                <w:color w:val="auto"/>
                <w:szCs w:val="21"/>
              </w:rPr>
            </w:pPr>
          </w:p>
        </w:tc>
        <w:tc>
          <w:tcPr>
            <w:tcW w:w="1179" w:type="dxa"/>
            <w:vMerge w:val="continue"/>
            <w:shd w:val="clear" w:color="auto" w:fill="auto"/>
            <w:vAlign w:val="center"/>
          </w:tcPr>
          <w:p>
            <w:pPr>
              <w:jc w:val="center"/>
              <w:rPr>
                <w:color w:val="auto"/>
                <w:szCs w:val="21"/>
              </w:rPr>
            </w:pPr>
          </w:p>
        </w:tc>
        <w:tc>
          <w:tcPr>
            <w:tcW w:w="872" w:type="dxa"/>
            <w:shd w:val="clear" w:color="auto" w:fill="auto"/>
            <w:vAlign w:val="center"/>
          </w:tcPr>
          <w:p>
            <w:pPr>
              <w:jc w:val="center"/>
              <w:rPr>
                <w:color w:val="auto"/>
                <w:szCs w:val="21"/>
              </w:rPr>
            </w:pPr>
            <w:r>
              <w:rPr>
                <w:rFonts w:hint="eastAsia"/>
                <w:color w:val="auto"/>
                <w:szCs w:val="21"/>
              </w:rPr>
              <w:t>1</w:t>
            </w:r>
          </w:p>
        </w:tc>
        <w:tc>
          <w:tcPr>
            <w:tcW w:w="981" w:type="dxa"/>
            <w:shd w:val="clear" w:color="auto" w:fill="auto"/>
            <w:vAlign w:val="center"/>
          </w:tcPr>
          <w:p>
            <w:pPr>
              <w:jc w:val="center"/>
              <w:rPr>
                <w:color w:val="auto"/>
                <w:szCs w:val="21"/>
              </w:rPr>
            </w:pPr>
            <w:r>
              <w:rPr>
                <w:rFonts w:hint="eastAsia"/>
                <w:color w:val="auto"/>
                <w:szCs w:val="21"/>
              </w:rPr>
              <w:t>2</w:t>
            </w:r>
          </w:p>
        </w:tc>
        <w:tc>
          <w:tcPr>
            <w:tcW w:w="981" w:type="dxa"/>
            <w:shd w:val="clear" w:color="auto" w:fill="auto"/>
            <w:vAlign w:val="center"/>
          </w:tcPr>
          <w:p>
            <w:pPr>
              <w:jc w:val="center"/>
              <w:rPr>
                <w:color w:val="auto"/>
                <w:szCs w:val="21"/>
              </w:rPr>
            </w:pPr>
            <w:r>
              <w:rPr>
                <w:rFonts w:hint="eastAsia"/>
                <w:color w:val="auto"/>
                <w:szCs w:val="21"/>
              </w:rPr>
              <w:t>3</w:t>
            </w:r>
          </w:p>
        </w:tc>
        <w:tc>
          <w:tcPr>
            <w:tcW w:w="834" w:type="dxa"/>
            <w:vMerge w:val="continue"/>
            <w:shd w:val="clear" w:color="auto" w:fill="auto"/>
            <w:vAlign w:val="center"/>
          </w:tcPr>
          <w:p>
            <w:pPr>
              <w:jc w:val="center"/>
              <w:rPr>
                <w:color w:val="auto"/>
                <w:szCs w:val="21"/>
              </w:rPr>
            </w:pPr>
          </w:p>
        </w:tc>
        <w:tc>
          <w:tcPr>
            <w:tcW w:w="1136" w:type="dxa"/>
            <w:vMerge w:val="continue"/>
            <w:shd w:val="clear" w:color="auto" w:fill="auto"/>
            <w:vAlign w:val="center"/>
          </w:tcPr>
          <w:p>
            <w:pPr>
              <w:jc w:val="center"/>
              <w:rPr>
                <w:color w:val="auto"/>
                <w:szCs w:val="21"/>
              </w:rPr>
            </w:pPr>
          </w:p>
        </w:tc>
        <w:tc>
          <w:tcPr>
            <w:tcW w:w="1239" w:type="dxa"/>
            <w:vMerge w:val="continue"/>
            <w:vAlign w:val="center"/>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restart"/>
            <w:vAlign w:val="center"/>
          </w:tcPr>
          <w:p>
            <w:pPr>
              <w:jc w:val="center"/>
              <w:rPr>
                <w:color w:val="auto"/>
                <w:szCs w:val="21"/>
              </w:rPr>
            </w:pPr>
            <w:bookmarkStart w:id="3" w:name="_Hlk27405486"/>
            <w:r>
              <w:rPr>
                <w:rFonts w:hint="eastAsia"/>
                <w:color w:val="auto"/>
                <w:szCs w:val="21"/>
              </w:rPr>
              <w:t>A</w:t>
            </w:r>
          </w:p>
        </w:tc>
        <w:tc>
          <w:tcPr>
            <w:tcW w:w="1179"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18.0</w:t>
            </w:r>
          </w:p>
        </w:tc>
        <w:tc>
          <w:tcPr>
            <w:tcW w:w="872"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17.8</w:t>
            </w:r>
          </w:p>
        </w:tc>
        <w:tc>
          <w:tcPr>
            <w:tcW w:w="981"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17.8</w:t>
            </w:r>
          </w:p>
        </w:tc>
        <w:tc>
          <w:tcPr>
            <w:tcW w:w="981"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17.8</w:t>
            </w:r>
          </w:p>
        </w:tc>
        <w:tc>
          <w:tcPr>
            <w:tcW w:w="834"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17.8</w:t>
            </w:r>
          </w:p>
        </w:tc>
        <w:tc>
          <w:tcPr>
            <w:tcW w:w="1136" w:type="dxa"/>
            <w:shd w:val="clear" w:color="auto" w:fill="auto"/>
            <w:vAlign w:val="center"/>
          </w:tcPr>
          <w:p>
            <w:pPr>
              <w:jc w:val="center"/>
              <w:rPr>
                <w:rFonts w:hint="eastAsia" w:eastAsiaTheme="minorEastAsia"/>
                <w:color w:val="auto"/>
                <w:szCs w:val="21"/>
                <w:lang w:eastAsia="zh-CN"/>
              </w:rPr>
            </w:pPr>
            <w:r>
              <w:rPr>
                <w:color w:val="auto"/>
                <w:szCs w:val="21"/>
              </w:rPr>
              <w:t>-</w:t>
            </w:r>
            <w:r>
              <w:rPr>
                <w:rFonts w:hint="eastAsia"/>
                <w:color w:val="auto"/>
                <w:szCs w:val="21"/>
              </w:rPr>
              <w:t>0</w:t>
            </w:r>
            <w:r>
              <w:rPr>
                <w:color w:val="auto"/>
                <w:szCs w:val="21"/>
              </w:rPr>
              <w:t>.</w:t>
            </w:r>
            <w:r>
              <w:rPr>
                <w:rFonts w:hint="eastAsia"/>
                <w:color w:val="auto"/>
                <w:szCs w:val="21"/>
                <w:lang w:val="en-US" w:eastAsia="zh-CN"/>
              </w:rPr>
              <w:t>2</w:t>
            </w:r>
          </w:p>
        </w:tc>
        <w:tc>
          <w:tcPr>
            <w:tcW w:w="1239" w:type="dxa"/>
            <w:vMerge w:val="restart"/>
            <w:vAlign w:val="center"/>
          </w:tcPr>
          <w:p>
            <w:pPr>
              <w:jc w:val="center"/>
              <w:rPr>
                <w:rFonts w:hint="default" w:eastAsiaTheme="minorEastAsia"/>
                <w:color w:val="auto"/>
                <w:szCs w:val="21"/>
                <w:lang w:val="en-US" w:eastAsia="zh-CN"/>
              </w:rPr>
            </w:pPr>
            <w:r>
              <w:rPr>
                <w:rFonts w:hint="eastAsia"/>
                <w:color w:val="auto"/>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vAlign w:val="center"/>
          </w:tcPr>
          <w:p>
            <w:pPr>
              <w:jc w:val="center"/>
              <w:rPr>
                <w:color w:val="auto"/>
                <w:szCs w:val="21"/>
              </w:rPr>
            </w:pPr>
          </w:p>
        </w:tc>
        <w:tc>
          <w:tcPr>
            <w:tcW w:w="1179"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25.1</w:t>
            </w:r>
          </w:p>
        </w:tc>
        <w:tc>
          <w:tcPr>
            <w:tcW w:w="872"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25.2</w:t>
            </w:r>
          </w:p>
        </w:tc>
        <w:tc>
          <w:tcPr>
            <w:tcW w:w="981"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25.2</w:t>
            </w:r>
          </w:p>
        </w:tc>
        <w:tc>
          <w:tcPr>
            <w:tcW w:w="981"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25.2</w:t>
            </w:r>
          </w:p>
        </w:tc>
        <w:tc>
          <w:tcPr>
            <w:tcW w:w="834"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25.2</w:t>
            </w:r>
          </w:p>
        </w:tc>
        <w:tc>
          <w:tcPr>
            <w:tcW w:w="1136" w:type="dxa"/>
            <w:shd w:val="clear" w:color="auto" w:fill="auto"/>
            <w:vAlign w:val="center"/>
          </w:tcPr>
          <w:p>
            <w:pPr>
              <w:jc w:val="center"/>
              <w:rPr>
                <w:rFonts w:hint="eastAsia" w:eastAsiaTheme="minorEastAsia"/>
                <w:color w:val="auto"/>
                <w:szCs w:val="21"/>
                <w:lang w:eastAsia="zh-CN"/>
              </w:rPr>
            </w:pPr>
            <w:r>
              <w:rPr>
                <w:rFonts w:hint="eastAsia"/>
                <w:color w:val="auto"/>
                <w:szCs w:val="21"/>
              </w:rPr>
              <w:t>0</w:t>
            </w:r>
            <w:r>
              <w:rPr>
                <w:color w:val="auto"/>
                <w:szCs w:val="21"/>
              </w:rPr>
              <w:t>.</w:t>
            </w:r>
            <w:r>
              <w:rPr>
                <w:rFonts w:hint="eastAsia"/>
                <w:color w:val="auto"/>
                <w:szCs w:val="21"/>
                <w:lang w:val="en-US" w:eastAsia="zh-CN"/>
              </w:rPr>
              <w:t>1</w:t>
            </w:r>
          </w:p>
        </w:tc>
        <w:tc>
          <w:tcPr>
            <w:tcW w:w="1239" w:type="dxa"/>
            <w:vMerge w:val="continue"/>
            <w:vAlign w:val="center"/>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vAlign w:val="center"/>
          </w:tcPr>
          <w:p>
            <w:pPr>
              <w:jc w:val="center"/>
              <w:rPr>
                <w:color w:val="auto"/>
                <w:szCs w:val="21"/>
              </w:rPr>
            </w:pPr>
          </w:p>
        </w:tc>
        <w:tc>
          <w:tcPr>
            <w:tcW w:w="1179"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35.1</w:t>
            </w:r>
          </w:p>
        </w:tc>
        <w:tc>
          <w:tcPr>
            <w:tcW w:w="872"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35.3</w:t>
            </w:r>
          </w:p>
        </w:tc>
        <w:tc>
          <w:tcPr>
            <w:tcW w:w="981" w:type="dxa"/>
            <w:shd w:val="clear" w:color="auto" w:fill="auto"/>
            <w:vAlign w:val="center"/>
          </w:tcPr>
          <w:p>
            <w:pPr>
              <w:jc w:val="center"/>
              <w:rPr>
                <w:color w:val="auto"/>
                <w:szCs w:val="21"/>
              </w:rPr>
            </w:pPr>
            <w:r>
              <w:rPr>
                <w:rFonts w:hint="eastAsia"/>
                <w:color w:val="auto"/>
                <w:szCs w:val="21"/>
                <w:lang w:val="en-US" w:eastAsia="zh-CN"/>
              </w:rPr>
              <w:t>35.4</w:t>
            </w:r>
          </w:p>
        </w:tc>
        <w:tc>
          <w:tcPr>
            <w:tcW w:w="981" w:type="dxa"/>
            <w:shd w:val="clear" w:color="auto" w:fill="auto"/>
            <w:vAlign w:val="center"/>
          </w:tcPr>
          <w:p>
            <w:pPr>
              <w:jc w:val="center"/>
              <w:rPr>
                <w:color w:val="auto"/>
                <w:szCs w:val="21"/>
              </w:rPr>
            </w:pPr>
            <w:r>
              <w:rPr>
                <w:rFonts w:hint="eastAsia"/>
                <w:color w:val="auto"/>
                <w:szCs w:val="21"/>
                <w:lang w:val="en-US" w:eastAsia="zh-CN"/>
              </w:rPr>
              <w:t>35.5</w:t>
            </w:r>
          </w:p>
        </w:tc>
        <w:tc>
          <w:tcPr>
            <w:tcW w:w="834"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35.3</w:t>
            </w:r>
          </w:p>
        </w:tc>
        <w:tc>
          <w:tcPr>
            <w:tcW w:w="1136"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0.3</w:t>
            </w:r>
          </w:p>
        </w:tc>
        <w:tc>
          <w:tcPr>
            <w:tcW w:w="1239" w:type="dxa"/>
            <w:vMerge w:val="continue"/>
            <w:vAlign w:val="center"/>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restart"/>
            <w:vAlign w:val="center"/>
          </w:tcPr>
          <w:p>
            <w:pPr>
              <w:jc w:val="center"/>
              <w:rPr>
                <w:color w:val="auto"/>
                <w:szCs w:val="21"/>
              </w:rPr>
            </w:pPr>
            <w:r>
              <w:rPr>
                <w:rFonts w:hint="eastAsia"/>
                <w:color w:val="auto"/>
                <w:szCs w:val="21"/>
              </w:rPr>
              <w:t>B</w:t>
            </w:r>
          </w:p>
        </w:tc>
        <w:tc>
          <w:tcPr>
            <w:tcW w:w="1179" w:type="dxa"/>
            <w:shd w:val="clear" w:color="auto" w:fill="auto"/>
            <w:vAlign w:val="center"/>
          </w:tcPr>
          <w:p>
            <w:pPr>
              <w:jc w:val="center"/>
              <w:rPr>
                <w:rFonts w:ascii="Calibri" w:hAnsi="Calibri" w:eastAsia="等线" w:cs="宋体"/>
                <w:color w:val="auto"/>
                <w:kern w:val="0"/>
                <w:szCs w:val="21"/>
              </w:rPr>
            </w:pPr>
            <w:r>
              <w:rPr>
                <w:rFonts w:hint="eastAsia"/>
                <w:color w:val="auto"/>
                <w:szCs w:val="21"/>
                <w:lang w:val="en-US" w:eastAsia="zh-CN"/>
              </w:rPr>
              <w:t>18.0</w:t>
            </w:r>
          </w:p>
        </w:tc>
        <w:tc>
          <w:tcPr>
            <w:tcW w:w="872" w:type="dxa"/>
            <w:shd w:val="clear" w:color="auto" w:fill="auto"/>
            <w:vAlign w:val="center"/>
          </w:tcPr>
          <w:p>
            <w:pPr>
              <w:jc w:val="center"/>
              <w:rPr>
                <w:rFonts w:hint="default" w:ascii="Calibri" w:hAnsi="Calibri" w:eastAsia="等线"/>
                <w:color w:val="auto"/>
                <w:szCs w:val="21"/>
                <w:lang w:val="en-US"/>
              </w:rPr>
            </w:pPr>
            <w:r>
              <w:rPr>
                <w:rFonts w:hint="eastAsia"/>
                <w:color w:val="auto"/>
                <w:szCs w:val="21"/>
                <w:lang w:val="en-US" w:eastAsia="zh-CN"/>
              </w:rPr>
              <w:t>18.2</w:t>
            </w:r>
          </w:p>
        </w:tc>
        <w:tc>
          <w:tcPr>
            <w:tcW w:w="981" w:type="dxa"/>
            <w:shd w:val="clear" w:color="auto" w:fill="auto"/>
            <w:vAlign w:val="center"/>
          </w:tcPr>
          <w:p>
            <w:pPr>
              <w:jc w:val="center"/>
              <w:rPr>
                <w:rFonts w:hint="default" w:ascii="Calibri" w:hAnsi="Calibri" w:eastAsia="等线"/>
                <w:color w:val="auto"/>
                <w:szCs w:val="21"/>
                <w:lang w:val="en-US"/>
              </w:rPr>
            </w:pPr>
            <w:r>
              <w:rPr>
                <w:rFonts w:hint="eastAsia"/>
                <w:color w:val="auto"/>
                <w:szCs w:val="21"/>
                <w:lang w:val="en-US" w:eastAsia="zh-CN"/>
              </w:rPr>
              <w:t>18.4</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18.5</w:t>
            </w:r>
          </w:p>
        </w:tc>
        <w:tc>
          <w:tcPr>
            <w:tcW w:w="834" w:type="dxa"/>
            <w:shd w:val="clear" w:color="auto" w:fill="auto"/>
            <w:vAlign w:val="center"/>
          </w:tcPr>
          <w:p>
            <w:pPr>
              <w:jc w:val="center"/>
              <w:rPr>
                <w:rFonts w:hint="default" w:ascii="Calibri" w:hAnsi="Calibri" w:eastAsia="等线"/>
                <w:color w:val="auto"/>
                <w:szCs w:val="21"/>
                <w:lang w:val="en-US"/>
              </w:rPr>
            </w:pPr>
            <w:r>
              <w:rPr>
                <w:rFonts w:hint="eastAsia"/>
                <w:color w:val="auto"/>
                <w:szCs w:val="21"/>
                <w:lang w:val="en-US" w:eastAsia="zh-CN"/>
              </w:rPr>
              <w:t>18.4</w:t>
            </w:r>
          </w:p>
        </w:tc>
        <w:tc>
          <w:tcPr>
            <w:tcW w:w="1136" w:type="dxa"/>
            <w:shd w:val="clear" w:color="auto" w:fill="auto"/>
            <w:vAlign w:val="center"/>
          </w:tcPr>
          <w:p>
            <w:pPr>
              <w:jc w:val="center"/>
              <w:rPr>
                <w:rFonts w:hint="default" w:ascii="Calibri" w:hAnsi="Calibri" w:eastAsia="等线"/>
                <w:color w:val="auto"/>
                <w:szCs w:val="21"/>
                <w:lang w:val="en-US" w:eastAsia="zh-CN"/>
              </w:rPr>
            </w:pPr>
            <w:r>
              <w:rPr>
                <w:rFonts w:hint="eastAsia" w:ascii="Calibri" w:hAnsi="Calibri" w:eastAsia="等线"/>
                <w:color w:val="auto"/>
                <w:szCs w:val="21"/>
                <w:lang w:val="en-US" w:eastAsia="zh-CN"/>
              </w:rPr>
              <w:t>0.4</w:t>
            </w:r>
          </w:p>
        </w:tc>
        <w:tc>
          <w:tcPr>
            <w:tcW w:w="1239" w:type="dxa"/>
            <w:vMerge w:val="restart"/>
            <w:vAlign w:val="center"/>
          </w:tcPr>
          <w:p>
            <w:pPr>
              <w:jc w:val="center"/>
              <w:rPr>
                <w:rFonts w:hint="default" w:eastAsiaTheme="minorEastAsia"/>
                <w:color w:val="auto"/>
                <w:szCs w:val="21"/>
                <w:lang w:val="en-US" w:eastAsia="zh-CN"/>
              </w:rPr>
            </w:pPr>
            <w:r>
              <w:rPr>
                <w:rFonts w:hint="eastAsia"/>
                <w:color w:val="auto"/>
                <w:szCs w:val="21"/>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vAlign w:val="center"/>
          </w:tcPr>
          <w:p>
            <w:pPr>
              <w:jc w:val="center"/>
              <w:rPr>
                <w:color w:val="auto"/>
                <w:szCs w:val="21"/>
              </w:rPr>
            </w:pPr>
          </w:p>
        </w:tc>
        <w:tc>
          <w:tcPr>
            <w:tcW w:w="1179"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25.1</w:t>
            </w:r>
          </w:p>
        </w:tc>
        <w:tc>
          <w:tcPr>
            <w:tcW w:w="872"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25.2</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25.2</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25.2</w:t>
            </w:r>
          </w:p>
        </w:tc>
        <w:tc>
          <w:tcPr>
            <w:tcW w:w="834"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25.2</w:t>
            </w:r>
          </w:p>
        </w:tc>
        <w:tc>
          <w:tcPr>
            <w:tcW w:w="1136" w:type="dxa"/>
            <w:shd w:val="clear" w:color="auto" w:fill="auto"/>
            <w:vAlign w:val="center"/>
          </w:tcPr>
          <w:p>
            <w:pPr>
              <w:jc w:val="center"/>
              <w:rPr>
                <w:rFonts w:hint="default" w:ascii="Calibri" w:hAnsi="Calibri" w:eastAsia="等线"/>
                <w:color w:val="auto"/>
                <w:szCs w:val="21"/>
                <w:lang w:val="en-US" w:eastAsia="zh-CN"/>
              </w:rPr>
            </w:pPr>
            <w:r>
              <w:rPr>
                <w:rFonts w:hint="eastAsia" w:ascii="Calibri" w:hAnsi="Calibri" w:eastAsia="等线"/>
                <w:color w:val="auto"/>
                <w:szCs w:val="21"/>
                <w:lang w:val="en-US" w:eastAsia="zh-CN"/>
              </w:rPr>
              <w:t>0.1</w:t>
            </w:r>
          </w:p>
        </w:tc>
        <w:tc>
          <w:tcPr>
            <w:tcW w:w="1239" w:type="dxa"/>
            <w:vMerge w:val="continue"/>
            <w:vAlign w:val="center"/>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vAlign w:val="center"/>
          </w:tcPr>
          <w:p>
            <w:pPr>
              <w:jc w:val="center"/>
              <w:rPr>
                <w:color w:val="auto"/>
                <w:szCs w:val="21"/>
              </w:rPr>
            </w:pPr>
          </w:p>
        </w:tc>
        <w:tc>
          <w:tcPr>
            <w:tcW w:w="1179"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35.1</w:t>
            </w:r>
          </w:p>
        </w:tc>
        <w:tc>
          <w:tcPr>
            <w:tcW w:w="872"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35.2</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35.5</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35.5</w:t>
            </w:r>
          </w:p>
        </w:tc>
        <w:tc>
          <w:tcPr>
            <w:tcW w:w="834"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35.4</w:t>
            </w:r>
          </w:p>
        </w:tc>
        <w:tc>
          <w:tcPr>
            <w:tcW w:w="1136" w:type="dxa"/>
            <w:shd w:val="clear" w:color="auto" w:fill="auto"/>
            <w:vAlign w:val="center"/>
          </w:tcPr>
          <w:p>
            <w:pPr>
              <w:jc w:val="center"/>
              <w:rPr>
                <w:rFonts w:hint="default" w:ascii="Calibri" w:hAnsi="Calibri" w:eastAsia="等线"/>
                <w:color w:val="auto"/>
                <w:szCs w:val="21"/>
                <w:lang w:val="en-US" w:eastAsia="zh-CN"/>
              </w:rPr>
            </w:pPr>
            <w:r>
              <w:rPr>
                <w:rFonts w:hint="eastAsia" w:ascii="Calibri" w:hAnsi="Calibri" w:eastAsia="等线"/>
                <w:color w:val="auto"/>
                <w:szCs w:val="21"/>
                <w:lang w:val="en-US" w:eastAsia="zh-CN"/>
              </w:rPr>
              <w:t>0.3</w:t>
            </w:r>
          </w:p>
        </w:tc>
        <w:tc>
          <w:tcPr>
            <w:tcW w:w="1239" w:type="dxa"/>
            <w:vMerge w:val="continue"/>
            <w:vAlign w:val="center"/>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restart"/>
            <w:vAlign w:val="center"/>
          </w:tcPr>
          <w:p>
            <w:pPr>
              <w:jc w:val="center"/>
              <w:rPr>
                <w:color w:val="auto"/>
                <w:szCs w:val="21"/>
              </w:rPr>
            </w:pPr>
            <w:r>
              <w:rPr>
                <w:rFonts w:hint="eastAsia"/>
                <w:color w:val="auto"/>
                <w:szCs w:val="21"/>
              </w:rPr>
              <w:t>C</w:t>
            </w:r>
          </w:p>
        </w:tc>
        <w:tc>
          <w:tcPr>
            <w:tcW w:w="1179" w:type="dxa"/>
            <w:shd w:val="clear" w:color="auto" w:fill="auto"/>
            <w:vAlign w:val="center"/>
          </w:tcPr>
          <w:p>
            <w:pPr>
              <w:jc w:val="center"/>
              <w:rPr>
                <w:rFonts w:ascii="Calibri" w:hAnsi="Calibri" w:eastAsia="等线" w:cs="宋体"/>
                <w:color w:val="auto"/>
                <w:kern w:val="0"/>
                <w:szCs w:val="21"/>
              </w:rPr>
            </w:pPr>
            <w:r>
              <w:rPr>
                <w:rFonts w:hint="eastAsia"/>
                <w:color w:val="auto"/>
                <w:szCs w:val="21"/>
                <w:lang w:val="en-US" w:eastAsia="zh-CN"/>
              </w:rPr>
              <w:t>18.0</w:t>
            </w:r>
          </w:p>
        </w:tc>
        <w:tc>
          <w:tcPr>
            <w:tcW w:w="872"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18.4</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18.4</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18.5</w:t>
            </w:r>
          </w:p>
        </w:tc>
        <w:tc>
          <w:tcPr>
            <w:tcW w:w="834"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18.4</w:t>
            </w:r>
          </w:p>
        </w:tc>
        <w:tc>
          <w:tcPr>
            <w:tcW w:w="1136" w:type="dxa"/>
            <w:shd w:val="clear" w:color="auto" w:fill="auto"/>
            <w:vAlign w:val="center"/>
          </w:tcPr>
          <w:p>
            <w:pPr>
              <w:jc w:val="center"/>
              <w:rPr>
                <w:rFonts w:ascii="Calibri" w:hAnsi="Calibri" w:eastAsia="等线"/>
                <w:color w:val="auto"/>
                <w:szCs w:val="21"/>
              </w:rPr>
            </w:pPr>
            <w:r>
              <w:rPr>
                <w:rFonts w:hint="eastAsia" w:ascii="Calibri" w:hAnsi="Calibri" w:eastAsia="等线"/>
                <w:color w:val="auto"/>
                <w:szCs w:val="21"/>
                <w:lang w:val="en-US" w:eastAsia="zh-CN"/>
              </w:rPr>
              <w:t>0.4</w:t>
            </w:r>
          </w:p>
        </w:tc>
        <w:tc>
          <w:tcPr>
            <w:tcW w:w="1239" w:type="dxa"/>
            <w:vMerge w:val="restart"/>
            <w:vAlign w:val="center"/>
          </w:tcPr>
          <w:p>
            <w:pPr>
              <w:jc w:val="center"/>
              <w:rPr>
                <w:rFonts w:hint="default" w:eastAsiaTheme="minorEastAsia"/>
                <w:color w:val="auto"/>
                <w:szCs w:val="21"/>
                <w:lang w:val="en-US" w:eastAsia="zh-CN"/>
              </w:rPr>
            </w:pPr>
            <w:r>
              <w:rPr>
                <w:rFonts w:hint="eastAsia"/>
                <w:color w:val="auto"/>
                <w:szCs w:val="21"/>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vAlign w:val="center"/>
          </w:tcPr>
          <w:p>
            <w:pPr>
              <w:jc w:val="center"/>
              <w:rPr>
                <w:color w:val="auto"/>
                <w:szCs w:val="21"/>
              </w:rPr>
            </w:pPr>
          </w:p>
        </w:tc>
        <w:tc>
          <w:tcPr>
            <w:tcW w:w="1179"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25.1</w:t>
            </w:r>
          </w:p>
        </w:tc>
        <w:tc>
          <w:tcPr>
            <w:tcW w:w="872"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25.0</w:t>
            </w:r>
          </w:p>
        </w:tc>
        <w:tc>
          <w:tcPr>
            <w:tcW w:w="981" w:type="dxa"/>
            <w:shd w:val="clear" w:color="auto" w:fill="auto"/>
            <w:vAlign w:val="center"/>
          </w:tcPr>
          <w:p>
            <w:pPr>
              <w:jc w:val="center"/>
              <w:rPr>
                <w:rFonts w:hint="default" w:ascii="Calibri" w:hAnsi="Calibri" w:eastAsia="等线"/>
                <w:color w:val="auto"/>
                <w:szCs w:val="21"/>
                <w:lang w:val="en-US"/>
              </w:rPr>
            </w:pPr>
            <w:r>
              <w:rPr>
                <w:rFonts w:hint="eastAsia"/>
                <w:color w:val="auto"/>
                <w:szCs w:val="21"/>
                <w:lang w:val="en-US" w:eastAsia="zh-CN"/>
              </w:rPr>
              <w:t>24.9</w:t>
            </w:r>
          </w:p>
        </w:tc>
        <w:tc>
          <w:tcPr>
            <w:tcW w:w="981" w:type="dxa"/>
            <w:shd w:val="clear" w:color="auto" w:fill="auto"/>
            <w:vAlign w:val="center"/>
          </w:tcPr>
          <w:p>
            <w:pPr>
              <w:jc w:val="center"/>
              <w:rPr>
                <w:rFonts w:hint="default" w:ascii="Calibri" w:hAnsi="Calibri" w:eastAsia="等线"/>
                <w:color w:val="auto"/>
                <w:szCs w:val="21"/>
                <w:lang w:val="en-US"/>
              </w:rPr>
            </w:pPr>
            <w:r>
              <w:rPr>
                <w:rFonts w:hint="eastAsia"/>
                <w:color w:val="auto"/>
                <w:szCs w:val="21"/>
                <w:lang w:val="en-US" w:eastAsia="zh-CN"/>
              </w:rPr>
              <w:t>24.8</w:t>
            </w:r>
          </w:p>
        </w:tc>
        <w:tc>
          <w:tcPr>
            <w:tcW w:w="834" w:type="dxa"/>
            <w:shd w:val="clear" w:color="auto" w:fill="auto"/>
            <w:vAlign w:val="center"/>
          </w:tcPr>
          <w:p>
            <w:pPr>
              <w:jc w:val="center"/>
              <w:rPr>
                <w:rFonts w:hint="default" w:ascii="Calibri" w:hAnsi="Calibri" w:eastAsia="等线"/>
                <w:color w:val="auto"/>
                <w:szCs w:val="21"/>
                <w:lang w:val="en-US"/>
              </w:rPr>
            </w:pPr>
            <w:r>
              <w:rPr>
                <w:rFonts w:hint="eastAsia"/>
                <w:color w:val="auto"/>
                <w:szCs w:val="21"/>
                <w:lang w:val="en-US" w:eastAsia="zh-CN"/>
              </w:rPr>
              <w:t>24.9</w:t>
            </w:r>
          </w:p>
        </w:tc>
        <w:tc>
          <w:tcPr>
            <w:tcW w:w="1136" w:type="dxa"/>
            <w:shd w:val="clear" w:color="auto" w:fill="auto"/>
            <w:vAlign w:val="center"/>
          </w:tcPr>
          <w:p>
            <w:pPr>
              <w:jc w:val="center"/>
              <w:rPr>
                <w:rFonts w:hint="default" w:ascii="Calibri" w:hAnsi="Calibri" w:eastAsia="等线"/>
                <w:color w:val="auto"/>
                <w:szCs w:val="21"/>
                <w:lang w:val="en-US"/>
              </w:rPr>
            </w:pPr>
            <w:r>
              <w:rPr>
                <w:rFonts w:hint="eastAsia" w:ascii="Calibri" w:hAnsi="Calibri" w:eastAsia="等线"/>
                <w:color w:val="auto"/>
                <w:szCs w:val="21"/>
                <w:lang w:val="en-US" w:eastAsia="zh-CN"/>
              </w:rPr>
              <w:t>-0.2</w:t>
            </w:r>
          </w:p>
        </w:tc>
        <w:tc>
          <w:tcPr>
            <w:tcW w:w="1239" w:type="dxa"/>
            <w:vMerge w:val="continue"/>
            <w:vAlign w:val="center"/>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vAlign w:val="center"/>
          </w:tcPr>
          <w:p>
            <w:pPr>
              <w:jc w:val="center"/>
              <w:rPr>
                <w:color w:val="auto"/>
                <w:szCs w:val="21"/>
              </w:rPr>
            </w:pPr>
          </w:p>
        </w:tc>
        <w:tc>
          <w:tcPr>
            <w:tcW w:w="1179"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35.1</w:t>
            </w:r>
          </w:p>
        </w:tc>
        <w:tc>
          <w:tcPr>
            <w:tcW w:w="872" w:type="dxa"/>
            <w:shd w:val="clear" w:color="auto" w:fill="auto"/>
            <w:vAlign w:val="center"/>
          </w:tcPr>
          <w:p>
            <w:pPr>
              <w:jc w:val="center"/>
              <w:rPr>
                <w:rFonts w:hint="default" w:ascii="Calibri" w:hAnsi="Calibri" w:eastAsia="等线"/>
                <w:color w:val="auto"/>
                <w:szCs w:val="21"/>
                <w:lang w:val="en-US"/>
              </w:rPr>
            </w:pPr>
            <w:r>
              <w:rPr>
                <w:rFonts w:hint="eastAsia"/>
                <w:color w:val="auto"/>
                <w:szCs w:val="21"/>
                <w:lang w:val="en-US" w:eastAsia="zh-CN"/>
              </w:rPr>
              <w:t>35.3</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35.5</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35.5</w:t>
            </w:r>
          </w:p>
        </w:tc>
        <w:tc>
          <w:tcPr>
            <w:tcW w:w="834"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35.4</w:t>
            </w:r>
          </w:p>
        </w:tc>
        <w:tc>
          <w:tcPr>
            <w:tcW w:w="1136" w:type="dxa"/>
            <w:shd w:val="clear" w:color="auto" w:fill="auto"/>
            <w:vAlign w:val="center"/>
          </w:tcPr>
          <w:p>
            <w:pPr>
              <w:jc w:val="center"/>
              <w:rPr>
                <w:rFonts w:ascii="Calibri" w:hAnsi="Calibri" w:eastAsia="等线"/>
                <w:color w:val="auto"/>
                <w:szCs w:val="21"/>
              </w:rPr>
            </w:pPr>
            <w:r>
              <w:rPr>
                <w:rFonts w:hint="eastAsia" w:ascii="Calibri" w:hAnsi="Calibri" w:eastAsia="等线"/>
                <w:color w:val="auto"/>
                <w:szCs w:val="21"/>
                <w:lang w:val="en-US" w:eastAsia="zh-CN"/>
              </w:rPr>
              <w:t>0.3</w:t>
            </w:r>
          </w:p>
        </w:tc>
        <w:tc>
          <w:tcPr>
            <w:tcW w:w="1239" w:type="dxa"/>
            <w:vMerge w:val="continue"/>
            <w:vAlign w:val="center"/>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restart"/>
            <w:vAlign w:val="center"/>
          </w:tcPr>
          <w:p>
            <w:pPr>
              <w:jc w:val="center"/>
              <w:rPr>
                <w:color w:val="auto"/>
                <w:szCs w:val="21"/>
              </w:rPr>
            </w:pPr>
            <w:r>
              <w:rPr>
                <w:rFonts w:hint="eastAsia"/>
                <w:color w:val="auto"/>
                <w:szCs w:val="21"/>
              </w:rPr>
              <w:t>D</w:t>
            </w:r>
          </w:p>
        </w:tc>
        <w:tc>
          <w:tcPr>
            <w:tcW w:w="1179" w:type="dxa"/>
            <w:shd w:val="clear" w:color="auto" w:fill="auto"/>
            <w:vAlign w:val="center"/>
          </w:tcPr>
          <w:p>
            <w:pPr>
              <w:jc w:val="center"/>
              <w:rPr>
                <w:rFonts w:ascii="Calibri" w:hAnsi="Calibri" w:eastAsia="等线" w:cs="宋体"/>
                <w:color w:val="auto"/>
                <w:kern w:val="0"/>
                <w:szCs w:val="21"/>
              </w:rPr>
            </w:pPr>
            <w:r>
              <w:rPr>
                <w:rFonts w:hint="eastAsia"/>
                <w:color w:val="auto"/>
                <w:szCs w:val="21"/>
                <w:lang w:val="en-US" w:eastAsia="zh-CN"/>
              </w:rPr>
              <w:t>18.0</w:t>
            </w:r>
          </w:p>
        </w:tc>
        <w:tc>
          <w:tcPr>
            <w:tcW w:w="872"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18.2</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18.2</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18.2</w:t>
            </w:r>
          </w:p>
        </w:tc>
        <w:tc>
          <w:tcPr>
            <w:tcW w:w="834"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18.2</w:t>
            </w:r>
          </w:p>
        </w:tc>
        <w:tc>
          <w:tcPr>
            <w:tcW w:w="1136" w:type="dxa"/>
            <w:shd w:val="clear" w:color="auto" w:fill="auto"/>
            <w:vAlign w:val="center"/>
          </w:tcPr>
          <w:p>
            <w:pPr>
              <w:jc w:val="center"/>
              <w:rPr>
                <w:rFonts w:ascii="Calibri" w:hAnsi="Calibri" w:eastAsia="等线"/>
                <w:color w:val="auto"/>
                <w:szCs w:val="21"/>
              </w:rPr>
            </w:pPr>
            <w:r>
              <w:rPr>
                <w:rFonts w:hint="eastAsia" w:ascii="Calibri" w:hAnsi="Calibri" w:eastAsia="等线"/>
                <w:color w:val="auto"/>
                <w:szCs w:val="21"/>
                <w:lang w:val="en-US" w:eastAsia="zh-CN"/>
              </w:rPr>
              <w:t>0.2</w:t>
            </w:r>
          </w:p>
        </w:tc>
        <w:tc>
          <w:tcPr>
            <w:tcW w:w="1239" w:type="dxa"/>
            <w:vMerge w:val="restart"/>
            <w:vAlign w:val="center"/>
          </w:tcPr>
          <w:p>
            <w:pPr>
              <w:jc w:val="center"/>
              <w:rPr>
                <w:rFonts w:hint="default" w:eastAsiaTheme="minorEastAsia"/>
                <w:color w:val="auto"/>
                <w:szCs w:val="21"/>
                <w:lang w:val="en-US" w:eastAsia="zh-CN"/>
              </w:rPr>
            </w:pPr>
            <w:r>
              <w:rPr>
                <w:rFonts w:hint="eastAsia"/>
                <w:color w:val="auto"/>
                <w:szCs w:val="21"/>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vAlign w:val="center"/>
          </w:tcPr>
          <w:p>
            <w:pPr>
              <w:jc w:val="center"/>
              <w:rPr>
                <w:color w:val="auto"/>
                <w:szCs w:val="21"/>
              </w:rPr>
            </w:pPr>
          </w:p>
        </w:tc>
        <w:tc>
          <w:tcPr>
            <w:tcW w:w="1179"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25.1</w:t>
            </w:r>
          </w:p>
        </w:tc>
        <w:tc>
          <w:tcPr>
            <w:tcW w:w="872"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25.3</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25.3</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25.3</w:t>
            </w:r>
          </w:p>
        </w:tc>
        <w:tc>
          <w:tcPr>
            <w:tcW w:w="834"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25.3</w:t>
            </w:r>
          </w:p>
        </w:tc>
        <w:tc>
          <w:tcPr>
            <w:tcW w:w="1136" w:type="dxa"/>
            <w:shd w:val="clear" w:color="auto" w:fill="auto"/>
            <w:vAlign w:val="center"/>
          </w:tcPr>
          <w:p>
            <w:pPr>
              <w:jc w:val="center"/>
              <w:rPr>
                <w:rFonts w:ascii="Calibri" w:hAnsi="Calibri" w:eastAsia="等线"/>
                <w:color w:val="auto"/>
                <w:szCs w:val="21"/>
              </w:rPr>
            </w:pPr>
            <w:r>
              <w:rPr>
                <w:rFonts w:hint="eastAsia" w:ascii="Calibri" w:hAnsi="Calibri" w:eastAsia="等线"/>
                <w:color w:val="auto"/>
                <w:szCs w:val="21"/>
                <w:lang w:val="en-US" w:eastAsia="zh-CN"/>
              </w:rPr>
              <w:t>0.2</w:t>
            </w:r>
          </w:p>
        </w:tc>
        <w:tc>
          <w:tcPr>
            <w:tcW w:w="1239" w:type="dxa"/>
            <w:vMerge w:val="continue"/>
            <w:vAlign w:val="center"/>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vAlign w:val="center"/>
          </w:tcPr>
          <w:p>
            <w:pPr>
              <w:jc w:val="center"/>
              <w:rPr>
                <w:color w:val="auto"/>
                <w:szCs w:val="21"/>
              </w:rPr>
            </w:pPr>
          </w:p>
        </w:tc>
        <w:tc>
          <w:tcPr>
            <w:tcW w:w="1179"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35.1</w:t>
            </w:r>
          </w:p>
        </w:tc>
        <w:tc>
          <w:tcPr>
            <w:tcW w:w="872"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35.2</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35.3</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35.3</w:t>
            </w:r>
          </w:p>
        </w:tc>
        <w:tc>
          <w:tcPr>
            <w:tcW w:w="834"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35.3</w:t>
            </w:r>
          </w:p>
        </w:tc>
        <w:tc>
          <w:tcPr>
            <w:tcW w:w="1136" w:type="dxa"/>
            <w:shd w:val="clear" w:color="auto" w:fill="auto"/>
            <w:vAlign w:val="center"/>
          </w:tcPr>
          <w:p>
            <w:pPr>
              <w:jc w:val="center"/>
              <w:rPr>
                <w:rFonts w:ascii="Calibri" w:hAnsi="Calibri" w:eastAsia="等线"/>
                <w:color w:val="auto"/>
                <w:szCs w:val="21"/>
              </w:rPr>
            </w:pPr>
            <w:r>
              <w:rPr>
                <w:rFonts w:hint="eastAsia" w:ascii="Calibri" w:hAnsi="Calibri" w:eastAsia="等线"/>
                <w:color w:val="auto"/>
                <w:szCs w:val="21"/>
                <w:lang w:val="en-US" w:eastAsia="zh-CN"/>
              </w:rPr>
              <w:t>0.3</w:t>
            </w:r>
          </w:p>
        </w:tc>
        <w:tc>
          <w:tcPr>
            <w:tcW w:w="1239" w:type="dxa"/>
            <w:vMerge w:val="continue"/>
            <w:vAlign w:val="center"/>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restart"/>
            <w:vAlign w:val="center"/>
          </w:tcPr>
          <w:p>
            <w:pPr>
              <w:jc w:val="center"/>
              <w:rPr>
                <w:color w:val="auto"/>
                <w:szCs w:val="21"/>
              </w:rPr>
            </w:pPr>
            <w:r>
              <w:rPr>
                <w:rFonts w:hint="eastAsia"/>
                <w:color w:val="auto"/>
                <w:szCs w:val="21"/>
              </w:rPr>
              <w:t>E</w:t>
            </w:r>
          </w:p>
        </w:tc>
        <w:tc>
          <w:tcPr>
            <w:tcW w:w="1179" w:type="dxa"/>
            <w:shd w:val="clear" w:color="auto" w:fill="auto"/>
            <w:vAlign w:val="center"/>
          </w:tcPr>
          <w:p>
            <w:pPr>
              <w:jc w:val="center"/>
              <w:rPr>
                <w:rFonts w:ascii="Calibri" w:hAnsi="Calibri" w:eastAsia="等线" w:cs="宋体"/>
                <w:color w:val="auto"/>
                <w:kern w:val="0"/>
                <w:szCs w:val="21"/>
              </w:rPr>
            </w:pPr>
            <w:r>
              <w:rPr>
                <w:rFonts w:hint="eastAsia"/>
                <w:color w:val="auto"/>
                <w:szCs w:val="21"/>
                <w:lang w:val="en-US" w:eastAsia="zh-CN"/>
              </w:rPr>
              <w:t>18.0</w:t>
            </w:r>
          </w:p>
        </w:tc>
        <w:tc>
          <w:tcPr>
            <w:tcW w:w="872"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18.5</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18.4</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18.5</w:t>
            </w:r>
          </w:p>
        </w:tc>
        <w:tc>
          <w:tcPr>
            <w:tcW w:w="834"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18.5</w:t>
            </w:r>
          </w:p>
        </w:tc>
        <w:tc>
          <w:tcPr>
            <w:tcW w:w="1136" w:type="dxa"/>
            <w:shd w:val="clear" w:color="auto" w:fill="auto"/>
            <w:vAlign w:val="center"/>
          </w:tcPr>
          <w:p>
            <w:pPr>
              <w:jc w:val="center"/>
              <w:rPr>
                <w:rFonts w:hint="default" w:ascii="Calibri" w:hAnsi="Calibri" w:eastAsia="等线"/>
                <w:color w:val="auto"/>
                <w:szCs w:val="21"/>
                <w:lang w:val="en-US"/>
              </w:rPr>
            </w:pPr>
            <w:r>
              <w:rPr>
                <w:rFonts w:hint="eastAsia" w:ascii="Calibri" w:hAnsi="Calibri" w:eastAsia="等线"/>
                <w:color w:val="auto"/>
                <w:szCs w:val="21"/>
                <w:lang w:val="en-US" w:eastAsia="zh-CN"/>
              </w:rPr>
              <w:t>0.5</w:t>
            </w:r>
          </w:p>
        </w:tc>
        <w:tc>
          <w:tcPr>
            <w:tcW w:w="1239" w:type="dxa"/>
            <w:vMerge w:val="restart"/>
            <w:vAlign w:val="center"/>
          </w:tcPr>
          <w:p>
            <w:pPr>
              <w:jc w:val="center"/>
              <w:rPr>
                <w:rFonts w:hint="default" w:eastAsiaTheme="minorEastAsia"/>
                <w:color w:val="auto"/>
                <w:szCs w:val="21"/>
                <w:lang w:val="en-US" w:eastAsia="zh-CN"/>
              </w:rPr>
            </w:pPr>
            <w:r>
              <w:rPr>
                <w:rFonts w:hint="eastAsia"/>
                <w:color w:val="auto"/>
                <w:szCs w:val="21"/>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tcPr>
          <w:p>
            <w:pPr>
              <w:jc w:val="center"/>
              <w:rPr>
                <w:color w:val="auto"/>
                <w:szCs w:val="21"/>
              </w:rPr>
            </w:pPr>
          </w:p>
        </w:tc>
        <w:tc>
          <w:tcPr>
            <w:tcW w:w="1179"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25.1</w:t>
            </w:r>
          </w:p>
        </w:tc>
        <w:tc>
          <w:tcPr>
            <w:tcW w:w="872"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25.2</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25.2</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25.3</w:t>
            </w:r>
          </w:p>
        </w:tc>
        <w:tc>
          <w:tcPr>
            <w:tcW w:w="834"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25.2</w:t>
            </w:r>
          </w:p>
        </w:tc>
        <w:tc>
          <w:tcPr>
            <w:tcW w:w="1136" w:type="dxa"/>
            <w:shd w:val="clear" w:color="auto" w:fill="auto"/>
            <w:vAlign w:val="center"/>
          </w:tcPr>
          <w:p>
            <w:pPr>
              <w:jc w:val="center"/>
              <w:rPr>
                <w:rFonts w:ascii="Calibri" w:hAnsi="Calibri" w:eastAsia="等线"/>
                <w:color w:val="auto"/>
                <w:szCs w:val="21"/>
              </w:rPr>
            </w:pPr>
            <w:r>
              <w:rPr>
                <w:rFonts w:hint="eastAsia" w:ascii="Calibri" w:hAnsi="Calibri" w:eastAsia="等线"/>
                <w:color w:val="auto"/>
                <w:szCs w:val="21"/>
                <w:lang w:val="en-US" w:eastAsia="zh-CN"/>
              </w:rPr>
              <w:t>0.1</w:t>
            </w:r>
          </w:p>
        </w:tc>
        <w:tc>
          <w:tcPr>
            <w:tcW w:w="1239" w:type="dxa"/>
            <w:vMerge w:val="continue"/>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4" w:type="dxa"/>
            <w:vMerge w:val="continue"/>
          </w:tcPr>
          <w:p>
            <w:pPr>
              <w:jc w:val="center"/>
              <w:rPr>
                <w:color w:val="auto"/>
                <w:szCs w:val="21"/>
              </w:rPr>
            </w:pPr>
          </w:p>
        </w:tc>
        <w:tc>
          <w:tcPr>
            <w:tcW w:w="1179"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35.1</w:t>
            </w:r>
          </w:p>
        </w:tc>
        <w:tc>
          <w:tcPr>
            <w:tcW w:w="872"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35.4</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35.5</w:t>
            </w:r>
          </w:p>
        </w:tc>
        <w:tc>
          <w:tcPr>
            <w:tcW w:w="981"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35.5</w:t>
            </w:r>
          </w:p>
        </w:tc>
        <w:tc>
          <w:tcPr>
            <w:tcW w:w="834" w:type="dxa"/>
            <w:shd w:val="clear" w:color="auto" w:fill="auto"/>
            <w:vAlign w:val="center"/>
          </w:tcPr>
          <w:p>
            <w:pPr>
              <w:jc w:val="center"/>
              <w:rPr>
                <w:rFonts w:ascii="Calibri" w:hAnsi="Calibri" w:eastAsia="等线"/>
                <w:color w:val="auto"/>
                <w:szCs w:val="21"/>
              </w:rPr>
            </w:pPr>
            <w:r>
              <w:rPr>
                <w:rFonts w:hint="eastAsia"/>
                <w:color w:val="auto"/>
                <w:szCs w:val="21"/>
                <w:lang w:val="en-US" w:eastAsia="zh-CN"/>
              </w:rPr>
              <w:t>35.5</w:t>
            </w:r>
          </w:p>
        </w:tc>
        <w:tc>
          <w:tcPr>
            <w:tcW w:w="1136" w:type="dxa"/>
            <w:shd w:val="clear" w:color="auto" w:fill="auto"/>
            <w:vAlign w:val="center"/>
          </w:tcPr>
          <w:p>
            <w:pPr>
              <w:jc w:val="center"/>
              <w:rPr>
                <w:rFonts w:ascii="Calibri" w:hAnsi="Calibri" w:eastAsia="等线"/>
                <w:color w:val="auto"/>
                <w:szCs w:val="21"/>
              </w:rPr>
            </w:pPr>
            <w:r>
              <w:rPr>
                <w:rFonts w:hint="eastAsia" w:ascii="Calibri" w:hAnsi="Calibri" w:eastAsia="等线"/>
                <w:color w:val="auto"/>
                <w:szCs w:val="21"/>
                <w:lang w:val="en-US" w:eastAsia="zh-CN"/>
              </w:rPr>
              <w:t>0.4</w:t>
            </w:r>
          </w:p>
        </w:tc>
        <w:tc>
          <w:tcPr>
            <w:tcW w:w="1239" w:type="dxa"/>
            <w:vMerge w:val="continue"/>
          </w:tcPr>
          <w:p>
            <w:pPr>
              <w:jc w:val="center"/>
              <w:rPr>
                <w:color w:val="auto"/>
                <w:szCs w:val="21"/>
              </w:rPr>
            </w:pPr>
          </w:p>
        </w:tc>
      </w:tr>
      <w:bookmarkEnd w:id="3"/>
    </w:tbl>
    <w:p>
      <w:pPr>
        <w:pStyle w:val="3"/>
        <w:keepNext w:val="0"/>
        <w:keepLines w:val="0"/>
        <w:pageBreakBefore w:val="0"/>
        <w:widowControl w:val="0"/>
        <w:kinsoku/>
        <w:wordWrap/>
        <w:overflowPunct/>
        <w:topLinePunct w:val="0"/>
        <w:autoSpaceDE/>
        <w:autoSpaceDN/>
        <w:bidi w:val="0"/>
        <w:adjustRightInd/>
        <w:snapToGrid w:val="0"/>
        <w:spacing w:before="157" w:beforeLines="50"/>
        <w:ind w:right="0" w:firstLine="0"/>
        <w:jc w:val="left"/>
        <w:textAlignment w:val="auto"/>
        <w:rPr>
          <w:rFonts w:ascii="Times New Roman"/>
          <w:color w:val="auto"/>
          <w:sz w:val="24"/>
        </w:rPr>
      </w:pPr>
      <w:r>
        <w:rPr>
          <w:rFonts w:hint="eastAsia" w:hAnsi="宋体"/>
          <w:color w:val="auto"/>
          <w:szCs w:val="21"/>
        </w:rPr>
        <w:t xml:space="preserve"> </w:t>
      </w:r>
      <w:r>
        <w:rPr>
          <w:rFonts w:hAnsi="宋体"/>
          <w:color w:val="auto"/>
          <w:szCs w:val="21"/>
        </w:rPr>
        <w:t xml:space="preserve">   </w:t>
      </w:r>
      <w:r>
        <w:rPr>
          <w:rFonts w:hint="eastAsia" w:hAnsi="宋体"/>
          <w:color w:val="auto"/>
          <w:sz w:val="24"/>
        </w:rPr>
        <w:t>由上表，可得：</w:t>
      </w:r>
      <w:r>
        <w:rPr>
          <w:rFonts w:hint="eastAsia" w:hAnsi="宋体"/>
          <w:color w:val="auto"/>
          <w:sz w:val="24"/>
          <w:lang w:eastAsia="zh-CN"/>
        </w:rPr>
        <w:t>氧浓度</w:t>
      </w:r>
      <w:r>
        <w:rPr>
          <w:rFonts w:hint="eastAsia" w:hAnsi="宋体"/>
          <w:color w:val="auto"/>
          <w:sz w:val="24"/>
        </w:rPr>
        <w:t>示值误差最大值</w:t>
      </w:r>
      <w:r>
        <w:rPr>
          <w:rFonts w:hint="eastAsia" w:hAnsi="宋体"/>
          <w:color w:val="auto"/>
          <w:sz w:val="24"/>
          <w:lang w:val="en-US" w:eastAsia="zh-CN"/>
        </w:rPr>
        <w:t>0.4%</w:t>
      </w:r>
      <w:r>
        <w:rPr>
          <w:rFonts w:ascii="Times New Roman"/>
          <w:color w:val="auto"/>
          <w:sz w:val="24"/>
        </w:rPr>
        <w:t>。</w:t>
      </w:r>
    </w:p>
    <w:p>
      <w:pPr>
        <w:numPr>
          <w:ilvl w:val="0"/>
          <w:numId w:val="3"/>
        </w:numPr>
        <w:jc w:val="left"/>
        <w:rPr>
          <w:rFonts w:ascii="黑体" w:hAnsi="黑体" w:eastAsia="黑体" w:cs="黑体"/>
          <w:color w:val="auto"/>
          <w:sz w:val="28"/>
          <w:szCs w:val="28"/>
        </w:rPr>
      </w:pPr>
      <w:r>
        <w:rPr>
          <w:rFonts w:hint="eastAsia" w:ascii="黑体" w:hAnsi="黑体" w:eastAsia="黑体" w:cs="黑体"/>
          <w:color w:val="auto"/>
          <w:sz w:val="28"/>
          <w:szCs w:val="28"/>
        </w:rPr>
        <w:t>试验结论</w:t>
      </w:r>
    </w:p>
    <w:p>
      <w:pPr>
        <w:pStyle w:val="3"/>
        <w:keepNext w:val="0"/>
        <w:keepLines w:val="0"/>
        <w:pageBreakBefore w:val="0"/>
        <w:widowControl w:val="0"/>
        <w:kinsoku/>
        <w:wordWrap/>
        <w:overflowPunct/>
        <w:topLinePunct w:val="0"/>
        <w:autoSpaceDE/>
        <w:autoSpaceDN/>
        <w:bidi w:val="0"/>
        <w:adjustRightInd/>
        <w:snapToGrid w:val="0"/>
        <w:ind w:right="0" w:firstLine="480" w:firstLineChars="200"/>
        <w:jc w:val="left"/>
        <w:textAlignment w:val="auto"/>
        <w:rPr>
          <w:rFonts w:ascii="Times New Roman"/>
          <w:color w:val="auto"/>
          <w:sz w:val="24"/>
        </w:rPr>
      </w:pPr>
      <w:r>
        <w:rPr>
          <w:rFonts w:hint="eastAsia" w:hAnsi="宋体"/>
          <w:color w:val="auto"/>
          <w:sz w:val="24"/>
        </w:rPr>
        <w:t>本规范规定</w:t>
      </w:r>
      <w:r>
        <w:rPr>
          <w:rFonts w:hint="eastAsia" w:hAnsi="宋体"/>
          <w:color w:val="auto"/>
          <w:sz w:val="24"/>
          <w:lang w:eastAsia="zh-CN"/>
        </w:rPr>
        <w:t>氧浓度</w:t>
      </w:r>
      <w:r>
        <w:rPr>
          <w:rFonts w:hint="eastAsia" w:ascii="Times New Roman"/>
          <w:color w:val="auto"/>
          <w:sz w:val="24"/>
        </w:rPr>
        <w:t>示值误差不超过</w:t>
      </w:r>
      <w:r>
        <w:rPr>
          <w:rFonts w:hint="eastAsia" w:ascii="Times New Roman"/>
          <w:color w:val="auto"/>
          <w:sz w:val="24"/>
          <w:lang w:val="en-US" w:eastAsia="zh-CN"/>
        </w:rPr>
        <w:t>0.5</w:t>
      </w:r>
      <w:r>
        <w:rPr>
          <w:rFonts w:ascii="Times New Roman"/>
          <w:color w:val="auto"/>
          <w:sz w:val="24"/>
        </w:rPr>
        <w:t>%</w:t>
      </w:r>
      <w:r>
        <w:rPr>
          <w:rFonts w:hint="eastAsia" w:ascii="Times New Roman"/>
          <w:color w:val="auto"/>
          <w:sz w:val="24"/>
        </w:rPr>
        <w:t>。</w:t>
      </w:r>
      <w:r>
        <w:rPr>
          <w:rFonts w:hint="eastAsia" w:hAnsi="宋体"/>
          <w:color w:val="auto"/>
          <w:sz w:val="24"/>
        </w:rPr>
        <w:t>由试验数据可见，</w:t>
      </w:r>
      <w:r>
        <w:rPr>
          <w:rFonts w:hint="eastAsia" w:ascii="Times New Roman"/>
          <w:color w:val="auto"/>
          <w:sz w:val="24"/>
        </w:rPr>
        <w:t>氧</w:t>
      </w:r>
      <w:r>
        <w:rPr>
          <w:rFonts w:hint="eastAsia" w:ascii="Times New Roman"/>
          <w:color w:val="auto"/>
          <w:sz w:val="24"/>
          <w:lang w:eastAsia="zh-CN"/>
        </w:rPr>
        <w:t>浓度</w:t>
      </w:r>
      <w:r>
        <w:rPr>
          <w:rFonts w:hint="eastAsia" w:ascii="Times New Roman"/>
          <w:color w:val="auto"/>
          <w:sz w:val="24"/>
        </w:rPr>
        <w:t>示值误差</w:t>
      </w:r>
      <w:r>
        <w:rPr>
          <w:rFonts w:hint="eastAsia" w:hAnsi="宋体"/>
          <w:color w:val="auto"/>
          <w:sz w:val="24"/>
        </w:rPr>
        <w:t>满足</w:t>
      </w:r>
      <w:r>
        <w:rPr>
          <w:rFonts w:hint="eastAsia" w:hAnsi="宋体"/>
          <w:color w:val="auto"/>
          <w:sz w:val="24"/>
          <w:lang w:eastAsia="zh-CN"/>
        </w:rPr>
        <w:t>规范的</w:t>
      </w:r>
      <w:r>
        <w:rPr>
          <w:rFonts w:hint="eastAsia" w:hAnsi="宋体"/>
          <w:color w:val="auto"/>
          <w:sz w:val="24"/>
        </w:rPr>
        <w:t>要求。</w:t>
      </w:r>
    </w:p>
    <w:p>
      <w:pPr>
        <w:pStyle w:val="3"/>
        <w:ind w:right="0" w:firstLine="0"/>
        <w:jc w:val="left"/>
        <w:rPr>
          <w:rFonts w:hAnsi="宋体"/>
          <w:color w:val="auto"/>
          <w:sz w:val="24"/>
        </w:rPr>
      </w:pPr>
    </w:p>
    <w:p>
      <w:pPr>
        <w:jc w:val="center"/>
        <w:rPr>
          <w:rFonts w:ascii="黑体" w:hAnsi="黑体" w:eastAsia="黑体" w:cs="黑体"/>
          <w:color w:val="auto"/>
          <w:sz w:val="28"/>
          <w:szCs w:val="28"/>
        </w:rPr>
      </w:pPr>
      <w:r>
        <w:rPr>
          <w:rFonts w:hint="eastAsia" w:ascii="黑体" w:hAnsi="黑体" w:eastAsia="黑体" w:cs="黑体"/>
          <w:color w:val="auto"/>
          <w:sz w:val="28"/>
          <w:szCs w:val="28"/>
        </w:rPr>
        <w:t>第</w:t>
      </w:r>
      <w:r>
        <w:rPr>
          <w:rFonts w:hint="eastAsia" w:ascii="黑体" w:hAnsi="黑体" w:eastAsia="黑体" w:cs="黑体"/>
          <w:color w:val="auto"/>
          <w:sz w:val="28"/>
          <w:szCs w:val="28"/>
          <w:lang w:eastAsia="zh-CN"/>
        </w:rPr>
        <w:t>五</w:t>
      </w:r>
      <w:r>
        <w:rPr>
          <w:rFonts w:hint="eastAsia" w:ascii="黑体" w:hAnsi="黑体" w:eastAsia="黑体" w:cs="黑体"/>
          <w:color w:val="auto"/>
          <w:sz w:val="28"/>
          <w:szCs w:val="28"/>
        </w:rPr>
        <w:t>部分  关于</w:t>
      </w:r>
      <w:r>
        <w:rPr>
          <w:rFonts w:hint="eastAsia" w:ascii="黑体" w:hAnsi="黑体" w:eastAsia="黑体" w:cs="黑体"/>
          <w:color w:val="auto"/>
          <w:sz w:val="28"/>
          <w:szCs w:val="28"/>
          <w:lang w:eastAsia="zh-CN"/>
        </w:rPr>
        <w:t>氧指数测量</w:t>
      </w:r>
      <w:r>
        <w:rPr>
          <w:rFonts w:hint="eastAsia" w:ascii="黑体" w:hAnsi="黑体" w:eastAsia="黑体" w:cs="黑体"/>
          <w:color w:val="auto"/>
          <w:sz w:val="28"/>
          <w:szCs w:val="28"/>
        </w:rPr>
        <w:t>误差的验证试验</w:t>
      </w:r>
    </w:p>
    <w:p>
      <w:pPr>
        <w:jc w:val="left"/>
        <w:rPr>
          <w:rFonts w:ascii="黑体" w:hAnsi="黑体" w:eastAsia="黑体" w:cs="黑体"/>
          <w:color w:val="auto"/>
          <w:sz w:val="28"/>
          <w:szCs w:val="28"/>
        </w:rPr>
      </w:pPr>
      <w:r>
        <w:rPr>
          <w:rFonts w:hint="eastAsia" w:ascii="黑体" w:hAnsi="黑体" w:eastAsia="黑体" w:cs="黑体"/>
          <w:color w:val="auto"/>
          <w:sz w:val="28"/>
          <w:szCs w:val="28"/>
        </w:rPr>
        <w:t>一、试验目的</w:t>
      </w:r>
    </w:p>
    <w:p>
      <w:pPr>
        <w:pStyle w:val="11"/>
        <w:snapToGrid w:val="0"/>
        <w:ind w:right="6" w:firstLine="566" w:firstLineChars="236"/>
        <w:outlineLvl w:val="1"/>
        <w:rPr>
          <w:rFonts w:hAnsi="宋体"/>
          <w:color w:val="auto"/>
          <w:sz w:val="24"/>
        </w:rPr>
      </w:pPr>
      <w:r>
        <w:rPr>
          <w:rFonts w:hint="eastAsia" w:hAnsi="宋体"/>
          <w:color w:val="auto"/>
          <w:sz w:val="24"/>
        </w:rPr>
        <w:t>通过实验数据，观测计量特性数据是否满足起草规范中的计量特性要求，验证起草规范中</w:t>
      </w:r>
      <w:r>
        <w:rPr>
          <w:rFonts w:hint="eastAsia" w:hAnsi="宋体"/>
          <w:color w:val="auto"/>
          <w:sz w:val="24"/>
          <w:lang w:eastAsia="zh-CN"/>
        </w:rPr>
        <w:t>氧指数测量</w:t>
      </w:r>
      <w:r>
        <w:rPr>
          <w:rFonts w:hint="eastAsia" w:hAnsi="宋体"/>
          <w:color w:val="auto"/>
          <w:sz w:val="24"/>
        </w:rPr>
        <w:t>误差计量特性的合理性。</w:t>
      </w:r>
    </w:p>
    <w:p>
      <w:pPr>
        <w:jc w:val="left"/>
        <w:rPr>
          <w:rFonts w:ascii="黑体" w:hAnsi="黑体" w:eastAsia="黑体" w:cs="黑体"/>
          <w:color w:val="auto"/>
          <w:sz w:val="28"/>
          <w:szCs w:val="28"/>
        </w:rPr>
      </w:pPr>
      <w:r>
        <w:rPr>
          <w:rFonts w:hint="eastAsia" w:ascii="黑体" w:hAnsi="黑体" w:eastAsia="黑体" w:cs="黑体"/>
          <w:color w:val="auto"/>
          <w:sz w:val="28"/>
          <w:szCs w:val="28"/>
        </w:rPr>
        <w:t>二、主要试验设备（标准器、校准装置）名称、编号</w:t>
      </w:r>
    </w:p>
    <w:p>
      <w:pPr>
        <w:jc w:val="center"/>
        <w:rPr>
          <w:rFonts w:ascii="黑体" w:hAnsi="黑体" w:eastAsia="黑体" w:cs="黑体"/>
          <w:b/>
          <w:color w:val="auto"/>
          <w:szCs w:val="21"/>
        </w:rPr>
      </w:pPr>
      <w:r>
        <w:rPr>
          <w:rFonts w:hint="eastAsia" w:ascii="黑体" w:hAnsi="黑体" w:eastAsia="黑体" w:cs="黑体"/>
          <w:b/>
          <w:color w:val="auto"/>
          <w:szCs w:val="21"/>
        </w:rPr>
        <w:t>表</w:t>
      </w:r>
      <w:r>
        <w:rPr>
          <w:rFonts w:hint="eastAsia" w:ascii="黑体" w:hAnsi="黑体" w:eastAsia="黑体" w:cs="黑体"/>
          <w:b/>
          <w:color w:val="auto"/>
          <w:szCs w:val="21"/>
          <w:lang w:val="en-US" w:eastAsia="zh-CN"/>
        </w:rPr>
        <w:t>9</w:t>
      </w:r>
      <w:r>
        <w:rPr>
          <w:rFonts w:ascii="黑体" w:hAnsi="黑体" w:eastAsia="黑体" w:cs="黑体"/>
          <w:b/>
          <w:color w:val="auto"/>
          <w:szCs w:val="21"/>
        </w:rPr>
        <w:t xml:space="preserve"> </w:t>
      </w:r>
      <w:r>
        <w:rPr>
          <w:rFonts w:hint="eastAsia" w:ascii="黑体" w:hAnsi="黑体" w:eastAsia="黑体" w:cs="黑体"/>
          <w:b/>
          <w:color w:val="auto"/>
          <w:szCs w:val="21"/>
        </w:rPr>
        <w:t>验证用主要标准物质</w:t>
      </w:r>
    </w:p>
    <w:tbl>
      <w:tblPr>
        <w:tblStyle w:val="7"/>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76"/>
        <w:gridCol w:w="1134"/>
        <w:gridCol w:w="1701"/>
        <w:gridCol w:w="1672"/>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360" w:lineRule="auto"/>
              <w:jc w:val="center"/>
              <w:rPr>
                <w:color w:val="auto"/>
                <w:szCs w:val="21"/>
              </w:rPr>
            </w:pPr>
            <w:r>
              <w:rPr>
                <w:rFonts w:hint="eastAsia"/>
                <w:color w:val="auto"/>
                <w:szCs w:val="21"/>
              </w:rPr>
              <w:t>名称</w:t>
            </w:r>
          </w:p>
        </w:tc>
        <w:tc>
          <w:tcPr>
            <w:tcW w:w="1276" w:type="dxa"/>
            <w:vAlign w:val="center"/>
          </w:tcPr>
          <w:p>
            <w:pPr>
              <w:spacing w:line="360" w:lineRule="auto"/>
              <w:jc w:val="center"/>
              <w:rPr>
                <w:color w:val="auto"/>
                <w:szCs w:val="21"/>
              </w:rPr>
            </w:pPr>
            <w:r>
              <w:rPr>
                <w:rFonts w:hint="eastAsia"/>
                <w:color w:val="auto"/>
                <w:szCs w:val="21"/>
              </w:rPr>
              <w:t>测量范围</w:t>
            </w:r>
          </w:p>
        </w:tc>
        <w:tc>
          <w:tcPr>
            <w:tcW w:w="1134" w:type="dxa"/>
            <w:vAlign w:val="center"/>
          </w:tcPr>
          <w:p>
            <w:pPr>
              <w:spacing w:line="360" w:lineRule="auto"/>
              <w:jc w:val="center"/>
              <w:rPr>
                <w:color w:val="auto"/>
                <w:szCs w:val="21"/>
              </w:rPr>
            </w:pPr>
            <w:r>
              <w:rPr>
                <w:rFonts w:hint="eastAsia"/>
                <w:color w:val="auto"/>
                <w:szCs w:val="21"/>
              </w:rPr>
              <w:t>编号</w:t>
            </w:r>
          </w:p>
        </w:tc>
        <w:tc>
          <w:tcPr>
            <w:tcW w:w="1701" w:type="dxa"/>
            <w:vAlign w:val="center"/>
          </w:tcPr>
          <w:p>
            <w:pPr>
              <w:spacing w:line="360" w:lineRule="auto"/>
              <w:jc w:val="center"/>
              <w:rPr>
                <w:color w:val="auto"/>
                <w:szCs w:val="21"/>
              </w:rPr>
            </w:pPr>
            <w:r>
              <w:rPr>
                <w:rFonts w:hint="eastAsia"/>
                <w:color w:val="auto"/>
                <w:szCs w:val="21"/>
              </w:rPr>
              <w:t>技术特征</w:t>
            </w:r>
          </w:p>
        </w:tc>
        <w:tc>
          <w:tcPr>
            <w:tcW w:w="1672" w:type="dxa"/>
            <w:vAlign w:val="center"/>
          </w:tcPr>
          <w:p>
            <w:pPr>
              <w:spacing w:line="360" w:lineRule="auto"/>
              <w:jc w:val="center"/>
              <w:rPr>
                <w:color w:val="auto"/>
                <w:szCs w:val="21"/>
              </w:rPr>
            </w:pPr>
            <w:r>
              <w:rPr>
                <w:rFonts w:hint="eastAsia"/>
                <w:color w:val="auto"/>
                <w:szCs w:val="21"/>
              </w:rPr>
              <w:t>证书号</w:t>
            </w:r>
          </w:p>
        </w:tc>
        <w:tc>
          <w:tcPr>
            <w:tcW w:w="1417" w:type="dxa"/>
            <w:vAlign w:val="center"/>
          </w:tcPr>
          <w:p>
            <w:pPr>
              <w:spacing w:line="360" w:lineRule="auto"/>
              <w:jc w:val="center"/>
              <w:rPr>
                <w:color w:val="auto"/>
                <w:szCs w:val="21"/>
              </w:rPr>
            </w:pPr>
            <w:r>
              <w:rPr>
                <w:rFonts w:hint="eastAsia"/>
                <w:color w:val="auto"/>
                <w:szCs w:val="21"/>
              </w:rPr>
              <w:t>有限期至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rPr>
                <w:rFonts w:ascii="Times New Roman" w:hAnsi="Times New Roman" w:cs="Times New Roman"/>
                <w:color w:val="auto"/>
              </w:rPr>
            </w:pPr>
            <w:r>
              <w:rPr>
                <w:color w:val="auto"/>
              </w:rPr>
              <w:fldChar w:fldCharType="begin"/>
            </w:r>
            <w:r>
              <w:rPr>
                <w:color w:val="auto"/>
              </w:rPr>
              <w:instrText xml:space="preserve"> HYPERLINK "https://www.ncrm.org.cn/Web/Material/Components?autoID=10292&amp;pageIndex=1" </w:instrText>
            </w:r>
            <w:r>
              <w:rPr>
                <w:color w:val="auto"/>
              </w:rPr>
              <w:fldChar w:fldCharType="separate"/>
            </w:r>
            <w:r>
              <w:rPr>
                <w:rFonts w:hint="eastAsia" w:ascii="Times New Roman" w:hAnsi="Times New Roman" w:cs="Times New Roman"/>
                <w:color w:val="auto"/>
              </w:rPr>
              <w:t>聚丙烯氧指数标准物质</w:t>
            </w:r>
            <w:r>
              <w:rPr>
                <w:rFonts w:hint="eastAsia" w:ascii="Times New Roman" w:hAnsi="Times New Roman" w:cs="Times New Roman"/>
                <w:color w:val="auto"/>
              </w:rPr>
              <w:fldChar w:fldCharType="end"/>
            </w:r>
          </w:p>
        </w:tc>
        <w:tc>
          <w:tcPr>
            <w:tcW w:w="1276" w:type="dxa"/>
            <w:vAlign w:val="center"/>
          </w:tcPr>
          <w:p>
            <w:pPr>
              <w:jc w:val="center"/>
              <w:rPr>
                <w:rFonts w:ascii="Times New Roman" w:hAnsi="Times New Roman" w:cs="Times New Roman"/>
                <w:color w:val="auto"/>
                <w:sz w:val="20"/>
                <w:szCs w:val="20"/>
              </w:rPr>
            </w:pPr>
            <w:r>
              <w:rPr>
                <w:rFonts w:hint="eastAsia" w:ascii="Times New Roman" w:hAnsi="Times New Roman" w:cs="Times New Roman"/>
                <w:color w:val="auto"/>
                <w:sz w:val="20"/>
                <w:szCs w:val="20"/>
              </w:rPr>
              <w:t>1</w:t>
            </w:r>
            <w:r>
              <w:rPr>
                <w:rFonts w:hint="eastAsia" w:ascii="Times New Roman" w:hAnsi="Times New Roman" w:cs="Times New Roman"/>
                <w:color w:val="auto"/>
                <w:sz w:val="20"/>
                <w:szCs w:val="20"/>
                <w:lang w:val="en-US" w:eastAsia="zh-CN"/>
              </w:rPr>
              <w:t>8.4</w:t>
            </w:r>
            <w:r>
              <w:rPr>
                <w:rFonts w:ascii="Times New Roman" w:hAnsi="Times New Roman" w:cs="Times New Roman"/>
                <w:color w:val="auto"/>
                <w:sz w:val="20"/>
                <w:szCs w:val="20"/>
              </w:rPr>
              <w:t>%</w:t>
            </w:r>
          </w:p>
        </w:tc>
        <w:tc>
          <w:tcPr>
            <w:tcW w:w="1134" w:type="dxa"/>
            <w:vAlign w:val="center"/>
          </w:tcPr>
          <w:p>
            <w:pPr>
              <w:jc w:val="center"/>
              <w:rPr>
                <w:rFonts w:ascii="Times New Roman" w:hAnsi="Times New Roman" w:cs="Times New Roman"/>
                <w:color w:val="auto"/>
              </w:rPr>
            </w:pPr>
            <w:r>
              <w:rPr>
                <w:rFonts w:hint="eastAsia" w:ascii="Times New Roman" w:hAnsi="Times New Roman" w:cs="Times New Roman"/>
                <w:color w:val="auto"/>
              </w:rPr>
              <w:t>/</w:t>
            </w:r>
          </w:p>
        </w:tc>
        <w:tc>
          <w:tcPr>
            <w:tcW w:w="1701" w:type="dxa"/>
            <w:vAlign w:val="center"/>
          </w:tcPr>
          <w:p>
            <w:pPr>
              <w:jc w:val="center"/>
              <w:rPr>
                <w:rFonts w:ascii="Times New Roman" w:hAnsi="Times New Roman" w:cs="Times New Roman"/>
                <w:i/>
                <w:color w:val="auto"/>
              </w:rPr>
            </w:pPr>
            <w:r>
              <w:rPr>
                <w:rFonts w:ascii="Times New Roman" w:hAnsi="Times New Roman" w:cs="Times New Roman"/>
                <w:i/>
                <w:color w:val="auto"/>
              </w:rPr>
              <w:t>U</w:t>
            </w:r>
            <w:r>
              <w:rPr>
                <w:rFonts w:hint="eastAsia" w:ascii="Times New Roman" w:hAnsi="Times New Roman" w:cs="Times New Roman"/>
                <w:i w:val="0"/>
                <w:iCs/>
                <w:color w:val="auto"/>
                <w:vertAlign w:val="subscript"/>
                <w:lang w:val="en-US" w:eastAsia="zh-CN"/>
              </w:rPr>
              <w:t>rel</w:t>
            </w:r>
            <w:r>
              <w:rPr>
                <w:rFonts w:ascii="Times New Roman" w:hAnsi="Times New Roman" w:cs="Times New Roman"/>
                <w:color w:val="auto"/>
              </w:rPr>
              <w:t xml:space="preserve"> = </w:t>
            </w:r>
            <w:r>
              <w:rPr>
                <w:rFonts w:hint="eastAsia" w:ascii="Times New Roman" w:hAnsi="Times New Roman" w:cs="Times New Roman"/>
                <w:color w:val="auto"/>
                <w:lang w:val="en-US" w:eastAsia="zh-CN"/>
              </w:rPr>
              <w:t>2</w:t>
            </w:r>
            <w:r>
              <w:rPr>
                <w:rFonts w:ascii="Times New Roman" w:hAnsi="Times New Roman" w:cs="Times New Roman"/>
                <w:color w:val="auto"/>
              </w:rPr>
              <w:t>%，</w:t>
            </w:r>
            <w:r>
              <w:rPr>
                <w:rFonts w:ascii="Times New Roman" w:hAnsi="Times New Roman" w:cs="Times New Roman"/>
                <w:i/>
                <w:color w:val="auto"/>
              </w:rPr>
              <w:t>k</w:t>
            </w:r>
            <w:r>
              <w:rPr>
                <w:rFonts w:ascii="Times New Roman" w:hAnsi="Times New Roman" w:cs="Times New Roman"/>
                <w:color w:val="auto"/>
              </w:rPr>
              <w:t xml:space="preserve"> = 2</w:t>
            </w:r>
          </w:p>
        </w:tc>
        <w:tc>
          <w:tcPr>
            <w:tcW w:w="1672" w:type="dxa"/>
            <w:vAlign w:val="center"/>
          </w:tcPr>
          <w:p>
            <w:pPr>
              <w:rPr>
                <w:rFonts w:hint="default" w:ascii="Times New Roman" w:hAnsi="Times New Roman" w:cs="Times New Roman" w:eastAsiaTheme="minorEastAsia"/>
                <w:color w:val="auto"/>
                <w:lang w:val="en-US" w:eastAsia="zh-CN"/>
              </w:rPr>
            </w:pPr>
            <w:r>
              <w:rPr>
                <w:color w:val="auto"/>
              </w:rPr>
              <w:fldChar w:fldCharType="begin"/>
            </w:r>
            <w:r>
              <w:rPr>
                <w:color w:val="auto"/>
              </w:rPr>
              <w:instrText xml:space="preserve"> HYPERLINK "https://www.ncrm.org.cn/Web/Ordering/MaterialDetail?autoID=10292" \o "聚丙烯氧指数标准物质" </w:instrText>
            </w:r>
            <w:r>
              <w:rPr>
                <w:color w:val="auto"/>
              </w:rPr>
              <w:fldChar w:fldCharType="separate"/>
            </w:r>
            <w:r>
              <w:rPr>
                <w:rFonts w:hint="eastAsia" w:ascii="Times New Roman" w:hAnsi="Times New Roman" w:cs="Times New Roman"/>
                <w:color w:val="auto"/>
              </w:rPr>
              <w:t>GBW(E)130</w:t>
            </w:r>
            <w:r>
              <w:rPr>
                <w:rFonts w:hint="eastAsia" w:ascii="Times New Roman" w:hAnsi="Times New Roman" w:cs="Times New Roman"/>
                <w:color w:val="auto"/>
                <w:lang w:val="en-US" w:eastAsia="zh-CN"/>
              </w:rPr>
              <w:t>5</w:t>
            </w:r>
            <w:r>
              <w:rPr>
                <w:rFonts w:hint="eastAsia" w:ascii="Times New Roman" w:hAnsi="Times New Roman" w:cs="Times New Roman"/>
                <w:color w:val="auto"/>
              </w:rPr>
              <w:fldChar w:fldCharType="end"/>
            </w:r>
            <w:r>
              <w:rPr>
                <w:rFonts w:hint="eastAsia" w:ascii="Times New Roman" w:hAnsi="Times New Roman" w:cs="Times New Roman"/>
                <w:color w:val="auto"/>
                <w:lang w:val="en-US" w:eastAsia="zh-CN"/>
              </w:rPr>
              <w:t>19</w:t>
            </w:r>
          </w:p>
        </w:tc>
        <w:tc>
          <w:tcPr>
            <w:tcW w:w="1417" w:type="dxa"/>
            <w:vAlign w:val="center"/>
          </w:tcPr>
          <w:p>
            <w:pPr>
              <w:jc w:val="center"/>
              <w:rPr>
                <w:rFonts w:hint="default" w:ascii="Times New Roman" w:hAnsi="Times New Roman" w:cs="Times New Roman" w:eastAsiaTheme="minorEastAsia"/>
                <w:color w:val="auto"/>
                <w:lang w:val="en-US" w:eastAsia="zh-CN"/>
              </w:rPr>
            </w:pPr>
            <w:r>
              <w:rPr>
                <w:rFonts w:hint="eastAsia" w:ascii="Times New Roman" w:hAnsi="Times New Roman" w:cs="Times New Roman"/>
                <w:color w:val="auto"/>
                <w:lang w:val="en-US" w:eastAsia="zh-CN"/>
              </w:rPr>
              <w:t>2028年10月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rPr>
                <w:rFonts w:ascii="Times New Roman" w:hAnsi="Times New Roman" w:cs="Times New Roman"/>
                <w:color w:val="auto"/>
              </w:rPr>
            </w:pPr>
            <w:r>
              <w:rPr>
                <w:color w:val="auto"/>
              </w:rPr>
              <w:fldChar w:fldCharType="begin"/>
            </w:r>
            <w:r>
              <w:rPr>
                <w:color w:val="auto"/>
              </w:rPr>
              <w:instrText xml:space="preserve"> HYPERLINK "https://www.ncrm.org.cn/Web/Material/Components?autoID=10293&amp;pageIndex=1" </w:instrText>
            </w:r>
            <w:r>
              <w:rPr>
                <w:color w:val="auto"/>
              </w:rPr>
              <w:fldChar w:fldCharType="separate"/>
            </w:r>
            <w:r>
              <w:rPr>
                <w:rFonts w:hint="eastAsia" w:ascii="Times New Roman" w:hAnsi="Times New Roman" w:cs="Times New Roman"/>
                <w:color w:val="auto"/>
              </w:rPr>
              <w:t>软质聚氯乙烯氧指数标准物质</w:t>
            </w:r>
            <w:r>
              <w:rPr>
                <w:rFonts w:hint="eastAsia" w:ascii="Times New Roman" w:hAnsi="Times New Roman" w:cs="Times New Roman"/>
                <w:color w:val="auto"/>
              </w:rPr>
              <w:fldChar w:fldCharType="end"/>
            </w:r>
          </w:p>
        </w:tc>
        <w:tc>
          <w:tcPr>
            <w:tcW w:w="1276" w:type="dxa"/>
            <w:vAlign w:val="center"/>
          </w:tcPr>
          <w:p>
            <w:pPr>
              <w:jc w:val="center"/>
              <w:rPr>
                <w:rFonts w:ascii="Times New Roman" w:hAnsi="Times New Roman" w:cs="Times New Roman"/>
                <w:color w:val="auto"/>
                <w:szCs w:val="21"/>
              </w:rPr>
            </w:pPr>
            <w:r>
              <w:rPr>
                <w:rFonts w:ascii="Times New Roman" w:hAnsi="Times New Roman" w:cs="Times New Roman"/>
                <w:color w:val="auto"/>
                <w:sz w:val="20"/>
                <w:szCs w:val="20"/>
              </w:rPr>
              <w:t>23.</w:t>
            </w:r>
            <w:r>
              <w:rPr>
                <w:rFonts w:hint="eastAsia" w:ascii="Times New Roman" w:hAnsi="Times New Roman" w:cs="Times New Roman"/>
                <w:color w:val="auto"/>
                <w:sz w:val="20"/>
                <w:szCs w:val="20"/>
                <w:lang w:val="en-US" w:eastAsia="zh-CN"/>
              </w:rPr>
              <w:t>3</w:t>
            </w:r>
            <w:r>
              <w:rPr>
                <w:rFonts w:ascii="Times New Roman" w:hAnsi="Times New Roman" w:cs="Times New Roman"/>
                <w:color w:val="auto"/>
                <w:sz w:val="20"/>
                <w:szCs w:val="20"/>
              </w:rPr>
              <w:t>%</w:t>
            </w:r>
          </w:p>
        </w:tc>
        <w:tc>
          <w:tcPr>
            <w:tcW w:w="1134" w:type="dxa"/>
            <w:vAlign w:val="center"/>
          </w:tcPr>
          <w:p>
            <w:pPr>
              <w:jc w:val="center"/>
              <w:rPr>
                <w:rFonts w:ascii="Times New Roman" w:hAnsi="Times New Roman" w:cs="Times New Roman"/>
                <w:color w:val="auto"/>
                <w:szCs w:val="21"/>
              </w:rPr>
            </w:pPr>
            <w:r>
              <w:rPr>
                <w:rFonts w:ascii="Times New Roman" w:hAnsi="Times New Roman" w:cs="Times New Roman"/>
                <w:color w:val="auto"/>
              </w:rPr>
              <w:t>/</w:t>
            </w:r>
          </w:p>
        </w:tc>
        <w:tc>
          <w:tcPr>
            <w:tcW w:w="1701" w:type="dxa"/>
            <w:vAlign w:val="center"/>
          </w:tcPr>
          <w:p>
            <w:pPr>
              <w:jc w:val="center"/>
              <w:rPr>
                <w:rFonts w:ascii="Times New Roman" w:hAnsi="Times New Roman" w:cs="Times New Roman"/>
                <w:color w:val="auto"/>
                <w:szCs w:val="21"/>
              </w:rPr>
            </w:pPr>
            <w:r>
              <w:rPr>
                <w:rFonts w:ascii="Times New Roman" w:hAnsi="Times New Roman" w:cs="Times New Roman"/>
                <w:i/>
                <w:color w:val="auto"/>
              </w:rPr>
              <w:t>U</w:t>
            </w:r>
            <w:r>
              <w:rPr>
                <w:rFonts w:hint="eastAsia" w:ascii="Times New Roman" w:hAnsi="Times New Roman" w:cs="Times New Roman"/>
                <w:i w:val="0"/>
                <w:iCs/>
                <w:color w:val="auto"/>
                <w:vertAlign w:val="subscript"/>
                <w:lang w:val="en-US" w:eastAsia="zh-CN"/>
              </w:rPr>
              <w:t>rel</w:t>
            </w:r>
            <w:r>
              <w:rPr>
                <w:rFonts w:ascii="Times New Roman" w:hAnsi="Times New Roman" w:cs="Times New Roman"/>
                <w:color w:val="auto"/>
              </w:rPr>
              <w:t xml:space="preserve"> = 3%，</w:t>
            </w:r>
            <w:r>
              <w:rPr>
                <w:rFonts w:ascii="Times New Roman" w:hAnsi="Times New Roman" w:cs="Times New Roman"/>
                <w:i/>
                <w:color w:val="auto"/>
              </w:rPr>
              <w:t>k</w:t>
            </w:r>
            <w:r>
              <w:rPr>
                <w:rFonts w:ascii="Times New Roman" w:hAnsi="Times New Roman" w:cs="Times New Roman"/>
                <w:color w:val="auto"/>
              </w:rPr>
              <w:t xml:space="preserve"> = 2</w:t>
            </w:r>
          </w:p>
        </w:tc>
        <w:tc>
          <w:tcPr>
            <w:tcW w:w="1672" w:type="dxa"/>
            <w:vAlign w:val="center"/>
          </w:tcPr>
          <w:p>
            <w:pPr>
              <w:rPr>
                <w:rFonts w:ascii="Times New Roman" w:hAnsi="Times New Roman" w:cs="Times New Roman"/>
                <w:color w:val="auto"/>
              </w:rPr>
            </w:pPr>
            <w:r>
              <w:rPr>
                <w:color w:val="auto"/>
              </w:rPr>
              <w:fldChar w:fldCharType="begin"/>
            </w:r>
            <w:r>
              <w:rPr>
                <w:color w:val="auto"/>
              </w:rPr>
              <w:instrText xml:space="preserve"> HYPERLINK "https://www.ncrm.org.cn/Web/Ordering/MaterialDetail?autoID=10293" \o "软质聚氯乙烯氧指数标准物质" </w:instrText>
            </w:r>
            <w:r>
              <w:rPr>
                <w:color w:val="auto"/>
              </w:rPr>
              <w:fldChar w:fldCharType="separate"/>
            </w:r>
            <w:r>
              <w:rPr>
                <w:rFonts w:hint="eastAsia" w:ascii="Times New Roman" w:hAnsi="Times New Roman" w:cs="Times New Roman"/>
                <w:color w:val="auto"/>
              </w:rPr>
              <w:t>GBW(E)130566</w:t>
            </w:r>
            <w:r>
              <w:rPr>
                <w:rFonts w:hint="eastAsia" w:ascii="Times New Roman" w:hAnsi="Times New Roman" w:cs="Times New Roman"/>
                <w:color w:val="auto"/>
              </w:rPr>
              <w:fldChar w:fldCharType="end"/>
            </w:r>
          </w:p>
        </w:tc>
        <w:tc>
          <w:tcPr>
            <w:tcW w:w="1417" w:type="dxa"/>
            <w:vAlign w:val="center"/>
          </w:tcPr>
          <w:p>
            <w:pPr>
              <w:jc w:val="center"/>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color w:val="auto"/>
                <w:lang w:val="en-US" w:eastAsia="zh-CN"/>
              </w:rPr>
              <w:t>2028年7月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rPr>
                <w:rFonts w:ascii="Times New Roman" w:hAnsi="Times New Roman" w:cs="Times New Roman"/>
                <w:color w:val="auto"/>
              </w:rPr>
            </w:pPr>
            <w:r>
              <w:rPr>
                <w:color w:val="auto"/>
              </w:rPr>
              <w:fldChar w:fldCharType="begin"/>
            </w:r>
            <w:r>
              <w:rPr>
                <w:color w:val="auto"/>
              </w:rPr>
              <w:instrText xml:space="preserve"> HYPERLINK "https://www.ncrm.org.cn/Web/Material/Components?autoID=10294&amp;pageIndex=1" </w:instrText>
            </w:r>
            <w:r>
              <w:rPr>
                <w:color w:val="auto"/>
              </w:rPr>
              <w:fldChar w:fldCharType="separate"/>
            </w:r>
            <w:r>
              <w:rPr>
                <w:rFonts w:hint="eastAsia" w:ascii="Times New Roman" w:hAnsi="Times New Roman" w:cs="Times New Roman"/>
                <w:color w:val="auto"/>
              </w:rPr>
              <w:t>硬质聚氯乙烯氧指数标准物质</w:t>
            </w:r>
            <w:r>
              <w:rPr>
                <w:rFonts w:hint="eastAsia" w:ascii="Times New Roman" w:hAnsi="Times New Roman" w:cs="Times New Roman"/>
                <w:color w:val="auto"/>
              </w:rPr>
              <w:fldChar w:fldCharType="end"/>
            </w:r>
          </w:p>
        </w:tc>
        <w:tc>
          <w:tcPr>
            <w:tcW w:w="1276" w:type="dxa"/>
            <w:vAlign w:val="center"/>
          </w:tcPr>
          <w:p>
            <w:pPr>
              <w:jc w:val="center"/>
              <w:rPr>
                <w:rFonts w:ascii="Times New Roman" w:hAnsi="Times New Roman" w:cs="Times New Roman"/>
                <w:color w:val="auto"/>
                <w:szCs w:val="21"/>
              </w:rPr>
            </w:pPr>
            <w:r>
              <w:rPr>
                <w:rFonts w:hint="eastAsia" w:ascii="Times New Roman" w:hAnsi="Times New Roman" w:cs="Times New Roman"/>
                <w:color w:val="auto"/>
                <w:sz w:val="20"/>
                <w:szCs w:val="20"/>
                <w:lang w:val="en-US" w:eastAsia="zh-CN"/>
              </w:rPr>
              <w:t>44.3</w:t>
            </w:r>
            <w:r>
              <w:rPr>
                <w:rFonts w:ascii="Times New Roman" w:hAnsi="Times New Roman" w:cs="Times New Roman"/>
                <w:color w:val="auto"/>
                <w:sz w:val="20"/>
                <w:szCs w:val="20"/>
              </w:rPr>
              <w:t>%</w:t>
            </w:r>
          </w:p>
        </w:tc>
        <w:tc>
          <w:tcPr>
            <w:tcW w:w="1134" w:type="dxa"/>
            <w:vAlign w:val="center"/>
          </w:tcPr>
          <w:p>
            <w:pPr>
              <w:jc w:val="center"/>
              <w:rPr>
                <w:rFonts w:ascii="Times New Roman" w:hAnsi="Times New Roman" w:cs="Times New Roman"/>
                <w:color w:val="auto"/>
                <w:szCs w:val="21"/>
              </w:rPr>
            </w:pPr>
            <w:r>
              <w:rPr>
                <w:rFonts w:ascii="Times New Roman" w:hAnsi="Times New Roman" w:cs="Times New Roman"/>
                <w:color w:val="auto"/>
              </w:rPr>
              <w:t>/</w:t>
            </w:r>
          </w:p>
        </w:tc>
        <w:tc>
          <w:tcPr>
            <w:tcW w:w="1701" w:type="dxa"/>
            <w:vAlign w:val="center"/>
          </w:tcPr>
          <w:p>
            <w:pPr>
              <w:jc w:val="center"/>
              <w:rPr>
                <w:rFonts w:ascii="Times New Roman" w:hAnsi="Times New Roman" w:cs="Times New Roman"/>
                <w:color w:val="auto"/>
                <w:szCs w:val="21"/>
              </w:rPr>
            </w:pPr>
            <w:r>
              <w:rPr>
                <w:rFonts w:ascii="Times New Roman" w:hAnsi="Times New Roman" w:cs="Times New Roman"/>
                <w:i/>
                <w:color w:val="auto"/>
              </w:rPr>
              <w:t>U</w:t>
            </w:r>
            <w:r>
              <w:rPr>
                <w:rFonts w:hint="eastAsia" w:ascii="Times New Roman" w:hAnsi="Times New Roman" w:cs="Times New Roman"/>
                <w:i w:val="0"/>
                <w:iCs/>
                <w:color w:val="auto"/>
                <w:vertAlign w:val="subscript"/>
                <w:lang w:val="en-US" w:eastAsia="zh-CN"/>
              </w:rPr>
              <w:t>rel</w:t>
            </w:r>
            <w:r>
              <w:rPr>
                <w:rFonts w:ascii="Times New Roman" w:hAnsi="Times New Roman" w:cs="Times New Roman"/>
                <w:color w:val="auto"/>
              </w:rPr>
              <w:t xml:space="preserve">  = 4%，</w:t>
            </w:r>
            <w:r>
              <w:rPr>
                <w:rFonts w:ascii="Times New Roman" w:hAnsi="Times New Roman" w:cs="Times New Roman"/>
                <w:i/>
                <w:color w:val="auto"/>
              </w:rPr>
              <w:t>k</w:t>
            </w:r>
            <w:r>
              <w:rPr>
                <w:rFonts w:ascii="Times New Roman" w:hAnsi="Times New Roman" w:cs="Times New Roman"/>
                <w:color w:val="auto"/>
              </w:rPr>
              <w:t xml:space="preserve"> = 2</w:t>
            </w:r>
          </w:p>
        </w:tc>
        <w:tc>
          <w:tcPr>
            <w:tcW w:w="1672" w:type="dxa"/>
            <w:vAlign w:val="center"/>
          </w:tcPr>
          <w:p>
            <w:pPr>
              <w:rPr>
                <w:rFonts w:ascii="Times New Roman" w:hAnsi="Times New Roman" w:cs="Times New Roman"/>
                <w:color w:val="auto"/>
              </w:rPr>
            </w:pPr>
            <w:r>
              <w:rPr>
                <w:color w:val="auto"/>
              </w:rPr>
              <w:fldChar w:fldCharType="begin"/>
            </w:r>
            <w:r>
              <w:rPr>
                <w:color w:val="auto"/>
              </w:rPr>
              <w:instrText xml:space="preserve"> HYPERLINK "https://www.ncrm.org.cn/Web/Ordering/MaterialDetail?autoID=10294" \o "硬质聚氯乙烯氧指数标准物质" </w:instrText>
            </w:r>
            <w:r>
              <w:rPr>
                <w:color w:val="auto"/>
              </w:rPr>
              <w:fldChar w:fldCharType="separate"/>
            </w:r>
            <w:r>
              <w:rPr>
                <w:rFonts w:hint="eastAsia" w:ascii="Times New Roman" w:hAnsi="Times New Roman" w:cs="Times New Roman"/>
                <w:color w:val="auto"/>
              </w:rPr>
              <w:t>GBW(E)130567</w:t>
            </w:r>
            <w:r>
              <w:rPr>
                <w:rFonts w:hint="eastAsia" w:ascii="Times New Roman" w:hAnsi="Times New Roman" w:cs="Times New Roman"/>
                <w:color w:val="auto"/>
              </w:rPr>
              <w:fldChar w:fldCharType="end"/>
            </w:r>
          </w:p>
        </w:tc>
        <w:tc>
          <w:tcPr>
            <w:tcW w:w="1417" w:type="dxa"/>
            <w:vAlign w:val="center"/>
          </w:tcPr>
          <w:p>
            <w:pPr>
              <w:jc w:val="center"/>
              <w:rPr>
                <w:rFonts w:ascii="Times New Roman" w:hAnsi="Times New Roman" w:cs="Times New Roman"/>
                <w:color w:val="auto"/>
                <w:szCs w:val="21"/>
              </w:rPr>
            </w:pPr>
            <w:r>
              <w:rPr>
                <w:rFonts w:hint="eastAsia" w:ascii="Times New Roman" w:hAnsi="Times New Roman" w:cs="Times New Roman"/>
                <w:color w:val="auto"/>
                <w:lang w:val="en-US" w:eastAsia="zh-CN"/>
              </w:rPr>
              <w:t>2031年10月</w:t>
            </w:r>
          </w:p>
        </w:tc>
      </w:tr>
    </w:tbl>
    <w:p>
      <w:pPr>
        <w:jc w:val="left"/>
        <w:rPr>
          <w:rFonts w:ascii="黑体" w:hAnsi="黑体" w:eastAsia="黑体" w:cs="黑体"/>
          <w:color w:val="auto"/>
          <w:sz w:val="28"/>
          <w:szCs w:val="28"/>
        </w:rPr>
      </w:pPr>
      <w:r>
        <w:rPr>
          <w:rFonts w:hint="eastAsia" w:ascii="黑体" w:hAnsi="黑体" w:eastAsia="黑体" w:cs="黑体"/>
          <w:color w:val="auto"/>
          <w:sz w:val="28"/>
          <w:szCs w:val="28"/>
        </w:rPr>
        <w:t>三、试验方法</w:t>
      </w:r>
    </w:p>
    <w:p>
      <w:pPr>
        <w:spacing w:line="360" w:lineRule="auto"/>
        <w:ind w:firstLine="480" w:firstLineChars="200"/>
        <w:rPr>
          <w:rFonts w:ascii="宋体" w:hAnsi="宋体"/>
          <w:color w:val="auto"/>
          <w:sz w:val="24"/>
        </w:rPr>
      </w:pPr>
      <w:r>
        <w:rPr>
          <w:rFonts w:ascii="宋体" w:hAnsi="宋体"/>
          <w:color w:val="auto"/>
          <w:sz w:val="24"/>
        </w:rPr>
        <mc:AlternateContent>
          <mc:Choice Requires="wps">
            <w:drawing>
              <wp:anchor distT="45720" distB="45720" distL="114300" distR="114300" simplePos="0" relativeHeight="251663360" behindDoc="0" locked="0" layoutInCell="1" allowOverlap="1">
                <wp:simplePos x="0" y="0"/>
                <wp:positionH relativeFrom="column">
                  <wp:posOffset>3375660</wp:posOffset>
                </wp:positionH>
                <wp:positionV relativeFrom="paragraph">
                  <wp:posOffset>2847975</wp:posOffset>
                </wp:positionV>
                <wp:extent cx="1405890" cy="1404620"/>
                <wp:effectExtent l="0" t="0" r="3810" b="635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05890" cy="1404620"/>
                        </a:xfrm>
                        <a:prstGeom prst="rect">
                          <a:avLst/>
                        </a:prstGeom>
                        <a:solidFill>
                          <a:srgbClr val="FFFFFF"/>
                        </a:solidFill>
                        <a:ln w="9525">
                          <a:noFill/>
                          <a:miter lim="800000"/>
                        </a:ln>
                      </wps:spPr>
                      <wps:txbx>
                        <w:txbxContent>
                          <w:p>
                            <w:pPr>
                              <w:rPr>
                                <w:b/>
                              </w:rPr>
                            </w:pPr>
                            <w:r>
                              <w:rPr>
                                <w:rFonts w:hint="eastAsia"/>
                                <w:b/>
                              </w:rPr>
                              <w:t>图一 燃烧筒示意图</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265.8pt;margin-top:224.25pt;height:110.6pt;width:110.7pt;mso-wrap-distance-bottom:3.6pt;mso-wrap-distance-left:9pt;mso-wrap-distance-right:9pt;mso-wrap-distance-top:3.6pt;z-index:251663360;mso-width-relative:page;mso-height-relative:margin;mso-height-percent:200;" fillcolor="#FFFFFF" filled="t" stroked="f" coordsize="21600,21600" o:gfxdata="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nHbHa2gAAAAsBAAAPAAAAAAAAAAEAIAAAACIAAABkcnMvZG93&#10;bnJldi54bWxQSwECFAAUAAAACACHTuJAlIHm6DcCAABTBAAADgAAAAAAAAABACAAAAApAQAAZHJz&#10;L2Uyb0RvYy54bWxQSwUGAAAAAAYABgBZAQAA0gUAAAAA&#10;">
                <v:fill on="t" focussize="0,0"/>
                <v:stroke on="f" miterlimit="8" joinstyle="miter"/>
                <v:imagedata o:title=""/>
                <o:lock v:ext="edit" aspectratio="f"/>
                <v:textbox style="mso-fit-shape-to-text:t;">
                  <w:txbxContent>
                    <w:p>
                      <w:pPr>
                        <w:rPr>
                          <w:b/>
                        </w:rPr>
                      </w:pPr>
                      <w:r>
                        <w:rPr>
                          <w:rFonts w:hint="eastAsia"/>
                          <w:b/>
                        </w:rPr>
                        <w:t>图一 燃烧筒示意图</w:t>
                      </w:r>
                    </w:p>
                  </w:txbxContent>
                </v:textbox>
                <w10:wrap type="square"/>
              </v:shape>
            </w:pict>
          </mc:Fallback>
        </mc:AlternateContent>
      </w:r>
      <w:r>
        <w:rPr>
          <w:rFonts w:ascii="宋体" w:hAnsi="宋体"/>
          <w:color w:val="auto"/>
          <w:sz w:val="24"/>
        </w:rPr>
        <w:drawing>
          <wp:anchor distT="0" distB="0" distL="114300" distR="114300" simplePos="0" relativeHeight="251662336" behindDoc="0" locked="0" layoutInCell="1" allowOverlap="1">
            <wp:simplePos x="0" y="0"/>
            <wp:positionH relativeFrom="column">
              <wp:posOffset>2970530</wp:posOffset>
            </wp:positionH>
            <wp:positionV relativeFrom="paragraph">
              <wp:posOffset>86995</wp:posOffset>
            </wp:positionV>
            <wp:extent cx="2414905" cy="2647315"/>
            <wp:effectExtent l="0" t="0" r="4445" b="127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414905" cy="2647258"/>
                    </a:xfrm>
                    <a:prstGeom prst="rect">
                      <a:avLst/>
                    </a:prstGeom>
                  </pic:spPr>
                </pic:pic>
              </a:graphicData>
            </a:graphic>
          </wp:anchor>
        </w:drawing>
      </w:r>
      <w:r>
        <w:rPr>
          <w:rFonts w:hint="eastAsia" w:ascii="宋体" w:hAnsi="宋体"/>
          <w:color w:val="auto"/>
          <w:sz w:val="24"/>
        </w:rPr>
        <w:t>根据仪器使用操作方法，参考已知氧指数参考值，测定标准物质的氧指数。首先确保燃烧筒处于垂直状态，将氧指数标准物质垂直安装在燃烧筒的中心位置，使标准物质的顶端低于燃烧筒顶口至少1</w:t>
      </w:r>
      <w:r>
        <w:rPr>
          <w:rFonts w:ascii="宋体" w:hAnsi="宋体"/>
          <w:color w:val="auto"/>
          <w:sz w:val="24"/>
        </w:rPr>
        <w:t>00mm</w:t>
      </w:r>
      <w:r>
        <w:rPr>
          <w:rFonts w:hint="eastAsia" w:ascii="宋体" w:hAnsi="宋体"/>
          <w:color w:val="auto"/>
          <w:sz w:val="24"/>
        </w:rPr>
        <w:t>，同时标准物质的最低点的暴露部分要高于燃烧筒基座的气体分散装置的顶面1</w:t>
      </w:r>
      <w:r>
        <w:rPr>
          <w:rFonts w:ascii="宋体" w:hAnsi="宋体"/>
          <w:color w:val="auto"/>
          <w:sz w:val="24"/>
        </w:rPr>
        <w:t>00mm</w:t>
      </w:r>
      <w:r>
        <w:rPr>
          <w:rFonts w:hint="eastAsia" w:ascii="宋体" w:hAnsi="宋体"/>
          <w:color w:val="auto"/>
          <w:sz w:val="24"/>
        </w:rPr>
        <w:t>（见图1）。调节气体混合器和流量，使氧浓度达到设定值，控制流速，用混合气体冲洗燃烧筒3</w:t>
      </w:r>
      <w:r>
        <w:rPr>
          <w:rFonts w:ascii="宋体" w:hAnsi="宋体"/>
          <w:color w:val="auto"/>
          <w:sz w:val="24"/>
        </w:rPr>
        <w:t>0s</w:t>
      </w:r>
      <w:r>
        <w:rPr>
          <w:rFonts w:hint="eastAsia" w:ascii="宋体" w:hAnsi="宋体"/>
          <w:color w:val="auto"/>
          <w:sz w:val="24"/>
        </w:rPr>
        <w:t>。采用顶面点燃法或者扩散点燃法点燃氧指数标准物质，观察火焰及燃烧长度，调</w:t>
      </w:r>
    </w:p>
    <w:p>
      <w:pPr>
        <w:spacing w:line="360" w:lineRule="auto"/>
        <w:rPr>
          <w:rFonts w:ascii="宋体" w:hAnsi="宋体"/>
          <w:color w:val="auto"/>
          <w:sz w:val="24"/>
        </w:rPr>
      </w:pPr>
      <w:r>
        <w:rPr>
          <w:rFonts w:hint="eastAsia" w:ascii="宋体" w:hAnsi="宋体"/>
          <w:color w:val="auto"/>
          <w:sz w:val="24"/>
        </w:rPr>
        <w:t>整不同氧浓度，根据氧指数计算公式，确定被测标准物质的氧指数。</w:t>
      </w:r>
    </w:p>
    <w:p>
      <w:pPr>
        <w:jc w:val="left"/>
        <w:rPr>
          <w:rFonts w:hint="eastAsia" w:ascii="黑体" w:hAnsi="黑体" w:eastAsia="黑体" w:cs="黑体"/>
          <w:color w:val="auto"/>
          <w:sz w:val="28"/>
          <w:szCs w:val="28"/>
        </w:rPr>
      </w:pPr>
    </w:p>
    <w:p>
      <w:pPr>
        <w:jc w:val="left"/>
        <w:rPr>
          <w:rFonts w:ascii="黑体" w:hAnsi="黑体" w:eastAsia="黑体" w:cs="黑体"/>
          <w:color w:val="auto"/>
          <w:sz w:val="28"/>
          <w:szCs w:val="28"/>
        </w:rPr>
      </w:pPr>
      <w:r>
        <w:rPr>
          <w:rFonts w:hint="eastAsia" w:ascii="黑体" w:hAnsi="黑体" w:eastAsia="黑体" w:cs="黑体"/>
          <w:color w:val="auto"/>
          <w:sz w:val="28"/>
          <w:szCs w:val="28"/>
        </w:rPr>
        <w:t>四、试验环境条件</w:t>
      </w:r>
    </w:p>
    <w:p>
      <w:pPr>
        <w:widowControl/>
        <w:tabs>
          <w:tab w:val="left" w:pos="3885"/>
        </w:tabs>
        <w:spacing w:line="440" w:lineRule="exact"/>
        <w:ind w:firstLine="480" w:firstLineChars="200"/>
        <w:jc w:val="left"/>
        <w:rPr>
          <w:color w:val="auto"/>
          <w:sz w:val="24"/>
        </w:rPr>
      </w:pPr>
      <w:r>
        <w:rPr>
          <w:rFonts w:hint="eastAsia"/>
          <w:color w:val="auto"/>
          <w:sz w:val="24"/>
        </w:rPr>
        <w:t>环境温度：2</w:t>
      </w:r>
      <w:r>
        <w:rPr>
          <w:color w:val="auto"/>
          <w:sz w:val="24"/>
        </w:rPr>
        <w:t>2.8</w:t>
      </w:r>
      <w:r>
        <w:rPr>
          <w:rFonts w:hint="eastAsia"/>
          <w:color w:val="auto"/>
          <w:sz w:val="24"/>
        </w:rPr>
        <w:t>℃</w:t>
      </w:r>
    </w:p>
    <w:p>
      <w:pPr>
        <w:widowControl/>
        <w:tabs>
          <w:tab w:val="left" w:pos="3885"/>
        </w:tabs>
        <w:spacing w:line="440" w:lineRule="exact"/>
        <w:ind w:firstLine="480" w:firstLineChars="200"/>
        <w:jc w:val="left"/>
        <w:rPr>
          <w:color w:val="auto"/>
          <w:sz w:val="24"/>
        </w:rPr>
      </w:pPr>
      <w:r>
        <w:rPr>
          <w:color w:val="auto"/>
          <w:sz w:val="24"/>
        </w:rPr>
        <w:t>相对湿度：</w:t>
      </w:r>
      <w:r>
        <w:rPr>
          <w:rFonts w:hint="eastAsia"/>
          <w:color w:val="auto"/>
          <w:sz w:val="24"/>
        </w:rPr>
        <w:t>环境相对湿度：6</w:t>
      </w:r>
      <w:r>
        <w:rPr>
          <w:color w:val="auto"/>
          <w:sz w:val="24"/>
        </w:rPr>
        <w:t>0%RH</w:t>
      </w:r>
    </w:p>
    <w:p>
      <w:pPr>
        <w:widowControl/>
        <w:tabs>
          <w:tab w:val="left" w:pos="3885"/>
        </w:tabs>
        <w:spacing w:line="440" w:lineRule="exact"/>
        <w:ind w:firstLine="480" w:firstLineChars="200"/>
        <w:jc w:val="left"/>
        <w:rPr>
          <w:color w:val="auto"/>
          <w:sz w:val="24"/>
        </w:rPr>
      </w:pPr>
      <w:r>
        <w:rPr>
          <w:color w:val="auto"/>
          <w:sz w:val="24"/>
        </w:rPr>
        <w:t>周围无影响仪器正常工作的电磁</w:t>
      </w:r>
      <w:r>
        <w:rPr>
          <w:rFonts w:hint="eastAsia"/>
          <w:color w:val="auto"/>
          <w:sz w:val="24"/>
        </w:rPr>
        <w:t>干扰</w:t>
      </w:r>
      <w:r>
        <w:rPr>
          <w:color w:val="auto"/>
          <w:sz w:val="24"/>
        </w:rPr>
        <w:t>和机械振动，无腐蚀性</w:t>
      </w:r>
      <w:r>
        <w:rPr>
          <w:rFonts w:hint="eastAsia"/>
          <w:color w:val="auto"/>
          <w:sz w:val="24"/>
          <w:lang w:eastAsia="zh-CN"/>
        </w:rPr>
        <w:t>气体</w:t>
      </w:r>
      <w:r>
        <w:rPr>
          <w:rFonts w:hint="eastAsia"/>
          <w:color w:val="auto"/>
          <w:sz w:val="24"/>
        </w:rPr>
        <w:t>液</w:t>
      </w:r>
      <w:r>
        <w:rPr>
          <w:color w:val="auto"/>
          <w:sz w:val="24"/>
        </w:rPr>
        <w:t>体存在。</w:t>
      </w:r>
    </w:p>
    <w:p>
      <w:pPr>
        <w:jc w:val="left"/>
        <w:rPr>
          <w:rFonts w:hint="eastAsia" w:ascii="黑体" w:hAnsi="黑体" w:eastAsia="黑体" w:cs="黑体"/>
          <w:color w:val="auto"/>
          <w:sz w:val="28"/>
          <w:szCs w:val="28"/>
        </w:rPr>
      </w:pPr>
    </w:p>
    <w:p>
      <w:pPr>
        <w:jc w:val="left"/>
        <w:rPr>
          <w:rFonts w:ascii="黑体" w:hAnsi="黑体" w:eastAsia="黑体" w:cs="黑体"/>
          <w:color w:val="auto"/>
          <w:sz w:val="28"/>
          <w:szCs w:val="28"/>
        </w:rPr>
      </w:pPr>
      <w:r>
        <w:rPr>
          <w:rFonts w:hint="eastAsia" w:ascii="黑体" w:hAnsi="黑体" w:eastAsia="黑体" w:cs="黑体"/>
          <w:color w:val="auto"/>
          <w:sz w:val="28"/>
          <w:szCs w:val="28"/>
        </w:rPr>
        <w:t>五、试验过程（试验内容）</w:t>
      </w:r>
    </w:p>
    <w:p>
      <w:pPr>
        <w:keepNext w:val="0"/>
        <w:keepLines w:val="0"/>
        <w:pageBreakBefore w:val="0"/>
        <w:widowControl w:val="0"/>
        <w:kinsoku/>
        <w:wordWrap/>
        <w:overflowPunct/>
        <w:topLinePunct w:val="0"/>
        <w:autoSpaceDE/>
        <w:autoSpaceDN/>
        <w:bidi w:val="0"/>
        <w:adjustRightInd/>
        <w:snapToGrid w:val="0"/>
        <w:spacing w:line="440" w:lineRule="exact"/>
        <w:ind w:right="6" w:firstLine="480" w:firstLineChars="200"/>
        <w:textAlignment w:val="auto"/>
        <w:outlineLvl w:val="1"/>
        <w:rPr>
          <w:rFonts w:hint="eastAsia" w:hAnsi="宋体"/>
          <w:color w:val="auto"/>
          <w:sz w:val="24"/>
        </w:rPr>
      </w:pPr>
      <w:r>
        <w:rPr>
          <w:rFonts w:hint="eastAsia" w:hAnsi="宋体"/>
          <w:color w:val="auto"/>
          <w:sz w:val="24"/>
        </w:rPr>
        <w:t>选取如下五个生产厂家生产的氧指数测定仪作为测试对象，分别是：南京市江宁区分析仪器厂（型号JF-3，编号201701007，简称仪器A）、东莞市品高仪器设备有限公司（型号PG5074，编号106654，简称仪器B）、江南正瑞泰邦电子科技有限公司（型号JF-3，编号2016014，简称仪器C）、绍兴市上虞区科南仪器有限公司（型号JF-3，编号2015044，简称仪器D）、济南艾德普仪器有限公司（型号JF-3，编号102154，简称仪器E）。</w:t>
      </w:r>
    </w:p>
    <w:p>
      <w:pPr>
        <w:spacing w:line="360" w:lineRule="auto"/>
        <w:ind w:firstLine="480" w:firstLineChars="200"/>
        <w:rPr>
          <w:rFonts w:hint="eastAsia" w:hAnsi="宋体"/>
          <w:color w:val="auto"/>
          <w:sz w:val="24"/>
        </w:rPr>
      </w:pPr>
      <w:r>
        <w:rPr>
          <w:rFonts w:hint="eastAsia" w:hAnsi="宋体"/>
          <w:color w:val="auto"/>
          <w:sz w:val="24"/>
        </w:rPr>
        <w:t>仪器开机，待预热完毕后分别选取氧指数为</w:t>
      </w:r>
      <w:r>
        <w:rPr>
          <w:rFonts w:hint="eastAsia" w:hAnsi="宋体"/>
          <w:color w:val="auto"/>
          <w:sz w:val="24"/>
          <w:lang w:val="en-US" w:eastAsia="zh-CN"/>
        </w:rPr>
        <w:t>25</w:t>
      </w:r>
      <w:r>
        <w:rPr>
          <w:rFonts w:hint="eastAsia" w:hAnsi="宋体"/>
          <w:color w:val="auto"/>
          <w:sz w:val="24"/>
        </w:rPr>
        <w:t>%以下、氧指数为</w:t>
      </w:r>
      <w:r>
        <w:rPr>
          <w:rFonts w:hint="eastAsia" w:hAnsi="宋体"/>
          <w:color w:val="auto"/>
          <w:sz w:val="24"/>
          <w:lang w:val="en-US" w:eastAsia="zh-CN"/>
        </w:rPr>
        <w:t>25</w:t>
      </w:r>
      <w:r>
        <w:rPr>
          <w:rFonts w:hint="eastAsia" w:hAnsi="宋体"/>
          <w:color w:val="auto"/>
          <w:sz w:val="24"/>
        </w:rPr>
        <w:t>%~</w:t>
      </w:r>
      <w:r>
        <w:rPr>
          <w:rFonts w:hint="eastAsia" w:hAnsi="宋体"/>
          <w:color w:val="auto"/>
          <w:sz w:val="24"/>
          <w:lang w:val="en-US" w:eastAsia="zh-CN"/>
        </w:rPr>
        <w:t>35</w:t>
      </w:r>
      <w:r>
        <w:rPr>
          <w:rFonts w:hint="eastAsia" w:hAnsi="宋体"/>
          <w:color w:val="auto"/>
          <w:sz w:val="24"/>
        </w:rPr>
        <w:t>%及氧指数为</w:t>
      </w:r>
      <w:r>
        <w:rPr>
          <w:rFonts w:hint="eastAsia" w:hAnsi="宋体"/>
          <w:color w:val="auto"/>
          <w:sz w:val="24"/>
          <w:lang w:val="en-US" w:eastAsia="zh-CN"/>
        </w:rPr>
        <w:t>35</w:t>
      </w:r>
      <w:r>
        <w:rPr>
          <w:rFonts w:hint="eastAsia" w:hAnsi="宋体"/>
          <w:color w:val="auto"/>
          <w:sz w:val="24"/>
        </w:rPr>
        <w:t>%以上的三种标准物质，分别测量其氧指数，重复测量3次，取其算术平均值作为仪器的测量值。</w:t>
      </w:r>
    </w:p>
    <w:p>
      <w:pPr>
        <w:spacing w:line="360" w:lineRule="auto"/>
        <w:ind w:firstLine="480" w:firstLineChars="200"/>
        <w:rPr>
          <w:rFonts w:hint="eastAsia" w:hAnsi="宋体"/>
          <w:color w:val="auto"/>
          <w:sz w:val="24"/>
        </w:rPr>
      </w:pPr>
    </w:p>
    <w:p>
      <w:pPr>
        <w:jc w:val="left"/>
        <w:rPr>
          <w:rFonts w:ascii="黑体" w:hAnsi="黑体" w:eastAsia="黑体" w:cs="黑体"/>
          <w:color w:val="auto"/>
          <w:sz w:val="28"/>
          <w:szCs w:val="28"/>
        </w:rPr>
      </w:pPr>
      <w:r>
        <w:rPr>
          <w:rFonts w:hint="eastAsia" w:ascii="黑体" w:hAnsi="黑体" w:eastAsia="黑体" w:cs="黑体"/>
          <w:color w:val="auto"/>
          <w:sz w:val="28"/>
          <w:szCs w:val="28"/>
        </w:rPr>
        <w:t>六、试验数据</w:t>
      </w:r>
    </w:p>
    <w:p>
      <w:pPr>
        <w:jc w:val="center"/>
        <w:rPr>
          <w:rFonts w:ascii="黑体" w:hAnsi="黑体" w:eastAsia="黑体" w:cs="黑体"/>
          <w:b/>
          <w:color w:val="auto"/>
          <w:szCs w:val="21"/>
        </w:rPr>
      </w:pPr>
      <w:r>
        <w:rPr>
          <w:rFonts w:hint="eastAsia" w:ascii="黑体" w:hAnsi="黑体" w:eastAsia="黑体" w:cs="黑体"/>
          <w:b/>
          <w:color w:val="auto"/>
          <w:szCs w:val="21"/>
        </w:rPr>
        <w:t>表</w:t>
      </w:r>
      <w:r>
        <w:rPr>
          <w:rFonts w:hint="eastAsia" w:ascii="黑体" w:hAnsi="黑体" w:eastAsia="黑体" w:cs="黑体"/>
          <w:b/>
          <w:color w:val="auto"/>
          <w:szCs w:val="21"/>
          <w:lang w:val="en-US" w:eastAsia="zh-CN"/>
        </w:rPr>
        <w:t>10</w:t>
      </w:r>
      <w:r>
        <w:rPr>
          <w:rFonts w:ascii="黑体" w:hAnsi="黑体" w:eastAsia="黑体" w:cs="黑体"/>
          <w:b/>
          <w:color w:val="auto"/>
          <w:szCs w:val="21"/>
        </w:rPr>
        <w:t xml:space="preserve"> </w:t>
      </w:r>
      <w:r>
        <w:rPr>
          <w:rFonts w:hint="eastAsia" w:ascii="黑体" w:hAnsi="黑体" w:eastAsia="黑体" w:cs="黑体"/>
          <w:b/>
          <w:color w:val="auto"/>
          <w:szCs w:val="21"/>
          <w:lang w:eastAsia="zh-CN"/>
        </w:rPr>
        <w:t>氧指数测量误差校准数据和结果</w:t>
      </w:r>
    </w:p>
    <w:tbl>
      <w:tblPr>
        <w:tblStyle w:val="7"/>
        <w:tblW w:w="8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8"/>
        <w:gridCol w:w="1318"/>
        <w:gridCol w:w="1146"/>
        <w:gridCol w:w="1148"/>
        <w:gridCol w:w="1151"/>
        <w:gridCol w:w="970"/>
        <w:gridCol w:w="1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restart"/>
            <w:vAlign w:val="center"/>
          </w:tcPr>
          <w:p>
            <w:pPr>
              <w:jc w:val="center"/>
              <w:rPr>
                <w:color w:val="auto"/>
                <w:szCs w:val="21"/>
              </w:rPr>
            </w:pPr>
            <w:r>
              <w:rPr>
                <w:rFonts w:hint="eastAsia"/>
                <w:color w:val="auto"/>
                <w:szCs w:val="21"/>
              </w:rPr>
              <w:t>仪器</w:t>
            </w:r>
          </w:p>
        </w:tc>
        <w:tc>
          <w:tcPr>
            <w:tcW w:w="1318" w:type="dxa"/>
            <w:vMerge w:val="restart"/>
            <w:shd w:val="clear" w:color="auto" w:fill="auto"/>
            <w:vAlign w:val="center"/>
          </w:tcPr>
          <w:p>
            <w:pPr>
              <w:jc w:val="center"/>
              <w:rPr>
                <w:color w:val="auto"/>
                <w:szCs w:val="21"/>
              </w:rPr>
            </w:pPr>
            <w:r>
              <w:rPr>
                <w:color w:val="auto"/>
                <w:szCs w:val="21"/>
              </w:rPr>
              <w:t>氧指数参考值（%）</w:t>
            </w:r>
          </w:p>
        </w:tc>
        <w:tc>
          <w:tcPr>
            <w:tcW w:w="3445" w:type="dxa"/>
            <w:gridSpan w:val="3"/>
            <w:shd w:val="clear" w:color="auto" w:fill="auto"/>
            <w:vAlign w:val="center"/>
          </w:tcPr>
          <w:p>
            <w:pPr>
              <w:jc w:val="center"/>
              <w:rPr>
                <w:color w:val="auto"/>
                <w:szCs w:val="21"/>
              </w:rPr>
            </w:pPr>
            <w:r>
              <w:rPr>
                <w:color w:val="auto"/>
                <w:szCs w:val="21"/>
              </w:rPr>
              <w:t>实校值（%）</w:t>
            </w:r>
          </w:p>
        </w:tc>
        <w:tc>
          <w:tcPr>
            <w:tcW w:w="970" w:type="dxa"/>
            <w:vMerge w:val="restart"/>
            <w:shd w:val="clear" w:color="auto" w:fill="auto"/>
            <w:vAlign w:val="center"/>
          </w:tcPr>
          <w:p>
            <w:pPr>
              <w:jc w:val="center"/>
              <w:rPr>
                <w:color w:val="auto"/>
                <w:szCs w:val="21"/>
              </w:rPr>
            </w:pPr>
            <w:r>
              <w:rPr>
                <w:color w:val="auto"/>
                <w:szCs w:val="21"/>
              </w:rPr>
              <w:t>平均值（%）</w:t>
            </w:r>
          </w:p>
        </w:tc>
        <w:tc>
          <w:tcPr>
            <w:tcW w:w="1327" w:type="dxa"/>
            <w:vMerge w:val="restart"/>
            <w:shd w:val="clear" w:color="auto" w:fill="auto"/>
            <w:vAlign w:val="center"/>
          </w:tcPr>
          <w:p>
            <w:pPr>
              <w:jc w:val="center"/>
              <w:rPr>
                <w:color w:val="auto"/>
                <w:szCs w:val="21"/>
              </w:rPr>
            </w:pPr>
            <w:r>
              <w:rPr>
                <w:rFonts w:hint="eastAsia"/>
                <w:color w:val="auto"/>
                <w:szCs w:val="21"/>
                <w:lang w:eastAsia="zh-CN"/>
              </w:rPr>
              <w:t>氧指数测量误差</w:t>
            </w:r>
            <w:r>
              <w:rPr>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38" w:type="dxa"/>
            <w:vMerge w:val="continue"/>
            <w:vAlign w:val="center"/>
          </w:tcPr>
          <w:p>
            <w:pPr>
              <w:jc w:val="center"/>
              <w:rPr>
                <w:color w:val="auto"/>
                <w:szCs w:val="21"/>
              </w:rPr>
            </w:pPr>
          </w:p>
        </w:tc>
        <w:tc>
          <w:tcPr>
            <w:tcW w:w="1318" w:type="dxa"/>
            <w:vMerge w:val="continue"/>
            <w:shd w:val="clear" w:color="auto" w:fill="auto"/>
          </w:tcPr>
          <w:p>
            <w:pPr>
              <w:rPr>
                <w:color w:val="auto"/>
                <w:szCs w:val="21"/>
              </w:rPr>
            </w:pPr>
          </w:p>
        </w:tc>
        <w:tc>
          <w:tcPr>
            <w:tcW w:w="1146" w:type="dxa"/>
            <w:shd w:val="clear" w:color="auto" w:fill="auto"/>
          </w:tcPr>
          <w:p>
            <w:pPr>
              <w:jc w:val="center"/>
              <w:rPr>
                <w:color w:val="auto"/>
                <w:szCs w:val="21"/>
              </w:rPr>
            </w:pPr>
            <w:r>
              <w:rPr>
                <w:rFonts w:hint="eastAsia"/>
                <w:color w:val="auto"/>
                <w:szCs w:val="21"/>
              </w:rPr>
              <w:t>1</w:t>
            </w:r>
          </w:p>
        </w:tc>
        <w:tc>
          <w:tcPr>
            <w:tcW w:w="1148" w:type="dxa"/>
            <w:shd w:val="clear" w:color="auto" w:fill="auto"/>
          </w:tcPr>
          <w:p>
            <w:pPr>
              <w:jc w:val="center"/>
              <w:rPr>
                <w:color w:val="auto"/>
                <w:szCs w:val="21"/>
              </w:rPr>
            </w:pPr>
            <w:r>
              <w:rPr>
                <w:rFonts w:hint="eastAsia"/>
                <w:color w:val="auto"/>
                <w:szCs w:val="21"/>
              </w:rPr>
              <w:t>2</w:t>
            </w:r>
          </w:p>
        </w:tc>
        <w:tc>
          <w:tcPr>
            <w:tcW w:w="1151" w:type="dxa"/>
            <w:shd w:val="clear" w:color="auto" w:fill="auto"/>
          </w:tcPr>
          <w:p>
            <w:pPr>
              <w:jc w:val="center"/>
              <w:rPr>
                <w:color w:val="auto"/>
                <w:szCs w:val="21"/>
              </w:rPr>
            </w:pPr>
            <w:r>
              <w:rPr>
                <w:rFonts w:hint="eastAsia"/>
                <w:color w:val="auto"/>
                <w:szCs w:val="21"/>
              </w:rPr>
              <w:t>3</w:t>
            </w:r>
          </w:p>
        </w:tc>
        <w:tc>
          <w:tcPr>
            <w:tcW w:w="970" w:type="dxa"/>
            <w:vMerge w:val="continue"/>
            <w:shd w:val="clear" w:color="auto" w:fill="auto"/>
          </w:tcPr>
          <w:p>
            <w:pPr>
              <w:rPr>
                <w:color w:val="auto"/>
                <w:szCs w:val="21"/>
              </w:rPr>
            </w:pPr>
          </w:p>
        </w:tc>
        <w:tc>
          <w:tcPr>
            <w:tcW w:w="1327" w:type="dxa"/>
            <w:vMerge w:val="continue"/>
            <w:shd w:val="clear" w:color="auto" w:fill="auto"/>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restart"/>
            <w:vAlign w:val="center"/>
          </w:tcPr>
          <w:p>
            <w:pPr>
              <w:jc w:val="center"/>
              <w:rPr>
                <w:color w:val="auto"/>
                <w:szCs w:val="21"/>
              </w:rPr>
            </w:pPr>
            <w:r>
              <w:rPr>
                <w:rFonts w:hint="eastAsia"/>
                <w:color w:val="auto"/>
                <w:szCs w:val="21"/>
              </w:rPr>
              <w:t>A</w:t>
            </w:r>
          </w:p>
        </w:tc>
        <w:tc>
          <w:tcPr>
            <w:tcW w:w="1318" w:type="dxa"/>
            <w:shd w:val="clear" w:color="auto" w:fill="auto"/>
            <w:vAlign w:val="center"/>
          </w:tcPr>
          <w:p>
            <w:pPr>
              <w:jc w:val="center"/>
              <w:rPr>
                <w:color w:val="auto"/>
                <w:szCs w:val="21"/>
              </w:rPr>
            </w:pPr>
            <w:r>
              <w:rPr>
                <w:rFonts w:hint="eastAsia" w:ascii="Times New Roman" w:hAnsi="Times New Roman" w:cs="Times New Roman"/>
                <w:color w:val="auto"/>
                <w:sz w:val="20"/>
                <w:szCs w:val="20"/>
              </w:rPr>
              <w:t>1</w:t>
            </w:r>
            <w:r>
              <w:rPr>
                <w:rFonts w:hint="eastAsia" w:ascii="Times New Roman" w:hAnsi="Times New Roman" w:cs="Times New Roman"/>
                <w:color w:val="auto"/>
                <w:sz w:val="20"/>
                <w:szCs w:val="20"/>
                <w:lang w:val="en-US" w:eastAsia="zh-CN"/>
              </w:rPr>
              <w:t>8.4</w:t>
            </w:r>
          </w:p>
        </w:tc>
        <w:tc>
          <w:tcPr>
            <w:tcW w:w="1146" w:type="dxa"/>
            <w:shd w:val="clear" w:color="auto" w:fill="auto"/>
            <w:vAlign w:val="center"/>
          </w:tcPr>
          <w:p>
            <w:pPr>
              <w:jc w:val="center"/>
              <w:rPr>
                <w:rFonts w:hint="default" w:eastAsiaTheme="minorEastAsia"/>
                <w:color w:val="auto"/>
                <w:szCs w:val="21"/>
                <w:lang w:val="en-US" w:eastAsia="zh-CN"/>
              </w:rPr>
            </w:pPr>
            <w:r>
              <w:rPr>
                <w:rFonts w:hint="eastAsia" w:ascii="Times New Roman" w:hAnsi="Times New Roman" w:cs="Times New Roman"/>
                <w:color w:val="auto"/>
                <w:sz w:val="20"/>
                <w:szCs w:val="20"/>
                <w:lang w:val="en-US" w:eastAsia="zh-CN"/>
              </w:rPr>
              <w:t>19.0</w:t>
            </w:r>
          </w:p>
        </w:tc>
        <w:tc>
          <w:tcPr>
            <w:tcW w:w="1148" w:type="dxa"/>
            <w:shd w:val="clear" w:color="auto" w:fill="auto"/>
            <w:vAlign w:val="center"/>
          </w:tcPr>
          <w:p>
            <w:pPr>
              <w:jc w:val="center"/>
              <w:rPr>
                <w:rFonts w:hint="default" w:eastAsiaTheme="minorEastAsia"/>
                <w:color w:val="auto"/>
                <w:szCs w:val="21"/>
                <w:lang w:val="en-US" w:eastAsia="zh-CN"/>
              </w:rPr>
            </w:pPr>
            <w:r>
              <w:rPr>
                <w:rFonts w:hint="eastAsia" w:ascii="Times New Roman" w:hAnsi="Times New Roman" w:cs="Times New Roman"/>
                <w:color w:val="auto"/>
                <w:sz w:val="20"/>
                <w:szCs w:val="20"/>
                <w:lang w:val="en-US" w:eastAsia="zh-CN"/>
              </w:rPr>
              <w:t>19.2</w:t>
            </w:r>
          </w:p>
        </w:tc>
        <w:tc>
          <w:tcPr>
            <w:tcW w:w="1151" w:type="dxa"/>
            <w:shd w:val="clear" w:color="auto" w:fill="auto"/>
            <w:vAlign w:val="center"/>
          </w:tcPr>
          <w:p>
            <w:pPr>
              <w:jc w:val="center"/>
              <w:rPr>
                <w:rFonts w:hint="default" w:eastAsiaTheme="minorEastAsia"/>
                <w:color w:val="auto"/>
                <w:szCs w:val="21"/>
                <w:lang w:val="en-US" w:eastAsia="zh-CN"/>
              </w:rPr>
            </w:pPr>
            <w:r>
              <w:rPr>
                <w:rFonts w:hint="eastAsia" w:ascii="Times New Roman" w:hAnsi="Times New Roman" w:cs="Times New Roman"/>
                <w:color w:val="auto"/>
                <w:sz w:val="20"/>
                <w:szCs w:val="20"/>
                <w:lang w:val="en-US" w:eastAsia="zh-CN"/>
              </w:rPr>
              <w:t>19.3</w:t>
            </w:r>
          </w:p>
        </w:tc>
        <w:tc>
          <w:tcPr>
            <w:tcW w:w="970"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19.2</w:t>
            </w:r>
          </w:p>
        </w:tc>
        <w:tc>
          <w:tcPr>
            <w:tcW w:w="1327"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continue"/>
            <w:vAlign w:val="center"/>
          </w:tcPr>
          <w:p>
            <w:pPr>
              <w:jc w:val="center"/>
              <w:rPr>
                <w:color w:val="auto"/>
                <w:szCs w:val="21"/>
              </w:rPr>
            </w:pPr>
          </w:p>
        </w:tc>
        <w:tc>
          <w:tcPr>
            <w:tcW w:w="1318" w:type="dxa"/>
            <w:shd w:val="clear" w:color="auto" w:fill="auto"/>
            <w:vAlign w:val="center"/>
          </w:tcPr>
          <w:p>
            <w:pPr>
              <w:jc w:val="center"/>
              <w:rPr>
                <w:color w:val="auto"/>
                <w:szCs w:val="21"/>
              </w:rPr>
            </w:pPr>
            <w:r>
              <w:rPr>
                <w:rFonts w:ascii="Times New Roman" w:hAnsi="Times New Roman" w:cs="Times New Roman"/>
                <w:color w:val="auto"/>
                <w:sz w:val="20"/>
                <w:szCs w:val="20"/>
              </w:rPr>
              <w:t>23.</w:t>
            </w:r>
            <w:r>
              <w:rPr>
                <w:rFonts w:hint="eastAsia" w:ascii="Times New Roman" w:hAnsi="Times New Roman" w:cs="Times New Roman"/>
                <w:color w:val="auto"/>
                <w:sz w:val="20"/>
                <w:szCs w:val="20"/>
                <w:lang w:val="en-US" w:eastAsia="zh-CN"/>
              </w:rPr>
              <w:t>3</w:t>
            </w:r>
          </w:p>
        </w:tc>
        <w:tc>
          <w:tcPr>
            <w:tcW w:w="1146" w:type="dxa"/>
            <w:shd w:val="clear" w:color="auto" w:fill="auto"/>
            <w:vAlign w:val="center"/>
          </w:tcPr>
          <w:p>
            <w:pPr>
              <w:jc w:val="center"/>
              <w:rPr>
                <w:rFonts w:hint="default" w:eastAsiaTheme="minorEastAsia"/>
                <w:color w:val="auto"/>
                <w:szCs w:val="21"/>
                <w:lang w:val="en-US" w:eastAsia="zh-CN"/>
              </w:rPr>
            </w:pPr>
            <w:r>
              <w:rPr>
                <w:rFonts w:hint="eastAsia" w:ascii="Times New Roman" w:hAnsi="Times New Roman" w:cs="Times New Roman"/>
                <w:color w:val="auto"/>
                <w:sz w:val="20"/>
                <w:szCs w:val="20"/>
                <w:lang w:val="en-US" w:eastAsia="zh-CN"/>
              </w:rPr>
              <w:t>25.1</w:t>
            </w:r>
          </w:p>
        </w:tc>
        <w:tc>
          <w:tcPr>
            <w:tcW w:w="1148" w:type="dxa"/>
            <w:shd w:val="clear" w:color="auto" w:fill="auto"/>
            <w:vAlign w:val="center"/>
          </w:tcPr>
          <w:p>
            <w:pPr>
              <w:jc w:val="center"/>
              <w:rPr>
                <w:rFonts w:hint="default" w:eastAsiaTheme="minorEastAsia"/>
                <w:color w:val="auto"/>
                <w:szCs w:val="21"/>
                <w:lang w:val="en-US" w:eastAsia="zh-CN"/>
              </w:rPr>
            </w:pPr>
            <w:r>
              <w:rPr>
                <w:rFonts w:hint="eastAsia" w:ascii="Times New Roman" w:hAnsi="Times New Roman" w:cs="Times New Roman"/>
                <w:color w:val="auto"/>
                <w:sz w:val="20"/>
                <w:szCs w:val="20"/>
                <w:lang w:val="en-US" w:eastAsia="zh-CN"/>
              </w:rPr>
              <w:t>25.0</w:t>
            </w:r>
          </w:p>
        </w:tc>
        <w:tc>
          <w:tcPr>
            <w:tcW w:w="1151" w:type="dxa"/>
            <w:shd w:val="clear" w:color="auto" w:fill="auto"/>
            <w:vAlign w:val="center"/>
          </w:tcPr>
          <w:p>
            <w:pPr>
              <w:jc w:val="center"/>
              <w:rPr>
                <w:rFonts w:hint="default" w:eastAsiaTheme="minorEastAsia"/>
                <w:color w:val="auto"/>
                <w:szCs w:val="21"/>
                <w:lang w:val="en-US" w:eastAsia="zh-CN"/>
              </w:rPr>
            </w:pPr>
            <w:r>
              <w:rPr>
                <w:rFonts w:hint="eastAsia" w:ascii="Times New Roman" w:hAnsi="Times New Roman" w:cs="Times New Roman"/>
                <w:color w:val="auto"/>
                <w:sz w:val="20"/>
                <w:szCs w:val="20"/>
                <w:lang w:val="en-US" w:eastAsia="zh-CN"/>
              </w:rPr>
              <w:t>25.2</w:t>
            </w:r>
          </w:p>
        </w:tc>
        <w:tc>
          <w:tcPr>
            <w:tcW w:w="970"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25.1</w:t>
            </w:r>
          </w:p>
        </w:tc>
        <w:tc>
          <w:tcPr>
            <w:tcW w:w="1327"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continue"/>
            <w:vAlign w:val="center"/>
          </w:tcPr>
          <w:p>
            <w:pPr>
              <w:jc w:val="center"/>
              <w:rPr>
                <w:color w:val="auto"/>
                <w:szCs w:val="21"/>
              </w:rPr>
            </w:pPr>
          </w:p>
        </w:tc>
        <w:tc>
          <w:tcPr>
            <w:tcW w:w="1318"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44.3</w:t>
            </w:r>
          </w:p>
        </w:tc>
        <w:tc>
          <w:tcPr>
            <w:tcW w:w="1146" w:type="dxa"/>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47.0</w:t>
            </w:r>
          </w:p>
        </w:tc>
        <w:tc>
          <w:tcPr>
            <w:tcW w:w="1148"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47.2</w:t>
            </w:r>
          </w:p>
        </w:tc>
        <w:tc>
          <w:tcPr>
            <w:tcW w:w="1151" w:type="dxa"/>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47.6</w:t>
            </w:r>
          </w:p>
        </w:tc>
        <w:tc>
          <w:tcPr>
            <w:tcW w:w="970"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47.3</w:t>
            </w:r>
          </w:p>
        </w:tc>
        <w:tc>
          <w:tcPr>
            <w:tcW w:w="1327" w:type="dxa"/>
            <w:shd w:val="clear" w:color="auto" w:fill="auto"/>
            <w:vAlign w:val="center"/>
          </w:tcPr>
          <w:p>
            <w:pPr>
              <w:jc w:val="center"/>
              <w:rPr>
                <w:rFonts w:hint="eastAsia" w:eastAsiaTheme="minorEastAsia"/>
                <w:color w:val="auto"/>
                <w:szCs w:val="21"/>
                <w:lang w:val="en-US" w:eastAsia="zh-CN"/>
              </w:rPr>
            </w:pPr>
            <w:r>
              <w:rPr>
                <w:rFonts w:hint="eastAsia"/>
                <w:color w:val="auto"/>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restart"/>
            <w:vAlign w:val="center"/>
          </w:tcPr>
          <w:p>
            <w:pPr>
              <w:jc w:val="center"/>
              <w:rPr>
                <w:color w:val="auto"/>
                <w:szCs w:val="21"/>
              </w:rPr>
            </w:pPr>
            <w:bookmarkStart w:id="4" w:name="_Hlk27405897"/>
            <w:r>
              <w:rPr>
                <w:rFonts w:hint="eastAsia"/>
                <w:color w:val="auto"/>
                <w:szCs w:val="21"/>
              </w:rPr>
              <w:t>B</w:t>
            </w:r>
          </w:p>
        </w:tc>
        <w:tc>
          <w:tcPr>
            <w:tcW w:w="1318" w:type="dxa"/>
            <w:shd w:val="clear" w:color="auto" w:fill="auto"/>
            <w:vAlign w:val="center"/>
          </w:tcPr>
          <w:p>
            <w:pPr>
              <w:jc w:val="center"/>
              <w:rPr>
                <w:color w:val="auto"/>
                <w:szCs w:val="21"/>
              </w:rPr>
            </w:pPr>
            <w:r>
              <w:rPr>
                <w:rFonts w:hint="eastAsia" w:ascii="Times New Roman" w:hAnsi="Times New Roman" w:cs="Times New Roman"/>
                <w:color w:val="auto"/>
                <w:sz w:val="20"/>
                <w:szCs w:val="20"/>
              </w:rPr>
              <w:t>1</w:t>
            </w:r>
            <w:r>
              <w:rPr>
                <w:rFonts w:hint="eastAsia" w:ascii="Times New Roman" w:hAnsi="Times New Roman" w:cs="Times New Roman"/>
                <w:color w:val="auto"/>
                <w:sz w:val="20"/>
                <w:szCs w:val="20"/>
                <w:lang w:val="en-US" w:eastAsia="zh-CN"/>
              </w:rPr>
              <w:t>8.4</w:t>
            </w:r>
          </w:p>
        </w:tc>
        <w:tc>
          <w:tcPr>
            <w:tcW w:w="1146" w:type="dxa"/>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17.2</w:t>
            </w:r>
          </w:p>
        </w:tc>
        <w:tc>
          <w:tcPr>
            <w:tcW w:w="1148"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17.2</w:t>
            </w:r>
          </w:p>
        </w:tc>
        <w:tc>
          <w:tcPr>
            <w:tcW w:w="1151"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17.2</w:t>
            </w:r>
          </w:p>
        </w:tc>
        <w:tc>
          <w:tcPr>
            <w:tcW w:w="970"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17.2</w:t>
            </w:r>
          </w:p>
        </w:tc>
        <w:tc>
          <w:tcPr>
            <w:tcW w:w="1327"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continue"/>
            <w:vAlign w:val="center"/>
          </w:tcPr>
          <w:p>
            <w:pPr>
              <w:jc w:val="center"/>
              <w:rPr>
                <w:color w:val="auto"/>
                <w:szCs w:val="21"/>
              </w:rPr>
            </w:pPr>
          </w:p>
        </w:tc>
        <w:tc>
          <w:tcPr>
            <w:tcW w:w="1318" w:type="dxa"/>
            <w:shd w:val="clear" w:color="auto" w:fill="auto"/>
            <w:vAlign w:val="center"/>
          </w:tcPr>
          <w:p>
            <w:pPr>
              <w:jc w:val="center"/>
              <w:rPr>
                <w:color w:val="auto"/>
                <w:szCs w:val="21"/>
              </w:rPr>
            </w:pPr>
            <w:r>
              <w:rPr>
                <w:rFonts w:ascii="Times New Roman" w:hAnsi="Times New Roman" w:cs="Times New Roman"/>
                <w:color w:val="auto"/>
                <w:sz w:val="20"/>
                <w:szCs w:val="20"/>
              </w:rPr>
              <w:t>23.</w:t>
            </w:r>
            <w:r>
              <w:rPr>
                <w:rFonts w:hint="eastAsia" w:ascii="Times New Roman" w:hAnsi="Times New Roman" w:cs="Times New Roman"/>
                <w:color w:val="auto"/>
                <w:sz w:val="20"/>
                <w:szCs w:val="20"/>
                <w:lang w:val="en-US" w:eastAsia="zh-CN"/>
              </w:rPr>
              <w:t>3</w:t>
            </w:r>
          </w:p>
        </w:tc>
        <w:tc>
          <w:tcPr>
            <w:tcW w:w="1146" w:type="dxa"/>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21.9</w:t>
            </w:r>
          </w:p>
        </w:tc>
        <w:tc>
          <w:tcPr>
            <w:tcW w:w="1148"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21.9</w:t>
            </w:r>
          </w:p>
        </w:tc>
        <w:tc>
          <w:tcPr>
            <w:tcW w:w="1151"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21.9</w:t>
            </w:r>
          </w:p>
        </w:tc>
        <w:tc>
          <w:tcPr>
            <w:tcW w:w="970" w:type="dxa"/>
            <w:shd w:val="clear" w:color="auto" w:fill="auto"/>
            <w:vAlign w:val="center"/>
          </w:tcPr>
          <w:p>
            <w:pPr>
              <w:jc w:val="center"/>
              <w:rPr>
                <w:rFonts w:hint="default"/>
                <w:color w:val="auto"/>
                <w:szCs w:val="21"/>
                <w:lang w:val="en-US"/>
              </w:rPr>
            </w:pPr>
            <w:r>
              <w:rPr>
                <w:rFonts w:hint="eastAsia"/>
                <w:color w:val="auto"/>
                <w:szCs w:val="21"/>
                <w:lang w:val="en-US" w:eastAsia="zh-CN"/>
              </w:rPr>
              <w:t>21.9</w:t>
            </w:r>
          </w:p>
        </w:tc>
        <w:tc>
          <w:tcPr>
            <w:tcW w:w="1327"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continue"/>
            <w:vAlign w:val="center"/>
          </w:tcPr>
          <w:p>
            <w:pPr>
              <w:jc w:val="center"/>
              <w:rPr>
                <w:color w:val="auto"/>
                <w:szCs w:val="21"/>
              </w:rPr>
            </w:pPr>
          </w:p>
        </w:tc>
        <w:tc>
          <w:tcPr>
            <w:tcW w:w="1318"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44.3</w:t>
            </w:r>
          </w:p>
        </w:tc>
        <w:tc>
          <w:tcPr>
            <w:tcW w:w="1146" w:type="dxa"/>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42.1</w:t>
            </w:r>
          </w:p>
        </w:tc>
        <w:tc>
          <w:tcPr>
            <w:tcW w:w="1148"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42.1</w:t>
            </w:r>
          </w:p>
        </w:tc>
        <w:tc>
          <w:tcPr>
            <w:tcW w:w="1151"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42.1</w:t>
            </w:r>
          </w:p>
        </w:tc>
        <w:tc>
          <w:tcPr>
            <w:tcW w:w="970"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42.1</w:t>
            </w:r>
          </w:p>
        </w:tc>
        <w:tc>
          <w:tcPr>
            <w:tcW w:w="1327"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-1.2</w:t>
            </w:r>
          </w:p>
        </w:tc>
      </w:tr>
      <w:bookmark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restart"/>
            <w:vAlign w:val="center"/>
          </w:tcPr>
          <w:p>
            <w:pPr>
              <w:jc w:val="center"/>
              <w:rPr>
                <w:color w:val="auto"/>
                <w:szCs w:val="21"/>
              </w:rPr>
            </w:pPr>
            <w:r>
              <w:rPr>
                <w:rFonts w:hint="eastAsia"/>
                <w:color w:val="auto"/>
                <w:szCs w:val="21"/>
              </w:rPr>
              <w:t>C</w:t>
            </w:r>
          </w:p>
        </w:tc>
        <w:tc>
          <w:tcPr>
            <w:tcW w:w="1318" w:type="dxa"/>
            <w:shd w:val="clear" w:color="auto" w:fill="auto"/>
            <w:vAlign w:val="center"/>
          </w:tcPr>
          <w:p>
            <w:pPr>
              <w:jc w:val="center"/>
              <w:rPr>
                <w:color w:val="auto"/>
                <w:szCs w:val="21"/>
              </w:rPr>
            </w:pPr>
            <w:r>
              <w:rPr>
                <w:rFonts w:hint="eastAsia" w:ascii="Times New Roman" w:hAnsi="Times New Roman" w:cs="Times New Roman"/>
                <w:color w:val="auto"/>
                <w:sz w:val="20"/>
                <w:szCs w:val="20"/>
              </w:rPr>
              <w:t>1</w:t>
            </w:r>
            <w:r>
              <w:rPr>
                <w:rFonts w:hint="eastAsia" w:ascii="Times New Roman" w:hAnsi="Times New Roman" w:cs="Times New Roman"/>
                <w:color w:val="auto"/>
                <w:sz w:val="20"/>
                <w:szCs w:val="20"/>
                <w:lang w:val="en-US" w:eastAsia="zh-CN"/>
              </w:rPr>
              <w:t>8.4</w:t>
            </w:r>
          </w:p>
        </w:tc>
        <w:tc>
          <w:tcPr>
            <w:tcW w:w="1146" w:type="dxa"/>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17.5</w:t>
            </w:r>
          </w:p>
        </w:tc>
        <w:tc>
          <w:tcPr>
            <w:tcW w:w="1148"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17.4</w:t>
            </w:r>
          </w:p>
        </w:tc>
        <w:tc>
          <w:tcPr>
            <w:tcW w:w="1151"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17.5</w:t>
            </w:r>
          </w:p>
        </w:tc>
        <w:tc>
          <w:tcPr>
            <w:tcW w:w="970" w:type="dxa"/>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17.5</w:t>
            </w:r>
          </w:p>
        </w:tc>
        <w:tc>
          <w:tcPr>
            <w:tcW w:w="1327" w:type="dxa"/>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continue"/>
            <w:vAlign w:val="center"/>
          </w:tcPr>
          <w:p>
            <w:pPr>
              <w:jc w:val="center"/>
              <w:rPr>
                <w:color w:val="auto"/>
                <w:szCs w:val="21"/>
              </w:rPr>
            </w:pPr>
          </w:p>
        </w:tc>
        <w:tc>
          <w:tcPr>
            <w:tcW w:w="1318" w:type="dxa"/>
            <w:tcBorders>
              <w:top w:val="single" w:color="auto" w:sz="4" w:space="0"/>
              <w:bottom w:val="single" w:color="auto" w:sz="4" w:space="0"/>
              <w:right w:val="single" w:color="auto" w:sz="4" w:space="0"/>
            </w:tcBorders>
            <w:shd w:val="clear" w:color="auto" w:fill="auto"/>
            <w:vAlign w:val="center"/>
          </w:tcPr>
          <w:p>
            <w:pPr>
              <w:jc w:val="center"/>
              <w:rPr>
                <w:color w:val="auto"/>
                <w:szCs w:val="21"/>
              </w:rPr>
            </w:pPr>
            <w:r>
              <w:rPr>
                <w:rFonts w:ascii="Times New Roman" w:hAnsi="Times New Roman" w:cs="Times New Roman"/>
                <w:color w:val="auto"/>
                <w:sz w:val="20"/>
                <w:szCs w:val="20"/>
              </w:rPr>
              <w:t>23.</w:t>
            </w:r>
            <w:r>
              <w:rPr>
                <w:rFonts w:hint="eastAsia" w:ascii="Times New Roman" w:hAnsi="Times New Roman" w:cs="Times New Roman"/>
                <w:color w:val="auto"/>
                <w:sz w:val="20"/>
                <w:szCs w:val="20"/>
                <w:lang w:val="en-US" w:eastAsia="zh-CN"/>
              </w:rPr>
              <w:t>3</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22.0</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22.1</w:t>
            </w: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22.0</w:t>
            </w: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color w:val="auto"/>
                <w:szCs w:val="21"/>
                <w:lang w:val="en-US" w:eastAsia="zh-CN"/>
              </w:rPr>
              <w:t>22.0</w:t>
            </w:r>
          </w:p>
        </w:tc>
        <w:tc>
          <w:tcPr>
            <w:tcW w:w="1327" w:type="dxa"/>
            <w:tcBorders>
              <w:top w:val="single" w:color="auto" w:sz="4" w:space="0"/>
              <w:left w:val="single" w:color="auto" w:sz="4" w:space="0"/>
              <w:bottom w:val="single" w:color="auto" w:sz="4" w:space="0"/>
            </w:tcBorders>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continue"/>
            <w:tcBorders>
              <w:bottom w:val="single" w:color="auto" w:sz="4" w:space="0"/>
            </w:tcBorders>
            <w:vAlign w:val="center"/>
          </w:tcPr>
          <w:p>
            <w:pPr>
              <w:jc w:val="center"/>
              <w:rPr>
                <w:color w:val="auto"/>
                <w:szCs w:val="21"/>
              </w:rPr>
            </w:pPr>
          </w:p>
        </w:tc>
        <w:tc>
          <w:tcPr>
            <w:tcW w:w="1318" w:type="dxa"/>
            <w:tcBorders>
              <w:top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44.3</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41.2</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41.0</w:t>
            </w: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41.4</w:t>
            </w: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color w:val="auto"/>
                <w:szCs w:val="21"/>
                <w:lang w:val="en-US" w:eastAsia="zh-CN"/>
              </w:rPr>
              <w:t>41.2</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restart"/>
            <w:tcBorders>
              <w:top w:val="single" w:color="auto" w:sz="4" w:space="0"/>
              <w:left w:val="single" w:color="auto" w:sz="4" w:space="0"/>
              <w:right w:val="single" w:color="auto" w:sz="4" w:space="0"/>
            </w:tcBorders>
            <w:vAlign w:val="center"/>
          </w:tcPr>
          <w:p>
            <w:pPr>
              <w:jc w:val="center"/>
              <w:rPr>
                <w:color w:val="auto"/>
                <w:szCs w:val="21"/>
              </w:rPr>
            </w:pPr>
            <w:r>
              <w:rPr>
                <w:rFonts w:hint="eastAsia"/>
                <w:color w:val="auto"/>
                <w:szCs w:val="21"/>
              </w:rPr>
              <w:t>D</w:t>
            </w:r>
          </w:p>
        </w:tc>
        <w:tc>
          <w:tcPr>
            <w:tcW w:w="13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rPr>
              <w:t>1</w:t>
            </w:r>
            <w:r>
              <w:rPr>
                <w:rFonts w:hint="eastAsia" w:ascii="Times New Roman" w:hAnsi="Times New Roman" w:cs="Times New Roman"/>
                <w:color w:val="auto"/>
                <w:sz w:val="20"/>
                <w:szCs w:val="20"/>
                <w:lang w:val="en-US" w:eastAsia="zh-CN"/>
              </w:rPr>
              <w:t>8.4</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18.9</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19.2</w:t>
            </w: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19.5</w:t>
            </w: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color w:val="auto"/>
                <w:szCs w:val="21"/>
                <w:lang w:val="en-US" w:eastAsia="zh-CN"/>
              </w:rPr>
              <w:t>19.2</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continue"/>
            <w:tcBorders>
              <w:left w:val="single" w:color="auto" w:sz="4" w:space="0"/>
              <w:right w:val="single" w:color="auto" w:sz="4" w:space="0"/>
            </w:tcBorders>
            <w:vAlign w:val="center"/>
          </w:tcPr>
          <w:p>
            <w:pPr>
              <w:jc w:val="center"/>
              <w:rPr>
                <w:color w:val="auto"/>
                <w:szCs w:val="21"/>
              </w:rPr>
            </w:pPr>
          </w:p>
        </w:tc>
        <w:tc>
          <w:tcPr>
            <w:tcW w:w="13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ascii="Times New Roman" w:hAnsi="Times New Roman" w:cs="Times New Roman"/>
                <w:color w:val="auto"/>
                <w:sz w:val="20"/>
                <w:szCs w:val="20"/>
              </w:rPr>
              <w:t>23.</w:t>
            </w:r>
            <w:r>
              <w:rPr>
                <w:rFonts w:hint="eastAsia" w:ascii="Times New Roman" w:hAnsi="Times New Roman" w:cs="Times New Roman"/>
                <w:color w:val="auto"/>
                <w:sz w:val="20"/>
                <w:szCs w:val="20"/>
                <w:lang w:val="en-US" w:eastAsia="zh-CN"/>
              </w:rPr>
              <w:t>3</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24.6</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25.1</w:t>
            </w: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25.3</w:t>
            </w: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color w:val="auto"/>
                <w:szCs w:val="21"/>
                <w:lang w:val="en-US" w:eastAsia="zh-CN"/>
              </w:rPr>
              <w:t>25.0</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continue"/>
            <w:tcBorders>
              <w:left w:val="single" w:color="auto" w:sz="4" w:space="0"/>
              <w:bottom w:val="single" w:color="auto" w:sz="4" w:space="0"/>
              <w:right w:val="single" w:color="auto" w:sz="4" w:space="0"/>
            </w:tcBorders>
            <w:vAlign w:val="center"/>
          </w:tcPr>
          <w:p>
            <w:pPr>
              <w:jc w:val="center"/>
              <w:rPr>
                <w:color w:val="auto"/>
                <w:szCs w:val="21"/>
              </w:rPr>
            </w:pPr>
          </w:p>
        </w:tc>
        <w:tc>
          <w:tcPr>
            <w:tcW w:w="13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44.3</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46.8</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color w:val="auto"/>
                <w:szCs w:val="21"/>
                <w:lang w:val="en-US" w:eastAsia="zh-CN"/>
              </w:rPr>
              <w:t>47.2</w:t>
            </w: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47.0</w:t>
            </w: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color w:val="auto"/>
                <w:szCs w:val="21"/>
                <w:lang w:val="en-US" w:eastAsia="zh-CN"/>
              </w:rPr>
              <w:t>47.0</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restart"/>
            <w:tcBorders>
              <w:top w:val="single" w:color="auto" w:sz="4" w:space="0"/>
              <w:left w:val="single" w:color="auto" w:sz="4" w:space="0"/>
              <w:right w:val="single" w:color="auto" w:sz="4" w:space="0"/>
            </w:tcBorders>
            <w:vAlign w:val="center"/>
          </w:tcPr>
          <w:p>
            <w:pPr>
              <w:jc w:val="center"/>
              <w:rPr>
                <w:color w:val="auto"/>
                <w:szCs w:val="21"/>
              </w:rPr>
            </w:pPr>
            <w:r>
              <w:rPr>
                <w:rFonts w:hint="eastAsia"/>
                <w:color w:val="auto"/>
                <w:szCs w:val="21"/>
              </w:rPr>
              <w:t>E</w:t>
            </w:r>
          </w:p>
        </w:tc>
        <w:tc>
          <w:tcPr>
            <w:tcW w:w="13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rPr>
              <w:t>1</w:t>
            </w:r>
            <w:r>
              <w:rPr>
                <w:rFonts w:hint="eastAsia" w:ascii="Times New Roman" w:hAnsi="Times New Roman" w:cs="Times New Roman"/>
                <w:color w:val="auto"/>
                <w:sz w:val="20"/>
                <w:szCs w:val="20"/>
                <w:lang w:val="en-US" w:eastAsia="zh-CN"/>
              </w:rPr>
              <w:t>8.4</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19.7</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19.5</w:t>
            </w: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ascii="Times New Roman" w:hAnsi="Times New Roman" w:cs="Times New Roman"/>
                <w:color w:val="auto"/>
                <w:sz w:val="20"/>
                <w:szCs w:val="20"/>
                <w:lang w:val="en-US" w:eastAsia="zh-CN"/>
              </w:rPr>
              <w:t>20.0</w:t>
            </w: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color w:val="auto"/>
                <w:szCs w:val="21"/>
                <w:lang w:val="en-US"/>
              </w:rPr>
            </w:pPr>
            <w:r>
              <w:rPr>
                <w:rFonts w:hint="eastAsia"/>
                <w:color w:val="auto"/>
                <w:szCs w:val="21"/>
                <w:lang w:val="en-US" w:eastAsia="zh-CN"/>
              </w:rPr>
              <w:t>19.7</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138" w:type="dxa"/>
            <w:vMerge w:val="continue"/>
            <w:tcBorders>
              <w:left w:val="single" w:color="auto" w:sz="4" w:space="0"/>
              <w:right w:val="single" w:color="auto" w:sz="4" w:space="0"/>
            </w:tcBorders>
          </w:tcPr>
          <w:p>
            <w:pPr>
              <w:jc w:val="center"/>
              <w:rPr>
                <w:color w:val="auto"/>
                <w:szCs w:val="21"/>
              </w:rPr>
            </w:pPr>
          </w:p>
        </w:tc>
        <w:tc>
          <w:tcPr>
            <w:tcW w:w="13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ascii="Times New Roman" w:hAnsi="Times New Roman" w:cs="Times New Roman"/>
                <w:color w:val="auto"/>
                <w:sz w:val="20"/>
                <w:szCs w:val="20"/>
              </w:rPr>
              <w:t>23.</w:t>
            </w:r>
            <w:r>
              <w:rPr>
                <w:rFonts w:hint="eastAsia" w:ascii="Times New Roman" w:hAnsi="Times New Roman" w:cs="Times New Roman"/>
                <w:color w:val="auto"/>
                <w:sz w:val="20"/>
                <w:szCs w:val="20"/>
                <w:lang w:val="en-US" w:eastAsia="zh-CN"/>
              </w:rPr>
              <w:t>3</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25.4</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25.4</w:t>
            </w: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25.3</w:t>
            </w: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color w:val="auto"/>
                <w:szCs w:val="21"/>
                <w:lang w:val="en-US" w:eastAsia="zh-CN"/>
              </w:rPr>
              <w:t>25.4</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138" w:type="dxa"/>
            <w:vMerge w:val="continue"/>
            <w:tcBorders>
              <w:left w:val="single" w:color="auto" w:sz="4" w:space="0"/>
              <w:bottom w:val="single" w:color="auto" w:sz="4" w:space="0"/>
              <w:right w:val="single" w:color="auto" w:sz="4" w:space="0"/>
            </w:tcBorders>
          </w:tcPr>
          <w:p>
            <w:pPr>
              <w:jc w:val="center"/>
              <w:rPr>
                <w:color w:val="auto"/>
                <w:szCs w:val="21"/>
              </w:rPr>
            </w:pPr>
          </w:p>
        </w:tc>
        <w:tc>
          <w:tcPr>
            <w:tcW w:w="131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44.3</w:t>
            </w:r>
          </w:p>
        </w:tc>
        <w:tc>
          <w:tcPr>
            <w:tcW w:w="1146"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48.0</w:t>
            </w:r>
          </w:p>
        </w:tc>
        <w:tc>
          <w:tcPr>
            <w:tcW w:w="1148"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color w:val="auto"/>
                <w:szCs w:val="21"/>
                <w:lang w:val="en-US" w:eastAsia="zh-CN"/>
              </w:rPr>
              <w:t>48.2</w:t>
            </w:r>
          </w:p>
        </w:tc>
        <w:tc>
          <w:tcPr>
            <w:tcW w:w="115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ascii="Times New Roman" w:hAnsi="Times New Roman" w:cs="Times New Roman"/>
                <w:color w:val="auto"/>
                <w:sz w:val="20"/>
                <w:szCs w:val="20"/>
                <w:lang w:val="en-US" w:eastAsia="zh-CN"/>
              </w:rPr>
              <w:t>47.6</w:t>
            </w:r>
          </w:p>
        </w:tc>
        <w:tc>
          <w:tcPr>
            <w:tcW w:w="97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szCs w:val="21"/>
              </w:rPr>
            </w:pPr>
            <w:r>
              <w:rPr>
                <w:rFonts w:hint="eastAsia"/>
                <w:color w:val="auto"/>
                <w:szCs w:val="21"/>
                <w:lang w:val="en-US" w:eastAsia="zh-CN"/>
              </w:rPr>
              <w:t>47.9</w:t>
            </w:r>
          </w:p>
        </w:tc>
        <w:tc>
          <w:tcPr>
            <w:tcW w:w="1327"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color w:val="auto"/>
                <w:szCs w:val="21"/>
                <w:lang w:val="en-US" w:eastAsia="zh-CN"/>
              </w:rPr>
            </w:pPr>
            <w:r>
              <w:rPr>
                <w:rFonts w:hint="eastAsia"/>
                <w:color w:val="auto"/>
                <w:szCs w:val="21"/>
                <w:lang w:val="en-US" w:eastAsia="zh-CN"/>
              </w:rPr>
              <w:t>3.6</w:t>
            </w:r>
          </w:p>
        </w:tc>
      </w:tr>
    </w:tbl>
    <w:p>
      <w:pPr>
        <w:pStyle w:val="3"/>
        <w:keepNext w:val="0"/>
        <w:keepLines w:val="0"/>
        <w:pageBreakBefore w:val="0"/>
        <w:widowControl w:val="0"/>
        <w:kinsoku/>
        <w:wordWrap/>
        <w:overflowPunct/>
        <w:topLinePunct w:val="0"/>
        <w:autoSpaceDE/>
        <w:autoSpaceDN/>
        <w:bidi w:val="0"/>
        <w:adjustRightInd/>
        <w:snapToGrid w:val="0"/>
        <w:spacing w:before="157" w:beforeLines="50"/>
        <w:ind w:right="0" w:firstLine="480" w:firstLineChars="200"/>
        <w:jc w:val="left"/>
        <w:textAlignment w:val="auto"/>
        <w:rPr>
          <w:rFonts w:hint="default" w:ascii="Times New Roman" w:hAnsi="Times New Roman" w:cs="Times New Roman"/>
          <w:color w:val="auto"/>
          <w:sz w:val="24"/>
        </w:rPr>
      </w:pPr>
      <w:r>
        <w:rPr>
          <w:rFonts w:hint="default" w:ascii="Times New Roman" w:hAnsi="Times New Roman" w:cs="Times New Roman"/>
          <w:color w:val="auto"/>
          <w:sz w:val="24"/>
        </w:rPr>
        <w:t>由上表，可得：氧指数为</w:t>
      </w:r>
      <w:r>
        <w:rPr>
          <w:rFonts w:hint="default" w:ascii="Times New Roman" w:hAnsi="Times New Roman" w:cs="Times New Roman"/>
          <w:color w:val="auto"/>
          <w:sz w:val="24"/>
          <w:lang w:val="en-US" w:eastAsia="zh-CN"/>
        </w:rPr>
        <w:t>20</w:t>
      </w:r>
      <w:r>
        <w:rPr>
          <w:rFonts w:hint="default" w:ascii="Times New Roman" w:hAnsi="Times New Roman" w:cs="Times New Roman"/>
          <w:color w:val="auto"/>
          <w:sz w:val="24"/>
        </w:rPr>
        <w:t>%以下时，</w:t>
      </w:r>
      <w:r>
        <w:rPr>
          <w:rFonts w:hint="default" w:ascii="Times New Roman" w:hAnsi="Times New Roman" w:cs="Times New Roman"/>
          <w:color w:val="auto"/>
          <w:sz w:val="24"/>
          <w:lang w:eastAsia="zh-CN"/>
        </w:rPr>
        <w:t>氧指数测量</w:t>
      </w:r>
      <w:r>
        <w:rPr>
          <w:rFonts w:hint="default" w:ascii="Times New Roman" w:hAnsi="Times New Roman" w:cs="Times New Roman"/>
          <w:color w:val="auto"/>
          <w:sz w:val="24"/>
        </w:rPr>
        <w:t>误差</w:t>
      </w:r>
      <w:r>
        <w:rPr>
          <w:rFonts w:hint="default" w:ascii="Times New Roman" w:hAnsi="Times New Roman" w:cs="Times New Roman"/>
          <w:color w:val="auto"/>
          <w:sz w:val="24"/>
          <w:lang w:eastAsia="zh-CN"/>
        </w:rPr>
        <w:t>最大值</w:t>
      </w:r>
      <w:r>
        <w:rPr>
          <w:rFonts w:hint="default" w:ascii="Times New Roman" w:hAnsi="Times New Roman" w:cs="Times New Roman"/>
          <w:color w:val="auto"/>
          <w:sz w:val="24"/>
        </w:rPr>
        <w:t>为</w:t>
      </w:r>
      <w:r>
        <w:rPr>
          <w:rFonts w:hint="default" w:ascii="Times New Roman" w:hAnsi="Times New Roman" w:cs="Times New Roman"/>
          <w:color w:val="auto"/>
          <w:sz w:val="24"/>
          <w:lang w:val="en-US" w:eastAsia="zh-CN"/>
        </w:rPr>
        <w:t>1.3</w:t>
      </w:r>
      <w:r>
        <w:rPr>
          <w:rFonts w:hint="default" w:ascii="Times New Roman" w:hAnsi="Times New Roman" w:cs="Times New Roman"/>
          <w:color w:val="auto"/>
          <w:sz w:val="24"/>
        </w:rPr>
        <w:t>%；氧指数为2</w:t>
      </w:r>
      <w:r>
        <w:rPr>
          <w:rFonts w:hint="default" w:ascii="Times New Roman" w:hAnsi="Times New Roman" w:cs="Times New Roman"/>
          <w:color w:val="auto"/>
          <w:sz w:val="24"/>
          <w:lang w:val="en-US" w:eastAsia="zh-CN"/>
        </w:rPr>
        <w:t>0</w: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~35%</w:t>
      </w:r>
      <w:r>
        <w:rPr>
          <w:rFonts w:hint="default" w:ascii="Times New Roman" w:hAnsi="Times New Roman" w:cs="Times New Roman"/>
          <w:color w:val="auto"/>
          <w:sz w:val="24"/>
        </w:rPr>
        <w:t>时，</w:t>
      </w:r>
      <w:r>
        <w:rPr>
          <w:rFonts w:hint="default" w:ascii="Times New Roman" w:hAnsi="Times New Roman" w:cs="Times New Roman"/>
          <w:color w:val="auto"/>
          <w:sz w:val="24"/>
          <w:lang w:eastAsia="zh-CN"/>
        </w:rPr>
        <w:t>氧指数测量</w:t>
      </w:r>
      <w:r>
        <w:rPr>
          <w:rFonts w:hint="default" w:ascii="Times New Roman" w:hAnsi="Times New Roman" w:cs="Times New Roman"/>
          <w:color w:val="auto"/>
          <w:sz w:val="24"/>
        </w:rPr>
        <w:t>误差</w:t>
      </w:r>
      <w:r>
        <w:rPr>
          <w:rFonts w:hint="default" w:ascii="Times New Roman" w:hAnsi="Times New Roman" w:cs="Times New Roman"/>
          <w:color w:val="auto"/>
          <w:sz w:val="24"/>
          <w:lang w:eastAsia="zh-CN"/>
        </w:rPr>
        <w:t>最大值</w:t>
      </w:r>
      <w:r>
        <w:rPr>
          <w:rFonts w:hint="default" w:ascii="Times New Roman" w:hAnsi="Times New Roman" w:cs="Times New Roman"/>
          <w:color w:val="auto"/>
          <w:sz w:val="24"/>
        </w:rPr>
        <w:t>为</w:t>
      </w:r>
      <w:r>
        <w:rPr>
          <w:rFonts w:hint="default" w:ascii="Times New Roman" w:hAnsi="Times New Roman" w:cs="Times New Roman"/>
          <w:color w:val="auto"/>
          <w:sz w:val="24"/>
          <w:lang w:val="en-US" w:eastAsia="zh-CN"/>
        </w:rPr>
        <w:t>1.7</w:t>
      </w:r>
      <w:r>
        <w:rPr>
          <w:rFonts w:hint="default" w:ascii="Times New Roman" w:hAnsi="Times New Roman" w:cs="Times New Roman"/>
          <w:color w:val="auto"/>
          <w:sz w:val="24"/>
        </w:rPr>
        <w:t>%</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氧指数为</w:t>
      </w:r>
      <w:r>
        <w:rPr>
          <w:rFonts w:hint="default" w:ascii="Times New Roman" w:hAnsi="Times New Roman" w:cs="Times New Roman"/>
          <w:color w:val="auto"/>
          <w:sz w:val="24"/>
          <w:lang w:val="en-US" w:eastAsia="zh-CN"/>
        </w:rPr>
        <w:t>35</w: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以上</w:t>
      </w:r>
      <w:r>
        <w:rPr>
          <w:rFonts w:hint="default" w:ascii="Times New Roman" w:hAnsi="Times New Roman" w:cs="Times New Roman"/>
          <w:color w:val="auto"/>
          <w:sz w:val="24"/>
        </w:rPr>
        <w:t>时，</w:t>
      </w:r>
      <w:r>
        <w:rPr>
          <w:rFonts w:hint="default" w:ascii="Times New Roman" w:hAnsi="Times New Roman" w:cs="Times New Roman"/>
          <w:color w:val="auto"/>
          <w:sz w:val="24"/>
          <w:lang w:eastAsia="zh-CN"/>
        </w:rPr>
        <w:t>氧指数</w:t>
      </w:r>
      <w:r>
        <w:rPr>
          <w:rFonts w:hint="default" w:ascii="Times New Roman" w:hAnsi="Times New Roman" w:cs="Times New Roman"/>
          <w:color w:val="auto"/>
          <w:sz w:val="24"/>
          <w:lang w:val="en-US" w:eastAsia="zh-CN"/>
        </w:rPr>
        <w:t>测量</w:t>
      </w:r>
      <w:r>
        <w:rPr>
          <w:rFonts w:hint="default" w:ascii="Times New Roman" w:hAnsi="Times New Roman" w:cs="Times New Roman"/>
          <w:color w:val="auto"/>
          <w:sz w:val="24"/>
        </w:rPr>
        <w:t>误差</w:t>
      </w:r>
      <w:r>
        <w:rPr>
          <w:rFonts w:hint="default" w:ascii="Times New Roman" w:hAnsi="Times New Roman" w:cs="Times New Roman"/>
          <w:color w:val="auto"/>
          <w:sz w:val="24"/>
          <w:lang w:eastAsia="zh-CN"/>
        </w:rPr>
        <w:t>最大值为</w:t>
      </w:r>
      <w:r>
        <w:rPr>
          <w:rFonts w:hint="default" w:ascii="Times New Roman" w:hAnsi="Times New Roman" w:cs="Times New Roman"/>
          <w:color w:val="auto"/>
          <w:sz w:val="24"/>
          <w:lang w:val="en-US" w:eastAsia="zh-CN"/>
        </w:rPr>
        <w:t>3.6%</w:t>
      </w:r>
      <w:r>
        <w:rPr>
          <w:rFonts w:hint="default" w:ascii="Times New Roman" w:hAnsi="Times New Roman" w:cs="Times New Roman"/>
          <w:color w:val="auto"/>
          <w:sz w:val="24"/>
        </w:rPr>
        <w:t>。</w:t>
      </w:r>
    </w:p>
    <w:p>
      <w:pPr>
        <w:jc w:val="left"/>
        <w:rPr>
          <w:rFonts w:ascii="黑体" w:hAnsi="黑体" w:eastAsia="黑体" w:cs="黑体"/>
          <w:color w:val="auto"/>
          <w:sz w:val="28"/>
          <w:szCs w:val="28"/>
        </w:rPr>
      </w:pPr>
      <w:r>
        <w:rPr>
          <w:rFonts w:hint="eastAsia" w:ascii="黑体" w:hAnsi="黑体" w:eastAsia="黑体" w:cs="黑体"/>
          <w:color w:val="auto"/>
          <w:sz w:val="28"/>
          <w:szCs w:val="28"/>
        </w:rPr>
        <w:t>七、试验结论</w:t>
      </w:r>
    </w:p>
    <w:p>
      <w:pPr>
        <w:pStyle w:val="3"/>
        <w:ind w:right="0" w:firstLine="480" w:firstLineChars="200"/>
        <w:jc w:val="left"/>
        <w:rPr>
          <w:rFonts w:hAnsi="宋体"/>
          <w:color w:val="auto"/>
          <w:sz w:val="24"/>
        </w:rPr>
      </w:pPr>
      <w:r>
        <w:rPr>
          <w:rFonts w:hint="eastAsia" w:ascii="Times New Roman"/>
          <w:color w:val="auto"/>
          <w:sz w:val="24"/>
          <w:lang w:val="en-US" w:eastAsia="zh-CN"/>
        </w:rPr>
        <w:t>本规范规定</w:t>
      </w:r>
      <w:r>
        <w:rPr>
          <w:rFonts w:hint="eastAsia" w:ascii="Times New Roman"/>
          <w:color w:val="auto"/>
          <w:sz w:val="24"/>
        </w:rPr>
        <w:t>氧指数为</w:t>
      </w:r>
      <w:r>
        <w:rPr>
          <w:rFonts w:hint="eastAsia" w:ascii="Times New Roman"/>
          <w:color w:val="auto"/>
          <w:sz w:val="24"/>
          <w:lang w:val="en-US" w:eastAsia="zh-CN"/>
        </w:rPr>
        <w:t>20</w:t>
      </w:r>
      <w:r>
        <w:rPr>
          <w:rFonts w:ascii="Times New Roman"/>
          <w:color w:val="auto"/>
          <w:sz w:val="24"/>
        </w:rPr>
        <w:t>%</w:t>
      </w:r>
      <w:r>
        <w:rPr>
          <w:rFonts w:hint="eastAsia" w:ascii="Times New Roman"/>
          <w:color w:val="auto"/>
          <w:sz w:val="24"/>
        </w:rPr>
        <w:t>以下时，</w:t>
      </w:r>
      <w:r>
        <w:rPr>
          <w:rFonts w:hint="eastAsia" w:ascii="Times New Roman"/>
          <w:color w:val="auto"/>
          <w:sz w:val="24"/>
          <w:lang w:eastAsia="zh-CN"/>
        </w:rPr>
        <w:t>氧指数</w:t>
      </w:r>
      <w:r>
        <w:rPr>
          <w:rFonts w:hint="eastAsia" w:ascii="Times New Roman"/>
          <w:color w:val="auto"/>
          <w:sz w:val="24"/>
          <w:lang w:val="en-US" w:eastAsia="zh-CN"/>
        </w:rPr>
        <w:t>测量</w:t>
      </w:r>
      <w:r>
        <w:rPr>
          <w:rFonts w:hint="eastAsia" w:ascii="Times New Roman"/>
          <w:color w:val="auto"/>
          <w:sz w:val="24"/>
        </w:rPr>
        <w:t>误差</w:t>
      </w:r>
      <w:r>
        <w:rPr>
          <w:rFonts w:ascii="Times New Roman"/>
          <w:color w:val="auto"/>
          <w:sz w:val="24"/>
        </w:rPr>
        <w:t>不超过</w:t>
      </w:r>
      <w:r>
        <w:rPr>
          <w:rFonts w:hint="eastAsia" w:ascii="Times New Roman"/>
          <w:color w:val="auto"/>
          <w:sz w:val="24"/>
          <w:lang w:val="en-US" w:eastAsia="zh-CN"/>
        </w:rPr>
        <w:t>±2%；</w:t>
      </w:r>
      <w:r>
        <w:rPr>
          <w:rFonts w:hint="eastAsia" w:ascii="Times New Roman"/>
          <w:color w:val="auto"/>
          <w:sz w:val="24"/>
        </w:rPr>
        <w:t>氧指数为2</w:t>
      </w:r>
      <w:r>
        <w:rPr>
          <w:rFonts w:hint="eastAsia" w:ascii="Times New Roman"/>
          <w:color w:val="auto"/>
          <w:sz w:val="24"/>
          <w:lang w:val="en-US" w:eastAsia="zh-CN"/>
        </w:rPr>
        <w:t>0</w:t>
      </w:r>
      <w:r>
        <w:rPr>
          <w:rFonts w:ascii="Times New Roman"/>
          <w:color w:val="auto"/>
          <w:sz w:val="24"/>
        </w:rPr>
        <w:t>%</w:t>
      </w:r>
      <w:r>
        <w:rPr>
          <w:rFonts w:hint="eastAsia" w:ascii="Times New Roman"/>
          <w:color w:val="auto"/>
          <w:sz w:val="24"/>
          <w:lang w:val="en-US" w:eastAsia="zh-CN"/>
        </w:rPr>
        <w:t>~35%</w:t>
      </w:r>
      <w:r>
        <w:rPr>
          <w:rFonts w:hint="eastAsia" w:ascii="Times New Roman"/>
          <w:color w:val="auto"/>
          <w:sz w:val="24"/>
        </w:rPr>
        <w:t>时，</w:t>
      </w:r>
      <w:r>
        <w:rPr>
          <w:rFonts w:hint="eastAsia" w:ascii="Times New Roman"/>
          <w:color w:val="auto"/>
          <w:sz w:val="24"/>
          <w:lang w:eastAsia="zh-CN"/>
        </w:rPr>
        <w:t>氧指数</w:t>
      </w:r>
      <w:r>
        <w:rPr>
          <w:rFonts w:hint="eastAsia" w:ascii="Times New Roman"/>
          <w:color w:val="auto"/>
          <w:sz w:val="24"/>
          <w:lang w:val="en-US" w:eastAsia="zh-CN"/>
        </w:rPr>
        <w:t>测量</w:t>
      </w:r>
      <w:r>
        <w:rPr>
          <w:rFonts w:hint="eastAsia" w:ascii="Times New Roman"/>
          <w:color w:val="auto"/>
          <w:sz w:val="24"/>
        </w:rPr>
        <w:t>误差</w:t>
      </w:r>
      <w:r>
        <w:rPr>
          <w:rFonts w:ascii="Times New Roman"/>
          <w:color w:val="auto"/>
          <w:sz w:val="24"/>
        </w:rPr>
        <w:t>不超过</w:t>
      </w:r>
      <w:r>
        <w:rPr>
          <w:rFonts w:hint="eastAsia" w:ascii="Times New Roman"/>
          <w:color w:val="auto"/>
          <w:sz w:val="24"/>
          <w:lang w:val="en-US" w:eastAsia="zh-CN"/>
        </w:rPr>
        <w:t>±4%</w:t>
      </w:r>
      <w:r>
        <w:rPr>
          <w:rFonts w:hint="eastAsia" w:ascii="Times New Roman"/>
          <w:color w:val="auto"/>
          <w:sz w:val="24"/>
          <w:lang w:eastAsia="zh-CN"/>
        </w:rPr>
        <w:t>；</w:t>
      </w:r>
      <w:r>
        <w:rPr>
          <w:rFonts w:hint="eastAsia" w:ascii="Times New Roman"/>
          <w:color w:val="auto"/>
          <w:sz w:val="24"/>
        </w:rPr>
        <w:t>氧指数为</w:t>
      </w:r>
      <w:r>
        <w:rPr>
          <w:rFonts w:hint="eastAsia" w:ascii="Times New Roman"/>
          <w:color w:val="auto"/>
          <w:sz w:val="24"/>
          <w:lang w:val="en-US" w:eastAsia="zh-CN"/>
        </w:rPr>
        <w:t>35</w:t>
      </w:r>
      <w:r>
        <w:rPr>
          <w:rFonts w:ascii="Times New Roman"/>
          <w:color w:val="auto"/>
          <w:sz w:val="24"/>
        </w:rPr>
        <w:t>%</w:t>
      </w:r>
      <w:r>
        <w:rPr>
          <w:rFonts w:hint="eastAsia" w:ascii="Times New Roman"/>
          <w:color w:val="auto"/>
          <w:sz w:val="24"/>
          <w:lang w:val="en-US" w:eastAsia="zh-CN"/>
        </w:rPr>
        <w:t>以上</w:t>
      </w:r>
      <w:r>
        <w:rPr>
          <w:rFonts w:hint="eastAsia" w:ascii="Times New Roman"/>
          <w:color w:val="auto"/>
          <w:sz w:val="24"/>
        </w:rPr>
        <w:t>时，</w:t>
      </w:r>
      <w:r>
        <w:rPr>
          <w:rFonts w:hint="eastAsia" w:ascii="Times New Roman"/>
          <w:color w:val="auto"/>
          <w:sz w:val="24"/>
          <w:lang w:eastAsia="zh-CN"/>
        </w:rPr>
        <w:t>氧指数</w:t>
      </w:r>
      <w:r>
        <w:rPr>
          <w:rFonts w:hint="eastAsia" w:ascii="Times New Roman"/>
          <w:color w:val="auto"/>
          <w:sz w:val="24"/>
          <w:lang w:val="en-US" w:eastAsia="zh-CN"/>
        </w:rPr>
        <w:t>测量</w:t>
      </w:r>
      <w:r>
        <w:rPr>
          <w:rFonts w:hint="eastAsia" w:ascii="Times New Roman"/>
          <w:color w:val="auto"/>
          <w:sz w:val="24"/>
        </w:rPr>
        <w:t>误差</w:t>
      </w:r>
      <w:r>
        <w:rPr>
          <w:rFonts w:ascii="Times New Roman"/>
          <w:color w:val="auto"/>
          <w:sz w:val="24"/>
        </w:rPr>
        <w:t>不超过</w:t>
      </w:r>
      <w:r>
        <w:rPr>
          <w:rFonts w:hint="eastAsia" w:ascii="Times New Roman"/>
          <w:color w:val="auto"/>
          <w:sz w:val="24"/>
          <w:lang w:val="en-US" w:eastAsia="zh-CN"/>
        </w:rPr>
        <w:t>±5%</w:t>
      </w:r>
      <w:r>
        <w:rPr>
          <w:rFonts w:ascii="Times New Roman"/>
          <w:color w:val="auto"/>
          <w:sz w:val="24"/>
        </w:rPr>
        <w:t>。</w:t>
      </w:r>
      <w:r>
        <w:rPr>
          <w:rFonts w:hint="eastAsia" w:hAnsi="宋体"/>
          <w:color w:val="auto"/>
          <w:sz w:val="24"/>
        </w:rPr>
        <w:t>由试验数据可见，</w:t>
      </w:r>
      <w:r>
        <w:rPr>
          <w:rFonts w:hint="eastAsia" w:hAnsi="宋体"/>
          <w:color w:val="auto"/>
          <w:sz w:val="24"/>
          <w:lang w:eastAsia="zh-CN"/>
        </w:rPr>
        <w:t>仪器氧指数测量误差</w:t>
      </w:r>
      <w:r>
        <w:rPr>
          <w:rFonts w:hint="eastAsia" w:hAnsi="宋体"/>
          <w:color w:val="auto"/>
          <w:sz w:val="24"/>
        </w:rPr>
        <w:t>满足要求。</w:t>
      </w:r>
    </w:p>
    <w:p>
      <w:pPr>
        <w:pStyle w:val="3"/>
        <w:ind w:right="0" w:firstLine="480" w:firstLineChars="200"/>
        <w:jc w:val="left"/>
        <w:rPr>
          <w:rFonts w:ascii="Times New Roman"/>
          <w:color w:val="auto"/>
          <w:sz w:val="24"/>
        </w:rPr>
      </w:pPr>
    </w:p>
    <w:p>
      <w:pPr>
        <w:pStyle w:val="3"/>
        <w:ind w:right="0" w:firstLine="480" w:firstLineChars="200"/>
        <w:jc w:val="left"/>
        <w:rPr>
          <w:rFonts w:ascii="Times New Roman"/>
          <w:color w:val="auto"/>
          <w:sz w:val="24"/>
        </w:rPr>
      </w:pPr>
    </w:p>
    <w:p>
      <w:pPr>
        <w:jc w:val="center"/>
        <w:rPr>
          <w:rFonts w:ascii="黑体" w:hAnsi="黑体" w:eastAsia="黑体" w:cs="黑体"/>
          <w:color w:val="auto"/>
          <w:sz w:val="28"/>
          <w:szCs w:val="28"/>
        </w:rPr>
      </w:pPr>
      <w:r>
        <w:rPr>
          <w:rFonts w:hint="eastAsia" w:ascii="黑体" w:hAnsi="黑体" w:eastAsia="黑体" w:cs="黑体"/>
          <w:color w:val="auto"/>
          <w:sz w:val="28"/>
          <w:szCs w:val="28"/>
        </w:rPr>
        <w:t>第</w:t>
      </w:r>
      <w:r>
        <w:rPr>
          <w:rFonts w:hint="eastAsia" w:ascii="黑体" w:hAnsi="黑体" w:eastAsia="黑体" w:cs="黑体"/>
          <w:color w:val="auto"/>
          <w:sz w:val="28"/>
          <w:szCs w:val="28"/>
          <w:lang w:eastAsia="zh-CN"/>
        </w:rPr>
        <w:t>六</w:t>
      </w:r>
      <w:r>
        <w:rPr>
          <w:rFonts w:hint="eastAsia" w:ascii="黑体" w:hAnsi="黑体" w:eastAsia="黑体" w:cs="黑体"/>
          <w:color w:val="auto"/>
          <w:sz w:val="28"/>
          <w:szCs w:val="28"/>
        </w:rPr>
        <w:t>部分  关于</w:t>
      </w:r>
      <w:r>
        <w:rPr>
          <w:rFonts w:hint="eastAsia" w:ascii="黑体" w:hAnsi="黑体" w:eastAsia="黑体" w:cs="黑体"/>
          <w:color w:val="auto"/>
          <w:sz w:val="28"/>
          <w:szCs w:val="28"/>
          <w:lang w:eastAsia="zh-CN"/>
        </w:rPr>
        <w:t>氧指数测量重复性</w:t>
      </w:r>
      <w:r>
        <w:rPr>
          <w:rFonts w:hint="eastAsia" w:ascii="黑体" w:hAnsi="黑体" w:eastAsia="黑体" w:cs="黑体"/>
          <w:color w:val="auto"/>
          <w:sz w:val="28"/>
          <w:szCs w:val="28"/>
        </w:rPr>
        <w:t>的验证试验</w:t>
      </w:r>
    </w:p>
    <w:p>
      <w:pPr>
        <w:jc w:val="left"/>
        <w:rPr>
          <w:rFonts w:ascii="黑体" w:hAnsi="黑体" w:eastAsia="黑体" w:cs="黑体"/>
          <w:color w:val="auto"/>
          <w:sz w:val="28"/>
          <w:szCs w:val="28"/>
        </w:rPr>
      </w:pPr>
      <w:r>
        <w:rPr>
          <w:rFonts w:hint="eastAsia" w:ascii="黑体" w:hAnsi="黑体" w:eastAsia="黑体" w:cs="黑体"/>
          <w:color w:val="auto"/>
          <w:sz w:val="28"/>
          <w:szCs w:val="28"/>
        </w:rPr>
        <w:t>一、试验目的</w:t>
      </w:r>
    </w:p>
    <w:p>
      <w:pPr>
        <w:pStyle w:val="11"/>
        <w:snapToGrid w:val="0"/>
        <w:ind w:right="6" w:firstLine="566" w:firstLineChars="236"/>
        <w:outlineLvl w:val="1"/>
        <w:rPr>
          <w:rFonts w:hAnsi="宋体"/>
          <w:color w:val="auto"/>
          <w:sz w:val="24"/>
        </w:rPr>
      </w:pPr>
      <w:r>
        <w:rPr>
          <w:rFonts w:hint="eastAsia" w:hAnsi="宋体"/>
          <w:color w:val="auto"/>
          <w:sz w:val="24"/>
        </w:rPr>
        <w:t>通过实验数据，观测计量特性数据是否满足起草规范中的计量特性要求，验证起草规范中</w:t>
      </w:r>
      <w:r>
        <w:rPr>
          <w:rFonts w:hint="eastAsia" w:hAnsi="宋体"/>
          <w:color w:val="auto"/>
          <w:sz w:val="24"/>
          <w:lang w:eastAsia="zh-CN"/>
        </w:rPr>
        <w:t>氧指数测量</w:t>
      </w:r>
      <w:r>
        <w:rPr>
          <w:rFonts w:hint="eastAsia" w:hAnsi="宋体"/>
          <w:color w:val="auto"/>
          <w:sz w:val="24"/>
        </w:rPr>
        <w:t>重复性计量特性的合理性。</w:t>
      </w:r>
    </w:p>
    <w:p>
      <w:pPr>
        <w:jc w:val="left"/>
        <w:rPr>
          <w:rFonts w:hint="eastAsia" w:ascii="黑体" w:hAnsi="黑体" w:eastAsia="黑体" w:cs="黑体"/>
          <w:color w:val="auto"/>
          <w:sz w:val="28"/>
          <w:szCs w:val="28"/>
        </w:rPr>
      </w:pPr>
    </w:p>
    <w:p>
      <w:pPr>
        <w:jc w:val="left"/>
        <w:rPr>
          <w:rFonts w:ascii="黑体" w:hAnsi="黑体" w:eastAsia="黑体" w:cs="黑体"/>
          <w:color w:val="auto"/>
          <w:sz w:val="28"/>
          <w:szCs w:val="28"/>
        </w:rPr>
      </w:pPr>
      <w:r>
        <w:rPr>
          <w:rFonts w:hint="eastAsia" w:ascii="黑体" w:hAnsi="黑体" w:eastAsia="黑体" w:cs="黑体"/>
          <w:color w:val="auto"/>
          <w:sz w:val="28"/>
          <w:szCs w:val="28"/>
        </w:rPr>
        <w:t>二、主要试验设备（标准器、校准装置）名称、编号</w:t>
      </w:r>
    </w:p>
    <w:p>
      <w:pPr>
        <w:jc w:val="center"/>
        <w:rPr>
          <w:rFonts w:ascii="黑体" w:hAnsi="黑体" w:eastAsia="黑体" w:cs="黑体"/>
          <w:b/>
          <w:color w:val="auto"/>
          <w:szCs w:val="21"/>
        </w:rPr>
      </w:pPr>
      <w:r>
        <w:rPr>
          <w:rFonts w:hint="eastAsia" w:ascii="黑体" w:hAnsi="黑体" w:eastAsia="黑体" w:cs="黑体"/>
          <w:b/>
          <w:color w:val="auto"/>
          <w:szCs w:val="21"/>
        </w:rPr>
        <w:t>表</w:t>
      </w:r>
      <w:r>
        <w:rPr>
          <w:rFonts w:hint="eastAsia" w:ascii="黑体" w:hAnsi="黑体" w:eastAsia="黑体" w:cs="黑体"/>
          <w:b/>
          <w:color w:val="auto"/>
          <w:szCs w:val="21"/>
          <w:lang w:val="en-US" w:eastAsia="zh-CN"/>
        </w:rPr>
        <w:t>11</w:t>
      </w:r>
      <w:r>
        <w:rPr>
          <w:rFonts w:ascii="黑体" w:hAnsi="黑体" w:eastAsia="黑体" w:cs="黑体"/>
          <w:b/>
          <w:color w:val="auto"/>
          <w:szCs w:val="21"/>
        </w:rPr>
        <w:t xml:space="preserve"> </w:t>
      </w:r>
      <w:r>
        <w:rPr>
          <w:rFonts w:hint="eastAsia" w:ascii="黑体" w:hAnsi="黑体" w:eastAsia="黑体" w:cs="黑体"/>
          <w:b/>
          <w:color w:val="auto"/>
          <w:szCs w:val="21"/>
        </w:rPr>
        <w:t>验证用主要标准物质</w:t>
      </w:r>
    </w:p>
    <w:tbl>
      <w:tblPr>
        <w:tblStyle w:val="7"/>
        <w:tblW w:w="8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276"/>
        <w:gridCol w:w="1134"/>
        <w:gridCol w:w="1701"/>
        <w:gridCol w:w="1672"/>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spacing w:line="360" w:lineRule="auto"/>
              <w:jc w:val="center"/>
              <w:rPr>
                <w:color w:val="auto"/>
                <w:szCs w:val="21"/>
              </w:rPr>
            </w:pPr>
            <w:r>
              <w:rPr>
                <w:rFonts w:hint="eastAsia"/>
                <w:color w:val="auto"/>
                <w:szCs w:val="21"/>
              </w:rPr>
              <w:t>名称</w:t>
            </w:r>
          </w:p>
        </w:tc>
        <w:tc>
          <w:tcPr>
            <w:tcW w:w="1276" w:type="dxa"/>
            <w:vAlign w:val="center"/>
          </w:tcPr>
          <w:p>
            <w:pPr>
              <w:spacing w:line="360" w:lineRule="auto"/>
              <w:jc w:val="center"/>
              <w:rPr>
                <w:color w:val="auto"/>
                <w:szCs w:val="21"/>
              </w:rPr>
            </w:pPr>
            <w:r>
              <w:rPr>
                <w:rFonts w:hint="eastAsia"/>
                <w:color w:val="auto"/>
                <w:szCs w:val="21"/>
              </w:rPr>
              <w:t>测量范围</w:t>
            </w:r>
          </w:p>
        </w:tc>
        <w:tc>
          <w:tcPr>
            <w:tcW w:w="1134" w:type="dxa"/>
            <w:vAlign w:val="center"/>
          </w:tcPr>
          <w:p>
            <w:pPr>
              <w:spacing w:line="360" w:lineRule="auto"/>
              <w:jc w:val="center"/>
              <w:rPr>
                <w:color w:val="auto"/>
                <w:szCs w:val="21"/>
              </w:rPr>
            </w:pPr>
            <w:r>
              <w:rPr>
                <w:rFonts w:hint="eastAsia"/>
                <w:color w:val="auto"/>
                <w:szCs w:val="21"/>
              </w:rPr>
              <w:t>编号</w:t>
            </w:r>
          </w:p>
        </w:tc>
        <w:tc>
          <w:tcPr>
            <w:tcW w:w="1701" w:type="dxa"/>
            <w:vAlign w:val="center"/>
          </w:tcPr>
          <w:p>
            <w:pPr>
              <w:spacing w:line="360" w:lineRule="auto"/>
              <w:jc w:val="center"/>
              <w:rPr>
                <w:color w:val="auto"/>
                <w:szCs w:val="21"/>
              </w:rPr>
            </w:pPr>
            <w:r>
              <w:rPr>
                <w:rFonts w:hint="eastAsia"/>
                <w:color w:val="auto"/>
                <w:szCs w:val="21"/>
              </w:rPr>
              <w:t>技术特征</w:t>
            </w:r>
          </w:p>
        </w:tc>
        <w:tc>
          <w:tcPr>
            <w:tcW w:w="1672" w:type="dxa"/>
            <w:vAlign w:val="center"/>
          </w:tcPr>
          <w:p>
            <w:pPr>
              <w:spacing w:line="360" w:lineRule="auto"/>
              <w:jc w:val="center"/>
              <w:rPr>
                <w:color w:val="auto"/>
                <w:szCs w:val="21"/>
              </w:rPr>
            </w:pPr>
            <w:r>
              <w:rPr>
                <w:rFonts w:hint="eastAsia"/>
                <w:color w:val="auto"/>
                <w:szCs w:val="21"/>
              </w:rPr>
              <w:t>证书号</w:t>
            </w:r>
          </w:p>
        </w:tc>
        <w:tc>
          <w:tcPr>
            <w:tcW w:w="1417" w:type="dxa"/>
            <w:vAlign w:val="center"/>
          </w:tcPr>
          <w:p>
            <w:pPr>
              <w:spacing w:line="360" w:lineRule="auto"/>
              <w:jc w:val="center"/>
              <w:rPr>
                <w:color w:val="auto"/>
                <w:szCs w:val="21"/>
              </w:rPr>
            </w:pPr>
            <w:r>
              <w:rPr>
                <w:rFonts w:hint="eastAsia"/>
                <w:color w:val="auto"/>
                <w:szCs w:val="21"/>
              </w:rPr>
              <w:t>有限期至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pPr>
              <w:rPr>
                <w:rFonts w:ascii="Times New Roman" w:hAnsi="Times New Roman" w:cs="Times New Roman"/>
                <w:color w:val="auto"/>
              </w:rPr>
            </w:pPr>
            <w:r>
              <w:rPr>
                <w:color w:val="auto"/>
              </w:rPr>
              <w:fldChar w:fldCharType="begin"/>
            </w:r>
            <w:r>
              <w:rPr>
                <w:color w:val="auto"/>
              </w:rPr>
              <w:instrText xml:space="preserve"> HYPERLINK "https://www.ncrm.org.cn/Web/Material/Components?autoID=10293&amp;pageIndex=1" </w:instrText>
            </w:r>
            <w:r>
              <w:rPr>
                <w:color w:val="auto"/>
              </w:rPr>
              <w:fldChar w:fldCharType="separate"/>
            </w:r>
            <w:r>
              <w:rPr>
                <w:rFonts w:hint="eastAsia" w:ascii="Times New Roman" w:hAnsi="Times New Roman" w:cs="Times New Roman"/>
                <w:color w:val="auto"/>
              </w:rPr>
              <w:t>软质聚氯乙烯氧指数标准物质</w:t>
            </w:r>
            <w:r>
              <w:rPr>
                <w:rFonts w:hint="eastAsia" w:ascii="Times New Roman" w:hAnsi="Times New Roman" w:cs="Times New Roman"/>
                <w:color w:val="auto"/>
              </w:rPr>
              <w:fldChar w:fldCharType="end"/>
            </w:r>
          </w:p>
        </w:tc>
        <w:tc>
          <w:tcPr>
            <w:tcW w:w="1276" w:type="dxa"/>
            <w:vAlign w:val="center"/>
          </w:tcPr>
          <w:p>
            <w:pPr>
              <w:jc w:val="center"/>
              <w:rPr>
                <w:rFonts w:ascii="Times New Roman" w:hAnsi="Times New Roman" w:cs="Times New Roman"/>
                <w:color w:val="auto"/>
                <w:sz w:val="20"/>
                <w:szCs w:val="20"/>
              </w:rPr>
            </w:pPr>
            <w:r>
              <w:rPr>
                <w:rFonts w:ascii="Times New Roman" w:hAnsi="Times New Roman" w:cs="Times New Roman"/>
                <w:color w:val="auto"/>
                <w:sz w:val="20"/>
                <w:szCs w:val="20"/>
              </w:rPr>
              <w:t>23.</w:t>
            </w:r>
            <w:r>
              <w:rPr>
                <w:rFonts w:hint="eastAsia" w:ascii="Times New Roman" w:hAnsi="Times New Roman" w:cs="Times New Roman"/>
                <w:color w:val="auto"/>
                <w:sz w:val="20"/>
                <w:szCs w:val="20"/>
                <w:lang w:val="en-US" w:eastAsia="zh-CN"/>
              </w:rPr>
              <w:t>3</w:t>
            </w:r>
            <w:r>
              <w:rPr>
                <w:rFonts w:ascii="Times New Roman" w:hAnsi="Times New Roman" w:cs="Times New Roman"/>
                <w:color w:val="auto"/>
                <w:sz w:val="20"/>
                <w:szCs w:val="20"/>
              </w:rPr>
              <w:t>%</w:t>
            </w:r>
          </w:p>
        </w:tc>
        <w:tc>
          <w:tcPr>
            <w:tcW w:w="1134" w:type="dxa"/>
            <w:vAlign w:val="center"/>
          </w:tcPr>
          <w:p>
            <w:pPr>
              <w:jc w:val="center"/>
              <w:rPr>
                <w:rFonts w:ascii="Times New Roman" w:hAnsi="Times New Roman" w:cs="Times New Roman"/>
                <w:color w:val="auto"/>
              </w:rPr>
            </w:pPr>
            <w:r>
              <w:rPr>
                <w:rFonts w:ascii="Times New Roman" w:hAnsi="Times New Roman" w:cs="Times New Roman"/>
                <w:color w:val="auto"/>
              </w:rPr>
              <w:t>/</w:t>
            </w:r>
          </w:p>
        </w:tc>
        <w:tc>
          <w:tcPr>
            <w:tcW w:w="1701" w:type="dxa"/>
            <w:vAlign w:val="center"/>
          </w:tcPr>
          <w:p>
            <w:pPr>
              <w:jc w:val="center"/>
              <w:rPr>
                <w:rFonts w:ascii="Times New Roman" w:hAnsi="Times New Roman" w:cs="Times New Roman"/>
                <w:i/>
                <w:color w:val="auto"/>
              </w:rPr>
            </w:pPr>
            <w:r>
              <w:rPr>
                <w:rFonts w:ascii="Times New Roman" w:hAnsi="Times New Roman" w:cs="Times New Roman"/>
                <w:i/>
                <w:color w:val="auto"/>
              </w:rPr>
              <w:t>U</w:t>
            </w:r>
            <w:r>
              <w:rPr>
                <w:rFonts w:hint="eastAsia" w:ascii="Times New Roman" w:hAnsi="Times New Roman" w:cs="Times New Roman"/>
                <w:i w:val="0"/>
                <w:iCs/>
                <w:color w:val="auto"/>
                <w:vertAlign w:val="subscript"/>
                <w:lang w:val="en-US" w:eastAsia="zh-CN"/>
              </w:rPr>
              <w:t>rel</w:t>
            </w:r>
            <w:r>
              <w:rPr>
                <w:rFonts w:ascii="Times New Roman" w:hAnsi="Times New Roman" w:cs="Times New Roman"/>
                <w:color w:val="auto"/>
              </w:rPr>
              <w:t xml:space="preserve"> = 3%，</w:t>
            </w:r>
            <w:r>
              <w:rPr>
                <w:rFonts w:ascii="Times New Roman" w:hAnsi="Times New Roman" w:cs="Times New Roman"/>
                <w:i/>
                <w:color w:val="auto"/>
              </w:rPr>
              <w:t>k</w:t>
            </w:r>
            <w:r>
              <w:rPr>
                <w:rFonts w:ascii="Times New Roman" w:hAnsi="Times New Roman" w:cs="Times New Roman"/>
                <w:color w:val="auto"/>
              </w:rPr>
              <w:t xml:space="preserve"> = 2</w:t>
            </w:r>
          </w:p>
        </w:tc>
        <w:tc>
          <w:tcPr>
            <w:tcW w:w="1672" w:type="dxa"/>
            <w:vAlign w:val="center"/>
          </w:tcPr>
          <w:p>
            <w:pPr>
              <w:rPr>
                <w:rFonts w:ascii="Times New Roman" w:hAnsi="Times New Roman" w:cs="Times New Roman"/>
                <w:color w:val="auto"/>
              </w:rPr>
            </w:pPr>
            <w:r>
              <w:rPr>
                <w:color w:val="auto"/>
              </w:rPr>
              <w:fldChar w:fldCharType="begin"/>
            </w:r>
            <w:r>
              <w:rPr>
                <w:color w:val="auto"/>
              </w:rPr>
              <w:instrText xml:space="preserve"> HYPERLINK "https://www.ncrm.org.cn/Web/Ordering/MaterialDetail?autoID=10293" \o "软质聚氯乙烯氧指数标准物质" </w:instrText>
            </w:r>
            <w:r>
              <w:rPr>
                <w:color w:val="auto"/>
              </w:rPr>
              <w:fldChar w:fldCharType="separate"/>
            </w:r>
            <w:r>
              <w:rPr>
                <w:rFonts w:hint="eastAsia" w:ascii="Times New Roman" w:hAnsi="Times New Roman" w:cs="Times New Roman"/>
                <w:color w:val="auto"/>
              </w:rPr>
              <w:t>GBW(E)130566</w:t>
            </w:r>
            <w:r>
              <w:rPr>
                <w:rFonts w:hint="eastAsia" w:ascii="Times New Roman" w:hAnsi="Times New Roman" w:cs="Times New Roman"/>
                <w:color w:val="auto"/>
              </w:rPr>
              <w:fldChar w:fldCharType="end"/>
            </w:r>
          </w:p>
        </w:tc>
        <w:tc>
          <w:tcPr>
            <w:tcW w:w="1417" w:type="dxa"/>
            <w:vAlign w:val="center"/>
          </w:tcPr>
          <w:p>
            <w:pPr>
              <w:jc w:val="center"/>
              <w:rPr>
                <w:rFonts w:ascii="Times New Roman" w:hAnsi="Times New Roman" w:cs="Times New Roman"/>
                <w:color w:val="auto"/>
              </w:rPr>
            </w:pPr>
            <w:r>
              <w:rPr>
                <w:rFonts w:hint="eastAsia" w:ascii="Times New Roman" w:hAnsi="Times New Roman" w:cs="Times New Roman"/>
                <w:color w:val="auto"/>
                <w:lang w:val="en-US" w:eastAsia="zh-CN"/>
              </w:rPr>
              <w:t>2028年7月</w:t>
            </w:r>
          </w:p>
        </w:tc>
      </w:tr>
    </w:tbl>
    <w:p>
      <w:pPr>
        <w:jc w:val="left"/>
        <w:rPr>
          <w:rFonts w:ascii="黑体" w:hAnsi="黑体" w:eastAsia="黑体" w:cs="黑体"/>
          <w:color w:val="auto"/>
          <w:sz w:val="28"/>
          <w:szCs w:val="28"/>
        </w:rPr>
      </w:pPr>
      <w:r>
        <w:rPr>
          <w:rFonts w:hint="eastAsia" w:ascii="黑体" w:hAnsi="黑体" w:eastAsia="黑体" w:cs="黑体"/>
          <w:color w:val="auto"/>
          <w:sz w:val="28"/>
          <w:szCs w:val="28"/>
        </w:rPr>
        <w:t>三、试验方法</w:t>
      </w:r>
    </w:p>
    <w:p>
      <w:pPr>
        <w:spacing w:line="360" w:lineRule="auto"/>
        <w:ind w:firstLine="480" w:firstLineChars="200"/>
        <w:rPr>
          <w:rFonts w:ascii="宋体" w:hAnsi="宋体"/>
          <w:color w:val="auto"/>
          <w:sz w:val="24"/>
        </w:rPr>
      </w:pPr>
      <w:r>
        <w:rPr>
          <w:rFonts w:ascii="宋体" w:hAnsi="宋体"/>
          <w:color w:val="auto"/>
          <w:sz w:val="24"/>
        </w:rPr>
        <mc:AlternateContent>
          <mc:Choice Requires="wps">
            <w:drawing>
              <wp:anchor distT="45720" distB="45720" distL="114300" distR="114300" simplePos="0" relativeHeight="251661312" behindDoc="0" locked="0" layoutInCell="1" allowOverlap="1">
                <wp:simplePos x="0" y="0"/>
                <wp:positionH relativeFrom="column">
                  <wp:posOffset>3375660</wp:posOffset>
                </wp:positionH>
                <wp:positionV relativeFrom="paragraph">
                  <wp:posOffset>2847975</wp:posOffset>
                </wp:positionV>
                <wp:extent cx="1405890" cy="1404620"/>
                <wp:effectExtent l="0" t="0" r="3810" b="6350"/>
                <wp:wrapSquare wrapText="bothSides"/>
                <wp:docPr id="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405890" cy="1404620"/>
                        </a:xfrm>
                        <a:prstGeom prst="rect">
                          <a:avLst/>
                        </a:prstGeom>
                        <a:solidFill>
                          <a:srgbClr val="FFFFFF"/>
                        </a:solidFill>
                        <a:ln w="9525">
                          <a:noFill/>
                          <a:miter lim="800000"/>
                        </a:ln>
                      </wps:spPr>
                      <wps:txbx>
                        <w:txbxContent>
                          <w:p>
                            <w:pPr>
                              <w:rPr>
                                <w:b/>
                              </w:rPr>
                            </w:pPr>
                            <w:r>
                              <w:rPr>
                                <w:rFonts w:hint="eastAsia"/>
                                <w:b/>
                              </w:rPr>
                              <w:t>图二 燃烧筒示意图</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265.8pt;margin-top:224.25pt;height:110.6pt;width:110.7pt;mso-wrap-distance-bottom:3.6pt;mso-wrap-distance-left:9pt;mso-wrap-distance-right:9pt;mso-wrap-distance-top:3.6pt;z-index:251661312;mso-width-relative:page;mso-height-relative:margin;mso-height-percent:200;" fillcolor="#FFFFFF" filled="t" stroked="f" coordsize="21600,21600" o:gfxdata="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nHbHa2gAAAAsBAAAPAAAAAAAAAAEAIAAAACIAAABkcnMvZG93&#10;bnJldi54bWxQSwECFAAUAAAACACHTuJA7egejjcCAABTBAAADgAAAAAAAAABACAAAAApAQAAZHJz&#10;L2Uyb0RvYy54bWxQSwUGAAAAAAYABgBZAQAA0gUAAAAA&#10;">
                <v:fill on="t" focussize="0,0"/>
                <v:stroke on="f" miterlimit="8" joinstyle="miter"/>
                <v:imagedata o:title=""/>
                <o:lock v:ext="edit" aspectratio="f"/>
                <v:textbox style="mso-fit-shape-to-text:t;">
                  <w:txbxContent>
                    <w:p>
                      <w:pPr>
                        <w:rPr>
                          <w:b/>
                        </w:rPr>
                      </w:pPr>
                      <w:r>
                        <w:rPr>
                          <w:rFonts w:hint="eastAsia"/>
                          <w:b/>
                        </w:rPr>
                        <w:t>图二 燃烧筒示意图</w:t>
                      </w:r>
                    </w:p>
                  </w:txbxContent>
                </v:textbox>
                <w10:wrap type="square"/>
              </v:shape>
            </w:pict>
          </mc:Fallback>
        </mc:AlternateContent>
      </w:r>
      <w:r>
        <w:rPr>
          <w:rFonts w:ascii="宋体" w:hAnsi="宋体"/>
          <w:color w:val="auto"/>
          <w:sz w:val="24"/>
        </w:rPr>
        <w:drawing>
          <wp:anchor distT="0" distB="0" distL="114300" distR="114300" simplePos="0" relativeHeight="251660288" behindDoc="0" locked="0" layoutInCell="1" allowOverlap="1">
            <wp:simplePos x="0" y="0"/>
            <wp:positionH relativeFrom="column">
              <wp:posOffset>2970530</wp:posOffset>
            </wp:positionH>
            <wp:positionV relativeFrom="paragraph">
              <wp:posOffset>86995</wp:posOffset>
            </wp:positionV>
            <wp:extent cx="2414905" cy="2647315"/>
            <wp:effectExtent l="0" t="0" r="4445" b="127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414905" cy="2647258"/>
                    </a:xfrm>
                    <a:prstGeom prst="rect">
                      <a:avLst/>
                    </a:prstGeom>
                  </pic:spPr>
                </pic:pic>
              </a:graphicData>
            </a:graphic>
          </wp:anchor>
        </w:drawing>
      </w:r>
      <w:r>
        <w:rPr>
          <w:rFonts w:hint="eastAsia" w:ascii="宋体" w:hAnsi="宋体"/>
          <w:color w:val="auto"/>
          <w:sz w:val="24"/>
        </w:rPr>
        <w:t>根据仪器使用操作方法，参考已知氧指数参考值，测定标准物质的氧指数。首先确保燃烧筒处于垂直状态，将氧指数标准物质垂直安装在燃烧筒的中心位置，使标准物质的顶端低于燃烧筒顶口至少1</w:t>
      </w:r>
      <w:r>
        <w:rPr>
          <w:rFonts w:ascii="宋体" w:hAnsi="宋体"/>
          <w:color w:val="auto"/>
          <w:sz w:val="24"/>
        </w:rPr>
        <w:t>00mm</w:t>
      </w:r>
      <w:r>
        <w:rPr>
          <w:rFonts w:hint="eastAsia" w:ascii="宋体" w:hAnsi="宋体"/>
          <w:color w:val="auto"/>
          <w:sz w:val="24"/>
        </w:rPr>
        <w:t>，同时标准物质的最低点的暴露部分要高于燃烧筒基座的气体分散装置的顶面1</w:t>
      </w:r>
      <w:r>
        <w:rPr>
          <w:rFonts w:ascii="宋体" w:hAnsi="宋体"/>
          <w:color w:val="auto"/>
          <w:sz w:val="24"/>
        </w:rPr>
        <w:t>00mm</w:t>
      </w:r>
      <w:r>
        <w:rPr>
          <w:rFonts w:hint="eastAsia" w:ascii="宋体" w:hAnsi="宋体"/>
          <w:color w:val="auto"/>
          <w:sz w:val="24"/>
        </w:rPr>
        <w:t>（见图1）。调节气体混合器和流量，使氧浓度达到设定值，控制流速，用混合气体冲洗燃烧筒3</w:t>
      </w:r>
      <w:r>
        <w:rPr>
          <w:rFonts w:ascii="宋体" w:hAnsi="宋体"/>
          <w:color w:val="auto"/>
          <w:sz w:val="24"/>
        </w:rPr>
        <w:t>0s</w:t>
      </w:r>
      <w:r>
        <w:rPr>
          <w:rFonts w:hint="eastAsia" w:ascii="宋体" w:hAnsi="宋体"/>
          <w:color w:val="auto"/>
          <w:sz w:val="24"/>
        </w:rPr>
        <w:t>。采用顶面点燃法或者扩散点燃法点燃氧指数标准物质，观察火焰及燃烧长度，调整不同氧浓度，根据氧指数计算公式，确定被测标准物质的氧指数。对同一种氧指数标准物质连续重复测量7次。</w:t>
      </w:r>
    </w:p>
    <w:p>
      <w:pPr>
        <w:jc w:val="left"/>
        <w:rPr>
          <w:rFonts w:ascii="黑体" w:hAnsi="黑体" w:eastAsia="黑体" w:cs="黑体"/>
          <w:color w:val="auto"/>
          <w:sz w:val="28"/>
          <w:szCs w:val="28"/>
        </w:rPr>
      </w:pPr>
      <w:r>
        <w:rPr>
          <w:rFonts w:hint="eastAsia" w:ascii="黑体" w:hAnsi="黑体" w:eastAsia="黑体" w:cs="黑体"/>
          <w:color w:val="auto"/>
          <w:sz w:val="28"/>
          <w:szCs w:val="28"/>
        </w:rPr>
        <w:t>四、试验环境条件</w:t>
      </w:r>
    </w:p>
    <w:p>
      <w:pPr>
        <w:widowControl/>
        <w:tabs>
          <w:tab w:val="left" w:pos="3885"/>
        </w:tabs>
        <w:spacing w:line="440" w:lineRule="exact"/>
        <w:ind w:firstLine="480" w:firstLineChars="200"/>
        <w:jc w:val="left"/>
        <w:rPr>
          <w:color w:val="auto"/>
          <w:sz w:val="24"/>
        </w:rPr>
      </w:pPr>
      <w:r>
        <w:rPr>
          <w:rFonts w:hint="eastAsia"/>
          <w:color w:val="auto"/>
          <w:sz w:val="24"/>
        </w:rPr>
        <w:t>环境温度：2</w:t>
      </w:r>
      <w:r>
        <w:rPr>
          <w:color w:val="auto"/>
          <w:sz w:val="24"/>
        </w:rPr>
        <w:t>2.8</w:t>
      </w:r>
      <w:r>
        <w:rPr>
          <w:rFonts w:hint="eastAsia"/>
          <w:color w:val="auto"/>
          <w:sz w:val="24"/>
        </w:rPr>
        <w:t>℃</w:t>
      </w:r>
    </w:p>
    <w:p>
      <w:pPr>
        <w:widowControl/>
        <w:tabs>
          <w:tab w:val="left" w:pos="3885"/>
        </w:tabs>
        <w:spacing w:line="440" w:lineRule="exact"/>
        <w:ind w:firstLine="480" w:firstLineChars="200"/>
        <w:jc w:val="left"/>
        <w:rPr>
          <w:color w:val="auto"/>
          <w:sz w:val="24"/>
        </w:rPr>
      </w:pPr>
      <w:r>
        <w:rPr>
          <w:rFonts w:hint="eastAsia"/>
          <w:color w:val="auto"/>
          <w:sz w:val="24"/>
        </w:rPr>
        <w:t>环境相对湿度：6</w:t>
      </w:r>
      <w:r>
        <w:rPr>
          <w:color w:val="auto"/>
          <w:sz w:val="24"/>
        </w:rPr>
        <w:t>5%RH</w:t>
      </w:r>
    </w:p>
    <w:p>
      <w:pPr>
        <w:widowControl/>
        <w:tabs>
          <w:tab w:val="left" w:pos="3885"/>
        </w:tabs>
        <w:spacing w:line="440" w:lineRule="exact"/>
        <w:ind w:firstLine="480" w:firstLineChars="200"/>
        <w:jc w:val="left"/>
        <w:rPr>
          <w:color w:val="auto"/>
          <w:sz w:val="24"/>
        </w:rPr>
      </w:pPr>
      <w:r>
        <w:rPr>
          <w:color w:val="auto"/>
          <w:sz w:val="24"/>
        </w:rPr>
        <w:t>周围无影响仪器正常工作的电磁</w:t>
      </w:r>
      <w:r>
        <w:rPr>
          <w:rFonts w:hint="eastAsia"/>
          <w:color w:val="auto"/>
          <w:sz w:val="24"/>
        </w:rPr>
        <w:t>干扰</w:t>
      </w:r>
      <w:r>
        <w:rPr>
          <w:color w:val="auto"/>
          <w:sz w:val="24"/>
        </w:rPr>
        <w:t>和机械振动，无腐蚀性</w:t>
      </w:r>
      <w:r>
        <w:rPr>
          <w:rFonts w:hint="eastAsia"/>
          <w:color w:val="auto"/>
          <w:sz w:val="24"/>
          <w:lang w:eastAsia="zh-CN"/>
        </w:rPr>
        <w:t>气体</w:t>
      </w:r>
      <w:r>
        <w:rPr>
          <w:rFonts w:hint="eastAsia"/>
          <w:color w:val="auto"/>
          <w:sz w:val="24"/>
        </w:rPr>
        <w:t>液</w:t>
      </w:r>
      <w:r>
        <w:rPr>
          <w:color w:val="auto"/>
          <w:sz w:val="24"/>
        </w:rPr>
        <w:t>体存在。</w:t>
      </w:r>
    </w:p>
    <w:p>
      <w:pPr>
        <w:jc w:val="left"/>
        <w:rPr>
          <w:rFonts w:ascii="黑体" w:hAnsi="黑体" w:eastAsia="黑体" w:cs="黑体"/>
          <w:color w:val="auto"/>
          <w:sz w:val="28"/>
          <w:szCs w:val="28"/>
        </w:rPr>
      </w:pPr>
      <w:r>
        <w:rPr>
          <w:rFonts w:hint="eastAsia" w:ascii="黑体" w:hAnsi="黑体" w:eastAsia="黑体" w:cs="黑体"/>
          <w:color w:val="auto"/>
          <w:sz w:val="28"/>
          <w:szCs w:val="28"/>
        </w:rPr>
        <w:t>五、试验过程（试验内容）</w:t>
      </w:r>
    </w:p>
    <w:p>
      <w:pPr>
        <w:keepNext w:val="0"/>
        <w:keepLines w:val="0"/>
        <w:pageBreakBefore w:val="0"/>
        <w:widowControl w:val="0"/>
        <w:kinsoku/>
        <w:wordWrap/>
        <w:overflowPunct/>
        <w:topLinePunct w:val="0"/>
        <w:autoSpaceDE/>
        <w:autoSpaceDN/>
        <w:bidi w:val="0"/>
        <w:adjustRightInd/>
        <w:snapToGrid w:val="0"/>
        <w:spacing w:line="440" w:lineRule="exact"/>
        <w:ind w:right="6" w:firstLine="480" w:firstLineChars="200"/>
        <w:textAlignment w:val="auto"/>
        <w:outlineLvl w:val="1"/>
        <w:rPr>
          <w:rFonts w:hint="eastAsia" w:hAnsi="宋体"/>
          <w:color w:val="auto"/>
          <w:sz w:val="24"/>
        </w:rPr>
      </w:pPr>
      <w:r>
        <w:rPr>
          <w:rFonts w:hint="eastAsia" w:hAnsi="宋体"/>
          <w:color w:val="auto"/>
          <w:sz w:val="24"/>
        </w:rPr>
        <w:t>选取如下五个生产厂家生产的氧指数测定仪作为测试对象，分别是：南京市江宁区分析仪器厂（型号JF-3，编号201701007，简称仪器A）、东莞市品高仪器设备有限公司（型号PG5074，编号106654，简称仪器B）、江南正瑞泰邦电子科技有限公司（型号JF-3，编号2016014，简称仪器C）、绍兴市上虞区科南仪器有限公司（型号JF-3，编号2015044，简称仪器D）、济南艾德普仪器有限公司（型号JF-3，编号102154，简称仪器E）。</w:t>
      </w:r>
    </w:p>
    <w:p>
      <w:pPr>
        <w:spacing w:line="360" w:lineRule="auto"/>
        <w:ind w:firstLine="480" w:firstLineChars="200"/>
        <w:rPr>
          <w:color w:val="auto"/>
          <w:sz w:val="24"/>
        </w:rPr>
      </w:pPr>
      <w:r>
        <w:rPr>
          <w:rFonts w:hint="eastAsia" w:hAnsi="宋体"/>
          <w:color w:val="auto"/>
          <w:sz w:val="24"/>
        </w:rPr>
        <w:t>仪器调至正常工作状态后，选取氧指数为</w:t>
      </w:r>
      <w:r>
        <w:rPr>
          <w:rFonts w:hint="eastAsia" w:hAnsi="宋体"/>
          <w:color w:val="auto"/>
          <w:sz w:val="24"/>
          <w:lang w:val="en-US" w:eastAsia="zh-CN"/>
        </w:rPr>
        <w:t>20</w:t>
      </w:r>
      <w:r>
        <w:rPr>
          <w:rFonts w:hint="eastAsia" w:hAnsi="宋体"/>
          <w:color w:val="auto"/>
          <w:sz w:val="24"/>
        </w:rPr>
        <w:t>%~</w:t>
      </w:r>
      <w:r>
        <w:rPr>
          <w:rFonts w:hint="eastAsia" w:hAnsi="宋体"/>
          <w:color w:val="auto"/>
          <w:sz w:val="24"/>
          <w:lang w:val="en-US" w:eastAsia="zh-CN"/>
        </w:rPr>
        <w:t>3</w:t>
      </w:r>
      <w:r>
        <w:rPr>
          <w:rFonts w:hint="eastAsia" w:hAnsi="宋体"/>
          <w:color w:val="auto"/>
          <w:sz w:val="24"/>
        </w:rPr>
        <w:t>5%的标准物质进行连续重复7次测量</w:t>
      </w:r>
      <w:r>
        <w:rPr>
          <w:rFonts w:hint="eastAsia" w:hAnsi="宋体"/>
          <w:color w:val="auto"/>
          <w:sz w:val="24"/>
          <w:lang w:eastAsia="zh-CN"/>
        </w:rPr>
        <w:t>。</w:t>
      </w:r>
    </w:p>
    <w:p>
      <w:pPr>
        <w:jc w:val="left"/>
        <w:rPr>
          <w:rFonts w:ascii="黑体" w:hAnsi="黑体" w:eastAsia="黑体" w:cs="黑体"/>
          <w:color w:val="auto"/>
          <w:sz w:val="28"/>
          <w:szCs w:val="28"/>
        </w:rPr>
      </w:pPr>
      <w:r>
        <w:rPr>
          <w:rFonts w:hint="eastAsia" w:ascii="黑体" w:hAnsi="黑体" w:eastAsia="黑体" w:cs="黑体"/>
          <w:color w:val="auto"/>
          <w:sz w:val="28"/>
          <w:szCs w:val="28"/>
        </w:rPr>
        <w:t>六、试验数据</w:t>
      </w:r>
    </w:p>
    <w:p>
      <w:pPr>
        <w:jc w:val="center"/>
        <w:rPr>
          <w:rFonts w:hint="eastAsia" w:ascii="黑体" w:hAnsi="黑体" w:eastAsia="黑体" w:cs="黑体"/>
          <w:b/>
          <w:color w:val="auto"/>
          <w:szCs w:val="21"/>
          <w:lang w:eastAsia="zh-CN"/>
        </w:rPr>
      </w:pPr>
      <w:r>
        <w:rPr>
          <w:rFonts w:hint="eastAsia" w:ascii="黑体" w:hAnsi="黑体" w:eastAsia="黑体" w:cs="黑体"/>
          <w:b/>
          <w:color w:val="auto"/>
          <w:szCs w:val="21"/>
        </w:rPr>
        <w:t>表</w:t>
      </w:r>
      <w:r>
        <w:rPr>
          <w:rFonts w:hint="eastAsia" w:ascii="黑体" w:hAnsi="黑体" w:eastAsia="黑体" w:cs="黑体"/>
          <w:b/>
          <w:color w:val="auto"/>
          <w:szCs w:val="21"/>
          <w:lang w:val="en-US" w:eastAsia="zh-CN"/>
        </w:rPr>
        <w:t>12 氧指数测量</w:t>
      </w:r>
      <w:r>
        <w:rPr>
          <w:rFonts w:hint="eastAsia" w:ascii="黑体" w:hAnsi="黑体" w:eastAsia="黑体" w:cs="黑体"/>
          <w:b/>
          <w:color w:val="auto"/>
          <w:szCs w:val="21"/>
          <w:lang w:eastAsia="zh-CN"/>
        </w:rPr>
        <w:t>重复性校准数据和结果</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134"/>
        <w:gridCol w:w="840"/>
        <w:gridCol w:w="682"/>
        <w:gridCol w:w="682"/>
        <w:gridCol w:w="682"/>
        <w:gridCol w:w="682"/>
        <w:gridCol w:w="682"/>
        <w:gridCol w:w="682"/>
        <w:gridCol w:w="834"/>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restart"/>
            <w:vAlign w:val="center"/>
          </w:tcPr>
          <w:p>
            <w:pPr>
              <w:jc w:val="center"/>
              <w:rPr>
                <w:color w:val="auto"/>
                <w:szCs w:val="21"/>
              </w:rPr>
            </w:pPr>
            <w:r>
              <w:rPr>
                <w:rFonts w:hint="eastAsia"/>
                <w:color w:val="auto"/>
                <w:szCs w:val="21"/>
              </w:rPr>
              <w:t>仪器</w:t>
            </w:r>
          </w:p>
        </w:tc>
        <w:tc>
          <w:tcPr>
            <w:tcW w:w="1134" w:type="dxa"/>
            <w:vMerge w:val="restart"/>
            <w:shd w:val="clear" w:color="auto" w:fill="auto"/>
          </w:tcPr>
          <w:p>
            <w:pPr>
              <w:jc w:val="center"/>
              <w:rPr>
                <w:color w:val="auto"/>
                <w:szCs w:val="21"/>
              </w:rPr>
            </w:pPr>
            <w:r>
              <w:rPr>
                <w:color w:val="auto"/>
                <w:szCs w:val="21"/>
              </w:rPr>
              <w:t>氧指数参考值（%）</w:t>
            </w:r>
          </w:p>
        </w:tc>
        <w:tc>
          <w:tcPr>
            <w:tcW w:w="4932" w:type="dxa"/>
            <w:gridSpan w:val="7"/>
            <w:shd w:val="clear" w:color="auto" w:fill="auto"/>
          </w:tcPr>
          <w:p>
            <w:pPr>
              <w:jc w:val="center"/>
              <w:rPr>
                <w:color w:val="auto"/>
                <w:szCs w:val="21"/>
              </w:rPr>
            </w:pPr>
            <w:r>
              <w:rPr>
                <w:color w:val="auto"/>
                <w:szCs w:val="21"/>
              </w:rPr>
              <w:t>实校值（%）</w:t>
            </w:r>
          </w:p>
        </w:tc>
        <w:tc>
          <w:tcPr>
            <w:tcW w:w="834" w:type="dxa"/>
            <w:vMerge w:val="restart"/>
            <w:shd w:val="clear" w:color="auto" w:fill="auto"/>
            <w:vAlign w:val="center"/>
          </w:tcPr>
          <w:p>
            <w:pPr>
              <w:jc w:val="center"/>
              <w:rPr>
                <w:color w:val="auto"/>
                <w:szCs w:val="21"/>
              </w:rPr>
            </w:pPr>
            <w:r>
              <w:rPr>
                <w:color w:val="auto"/>
                <w:szCs w:val="21"/>
              </w:rPr>
              <w:t>平均值（%）</w:t>
            </w:r>
          </w:p>
        </w:tc>
        <w:tc>
          <w:tcPr>
            <w:tcW w:w="834" w:type="dxa"/>
            <w:vMerge w:val="restart"/>
            <w:shd w:val="clear" w:color="auto" w:fill="auto"/>
          </w:tcPr>
          <w:p>
            <w:pPr>
              <w:jc w:val="center"/>
              <w:rPr>
                <w:color w:val="auto"/>
                <w:szCs w:val="21"/>
              </w:rPr>
            </w:pPr>
            <w:r>
              <w:rPr>
                <w:rFonts w:hint="eastAsia"/>
                <w:color w:val="auto"/>
                <w:szCs w:val="21"/>
              </w:rPr>
              <w:t>重复性</w:t>
            </w:r>
            <w:r>
              <w:rPr>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Merge w:val="continue"/>
            <w:vAlign w:val="center"/>
          </w:tcPr>
          <w:p>
            <w:pPr>
              <w:jc w:val="center"/>
              <w:rPr>
                <w:color w:val="auto"/>
                <w:szCs w:val="21"/>
              </w:rPr>
            </w:pPr>
          </w:p>
        </w:tc>
        <w:tc>
          <w:tcPr>
            <w:tcW w:w="1134" w:type="dxa"/>
            <w:vMerge w:val="continue"/>
            <w:shd w:val="clear" w:color="auto" w:fill="auto"/>
          </w:tcPr>
          <w:p>
            <w:pPr>
              <w:jc w:val="center"/>
              <w:rPr>
                <w:color w:val="auto"/>
                <w:szCs w:val="21"/>
              </w:rPr>
            </w:pPr>
          </w:p>
        </w:tc>
        <w:tc>
          <w:tcPr>
            <w:tcW w:w="840" w:type="dxa"/>
            <w:shd w:val="clear" w:color="auto" w:fill="auto"/>
          </w:tcPr>
          <w:p>
            <w:pPr>
              <w:jc w:val="center"/>
              <w:rPr>
                <w:color w:val="auto"/>
                <w:szCs w:val="21"/>
              </w:rPr>
            </w:pPr>
            <w:r>
              <w:rPr>
                <w:rFonts w:hint="eastAsia"/>
                <w:color w:val="auto"/>
                <w:szCs w:val="21"/>
              </w:rPr>
              <w:t>1</w:t>
            </w:r>
          </w:p>
        </w:tc>
        <w:tc>
          <w:tcPr>
            <w:tcW w:w="682" w:type="dxa"/>
            <w:shd w:val="clear" w:color="auto" w:fill="auto"/>
          </w:tcPr>
          <w:p>
            <w:pPr>
              <w:jc w:val="center"/>
              <w:rPr>
                <w:color w:val="auto"/>
                <w:szCs w:val="21"/>
              </w:rPr>
            </w:pPr>
            <w:r>
              <w:rPr>
                <w:rFonts w:hint="eastAsia"/>
                <w:color w:val="auto"/>
                <w:szCs w:val="21"/>
              </w:rPr>
              <w:t>2</w:t>
            </w:r>
          </w:p>
        </w:tc>
        <w:tc>
          <w:tcPr>
            <w:tcW w:w="682" w:type="dxa"/>
            <w:shd w:val="clear" w:color="auto" w:fill="auto"/>
          </w:tcPr>
          <w:p>
            <w:pPr>
              <w:jc w:val="center"/>
              <w:rPr>
                <w:color w:val="auto"/>
                <w:szCs w:val="21"/>
              </w:rPr>
            </w:pPr>
            <w:r>
              <w:rPr>
                <w:rFonts w:hint="eastAsia"/>
                <w:color w:val="auto"/>
                <w:szCs w:val="21"/>
              </w:rPr>
              <w:t>3</w:t>
            </w:r>
          </w:p>
        </w:tc>
        <w:tc>
          <w:tcPr>
            <w:tcW w:w="682" w:type="dxa"/>
            <w:shd w:val="clear" w:color="auto" w:fill="auto"/>
          </w:tcPr>
          <w:p>
            <w:pPr>
              <w:jc w:val="center"/>
              <w:rPr>
                <w:color w:val="auto"/>
                <w:szCs w:val="21"/>
              </w:rPr>
            </w:pPr>
            <w:r>
              <w:rPr>
                <w:rFonts w:hint="eastAsia"/>
                <w:color w:val="auto"/>
                <w:szCs w:val="21"/>
              </w:rPr>
              <w:t>4</w:t>
            </w:r>
          </w:p>
        </w:tc>
        <w:tc>
          <w:tcPr>
            <w:tcW w:w="682" w:type="dxa"/>
            <w:shd w:val="clear" w:color="auto" w:fill="auto"/>
          </w:tcPr>
          <w:p>
            <w:pPr>
              <w:jc w:val="center"/>
              <w:rPr>
                <w:color w:val="auto"/>
                <w:szCs w:val="21"/>
              </w:rPr>
            </w:pPr>
            <w:r>
              <w:rPr>
                <w:rFonts w:hint="eastAsia"/>
                <w:color w:val="auto"/>
                <w:szCs w:val="21"/>
              </w:rPr>
              <w:t>5</w:t>
            </w:r>
          </w:p>
        </w:tc>
        <w:tc>
          <w:tcPr>
            <w:tcW w:w="682" w:type="dxa"/>
            <w:shd w:val="clear" w:color="auto" w:fill="auto"/>
          </w:tcPr>
          <w:p>
            <w:pPr>
              <w:jc w:val="center"/>
              <w:rPr>
                <w:color w:val="auto"/>
                <w:szCs w:val="21"/>
              </w:rPr>
            </w:pPr>
            <w:r>
              <w:rPr>
                <w:rFonts w:hint="eastAsia"/>
                <w:color w:val="auto"/>
                <w:szCs w:val="21"/>
              </w:rPr>
              <w:t>6</w:t>
            </w:r>
          </w:p>
        </w:tc>
        <w:tc>
          <w:tcPr>
            <w:tcW w:w="682" w:type="dxa"/>
            <w:shd w:val="clear" w:color="auto" w:fill="auto"/>
          </w:tcPr>
          <w:p>
            <w:pPr>
              <w:jc w:val="center"/>
              <w:rPr>
                <w:color w:val="auto"/>
                <w:szCs w:val="21"/>
              </w:rPr>
            </w:pPr>
            <w:r>
              <w:rPr>
                <w:rFonts w:hint="eastAsia"/>
                <w:color w:val="auto"/>
                <w:szCs w:val="21"/>
              </w:rPr>
              <w:t>7</w:t>
            </w:r>
          </w:p>
        </w:tc>
        <w:tc>
          <w:tcPr>
            <w:tcW w:w="834" w:type="dxa"/>
            <w:vMerge w:val="continue"/>
            <w:shd w:val="clear" w:color="auto" w:fill="auto"/>
          </w:tcPr>
          <w:p>
            <w:pPr>
              <w:jc w:val="center"/>
              <w:rPr>
                <w:color w:val="auto"/>
                <w:szCs w:val="21"/>
              </w:rPr>
            </w:pPr>
          </w:p>
        </w:tc>
        <w:tc>
          <w:tcPr>
            <w:tcW w:w="834" w:type="dxa"/>
            <w:vMerge w:val="continue"/>
            <w:shd w:val="clear" w:color="auto" w:fill="auto"/>
          </w:tcPr>
          <w:p>
            <w:pPr>
              <w:jc w:val="cente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A</w:t>
            </w:r>
          </w:p>
        </w:tc>
        <w:tc>
          <w:tcPr>
            <w:tcW w:w="1134" w:type="dxa"/>
            <w:shd w:val="clear" w:color="auto" w:fill="auto"/>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23.4</w:t>
            </w:r>
          </w:p>
        </w:tc>
        <w:tc>
          <w:tcPr>
            <w:tcW w:w="840"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23.4</w:t>
            </w:r>
          </w:p>
        </w:tc>
        <w:tc>
          <w:tcPr>
            <w:tcW w:w="682"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23.6</w:t>
            </w:r>
          </w:p>
        </w:tc>
        <w:tc>
          <w:tcPr>
            <w:tcW w:w="682"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23.9</w:t>
            </w:r>
          </w:p>
        </w:tc>
        <w:tc>
          <w:tcPr>
            <w:tcW w:w="682"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23.5</w:t>
            </w:r>
          </w:p>
        </w:tc>
        <w:tc>
          <w:tcPr>
            <w:tcW w:w="682"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23.7</w:t>
            </w:r>
          </w:p>
        </w:tc>
        <w:tc>
          <w:tcPr>
            <w:tcW w:w="682"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23.8</w:t>
            </w:r>
          </w:p>
        </w:tc>
        <w:tc>
          <w:tcPr>
            <w:tcW w:w="682"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23.6</w:t>
            </w:r>
          </w:p>
        </w:tc>
        <w:tc>
          <w:tcPr>
            <w:tcW w:w="834"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23.6</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szCs w:val="21"/>
              </w:rPr>
            </w:pPr>
            <w:r>
              <w:rPr>
                <w:rFonts w:hint="default" w:ascii="Times New Roman" w:hAnsi="Times New Roman" w:eastAsia="宋体" w:cs="Times New Roman"/>
                <w:i w:val="0"/>
                <w:iCs w:val="0"/>
                <w:color w:val="auto"/>
                <w:kern w:val="0"/>
                <w:sz w:val="22"/>
                <w:szCs w:val="22"/>
                <w:u w:val="none"/>
                <w:lang w:val="en-US" w:eastAsia="zh-CN" w:bidi="ar"/>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jc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lang w:val="en-US" w:eastAsia="zh-CN"/>
              </w:rPr>
              <w:t>B</w:t>
            </w:r>
          </w:p>
        </w:tc>
        <w:tc>
          <w:tcPr>
            <w:tcW w:w="1134" w:type="dxa"/>
            <w:shd w:val="clear" w:color="auto" w:fill="auto"/>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23.4</w:t>
            </w:r>
          </w:p>
        </w:tc>
        <w:tc>
          <w:tcPr>
            <w:tcW w:w="840"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24.0</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24.2</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24.2</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24.3</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24.4</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24.4</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24.6</w:t>
            </w:r>
          </w:p>
        </w:tc>
        <w:tc>
          <w:tcPr>
            <w:tcW w:w="834"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24.3</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szCs w:val="21"/>
              </w:rPr>
            </w:pPr>
            <w:r>
              <w:rPr>
                <w:rFonts w:hint="default" w:ascii="Times New Roman" w:hAnsi="Times New Roman" w:eastAsia="宋体" w:cs="Times New Roman"/>
                <w:i w:val="0"/>
                <w:iCs w:val="0"/>
                <w:color w:val="auto"/>
                <w:kern w:val="0"/>
                <w:sz w:val="22"/>
                <w:szCs w:val="22"/>
                <w:u w:val="none"/>
                <w:lang w:val="en-US" w:eastAsia="zh-CN" w:bidi="ar"/>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jc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lang w:val="en-US" w:eastAsia="zh-CN"/>
              </w:rPr>
              <w:t>C</w:t>
            </w:r>
          </w:p>
        </w:tc>
        <w:tc>
          <w:tcPr>
            <w:tcW w:w="1134" w:type="dxa"/>
            <w:shd w:val="clear" w:color="auto" w:fill="auto"/>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23.4</w:t>
            </w:r>
          </w:p>
        </w:tc>
        <w:tc>
          <w:tcPr>
            <w:tcW w:w="840"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23.8</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23.5</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23.5</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23.7</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23.6</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23.2</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23.4</w:t>
            </w:r>
          </w:p>
        </w:tc>
        <w:tc>
          <w:tcPr>
            <w:tcW w:w="834"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23.5</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szCs w:val="21"/>
              </w:rPr>
            </w:pPr>
            <w:r>
              <w:rPr>
                <w:rFonts w:hint="default" w:ascii="Times New Roman" w:hAnsi="Times New Roman" w:eastAsia="宋体" w:cs="Times New Roman"/>
                <w:i w:val="0"/>
                <w:iCs w:val="0"/>
                <w:color w:val="auto"/>
                <w:kern w:val="0"/>
                <w:sz w:val="22"/>
                <w:szCs w:val="22"/>
                <w:u w:val="none"/>
                <w:lang w:val="en-US" w:eastAsia="zh-CN" w:bidi="ar"/>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jc w:val="center"/>
              <w:rPr>
                <w:rFonts w:hint="default" w:ascii="Times New Roman" w:hAnsi="Times New Roman" w:cs="Times New Roman" w:eastAsiaTheme="minorEastAsia"/>
                <w:color w:val="auto"/>
                <w:szCs w:val="21"/>
                <w:lang w:val="en-US" w:eastAsia="zh-CN"/>
              </w:rPr>
            </w:pPr>
            <w:r>
              <w:rPr>
                <w:rFonts w:hint="default" w:ascii="Times New Roman" w:hAnsi="Times New Roman" w:cs="Times New Roman"/>
                <w:color w:val="auto"/>
                <w:szCs w:val="21"/>
                <w:lang w:val="en-US" w:eastAsia="zh-CN"/>
              </w:rPr>
              <w:t>D</w:t>
            </w:r>
          </w:p>
        </w:tc>
        <w:tc>
          <w:tcPr>
            <w:tcW w:w="1134" w:type="dxa"/>
            <w:shd w:val="clear" w:color="auto" w:fill="auto"/>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23.4</w:t>
            </w:r>
          </w:p>
        </w:tc>
        <w:tc>
          <w:tcPr>
            <w:tcW w:w="840"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23.7</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24.2</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23.9</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24.1</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24.3</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24.0</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24.5</w:t>
            </w:r>
          </w:p>
        </w:tc>
        <w:tc>
          <w:tcPr>
            <w:tcW w:w="834"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24.1</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szCs w:val="21"/>
              </w:rPr>
            </w:pPr>
            <w:r>
              <w:rPr>
                <w:rFonts w:hint="default" w:ascii="Times New Roman" w:hAnsi="Times New Roman" w:eastAsia="宋体" w:cs="Times New Roman"/>
                <w:i w:val="0"/>
                <w:iCs w:val="0"/>
                <w:color w:val="auto"/>
                <w:kern w:val="0"/>
                <w:sz w:val="22"/>
                <w:szCs w:val="22"/>
                <w:u w:val="none"/>
                <w:lang w:val="en-US" w:eastAsia="zh-CN" w:bidi="ar"/>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2" w:type="dxa"/>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E</w:t>
            </w:r>
          </w:p>
        </w:tc>
        <w:tc>
          <w:tcPr>
            <w:tcW w:w="1134" w:type="dxa"/>
            <w:shd w:val="clear" w:color="auto" w:fill="auto"/>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rPr>
              <w:t>23.4</w:t>
            </w:r>
          </w:p>
        </w:tc>
        <w:tc>
          <w:tcPr>
            <w:tcW w:w="840"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22.9</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23.0</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23.5</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23.2</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22.7</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22.9</w:t>
            </w:r>
          </w:p>
        </w:tc>
        <w:tc>
          <w:tcPr>
            <w:tcW w:w="682" w:type="dxa"/>
            <w:shd w:val="clear" w:color="auto" w:fill="auto"/>
            <w:vAlign w:val="center"/>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23.1</w:t>
            </w:r>
          </w:p>
        </w:tc>
        <w:tc>
          <w:tcPr>
            <w:tcW w:w="834" w:type="dxa"/>
            <w:shd w:val="clear" w:color="auto" w:fill="auto"/>
            <w:vAlign w:val="top"/>
          </w:tcPr>
          <w:p>
            <w:pPr>
              <w:jc w:val="center"/>
              <w:rPr>
                <w:rFonts w:hint="default" w:ascii="Times New Roman" w:hAnsi="Times New Roman" w:cs="Times New Roman"/>
                <w:color w:val="auto"/>
                <w:szCs w:val="21"/>
              </w:rPr>
            </w:pPr>
            <w:r>
              <w:rPr>
                <w:rFonts w:hint="default" w:ascii="Times New Roman" w:hAnsi="Times New Roman" w:cs="Times New Roman"/>
                <w:color w:val="auto"/>
                <w:szCs w:val="21"/>
                <w:lang w:val="en-US" w:eastAsia="zh-CN"/>
              </w:rPr>
              <w:t>23.0</w:t>
            </w:r>
          </w:p>
        </w:tc>
        <w:tc>
          <w:tcPr>
            <w:tcW w:w="834" w:type="dxa"/>
            <w:shd w:val="clear" w:color="auto" w:fill="auto"/>
            <w:vAlign w:val="center"/>
          </w:tcPr>
          <w:p>
            <w:pPr>
              <w:keepNext w:val="0"/>
              <w:keepLines w:val="0"/>
              <w:widowControl/>
              <w:suppressLineNumbers w:val="0"/>
              <w:jc w:val="center"/>
              <w:textAlignment w:val="center"/>
              <w:rPr>
                <w:rFonts w:hint="default" w:ascii="Times New Roman" w:hAnsi="Times New Roman" w:cs="Times New Roman"/>
                <w:color w:val="auto"/>
                <w:szCs w:val="21"/>
              </w:rPr>
            </w:pPr>
            <w:r>
              <w:rPr>
                <w:rFonts w:hint="default" w:ascii="Times New Roman" w:hAnsi="Times New Roman" w:eastAsia="宋体" w:cs="Times New Roman"/>
                <w:i w:val="0"/>
                <w:iCs w:val="0"/>
                <w:color w:val="auto"/>
                <w:kern w:val="0"/>
                <w:sz w:val="22"/>
                <w:szCs w:val="22"/>
                <w:u w:val="none"/>
                <w:lang w:val="en-US" w:eastAsia="zh-CN" w:bidi="ar"/>
              </w:rPr>
              <w:t>1.1</w:t>
            </w:r>
          </w:p>
        </w:tc>
      </w:tr>
    </w:tbl>
    <w:p>
      <w:pPr>
        <w:pStyle w:val="3"/>
        <w:keepNext w:val="0"/>
        <w:keepLines w:val="0"/>
        <w:pageBreakBefore w:val="0"/>
        <w:widowControl w:val="0"/>
        <w:kinsoku/>
        <w:wordWrap/>
        <w:overflowPunct/>
        <w:topLinePunct w:val="0"/>
        <w:autoSpaceDE/>
        <w:autoSpaceDN/>
        <w:bidi w:val="0"/>
        <w:adjustRightInd/>
        <w:snapToGrid w:val="0"/>
        <w:spacing w:before="157" w:beforeLines="50"/>
        <w:ind w:right="0" w:firstLine="480" w:firstLineChars="200"/>
        <w:jc w:val="left"/>
        <w:textAlignment w:val="auto"/>
        <w:rPr>
          <w:rFonts w:ascii="Times New Roman"/>
          <w:color w:val="auto"/>
          <w:sz w:val="24"/>
        </w:rPr>
      </w:pPr>
      <w:r>
        <w:rPr>
          <w:rFonts w:hint="eastAsia" w:hAnsi="宋体"/>
          <w:color w:val="auto"/>
          <w:sz w:val="24"/>
        </w:rPr>
        <w:t>由上表，可得：当</w:t>
      </w:r>
      <w:r>
        <w:rPr>
          <w:rFonts w:hint="eastAsia" w:ascii="Times New Roman"/>
          <w:color w:val="auto"/>
          <w:sz w:val="24"/>
        </w:rPr>
        <w:t>氧指数为</w:t>
      </w:r>
      <w:r>
        <w:rPr>
          <w:rFonts w:hint="eastAsia" w:ascii="Times New Roman"/>
          <w:color w:val="auto"/>
          <w:sz w:val="24"/>
          <w:lang w:val="en-US" w:eastAsia="zh-CN"/>
        </w:rPr>
        <w:t>20</w:t>
      </w:r>
      <w:r>
        <w:rPr>
          <w:rFonts w:hint="eastAsia" w:ascii="Times New Roman"/>
          <w:color w:val="auto"/>
          <w:sz w:val="24"/>
        </w:rPr>
        <w:t>%~</w:t>
      </w:r>
      <w:r>
        <w:rPr>
          <w:rFonts w:hint="eastAsia" w:ascii="Times New Roman"/>
          <w:color w:val="auto"/>
          <w:sz w:val="24"/>
          <w:lang w:val="en-US" w:eastAsia="zh-CN"/>
        </w:rPr>
        <w:t>3</w:t>
      </w:r>
      <w:r>
        <w:rPr>
          <w:rFonts w:hint="eastAsia" w:ascii="Times New Roman"/>
          <w:color w:val="auto"/>
          <w:sz w:val="24"/>
        </w:rPr>
        <w:t>5%</w:t>
      </w:r>
      <w:r>
        <w:rPr>
          <w:rFonts w:hint="eastAsia" w:ascii="Times New Roman"/>
          <w:color w:val="auto"/>
          <w:sz w:val="24"/>
          <w:lang w:eastAsia="zh-CN"/>
        </w:rPr>
        <w:t>时</w:t>
      </w:r>
      <w:r>
        <w:rPr>
          <w:rFonts w:hint="eastAsia" w:ascii="Times New Roman"/>
          <w:color w:val="auto"/>
          <w:sz w:val="24"/>
        </w:rPr>
        <w:t>，</w:t>
      </w:r>
      <w:r>
        <w:rPr>
          <w:rFonts w:hint="eastAsia" w:ascii="Times New Roman"/>
          <w:color w:val="auto"/>
          <w:sz w:val="24"/>
          <w:lang w:eastAsia="zh-CN"/>
        </w:rPr>
        <w:t>氧指数测量</w:t>
      </w:r>
      <w:r>
        <w:rPr>
          <w:rFonts w:hint="eastAsia" w:ascii="Times New Roman"/>
          <w:color w:val="auto"/>
          <w:sz w:val="24"/>
        </w:rPr>
        <w:t>重复性为</w:t>
      </w:r>
      <w:r>
        <w:rPr>
          <w:rFonts w:ascii="Times New Roman"/>
          <w:color w:val="auto"/>
          <w:sz w:val="24"/>
        </w:rPr>
        <w:t>1.</w:t>
      </w:r>
      <w:r>
        <w:rPr>
          <w:rFonts w:hint="eastAsia" w:ascii="Times New Roman"/>
          <w:color w:val="auto"/>
          <w:sz w:val="24"/>
          <w:lang w:val="en-US" w:eastAsia="zh-CN"/>
        </w:rPr>
        <w:t>1</w:t>
      </w:r>
      <w:r>
        <w:rPr>
          <w:rFonts w:ascii="Times New Roman"/>
          <w:color w:val="auto"/>
          <w:sz w:val="24"/>
        </w:rPr>
        <w:t>%。</w:t>
      </w:r>
    </w:p>
    <w:p>
      <w:pPr>
        <w:jc w:val="left"/>
        <w:rPr>
          <w:rFonts w:ascii="黑体" w:hAnsi="黑体" w:eastAsia="黑体" w:cs="黑体"/>
          <w:color w:val="auto"/>
          <w:sz w:val="28"/>
          <w:szCs w:val="28"/>
        </w:rPr>
      </w:pPr>
      <w:r>
        <w:rPr>
          <w:rFonts w:hint="eastAsia" w:ascii="黑体" w:hAnsi="黑体" w:eastAsia="黑体" w:cs="黑体"/>
          <w:color w:val="auto"/>
          <w:sz w:val="28"/>
          <w:szCs w:val="28"/>
        </w:rPr>
        <w:t>七、试验结论</w:t>
      </w:r>
    </w:p>
    <w:p>
      <w:pPr>
        <w:pStyle w:val="3"/>
        <w:ind w:right="0" w:firstLine="480" w:firstLineChars="200"/>
        <w:jc w:val="left"/>
        <w:rPr>
          <w:rFonts w:hint="eastAsia" w:hAnsi="宋体"/>
          <w:color w:val="auto"/>
          <w:sz w:val="24"/>
        </w:rPr>
      </w:pPr>
      <w:r>
        <w:rPr>
          <w:rFonts w:hint="eastAsia" w:hAnsi="宋体"/>
          <w:color w:val="auto"/>
          <w:sz w:val="24"/>
        </w:rPr>
        <w:t>本规范规定</w:t>
      </w:r>
      <w:r>
        <w:rPr>
          <w:rFonts w:hint="eastAsia" w:hAnsi="宋体"/>
          <w:color w:val="auto"/>
          <w:sz w:val="24"/>
          <w:lang w:eastAsia="zh-CN"/>
        </w:rPr>
        <w:t>氧指数测量</w:t>
      </w:r>
      <w:r>
        <w:rPr>
          <w:rFonts w:hint="eastAsia" w:hAnsi="宋体"/>
          <w:color w:val="auto"/>
          <w:sz w:val="24"/>
        </w:rPr>
        <w:t>重复性不超过3%</w:t>
      </w:r>
      <w:r>
        <w:rPr>
          <w:rFonts w:hint="eastAsia" w:ascii="Times New Roman"/>
          <w:color w:val="auto"/>
          <w:sz w:val="24"/>
        </w:rPr>
        <w:t>，</w:t>
      </w:r>
      <w:r>
        <w:rPr>
          <w:rFonts w:hint="eastAsia" w:hAnsi="宋体"/>
          <w:color w:val="auto"/>
          <w:sz w:val="24"/>
        </w:rPr>
        <w:t>由试验数据可见，</w:t>
      </w:r>
      <w:r>
        <w:rPr>
          <w:rFonts w:hint="eastAsia" w:hAnsi="宋体"/>
          <w:color w:val="auto"/>
          <w:sz w:val="24"/>
          <w:lang w:eastAsia="zh-CN"/>
        </w:rPr>
        <w:t>氧指数测量</w:t>
      </w:r>
      <w:r>
        <w:rPr>
          <w:rFonts w:hint="eastAsia" w:hAnsi="宋体"/>
          <w:color w:val="auto"/>
          <w:sz w:val="24"/>
        </w:rPr>
        <w:t>重复性满足要求。</w:t>
      </w:r>
    </w:p>
    <w:p>
      <w:pPr>
        <w:keepNext w:val="0"/>
        <w:keepLines w:val="0"/>
        <w:pageBreakBefore w:val="0"/>
        <w:widowControl w:val="0"/>
        <w:numPr>
          <w:ilvl w:val="0"/>
          <w:numId w:val="6"/>
        </w:numPr>
        <w:kinsoku/>
        <w:wordWrap/>
        <w:overflowPunct/>
        <w:topLinePunct w:val="0"/>
        <w:autoSpaceDE/>
        <w:autoSpaceDN/>
        <w:bidi w:val="0"/>
        <w:adjustRightInd/>
        <w:snapToGrid/>
        <w:spacing w:before="157" w:beforeLines="50" w:after="157" w:afterLines="50"/>
        <w:jc w:val="center"/>
        <w:textAlignment w:val="auto"/>
        <w:rPr>
          <w:rFonts w:hint="eastAsia" w:ascii="黑体" w:hAnsi="黑体" w:eastAsia="黑体" w:cs="黑体"/>
          <w:color w:val="auto"/>
          <w:sz w:val="28"/>
          <w:szCs w:val="28"/>
        </w:rPr>
      </w:pPr>
      <w:r>
        <w:rPr>
          <w:rFonts w:ascii="黑体" w:hAnsi="黑体" w:eastAsia="黑体" w:cs="黑体"/>
          <w:color w:val="auto"/>
          <w:sz w:val="28"/>
          <w:szCs w:val="28"/>
        </w:rPr>
        <w:t xml:space="preserve"> </w:t>
      </w:r>
      <w:r>
        <w:rPr>
          <w:rFonts w:hint="eastAsia" w:ascii="黑体" w:hAnsi="黑体" w:eastAsia="黑体" w:cs="黑体"/>
          <w:color w:val="auto"/>
          <w:sz w:val="28"/>
          <w:szCs w:val="28"/>
        </w:rPr>
        <w:t>试验报告总结论</w:t>
      </w:r>
    </w:p>
    <w:p>
      <w:pPr>
        <w:snapToGrid w:val="0"/>
        <w:spacing w:line="440" w:lineRule="exact"/>
        <w:ind w:right="6" w:firstLine="424" w:firstLineChars="177"/>
        <w:outlineLvl w:val="1"/>
        <w:rPr>
          <w:rFonts w:hAnsi="宋体"/>
          <w:color w:val="auto"/>
          <w:sz w:val="24"/>
        </w:rPr>
      </w:pPr>
      <w:r>
        <w:rPr>
          <w:rFonts w:hint="eastAsia" w:hAnsi="宋体"/>
          <w:color w:val="auto"/>
          <w:sz w:val="24"/>
        </w:rPr>
        <w:t>根据校准规范编制原则，确定校准规范主要内容（如计量特性、校准条件、校准项目、校准方法、公式、不确定度评定等），通过以上的试验报告和验证数据，验证了本规范提出的校准用设备、计量性能规定等符合规范提出的范围区间。证明了本校准规范的指标参数、技术要求、试验方法等内容是能够充分满足目前在用的氧指数测定仪的技术要求，最终试验验证的结论是校准规范是科学的、具有很好的可操作性、可执行性和实用性。</w:t>
      </w:r>
    </w:p>
    <w:sectPr>
      <w:footerReference r:id="rId3" w:type="default"/>
      <w:pgSz w:w="11906" w:h="16838"/>
      <w:pgMar w:top="1440" w:right="1800" w:bottom="1440" w:left="1800" w:header="851" w:footer="992" w:gutter="0"/>
      <w:pgNumType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5"/>
                          </w:pPr>
                          <w:r>
                            <w:fldChar w:fldCharType="begin"/>
                          </w:r>
                          <w:r>
                            <w:instrText xml:space="preserve"> PAGE  \* MERGEFORMAT </w:instrText>
                          </w:r>
                          <w:r>
                            <w:fldChar w:fldCharType="separate"/>
                          </w:r>
                          <w:r>
                            <w:t>16</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tbuXfQAAAAAgEAAA8AAAAAAAAAAQAgAAAAIgAAAGRycy9kb3ducmV2LnhtbFBLAQIUABQA&#10;AAAIAIdO4kBp9mqe+AEAAAAEAAAOAAAAAAAAAAEAIAAAAB8BAABkcnMvZTJvRG9jLnhtbFBLBQYA&#10;AAAABgAGAFkBAACJBQ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28CE9E"/>
    <w:multiLevelType w:val="singleLevel"/>
    <w:tmpl w:val="B528CE9E"/>
    <w:lvl w:ilvl="0" w:tentative="0">
      <w:start w:val="7"/>
      <w:numFmt w:val="chineseCounting"/>
      <w:suff w:val="space"/>
      <w:lvlText w:val="第%1部分"/>
      <w:lvlJc w:val="left"/>
      <w:rPr>
        <w:rFonts w:hint="eastAsia"/>
      </w:rPr>
    </w:lvl>
  </w:abstractNum>
  <w:abstractNum w:abstractNumId="1">
    <w:nsid w:val="E42689C8"/>
    <w:multiLevelType w:val="singleLevel"/>
    <w:tmpl w:val="E42689C8"/>
    <w:lvl w:ilvl="0" w:tentative="0">
      <w:start w:val="1"/>
      <w:numFmt w:val="chineseCounting"/>
      <w:suff w:val="space"/>
      <w:lvlText w:val="第%1部分"/>
      <w:lvlJc w:val="left"/>
      <w:rPr>
        <w:rFonts w:hint="eastAsia"/>
      </w:rPr>
    </w:lvl>
  </w:abstractNum>
  <w:abstractNum w:abstractNumId="2">
    <w:nsid w:val="290B66C8"/>
    <w:multiLevelType w:val="singleLevel"/>
    <w:tmpl w:val="290B66C8"/>
    <w:lvl w:ilvl="0" w:tentative="0">
      <w:start w:val="1"/>
      <w:numFmt w:val="chineseCounting"/>
      <w:suff w:val="nothing"/>
      <w:lvlText w:val="%1、"/>
      <w:lvlJc w:val="left"/>
      <w:rPr>
        <w:rFonts w:hint="eastAsia"/>
        <w:lang w:val="en-US"/>
      </w:rPr>
    </w:lvl>
  </w:abstractNum>
  <w:abstractNum w:abstractNumId="3">
    <w:nsid w:val="384030AD"/>
    <w:multiLevelType w:val="multilevel"/>
    <w:tmpl w:val="384030AD"/>
    <w:lvl w:ilvl="0" w:tentative="0">
      <w:start w:val="1"/>
      <w:numFmt w:val="ideographDigital"/>
      <w:pStyle w:val="2"/>
      <w:lvlText w:val="第%1部分"/>
      <w:lvlJc w:val="left"/>
      <w:pPr>
        <w:tabs>
          <w:tab w:val="left" w:pos="6205"/>
        </w:tabs>
        <w:ind w:left="3403"/>
      </w:pPr>
      <w:rPr>
        <w:rFonts w:hint="eastAsia" w:eastAsia="宋体"/>
        <w:b w:val="0"/>
        <w:bCs w:val="0"/>
        <w:i w:val="0"/>
        <w:iCs w:val="0"/>
        <w:sz w:val="24"/>
        <w:szCs w:val="24"/>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638745C2"/>
    <w:multiLevelType w:val="singleLevel"/>
    <w:tmpl w:val="638745C2"/>
    <w:lvl w:ilvl="0" w:tentative="0">
      <w:start w:val="3"/>
      <w:numFmt w:val="chineseCounting"/>
      <w:suff w:val="space"/>
      <w:lvlText w:val="第%1部分"/>
      <w:lvlJc w:val="left"/>
      <w:rPr>
        <w:rFonts w:hint="eastAsia"/>
      </w:rPr>
    </w:lvl>
  </w:abstractNum>
  <w:abstractNum w:abstractNumId="5">
    <w:nsid w:val="7D2C4448"/>
    <w:multiLevelType w:val="multilevel"/>
    <w:tmpl w:val="7D2C4448"/>
    <w:lvl w:ilvl="0" w:tentative="0">
      <w:start w:val="1"/>
      <w:numFmt w:val="japaneseCounting"/>
      <w:lvlText w:val="%1、"/>
      <w:lvlJc w:val="left"/>
      <w:pPr>
        <w:ind w:left="570" w:hanging="57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NiMWEwNWMyNTdlOGVkMjQ4ZTM0NGE2MTM5ZTI5NjcifQ=="/>
  </w:docVars>
  <w:rsids>
    <w:rsidRoot w:val="1CD22296"/>
    <w:rsid w:val="000029B6"/>
    <w:rsid w:val="000064A7"/>
    <w:rsid w:val="00035DF8"/>
    <w:rsid w:val="000520F4"/>
    <w:rsid w:val="0007749A"/>
    <w:rsid w:val="000A5646"/>
    <w:rsid w:val="000C1A79"/>
    <w:rsid w:val="000C42B1"/>
    <w:rsid w:val="000C5087"/>
    <w:rsid w:val="000C6090"/>
    <w:rsid w:val="000D0F01"/>
    <w:rsid w:val="0014001E"/>
    <w:rsid w:val="00157668"/>
    <w:rsid w:val="00173724"/>
    <w:rsid w:val="001B0316"/>
    <w:rsid w:val="001E2B70"/>
    <w:rsid w:val="001F2976"/>
    <w:rsid w:val="002172FF"/>
    <w:rsid w:val="00217F84"/>
    <w:rsid w:val="00230E97"/>
    <w:rsid w:val="002330A6"/>
    <w:rsid w:val="0024643F"/>
    <w:rsid w:val="00261617"/>
    <w:rsid w:val="00263D7D"/>
    <w:rsid w:val="00280967"/>
    <w:rsid w:val="00286308"/>
    <w:rsid w:val="002934D3"/>
    <w:rsid w:val="002A5AD1"/>
    <w:rsid w:val="002C3A71"/>
    <w:rsid w:val="002F0E6C"/>
    <w:rsid w:val="00310D6C"/>
    <w:rsid w:val="003305A6"/>
    <w:rsid w:val="0033206C"/>
    <w:rsid w:val="00342131"/>
    <w:rsid w:val="003641CF"/>
    <w:rsid w:val="00380CE1"/>
    <w:rsid w:val="003944D5"/>
    <w:rsid w:val="003A4F70"/>
    <w:rsid w:val="003B0323"/>
    <w:rsid w:val="003B0C77"/>
    <w:rsid w:val="003E32A5"/>
    <w:rsid w:val="003E63F6"/>
    <w:rsid w:val="003F1D2C"/>
    <w:rsid w:val="003F3785"/>
    <w:rsid w:val="00401EC4"/>
    <w:rsid w:val="00413E0D"/>
    <w:rsid w:val="00427524"/>
    <w:rsid w:val="00430622"/>
    <w:rsid w:val="00440018"/>
    <w:rsid w:val="00473137"/>
    <w:rsid w:val="004744AB"/>
    <w:rsid w:val="00497DCD"/>
    <w:rsid w:val="004C0A49"/>
    <w:rsid w:val="004E4DF9"/>
    <w:rsid w:val="004F353C"/>
    <w:rsid w:val="004F6825"/>
    <w:rsid w:val="00506B3A"/>
    <w:rsid w:val="00517103"/>
    <w:rsid w:val="00537975"/>
    <w:rsid w:val="005A5847"/>
    <w:rsid w:val="005B6667"/>
    <w:rsid w:val="005D012E"/>
    <w:rsid w:val="005D4C12"/>
    <w:rsid w:val="00612495"/>
    <w:rsid w:val="00612934"/>
    <w:rsid w:val="006139B4"/>
    <w:rsid w:val="0063516E"/>
    <w:rsid w:val="006357AB"/>
    <w:rsid w:val="00644E5B"/>
    <w:rsid w:val="006509B3"/>
    <w:rsid w:val="006557CF"/>
    <w:rsid w:val="006831BE"/>
    <w:rsid w:val="0068497D"/>
    <w:rsid w:val="006872E1"/>
    <w:rsid w:val="006B406F"/>
    <w:rsid w:val="00713FEF"/>
    <w:rsid w:val="00715E6E"/>
    <w:rsid w:val="00715FB2"/>
    <w:rsid w:val="00755EF5"/>
    <w:rsid w:val="007D40DA"/>
    <w:rsid w:val="007E62EA"/>
    <w:rsid w:val="008174DD"/>
    <w:rsid w:val="00832D84"/>
    <w:rsid w:val="0083359A"/>
    <w:rsid w:val="00842162"/>
    <w:rsid w:val="00880858"/>
    <w:rsid w:val="00891865"/>
    <w:rsid w:val="008A0614"/>
    <w:rsid w:val="008A0817"/>
    <w:rsid w:val="008A1575"/>
    <w:rsid w:val="008B3A8E"/>
    <w:rsid w:val="008C46AF"/>
    <w:rsid w:val="008D3FC4"/>
    <w:rsid w:val="008D56B4"/>
    <w:rsid w:val="008F5863"/>
    <w:rsid w:val="00922898"/>
    <w:rsid w:val="0092454A"/>
    <w:rsid w:val="00931CD8"/>
    <w:rsid w:val="00935EFA"/>
    <w:rsid w:val="00973C1A"/>
    <w:rsid w:val="00980604"/>
    <w:rsid w:val="0098597C"/>
    <w:rsid w:val="00986AEC"/>
    <w:rsid w:val="009A34A8"/>
    <w:rsid w:val="009C3BB3"/>
    <w:rsid w:val="009E0CEA"/>
    <w:rsid w:val="009F72A6"/>
    <w:rsid w:val="00A00C5A"/>
    <w:rsid w:val="00A16E35"/>
    <w:rsid w:val="00A47DB8"/>
    <w:rsid w:val="00A528C8"/>
    <w:rsid w:val="00A63F02"/>
    <w:rsid w:val="00A770CB"/>
    <w:rsid w:val="00AD3C1E"/>
    <w:rsid w:val="00AD7668"/>
    <w:rsid w:val="00AE2AFF"/>
    <w:rsid w:val="00AE3E28"/>
    <w:rsid w:val="00B72AC9"/>
    <w:rsid w:val="00BA1DB4"/>
    <w:rsid w:val="00BA314C"/>
    <w:rsid w:val="00BF69A3"/>
    <w:rsid w:val="00C0122F"/>
    <w:rsid w:val="00C27AE2"/>
    <w:rsid w:val="00C353CA"/>
    <w:rsid w:val="00C379D5"/>
    <w:rsid w:val="00C44A9C"/>
    <w:rsid w:val="00CA05F2"/>
    <w:rsid w:val="00CB2928"/>
    <w:rsid w:val="00CC0933"/>
    <w:rsid w:val="00CE6715"/>
    <w:rsid w:val="00CF0A61"/>
    <w:rsid w:val="00D1289A"/>
    <w:rsid w:val="00D14B65"/>
    <w:rsid w:val="00D2710C"/>
    <w:rsid w:val="00D358BE"/>
    <w:rsid w:val="00D54405"/>
    <w:rsid w:val="00D60EDD"/>
    <w:rsid w:val="00D7225F"/>
    <w:rsid w:val="00D75CA4"/>
    <w:rsid w:val="00D75E6F"/>
    <w:rsid w:val="00DA39F6"/>
    <w:rsid w:val="00DA56FF"/>
    <w:rsid w:val="00DB4FD0"/>
    <w:rsid w:val="00DD7226"/>
    <w:rsid w:val="00DF2728"/>
    <w:rsid w:val="00DF795D"/>
    <w:rsid w:val="00DF7AA6"/>
    <w:rsid w:val="00E00292"/>
    <w:rsid w:val="00E32600"/>
    <w:rsid w:val="00E372B3"/>
    <w:rsid w:val="00E52F76"/>
    <w:rsid w:val="00E6076F"/>
    <w:rsid w:val="00E626DA"/>
    <w:rsid w:val="00E7520E"/>
    <w:rsid w:val="00E80728"/>
    <w:rsid w:val="00EB4B11"/>
    <w:rsid w:val="00EB7AF3"/>
    <w:rsid w:val="00EC4087"/>
    <w:rsid w:val="00F15C7C"/>
    <w:rsid w:val="00F41487"/>
    <w:rsid w:val="00F45316"/>
    <w:rsid w:val="00F6056D"/>
    <w:rsid w:val="00F619FB"/>
    <w:rsid w:val="00FC47B7"/>
    <w:rsid w:val="00FC67B6"/>
    <w:rsid w:val="00FC78FB"/>
    <w:rsid w:val="00FF500B"/>
    <w:rsid w:val="020C18A5"/>
    <w:rsid w:val="02160546"/>
    <w:rsid w:val="021B1742"/>
    <w:rsid w:val="021F7736"/>
    <w:rsid w:val="03273584"/>
    <w:rsid w:val="03D32DBC"/>
    <w:rsid w:val="04A02456"/>
    <w:rsid w:val="04EE27CC"/>
    <w:rsid w:val="05BF2E00"/>
    <w:rsid w:val="05C329FB"/>
    <w:rsid w:val="06540040"/>
    <w:rsid w:val="071E1CFA"/>
    <w:rsid w:val="07A54C70"/>
    <w:rsid w:val="080518EA"/>
    <w:rsid w:val="08E31139"/>
    <w:rsid w:val="09DB5771"/>
    <w:rsid w:val="0A425376"/>
    <w:rsid w:val="0AC212BD"/>
    <w:rsid w:val="0B915802"/>
    <w:rsid w:val="0C641BA6"/>
    <w:rsid w:val="0DCB4827"/>
    <w:rsid w:val="0E95611C"/>
    <w:rsid w:val="0F450F14"/>
    <w:rsid w:val="0F610145"/>
    <w:rsid w:val="109633CE"/>
    <w:rsid w:val="10A33419"/>
    <w:rsid w:val="10AB4315"/>
    <w:rsid w:val="128617AE"/>
    <w:rsid w:val="13F308DC"/>
    <w:rsid w:val="174B2743"/>
    <w:rsid w:val="18303F67"/>
    <w:rsid w:val="188776FA"/>
    <w:rsid w:val="19D06CCC"/>
    <w:rsid w:val="1A1E56B4"/>
    <w:rsid w:val="1AC67DC7"/>
    <w:rsid w:val="1C4914D7"/>
    <w:rsid w:val="1CD22296"/>
    <w:rsid w:val="1D603E6E"/>
    <w:rsid w:val="1E214CE3"/>
    <w:rsid w:val="1E21547E"/>
    <w:rsid w:val="1E904486"/>
    <w:rsid w:val="212705E9"/>
    <w:rsid w:val="2144047A"/>
    <w:rsid w:val="22B05A5F"/>
    <w:rsid w:val="235D237E"/>
    <w:rsid w:val="238D1379"/>
    <w:rsid w:val="23DE3E9B"/>
    <w:rsid w:val="268679BE"/>
    <w:rsid w:val="277A4D21"/>
    <w:rsid w:val="288477C4"/>
    <w:rsid w:val="2A21212F"/>
    <w:rsid w:val="2B0353C4"/>
    <w:rsid w:val="2B3D31A2"/>
    <w:rsid w:val="2CA30506"/>
    <w:rsid w:val="2CD02AE5"/>
    <w:rsid w:val="2F772F8E"/>
    <w:rsid w:val="2FDD4BEE"/>
    <w:rsid w:val="30BC72FA"/>
    <w:rsid w:val="31AA3F82"/>
    <w:rsid w:val="31BA6567"/>
    <w:rsid w:val="339744FD"/>
    <w:rsid w:val="34BB54B2"/>
    <w:rsid w:val="35CB3D4B"/>
    <w:rsid w:val="36F45119"/>
    <w:rsid w:val="374A3D4E"/>
    <w:rsid w:val="37710444"/>
    <w:rsid w:val="37BD3D37"/>
    <w:rsid w:val="37BE2352"/>
    <w:rsid w:val="3AA247C4"/>
    <w:rsid w:val="3BF332F8"/>
    <w:rsid w:val="3BFA3C00"/>
    <w:rsid w:val="3C0D1D7C"/>
    <w:rsid w:val="3D24289F"/>
    <w:rsid w:val="3DA13EE2"/>
    <w:rsid w:val="3F2B6659"/>
    <w:rsid w:val="3FAD4994"/>
    <w:rsid w:val="3FCB6794"/>
    <w:rsid w:val="3FDF6807"/>
    <w:rsid w:val="40003EEA"/>
    <w:rsid w:val="4013215E"/>
    <w:rsid w:val="41360336"/>
    <w:rsid w:val="41606EB9"/>
    <w:rsid w:val="418829F6"/>
    <w:rsid w:val="418B1BA5"/>
    <w:rsid w:val="4476106F"/>
    <w:rsid w:val="476E0DAE"/>
    <w:rsid w:val="48C34117"/>
    <w:rsid w:val="4BBA2ACA"/>
    <w:rsid w:val="4C4B3B20"/>
    <w:rsid w:val="4C642AF1"/>
    <w:rsid w:val="4CC23D02"/>
    <w:rsid w:val="4DB841F3"/>
    <w:rsid w:val="4DF20C1A"/>
    <w:rsid w:val="4F5F0057"/>
    <w:rsid w:val="501E3885"/>
    <w:rsid w:val="522448C9"/>
    <w:rsid w:val="52743DFC"/>
    <w:rsid w:val="528A1A48"/>
    <w:rsid w:val="53707FD1"/>
    <w:rsid w:val="53985C8B"/>
    <w:rsid w:val="54087EF5"/>
    <w:rsid w:val="54360D3E"/>
    <w:rsid w:val="55D928FC"/>
    <w:rsid w:val="560D6608"/>
    <w:rsid w:val="56A05D3D"/>
    <w:rsid w:val="56DB235D"/>
    <w:rsid w:val="579C7F96"/>
    <w:rsid w:val="57BC339C"/>
    <w:rsid w:val="58211D1D"/>
    <w:rsid w:val="58DA7E75"/>
    <w:rsid w:val="59556A11"/>
    <w:rsid w:val="599B3FAE"/>
    <w:rsid w:val="5D992059"/>
    <w:rsid w:val="5DA24D1C"/>
    <w:rsid w:val="5E3F135B"/>
    <w:rsid w:val="5F3C59C2"/>
    <w:rsid w:val="611B327E"/>
    <w:rsid w:val="614258E3"/>
    <w:rsid w:val="61A10779"/>
    <w:rsid w:val="62794A9E"/>
    <w:rsid w:val="62FE221E"/>
    <w:rsid w:val="63796F15"/>
    <w:rsid w:val="63FA6EBC"/>
    <w:rsid w:val="660E0612"/>
    <w:rsid w:val="673D2808"/>
    <w:rsid w:val="675E6589"/>
    <w:rsid w:val="69F0474B"/>
    <w:rsid w:val="6AD265BB"/>
    <w:rsid w:val="6BBA5AAD"/>
    <w:rsid w:val="6C6B6BA9"/>
    <w:rsid w:val="6E8858BE"/>
    <w:rsid w:val="6EC026CD"/>
    <w:rsid w:val="6ED80AC4"/>
    <w:rsid w:val="6EE76A41"/>
    <w:rsid w:val="6EF07382"/>
    <w:rsid w:val="6F0C1A1F"/>
    <w:rsid w:val="6F4C72E8"/>
    <w:rsid w:val="7219520E"/>
    <w:rsid w:val="7317106C"/>
    <w:rsid w:val="73882104"/>
    <w:rsid w:val="74673C93"/>
    <w:rsid w:val="75800FFB"/>
    <w:rsid w:val="768A49DF"/>
    <w:rsid w:val="76B45ADD"/>
    <w:rsid w:val="77030836"/>
    <w:rsid w:val="772B2A3B"/>
    <w:rsid w:val="77C45853"/>
    <w:rsid w:val="77CF5614"/>
    <w:rsid w:val="7A6B4218"/>
    <w:rsid w:val="7B9B27B4"/>
    <w:rsid w:val="7BA935DC"/>
    <w:rsid w:val="7C574721"/>
    <w:rsid w:val="7D0D40B8"/>
    <w:rsid w:val="7E977155"/>
    <w:rsid w:val="7EE47CE7"/>
    <w:rsid w:val="7F7C25AB"/>
    <w:rsid w:val="7F7D2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9"/>
    <w:pPr>
      <w:keepNext/>
      <w:keepLines/>
      <w:numPr>
        <w:ilvl w:val="0"/>
        <w:numId w:val="1"/>
      </w:numPr>
      <w:tabs>
        <w:tab w:val="left" w:pos="2802"/>
        <w:tab w:val="left" w:pos="4220"/>
      </w:tabs>
      <w:spacing w:before="260" w:after="260" w:line="416" w:lineRule="auto"/>
      <w:outlineLvl w:val="1"/>
    </w:pPr>
    <w:rPr>
      <w:rFonts w:ascii="Arial" w:hAnsi="Arial" w:eastAsia="黑体" w:cs="Arial"/>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snapToGrid w:val="0"/>
      <w:spacing w:line="360" w:lineRule="auto"/>
      <w:ind w:right="1286" w:firstLine="1620"/>
    </w:pPr>
    <w:rPr>
      <w:rFonts w:ascii="宋体"/>
      <w:sz w:val="28"/>
    </w:rPr>
  </w:style>
  <w:style w:type="paragraph" w:styleId="4">
    <w:name w:val="Balloon Text"/>
    <w:basedOn w:val="1"/>
    <w:link w:val="12"/>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563C1" w:themeColor="hyperlink"/>
      <w:u w:val="single"/>
      <w14:textFill>
        <w14:solidFill>
          <w14:schemeClr w14:val="hlink"/>
        </w14:solidFill>
      </w14:textFill>
    </w:rPr>
  </w:style>
  <w:style w:type="paragraph" w:styleId="11">
    <w:name w:val="List Paragraph"/>
    <w:basedOn w:val="1"/>
    <w:unhideWhenUsed/>
    <w:qFormat/>
    <w:uiPriority w:val="99"/>
    <w:pPr>
      <w:ind w:firstLine="420" w:firstLineChars="200"/>
    </w:pPr>
  </w:style>
  <w:style w:type="character" w:customStyle="1" w:styleId="12">
    <w:name w:val="批注框文本 字符"/>
    <w:basedOn w:val="9"/>
    <w:link w:val="4"/>
    <w:qFormat/>
    <w:uiPriority w:val="0"/>
    <w:rPr>
      <w:rFonts w:asciiTheme="minorHAnsi" w:hAnsiTheme="minorHAnsi" w:eastAsiaTheme="minorEastAsia" w:cstheme="minorBidi"/>
      <w:kern w:val="2"/>
      <w:sz w:val="18"/>
      <w:szCs w:val="18"/>
    </w:rPr>
  </w:style>
  <w:style w:type="character" w:customStyle="1" w:styleId="13">
    <w:name w:val="页眉 字符"/>
    <w:link w:val="6"/>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A4D64A-26D0-4418-B4AC-D40C154740A9}">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13</Pages>
  <Words>5356</Words>
  <Characters>7504</Characters>
  <Lines>66</Lines>
  <Paragraphs>18</Paragraphs>
  <TotalTime>16</TotalTime>
  <ScaleCrop>false</ScaleCrop>
  <LinksUpToDate>false</LinksUpToDate>
  <CharactersWithSpaces>7599</CharactersWithSpaces>
  <Application>WPS Office_11.1.0.12759_F1E327BC-269C-435d-A152-05C5408002CA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2019-11-30T05:16:00Z</dcterms:created>
  <dc:creator>Administrator</dc:creator>
  <cp:lastModifiedBy>王yaohong</cp:lastModifiedBy>
  <dcterms:modified xsi:type="dcterms:W3CDTF">2022-10-27T12:29:46Z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2052-11.1.0.12759</vt:lpwstr>
  </property>
  <property fmtid="{D5CDD505-2E9C-101B-9397-08002B2CF9AE}" pid="3" name="ICV">
    <vt:lpwstr>0B53E7BF55DA4CCD9F7A25C1C874BF1E</vt:lpwstr>
  </property>
</Properties>
</file>