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t>新疆地方</w:t>
      </w:r>
      <w:r>
        <w:rPr>
          <w:rFonts w:hint="eastAsia"/>
          <w:b/>
          <w:sz w:val="32"/>
          <w:szCs w:val="32"/>
          <w:lang w:val="en-US" w:eastAsia="zh-CN"/>
        </w:rPr>
        <w:t>检定规程</w:t>
      </w:r>
    </w:p>
    <w:p>
      <w:pPr>
        <w:jc w:val="center"/>
        <w:rPr>
          <w:b/>
          <w:sz w:val="32"/>
          <w:szCs w:val="32"/>
        </w:rPr>
      </w:pPr>
      <w:r>
        <w:rPr>
          <w:b/>
          <w:sz w:val="32"/>
          <w:szCs w:val="32"/>
        </w:rPr>
        <w:t>《</w:t>
      </w:r>
      <w:r>
        <w:rPr>
          <w:rFonts w:hint="eastAsia"/>
          <w:b/>
          <w:sz w:val="32"/>
          <w:szCs w:val="32"/>
        </w:rPr>
        <w:t>自动馏程仪温度计</w:t>
      </w:r>
      <w:r>
        <w:rPr>
          <w:rFonts w:hint="eastAsia"/>
          <w:b/>
          <w:sz w:val="32"/>
          <w:szCs w:val="32"/>
          <w:lang w:val="en-US" w:eastAsia="zh-CN"/>
        </w:rPr>
        <w:t>检定规程</w:t>
      </w:r>
      <w:r>
        <w:rPr>
          <w:b/>
          <w:sz w:val="32"/>
          <w:szCs w:val="32"/>
        </w:rPr>
        <w:t>》编制说明</w:t>
      </w:r>
    </w:p>
    <w:p>
      <w:pPr>
        <w:spacing w:line="360" w:lineRule="auto"/>
        <w:rPr>
          <w:b/>
          <w:sz w:val="24"/>
        </w:rPr>
      </w:pPr>
      <w:r>
        <w:rPr>
          <w:b/>
          <w:sz w:val="24"/>
        </w:rPr>
        <w:t>一、任务来源</w:t>
      </w:r>
    </w:p>
    <w:p>
      <w:pPr>
        <w:spacing w:line="360" w:lineRule="auto"/>
        <w:rPr>
          <w:sz w:val="24"/>
        </w:rPr>
      </w:pPr>
      <w:r>
        <w:rPr>
          <w:sz w:val="24"/>
        </w:rPr>
        <w:t xml:space="preserve">    根据新疆质量技术监督局下达的通知，由新疆计量测试研究院负责《</w:t>
      </w:r>
      <w:r>
        <w:rPr>
          <w:rFonts w:hint="eastAsia"/>
          <w:sz w:val="24"/>
        </w:rPr>
        <w:t>自动馏程仪温度计</w:t>
      </w:r>
      <w:r>
        <w:rPr>
          <w:rFonts w:hint="eastAsia"/>
          <w:sz w:val="24"/>
          <w:lang w:val="en-US" w:eastAsia="zh-CN"/>
        </w:rPr>
        <w:t>检定规程</w:t>
      </w:r>
      <w:r>
        <w:rPr>
          <w:sz w:val="24"/>
        </w:rPr>
        <w:t>》的起草工作。</w:t>
      </w:r>
    </w:p>
    <w:p>
      <w:pPr>
        <w:spacing w:line="360" w:lineRule="auto"/>
        <w:rPr>
          <w:b/>
          <w:sz w:val="24"/>
        </w:rPr>
      </w:pPr>
      <w:r>
        <w:rPr>
          <w:b/>
          <w:sz w:val="24"/>
        </w:rPr>
        <w:t>二、目的及意义</w:t>
      </w:r>
    </w:p>
    <w:p>
      <w:pPr>
        <w:spacing w:line="360" w:lineRule="auto"/>
        <w:rPr>
          <w:rFonts w:hint="eastAsia"/>
          <w:sz w:val="24"/>
        </w:rPr>
      </w:pPr>
      <w:r>
        <w:rPr>
          <w:sz w:val="24"/>
        </w:rPr>
        <w:t xml:space="preserve">    </w:t>
      </w:r>
      <w:r>
        <w:rPr>
          <w:rFonts w:hint="eastAsia"/>
          <w:sz w:val="24"/>
        </w:rPr>
        <w:t>馏程仪广泛运用于石油、化工、油田、科研等部门石油化工，精度要求较高。</w:t>
      </w:r>
    </w:p>
    <w:p>
      <w:pPr>
        <w:spacing w:line="360" w:lineRule="auto"/>
        <w:rPr>
          <w:rFonts w:hint="eastAsia" w:eastAsia="宋体"/>
          <w:sz w:val="24"/>
          <w:lang w:eastAsia="zh-CN"/>
        </w:rPr>
      </w:pPr>
      <w:r>
        <w:rPr>
          <w:rFonts w:hint="eastAsia"/>
          <w:sz w:val="24"/>
        </w:rPr>
        <w:t xml:space="preserve">    对于手动馏程仪配备的玻璃液体温度计有相应的检定规程进行检定。而自动馏程仪采用高精度温度传感器配套使用且无法拆卸，量值传递非常困难。目前国内尚无相关计量技术规范，在量传过程中存在标准不统一、方法不明确等问题，制定自动馏程仪温度计检定规程目的在于统一疆内对于该仪器的检定方法、执行统一检定标准，有利于该仪器使用单位对仪器性能的准确把握</w:t>
      </w:r>
      <w:r>
        <w:rPr>
          <w:rFonts w:hint="eastAsia"/>
          <w:sz w:val="24"/>
          <w:lang w:eastAsia="zh-CN"/>
        </w:rPr>
        <w:t>。</w:t>
      </w:r>
    </w:p>
    <w:p>
      <w:pPr>
        <w:spacing w:line="360" w:lineRule="auto"/>
        <w:rPr>
          <w:b/>
          <w:sz w:val="24"/>
        </w:rPr>
      </w:pPr>
      <w:r>
        <w:rPr>
          <w:b/>
          <w:sz w:val="24"/>
        </w:rPr>
        <w:t>三、参考的有关资料及标准</w:t>
      </w:r>
    </w:p>
    <w:p>
      <w:pPr>
        <w:spacing w:line="360" w:lineRule="auto"/>
        <w:ind w:firstLine="480"/>
        <w:rPr>
          <w:sz w:val="24"/>
        </w:rPr>
      </w:pPr>
      <w:r>
        <w:rPr>
          <w:rFonts w:hint="eastAsia"/>
          <w:sz w:val="24"/>
          <w:highlight w:val="none"/>
        </w:rPr>
        <w:t>GB/T 9168《石油产品减压蒸馏测定法》</w:t>
      </w:r>
      <w:r>
        <w:rPr>
          <w:sz w:val="24"/>
        </w:rPr>
        <w:t xml:space="preserve"> </w:t>
      </w:r>
    </w:p>
    <w:p>
      <w:pPr>
        <w:spacing w:line="360" w:lineRule="auto"/>
        <w:ind w:firstLine="480"/>
        <w:rPr>
          <w:rFonts w:hint="eastAsia"/>
          <w:sz w:val="24"/>
          <w:highlight w:val="none"/>
        </w:rPr>
      </w:pPr>
      <w:r>
        <w:rPr>
          <w:rFonts w:hint="eastAsia"/>
          <w:sz w:val="24"/>
          <w:highlight w:val="none"/>
        </w:rPr>
        <w:t>GB/T 6536《石油产品常压蒸馏特性测定法》</w:t>
      </w:r>
    </w:p>
    <w:p>
      <w:pPr>
        <w:spacing w:line="360" w:lineRule="auto"/>
        <w:ind w:firstLine="480" w:firstLineChars="200"/>
        <w:rPr>
          <w:rFonts w:hint="eastAsia"/>
          <w:sz w:val="24"/>
        </w:rPr>
      </w:pPr>
      <w:r>
        <w:rPr>
          <w:rFonts w:hint="eastAsia"/>
          <w:sz w:val="24"/>
        </w:rPr>
        <w:t>JJG 130-2011</w:t>
      </w:r>
      <w:r>
        <w:rPr>
          <w:rFonts w:hint="eastAsia"/>
          <w:sz w:val="24"/>
          <w:highlight w:val="none"/>
        </w:rPr>
        <w:t>《</w:t>
      </w:r>
      <w:r>
        <w:rPr>
          <w:rFonts w:hint="eastAsia"/>
          <w:sz w:val="24"/>
        </w:rPr>
        <w:t>工作用玻璃液体温度计检定规程</w:t>
      </w:r>
      <w:r>
        <w:rPr>
          <w:rFonts w:hint="eastAsia"/>
          <w:sz w:val="24"/>
          <w:highlight w:val="none"/>
        </w:rPr>
        <w:t>》</w:t>
      </w:r>
    </w:p>
    <w:p>
      <w:pPr>
        <w:spacing w:line="360" w:lineRule="auto"/>
        <w:rPr>
          <w:sz w:val="24"/>
        </w:rPr>
      </w:pPr>
      <w:r>
        <w:rPr>
          <w:b/>
          <w:sz w:val="24"/>
        </w:rPr>
        <w:t>四、</w:t>
      </w:r>
      <w:r>
        <w:rPr>
          <w:rFonts w:hint="eastAsia"/>
          <w:b/>
          <w:sz w:val="24"/>
          <w:lang w:val="en-US" w:eastAsia="zh-CN"/>
        </w:rPr>
        <w:t>检定规程</w:t>
      </w:r>
      <w:r>
        <w:rPr>
          <w:b/>
          <w:sz w:val="24"/>
        </w:rPr>
        <w:t>格式</w:t>
      </w:r>
    </w:p>
    <w:p>
      <w:pPr>
        <w:adjustRightInd w:val="0"/>
        <w:snapToGrid w:val="0"/>
        <w:spacing w:line="360" w:lineRule="auto"/>
        <w:ind w:firstLine="480" w:firstLineChars="200"/>
        <w:rPr>
          <w:sz w:val="24"/>
        </w:rPr>
      </w:pPr>
      <w:r>
        <w:rPr>
          <w:sz w:val="24"/>
        </w:rPr>
        <w:t>遵从</w:t>
      </w:r>
      <w:r>
        <w:rPr>
          <w:rFonts w:hint="eastAsia"/>
          <w:sz w:val="24"/>
          <w:lang w:val="en-US" w:eastAsia="zh-CN"/>
        </w:rPr>
        <w:t>JJF1002-2010</w:t>
      </w:r>
      <w:r>
        <w:rPr>
          <w:sz w:val="24"/>
        </w:rPr>
        <w:t>《国家计量</w:t>
      </w:r>
      <w:r>
        <w:rPr>
          <w:rFonts w:hint="eastAsia"/>
          <w:sz w:val="24"/>
          <w:lang w:val="en-US" w:eastAsia="zh-CN"/>
        </w:rPr>
        <w:t>检定规程</w:t>
      </w:r>
      <w:r>
        <w:rPr>
          <w:sz w:val="24"/>
        </w:rPr>
        <w:t>编写规则》的</w:t>
      </w:r>
      <w:r>
        <w:rPr>
          <w:rFonts w:hint="eastAsia"/>
          <w:sz w:val="24"/>
          <w:lang w:val="en-US" w:eastAsia="zh-CN"/>
        </w:rPr>
        <w:t>规定</w:t>
      </w:r>
      <w:r>
        <w:rPr>
          <w:sz w:val="24"/>
        </w:rPr>
        <w:t>，此</w:t>
      </w:r>
      <w:r>
        <w:rPr>
          <w:rFonts w:hint="eastAsia"/>
          <w:sz w:val="24"/>
          <w:lang w:val="en-US" w:eastAsia="zh-CN"/>
        </w:rPr>
        <w:t>规程</w:t>
      </w:r>
      <w:r>
        <w:rPr>
          <w:sz w:val="24"/>
        </w:rPr>
        <w:t>架构上包括封面、扉页、目录、引言、范围、引用文件、术语与计量单位、概述、计量</w:t>
      </w:r>
      <w:r>
        <w:rPr>
          <w:rFonts w:hint="eastAsia"/>
          <w:sz w:val="24"/>
          <w:lang w:val="en-US" w:eastAsia="zh-CN"/>
        </w:rPr>
        <w:t>性能要求</w:t>
      </w:r>
      <w:r>
        <w:rPr>
          <w:sz w:val="24"/>
        </w:rPr>
        <w:t>、</w:t>
      </w:r>
      <w:r>
        <w:rPr>
          <w:rFonts w:hint="eastAsia"/>
          <w:sz w:val="24"/>
          <w:lang w:val="en-US" w:eastAsia="zh-CN"/>
        </w:rPr>
        <w:t>通用技术要求</w:t>
      </w:r>
      <w:r>
        <w:rPr>
          <w:sz w:val="24"/>
        </w:rPr>
        <w:t>、</w:t>
      </w:r>
      <w:r>
        <w:rPr>
          <w:rFonts w:hint="eastAsia"/>
          <w:sz w:val="24"/>
          <w:lang w:val="en-US" w:eastAsia="zh-CN"/>
        </w:rPr>
        <w:t>计量器具控制</w:t>
      </w:r>
      <w:r>
        <w:rPr>
          <w:sz w:val="24"/>
        </w:rPr>
        <w:t>和附录等几个部分。</w:t>
      </w:r>
    </w:p>
    <w:p>
      <w:pPr>
        <w:spacing w:line="360" w:lineRule="auto"/>
        <w:rPr>
          <w:b/>
          <w:sz w:val="24"/>
        </w:rPr>
      </w:pPr>
      <w:r>
        <w:rPr>
          <w:b/>
          <w:sz w:val="24"/>
        </w:rPr>
        <w:t>五、有关问题的说明</w:t>
      </w:r>
    </w:p>
    <w:p>
      <w:pPr>
        <w:spacing w:line="360" w:lineRule="auto"/>
        <w:rPr>
          <w:sz w:val="24"/>
        </w:rPr>
      </w:pPr>
      <w:r>
        <w:rPr>
          <w:sz w:val="24"/>
        </w:rPr>
        <w:t>1.范围</w:t>
      </w:r>
    </w:p>
    <w:p>
      <w:pPr>
        <w:autoSpaceDE w:val="0"/>
        <w:autoSpaceDN w:val="0"/>
        <w:adjustRightInd w:val="0"/>
        <w:spacing w:line="360" w:lineRule="auto"/>
        <w:ind w:firstLine="480" w:firstLineChars="200"/>
        <w:rPr>
          <w:rFonts w:cs="SimSun-Identity-H"/>
          <w:kern w:val="0"/>
          <w:sz w:val="24"/>
          <w:highlight w:val="none"/>
        </w:rPr>
      </w:pPr>
      <w:r>
        <w:rPr>
          <w:rFonts w:hint="eastAsia" w:ascii="宋体"/>
          <w:sz w:val="24"/>
          <w:highlight w:val="none"/>
        </w:rPr>
        <w:t>本规程适用于自动馏程仪温度计的首次检定、后续检定和使用中检查</w:t>
      </w:r>
      <w:r>
        <w:rPr>
          <w:rFonts w:hint="eastAsia" w:cs="SimSun-Identity-H"/>
          <w:kern w:val="0"/>
          <w:sz w:val="24"/>
          <w:highlight w:val="none"/>
        </w:rPr>
        <w:t>。</w:t>
      </w:r>
    </w:p>
    <w:p>
      <w:pPr>
        <w:spacing w:line="360" w:lineRule="auto"/>
        <w:rPr>
          <w:sz w:val="24"/>
        </w:rPr>
      </w:pPr>
      <w:r>
        <w:rPr>
          <w:sz w:val="24"/>
        </w:rPr>
        <w:t>2.引用文件</w:t>
      </w:r>
    </w:p>
    <w:p>
      <w:pPr>
        <w:spacing w:line="360" w:lineRule="auto"/>
        <w:ind w:firstLine="465"/>
        <w:rPr>
          <w:sz w:val="24"/>
        </w:rPr>
      </w:pPr>
      <w:r>
        <w:rPr>
          <w:sz w:val="24"/>
        </w:rPr>
        <w:t>编制本规范引用的文件。</w:t>
      </w:r>
    </w:p>
    <w:p>
      <w:pPr>
        <w:spacing w:line="360" w:lineRule="auto"/>
        <w:rPr>
          <w:sz w:val="24"/>
        </w:rPr>
      </w:pPr>
      <w:r>
        <w:rPr>
          <w:sz w:val="24"/>
        </w:rPr>
        <w:t>3.术语与计量单位</w:t>
      </w:r>
    </w:p>
    <w:p>
      <w:pPr>
        <w:spacing w:line="360" w:lineRule="auto"/>
        <w:rPr>
          <w:sz w:val="24"/>
        </w:rPr>
      </w:pPr>
      <w:r>
        <w:rPr>
          <w:sz w:val="24"/>
        </w:rPr>
        <w:t>4.概述</w:t>
      </w:r>
    </w:p>
    <w:p>
      <w:pPr>
        <w:spacing w:line="360" w:lineRule="auto"/>
        <w:rPr>
          <w:sz w:val="24"/>
        </w:rPr>
      </w:pPr>
      <w:r>
        <w:rPr>
          <w:sz w:val="24"/>
        </w:rPr>
        <w:t xml:space="preserve">    对</w:t>
      </w:r>
      <w:r>
        <w:rPr>
          <w:rFonts w:hint="eastAsia"/>
          <w:sz w:val="24"/>
          <w:lang w:val="en-US" w:eastAsia="zh-CN"/>
        </w:rPr>
        <w:t>自动馏程仪温度计</w:t>
      </w:r>
      <w:r>
        <w:rPr>
          <w:sz w:val="24"/>
        </w:rPr>
        <w:t>的工作原理、内部结构进行了说明。</w:t>
      </w:r>
    </w:p>
    <w:p>
      <w:pPr>
        <w:spacing w:line="360" w:lineRule="auto"/>
        <w:rPr>
          <w:rFonts w:hint="default" w:eastAsia="宋体"/>
          <w:sz w:val="24"/>
          <w:lang w:val="en-US" w:eastAsia="zh-CN"/>
        </w:rPr>
      </w:pPr>
      <w:r>
        <w:rPr>
          <w:sz w:val="24"/>
        </w:rPr>
        <w:t>5.计量</w:t>
      </w:r>
      <w:r>
        <w:rPr>
          <w:rFonts w:hint="eastAsia"/>
          <w:sz w:val="24"/>
          <w:lang w:val="en-US" w:eastAsia="zh-CN"/>
        </w:rPr>
        <w:t>性能要求</w:t>
      </w:r>
    </w:p>
    <w:p>
      <w:pPr>
        <w:autoSpaceDE w:val="0"/>
        <w:autoSpaceDN w:val="0"/>
        <w:adjustRightInd w:val="0"/>
        <w:spacing w:line="360" w:lineRule="auto"/>
        <w:ind w:firstLine="480" w:firstLineChars="200"/>
        <w:jc w:val="left"/>
        <w:rPr>
          <w:rFonts w:hint="eastAsia"/>
          <w:sz w:val="24"/>
          <w:highlight w:val="none"/>
          <w:lang w:eastAsia="zh-CN"/>
        </w:rPr>
      </w:pPr>
      <w:r>
        <w:rPr>
          <w:sz w:val="24"/>
        </w:rPr>
        <w:t>示值误差</w:t>
      </w:r>
      <w:r>
        <w:rPr>
          <w:rFonts w:hint="eastAsia"/>
          <w:sz w:val="24"/>
          <w:lang w:val="en-US" w:eastAsia="zh-CN"/>
        </w:rPr>
        <w:t xml:space="preserve">参照、温度气压补偿、温度滞后计量特性参照 </w:t>
      </w:r>
      <w:r>
        <w:rPr>
          <w:rFonts w:hint="eastAsia"/>
          <w:sz w:val="24"/>
        </w:rPr>
        <w:t>JJG 130-2011</w:t>
      </w:r>
      <w:r>
        <w:rPr>
          <w:rFonts w:hint="eastAsia"/>
          <w:sz w:val="24"/>
          <w:highlight w:val="none"/>
        </w:rPr>
        <w:t>《</w:t>
      </w:r>
      <w:r>
        <w:rPr>
          <w:rFonts w:hint="eastAsia"/>
          <w:sz w:val="24"/>
        </w:rPr>
        <w:t>工作用玻璃液体温度计检定规程</w:t>
      </w:r>
      <w:r>
        <w:rPr>
          <w:rFonts w:hint="eastAsia"/>
          <w:sz w:val="24"/>
          <w:highlight w:val="none"/>
        </w:rPr>
        <w:t>》</w:t>
      </w:r>
      <w:r>
        <w:rPr>
          <w:rFonts w:hint="eastAsia"/>
          <w:sz w:val="24"/>
          <w:highlight w:val="none"/>
          <w:lang w:eastAsia="zh-CN"/>
        </w:rPr>
        <w:t>，</w:t>
      </w:r>
      <w:r>
        <w:rPr>
          <w:rFonts w:hint="eastAsia"/>
          <w:sz w:val="24"/>
          <w:highlight w:val="none"/>
        </w:rPr>
        <w:t>GB/T 9168《石油产品减压蒸馏测定法》</w:t>
      </w:r>
      <w:r>
        <w:rPr>
          <w:rFonts w:hint="eastAsia"/>
          <w:sz w:val="24"/>
          <w:highlight w:val="none"/>
          <w:lang w:val="en-US" w:eastAsia="zh-CN"/>
        </w:rPr>
        <w:t>和</w:t>
      </w:r>
      <w:r>
        <w:rPr>
          <w:rFonts w:hint="eastAsia"/>
          <w:sz w:val="24"/>
          <w:highlight w:val="none"/>
        </w:rPr>
        <w:t>GB/T 6536《石油产品常压蒸馏特性测定法》</w:t>
      </w:r>
      <w:r>
        <w:rPr>
          <w:rFonts w:hint="eastAsia"/>
          <w:sz w:val="24"/>
          <w:highlight w:val="none"/>
          <w:lang w:eastAsia="zh-CN"/>
        </w:rPr>
        <w:t>。</w:t>
      </w:r>
    </w:p>
    <w:p>
      <w:pPr>
        <w:autoSpaceDE w:val="0"/>
        <w:autoSpaceDN w:val="0"/>
        <w:adjustRightInd w:val="0"/>
        <w:spacing w:line="360" w:lineRule="auto"/>
        <w:jc w:val="left"/>
        <w:rPr>
          <w:rFonts w:hint="eastAsia" w:ascii="宋体"/>
          <w:sz w:val="24"/>
          <w:highlight w:val="none"/>
          <w:lang w:val="en-US" w:eastAsia="zh-CN"/>
        </w:rPr>
      </w:pPr>
      <w:r>
        <w:rPr>
          <w:rFonts w:hint="eastAsia" w:ascii="宋体"/>
          <w:sz w:val="24"/>
          <w:highlight w:val="none"/>
          <w:lang w:val="en-US" w:eastAsia="zh-CN"/>
        </w:rPr>
        <w:t>6.通用技术要求</w:t>
      </w:r>
    </w:p>
    <w:p>
      <w:pPr>
        <w:autoSpaceDE w:val="0"/>
        <w:autoSpaceDN w:val="0"/>
        <w:adjustRightInd w:val="0"/>
        <w:spacing w:line="360" w:lineRule="auto"/>
        <w:jc w:val="left"/>
        <w:rPr>
          <w:rFonts w:hint="default" w:eastAsia="宋体"/>
          <w:sz w:val="24"/>
          <w:lang w:val="en-US" w:eastAsia="zh-CN"/>
        </w:rPr>
      </w:pPr>
      <w:r>
        <w:rPr>
          <w:rFonts w:hint="eastAsia" w:ascii="宋体"/>
          <w:sz w:val="24"/>
          <w:highlight w:val="none"/>
          <w:lang w:val="en-US" w:eastAsia="zh-CN"/>
        </w:rPr>
        <w:t>对馏程仪的外观，和温度计的定位做了要求。参考</w:t>
      </w:r>
      <w:r>
        <w:rPr>
          <w:rFonts w:hint="eastAsia"/>
          <w:sz w:val="24"/>
          <w:highlight w:val="none"/>
        </w:rPr>
        <w:t>GB/T 9168《石油产品减压蒸馏测定法》</w:t>
      </w:r>
      <w:r>
        <w:rPr>
          <w:rFonts w:hint="eastAsia"/>
          <w:sz w:val="24"/>
          <w:highlight w:val="none"/>
          <w:lang w:val="en-US" w:eastAsia="zh-CN"/>
        </w:rPr>
        <w:t>中对于测温装置的要求。</w:t>
      </w:r>
    </w:p>
    <w:p>
      <w:pPr>
        <w:spacing w:line="360" w:lineRule="auto"/>
        <w:rPr>
          <w:rFonts w:hint="default"/>
          <w:sz w:val="24"/>
          <w:lang w:val="en-US" w:eastAsia="zh-CN"/>
        </w:rPr>
      </w:pPr>
      <w:r>
        <w:rPr>
          <w:rFonts w:hint="eastAsia"/>
          <w:sz w:val="24"/>
          <w:lang w:val="en-US" w:eastAsia="zh-CN"/>
        </w:rPr>
        <w:t>7.计量器具控制</w:t>
      </w:r>
    </w:p>
    <w:p>
      <w:pPr>
        <w:spacing w:line="360" w:lineRule="auto"/>
        <w:rPr>
          <w:rFonts w:hint="eastAsia" w:ascii="宋体"/>
          <w:sz w:val="24"/>
          <w:highlight w:val="none"/>
        </w:rPr>
      </w:pPr>
      <w:r>
        <w:rPr>
          <w:rFonts w:hint="eastAsia" w:ascii="宋体"/>
          <w:sz w:val="24"/>
          <w:highlight w:val="none"/>
        </w:rPr>
        <w:t>7.1.2</w:t>
      </w:r>
      <w:r>
        <w:rPr>
          <w:rFonts w:hint="eastAsia" w:ascii="宋体"/>
          <w:bCs/>
          <w:sz w:val="24"/>
          <w:highlight w:val="none"/>
        </w:rPr>
        <w:t xml:space="preserve">  </w:t>
      </w:r>
      <w:r>
        <w:rPr>
          <w:rFonts w:hint="eastAsia" w:ascii="宋体"/>
          <w:sz w:val="24"/>
          <w:highlight w:val="none"/>
        </w:rPr>
        <w:t>检定设备</w:t>
      </w:r>
    </w:p>
    <w:p>
      <w:pPr>
        <w:pStyle w:val="14"/>
        <w:spacing w:line="360" w:lineRule="auto"/>
        <w:jc w:val="center"/>
        <w:rPr>
          <w:rFonts w:ascii="Times New Roman" w:eastAsia="黑体" w:cs="Times New Roman"/>
          <w:b/>
          <w:sz w:val="21"/>
          <w:szCs w:val="21"/>
        </w:rPr>
      </w:pPr>
      <w:r>
        <w:rPr>
          <w:rFonts w:ascii="Times New Roman" w:eastAsia="黑体" w:cs="Times New Roman"/>
          <w:b/>
          <w:bCs/>
          <w:sz w:val="21"/>
          <w:szCs w:val="21"/>
        </w:rPr>
        <w:t xml:space="preserve">表1 </w:t>
      </w:r>
      <w:r>
        <w:rPr>
          <w:rFonts w:hint="eastAsia" w:ascii="Times New Roman" w:eastAsia="黑体" w:cs="Times New Roman"/>
          <w:b/>
          <w:bCs/>
          <w:sz w:val="21"/>
          <w:szCs w:val="21"/>
          <w:lang w:val="en-US" w:eastAsia="zh-CN"/>
        </w:rPr>
        <w:t>检定</w:t>
      </w:r>
      <w:r>
        <w:rPr>
          <w:rFonts w:ascii="Times New Roman" w:eastAsia="黑体" w:cs="Times New Roman"/>
          <w:b/>
          <w:bCs/>
          <w:sz w:val="21"/>
          <w:szCs w:val="21"/>
        </w:rPr>
        <w:t>用设备一览表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72" w:type="dxa"/>
            <w:vAlign w:val="center"/>
          </w:tcPr>
          <w:p>
            <w:pPr>
              <w:spacing w:line="360" w:lineRule="auto"/>
              <w:jc w:val="center"/>
              <w:rPr>
                <w:szCs w:val="21"/>
              </w:rPr>
            </w:pPr>
            <w:r>
              <w:rPr>
                <w:rFonts w:hAnsi="宋体"/>
                <w:szCs w:val="21"/>
              </w:rPr>
              <w:t>序号</w:t>
            </w:r>
          </w:p>
        </w:tc>
        <w:tc>
          <w:tcPr>
            <w:tcW w:w="5005" w:type="dxa"/>
            <w:vAlign w:val="center"/>
          </w:tcPr>
          <w:p>
            <w:pPr>
              <w:spacing w:line="360" w:lineRule="auto"/>
              <w:jc w:val="center"/>
              <w:rPr>
                <w:szCs w:val="21"/>
              </w:rPr>
            </w:pPr>
            <w:r>
              <w:rPr>
                <w:rFonts w:hAnsi="宋体"/>
                <w:szCs w:val="21"/>
              </w:rPr>
              <w:t>校准用设备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72" w:type="dxa"/>
            <w:vAlign w:val="center"/>
          </w:tcPr>
          <w:p>
            <w:pPr>
              <w:spacing w:line="360" w:lineRule="auto"/>
              <w:jc w:val="center"/>
              <w:rPr>
                <w:szCs w:val="21"/>
              </w:rPr>
            </w:pPr>
            <w:r>
              <w:rPr>
                <w:szCs w:val="21"/>
              </w:rPr>
              <w:t>1</w:t>
            </w:r>
          </w:p>
        </w:tc>
        <w:tc>
          <w:tcPr>
            <w:tcW w:w="5005" w:type="dxa"/>
            <w:vAlign w:val="center"/>
          </w:tcPr>
          <w:p>
            <w:pPr>
              <w:spacing w:line="360" w:lineRule="auto"/>
              <w:jc w:val="center"/>
            </w:pPr>
            <w:r>
              <w:rPr>
                <w:rFonts w:hint="eastAsia" w:ascii="宋体"/>
                <w:sz w:val="22"/>
                <w:szCs w:val="22"/>
                <w:highlight w:val="none"/>
                <w:vertAlign w:val="baseline"/>
                <w:lang w:val="en-US" w:eastAsia="zh-CN"/>
              </w:rPr>
              <w:t>二等标准铂电阻温度计及配套电测设备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72" w:type="dxa"/>
            <w:vAlign w:val="center"/>
          </w:tcPr>
          <w:p>
            <w:pPr>
              <w:spacing w:line="360" w:lineRule="auto"/>
              <w:jc w:val="center"/>
              <w:rPr>
                <w:szCs w:val="21"/>
              </w:rPr>
            </w:pPr>
            <w:r>
              <w:rPr>
                <w:szCs w:val="21"/>
              </w:rPr>
              <w:t>2</w:t>
            </w:r>
          </w:p>
        </w:tc>
        <w:tc>
          <w:tcPr>
            <w:tcW w:w="5005" w:type="dxa"/>
            <w:vAlign w:val="center"/>
          </w:tcPr>
          <w:p>
            <w:pPr>
              <w:spacing w:line="360" w:lineRule="auto"/>
              <w:jc w:val="center"/>
            </w:pPr>
            <w:r>
              <w:rPr>
                <w:rFonts w:hint="eastAsia" w:ascii="宋体"/>
                <w:sz w:val="24"/>
                <w:highlight w:val="none"/>
                <w:vertAlign w:val="baseline"/>
                <w:lang w:val="en-US" w:eastAsia="zh-CN"/>
              </w:rPr>
              <w:t>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272" w:type="dxa"/>
            <w:vAlign w:val="center"/>
          </w:tcPr>
          <w:p>
            <w:pPr>
              <w:spacing w:line="360" w:lineRule="auto"/>
              <w:jc w:val="center"/>
              <w:rPr>
                <w:szCs w:val="21"/>
              </w:rPr>
            </w:pPr>
            <w:r>
              <w:rPr>
                <w:szCs w:val="21"/>
              </w:rPr>
              <w:t>3</w:t>
            </w:r>
          </w:p>
        </w:tc>
        <w:tc>
          <w:tcPr>
            <w:tcW w:w="5005" w:type="dxa"/>
            <w:vAlign w:val="center"/>
          </w:tcPr>
          <w:p>
            <w:pPr>
              <w:spacing w:line="360" w:lineRule="auto"/>
              <w:jc w:val="center"/>
            </w:pPr>
            <w:r>
              <w:rPr>
                <w:rFonts w:hint="eastAsia" w:ascii="宋体"/>
                <w:sz w:val="24"/>
                <w:highlight w:val="none"/>
                <w:vertAlign w:val="baseline"/>
                <w:lang w:val="en-US" w:eastAsia="zh-CN"/>
              </w:rPr>
              <w:t>恒温槽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72" w:type="dxa"/>
            <w:vAlign w:val="center"/>
          </w:tcPr>
          <w:p>
            <w:pPr>
              <w:spacing w:line="360" w:lineRule="auto"/>
              <w:jc w:val="center"/>
              <w:rPr>
                <w:szCs w:val="21"/>
              </w:rPr>
            </w:pPr>
            <w:r>
              <w:rPr>
                <w:szCs w:val="21"/>
              </w:rPr>
              <w:t>4</w:t>
            </w:r>
          </w:p>
        </w:tc>
        <w:tc>
          <w:tcPr>
            <w:tcW w:w="5005" w:type="dxa"/>
            <w:vAlign w:val="center"/>
          </w:tcPr>
          <w:p>
            <w:pPr>
              <w:spacing w:line="360" w:lineRule="auto"/>
              <w:jc w:val="center"/>
            </w:pPr>
            <w:r>
              <w:rPr>
                <w:rFonts w:hint="eastAsia" w:ascii="宋体"/>
                <w:sz w:val="24"/>
                <w:highlight w:val="none"/>
                <w:vertAlign w:val="baseline"/>
                <w:lang w:val="en-US" w:eastAsia="zh-CN"/>
              </w:rPr>
              <w:t>高温恒温槽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72" w:type="dxa"/>
            <w:vAlign w:val="center"/>
          </w:tcPr>
          <w:p>
            <w:pPr>
              <w:spacing w:line="360" w:lineRule="auto"/>
              <w:jc w:val="center"/>
              <w:rPr>
                <w:rFonts w:hint="eastAsia" w:eastAsia="宋体"/>
                <w:szCs w:val="21"/>
                <w:lang w:val="en-US" w:eastAsia="zh-CN"/>
              </w:rPr>
            </w:pPr>
            <w:r>
              <w:rPr>
                <w:rFonts w:hint="eastAsia"/>
                <w:szCs w:val="21"/>
                <w:lang w:val="en-US" w:eastAsia="zh-CN"/>
              </w:rPr>
              <w:t>5</w:t>
            </w:r>
          </w:p>
        </w:tc>
        <w:tc>
          <w:tcPr>
            <w:tcW w:w="5005" w:type="dxa"/>
            <w:vAlign w:val="center"/>
          </w:tcPr>
          <w:p>
            <w:pPr>
              <w:spacing w:line="360" w:lineRule="auto"/>
              <w:jc w:val="center"/>
              <w:rPr>
                <w:rFonts w:hint="default" w:ascii="宋体"/>
                <w:sz w:val="24"/>
                <w:highlight w:val="none"/>
                <w:vertAlign w:val="baseline"/>
                <w:lang w:val="en-US" w:eastAsia="zh-CN"/>
              </w:rPr>
            </w:pPr>
            <w:r>
              <w:rPr>
                <w:rFonts w:hint="eastAsia" w:ascii="宋体"/>
                <w:sz w:val="24"/>
                <w:highlight w:val="none"/>
                <w:vertAlign w:val="baseline"/>
                <w:lang w:val="en-US" w:eastAsia="zh-CN"/>
              </w:rPr>
              <w:t>玻璃液体</w:t>
            </w:r>
            <w:bookmarkStart w:id="0" w:name="_GoBack"/>
            <w:bookmarkEnd w:id="0"/>
            <w:r>
              <w:rPr>
                <w:rFonts w:hint="eastAsia" w:ascii="宋体"/>
                <w:sz w:val="24"/>
                <w:highlight w:val="none"/>
                <w:vertAlign w:val="baseline"/>
                <w:lang w:val="en-US" w:eastAsia="zh-CN"/>
              </w:rPr>
              <w:t>馏程温度计</w:t>
            </w:r>
          </w:p>
        </w:tc>
      </w:tr>
    </w:tbl>
    <w:p>
      <w:pPr>
        <w:pStyle w:val="2"/>
        <w:rPr>
          <w:rFonts w:hint="eastAsia" w:ascii="宋体" w:hAnsi="Times New Roman" w:eastAsia="宋体" w:cs="Times New Roman"/>
          <w:b w:val="0"/>
          <w:bCs w:val="0"/>
          <w:kern w:val="2"/>
          <w:sz w:val="24"/>
          <w:szCs w:val="24"/>
          <w:highlight w:val="none"/>
          <w:lang w:val="en-US" w:eastAsia="zh-CN" w:bidi="ar-SA"/>
        </w:rPr>
      </w:pPr>
      <w:r>
        <w:rPr>
          <w:rFonts w:hint="eastAsia" w:ascii="宋体" w:hAnsi="Times New Roman" w:eastAsia="宋体" w:cs="Times New Roman"/>
          <w:b w:val="0"/>
          <w:bCs w:val="0"/>
          <w:kern w:val="2"/>
          <w:sz w:val="24"/>
          <w:szCs w:val="24"/>
          <w:highlight w:val="none"/>
          <w:lang w:val="en-US" w:eastAsia="zh-CN" w:bidi="ar-SA"/>
        </w:rPr>
        <w:t>7.3  检定方法</w:t>
      </w:r>
    </w:p>
    <w:p>
      <w:pPr>
        <w:rPr>
          <w:rFonts w:hint="eastAsia" w:ascii="宋体" w:cs="Times New Roman"/>
          <w:b w:val="0"/>
          <w:bCs w:val="0"/>
          <w:kern w:val="2"/>
          <w:sz w:val="24"/>
          <w:szCs w:val="24"/>
          <w:highlight w:val="none"/>
          <w:lang w:val="en-US" w:eastAsia="zh-CN" w:bidi="ar-SA"/>
        </w:rPr>
      </w:pPr>
      <w:r>
        <w:rPr>
          <w:rFonts w:hint="eastAsia" w:ascii="宋体" w:cs="Times New Roman"/>
          <w:b w:val="0"/>
          <w:bCs w:val="0"/>
          <w:kern w:val="2"/>
          <w:sz w:val="24"/>
          <w:szCs w:val="24"/>
          <w:highlight w:val="none"/>
          <w:lang w:val="en-US" w:eastAsia="zh-CN" w:bidi="ar-SA"/>
        </w:rPr>
        <w:t>7.4  检定结果处理</w:t>
      </w:r>
    </w:p>
    <w:p>
      <w:pPr>
        <w:pStyle w:val="2"/>
        <w:rPr>
          <w:rFonts w:hint="default"/>
          <w:lang w:val="en-US" w:eastAsia="zh-CN"/>
        </w:rPr>
      </w:pPr>
      <w:r>
        <w:rPr>
          <w:rFonts w:hint="eastAsia" w:ascii="宋体" w:cs="Times New Roman"/>
          <w:b w:val="0"/>
          <w:bCs w:val="0"/>
          <w:kern w:val="2"/>
          <w:sz w:val="24"/>
          <w:szCs w:val="24"/>
          <w:highlight w:val="none"/>
          <w:lang w:val="en-US" w:eastAsia="zh-CN" w:bidi="ar-SA"/>
        </w:rPr>
        <w:t>7.5  检定周期</w:t>
      </w:r>
    </w:p>
    <w:p>
      <w:pPr>
        <w:spacing w:line="360" w:lineRule="auto"/>
        <w:rPr>
          <w:sz w:val="24"/>
        </w:rPr>
      </w:pPr>
    </w:p>
    <w:p>
      <w:pPr>
        <w:spacing w:line="320" w:lineRule="exact"/>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Sun-Identity-H">
    <w:altName w:val="黑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xZmE3MDJmNjU1ZTBkNzE2OGU4NWFjMzk1NDY0NmYifQ=="/>
  </w:docVars>
  <w:rsids>
    <w:rsidRoot w:val="00A84EF5"/>
    <w:rsid w:val="00004E68"/>
    <w:rsid w:val="000055E4"/>
    <w:rsid w:val="00025E60"/>
    <w:rsid w:val="0002783A"/>
    <w:rsid w:val="00041F96"/>
    <w:rsid w:val="0004311D"/>
    <w:rsid w:val="000505F5"/>
    <w:rsid w:val="000656E3"/>
    <w:rsid w:val="00072781"/>
    <w:rsid w:val="00080E48"/>
    <w:rsid w:val="000821E6"/>
    <w:rsid w:val="00083DF3"/>
    <w:rsid w:val="000850A5"/>
    <w:rsid w:val="000C5455"/>
    <w:rsid w:val="000E1D15"/>
    <w:rsid w:val="000F5D93"/>
    <w:rsid w:val="00100393"/>
    <w:rsid w:val="00102CC2"/>
    <w:rsid w:val="00117161"/>
    <w:rsid w:val="00123645"/>
    <w:rsid w:val="00124729"/>
    <w:rsid w:val="001308C9"/>
    <w:rsid w:val="00132CD5"/>
    <w:rsid w:val="001408EC"/>
    <w:rsid w:val="001478D1"/>
    <w:rsid w:val="00150077"/>
    <w:rsid w:val="001518BE"/>
    <w:rsid w:val="001522DE"/>
    <w:rsid w:val="00154114"/>
    <w:rsid w:val="001604B1"/>
    <w:rsid w:val="001618BF"/>
    <w:rsid w:val="001646C2"/>
    <w:rsid w:val="00166639"/>
    <w:rsid w:val="00166A9A"/>
    <w:rsid w:val="001720D9"/>
    <w:rsid w:val="001B175B"/>
    <w:rsid w:val="001B183C"/>
    <w:rsid w:val="001E590F"/>
    <w:rsid w:val="001E67B8"/>
    <w:rsid w:val="001F2D2B"/>
    <w:rsid w:val="002036F7"/>
    <w:rsid w:val="00214EA1"/>
    <w:rsid w:val="00231E82"/>
    <w:rsid w:val="002450E6"/>
    <w:rsid w:val="00262436"/>
    <w:rsid w:val="0028122C"/>
    <w:rsid w:val="002910A1"/>
    <w:rsid w:val="002A29C7"/>
    <w:rsid w:val="002C2C6F"/>
    <w:rsid w:val="002C7F34"/>
    <w:rsid w:val="002F0F4D"/>
    <w:rsid w:val="002F4CD7"/>
    <w:rsid w:val="003339F0"/>
    <w:rsid w:val="00341E86"/>
    <w:rsid w:val="003601CC"/>
    <w:rsid w:val="00364DA1"/>
    <w:rsid w:val="003A1FB0"/>
    <w:rsid w:val="003A55F3"/>
    <w:rsid w:val="003C13F5"/>
    <w:rsid w:val="003C1C23"/>
    <w:rsid w:val="003C4098"/>
    <w:rsid w:val="003D26E0"/>
    <w:rsid w:val="003D2CAC"/>
    <w:rsid w:val="004041E5"/>
    <w:rsid w:val="00417516"/>
    <w:rsid w:val="0043367E"/>
    <w:rsid w:val="004556D1"/>
    <w:rsid w:val="00462941"/>
    <w:rsid w:val="00463020"/>
    <w:rsid w:val="00470781"/>
    <w:rsid w:val="004A4EAD"/>
    <w:rsid w:val="004B0809"/>
    <w:rsid w:val="004C14FE"/>
    <w:rsid w:val="004C7CCD"/>
    <w:rsid w:val="004D0E6A"/>
    <w:rsid w:val="004D5811"/>
    <w:rsid w:val="004E0A38"/>
    <w:rsid w:val="00506616"/>
    <w:rsid w:val="00513118"/>
    <w:rsid w:val="00514EE8"/>
    <w:rsid w:val="005165F7"/>
    <w:rsid w:val="00516B2C"/>
    <w:rsid w:val="0054574E"/>
    <w:rsid w:val="00563BFC"/>
    <w:rsid w:val="00566EC5"/>
    <w:rsid w:val="00572E98"/>
    <w:rsid w:val="005765DD"/>
    <w:rsid w:val="00584AA1"/>
    <w:rsid w:val="00590C1A"/>
    <w:rsid w:val="005B514B"/>
    <w:rsid w:val="005B5420"/>
    <w:rsid w:val="005D5468"/>
    <w:rsid w:val="005E36F2"/>
    <w:rsid w:val="005E443E"/>
    <w:rsid w:val="005E5BC4"/>
    <w:rsid w:val="005E6D4B"/>
    <w:rsid w:val="005F01CA"/>
    <w:rsid w:val="005F5A5F"/>
    <w:rsid w:val="005F6AD0"/>
    <w:rsid w:val="0061211D"/>
    <w:rsid w:val="00614733"/>
    <w:rsid w:val="00614BA1"/>
    <w:rsid w:val="00620209"/>
    <w:rsid w:val="0062098E"/>
    <w:rsid w:val="00634A65"/>
    <w:rsid w:val="0064478C"/>
    <w:rsid w:val="00646A2B"/>
    <w:rsid w:val="00646C29"/>
    <w:rsid w:val="00647D2B"/>
    <w:rsid w:val="00652C60"/>
    <w:rsid w:val="00655147"/>
    <w:rsid w:val="00661BED"/>
    <w:rsid w:val="00671AA3"/>
    <w:rsid w:val="006868FA"/>
    <w:rsid w:val="006A73FC"/>
    <w:rsid w:val="006B2A49"/>
    <w:rsid w:val="006B2A54"/>
    <w:rsid w:val="006E38E9"/>
    <w:rsid w:val="006F31D9"/>
    <w:rsid w:val="006F3432"/>
    <w:rsid w:val="006F5C89"/>
    <w:rsid w:val="00703F56"/>
    <w:rsid w:val="007041C8"/>
    <w:rsid w:val="00714936"/>
    <w:rsid w:val="00716285"/>
    <w:rsid w:val="00723647"/>
    <w:rsid w:val="00727038"/>
    <w:rsid w:val="007272D9"/>
    <w:rsid w:val="00731268"/>
    <w:rsid w:val="00760B0D"/>
    <w:rsid w:val="0077379B"/>
    <w:rsid w:val="00785898"/>
    <w:rsid w:val="007A7068"/>
    <w:rsid w:val="007B798A"/>
    <w:rsid w:val="007C0F75"/>
    <w:rsid w:val="007C443A"/>
    <w:rsid w:val="007C4D18"/>
    <w:rsid w:val="007D2093"/>
    <w:rsid w:val="007E1326"/>
    <w:rsid w:val="007F267D"/>
    <w:rsid w:val="007F2682"/>
    <w:rsid w:val="007F6DDE"/>
    <w:rsid w:val="008029E8"/>
    <w:rsid w:val="00806541"/>
    <w:rsid w:val="00811FB0"/>
    <w:rsid w:val="00822951"/>
    <w:rsid w:val="008263EF"/>
    <w:rsid w:val="0084073B"/>
    <w:rsid w:val="00841CA7"/>
    <w:rsid w:val="00850886"/>
    <w:rsid w:val="00862F99"/>
    <w:rsid w:val="008641C2"/>
    <w:rsid w:val="00867A54"/>
    <w:rsid w:val="00880D76"/>
    <w:rsid w:val="008B0AA6"/>
    <w:rsid w:val="008C1091"/>
    <w:rsid w:val="008C148E"/>
    <w:rsid w:val="008C7995"/>
    <w:rsid w:val="008D6B03"/>
    <w:rsid w:val="008E27C4"/>
    <w:rsid w:val="008E7F62"/>
    <w:rsid w:val="008F2893"/>
    <w:rsid w:val="008F5F23"/>
    <w:rsid w:val="008F664B"/>
    <w:rsid w:val="008F7158"/>
    <w:rsid w:val="009003DE"/>
    <w:rsid w:val="00903C5E"/>
    <w:rsid w:val="009243A8"/>
    <w:rsid w:val="00926572"/>
    <w:rsid w:val="0093388A"/>
    <w:rsid w:val="009567A0"/>
    <w:rsid w:val="009616AB"/>
    <w:rsid w:val="00961DBF"/>
    <w:rsid w:val="0098720A"/>
    <w:rsid w:val="009901F2"/>
    <w:rsid w:val="00993999"/>
    <w:rsid w:val="00997D72"/>
    <w:rsid w:val="009D4F08"/>
    <w:rsid w:val="009D6620"/>
    <w:rsid w:val="009D7130"/>
    <w:rsid w:val="00A10345"/>
    <w:rsid w:val="00A13FCC"/>
    <w:rsid w:val="00A145A9"/>
    <w:rsid w:val="00A25C9D"/>
    <w:rsid w:val="00A279F4"/>
    <w:rsid w:val="00A353A0"/>
    <w:rsid w:val="00A50F10"/>
    <w:rsid w:val="00A539F6"/>
    <w:rsid w:val="00A66F9D"/>
    <w:rsid w:val="00A75133"/>
    <w:rsid w:val="00A84EF5"/>
    <w:rsid w:val="00AA3CC8"/>
    <w:rsid w:val="00AA3F77"/>
    <w:rsid w:val="00AC74EA"/>
    <w:rsid w:val="00AC7523"/>
    <w:rsid w:val="00AD09B7"/>
    <w:rsid w:val="00AD50A8"/>
    <w:rsid w:val="00AD6D5B"/>
    <w:rsid w:val="00AE131E"/>
    <w:rsid w:val="00AE65AF"/>
    <w:rsid w:val="00AF1320"/>
    <w:rsid w:val="00B16C1C"/>
    <w:rsid w:val="00B413E4"/>
    <w:rsid w:val="00B46406"/>
    <w:rsid w:val="00B46F4B"/>
    <w:rsid w:val="00B5271B"/>
    <w:rsid w:val="00B57C33"/>
    <w:rsid w:val="00B6024C"/>
    <w:rsid w:val="00B67ACA"/>
    <w:rsid w:val="00B74B25"/>
    <w:rsid w:val="00B9153E"/>
    <w:rsid w:val="00BA70BE"/>
    <w:rsid w:val="00BC2B00"/>
    <w:rsid w:val="00BC6C13"/>
    <w:rsid w:val="00BC7A78"/>
    <w:rsid w:val="00BD0D31"/>
    <w:rsid w:val="00BF3C00"/>
    <w:rsid w:val="00C235DF"/>
    <w:rsid w:val="00C2373B"/>
    <w:rsid w:val="00C25192"/>
    <w:rsid w:val="00C27CB4"/>
    <w:rsid w:val="00C347CD"/>
    <w:rsid w:val="00C403B4"/>
    <w:rsid w:val="00C437E7"/>
    <w:rsid w:val="00C479CD"/>
    <w:rsid w:val="00C61DF0"/>
    <w:rsid w:val="00C76DA9"/>
    <w:rsid w:val="00C82084"/>
    <w:rsid w:val="00C91F6D"/>
    <w:rsid w:val="00C95884"/>
    <w:rsid w:val="00CD0BEC"/>
    <w:rsid w:val="00CF5522"/>
    <w:rsid w:val="00CF6C67"/>
    <w:rsid w:val="00D034C6"/>
    <w:rsid w:val="00D12841"/>
    <w:rsid w:val="00D131C0"/>
    <w:rsid w:val="00D16121"/>
    <w:rsid w:val="00D16ED3"/>
    <w:rsid w:val="00D22F15"/>
    <w:rsid w:val="00D26155"/>
    <w:rsid w:val="00D53991"/>
    <w:rsid w:val="00D670AD"/>
    <w:rsid w:val="00D77072"/>
    <w:rsid w:val="00D77E28"/>
    <w:rsid w:val="00D84EF3"/>
    <w:rsid w:val="00D92197"/>
    <w:rsid w:val="00DA1B47"/>
    <w:rsid w:val="00DA1F52"/>
    <w:rsid w:val="00DB79BE"/>
    <w:rsid w:val="00DC027D"/>
    <w:rsid w:val="00DE0F09"/>
    <w:rsid w:val="00DE6039"/>
    <w:rsid w:val="00E006E0"/>
    <w:rsid w:val="00E51DCB"/>
    <w:rsid w:val="00E54804"/>
    <w:rsid w:val="00E6607A"/>
    <w:rsid w:val="00E7562A"/>
    <w:rsid w:val="00E97219"/>
    <w:rsid w:val="00EA31F3"/>
    <w:rsid w:val="00EB1FBB"/>
    <w:rsid w:val="00EB3F0B"/>
    <w:rsid w:val="00EC7754"/>
    <w:rsid w:val="00ED77A8"/>
    <w:rsid w:val="00F078C9"/>
    <w:rsid w:val="00F35B1F"/>
    <w:rsid w:val="00F470BF"/>
    <w:rsid w:val="00F55CA1"/>
    <w:rsid w:val="00F946EA"/>
    <w:rsid w:val="00FB0EF5"/>
    <w:rsid w:val="00FB20FC"/>
    <w:rsid w:val="00FB7672"/>
    <w:rsid w:val="00FC6713"/>
    <w:rsid w:val="00FD4403"/>
    <w:rsid w:val="00FE016B"/>
    <w:rsid w:val="00FE4574"/>
    <w:rsid w:val="00FE6AD2"/>
    <w:rsid w:val="12D95328"/>
    <w:rsid w:val="1C37311C"/>
    <w:rsid w:val="26C25CA0"/>
    <w:rsid w:val="45010FCD"/>
    <w:rsid w:val="5E0E003A"/>
    <w:rsid w:val="74B73BA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iPriority w:val="0"/>
    <w:pPr>
      <w:spacing w:after="120"/>
      <w:ind w:left="420" w:leftChars="200"/>
    </w:p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uiPriority w:val="0"/>
  </w:style>
  <w:style w:type="character" w:styleId="10">
    <w:name w:val="Hyperlink"/>
    <w:basedOn w:val="8"/>
    <w:uiPriority w:val="0"/>
    <w:rPr>
      <w:color w:val="0000FF"/>
      <w:u w:val="single"/>
    </w:rPr>
  </w:style>
  <w:style w:type="character" w:customStyle="1" w:styleId="11">
    <w:name w:val="页眉 Char"/>
    <w:basedOn w:val="8"/>
    <w:link w:val="5"/>
    <w:uiPriority w:val="0"/>
    <w:rPr>
      <w:kern w:val="2"/>
      <w:sz w:val="18"/>
      <w:szCs w:val="18"/>
    </w:rPr>
  </w:style>
  <w:style w:type="character" w:customStyle="1" w:styleId="12">
    <w:name w:val="页脚 Char"/>
    <w:basedOn w:val="8"/>
    <w:link w:val="4"/>
    <w:uiPriority w:val="0"/>
    <w:rPr>
      <w:kern w:val="2"/>
      <w:sz w:val="18"/>
      <w:szCs w:val="18"/>
    </w:rPr>
  </w:style>
  <w:style w:type="paragraph" w:styleId="13">
    <w:name w:val="List Paragraph"/>
    <w:basedOn w:val="1"/>
    <w:qFormat/>
    <w:uiPriority w:val="0"/>
    <w:pPr>
      <w:spacing w:line="400" w:lineRule="atLeast"/>
      <w:ind w:left="420" w:firstLine="420" w:firstLineChars="200"/>
    </w:pPr>
    <w:rPr>
      <w:rFonts w:ascii="Calibri" w:hAnsi="Calibri"/>
      <w:szCs w:val="22"/>
    </w:rPr>
  </w:style>
  <w:style w:type="paragraph" w:customStyle="1" w:styleId="14">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Company>
  <Pages>2</Pages>
  <Words>758</Words>
  <Characters>834</Characters>
  <Lines>6</Lines>
  <Paragraphs>1</Paragraphs>
  <TotalTime>1</TotalTime>
  <ScaleCrop>false</ScaleCrop>
  <LinksUpToDate>false</LinksUpToDate>
  <CharactersWithSpaces>868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2020-08-29T07:04:00Z</dcterms:created>
  <dc:creator>Administrator</dc:creator>
  <cp:lastModifiedBy>宋</cp:lastModifiedBy>
  <dcterms:modified xsi:type="dcterms:W3CDTF">2022-10-26T04:31:25Z</dcterms:modified>
  <dc:title>新疆地方校准规范</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6351C8F05FCF42F0AE4C2050CF9622DE</vt:lpwstr>
  </property>
</Properties>
</file>