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E5B" w:rsidRPr="00441BE4" w:rsidRDefault="001C5E5B" w:rsidP="00CA241B">
      <w:pPr>
        <w:spacing w:line="720" w:lineRule="auto"/>
        <w:jc w:val="center"/>
        <w:rPr>
          <w:rFonts w:ascii="黑体"/>
          <w:b/>
          <w:bCs/>
          <w:sz w:val="48"/>
          <w:szCs w:val="48"/>
        </w:rPr>
      </w:pPr>
    </w:p>
    <w:p w:rsidR="001C5E5B" w:rsidRPr="00441BE4" w:rsidRDefault="001C5E5B" w:rsidP="00FB50DD">
      <w:pPr>
        <w:spacing w:line="720" w:lineRule="auto"/>
        <w:ind w:firstLineChars="646" w:firstLine="3113"/>
        <w:rPr>
          <w:rFonts w:ascii="黑体"/>
          <w:b/>
          <w:bCs/>
          <w:sz w:val="48"/>
          <w:szCs w:val="48"/>
        </w:rPr>
      </w:pPr>
    </w:p>
    <w:p w:rsidR="001C5E5B" w:rsidRPr="00441BE4" w:rsidRDefault="001C5E5B" w:rsidP="004D643A">
      <w:pPr>
        <w:autoSpaceDE w:val="0"/>
        <w:autoSpaceDN w:val="0"/>
        <w:adjustRightInd w:val="0"/>
        <w:jc w:val="center"/>
        <w:rPr>
          <w:rFonts w:ascii="黑体" w:eastAsia="黑体" w:hAnsi="黑体"/>
          <w:sz w:val="52"/>
          <w:szCs w:val="52"/>
        </w:rPr>
      </w:pPr>
      <w:r>
        <w:rPr>
          <w:rFonts w:ascii="黑体" w:eastAsia="黑体" w:hAnsi="黑体" w:cs="黑体" w:hint="eastAsia"/>
          <w:sz w:val="52"/>
          <w:szCs w:val="52"/>
        </w:rPr>
        <w:t>四氢噻吩</w:t>
      </w:r>
      <w:r w:rsidRPr="00441BE4">
        <w:rPr>
          <w:rFonts w:ascii="黑体" w:eastAsia="黑体" w:hAnsi="黑体" w:cs="黑体" w:hint="eastAsia"/>
          <w:sz w:val="52"/>
          <w:szCs w:val="52"/>
        </w:rPr>
        <w:t>气体检测仪校准规范</w:t>
      </w:r>
    </w:p>
    <w:p w:rsidR="001C5E5B" w:rsidRPr="00441BE4" w:rsidRDefault="001C5E5B" w:rsidP="00FB50DD">
      <w:pPr>
        <w:spacing w:line="720" w:lineRule="auto"/>
        <w:ind w:firstLineChars="646" w:firstLine="3113"/>
        <w:rPr>
          <w:rFonts w:ascii="黑体"/>
          <w:b/>
          <w:bCs/>
          <w:sz w:val="48"/>
          <w:szCs w:val="48"/>
        </w:rPr>
      </w:pPr>
    </w:p>
    <w:p w:rsidR="001C5E5B" w:rsidRPr="00441BE4" w:rsidRDefault="001C5E5B" w:rsidP="00FB50DD">
      <w:pPr>
        <w:spacing w:line="720" w:lineRule="auto"/>
        <w:ind w:firstLineChars="646" w:firstLine="3113"/>
        <w:rPr>
          <w:rFonts w:ascii="黑体" w:eastAsia="Times New Roman"/>
          <w:b/>
          <w:bCs/>
          <w:sz w:val="48"/>
          <w:szCs w:val="48"/>
        </w:rPr>
      </w:pPr>
      <w:r w:rsidRPr="00441BE4">
        <w:rPr>
          <w:rFonts w:ascii="黑体" w:eastAsia="Times New Roman" w:cs="Times New Roman"/>
          <w:b/>
          <w:bCs/>
          <w:sz w:val="48"/>
          <w:szCs w:val="48"/>
        </w:rPr>
        <w:t>编制说明</w:t>
      </w:r>
    </w:p>
    <w:p w:rsidR="001C5E5B" w:rsidRPr="00441BE4" w:rsidRDefault="001C5E5B" w:rsidP="00CA241B">
      <w:pPr>
        <w:spacing w:line="360" w:lineRule="auto"/>
        <w:rPr>
          <w:rFonts w:ascii="黑体" w:eastAsia="Times New Roman"/>
          <w:b/>
          <w:bCs/>
          <w:sz w:val="24"/>
          <w:szCs w:val="24"/>
        </w:rPr>
      </w:pPr>
    </w:p>
    <w:p w:rsidR="001C5E5B" w:rsidRPr="00441BE4" w:rsidRDefault="001C5E5B" w:rsidP="00CA241B">
      <w:pPr>
        <w:spacing w:line="360" w:lineRule="auto"/>
        <w:rPr>
          <w:rFonts w:ascii="黑体" w:eastAsia="Times New Roman"/>
          <w:b/>
          <w:bCs/>
          <w:sz w:val="24"/>
          <w:szCs w:val="24"/>
        </w:rPr>
      </w:pPr>
    </w:p>
    <w:p w:rsidR="001C5E5B" w:rsidRPr="00441BE4" w:rsidRDefault="001C5E5B" w:rsidP="00CA241B">
      <w:pPr>
        <w:spacing w:line="360" w:lineRule="auto"/>
        <w:rPr>
          <w:rFonts w:ascii="黑体" w:eastAsia="Times New Roman"/>
          <w:b/>
          <w:bCs/>
          <w:sz w:val="24"/>
          <w:szCs w:val="24"/>
        </w:rPr>
      </w:pPr>
    </w:p>
    <w:p w:rsidR="001C5E5B" w:rsidRPr="00441BE4" w:rsidRDefault="001C5E5B" w:rsidP="00CA241B">
      <w:pPr>
        <w:spacing w:line="360" w:lineRule="auto"/>
        <w:rPr>
          <w:rFonts w:ascii="黑体" w:eastAsia="Times New Roman"/>
          <w:b/>
          <w:bCs/>
          <w:sz w:val="24"/>
          <w:szCs w:val="24"/>
        </w:rPr>
      </w:pPr>
    </w:p>
    <w:p w:rsidR="001C5E5B" w:rsidRPr="00441BE4" w:rsidRDefault="001C5E5B" w:rsidP="00CA241B">
      <w:pPr>
        <w:spacing w:line="360" w:lineRule="auto"/>
        <w:rPr>
          <w:rFonts w:ascii="黑体" w:eastAsia="Times New Roman"/>
          <w:b/>
          <w:bCs/>
          <w:sz w:val="24"/>
          <w:szCs w:val="24"/>
        </w:rPr>
      </w:pPr>
    </w:p>
    <w:p w:rsidR="001C5E5B" w:rsidRPr="00441BE4" w:rsidRDefault="001C5E5B" w:rsidP="00CA241B">
      <w:pPr>
        <w:spacing w:line="360" w:lineRule="auto"/>
        <w:rPr>
          <w:rFonts w:ascii="黑体" w:eastAsia="Times New Roman"/>
          <w:b/>
          <w:bCs/>
          <w:sz w:val="24"/>
          <w:szCs w:val="24"/>
        </w:rPr>
      </w:pPr>
    </w:p>
    <w:p w:rsidR="001C5E5B" w:rsidRPr="00441BE4" w:rsidRDefault="001C5E5B" w:rsidP="00CA241B">
      <w:pPr>
        <w:spacing w:line="360" w:lineRule="auto"/>
        <w:rPr>
          <w:rFonts w:ascii="黑体" w:eastAsia="Times New Roman"/>
          <w:b/>
          <w:bCs/>
          <w:sz w:val="24"/>
          <w:szCs w:val="24"/>
        </w:rPr>
      </w:pPr>
    </w:p>
    <w:p w:rsidR="001C5E5B" w:rsidRPr="00441BE4" w:rsidRDefault="001C5E5B" w:rsidP="00CA241B">
      <w:pPr>
        <w:spacing w:line="360" w:lineRule="auto"/>
        <w:rPr>
          <w:rFonts w:ascii="黑体" w:eastAsia="Times New Roman"/>
          <w:b/>
          <w:bCs/>
          <w:sz w:val="24"/>
          <w:szCs w:val="24"/>
        </w:rPr>
      </w:pPr>
    </w:p>
    <w:p w:rsidR="001C5E5B" w:rsidRPr="00441BE4" w:rsidRDefault="001C5E5B" w:rsidP="00CA241B">
      <w:pPr>
        <w:spacing w:line="360" w:lineRule="auto"/>
        <w:rPr>
          <w:rFonts w:ascii="黑体" w:eastAsia="Times New Roman"/>
          <w:b/>
          <w:bCs/>
          <w:sz w:val="24"/>
          <w:szCs w:val="24"/>
        </w:rPr>
      </w:pPr>
    </w:p>
    <w:p w:rsidR="001C5E5B" w:rsidRPr="00441BE4" w:rsidRDefault="001C5E5B" w:rsidP="00CA241B">
      <w:pPr>
        <w:spacing w:line="360" w:lineRule="auto"/>
        <w:rPr>
          <w:rFonts w:ascii="黑体"/>
          <w:b/>
          <w:bCs/>
          <w:sz w:val="24"/>
          <w:szCs w:val="24"/>
        </w:rPr>
      </w:pPr>
    </w:p>
    <w:p w:rsidR="001C5E5B" w:rsidRPr="00441BE4" w:rsidRDefault="001C5E5B" w:rsidP="00CA241B">
      <w:pPr>
        <w:spacing w:line="360" w:lineRule="auto"/>
        <w:rPr>
          <w:rFonts w:ascii="黑体"/>
          <w:b/>
          <w:bCs/>
          <w:sz w:val="24"/>
          <w:szCs w:val="24"/>
        </w:rPr>
      </w:pPr>
    </w:p>
    <w:p w:rsidR="001C5E5B" w:rsidRPr="00441BE4" w:rsidRDefault="001C5E5B" w:rsidP="00CA241B">
      <w:pPr>
        <w:spacing w:line="360" w:lineRule="auto"/>
        <w:rPr>
          <w:rFonts w:ascii="黑体"/>
          <w:b/>
          <w:bCs/>
          <w:sz w:val="24"/>
          <w:szCs w:val="24"/>
        </w:rPr>
      </w:pPr>
    </w:p>
    <w:p w:rsidR="001C5E5B" w:rsidRPr="00441BE4" w:rsidRDefault="001C5E5B" w:rsidP="00CA241B">
      <w:pPr>
        <w:spacing w:line="360" w:lineRule="auto"/>
        <w:rPr>
          <w:rFonts w:ascii="黑体"/>
          <w:b/>
          <w:bCs/>
          <w:sz w:val="24"/>
          <w:szCs w:val="24"/>
        </w:rPr>
      </w:pPr>
    </w:p>
    <w:p w:rsidR="001C5E5B" w:rsidRPr="00441BE4" w:rsidRDefault="001C5E5B" w:rsidP="00CA241B">
      <w:pPr>
        <w:spacing w:line="360" w:lineRule="auto"/>
        <w:jc w:val="center"/>
        <w:rPr>
          <w:rFonts w:ascii="黑体"/>
          <w:b/>
          <w:bCs/>
          <w:sz w:val="24"/>
          <w:szCs w:val="24"/>
        </w:rPr>
      </w:pPr>
    </w:p>
    <w:p w:rsidR="001C5E5B" w:rsidRPr="00441BE4" w:rsidRDefault="001C5E5B" w:rsidP="007130E9">
      <w:pPr>
        <w:spacing w:line="360" w:lineRule="auto"/>
        <w:jc w:val="center"/>
        <w:rPr>
          <w:rFonts w:ascii="黑体" w:eastAsia="Times New Roman"/>
          <w:b/>
          <w:bCs/>
          <w:sz w:val="28"/>
          <w:szCs w:val="28"/>
        </w:rPr>
      </w:pPr>
    </w:p>
    <w:p w:rsidR="001C5E5B" w:rsidRPr="00441BE4" w:rsidRDefault="001C5E5B" w:rsidP="0024717E">
      <w:pPr>
        <w:spacing w:line="360" w:lineRule="auto"/>
        <w:jc w:val="center"/>
        <w:rPr>
          <w:rFonts w:ascii="黑体"/>
          <w:b/>
          <w:bCs/>
          <w:sz w:val="24"/>
          <w:szCs w:val="24"/>
        </w:rPr>
      </w:pPr>
      <w:r w:rsidRPr="00441BE4">
        <w:rPr>
          <w:rFonts w:ascii="黑体" w:eastAsia="Times New Roman" w:cs="黑体"/>
          <w:b/>
          <w:bCs/>
          <w:sz w:val="28"/>
          <w:szCs w:val="28"/>
        </w:rPr>
        <w:t>20</w:t>
      </w:r>
      <w:r w:rsidRPr="00441BE4">
        <w:rPr>
          <w:rFonts w:ascii="黑体" w:cs="黑体"/>
          <w:b/>
          <w:bCs/>
          <w:sz w:val="28"/>
          <w:szCs w:val="28"/>
        </w:rPr>
        <w:t>2</w:t>
      </w:r>
      <w:r>
        <w:rPr>
          <w:rFonts w:ascii="黑体" w:cs="黑体"/>
          <w:b/>
          <w:bCs/>
          <w:sz w:val="28"/>
          <w:szCs w:val="28"/>
        </w:rPr>
        <w:t>2</w:t>
      </w:r>
      <w:r w:rsidRPr="00441BE4">
        <w:rPr>
          <w:rFonts w:ascii="黑体" w:eastAsia="Times New Roman" w:cs="Times New Roman"/>
          <w:b/>
          <w:bCs/>
          <w:sz w:val="28"/>
          <w:szCs w:val="28"/>
        </w:rPr>
        <w:t>年</w:t>
      </w:r>
      <w:r w:rsidRPr="00441BE4">
        <w:rPr>
          <w:rFonts w:ascii="黑体" w:cs="黑体"/>
          <w:b/>
          <w:bCs/>
          <w:sz w:val="28"/>
          <w:szCs w:val="28"/>
        </w:rPr>
        <w:t>1</w:t>
      </w:r>
      <w:r>
        <w:rPr>
          <w:rFonts w:ascii="黑体" w:cs="黑体"/>
          <w:b/>
          <w:bCs/>
          <w:sz w:val="28"/>
          <w:szCs w:val="28"/>
        </w:rPr>
        <w:t>1</w:t>
      </w:r>
      <w:r w:rsidRPr="00441BE4">
        <w:rPr>
          <w:rFonts w:ascii="黑体" w:eastAsia="Times New Roman" w:cs="Times New Roman"/>
          <w:b/>
          <w:bCs/>
          <w:sz w:val="28"/>
          <w:szCs w:val="28"/>
        </w:rPr>
        <w:t>月</w:t>
      </w:r>
    </w:p>
    <w:p w:rsidR="001C5E5B" w:rsidRPr="00441BE4" w:rsidRDefault="001C5E5B" w:rsidP="0024717E">
      <w:pPr>
        <w:spacing w:line="360" w:lineRule="auto"/>
        <w:jc w:val="center"/>
        <w:rPr>
          <w:rFonts w:ascii="黑体"/>
          <w:b/>
          <w:bCs/>
          <w:sz w:val="24"/>
          <w:szCs w:val="24"/>
        </w:rPr>
      </w:pPr>
    </w:p>
    <w:p w:rsidR="001C5E5B" w:rsidRPr="00441BE4" w:rsidRDefault="001C5E5B" w:rsidP="0024717E">
      <w:pPr>
        <w:spacing w:line="360" w:lineRule="auto"/>
        <w:jc w:val="center"/>
        <w:rPr>
          <w:rFonts w:ascii="黑体"/>
          <w:b/>
          <w:bCs/>
          <w:sz w:val="24"/>
          <w:szCs w:val="24"/>
        </w:rPr>
      </w:pPr>
    </w:p>
    <w:p w:rsidR="001C5E5B" w:rsidRPr="00441BE4" w:rsidRDefault="001C5E5B" w:rsidP="00C240B0">
      <w:pPr>
        <w:spacing w:line="720" w:lineRule="auto"/>
        <w:rPr>
          <w:rFonts w:ascii="黑体" w:eastAsia="Times New Roman"/>
          <w:b/>
          <w:bCs/>
          <w:sz w:val="24"/>
          <w:szCs w:val="24"/>
        </w:rPr>
      </w:pPr>
      <w:r w:rsidRPr="00441BE4">
        <w:rPr>
          <w:rFonts w:ascii="黑体" w:eastAsia="Times New Roman" w:cs="Times New Roman"/>
          <w:b/>
          <w:bCs/>
          <w:sz w:val="24"/>
          <w:szCs w:val="24"/>
        </w:rPr>
        <w:t>一、任务来源</w:t>
      </w:r>
    </w:p>
    <w:p w:rsidR="001C5E5B" w:rsidRPr="00441BE4" w:rsidRDefault="001C5E5B" w:rsidP="00FB50DD">
      <w:pPr>
        <w:spacing w:line="360" w:lineRule="auto"/>
        <w:ind w:firstLineChars="200" w:firstLine="480"/>
        <w:rPr>
          <w:rFonts w:ascii="宋体"/>
          <w:sz w:val="24"/>
          <w:szCs w:val="24"/>
        </w:rPr>
      </w:pPr>
      <w:r>
        <w:rPr>
          <w:rFonts w:ascii="宋体" w:hAnsi="宋体" w:cs="宋体" w:hint="eastAsia"/>
          <w:sz w:val="24"/>
          <w:szCs w:val="24"/>
        </w:rPr>
        <w:t>四氢噻吩</w:t>
      </w:r>
      <w:r w:rsidRPr="00441BE4">
        <w:rPr>
          <w:rFonts w:ascii="宋体" w:hAnsi="宋体" w:cs="宋体" w:hint="eastAsia"/>
          <w:sz w:val="24"/>
          <w:szCs w:val="24"/>
        </w:rPr>
        <w:t>气体检测仪校准规范制定任务由全国环境化学计量技术委员会下达。根据环化委</w:t>
      </w:r>
      <w:r w:rsidRPr="00441BE4">
        <w:rPr>
          <w:rFonts w:ascii="Times New Roman" w:hAnsi="Times New Roman" w:cs="宋体" w:hint="eastAsia"/>
          <w:sz w:val="24"/>
          <w:szCs w:val="24"/>
        </w:rPr>
        <w:t>（</w:t>
      </w:r>
      <w:r w:rsidRPr="00441BE4">
        <w:rPr>
          <w:rFonts w:ascii="Times New Roman" w:hAnsi="Times New Roman" w:cs="Times New Roman"/>
          <w:sz w:val="24"/>
          <w:szCs w:val="24"/>
        </w:rPr>
        <w:t>20</w:t>
      </w:r>
      <w:r>
        <w:rPr>
          <w:rFonts w:ascii="Times New Roman" w:hAnsi="Times New Roman" w:cs="Times New Roman"/>
          <w:sz w:val="24"/>
          <w:szCs w:val="24"/>
        </w:rPr>
        <w:t>22</w:t>
      </w:r>
      <w:r w:rsidRPr="00441BE4">
        <w:rPr>
          <w:rFonts w:ascii="Times New Roman" w:hAnsi="Times New Roman" w:cs="宋体" w:hint="eastAsia"/>
          <w:sz w:val="24"/>
          <w:szCs w:val="24"/>
        </w:rPr>
        <w:t>）</w:t>
      </w:r>
      <w:r w:rsidRPr="00441BE4">
        <w:rPr>
          <w:rFonts w:ascii="Times New Roman" w:hAnsi="Times New Roman" w:cs="Times New Roman"/>
          <w:sz w:val="24"/>
          <w:szCs w:val="24"/>
        </w:rPr>
        <w:t>0</w:t>
      </w:r>
      <w:r>
        <w:rPr>
          <w:rFonts w:ascii="Times New Roman" w:hAnsi="Times New Roman" w:cs="Times New Roman"/>
          <w:sz w:val="24"/>
          <w:szCs w:val="24"/>
        </w:rPr>
        <w:t>18</w:t>
      </w:r>
      <w:r w:rsidRPr="00441BE4">
        <w:rPr>
          <w:rFonts w:ascii="宋体" w:hAnsi="宋体" w:cs="宋体" w:hint="eastAsia"/>
          <w:sz w:val="24"/>
          <w:szCs w:val="24"/>
        </w:rPr>
        <w:t>号《关于落实</w:t>
      </w:r>
      <w:r w:rsidRPr="00441BE4">
        <w:rPr>
          <w:rFonts w:ascii="Times New Roman" w:hAnsi="Times New Roman" w:cs="Times New Roman"/>
          <w:sz w:val="24"/>
          <w:szCs w:val="24"/>
        </w:rPr>
        <w:t>20</w:t>
      </w:r>
      <w:r>
        <w:rPr>
          <w:rFonts w:ascii="Times New Roman" w:hAnsi="Times New Roman" w:cs="Times New Roman"/>
          <w:sz w:val="24"/>
          <w:szCs w:val="24"/>
        </w:rPr>
        <w:t>22</w:t>
      </w:r>
      <w:r w:rsidRPr="00441BE4">
        <w:rPr>
          <w:rFonts w:ascii="宋体" w:hAnsi="宋体" w:cs="宋体" w:hint="eastAsia"/>
          <w:sz w:val="24"/>
          <w:szCs w:val="24"/>
        </w:rPr>
        <w:t>年国家计量技术规范制定、修订计划的函》，由甘肃省计量研究院、</w:t>
      </w:r>
      <w:r w:rsidRPr="008651AB">
        <w:rPr>
          <w:rFonts w:ascii="宋体" w:hAnsi="宋体" w:cs="宋体" w:hint="eastAsia"/>
          <w:sz w:val="24"/>
          <w:szCs w:val="24"/>
        </w:rPr>
        <w:t>新疆维吾尔自治区计量测试研究院、江苏省计量科学研究院</w:t>
      </w:r>
      <w:r>
        <w:rPr>
          <w:rFonts w:ascii="宋体" w:hAnsi="宋体" w:cs="宋体" w:hint="eastAsia"/>
          <w:sz w:val="24"/>
          <w:szCs w:val="24"/>
        </w:rPr>
        <w:t>、</w:t>
      </w:r>
      <w:r w:rsidRPr="008651AB">
        <w:rPr>
          <w:rFonts w:ascii="宋体" w:hAnsi="宋体" w:cs="宋体" w:hint="eastAsia"/>
          <w:sz w:val="24"/>
          <w:szCs w:val="24"/>
        </w:rPr>
        <w:t>苏州市计量测试院</w:t>
      </w:r>
      <w:r>
        <w:rPr>
          <w:rFonts w:ascii="宋体" w:hAnsi="宋体" w:cs="宋体" w:hint="eastAsia"/>
          <w:sz w:val="24"/>
          <w:szCs w:val="24"/>
        </w:rPr>
        <w:t>，</w:t>
      </w:r>
      <w:r w:rsidRPr="00441BE4">
        <w:rPr>
          <w:rFonts w:ascii="宋体" w:hAnsi="宋体" w:cs="宋体" w:hint="eastAsia"/>
          <w:sz w:val="24"/>
          <w:szCs w:val="24"/>
        </w:rPr>
        <w:t>等单位共同承担制定工作。</w:t>
      </w:r>
    </w:p>
    <w:p w:rsidR="001C5E5B" w:rsidRPr="00441BE4" w:rsidRDefault="001C5E5B" w:rsidP="00C240B0">
      <w:pPr>
        <w:spacing w:line="720" w:lineRule="auto"/>
        <w:rPr>
          <w:rFonts w:ascii="黑体" w:eastAsia="Times New Roman"/>
          <w:b/>
          <w:bCs/>
          <w:sz w:val="24"/>
          <w:szCs w:val="24"/>
        </w:rPr>
      </w:pPr>
      <w:r w:rsidRPr="00441BE4">
        <w:rPr>
          <w:rFonts w:ascii="黑体" w:eastAsia="Times New Roman" w:cs="Times New Roman"/>
          <w:b/>
          <w:bCs/>
          <w:sz w:val="24"/>
          <w:szCs w:val="24"/>
        </w:rPr>
        <w:t>二、目的意义</w:t>
      </w:r>
    </w:p>
    <w:p w:rsidR="001C5E5B" w:rsidRDefault="001C5E5B" w:rsidP="008651AB">
      <w:pPr>
        <w:spacing w:line="360" w:lineRule="auto"/>
        <w:ind w:firstLineChars="200" w:firstLine="480"/>
        <w:rPr>
          <w:rFonts w:ascii="宋体"/>
          <w:sz w:val="24"/>
        </w:rPr>
      </w:pPr>
      <w:r w:rsidRPr="009C045A">
        <w:rPr>
          <w:rFonts w:ascii="宋体" w:hAnsi="宋体" w:hint="eastAsia"/>
          <w:sz w:val="24"/>
        </w:rPr>
        <w:t>城镇燃气一般包括天然气、液化石油气和人工煤气，其中天然气和液化石油气多为无毒燃气，含一氧化碳的可燃气体（如人工煤气）为有毒燃气。由于天然气等城镇燃气具有无色无味、有一定毒性和易燃易爆之特性，又是在压力下输送和使用的；管道输送和施工时易造成泄露，有引起爆炸、着火和人身中毒的危险。因此，要求对没有臭味的城镇燃气加臭，当发生</w:t>
      </w:r>
      <w:r>
        <w:rPr>
          <w:rFonts w:ascii="宋体" w:hAnsi="宋体" w:hint="eastAsia"/>
          <w:sz w:val="24"/>
        </w:rPr>
        <w:t>燃气</w:t>
      </w:r>
      <w:r w:rsidRPr="009C045A">
        <w:rPr>
          <w:rFonts w:ascii="宋体" w:hAnsi="宋体" w:hint="eastAsia"/>
          <w:sz w:val="24"/>
        </w:rPr>
        <w:t>泄露时能及时被人们发觉，对于确保人民生命和</w:t>
      </w:r>
      <w:hyperlink r:id="rId6" w:tgtFrame="_blank" w:history="1">
        <w:r w:rsidRPr="009C045A">
          <w:rPr>
            <w:rFonts w:ascii="宋体" w:hAnsi="宋体" w:hint="eastAsia"/>
            <w:sz w:val="24"/>
          </w:rPr>
          <w:t>财产安全</w:t>
        </w:r>
      </w:hyperlink>
      <w:r w:rsidRPr="009C045A">
        <w:rPr>
          <w:rFonts w:ascii="宋体" w:hAnsi="宋体" w:hint="eastAsia"/>
          <w:sz w:val="24"/>
        </w:rPr>
        <w:t>，及时发现并防止事故发生是一项重要的安全措施。</w:t>
      </w:r>
    </w:p>
    <w:p w:rsidR="001C5E5B" w:rsidRDefault="001C5E5B" w:rsidP="008651AB">
      <w:pPr>
        <w:spacing w:line="360" w:lineRule="auto"/>
        <w:ind w:firstLineChars="200" w:firstLine="480"/>
        <w:rPr>
          <w:rFonts w:ascii="宋体"/>
          <w:sz w:val="24"/>
        </w:rPr>
      </w:pPr>
      <w:r w:rsidRPr="009C045A">
        <w:rPr>
          <w:rFonts w:ascii="宋体" w:hAnsi="宋体"/>
          <w:sz w:val="24"/>
        </w:rPr>
        <w:t>GB50028-2006</w:t>
      </w:r>
      <w:r w:rsidRPr="009C045A">
        <w:rPr>
          <w:rFonts w:ascii="宋体" w:hAnsi="宋体" w:hint="eastAsia"/>
          <w:sz w:val="24"/>
        </w:rPr>
        <w:t>《城镇燃气设计规范》</w:t>
      </w:r>
      <w:smartTag w:uri="urn:schemas-microsoft-com:office:smarttags" w:element="chsdate">
        <w:smartTagPr>
          <w:attr w:name="IsROCDate" w:val="False"/>
          <w:attr w:name="IsLunarDate" w:val="False"/>
          <w:attr w:name="Day" w:val="30"/>
          <w:attr w:name="Month" w:val="12"/>
          <w:attr w:name="Year" w:val="1899"/>
        </w:smartTagPr>
        <w:r w:rsidRPr="009C045A">
          <w:rPr>
            <w:rFonts w:ascii="宋体" w:hAnsi="宋体"/>
            <w:sz w:val="24"/>
          </w:rPr>
          <w:t>2.0.5</w:t>
        </w:r>
      </w:smartTag>
      <w:r>
        <w:rPr>
          <w:rFonts w:ascii="宋体" w:hAnsi="宋体" w:hint="eastAsia"/>
          <w:sz w:val="24"/>
        </w:rPr>
        <w:t>条款</w:t>
      </w:r>
      <w:r w:rsidRPr="009C045A">
        <w:rPr>
          <w:rFonts w:ascii="宋体" w:hAnsi="宋体" w:hint="eastAsia"/>
          <w:sz w:val="24"/>
        </w:rPr>
        <w:t>规定</w:t>
      </w:r>
      <w:r>
        <w:rPr>
          <w:rFonts w:ascii="宋体" w:hAnsi="宋体" w:hint="eastAsia"/>
          <w:sz w:val="24"/>
        </w:rPr>
        <w:t>，</w:t>
      </w:r>
      <w:r w:rsidRPr="009C045A">
        <w:rPr>
          <w:rFonts w:ascii="宋体" w:hAnsi="宋体" w:hint="eastAsia"/>
          <w:sz w:val="24"/>
        </w:rPr>
        <w:t>城镇燃气的加臭剂是一种具有强烈气味的有机化合物或混合物，当以很低的浓度加入燃气中，使燃气有一种特殊的、令人不愉快的警示性臭味，以便泄露的燃气在达到其爆炸下限时</w:t>
      </w:r>
      <w:r w:rsidRPr="009C045A">
        <w:rPr>
          <w:rFonts w:ascii="宋体" w:hAnsi="宋体"/>
          <w:sz w:val="24"/>
        </w:rPr>
        <w:t>20%</w:t>
      </w:r>
      <w:r w:rsidRPr="009C045A">
        <w:rPr>
          <w:rFonts w:ascii="宋体" w:hAnsi="宋体" w:hint="eastAsia"/>
          <w:sz w:val="24"/>
        </w:rPr>
        <w:t>时或达到对人体允许的有害浓度时，既被察觉。</w:t>
      </w:r>
      <w:smartTag w:uri="urn:schemas-microsoft-com:office:smarttags" w:element="chsdate">
        <w:smartTagPr>
          <w:attr w:name="IsROCDate" w:val="False"/>
          <w:attr w:name="IsLunarDate" w:val="False"/>
          <w:attr w:name="Day" w:val="30"/>
          <w:attr w:name="Month" w:val="12"/>
          <w:attr w:name="Year" w:val="1899"/>
        </w:smartTagPr>
        <w:r w:rsidRPr="009C045A">
          <w:rPr>
            <w:rFonts w:ascii="宋体" w:hAnsi="宋体"/>
            <w:sz w:val="24"/>
          </w:rPr>
          <w:t>3.2.3</w:t>
        </w:r>
      </w:smartTag>
      <w:r>
        <w:rPr>
          <w:rFonts w:ascii="宋体" w:hAnsi="宋体" w:hint="eastAsia"/>
          <w:sz w:val="24"/>
        </w:rPr>
        <w:t>条款</w:t>
      </w:r>
      <w:r w:rsidRPr="009C045A">
        <w:rPr>
          <w:rFonts w:ascii="宋体" w:hAnsi="宋体" w:hint="eastAsia"/>
          <w:sz w:val="24"/>
        </w:rPr>
        <w:t>规定</w:t>
      </w:r>
      <w:r>
        <w:rPr>
          <w:rFonts w:ascii="宋体" w:hAnsi="宋体" w:hint="eastAsia"/>
          <w:sz w:val="24"/>
        </w:rPr>
        <w:t>，</w:t>
      </w:r>
      <w:r w:rsidRPr="009C045A">
        <w:rPr>
          <w:rFonts w:ascii="宋体" w:hAnsi="宋体" w:hint="eastAsia"/>
          <w:sz w:val="24"/>
        </w:rPr>
        <w:t>城镇燃气应具有应察觉的臭味，燃气中加臭剂的最小量应符合下列规定：</w:t>
      </w:r>
      <w:r w:rsidRPr="009C045A">
        <w:rPr>
          <w:rFonts w:ascii="宋体" w:hAnsi="宋体"/>
          <w:sz w:val="24"/>
        </w:rPr>
        <w:t>(1)</w:t>
      </w:r>
      <w:r w:rsidRPr="009C045A">
        <w:rPr>
          <w:rFonts w:ascii="宋体" w:hAnsi="宋体" w:hint="eastAsia"/>
          <w:sz w:val="24"/>
        </w:rPr>
        <w:t>无毒燃气泄漏到空气中，达到爆炸下限时</w:t>
      </w:r>
      <w:r w:rsidRPr="009C045A">
        <w:rPr>
          <w:rFonts w:ascii="宋体" w:hAnsi="宋体"/>
          <w:sz w:val="24"/>
        </w:rPr>
        <w:t>20%</w:t>
      </w:r>
      <w:r w:rsidRPr="009C045A">
        <w:rPr>
          <w:rFonts w:ascii="宋体" w:hAnsi="宋体" w:hint="eastAsia"/>
          <w:sz w:val="24"/>
        </w:rPr>
        <w:t>时，应能察觉；</w:t>
      </w:r>
      <w:r w:rsidRPr="009C045A">
        <w:rPr>
          <w:rFonts w:ascii="宋体" w:hAnsi="宋体"/>
          <w:sz w:val="24"/>
        </w:rPr>
        <w:t>(2)</w:t>
      </w:r>
      <w:r w:rsidRPr="009C045A">
        <w:rPr>
          <w:rFonts w:ascii="宋体" w:hAnsi="宋体" w:hint="eastAsia"/>
          <w:sz w:val="24"/>
        </w:rPr>
        <w:t>有毒燃气泄漏到空气中达到对人体允许的有害浓度时，应能察觉。</w:t>
      </w:r>
    </w:p>
    <w:p w:rsidR="001C5E5B" w:rsidRDefault="001C5E5B" w:rsidP="008651AB">
      <w:pPr>
        <w:spacing w:line="360" w:lineRule="auto"/>
        <w:ind w:firstLineChars="200" w:firstLine="480"/>
        <w:rPr>
          <w:rFonts w:ascii="宋体"/>
          <w:sz w:val="24"/>
        </w:rPr>
      </w:pPr>
      <w:r w:rsidRPr="009C045A">
        <w:rPr>
          <w:rFonts w:ascii="宋体" w:hAnsi="宋体" w:hint="eastAsia"/>
          <w:sz w:val="24"/>
        </w:rPr>
        <w:t>四氢噻吩</w:t>
      </w:r>
      <w:r w:rsidRPr="009C045A">
        <w:rPr>
          <w:rFonts w:ascii="宋体" w:hAnsi="宋体"/>
          <w:sz w:val="24"/>
        </w:rPr>
        <w:t>(</w:t>
      </w:r>
      <w:r w:rsidRPr="009C045A">
        <w:rPr>
          <w:rFonts w:ascii="宋体" w:hAnsi="宋体" w:hint="eastAsia"/>
          <w:sz w:val="24"/>
        </w:rPr>
        <w:t>简称</w:t>
      </w:r>
      <w:r w:rsidRPr="009C045A">
        <w:rPr>
          <w:rFonts w:ascii="宋体" w:hAnsi="宋体"/>
          <w:sz w:val="24"/>
        </w:rPr>
        <w:t>THT)</w:t>
      </w:r>
      <w:r w:rsidRPr="009C045A">
        <w:rPr>
          <w:rFonts w:ascii="宋体" w:hAnsi="宋体" w:hint="eastAsia"/>
          <w:sz w:val="24"/>
        </w:rPr>
        <w:t>是噻吩经催化氢化后得到一种含硫饱和杂环化合物，是无色透明有挥发性的液体，不溶于水，具有强烈的不愉快气味，它产生的臭味稳定、不易散发，空气中</w:t>
      </w:r>
      <w:r>
        <w:rPr>
          <w:rFonts w:ascii="宋体" w:hAnsi="宋体" w:hint="eastAsia"/>
          <w:sz w:val="24"/>
        </w:rPr>
        <w:t>很低浓度</w:t>
      </w:r>
      <w:r w:rsidRPr="009C045A">
        <w:rPr>
          <w:rFonts w:ascii="宋体" w:hAnsi="宋体" w:hint="eastAsia"/>
          <w:sz w:val="24"/>
        </w:rPr>
        <w:t>就能闻到。由于其对煤气设备、运输管道垫片等材质没有腐蚀性，对人体嗅觉不会产生习惯钝化，符合</w:t>
      </w:r>
      <w:r w:rsidRPr="009C045A">
        <w:rPr>
          <w:rFonts w:ascii="宋体" w:hAnsi="宋体" w:cs="宋体"/>
          <w:color w:val="333333"/>
          <w:kern w:val="0"/>
          <w:sz w:val="24"/>
        </w:rPr>
        <w:t>GB50028-2006</w:t>
      </w:r>
      <w:r w:rsidRPr="009C045A">
        <w:rPr>
          <w:rFonts w:ascii="宋体" w:hAnsi="宋体" w:hint="eastAsia"/>
          <w:sz w:val="24"/>
        </w:rPr>
        <w:t>标准加臭剂要求，目前被少量加到城镇燃气中，取缔了原来使用的乙硫醇等加臭剂。国内各燃气公司多采用四氢噻吩</w:t>
      </w:r>
      <w:r>
        <w:rPr>
          <w:rFonts w:ascii="宋体" w:hAnsi="宋体" w:hint="eastAsia"/>
          <w:sz w:val="24"/>
        </w:rPr>
        <w:t>气体</w:t>
      </w:r>
      <w:r w:rsidRPr="009C045A">
        <w:rPr>
          <w:rFonts w:ascii="宋体" w:hAnsi="宋体" w:hint="eastAsia"/>
          <w:sz w:val="24"/>
        </w:rPr>
        <w:t>检测仪对城镇燃气中的四氢噻吩浓度进行检测。</w:t>
      </w:r>
    </w:p>
    <w:p w:rsidR="001C5E5B" w:rsidRPr="009C045A" w:rsidRDefault="001C5E5B" w:rsidP="008651AB">
      <w:pPr>
        <w:spacing w:line="360" w:lineRule="auto"/>
        <w:ind w:firstLineChars="200" w:firstLine="480"/>
        <w:rPr>
          <w:rFonts w:ascii="宋体"/>
          <w:sz w:val="24"/>
        </w:rPr>
      </w:pPr>
      <w:r w:rsidRPr="009C045A">
        <w:rPr>
          <w:rFonts w:ascii="宋体" w:hAnsi="宋体" w:hint="eastAsia"/>
          <w:sz w:val="24"/>
        </w:rPr>
        <w:t>由于国内尚无适合四氢噻吩检测仪的校准规范，这使得在实际工作中对四氢噻吩检测仪的</w:t>
      </w:r>
      <w:r>
        <w:rPr>
          <w:rFonts w:ascii="宋体" w:hAnsi="宋体" w:hint="eastAsia"/>
          <w:sz w:val="24"/>
        </w:rPr>
        <w:t>检测缺少可依据的计量技术规范，</w:t>
      </w:r>
      <w:r w:rsidRPr="009C045A">
        <w:rPr>
          <w:rFonts w:ascii="宋体" w:hAnsi="宋体" w:hint="eastAsia"/>
          <w:sz w:val="24"/>
        </w:rPr>
        <w:t>因此有必要制定相应校准规范。</w:t>
      </w:r>
    </w:p>
    <w:p w:rsidR="001C5E5B" w:rsidRPr="00441BE4" w:rsidRDefault="001C5E5B" w:rsidP="008651AB">
      <w:pPr>
        <w:spacing w:line="360" w:lineRule="auto"/>
        <w:ind w:firstLineChars="200" w:firstLine="480"/>
        <w:rPr>
          <w:rFonts w:ascii="Times New Roman" w:hAnsi="Times New Roman" w:cs="Times New Roman"/>
          <w:sz w:val="24"/>
          <w:szCs w:val="24"/>
        </w:rPr>
      </w:pPr>
      <w:r w:rsidRPr="009C045A">
        <w:rPr>
          <w:rFonts w:ascii="宋体" w:hAnsi="宋体" w:hint="eastAsia"/>
          <w:sz w:val="24"/>
        </w:rPr>
        <w:t>本校准规范将基于气体四氢噻吩的性质，建立适用于四氢噻吩检测仪的具体校准方法、条件和校准程序。</w:t>
      </w:r>
      <w:r>
        <w:rPr>
          <w:rFonts w:ascii="宋体" w:hAnsi="宋体" w:cs="宋体" w:hint="eastAsia"/>
          <w:kern w:val="0"/>
          <w:sz w:val="24"/>
        </w:rPr>
        <w:t>该规范的制定，不但可</w:t>
      </w:r>
      <w:r w:rsidRPr="001830E5">
        <w:rPr>
          <w:rFonts w:ascii="宋体" w:hAnsi="宋体" w:cs="宋体" w:hint="eastAsia"/>
          <w:kern w:val="0"/>
          <w:sz w:val="24"/>
        </w:rPr>
        <w:t>以</w:t>
      </w:r>
      <w:r w:rsidRPr="009C045A">
        <w:rPr>
          <w:rFonts w:ascii="宋体" w:hAnsi="宋体" w:hint="eastAsia"/>
          <w:sz w:val="24"/>
        </w:rPr>
        <w:t>保证量值的准确性和溯源性</w:t>
      </w:r>
      <w:r>
        <w:rPr>
          <w:rFonts w:ascii="宋体" w:hAnsi="宋体" w:cs="宋体" w:hint="eastAsia"/>
          <w:kern w:val="0"/>
          <w:sz w:val="24"/>
        </w:rPr>
        <w:t>；而且能</w:t>
      </w:r>
      <w:r w:rsidRPr="001830E5">
        <w:rPr>
          <w:rFonts w:ascii="宋体" w:hAnsi="宋体" w:cs="宋体" w:hint="eastAsia"/>
          <w:kern w:val="0"/>
          <w:sz w:val="24"/>
        </w:rPr>
        <w:t>有效的避免因</w:t>
      </w:r>
      <w:r>
        <w:rPr>
          <w:rFonts w:ascii="宋体" w:hAnsi="宋体" w:cs="宋体" w:hint="eastAsia"/>
          <w:kern w:val="0"/>
          <w:sz w:val="24"/>
        </w:rPr>
        <w:t>可燃</w:t>
      </w:r>
      <w:r w:rsidRPr="001830E5">
        <w:rPr>
          <w:rFonts w:ascii="宋体" w:hAnsi="宋体" w:cs="宋体" w:hint="eastAsia"/>
          <w:kern w:val="0"/>
          <w:sz w:val="24"/>
        </w:rPr>
        <w:t>气体泄漏而引起的火灾、爆炸等人身伤亡事故和财产损失</w:t>
      </w:r>
      <w:r>
        <w:rPr>
          <w:rFonts w:ascii="宋体" w:hAnsi="宋体" w:cs="宋体" w:hint="eastAsia"/>
          <w:kern w:val="0"/>
          <w:sz w:val="24"/>
        </w:rPr>
        <w:t>，</w:t>
      </w:r>
      <w:r w:rsidRPr="00065F7C">
        <w:rPr>
          <w:rFonts w:ascii="宋体" w:hAnsi="宋体" w:cs="宋体" w:hint="eastAsia"/>
          <w:kern w:val="0"/>
          <w:sz w:val="24"/>
        </w:rPr>
        <w:t>保持社会稳定，</w:t>
      </w:r>
      <w:r w:rsidRPr="00441BE4">
        <w:rPr>
          <w:rFonts w:ascii="Times New Roman" w:hAnsi="Times New Roman" w:cs="宋体" w:hint="eastAsia"/>
          <w:sz w:val="24"/>
          <w:szCs w:val="24"/>
        </w:rPr>
        <w:t>能进一步推动我国计量技术水平的发展</w:t>
      </w:r>
      <w:r>
        <w:rPr>
          <w:rFonts w:ascii="Times New Roman" w:hAnsi="Times New Roman" w:cs="宋体" w:hint="eastAsia"/>
          <w:sz w:val="24"/>
          <w:szCs w:val="24"/>
        </w:rPr>
        <w:t>，</w:t>
      </w:r>
      <w:r w:rsidRPr="00441BE4">
        <w:rPr>
          <w:rFonts w:ascii="Times New Roman" w:hAnsi="Times New Roman" w:cs="宋体" w:hint="eastAsia"/>
          <w:sz w:val="24"/>
          <w:szCs w:val="24"/>
        </w:rPr>
        <w:t>使</w:t>
      </w:r>
      <w:r>
        <w:rPr>
          <w:rFonts w:ascii="Times New Roman" w:hAnsi="Times New Roman" w:cs="宋体" w:hint="eastAsia"/>
          <w:sz w:val="24"/>
          <w:szCs w:val="24"/>
        </w:rPr>
        <w:t>四氢噻吩</w:t>
      </w:r>
      <w:r w:rsidRPr="00441BE4">
        <w:rPr>
          <w:rFonts w:ascii="Times New Roman" w:hAnsi="Times New Roman" w:cs="宋体" w:hint="eastAsia"/>
          <w:sz w:val="24"/>
          <w:szCs w:val="24"/>
        </w:rPr>
        <w:t>气体检测仪的量值溯源与量值传递有章可循，有法可依。</w:t>
      </w:r>
    </w:p>
    <w:p w:rsidR="001C5E5B" w:rsidRPr="00441BE4" w:rsidRDefault="001C5E5B" w:rsidP="00C240B0">
      <w:pPr>
        <w:spacing w:line="720" w:lineRule="auto"/>
        <w:rPr>
          <w:rFonts w:ascii="黑体" w:eastAsia="Times New Roman"/>
          <w:b/>
          <w:bCs/>
          <w:sz w:val="24"/>
          <w:szCs w:val="24"/>
        </w:rPr>
      </w:pPr>
      <w:r w:rsidRPr="00441BE4">
        <w:rPr>
          <w:rFonts w:ascii="黑体" w:eastAsia="Times New Roman" w:cs="Times New Roman"/>
          <w:b/>
          <w:bCs/>
          <w:sz w:val="24"/>
          <w:szCs w:val="24"/>
        </w:rPr>
        <w:t>三、技术依据</w:t>
      </w:r>
    </w:p>
    <w:p w:rsidR="001C5E5B" w:rsidRPr="00441BE4" w:rsidRDefault="001C5E5B" w:rsidP="00FB50DD">
      <w:pPr>
        <w:autoSpaceDE w:val="0"/>
        <w:autoSpaceDN w:val="0"/>
        <w:adjustRightInd w:val="0"/>
        <w:spacing w:line="360" w:lineRule="auto"/>
        <w:ind w:firstLineChars="200" w:firstLine="480"/>
        <w:jc w:val="left"/>
        <w:rPr>
          <w:rFonts w:ascii="宋体"/>
          <w:sz w:val="24"/>
          <w:szCs w:val="24"/>
        </w:rPr>
      </w:pPr>
      <w:r w:rsidRPr="00441BE4">
        <w:rPr>
          <w:rFonts w:ascii="宋体" w:cs="宋体" w:hint="eastAsia"/>
          <w:sz w:val="24"/>
          <w:szCs w:val="24"/>
        </w:rPr>
        <w:t>本规范制定以国内实际情况为出发点，体现科学性、合理性、先进性、实用性。努力使规范校准项目、技术要求及校准方法与国际建议和国家（行业）标准、技术规范相符合。</w:t>
      </w:r>
    </w:p>
    <w:p w:rsidR="001C5E5B" w:rsidRPr="00441BE4" w:rsidRDefault="001C5E5B" w:rsidP="00FB50DD">
      <w:pPr>
        <w:spacing w:line="360" w:lineRule="auto"/>
        <w:ind w:firstLineChars="200" w:firstLine="480"/>
        <w:rPr>
          <w:sz w:val="24"/>
          <w:szCs w:val="24"/>
        </w:rPr>
      </w:pPr>
      <w:r w:rsidRPr="00441BE4">
        <w:rPr>
          <w:rFonts w:cs="宋体" w:hint="eastAsia"/>
          <w:sz w:val="24"/>
          <w:szCs w:val="24"/>
        </w:rPr>
        <w:t>本规范制定主要依据及参考了以下文件：</w:t>
      </w:r>
    </w:p>
    <w:p w:rsidR="001C5E5B" w:rsidRPr="00441BE4" w:rsidRDefault="001C5E5B" w:rsidP="00FB50DD">
      <w:pPr>
        <w:spacing w:line="360" w:lineRule="auto"/>
        <w:ind w:firstLineChars="200" w:firstLine="480"/>
        <w:rPr>
          <w:rFonts w:ascii="Times New Roman" w:hAnsi="Times New Roman" w:cs="Times New Roman"/>
          <w:sz w:val="24"/>
          <w:szCs w:val="24"/>
        </w:rPr>
      </w:pPr>
      <w:r w:rsidRPr="00441BE4">
        <w:rPr>
          <w:rFonts w:ascii="Times New Roman" w:hAnsi="Times New Roman" w:cs="Times New Roman"/>
          <w:sz w:val="24"/>
          <w:szCs w:val="24"/>
        </w:rPr>
        <w:t xml:space="preserve">JJF 1071—2010  </w:t>
      </w:r>
      <w:r w:rsidRPr="00441BE4">
        <w:rPr>
          <w:rFonts w:ascii="Times New Roman" w:hAnsi="Times New Roman" w:cs="宋体" w:hint="eastAsia"/>
          <w:sz w:val="24"/>
          <w:szCs w:val="24"/>
        </w:rPr>
        <w:t>国家计量校准规范编写规则</w:t>
      </w:r>
    </w:p>
    <w:p w:rsidR="001C5E5B" w:rsidRPr="00441BE4" w:rsidRDefault="001C5E5B" w:rsidP="00FB50DD">
      <w:pPr>
        <w:spacing w:line="360" w:lineRule="auto"/>
        <w:ind w:firstLineChars="200" w:firstLine="480"/>
        <w:rPr>
          <w:rFonts w:ascii="Times New Roman" w:hAnsi="Times New Roman" w:cs="Times New Roman"/>
          <w:sz w:val="24"/>
          <w:szCs w:val="24"/>
        </w:rPr>
      </w:pPr>
      <w:r w:rsidRPr="00441BE4">
        <w:rPr>
          <w:rFonts w:ascii="Times New Roman" w:hAnsi="Times New Roman" w:cs="Times New Roman"/>
          <w:sz w:val="24"/>
          <w:szCs w:val="24"/>
        </w:rPr>
        <w:t xml:space="preserve">JJF 1001—2011  </w:t>
      </w:r>
      <w:r w:rsidRPr="00441BE4">
        <w:rPr>
          <w:rFonts w:ascii="Times New Roman" w:hAnsi="Times New Roman" w:cs="宋体" w:hint="eastAsia"/>
          <w:sz w:val="24"/>
          <w:szCs w:val="24"/>
        </w:rPr>
        <w:t>通用计量术语及定义</w:t>
      </w:r>
    </w:p>
    <w:p w:rsidR="001C5E5B" w:rsidRPr="00441BE4" w:rsidRDefault="001C5E5B" w:rsidP="00FB50DD">
      <w:pPr>
        <w:spacing w:line="360" w:lineRule="auto"/>
        <w:ind w:firstLineChars="200" w:firstLine="480"/>
        <w:rPr>
          <w:rFonts w:ascii="Times New Roman" w:hAnsi="Times New Roman" w:cs="Times New Roman"/>
          <w:sz w:val="24"/>
          <w:szCs w:val="24"/>
        </w:rPr>
      </w:pPr>
      <w:r w:rsidRPr="00441BE4">
        <w:rPr>
          <w:rFonts w:ascii="Times New Roman" w:hAnsi="Times New Roman" w:cs="Times New Roman"/>
          <w:sz w:val="24"/>
          <w:szCs w:val="24"/>
        </w:rPr>
        <w:t xml:space="preserve">JJF 1059.1—2012  </w:t>
      </w:r>
      <w:r w:rsidRPr="00441BE4">
        <w:rPr>
          <w:rFonts w:ascii="Times New Roman" w:hAnsi="Times New Roman" w:cs="宋体" w:hint="eastAsia"/>
          <w:sz w:val="24"/>
          <w:szCs w:val="24"/>
        </w:rPr>
        <w:t>测量不确定度评定与表示</w:t>
      </w:r>
    </w:p>
    <w:p w:rsidR="001C5E5B" w:rsidRPr="00441BE4" w:rsidRDefault="001C5E5B" w:rsidP="00FB50DD">
      <w:pPr>
        <w:spacing w:line="360" w:lineRule="auto"/>
        <w:ind w:firstLineChars="200" w:firstLine="480"/>
        <w:rPr>
          <w:rFonts w:ascii="Times New Roman" w:hAnsi="Times New Roman" w:cs="Times New Roman"/>
          <w:sz w:val="24"/>
          <w:szCs w:val="24"/>
        </w:rPr>
      </w:pPr>
      <w:r w:rsidRPr="00441BE4">
        <w:rPr>
          <w:rFonts w:ascii="Times New Roman" w:hAnsi="Times New Roman" w:cs="Times New Roman"/>
          <w:sz w:val="24"/>
          <w:szCs w:val="24"/>
        </w:rPr>
        <w:t xml:space="preserve">GB 12358—2006  </w:t>
      </w:r>
      <w:r w:rsidRPr="00441BE4">
        <w:rPr>
          <w:rFonts w:ascii="Times New Roman" w:hAnsi="Times New Roman" w:cs="宋体" w:hint="eastAsia"/>
          <w:sz w:val="24"/>
          <w:szCs w:val="24"/>
        </w:rPr>
        <w:t>作业场所环境气体检测报警仪通用技术要求</w:t>
      </w:r>
    </w:p>
    <w:p w:rsidR="001C5E5B" w:rsidRDefault="001C5E5B" w:rsidP="004B09B7">
      <w:pPr>
        <w:spacing w:line="360" w:lineRule="auto"/>
        <w:ind w:leftChars="228" w:left="479"/>
        <w:rPr>
          <w:rFonts w:ascii="Times New Roman" w:hAnsi="Times New Roman" w:cs="宋体"/>
          <w:sz w:val="24"/>
          <w:szCs w:val="24"/>
        </w:rPr>
      </w:pPr>
      <w:r w:rsidRPr="004B09B7">
        <w:rPr>
          <w:rFonts w:ascii="Times New Roman" w:hAnsi="Times New Roman" w:cs="宋体"/>
          <w:sz w:val="24"/>
          <w:szCs w:val="24"/>
        </w:rPr>
        <w:t>GB 50028-2006</w:t>
      </w:r>
      <w:r>
        <w:rPr>
          <w:rFonts w:ascii="Times New Roman" w:hAnsi="Times New Roman" w:cs="宋体"/>
          <w:sz w:val="24"/>
          <w:szCs w:val="24"/>
        </w:rPr>
        <w:t xml:space="preserve">  </w:t>
      </w:r>
      <w:r w:rsidRPr="004B09B7">
        <w:rPr>
          <w:rFonts w:ascii="Times New Roman" w:hAnsi="Times New Roman" w:cs="宋体" w:hint="eastAsia"/>
          <w:sz w:val="24"/>
          <w:szCs w:val="24"/>
        </w:rPr>
        <w:t>城镇燃气设计规范</w:t>
      </w:r>
    </w:p>
    <w:p w:rsidR="001C5E5B" w:rsidRPr="00D464B7" w:rsidRDefault="001C5E5B" w:rsidP="004B09B7">
      <w:pPr>
        <w:spacing w:line="360" w:lineRule="auto"/>
        <w:ind w:leftChars="228" w:left="479"/>
        <w:rPr>
          <w:rFonts w:ascii="Times New Roman" w:hAnsi="Times New Roman" w:cs="宋体"/>
          <w:sz w:val="24"/>
          <w:szCs w:val="24"/>
        </w:rPr>
      </w:pPr>
      <w:r w:rsidRPr="00D464B7">
        <w:rPr>
          <w:rFonts w:ascii="Times New Roman" w:hAnsi="Times New Roman" w:cs="宋体"/>
          <w:sz w:val="24"/>
          <w:szCs w:val="24"/>
        </w:rPr>
        <w:t>CJ/T524-2018</w:t>
      </w:r>
      <w:r>
        <w:rPr>
          <w:rFonts w:ascii="Times New Roman" w:hAnsi="Times New Roman" w:cs="宋体"/>
          <w:sz w:val="24"/>
          <w:szCs w:val="24"/>
        </w:rPr>
        <w:t xml:space="preserve">  </w:t>
      </w:r>
      <w:r w:rsidRPr="00D464B7">
        <w:rPr>
          <w:rFonts w:ascii="Times New Roman" w:hAnsi="Times New Roman" w:cs="宋体" w:hint="eastAsia"/>
          <w:sz w:val="24"/>
          <w:szCs w:val="24"/>
        </w:rPr>
        <w:t>加臭剂浓度监测仪</w:t>
      </w:r>
    </w:p>
    <w:p w:rsidR="001C5E5B" w:rsidRPr="004B09B7" w:rsidRDefault="001C5E5B" w:rsidP="004B09B7">
      <w:pPr>
        <w:spacing w:line="360" w:lineRule="auto"/>
        <w:ind w:leftChars="228" w:left="479"/>
        <w:rPr>
          <w:rFonts w:ascii="Times New Roman" w:hAnsi="Times New Roman" w:cs="宋体"/>
          <w:sz w:val="24"/>
          <w:szCs w:val="24"/>
        </w:rPr>
      </w:pPr>
      <w:r w:rsidRPr="00D464B7">
        <w:rPr>
          <w:rFonts w:ascii="Times New Roman" w:hAnsi="Times New Roman" w:cs="宋体"/>
          <w:sz w:val="24"/>
          <w:szCs w:val="24"/>
        </w:rPr>
        <w:t>CJJ/T148-2010</w:t>
      </w:r>
      <w:r>
        <w:rPr>
          <w:rFonts w:ascii="Times New Roman" w:hAnsi="Times New Roman" w:cs="宋体"/>
          <w:sz w:val="24"/>
          <w:szCs w:val="24"/>
        </w:rPr>
        <w:t xml:space="preserve">  </w:t>
      </w:r>
      <w:r w:rsidRPr="00D464B7">
        <w:rPr>
          <w:rFonts w:ascii="Times New Roman" w:hAnsi="Times New Roman" w:cs="宋体" w:hint="eastAsia"/>
          <w:sz w:val="24"/>
          <w:szCs w:val="24"/>
        </w:rPr>
        <w:t>城镇燃气加臭技术规程</w:t>
      </w:r>
    </w:p>
    <w:p w:rsidR="001C5E5B" w:rsidRPr="00441BE4" w:rsidRDefault="001C5E5B" w:rsidP="00C240B0">
      <w:pPr>
        <w:spacing w:line="720" w:lineRule="auto"/>
        <w:rPr>
          <w:rFonts w:ascii="黑体" w:eastAsia="Times New Roman"/>
          <w:b/>
          <w:bCs/>
          <w:sz w:val="24"/>
          <w:szCs w:val="24"/>
        </w:rPr>
      </w:pPr>
      <w:r w:rsidRPr="00441BE4">
        <w:rPr>
          <w:rFonts w:ascii="黑体" w:eastAsia="Times New Roman" w:cs="Times New Roman"/>
          <w:b/>
          <w:bCs/>
          <w:sz w:val="24"/>
          <w:szCs w:val="24"/>
        </w:rPr>
        <w:t>四、气体标准物质及仪器情况</w:t>
      </w:r>
    </w:p>
    <w:p w:rsidR="001C5E5B" w:rsidRPr="00441BE4" w:rsidRDefault="001C5E5B" w:rsidP="00C240B0">
      <w:pPr>
        <w:spacing w:line="360" w:lineRule="auto"/>
        <w:rPr>
          <w:sz w:val="24"/>
          <w:szCs w:val="24"/>
        </w:rPr>
      </w:pPr>
      <w:r w:rsidRPr="00441BE4">
        <w:rPr>
          <w:rFonts w:ascii="Times New Roman" w:hAnsi="Times New Roman" w:cs="Times New Roman"/>
          <w:sz w:val="24"/>
          <w:szCs w:val="24"/>
        </w:rPr>
        <w:t>1</w:t>
      </w:r>
      <w:r w:rsidRPr="00441BE4">
        <w:rPr>
          <w:rFonts w:ascii="Times New Roman" w:hAnsi="Times New Roman" w:cs="宋体" w:hint="eastAsia"/>
          <w:sz w:val="24"/>
          <w:szCs w:val="24"/>
        </w:rPr>
        <w:t>．</w:t>
      </w:r>
      <w:r w:rsidRPr="00441BE4">
        <w:rPr>
          <w:rFonts w:cs="宋体" w:hint="eastAsia"/>
          <w:sz w:val="24"/>
          <w:szCs w:val="24"/>
        </w:rPr>
        <w:t>校准用</w:t>
      </w:r>
      <w:r>
        <w:rPr>
          <w:rFonts w:cs="宋体" w:hint="eastAsia"/>
          <w:sz w:val="24"/>
          <w:szCs w:val="24"/>
        </w:rPr>
        <w:t>四氢噻吩</w:t>
      </w:r>
      <w:r w:rsidRPr="00441BE4">
        <w:rPr>
          <w:rFonts w:cs="宋体" w:hint="eastAsia"/>
          <w:sz w:val="24"/>
          <w:szCs w:val="24"/>
        </w:rPr>
        <w:t>气体标准物质</w:t>
      </w:r>
    </w:p>
    <w:p w:rsidR="001C5E5B" w:rsidRPr="00441BE4" w:rsidRDefault="001C5E5B" w:rsidP="00A31BA1">
      <w:pPr>
        <w:spacing w:line="360" w:lineRule="auto"/>
        <w:ind w:firstLineChars="200" w:firstLine="480"/>
        <w:rPr>
          <w:sz w:val="24"/>
          <w:szCs w:val="24"/>
        </w:rPr>
      </w:pPr>
      <w:r w:rsidRPr="00441BE4">
        <w:rPr>
          <w:rFonts w:cs="宋体" w:hint="eastAsia"/>
          <w:sz w:val="24"/>
          <w:szCs w:val="24"/>
        </w:rPr>
        <w:t>目前国内有证气体标准物质如下：</w:t>
      </w:r>
    </w:p>
    <w:tbl>
      <w:tblPr>
        <w:tblW w:w="857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44"/>
        <w:gridCol w:w="2590"/>
        <w:gridCol w:w="2340"/>
        <w:gridCol w:w="1704"/>
      </w:tblGrid>
      <w:tr w:rsidR="001C5E5B" w:rsidRPr="00441BE4" w:rsidTr="007C5FF4">
        <w:tc>
          <w:tcPr>
            <w:tcW w:w="1944" w:type="dxa"/>
          </w:tcPr>
          <w:p w:rsidR="001C5E5B" w:rsidRPr="00441BE4" w:rsidRDefault="001C5E5B" w:rsidP="00C34735">
            <w:pPr>
              <w:spacing w:line="360" w:lineRule="auto"/>
              <w:jc w:val="center"/>
            </w:pPr>
            <w:r w:rsidRPr="00441BE4">
              <w:rPr>
                <w:rFonts w:cs="宋体" w:hint="eastAsia"/>
              </w:rPr>
              <w:t>生产厂</w:t>
            </w:r>
          </w:p>
        </w:tc>
        <w:tc>
          <w:tcPr>
            <w:tcW w:w="2590" w:type="dxa"/>
          </w:tcPr>
          <w:p w:rsidR="001C5E5B" w:rsidRPr="00441BE4" w:rsidRDefault="001C5E5B" w:rsidP="00C34735">
            <w:pPr>
              <w:spacing w:line="360" w:lineRule="auto"/>
              <w:jc w:val="center"/>
            </w:pPr>
            <w:r w:rsidRPr="00441BE4">
              <w:rPr>
                <w:rFonts w:cs="宋体" w:hint="eastAsia"/>
              </w:rPr>
              <w:t>标准物质编号</w:t>
            </w:r>
          </w:p>
        </w:tc>
        <w:tc>
          <w:tcPr>
            <w:tcW w:w="2340" w:type="dxa"/>
          </w:tcPr>
          <w:p w:rsidR="001C5E5B" w:rsidRPr="00441BE4" w:rsidRDefault="001C5E5B" w:rsidP="001F508B">
            <w:pPr>
              <w:spacing w:line="360" w:lineRule="auto"/>
              <w:jc w:val="center"/>
            </w:pPr>
            <w:r w:rsidRPr="00441BE4">
              <w:rPr>
                <w:rFonts w:cs="宋体" w:hint="eastAsia"/>
              </w:rPr>
              <w:t>量值范围</w:t>
            </w:r>
          </w:p>
        </w:tc>
        <w:tc>
          <w:tcPr>
            <w:tcW w:w="1704" w:type="dxa"/>
          </w:tcPr>
          <w:p w:rsidR="001C5E5B" w:rsidRPr="00441BE4" w:rsidRDefault="001C5E5B" w:rsidP="001F508B">
            <w:pPr>
              <w:spacing w:line="360" w:lineRule="auto"/>
              <w:ind w:leftChars="-51" w:left="-107" w:rightChars="-51" w:right="-107"/>
              <w:jc w:val="center"/>
            </w:pPr>
            <w:r w:rsidRPr="00441BE4">
              <w:rPr>
                <w:rFonts w:cs="宋体" w:hint="eastAsia"/>
              </w:rPr>
              <w:t>相对扩展不确定度</w:t>
            </w:r>
          </w:p>
        </w:tc>
      </w:tr>
      <w:tr w:rsidR="001C5E5B" w:rsidRPr="00441BE4" w:rsidTr="007C5FF4">
        <w:tc>
          <w:tcPr>
            <w:tcW w:w="1944" w:type="dxa"/>
            <w:vAlign w:val="center"/>
          </w:tcPr>
          <w:p w:rsidR="001C5E5B" w:rsidRPr="00441BE4" w:rsidRDefault="001C5E5B" w:rsidP="006E6F77">
            <w:pPr>
              <w:ind w:leftChars="-42" w:left="-88" w:rightChars="-54" w:right="-113"/>
              <w:jc w:val="center"/>
            </w:pPr>
            <w:r>
              <w:rPr>
                <w:rFonts w:cs="宋体" w:hint="eastAsia"/>
              </w:rPr>
              <w:t>中国计量科学研究院</w:t>
            </w:r>
            <w:r>
              <w:rPr>
                <w:rFonts w:cs="宋体"/>
              </w:rPr>
              <w:t>/</w:t>
            </w:r>
            <w:r w:rsidRPr="00441BE4">
              <w:rPr>
                <w:rFonts w:cs="宋体" w:hint="eastAsia"/>
              </w:rPr>
              <w:t>中国测试技术研究院</w:t>
            </w:r>
          </w:p>
        </w:tc>
        <w:tc>
          <w:tcPr>
            <w:tcW w:w="2590" w:type="dxa"/>
            <w:vAlign w:val="center"/>
          </w:tcPr>
          <w:p w:rsidR="001C5E5B" w:rsidRDefault="001C5E5B" w:rsidP="006E6F77">
            <w:pPr>
              <w:jc w:val="center"/>
              <w:rPr>
                <w:rFonts w:ascii="Times New Roman" w:hAnsi="Times New Roman" w:cs="Times New Roman"/>
              </w:rPr>
            </w:pPr>
            <w:r w:rsidRPr="00441BE4">
              <w:rPr>
                <w:rFonts w:ascii="Times New Roman" w:hAnsi="Times New Roman" w:cs="Times New Roman"/>
              </w:rPr>
              <w:t>GBW</w:t>
            </w:r>
            <w:r w:rsidRPr="00441BE4">
              <w:rPr>
                <w:rFonts w:ascii="Times New Roman" w:hAnsi="Times New Roman" w:cs="宋体"/>
              </w:rPr>
              <w:t>(</w:t>
            </w:r>
            <w:r w:rsidRPr="00441BE4">
              <w:rPr>
                <w:rFonts w:ascii="Times New Roman" w:hAnsi="Times New Roman" w:cs="Times New Roman"/>
              </w:rPr>
              <w:t>E</w:t>
            </w:r>
            <w:r w:rsidRPr="00441BE4">
              <w:rPr>
                <w:rFonts w:ascii="Times New Roman" w:hAnsi="Times New Roman" w:cs="宋体"/>
              </w:rPr>
              <w:t>)</w:t>
            </w:r>
            <w:r w:rsidRPr="00441BE4">
              <w:rPr>
                <w:rFonts w:ascii="Times New Roman" w:hAnsi="Times New Roman" w:cs="Times New Roman"/>
              </w:rPr>
              <w:t>062</w:t>
            </w:r>
            <w:r>
              <w:rPr>
                <w:rFonts w:ascii="Times New Roman" w:hAnsi="Times New Roman" w:cs="Times New Roman"/>
              </w:rPr>
              <w:t>459</w:t>
            </w:r>
          </w:p>
          <w:p w:rsidR="001C5E5B" w:rsidRPr="00441BE4" w:rsidRDefault="001C5E5B" w:rsidP="006E6F77">
            <w:pPr>
              <w:jc w:val="center"/>
              <w:rPr>
                <w:rFonts w:ascii="Times New Roman" w:hAnsi="Times New Roman" w:cs="Times New Roman"/>
              </w:rPr>
            </w:pPr>
            <w:r w:rsidRPr="00441BE4">
              <w:rPr>
                <w:rFonts w:ascii="Times New Roman" w:hAnsi="Times New Roman" w:cs="Times New Roman"/>
              </w:rPr>
              <w:t>GBW</w:t>
            </w:r>
            <w:r w:rsidRPr="00441BE4">
              <w:rPr>
                <w:rFonts w:ascii="Times New Roman" w:hAnsi="Times New Roman" w:cs="宋体"/>
              </w:rPr>
              <w:t>(</w:t>
            </w:r>
            <w:r w:rsidRPr="00441BE4">
              <w:rPr>
                <w:rFonts w:ascii="Times New Roman" w:hAnsi="Times New Roman" w:cs="Times New Roman"/>
              </w:rPr>
              <w:t>E</w:t>
            </w:r>
            <w:r w:rsidRPr="00441BE4">
              <w:rPr>
                <w:rFonts w:ascii="Times New Roman" w:hAnsi="Times New Roman" w:cs="宋体"/>
              </w:rPr>
              <w:t>)</w:t>
            </w:r>
            <w:r w:rsidRPr="00441BE4">
              <w:rPr>
                <w:rFonts w:ascii="Times New Roman" w:hAnsi="Times New Roman" w:cs="Times New Roman"/>
              </w:rPr>
              <w:t>062</w:t>
            </w:r>
            <w:r>
              <w:rPr>
                <w:rFonts w:ascii="Times New Roman" w:hAnsi="Times New Roman" w:cs="Times New Roman"/>
              </w:rPr>
              <w:t>460</w:t>
            </w:r>
          </w:p>
        </w:tc>
        <w:tc>
          <w:tcPr>
            <w:tcW w:w="2340" w:type="dxa"/>
            <w:vAlign w:val="center"/>
          </w:tcPr>
          <w:p w:rsidR="001C5E5B" w:rsidRDefault="001C5E5B" w:rsidP="006E6F77">
            <w:pPr>
              <w:jc w:val="center"/>
              <w:rPr>
                <w:rFonts w:ascii="Times New Roman" w:hAnsi="Times New Roman" w:cs="Times New Roman"/>
              </w:rPr>
            </w:pPr>
            <w:r w:rsidRPr="00441BE4">
              <w:rPr>
                <w:rFonts w:ascii="Times New Roman" w:hAnsi="Times New Roman" w:cs="Times New Roman"/>
              </w:rPr>
              <w:t>(1.0</w:t>
            </w:r>
            <w:r>
              <w:rPr>
                <w:rFonts w:ascii="Times New Roman" w:hAnsi="Times New Roman" w:cs="Times New Roman"/>
              </w:rPr>
              <w:t>0</w:t>
            </w:r>
            <w:r w:rsidRPr="00441BE4">
              <w:rPr>
                <w:rFonts w:ascii="Times New Roman" w:hAnsi="Times New Roman" w:cs="Times New Roman" w:hint="eastAsia"/>
              </w:rPr>
              <w:t>～</w:t>
            </w:r>
            <w:r>
              <w:rPr>
                <w:rFonts w:ascii="Times New Roman" w:hAnsi="Times New Roman" w:cs="Times New Roman"/>
              </w:rPr>
              <w:t>20.00</w:t>
            </w:r>
            <w:r w:rsidRPr="00441BE4">
              <w:rPr>
                <w:rFonts w:ascii="宋体" w:hAnsi="宋体" w:cs="宋体"/>
              </w:rPr>
              <w:t>)</w:t>
            </w:r>
            <w:r w:rsidRPr="00441BE4">
              <w:rPr>
                <w:rFonts w:ascii="Times New Roman" w:hAnsi="Times New Roman" w:cs="Times New Roman"/>
              </w:rPr>
              <w:t>μmol/mol</w:t>
            </w:r>
          </w:p>
          <w:p w:rsidR="001C5E5B" w:rsidRPr="00441BE4" w:rsidRDefault="001C5E5B" w:rsidP="006E6F77">
            <w:pPr>
              <w:jc w:val="center"/>
              <w:rPr>
                <w:rFonts w:ascii="Times New Roman" w:hAnsi="Times New Roman" w:cs="Times New Roman"/>
              </w:rPr>
            </w:pPr>
            <w:r w:rsidRPr="00441BE4">
              <w:rPr>
                <w:rFonts w:ascii="Times New Roman" w:hAnsi="Times New Roman" w:cs="Times New Roman"/>
              </w:rPr>
              <w:t>(1.0</w:t>
            </w:r>
            <w:r>
              <w:rPr>
                <w:rFonts w:ascii="Times New Roman" w:hAnsi="Times New Roman" w:cs="Times New Roman"/>
              </w:rPr>
              <w:t>0</w:t>
            </w:r>
            <w:r w:rsidRPr="00441BE4">
              <w:rPr>
                <w:rFonts w:ascii="Times New Roman" w:hAnsi="Times New Roman" w:cs="Times New Roman" w:hint="eastAsia"/>
              </w:rPr>
              <w:t>～</w:t>
            </w:r>
            <w:r>
              <w:rPr>
                <w:rFonts w:ascii="Times New Roman" w:hAnsi="Times New Roman" w:cs="Times New Roman"/>
              </w:rPr>
              <w:t>20.00</w:t>
            </w:r>
            <w:r w:rsidRPr="00441BE4">
              <w:rPr>
                <w:rFonts w:ascii="宋体" w:hAnsi="宋体" w:cs="宋体"/>
              </w:rPr>
              <w:t>)</w:t>
            </w:r>
            <w:r w:rsidRPr="00441BE4">
              <w:rPr>
                <w:rFonts w:ascii="Times New Roman" w:hAnsi="Times New Roman" w:cs="Times New Roman"/>
              </w:rPr>
              <w:t>μmol/mol</w:t>
            </w:r>
          </w:p>
        </w:tc>
        <w:tc>
          <w:tcPr>
            <w:tcW w:w="1704" w:type="dxa"/>
            <w:vAlign w:val="center"/>
          </w:tcPr>
          <w:p w:rsidR="001C5E5B" w:rsidRDefault="001C5E5B" w:rsidP="00C34735">
            <w:pPr>
              <w:jc w:val="center"/>
              <w:rPr>
                <w:rFonts w:ascii="Times New Roman" w:hAnsi="Times New Roman" w:cs="Times New Roman"/>
                <w:lang w:val="nl-NL"/>
              </w:rPr>
            </w:pPr>
            <w:r w:rsidRPr="00441BE4">
              <w:rPr>
                <w:rFonts w:ascii="Times New Roman" w:hAnsi="Times New Roman" w:cs="Times New Roman"/>
                <w:i/>
                <w:iCs/>
                <w:lang w:val="nl-NL"/>
              </w:rPr>
              <w:t>U</w:t>
            </w:r>
            <w:r w:rsidRPr="00441BE4">
              <w:rPr>
                <w:rFonts w:ascii="Times New Roman" w:hAnsi="Times New Roman" w:cs="Times New Roman"/>
                <w:vertAlign w:val="subscript"/>
                <w:lang w:val="nl-NL"/>
              </w:rPr>
              <w:t>rel</w:t>
            </w:r>
            <w:r w:rsidRPr="00441BE4">
              <w:rPr>
                <w:rFonts w:ascii="Times New Roman" w:hAnsi="Times New Roman" w:cs="Times New Roman"/>
                <w:lang w:val="nl-NL"/>
              </w:rPr>
              <w:t>=2%</w:t>
            </w:r>
            <w:r w:rsidRPr="00441BE4">
              <w:rPr>
                <w:rFonts w:ascii="Times New Roman" w:hAnsi="Times New Roman" w:cs="宋体" w:hint="eastAsia"/>
              </w:rPr>
              <w:t>，</w:t>
            </w:r>
            <w:r w:rsidRPr="00441BE4">
              <w:rPr>
                <w:rFonts w:ascii="Times New Roman" w:hAnsi="Times New Roman" w:cs="Times New Roman"/>
                <w:i/>
                <w:iCs/>
                <w:lang w:val="nl-NL"/>
              </w:rPr>
              <w:t>k</w:t>
            </w:r>
            <w:r w:rsidRPr="00441BE4">
              <w:rPr>
                <w:rFonts w:ascii="Times New Roman" w:hAnsi="Times New Roman" w:cs="Times New Roman"/>
                <w:lang w:val="nl-NL"/>
              </w:rPr>
              <w:t>=2</w:t>
            </w:r>
          </w:p>
          <w:p w:rsidR="001C5E5B" w:rsidRPr="00441BE4" w:rsidRDefault="001C5E5B" w:rsidP="00C34735">
            <w:pPr>
              <w:jc w:val="center"/>
              <w:rPr>
                <w:rFonts w:ascii="Times New Roman" w:hAnsi="Times New Roman" w:cs="Times New Roman"/>
                <w:lang w:val="nl-NL"/>
              </w:rPr>
            </w:pPr>
            <w:r w:rsidRPr="00441BE4">
              <w:rPr>
                <w:rFonts w:ascii="Times New Roman" w:hAnsi="Times New Roman" w:cs="Times New Roman"/>
                <w:i/>
                <w:iCs/>
                <w:lang w:val="nl-NL"/>
              </w:rPr>
              <w:t>U</w:t>
            </w:r>
            <w:r w:rsidRPr="00441BE4">
              <w:rPr>
                <w:rFonts w:ascii="Times New Roman" w:hAnsi="Times New Roman" w:cs="Times New Roman"/>
                <w:vertAlign w:val="subscript"/>
                <w:lang w:val="nl-NL"/>
              </w:rPr>
              <w:t>rel</w:t>
            </w:r>
            <w:r w:rsidRPr="00441BE4">
              <w:rPr>
                <w:rFonts w:ascii="Times New Roman" w:hAnsi="Times New Roman" w:cs="Times New Roman"/>
                <w:lang w:val="nl-NL"/>
              </w:rPr>
              <w:t>=2%</w:t>
            </w:r>
            <w:r w:rsidRPr="00441BE4">
              <w:rPr>
                <w:rFonts w:ascii="Times New Roman" w:hAnsi="Times New Roman" w:cs="宋体" w:hint="eastAsia"/>
              </w:rPr>
              <w:t>，</w:t>
            </w:r>
            <w:r w:rsidRPr="00441BE4">
              <w:rPr>
                <w:rFonts w:ascii="Times New Roman" w:hAnsi="Times New Roman" w:cs="Times New Roman"/>
                <w:i/>
                <w:iCs/>
                <w:lang w:val="nl-NL"/>
              </w:rPr>
              <w:t>k</w:t>
            </w:r>
            <w:r w:rsidRPr="00441BE4">
              <w:rPr>
                <w:rFonts w:ascii="Times New Roman" w:hAnsi="Times New Roman" w:cs="Times New Roman"/>
                <w:lang w:val="nl-NL"/>
              </w:rPr>
              <w:t>=2</w:t>
            </w:r>
          </w:p>
        </w:tc>
      </w:tr>
      <w:tr w:rsidR="001C5E5B" w:rsidRPr="00441BE4" w:rsidTr="007C5FF4">
        <w:tc>
          <w:tcPr>
            <w:tcW w:w="1944" w:type="dxa"/>
            <w:vAlign w:val="center"/>
          </w:tcPr>
          <w:p w:rsidR="001C5E5B" w:rsidRPr="00441BE4" w:rsidRDefault="001C5E5B" w:rsidP="006E6F77">
            <w:pPr>
              <w:ind w:leftChars="-42" w:left="-88" w:rightChars="-54" w:right="-113"/>
              <w:jc w:val="center"/>
              <w:rPr>
                <w:rFonts w:cs="宋体"/>
              </w:rPr>
            </w:pPr>
            <w:r w:rsidRPr="00441BE4">
              <w:rPr>
                <w:rFonts w:cs="宋体" w:hint="eastAsia"/>
              </w:rPr>
              <w:t>大连大特气体</w:t>
            </w:r>
          </w:p>
          <w:p w:rsidR="001C5E5B" w:rsidRPr="00441BE4" w:rsidRDefault="001C5E5B" w:rsidP="006E6F77">
            <w:pPr>
              <w:ind w:leftChars="-42" w:left="-88" w:rightChars="-54" w:right="-113"/>
              <w:jc w:val="center"/>
            </w:pPr>
            <w:r w:rsidRPr="00441BE4">
              <w:rPr>
                <w:rFonts w:cs="宋体" w:hint="eastAsia"/>
              </w:rPr>
              <w:t>有限公司</w:t>
            </w:r>
          </w:p>
        </w:tc>
        <w:tc>
          <w:tcPr>
            <w:tcW w:w="2590" w:type="dxa"/>
            <w:vAlign w:val="center"/>
          </w:tcPr>
          <w:p w:rsidR="001C5E5B" w:rsidRPr="00441BE4" w:rsidRDefault="001C5E5B" w:rsidP="00C34735">
            <w:pPr>
              <w:jc w:val="center"/>
              <w:rPr>
                <w:rFonts w:ascii="Times New Roman" w:hAnsi="Times New Roman" w:cs="Times New Roman"/>
              </w:rPr>
            </w:pPr>
            <w:r w:rsidRPr="00441BE4">
              <w:rPr>
                <w:rFonts w:ascii="Times New Roman" w:hAnsi="Times New Roman" w:cs="Times New Roman"/>
              </w:rPr>
              <w:t>GBW</w:t>
            </w:r>
            <w:r w:rsidRPr="00441BE4">
              <w:rPr>
                <w:rFonts w:ascii="Times New Roman" w:hAnsi="Times New Roman" w:cs="宋体"/>
              </w:rPr>
              <w:t>(</w:t>
            </w:r>
            <w:r w:rsidRPr="00441BE4">
              <w:rPr>
                <w:rFonts w:ascii="Times New Roman" w:hAnsi="Times New Roman" w:cs="Times New Roman"/>
              </w:rPr>
              <w:t>E</w:t>
            </w:r>
            <w:r w:rsidRPr="00441BE4">
              <w:rPr>
                <w:rFonts w:ascii="Times New Roman" w:hAnsi="Times New Roman" w:cs="宋体"/>
              </w:rPr>
              <w:t>)</w:t>
            </w:r>
            <w:r w:rsidRPr="00441BE4">
              <w:rPr>
                <w:rFonts w:ascii="Times New Roman" w:hAnsi="Times New Roman" w:cs="Times New Roman"/>
              </w:rPr>
              <w:t>062</w:t>
            </w:r>
            <w:r>
              <w:rPr>
                <w:rFonts w:ascii="Times New Roman" w:hAnsi="Times New Roman" w:cs="Times New Roman"/>
              </w:rPr>
              <w:t>382</w:t>
            </w:r>
          </w:p>
          <w:p w:rsidR="001C5E5B" w:rsidRPr="00441BE4" w:rsidRDefault="001C5E5B" w:rsidP="006E6F77">
            <w:pPr>
              <w:jc w:val="center"/>
              <w:rPr>
                <w:rFonts w:ascii="Times New Roman" w:hAnsi="Times New Roman" w:cs="Times New Roman"/>
              </w:rPr>
            </w:pPr>
            <w:r w:rsidRPr="00441BE4">
              <w:rPr>
                <w:rFonts w:ascii="Times New Roman" w:hAnsi="Times New Roman" w:cs="Times New Roman"/>
              </w:rPr>
              <w:t>GBW</w:t>
            </w:r>
            <w:r w:rsidRPr="00441BE4">
              <w:rPr>
                <w:rFonts w:ascii="Times New Roman" w:hAnsi="Times New Roman" w:cs="宋体"/>
              </w:rPr>
              <w:t>(</w:t>
            </w:r>
            <w:r w:rsidRPr="00441BE4">
              <w:rPr>
                <w:rFonts w:ascii="Times New Roman" w:hAnsi="Times New Roman" w:cs="Times New Roman"/>
              </w:rPr>
              <w:t>E</w:t>
            </w:r>
            <w:r w:rsidRPr="00441BE4">
              <w:rPr>
                <w:rFonts w:ascii="Times New Roman" w:hAnsi="Times New Roman" w:cs="宋体"/>
              </w:rPr>
              <w:t>)</w:t>
            </w:r>
            <w:r w:rsidRPr="00441BE4">
              <w:rPr>
                <w:rFonts w:ascii="Times New Roman" w:hAnsi="Times New Roman" w:cs="Times New Roman"/>
              </w:rPr>
              <w:t>062</w:t>
            </w:r>
            <w:r>
              <w:rPr>
                <w:rFonts w:ascii="Times New Roman" w:hAnsi="Times New Roman" w:cs="Times New Roman"/>
              </w:rPr>
              <w:t>383</w:t>
            </w:r>
          </w:p>
        </w:tc>
        <w:tc>
          <w:tcPr>
            <w:tcW w:w="2340" w:type="dxa"/>
            <w:vAlign w:val="center"/>
          </w:tcPr>
          <w:p w:rsidR="001C5E5B" w:rsidRDefault="001C5E5B" w:rsidP="006E6F77">
            <w:pPr>
              <w:jc w:val="center"/>
              <w:rPr>
                <w:rFonts w:ascii="Times New Roman" w:hAnsi="Times New Roman" w:cs="Times New Roman"/>
              </w:rPr>
            </w:pPr>
            <w:r w:rsidRPr="00441BE4">
              <w:rPr>
                <w:rFonts w:ascii="Times New Roman" w:hAnsi="Times New Roman" w:cs="Times New Roman"/>
              </w:rPr>
              <w:t>(</w:t>
            </w:r>
            <w:r>
              <w:rPr>
                <w:rFonts w:ascii="Times New Roman" w:hAnsi="Times New Roman" w:cs="Times New Roman"/>
              </w:rPr>
              <w:t>5</w:t>
            </w:r>
            <w:r w:rsidRPr="00441BE4">
              <w:rPr>
                <w:rFonts w:ascii="Times New Roman" w:hAnsi="Times New Roman" w:cs="Times New Roman"/>
              </w:rPr>
              <w:t>.0</w:t>
            </w:r>
            <w:r>
              <w:rPr>
                <w:rFonts w:ascii="Times New Roman" w:hAnsi="Times New Roman" w:cs="Times New Roman"/>
              </w:rPr>
              <w:t>0</w:t>
            </w:r>
            <w:r w:rsidRPr="00441BE4">
              <w:rPr>
                <w:rFonts w:ascii="Times New Roman" w:hAnsi="Times New Roman" w:cs="Times New Roman" w:hint="eastAsia"/>
              </w:rPr>
              <w:t>～</w:t>
            </w:r>
            <w:r w:rsidRPr="00441BE4">
              <w:rPr>
                <w:rFonts w:ascii="Times New Roman" w:hAnsi="Times New Roman" w:cs="Times New Roman"/>
              </w:rPr>
              <w:t>100) μmol/mol</w:t>
            </w:r>
          </w:p>
          <w:p w:rsidR="001C5E5B" w:rsidRPr="00441BE4" w:rsidRDefault="001C5E5B" w:rsidP="006E6F77">
            <w:pPr>
              <w:jc w:val="center"/>
              <w:rPr>
                <w:rFonts w:ascii="Times New Roman" w:hAnsi="Times New Roman" w:cs="Times New Roman"/>
              </w:rPr>
            </w:pPr>
            <w:r w:rsidRPr="00441BE4">
              <w:rPr>
                <w:rFonts w:ascii="Times New Roman" w:hAnsi="Times New Roman" w:cs="Times New Roman"/>
              </w:rPr>
              <w:t>(</w:t>
            </w:r>
            <w:r>
              <w:rPr>
                <w:rFonts w:ascii="Times New Roman" w:hAnsi="Times New Roman" w:cs="Times New Roman"/>
              </w:rPr>
              <w:t>5</w:t>
            </w:r>
            <w:r w:rsidRPr="00441BE4">
              <w:rPr>
                <w:rFonts w:ascii="Times New Roman" w:hAnsi="Times New Roman" w:cs="Times New Roman"/>
              </w:rPr>
              <w:t>.0</w:t>
            </w:r>
            <w:r>
              <w:rPr>
                <w:rFonts w:ascii="Times New Roman" w:hAnsi="Times New Roman" w:cs="Times New Roman"/>
              </w:rPr>
              <w:t>0</w:t>
            </w:r>
            <w:r w:rsidRPr="00441BE4">
              <w:rPr>
                <w:rFonts w:ascii="Times New Roman" w:hAnsi="Times New Roman" w:cs="Times New Roman" w:hint="eastAsia"/>
              </w:rPr>
              <w:t>～</w:t>
            </w:r>
            <w:r w:rsidRPr="00441BE4">
              <w:rPr>
                <w:rFonts w:ascii="Times New Roman" w:hAnsi="Times New Roman" w:cs="Times New Roman"/>
              </w:rPr>
              <w:t>100) μmol/mol</w:t>
            </w:r>
          </w:p>
        </w:tc>
        <w:tc>
          <w:tcPr>
            <w:tcW w:w="1704" w:type="dxa"/>
            <w:vAlign w:val="center"/>
          </w:tcPr>
          <w:p w:rsidR="001C5E5B" w:rsidRPr="00441BE4" w:rsidRDefault="001C5E5B" w:rsidP="00C34735">
            <w:pPr>
              <w:jc w:val="center"/>
              <w:rPr>
                <w:rFonts w:ascii="Times New Roman" w:hAnsi="Times New Roman" w:cs="Times New Roman"/>
              </w:rPr>
            </w:pPr>
            <w:r w:rsidRPr="00441BE4">
              <w:rPr>
                <w:rFonts w:ascii="Times New Roman" w:hAnsi="Times New Roman" w:cs="Times New Roman"/>
                <w:i/>
                <w:iCs/>
              </w:rPr>
              <w:t>U</w:t>
            </w:r>
            <w:r w:rsidRPr="00441BE4">
              <w:rPr>
                <w:rFonts w:ascii="Times New Roman" w:hAnsi="Times New Roman" w:cs="Times New Roman"/>
                <w:vertAlign w:val="subscript"/>
              </w:rPr>
              <w:t>rel</w:t>
            </w:r>
            <w:r w:rsidRPr="00441BE4">
              <w:rPr>
                <w:rFonts w:ascii="Times New Roman" w:hAnsi="Times New Roman" w:cs="Times New Roman"/>
              </w:rPr>
              <w:t>=2%</w:t>
            </w:r>
            <w:r w:rsidRPr="00441BE4">
              <w:rPr>
                <w:rFonts w:ascii="Times New Roman" w:hAnsi="Times New Roman" w:cs="宋体" w:hint="eastAsia"/>
              </w:rPr>
              <w:t>，</w:t>
            </w:r>
            <w:r w:rsidRPr="00441BE4">
              <w:rPr>
                <w:rFonts w:ascii="Times New Roman" w:hAnsi="Times New Roman" w:cs="Times New Roman"/>
                <w:i/>
                <w:iCs/>
              </w:rPr>
              <w:t>k</w:t>
            </w:r>
            <w:r w:rsidRPr="00441BE4">
              <w:rPr>
                <w:rFonts w:ascii="Times New Roman" w:hAnsi="Times New Roman" w:cs="Times New Roman"/>
              </w:rPr>
              <w:t>=2</w:t>
            </w:r>
          </w:p>
        </w:tc>
      </w:tr>
    </w:tbl>
    <w:p w:rsidR="001C5E5B" w:rsidRPr="00441BE4" w:rsidRDefault="001C5E5B" w:rsidP="005202CB">
      <w:pPr>
        <w:spacing w:beforeLines="50" w:line="360" w:lineRule="auto"/>
        <w:rPr>
          <w:rFonts w:ascii="Times New Roman" w:hAnsi="Times New Roman" w:cs="Times New Roman"/>
          <w:sz w:val="24"/>
          <w:szCs w:val="24"/>
        </w:rPr>
      </w:pPr>
      <w:r w:rsidRPr="00441BE4">
        <w:rPr>
          <w:rFonts w:ascii="Times New Roman" w:hAnsi="Times New Roman" w:cs="Times New Roman"/>
          <w:sz w:val="24"/>
          <w:szCs w:val="24"/>
        </w:rPr>
        <w:t>2</w:t>
      </w:r>
      <w:r w:rsidRPr="00441BE4">
        <w:rPr>
          <w:rFonts w:cs="宋体" w:hint="eastAsia"/>
          <w:sz w:val="24"/>
          <w:szCs w:val="24"/>
        </w:rPr>
        <w:t>．仪器情况</w:t>
      </w:r>
    </w:p>
    <w:p w:rsidR="001C5E5B" w:rsidRPr="00441BE4" w:rsidRDefault="001C5E5B" w:rsidP="00FB50DD">
      <w:pPr>
        <w:spacing w:line="360" w:lineRule="auto"/>
        <w:ind w:firstLineChars="200" w:firstLine="480"/>
        <w:jc w:val="left"/>
        <w:rPr>
          <w:rFonts w:cs="宋体"/>
          <w:sz w:val="24"/>
          <w:szCs w:val="24"/>
        </w:rPr>
      </w:pPr>
      <w:r w:rsidRPr="00441BE4">
        <w:rPr>
          <w:rFonts w:ascii="Times New Roman" w:cs="Times New Roman" w:hint="eastAsia"/>
          <w:sz w:val="24"/>
          <w:szCs w:val="24"/>
        </w:rPr>
        <w:t>仪器按检测原理主要有</w:t>
      </w:r>
      <w:r w:rsidRPr="00441BE4">
        <w:rPr>
          <w:rFonts w:ascii="Times New Roman" w:hAnsi="Times New Roman" w:cs="Times New Roman" w:hint="eastAsia"/>
          <w:sz w:val="24"/>
          <w:szCs w:val="24"/>
        </w:rPr>
        <w:t>电化学</w:t>
      </w:r>
      <w:r w:rsidRPr="00441BE4">
        <w:rPr>
          <w:rFonts w:ascii="宋体" w:cs="宋体" w:hint="eastAsia"/>
          <w:sz w:val="24"/>
          <w:szCs w:val="24"/>
        </w:rPr>
        <w:t>等</w:t>
      </w:r>
      <w:r w:rsidRPr="00441BE4">
        <w:rPr>
          <w:rFonts w:cs="宋体" w:hint="eastAsia"/>
          <w:sz w:val="24"/>
          <w:szCs w:val="24"/>
        </w:rPr>
        <w:t>类型。</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90"/>
        <w:gridCol w:w="1238"/>
        <w:gridCol w:w="1195"/>
        <w:gridCol w:w="1559"/>
        <w:gridCol w:w="850"/>
        <w:gridCol w:w="851"/>
        <w:gridCol w:w="850"/>
        <w:gridCol w:w="993"/>
      </w:tblGrid>
      <w:tr w:rsidR="001C5E5B" w:rsidRPr="00441BE4" w:rsidTr="008865FB">
        <w:trPr>
          <w:trHeight w:val="764"/>
        </w:trPr>
        <w:tc>
          <w:tcPr>
            <w:tcW w:w="1390" w:type="dxa"/>
            <w:vAlign w:val="center"/>
          </w:tcPr>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生产厂家</w:t>
            </w:r>
          </w:p>
        </w:tc>
        <w:tc>
          <w:tcPr>
            <w:tcW w:w="1238" w:type="dxa"/>
            <w:vAlign w:val="center"/>
          </w:tcPr>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型号</w:t>
            </w:r>
          </w:p>
        </w:tc>
        <w:tc>
          <w:tcPr>
            <w:tcW w:w="1195" w:type="dxa"/>
            <w:vAlign w:val="center"/>
          </w:tcPr>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测量范围</w:t>
            </w:r>
          </w:p>
          <w:p w:rsidR="001C5E5B" w:rsidRPr="00441BE4" w:rsidRDefault="001C5E5B" w:rsidP="00F8313A">
            <w:pPr>
              <w:jc w:val="center"/>
              <w:rPr>
                <w:rFonts w:ascii="Times New Roman" w:hAnsi="Times New Roman" w:cs="Times New Roman"/>
              </w:rPr>
            </w:pPr>
            <w:r w:rsidRPr="00441BE4">
              <w:rPr>
                <w:rFonts w:ascii="Times New Roman" w:hAnsi="Times New Roman" w:cs="Times New Roman"/>
              </w:rPr>
              <w:t>µmol/mol</w:t>
            </w:r>
          </w:p>
        </w:tc>
        <w:tc>
          <w:tcPr>
            <w:tcW w:w="1559" w:type="dxa"/>
            <w:vAlign w:val="center"/>
          </w:tcPr>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报警点</w:t>
            </w:r>
            <w:r w:rsidRPr="00441BE4">
              <w:rPr>
                <w:rFonts w:ascii="Times New Roman" w:hAnsi="Times New Roman" w:cs="Times New Roman"/>
              </w:rPr>
              <w:t>µmol/mol</w:t>
            </w:r>
          </w:p>
        </w:tc>
        <w:tc>
          <w:tcPr>
            <w:tcW w:w="850" w:type="dxa"/>
            <w:vAlign w:val="center"/>
          </w:tcPr>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工作</w:t>
            </w:r>
          </w:p>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原理</w:t>
            </w:r>
          </w:p>
        </w:tc>
        <w:tc>
          <w:tcPr>
            <w:tcW w:w="851" w:type="dxa"/>
            <w:vAlign w:val="center"/>
          </w:tcPr>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示值</w:t>
            </w:r>
          </w:p>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误差</w:t>
            </w:r>
          </w:p>
        </w:tc>
        <w:tc>
          <w:tcPr>
            <w:tcW w:w="850" w:type="dxa"/>
            <w:vAlign w:val="center"/>
          </w:tcPr>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重复性</w:t>
            </w:r>
          </w:p>
        </w:tc>
        <w:tc>
          <w:tcPr>
            <w:tcW w:w="993" w:type="dxa"/>
            <w:vAlign w:val="center"/>
          </w:tcPr>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响应</w:t>
            </w:r>
          </w:p>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时间</w:t>
            </w:r>
          </w:p>
        </w:tc>
      </w:tr>
      <w:tr w:rsidR="001C5E5B" w:rsidRPr="00441BE4" w:rsidTr="008865FB">
        <w:tc>
          <w:tcPr>
            <w:tcW w:w="1390" w:type="dxa"/>
            <w:vAlign w:val="center"/>
          </w:tcPr>
          <w:p w:rsidR="001C5E5B" w:rsidRPr="00441BE4" w:rsidRDefault="001C5E5B" w:rsidP="00724668">
            <w:pPr>
              <w:ind w:leftChars="-33" w:left="-69" w:rightChars="-47" w:right="-99"/>
              <w:jc w:val="center"/>
              <w:rPr>
                <w:rFonts w:ascii="Times New Roman" w:hAnsi="Times New Roman" w:cs="Times New Roman"/>
              </w:rPr>
            </w:pPr>
            <w:r w:rsidRPr="00441BE4">
              <w:rPr>
                <w:rFonts w:ascii="Times New Roman" w:hAnsi="宋体" w:cs="Times New Roman" w:hint="eastAsia"/>
              </w:rPr>
              <w:t>德尔格安全设备有限公司</w:t>
            </w:r>
          </w:p>
        </w:tc>
        <w:tc>
          <w:tcPr>
            <w:tcW w:w="1238" w:type="dxa"/>
            <w:vAlign w:val="center"/>
          </w:tcPr>
          <w:p w:rsidR="001C5E5B" w:rsidRPr="00441BE4" w:rsidRDefault="001C5E5B" w:rsidP="00F8313A">
            <w:pPr>
              <w:jc w:val="center"/>
              <w:rPr>
                <w:rFonts w:ascii="Times New Roman" w:hAnsi="Times New Roman" w:cs="Times New Roman"/>
              </w:rPr>
            </w:pPr>
            <w:r w:rsidRPr="00441BE4">
              <w:rPr>
                <w:rFonts w:ascii="Times New Roman" w:hAnsi="Times New Roman" w:cs="Times New Roman"/>
              </w:rPr>
              <w:t>X-am  5000</w:t>
            </w:r>
          </w:p>
        </w:tc>
        <w:tc>
          <w:tcPr>
            <w:tcW w:w="1195" w:type="dxa"/>
            <w:vAlign w:val="center"/>
          </w:tcPr>
          <w:p w:rsidR="001C5E5B" w:rsidRPr="00441BE4" w:rsidRDefault="001C5E5B" w:rsidP="00F8313A">
            <w:pPr>
              <w:jc w:val="center"/>
              <w:rPr>
                <w:rFonts w:ascii="Times New Roman" w:hAnsi="Times New Roman" w:cs="Times New Roman"/>
              </w:rPr>
            </w:pPr>
            <w:r w:rsidRPr="00441BE4">
              <w:rPr>
                <w:rFonts w:ascii="Times New Roman" w:hAnsi="Times New Roman" w:cs="Times New Roman"/>
              </w:rPr>
              <w:t>0</w:t>
            </w:r>
            <w:r w:rsidRPr="00441BE4">
              <w:rPr>
                <w:rFonts w:ascii="Times New Roman" w:hAnsi="宋体" w:cs="Times New Roman" w:hint="eastAsia"/>
              </w:rPr>
              <w:t>～</w:t>
            </w:r>
            <w:r>
              <w:rPr>
                <w:rFonts w:ascii="Times New Roman" w:hAnsi="Times New Roman" w:cs="Times New Roman"/>
              </w:rPr>
              <w:t>40</w:t>
            </w:r>
          </w:p>
        </w:tc>
        <w:tc>
          <w:tcPr>
            <w:tcW w:w="1559" w:type="dxa"/>
            <w:vAlign w:val="center"/>
          </w:tcPr>
          <w:p w:rsidR="001C5E5B" w:rsidRPr="00441BE4" w:rsidRDefault="001C5E5B" w:rsidP="00F8313A">
            <w:pPr>
              <w:jc w:val="center"/>
              <w:rPr>
                <w:rFonts w:ascii="Times New Roman" w:hAnsi="Times New Roman" w:cs="Times New Roman"/>
              </w:rPr>
            </w:pPr>
            <w:r>
              <w:rPr>
                <w:rFonts w:ascii="Times New Roman" w:hAnsi="Times New Roman" w:cs="Times New Roman"/>
              </w:rPr>
              <w:t>9</w:t>
            </w:r>
          </w:p>
        </w:tc>
        <w:tc>
          <w:tcPr>
            <w:tcW w:w="850" w:type="dxa"/>
            <w:vAlign w:val="center"/>
          </w:tcPr>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电化学</w:t>
            </w:r>
          </w:p>
        </w:tc>
        <w:tc>
          <w:tcPr>
            <w:tcW w:w="851" w:type="dxa"/>
            <w:vAlign w:val="center"/>
          </w:tcPr>
          <w:p w:rsidR="001C5E5B" w:rsidRPr="00441BE4" w:rsidRDefault="001C5E5B" w:rsidP="00F8313A">
            <w:pPr>
              <w:jc w:val="center"/>
              <w:rPr>
                <w:rFonts w:ascii="Times New Roman" w:hAnsi="Times New Roman" w:cs="Times New Roman"/>
              </w:rPr>
            </w:pPr>
            <w:r w:rsidRPr="00441BE4">
              <w:rPr>
                <w:rFonts w:ascii="Times New Roman" w:hAnsi="Times New Roman" w:cs="Times New Roman"/>
              </w:rPr>
              <w:t>±</w:t>
            </w:r>
            <w:r>
              <w:rPr>
                <w:rFonts w:ascii="Times New Roman" w:hAnsi="Times New Roman" w:cs="Times New Roman"/>
              </w:rPr>
              <w:t>3</w:t>
            </w:r>
            <w:r w:rsidRPr="00441BE4">
              <w:rPr>
                <w:rFonts w:ascii="Times New Roman" w:hAnsi="Times New Roman" w:cs="Times New Roman"/>
              </w:rPr>
              <w:t>%</w:t>
            </w:r>
          </w:p>
        </w:tc>
        <w:tc>
          <w:tcPr>
            <w:tcW w:w="850" w:type="dxa"/>
            <w:vAlign w:val="center"/>
          </w:tcPr>
          <w:p w:rsidR="001C5E5B" w:rsidRPr="00441BE4" w:rsidRDefault="001C5E5B" w:rsidP="00F8313A">
            <w:pPr>
              <w:jc w:val="center"/>
              <w:rPr>
                <w:rFonts w:ascii="Times New Roman" w:hAnsi="Times New Roman" w:cs="Times New Roman"/>
              </w:rPr>
            </w:pPr>
            <w:r>
              <w:rPr>
                <w:rFonts w:ascii="Times New Roman" w:hAnsi="Times New Roman" w:cs="Times New Roman"/>
              </w:rPr>
              <w:t>3</w:t>
            </w:r>
            <w:r w:rsidRPr="00441BE4">
              <w:rPr>
                <w:rFonts w:ascii="Times New Roman" w:hAnsi="Times New Roman" w:cs="Times New Roman"/>
              </w:rPr>
              <w:t>%</w:t>
            </w:r>
          </w:p>
        </w:tc>
        <w:tc>
          <w:tcPr>
            <w:tcW w:w="993" w:type="dxa"/>
            <w:vAlign w:val="center"/>
          </w:tcPr>
          <w:p w:rsidR="001C5E5B" w:rsidRPr="00441BE4" w:rsidRDefault="001C5E5B" w:rsidP="00F8313A">
            <w:pPr>
              <w:spacing w:line="360" w:lineRule="auto"/>
              <w:jc w:val="center"/>
              <w:rPr>
                <w:rFonts w:ascii="Times New Roman" w:hAnsi="Times New Roman" w:cs="Times New Roman"/>
              </w:rPr>
            </w:pPr>
            <w:r>
              <w:rPr>
                <w:rFonts w:ascii="Times New Roman" w:hAnsi="Times New Roman" w:cs="Times New Roman"/>
              </w:rPr>
              <w:t>9</w:t>
            </w:r>
            <w:r w:rsidRPr="00441BE4">
              <w:rPr>
                <w:rFonts w:ascii="Times New Roman" w:hAnsi="Times New Roman" w:cs="Times New Roman"/>
              </w:rPr>
              <w:t>0 s</w:t>
            </w:r>
          </w:p>
        </w:tc>
      </w:tr>
      <w:tr w:rsidR="001C5E5B" w:rsidRPr="00441BE4" w:rsidTr="008865FB">
        <w:tc>
          <w:tcPr>
            <w:tcW w:w="1390" w:type="dxa"/>
            <w:vAlign w:val="center"/>
          </w:tcPr>
          <w:p w:rsidR="001C5E5B" w:rsidRPr="00441BE4" w:rsidRDefault="001C5E5B" w:rsidP="00433A3B">
            <w:pPr>
              <w:ind w:leftChars="-46" w:left="-97" w:rightChars="-54" w:right="-113"/>
              <w:jc w:val="center"/>
              <w:rPr>
                <w:rFonts w:ascii="Times New Roman" w:hAnsi="宋体" w:cs="Times New Roman"/>
              </w:rPr>
            </w:pPr>
            <w:r w:rsidRPr="00441BE4">
              <w:rPr>
                <w:rFonts w:ascii="Times New Roman" w:hAnsi="宋体" w:cs="Times New Roman" w:hint="eastAsia"/>
              </w:rPr>
              <w:t>深圳市特安</w:t>
            </w:r>
          </w:p>
          <w:p w:rsidR="001C5E5B" w:rsidRPr="00441BE4" w:rsidRDefault="001C5E5B" w:rsidP="00433A3B">
            <w:pPr>
              <w:ind w:leftChars="-46" w:left="-97" w:rightChars="-54" w:right="-113"/>
              <w:jc w:val="center"/>
              <w:rPr>
                <w:rFonts w:ascii="Times New Roman" w:hAnsi="Times New Roman" w:cs="Times New Roman"/>
              </w:rPr>
            </w:pPr>
            <w:r w:rsidRPr="00441BE4">
              <w:rPr>
                <w:rFonts w:ascii="Times New Roman" w:hAnsi="宋体" w:cs="Times New Roman" w:hint="eastAsia"/>
              </w:rPr>
              <w:t>电子有限公司</w:t>
            </w:r>
          </w:p>
        </w:tc>
        <w:tc>
          <w:tcPr>
            <w:tcW w:w="1238" w:type="dxa"/>
            <w:vAlign w:val="center"/>
          </w:tcPr>
          <w:p w:rsidR="001C5E5B" w:rsidRPr="00441BE4" w:rsidRDefault="001C5E5B" w:rsidP="00433A3B">
            <w:pPr>
              <w:jc w:val="center"/>
              <w:rPr>
                <w:rFonts w:ascii="Times New Roman" w:hAnsi="Times New Roman" w:cs="Times New Roman"/>
              </w:rPr>
            </w:pPr>
            <w:r w:rsidRPr="00441BE4">
              <w:rPr>
                <w:rFonts w:ascii="Times New Roman" w:hAnsi="Times New Roman" w:cs="Times New Roman"/>
              </w:rPr>
              <w:t>ES</w:t>
            </w:r>
            <w:r>
              <w:rPr>
                <w:rFonts w:ascii="Times New Roman" w:hAnsi="Times New Roman" w:cs="Times New Roman"/>
              </w:rPr>
              <w:t>P</w:t>
            </w:r>
            <w:r w:rsidRPr="00441BE4">
              <w:rPr>
                <w:rFonts w:ascii="Times New Roman" w:hAnsi="Times New Roman" w:cs="Times New Roman"/>
              </w:rPr>
              <w:t>2</w:t>
            </w:r>
            <w:r>
              <w:rPr>
                <w:rFonts w:ascii="Times New Roman" w:hAnsi="Times New Roman" w:cs="Times New Roman"/>
              </w:rPr>
              <w:t>1</w:t>
            </w:r>
            <w:r w:rsidRPr="00441BE4">
              <w:rPr>
                <w:rFonts w:ascii="Times New Roman" w:hAnsi="Times New Roman" w:cs="Times New Roman"/>
              </w:rPr>
              <w:t>0</w:t>
            </w:r>
          </w:p>
        </w:tc>
        <w:tc>
          <w:tcPr>
            <w:tcW w:w="1195" w:type="dxa"/>
            <w:vAlign w:val="center"/>
          </w:tcPr>
          <w:p w:rsidR="001C5E5B" w:rsidRPr="00441BE4" w:rsidRDefault="001C5E5B" w:rsidP="00433A3B">
            <w:pPr>
              <w:jc w:val="center"/>
              <w:rPr>
                <w:rFonts w:ascii="Times New Roman" w:hAnsi="Times New Roman" w:cs="Times New Roman"/>
              </w:rPr>
            </w:pPr>
            <w:r w:rsidRPr="00441BE4">
              <w:rPr>
                <w:rFonts w:ascii="Times New Roman" w:hAnsi="Times New Roman" w:cs="Times New Roman"/>
              </w:rPr>
              <w:t>0</w:t>
            </w:r>
            <w:r w:rsidRPr="00441BE4">
              <w:rPr>
                <w:rFonts w:ascii="Times New Roman" w:hAnsi="宋体" w:cs="Times New Roman" w:hint="eastAsia"/>
              </w:rPr>
              <w:t>～</w:t>
            </w:r>
            <w:r>
              <w:rPr>
                <w:rFonts w:ascii="Times New Roman" w:hAnsi="Times New Roman" w:cs="Times New Roman"/>
              </w:rPr>
              <w:t>25</w:t>
            </w:r>
          </w:p>
        </w:tc>
        <w:tc>
          <w:tcPr>
            <w:tcW w:w="1559" w:type="dxa"/>
            <w:vAlign w:val="center"/>
          </w:tcPr>
          <w:p w:rsidR="001C5E5B" w:rsidRPr="00441BE4" w:rsidRDefault="001C5E5B" w:rsidP="00433A3B">
            <w:pPr>
              <w:jc w:val="center"/>
              <w:rPr>
                <w:rFonts w:ascii="Times New Roman" w:hAnsi="Times New Roman" w:cs="Times New Roman"/>
              </w:rPr>
            </w:pPr>
            <w:r>
              <w:rPr>
                <w:rFonts w:ascii="Times New Roman" w:hAnsi="Times New Roman" w:cs="Times New Roman"/>
              </w:rPr>
              <w:t>6</w:t>
            </w:r>
          </w:p>
        </w:tc>
        <w:tc>
          <w:tcPr>
            <w:tcW w:w="850" w:type="dxa"/>
            <w:vAlign w:val="center"/>
          </w:tcPr>
          <w:p w:rsidR="001C5E5B" w:rsidRPr="00441BE4" w:rsidRDefault="001C5E5B" w:rsidP="00433A3B">
            <w:pPr>
              <w:jc w:val="center"/>
              <w:rPr>
                <w:rFonts w:ascii="Times New Roman" w:hAnsi="Times New Roman" w:cs="Times New Roman"/>
              </w:rPr>
            </w:pPr>
            <w:r w:rsidRPr="00441BE4">
              <w:rPr>
                <w:rFonts w:ascii="Times New Roman" w:hAnsi="宋体" w:cs="Times New Roman" w:hint="eastAsia"/>
              </w:rPr>
              <w:t>电化学</w:t>
            </w:r>
          </w:p>
        </w:tc>
        <w:tc>
          <w:tcPr>
            <w:tcW w:w="851" w:type="dxa"/>
            <w:vAlign w:val="center"/>
          </w:tcPr>
          <w:p w:rsidR="001C5E5B" w:rsidRPr="00441BE4" w:rsidRDefault="001C5E5B" w:rsidP="00433A3B">
            <w:pPr>
              <w:jc w:val="center"/>
              <w:rPr>
                <w:rFonts w:ascii="Times New Roman" w:hAnsi="Times New Roman" w:cs="Times New Roman"/>
              </w:rPr>
            </w:pPr>
            <w:r w:rsidRPr="00441BE4">
              <w:rPr>
                <w:rFonts w:ascii="Times New Roman" w:hAnsi="Times New Roman" w:cs="Times New Roman"/>
              </w:rPr>
              <w:t>±</w:t>
            </w:r>
            <w:r>
              <w:rPr>
                <w:rFonts w:ascii="Times New Roman" w:hAnsi="Times New Roman" w:cs="Times New Roman"/>
              </w:rPr>
              <w:t>5</w:t>
            </w:r>
            <w:r w:rsidRPr="00441BE4">
              <w:rPr>
                <w:rFonts w:ascii="Times New Roman" w:hAnsi="Times New Roman" w:cs="Times New Roman"/>
              </w:rPr>
              <w:t>%FS</w:t>
            </w:r>
          </w:p>
        </w:tc>
        <w:tc>
          <w:tcPr>
            <w:tcW w:w="850" w:type="dxa"/>
            <w:vAlign w:val="center"/>
          </w:tcPr>
          <w:p w:rsidR="001C5E5B" w:rsidRPr="00441BE4" w:rsidRDefault="001C5E5B" w:rsidP="00433A3B">
            <w:pPr>
              <w:jc w:val="center"/>
              <w:rPr>
                <w:rFonts w:ascii="Times New Roman" w:hAnsi="Times New Roman" w:cs="Times New Roman"/>
              </w:rPr>
            </w:pPr>
            <w:r w:rsidRPr="00441BE4">
              <w:rPr>
                <w:rFonts w:ascii="Times New Roman" w:hAnsi="Times New Roman" w:cs="Times New Roman"/>
              </w:rPr>
              <w:t>±2%</w:t>
            </w:r>
          </w:p>
        </w:tc>
        <w:tc>
          <w:tcPr>
            <w:tcW w:w="993" w:type="dxa"/>
            <w:vAlign w:val="center"/>
          </w:tcPr>
          <w:p w:rsidR="001C5E5B" w:rsidRPr="00441BE4" w:rsidRDefault="001C5E5B" w:rsidP="00433A3B">
            <w:pPr>
              <w:spacing w:line="360" w:lineRule="auto"/>
              <w:ind w:leftChars="-44" w:left="-92" w:rightChars="-58" w:right="-122" w:firstLineChars="44" w:firstLine="92"/>
              <w:jc w:val="center"/>
              <w:rPr>
                <w:rFonts w:ascii="Times New Roman" w:hAnsi="Times New Roman" w:cs="Times New Roman"/>
              </w:rPr>
            </w:pPr>
            <w:r>
              <w:rPr>
                <w:rFonts w:ascii="Times New Roman" w:hAnsi="Times New Roman" w:cs="Times New Roman"/>
              </w:rPr>
              <w:t>60</w:t>
            </w:r>
            <w:r w:rsidRPr="00441BE4">
              <w:rPr>
                <w:rFonts w:ascii="Times New Roman" w:hAnsi="Times New Roman" w:cs="Times New Roman"/>
              </w:rPr>
              <w:t xml:space="preserve">s </w:t>
            </w:r>
          </w:p>
        </w:tc>
      </w:tr>
      <w:tr w:rsidR="001C5E5B" w:rsidRPr="00441BE4" w:rsidTr="008865FB">
        <w:trPr>
          <w:trHeight w:val="862"/>
        </w:trPr>
        <w:tc>
          <w:tcPr>
            <w:tcW w:w="1390" w:type="dxa"/>
            <w:vAlign w:val="center"/>
          </w:tcPr>
          <w:p w:rsidR="001C5E5B" w:rsidRPr="00587313" w:rsidRDefault="001C5E5B" w:rsidP="00F8313A">
            <w:pPr>
              <w:jc w:val="center"/>
              <w:rPr>
                <w:rFonts w:ascii="Times New Roman" w:hAnsi="Times New Roman" w:cs="Times New Roman"/>
              </w:rPr>
            </w:pPr>
            <w:r>
              <w:rPr>
                <w:rFonts w:ascii="Arial" w:hAnsi="Arial" w:cs="Arial" w:hint="eastAsia"/>
                <w:color w:val="000000"/>
                <w:sz w:val="20"/>
                <w:szCs w:val="20"/>
              </w:rPr>
              <w:t>深圳市吉顺安科技有限公司</w:t>
            </w:r>
            <w:r>
              <w:rPr>
                <w:rFonts w:ascii="Arial" w:hAnsi="Arial" w:cs="Arial"/>
                <w:color w:val="000000"/>
                <w:sz w:val="20"/>
                <w:szCs w:val="20"/>
              </w:rPr>
              <w:t xml:space="preserve">  </w:t>
            </w:r>
          </w:p>
        </w:tc>
        <w:tc>
          <w:tcPr>
            <w:tcW w:w="1238" w:type="dxa"/>
            <w:vAlign w:val="center"/>
          </w:tcPr>
          <w:p w:rsidR="001C5E5B" w:rsidRPr="00587313" w:rsidRDefault="001C5E5B" w:rsidP="00F8313A">
            <w:pPr>
              <w:jc w:val="center"/>
              <w:rPr>
                <w:rFonts w:ascii="Times New Roman" w:hAnsi="Times New Roman" w:cs="Times New Roman"/>
              </w:rPr>
            </w:pPr>
            <w:r w:rsidRPr="00587313">
              <w:rPr>
                <w:rFonts w:ascii="Times New Roman" w:hAnsi="Times New Roman" w:cs="Times New Roman"/>
              </w:rPr>
              <w:t>JSA8-THJ-J</w:t>
            </w:r>
          </w:p>
        </w:tc>
        <w:tc>
          <w:tcPr>
            <w:tcW w:w="1195" w:type="dxa"/>
            <w:vAlign w:val="center"/>
          </w:tcPr>
          <w:p w:rsidR="001C5E5B" w:rsidRPr="00441BE4" w:rsidRDefault="001C5E5B" w:rsidP="00F8313A">
            <w:pPr>
              <w:jc w:val="center"/>
              <w:rPr>
                <w:rFonts w:ascii="Times New Roman" w:hAnsi="Times New Roman" w:cs="Times New Roman"/>
              </w:rPr>
            </w:pPr>
            <w:r w:rsidRPr="00441BE4">
              <w:rPr>
                <w:rFonts w:ascii="Times New Roman" w:hAnsi="Times New Roman" w:cs="Times New Roman"/>
              </w:rPr>
              <w:t>0</w:t>
            </w:r>
            <w:r w:rsidRPr="00441BE4">
              <w:rPr>
                <w:rFonts w:ascii="Times New Roman" w:hAnsi="宋体" w:cs="Times New Roman" w:hint="eastAsia"/>
              </w:rPr>
              <w:t>～</w:t>
            </w:r>
            <w:r>
              <w:rPr>
                <w:rFonts w:ascii="Times New Roman" w:hAnsi="Times New Roman" w:cs="Times New Roman"/>
              </w:rPr>
              <w:t>25</w:t>
            </w:r>
          </w:p>
        </w:tc>
        <w:tc>
          <w:tcPr>
            <w:tcW w:w="1559" w:type="dxa"/>
            <w:vAlign w:val="center"/>
          </w:tcPr>
          <w:p w:rsidR="001C5E5B" w:rsidRPr="00441BE4" w:rsidRDefault="001C5E5B" w:rsidP="00F8313A">
            <w:pPr>
              <w:jc w:val="center"/>
              <w:rPr>
                <w:rFonts w:ascii="Times New Roman" w:hAnsi="Times New Roman" w:cs="Times New Roman"/>
              </w:rPr>
            </w:pPr>
            <w:r>
              <w:rPr>
                <w:rFonts w:ascii="Times New Roman" w:hAnsi="宋体" w:cs="Times New Roman"/>
              </w:rPr>
              <w:t>5</w:t>
            </w:r>
          </w:p>
        </w:tc>
        <w:tc>
          <w:tcPr>
            <w:tcW w:w="850" w:type="dxa"/>
            <w:vAlign w:val="center"/>
          </w:tcPr>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电化学</w:t>
            </w:r>
          </w:p>
        </w:tc>
        <w:tc>
          <w:tcPr>
            <w:tcW w:w="851" w:type="dxa"/>
            <w:vAlign w:val="center"/>
          </w:tcPr>
          <w:p w:rsidR="001C5E5B" w:rsidRPr="00441BE4" w:rsidRDefault="001C5E5B" w:rsidP="00F8313A">
            <w:pPr>
              <w:jc w:val="center"/>
              <w:rPr>
                <w:rFonts w:ascii="Times New Roman" w:hAnsi="Times New Roman" w:cs="Times New Roman"/>
              </w:rPr>
            </w:pPr>
            <w:r w:rsidRPr="00441BE4">
              <w:rPr>
                <w:rFonts w:ascii="Times New Roman" w:hAnsi="Times New Roman" w:cs="Times New Roman"/>
              </w:rPr>
              <w:t>±5%FS</w:t>
            </w:r>
          </w:p>
        </w:tc>
        <w:tc>
          <w:tcPr>
            <w:tcW w:w="850" w:type="dxa"/>
            <w:vAlign w:val="center"/>
          </w:tcPr>
          <w:p w:rsidR="001C5E5B" w:rsidRPr="00441BE4" w:rsidRDefault="001C5E5B" w:rsidP="00F8313A">
            <w:pPr>
              <w:jc w:val="center"/>
              <w:rPr>
                <w:rFonts w:ascii="Times New Roman" w:hAnsi="Times New Roman" w:cs="Times New Roman"/>
              </w:rPr>
            </w:pPr>
            <w:r w:rsidRPr="00441BE4">
              <w:rPr>
                <w:rFonts w:ascii="Times New Roman" w:hAnsi="Times New Roman" w:cs="Times New Roman"/>
              </w:rPr>
              <w:t>3%</w:t>
            </w:r>
          </w:p>
        </w:tc>
        <w:tc>
          <w:tcPr>
            <w:tcW w:w="993" w:type="dxa"/>
            <w:vAlign w:val="center"/>
          </w:tcPr>
          <w:p w:rsidR="001C5E5B" w:rsidRPr="00441BE4" w:rsidRDefault="001C5E5B" w:rsidP="00F8313A">
            <w:pPr>
              <w:spacing w:line="360" w:lineRule="auto"/>
              <w:jc w:val="center"/>
              <w:rPr>
                <w:rFonts w:ascii="Times New Roman" w:hAnsi="Times New Roman" w:cs="Times New Roman"/>
              </w:rPr>
            </w:pPr>
            <w:r>
              <w:rPr>
                <w:rFonts w:ascii="Times New Roman" w:hAnsi="Times New Roman" w:cs="Times New Roman"/>
              </w:rPr>
              <w:t>6</w:t>
            </w:r>
            <w:r w:rsidRPr="00441BE4">
              <w:rPr>
                <w:rFonts w:ascii="Times New Roman" w:hAnsi="Times New Roman" w:cs="Times New Roman"/>
              </w:rPr>
              <w:t>0 s</w:t>
            </w:r>
          </w:p>
        </w:tc>
      </w:tr>
      <w:tr w:rsidR="001C5E5B" w:rsidRPr="00441BE4" w:rsidTr="008865FB">
        <w:trPr>
          <w:trHeight w:val="580"/>
        </w:trPr>
        <w:tc>
          <w:tcPr>
            <w:tcW w:w="1390" w:type="dxa"/>
            <w:vMerge w:val="restart"/>
            <w:vAlign w:val="center"/>
          </w:tcPr>
          <w:p w:rsidR="001C5E5B" w:rsidRPr="00441BE4" w:rsidRDefault="001C5E5B" w:rsidP="00F8313A">
            <w:pPr>
              <w:jc w:val="center"/>
              <w:rPr>
                <w:rFonts w:ascii="Times New Roman" w:hAnsi="Times New Roman" w:cs="Times New Roman"/>
              </w:rPr>
            </w:pPr>
            <w:r>
              <w:rPr>
                <w:rFonts w:ascii="Arial" w:hAnsi="Arial" w:cs="Arial"/>
                <w:color w:val="000000"/>
                <w:sz w:val="20"/>
                <w:szCs w:val="20"/>
              </w:rPr>
              <w:t>Honeywell</w:t>
            </w:r>
            <w:r>
              <w:rPr>
                <w:rFonts w:ascii="Arial" w:hAnsi="Arial" w:cs="Arial" w:hint="eastAsia"/>
                <w:color w:val="000000"/>
                <w:sz w:val="20"/>
                <w:szCs w:val="20"/>
              </w:rPr>
              <w:t>公司</w:t>
            </w:r>
          </w:p>
        </w:tc>
        <w:tc>
          <w:tcPr>
            <w:tcW w:w="1238" w:type="dxa"/>
            <w:vAlign w:val="center"/>
          </w:tcPr>
          <w:p w:rsidR="001C5E5B" w:rsidRPr="00587313" w:rsidRDefault="001C5E5B" w:rsidP="00587313">
            <w:pPr>
              <w:jc w:val="center"/>
              <w:rPr>
                <w:rFonts w:ascii="Arial" w:hAnsi="Arial" w:cs="Arial"/>
                <w:color w:val="000000"/>
                <w:sz w:val="20"/>
                <w:szCs w:val="20"/>
              </w:rPr>
            </w:pPr>
            <w:r>
              <w:rPr>
                <w:rFonts w:ascii="Arial" w:hAnsi="Arial" w:cs="Arial"/>
                <w:color w:val="000000"/>
                <w:sz w:val="20"/>
                <w:szCs w:val="20"/>
              </w:rPr>
              <w:t>PGM7320</w:t>
            </w:r>
          </w:p>
        </w:tc>
        <w:tc>
          <w:tcPr>
            <w:tcW w:w="1195" w:type="dxa"/>
            <w:vMerge w:val="restart"/>
            <w:vAlign w:val="center"/>
          </w:tcPr>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（可定制）</w:t>
            </w:r>
          </w:p>
        </w:tc>
        <w:tc>
          <w:tcPr>
            <w:tcW w:w="1559" w:type="dxa"/>
            <w:vMerge w:val="restart"/>
            <w:vAlign w:val="center"/>
          </w:tcPr>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可调</w:t>
            </w:r>
          </w:p>
        </w:tc>
        <w:tc>
          <w:tcPr>
            <w:tcW w:w="850" w:type="dxa"/>
            <w:vMerge w:val="restart"/>
            <w:vAlign w:val="center"/>
          </w:tcPr>
          <w:p w:rsidR="001C5E5B" w:rsidRPr="00441BE4" w:rsidRDefault="001C5E5B" w:rsidP="00F8313A">
            <w:pPr>
              <w:jc w:val="center"/>
              <w:rPr>
                <w:rFonts w:ascii="Times New Roman" w:hAnsi="Times New Roman" w:cs="Times New Roman"/>
              </w:rPr>
            </w:pPr>
            <w:r>
              <w:rPr>
                <w:rFonts w:ascii="Times New Roman" w:hAnsi="宋体" w:cs="Times New Roman"/>
              </w:rPr>
              <w:t>PID</w:t>
            </w:r>
          </w:p>
        </w:tc>
        <w:tc>
          <w:tcPr>
            <w:tcW w:w="851" w:type="dxa"/>
            <w:vMerge w:val="restart"/>
            <w:vAlign w:val="center"/>
          </w:tcPr>
          <w:p w:rsidR="001C5E5B" w:rsidRPr="00441BE4" w:rsidRDefault="001C5E5B" w:rsidP="00F8313A">
            <w:pPr>
              <w:jc w:val="center"/>
              <w:rPr>
                <w:rFonts w:ascii="Times New Roman" w:hAnsi="Times New Roman" w:cs="Times New Roman"/>
              </w:rPr>
            </w:pPr>
            <w:r w:rsidRPr="00441BE4">
              <w:rPr>
                <w:rFonts w:ascii="Times New Roman" w:hAnsi="Times New Roman" w:cs="Times New Roman"/>
              </w:rPr>
              <w:t>±10%</w:t>
            </w:r>
          </w:p>
        </w:tc>
        <w:tc>
          <w:tcPr>
            <w:tcW w:w="850" w:type="dxa"/>
            <w:vMerge w:val="restart"/>
            <w:vAlign w:val="center"/>
          </w:tcPr>
          <w:p w:rsidR="001C5E5B" w:rsidRPr="00441BE4" w:rsidRDefault="001C5E5B" w:rsidP="00F8313A">
            <w:pPr>
              <w:jc w:val="center"/>
              <w:rPr>
                <w:rFonts w:ascii="Times New Roman" w:hAnsi="Times New Roman" w:cs="Times New Roman"/>
              </w:rPr>
            </w:pPr>
            <w:r>
              <w:rPr>
                <w:rFonts w:ascii="Times New Roman" w:hAnsi="Times New Roman" w:cs="Times New Roman"/>
              </w:rPr>
              <w:t>3</w:t>
            </w:r>
            <w:r w:rsidRPr="00441BE4">
              <w:rPr>
                <w:rFonts w:ascii="Times New Roman" w:hAnsi="Times New Roman" w:cs="Times New Roman"/>
              </w:rPr>
              <w:t>%</w:t>
            </w:r>
          </w:p>
        </w:tc>
        <w:tc>
          <w:tcPr>
            <w:tcW w:w="993" w:type="dxa"/>
            <w:vMerge w:val="restart"/>
            <w:vAlign w:val="center"/>
          </w:tcPr>
          <w:p w:rsidR="001C5E5B" w:rsidRPr="00441BE4" w:rsidRDefault="001C5E5B" w:rsidP="00F8313A">
            <w:pPr>
              <w:spacing w:line="360" w:lineRule="auto"/>
              <w:jc w:val="center"/>
              <w:rPr>
                <w:rFonts w:ascii="Times New Roman" w:hAnsi="Times New Roman" w:cs="Times New Roman"/>
              </w:rPr>
            </w:pPr>
            <w:r>
              <w:rPr>
                <w:rFonts w:ascii="Times New Roman" w:hAnsi="Times New Roman" w:cs="Times New Roman"/>
              </w:rPr>
              <w:t>60</w:t>
            </w:r>
            <w:r w:rsidRPr="00441BE4">
              <w:rPr>
                <w:rFonts w:ascii="Times New Roman" w:hAnsi="Times New Roman" w:cs="Times New Roman"/>
              </w:rPr>
              <w:t xml:space="preserve"> s</w:t>
            </w:r>
          </w:p>
        </w:tc>
      </w:tr>
      <w:tr w:rsidR="001C5E5B" w:rsidRPr="00441BE4" w:rsidTr="008865FB">
        <w:trPr>
          <w:trHeight w:val="270"/>
        </w:trPr>
        <w:tc>
          <w:tcPr>
            <w:tcW w:w="1390" w:type="dxa"/>
            <w:vMerge/>
            <w:vAlign w:val="center"/>
          </w:tcPr>
          <w:p w:rsidR="001C5E5B" w:rsidRDefault="001C5E5B" w:rsidP="00F8313A">
            <w:pPr>
              <w:jc w:val="center"/>
              <w:rPr>
                <w:rFonts w:ascii="Arial" w:hAnsi="Arial" w:cs="Arial"/>
                <w:color w:val="000000"/>
                <w:sz w:val="20"/>
                <w:szCs w:val="20"/>
              </w:rPr>
            </w:pPr>
          </w:p>
        </w:tc>
        <w:tc>
          <w:tcPr>
            <w:tcW w:w="1238" w:type="dxa"/>
            <w:vAlign w:val="center"/>
          </w:tcPr>
          <w:p w:rsidR="001C5E5B" w:rsidRDefault="001C5E5B" w:rsidP="00587313">
            <w:pPr>
              <w:jc w:val="center"/>
              <w:rPr>
                <w:rFonts w:ascii="Arial" w:hAnsi="Arial" w:cs="Arial"/>
                <w:color w:val="000000"/>
                <w:sz w:val="20"/>
                <w:szCs w:val="20"/>
              </w:rPr>
            </w:pPr>
            <w:r>
              <w:rPr>
                <w:rFonts w:ascii="Arial" w:hAnsi="Arial" w:cs="Arial"/>
                <w:color w:val="000000"/>
                <w:sz w:val="20"/>
                <w:szCs w:val="20"/>
              </w:rPr>
              <w:t>PGM7340</w:t>
            </w:r>
          </w:p>
        </w:tc>
        <w:tc>
          <w:tcPr>
            <w:tcW w:w="1195" w:type="dxa"/>
            <w:vMerge/>
            <w:vAlign w:val="center"/>
          </w:tcPr>
          <w:p w:rsidR="001C5E5B" w:rsidRPr="00441BE4" w:rsidRDefault="001C5E5B" w:rsidP="00F8313A">
            <w:pPr>
              <w:jc w:val="center"/>
              <w:rPr>
                <w:rFonts w:ascii="Times New Roman" w:hAnsi="宋体" w:cs="Times New Roman"/>
              </w:rPr>
            </w:pPr>
          </w:p>
        </w:tc>
        <w:tc>
          <w:tcPr>
            <w:tcW w:w="1559" w:type="dxa"/>
            <w:vMerge/>
            <w:vAlign w:val="center"/>
          </w:tcPr>
          <w:p w:rsidR="001C5E5B" w:rsidRPr="00441BE4" w:rsidRDefault="001C5E5B" w:rsidP="00F8313A">
            <w:pPr>
              <w:jc w:val="center"/>
              <w:rPr>
                <w:rFonts w:ascii="Times New Roman" w:hAnsi="宋体" w:cs="Times New Roman"/>
              </w:rPr>
            </w:pPr>
          </w:p>
        </w:tc>
        <w:tc>
          <w:tcPr>
            <w:tcW w:w="850" w:type="dxa"/>
            <w:vMerge/>
            <w:vAlign w:val="center"/>
          </w:tcPr>
          <w:p w:rsidR="001C5E5B" w:rsidRPr="00441BE4" w:rsidRDefault="001C5E5B" w:rsidP="00F8313A">
            <w:pPr>
              <w:jc w:val="center"/>
              <w:rPr>
                <w:rFonts w:ascii="Times New Roman" w:hAnsi="宋体" w:cs="Times New Roman"/>
              </w:rPr>
            </w:pPr>
          </w:p>
        </w:tc>
        <w:tc>
          <w:tcPr>
            <w:tcW w:w="851" w:type="dxa"/>
            <w:vMerge/>
            <w:vAlign w:val="center"/>
          </w:tcPr>
          <w:p w:rsidR="001C5E5B" w:rsidRPr="00441BE4" w:rsidRDefault="001C5E5B" w:rsidP="00F8313A">
            <w:pPr>
              <w:jc w:val="center"/>
              <w:rPr>
                <w:rFonts w:ascii="Times New Roman" w:hAnsi="Times New Roman" w:cs="Times New Roman"/>
              </w:rPr>
            </w:pPr>
          </w:p>
        </w:tc>
        <w:tc>
          <w:tcPr>
            <w:tcW w:w="850" w:type="dxa"/>
            <w:vMerge/>
            <w:vAlign w:val="center"/>
          </w:tcPr>
          <w:p w:rsidR="001C5E5B" w:rsidRDefault="001C5E5B" w:rsidP="00F8313A">
            <w:pPr>
              <w:jc w:val="center"/>
              <w:rPr>
                <w:rFonts w:ascii="Times New Roman" w:hAnsi="Times New Roman" w:cs="Times New Roman"/>
              </w:rPr>
            </w:pPr>
          </w:p>
        </w:tc>
        <w:tc>
          <w:tcPr>
            <w:tcW w:w="993" w:type="dxa"/>
            <w:vMerge/>
            <w:vAlign w:val="center"/>
          </w:tcPr>
          <w:p w:rsidR="001C5E5B" w:rsidRDefault="001C5E5B" w:rsidP="00F8313A">
            <w:pPr>
              <w:spacing w:line="360" w:lineRule="auto"/>
              <w:jc w:val="center"/>
              <w:rPr>
                <w:rFonts w:ascii="Times New Roman" w:hAnsi="Times New Roman" w:cs="Times New Roman"/>
              </w:rPr>
            </w:pPr>
          </w:p>
        </w:tc>
      </w:tr>
      <w:tr w:rsidR="001C5E5B" w:rsidRPr="00441BE4" w:rsidTr="008865FB">
        <w:trPr>
          <w:trHeight w:val="930"/>
        </w:trPr>
        <w:tc>
          <w:tcPr>
            <w:tcW w:w="1390" w:type="dxa"/>
            <w:vAlign w:val="center"/>
          </w:tcPr>
          <w:p w:rsidR="001C5E5B" w:rsidRDefault="001C5E5B" w:rsidP="00AF4250">
            <w:pPr>
              <w:ind w:leftChars="-46" w:left="-97" w:rightChars="-54" w:right="-113"/>
              <w:jc w:val="center"/>
              <w:rPr>
                <w:rFonts w:ascii="Times New Roman" w:hAnsi="Times New Roman" w:cs="Times New Roman"/>
              </w:rPr>
            </w:pPr>
            <w:r>
              <w:rPr>
                <w:rFonts w:ascii="Times New Roman" w:hAnsi="Times New Roman" w:cs="Times New Roman" w:hint="eastAsia"/>
              </w:rPr>
              <w:t>汉威科技集团股份有限公司</w:t>
            </w:r>
          </w:p>
        </w:tc>
        <w:tc>
          <w:tcPr>
            <w:tcW w:w="1238" w:type="dxa"/>
            <w:vAlign w:val="center"/>
          </w:tcPr>
          <w:p w:rsidR="001C5E5B" w:rsidRDefault="001C5E5B" w:rsidP="00AF4250">
            <w:pPr>
              <w:jc w:val="center"/>
              <w:rPr>
                <w:rFonts w:ascii="Times New Roman" w:hAnsi="Times New Roman" w:cs="Times New Roman"/>
              </w:rPr>
            </w:pPr>
            <w:r>
              <w:rPr>
                <w:rFonts w:ascii="Times New Roman" w:hAnsi="Times New Roman" w:cs="Times New Roman"/>
              </w:rPr>
              <w:t>BX172</w:t>
            </w:r>
          </w:p>
        </w:tc>
        <w:tc>
          <w:tcPr>
            <w:tcW w:w="1195" w:type="dxa"/>
            <w:vAlign w:val="center"/>
          </w:tcPr>
          <w:p w:rsidR="001C5E5B" w:rsidRDefault="001C5E5B" w:rsidP="00AF4250">
            <w:pPr>
              <w:jc w:val="center"/>
              <w:rPr>
                <w:rFonts w:ascii="Times New Roman" w:hAnsi="Times New Roman" w:cs="Times New Roman"/>
              </w:rPr>
            </w:pPr>
            <w:r>
              <w:rPr>
                <w:rFonts w:ascii="Times New Roman" w:hAnsi="Times New Roman" w:cs="Times New Roman"/>
              </w:rPr>
              <w:t>0~25</w:t>
            </w:r>
          </w:p>
        </w:tc>
        <w:tc>
          <w:tcPr>
            <w:tcW w:w="1559" w:type="dxa"/>
            <w:vAlign w:val="center"/>
          </w:tcPr>
          <w:p w:rsidR="001C5E5B" w:rsidRDefault="001C5E5B" w:rsidP="00AF4250">
            <w:pPr>
              <w:jc w:val="center"/>
              <w:rPr>
                <w:rFonts w:ascii="Times New Roman" w:hAnsi="Times New Roman" w:cs="Times New Roman"/>
              </w:rPr>
            </w:pPr>
            <w:r>
              <w:rPr>
                <w:rFonts w:ascii="Times New Roman" w:hAnsi="Times New Roman" w:cs="Times New Roman" w:hint="eastAsia"/>
              </w:rPr>
              <w:t>可调</w:t>
            </w:r>
          </w:p>
        </w:tc>
        <w:tc>
          <w:tcPr>
            <w:tcW w:w="850" w:type="dxa"/>
            <w:vAlign w:val="center"/>
          </w:tcPr>
          <w:p w:rsidR="001C5E5B" w:rsidRDefault="001C5E5B" w:rsidP="00AF4250">
            <w:pPr>
              <w:jc w:val="center"/>
              <w:rPr>
                <w:rFonts w:ascii="Times New Roman" w:hAnsi="宋体" w:cs="Times New Roman"/>
              </w:rPr>
            </w:pPr>
            <w:r>
              <w:rPr>
                <w:rFonts w:ascii="Times New Roman" w:hAnsi="宋体" w:cs="Times New Roman" w:hint="eastAsia"/>
              </w:rPr>
              <w:t>电化学</w:t>
            </w:r>
          </w:p>
        </w:tc>
        <w:tc>
          <w:tcPr>
            <w:tcW w:w="851" w:type="dxa"/>
            <w:vAlign w:val="center"/>
          </w:tcPr>
          <w:p w:rsidR="001C5E5B" w:rsidRDefault="001C5E5B" w:rsidP="00AF4250">
            <w:pPr>
              <w:jc w:val="center"/>
              <w:rPr>
                <w:rFonts w:ascii="Times New Roman" w:hAnsi="Times New Roman" w:cs="Times New Roman"/>
              </w:rPr>
            </w:pPr>
            <w:r>
              <w:rPr>
                <w:rFonts w:ascii="Times New Roman" w:hAnsi="Times New Roman" w:cs="Times New Roman"/>
              </w:rPr>
              <w:t>±10%</w:t>
            </w:r>
          </w:p>
        </w:tc>
        <w:tc>
          <w:tcPr>
            <w:tcW w:w="850" w:type="dxa"/>
            <w:vAlign w:val="center"/>
          </w:tcPr>
          <w:p w:rsidR="001C5E5B" w:rsidRDefault="001C5E5B" w:rsidP="00AF4250">
            <w:pPr>
              <w:jc w:val="center"/>
              <w:rPr>
                <w:rFonts w:ascii="Times New Roman" w:hAnsi="Times New Roman" w:cs="Times New Roman"/>
              </w:rPr>
            </w:pPr>
            <w:r>
              <w:rPr>
                <w:rFonts w:ascii="Times New Roman" w:hAnsi="Times New Roman" w:cs="Times New Roman"/>
              </w:rPr>
              <w:t>3%</w:t>
            </w:r>
          </w:p>
        </w:tc>
        <w:tc>
          <w:tcPr>
            <w:tcW w:w="993" w:type="dxa"/>
            <w:vAlign w:val="center"/>
          </w:tcPr>
          <w:p w:rsidR="001C5E5B" w:rsidRDefault="001C5E5B" w:rsidP="00AF4250">
            <w:pPr>
              <w:spacing w:line="360" w:lineRule="auto"/>
              <w:jc w:val="center"/>
              <w:rPr>
                <w:rFonts w:ascii="Times New Roman" w:hAnsi="Times New Roman" w:cs="Times New Roman"/>
              </w:rPr>
            </w:pPr>
            <w:r>
              <w:rPr>
                <w:rFonts w:ascii="Times New Roman" w:hAnsi="Times New Roman" w:cs="Times New Roman"/>
              </w:rPr>
              <w:t>60s</w:t>
            </w:r>
          </w:p>
        </w:tc>
      </w:tr>
      <w:tr w:rsidR="001C5E5B" w:rsidRPr="00441BE4" w:rsidTr="008865FB">
        <w:trPr>
          <w:trHeight w:val="930"/>
        </w:trPr>
        <w:tc>
          <w:tcPr>
            <w:tcW w:w="1390" w:type="dxa"/>
            <w:vAlign w:val="center"/>
          </w:tcPr>
          <w:p w:rsidR="001C5E5B" w:rsidRDefault="001C5E5B" w:rsidP="00AF4250">
            <w:pPr>
              <w:ind w:leftChars="-46" w:left="-97" w:rightChars="-54" w:right="-113"/>
              <w:jc w:val="center"/>
              <w:rPr>
                <w:rFonts w:ascii="Times New Roman" w:hAnsi="Times New Roman" w:cs="Times New Roman"/>
              </w:rPr>
            </w:pPr>
            <w:r>
              <w:rPr>
                <w:rFonts w:ascii="Times New Roman" w:hAnsi="Times New Roman" w:cs="Times New Roman" w:hint="eastAsia"/>
              </w:rPr>
              <w:t>汉威科技集团股份有限公司</w:t>
            </w:r>
          </w:p>
        </w:tc>
        <w:tc>
          <w:tcPr>
            <w:tcW w:w="1238" w:type="dxa"/>
            <w:vAlign w:val="center"/>
          </w:tcPr>
          <w:p w:rsidR="001C5E5B" w:rsidRDefault="001C5E5B" w:rsidP="00AF4250">
            <w:pPr>
              <w:jc w:val="center"/>
              <w:rPr>
                <w:rFonts w:ascii="Times New Roman" w:hAnsi="Times New Roman" w:cs="Times New Roman"/>
              </w:rPr>
            </w:pPr>
            <w:r>
              <w:rPr>
                <w:rFonts w:ascii="Times New Roman" w:hAnsi="Times New Roman" w:cs="Times New Roman"/>
              </w:rPr>
              <w:t>E4000</w:t>
            </w:r>
          </w:p>
        </w:tc>
        <w:tc>
          <w:tcPr>
            <w:tcW w:w="1195" w:type="dxa"/>
            <w:vAlign w:val="center"/>
          </w:tcPr>
          <w:p w:rsidR="001C5E5B" w:rsidRDefault="001C5E5B" w:rsidP="00AF4250">
            <w:pPr>
              <w:jc w:val="center"/>
              <w:rPr>
                <w:rFonts w:ascii="Times New Roman" w:hAnsi="Times New Roman" w:cs="Times New Roman"/>
              </w:rPr>
            </w:pPr>
            <w:r>
              <w:rPr>
                <w:rFonts w:ascii="Times New Roman" w:hAnsi="Times New Roman" w:cs="Times New Roman"/>
              </w:rPr>
              <w:t>0~25</w:t>
            </w:r>
          </w:p>
        </w:tc>
        <w:tc>
          <w:tcPr>
            <w:tcW w:w="1559" w:type="dxa"/>
            <w:vAlign w:val="center"/>
          </w:tcPr>
          <w:p w:rsidR="001C5E5B" w:rsidRDefault="001C5E5B" w:rsidP="00AF4250">
            <w:pPr>
              <w:jc w:val="center"/>
              <w:rPr>
                <w:rFonts w:ascii="Times New Roman" w:hAnsi="Times New Roman" w:cs="Times New Roman"/>
              </w:rPr>
            </w:pPr>
            <w:r>
              <w:rPr>
                <w:rFonts w:ascii="Times New Roman" w:hAnsi="Times New Roman" w:cs="Times New Roman" w:hint="eastAsia"/>
              </w:rPr>
              <w:t>可调</w:t>
            </w:r>
          </w:p>
        </w:tc>
        <w:tc>
          <w:tcPr>
            <w:tcW w:w="850" w:type="dxa"/>
            <w:vAlign w:val="center"/>
          </w:tcPr>
          <w:p w:rsidR="001C5E5B" w:rsidRDefault="001C5E5B" w:rsidP="00AF4250">
            <w:pPr>
              <w:jc w:val="center"/>
              <w:rPr>
                <w:rFonts w:ascii="Times New Roman" w:hAnsi="宋体" w:cs="Times New Roman"/>
              </w:rPr>
            </w:pPr>
            <w:r>
              <w:rPr>
                <w:rFonts w:ascii="Times New Roman" w:hAnsi="宋体" w:cs="Times New Roman" w:hint="eastAsia"/>
              </w:rPr>
              <w:t>电化学</w:t>
            </w:r>
          </w:p>
        </w:tc>
        <w:tc>
          <w:tcPr>
            <w:tcW w:w="851" w:type="dxa"/>
            <w:vAlign w:val="center"/>
          </w:tcPr>
          <w:p w:rsidR="001C5E5B" w:rsidRDefault="001C5E5B" w:rsidP="00AF4250">
            <w:pPr>
              <w:jc w:val="center"/>
              <w:rPr>
                <w:rFonts w:ascii="Times New Roman" w:hAnsi="Times New Roman" w:cs="Times New Roman"/>
              </w:rPr>
            </w:pPr>
            <w:r>
              <w:rPr>
                <w:rFonts w:ascii="Times New Roman" w:hAnsi="Times New Roman" w:cs="Times New Roman"/>
              </w:rPr>
              <w:t>±10%</w:t>
            </w:r>
          </w:p>
        </w:tc>
        <w:tc>
          <w:tcPr>
            <w:tcW w:w="850" w:type="dxa"/>
            <w:vAlign w:val="center"/>
          </w:tcPr>
          <w:p w:rsidR="001C5E5B" w:rsidRDefault="001C5E5B" w:rsidP="00AF4250">
            <w:pPr>
              <w:jc w:val="center"/>
              <w:rPr>
                <w:rFonts w:ascii="Times New Roman" w:hAnsi="Times New Roman" w:cs="Times New Roman"/>
              </w:rPr>
            </w:pPr>
            <w:r>
              <w:rPr>
                <w:rFonts w:ascii="Times New Roman" w:hAnsi="Times New Roman" w:cs="Times New Roman"/>
              </w:rPr>
              <w:t>3%</w:t>
            </w:r>
          </w:p>
        </w:tc>
        <w:tc>
          <w:tcPr>
            <w:tcW w:w="993" w:type="dxa"/>
            <w:vAlign w:val="center"/>
          </w:tcPr>
          <w:p w:rsidR="001C5E5B" w:rsidRDefault="001C5E5B" w:rsidP="00AF4250">
            <w:pPr>
              <w:spacing w:line="360" w:lineRule="auto"/>
              <w:jc w:val="center"/>
              <w:rPr>
                <w:rFonts w:ascii="Times New Roman" w:hAnsi="Times New Roman" w:cs="Times New Roman"/>
              </w:rPr>
            </w:pPr>
            <w:r>
              <w:rPr>
                <w:rFonts w:ascii="Times New Roman" w:hAnsi="Times New Roman" w:cs="Times New Roman"/>
              </w:rPr>
              <w:t>60</w:t>
            </w:r>
            <w:bookmarkStart w:id="0" w:name="_GoBack"/>
            <w:bookmarkEnd w:id="0"/>
            <w:r>
              <w:rPr>
                <w:rFonts w:ascii="Times New Roman" w:hAnsi="Times New Roman" w:cs="Times New Roman"/>
              </w:rPr>
              <w:t>s</w:t>
            </w:r>
          </w:p>
        </w:tc>
      </w:tr>
      <w:tr w:rsidR="001C5E5B" w:rsidRPr="00441BE4" w:rsidTr="008865FB">
        <w:trPr>
          <w:trHeight w:val="930"/>
        </w:trPr>
        <w:tc>
          <w:tcPr>
            <w:tcW w:w="1390" w:type="dxa"/>
            <w:vAlign w:val="center"/>
          </w:tcPr>
          <w:p w:rsidR="001C5E5B" w:rsidRPr="00587313" w:rsidRDefault="001C5E5B" w:rsidP="00F8313A">
            <w:pPr>
              <w:jc w:val="center"/>
              <w:rPr>
                <w:rFonts w:ascii="Times New Roman" w:hAnsi="宋体" w:cs="Times New Roman"/>
              </w:rPr>
            </w:pPr>
            <w:r w:rsidRPr="00587313">
              <w:rPr>
                <w:rFonts w:ascii="Times New Roman" w:hAnsi="宋体" w:cs="Times New Roman"/>
              </w:rPr>
              <w:t>Microsafe</w:t>
            </w:r>
          </w:p>
        </w:tc>
        <w:tc>
          <w:tcPr>
            <w:tcW w:w="1238" w:type="dxa"/>
            <w:vAlign w:val="center"/>
          </w:tcPr>
          <w:p w:rsidR="001C5E5B" w:rsidRPr="00587313" w:rsidRDefault="001C5E5B" w:rsidP="00F8313A">
            <w:pPr>
              <w:jc w:val="center"/>
              <w:rPr>
                <w:rFonts w:ascii="Times New Roman" w:hAnsi="Times New Roman" w:cs="Times New Roman"/>
              </w:rPr>
            </w:pPr>
            <w:r w:rsidRPr="00587313">
              <w:rPr>
                <w:rFonts w:ascii="Times New Roman" w:hAnsi="Times New Roman" w:cs="Times New Roman"/>
              </w:rPr>
              <w:t>MOT200</w:t>
            </w:r>
          </w:p>
        </w:tc>
        <w:tc>
          <w:tcPr>
            <w:tcW w:w="1195" w:type="dxa"/>
            <w:vAlign w:val="center"/>
          </w:tcPr>
          <w:p w:rsidR="001C5E5B" w:rsidRPr="00441BE4" w:rsidRDefault="001C5E5B" w:rsidP="00F8313A">
            <w:pPr>
              <w:jc w:val="center"/>
              <w:rPr>
                <w:rFonts w:ascii="Times New Roman" w:hAnsi="Times New Roman" w:cs="Times New Roman"/>
              </w:rPr>
            </w:pPr>
            <w:r w:rsidRPr="00441BE4">
              <w:rPr>
                <w:rFonts w:ascii="Times New Roman" w:hAnsi="Times New Roman" w:cs="Times New Roman"/>
              </w:rPr>
              <w:t>0</w:t>
            </w:r>
            <w:r w:rsidRPr="00441BE4">
              <w:rPr>
                <w:rFonts w:ascii="Times New Roman" w:hAnsi="宋体" w:cs="Times New Roman" w:hint="eastAsia"/>
              </w:rPr>
              <w:t>～</w:t>
            </w:r>
            <w:r w:rsidRPr="00441BE4">
              <w:rPr>
                <w:rFonts w:ascii="Times New Roman" w:hAnsi="Times New Roman" w:cs="Times New Roman"/>
              </w:rPr>
              <w:t>50</w:t>
            </w:r>
          </w:p>
          <w:p w:rsidR="001C5E5B" w:rsidRPr="00441BE4" w:rsidRDefault="001C5E5B" w:rsidP="00F8313A">
            <w:pPr>
              <w:jc w:val="center"/>
              <w:rPr>
                <w:rFonts w:ascii="Times New Roman" w:hAnsi="Times New Roman" w:cs="Times New Roman"/>
              </w:rPr>
            </w:pPr>
          </w:p>
        </w:tc>
        <w:tc>
          <w:tcPr>
            <w:tcW w:w="1559" w:type="dxa"/>
            <w:vAlign w:val="center"/>
          </w:tcPr>
          <w:p w:rsidR="001C5E5B" w:rsidRPr="00441BE4" w:rsidRDefault="001C5E5B" w:rsidP="00F8313A">
            <w:pPr>
              <w:jc w:val="center"/>
              <w:rPr>
                <w:rFonts w:ascii="Times New Roman" w:hAnsi="Times New Roman" w:cs="Times New Roman"/>
              </w:rPr>
            </w:pPr>
            <w:r>
              <w:rPr>
                <w:rFonts w:ascii="Times New Roman" w:hAnsi="Times New Roman" w:cs="Times New Roman"/>
              </w:rPr>
              <w:t>/</w:t>
            </w:r>
          </w:p>
        </w:tc>
        <w:tc>
          <w:tcPr>
            <w:tcW w:w="850" w:type="dxa"/>
            <w:vAlign w:val="center"/>
          </w:tcPr>
          <w:p w:rsidR="001C5E5B" w:rsidRPr="00441BE4" w:rsidRDefault="001C5E5B" w:rsidP="00F8313A">
            <w:pPr>
              <w:jc w:val="center"/>
              <w:rPr>
                <w:rFonts w:ascii="Times New Roman" w:hAnsi="Times New Roman" w:cs="Times New Roman"/>
              </w:rPr>
            </w:pPr>
            <w:r w:rsidRPr="00441BE4">
              <w:rPr>
                <w:rFonts w:ascii="Times New Roman" w:hAnsi="宋体" w:cs="Times New Roman" w:hint="eastAsia"/>
              </w:rPr>
              <w:t>电化学</w:t>
            </w:r>
          </w:p>
        </w:tc>
        <w:tc>
          <w:tcPr>
            <w:tcW w:w="851" w:type="dxa"/>
            <w:vAlign w:val="center"/>
          </w:tcPr>
          <w:p w:rsidR="001C5E5B" w:rsidRPr="00441BE4" w:rsidRDefault="001C5E5B" w:rsidP="00F8313A">
            <w:pPr>
              <w:jc w:val="center"/>
              <w:rPr>
                <w:rFonts w:ascii="Times New Roman" w:hAnsi="Times New Roman" w:cs="Times New Roman"/>
              </w:rPr>
            </w:pPr>
            <w:r w:rsidRPr="00441BE4">
              <w:rPr>
                <w:rFonts w:ascii="Times New Roman" w:hAnsi="Times New Roman" w:cs="Times New Roman"/>
              </w:rPr>
              <w:t>±</w:t>
            </w:r>
            <w:r>
              <w:rPr>
                <w:rFonts w:ascii="Times New Roman" w:hAnsi="Times New Roman" w:cs="Times New Roman"/>
              </w:rPr>
              <w:t>10</w:t>
            </w:r>
            <w:r w:rsidRPr="00441BE4">
              <w:rPr>
                <w:rFonts w:ascii="Times New Roman" w:hAnsi="Times New Roman" w:cs="Times New Roman"/>
              </w:rPr>
              <w:t>%</w:t>
            </w:r>
          </w:p>
        </w:tc>
        <w:tc>
          <w:tcPr>
            <w:tcW w:w="850" w:type="dxa"/>
            <w:vAlign w:val="center"/>
          </w:tcPr>
          <w:p w:rsidR="001C5E5B" w:rsidRPr="00441BE4" w:rsidRDefault="001C5E5B" w:rsidP="00F8313A">
            <w:pPr>
              <w:jc w:val="center"/>
              <w:rPr>
                <w:rFonts w:ascii="Times New Roman" w:hAnsi="Times New Roman" w:cs="Times New Roman"/>
              </w:rPr>
            </w:pPr>
            <w:r w:rsidRPr="00441BE4">
              <w:rPr>
                <w:rFonts w:ascii="Times New Roman" w:hAnsi="Times New Roman" w:cs="Times New Roman"/>
              </w:rPr>
              <w:t>3%</w:t>
            </w:r>
          </w:p>
        </w:tc>
        <w:tc>
          <w:tcPr>
            <w:tcW w:w="993" w:type="dxa"/>
            <w:vAlign w:val="center"/>
          </w:tcPr>
          <w:p w:rsidR="001C5E5B" w:rsidRPr="00441BE4" w:rsidRDefault="001C5E5B" w:rsidP="00F8313A">
            <w:pPr>
              <w:spacing w:line="360" w:lineRule="auto"/>
              <w:jc w:val="center"/>
              <w:rPr>
                <w:rFonts w:ascii="Times New Roman" w:hAnsi="Times New Roman" w:cs="Times New Roman"/>
              </w:rPr>
            </w:pPr>
            <w:r w:rsidRPr="00441BE4">
              <w:rPr>
                <w:rFonts w:ascii="Times New Roman" w:hAnsi="Times New Roman" w:cs="Times New Roman"/>
              </w:rPr>
              <w:t>100 s</w:t>
            </w:r>
          </w:p>
        </w:tc>
      </w:tr>
      <w:tr w:rsidR="001C5E5B" w:rsidRPr="00441BE4" w:rsidTr="008865FB">
        <w:trPr>
          <w:trHeight w:val="1084"/>
        </w:trPr>
        <w:tc>
          <w:tcPr>
            <w:tcW w:w="1390" w:type="dxa"/>
            <w:vAlign w:val="center"/>
          </w:tcPr>
          <w:p w:rsidR="001C5E5B" w:rsidRPr="001D13CE" w:rsidRDefault="001C5E5B" w:rsidP="00FB6C17">
            <w:pPr>
              <w:ind w:leftChars="-46" w:left="-97" w:rightChars="-54" w:right="-113"/>
              <w:jc w:val="center"/>
              <w:rPr>
                <w:rFonts w:ascii="Times New Roman" w:hAnsi="Times New Roman" w:cs="Times New Roman"/>
              </w:rPr>
            </w:pPr>
            <w:r w:rsidRPr="001D13CE">
              <w:rPr>
                <w:rFonts w:ascii="Times New Roman" w:hAnsi="Times New Roman" w:cs="Times New Roman" w:hint="eastAsia"/>
              </w:rPr>
              <w:t>深圳市科尔诺电子科技有限公司</w:t>
            </w:r>
          </w:p>
        </w:tc>
        <w:tc>
          <w:tcPr>
            <w:tcW w:w="1238" w:type="dxa"/>
            <w:vAlign w:val="center"/>
          </w:tcPr>
          <w:p w:rsidR="001C5E5B" w:rsidRPr="001D13CE" w:rsidRDefault="001C5E5B" w:rsidP="00F8313A">
            <w:pPr>
              <w:jc w:val="center"/>
              <w:rPr>
                <w:rFonts w:ascii="Times New Roman" w:hAnsi="Times New Roman" w:cs="Times New Roman"/>
              </w:rPr>
            </w:pPr>
            <w:r w:rsidRPr="001D13CE">
              <w:rPr>
                <w:rFonts w:ascii="Times New Roman" w:hAnsi="Times New Roman" w:cs="Times New Roman"/>
              </w:rPr>
              <w:t>GT903-THT-P</w:t>
            </w:r>
          </w:p>
        </w:tc>
        <w:tc>
          <w:tcPr>
            <w:tcW w:w="1195" w:type="dxa"/>
            <w:vAlign w:val="center"/>
          </w:tcPr>
          <w:p w:rsidR="001C5E5B" w:rsidRPr="00441BE4" w:rsidRDefault="001C5E5B" w:rsidP="001D13CE">
            <w:pPr>
              <w:jc w:val="center"/>
              <w:rPr>
                <w:rFonts w:ascii="Times New Roman" w:hAnsi="Times New Roman" w:cs="Times New Roman"/>
              </w:rPr>
            </w:pPr>
            <w:r w:rsidRPr="00441BE4">
              <w:rPr>
                <w:rFonts w:ascii="Times New Roman" w:hAnsi="Times New Roman" w:cs="Times New Roman"/>
              </w:rPr>
              <w:t>0</w:t>
            </w:r>
            <w:r w:rsidRPr="00441BE4">
              <w:rPr>
                <w:rFonts w:ascii="Times New Roman" w:hAnsi="宋体" w:cs="Times New Roman" w:hint="eastAsia"/>
              </w:rPr>
              <w:t>～</w:t>
            </w:r>
            <w:r w:rsidRPr="00441BE4">
              <w:rPr>
                <w:rFonts w:ascii="Times New Roman" w:hAnsi="Times New Roman" w:cs="Times New Roman"/>
              </w:rPr>
              <w:t>50</w:t>
            </w:r>
          </w:p>
          <w:p w:rsidR="001C5E5B" w:rsidRPr="00441BE4" w:rsidRDefault="001C5E5B" w:rsidP="00F8313A">
            <w:pPr>
              <w:jc w:val="center"/>
              <w:rPr>
                <w:rFonts w:ascii="Times New Roman" w:hAnsi="Times New Roman" w:cs="Times New Roman"/>
              </w:rPr>
            </w:pPr>
          </w:p>
        </w:tc>
        <w:tc>
          <w:tcPr>
            <w:tcW w:w="1559" w:type="dxa"/>
            <w:vAlign w:val="center"/>
          </w:tcPr>
          <w:p w:rsidR="001C5E5B" w:rsidRPr="00441BE4" w:rsidRDefault="001C5E5B" w:rsidP="00F8313A">
            <w:pPr>
              <w:jc w:val="center"/>
              <w:rPr>
                <w:rFonts w:ascii="Times New Roman" w:hAnsi="Times New Roman" w:cs="Times New Roman"/>
              </w:rPr>
            </w:pPr>
            <w:r>
              <w:rPr>
                <w:rFonts w:ascii="Times New Roman" w:hAnsi="Times New Roman" w:cs="Times New Roman"/>
              </w:rPr>
              <w:t>5</w:t>
            </w:r>
          </w:p>
        </w:tc>
        <w:tc>
          <w:tcPr>
            <w:tcW w:w="850" w:type="dxa"/>
            <w:vAlign w:val="center"/>
          </w:tcPr>
          <w:p w:rsidR="001C5E5B" w:rsidRPr="00441BE4" w:rsidRDefault="001C5E5B" w:rsidP="00433A3B">
            <w:pPr>
              <w:jc w:val="center"/>
              <w:rPr>
                <w:rFonts w:ascii="Times New Roman" w:hAnsi="Times New Roman" w:cs="Times New Roman"/>
              </w:rPr>
            </w:pPr>
            <w:r w:rsidRPr="00441BE4">
              <w:rPr>
                <w:rFonts w:ascii="Times New Roman" w:hAnsi="宋体" w:cs="Times New Roman" w:hint="eastAsia"/>
              </w:rPr>
              <w:t>电化学</w:t>
            </w:r>
          </w:p>
        </w:tc>
        <w:tc>
          <w:tcPr>
            <w:tcW w:w="851" w:type="dxa"/>
            <w:vAlign w:val="center"/>
          </w:tcPr>
          <w:p w:rsidR="001C5E5B" w:rsidRPr="00441BE4" w:rsidRDefault="001C5E5B" w:rsidP="00433A3B">
            <w:pPr>
              <w:jc w:val="center"/>
              <w:rPr>
                <w:rFonts w:ascii="Times New Roman" w:hAnsi="Times New Roman" w:cs="Times New Roman"/>
              </w:rPr>
            </w:pPr>
            <w:r w:rsidRPr="00441BE4">
              <w:rPr>
                <w:rFonts w:ascii="Times New Roman" w:hAnsi="Times New Roman" w:cs="Times New Roman"/>
              </w:rPr>
              <w:t>±</w:t>
            </w:r>
            <w:r>
              <w:rPr>
                <w:rFonts w:ascii="Times New Roman" w:hAnsi="Times New Roman" w:cs="Times New Roman"/>
              </w:rPr>
              <w:t>10</w:t>
            </w:r>
            <w:r w:rsidRPr="00441BE4">
              <w:rPr>
                <w:rFonts w:ascii="Times New Roman" w:hAnsi="Times New Roman" w:cs="Times New Roman"/>
              </w:rPr>
              <w:t>%</w:t>
            </w:r>
          </w:p>
        </w:tc>
        <w:tc>
          <w:tcPr>
            <w:tcW w:w="850" w:type="dxa"/>
            <w:vAlign w:val="center"/>
          </w:tcPr>
          <w:p w:rsidR="001C5E5B" w:rsidRPr="00441BE4" w:rsidRDefault="001C5E5B" w:rsidP="00433A3B">
            <w:pPr>
              <w:jc w:val="center"/>
              <w:rPr>
                <w:rFonts w:ascii="Times New Roman" w:hAnsi="Times New Roman" w:cs="Times New Roman"/>
              </w:rPr>
            </w:pPr>
            <w:r w:rsidRPr="00441BE4">
              <w:rPr>
                <w:rFonts w:ascii="Times New Roman" w:hAnsi="Times New Roman" w:cs="Times New Roman"/>
              </w:rPr>
              <w:t>3%</w:t>
            </w:r>
          </w:p>
        </w:tc>
        <w:tc>
          <w:tcPr>
            <w:tcW w:w="993" w:type="dxa"/>
            <w:vAlign w:val="center"/>
          </w:tcPr>
          <w:p w:rsidR="001C5E5B" w:rsidRPr="00441BE4" w:rsidRDefault="001C5E5B" w:rsidP="00433A3B">
            <w:pPr>
              <w:spacing w:line="360" w:lineRule="auto"/>
              <w:jc w:val="center"/>
              <w:rPr>
                <w:rFonts w:ascii="Times New Roman" w:hAnsi="Times New Roman" w:cs="Times New Roman"/>
              </w:rPr>
            </w:pPr>
            <w:r w:rsidRPr="00441BE4">
              <w:rPr>
                <w:rFonts w:ascii="Times New Roman" w:hAnsi="Times New Roman" w:cs="Times New Roman"/>
              </w:rPr>
              <w:t>100 s</w:t>
            </w:r>
          </w:p>
        </w:tc>
      </w:tr>
    </w:tbl>
    <w:p w:rsidR="001C5E5B" w:rsidRPr="00441BE4" w:rsidRDefault="001C5E5B" w:rsidP="00C240B0">
      <w:pPr>
        <w:spacing w:line="720" w:lineRule="auto"/>
        <w:rPr>
          <w:rFonts w:ascii="黑体"/>
          <w:b/>
          <w:bCs/>
          <w:sz w:val="24"/>
          <w:szCs w:val="24"/>
        </w:rPr>
      </w:pPr>
      <w:r w:rsidRPr="00441BE4">
        <w:rPr>
          <w:rFonts w:ascii="黑体" w:eastAsia="Times New Roman" w:cs="Times New Roman"/>
          <w:b/>
          <w:bCs/>
          <w:sz w:val="24"/>
          <w:szCs w:val="24"/>
        </w:rPr>
        <w:t>五、制定内容说明</w:t>
      </w:r>
    </w:p>
    <w:p w:rsidR="001C5E5B" w:rsidRPr="00441BE4" w:rsidRDefault="001C5E5B" w:rsidP="003B3896">
      <w:pPr>
        <w:spacing w:line="360" w:lineRule="auto"/>
        <w:rPr>
          <w:rFonts w:ascii="Times New Roman" w:hAnsi="Times New Roman" w:cs="Times New Roman"/>
          <w:sz w:val="24"/>
          <w:szCs w:val="24"/>
        </w:rPr>
      </w:pPr>
      <w:r w:rsidRPr="00441BE4">
        <w:rPr>
          <w:rFonts w:ascii="Times New Roman" w:hAnsi="Times New Roman" w:cs="Times New Roman"/>
          <w:sz w:val="24"/>
          <w:szCs w:val="24"/>
        </w:rPr>
        <w:t>1</w:t>
      </w:r>
      <w:r w:rsidRPr="00441BE4">
        <w:rPr>
          <w:rFonts w:ascii="Times New Roman" w:hAnsi="Times New Roman" w:cs="宋体" w:hint="eastAsia"/>
          <w:sz w:val="24"/>
          <w:szCs w:val="24"/>
        </w:rPr>
        <w:t>．</w:t>
      </w:r>
      <w:r>
        <w:rPr>
          <w:rFonts w:ascii="Times New Roman" w:hAnsi="Times New Roman" w:cs="宋体" w:hint="eastAsia"/>
          <w:sz w:val="24"/>
          <w:szCs w:val="24"/>
        </w:rPr>
        <w:t>检测浓度点的确定</w:t>
      </w:r>
    </w:p>
    <w:p w:rsidR="001C5E5B" w:rsidRPr="00E91486" w:rsidRDefault="001C5E5B" w:rsidP="005202CB">
      <w:pPr>
        <w:spacing w:beforeLines="50" w:afterLines="50" w:line="360" w:lineRule="auto"/>
        <w:ind w:firstLineChars="200" w:firstLine="480"/>
        <w:rPr>
          <w:rFonts w:ascii="Times New Roman" w:hAnsi="Times New Roman" w:cs="宋体"/>
          <w:sz w:val="24"/>
          <w:szCs w:val="24"/>
        </w:rPr>
      </w:pPr>
      <w:r w:rsidRPr="00E91486">
        <w:rPr>
          <w:rFonts w:ascii="Times New Roman" w:hAnsi="Times New Roman" w:cs="宋体"/>
          <w:sz w:val="24"/>
          <w:szCs w:val="24"/>
        </w:rPr>
        <w:t>CJJ/T148-2010</w:t>
      </w:r>
      <w:r w:rsidRPr="00E91486">
        <w:rPr>
          <w:rFonts w:ascii="Times New Roman" w:hAnsi="Times New Roman" w:cs="宋体" w:hint="eastAsia"/>
          <w:sz w:val="24"/>
          <w:szCs w:val="24"/>
        </w:rPr>
        <w:t>《城镇燃气加臭技术规程》中</w:t>
      </w:r>
      <w:smartTag w:uri="urn:schemas-microsoft-com:office:smarttags" w:element="chsdate">
        <w:smartTagPr>
          <w:attr w:name="IsROCDate" w:val="False"/>
          <w:attr w:name="IsLunarDate" w:val="False"/>
          <w:attr w:name="Day" w:val="30"/>
          <w:attr w:name="Month" w:val="12"/>
          <w:attr w:name="Year" w:val="1899"/>
        </w:smartTagPr>
        <w:r w:rsidRPr="00E91486">
          <w:rPr>
            <w:rFonts w:ascii="Times New Roman" w:hAnsi="Times New Roman" w:cs="宋体"/>
            <w:sz w:val="24"/>
            <w:szCs w:val="24"/>
          </w:rPr>
          <w:t>3.1.4</w:t>
        </w:r>
      </w:smartTag>
      <w:r w:rsidRPr="00E91486">
        <w:rPr>
          <w:rFonts w:ascii="Times New Roman" w:hAnsi="Times New Roman" w:cs="宋体" w:hint="eastAsia"/>
          <w:sz w:val="24"/>
          <w:szCs w:val="24"/>
        </w:rPr>
        <w:t>条款规定了燃气中加臭剂的最小检测量。其中最小检测量是指在燃气泄漏到空气中在发生危险之前应该能使人察觉的量。根据国内外资料，空气中的</w:t>
      </w:r>
      <w:r>
        <w:rPr>
          <w:rFonts w:ascii="Times New Roman" w:hAnsi="Times New Roman" w:cs="宋体" w:hint="eastAsia"/>
          <w:sz w:val="24"/>
          <w:szCs w:val="24"/>
        </w:rPr>
        <w:t>四氢噻吩</w:t>
      </w:r>
      <w:r w:rsidRPr="00E91486">
        <w:rPr>
          <w:rFonts w:ascii="Times New Roman" w:hAnsi="Times New Roman" w:cs="宋体" w:hint="eastAsia"/>
          <w:sz w:val="24"/>
          <w:szCs w:val="24"/>
        </w:rPr>
        <w:t>（</w:t>
      </w:r>
      <w:r w:rsidRPr="00E91486">
        <w:rPr>
          <w:rFonts w:ascii="Times New Roman" w:hAnsi="Times New Roman" w:cs="宋体"/>
          <w:sz w:val="24"/>
          <w:szCs w:val="24"/>
        </w:rPr>
        <w:t>THT</w:t>
      </w:r>
      <w:r w:rsidRPr="00E91486">
        <w:rPr>
          <w:rFonts w:ascii="Times New Roman" w:hAnsi="Times New Roman" w:cs="宋体" w:hint="eastAsia"/>
          <w:sz w:val="24"/>
          <w:szCs w:val="24"/>
        </w:rPr>
        <w:t>）为</w:t>
      </w:r>
      <w:r w:rsidRPr="00E91486">
        <w:rPr>
          <w:rFonts w:ascii="Times New Roman" w:hAnsi="Times New Roman" w:cs="宋体"/>
          <w:sz w:val="24"/>
          <w:szCs w:val="24"/>
        </w:rPr>
        <w:t>0.08 mg/m</w:t>
      </w:r>
      <w:r w:rsidRPr="00E91486">
        <w:rPr>
          <w:rFonts w:ascii="Times New Roman" w:hAnsi="Times New Roman" w:cs="宋体"/>
          <w:sz w:val="24"/>
          <w:szCs w:val="24"/>
          <w:vertAlign w:val="superscript"/>
        </w:rPr>
        <w:t>3</w:t>
      </w:r>
      <w:r w:rsidRPr="00E91486">
        <w:rPr>
          <w:rFonts w:ascii="Times New Roman" w:hAnsi="Times New Roman" w:cs="宋体" w:hint="eastAsia"/>
          <w:sz w:val="24"/>
          <w:szCs w:val="24"/>
        </w:rPr>
        <w:t>时，可达到人确定察觉浓度，即该气味会被</w:t>
      </w:r>
      <w:r w:rsidRPr="00E91486">
        <w:rPr>
          <w:rFonts w:ascii="Times New Roman" w:hAnsi="Times New Roman" w:cs="宋体"/>
          <w:sz w:val="24"/>
          <w:szCs w:val="24"/>
        </w:rPr>
        <w:t>99%</w:t>
      </w:r>
      <w:r w:rsidRPr="00E91486">
        <w:rPr>
          <w:rFonts w:ascii="Times New Roman" w:hAnsi="Times New Roman" w:cs="宋体" w:hint="eastAsia"/>
          <w:sz w:val="24"/>
          <w:szCs w:val="24"/>
        </w:rPr>
        <w:t>的人察觉该气味。以爆炸下限为</w:t>
      </w:r>
      <w:r w:rsidRPr="00E91486">
        <w:rPr>
          <w:rFonts w:ascii="Times New Roman" w:hAnsi="Times New Roman" w:cs="宋体"/>
          <w:sz w:val="24"/>
          <w:szCs w:val="24"/>
        </w:rPr>
        <w:t>5%</w:t>
      </w:r>
      <w:r w:rsidRPr="00E91486">
        <w:rPr>
          <w:rFonts w:ascii="Times New Roman" w:hAnsi="Times New Roman" w:cs="宋体" w:hint="eastAsia"/>
          <w:sz w:val="24"/>
          <w:szCs w:val="24"/>
        </w:rPr>
        <w:t>的天然气为例，相当于在天然气用户端天然气中</w:t>
      </w:r>
      <w:r>
        <w:rPr>
          <w:rFonts w:ascii="Times New Roman" w:hAnsi="Times New Roman" w:cs="宋体" w:hint="eastAsia"/>
          <w:sz w:val="24"/>
          <w:szCs w:val="24"/>
        </w:rPr>
        <w:t>四氢噻吩浓度</w:t>
      </w:r>
      <w:r w:rsidRPr="00E91486">
        <w:rPr>
          <w:rFonts w:ascii="Times New Roman" w:hAnsi="Times New Roman" w:cs="宋体" w:hint="eastAsia"/>
          <w:sz w:val="24"/>
          <w:szCs w:val="24"/>
        </w:rPr>
        <w:t>应该至少为</w:t>
      </w:r>
      <w:r>
        <w:rPr>
          <w:rFonts w:ascii="Times New Roman" w:hAnsi="Times New Roman" w:cs="宋体"/>
          <w:sz w:val="24"/>
          <w:szCs w:val="24"/>
        </w:rPr>
        <w:t>8</w:t>
      </w:r>
      <w:r w:rsidRPr="00E91486">
        <w:rPr>
          <w:rFonts w:ascii="Times New Roman" w:hAnsi="Times New Roman" w:cs="宋体"/>
          <w:sz w:val="24"/>
          <w:szCs w:val="24"/>
        </w:rPr>
        <w:t>mg/m</w:t>
      </w:r>
      <w:r w:rsidRPr="00E91486">
        <w:rPr>
          <w:rFonts w:ascii="Times New Roman" w:hAnsi="Times New Roman" w:cs="宋体"/>
          <w:sz w:val="24"/>
          <w:szCs w:val="24"/>
          <w:vertAlign w:val="superscript"/>
        </w:rPr>
        <w:t>3</w:t>
      </w:r>
      <w:r w:rsidRPr="00E91486">
        <w:rPr>
          <w:rFonts w:ascii="Times New Roman" w:hAnsi="Times New Roman" w:cs="宋体"/>
          <w:sz w:val="24"/>
          <w:szCs w:val="24"/>
        </w:rPr>
        <w:t xml:space="preserve">, </w:t>
      </w:r>
      <w:r w:rsidRPr="00E91486">
        <w:rPr>
          <w:rFonts w:ascii="Times New Roman" w:hAnsi="Times New Roman" w:cs="宋体" w:hint="eastAsia"/>
          <w:sz w:val="24"/>
          <w:szCs w:val="24"/>
        </w:rPr>
        <w:t>并推论出天然气管网起始端</w:t>
      </w:r>
      <w:r>
        <w:rPr>
          <w:rFonts w:ascii="Times New Roman" w:hAnsi="Times New Roman" w:cs="宋体" w:hint="eastAsia"/>
          <w:sz w:val="24"/>
          <w:szCs w:val="24"/>
        </w:rPr>
        <w:t>四氢噻吩浓度约</w:t>
      </w:r>
      <w:r w:rsidRPr="00E91486">
        <w:rPr>
          <w:rFonts w:ascii="Times New Roman" w:hAnsi="Times New Roman" w:cs="宋体" w:hint="eastAsia"/>
          <w:sz w:val="24"/>
          <w:szCs w:val="24"/>
        </w:rPr>
        <w:t>为</w:t>
      </w:r>
      <w:r w:rsidRPr="00E91486">
        <w:rPr>
          <w:rFonts w:ascii="Times New Roman" w:hAnsi="Times New Roman" w:cs="宋体"/>
          <w:sz w:val="24"/>
          <w:szCs w:val="24"/>
        </w:rPr>
        <w:t>20mg/m</w:t>
      </w:r>
      <w:r w:rsidRPr="00E91486">
        <w:rPr>
          <w:rFonts w:ascii="Times New Roman" w:hAnsi="Times New Roman" w:cs="宋体"/>
          <w:sz w:val="24"/>
          <w:szCs w:val="24"/>
          <w:vertAlign w:val="superscript"/>
        </w:rPr>
        <w:t>3</w:t>
      </w:r>
      <w:r w:rsidRPr="00E91486">
        <w:rPr>
          <w:rFonts w:ascii="Times New Roman" w:hAnsi="Times New Roman" w:cs="宋体" w:hint="eastAsia"/>
          <w:sz w:val="24"/>
          <w:szCs w:val="24"/>
        </w:rPr>
        <w:t>（见</w:t>
      </w:r>
      <w:r w:rsidRPr="00E91486">
        <w:rPr>
          <w:rFonts w:ascii="Times New Roman" w:hAnsi="Times New Roman" w:cs="宋体"/>
          <w:sz w:val="24"/>
          <w:szCs w:val="24"/>
        </w:rPr>
        <w:t>CJJ/T148-2010</w:t>
      </w:r>
      <w:r w:rsidRPr="00E91486">
        <w:rPr>
          <w:rFonts w:ascii="Times New Roman" w:hAnsi="Times New Roman" w:cs="宋体" w:hint="eastAsia"/>
          <w:sz w:val="24"/>
          <w:szCs w:val="24"/>
        </w:rPr>
        <w:t>《城镇燃气加臭技术规程》条文说明）</w:t>
      </w:r>
      <w:r>
        <w:rPr>
          <w:rFonts w:ascii="Times New Roman" w:hAnsi="Times New Roman" w:cs="宋体" w:hint="eastAsia"/>
          <w:sz w:val="24"/>
          <w:szCs w:val="24"/>
        </w:rPr>
        <w:t>。经调研</w:t>
      </w:r>
      <w:r w:rsidRPr="00FB1579">
        <w:rPr>
          <w:rFonts w:ascii="Times New Roman" w:hAnsi="Times New Roman" w:cs="宋体" w:hint="eastAsia"/>
          <w:sz w:val="24"/>
          <w:szCs w:val="24"/>
        </w:rPr>
        <w:t>中国城市燃气协会及全国各燃气集团有限责任公司的广大用户，</w:t>
      </w:r>
      <w:r>
        <w:rPr>
          <w:rFonts w:ascii="宋体" w:hAnsi="宋体" w:cs="宋体" w:hint="eastAsia"/>
        </w:rPr>
        <w:t>认为</w:t>
      </w:r>
      <w:r w:rsidRPr="00E91486">
        <w:rPr>
          <w:rFonts w:ascii="Times New Roman" w:hAnsi="Times New Roman" w:cs="宋体"/>
          <w:sz w:val="24"/>
          <w:szCs w:val="24"/>
        </w:rPr>
        <w:t>8mg/m</w:t>
      </w:r>
      <w:r w:rsidRPr="00FB1579">
        <w:rPr>
          <w:rFonts w:ascii="Times New Roman" w:hAnsi="Times New Roman" w:cs="宋体"/>
          <w:sz w:val="24"/>
          <w:szCs w:val="24"/>
          <w:vertAlign w:val="superscript"/>
        </w:rPr>
        <w:t>3</w:t>
      </w:r>
      <w:r>
        <w:rPr>
          <w:rFonts w:ascii="Times New Roman" w:hAnsi="Times New Roman" w:cs="宋体" w:hint="eastAsia"/>
          <w:sz w:val="24"/>
          <w:szCs w:val="24"/>
        </w:rPr>
        <w:t>和</w:t>
      </w:r>
      <w:r>
        <w:rPr>
          <w:rFonts w:ascii="Times New Roman" w:hAnsi="Times New Roman" w:cs="宋体"/>
          <w:sz w:val="24"/>
          <w:szCs w:val="24"/>
        </w:rPr>
        <w:t>20</w:t>
      </w:r>
      <w:r w:rsidRPr="00E91486">
        <w:rPr>
          <w:rFonts w:ascii="Times New Roman" w:hAnsi="Times New Roman" w:cs="宋体"/>
          <w:sz w:val="24"/>
          <w:szCs w:val="24"/>
        </w:rPr>
        <w:t>mg/m</w:t>
      </w:r>
      <w:r w:rsidRPr="00FB1579">
        <w:rPr>
          <w:rFonts w:ascii="Times New Roman" w:hAnsi="Times New Roman" w:cs="宋体"/>
          <w:sz w:val="24"/>
          <w:szCs w:val="24"/>
          <w:vertAlign w:val="superscript"/>
        </w:rPr>
        <w:t>3</w:t>
      </w:r>
      <w:r>
        <w:rPr>
          <w:rFonts w:ascii="Times New Roman" w:hAnsi="Times New Roman" w:cs="宋体" w:hint="eastAsia"/>
          <w:sz w:val="24"/>
          <w:szCs w:val="24"/>
        </w:rPr>
        <w:t>为该气体检测仪最重要的检测浓度点，参考</w:t>
      </w:r>
      <w:r w:rsidRPr="00FB1579">
        <w:rPr>
          <w:rFonts w:ascii="宋体" w:hAnsi="宋体"/>
          <w:sz w:val="24"/>
        </w:rPr>
        <w:t>GB12358-2006</w:t>
      </w:r>
      <w:r w:rsidRPr="00FB1579">
        <w:rPr>
          <w:rFonts w:ascii="宋体" w:hAnsi="宋体" w:hint="eastAsia"/>
          <w:sz w:val="24"/>
        </w:rPr>
        <w:t>的要求，确定</w:t>
      </w:r>
      <w:r w:rsidRPr="00FB1579">
        <w:rPr>
          <w:rFonts w:ascii="Times New Roman" w:hAnsi="Times New Roman" w:cs="宋体" w:hint="eastAsia"/>
          <w:sz w:val="24"/>
          <w:szCs w:val="24"/>
        </w:rPr>
        <w:t>该气体检测仪示值误差的浓度检测</w:t>
      </w:r>
      <w:r>
        <w:rPr>
          <w:rFonts w:ascii="Times New Roman" w:hAnsi="Times New Roman" w:cs="宋体" w:hint="eastAsia"/>
          <w:sz w:val="24"/>
          <w:szCs w:val="24"/>
        </w:rPr>
        <w:t>点</w:t>
      </w:r>
      <w:r w:rsidRPr="00FB1579">
        <w:rPr>
          <w:rFonts w:ascii="宋体" w:hAnsi="宋体" w:cs="宋体" w:hint="eastAsia"/>
          <w:kern w:val="0"/>
          <w:sz w:val="24"/>
          <w:szCs w:val="24"/>
        </w:rPr>
        <w:t>为</w:t>
      </w:r>
      <w:r w:rsidRPr="00FB1579">
        <w:rPr>
          <w:rFonts w:ascii="宋体" w:hAnsi="宋体" w:cs="宋体"/>
          <w:kern w:val="0"/>
          <w:sz w:val="24"/>
          <w:szCs w:val="24"/>
        </w:rPr>
        <w:t>8</w:t>
      </w:r>
      <w:r w:rsidRPr="00FB1579">
        <w:rPr>
          <w:rFonts w:ascii="宋体"/>
          <w:sz w:val="24"/>
        </w:rPr>
        <w:t>mg/m</w:t>
      </w:r>
      <w:r w:rsidRPr="00FB1579">
        <w:rPr>
          <w:rFonts w:ascii="宋体"/>
          <w:sz w:val="24"/>
          <w:vertAlign w:val="superscript"/>
        </w:rPr>
        <w:t>3</w:t>
      </w:r>
      <w:r w:rsidRPr="00FB1579">
        <w:rPr>
          <w:rFonts w:ascii="宋体"/>
          <w:sz w:val="24"/>
        </w:rPr>
        <w:t xml:space="preserve"> </w:t>
      </w:r>
      <w:r w:rsidRPr="00FB1579">
        <w:rPr>
          <w:rFonts w:ascii="宋体" w:hint="eastAsia"/>
          <w:sz w:val="24"/>
        </w:rPr>
        <w:t>、</w:t>
      </w:r>
      <w:r w:rsidRPr="00FB1579">
        <w:rPr>
          <w:rFonts w:ascii="宋体"/>
          <w:sz w:val="24"/>
        </w:rPr>
        <w:t>20mg/m</w:t>
      </w:r>
      <w:r w:rsidRPr="00FB1579">
        <w:rPr>
          <w:rFonts w:ascii="宋体"/>
          <w:sz w:val="24"/>
          <w:vertAlign w:val="superscript"/>
        </w:rPr>
        <w:t>3</w:t>
      </w:r>
      <w:r w:rsidRPr="00FB1579">
        <w:rPr>
          <w:rFonts w:ascii="宋体" w:hint="eastAsia"/>
          <w:sz w:val="24"/>
        </w:rPr>
        <w:t>和</w:t>
      </w:r>
      <w:r w:rsidRPr="00FB1579">
        <w:rPr>
          <w:rFonts w:ascii="宋体" w:hAnsi="宋体" w:cs="宋体" w:hint="eastAsia"/>
          <w:kern w:val="0"/>
          <w:sz w:val="24"/>
          <w:szCs w:val="24"/>
        </w:rPr>
        <w:t>约为满量程</w:t>
      </w:r>
      <w:r>
        <w:rPr>
          <w:rFonts w:ascii="宋体" w:hAnsi="宋体" w:cs="宋体"/>
          <w:kern w:val="0"/>
          <w:sz w:val="24"/>
          <w:szCs w:val="24"/>
        </w:rPr>
        <w:t>6</w:t>
      </w:r>
      <w:r w:rsidRPr="00FB1579">
        <w:rPr>
          <w:rFonts w:ascii="宋体" w:hAnsi="宋体" w:cs="宋体"/>
          <w:kern w:val="0"/>
          <w:sz w:val="24"/>
          <w:szCs w:val="24"/>
        </w:rPr>
        <w:t>0%</w:t>
      </w:r>
      <w:r>
        <w:rPr>
          <w:rFonts w:ascii="宋体" w:hAnsi="宋体" w:cs="宋体" w:hint="eastAsia"/>
          <w:kern w:val="0"/>
          <w:sz w:val="24"/>
          <w:szCs w:val="24"/>
        </w:rPr>
        <w:t>的</w:t>
      </w:r>
      <w:r w:rsidRPr="00FB1579">
        <w:rPr>
          <w:rFonts w:ascii="宋体" w:hAnsi="宋体" w:cs="宋体" w:hint="eastAsia"/>
          <w:kern w:val="0"/>
          <w:sz w:val="24"/>
          <w:szCs w:val="24"/>
        </w:rPr>
        <w:t>浓度</w:t>
      </w:r>
      <w:r>
        <w:rPr>
          <w:rFonts w:ascii="宋体" w:hAnsi="宋体" w:cs="宋体" w:hint="eastAsia"/>
          <w:kern w:val="0"/>
          <w:sz w:val="24"/>
          <w:szCs w:val="24"/>
        </w:rPr>
        <w:t>点</w:t>
      </w:r>
      <w:r>
        <w:rPr>
          <w:rFonts w:ascii="Times New Roman" w:hAnsi="Times New Roman" w:cs="宋体" w:hint="eastAsia"/>
          <w:sz w:val="24"/>
          <w:szCs w:val="24"/>
        </w:rPr>
        <w:t>。</w:t>
      </w:r>
    </w:p>
    <w:p w:rsidR="001C5E5B" w:rsidRDefault="001C5E5B" w:rsidP="005202CB">
      <w:pPr>
        <w:spacing w:beforeLines="50" w:afterLines="50" w:line="360" w:lineRule="auto"/>
        <w:rPr>
          <w:rFonts w:ascii="宋体"/>
          <w:sz w:val="24"/>
        </w:rPr>
      </w:pPr>
      <w:r>
        <w:rPr>
          <w:rFonts w:ascii="Times New Roman" w:hAnsi="Times New Roman" w:cs="宋体"/>
          <w:sz w:val="24"/>
          <w:szCs w:val="24"/>
        </w:rPr>
        <w:t>2</w:t>
      </w:r>
      <w:r>
        <w:rPr>
          <w:rFonts w:ascii="Times New Roman" w:hAnsi="Times New Roman" w:cs="宋体" w:hint="eastAsia"/>
          <w:sz w:val="24"/>
          <w:szCs w:val="24"/>
        </w:rPr>
        <w:t>．</w:t>
      </w:r>
      <w:r w:rsidRPr="007A2121">
        <w:rPr>
          <w:rFonts w:ascii="宋体" w:hint="eastAsia"/>
          <w:sz w:val="24"/>
        </w:rPr>
        <w:t>测量</w:t>
      </w:r>
      <w:r>
        <w:rPr>
          <w:rFonts w:ascii="宋体" w:hint="eastAsia"/>
          <w:sz w:val="24"/>
        </w:rPr>
        <w:t>上限的确定</w:t>
      </w:r>
    </w:p>
    <w:p w:rsidR="001C5E5B" w:rsidRPr="00441BE4" w:rsidRDefault="001C5E5B" w:rsidP="005202CB">
      <w:pPr>
        <w:spacing w:beforeLines="50" w:afterLines="50" w:line="360" w:lineRule="auto"/>
        <w:ind w:firstLineChars="200" w:firstLine="480"/>
        <w:rPr>
          <w:rFonts w:ascii="Times New Roman" w:hAnsi="Times New Roman" w:cs="Times New Roman"/>
          <w:sz w:val="24"/>
          <w:szCs w:val="24"/>
        </w:rPr>
      </w:pPr>
      <w:r>
        <w:rPr>
          <w:rFonts w:ascii="Times New Roman" w:hAnsi="Times New Roman" w:cs="宋体" w:hint="eastAsia"/>
          <w:sz w:val="24"/>
          <w:szCs w:val="24"/>
        </w:rPr>
        <w:t>经调研，四氢噻吩</w:t>
      </w:r>
      <w:r w:rsidRPr="00441BE4">
        <w:rPr>
          <w:rFonts w:ascii="Times New Roman" w:hAnsi="Times New Roman" w:cs="宋体" w:hint="eastAsia"/>
          <w:sz w:val="24"/>
          <w:szCs w:val="24"/>
        </w:rPr>
        <w:t>气体检测仪</w:t>
      </w:r>
      <w:r>
        <w:rPr>
          <w:rFonts w:ascii="Times New Roman" w:hAnsi="Times New Roman" w:cs="宋体" w:hint="eastAsia"/>
          <w:sz w:val="24"/>
          <w:szCs w:val="24"/>
        </w:rPr>
        <w:t>在</w:t>
      </w:r>
      <w:r w:rsidRPr="00441BE4">
        <w:rPr>
          <w:rFonts w:ascii="Times New Roman" w:hAnsi="Times New Roman" w:cs="宋体" w:hint="eastAsia"/>
          <w:sz w:val="24"/>
          <w:szCs w:val="24"/>
        </w:rPr>
        <w:t>实际应用中的测量范围多为</w:t>
      </w:r>
      <w:r w:rsidRPr="007A2121">
        <w:rPr>
          <w:rFonts w:ascii="宋体" w:hint="eastAsia"/>
          <w:sz w:val="24"/>
        </w:rPr>
        <w:t>（</w:t>
      </w:r>
      <w:r w:rsidRPr="007A2121">
        <w:rPr>
          <w:rFonts w:ascii="宋体"/>
          <w:sz w:val="24"/>
        </w:rPr>
        <w:t>0</w:t>
      </w:r>
      <w:r w:rsidRPr="007A2121">
        <w:rPr>
          <w:rFonts w:ascii="宋体" w:hint="eastAsia"/>
          <w:sz w:val="24"/>
        </w:rPr>
        <w:t>～</w:t>
      </w:r>
      <w:r>
        <w:rPr>
          <w:rFonts w:ascii="宋体"/>
          <w:sz w:val="24"/>
        </w:rPr>
        <w:t>50</w:t>
      </w:r>
      <w:r w:rsidRPr="007A2121">
        <w:rPr>
          <w:rFonts w:ascii="宋体" w:hint="eastAsia"/>
          <w:sz w:val="24"/>
        </w:rPr>
        <w:t>）</w:t>
      </w:r>
      <w:r w:rsidRPr="007A2121">
        <w:rPr>
          <w:rFonts w:ascii="宋体"/>
          <w:sz w:val="24"/>
        </w:rPr>
        <w:t>μ</w:t>
      </w:r>
      <w:r w:rsidRPr="007A2121">
        <w:rPr>
          <w:rFonts w:ascii="宋体"/>
          <w:sz w:val="24"/>
        </w:rPr>
        <w:t>mol/mol</w:t>
      </w:r>
      <w:r w:rsidRPr="007A2121">
        <w:rPr>
          <w:rFonts w:ascii="宋体" w:hint="eastAsia"/>
          <w:sz w:val="24"/>
        </w:rPr>
        <w:t>或（</w:t>
      </w:r>
      <w:r w:rsidRPr="007A2121">
        <w:rPr>
          <w:rFonts w:ascii="宋体"/>
          <w:sz w:val="24"/>
        </w:rPr>
        <w:t>0</w:t>
      </w:r>
      <w:r w:rsidRPr="007A2121">
        <w:rPr>
          <w:rFonts w:ascii="宋体" w:hint="eastAsia"/>
          <w:sz w:val="24"/>
        </w:rPr>
        <w:t>～</w:t>
      </w:r>
      <w:r w:rsidRPr="007A2121">
        <w:rPr>
          <w:rFonts w:ascii="宋体"/>
          <w:sz w:val="24"/>
        </w:rPr>
        <w:t>100</w:t>
      </w:r>
      <w:r w:rsidRPr="007A2121">
        <w:rPr>
          <w:rFonts w:ascii="宋体" w:hint="eastAsia"/>
          <w:sz w:val="24"/>
        </w:rPr>
        <w:t>）</w:t>
      </w:r>
      <w:r w:rsidRPr="007A2121">
        <w:rPr>
          <w:rFonts w:ascii="宋体"/>
          <w:sz w:val="24"/>
        </w:rPr>
        <w:t>mg/m</w:t>
      </w:r>
      <w:r w:rsidRPr="007A2121">
        <w:rPr>
          <w:rFonts w:ascii="宋体"/>
          <w:sz w:val="24"/>
          <w:vertAlign w:val="superscript"/>
        </w:rPr>
        <w:t>3</w:t>
      </w:r>
      <w:r w:rsidRPr="00441BE4">
        <w:rPr>
          <w:rFonts w:ascii="Times New Roman" w:hAnsi="Times New Roman" w:cs="宋体" w:hint="eastAsia"/>
          <w:sz w:val="24"/>
          <w:szCs w:val="24"/>
        </w:rPr>
        <w:t>。故本规范适用于</w:t>
      </w:r>
      <w:r w:rsidRPr="007A2121">
        <w:rPr>
          <w:rFonts w:ascii="宋体" w:hint="eastAsia"/>
          <w:sz w:val="24"/>
        </w:rPr>
        <w:t>测量</w:t>
      </w:r>
      <w:r>
        <w:rPr>
          <w:rFonts w:ascii="宋体" w:hint="eastAsia"/>
          <w:sz w:val="24"/>
        </w:rPr>
        <w:t>上限不超过</w:t>
      </w:r>
      <w:r>
        <w:rPr>
          <w:rFonts w:ascii="宋体"/>
          <w:sz w:val="24"/>
        </w:rPr>
        <w:t>2</w:t>
      </w:r>
      <w:r w:rsidRPr="007A2121">
        <w:rPr>
          <w:rFonts w:ascii="宋体"/>
          <w:sz w:val="24"/>
        </w:rPr>
        <w:t>00mg/m</w:t>
      </w:r>
      <w:r w:rsidRPr="007A2121">
        <w:rPr>
          <w:rFonts w:ascii="宋体"/>
          <w:sz w:val="24"/>
          <w:vertAlign w:val="superscript"/>
        </w:rPr>
        <w:t>3</w:t>
      </w:r>
      <w:r w:rsidRPr="00441BE4">
        <w:rPr>
          <w:rFonts w:ascii="Times New Roman" w:hAnsi="Times New Roman" w:cs="宋体" w:hint="eastAsia"/>
          <w:sz w:val="24"/>
          <w:szCs w:val="24"/>
        </w:rPr>
        <w:t>的</w:t>
      </w:r>
      <w:r>
        <w:rPr>
          <w:rFonts w:ascii="Times New Roman" w:hAnsi="Times New Roman" w:cs="宋体" w:hint="eastAsia"/>
          <w:sz w:val="24"/>
          <w:szCs w:val="24"/>
        </w:rPr>
        <w:t>四氢噻吩</w:t>
      </w:r>
      <w:r w:rsidRPr="00441BE4">
        <w:rPr>
          <w:rFonts w:ascii="Times New Roman" w:hAnsi="Times New Roman" w:cs="宋体" w:hint="eastAsia"/>
          <w:sz w:val="24"/>
          <w:szCs w:val="24"/>
        </w:rPr>
        <w:t>气体检测仪的校准。</w:t>
      </w:r>
    </w:p>
    <w:p w:rsidR="001C5E5B" w:rsidRPr="00441BE4" w:rsidRDefault="001C5E5B" w:rsidP="00C240B0">
      <w:pPr>
        <w:spacing w:line="360" w:lineRule="auto"/>
        <w:rPr>
          <w:rFonts w:ascii="Times New Roman" w:hAnsi="Times New Roman" w:cs="Times New Roman"/>
          <w:sz w:val="24"/>
          <w:szCs w:val="24"/>
        </w:rPr>
      </w:pPr>
      <w:r w:rsidRPr="00441BE4">
        <w:rPr>
          <w:rFonts w:ascii="Times New Roman" w:hAnsi="Times New Roman" w:cs="Times New Roman"/>
          <w:sz w:val="24"/>
          <w:szCs w:val="24"/>
        </w:rPr>
        <w:t xml:space="preserve">2.  </w:t>
      </w:r>
      <w:r w:rsidRPr="00441BE4">
        <w:rPr>
          <w:rFonts w:ascii="Times New Roman" w:hAnsi="Times New Roman" w:cs="宋体" w:hint="eastAsia"/>
          <w:sz w:val="24"/>
          <w:szCs w:val="24"/>
        </w:rPr>
        <w:t>计量特性</w:t>
      </w:r>
    </w:p>
    <w:p w:rsidR="001C5E5B" w:rsidRPr="009C045A" w:rsidRDefault="001C5E5B" w:rsidP="004B09B7">
      <w:pPr>
        <w:spacing w:line="360" w:lineRule="auto"/>
        <w:rPr>
          <w:rFonts w:ascii="宋体"/>
          <w:sz w:val="24"/>
        </w:rPr>
      </w:pPr>
      <w:r>
        <w:rPr>
          <w:rFonts w:ascii="宋体" w:hAnsi="宋体"/>
          <w:sz w:val="24"/>
        </w:rPr>
        <w:t>2.1</w:t>
      </w:r>
      <w:r w:rsidRPr="009C045A">
        <w:rPr>
          <w:rFonts w:ascii="宋体" w:hAnsi="宋体" w:hint="eastAsia"/>
          <w:sz w:val="24"/>
        </w:rPr>
        <w:t>示值误差</w:t>
      </w:r>
    </w:p>
    <w:p w:rsidR="001C5E5B" w:rsidRPr="009C045A" w:rsidRDefault="001C5E5B" w:rsidP="007654ED">
      <w:pPr>
        <w:spacing w:line="360" w:lineRule="auto"/>
        <w:ind w:firstLineChars="200" w:firstLine="480"/>
        <w:rPr>
          <w:rFonts w:ascii="宋体"/>
          <w:sz w:val="24"/>
        </w:rPr>
      </w:pPr>
      <w:r w:rsidRPr="009C045A">
        <w:rPr>
          <w:rFonts w:ascii="宋体" w:hAnsi="宋体" w:hint="eastAsia"/>
          <w:sz w:val="24"/>
        </w:rPr>
        <w:t>经调研</w:t>
      </w:r>
      <w:r>
        <w:rPr>
          <w:rFonts w:ascii="宋体" w:hAnsi="宋体" w:hint="eastAsia"/>
          <w:sz w:val="24"/>
        </w:rPr>
        <w:t>，</w:t>
      </w:r>
      <w:r w:rsidRPr="009C045A">
        <w:rPr>
          <w:rFonts w:ascii="宋体" w:hAnsi="宋体" w:hint="eastAsia"/>
          <w:sz w:val="24"/>
        </w:rPr>
        <w:t>绝大多数厂家仪器说明书中示值误差为±</w:t>
      </w:r>
      <w:r w:rsidRPr="009C045A">
        <w:rPr>
          <w:rFonts w:ascii="宋体" w:hAnsi="宋体"/>
          <w:sz w:val="24"/>
        </w:rPr>
        <w:t>5%FS</w:t>
      </w:r>
      <w:r>
        <w:rPr>
          <w:rFonts w:ascii="宋体" w:hAnsi="宋体" w:hint="eastAsia"/>
          <w:sz w:val="24"/>
        </w:rPr>
        <w:t>或</w:t>
      </w:r>
      <w:r w:rsidRPr="009C045A">
        <w:rPr>
          <w:rFonts w:ascii="宋体" w:hAnsi="宋体" w:hint="eastAsia"/>
          <w:sz w:val="24"/>
        </w:rPr>
        <w:t>±</w:t>
      </w:r>
      <w:r>
        <w:rPr>
          <w:rFonts w:ascii="宋体" w:hAnsi="宋体"/>
          <w:sz w:val="24"/>
        </w:rPr>
        <w:t>10</w:t>
      </w:r>
      <w:r w:rsidRPr="009C045A">
        <w:rPr>
          <w:rFonts w:ascii="宋体" w:hAnsi="宋体"/>
          <w:sz w:val="24"/>
        </w:rPr>
        <w:t>%</w:t>
      </w:r>
      <w:r w:rsidRPr="009C045A">
        <w:rPr>
          <w:rFonts w:ascii="宋体" w:hAnsi="宋体" w:hint="eastAsia"/>
          <w:sz w:val="24"/>
        </w:rPr>
        <w:t>，</w:t>
      </w:r>
      <w:r>
        <w:rPr>
          <w:rFonts w:ascii="宋体" w:hAnsi="宋体" w:hint="eastAsia"/>
          <w:sz w:val="24"/>
        </w:rPr>
        <w:t>实验数据表明，大部分仪器低检测浓度点的</w:t>
      </w:r>
      <w:r w:rsidRPr="009C045A">
        <w:rPr>
          <w:rFonts w:ascii="宋体" w:hAnsi="宋体" w:hint="eastAsia"/>
          <w:sz w:val="24"/>
        </w:rPr>
        <w:t>示值误差</w:t>
      </w:r>
      <w:r>
        <w:rPr>
          <w:rFonts w:ascii="宋体" w:hAnsi="宋体" w:hint="eastAsia"/>
          <w:sz w:val="24"/>
        </w:rPr>
        <w:t>小于</w:t>
      </w:r>
      <w:r w:rsidRPr="009C045A">
        <w:rPr>
          <w:rFonts w:ascii="宋体" w:hAnsi="宋体" w:hint="eastAsia"/>
          <w:sz w:val="24"/>
        </w:rPr>
        <w:t>±</w:t>
      </w:r>
      <w:r w:rsidRPr="00A41E65">
        <w:rPr>
          <w:rFonts w:ascii="宋体" w:hAnsi="宋体" w:cs="宋体"/>
          <w:sz w:val="24"/>
        </w:rPr>
        <w:t>2</w:t>
      </w:r>
      <w:r w:rsidRPr="00A41E65">
        <w:rPr>
          <w:rFonts w:ascii="宋体"/>
          <w:sz w:val="24"/>
        </w:rPr>
        <w:t>mg/m</w:t>
      </w:r>
      <w:r w:rsidRPr="00A41E65">
        <w:rPr>
          <w:rFonts w:ascii="宋体"/>
          <w:sz w:val="24"/>
          <w:vertAlign w:val="superscript"/>
        </w:rPr>
        <w:t>3</w:t>
      </w:r>
      <w:r>
        <w:rPr>
          <w:rFonts w:ascii="宋体" w:hint="eastAsia"/>
          <w:sz w:val="24"/>
        </w:rPr>
        <w:t>，其余</w:t>
      </w:r>
      <w:r>
        <w:rPr>
          <w:rFonts w:ascii="宋体" w:hAnsi="宋体" w:hint="eastAsia"/>
          <w:sz w:val="24"/>
        </w:rPr>
        <w:t>检测浓度点的</w:t>
      </w:r>
      <w:r w:rsidRPr="009C045A">
        <w:rPr>
          <w:rFonts w:ascii="宋体" w:hAnsi="宋体" w:hint="eastAsia"/>
          <w:sz w:val="24"/>
        </w:rPr>
        <w:t>示值误差</w:t>
      </w:r>
      <w:r>
        <w:rPr>
          <w:rFonts w:ascii="宋体" w:hAnsi="宋体" w:hint="eastAsia"/>
          <w:sz w:val="24"/>
        </w:rPr>
        <w:t>小于</w:t>
      </w:r>
      <w:r w:rsidRPr="009C045A">
        <w:rPr>
          <w:rFonts w:ascii="宋体" w:hAnsi="宋体" w:hint="eastAsia"/>
          <w:sz w:val="24"/>
        </w:rPr>
        <w:t>±</w:t>
      </w:r>
      <w:r>
        <w:rPr>
          <w:rFonts w:ascii="宋体" w:hAnsi="宋体"/>
          <w:sz w:val="24"/>
        </w:rPr>
        <w:t>10</w:t>
      </w:r>
      <w:r w:rsidRPr="009C045A">
        <w:rPr>
          <w:rFonts w:ascii="宋体" w:hAnsi="宋体"/>
          <w:sz w:val="24"/>
        </w:rPr>
        <w:t>%</w:t>
      </w:r>
      <w:r>
        <w:rPr>
          <w:rFonts w:ascii="宋体" w:hAnsi="宋体" w:hint="eastAsia"/>
          <w:sz w:val="24"/>
        </w:rPr>
        <w:t>。</w:t>
      </w:r>
      <w:r w:rsidRPr="009C045A">
        <w:rPr>
          <w:rFonts w:ascii="宋体" w:hAnsi="宋体" w:hint="eastAsia"/>
          <w:sz w:val="24"/>
        </w:rPr>
        <w:t>参考</w:t>
      </w:r>
      <w:r w:rsidRPr="009C045A">
        <w:rPr>
          <w:rFonts w:ascii="宋体" w:hAnsi="宋体"/>
          <w:sz w:val="24"/>
        </w:rPr>
        <w:t>GB12358-2006</w:t>
      </w:r>
      <w:r w:rsidRPr="009C045A">
        <w:rPr>
          <w:rFonts w:ascii="宋体" w:hAnsi="宋体" w:hint="eastAsia"/>
          <w:sz w:val="24"/>
        </w:rPr>
        <w:t>作业环境气体检测报警仪通用技术要求</w:t>
      </w:r>
      <w:r>
        <w:rPr>
          <w:rFonts w:ascii="宋体" w:hAnsi="宋体" w:hint="eastAsia"/>
          <w:sz w:val="24"/>
        </w:rPr>
        <w:t>，</w:t>
      </w:r>
      <w:r w:rsidRPr="009C045A">
        <w:rPr>
          <w:rFonts w:ascii="宋体" w:hAnsi="宋体" w:cs="宋体" w:hint="eastAsia"/>
          <w:kern w:val="0"/>
          <w:sz w:val="24"/>
        </w:rPr>
        <w:t>我</w:t>
      </w:r>
      <w:r w:rsidRPr="009C045A">
        <w:rPr>
          <w:rFonts w:ascii="宋体" w:hAnsi="宋体" w:hint="eastAsia"/>
          <w:sz w:val="24"/>
        </w:rPr>
        <w:t>们对</w:t>
      </w:r>
      <w:r>
        <w:rPr>
          <w:rFonts w:ascii="宋体" w:hAnsi="宋体" w:hint="eastAsia"/>
          <w:sz w:val="24"/>
        </w:rPr>
        <w:t>示值</w:t>
      </w:r>
      <w:r w:rsidRPr="009C045A">
        <w:rPr>
          <w:rFonts w:ascii="宋体" w:hAnsi="宋体" w:hint="eastAsia"/>
          <w:sz w:val="24"/>
        </w:rPr>
        <w:t>误差</w:t>
      </w:r>
      <w:r>
        <w:rPr>
          <w:rFonts w:ascii="宋体" w:hAnsi="宋体" w:hint="eastAsia"/>
          <w:sz w:val="24"/>
        </w:rPr>
        <w:t>规定为</w:t>
      </w:r>
      <w:r w:rsidRPr="00D93726">
        <w:rPr>
          <w:rFonts w:ascii="宋体" w:hAnsi="宋体" w:cs="宋体" w:hint="eastAsia"/>
          <w:sz w:val="24"/>
        </w:rPr>
        <w:t>绝对误差：</w:t>
      </w:r>
      <w:r w:rsidRPr="00A41E65">
        <w:rPr>
          <w:rFonts w:ascii="宋体" w:hAnsi="宋体" w:cs="宋体" w:hint="eastAsia"/>
          <w:sz w:val="24"/>
        </w:rPr>
        <w:t>±</w:t>
      </w:r>
      <w:r w:rsidRPr="00A41E65">
        <w:rPr>
          <w:rFonts w:ascii="宋体" w:hAnsi="宋体" w:cs="宋体"/>
          <w:sz w:val="24"/>
        </w:rPr>
        <w:t>2</w:t>
      </w:r>
      <w:r w:rsidRPr="00A41E65">
        <w:rPr>
          <w:rFonts w:ascii="宋体"/>
          <w:sz w:val="24"/>
        </w:rPr>
        <w:t>mg/m</w:t>
      </w:r>
      <w:r w:rsidRPr="00A41E65">
        <w:rPr>
          <w:rFonts w:ascii="宋体"/>
          <w:sz w:val="24"/>
          <w:vertAlign w:val="superscript"/>
        </w:rPr>
        <w:t>3</w:t>
      </w:r>
      <w:r w:rsidRPr="00D93726">
        <w:rPr>
          <w:rFonts w:hint="eastAsia"/>
          <w:sz w:val="24"/>
        </w:rPr>
        <w:t>；相对误差：</w:t>
      </w:r>
      <w:r w:rsidRPr="00D93726">
        <w:rPr>
          <w:rFonts w:ascii="宋体" w:hAnsi="宋体" w:cs="宋体" w:hint="eastAsia"/>
          <w:sz w:val="24"/>
        </w:rPr>
        <w:t>±</w:t>
      </w:r>
      <w:r>
        <w:rPr>
          <w:rFonts w:ascii="宋体" w:hAnsi="宋体" w:cs="宋体"/>
          <w:sz w:val="24"/>
        </w:rPr>
        <w:t>1</w:t>
      </w:r>
      <w:r w:rsidRPr="00D93726">
        <w:rPr>
          <w:rFonts w:ascii="宋体" w:hAnsi="宋体" w:cs="宋体"/>
          <w:sz w:val="24"/>
        </w:rPr>
        <w:t>0%</w:t>
      </w:r>
      <w:r w:rsidRPr="00D93726">
        <w:rPr>
          <w:rFonts w:ascii="宋体" w:hAnsi="宋体" w:cs="宋体" w:hint="eastAsia"/>
          <w:sz w:val="24"/>
        </w:rPr>
        <w:t>。满足其中之一即可</w:t>
      </w:r>
      <w:r w:rsidRPr="00A41E65">
        <w:rPr>
          <w:rFonts w:ascii="宋体" w:hAnsi="宋体" w:cs="宋体" w:hint="eastAsia"/>
          <w:sz w:val="24"/>
        </w:rPr>
        <w:t>±</w:t>
      </w:r>
      <w:r w:rsidRPr="00A41E65">
        <w:rPr>
          <w:rFonts w:ascii="宋体" w:hAnsi="宋体" w:cs="宋体"/>
          <w:sz w:val="24"/>
        </w:rPr>
        <w:t>2</w:t>
      </w:r>
      <w:r w:rsidRPr="00A41E65">
        <w:rPr>
          <w:rFonts w:ascii="宋体"/>
          <w:sz w:val="24"/>
        </w:rPr>
        <w:t>mg/m</w:t>
      </w:r>
      <w:r w:rsidRPr="00A41E65">
        <w:rPr>
          <w:rFonts w:ascii="宋体"/>
          <w:sz w:val="24"/>
          <w:vertAlign w:val="superscript"/>
        </w:rPr>
        <w:t>3</w:t>
      </w:r>
      <w:r>
        <w:rPr>
          <w:rFonts w:ascii="宋体" w:hint="eastAsia"/>
          <w:sz w:val="24"/>
        </w:rPr>
        <w:t>或</w:t>
      </w:r>
      <w:r w:rsidRPr="009C045A">
        <w:rPr>
          <w:rFonts w:ascii="宋体" w:hAnsi="宋体" w:hint="eastAsia"/>
          <w:sz w:val="24"/>
        </w:rPr>
        <w:t>±</w:t>
      </w:r>
      <w:r>
        <w:rPr>
          <w:rFonts w:ascii="宋体" w:hAnsi="宋体"/>
          <w:sz w:val="24"/>
        </w:rPr>
        <w:t>10</w:t>
      </w:r>
      <w:r w:rsidRPr="009C045A">
        <w:rPr>
          <w:rFonts w:ascii="宋体" w:hAnsi="宋体"/>
          <w:sz w:val="24"/>
        </w:rPr>
        <w:t>%</w:t>
      </w:r>
      <w:r w:rsidRPr="009C045A">
        <w:rPr>
          <w:rFonts w:ascii="宋体" w:hAnsi="宋体" w:hint="eastAsia"/>
          <w:sz w:val="24"/>
        </w:rPr>
        <w:t>。</w:t>
      </w:r>
    </w:p>
    <w:p w:rsidR="001C5E5B" w:rsidRPr="005202CB" w:rsidRDefault="001C5E5B" w:rsidP="004B09B7">
      <w:pPr>
        <w:autoSpaceDE w:val="0"/>
        <w:autoSpaceDN w:val="0"/>
        <w:adjustRightInd w:val="0"/>
        <w:spacing w:line="360" w:lineRule="auto"/>
        <w:jc w:val="left"/>
        <w:rPr>
          <w:rFonts w:ascii="宋体"/>
          <w:sz w:val="24"/>
        </w:rPr>
      </w:pPr>
      <w:r w:rsidRPr="005202CB">
        <w:rPr>
          <w:rFonts w:ascii="宋体" w:hAnsi="宋体"/>
          <w:sz w:val="24"/>
        </w:rPr>
        <w:t>2.2</w:t>
      </w:r>
      <w:r w:rsidRPr="005202CB">
        <w:rPr>
          <w:rFonts w:ascii="宋体" w:hAnsi="宋体" w:hint="eastAsia"/>
          <w:sz w:val="24"/>
        </w:rPr>
        <w:t>重复性</w:t>
      </w:r>
    </w:p>
    <w:p w:rsidR="001C5E5B" w:rsidRPr="005202CB" w:rsidRDefault="001C5E5B" w:rsidP="0092085A">
      <w:pPr>
        <w:autoSpaceDE w:val="0"/>
        <w:autoSpaceDN w:val="0"/>
        <w:adjustRightInd w:val="0"/>
        <w:spacing w:line="360" w:lineRule="auto"/>
        <w:ind w:firstLineChars="200" w:firstLine="480"/>
        <w:jc w:val="left"/>
        <w:rPr>
          <w:rFonts w:ascii="宋体" w:cs="宋体"/>
          <w:kern w:val="0"/>
          <w:sz w:val="24"/>
        </w:rPr>
      </w:pPr>
      <w:r w:rsidRPr="005202CB">
        <w:rPr>
          <w:rFonts w:ascii="宋体" w:hAnsi="宋体" w:hint="eastAsia"/>
          <w:sz w:val="24"/>
        </w:rPr>
        <w:t>示值误差±</w:t>
      </w:r>
      <w:r w:rsidRPr="005202CB">
        <w:rPr>
          <w:rFonts w:ascii="宋体" w:hAnsi="宋体"/>
          <w:sz w:val="24"/>
        </w:rPr>
        <w:t>10%</w:t>
      </w:r>
      <w:r w:rsidRPr="005202CB">
        <w:rPr>
          <w:rFonts w:ascii="宋体" w:hAnsi="宋体" w:hint="eastAsia"/>
          <w:sz w:val="24"/>
        </w:rPr>
        <w:t>绝对值三分之一为</w:t>
      </w:r>
      <w:r w:rsidRPr="005202CB">
        <w:rPr>
          <w:rFonts w:ascii="宋体" w:hAnsi="宋体"/>
          <w:sz w:val="24"/>
        </w:rPr>
        <w:t>3.3%</w:t>
      </w:r>
      <w:r w:rsidRPr="005202CB">
        <w:rPr>
          <w:rFonts w:ascii="宋体" w:hAnsi="宋体" w:hint="eastAsia"/>
          <w:sz w:val="24"/>
        </w:rPr>
        <w:t>，重复性应不大于该值；</w:t>
      </w:r>
      <w:r w:rsidRPr="005202CB">
        <w:rPr>
          <w:rFonts w:ascii="宋体" w:hAnsi="宋体"/>
          <w:sz w:val="24"/>
        </w:rPr>
        <w:t>GB12358-2006</w:t>
      </w:r>
      <w:r w:rsidRPr="005202CB">
        <w:rPr>
          <w:rFonts w:ascii="宋体" w:hAnsi="宋体" w:hint="eastAsia"/>
          <w:sz w:val="24"/>
        </w:rPr>
        <w:t>中给出的技术要求是不大于</w:t>
      </w:r>
      <w:r w:rsidRPr="005202CB">
        <w:rPr>
          <w:rFonts w:ascii="宋体" w:hAnsi="宋体"/>
          <w:sz w:val="24"/>
        </w:rPr>
        <w:t>5%</w:t>
      </w:r>
      <w:r w:rsidRPr="005202CB">
        <w:rPr>
          <w:rFonts w:ascii="宋体" w:hAnsi="宋体" w:hint="eastAsia"/>
          <w:sz w:val="24"/>
        </w:rPr>
        <w:t>，但其测量点是任意一点，规范中的重复性是在满量程</w:t>
      </w:r>
      <w:r w:rsidRPr="005202CB">
        <w:rPr>
          <w:rFonts w:ascii="宋体" w:hAnsi="宋体"/>
          <w:sz w:val="24"/>
        </w:rPr>
        <w:t>60%</w:t>
      </w:r>
      <w:r w:rsidRPr="005202CB">
        <w:rPr>
          <w:rFonts w:ascii="宋体" w:hAnsi="宋体" w:hint="eastAsia"/>
          <w:sz w:val="24"/>
        </w:rPr>
        <w:t>浓度点的测量结果。实验数据显示，重复性多不超过</w:t>
      </w:r>
      <w:r w:rsidRPr="005202CB">
        <w:rPr>
          <w:rFonts w:ascii="宋体" w:hAnsi="宋体"/>
          <w:sz w:val="24"/>
        </w:rPr>
        <w:t>2%</w:t>
      </w:r>
      <w:r w:rsidRPr="005202CB">
        <w:rPr>
          <w:rFonts w:ascii="宋体" w:hAnsi="宋体" w:hint="eastAsia"/>
          <w:sz w:val="24"/>
        </w:rPr>
        <w:t>，因此定为不大于</w:t>
      </w:r>
      <w:r w:rsidRPr="005202CB">
        <w:rPr>
          <w:rFonts w:ascii="宋体" w:hAnsi="宋体"/>
          <w:sz w:val="24"/>
        </w:rPr>
        <w:t>2%</w:t>
      </w:r>
      <w:r w:rsidRPr="005202CB">
        <w:rPr>
          <w:rFonts w:ascii="宋体" w:hAnsi="宋体" w:hint="eastAsia"/>
          <w:sz w:val="24"/>
        </w:rPr>
        <w:t>。</w:t>
      </w:r>
    </w:p>
    <w:p w:rsidR="001C5E5B" w:rsidRPr="009C045A" w:rsidRDefault="001C5E5B" w:rsidP="004B09B7">
      <w:pPr>
        <w:spacing w:line="360" w:lineRule="auto"/>
        <w:rPr>
          <w:rFonts w:ascii="宋体"/>
          <w:sz w:val="24"/>
        </w:rPr>
      </w:pPr>
      <w:r>
        <w:rPr>
          <w:rFonts w:ascii="宋体" w:hAnsi="宋体"/>
          <w:sz w:val="24"/>
        </w:rPr>
        <w:t>2.3</w:t>
      </w:r>
      <w:r w:rsidRPr="009C045A">
        <w:rPr>
          <w:rFonts w:ascii="宋体" w:hAnsi="宋体" w:hint="eastAsia"/>
          <w:sz w:val="24"/>
        </w:rPr>
        <w:t>响应时间</w:t>
      </w:r>
    </w:p>
    <w:p w:rsidR="001C5E5B" w:rsidRPr="009C045A" w:rsidRDefault="001C5E5B" w:rsidP="004B09B7">
      <w:pPr>
        <w:spacing w:line="360" w:lineRule="auto"/>
        <w:ind w:firstLineChars="200" w:firstLine="480"/>
        <w:rPr>
          <w:rFonts w:ascii="宋体"/>
          <w:sz w:val="24"/>
        </w:rPr>
      </w:pPr>
      <w:r w:rsidRPr="009C045A">
        <w:rPr>
          <w:rFonts w:ascii="宋体" w:hAnsi="宋体" w:hint="eastAsia"/>
          <w:sz w:val="24"/>
        </w:rPr>
        <w:t>目前四氢噻吩</w:t>
      </w:r>
      <w:r>
        <w:rPr>
          <w:rFonts w:ascii="宋体" w:hAnsi="宋体" w:hint="eastAsia"/>
          <w:sz w:val="24"/>
        </w:rPr>
        <w:t>检测仪</w:t>
      </w:r>
      <w:r w:rsidRPr="009C045A">
        <w:rPr>
          <w:rFonts w:ascii="宋体" w:hAnsi="宋体" w:hint="eastAsia"/>
          <w:sz w:val="24"/>
        </w:rPr>
        <w:t>多采用</w:t>
      </w:r>
      <w:r>
        <w:rPr>
          <w:rFonts w:ascii="宋体" w:hAnsi="宋体" w:hint="eastAsia"/>
          <w:sz w:val="24"/>
        </w:rPr>
        <w:t>电化学、</w:t>
      </w:r>
      <w:r w:rsidRPr="005A4A77">
        <w:rPr>
          <w:rFonts w:ascii="宋体" w:hAnsi="宋体"/>
          <w:sz w:val="24"/>
          <w:szCs w:val="24"/>
        </w:rPr>
        <w:t>PID</w:t>
      </w:r>
      <w:r w:rsidRPr="009C045A">
        <w:rPr>
          <w:rFonts w:ascii="宋体" w:hAnsi="宋体" w:hint="eastAsia"/>
          <w:color w:val="000000"/>
          <w:sz w:val="24"/>
        </w:rPr>
        <w:t>等</w:t>
      </w:r>
      <w:r w:rsidRPr="009C045A">
        <w:rPr>
          <w:rFonts w:ascii="宋体" w:hAnsi="宋体" w:hint="eastAsia"/>
          <w:sz w:val="24"/>
        </w:rPr>
        <w:t>传感器，</w:t>
      </w:r>
      <w:r>
        <w:rPr>
          <w:rFonts w:ascii="宋体" w:hAnsi="宋体" w:hint="eastAsia"/>
          <w:sz w:val="24"/>
        </w:rPr>
        <w:t>该类传感器的响应时间较短；</w:t>
      </w:r>
      <w:r w:rsidRPr="009C045A">
        <w:rPr>
          <w:rFonts w:ascii="宋体" w:hAnsi="宋体" w:hint="eastAsia"/>
          <w:sz w:val="24"/>
        </w:rPr>
        <w:t>经模拟实验</w:t>
      </w:r>
      <w:r w:rsidRPr="009C045A">
        <w:rPr>
          <w:rFonts w:ascii="宋体" w:hAnsi="宋体" w:cs="宋体" w:hint="eastAsia"/>
          <w:kern w:val="0"/>
          <w:sz w:val="24"/>
        </w:rPr>
        <w:t>，</w:t>
      </w:r>
      <w:r>
        <w:rPr>
          <w:rFonts w:ascii="宋体" w:hAnsi="宋体" w:cs="宋体" w:hint="eastAsia"/>
          <w:kern w:val="0"/>
          <w:sz w:val="24"/>
        </w:rPr>
        <w:t>大部分仪器的</w:t>
      </w:r>
      <w:r w:rsidRPr="009C045A">
        <w:rPr>
          <w:rFonts w:ascii="宋体" w:hAnsi="宋体" w:hint="eastAsia"/>
          <w:sz w:val="24"/>
        </w:rPr>
        <w:t>响应时间</w:t>
      </w:r>
      <w:r>
        <w:rPr>
          <w:rFonts w:ascii="宋体" w:hAnsi="宋体" w:hint="eastAsia"/>
          <w:sz w:val="24"/>
        </w:rPr>
        <w:t>均小于</w:t>
      </w:r>
      <w:r>
        <w:rPr>
          <w:rFonts w:ascii="宋体" w:hAnsi="宋体"/>
          <w:sz w:val="24"/>
        </w:rPr>
        <w:t>90</w:t>
      </w:r>
      <w:r w:rsidRPr="009C045A">
        <w:rPr>
          <w:rFonts w:ascii="宋体" w:hAnsi="宋体"/>
          <w:sz w:val="24"/>
        </w:rPr>
        <w:t>s</w:t>
      </w:r>
      <w:r>
        <w:rPr>
          <w:rFonts w:ascii="宋体" w:hAnsi="宋体" w:hint="eastAsia"/>
          <w:sz w:val="24"/>
        </w:rPr>
        <w:t>，故</w:t>
      </w:r>
      <w:r w:rsidRPr="009C045A">
        <w:rPr>
          <w:rFonts w:ascii="宋体" w:hAnsi="宋体" w:hint="eastAsia"/>
          <w:sz w:val="24"/>
        </w:rPr>
        <w:t>本规范对响应时间的指标规定为不大于</w:t>
      </w:r>
      <w:r>
        <w:rPr>
          <w:rFonts w:ascii="宋体" w:hAnsi="宋体"/>
          <w:sz w:val="24"/>
        </w:rPr>
        <w:t>90</w:t>
      </w:r>
      <w:r w:rsidRPr="009C045A">
        <w:rPr>
          <w:rFonts w:ascii="宋体" w:hAnsi="宋体"/>
          <w:sz w:val="24"/>
        </w:rPr>
        <w:t>s</w:t>
      </w:r>
      <w:r w:rsidRPr="009C045A">
        <w:rPr>
          <w:rFonts w:ascii="宋体" w:hAnsi="宋体" w:hint="eastAsia"/>
          <w:sz w:val="24"/>
        </w:rPr>
        <w:t>。</w:t>
      </w:r>
    </w:p>
    <w:p w:rsidR="001C5E5B" w:rsidRPr="00441BE4" w:rsidRDefault="001C5E5B" w:rsidP="00C240B0">
      <w:pPr>
        <w:spacing w:line="720" w:lineRule="auto"/>
        <w:rPr>
          <w:b/>
          <w:bCs/>
          <w:sz w:val="24"/>
          <w:szCs w:val="24"/>
        </w:rPr>
      </w:pPr>
      <w:r w:rsidRPr="00441BE4">
        <w:rPr>
          <w:rFonts w:ascii="宋体" w:hAnsi="宋体" w:cs="宋体" w:hint="eastAsia"/>
          <w:b/>
          <w:bCs/>
          <w:sz w:val="24"/>
          <w:szCs w:val="24"/>
        </w:rPr>
        <w:t>六</w:t>
      </w:r>
      <w:r w:rsidRPr="00441BE4">
        <w:rPr>
          <w:rFonts w:ascii="宋体" w:cs="宋体" w:hint="eastAsia"/>
          <w:b/>
          <w:bCs/>
          <w:sz w:val="24"/>
          <w:szCs w:val="24"/>
        </w:rPr>
        <w:t>、</w:t>
      </w:r>
      <w:r w:rsidRPr="00441BE4">
        <w:rPr>
          <w:rFonts w:ascii="宋体" w:hAnsi="宋体" w:cs="宋体" w:hint="eastAsia"/>
          <w:b/>
          <w:bCs/>
          <w:sz w:val="24"/>
          <w:szCs w:val="24"/>
        </w:rPr>
        <w:t>总结</w:t>
      </w:r>
    </w:p>
    <w:p w:rsidR="001C5E5B" w:rsidRPr="00441BE4" w:rsidRDefault="001C5E5B" w:rsidP="00FB50DD">
      <w:pPr>
        <w:spacing w:line="360" w:lineRule="auto"/>
        <w:ind w:firstLineChars="200" w:firstLine="480"/>
        <w:rPr>
          <w:rFonts w:ascii="宋体"/>
          <w:b/>
          <w:bCs/>
          <w:sz w:val="28"/>
          <w:szCs w:val="28"/>
        </w:rPr>
      </w:pPr>
      <w:r w:rsidRPr="00441BE4">
        <w:rPr>
          <w:rFonts w:cs="宋体" w:hint="eastAsia"/>
          <w:sz w:val="24"/>
          <w:szCs w:val="24"/>
        </w:rPr>
        <w:t>在本规范的制定过程中，起草小组</w:t>
      </w:r>
      <w:r w:rsidRPr="00D464B7">
        <w:rPr>
          <w:rFonts w:cs="宋体" w:hint="eastAsia"/>
          <w:sz w:val="24"/>
          <w:szCs w:val="24"/>
        </w:rPr>
        <w:t>经广泛调查研究，</w:t>
      </w:r>
      <w:r>
        <w:rPr>
          <w:rFonts w:cs="宋体" w:hint="eastAsia"/>
          <w:sz w:val="24"/>
          <w:szCs w:val="24"/>
        </w:rPr>
        <w:t>参考</w:t>
      </w:r>
      <w:r w:rsidRPr="00441BE4">
        <w:rPr>
          <w:rFonts w:cs="宋体" w:hint="eastAsia"/>
          <w:sz w:val="24"/>
          <w:szCs w:val="24"/>
        </w:rPr>
        <w:t>国内外技术资料及相关标准、</w:t>
      </w:r>
      <w:r>
        <w:rPr>
          <w:rFonts w:cs="宋体" w:hint="eastAsia"/>
          <w:sz w:val="24"/>
          <w:szCs w:val="24"/>
        </w:rPr>
        <w:t>以</w:t>
      </w:r>
      <w:r w:rsidRPr="00441BE4">
        <w:rPr>
          <w:rFonts w:cs="宋体" w:hint="eastAsia"/>
          <w:sz w:val="24"/>
          <w:szCs w:val="24"/>
        </w:rPr>
        <w:t>大量实验数据为技术依据，本着科学合理、易于操作和普遍适用的原则，制定完成了</w:t>
      </w:r>
      <w:r>
        <w:rPr>
          <w:rFonts w:cs="宋体" w:hint="eastAsia"/>
          <w:sz w:val="24"/>
          <w:szCs w:val="24"/>
        </w:rPr>
        <w:t>四氢噻吩</w:t>
      </w:r>
      <w:r w:rsidRPr="00441BE4">
        <w:rPr>
          <w:rFonts w:cs="宋体" w:hint="eastAsia"/>
          <w:sz w:val="24"/>
          <w:szCs w:val="24"/>
        </w:rPr>
        <w:t>气体检测仪校准规范。</w:t>
      </w:r>
    </w:p>
    <w:p w:rsidR="001C5E5B" w:rsidRPr="00441BE4" w:rsidRDefault="001C5E5B" w:rsidP="00C240B0"/>
    <w:p w:rsidR="001C5E5B" w:rsidRPr="00441BE4" w:rsidRDefault="001C5E5B" w:rsidP="00CA241B">
      <w:pPr>
        <w:spacing w:line="720" w:lineRule="auto"/>
        <w:rPr>
          <w:rFonts w:ascii="黑体"/>
          <w:b/>
          <w:bCs/>
          <w:sz w:val="24"/>
          <w:szCs w:val="24"/>
        </w:rPr>
      </w:pPr>
    </w:p>
    <w:sectPr w:rsidR="001C5E5B" w:rsidRPr="00441BE4" w:rsidSect="00307A83">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E5B" w:rsidRDefault="001C5E5B">
      <w:r>
        <w:separator/>
      </w:r>
    </w:p>
  </w:endnote>
  <w:endnote w:type="continuationSeparator" w:id="0">
    <w:p w:rsidR="001C5E5B" w:rsidRDefault="001C5E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es New Roman"/>
    <w:panose1 w:val="00000000000000000000"/>
    <w:charset w:val="00"/>
    <w:family w:val="roman"/>
    <w:notTrueType/>
    <w:pitch w:val="default"/>
    <w:sig w:usb0="00000003" w:usb1="00000000" w:usb2="00000000" w:usb3="00000000" w:csb0="00000001" w:csb1="00000000"/>
  </w:font>
  <w:font w:name="黑体">
    <w:altName w:val="um"/>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E5B" w:rsidRDefault="001C5E5B">
      <w:r>
        <w:separator/>
      </w:r>
    </w:p>
  </w:footnote>
  <w:footnote w:type="continuationSeparator" w:id="0">
    <w:p w:rsidR="001C5E5B" w:rsidRDefault="001C5E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E5B" w:rsidRDefault="001C5E5B" w:rsidP="00E2087C">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241B"/>
    <w:rsid w:val="00000B4C"/>
    <w:rsid w:val="000039E7"/>
    <w:rsid w:val="00007166"/>
    <w:rsid w:val="000156CB"/>
    <w:rsid w:val="00020CCB"/>
    <w:rsid w:val="00020EB3"/>
    <w:rsid w:val="00025237"/>
    <w:rsid w:val="000535BB"/>
    <w:rsid w:val="00057353"/>
    <w:rsid w:val="000613BA"/>
    <w:rsid w:val="00064047"/>
    <w:rsid w:val="00065F7C"/>
    <w:rsid w:val="00072DC6"/>
    <w:rsid w:val="0007515E"/>
    <w:rsid w:val="00081B65"/>
    <w:rsid w:val="00093F74"/>
    <w:rsid w:val="0009561D"/>
    <w:rsid w:val="000A5DB7"/>
    <w:rsid w:val="000B5C07"/>
    <w:rsid w:val="000B6F5E"/>
    <w:rsid w:val="000C275D"/>
    <w:rsid w:val="000C2D7E"/>
    <w:rsid w:val="000C2DAA"/>
    <w:rsid w:val="000C309C"/>
    <w:rsid w:val="000C584C"/>
    <w:rsid w:val="000D2F74"/>
    <w:rsid w:val="000D3581"/>
    <w:rsid w:val="000D7764"/>
    <w:rsid w:val="000F022A"/>
    <w:rsid w:val="00103B01"/>
    <w:rsid w:val="00103C59"/>
    <w:rsid w:val="001045CE"/>
    <w:rsid w:val="0010658E"/>
    <w:rsid w:val="0010767E"/>
    <w:rsid w:val="00124212"/>
    <w:rsid w:val="001248F2"/>
    <w:rsid w:val="00125E4C"/>
    <w:rsid w:val="00140C64"/>
    <w:rsid w:val="00143010"/>
    <w:rsid w:val="0015020F"/>
    <w:rsid w:val="00154F98"/>
    <w:rsid w:val="0015666D"/>
    <w:rsid w:val="0016066E"/>
    <w:rsid w:val="00162EE2"/>
    <w:rsid w:val="00182A8E"/>
    <w:rsid w:val="001830E5"/>
    <w:rsid w:val="00185C8A"/>
    <w:rsid w:val="001A40C4"/>
    <w:rsid w:val="001A67C3"/>
    <w:rsid w:val="001B6E64"/>
    <w:rsid w:val="001C5E5B"/>
    <w:rsid w:val="001D13CE"/>
    <w:rsid w:val="001E60A1"/>
    <w:rsid w:val="001E6ED1"/>
    <w:rsid w:val="001F508B"/>
    <w:rsid w:val="001F561F"/>
    <w:rsid w:val="002102E9"/>
    <w:rsid w:val="002146CA"/>
    <w:rsid w:val="00217B0C"/>
    <w:rsid w:val="00221E9B"/>
    <w:rsid w:val="00245332"/>
    <w:rsid w:val="0024717E"/>
    <w:rsid w:val="002574A8"/>
    <w:rsid w:val="00263419"/>
    <w:rsid w:val="0026497B"/>
    <w:rsid w:val="00265970"/>
    <w:rsid w:val="00272CD1"/>
    <w:rsid w:val="00274E7E"/>
    <w:rsid w:val="00280697"/>
    <w:rsid w:val="00281FB7"/>
    <w:rsid w:val="00283220"/>
    <w:rsid w:val="00286FD1"/>
    <w:rsid w:val="00287621"/>
    <w:rsid w:val="002927CF"/>
    <w:rsid w:val="0029515F"/>
    <w:rsid w:val="00295579"/>
    <w:rsid w:val="0029749A"/>
    <w:rsid w:val="00297B9E"/>
    <w:rsid w:val="002A0E35"/>
    <w:rsid w:val="002A2068"/>
    <w:rsid w:val="002A2E05"/>
    <w:rsid w:val="002A5F39"/>
    <w:rsid w:val="002B0B27"/>
    <w:rsid w:val="002C154B"/>
    <w:rsid w:val="002C3B01"/>
    <w:rsid w:val="002D6414"/>
    <w:rsid w:val="002F09AB"/>
    <w:rsid w:val="002F3A00"/>
    <w:rsid w:val="002F7EAF"/>
    <w:rsid w:val="003015A7"/>
    <w:rsid w:val="00301BCC"/>
    <w:rsid w:val="00306ACB"/>
    <w:rsid w:val="00307932"/>
    <w:rsid w:val="00307A83"/>
    <w:rsid w:val="00325255"/>
    <w:rsid w:val="003257D7"/>
    <w:rsid w:val="00332BFA"/>
    <w:rsid w:val="0033314B"/>
    <w:rsid w:val="003359FF"/>
    <w:rsid w:val="0033639A"/>
    <w:rsid w:val="00341EFC"/>
    <w:rsid w:val="00344143"/>
    <w:rsid w:val="0035447E"/>
    <w:rsid w:val="00367ED9"/>
    <w:rsid w:val="00370EF7"/>
    <w:rsid w:val="00381A05"/>
    <w:rsid w:val="00390944"/>
    <w:rsid w:val="00395CBE"/>
    <w:rsid w:val="003A2EB9"/>
    <w:rsid w:val="003A4D66"/>
    <w:rsid w:val="003A553B"/>
    <w:rsid w:val="003A7373"/>
    <w:rsid w:val="003B3896"/>
    <w:rsid w:val="003C1AAB"/>
    <w:rsid w:val="003C78BE"/>
    <w:rsid w:val="003D311D"/>
    <w:rsid w:val="003D4AEC"/>
    <w:rsid w:val="003E3060"/>
    <w:rsid w:val="003E7EA9"/>
    <w:rsid w:val="003F2360"/>
    <w:rsid w:val="003F435C"/>
    <w:rsid w:val="003F455F"/>
    <w:rsid w:val="00400C11"/>
    <w:rsid w:val="00414F74"/>
    <w:rsid w:val="0041515A"/>
    <w:rsid w:val="00416BCD"/>
    <w:rsid w:val="00417013"/>
    <w:rsid w:val="004201C0"/>
    <w:rsid w:val="00433A3B"/>
    <w:rsid w:val="00440834"/>
    <w:rsid w:val="00441BE4"/>
    <w:rsid w:val="00445878"/>
    <w:rsid w:val="00452FCD"/>
    <w:rsid w:val="004538E7"/>
    <w:rsid w:val="004538F1"/>
    <w:rsid w:val="00473F28"/>
    <w:rsid w:val="0047774B"/>
    <w:rsid w:val="004813AC"/>
    <w:rsid w:val="00484662"/>
    <w:rsid w:val="004A2FBC"/>
    <w:rsid w:val="004A731A"/>
    <w:rsid w:val="004B09B7"/>
    <w:rsid w:val="004B13DA"/>
    <w:rsid w:val="004B58B4"/>
    <w:rsid w:val="004C110A"/>
    <w:rsid w:val="004C538B"/>
    <w:rsid w:val="004D441D"/>
    <w:rsid w:val="004D568D"/>
    <w:rsid w:val="004D643A"/>
    <w:rsid w:val="004E4975"/>
    <w:rsid w:val="004E4B20"/>
    <w:rsid w:val="004E69E9"/>
    <w:rsid w:val="004F28D4"/>
    <w:rsid w:val="005202CB"/>
    <w:rsid w:val="005227C7"/>
    <w:rsid w:val="00525C57"/>
    <w:rsid w:val="005334BE"/>
    <w:rsid w:val="00535BFC"/>
    <w:rsid w:val="00536AE2"/>
    <w:rsid w:val="005430BA"/>
    <w:rsid w:val="00551977"/>
    <w:rsid w:val="00556253"/>
    <w:rsid w:val="00564B5D"/>
    <w:rsid w:val="00567AEB"/>
    <w:rsid w:val="00571098"/>
    <w:rsid w:val="005715E8"/>
    <w:rsid w:val="00574F1F"/>
    <w:rsid w:val="00575B5F"/>
    <w:rsid w:val="00587313"/>
    <w:rsid w:val="0059407F"/>
    <w:rsid w:val="005A0D6F"/>
    <w:rsid w:val="005A4A77"/>
    <w:rsid w:val="005A5D2D"/>
    <w:rsid w:val="005C280A"/>
    <w:rsid w:val="005C6AA0"/>
    <w:rsid w:val="005C6B4B"/>
    <w:rsid w:val="005D291B"/>
    <w:rsid w:val="005D747A"/>
    <w:rsid w:val="005E2C3C"/>
    <w:rsid w:val="005E4FA6"/>
    <w:rsid w:val="005E7756"/>
    <w:rsid w:val="005F10D2"/>
    <w:rsid w:val="006035B8"/>
    <w:rsid w:val="00605DCE"/>
    <w:rsid w:val="00606020"/>
    <w:rsid w:val="006111F0"/>
    <w:rsid w:val="006172B8"/>
    <w:rsid w:val="00626E6C"/>
    <w:rsid w:val="00635454"/>
    <w:rsid w:val="00636FB1"/>
    <w:rsid w:val="00637D6F"/>
    <w:rsid w:val="00646185"/>
    <w:rsid w:val="006516A0"/>
    <w:rsid w:val="0065303D"/>
    <w:rsid w:val="00653288"/>
    <w:rsid w:val="0065591E"/>
    <w:rsid w:val="0065776B"/>
    <w:rsid w:val="00657BA9"/>
    <w:rsid w:val="00657D30"/>
    <w:rsid w:val="006617B5"/>
    <w:rsid w:val="006620DD"/>
    <w:rsid w:val="00666F38"/>
    <w:rsid w:val="0067459A"/>
    <w:rsid w:val="00676CB4"/>
    <w:rsid w:val="0068007B"/>
    <w:rsid w:val="00690EE1"/>
    <w:rsid w:val="00697371"/>
    <w:rsid w:val="006A2896"/>
    <w:rsid w:val="006A6D14"/>
    <w:rsid w:val="006B1C04"/>
    <w:rsid w:val="006B6FB1"/>
    <w:rsid w:val="006C1EC3"/>
    <w:rsid w:val="006D1308"/>
    <w:rsid w:val="006E46E0"/>
    <w:rsid w:val="006E6F77"/>
    <w:rsid w:val="006F1F7B"/>
    <w:rsid w:val="006F544B"/>
    <w:rsid w:val="006F69C8"/>
    <w:rsid w:val="007022D8"/>
    <w:rsid w:val="00703721"/>
    <w:rsid w:val="007130E9"/>
    <w:rsid w:val="00715792"/>
    <w:rsid w:val="00716093"/>
    <w:rsid w:val="00721D67"/>
    <w:rsid w:val="00724668"/>
    <w:rsid w:val="00724FE0"/>
    <w:rsid w:val="00732EAD"/>
    <w:rsid w:val="0074629C"/>
    <w:rsid w:val="0074757C"/>
    <w:rsid w:val="00751B54"/>
    <w:rsid w:val="00763231"/>
    <w:rsid w:val="007654ED"/>
    <w:rsid w:val="00765E79"/>
    <w:rsid w:val="00772E26"/>
    <w:rsid w:val="007750D9"/>
    <w:rsid w:val="00791143"/>
    <w:rsid w:val="00794940"/>
    <w:rsid w:val="00795724"/>
    <w:rsid w:val="007A10EA"/>
    <w:rsid w:val="007A2121"/>
    <w:rsid w:val="007A2DE9"/>
    <w:rsid w:val="007B3BEA"/>
    <w:rsid w:val="007B42C8"/>
    <w:rsid w:val="007B5413"/>
    <w:rsid w:val="007C52CD"/>
    <w:rsid w:val="007C5FF4"/>
    <w:rsid w:val="007D7179"/>
    <w:rsid w:val="007E47D7"/>
    <w:rsid w:val="007E4D28"/>
    <w:rsid w:val="007F4B24"/>
    <w:rsid w:val="0080341F"/>
    <w:rsid w:val="00804B09"/>
    <w:rsid w:val="00806877"/>
    <w:rsid w:val="0080781B"/>
    <w:rsid w:val="0081275F"/>
    <w:rsid w:val="00823414"/>
    <w:rsid w:val="008246AA"/>
    <w:rsid w:val="00844384"/>
    <w:rsid w:val="00861733"/>
    <w:rsid w:val="008631E6"/>
    <w:rsid w:val="008651AB"/>
    <w:rsid w:val="0086616C"/>
    <w:rsid w:val="00875471"/>
    <w:rsid w:val="00876DB0"/>
    <w:rsid w:val="008831ED"/>
    <w:rsid w:val="008865FB"/>
    <w:rsid w:val="00887D27"/>
    <w:rsid w:val="008A65CF"/>
    <w:rsid w:val="008B0D68"/>
    <w:rsid w:val="008B2F6F"/>
    <w:rsid w:val="008C020A"/>
    <w:rsid w:val="008C122C"/>
    <w:rsid w:val="008C562B"/>
    <w:rsid w:val="008F008A"/>
    <w:rsid w:val="008F1134"/>
    <w:rsid w:val="00907778"/>
    <w:rsid w:val="00907ED2"/>
    <w:rsid w:val="009146E5"/>
    <w:rsid w:val="0092007D"/>
    <w:rsid w:val="0092085A"/>
    <w:rsid w:val="00921106"/>
    <w:rsid w:val="00932699"/>
    <w:rsid w:val="009331A8"/>
    <w:rsid w:val="00944E05"/>
    <w:rsid w:val="00960CE1"/>
    <w:rsid w:val="00972DE5"/>
    <w:rsid w:val="00977A42"/>
    <w:rsid w:val="0099718D"/>
    <w:rsid w:val="00997F6C"/>
    <w:rsid w:val="009A3722"/>
    <w:rsid w:val="009A525D"/>
    <w:rsid w:val="009B3EE3"/>
    <w:rsid w:val="009C0030"/>
    <w:rsid w:val="009C045A"/>
    <w:rsid w:val="009C0830"/>
    <w:rsid w:val="009C0C5A"/>
    <w:rsid w:val="009C1875"/>
    <w:rsid w:val="009C5040"/>
    <w:rsid w:val="009C7616"/>
    <w:rsid w:val="009D07B1"/>
    <w:rsid w:val="009D52A8"/>
    <w:rsid w:val="009D678C"/>
    <w:rsid w:val="009E144A"/>
    <w:rsid w:val="009E33C3"/>
    <w:rsid w:val="009E5337"/>
    <w:rsid w:val="009E6CCC"/>
    <w:rsid w:val="009F25F4"/>
    <w:rsid w:val="009F4F64"/>
    <w:rsid w:val="00A00601"/>
    <w:rsid w:val="00A02E06"/>
    <w:rsid w:val="00A052FE"/>
    <w:rsid w:val="00A16A44"/>
    <w:rsid w:val="00A20E2D"/>
    <w:rsid w:val="00A23442"/>
    <w:rsid w:val="00A245DE"/>
    <w:rsid w:val="00A268D7"/>
    <w:rsid w:val="00A3009B"/>
    <w:rsid w:val="00A31BA1"/>
    <w:rsid w:val="00A41E65"/>
    <w:rsid w:val="00A446CF"/>
    <w:rsid w:val="00A734E9"/>
    <w:rsid w:val="00A762EB"/>
    <w:rsid w:val="00A81211"/>
    <w:rsid w:val="00A82104"/>
    <w:rsid w:val="00A9351F"/>
    <w:rsid w:val="00AA48D8"/>
    <w:rsid w:val="00AB16E5"/>
    <w:rsid w:val="00AB1C7E"/>
    <w:rsid w:val="00AB203B"/>
    <w:rsid w:val="00AB49BC"/>
    <w:rsid w:val="00AC28F9"/>
    <w:rsid w:val="00AC62F5"/>
    <w:rsid w:val="00AD1B0E"/>
    <w:rsid w:val="00AD299E"/>
    <w:rsid w:val="00AD433A"/>
    <w:rsid w:val="00AD5D55"/>
    <w:rsid w:val="00AE5880"/>
    <w:rsid w:val="00AF4250"/>
    <w:rsid w:val="00B02A89"/>
    <w:rsid w:val="00B0601D"/>
    <w:rsid w:val="00B073AB"/>
    <w:rsid w:val="00B1074A"/>
    <w:rsid w:val="00B126A8"/>
    <w:rsid w:val="00B16DF8"/>
    <w:rsid w:val="00B20172"/>
    <w:rsid w:val="00B23B67"/>
    <w:rsid w:val="00B258B1"/>
    <w:rsid w:val="00B2739C"/>
    <w:rsid w:val="00B36409"/>
    <w:rsid w:val="00B45EFF"/>
    <w:rsid w:val="00B46940"/>
    <w:rsid w:val="00B476D7"/>
    <w:rsid w:val="00B601B3"/>
    <w:rsid w:val="00B609B2"/>
    <w:rsid w:val="00B636B6"/>
    <w:rsid w:val="00B6460D"/>
    <w:rsid w:val="00B650AB"/>
    <w:rsid w:val="00B671E1"/>
    <w:rsid w:val="00B77D28"/>
    <w:rsid w:val="00B96A99"/>
    <w:rsid w:val="00BA12BA"/>
    <w:rsid w:val="00BA1465"/>
    <w:rsid w:val="00BB5182"/>
    <w:rsid w:val="00BC36EF"/>
    <w:rsid w:val="00BC6A93"/>
    <w:rsid w:val="00BD00A3"/>
    <w:rsid w:val="00BD01C9"/>
    <w:rsid w:val="00BD5714"/>
    <w:rsid w:val="00BD790E"/>
    <w:rsid w:val="00BE4900"/>
    <w:rsid w:val="00BF30B1"/>
    <w:rsid w:val="00BF3EDF"/>
    <w:rsid w:val="00C0130A"/>
    <w:rsid w:val="00C072C7"/>
    <w:rsid w:val="00C13829"/>
    <w:rsid w:val="00C240B0"/>
    <w:rsid w:val="00C274EF"/>
    <w:rsid w:val="00C32B06"/>
    <w:rsid w:val="00C34735"/>
    <w:rsid w:val="00C3632F"/>
    <w:rsid w:val="00C47370"/>
    <w:rsid w:val="00C51FFB"/>
    <w:rsid w:val="00C5355A"/>
    <w:rsid w:val="00C54038"/>
    <w:rsid w:val="00C62EB1"/>
    <w:rsid w:val="00C66201"/>
    <w:rsid w:val="00C66D23"/>
    <w:rsid w:val="00C67F83"/>
    <w:rsid w:val="00C73310"/>
    <w:rsid w:val="00C74831"/>
    <w:rsid w:val="00C74942"/>
    <w:rsid w:val="00C917B5"/>
    <w:rsid w:val="00C943B9"/>
    <w:rsid w:val="00C95E23"/>
    <w:rsid w:val="00CA2340"/>
    <w:rsid w:val="00CA241B"/>
    <w:rsid w:val="00CA56A1"/>
    <w:rsid w:val="00CC1425"/>
    <w:rsid w:val="00CC6BAD"/>
    <w:rsid w:val="00CC7314"/>
    <w:rsid w:val="00CE1330"/>
    <w:rsid w:val="00CE6490"/>
    <w:rsid w:val="00CF67CE"/>
    <w:rsid w:val="00D02704"/>
    <w:rsid w:val="00D11676"/>
    <w:rsid w:val="00D201B4"/>
    <w:rsid w:val="00D34BC3"/>
    <w:rsid w:val="00D41BE7"/>
    <w:rsid w:val="00D43D0D"/>
    <w:rsid w:val="00D44FA3"/>
    <w:rsid w:val="00D453E1"/>
    <w:rsid w:val="00D45E66"/>
    <w:rsid w:val="00D45FA4"/>
    <w:rsid w:val="00D464B7"/>
    <w:rsid w:val="00D80D01"/>
    <w:rsid w:val="00D82ACB"/>
    <w:rsid w:val="00D82E0E"/>
    <w:rsid w:val="00D83DBB"/>
    <w:rsid w:val="00D85FFA"/>
    <w:rsid w:val="00D91618"/>
    <w:rsid w:val="00D91A96"/>
    <w:rsid w:val="00D93726"/>
    <w:rsid w:val="00DA2F00"/>
    <w:rsid w:val="00DA448A"/>
    <w:rsid w:val="00DB68DD"/>
    <w:rsid w:val="00DC3A34"/>
    <w:rsid w:val="00DC442B"/>
    <w:rsid w:val="00DD10A8"/>
    <w:rsid w:val="00DD5725"/>
    <w:rsid w:val="00DE18D7"/>
    <w:rsid w:val="00DE1EAB"/>
    <w:rsid w:val="00DE7906"/>
    <w:rsid w:val="00DF608C"/>
    <w:rsid w:val="00E057E8"/>
    <w:rsid w:val="00E14370"/>
    <w:rsid w:val="00E1476C"/>
    <w:rsid w:val="00E2087C"/>
    <w:rsid w:val="00E20BBB"/>
    <w:rsid w:val="00E35940"/>
    <w:rsid w:val="00E3599D"/>
    <w:rsid w:val="00E40B22"/>
    <w:rsid w:val="00E572C2"/>
    <w:rsid w:val="00E57968"/>
    <w:rsid w:val="00E57EE4"/>
    <w:rsid w:val="00E60C04"/>
    <w:rsid w:val="00E662F1"/>
    <w:rsid w:val="00E71603"/>
    <w:rsid w:val="00E738C2"/>
    <w:rsid w:val="00E76C8B"/>
    <w:rsid w:val="00E818CA"/>
    <w:rsid w:val="00E83E61"/>
    <w:rsid w:val="00E8625F"/>
    <w:rsid w:val="00E91486"/>
    <w:rsid w:val="00E92450"/>
    <w:rsid w:val="00EA2042"/>
    <w:rsid w:val="00EA2D33"/>
    <w:rsid w:val="00EB0D45"/>
    <w:rsid w:val="00EB2831"/>
    <w:rsid w:val="00EB7AB7"/>
    <w:rsid w:val="00EC1D6C"/>
    <w:rsid w:val="00EC3B3B"/>
    <w:rsid w:val="00EC42C8"/>
    <w:rsid w:val="00EC44E4"/>
    <w:rsid w:val="00EC4A95"/>
    <w:rsid w:val="00EC55A5"/>
    <w:rsid w:val="00ED631A"/>
    <w:rsid w:val="00ED6F2D"/>
    <w:rsid w:val="00EF1E2C"/>
    <w:rsid w:val="00F03EB1"/>
    <w:rsid w:val="00F065D2"/>
    <w:rsid w:val="00F0771A"/>
    <w:rsid w:val="00F11A5F"/>
    <w:rsid w:val="00F12BD8"/>
    <w:rsid w:val="00F14AF5"/>
    <w:rsid w:val="00F25855"/>
    <w:rsid w:val="00F26803"/>
    <w:rsid w:val="00F26955"/>
    <w:rsid w:val="00F315B3"/>
    <w:rsid w:val="00F31DD7"/>
    <w:rsid w:val="00F37B16"/>
    <w:rsid w:val="00F523B7"/>
    <w:rsid w:val="00F671A4"/>
    <w:rsid w:val="00F72BE0"/>
    <w:rsid w:val="00F76BF9"/>
    <w:rsid w:val="00F814FB"/>
    <w:rsid w:val="00F82B90"/>
    <w:rsid w:val="00F8313A"/>
    <w:rsid w:val="00F90D64"/>
    <w:rsid w:val="00FA00CB"/>
    <w:rsid w:val="00FA303A"/>
    <w:rsid w:val="00FB07CD"/>
    <w:rsid w:val="00FB1415"/>
    <w:rsid w:val="00FB1579"/>
    <w:rsid w:val="00FB3341"/>
    <w:rsid w:val="00FB4FA0"/>
    <w:rsid w:val="00FB50DD"/>
    <w:rsid w:val="00FB6C17"/>
    <w:rsid w:val="00FC617E"/>
    <w:rsid w:val="00FC7E39"/>
    <w:rsid w:val="00FD0FDF"/>
    <w:rsid w:val="00FD2417"/>
    <w:rsid w:val="00FD3721"/>
    <w:rsid w:val="00FD3E42"/>
    <w:rsid w:val="00FD6BE1"/>
    <w:rsid w:val="00FE1232"/>
    <w:rsid w:val="00FE1377"/>
    <w:rsid w:val="00FE7E0E"/>
    <w:rsid w:val="00FF65F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A241B"/>
    <w:pPr>
      <w:widowControl w:val="0"/>
      <w:jc w:val="both"/>
    </w:pPr>
    <w:rPr>
      <w:rFonts w:ascii="Calibri" w:hAnsi="Calibri" w:cs="Calibri"/>
      <w:szCs w:val="21"/>
    </w:rPr>
  </w:style>
  <w:style w:type="paragraph" w:styleId="Heading4">
    <w:name w:val="heading 4"/>
    <w:basedOn w:val="Normal"/>
    <w:next w:val="Normal"/>
    <w:link w:val="Heading4Char"/>
    <w:uiPriority w:val="99"/>
    <w:qFormat/>
    <w:locked/>
    <w:rsid w:val="00FB6C17"/>
    <w:pPr>
      <w:keepNext/>
      <w:keepLines/>
      <w:spacing w:before="280" w:after="290" w:line="376" w:lineRule="auto"/>
      <w:outlineLvl w:val="3"/>
    </w:pPr>
    <w:rPr>
      <w:rFonts w:ascii="Cambria" w:hAnsi="Cambria" w:cs="Times New Roman"/>
      <w:b/>
      <w:bCs/>
      <w:sz w:val="28"/>
      <w:szCs w:val="28"/>
    </w:rPr>
  </w:style>
  <w:style w:type="paragraph" w:styleId="Heading5">
    <w:name w:val="heading 5"/>
    <w:basedOn w:val="Normal"/>
    <w:link w:val="Heading5Char"/>
    <w:uiPriority w:val="99"/>
    <w:qFormat/>
    <w:rsid w:val="009B3EE3"/>
    <w:pPr>
      <w:widowControl/>
      <w:spacing w:before="100" w:beforeAutospacing="1" w:after="100" w:afterAutospacing="1"/>
      <w:jc w:val="left"/>
      <w:outlineLvl w:val="4"/>
    </w:pPr>
    <w:rPr>
      <w:rFonts w:ascii="宋体" w:hAnsi="Times New Roman" w:cs="Times New Roman"/>
      <w:b/>
      <w:kern w:val="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FB6C17"/>
    <w:rPr>
      <w:rFonts w:ascii="Cambria" w:eastAsia="宋体" w:hAnsi="Cambria" w:cs="Times New Roman"/>
      <w:b/>
      <w:kern w:val="2"/>
      <w:sz w:val="28"/>
    </w:rPr>
  </w:style>
  <w:style w:type="character" w:customStyle="1" w:styleId="Heading5Char">
    <w:name w:val="Heading 5 Char"/>
    <w:basedOn w:val="DefaultParagraphFont"/>
    <w:link w:val="Heading5"/>
    <w:uiPriority w:val="99"/>
    <w:locked/>
    <w:rsid w:val="009B3EE3"/>
    <w:rPr>
      <w:rFonts w:ascii="宋体" w:eastAsia="宋体" w:cs="Times New Roman"/>
      <w:b/>
    </w:rPr>
  </w:style>
  <w:style w:type="paragraph" w:styleId="Header">
    <w:name w:val="header"/>
    <w:basedOn w:val="Normal"/>
    <w:link w:val="HeaderChar"/>
    <w:uiPriority w:val="99"/>
    <w:rsid w:val="00CA241B"/>
    <w:pPr>
      <w:pBdr>
        <w:bottom w:val="single" w:sz="6" w:space="1" w:color="auto"/>
      </w:pBdr>
      <w:tabs>
        <w:tab w:val="center" w:pos="4153"/>
        <w:tab w:val="right" w:pos="8306"/>
      </w:tabs>
      <w:snapToGrid w:val="0"/>
      <w:jc w:val="center"/>
    </w:pPr>
    <w:rPr>
      <w:rFonts w:cs="Times New Roman"/>
      <w:kern w:val="0"/>
      <w:sz w:val="18"/>
      <w:szCs w:val="20"/>
    </w:rPr>
  </w:style>
  <w:style w:type="character" w:customStyle="1" w:styleId="HeaderChar">
    <w:name w:val="Header Char"/>
    <w:basedOn w:val="DefaultParagraphFont"/>
    <w:link w:val="Header"/>
    <w:uiPriority w:val="99"/>
    <w:semiHidden/>
    <w:locked/>
    <w:rsid w:val="00BD00A3"/>
    <w:rPr>
      <w:rFonts w:ascii="Calibri" w:hAnsi="Calibri" w:cs="Times New Roman"/>
      <w:sz w:val="18"/>
    </w:rPr>
  </w:style>
  <w:style w:type="paragraph" w:styleId="Footer">
    <w:name w:val="footer"/>
    <w:basedOn w:val="Normal"/>
    <w:link w:val="FooterChar"/>
    <w:uiPriority w:val="99"/>
    <w:rsid w:val="00CA241B"/>
    <w:pPr>
      <w:tabs>
        <w:tab w:val="center" w:pos="4153"/>
        <w:tab w:val="right" w:pos="8306"/>
      </w:tabs>
      <w:snapToGrid w:val="0"/>
      <w:jc w:val="left"/>
    </w:pPr>
    <w:rPr>
      <w:rFonts w:cs="Times New Roman"/>
      <w:kern w:val="0"/>
      <w:sz w:val="18"/>
      <w:szCs w:val="20"/>
    </w:rPr>
  </w:style>
  <w:style w:type="character" w:customStyle="1" w:styleId="FooterChar">
    <w:name w:val="Footer Char"/>
    <w:basedOn w:val="DefaultParagraphFont"/>
    <w:link w:val="Footer"/>
    <w:uiPriority w:val="99"/>
    <w:semiHidden/>
    <w:locked/>
    <w:rsid w:val="00BD00A3"/>
    <w:rPr>
      <w:rFonts w:ascii="Calibri" w:hAnsi="Calibri" w:cs="Times New Roman"/>
      <w:sz w:val="18"/>
    </w:rPr>
  </w:style>
  <w:style w:type="character" w:styleId="Hyperlink">
    <w:name w:val="Hyperlink"/>
    <w:basedOn w:val="DefaultParagraphFont"/>
    <w:uiPriority w:val="99"/>
    <w:rsid w:val="000F022A"/>
    <w:rPr>
      <w:rFonts w:cs="Times New Roman"/>
      <w:color w:val="auto"/>
      <w:u w:val="none"/>
      <w:effect w:val="none"/>
    </w:rPr>
  </w:style>
  <w:style w:type="paragraph" w:styleId="Date">
    <w:name w:val="Date"/>
    <w:basedOn w:val="Normal"/>
    <w:next w:val="Normal"/>
    <w:link w:val="DateChar"/>
    <w:uiPriority w:val="99"/>
    <w:rsid w:val="0024717E"/>
    <w:pPr>
      <w:ind w:leftChars="2500" w:left="100"/>
    </w:pPr>
    <w:rPr>
      <w:rFonts w:cs="Times New Roman"/>
      <w:kern w:val="0"/>
      <w:sz w:val="24"/>
      <w:szCs w:val="20"/>
    </w:rPr>
  </w:style>
  <w:style w:type="character" w:customStyle="1" w:styleId="DateChar">
    <w:name w:val="Date Char"/>
    <w:basedOn w:val="DefaultParagraphFont"/>
    <w:link w:val="Date"/>
    <w:uiPriority w:val="99"/>
    <w:semiHidden/>
    <w:locked/>
    <w:rsid w:val="00BD00A3"/>
    <w:rPr>
      <w:rFonts w:ascii="Calibri" w:hAnsi="Calibri" w:cs="Times New Roman"/>
      <w:sz w:val="24"/>
    </w:rPr>
  </w:style>
  <w:style w:type="table" w:styleId="TableGrid">
    <w:name w:val="Table Grid"/>
    <w:basedOn w:val="TableNormal"/>
    <w:uiPriority w:val="99"/>
    <w:locked/>
    <w:rsid w:val="0035447E"/>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3">
    <w:name w:val="Body text|3_"/>
    <w:basedOn w:val="DefaultParagraphFont"/>
    <w:link w:val="Bodytext30"/>
    <w:uiPriority w:val="99"/>
    <w:locked/>
    <w:rsid w:val="00D34BC3"/>
    <w:rPr>
      <w:rFonts w:ascii="SimSun" w:hAnsi="SimSun" w:cs="Times New Roman"/>
      <w:sz w:val="17"/>
      <w:szCs w:val="17"/>
      <w:lang w:val="zh-TW" w:eastAsia="zh-TW" w:bidi="ar-SA"/>
    </w:rPr>
  </w:style>
  <w:style w:type="paragraph" w:customStyle="1" w:styleId="Bodytext30">
    <w:name w:val="Body text|3"/>
    <w:basedOn w:val="Normal"/>
    <w:link w:val="Bodytext3"/>
    <w:uiPriority w:val="99"/>
    <w:rsid w:val="00D34BC3"/>
    <w:pPr>
      <w:spacing w:line="360" w:lineRule="auto"/>
      <w:jc w:val="center"/>
    </w:pPr>
    <w:rPr>
      <w:rFonts w:ascii="SimSun" w:hAnsi="SimSun" w:cs="Times New Roman"/>
      <w:kern w:val="0"/>
      <w:sz w:val="17"/>
      <w:szCs w:val="17"/>
      <w:lang w:val="zh-TW" w:eastAsia="zh-TW"/>
    </w:rPr>
  </w:style>
</w:styles>
</file>

<file path=word/webSettings.xml><?xml version="1.0" encoding="utf-8"?>
<w:webSettings xmlns:r="http://schemas.openxmlformats.org/officeDocument/2006/relationships" xmlns:w="http://schemas.openxmlformats.org/wordprocessingml/2006/main">
  <w:divs>
    <w:div w:id="1872570919">
      <w:marLeft w:val="0"/>
      <w:marRight w:val="0"/>
      <w:marTop w:val="0"/>
      <w:marBottom w:val="0"/>
      <w:divBdr>
        <w:top w:val="none" w:sz="0" w:space="0" w:color="auto"/>
        <w:left w:val="none" w:sz="0" w:space="0" w:color="auto"/>
        <w:bottom w:val="none" w:sz="0" w:space="0" w:color="auto"/>
        <w:right w:val="none" w:sz="0" w:space="0" w:color="auto"/>
      </w:divBdr>
    </w:div>
    <w:div w:id="1872570920">
      <w:marLeft w:val="0"/>
      <w:marRight w:val="0"/>
      <w:marTop w:val="0"/>
      <w:marBottom w:val="0"/>
      <w:divBdr>
        <w:top w:val="none" w:sz="0" w:space="0" w:color="auto"/>
        <w:left w:val="none" w:sz="0" w:space="0" w:color="auto"/>
        <w:bottom w:val="none" w:sz="0" w:space="0" w:color="auto"/>
        <w:right w:val="none" w:sz="0" w:space="0" w:color="auto"/>
      </w:divBdr>
    </w:div>
    <w:div w:id="1872570921">
      <w:marLeft w:val="0"/>
      <w:marRight w:val="0"/>
      <w:marTop w:val="0"/>
      <w:marBottom w:val="0"/>
      <w:divBdr>
        <w:top w:val="none" w:sz="0" w:space="0" w:color="auto"/>
        <w:left w:val="none" w:sz="0" w:space="0" w:color="auto"/>
        <w:bottom w:val="none" w:sz="0" w:space="0" w:color="auto"/>
        <w:right w:val="none" w:sz="0" w:space="0" w:color="auto"/>
      </w:divBdr>
    </w:div>
    <w:div w:id="1872570922">
      <w:marLeft w:val="0"/>
      <w:marRight w:val="0"/>
      <w:marTop w:val="0"/>
      <w:marBottom w:val="0"/>
      <w:divBdr>
        <w:top w:val="none" w:sz="0" w:space="0" w:color="auto"/>
        <w:left w:val="none" w:sz="0" w:space="0" w:color="auto"/>
        <w:bottom w:val="none" w:sz="0" w:space="0" w:color="auto"/>
        <w:right w:val="none" w:sz="0" w:space="0" w:color="auto"/>
      </w:divBdr>
    </w:div>
    <w:div w:id="1872570923">
      <w:marLeft w:val="0"/>
      <w:marRight w:val="0"/>
      <w:marTop w:val="0"/>
      <w:marBottom w:val="0"/>
      <w:divBdr>
        <w:top w:val="none" w:sz="0" w:space="0" w:color="auto"/>
        <w:left w:val="none" w:sz="0" w:space="0" w:color="auto"/>
        <w:bottom w:val="none" w:sz="0" w:space="0" w:color="auto"/>
        <w:right w:val="none" w:sz="0" w:space="0" w:color="auto"/>
      </w:divBdr>
    </w:div>
    <w:div w:id="18725709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aidu.com/s?wd=%E8%B4%A2%E4%BA%A7%E5%AE%89%E5%85%A8&amp;tn=44039180_cpr&amp;fenlei=mv6quAkxTZn0IZRqIHckPjm4nH00T1YvPyRdPADYuWmLmy79nyfz0ZwV5Hcvrjm3rH6sPfKWUMw85HfYnjn4nH6sgvPsT6KdThsqpZwYTjCEQLGCpyw9Uz4Bmy-bIi4WUvYETgN-TLwGUv3EnWD1rj0vn1n4rH03nHb4PHb3r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524</TotalTime>
  <Pages>5</Pages>
  <Words>513</Words>
  <Characters>2929</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编制说明</dc:title>
  <dc:subject/>
  <dc:creator>Administrator</dc:creator>
  <cp:keywords/>
  <dc:description/>
  <cp:lastModifiedBy>lenovo</cp:lastModifiedBy>
  <cp:revision>13</cp:revision>
  <dcterms:created xsi:type="dcterms:W3CDTF">2022-11-21T12:45:00Z</dcterms:created>
  <dcterms:modified xsi:type="dcterms:W3CDTF">2023-02-26T02:15:00Z</dcterms:modified>
</cp:coreProperties>
</file>