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AF" w:rsidRDefault="00663AAF" w:rsidP="00663AAF">
      <w:pPr>
        <w:spacing w:line="531" w:lineRule="exact"/>
        <w:ind w:left="262"/>
        <w:jc w:val="center"/>
        <w:rPr>
          <w:rFonts w:hAnsi="Calibri"/>
          <w:color w:val="000000"/>
          <w:sz w:val="52"/>
        </w:rPr>
      </w:pPr>
      <w:r>
        <w:rPr>
          <w:rFonts w:ascii="黑体" w:hAnsi="黑体" w:cs="黑体" w:hint="eastAsia"/>
          <w:color w:val="000000"/>
          <w:sz w:val="52"/>
        </w:rPr>
        <w:t>贵州省</w:t>
      </w:r>
      <w:r>
        <w:rPr>
          <w:rFonts w:ascii="黑体" w:hAnsi="黑体" w:cs="黑体"/>
          <w:color w:val="000000"/>
          <w:sz w:val="52"/>
        </w:rPr>
        <w:t>地方计量技术规范</w:t>
      </w:r>
    </w:p>
    <w:p w:rsidR="00663AAF" w:rsidRDefault="00663AAF" w:rsidP="00663AAF">
      <w:pPr>
        <w:spacing w:before="405" w:line="531" w:lineRule="exact"/>
        <w:jc w:val="center"/>
        <w:rPr>
          <w:rFonts w:hAnsi="Calibri"/>
          <w:color w:val="000000"/>
          <w:sz w:val="52"/>
        </w:rPr>
      </w:pPr>
      <w:r>
        <w:rPr>
          <w:rFonts w:ascii="黑体" w:hAnsi="黑体" w:cs="黑体"/>
          <w:color w:val="000000"/>
          <w:sz w:val="52"/>
        </w:rPr>
        <w:t>《等电位测试仪校准规范》</w:t>
      </w:r>
    </w:p>
    <w:p w:rsidR="00663AAF" w:rsidRDefault="00663AAF" w:rsidP="00663AAF">
      <w:pPr>
        <w:spacing w:before="405" w:line="531" w:lineRule="exact"/>
        <w:jc w:val="center"/>
        <w:rPr>
          <w:rFonts w:hAnsi="Calibri"/>
          <w:color w:val="000000"/>
          <w:sz w:val="52"/>
        </w:rPr>
      </w:pPr>
      <w:r>
        <w:rPr>
          <w:rFonts w:ascii="黑体" w:hAnsi="黑体" w:cs="黑体"/>
          <w:color w:val="000000"/>
          <w:sz w:val="52"/>
        </w:rPr>
        <w:t>编制说明</w:t>
      </w:r>
    </w:p>
    <w:p w:rsidR="00663AAF" w:rsidRDefault="00663AAF" w:rsidP="00663AAF">
      <w:pPr>
        <w:spacing w:before="8249" w:line="449" w:lineRule="exact"/>
        <w:jc w:val="center"/>
        <w:rPr>
          <w:rFonts w:hAnsi="Calibri"/>
          <w:color w:val="000000"/>
          <w:sz w:val="44"/>
        </w:rPr>
      </w:pPr>
      <w:r>
        <w:rPr>
          <w:rFonts w:ascii="黑体" w:hAnsi="黑体" w:cs="黑体"/>
          <w:color w:val="000000"/>
          <w:sz w:val="44"/>
        </w:rPr>
        <w:t>校准规范起草组</w:t>
      </w:r>
    </w:p>
    <w:p w:rsidR="00852F99" w:rsidRDefault="00663AAF" w:rsidP="00663AAF">
      <w:pPr>
        <w:jc w:val="center"/>
        <w:rPr>
          <w:rFonts w:hAnsi="Calibri"/>
          <w:color w:val="000000"/>
          <w:sz w:val="44"/>
        </w:rPr>
      </w:pPr>
      <w:r>
        <w:rPr>
          <w:rFonts w:ascii="黑体" w:hAnsi="Calibri"/>
          <w:color w:val="000000"/>
          <w:sz w:val="44"/>
        </w:rPr>
        <w:t>202</w:t>
      </w:r>
      <w:r>
        <w:rPr>
          <w:rFonts w:ascii="黑体" w:hAnsi="Calibri" w:hint="eastAsia"/>
          <w:color w:val="000000"/>
          <w:sz w:val="44"/>
        </w:rPr>
        <w:t>3</w:t>
      </w:r>
      <w:r>
        <w:rPr>
          <w:rFonts w:ascii="黑体" w:hAnsi="黑体" w:cs="黑体"/>
          <w:color w:val="000000"/>
          <w:sz w:val="44"/>
        </w:rPr>
        <w:t>年</w:t>
      </w:r>
      <w:r>
        <w:rPr>
          <w:rFonts w:hAnsi="Calibri" w:hint="eastAsia"/>
          <w:color w:val="000000"/>
          <w:sz w:val="44"/>
        </w:rPr>
        <w:t>4</w:t>
      </w:r>
      <w:r>
        <w:rPr>
          <w:rFonts w:hAnsi="Calibri" w:hint="eastAsia"/>
          <w:color w:val="000000"/>
          <w:sz w:val="44"/>
        </w:rPr>
        <w:t>月</w:t>
      </w:r>
    </w:p>
    <w:p w:rsidR="00663AAF" w:rsidRDefault="00663AAF" w:rsidP="00663AAF">
      <w:pPr>
        <w:jc w:val="center"/>
        <w:rPr>
          <w:rFonts w:hAnsi="Calibri"/>
          <w:color w:val="000000"/>
          <w:sz w:val="44"/>
        </w:rPr>
      </w:pPr>
    </w:p>
    <w:p w:rsidR="00663AAF" w:rsidRDefault="00663AAF" w:rsidP="00663AAF">
      <w:pPr>
        <w:jc w:val="center"/>
        <w:rPr>
          <w:rFonts w:hAnsi="Calibri"/>
          <w:color w:val="000000"/>
          <w:sz w:val="44"/>
        </w:rPr>
      </w:pPr>
    </w:p>
    <w:p w:rsidR="00663AAF" w:rsidRDefault="00663AAF" w:rsidP="00663AAF">
      <w:pPr>
        <w:jc w:val="center"/>
        <w:rPr>
          <w:rFonts w:hAnsi="Calibri"/>
          <w:color w:val="000000"/>
          <w:sz w:val="44"/>
        </w:rPr>
      </w:pPr>
    </w:p>
    <w:p w:rsidR="00663AAF" w:rsidRDefault="00663AAF" w:rsidP="00663AAF">
      <w:pPr>
        <w:widowControl/>
        <w:numPr>
          <w:ilvl w:val="0"/>
          <w:numId w:val="1"/>
        </w:numPr>
        <w:spacing w:before="249" w:line="291" w:lineRule="exact"/>
        <w:jc w:val="left"/>
        <w:rPr>
          <w:rFonts w:ascii="黑体" w:hAnsi="黑体" w:cs="黑体"/>
          <w:color w:val="000000"/>
          <w:sz w:val="28"/>
        </w:rPr>
      </w:pPr>
      <w:r>
        <w:rPr>
          <w:rFonts w:ascii="黑体" w:hAnsi="黑体" w:cs="黑体"/>
          <w:color w:val="000000"/>
          <w:sz w:val="28"/>
        </w:rPr>
        <w:lastRenderedPageBreak/>
        <w:t>任务来源</w:t>
      </w:r>
    </w:p>
    <w:p w:rsidR="00663AAF" w:rsidRDefault="00663AAF" w:rsidP="00663AAF">
      <w:pPr>
        <w:ind w:firstLine="570"/>
        <w:jc w:val="left"/>
        <w:rPr>
          <w:rFonts w:ascii="宋体" w:hAnsi="宋体" w:cs="宋体"/>
          <w:color w:val="000000"/>
          <w:spacing w:val="-1"/>
          <w:sz w:val="28"/>
        </w:rPr>
      </w:pPr>
      <w:r w:rsidRPr="00384AF2">
        <w:rPr>
          <w:rFonts w:ascii="宋体" w:hAnsi="宋体" w:cs="宋体" w:hint="eastAsia"/>
          <w:color w:val="000000"/>
          <w:spacing w:val="-1"/>
          <w:kern w:val="0"/>
          <w:sz w:val="28"/>
        </w:rPr>
        <w:t>2022年11月4日，省市场监管局组织省标准化院、省计量测试院、黔南州检验检测院、贵州医科大学、遵义市产品质量检验检测院、黔西南州检验检测中心等单位的7名专家，对《等电位测试仪校准规范》进行立项审查，规范申请起草单位贵州省计量测试院所对项目情况进行了陈述。经专家组审查认为：</w:t>
      </w:r>
      <w:proofErr w:type="gramStart"/>
      <w:r w:rsidRPr="00384AF2">
        <w:rPr>
          <w:rFonts w:ascii="宋体" w:hAnsi="宋体" w:cs="宋体" w:hint="eastAsia"/>
          <w:color w:val="000000"/>
          <w:spacing w:val="-1"/>
          <w:kern w:val="0"/>
          <w:sz w:val="28"/>
        </w:rPr>
        <w:t>国家无等电位</w:t>
      </w:r>
      <w:proofErr w:type="gramEnd"/>
      <w:r w:rsidRPr="00384AF2">
        <w:rPr>
          <w:rFonts w:ascii="宋体" w:hAnsi="宋体" w:cs="宋体" w:hint="eastAsia"/>
          <w:color w:val="000000"/>
          <w:spacing w:val="-1"/>
          <w:kern w:val="0"/>
          <w:sz w:val="28"/>
        </w:rPr>
        <w:t>测试</w:t>
      </w:r>
      <w:proofErr w:type="gramStart"/>
      <w:r w:rsidRPr="00384AF2">
        <w:rPr>
          <w:rFonts w:ascii="宋体" w:hAnsi="宋体" w:cs="宋体" w:hint="eastAsia"/>
          <w:color w:val="000000"/>
          <w:spacing w:val="-1"/>
          <w:kern w:val="0"/>
          <w:sz w:val="28"/>
        </w:rPr>
        <w:t>仪相关</w:t>
      </w:r>
      <w:proofErr w:type="gramEnd"/>
      <w:r w:rsidRPr="00384AF2">
        <w:rPr>
          <w:rFonts w:ascii="宋体" w:hAnsi="宋体" w:cs="宋体" w:hint="eastAsia"/>
          <w:color w:val="000000"/>
          <w:spacing w:val="-1"/>
          <w:kern w:val="0"/>
          <w:sz w:val="28"/>
        </w:rPr>
        <w:t>规程规范，也没有制修订计划，我省防雷检测公司、电力安全部门已广泛使用等电位测试仪，制定该计量规范确有必要，规范形成后有效指导全省等电位测试仪的检校准工作，确保仪器计量性能符合相关要求。专家组一致同意《等电位测试仪校准规范》的立项申请</w:t>
      </w:r>
      <w:r>
        <w:rPr>
          <w:rFonts w:ascii="宋体" w:hAnsi="宋体" w:cs="宋体" w:hint="eastAsia"/>
          <w:color w:val="000000"/>
          <w:spacing w:val="-1"/>
          <w:kern w:val="0"/>
          <w:sz w:val="28"/>
        </w:rPr>
        <w:t>，</w:t>
      </w:r>
      <w:r w:rsidRPr="00384AF2">
        <w:rPr>
          <w:rFonts w:ascii="宋体" w:hAnsi="宋体" w:cs="宋体"/>
          <w:color w:val="000000"/>
          <w:spacing w:val="-1"/>
          <w:sz w:val="28"/>
        </w:rPr>
        <w:t>该校准规范由陕西省计量科学研究院负责起草</w:t>
      </w:r>
      <w:r>
        <w:rPr>
          <w:rFonts w:ascii="宋体" w:hAnsi="宋体" w:cs="宋体" w:hint="eastAsia"/>
          <w:color w:val="000000"/>
          <w:spacing w:val="-1"/>
          <w:sz w:val="28"/>
        </w:rPr>
        <w:t>。</w:t>
      </w:r>
    </w:p>
    <w:p w:rsidR="00663AAF" w:rsidRDefault="00663AAF" w:rsidP="00663AAF">
      <w:pPr>
        <w:ind w:firstLine="570"/>
        <w:jc w:val="left"/>
        <w:rPr>
          <w:rFonts w:hAnsi="Calibri"/>
          <w:color w:val="000000"/>
          <w:sz w:val="28"/>
        </w:rPr>
      </w:pPr>
      <w:r>
        <w:rPr>
          <w:rFonts w:ascii="黑体" w:hAnsi="黑体" w:cs="黑体"/>
          <w:color w:val="000000"/>
          <w:sz w:val="28"/>
        </w:rPr>
        <w:t>二、调研情况</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等电位测试仪是检测建筑物中防护金属构件之间等电位联结质量的专用仪表，主要用于测量建筑物中的金属构件之间的等电位连接电阻，也可以用来测量各种电气设备与地网地极间的连接导体的电阻，还可以用来测量开关、插座触点的接触电阻和其他低电阻，是一种重要的防雷检测仪器，广泛应用于建筑质检站、监理公司、建筑施工单位、防雷公司、电力部门等。随着建筑物防雷设计规范的推广，防雷检测工作越来越受到重视，等电位测试仪得到了广泛的应用，在防雷检测工作中可以及时发现和排除一些安全隐患，避免不必要的人员和经济损失。如何对等电位测试仪进行校准，现在尚无相应的国家检定规程或校准规范。为此，需要对等电位测试仪的校准工作更加规范化科学化，以保证等电位测试仪测试结果的准确性。</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lastRenderedPageBreak/>
        <w:t>三、规范制定过程</w:t>
      </w:r>
    </w:p>
    <w:p w:rsid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在本规范的制定过程中，以国家计量技术法规、国家标准、国内外相关文献、大量实验数据为技术依据，本着科学合理、易于操作、切实可行的原则，严格依照 JJF 1071-2010《国家计量校准规范编写规则》规定编制。按照技术文献、法规文件的要求，起草小组组织对生产制造企业和使用单位调研交流，补充和完善相关试验和研究，完成等电位测试仪校准规范的征求意见稿。经征求省/市计量技术机构、使用单位、生产厂家有关专家的意见建议，对征求意见进行了认真研究讨论，并对征求意见稿进行修改，形成报审稿。</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经省局评审专家组对报审稿进行审定，以专家组意见为依据，对报审稿进行修改，形成报批稿。</w:t>
      </w:r>
    </w:p>
    <w:p w:rsidR="00663AAF" w:rsidRDefault="00663AAF" w:rsidP="00663AAF">
      <w:pPr>
        <w:spacing w:before="249" w:line="291" w:lineRule="exact"/>
        <w:ind w:left="559"/>
        <w:rPr>
          <w:rFonts w:hAnsi="Calibri"/>
          <w:color w:val="000000"/>
          <w:sz w:val="28"/>
        </w:rPr>
      </w:pPr>
      <w:r>
        <w:rPr>
          <w:rFonts w:ascii="黑体" w:hAnsi="黑体" w:cs="黑体"/>
          <w:color w:val="000000"/>
          <w:sz w:val="28"/>
        </w:rPr>
        <w:t>四．内容说明</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1. 规范名称</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《等电位测试仪校准规范》</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2．适用范围</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本规范适用于电阻测量范围为0.001Ω～</w:t>
      </w:r>
      <w:r w:rsidR="005340AE">
        <w:rPr>
          <w:rFonts w:ascii="宋体" w:hAnsi="宋体" w:cs="宋体" w:hint="eastAsia"/>
          <w:color w:val="000000"/>
          <w:spacing w:val="-1"/>
          <w:kern w:val="0"/>
          <w:sz w:val="28"/>
        </w:rPr>
        <w:t>3</w:t>
      </w:r>
      <w:r w:rsidRPr="00663AAF">
        <w:rPr>
          <w:rFonts w:ascii="宋体" w:hAnsi="宋体" w:cs="宋体"/>
          <w:color w:val="000000"/>
          <w:spacing w:val="-1"/>
          <w:kern w:val="0"/>
          <w:sz w:val="28"/>
        </w:rPr>
        <w:t>0kΩ的等电位测试仪的校准。</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本规范也适用于直流电压测量范围为0.01V～1000V和（或）交流电压测量范围为0.01V～750V的等电位测试仪（以下简称测试仪）的校准。过渡电阻测试仪可参照本规范进行校准。</w:t>
      </w:r>
    </w:p>
    <w:p w:rsidR="00663AAF" w:rsidRDefault="00663AAF" w:rsidP="00663AAF">
      <w:pPr>
        <w:spacing w:before="249" w:line="291" w:lineRule="exact"/>
        <w:ind w:left="559"/>
        <w:rPr>
          <w:rFonts w:hAnsi="Calibri"/>
          <w:color w:val="000000"/>
          <w:sz w:val="28"/>
        </w:rPr>
      </w:pPr>
      <w:r>
        <w:rPr>
          <w:rFonts w:ascii="宋体" w:hAnsi="Calibri"/>
          <w:color w:val="000000"/>
          <w:spacing w:val="2"/>
          <w:sz w:val="28"/>
        </w:rPr>
        <w:t>3.</w:t>
      </w:r>
      <w:r>
        <w:rPr>
          <w:rFonts w:hAnsi="Calibri"/>
          <w:color w:val="000000"/>
          <w:spacing w:val="69"/>
          <w:sz w:val="28"/>
        </w:rPr>
        <w:t xml:space="preserve"> </w:t>
      </w:r>
      <w:r>
        <w:rPr>
          <w:rFonts w:ascii="宋体" w:hAnsi="宋体" w:cs="宋体"/>
          <w:color w:val="000000"/>
          <w:spacing w:val="1"/>
          <w:sz w:val="28"/>
        </w:rPr>
        <w:t>引用文献</w:t>
      </w:r>
    </w:p>
    <w:p w:rsidR="00663AAF" w:rsidRDefault="00663AAF" w:rsidP="00663AAF">
      <w:pPr>
        <w:spacing w:before="249" w:line="291" w:lineRule="exact"/>
        <w:ind w:left="559"/>
        <w:rPr>
          <w:rFonts w:hAnsi="Calibri"/>
          <w:color w:val="000000"/>
          <w:sz w:val="28"/>
        </w:rPr>
      </w:pPr>
      <w:r>
        <w:rPr>
          <w:rFonts w:ascii="宋体" w:hAnsi="Calibri"/>
          <w:color w:val="000000"/>
          <w:sz w:val="28"/>
        </w:rPr>
        <w:t>JJF</w:t>
      </w:r>
      <w:r>
        <w:rPr>
          <w:rFonts w:hAnsi="Calibri"/>
          <w:color w:val="000000"/>
          <w:spacing w:val="70"/>
          <w:sz w:val="28"/>
        </w:rPr>
        <w:t xml:space="preserve"> </w:t>
      </w:r>
      <w:r>
        <w:rPr>
          <w:rFonts w:ascii="宋体" w:hAnsi="宋体" w:cs="宋体"/>
          <w:color w:val="000000"/>
          <w:sz w:val="28"/>
        </w:rPr>
        <w:t>1071—2010</w:t>
      </w:r>
      <w:r>
        <w:rPr>
          <w:rFonts w:hAnsi="Calibri"/>
          <w:color w:val="000000"/>
          <w:spacing w:val="68"/>
          <w:sz w:val="28"/>
        </w:rPr>
        <w:t xml:space="preserve"> </w:t>
      </w:r>
      <w:r>
        <w:rPr>
          <w:rFonts w:ascii="宋体" w:hAnsi="宋体" w:cs="宋体"/>
          <w:color w:val="000000"/>
          <w:sz w:val="28"/>
        </w:rPr>
        <w:t>《国家计量校准规范编写规则》</w:t>
      </w:r>
    </w:p>
    <w:p w:rsidR="00663AAF" w:rsidRDefault="00663AAF" w:rsidP="00663AAF">
      <w:pPr>
        <w:spacing w:before="249" w:line="291" w:lineRule="exact"/>
        <w:ind w:left="559"/>
        <w:rPr>
          <w:rFonts w:hAnsi="Calibri"/>
          <w:color w:val="000000"/>
          <w:sz w:val="28"/>
        </w:rPr>
      </w:pPr>
      <w:r>
        <w:rPr>
          <w:rFonts w:ascii="宋体" w:hAnsi="Calibri"/>
          <w:color w:val="000000"/>
          <w:sz w:val="28"/>
        </w:rPr>
        <w:lastRenderedPageBreak/>
        <w:t>JJF</w:t>
      </w:r>
      <w:r>
        <w:rPr>
          <w:rFonts w:hAnsi="Calibri"/>
          <w:color w:val="000000"/>
          <w:spacing w:val="70"/>
          <w:sz w:val="28"/>
        </w:rPr>
        <w:t xml:space="preserve"> </w:t>
      </w:r>
      <w:r>
        <w:rPr>
          <w:rFonts w:ascii="宋体" w:hAnsi="宋体" w:cs="宋体"/>
          <w:color w:val="000000"/>
          <w:sz w:val="28"/>
        </w:rPr>
        <w:t>1001—2011</w:t>
      </w:r>
      <w:r>
        <w:rPr>
          <w:rFonts w:hAnsi="Calibri"/>
          <w:color w:val="000000"/>
          <w:spacing w:val="68"/>
          <w:sz w:val="28"/>
        </w:rPr>
        <w:t xml:space="preserve"> </w:t>
      </w:r>
      <w:r>
        <w:rPr>
          <w:rFonts w:ascii="宋体" w:hAnsi="宋体" w:cs="宋体"/>
          <w:color w:val="000000"/>
          <w:sz w:val="28"/>
        </w:rPr>
        <w:t>《通用计量术语及定义》</w:t>
      </w:r>
    </w:p>
    <w:p w:rsidR="00663AAF" w:rsidRDefault="00663AAF" w:rsidP="00663AAF">
      <w:pPr>
        <w:spacing w:before="249" w:line="291" w:lineRule="exact"/>
        <w:ind w:left="559"/>
        <w:rPr>
          <w:rFonts w:hAnsi="Calibri"/>
          <w:color w:val="000000"/>
          <w:sz w:val="28"/>
        </w:rPr>
      </w:pPr>
      <w:r>
        <w:rPr>
          <w:rFonts w:ascii="宋体" w:hAnsi="Calibri"/>
          <w:color w:val="000000"/>
          <w:sz w:val="28"/>
        </w:rPr>
        <w:t>JJF</w:t>
      </w:r>
      <w:r>
        <w:rPr>
          <w:rFonts w:hAnsi="Calibri"/>
          <w:color w:val="000000"/>
          <w:spacing w:val="70"/>
          <w:sz w:val="28"/>
        </w:rPr>
        <w:t xml:space="preserve"> </w:t>
      </w:r>
      <w:r>
        <w:rPr>
          <w:rFonts w:ascii="宋体" w:hAnsi="宋体" w:cs="宋体"/>
          <w:color w:val="000000"/>
          <w:sz w:val="28"/>
        </w:rPr>
        <w:t>1059.1—2012</w:t>
      </w:r>
      <w:r>
        <w:rPr>
          <w:rFonts w:hAnsi="Calibri"/>
          <w:color w:val="000000"/>
          <w:spacing w:val="71"/>
          <w:sz w:val="28"/>
        </w:rPr>
        <w:t xml:space="preserve"> </w:t>
      </w:r>
      <w:r>
        <w:rPr>
          <w:rFonts w:ascii="宋体" w:hAnsi="宋体" w:cs="宋体"/>
          <w:color w:val="000000"/>
          <w:sz w:val="28"/>
        </w:rPr>
        <w:t>《测量不确定度评定与表示》</w:t>
      </w:r>
    </w:p>
    <w:p w:rsidR="00663AAF" w:rsidRDefault="00663AAF" w:rsidP="00663AAF">
      <w:pPr>
        <w:spacing w:before="249" w:line="291" w:lineRule="exact"/>
        <w:ind w:left="559"/>
        <w:rPr>
          <w:rFonts w:hAnsi="Calibri"/>
          <w:color w:val="000000"/>
          <w:sz w:val="28"/>
        </w:rPr>
      </w:pPr>
      <w:r>
        <w:rPr>
          <w:rFonts w:ascii="宋体" w:hAnsi="Calibri"/>
          <w:color w:val="000000"/>
          <w:sz w:val="28"/>
        </w:rPr>
        <w:t>JJG</w:t>
      </w:r>
      <w:r w:rsidR="005340AE">
        <w:rPr>
          <w:rFonts w:ascii="宋体" w:hAnsi="Calibri" w:hint="eastAsia"/>
          <w:color w:val="000000"/>
          <w:sz w:val="28"/>
        </w:rPr>
        <w:t xml:space="preserve"> </w:t>
      </w:r>
      <w:r>
        <w:rPr>
          <w:rFonts w:ascii="宋体" w:hAnsi="Calibri"/>
          <w:color w:val="000000"/>
          <w:sz w:val="28"/>
        </w:rPr>
        <w:t>837-2004</w:t>
      </w:r>
      <w:r>
        <w:rPr>
          <w:rFonts w:hAnsi="Calibri"/>
          <w:color w:val="000000"/>
          <w:spacing w:val="210"/>
          <w:sz w:val="28"/>
        </w:rPr>
        <w:t xml:space="preserve"> </w:t>
      </w:r>
      <w:r>
        <w:rPr>
          <w:rFonts w:ascii="宋体" w:hAnsi="宋体" w:cs="宋体"/>
          <w:color w:val="000000"/>
          <w:sz w:val="28"/>
        </w:rPr>
        <w:t>直流低电阻表检定规程</w:t>
      </w:r>
    </w:p>
    <w:p w:rsidR="00663AAF" w:rsidRDefault="00663AAF" w:rsidP="00663AAF">
      <w:pPr>
        <w:spacing w:before="249" w:line="291" w:lineRule="exact"/>
        <w:ind w:left="559"/>
        <w:rPr>
          <w:rFonts w:hAnsi="Calibri"/>
          <w:color w:val="000000"/>
          <w:sz w:val="28"/>
        </w:rPr>
      </w:pPr>
      <w:r>
        <w:rPr>
          <w:rFonts w:ascii="宋体" w:hAnsi="Calibri"/>
          <w:color w:val="000000"/>
          <w:sz w:val="28"/>
        </w:rPr>
        <w:t>JJF</w:t>
      </w:r>
      <w:r w:rsidR="005340AE">
        <w:rPr>
          <w:rFonts w:ascii="宋体" w:hAnsi="Calibri" w:hint="eastAsia"/>
          <w:color w:val="000000"/>
          <w:sz w:val="28"/>
        </w:rPr>
        <w:t xml:space="preserve"> </w:t>
      </w:r>
      <w:r>
        <w:rPr>
          <w:rFonts w:ascii="宋体" w:hAnsi="Calibri"/>
          <w:color w:val="000000"/>
          <w:sz w:val="28"/>
        </w:rPr>
        <w:t>1587-2016</w:t>
      </w:r>
      <w:r>
        <w:rPr>
          <w:rFonts w:hAnsi="Calibri"/>
          <w:color w:val="000000"/>
          <w:spacing w:val="210"/>
          <w:sz w:val="28"/>
        </w:rPr>
        <w:t xml:space="preserve"> </w:t>
      </w:r>
      <w:r>
        <w:rPr>
          <w:rFonts w:ascii="宋体" w:hAnsi="宋体" w:cs="宋体"/>
          <w:color w:val="000000"/>
          <w:sz w:val="28"/>
        </w:rPr>
        <w:t>数字多用表校准规范</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本规范编制中，凡是注日期的引用文件，仅注日期的版本适用于本规范；凡是不注日期的引用文件，其最新版本（包括所有的修改单）适用于本规范。</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4. 计量性能</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根据等电位测试仪生产企业技术能力、产品计量性能、现有校准规范对部分计量特性的要求，对等电位测试仪的交直流电压、直流电阻的示值误差表示方式和用于校准参考的最大允差进行了要求。</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5. 标准器的选择</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 xml:space="preserve"> 根据被校等电位测试仪的最大允许误差、量值溯源传递方式以及大量的前期试验，分别确定了采用</w:t>
      </w:r>
      <w:proofErr w:type="gramStart"/>
      <w:r w:rsidRPr="00663AAF">
        <w:rPr>
          <w:rFonts w:ascii="宋体" w:hAnsi="宋体" w:cs="宋体"/>
          <w:color w:val="000000"/>
          <w:spacing w:val="-1"/>
          <w:kern w:val="0"/>
          <w:sz w:val="28"/>
        </w:rPr>
        <w:t>标准源法和</w:t>
      </w:r>
      <w:proofErr w:type="gramEnd"/>
      <w:r w:rsidRPr="00663AAF">
        <w:rPr>
          <w:rFonts w:ascii="宋体" w:hAnsi="宋体" w:cs="宋体"/>
          <w:color w:val="000000"/>
          <w:spacing w:val="-1"/>
          <w:kern w:val="0"/>
          <w:sz w:val="28"/>
        </w:rPr>
        <w:t>标准表法作为校准方法。以标准源、电阻箱或交（直）流电源、数字多用表为主的计量标准器，并对标准器的计量性能予以了规定，校准装置的扩展不确定度（</w:t>
      </w:r>
      <w:r w:rsidRPr="00663AAF">
        <w:rPr>
          <w:rFonts w:ascii="宋体" w:hAnsi="宋体" w:cs="宋体"/>
          <w:i/>
          <w:color w:val="000000"/>
          <w:spacing w:val="-1"/>
          <w:kern w:val="0"/>
          <w:sz w:val="28"/>
        </w:rPr>
        <w:t>k</w:t>
      </w:r>
      <w:r w:rsidRPr="00663AAF">
        <w:rPr>
          <w:rFonts w:ascii="宋体" w:hAnsi="宋体" w:cs="宋体"/>
          <w:color w:val="000000"/>
          <w:spacing w:val="-1"/>
          <w:kern w:val="0"/>
          <w:sz w:val="28"/>
        </w:rPr>
        <w:t>=2）应小于被校电测量仪表最大允许误差绝对值的 1/3。测量范围应完全覆盖被校电测量仪表的测量</w:t>
      </w:r>
    </w:p>
    <w:p w:rsidR="00663AAF" w:rsidRDefault="00663AAF" w:rsidP="00663AAF">
      <w:pPr>
        <w:spacing w:before="249" w:line="291" w:lineRule="exact"/>
        <w:rPr>
          <w:rFonts w:hAnsi="Calibri"/>
          <w:color w:val="000000"/>
          <w:sz w:val="28"/>
        </w:rPr>
      </w:pPr>
      <w:r>
        <w:rPr>
          <w:rFonts w:ascii="宋体" w:hAnsi="宋体" w:cs="宋体"/>
          <w:color w:val="000000"/>
          <w:sz w:val="28"/>
        </w:rPr>
        <w:t>范围。</w:t>
      </w:r>
    </w:p>
    <w:p w:rsidR="00663AAF" w:rsidRDefault="00663AAF" w:rsidP="00663AAF">
      <w:pPr>
        <w:spacing w:before="249" w:line="291" w:lineRule="exact"/>
        <w:ind w:left="559"/>
        <w:rPr>
          <w:rFonts w:hAnsi="Calibri"/>
          <w:color w:val="000000"/>
          <w:sz w:val="28"/>
        </w:rPr>
      </w:pPr>
      <w:r>
        <w:rPr>
          <w:rFonts w:ascii="宋体" w:hAnsi="宋体" w:cs="宋体"/>
          <w:color w:val="000000"/>
          <w:spacing w:val="1"/>
          <w:sz w:val="28"/>
        </w:rPr>
        <w:t>6．校准方法</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校准项目包括：直流电阻示值误差、直流电压示值误差和交流电压示值误差。校准时采用</w:t>
      </w:r>
      <w:proofErr w:type="gramStart"/>
      <w:r w:rsidRPr="00663AAF">
        <w:rPr>
          <w:rFonts w:ascii="宋体" w:hAnsi="宋体" w:cs="宋体"/>
          <w:color w:val="000000"/>
          <w:spacing w:val="-1"/>
          <w:kern w:val="0"/>
          <w:sz w:val="28"/>
        </w:rPr>
        <w:t>标准源法或</w:t>
      </w:r>
      <w:proofErr w:type="gramEnd"/>
      <w:r w:rsidRPr="00663AAF">
        <w:rPr>
          <w:rFonts w:ascii="宋体" w:hAnsi="宋体" w:cs="宋体"/>
          <w:color w:val="000000"/>
          <w:spacing w:val="-1"/>
          <w:kern w:val="0"/>
          <w:sz w:val="28"/>
        </w:rPr>
        <w:t>标准表法进行校准。</w:t>
      </w:r>
      <w:bookmarkStart w:id="0" w:name="_GoBack"/>
      <w:bookmarkEnd w:id="0"/>
      <w:r w:rsidRPr="00663AAF">
        <w:rPr>
          <w:rFonts w:ascii="宋体" w:hAnsi="宋体" w:cs="宋体"/>
          <w:color w:val="000000"/>
          <w:spacing w:val="-1"/>
          <w:kern w:val="0"/>
          <w:sz w:val="28"/>
        </w:rPr>
        <w:t>根据产品设计与性能，对等电位测试仪的各校准项目对应的计量性能和校准方法</w:t>
      </w:r>
      <w:r w:rsidRPr="00663AAF">
        <w:rPr>
          <w:rFonts w:ascii="宋体" w:hAnsi="宋体" w:cs="宋体"/>
          <w:color w:val="000000"/>
          <w:spacing w:val="-1"/>
          <w:kern w:val="0"/>
          <w:sz w:val="28"/>
        </w:rPr>
        <w:lastRenderedPageBreak/>
        <w:t>进行详细叙述，6.1 为校准项目， 6.2 为校准方法。</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7．校准结果的处理</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根据校准项目，设计了原始记录及证书数据页格式，校准数值应按照设定好的格式和要求填写原始记录（见附表 A）；并在校准后出具校准证书。当用户有特殊要求时，应按照用户要求测量内容及测量点出具校准证书，证书中应给出测量不确定度，其评定应符合 JJF 1059.1-2012《测量不确定度评定与表示》要求。</w:t>
      </w:r>
    </w:p>
    <w:p w:rsidR="00663AAF" w:rsidRPr="00663AAF" w:rsidRDefault="00663AAF" w:rsidP="00663AAF">
      <w:pPr>
        <w:ind w:firstLine="570"/>
        <w:jc w:val="left"/>
        <w:rPr>
          <w:rFonts w:ascii="宋体" w:hAnsi="宋体" w:cs="宋体"/>
          <w:color w:val="000000"/>
          <w:spacing w:val="-1"/>
          <w:kern w:val="0"/>
          <w:sz w:val="28"/>
        </w:rPr>
      </w:pPr>
      <w:r w:rsidRPr="00663AAF">
        <w:rPr>
          <w:rFonts w:ascii="宋体" w:hAnsi="宋体" w:cs="宋体"/>
          <w:color w:val="000000"/>
          <w:spacing w:val="-1"/>
          <w:kern w:val="0"/>
          <w:sz w:val="28"/>
        </w:rPr>
        <w:t xml:space="preserve">建议复校时间间隔不超过 12 </w:t>
      </w:r>
      <w:proofErr w:type="gramStart"/>
      <w:r w:rsidRPr="00663AAF">
        <w:rPr>
          <w:rFonts w:ascii="宋体" w:hAnsi="宋体" w:cs="宋体"/>
          <w:color w:val="000000"/>
          <w:spacing w:val="-1"/>
          <w:kern w:val="0"/>
          <w:sz w:val="28"/>
        </w:rPr>
        <w:t>个</w:t>
      </w:r>
      <w:proofErr w:type="gramEnd"/>
      <w:r w:rsidRPr="00663AAF">
        <w:rPr>
          <w:rFonts w:ascii="宋体" w:hAnsi="宋体" w:cs="宋体"/>
          <w:color w:val="000000"/>
          <w:spacing w:val="-1"/>
          <w:kern w:val="0"/>
          <w:sz w:val="28"/>
        </w:rPr>
        <w:t>月。由于复校时间间隔的长短是由仪器的使用情况、使用者、仪器本身质量等诸因素所决定的，因此，送</w:t>
      </w:r>
      <w:proofErr w:type="gramStart"/>
      <w:r w:rsidRPr="00663AAF">
        <w:rPr>
          <w:rFonts w:ascii="宋体" w:hAnsi="宋体" w:cs="宋体"/>
          <w:color w:val="000000"/>
          <w:spacing w:val="-1"/>
          <w:kern w:val="0"/>
          <w:sz w:val="28"/>
        </w:rPr>
        <w:t>校单位</w:t>
      </w:r>
      <w:proofErr w:type="gramEnd"/>
      <w:r w:rsidRPr="00663AAF">
        <w:rPr>
          <w:rFonts w:ascii="宋体" w:hAnsi="宋体" w:cs="宋体"/>
          <w:color w:val="000000"/>
          <w:spacing w:val="-1"/>
          <w:kern w:val="0"/>
          <w:sz w:val="28"/>
        </w:rPr>
        <w:t>可根据实际使用情况自主决定复校时间间隔。</w:t>
      </w:r>
    </w:p>
    <w:p w:rsidR="00663AAF" w:rsidRPr="00663AAF" w:rsidRDefault="00663AAF" w:rsidP="00663AAF">
      <w:pPr>
        <w:ind w:firstLine="570"/>
        <w:jc w:val="left"/>
        <w:rPr>
          <w:rFonts w:ascii="宋体" w:hAnsi="宋体" w:cs="宋体"/>
          <w:color w:val="000000"/>
          <w:spacing w:val="-1"/>
          <w:kern w:val="0"/>
          <w:sz w:val="28"/>
        </w:rPr>
      </w:pPr>
    </w:p>
    <w:p w:rsidR="00663AAF" w:rsidRPr="00663AAF" w:rsidRDefault="00663AAF" w:rsidP="00663AAF">
      <w:pPr>
        <w:ind w:firstLine="570"/>
        <w:jc w:val="left"/>
      </w:pPr>
    </w:p>
    <w:sectPr w:rsidR="00663AAF" w:rsidRPr="00663A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BB" w:rsidRDefault="00393ABB" w:rsidP="00663AAF">
      <w:r>
        <w:separator/>
      </w:r>
    </w:p>
  </w:endnote>
  <w:endnote w:type="continuationSeparator" w:id="0">
    <w:p w:rsidR="00393ABB" w:rsidRDefault="00393ABB" w:rsidP="0066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BB" w:rsidRDefault="00393ABB" w:rsidP="00663AAF">
      <w:r>
        <w:separator/>
      </w:r>
    </w:p>
  </w:footnote>
  <w:footnote w:type="continuationSeparator" w:id="0">
    <w:p w:rsidR="00393ABB" w:rsidRDefault="00393ABB" w:rsidP="00663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809F2"/>
    <w:multiLevelType w:val="hybridMultilevel"/>
    <w:tmpl w:val="BA56F38C"/>
    <w:lvl w:ilvl="0" w:tplc="068A18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AF"/>
    <w:rsid w:val="000B7C85"/>
    <w:rsid w:val="000C32FE"/>
    <w:rsid w:val="00393ABB"/>
    <w:rsid w:val="005340AE"/>
    <w:rsid w:val="00586D53"/>
    <w:rsid w:val="00663AAF"/>
    <w:rsid w:val="0085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3AAF"/>
    <w:pPr>
      <w:ind w:leftChars="2500" w:left="100"/>
    </w:pPr>
  </w:style>
  <w:style w:type="character" w:customStyle="1" w:styleId="Char">
    <w:name w:val="日期 Char"/>
    <w:basedOn w:val="a0"/>
    <w:link w:val="a3"/>
    <w:uiPriority w:val="99"/>
    <w:semiHidden/>
    <w:rsid w:val="00663AAF"/>
  </w:style>
  <w:style w:type="paragraph" w:styleId="a4">
    <w:name w:val="header"/>
    <w:basedOn w:val="a"/>
    <w:link w:val="Char0"/>
    <w:uiPriority w:val="99"/>
    <w:unhideWhenUsed/>
    <w:rsid w:val="000C32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32FE"/>
    <w:rPr>
      <w:sz w:val="18"/>
      <w:szCs w:val="18"/>
    </w:rPr>
  </w:style>
  <w:style w:type="paragraph" w:styleId="a5">
    <w:name w:val="footer"/>
    <w:basedOn w:val="a"/>
    <w:link w:val="Char1"/>
    <w:uiPriority w:val="99"/>
    <w:unhideWhenUsed/>
    <w:rsid w:val="000C32FE"/>
    <w:pPr>
      <w:tabs>
        <w:tab w:val="center" w:pos="4153"/>
        <w:tab w:val="right" w:pos="8306"/>
      </w:tabs>
      <w:snapToGrid w:val="0"/>
      <w:jc w:val="left"/>
    </w:pPr>
    <w:rPr>
      <w:sz w:val="18"/>
      <w:szCs w:val="18"/>
    </w:rPr>
  </w:style>
  <w:style w:type="character" w:customStyle="1" w:styleId="Char1">
    <w:name w:val="页脚 Char"/>
    <w:basedOn w:val="a0"/>
    <w:link w:val="a5"/>
    <w:uiPriority w:val="99"/>
    <w:rsid w:val="000C32FE"/>
    <w:rPr>
      <w:sz w:val="18"/>
      <w:szCs w:val="18"/>
    </w:rPr>
  </w:style>
  <w:style w:type="paragraph" w:styleId="a6">
    <w:name w:val="Balloon Text"/>
    <w:basedOn w:val="a"/>
    <w:link w:val="Char2"/>
    <w:uiPriority w:val="99"/>
    <w:semiHidden/>
    <w:unhideWhenUsed/>
    <w:rsid w:val="000B7C85"/>
    <w:rPr>
      <w:sz w:val="18"/>
      <w:szCs w:val="18"/>
    </w:rPr>
  </w:style>
  <w:style w:type="character" w:customStyle="1" w:styleId="Char2">
    <w:name w:val="批注框文本 Char"/>
    <w:basedOn w:val="a0"/>
    <w:link w:val="a6"/>
    <w:uiPriority w:val="99"/>
    <w:semiHidden/>
    <w:rsid w:val="000B7C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63AAF"/>
    <w:pPr>
      <w:ind w:leftChars="2500" w:left="100"/>
    </w:pPr>
  </w:style>
  <w:style w:type="character" w:customStyle="1" w:styleId="Char">
    <w:name w:val="日期 Char"/>
    <w:basedOn w:val="a0"/>
    <w:link w:val="a3"/>
    <w:uiPriority w:val="99"/>
    <w:semiHidden/>
    <w:rsid w:val="00663AAF"/>
  </w:style>
  <w:style w:type="paragraph" w:styleId="a4">
    <w:name w:val="header"/>
    <w:basedOn w:val="a"/>
    <w:link w:val="Char0"/>
    <w:uiPriority w:val="99"/>
    <w:unhideWhenUsed/>
    <w:rsid w:val="000C32F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C32FE"/>
    <w:rPr>
      <w:sz w:val="18"/>
      <w:szCs w:val="18"/>
    </w:rPr>
  </w:style>
  <w:style w:type="paragraph" w:styleId="a5">
    <w:name w:val="footer"/>
    <w:basedOn w:val="a"/>
    <w:link w:val="Char1"/>
    <w:uiPriority w:val="99"/>
    <w:unhideWhenUsed/>
    <w:rsid w:val="000C32FE"/>
    <w:pPr>
      <w:tabs>
        <w:tab w:val="center" w:pos="4153"/>
        <w:tab w:val="right" w:pos="8306"/>
      </w:tabs>
      <w:snapToGrid w:val="0"/>
      <w:jc w:val="left"/>
    </w:pPr>
    <w:rPr>
      <w:sz w:val="18"/>
      <w:szCs w:val="18"/>
    </w:rPr>
  </w:style>
  <w:style w:type="character" w:customStyle="1" w:styleId="Char1">
    <w:name w:val="页脚 Char"/>
    <w:basedOn w:val="a0"/>
    <w:link w:val="a5"/>
    <w:uiPriority w:val="99"/>
    <w:rsid w:val="000C32FE"/>
    <w:rPr>
      <w:sz w:val="18"/>
      <w:szCs w:val="18"/>
    </w:rPr>
  </w:style>
  <w:style w:type="paragraph" w:styleId="a6">
    <w:name w:val="Balloon Text"/>
    <w:basedOn w:val="a"/>
    <w:link w:val="Char2"/>
    <w:uiPriority w:val="99"/>
    <w:semiHidden/>
    <w:unhideWhenUsed/>
    <w:rsid w:val="000B7C85"/>
    <w:rPr>
      <w:sz w:val="18"/>
      <w:szCs w:val="18"/>
    </w:rPr>
  </w:style>
  <w:style w:type="character" w:customStyle="1" w:styleId="Char2">
    <w:name w:val="批注框文本 Char"/>
    <w:basedOn w:val="a0"/>
    <w:link w:val="a6"/>
    <w:uiPriority w:val="99"/>
    <w:semiHidden/>
    <w:rsid w:val="000B7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294</Words>
  <Characters>1682</Characters>
  <Application>Microsoft Office Word</Application>
  <DocSecurity>0</DocSecurity>
  <Lines>14</Lines>
  <Paragraphs>3</Paragraphs>
  <ScaleCrop>false</ScaleCrop>
  <Company>微软中国</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2023-05-10T00:31:00Z</cp:lastPrinted>
  <dcterms:created xsi:type="dcterms:W3CDTF">2023-05-10T00:28:00Z</dcterms:created>
  <dcterms:modified xsi:type="dcterms:W3CDTF">2023-05-10T00:33:00Z</dcterms:modified>
</cp:coreProperties>
</file>