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764" w:rsidRPr="00CC126D" w:rsidRDefault="002B1764" w:rsidP="002B1764">
      <w:pPr>
        <w:jc w:val="center"/>
        <w:rPr>
          <w:rFonts w:ascii="Times New Roman" w:eastAsiaTheme="minorEastAsia" w:hAnsi="Times New Roman" w:cs="Times New Roman"/>
          <w:b/>
          <w:sz w:val="44"/>
          <w:szCs w:val="44"/>
        </w:rPr>
      </w:pPr>
      <w:bookmarkStart w:id="0" w:name="OLE_LINK3"/>
      <w:bookmarkStart w:id="1" w:name="OLE_LINK4"/>
    </w:p>
    <w:p w:rsidR="002B1764" w:rsidRPr="00CC126D" w:rsidRDefault="002B1764" w:rsidP="002B1764">
      <w:pPr>
        <w:jc w:val="center"/>
        <w:rPr>
          <w:rFonts w:ascii="Times New Roman" w:eastAsiaTheme="minorEastAsia" w:hAnsi="Times New Roman" w:cs="Times New Roman"/>
          <w:b/>
          <w:sz w:val="44"/>
          <w:szCs w:val="44"/>
        </w:rPr>
      </w:pPr>
    </w:p>
    <w:p w:rsidR="002B1764" w:rsidRPr="00CC126D" w:rsidRDefault="002B1764" w:rsidP="002B1764">
      <w:pPr>
        <w:jc w:val="center"/>
        <w:rPr>
          <w:rFonts w:ascii="Times New Roman" w:eastAsiaTheme="minorEastAsia" w:hAnsi="Times New Roman" w:cs="Times New Roman"/>
          <w:b/>
          <w:sz w:val="44"/>
          <w:szCs w:val="44"/>
        </w:rPr>
      </w:pPr>
    </w:p>
    <w:p w:rsidR="002B1764" w:rsidRPr="00CC126D" w:rsidRDefault="002B1764" w:rsidP="002B1764">
      <w:pPr>
        <w:jc w:val="center"/>
        <w:rPr>
          <w:rFonts w:ascii="Times New Roman" w:eastAsiaTheme="minorEastAsia" w:hAnsi="Times New Roman" w:cs="Times New Roman"/>
          <w:b/>
          <w:sz w:val="44"/>
          <w:szCs w:val="44"/>
        </w:rPr>
      </w:pPr>
    </w:p>
    <w:p w:rsidR="002B1764" w:rsidRPr="00CC126D" w:rsidRDefault="002B1764" w:rsidP="002B1764">
      <w:pPr>
        <w:jc w:val="center"/>
        <w:rPr>
          <w:rFonts w:ascii="Times New Roman" w:eastAsiaTheme="minorEastAsia" w:hAnsi="Times New Roman" w:cs="Times New Roman"/>
          <w:b/>
          <w:sz w:val="44"/>
          <w:szCs w:val="44"/>
        </w:rPr>
      </w:pPr>
    </w:p>
    <w:p w:rsidR="002B1764" w:rsidRPr="00CC126D" w:rsidRDefault="002B1764" w:rsidP="002B1764">
      <w:pPr>
        <w:jc w:val="center"/>
        <w:rPr>
          <w:rFonts w:ascii="Times New Roman" w:eastAsiaTheme="minorEastAsia" w:hAnsi="Times New Roman" w:cs="Times New Roman"/>
          <w:b/>
          <w:sz w:val="44"/>
          <w:szCs w:val="44"/>
        </w:rPr>
      </w:pPr>
    </w:p>
    <w:p w:rsidR="002B1764" w:rsidRPr="00CC126D" w:rsidRDefault="003E7C87" w:rsidP="002B1764">
      <w:pPr>
        <w:jc w:val="center"/>
        <w:rPr>
          <w:rFonts w:ascii="Times New Roman" w:eastAsiaTheme="minorEastAsia" w:hAnsi="Times New Roman" w:cs="Times New Roman"/>
          <w:b/>
          <w:sz w:val="44"/>
          <w:szCs w:val="44"/>
        </w:rPr>
      </w:pPr>
      <w:r w:rsidRPr="00CC126D">
        <w:rPr>
          <w:rFonts w:ascii="Times New Roman" w:eastAsiaTheme="minorEastAsia" w:hAnsiTheme="minorEastAsia" w:cs="Times New Roman"/>
          <w:b/>
          <w:sz w:val="44"/>
          <w:szCs w:val="44"/>
        </w:rPr>
        <w:t>总磷总氮分析</w:t>
      </w:r>
      <w:r w:rsidR="00DE69A3" w:rsidRPr="00CC126D">
        <w:rPr>
          <w:rFonts w:ascii="Times New Roman" w:eastAsiaTheme="minorEastAsia" w:hAnsiTheme="minorEastAsia" w:cs="Times New Roman"/>
          <w:b/>
          <w:sz w:val="44"/>
          <w:szCs w:val="44"/>
        </w:rPr>
        <w:t>仪</w:t>
      </w:r>
      <w:r w:rsidR="002B1764" w:rsidRPr="00CC126D">
        <w:rPr>
          <w:rFonts w:ascii="Times New Roman" w:eastAsiaTheme="minorEastAsia" w:hAnsiTheme="minorEastAsia" w:cs="Times New Roman"/>
          <w:b/>
          <w:sz w:val="44"/>
          <w:szCs w:val="44"/>
        </w:rPr>
        <w:t>校准规范</w:t>
      </w:r>
    </w:p>
    <w:p w:rsidR="002B1764" w:rsidRPr="00CC126D" w:rsidRDefault="002B1764" w:rsidP="002B1764">
      <w:pPr>
        <w:jc w:val="center"/>
        <w:rPr>
          <w:rFonts w:ascii="Times New Roman" w:eastAsiaTheme="minorEastAsia" w:hAnsi="Times New Roman" w:cs="Times New Roman"/>
          <w:b/>
          <w:sz w:val="44"/>
          <w:szCs w:val="44"/>
        </w:rPr>
      </w:pPr>
      <w:r w:rsidRPr="00CC126D">
        <w:rPr>
          <w:rFonts w:ascii="Times New Roman" w:eastAsiaTheme="minorEastAsia" w:hAnsiTheme="minorEastAsia" w:cs="Times New Roman"/>
          <w:b/>
          <w:sz w:val="44"/>
          <w:szCs w:val="44"/>
        </w:rPr>
        <w:t>编制说明</w:t>
      </w:r>
    </w:p>
    <w:p w:rsidR="002B1764" w:rsidRPr="00CC126D" w:rsidRDefault="002B1764" w:rsidP="002B1764">
      <w:pPr>
        <w:jc w:val="center"/>
        <w:rPr>
          <w:rFonts w:ascii="Times New Roman" w:eastAsiaTheme="minorEastAsia" w:hAnsi="Times New Roman" w:cs="Times New Roman"/>
          <w:b/>
          <w:sz w:val="44"/>
          <w:szCs w:val="44"/>
        </w:rPr>
      </w:pPr>
    </w:p>
    <w:p w:rsidR="002B1764" w:rsidRPr="00CC126D" w:rsidRDefault="002B1764" w:rsidP="002B1764">
      <w:pPr>
        <w:jc w:val="center"/>
        <w:rPr>
          <w:rFonts w:ascii="Times New Roman" w:eastAsiaTheme="minorEastAsia" w:hAnsi="Times New Roman" w:cs="Times New Roman"/>
          <w:b/>
          <w:sz w:val="44"/>
          <w:szCs w:val="44"/>
        </w:rPr>
      </w:pPr>
    </w:p>
    <w:p w:rsidR="002B1764" w:rsidRPr="00CC126D" w:rsidRDefault="002B1764" w:rsidP="002B1764">
      <w:pPr>
        <w:jc w:val="center"/>
        <w:rPr>
          <w:rFonts w:ascii="Times New Roman" w:eastAsiaTheme="minorEastAsia" w:hAnsi="Times New Roman" w:cs="Times New Roman"/>
          <w:b/>
          <w:sz w:val="44"/>
          <w:szCs w:val="44"/>
        </w:rPr>
      </w:pPr>
    </w:p>
    <w:p w:rsidR="002B1764" w:rsidRPr="00CC126D" w:rsidRDefault="002B1764" w:rsidP="002B1764">
      <w:pPr>
        <w:jc w:val="center"/>
        <w:rPr>
          <w:rFonts w:ascii="Times New Roman" w:eastAsiaTheme="minorEastAsia" w:hAnsi="Times New Roman" w:cs="Times New Roman"/>
          <w:b/>
          <w:sz w:val="44"/>
          <w:szCs w:val="44"/>
        </w:rPr>
      </w:pPr>
    </w:p>
    <w:p w:rsidR="002B1764" w:rsidRPr="00CC126D" w:rsidRDefault="002B1764" w:rsidP="002B1764">
      <w:pPr>
        <w:jc w:val="center"/>
        <w:rPr>
          <w:rFonts w:ascii="Times New Roman" w:eastAsiaTheme="minorEastAsia" w:hAnsi="Times New Roman" w:cs="Times New Roman"/>
          <w:b/>
          <w:sz w:val="44"/>
          <w:szCs w:val="44"/>
        </w:rPr>
      </w:pPr>
    </w:p>
    <w:p w:rsidR="002B1764" w:rsidRPr="00CC126D" w:rsidRDefault="002B1764" w:rsidP="002B1764">
      <w:pPr>
        <w:jc w:val="center"/>
        <w:rPr>
          <w:rFonts w:ascii="Times New Roman" w:eastAsiaTheme="minorEastAsia" w:hAnsi="Times New Roman" w:cs="Times New Roman"/>
          <w:b/>
          <w:sz w:val="44"/>
          <w:szCs w:val="44"/>
        </w:rPr>
      </w:pPr>
    </w:p>
    <w:p w:rsidR="002B1764" w:rsidRPr="00CC126D" w:rsidRDefault="002B1764" w:rsidP="002B1764">
      <w:pPr>
        <w:jc w:val="center"/>
        <w:rPr>
          <w:rFonts w:ascii="Times New Roman" w:eastAsiaTheme="minorEastAsia" w:hAnsi="Times New Roman" w:cs="Times New Roman"/>
          <w:b/>
          <w:sz w:val="44"/>
          <w:szCs w:val="44"/>
        </w:rPr>
      </w:pPr>
    </w:p>
    <w:p w:rsidR="002B1764" w:rsidRPr="00CC126D" w:rsidRDefault="002B1764" w:rsidP="002B1764">
      <w:pPr>
        <w:jc w:val="center"/>
        <w:rPr>
          <w:rFonts w:ascii="Times New Roman" w:eastAsiaTheme="minorEastAsia" w:hAnsi="Times New Roman" w:cs="Times New Roman"/>
          <w:b/>
          <w:sz w:val="44"/>
          <w:szCs w:val="44"/>
        </w:rPr>
      </w:pPr>
    </w:p>
    <w:p w:rsidR="002B1764" w:rsidRPr="00CC126D" w:rsidRDefault="002B1764" w:rsidP="002B1764">
      <w:pPr>
        <w:jc w:val="center"/>
        <w:rPr>
          <w:rFonts w:ascii="Times New Roman" w:eastAsiaTheme="minorEastAsia" w:hAnsi="Times New Roman" w:cs="Times New Roman"/>
          <w:b/>
          <w:sz w:val="44"/>
          <w:szCs w:val="44"/>
        </w:rPr>
      </w:pPr>
    </w:p>
    <w:p w:rsidR="002B1764" w:rsidRPr="00CC126D" w:rsidRDefault="002B1764" w:rsidP="002B1764">
      <w:pPr>
        <w:jc w:val="center"/>
        <w:rPr>
          <w:rFonts w:ascii="Times New Roman" w:eastAsiaTheme="minorEastAsia" w:hAnsi="Times New Roman" w:cs="Times New Roman"/>
          <w:b/>
          <w:sz w:val="44"/>
          <w:szCs w:val="44"/>
        </w:rPr>
      </w:pPr>
    </w:p>
    <w:p w:rsidR="002B1764" w:rsidRPr="00CC126D" w:rsidRDefault="002B1764" w:rsidP="002B1764">
      <w:pPr>
        <w:jc w:val="center"/>
        <w:rPr>
          <w:rFonts w:ascii="Times New Roman" w:eastAsiaTheme="minorEastAsia" w:hAnsi="Times New Roman" w:cs="Times New Roman"/>
          <w:b/>
          <w:sz w:val="44"/>
          <w:szCs w:val="44"/>
        </w:rPr>
      </w:pPr>
    </w:p>
    <w:p w:rsidR="002B1764" w:rsidRPr="00CC126D" w:rsidRDefault="002B1764" w:rsidP="002B1764">
      <w:pPr>
        <w:jc w:val="center"/>
        <w:rPr>
          <w:rFonts w:ascii="Times New Roman" w:eastAsiaTheme="minorEastAsia" w:hAnsi="Times New Roman" w:cs="Times New Roman"/>
          <w:b/>
          <w:sz w:val="44"/>
          <w:szCs w:val="44"/>
        </w:rPr>
      </w:pPr>
    </w:p>
    <w:p w:rsidR="002B1764" w:rsidRPr="00CC126D" w:rsidRDefault="002B1764" w:rsidP="002B1764">
      <w:pPr>
        <w:jc w:val="center"/>
        <w:rPr>
          <w:rFonts w:ascii="Times New Roman" w:eastAsiaTheme="minorEastAsia" w:hAnsi="Times New Roman" w:cs="Times New Roman"/>
          <w:b/>
          <w:sz w:val="28"/>
          <w:szCs w:val="28"/>
        </w:rPr>
      </w:pPr>
      <w:r w:rsidRPr="00CC126D">
        <w:rPr>
          <w:rFonts w:ascii="Times New Roman" w:eastAsiaTheme="minorEastAsia" w:hAnsi="Times New Roman" w:cs="Times New Roman"/>
          <w:b/>
          <w:sz w:val="28"/>
          <w:szCs w:val="28"/>
        </w:rPr>
        <w:t>20</w:t>
      </w:r>
      <w:r w:rsidR="00085686" w:rsidRPr="00CC126D">
        <w:rPr>
          <w:rFonts w:ascii="Times New Roman" w:eastAsiaTheme="minorEastAsia" w:hAnsi="Times New Roman" w:cs="Times New Roman"/>
          <w:b/>
          <w:sz w:val="28"/>
          <w:szCs w:val="28"/>
        </w:rPr>
        <w:t>2</w:t>
      </w:r>
      <w:r w:rsidR="00486A58">
        <w:rPr>
          <w:rFonts w:ascii="Times New Roman" w:eastAsiaTheme="minorEastAsia" w:hAnsi="Times New Roman" w:cs="Times New Roman" w:hint="eastAsia"/>
          <w:b/>
          <w:sz w:val="28"/>
          <w:szCs w:val="28"/>
        </w:rPr>
        <w:t>3</w:t>
      </w:r>
      <w:r w:rsidRPr="00CC126D">
        <w:rPr>
          <w:rFonts w:ascii="Times New Roman" w:eastAsiaTheme="minorEastAsia" w:hAnsiTheme="minorEastAsia" w:cs="Times New Roman"/>
          <w:b/>
          <w:sz w:val="28"/>
          <w:szCs w:val="28"/>
        </w:rPr>
        <w:t>年</w:t>
      </w:r>
      <w:r w:rsidR="00486A58">
        <w:rPr>
          <w:rFonts w:ascii="Times New Roman" w:eastAsiaTheme="minorEastAsia" w:hAnsi="Times New Roman" w:cs="Times New Roman" w:hint="eastAsia"/>
          <w:b/>
          <w:sz w:val="28"/>
          <w:szCs w:val="28"/>
        </w:rPr>
        <w:t>5</w:t>
      </w:r>
      <w:r w:rsidRPr="00CC126D">
        <w:rPr>
          <w:rFonts w:ascii="Times New Roman" w:eastAsiaTheme="minorEastAsia" w:hAnsiTheme="minorEastAsia" w:cs="Times New Roman"/>
          <w:b/>
          <w:sz w:val="28"/>
          <w:szCs w:val="28"/>
        </w:rPr>
        <w:t>月</w:t>
      </w:r>
    </w:p>
    <w:p w:rsidR="002B1764" w:rsidRPr="00CC126D" w:rsidRDefault="002B1764" w:rsidP="002B1764">
      <w:pPr>
        <w:jc w:val="center"/>
        <w:rPr>
          <w:rFonts w:ascii="Times New Roman" w:eastAsiaTheme="minorEastAsia" w:hAnsi="Times New Roman" w:cs="Times New Roman"/>
          <w:b/>
          <w:sz w:val="28"/>
          <w:szCs w:val="28"/>
        </w:rPr>
      </w:pPr>
      <w:r w:rsidRPr="00CC126D">
        <w:rPr>
          <w:rFonts w:ascii="Times New Roman" w:eastAsiaTheme="minorEastAsia" w:hAnsiTheme="minorEastAsia" w:cs="Times New Roman"/>
          <w:b/>
          <w:sz w:val="28"/>
          <w:szCs w:val="28"/>
        </w:rPr>
        <w:t>规范起草组</w:t>
      </w:r>
    </w:p>
    <w:p w:rsidR="00402119" w:rsidRPr="00CC126D" w:rsidRDefault="00402119">
      <w:pPr>
        <w:jc w:val="center"/>
        <w:rPr>
          <w:rFonts w:ascii="Times New Roman" w:eastAsiaTheme="minorEastAsia" w:hAnsi="Times New Roman" w:cs="Times New Roman"/>
          <w:b/>
          <w:sz w:val="32"/>
          <w:szCs w:val="32"/>
        </w:rPr>
      </w:pPr>
    </w:p>
    <w:bookmarkEnd w:id="0"/>
    <w:bookmarkEnd w:id="1"/>
    <w:p w:rsidR="00402119" w:rsidRPr="00CC126D" w:rsidRDefault="00102FFC" w:rsidP="005F6424">
      <w:pPr>
        <w:spacing w:line="720" w:lineRule="auto"/>
        <w:rPr>
          <w:rFonts w:ascii="Times New Roman" w:eastAsiaTheme="minorEastAsia" w:hAnsi="Times New Roman" w:cs="Times New Roman"/>
          <w:b/>
          <w:sz w:val="24"/>
        </w:rPr>
      </w:pPr>
      <w:r w:rsidRPr="00CC126D">
        <w:rPr>
          <w:rFonts w:ascii="Times New Roman" w:eastAsiaTheme="minorEastAsia" w:hAnsiTheme="minorEastAsia" w:cs="Times New Roman"/>
          <w:b/>
          <w:sz w:val="24"/>
        </w:rPr>
        <w:lastRenderedPageBreak/>
        <w:t>一、</w:t>
      </w:r>
      <w:r w:rsidR="00402119" w:rsidRPr="00CC126D">
        <w:rPr>
          <w:rFonts w:ascii="Times New Roman" w:eastAsiaTheme="minorEastAsia" w:hAnsiTheme="minorEastAsia" w:cs="Times New Roman"/>
          <w:b/>
          <w:sz w:val="24"/>
        </w:rPr>
        <w:t>任务来源</w:t>
      </w:r>
    </w:p>
    <w:p w:rsidR="00102FFC" w:rsidRPr="00CC126D" w:rsidRDefault="003E7C87" w:rsidP="001B7002">
      <w:pPr>
        <w:spacing w:line="360" w:lineRule="auto"/>
        <w:ind w:firstLineChars="200" w:firstLine="480"/>
        <w:rPr>
          <w:rFonts w:ascii="Times New Roman" w:eastAsiaTheme="minorEastAsia" w:hAnsi="Times New Roman" w:cs="Times New Roman"/>
          <w:sz w:val="24"/>
          <w:szCs w:val="24"/>
        </w:rPr>
      </w:pPr>
      <w:r w:rsidRPr="00CC126D">
        <w:rPr>
          <w:rFonts w:ascii="Times New Roman" w:eastAsiaTheme="minorEastAsia" w:hAnsiTheme="minorEastAsia" w:cs="Times New Roman"/>
          <w:sz w:val="24"/>
          <w:szCs w:val="24"/>
        </w:rPr>
        <w:t>依据《市场监督管理总局办公厅关于印发</w:t>
      </w:r>
      <w:r w:rsidRPr="00CC126D">
        <w:rPr>
          <w:rFonts w:ascii="Times New Roman" w:eastAsiaTheme="minorEastAsia" w:hAnsi="Times New Roman" w:cs="Times New Roman"/>
          <w:sz w:val="24"/>
          <w:szCs w:val="24"/>
        </w:rPr>
        <w:t>2022</w:t>
      </w:r>
      <w:r w:rsidRPr="00CC126D">
        <w:rPr>
          <w:rFonts w:ascii="Times New Roman" w:eastAsiaTheme="minorEastAsia" w:hAnsiTheme="minorEastAsia" w:cs="Times New Roman"/>
          <w:sz w:val="24"/>
          <w:szCs w:val="24"/>
        </w:rPr>
        <w:t>年国家计量技术规范项目制定、修订及宣贯计划有关事项的通知（市监计量发〔</w:t>
      </w:r>
      <w:r w:rsidRPr="00CC126D">
        <w:rPr>
          <w:rFonts w:ascii="Times New Roman" w:eastAsiaTheme="minorEastAsia" w:hAnsi="Times New Roman" w:cs="Times New Roman"/>
          <w:sz w:val="24"/>
          <w:szCs w:val="24"/>
        </w:rPr>
        <w:t>2022</w:t>
      </w:r>
      <w:r w:rsidRPr="00CC126D">
        <w:rPr>
          <w:rFonts w:ascii="Times New Roman" w:eastAsiaTheme="minorEastAsia" w:hAnsiTheme="minorEastAsia" w:cs="Times New Roman"/>
          <w:sz w:val="24"/>
          <w:szCs w:val="24"/>
        </w:rPr>
        <w:t>〕</w:t>
      </w:r>
      <w:r w:rsidRPr="00CC126D">
        <w:rPr>
          <w:rFonts w:ascii="Times New Roman" w:eastAsiaTheme="minorEastAsia" w:hAnsi="Times New Roman" w:cs="Times New Roman"/>
          <w:sz w:val="24"/>
          <w:szCs w:val="24"/>
        </w:rPr>
        <w:t>70</w:t>
      </w:r>
      <w:r w:rsidRPr="00CC126D">
        <w:rPr>
          <w:rFonts w:ascii="Times New Roman" w:eastAsiaTheme="minorEastAsia" w:hAnsiTheme="minorEastAsia" w:cs="Times New Roman"/>
          <w:sz w:val="24"/>
          <w:szCs w:val="24"/>
        </w:rPr>
        <w:t>号）》的要求，《总磷总氮分析仪校准规范》制订任务归口全国环境化学计量技术委员会管理，由浙江省计量科学研究院、浙江省杭州生态环境监测中心和杭州谱育科技发展有限公司共同承担制订工作，报批时间为</w:t>
      </w:r>
      <w:r w:rsidRPr="00CC126D">
        <w:rPr>
          <w:rFonts w:ascii="Times New Roman" w:eastAsiaTheme="minorEastAsia" w:hAnsi="Times New Roman" w:cs="Times New Roman"/>
          <w:sz w:val="24"/>
          <w:szCs w:val="24"/>
        </w:rPr>
        <w:t>2023</w:t>
      </w:r>
      <w:r w:rsidRPr="00CC126D">
        <w:rPr>
          <w:rFonts w:ascii="Times New Roman" w:eastAsiaTheme="minorEastAsia" w:hAnsiTheme="minorEastAsia" w:cs="Times New Roman"/>
          <w:sz w:val="24"/>
          <w:szCs w:val="24"/>
        </w:rPr>
        <w:t>年</w:t>
      </w:r>
      <w:r w:rsidRPr="00CC126D">
        <w:rPr>
          <w:rFonts w:ascii="Times New Roman" w:eastAsiaTheme="minorEastAsia" w:hAnsi="Times New Roman" w:cs="Times New Roman"/>
          <w:sz w:val="24"/>
          <w:szCs w:val="24"/>
        </w:rPr>
        <w:t>4</w:t>
      </w:r>
      <w:r w:rsidRPr="00CC126D">
        <w:rPr>
          <w:rFonts w:ascii="Times New Roman" w:eastAsiaTheme="minorEastAsia" w:hAnsiTheme="minorEastAsia" w:cs="Times New Roman"/>
          <w:sz w:val="24"/>
          <w:szCs w:val="24"/>
        </w:rPr>
        <w:t>季度。</w:t>
      </w:r>
    </w:p>
    <w:p w:rsidR="00402119" w:rsidRPr="00CC126D" w:rsidRDefault="005F6424" w:rsidP="005F6424">
      <w:pPr>
        <w:spacing w:line="720" w:lineRule="auto"/>
        <w:rPr>
          <w:rFonts w:ascii="Times New Roman" w:eastAsiaTheme="minorEastAsia" w:hAnsi="Times New Roman" w:cs="Times New Roman"/>
          <w:b/>
          <w:sz w:val="24"/>
        </w:rPr>
      </w:pPr>
      <w:r w:rsidRPr="00CC126D">
        <w:rPr>
          <w:rFonts w:ascii="Times New Roman" w:eastAsiaTheme="minorEastAsia" w:hAnsiTheme="minorEastAsia" w:cs="Times New Roman"/>
          <w:b/>
          <w:sz w:val="24"/>
        </w:rPr>
        <w:t>二、</w:t>
      </w:r>
      <w:r w:rsidR="00402119" w:rsidRPr="00CC126D">
        <w:rPr>
          <w:rFonts w:ascii="Times New Roman" w:eastAsiaTheme="minorEastAsia" w:hAnsiTheme="minorEastAsia" w:cs="Times New Roman"/>
          <w:b/>
          <w:sz w:val="24"/>
        </w:rPr>
        <w:t>规程起草目的与意义</w:t>
      </w:r>
    </w:p>
    <w:p w:rsidR="003E7C87" w:rsidRPr="00CC126D" w:rsidRDefault="003E7C87" w:rsidP="003E7C87">
      <w:pPr>
        <w:spacing w:line="360" w:lineRule="auto"/>
        <w:ind w:firstLineChars="200" w:firstLine="480"/>
        <w:rPr>
          <w:rFonts w:ascii="Times New Roman" w:eastAsiaTheme="minorEastAsia" w:hAnsi="Times New Roman" w:cs="Times New Roman"/>
          <w:sz w:val="24"/>
          <w:szCs w:val="24"/>
        </w:rPr>
      </w:pPr>
      <w:r w:rsidRPr="00CC126D">
        <w:rPr>
          <w:rFonts w:ascii="Times New Roman" w:eastAsiaTheme="minorEastAsia" w:hAnsiTheme="minorEastAsia" w:cs="Times New Roman"/>
          <w:sz w:val="24"/>
          <w:szCs w:val="24"/>
        </w:rPr>
        <w:t>总磷和总氮是反映水体富营养化的指标。总磷是指水体中磷元素的含量，主要以磷酸盐的形式存在；总氮是指水体中氮元素的含量，包括了氨氮、硝酸盐氮、亚硝酸盐氮和有机氮。水体中含有超标的氮、磷类物质时，会造成浮游植物繁殖旺盛，出现水体富营养化状态。因此，总氮和总磷是衡量水质的重要指标之一，对于总磷和总氮的准确检测是非常重要的。</w:t>
      </w:r>
    </w:p>
    <w:p w:rsidR="003E7C87" w:rsidRPr="00CC126D" w:rsidRDefault="003E7C87" w:rsidP="001B7002">
      <w:pPr>
        <w:spacing w:line="360" w:lineRule="auto"/>
        <w:ind w:firstLineChars="200" w:firstLine="480"/>
        <w:rPr>
          <w:rFonts w:ascii="Times New Roman" w:eastAsiaTheme="minorEastAsia" w:hAnsi="Times New Roman" w:cs="Times New Roman"/>
          <w:sz w:val="24"/>
          <w:szCs w:val="24"/>
        </w:rPr>
      </w:pPr>
      <w:r w:rsidRPr="00CC126D">
        <w:rPr>
          <w:rFonts w:ascii="Times New Roman" w:eastAsiaTheme="minorEastAsia" w:hAnsiTheme="minorEastAsia" w:cs="Times New Roman"/>
          <w:sz w:val="24"/>
          <w:szCs w:val="24"/>
        </w:rPr>
        <w:t>实验室内测定水质总磷、总氮的仪器主要包括台式和便携式总磷总氮分析仪</w:t>
      </w:r>
      <w:r w:rsidR="00A412E7" w:rsidRPr="00CC126D">
        <w:rPr>
          <w:rFonts w:ascii="Times New Roman" w:eastAsiaTheme="minorEastAsia" w:hAnsiTheme="minorEastAsia" w:cs="Times New Roman"/>
          <w:sz w:val="24"/>
          <w:szCs w:val="24"/>
        </w:rPr>
        <w:t>，仪器主要采用比色法对水中总磷、总氮进行检测，</w:t>
      </w:r>
      <w:r w:rsidRPr="00CC126D">
        <w:rPr>
          <w:rFonts w:ascii="Times New Roman" w:eastAsiaTheme="minorEastAsia" w:hAnsiTheme="minorEastAsia" w:cs="Times New Roman"/>
          <w:sz w:val="24"/>
          <w:szCs w:val="24"/>
        </w:rPr>
        <w:t>广泛应用于环保、第三方检测、水利、科研、市政等各行业。</w:t>
      </w:r>
    </w:p>
    <w:p w:rsidR="00D759A0" w:rsidRPr="00CC126D" w:rsidRDefault="00A412E7" w:rsidP="00881E0F">
      <w:pPr>
        <w:spacing w:line="360" w:lineRule="auto"/>
        <w:ind w:firstLineChars="200" w:firstLine="480"/>
        <w:rPr>
          <w:rFonts w:ascii="Times New Roman" w:eastAsiaTheme="minorEastAsia" w:hAnsi="Times New Roman" w:cs="Times New Roman"/>
          <w:sz w:val="24"/>
          <w:szCs w:val="24"/>
        </w:rPr>
      </w:pPr>
      <w:r w:rsidRPr="00CC126D">
        <w:rPr>
          <w:rFonts w:ascii="Times New Roman" w:eastAsiaTheme="minorEastAsia" w:hAnsiTheme="minorEastAsia" w:cs="Times New Roman"/>
          <w:sz w:val="24"/>
          <w:szCs w:val="24"/>
        </w:rPr>
        <w:t>目前国家出台的相关规程有《</w:t>
      </w:r>
      <w:r w:rsidRPr="00CC126D">
        <w:rPr>
          <w:rFonts w:ascii="Times New Roman" w:eastAsiaTheme="minorEastAsia" w:hAnsi="Times New Roman" w:cs="Times New Roman"/>
          <w:sz w:val="24"/>
          <w:szCs w:val="24"/>
        </w:rPr>
        <w:t>JJG 1094-2013</w:t>
      </w:r>
      <w:r w:rsidRPr="00CC126D">
        <w:rPr>
          <w:rFonts w:ascii="Times New Roman" w:eastAsiaTheme="minorEastAsia" w:hAnsiTheme="minorEastAsia" w:cs="Times New Roman"/>
          <w:sz w:val="24"/>
          <w:szCs w:val="24"/>
        </w:rPr>
        <w:t>总磷总氮在线分析仪》，仅适用于总磷总氮水质在线分析仪的首次检定、后续检定和使用中检查，对于国标方法检测总磷总氮中的重要环节如试剂定量、消解过程中的温度、时间等关键因素，缺少规范要求。相关标准有《</w:t>
      </w:r>
      <w:r w:rsidRPr="00CC126D">
        <w:rPr>
          <w:rFonts w:ascii="Times New Roman" w:eastAsiaTheme="minorEastAsia" w:hAnsi="Times New Roman" w:cs="Times New Roman"/>
          <w:sz w:val="24"/>
          <w:szCs w:val="24"/>
        </w:rPr>
        <w:t xml:space="preserve">HJ636-2012 </w:t>
      </w:r>
      <w:r w:rsidRPr="00CC126D">
        <w:rPr>
          <w:rFonts w:ascii="Times New Roman" w:eastAsiaTheme="minorEastAsia" w:hAnsiTheme="minorEastAsia" w:cs="Times New Roman"/>
          <w:sz w:val="24"/>
          <w:szCs w:val="24"/>
        </w:rPr>
        <w:t>水质</w:t>
      </w:r>
      <w:r w:rsidRPr="00CC126D">
        <w:rPr>
          <w:rFonts w:ascii="Times New Roman" w:eastAsiaTheme="minorEastAsia" w:hAnsi="Times New Roman" w:cs="Times New Roman"/>
          <w:sz w:val="24"/>
          <w:szCs w:val="24"/>
        </w:rPr>
        <w:t xml:space="preserve"> </w:t>
      </w:r>
      <w:r w:rsidRPr="00CC126D">
        <w:rPr>
          <w:rFonts w:ascii="Times New Roman" w:eastAsiaTheme="minorEastAsia" w:hAnsiTheme="minorEastAsia" w:cs="Times New Roman"/>
          <w:sz w:val="24"/>
          <w:szCs w:val="24"/>
        </w:rPr>
        <w:t>总氮的测定</w:t>
      </w:r>
      <w:r w:rsidRPr="00CC126D">
        <w:rPr>
          <w:rFonts w:ascii="Times New Roman" w:eastAsiaTheme="minorEastAsia" w:hAnsi="Times New Roman" w:cs="Times New Roman"/>
          <w:sz w:val="24"/>
          <w:szCs w:val="24"/>
        </w:rPr>
        <w:t xml:space="preserve"> </w:t>
      </w:r>
      <w:r w:rsidRPr="00CC126D">
        <w:rPr>
          <w:rFonts w:ascii="Times New Roman" w:eastAsiaTheme="minorEastAsia" w:hAnsiTheme="minorEastAsia" w:cs="Times New Roman"/>
          <w:sz w:val="24"/>
          <w:szCs w:val="24"/>
        </w:rPr>
        <w:t>碱性过硫酸钾消解紫外分光光度法》、《</w:t>
      </w:r>
      <w:r w:rsidRPr="00CC126D">
        <w:rPr>
          <w:rFonts w:ascii="Times New Roman" w:eastAsiaTheme="minorEastAsia" w:hAnsi="Times New Roman" w:cs="Times New Roman"/>
          <w:sz w:val="24"/>
          <w:szCs w:val="24"/>
        </w:rPr>
        <w:t>GB 11893-1989</w:t>
      </w:r>
      <w:r w:rsidRPr="00CC126D">
        <w:rPr>
          <w:rFonts w:ascii="Times New Roman" w:eastAsiaTheme="minorEastAsia" w:hAnsiTheme="minorEastAsia" w:cs="Times New Roman"/>
          <w:sz w:val="24"/>
          <w:szCs w:val="24"/>
        </w:rPr>
        <w:t>水质</w:t>
      </w:r>
      <w:r w:rsidRPr="00CC126D">
        <w:rPr>
          <w:rFonts w:ascii="Times New Roman" w:eastAsiaTheme="minorEastAsia" w:hAnsi="Times New Roman" w:cs="Times New Roman"/>
          <w:sz w:val="24"/>
          <w:szCs w:val="24"/>
        </w:rPr>
        <w:t xml:space="preserve"> </w:t>
      </w:r>
      <w:r w:rsidRPr="00CC126D">
        <w:rPr>
          <w:rFonts w:ascii="Times New Roman" w:eastAsiaTheme="minorEastAsia" w:hAnsiTheme="minorEastAsia" w:cs="Times New Roman"/>
          <w:sz w:val="24"/>
          <w:szCs w:val="24"/>
        </w:rPr>
        <w:t>总磷的测定</w:t>
      </w:r>
      <w:r w:rsidRPr="00CC126D">
        <w:rPr>
          <w:rFonts w:ascii="Times New Roman" w:eastAsiaTheme="minorEastAsia" w:hAnsi="Times New Roman" w:cs="Times New Roman"/>
          <w:sz w:val="24"/>
          <w:szCs w:val="24"/>
        </w:rPr>
        <w:t xml:space="preserve"> </w:t>
      </w:r>
      <w:r w:rsidRPr="00CC126D">
        <w:rPr>
          <w:rFonts w:ascii="Times New Roman" w:eastAsiaTheme="minorEastAsia" w:hAnsiTheme="minorEastAsia" w:cs="Times New Roman"/>
          <w:sz w:val="24"/>
          <w:szCs w:val="24"/>
        </w:rPr>
        <w:t>钼酸铵分光光度法》、《</w:t>
      </w:r>
      <w:r w:rsidRPr="00CC126D">
        <w:rPr>
          <w:rFonts w:ascii="Times New Roman" w:eastAsiaTheme="minorEastAsia" w:hAnsi="Times New Roman" w:cs="Times New Roman"/>
          <w:sz w:val="24"/>
          <w:szCs w:val="24"/>
        </w:rPr>
        <w:t>ISO 6878-2004 Water quality - Determination of phosphorus - Ammonium molybdate spectrometric method</w:t>
      </w:r>
      <w:r w:rsidRPr="00CC126D">
        <w:rPr>
          <w:rFonts w:ascii="Times New Roman" w:eastAsiaTheme="minorEastAsia" w:hAnsiTheme="minorEastAsia" w:cs="Times New Roman"/>
          <w:sz w:val="24"/>
          <w:szCs w:val="24"/>
        </w:rPr>
        <w:t>》，但均为方法标准，对于依据国标方法制造生产的总磷总氮分析仪，目前国内外尚没有相应的国家检定规程或校准规范来支撑其溯源工作。</w:t>
      </w:r>
      <w:r w:rsidR="0006208D" w:rsidRPr="00CC126D">
        <w:rPr>
          <w:rFonts w:ascii="Times New Roman" w:eastAsiaTheme="minorEastAsia" w:hAnsiTheme="minorEastAsia" w:cs="Times New Roman"/>
          <w:sz w:val="24"/>
          <w:szCs w:val="24"/>
        </w:rPr>
        <w:t>因此</w:t>
      </w:r>
      <w:r w:rsidR="006401E6" w:rsidRPr="00CC126D">
        <w:rPr>
          <w:rFonts w:ascii="Times New Roman" w:eastAsiaTheme="minorEastAsia" w:hAnsiTheme="minorEastAsia" w:cs="Times New Roman"/>
          <w:sz w:val="24"/>
          <w:szCs w:val="24"/>
        </w:rPr>
        <w:t>，制定适用于实验室</w:t>
      </w:r>
      <w:r w:rsidR="00A1364C" w:rsidRPr="00CC126D">
        <w:rPr>
          <w:rFonts w:ascii="Times New Roman" w:eastAsiaTheme="minorEastAsia" w:hAnsiTheme="minorEastAsia" w:cs="Times New Roman"/>
          <w:sz w:val="24"/>
          <w:szCs w:val="24"/>
        </w:rPr>
        <w:t>用台式和便携式</w:t>
      </w:r>
      <w:r w:rsidR="00881E0F" w:rsidRPr="00CC126D">
        <w:rPr>
          <w:rFonts w:ascii="Times New Roman" w:eastAsiaTheme="minorEastAsia" w:hAnsiTheme="minorEastAsia" w:cs="Times New Roman"/>
          <w:sz w:val="24"/>
          <w:szCs w:val="24"/>
        </w:rPr>
        <w:t>总磷总氮分析仪</w:t>
      </w:r>
      <w:r w:rsidR="00A1364C" w:rsidRPr="00CC126D">
        <w:rPr>
          <w:rFonts w:ascii="Times New Roman" w:eastAsiaTheme="minorEastAsia" w:hAnsiTheme="minorEastAsia" w:cs="Times New Roman"/>
          <w:sz w:val="24"/>
          <w:szCs w:val="24"/>
        </w:rPr>
        <w:t>的校准规范，统一</w:t>
      </w:r>
      <w:r w:rsidR="00881E0F" w:rsidRPr="00CC126D">
        <w:rPr>
          <w:rFonts w:ascii="Times New Roman" w:eastAsiaTheme="minorEastAsia" w:hAnsiTheme="minorEastAsia" w:cs="Times New Roman"/>
          <w:sz w:val="24"/>
          <w:szCs w:val="24"/>
        </w:rPr>
        <w:t>总磷总氮分析仪</w:t>
      </w:r>
      <w:r w:rsidR="00A1364C" w:rsidRPr="00CC126D">
        <w:rPr>
          <w:rFonts w:ascii="Times New Roman" w:eastAsiaTheme="minorEastAsia" w:hAnsiTheme="minorEastAsia" w:cs="Times New Roman"/>
          <w:sz w:val="24"/>
          <w:szCs w:val="24"/>
        </w:rPr>
        <w:t>的</w:t>
      </w:r>
      <w:r w:rsidR="00881E0F" w:rsidRPr="00CC126D">
        <w:rPr>
          <w:rFonts w:ascii="Times New Roman" w:eastAsiaTheme="minorEastAsia" w:hAnsiTheme="minorEastAsia" w:cs="Times New Roman"/>
          <w:sz w:val="24"/>
          <w:szCs w:val="24"/>
        </w:rPr>
        <w:t>计量</w:t>
      </w:r>
      <w:r w:rsidR="00A1364C" w:rsidRPr="00CC126D">
        <w:rPr>
          <w:rFonts w:ascii="Times New Roman" w:eastAsiaTheme="minorEastAsia" w:hAnsiTheme="minorEastAsia" w:cs="Times New Roman"/>
          <w:sz w:val="24"/>
          <w:szCs w:val="24"/>
        </w:rPr>
        <w:t>评价要求，</w:t>
      </w:r>
      <w:r w:rsidR="006401E6" w:rsidRPr="00CC126D">
        <w:rPr>
          <w:rFonts w:ascii="Times New Roman" w:eastAsiaTheme="minorEastAsia" w:hAnsiTheme="minorEastAsia" w:cs="Times New Roman"/>
          <w:sz w:val="24"/>
          <w:szCs w:val="24"/>
        </w:rPr>
        <w:t>有利于保障此类仪器的量值准确性，进一步确保水质</w:t>
      </w:r>
      <w:r w:rsidR="00881E0F" w:rsidRPr="00CC126D">
        <w:rPr>
          <w:rFonts w:ascii="Times New Roman" w:eastAsiaTheme="minorEastAsia" w:hAnsiTheme="minorEastAsia" w:cs="Times New Roman"/>
          <w:sz w:val="24"/>
          <w:szCs w:val="24"/>
        </w:rPr>
        <w:t>总磷总氮</w:t>
      </w:r>
      <w:r w:rsidR="006401E6" w:rsidRPr="00CC126D">
        <w:rPr>
          <w:rFonts w:ascii="Times New Roman" w:eastAsiaTheme="minorEastAsia" w:hAnsiTheme="minorEastAsia" w:cs="Times New Roman"/>
          <w:sz w:val="24"/>
          <w:szCs w:val="24"/>
        </w:rPr>
        <w:t>检测结果的可靠性</w:t>
      </w:r>
      <w:r w:rsidR="004B4258" w:rsidRPr="00CC126D">
        <w:rPr>
          <w:rFonts w:ascii="Times New Roman" w:eastAsiaTheme="minorEastAsia" w:hAnsiTheme="minorEastAsia" w:cs="Times New Roman"/>
          <w:sz w:val="24"/>
          <w:szCs w:val="24"/>
        </w:rPr>
        <w:t>，对水环境保护具有重要的意义</w:t>
      </w:r>
      <w:r w:rsidR="006401E6" w:rsidRPr="00CC126D">
        <w:rPr>
          <w:rFonts w:ascii="Times New Roman" w:eastAsiaTheme="minorEastAsia" w:hAnsiTheme="minorEastAsia" w:cs="Times New Roman"/>
          <w:sz w:val="24"/>
          <w:szCs w:val="24"/>
        </w:rPr>
        <w:t>。</w:t>
      </w:r>
    </w:p>
    <w:p w:rsidR="005F6424" w:rsidRPr="00CC126D" w:rsidRDefault="005F6424" w:rsidP="005F6424">
      <w:pPr>
        <w:spacing w:line="720" w:lineRule="auto"/>
        <w:rPr>
          <w:rFonts w:ascii="Times New Roman" w:eastAsiaTheme="minorEastAsia" w:hAnsi="Times New Roman" w:cs="Times New Roman"/>
          <w:b/>
          <w:sz w:val="24"/>
        </w:rPr>
      </w:pPr>
      <w:r w:rsidRPr="00CC126D">
        <w:rPr>
          <w:rFonts w:ascii="Times New Roman" w:eastAsiaTheme="minorEastAsia" w:hAnsiTheme="minorEastAsia" w:cs="Times New Roman"/>
          <w:b/>
          <w:sz w:val="24"/>
        </w:rPr>
        <w:t>三、技术依据</w:t>
      </w:r>
    </w:p>
    <w:p w:rsidR="005F6424" w:rsidRPr="00CC126D" w:rsidRDefault="005F6424" w:rsidP="001B7002">
      <w:pPr>
        <w:autoSpaceDE w:val="0"/>
        <w:autoSpaceDN w:val="0"/>
        <w:adjustRightInd w:val="0"/>
        <w:spacing w:line="360" w:lineRule="auto"/>
        <w:ind w:firstLineChars="200" w:firstLine="480"/>
        <w:jc w:val="left"/>
        <w:rPr>
          <w:rFonts w:ascii="Times New Roman" w:eastAsiaTheme="minorEastAsia" w:hAnsi="Times New Roman" w:cs="Times New Roman"/>
          <w:sz w:val="24"/>
        </w:rPr>
      </w:pPr>
      <w:r w:rsidRPr="00CC126D">
        <w:rPr>
          <w:rFonts w:ascii="Times New Roman" w:eastAsiaTheme="minorEastAsia" w:hAnsiTheme="minorEastAsia" w:cs="Times New Roman"/>
          <w:sz w:val="24"/>
        </w:rPr>
        <w:t>本规范制定以国内实际情况为出发点，体现科学性、合理性、先进性、实用</w:t>
      </w:r>
      <w:r w:rsidRPr="00CC126D">
        <w:rPr>
          <w:rFonts w:ascii="Times New Roman" w:eastAsiaTheme="minorEastAsia" w:hAnsiTheme="minorEastAsia" w:cs="Times New Roman"/>
          <w:sz w:val="24"/>
        </w:rPr>
        <w:lastRenderedPageBreak/>
        <w:t>性。努力使校准项目、技术要求及校准方法与国际建议和国家（行业）标准、技术规范相符合。</w:t>
      </w:r>
    </w:p>
    <w:p w:rsidR="005F6424" w:rsidRPr="00CC126D" w:rsidRDefault="007C25C4" w:rsidP="001B7002">
      <w:pPr>
        <w:spacing w:line="360" w:lineRule="auto"/>
        <w:ind w:firstLineChars="200" w:firstLine="480"/>
        <w:rPr>
          <w:rFonts w:ascii="Times New Roman" w:eastAsiaTheme="minorEastAsia" w:hAnsi="Times New Roman" w:cs="Times New Roman"/>
          <w:sz w:val="24"/>
        </w:rPr>
      </w:pPr>
      <w:r>
        <w:rPr>
          <w:rFonts w:ascii="Times New Roman" w:eastAsiaTheme="minorEastAsia" w:hAnsiTheme="minorEastAsia" w:cs="Times New Roman"/>
          <w:sz w:val="24"/>
        </w:rPr>
        <w:t>本规范制定主要依据</w:t>
      </w:r>
      <w:r w:rsidR="005F6424" w:rsidRPr="00CC126D">
        <w:rPr>
          <w:rFonts w:ascii="Times New Roman" w:eastAsiaTheme="minorEastAsia" w:hAnsiTheme="minorEastAsia" w:cs="Times New Roman"/>
          <w:sz w:val="24"/>
        </w:rPr>
        <w:t>参考了以下文件：</w:t>
      </w:r>
    </w:p>
    <w:p w:rsidR="00290B39" w:rsidRPr="00CC126D" w:rsidRDefault="00290B39" w:rsidP="001B7002">
      <w:pPr>
        <w:spacing w:line="360" w:lineRule="auto"/>
        <w:ind w:firstLineChars="200" w:firstLine="480"/>
        <w:rPr>
          <w:rFonts w:ascii="Times New Roman" w:eastAsiaTheme="minorEastAsia" w:hAnsi="Times New Roman" w:cs="Times New Roman"/>
          <w:sz w:val="24"/>
        </w:rPr>
      </w:pPr>
      <w:r w:rsidRPr="00CC126D">
        <w:rPr>
          <w:rFonts w:ascii="Times New Roman" w:eastAsiaTheme="minorEastAsia" w:hAnsi="Times New Roman" w:cs="Times New Roman"/>
          <w:sz w:val="24"/>
        </w:rPr>
        <w:t xml:space="preserve">JJF 1001-2011 </w:t>
      </w:r>
      <w:r w:rsidRPr="00CC126D">
        <w:rPr>
          <w:rFonts w:ascii="Times New Roman" w:eastAsiaTheme="minorEastAsia" w:hAnsiTheme="minorEastAsia" w:cs="Times New Roman"/>
          <w:sz w:val="24"/>
        </w:rPr>
        <w:t>通用计量术语及定义</w:t>
      </w:r>
    </w:p>
    <w:p w:rsidR="00290B39" w:rsidRPr="00CC126D" w:rsidRDefault="00290B39" w:rsidP="001B7002">
      <w:pPr>
        <w:spacing w:line="360" w:lineRule="auto"/>
        <w:ind w:firstLineChars="200" w:firstLine="480"/>
        <w:rPr>
          <w:rFonts w:ascii="Times New Roman" w:eastAsiaTheme="minorEastAsia" w:hAnsi="Times New Roman" w:cs="Times New Roman"/>
          <w:sz w:val="24"/>
        </w:rPr>
      </w:pPr>
      <w:r w:rsidRPr="00CC126D">
        <w:rPr>
          <w:rFonts w:ascii="Times New Roman" w:eastAsiaTheme="minorEastAsia" w:hAnsi="Times New Roman" w:cs="Times New Roman"/>
          <w:sz w:val="24"/>
        </w:rPr>
        <w:t xml:space="preserve">JJF 1059.1-2012 </w:t>
      </w:r>
      <w:r w:rsidRPr="00CC126D">
        <w:rPr>
          <w:rFonts w:ascii="Times New Roman" w:eastAsiaTheme="minorEastAsia" w:hAnsiTheme="minorEastAsia" w:cs="Times New Roman"/>
          <w:sz w:val="24"/>
        </w:rPr>
        <w:t>测量不确定度评定与表示</w:t>
      </w:r>
    </w:p>
    <w:p w:rsidR="005F6424" w:rsidRPr="00CC126D" w:rsidRDefault="005F6424" w:rsidP="001B7002">
      <w:pPr>
        <w:spacing w:line="360" w:lineRule="auto"/>
        <w:ind w:firstLineChars="200" w:firstLine="480"/>
        <w:rPr>
          <w:rFonts w:ascii="Times New Roman" w:eastAsiaTheme="minorEastAsia" w:hAnsi="Times New Roman" w:cs="Times New Roman"/>
          <w:sz w:val="24"/>
        </w:rPr>
      </w:pPr>
      <w:r w:rsidRPr="00CC126D">
        <w:rPr>
          <w:rFonts w:ascii="Times New Roman" w:eastAsiaTheme="minorEastAsia" w:hAnsi="Times New Roman" w:cs="Times New Roman"/>
          <w:sz w:val="24"/>
        </w:rPr>
        <w:t xml:space="preserve">JJF 1071-2010 </w:t>
      </w:r>
      <w:r w:rsidRPr="00CC126D">
        <w:rPr>
          <w:rFonts w:ascii="Times New Roman" w:eastAsiaTheme="minorEastAsia" w:hAnsiTheme="minorEastAsia" w:cs="Times New Roman"/>
          <w:sz w:val="24"/>
        </w:rPr>
        <w:t>国家计量校准规范编写规则</w:t>
      </w:r>
    </w:p>
    <w:p w:rsidR="00956401" w:rsidRPr="00956401" w:rsidRDefault="00956401" w:rsidP="00956401">
      <w:pPr>
        <w:spacing w:line="360" w:lineRule="auto"/>
        <w:ind w:firstLineChars="200" w:firstLine="480"/>
        <w:rPr>
          <w:rFonts w:ascii="Times New Roman" w:eastAsiaTheme="minorEastAsia" w:hAnsiTheme="minorEastAsia" w:cs="Times New Roman"/>
          <w:sz w:val="24"/>
        </w:rPr>
      </w:pPr>
      <w:r w:rsidRPr="00956401">
        <w:rPr>
          <w:rFonts w:ascii="Times New Roman" w:eastAsiaTheme="minorEastAsia" w:hAnsiTheme="minorEastAsia" w:cs="Times New Roman" w:hint="eastAsia"/>
          <w:sz w:val="24"/>
        </w:rPr>
        <w:t>JJG1094-2013</w:t>
      </w:r>
      <w:r w:rsidRPr="00956401">
        <w:rPr>
          <w:rFonts w:ascii="Times New Roman" w:eastAsiaTheme="minorEastAsia" w:hAnsiTheme="minorEastAsia" w:cs="Times New Roman" w:hint="eastAsia"/>
          <w:sz w:val="24"/>
        </w:rPr>
        <w:t>《总磷总氮水质在线分析仪检定规程》</w:t>
      </w:r>
    </w:p>
    <w:p w:rsidR="00956401" w:rsidRDefault="00956401" w:rsidP="00956401">
      <w:pPr>
        <w:spacing w:line="360" w:lineRule="auto"/>
        <w:ind w:firstLineChars="200" w:firstLine="480"/>
        <w:rPr>
          <w:rFonts w:ascii="Times New Roman" w:eastAsiaTheme="minorEastAsia" w:hAnsiTheme="minorEastAsia" w:hint="eastAsia"/>
          <w:sz w:val="24"/>
          <w:szCs w:val="24"/>
        </w:rPr>
      </w:pPr>
      <w:r w:rsidRPr="00CC126D">
        <w:rPr>
          <w:rFonts w:ascii="Times New Roman" w:eastAsiaTheme="minorEastAsia"/>
          <w:sz w:val="24"/>
          <w:szCs w:val="24"/>
        </w:rPr>
        <w:t>JJG 975-2002</w:t>
      </w:r>
      <w:r w:rsidRPr="00CC126D">
        <w:rPr>
          <w:rFonts w:ascii="Times New Roman" w:eastAsiaTheme="minorEastAsia" w:hAnsiTheme="minorEastAsia"/>
          <w:sz w:val="24"/>
          <w:szCs w:val="24"/>
        </w:rPr>
        <w:t>《化学需氧量</w:t>
      </w:r>
      <w:r w:rsidRPr="00CC126D">
        <w:rPr>
          <w:rFonts w:ascii="Times New Roman" w:eastAsiaTheme="minorEastAsia"/>
          <w:sz w:val="24"/>
          <w:szCs w:val="24"/>
        </w:rPr>
        <w:t>(</w:t>
      </w:r>
      <w:r>
        <w:rPr>
          <w:rFonts w:ascii="Times New Roman" w:eastAsiaTheme="minorEastAsia" w:hint="eastAsia"/>
          <w:sz w:val="24"/>
          <w:szCs w:val="24"/>
        </w:rPr>
        <w:t>COD</w:t>
      </w:r>
      <w:r w:rsidRPr="00CC126D">
        <w:rPr>
          <w:rFonts w:ascii="Times New Roman" w:eastAsiaTheme="minorEastAsia"/>
          <w:sz w:val="24"/>
          <w:szCs w:val="24"/>
        </w:rPr>
        <w:t>)</w:t>
      </w:r>
      <w:r w:rsidRPr="00CC126D">
        <w:rPr>
          <w:rFonts w:ascii="Times New Roman" w:eastAsiaTheme="minorEastAsia" w:hAnsiTheme="minorEastAsia"/>
          <w:sz w:val="24"/>
          <w:szCs w:val="24"/>
        </w:rPr>
        <w:t>测定仪检定规程》</w:t>
      </w:r>
    </w:p>
    <w:p w:rsidR="005F6424" w:rsidRPr="00CC126D" w:rsidRDefault="004639E2" w:rsidP="00956401">
      <w:pPr>
        <w:spacing w:line="360" w:lineRule="auto"/>
        <w:ind w:firstLineChars="200" w:firstLine="480"/>
        <w:rPr>
          <w:rFonts w:ascii="Times New Roman" w:eastAsiaTheme="minorEastAsia" w:hAnsi="Times New Roman" w:cs="Times New Roman"/>
          <w:sz w:val="24"/>
        </w:rPr>
      </w:pPr>
      <w:r w:rsidRPr="00CC126D">
        <w:rPr>
          <w:rFonts w:ascii="Times New Roman" w:eastAsiaTheme="minorEastAsia" w:hAnsi="Times New Roman" w:cs="Times New Roman"/>
          <w:sz w:val="24"/>
        </w:rPr>
        <w:t>HJ 636-2012</w:t>
      </w:r>
      <w:r w:rsidRPr="00CC126D">
        <w:rPr>
          <w:rFonts w:ascii="Times New Roman" w:eastAsiaTheme="minorEastAsia" w:hAnsiTheme="minorEastAsia" w:cs="Times New Roman"/>
          <w:sz w:val="24"/>
        </w:rPr>
        <w:t>《水质</w:t>
      </w:r>
      <w:r w:rsidRPr="00CC126D">
        <w:rPr>
          <w:rFonts w:ascii="Times New Roman" w:eastAsiaTheme="minorEastAsia" w:hAnsi="Times New Roman" w:cs="Times New Roman"/>
          <w:sz w:val="24"/>
        </w:rPr>
        <w:t xml:space="preserve"> </w:t>
      </w:r>
      <w:r w:rsidRPr="00CC126D">
        <w:rPr>
          <w:rFonts w:ascii="Times New Roman" w:eastAsiaTheme="minorEastAsia" w:hAnsiTheme="minorEastAsia" w:cs="Times New Roman"/>
          <w:sz w:val="24"/>
        </w:rPr>
        <w:t>总氮的测定</w:t>
      </w:r>
      <w:r w:rsidRPr="00CC126D">
        <w:rPr>
          <w:rFonts w:ascii="Times New Roman" w:eastAsiaTheme="minorEastAsia" w:hAnsi="Times New Roman" w:cs="Times New Roman"/>
          <w:sz w:val="24"/>
        </w:rPr>
        <w:t xml:space="preserve"> </w:t>
      </w:r>
      <w:r w:rsidRPr="00CC126D">
        <w:rPr>
          <w:rFonts w:ascii="Times New Roman" w:eastAsiaTheme="minorEastAsia" w:hAnsiTheme="minorEastAsia" w:cs="Times New Roman"/>
          <w:sz w:val="24"/>
        </w:rPr>
        <w:t>碱性过硫酸钾消解紫外分光光度法》</w:t>
      </w:r>
    </w:p>
    <w:p w:rsidR="005F6424" w:rsidRDefault="004639E2" w:rsidP="004639E2">
      <w:pPr>
        <w:spacing w:line="360" w:lineRule="auto"/>
        <w:ind w:firstLineChars="200" w:firstLine="480"/>
        <w:rPr>
          <w:rFonts w:ascii="Times New Roman" w:eastAsiaTheme="minorEastAsia" w:hAnsiTheme="minorEastAsia" w:cs="Times New Roman" w:hint="eastAsia"/>
          <w:sz w:val="24"/>
        </w:rPr>
      </w:pPr>
      <w:r w:rsidRPr="00CC126D">
        <w:rPr>
          <w:rFonts w:ascii="Times New Roman" w:eastAsiaTheme="minorEastAsia" w:hAnsi="Times New Roman" w:cs="Times New Roman"/>
          <w:sz w:val="24"/>
        </w:rPr>
        <w:t>GB 11893-1989</w:t>
      </w:r>
      <w:r w:rsidRPr="00CC126D">
        <w:rPr>
          <w:rFonts w:ascii="Times New Roman" w:eastAsiaTheme="minorEastAsia" w:hAnsiTheme="minorEastAsia" w:cs="Times New Roman"/>
          <w:sz w:val="24"/>
        </w:rPr>
        <w:t>《水质</w:t>
      </w:r>
      <w:r w:rsidRPr="00CC126D">
        <w:rPr>
          <w:rFonts w:ascii="Times New Roman" w:eastAsiaTheme="minorEastAsia" w:hAnsi="Times New Roman" w:cs="Times New Roman"/>
          <w:sz w:val="24"/>
        </w:rPr>
        <w:t xml:space="preserve"> </w:t>
      </w:r>
      <w:r w:rsidRPr="00CC126D">
        <w:rPr>
          <w:rFonts w:ascii="Times New Roman" w:eastAsiaTheme="minorEastAsia" w:hAnsiTheme="minorEastAsia" w:cs="Times New Roman"/>
          <w:sz w:val="24"/>
        </w:rPr>
        <w:t>总磷的测定</w:t>
      </w:r>
      <w:r w:rsidRPr="00CC126D">
        <w:rPr>
          <w:rFonts w:ascii="Times New Roman" w:eastAsiaTheme="minorEastAsia" w:hAnsi="Times New Roman" w:cs="Times New Roman"/>
          <w:sz w:val="24"/>
        </w:rPr>
        <w:t xml:space="preserve"> </w:t>
      </w:r>
      <w:r w:rsidRPr="00CC126D">
        <w:rPr>
          <w:rFonts w:ascii="Times New Roman" w:eastAsiaTheme="minorEastAsia" w:hAnsiTheme="minorEastAsia" w:cs="Times New Roman"/>
          <w:sz w:val="24"/>
        </w:rPr>
        <w:t>钼酸铵分光光度法》</w:t>
      </w:r>
    </w:p>
    <w:p w:rsidR="005F6424" w:rsidRPr="00CC126D" w:rsidRDefault="005F6424" w:rsidP="003B5F73">
      <w:pPr>
        <w:spacing w:line="720" w:lineRule="auto"/>
        <w:rPr>
          <w:rFonts w:ascii="Times New Roman" w:eastAsiaTheme="minorEastAsia" w:hAnsi="Times New Roman" w:cs="Times New Roman"/>
          <w:b/>
          <w:sz w:val="24"/>
        </w:rPr>
      </w:pPr>
      <w:r w:rsidRPr="00CC126D">
        <w:rPr>
          <w:rFonts w:ascii="Times New Roman" w:eastAsiaTheme="minorEastAsia" w:hAnsiTheme="minorEastAsia" w:cs="Times New Roman"/>
          <w:b/>
          <w:sz w:val="24"/>
        </w:rPr>
        <w:t>四、制定过程</w:t>
      </w:r>
    </w:p>
    <w:p w:rsidR="0020388D" w:rsidRPr="00CC126D" w:rsidRDefault="00402119" w:rsidP="001B7002">
      <w:pPr>
        <w:spacing w:line="360" w:lineRule="auto"/>
        <w:ind w:firstLineChars="200" w:firstLine="480"/>
        <w:rPr>
          <w:rFonts w:ascii="Times New Roman" w:eastAsiaTheme="minorEastAsia" w:hAnsi="Times New Roman" w:cs="Times New Roman"/>
          <w:color w:val="000000"/>
          <w:sz w:val="24"/>
        </w:rPr>
      </w:pPr>
      <w:r w:rsidRPr="00CC126D">
        <w:rPr>
          <w:rFonts w:ascii="Times New Roman" w:eastAsiaTheme="minorEastAsia" w:hAnsi="Times New Roman" w:cs="Times New Roman"/>
          <w:sz w:val="24"/>
          <w:szCs w:val="24"/>
        </w:rPr>
        <w:t> </w:t>
      </w:r>
      <w:r w:rsidR="005F6424" w:rsidRPr="00CC126D">
        <w:rPr>
          <w:rFonts w:ascii="Times New Roman" w:eastAsiaTheme="minorEastAsia" w:hAnsi="Times New Roman" w:cs="Times New Roman"/>
          <w:color w:val="000000"/>
          <w:sz w:val="24"/>
        </w:rPr>
        <w:t>20</w:t>
      </w:r>
      <w:r w:rsidR="004639E2" w:rsidRPr="00CC126D">
        <w:rPr>
          <w:rFonts w:ascii="Times New Roman" w:eastAsiaTheme="minorEastAsia" w:hAnsi="Times New Roman" w:cs="Times New Roman"/>
          <w:color w:val="000000"/>
          <w:sz w:val="24"/>
        </w:rPr>
        <w:t>2</w:t>
      </w:r>
      <w:r w:rsidR="005261E7">
        <w:rPr>
          <w:rFonts w:ascii="Times New Roman" w:eastAsiaTheme="minorEastAsia" w:hAnsi="Times New Roman" w:cs="Times New Roman" w:hint="eastAsia"/>
          <w:color w:val="000000"/>
          <w:sz w:val="24"/>
        </w:rPr>
        <w:t>2</w:t>
      </w:r>
      <w:r w:rsidR="005F6424" w:rsidRPr="00CC126D">
        <w:rPr>
          <w:rFonts w:ascii="Times New Roman" w:eastAsiaTheme="minorEastAsia" w:hAnsiTheme="minorEastAsia" w:cs="Times New Roman"/>
          <w:color w:val="000000"/>
          <w:sz w:val="24"/>
        </w:rPr>
        <w:t>年</w:t>
      </w:r>
      <w:r w:rsidR="005261E7">
        <w:rPr>
          <w:rFonts w:ascii="Times New Roman" w:eastAsiaTheme="minorEastAsia" w:hAnsi="Times New Roman" w:cs="Times New Roman" w:hint="eastAsia"/>
          <w:color w:val="000000"/>
          <w:sz w:val="24"/>
        </w:rPr>
        <w:t>1</w:t>
      </w:r>
      <w:r w:rsidR="005F6424" w:rsidRPr="00CC126D">
        <w:rPr>
          <w:rFonts w:ascii="Times New Roman" w:eastAsiaTheme="minorEastAsia" w:hAnsiTheme="minorEastAsia" w:cs="Times New Roman"/>
          <w:color w:val="000000"/>
          <w:sz w:val="24"/>
        </w:rPr>
        <w:t>月至</w:t>
      </w:r>
      <w:r w:rsidR="005F6424" w:rsidRPr="00CC126D">
        <w:rPr>
          <w:rFonts w:ascii="Times New Roman" w:eastAsiaTheme="minorEastAsia" w:hAnsi="Times New Roman" w:cs="Times New Roman"/>
          <w:color w:val="000000"/>
          <w:sz w:val="24"/>
        </w:rPr>
        <w:t>20</w:t>
      </w:r>
      <w:r w:rsidR="004639E2" w:rsidRPr="00CC126D">
        <w:rPr>
          <w:rFonts w:ascii="Times New Roman" w:eastAsiaTheme="minorEastAsia" w:hAnsi="Times New Roman" w:cs="Times New Roman"/>
          <w:color w:val="000000"/>
          <w:sz w:val="24"/>
        </w:rPr>
        <w:t>2</w:t>
      </w:r>
      <w:r w:rsidR="005261E7">
        <w:rPr>
          <w:rFonts w:ascii="Times New Roman" w:eastAsiaTheme="minorEastAsia" w:hAnsi="Times New Roman" w:cs="Times New Roman" w:hint="eastAsia"/>
          <w:color w:val="000000"/>
          <w:sz w:val="24"/>
        </w:rPr>
        <w:t>2</w:t>
      </w:r>
      <w:r w:rsidR="005F6424" w:rsidRPr="00CC126D">
        <w:rPr>
          <w:rFonts w:ascii="Times New Roman" w:eastAsiaTheme="minorEastAsia" w:hAnsiTheme="minorEastAsia" w:cs="Times New Roman"/>
          <w:color w:val="000000"/>
          <w:sz w:val="24"/>
        </w:rPr>
        <w:t>年</w:t>
      </w:r>
      <w:r w:rsidR="005261E7">
        <w:rPr>
          <w:rFonts w:ascii="Times New Roman" w:eastAsiaTheme="minorEastAsia" w:hAnsi="Times New Roman" w:cs="Times New Roman" w:hint="eastAsia"/>
          <w:color w:val="000000"/>
          <w:sz w:val="24"/>
        </w:rPr>
        <w:t>3</w:t>
      </w:r>
      <w:r w:rsidR="005F6424" w:rsidRPr="00CC126D">
        <w:rPr>
          <w:rFonts w:ascii="Times New Roman" w:eastAsiaTheme="minorEastAsia" w:hAnsiTheme="minorEastAsia" w:cs="Times New Roman"/>
          <w:color w:val="000000"/>
          <w:sz w:val="24"/>
        </w:rPr>
        <w:t>月，</w:t>
      </w:r>
      <w:r w:rsidR="0020388D" w:rsidRPr="00CC126D">
        <w:rPr>
          <w:rFonts w:ascii="Times New Roman" w:eastAsiaTheme="minorEastAsia" w:hAnsiTheme="minorEastAsia" w:cs="Times New Roman"/>
          <w:color w:val="000000"/>
          <w:sz w:val="24"/>
        </w:rPr>
        <w:t>成立规范起草小组，查阅相关国内外标准、文献、生产厂家技术资料等，对市场上主流品牌</w:t>
      </w:r>
      <w:r w:rsidR="004639E2" w:rsidRPr="00CC126D">
        <w:rPr>
          <w:rFonts w:ascii="Times New Roman" w:eastAsiaTheme="minorEastAsia" w:hAnsiTheme="minorEastAsia" w:cs="Times New Roman"/>
          <w:color w:val="000000"/>
          <w:sz w:val="24"/>
        </w:rPr>
        <w:t>总磷总氮分析仪</w:t>
      </w:r>
      <w:r w:rsidR="0020388D" w:rsidRPr="00CC126D">
        <w:rPr>
          <w:rFonts w:ascii="Times New Roman" w:eastAsiaTheme="minorEastAsia" w:hAnsiTheme="minorEastAsia" w:cs="Times New Roman"/>
          <w:color w:val="000000"/>
          <w:sz w:val="24"/>
        </w:rPr>
        <w:t>的主要原理、性能指标和使用情况进行调研，初步拟定校准项目。</w:t>
      </w:r>
    </w:p>
    <w:p w:rsidR="00402119" w:rsidRPr="00CC126D" w:rsidRDefault="00A246A8" w:rsidP="001B7002">
      <w:pPr>
        <w:spacing w:line="360" w:lineRule="auto"/>
        <w:ind w:firstLineChars="200" w:firstLine="480"/>
        <w:rPr>
          <w:rFonts w:ascii="Times New Roman" w:eastAsiaTheme="minorEastAsia" w:hAnsi="Times New Roman" w:cs="Times New Roman"/>
          <w:sz w:val="24"/>
          <w:szCs w:val="24"/>
        </w:rPr>
      </w:pPr>
      <w:r w:rsidRPr="00CC126D">
        <w:rPr>
          <w:rFonts w:ascii="Times New Roman" w:eastAsiaTheme="minorEastAsia" w:hAnsi="Times New Roman" w:cs="Times New Roman"/>
          <w:color w:val="000000"/>
          <w:sz w:val="24"/>
        </w:rPr>
        <w:t>20</w:t>
      </w:r>
      <w:r w:rsidR="004639E2" w:rsidRPr="00CC126D">
        <w:rPr>
          <w:rFonts w:ascii="Times New Roman" w:eastAsiaTheme="minorEastAsia" w:hAnsi="Times New Roman" w:cs="Times New Roman"/>
          <w:color w:val="000000"/>
          <w:sz w:val="24"/>
        </w:rPr>
        <w:t>2</w:t>
      </w:r>
      <w:r w:rsidR="005261E7">
        <w:rPr>
          <w:rFonts w:ascii="Times New Roman" w:eastAsiaTheme="minorEastAsia" w:hAnsi="Times New Roman" w:cs="Times New Roman" w:hint="eastAsia"/>
          <w:color w:val="000000"/>
          <w:sz w:val="24"/>
        </w:rPr>
        <w:t>2</w:t>
      </w:r>
      <w:r w:rsidRPr="00CC126D">
        <w:rPr>
          <w:rFonts w:ascii="Times New Roman" w:eastAsiaTheme="minorEastAsia" w:hAnsiTheme="minorEastAsia" w:cs="Times New Roman"/>
          <w:color w:val="000000"/>
          <w:sz w:val="24"/>
        </w:rPr>
        <w:t>年</w:t>
      </w:r>
      <w:r w:rsidR="005261E7">
        <w:rPr>
          <w:rFonts w:ascii="Times New Roman" w:eastAsiaTheme="minorEastAsia" w:hAnsi="Times New Roman" w:cs="Times New Roman" w:hint="eastAsia"/>
          <w:color w:val="000000"/>
          <w:sz w:val="24"/>
        </w:rPr>
        <w:t>4</w:t>
      </w:r>
      <w:r w:rsidRPr="00CC126D">
        <w:rPr>
          <w:rFonts w:ascii="Times New Roman" w:eastAsiaTheme="minorEastAsia" w:hAnsiTheme="minorEastAsia" w:cs="Times New Roman"/>
          <w:color w:val="000000"/>
          <w:sz w:val="24"/>
        </w:rPr>
        <w:t>月至</w:t>
      </w:r>
      <w:r w:rsidRPr="00CC126D">
        <w:rPr>
          <w:rFonts w:ascii="Times New Roman" w:eastAsiaTheme="minorEastAsia" w:hAnsi="Times New Roman" w:cs="Times New Roman"/>
          <w:color w:val="000000"/>
          <w:sz w:val="24"/>
        </w:rPr>
        <w:t>20</w:t>
      </w:r>
      <w:r w:rsidR="003B5F73" w:rsidRPr="00CC126D">
        <w:rPr>
          <w:rFonts w:ascii="Times New Roman" w:eastAsiaTheme="minorEastAsia" w:hAnsi="Times New Roman" w:cs="Times New Roman"/>
          <w:color w:val="000000"/>
          <w:sz w:val="24"/>
        </w:rPr>
        <w:t>2</w:t>
      </w:r>
      <w:r w:rsidR="004639E2" w:rsidRPr="00CC126D">
        <w:rPr>
          <w:rFonts w:ascii="Times New Roman" w:eastAsiaTheme="minorEastAsia" w:hAnsi="Times New Roman" w:cs="Times New Roman"/>
          <w:color w:val="000000"/>
          <w:sz w:val="24"/>
        </w:rPr>
        <w:t>2</w:t>
      </w:r>
      <w:r w:rsidRPr="00CC126D">
        <w:rPr>
          <w:rFonts w:ascii="Times New Roman" w:eastAsiaTheme="minorEastAsia" w:hAnsiTheme="minorEastAsia" w:cs="Times New Roman"/>
          <w:color w:val="000000"/>
          <w:sz w:val="24"/>
        </w:rPr>
        <w:t>年</w:t>
      </w:r>
      <w:r w:rsidR="005261E7">
        <w:rPr>
          <w:rFonts w:ascii="Times New Roman" w:eastAsiaTheme="minorEastAsia" w:hAnsi="Times New Roman" w:cs="Times New Roman" w:hint="eastAsia"/>
          <w:color w:val="000000"/>
          <w:sz w:val="24"/>
        </w:rPr>
        <w:t>10</w:t>
      </w:r>
      <w:r w:rsidR="003B5F73" w:rsidRPr="00CC126D">
        <w:rPr>
          <w:rFonts w:ascii="Times New Roman" w:eastAsiaTheme="minorEastAsia" w:hAnsiTheme="minorEastAsia" w:cs="Times New Roman"/>
          <w:color w:val="000000"/>
          <w:sz w:val="24"/>
        </w:rPr>
        <w:t>月</w:t>
      </w:r>
      <w:r w:rsidRPr="00CC126D">
        <w:rPr>
          <w:rFonts w:ascii="Times New Roman" w:eastAsiaTheme="minorEastAsia" w:hAnsiTheme="minorEastAsia" w:cs="Times New Roman"/>
          <w:color w:val="000000"/>
          <w:sz w:val="24"/>
        </w:rPr>
        <w:t>，</w:t>
      </w:r>
      <w:r w:rsidR="00B536F8" w:rsidRPr="00CC126D">
        <w:rPr>
          <w:rFonts w:ascii="Times New Roman" w:eastAsiaTheme="minorEastAsia" w:hAnsiTheme="minorEastAsia" w:cs="Times New Roman"/>
          <w:color w:val="000000"/>
          <w:sz w:val="24"/>
        </w:rPr>
        <w:t>针对</w:t>
      </w:r>
      <w:r w:rsidR="00EF14EE" w:rsidRPr="00CC126D">
        <w:rPr>
          <w:rFonts w:ascii="Times New Roman" w:eastAsiaTheme="minorEastAsia" w:hAnsiTheme="minorEastAsia" w:cs="Times New Roman"/>
          <w:color w:val="000000"/>
          <w:sz w:val="24"/>
        </w:rPr>
        <w:t>不同厂商不同型号的</w:t>
      </w:r>
      <w:r w:rsidR="004639E2" w:rsidRPr="00CC126D">
        <w:rPr>
          <w:rFonts w:ascii="Times New Roman" w:eastAsiaTheme="minorEastAsia" w:hAnsiTheme="minorEastAsia" w:cs="Times New Roman"/>
          <w:color w:val="000000"/>
          <w:sz w:val="24"/>
        </w:rPr>
        <w:t>总磷总氮分析仪</w:t>
      </w:r>
      <w:r w:rsidR="00EF14EE" w:rsidRPr="00CC126D">
        <w:rPr>
          <w:rFonts w:ascii="Times New Roman" w:eastAsiaTheme="minorEastAsia" w:hAnsiTheme="minorEastAsia" w:cs="Times New Roman"/>
          <w:color w:val="000000"/>
          <w:sz w:val="24"/>
        </w:rPr>
        <w:t>开展试验</w:t>
      </w:r>
      <w:r w:rsidR="00B536F8" w:rsidRPr="00CC126D">
        <w:rPr>
          <w:rFonts w:ascii="Times New Roman" w:eastAsiaTheme="minorEastAsia" w:hAnsiTheme="minorEastAsia" w:cs="Times New Roman"/>
          <w:color w:val="000000"/>
          <w:sz w:val="24"/>
        </w:rPr>
        <w:t>，</w:t>
      </w:r>
      <w:r w:rsidR="00EF14EE" w:rsidRPr="00CC126D">
        <w:rPr>
          <w:rFonts w:ascii="Times New Roman" w:eastAsiaTheme="minorEastAsia" w:hAnsiTheme="minorEastAsia" w:cs="Times New Roman"/>
          <w:color w:val="000000"/>
          <w:sz w:val="24"/>
        </w:rPr>
        <w:t>研究建立满足</w:t>
      </w:r>
      <w:r w:rsidR="004639E2" w:rsidRPr="00CC126D">
        <w:rPr>
          <w:rFonts w:ascii="Times New Roman" w:eastAsiaTheme="minorEastAsia" w:hAnsiTheme="minorEastAsia" w:cs="Times New Roman"/>
          <w:color w:val="000000"/>
          <w:sz w:val="24"/>
        </w:rPr>
        <w:t>总磷总氮分析仪</w:t>
      </w:r>
      <w:r w:rsidR="00EF14EE" w:rsidRPr="00CC126D">
        <w:rPr>
          <w:rFonts w:ascii="Times New Roman" w:eastAsiaTheme="minorEastAsia" w:hAnsiTheme="minorEastAsia" w:cs="Times New Roman"/>
          <w:color w:val="000000"/>
          <w:sz w:val="24"/>
        </w:rPr>
        <w:t>校准要求的校准项目、校准方法和技术指标，验证校准方法的可行性、适用性</w:t>
      </w:r>
      <w:r w:rsidR="004B72ED" w:rsidRPr="00CC126D">
        <w:rPr>
          <w:rFonts w:ascii="Times New Roman" w:eastAsiaTheme="minorEastAsia" w:hAnsiTheme="minorEastAsia" w:cs="Times New Roman"/>
          <w:color w:val="000000"/>
          <w:sz w:val="24"/>
        </w:rPr>
        <w:t>，并进行</w:t>
      </w:r>
      <w:r w:rsidR="004639E2" w:rsidRPr="00CC126D">
        <w:rPr>
          <w:rFonts w:ascii="Times New Roman" w:eastAsiaTheme="minorEastAsia" w:hAnsiTheme="minorEastAsia" w:cs="Times New Roman"/>
          <w:color w:val="000000"/>
          <w:sz w:val="24"/>
        </w:rPr>
        <w:t>总磷总氮分析仪</w:t>
      </w:r>
      <w:r w:rsidR="004B72ED" w:rsidRPr="00CC126D">
        <w:rPr>
          <w:rFonts w:ascii="Times New Roman" w:eastAsiaTheme="minorEastAsia" w:hAnsiTheme="minorEastAsia" w:cs="Times New Roman"/>
          <w:color w:val="000000"/>
          <w:sz w:val="24"/>
        </w:rPr>
        <w:t>校准规范初稿的编写</w:t>
      </w:r>
      <w:r w:rsidR="00EF14EE" w:rsidRPr="00CC126D">
        <w:rPr>
          <w:rFonts w:ascii="Times New Roman" w:eastAsiaTheme="minorEastAsia" w:hAnsiTheme="minorEastAsia" w:cs="Times New Roman"/>
          <w:color w:val="000000"/>
          <w:sz w:val="24"/>
        </w:rPr>
        <w:t>。</w:t>
      </w:r>
    </w:p>
    <w:p w:rsidR="00EF14EE" w:rsidRPr="00CC126D" w:rsidRDefault="00A246A8" w:rsidP="001B7002">
      <w:pPr>
        <w:spacing w:line="360" w:lineRule="auto"/>
        <w:ind w:firstLineChars="200" w:firstLine="480"/>
        <w:rPr>
          <w:rFonts w:ascii="Times New Roman" w:eastAsiaTheme="minorEastAsia" w:hAnsi="Times New Roman" w:cs="Times New Roman"/>
          <w:sz w:val="24"/>
          <w:szCs w:val="24"/>
        </w:rPr>
      </w:pPr>
      <w:r w:rsidRPr="00CC126D">
        <w:rPr>
          <w:rFonts w:ascii="Times New Roman" w:eastAsiaTheme="minorEastAsia" w:hAnsi="Times New Roman" w:cs="Times New Roman"/>
          <w:color w:val="000000"/>
          <w:sz w:val="24"/>
        </w:rPr>
        <w:t>20</w:t>
      </w:r>
      <w:r w:rsidR="003B5F73" w:rsidRPr="00CC126D">
        <w:rPr>
          <w:rFonts w:ascii="Times New Roman" w:eastAsiaTheme="minorEastAsia" w:hAnsi="Times New Roman" w:cs="Times New Roman"/>
          <w:color w:val="000000"/>
          <w:sz w:val="24"/>
        </w:rPr>
        <w:t>2</w:t>
      </w:r>
      <w:r w:rsidR="004639E2" w:rsidRPr="00CC126D">
        <w:rPr>
          <w:rFonts w:ascii="Times New Roman" w:eastAsiaTheme="minorEastAsia" w:hAnsi="Times New Roman" w:cs="Times New Roman"/>
          <w:color w:val="000000"/>
          <w:sz w:val="24"/>
        </w:rPr>
        <w:t>2</w:t>
      </w:r>
      <w:r w:rsidRPr="00CC126D">
        <w:rPr>
          <w:rFonts w:ascii="Times New Roman" w:eastAsiaTheme="minorEastAsia" w:hAnsiTheme="minorEastAsia" w:cs="Times New Roman"/>
          <w:color w:val="000000"/>
          <w:sz w:val="24"/>
        </w:rPr>
        <w:t>年</w:t>
      </w:r>
      <w:r w:rsidR="005261E7">
        <w:rPr>
          <w:rFonts w:ascii="Times New Roman" w:eastAsiaTheme="minorEastAsia" w:hAnsi="Times New Roman" w:cs="Times New Roman" w:hint="eastAsia"/>
          <w:color w:val="000000"/>
          <w:sz w:val="24"/>
        </w:rPr>
        <w:t>11</w:t>
      </w:r>
      <w:r w:rsidRPr="00CC126D">
        <w:rPr>
          <w:rFonts w:ascii="Times New Roman" w:eastAsiaTheme="minorEastAsia" w:hAnsiTheme="minorEastAsia" w:cs="Times New Roman"/>
          <w:color w:val="000000"/>
          <w:sz w:val="24"/>
        </w:rPr>
        <w:t>月至</w:t>
      </w:r>
      <w:r w:rsidRPr="00CC126D">
        <w:rPr>
          <w:rFonts w:ascii="Times New Roman" w:eastAsiaTheme="minorEastAsia" w:hAnsi="Times New Roman" w:cs="Times New Roman"/>
          <w:color w:val="000000"/>
          <w:sz w:val="24"/>
        </w:rPr>
        <w:t>20</w:t>
      </w:r>
      <w:r w:rsidR="003B5F73" w:rsidRPr="00CC126D">
        <w:rPr>
          <w:rFonts w:ascii="Times New Roman" w:eastAsiaTheme="minorEastAsia" w:hAnsi="Times New Roman" w:cs="Times New Roman"/>
          <w:color w:val="000000"/>
          <w:sz w:val="24"/>
        </w:rPr>
        <w:t>2</w:t>
      </w:r>
      <w:r w:rsidR="005261E7">
        <w:rPr>
          <w:rFonts w:ascii="Times New Roman" w:eastAsiaTheme="minorEastAsia" w:hAnsi="Times New Roman" w:cs="Times New Roman" w:hint="eastAsia"/>
          <w:color w:val="000000"/>
          <w:sz w:val="24"/>
        </w:rPr>
        <w:t>3</w:t>
      </w:r>
      <w:r w:rsidRPr="00CC126D">
        <w:rPr>
          <w:rFonts w:ascii="Times New Roman" w:eastAsiaTheme="minorEastAsia" w:hAnsiTheme="minorEastAsia" w:cs="Times New Roman"/>
          <w:color w:val="000000"/>
          <w:sz w:val="24"/>
        </w:rPr>
        <w:t>年</w:t>
      </w:r>
      <w:r w:rsidR="005261E7">
        <w:rPr>
          <w:rFonts w:ascii="Times New Roman" w:eastAsiaTheme="minorEastAsia" w:hAnsi="Times New Roman" w:cs="Times New Roman" w:hint="eastAsia"/>
          <w:color w:val="000000"/>
          <w:sz w:val="24"/>
        </w:rPr>
        <w:t>5</w:t>
      </w:r>
      <w:r w:rsidRPr="00CC126D">
        <w:rPr>
          <w:rFonts w:ascii="Times New Roman" w:eastAsiaTheme="minorEastAsia" w:hAnsiTheme="minorEastAsia" w:cs="Times New Roman"/>
          <w:color w:val="000000"/>
          <w:sz w:val="24"/>
        </w:rPr>
        <w:t>月</w:t>
      </w:r>
      <w:r w:rsidR="00402119" w:rsidRPr="00CC126D">
        <w:rPr>
          <w:rFonts w:ascii="Times New Roman" w:eastAsiaTheme="minorEastAsia" w:hAnsiTheme="minorEastAsia" w:cs="Times New Roman"/>
          <w:sz w:val="24"/>
          <w:szCs w:val="24"/>
        </w:rPr>
        <w:t>，</w:t>
      </w:r>
      <w:r w:rsidR="00921DFC" w:rsidRPr="00CC126D">
        <w:rPr>
          <w:rFonts w:ascii="Times New Roman" w:eastAsiaTheme="minorEastAsia" w:hAnsiTheme="minorEastAsia" w:cs="Times New Roman"/>
          <w:sz w:val="24"/>
          <w:szCs w:val="24"/>
        </w:rPr>
        <w:t>整理试验数据，确定校准规范的校准项目、校准条件、校准方法和计量特性参数等内容，对校准规范初稿进行修改完善，形成征求意见稿。</w:t>
      </w:r>
    </w:p>
    <w:p w:rsidR="00FB4D88" w:rsidRPr="00CC126D" w:rsidRDefault="00FB4D88" w:rsidP="003B5F73">
      <w:pPr>
        <w:spacing w:line="720" w:lineRule="auto"/>
        <w:rPr>
          <w:rFonts w:ascii="Times New Roman" w:eastAsiaTheme="minorEastAsia" w:hAnsi="Times New Roman" w:cs="Times New Roman"/>
          <w:b/>
          <w:sz w:val="24"/>
        </w:rPr>
      </w:pPr>
      <w:r w:rsidRPr="00CC126D">
        <w:rPr>
          <w:rFonts w:ascii="Times New Roman" w:eastAsiaTheme="minorEastAsia" w:hAnsiTheme="minorEastAsia" w:cs="Times New Roman"/>
          <w:b/>
          <w:sz w:val="24"/>
        </w:rPr>
        <w:t>五、规程</w:t>
      </w:r>
      <w:r w:rsidR="003B5F73" w:rsidRPr="00CC126D">
        <w:rPr>
          <w:rFonts w:ascii="Times New Roman" w:eastAsiaTheme="minorEastAsia" w:hAnsiTheme="minorEastAsia" w:cs="Times New Roman"/>
          <w:b/>
          <w:sz w:val="24"/>
        </w:rPr>
        <w:t>制定</w:t>
      </w:r>
      <w:r w:rsidRPr="00CC126D">
        <w:rPr>
          <w:rFonts w:ascii="Times New Roman" w:eastAsiaTheme="minorEastAsia" w:hAnsiTheme="minorEastAsia" w:cs="Times New Roman"/>
          <w:b/>
          <w:sz w:val="24"/>
        </w:rPr>
        <w:t>的原则</w:t>
      </w:r>
    </w:p>
    <w:p w:rsidR="00FB4D88" w:rsidRPr="00CC126D" w:rsidRDefault="00FB4D88" w:rsidP="001B7002">
      <w:pPr>
        <w:spacing w:line="360" w:lineRule="auto"/>
        <w:rPr>
          <w:rFonts w:ascii="Times New Roman" w:eastAsiaTheme="minorEastAsia" w:hAnsi="Times New Roman" w:cs="Times New Roman"/>
          <w:sz w:val="24"/>
        </w:rPr>
      </w:pPr>
      <w:r w:rsidRPr="00CC126D">
        <w:rPr>
          <w:rFonts w:ascii="Times New Roman" w:eastAsiaTheme="minorEastAsia" w:hAnsi="Times New Roman" w:cs="Times New Roman"/>
          <w:sz w:val="24"/>
        </w:rPr>
        <w:t>1</w:t>
      </w:r>
      <w:r w:rsidRPr="00CC126D">
        <w:rPr>
          <w:rFonts w:ascii="Times New Roman" w:eastAsiaTheme="minorEastAsia" w:hAnsiTheme="minorEastAsia" w:cs="Times New Roman"/>
          <w:sz w:val="24"/>
        </w:rPr>
        <w:t>、规范结构</w:t>
      </w:r>
    </w:p>
    <w:p w:rsidR="00FB4D88" w:rsidRPr="00CC126D" w:rsidRDefault="00FB4D88" w:rsidP="00C35E01">
      <w:pPr>
        <w:spacing w:line="360" w:lineRule="auto"/>
        <w:ind w:firstLineChars="200" w:firstLine="480"/>
        <w:rPr>
          <w:rFonts w:ascii="Times New Roman" w:eastAsiaTheme="minorEastAsia" w:hAnsi="Times New Roman" w:cs="Times New Roman"/>
          <w:sz w:val="24"/>
        </w:rPr>
      </w:pPr>
      <w:r w:rsidRPr="00CC126D">
        <w:rPr>
          <w:rFonts w:ascii="Times New Roman" w:eastAsiaTheme="minorEastAsia" w:hAnsiTheme="minorEastAsia" w:cs="Times New Roman"/>
          <w:sz w:val="24"/>
        </w:rPr>
        <w:t>按照</w:t>
      </w:r>
      <w:r w:rsidRPr="00CC126D">
        <w:rPr>
          <w:rFonts w:ascii="Times New Roman" w:eastAsiaTheme="minorEastAsia" w:hAnsi="Times New Roman" w:cs="Times New Roman"/>
          <w:sz w:val="24"/>
        </w:rPr>
        <w:t>JJF 1002-2010</w:t>
      </w:r>
      <w:r w:rsidRPr="00CC126D">
        <w:rPr>
          <w:rFonts w:ascii="Times New Roman" w:eastAsiaTheme="minorEastAsia" w:hAnsiTheme="minorEastAsia" w:cs="Times New Roman"/>
          <w:sz w:val="24"/>
        </w:rPr>
        <w:t>《国家计量校准规范编写规则》的要求，本规范的主体内容由以下几个部分构成：范围、概述、计量特性、</w:t>
      </w:r>
      <w:r w:rsidR="00EA018D" w:rsidRPr="00CC126D">
        <w:rPr>
          <w:rFonts w:ascii="Times New Roman" w:eastAsiaTheme="minorEastAsia" w:hAnsiTheme="minorEastAsia" w:cs="Times New Roman"/>
          <w:sz w:val="24"/>
        </w:rPr>
        <w:t>校准条件、</w:t>
      </w:r>
      <w:r w:rsidRPr="00CC126D">
        <w:rPr>
          <w:rFonts w:ascii="Times New Roman" w:eastAsiaTheme="minorEastAsia" w:hAnsiTheme="minorEastAsia" w:cs="Times New Roman"/>
          <w:sz w:val="24"/>
        </w:rPr>
        <w:t>校准项目和校准方法、校准结果</w:t>
      </w:r>
      <w:r w:rsidR="00EA018D" w:rsidRPr="00CC126D">
        <w:rPr>
          <w:rFonts w:ascii="Times New Roman" w:eastAsiaTheme="minorEastAsia" w:hAnsiTheme="minorEastAsia" w:cs="Times New Roman"/>
          <w:sz w:val="24"/>
        </w:rPr>
        <w:t>的</w:t>
      </w:r>
      <w:r w:rsidRPr="00CC126D">
        <w:rPr>
          <w:rFonts w:ascii="Times New Roman" w:eastAsiaTheme="minorEastAsia" w:hAnsiTheme="minorEastAsia" w:cs="Times New Roman"/>
          <w:sz w:val="24"/>
        </w:rPr>
        <w:t>表达、复校时间间隔以及附录。</w:t>
      </w:r>
    </w:p>
    <w:p w:rsidR="00FB4D88" w:rsidRPr="00CC126D" w:rsidRDefault="00FB4D88" w:rsidP="001B7002">
      <w:pPr>
        <w:spacing w:line="360" w:lineRule="auto"/>
        <w:rPr>
          <w:rFonts w:ascii="Times New Roman" w:eastAsiaTheme="minorEastAsia" w:hAnsi="Times New Roman" w:cs="Times New Roman"/>
          <w:sz w:val="24"/>
        </w:rPr>
      </w:pPr>
      <w:r w:rsidRPr="00CC126D">
        <w:rPr>
          <w:rFonts w:ascii="Times New Roman" w:eastAsiaTheme="minorEastAsia" w:hAnsi="Times New Roman" w:cs="Times New Roman"/>
          <w:sz w:val="24"/>
        </w:rPr>
        <w:t>2</w:t>
      </w:r>
      <w:r w:rsidRPr="00CC126D">
        <w:rPr>
          <w:rFonts w:ascii="Times New Roman" w:eastAsiaTheme="minorEastAsia" w:hAnsiTheme="minorEastAsia" w:cs="Times New Roman"/>
          <w:sz w:val="24"/>
        </w:rPr>
        <w:t>、计量</w:t>
      </w:r>
      <w:r w:rsidR="009A5796" w:rsidRPr="00CC126D">
        <w:rPr>
          <w:rFonts w:ascii="Times New Roman" w:eastAsiaTheme="minorEastAsia" w:hAnsiTheme="minorEastAsia" w:cs="Times New Roman"/>
          <w:sz w:val="24"/>
        </w:rPr>
        <w:t>特性</w:t>
      </w:r>
      <w:r w:rsidRPr="00CC126D">
        <w:rPr>
          <w:rFonts w:ascii="Times New Roman" w:eastAsiaTheme="minorEastAsia" w:hAnsiTheme="minorEastAsia" w:cs="Times New Roman"/>
          <w:sz w:val="24"/>
        </w:rPr>
        <w:t>的确定</w:t>
      </w:r>
      <w:r w:rsidR="009A5796" w:rsidRPr="00CC126D">
        <w:rPr>
          <w:rFonts w:ascii="Times New Roman" w:eastAsiaTheme="minorEastAsia" w:hAnsiTheme="minorEastAsia" w:cs="Times New Roman"/>
          <w:sz w:val="24"/>
        </w:rPr>
        <w:t>原则</w:t>
      </w:r>
    </w:p>
    <w:p w:rsidR="009A5796" w:rsidRPr="00CC126D" w:rsidRDefault="009A5796" w:rsidP="001B7002">
      <w:pPr>
        <w:pStyle w:val="20"/>
        <w:spacing w:line="360" w:lineRule="auto"/>
        <w:ind w:left="0" w:firstLineChars="200" w:firstLine="480"/>
        <w:rPr>
          <w:rFonts w:ascii="Times New Roman" w:eastAsiaTheme="minorEastAsia"/>
          <w:color w:val="auto"/>
          <w:sz w:val="24"/>
          <w:szCs w:val="24"/>
        </w:rPr>
      </w:pPr>
      <w:r w:rsidRPr="00CC126D">
        <w:rPr>
          <w:rFonts w:ascii="Times New Roman" w:eastAsiaTheme="minorEastAsia" w:hAnsiTheme="minorEastAsia"/>
          <w:color w:val="auto"/>
          <w:sz w:val="24"/>
          <w:szCs w:val="24"/>
        </w:rPr>
        <w:t>仪器的计量特性要求主要根据</w:t>
      </w:r>
      <w:r w:rsidR="004639E2" w:rsidRPr="00CC126D">
        <w:rPr>
          <w:rFonts w:ascii="Times New Roman" w:eastAsiaTheme="minorEastAsia" w:hAnsiTheme="minorEastAsia"/>
          <w:sz w:val="24"/>
        </w:rPr>
        <w:t>总磷总氮分析仪</w:t>
      </w:r>
      <w:r w:rsidRPr="00CC126D">
        <w:rPr>
          <w:rFonts w:ascii="Times New Roman" w:eastAsiaTheme="minorEastAsia" w:hAnsiTheme="minorEastAsia"/>
          <w:color w:val="auto"/>
          <w:sz w:val="24"/>
          <w:szCs w:val="24"/>
        </w:rPr>
        <w:t>的出厂指标、相关水质排放标准以及用户对</w:t>
      </w:r>
      <w:r w:rsidR="004639E2" w:rsidRPr="00CC126D">
        <w:rPr>
          <w:rFonts w:ascii="Times New Roman" w:eastAsiaTheme="minorEastAsia" w:hAnsiTheme="minorEastAsia"/>
          <w:sz w:val="24"/>
        </w:rPr>
        <w:t>总磷总氮分析仪</w:t>
      </w:r>
      <w:r w:rsidRPr="00CC126D">
        <w:rPr>
          <w:rFonts w:ascii="Times New Roman" w:eastAsiaTheme="minorEastAsia" w:hAnsiTheme="minorEastAsia"/>
          <w:color w:val="auto"/>
          <w:sz w:val="24"/>
          <w:szCs w:val="24"/>
        </w:rPr>
        <w:t>所允许的测量误差作为参考，根据实际仪器的测量</w:t>
      </w:r>
      <w:r w:rsidRPr="00CC126D">
        <w:rPr>
          <w:rFonts w:ascii="Times New Roman" w:eastAsiaTheme="minorEastAsia" w:hAnsiTheme="minorEastAsia"/>
          <w:color w:val="auto"/>
          <w:sz w:val="24"/>
          <w:szCs w:val="24"/>
        </w:rPr>
        <w:lastRenderedPageBreak/>
        <w:t>结果进行总结，并参考同类仪器计量校准规范讨论制定。</w:t>
      </w:r>
    </w:p>
    <w:p w:rsidR="00062EA5" w:rsidRPr="00CC126D" w:rsidRDefault="00062EA5" w:rsidP="001B7002">
      <w:pPr>
        <w:spacing w:line="360" w:lineRule="auto"/>
        <w:rPr>
          <w:rFonts w:ascii="Times New Roman" w:eastAsiaTheme="minorEastAsia" w:hAnsi="Times New Roman" w:cs="Times New Roman"/>
          <w:sz w:val="24"/>
        </w:rPr>
      </w:pPr>
      <w:r w:rsidRPr="00CC126D">
        <w:rPr>
          <w:rFonts w:ascii="Times New Roman" w:eastAsiaTheme="minorEastAsia" w:hAnsi="Times New Roman" w:cs="Times New Roman"/>
          <w:sz w:val="24"/>
        </w:rPr>
        <w:t>3</w:t>
      </w:r>
      <w:r w:rsidRPr="00CC126D">
        <w:rPr>
          <w:rFonts w:ascii="Times New Roman" w:eastAsiaTheme="minorEastAsia" w:hAnsiTheme="minorEastAsia" w:cs="Times New Roman"/>
          <w:sz w:val="24"/>
        </w:rPr>
        <w:t>、计量标准器的选择</w:t>
      </w:r>
    </w:p>
    <w:p w:rsidR="009A5796" w:rsidRPr="00CC126D" w:rsidRDefault="00D91680" w:rsidP="001B7002">
      <w:pPr>
        <w:spacing w:line="360" w:lineRule="auto"/>
        <w:ind w:firstLineChars="200" w:firstLine="480"/>
        <w:rPr>
          <w:rFonts w:ascii="Times New Roman" w:eastAsiaTheme="minorEastAsia" w:hAnsi="Times New Roman" w:cs="Times New Roman"/>
          <w:sz w:val="24"/>
        </w:rPr>
      </w:pPr>
      <w:r w:rsidRPr="00CC126D">
        <w:rPr>
          <w:rFonts w:ascii="Times New Roman" w:eastAsiaTheme="minorEastAsia" w:hAnsiTheme="minorEastAsia" w:cs="Times New Roman"/>
          <w:sz w:val="24"/>
        </w:rPr>
        <w:t>目前国内有证</w:t>
      </w:r>
      <w:r w:rsidR="00AB26C2" w:rsidRPr="00CC126D">
        <w:rPr>
          <w:rFonts w:ascii="Times New Roman" w:eastAsiaTheme="minorEastAsia" w:hAnsiTheme="minorEastAsia" w:cs="Times New Roman"/>
          <w:sz w:val="24"/>
        </w:rPr>
        <w:t>总磷总氮</w:t>
      </w:r>
      <w:r w:rsidRPr="00CC126D">
        <w:rPr>
          <w:rFonts w:ascii="Times New Roman" w:eastAsiaTheme="minorEastAsia" w:hAnsiTheme="minorEastAsia" w:cs="Times New Roman"/>
          <w:sz w:val="24"/>
        </w:rPr>
        <w:t>标准物质的生产机构较多，表</w:t>
      </w:r>
      <w:r w:rsidRPr="00CC126D">
        <w:rPr>
          <w:rFonts w:ascii="Times New Roman" w:eastAsiaTheme="minorEastAsia" w:hAnsi="Times New Roman" w:cs="Times New Roman"/>
          <w:sz w:val="24"/>
        </w:rPr>
        <w:t>1</w:t>
      </w:r>
      <w:r w:rsidRPr="00CC126D">
        <w:rPr>
          <w:rFonts w:ascii="Times New Roman" w:eastAsiaTheme="minorEastAsia" w:hAnsiTheme="minorEastAsia" w:cs="Times New Roman"/>
          <w:sz w:val="24"/>
        </w:rPr>
        <w:t>列出了当前已经批准的</w:t>
      </w:r>
      <w:r w:rsidR="004639E2" w:rsidRPr="00CC126D">
        <w:rPr>
          <w:rFonts w:ascii="Times New Roman" w:eastAsiaTheme="minorEastAsia" w:hAnsiTheme="minorEastAsia" w:cs="Times New Roman"/>
          <w:sz w:val="24"/>
        </w:rPr>
        <w:t>总磷总氮</w:t>
      </w:r>
      <w:r w:rsidRPr="00CC126D">
        <w:rPr>
          <w:rFonts w:ascii="Times New Roman" w:eastAsiaTheme="minorEastAsia" w:hAnsiTheme="minorEastAsia" w:cs="Times New Roman"/>
          <w:sz w:val="24"/>
        </w:rPr>
        <w:t>有证标准物质，其中</w:t>
      </w:r>
      <w:r w:rsidR="004639E2" w:rsidRPr="00CC126D">
        <w:rPr>
          <w:rFonts w:ascii="Times New Roman" w:eastAsiaTheme="minorEastAsia" w:hAnsiTheme="minorEastAsia" w:cs="Times New Roman"/>
          <w:sz w:val="24"/>
        </w:rPr>
        <w:t>总磷总氮</w:t>
      </w:r>
      <w:r w:rsidRPr="00CC126D">
        <w:rPr>
          <w:rFonts w:ascii="Times New Roman" w:eastAsiaTheme="minorEastAsia" w:hAnsiTheme="minorEastAsia" w:cs="Times New Roman"/>
          <w:sz w:val="24"/>
        </w:rPr>
        <w:t>标准值在</w:t>
      </w:r>
      <w:r w:rsidR="00DB7C26" w:rsidRPr="00CC126D">
        <w:rPr>
          <w:rFonts w:ascii="Times New Roman" w:eastAsiaTheme="minorEastAsia" w:hAnsi="Times New Roman" w:cs="Times New Roman"/>
          <w:sz w:val="24"/>
        </w:rPr>
        <w:t>5</w:t>
      </w:r>
      <w:r w:rsidRPr="00CC126D">
        <w:rPr>
          <w:rFonts w:ascii="Times New Roman" w:eastAsiaTheme="minorEastAsia" w:hAnsi="Times New Roman" w:cs="Times New Roman"/>
          <w:sz w:val="24"/>
        </w:rPr>
        <w:t>mg/L~1000 mg/L</w:t>
      </w:r>
      <w:r w:rsidRPr="00CC126D">
        <w:rPr>
          <w:rFonts w:ascii="Times New Roman" w:eastAsiaTheme="minorEastAsia" w:hAnsiTheme="minorEastAsia" w:cs="Times New Roman"/>
          <w:sz w:val="24"/>
        </w:rPr>
        <w:t>之间，相对扩展不确定度均小于</w:t>
      </w:r>
      <w:r w:rsidRPr="00CC126D">
        <w:rPr>
          <w:rFonts w:ascii="Times New Roman" w:eastAsiaTheme="minorEastAsia" w:hAnsi="Times New Roman" w:cs="Times New Roman"/>
          <w:sz w:val="24"/>
        </w:rPr>
        <w:t>3%</w:t>
      </w:r>
      <w:r w:rsidR="004639E2" w:rsidRPr="00CC126D">
        <w:rPr>
          <w:rFonts w:ascii="Times New Roman" w:eastAsiaTheme="minorEastAsia" w:hAnsiTheme="minorEastAsia" w:cs="Times New Roman"/>
          <w:sz w:val="24"/>
        </w:rPr>
        <w:t>。因此，可用于</w:t>
      </w:r>
      <w:r w:rsidR="004639E2" w:rsidRPr="00CC126D">
        <w:rPr>
          <w:rFonts w:ascii="Times New Roman" w:eastAsiaTheme="minorEastAsia" w:hAnsiTheme="minorEastAsia" w:cs="Times New Roman"/>
          <w:color w:val="000000"/>
          <w:sz w:val="24"/>
        </w:rPr>
        <w:t>总磷总氮分析仪</w:t>
      </w:r>
      <w:r w:rsidR="004639E2" w:rsidRPr="00CC126D">
        <w:rPr>
          <w:rFonts w:ascii="Times New Roman" w:eastAsiaTheme="minorEastAsia" w:hAnsiTheme="minorEastAsia" w:cs="Times New Roman"/>
          <w:sz w:val="24"/>
        </w:rPr>
        <w:t>校准的</w:t>
      </w:r>
      <w:r w:rsidR="004639E2" w:rsidRPr="00CC126D">
        <w:rPr>
          <w:rFonts w:ascii="Times New Roman" w:eastAsiaTheme="minorEastAsia" w:hAnsiTheme="minorEastAsia" w:cs="Times New Roman"/>
          <w:color w:val="000000"/>
          <w:sz w:val="24"/>
        </w:rPr>
        <w:t>总磷总氮</w:t>
      </w:r>
      <w:r w:rsidRPr="00CC126D">
        <w:rPr>
          <w:rFonts w:ascii="Times New Roman" w:eastAsiaTheme="minorEastAsia" w:hAnsiTheme="minorEastAsia" w:cs="Times New Roman"/>
          <w:sz w:val="24"/>
        </w:rPr>
        <w:t>有证标准物质易于获得且具有溯源性。</w:t>
      </w:r>
    </w:p>
    <w:p w:rsidR="009A5796" w:rsidRPr="00CC126D" w:rsidRDefault="009A5796" w:rsidP="00D91680">
      <w:pPr>
        <w:spacing w:line="360" w:lineRule="auto"/>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表</w:t>
      </w:r>
      <w:r w:rsidR="00D91680" w:rsidRPr="00CC126D">
        <w:rPr>
          <w:rFonts w:ascii="Times New Roman" w:eastAsiaTheme="minorEastAsia" w:hAnsi="Times New Roman" w:cs="Times New Roman"/>
          <w:color w:val="000000"/>
          <w:kern w:val="0"/>
          <w:sz w:val="22"/>
          <w:szCs w:val="22"/>
        </w:rPr>
        <w:t>1</w:t>
      </w:r>
      <w:r w:rsidR="00D91680" w:rsidRPr="00CC126D">
        <w:rPr>
          <w:rFonts w:ascii="Times New Roman" w:eastAsiaTheme="minorEastAsia" w:hAnsiTheme="minorEastAsia" w:cs="Times New Roman"/>
          <w:color w:val="000000"/>
          <w:kern w:val="0"/>
          <w:sz w:val="22"/>
          <w:szCs w:val="22"/>
        </w:rPr>
        <w:t>国家各类有证</w:t>
      </w:r>
      <w:r w:rsidR="004639E2" w:rsidRPr="00CC126D">
        <w:rPr>
          <w:rFonts w:ascii="Times New Roman" w:eastAsiaTheme="minorEastAsia" w:hAnsiTheme="minorEastAsia" w:cs="Times New Roman"/>
          <w:color w:val="000000"/>
          <w:kern w:val="0"/>
          <w:sz w:val="22"/>
          <w:szCs w:val="22"/>
        </w:rPr>
        <w:t>总磷总氮</w:t>
      </w:r>
      <w:r w:rsidR="00D91680" w:rsidRPr="00CC126D">
        <w:rPr>
          <w:rFonts w:ascii="Times New Roman" w:eastAsiaTheme="minorEastAsia" w:hAnsiTheme="minorEastAsia" w:cs="Times New Roman"/>
          <w:color w:val="000000"/>
          <w:kern w:val="0"/>
          <w:sz w:val="22"/>
          <w:szCs w:val="22"/>
        </w:rPr>
        <w:t>标准物质的标准</w:t>
      </w:r>
      <w:r w:rsidRPr="00CC126D">
        <w:rPr>
          <w:rFonts w:ascii="Times New Roman" w:eastAsiaTheme="minorEastAsia" w:hAnsiTheme="minorEastAsia" w:cs="Times New Roman"/>
          <w:color w:val="000000"/>
          <w:kern w:val="0"/>
          <w:sz w:val="22"/>
          <w:szCs w:val="22"/>
        </w:rPr>
        <w:t>值和不确定度</w:t>
      </w:r>
    </w:p>
    <w:tbl>
      <w:tblPr>
        <w:tblW w:w="8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3"/>
        <w:gridCol w:w="1985"/>
        <w:gridCol w:w="3118"/>
        <w:gridCol w:w="1216"/>
        <w:gridCol w:w="1276"/>
      </w:tblGrid>
      <w:tr w:rsidR="0055796C" w:rsidRPr="00CC126D" w:rsidTr="00DB7C26">
        <w:trPr>
          <w:trHeight w:val="397"/>
          <w:jc w:val="center"/>
        </w:trPr>
        <w:tc>
          <w:tcPr>
            <w:tcW w:w="463" w:type="dxa"/>
            <w:vAlign w:val="center"/>
          </w:tcPr>
          <w:p w:rsidR="009A5796" w:rsidRPr="00CC126D" w:rsidRDefault="009A579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序号</w:t>
            </w:r>
          </w:p>
        </w:tc>
        <w:tc>
          <w:tcPr>
            <w:tcW w:w="1985" w:type="dxa"/>
            <w:shd w:val="clear" w:color="auto" w:fill="auto"/>
            <w:noWrap/>
            <w:vAlign w:val="center"/>
            <w:hideMark/>
          </w:tcPr>
          <w:p w:rsidR="009A5796" w:rsidRPr="00CC126D" w:rsidRDefault="009A579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标准物质编号</w:t>
            </w:r>
          </w:p>
        </w:tc>
        <w:tc>
          <w:tcPr>
            <w:tcW w:w="3118" w:type="dxa"/>
            <w:shd w:val="clear" w:color="auto" w:fill="auto"/>
            <w:noWrap/>
            <w:vAlign w:val="center"/>
            <w:hideMark/>
          </w:tcPr>
          <w:p w:rsidR="009A5796" w:rsidRPr="00CC126D" w:rsidRDefault="009A579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标准物质名称</w:t>
            </w:r>
          </w:p>
        </w:tc>
        <w:tc>
          <w:tcPr>
            <w:tcW w:w="1216" w:type="dxa"/>
            <w:shd w:val="clear" w:color="auto" w:fill="auto"/>
            <w:noWrap/>
            <w:vAlign w:val="center"/>
            <w:hideMark/>
          </w:tcPr>
          <w:p w:rsidR="009A5796" w:rsidRPr="00CC126D" w:rsidRDefault="00D91680"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标准</w:t>
            </w:r>
            <w:r w:rsidR="009A5796" w:rsidRPr="00CC126D">
              <w:rPr>
                <w:rFonts w:ascii="Times New Roman" w:eastAsiaTheme="minorEastAsia" w:hAnsiTheme="minorEastAsia" w:cs="Times New Roman"/>
                <w:color w:val="000000"/>
                <w:kern w:val="0"/>
                <w:sz w:val="22"/>
                <w:szCs w:val="22"/>
              </w:rPr>
              <w:t>值</w:t>
            </w:r>
            <w:r w:rsidR="009A5796" w:rsidRPr="00CC126D">
              <w:rPr>
                <w:rFonts w:ascii="Times New Roman" w:eastAsiaTheme="minorEastAsia" w:hAnsi="Times New Roman" w:cs="Times New Roman"/>
                <w:color w:val="000000"/>
                <w:kern w:val="0"/>
                <w:sz w:val="22"/>
                <w:szCs w:val="22"/>
              </w:rPr>
              <w:t>(mg/L)</w:t>
            </w:r>
          </w:p>
        </w:tc>
        <w:tc>
          <w:tcPr>
            <w:tcW w:w="1276" w:type="dxa"/>
            <w:shd w:val="clear" w:color="auto" w:fill="auto"/>
            <w:noWrap/>
            <w:vAlign w:val="center"/>
            <w:hideMark/>
          </w:tcPr>
          <w:p w:rsidR="009A5796" w:rsidRPr="00CC126D" w:rsidRDefault="00E75645"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相对扩展</w:t>
            </w:r>
            <w:r w:rsidR="009A5796" w:rsidRPr="00CC126D">
              <w:rPr>
                <w:rFonts w:ascii="Times New Roman" w:eastAsiaTheme="minorEastAsia" w:hAnsiTheme="minorEastAsia" w:cs="Times New Roman"/>
                <w:color w:val="000000"/>
                <w:kern w:val="0"/>
                <w:sz w:val="22"/>
                <w:szCs w:val="22"/>
              </w:rPr>
              <w:t>不确定度</w:t>
            </w:r>
            <w:r w:rsidR="009A5796" w:rsidRPr="00CC126D">
              <w:rPr>
                <w:rFonts w:ascii="Times New Roman" w:eastAsiaTheme="minorEastAsia" w:hAnsi="Times New Roman" w:cs="Times New Roman"/>
                <w:color w:val="000000"/>
                <w:kern w:val="0"/>
                <w:sz w:val="22"/>
                <w:szCs w:val="22"/>
              </w:rPr>
              <w:t>(</w:t>
            </w:r>
            <w:r w:rsidR="009A5796" w:rsidRPr="00CC126D">
              <w:rPr>
                <w:rFonts w:ascii="Times New Roman" w:eastAsiaTheme="minorEastAsia" w:hAnsi="Times New Roman" w:cs="Times New Roman"/>
                <w:i/>
                <w:color w:val="000000"/>
                <w:kern w:val="0"/>
                <w:sz w:val="22"/>
                <w:szCs w:val="22"/>
              </w:rPr>
              <w:t>k</w:t>
            </w:r>
            <w:r w:rsidR="009A5796" w:rsidRPr="00CC126D">
              <w:rPr>
                <w:rFonts w:ascii="Times New Roman" w:eastAsiaTheme="minorEastAsia" w:hAnsi="Times New Roman" w:cs="Times New Roman"/>
                <w:color w:val="000000"/>
                <w:kern w:val="0"/>
                <w:sz w:val="22"/>
                <w:szCs w:val="22"/>
              </w:rPr>
              <w:t>=2)</w:t>
            </w:r>
          </w:p>
        </w:tc>
      </w:tr>
      <w:tr w:rsidR="0055796C" w:rsidRPr="00CC126D" w:rsidTr="00DB7C26">
        <w:trPr>
          <w:trHeight w:val="397"/>
          <w:jc w:val="center"/>
        </w:trPr>
        <w:tc>
          <w:tcPr>
            <w:tcW w:w="463" w:type="dxa"/>
            <w:vAlign w:val="center"/>
          </w:tcPr>
          <w:p w:rsidR="007B3A89" w:rsidRPr="00CC126D" w:rsidRDefault="007B3A89" w:rsidP="006D57FD">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7B3A89" w:rsidRPr="00CC126D" w:rsidRDefault="004639E2"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GBW(E)082645</w:t>
            </w:r>
          </w:p>
        </w:tc>
        <w:tc>
          <w:tcPr>
            <w:tcW w:w="3118" w:type="dxa"/>
            <w:shd w:val="clear" w:color="auto" w:fill="auto"/>
            <w:noWrap/>
            <w:vAlign w:val="center"/>
            <w:hideMark/>
          </w:tcPr>
          <w:p w:rsidR="007B3A89" w:rsidRPr="00CC126D" w:rsidRDefault="004639E2" w:rsidP="004639E2">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水中总磷溶液标准物</w:t>
            </w:r>
            <w:r w:rsidR="00A16EAD">
              <w:rPr>
                <w:rFonts w:ascii="Times New Roman" w:eastAsiaTheme="minorEastAsia" w:hAnsiTheme="minorEastAsia" w:cs="Times New Roman"/>
                <w:color w:val="000000"/>
                <w:kern w:val="0"/>
                <w:sz w:val="22"/>
                <w:szCs w:val="22"/>
              </w:rPr>
              <w:t>质</w:t>
            </w:r>
          </w:p>
        </w:tc>
        <w:tc>
          <w:tcPr>
            <w:tcW w:w="1216" w:type="dxa"/>
            <w:shd w:val="clear" w:color="auto" w:fill="auto"/>
            <w:noWrap/>
            <w:vAlign w:val="center"/>
            <w:hideMark/>
          </w:tcPr>
          <w:p w:rsidR="007B3A89" w:rsidRPr="00CC126D" w:rsidRDefault="004639E2"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5~1000</w:t>
            </w:r>
          </w:p>
        </w:tc>
        <w:tc>
          <w:tcPr>
            <w:tcW w:w="1276" w:type="dxa"/>
            <w:shd w:val="clear" w:color="auto" w:fill="auto"/>
            <w:noWrap/>
            <w:vAlign w:val="center"/>
            <w:hideMark/>
          </w:tcPr>
          <w:p w:rsidR="007B3A89" w:rsidRPr="00CC126D" w:rsidRDefault="004639E2"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2</w:t>
            </w:r>
            <w:r w:rsidR="007B3A89" w:rsidRPr="00CC126D">
              <w:rPr>
                <w:rFonts w:ascii="Times New Roman" w:eastAsiaTheme="minorEastAsia" w:hAnsi="Times New Roman" w:cs="Times New Roman"/>
                <w:color w:val="000000"/>
                <w:kern w:val="0"/>
                <w:sz w:val="22"/>
                <w:szCs w:val="22"/>
              </w:rPr>
              <w:t>%</w:t>
            </w:r>
          </w:p>
        </w:tc>
      </w:tr>
      <w:tr w:rsidR="0055796C" w:rsidRPr="00CC126D" w:rsidTr="00DB7C26">
        <w:trPr>
          <w:trHeight w:val="397"/>
          <w:jc w:val="center"/>
        </w:trPr>
        <w:tc>
          <w:tcPr>
            <w:tcW w:w="463" w:type="dxa"/>
            <w:vAlign w:val="center"/>
          </w:tcPr>
          <w:p w:rsidR="007B3A89" w:rsidRPr="00CC126D" w:rsidRDefault="007B3A89" w:rsidP="006D57FD">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7B3A89" w:rsidRPr="00CC126D" w:rsidRDefault="004639E2"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GBW(E)083181</w:t>
            </w:r>
          </w:p>
        </w:tc>
        <w:tc>
          <w:tcPr>
            <w:tcW w:w="3118" w:type="dxa"/>
            <w:shd w:val="clear" w:color="auto" w:fill="auto"/>
            <w:noWrap/>
            <w:vAlign w:val="center"/>
            <w:hideMark/>
          </w:tcPr>
          <w:p w:rsidR="007B3A89" w:rsidRPr="00CC126D" w:rsidRDefault="004639E2"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水中总磷溶液标准物</w:t>
            </w:r>
            <w:r w:rsidR="00A16EAD">
              <w:rPr>
                <w:rFonts w:ascii="Times New Roman" w:eastAsiaTheme="minorEastAsia" w:hAnsiTheme="minorEastAsia" w:cs="Times New Roman"/>
                <w:color w:val="000000"/>
                <w:kern w:val="0"/>
                <w:sz w:val="22"/>
                <w:szCs w:val="22"/>
              </w:rPr>
              <w:t>质</w:t>
            </w:r>
          </w:p>
        </w:tc>
        <w:tc>
          <w:tcPr>
            <w:tcW w:w="1216" w:type="dxa"/>
            <w:shd w:val="clear" w:color="auto" w:fill="auto"/>
            <w:noWrap/>
            <w:vAlign w:val="center"/>
            <w:hideMark/>
          </w:tcPr>
          <w:p w:rsidR="007B3A89" w:rsidRPr="00CC126D" w:rsidRDefault="007B3A89"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w:t>
            </w:r>
            <w:r w:rsidR="004639E2" w:rsidRPr="00CC126D">
              <w:rPr>
                <w:rFonts w:ascii="Times New Roman" w:eastAsiaTheme="minorEastAsia" w:hAnsi="Times New Roman" w:cs="Times New Roman"/>
                <w:color w:val="000000"/>
                <w:kern w:val="0"/>
                <w:sz w:val="22"/>
                <w:szCs w:val="22"/>
              </w:rPr>
              <w:t>0</w:t>
            </w:r>
          </w:p>
        </w:tc>
        <w:tc>
          <w:tcPr>
            <w:tcW w:w="1276" w:type="dxa"/>
            <w:shd w:val="clear" w:color="auto" w:fill="auto"/>
            <w:noWrap/>
            <w:vAlign w:val="center"/>
            <w:hideMark/>
          </w:tcPr>
          <w:p w:rsidR="007B3A89" w:rsidRPr="00CC126D" w:rsidRDefault="004639E2"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r w:rsidR="007B3A89" w:rsidRPr="00CC126D">
              <w:rPr>
                <w:rFonts w:ascii="Times New Roman" w:eastAsiaTheme="minorEastAsia" w:hAnsi="Times New Roman" w:cs="Times New Roman"/>
                <w:color w:val="000000"/>
                <w:kern w:val="0"/>
                <w:sz w:val="22"/>
                <w:szCs w:val="22"/>
              </w:rPr>
              <w:t>%</w:t>
            </w:r>
          </w:p>
        </w:tc>
      </w:tr>
      <w:tr w:rsidR="0055796C" w:rsidRPr="00CC126D" w:rsidTr="00DB7C26">
        <w:trPr>
          <w:trHeight w:val="397"/>
          <w:jc w:val="center"/>
        </w:trPr>
        <w:tc>
          <w:tcPr>
            <w:tcW w:w="463" w:type="dxa"/>
            <w:vAlign w:val="center"/>
          </w:tcPr>
          <w:p w:rsidR="007B3A89" w:rsidRPr="00CC126D" w:rsidRDefault="007B3A89" w:rsidP="006D57FD">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7B3A89" w:rsidRPr="00CC126D" w:rsidRDefault="004639E2"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GBW(E)083308</w:t>
            </w:r>
          </w:p>
        </w:tc>
        <w:tc>
          <w:tcPr>
            <w:tcW w:w="3118" w:type="dxa"/>
            <w:shd w:val="clear" w:color="auto" w:fill="auto"/>
            <w:noWrap/>
            <w:vAlign w:val="center"/>
            <w:hideMark/>
          </w:tcPr>
          <w:p w:rsidR="007B3A89" w:rsidRPr="00CC126D" w:rsidRDefault="004639E2"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水中总磷溶液标准物</w:t>
            </w:r>
            <w:r w:rsidR="00A16EAD">
              <w:rPr>
                <w:rFonts w:ascii="Times New Roman" w:eastAsiaTheme="minorEastAsia" w:hAnsiTheme="minorEastAsia" w:cs="Times New Roman"/>
                <w:color w:val="000000"/>
                <w:kern w:val="0"/>
                <w:sz w:val="22"/>
                <w:szCs w:val="22"/>
              </w:rPr>
              <w:t>质</w:t>
            </w:r>
          </w:p>
        </w:tc>
        <w:tc>
          <w:tcPr>
            <w:tcW w:w="1216" w:type="dxa"/>
            <w:shd w:val="clear" w:color="auto" w:fill="auto"/>
            <w:noWrap/>
            <w:vAlign w:val="center"/>
            <w:hideMark/>
          </w:tcPr>
          <w:p w:rsidR="007B3A89" w:rsidRPr="00CC126D" w:rsidRDefault="004639E2"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w:t>
            </w:r>
          </w:p>
        </w:tc>
        <w:tc>
          <w:tcPr>
            <w:tcW w:w="1276" w:type="dxa"/>
            <w:shd w:val="clear" w:color="auto" w:fill="auto"/>
            <w:noWrap/>
            <w:vAlign w:val="center"/>
            <w:hideMark/>
          </w:tcPr>
          <w:p w:rsidR="007B3A89" w:rsidRPr="00CC126D" w:rsidRDefault="007B3A89"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2%</w:t>
            </w:r>
          </w:p>
        </w:tc>
      </w:tr>
      <w:tr w:rsidR="0055796C" w:rsidRPr="00CC126D" w:rsidTr="00DB7C26">
        <w:trPr>
          <w:trHeight w:val="397"/>
          <w:jc w:val="center"/>
        </w:trPr>
        <w:tc>
          <w:tcPr>
            <w:tcW w:w="463" w:type="dxa"/>
            <w:vAlign w:val="center"/>
          </w:tcPr>
          <w:p w:rsidR="007B3A89" w:rsidRPr="00CC126D" w:rsidRDefault="007B3A89" w:rsidP="006D57FD">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7B3A89" w:rsidRPr="00CC126D" w:rsidRDefault="004639E2"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GBW(E)083309</w:t>
            </w:r>
          </w:p>
        </w:tc>
        <w:tc>
          <w:tcPr>
            <w:tcW w:w="3118" w:type="dxa"/>
            <w:shd w:val="clear" w:color="auto" w:fill="auto"/>
            <w:noWrap/>
            <w:vAlign w:val="center"/>
            <w:hideMark/>
          </w:tcPr>
          <w:p w:rsidR="007B3A89" w:rsidRPr="00CC126D" w:rsidRDefault="004639E2"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水中总磷溶液标准物</w:t>
            </w:r>
            <w:r w:rsidR="00A16EAD">
              <w:rPr>
                <w:rFonts w:ascii="Times New Roman" w:eastAsiaTheme="minorEastAsia" w:hAnsiTheme="minorEastAsia" w:cs="Times New Roman"/>
                <w:color w:val="000000"/>
                <w:kern w:val="0"/>
                <w:sz w:val="22"/>
                <w:szCs w:val="22"/>
              </w:rPr>
              <w:t>质</w:t>
            </w:r>
          </w:p>
        </w:tc>
        <w:tc>
          <w:tcPr>
            <w:tcW w:w="1216" w:type="dxa"/>
            <w:shd w:val="clear" w:color="auto" w:fill="auto"/>
            <w:noWrap/>
            <w:vAlign w:val="center"/>
            <w:hideMark/>
          </w:tcPr>
          <w:p w:rsidR="007B3A89" w:rsidRPr="00CC126D" w:rsidRDefault="007B3A89"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500</w:t>
            </w:r>
          </w:p>
        </w:tc>
        <w:tc>
          <w:tcPr>
            <w:tcW w:w="1276" w:type="dxa"/>
            <w:shd w:val="clear" w:color="auto" w:fill="auto"/>
            <w:noWrap/>
            <w:vAlign w:val="center"/>
            <w:hideMark/>
          </w:tcPr>
          <w:p w:rsidR="007B3A89" w:rsidRPr="00CC126D" w:rsidRDefault="007B3A89"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p>
        </w:tc>
      </w:tr>
      <w:tr w:rsidR="0055796C" w:rsidRPr="00CC126D" w:rsidTr="00DB7C26">
        <w:trPr>
          <w:trHeight w:val="397"/>
          <w:jc w:val="center"/>
        </w:trPr>
        <w:tc>
          <w:tcPr>
            <w:tcW w:w="463" w:type="dxa"/>
            <w:vAlign w:val="center"/>
          </w:tcPr>
          <w:p w:rsidR="007B3A89" w:rsidRPr="00CC126D" w:rsidRDefault="007B3A89" w:rsidP="006D57FD">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7B3A89" w:rsidRPr="00CC126D" w:rsidRDefault="004639E2" w:rsidP="004639E2">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GBW(E)083310</w:t>
            </w:r>
          </w:p>
        </w:tc>
        <w:tc>
          <w:tcPr>
            <w:tcW w:w="3118" w:type="dxa"/>
            <w:shd w:val="clear" w:color="auto" w:fill="auto"/>
            <w:noWrap/>
            <w:vAlign w:val="center"/>
            <w:hideMark/>
          </w:tcPr>
          <w:p w:rsidR="007B3A89" w:rsidRPr="00CC126D" w:rsidRDefault="004639E2"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水中总磷溶液标准物</w:t>
            </w:r>
            <w:r w:rsidR="00A16EAD">
              <w:rPr>
                <w:rFonts w:ascii="Times New Roman" w:eastAsiaTheme="minorEastAsia" w:hAnsiTheme="minorEastAsia" w:cs="Times New Roman"/>
                <w:color w:val="000000"/>
                <w:kern w:val="0"/>
                <w:sz w:val="22"/>
                <w:szCs w:val="22"/>
              </w:rPr>
              <w:t>质</w:t>
            </w:r>
          </w:p>
        </w:tc>
        <w:tc>
          <w:tcPr>
            <w:tcW w:w="1216" w:type="dxa"/>
            <w:shd w:val="clear" w:color="auto" w:fill="auto"/>
            <w:noWrap/>
            <w:vAlign w:val="center"/>
            <w:hideMark/>
          </w:tcPr>
          <w:p w:rsidR="007B3A89" w:rsidRPr="00CC126D" w:rsidRDefault="007B3A89"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1000</w:t>
            </w:r>
          </w:p>
        </w:tc>
        <w:tc>
          <w:tcPr>
            <w:tcW w:w="1276" w:type="dxa"/>
            <w:shd w:val="clear" w:color="auto" w:fill="auto"/>
            <w:noWrap/>
            <w:vAlign w:val="center"/>
            <w:hideMark/>
          </w:tcPr>
          <w:p w:rsidR="007B3A89" w:rsidRPr="00CC126D" w:rsidRDefault="004639E2"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r w:rsidR="007B3A89" w:rsidRPr="00CC126D">
              <w:rPr>
                <w:rFonts w:ascii="Times New Roman" w:eastAsiaTheme="minorEastAsia" w:hAnsi="Times New Roman" w:cs="Times New Roman"/>
                <w:color w:val="000000"/>
                <w:kern w:val="0"/>
                <w:sz w:val="22"/>
                <w:szCs w:val="22"/>
              </w:rPr>
              <w:t>%</w:t>
            </w:r>
          </w:p>
        </w:tc>
      </w:tr>
      <w:tr w:rsidR="0055796C" w:rsidRPr="00CC126D" w:rsidTr="00DB7C26">
        <w:trPr>
          <w:trHeight w:val="397"/>
          <w:jc w:val="center"/>
        </w:trPr>
        <w:tc>
          <w:tcPr>
            <w:tcW w:w="463" w:type="dxa"/>
            <w:vAlign w:val="center"/>
          </w:tcPr>
          <w:p w:rsidR="007B3A89" w:rsidRPr="00CC126D" w:rsidRDefault="007B3A89" w:rsidP="006D57FD">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7B3A89" w:rsidRPr="00CC126D" w:rsidRDefault="004639E2"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GBW(E)083928</w:t>
            </w:r>
          </w:p>
        </w:tc>
        <w:tc>
          <w:tcPr>
            <w:tcW w:w="3118" w:type="dxa"/>
            <w:shd w:val="clear" w:color="auto" w:fill="auto"/>
            <w:noWrap/>
            <w:vAlign w:val="center"/>
            <w:hideMark/>
          </w:tcPr>
          <w:p w:rsidR="007B3A89" w:rsidRPr="00CC126D" w:rsidRDefault="004639E2"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水中总磷溶液标准物</w:t>
            </w:r>
            <w:r w:rsidR="00A16EAD">
              <w:rPr>
                <w:rFonts w:ascii="Times New Roman" w:eastAsiaTheme="minorEastAsia" w:hAnsiTheme="minorEastAsia" w:cs="Times New Roman"/>
                <w:color w:val="000000"/>
                <w:kern w:val="0"/>
                <w:sz w:val="22"/>
                <w:szCs w:val="22"/>
              </w:rPr>
              <w:t>质</w:t>
            </w:r>
          </w:p>
        </w:tc>
        <w:tc>
          <w:tcPr>
            <w:tcW w:w="1216" w:type="dxa"/>
            <w:shd w:val="clear" w:color="auto" w:fill="auto"/>
            <w:noWrap/>
            <w:vAlign w:val="center"/>
            <w:hideMark/>
          </w:tcPr>
          <w:p w:rsidR="007B3A89" w:rsidRPr="00CC126D" w:rsidRDefault="004639E2"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1000</w:t>
            </w:r>
          </w:p>
        </w:tc>
        <w:tc>
          <w:tcPr>
            <w:tcW w:w="1276" w:type="dxa"/>
            <w:shd w:val="clear" w:color="auto" w:fill="auto"/>
            <w:noWrap/>
            <w:vAlign w:val="center"/>
            <w:hideMark/>
          </w:tcPr>
          <w:p w:rsidR="007B3A89" w:rsidRPr="00CC126D" w:rsidRDefault="007B3A89"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r w:rsidR="004639E2" w:rsidRPr="00CC126D">
              <w:rPr>
                <w:rFonts w:ascii="Times New Roman" w:eastAsiaTheme="minorEastAsia" w:hAnsi="Times New Roman" w:cs="Times New Roman"/>
                <w:color w:val="000000"/>
                <w:kern w:val="0"/>
                <w:sz w:val="22"/>
                <w:szCs w:val="22"/>
              </w:rPr>
              <w:t>.5</w:t>
            </w:r>
            <w:r w:rsidRPr="00CC126D">
              <w:rPr>
                <w:rFonts w:ascii="Times New Roman" w:eastAsiaTheme="minorEastAsia" w:hAnsi="Times New Roman" w:cs="Times New Roman"/>
                <w:color w:val="000000"/>
                <w:kern w:val="0"/>
                <w:sz w:val="22"/>
                <w:szCs w:val="22"/>
              </w:rPr>
              <w:t>%</w:t>
            </w:r>
          </w:p>
        </w:tc>
      </w:tr>
      <w:tr w:rsidR="0055796C" w:rsidRPr="00CC126D" w:rsidTr="00DB7C26">
        <w:trPr>
          <w:trHeight w:val="397"/>
          <w:jc w:val="center"/>
        </w:trPr>
        <w:tc>
          <w:tcPr>
            <w:tcW w:w="463" w:type="dxa"/>
            <w:vAlign w:val="center"/>
          </w:tcPr>
          <w:p w:rsidR="007B3A89" w:rsidRPr="00CC126D" w:rsidRDefault="007B3A89" w:rsidP="006D57FD">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7B3A89" w:rsidRPr="00CC126D" w:rsidRDefault="004639E2"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GBW(E)083929</w:t>
            </w:r>
          </w:p>
        </w:tc>
        <w:tc>
          <w:tcPr>
            <w:tcW w:w="3118" w:type="dxa"/>
            <w:shd w:val="clear" w:color="auto" w:fill="auto"/>
            <w:noWrap/>
            <w:vAlign w:val="center"/>
            <w:hideMark/>
          </w:tcPr>
          <w:p w:rsidR="007B3A89" w:rsidRPr="00CC126D" w:rsidRDefault="004639E2"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水中总磷溶液标准物</w:t>
            </w:r>
            <w:r w:rsidR="00A16EAD">
              <w:rPr>
                <w:rFonts w:ascii="Times New Roman" w:eastAsiaTheme="minorEastAsia" w:hAnsiTheme="minorEastAsia" w:cs="Times New Roman"/>
                <w:color w:val="000000"/>
                <w:kern w:val="0"/>
                <w:sz w:val="22"/>
                <w:szCs w:val="22"/>
              </w:rPr>
              <w:t>质</w:t>
            </w:r>
          </w:p>
        </w:tc>
        <w:tc>
          <w:tcPr>
            <w:tcW w:w="1216" w:type="dxa"/>
            <w:shd w:val="clear" w:color="auto" w:fill="auto"/>
            <w:noWrap/>
            <w:vAlign w:val="center"/>
            <w:hideMark/>
          </w:tcPr>
          <w:p w:rsidR="007B3A89" w:rsidRPr="00CC126D" w:rsidRDefault="004639E2"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5</w:t>
            </w:r>
            <w:r w:rsidR="007B3A89" w:rsidRPr="00CC126D">
              <w:rPr>
                <w:rFonts w:ascii="Times New Roman" w:eastAsiaTheme="minorEastAsia" w:hAnsi="Times New Roman" w:cs="Times New Roman"/>
                <w:color w:val="000000"/>
                <w:kern w:val="0"/>
                <w:sz w:val="22"/>
                <w:szCs w:val="22"/>
              </w:rPr>
              <w:t>00</w:t>
            </w:r>
          </w:p>
        </w:tc>
        <w:tc>
          <w:tcPr>
            <w:tcW w:w="1276" w:type="dxa"/>
            <w:shd w:val="clear" w:color="auto" w:fill="auto"/>
            <w:noWrap/>
            <w:vAlign w:val="center"/>
            <w:hideMark/>
          </w:tcPr>
          <w:p w:rsidR="007B3A89" w:rsidRPr="00CC126D" w:rsidRDefault="007B3A89"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p>
        </w:tc>
      </w:tr>
      <w:tr w:rsidR="00F41636" w:rsidRPr="00CC126D" w:rsidTr="00DB7C26">
        <w:trPr>
          <w:trHeight w:val="397"/>
          <w:jc w:val="center"/>
        </w:trPr>
        <w:tc>
          <w:tcPr>
            <w:tcW w:w="463" w:type="dxa"/>
            <w:vAlign w:val="center"/>
          </w:tcPr>
          <w:p w:rsidR="00DB7C26" w:rsidRPr="00CC126D" w:rsidRDefault="00DB7C26" w:rsidP="006D57FD">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DB7C26" w:rsidRPr="00CC126D" w:rsidRDefault="00DB7C26" w:rsidP="00DB7C26">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GBW(E)083930</w:t>
            </w:r>
          </w:p>
        </w:tc>
        <w:tc>
          <w:tcPr>
            <w:tcW w:w="3118" w:type="dxa"/>
            <w:shd w:val="clear" w:color="auto" w:fill="auto"/>
            <w:noWrap/>
            <w:vAlign w:val="center"/>
            <w:hideMark/>
          </w:tcPr>
          <w:p w:rsidR="00DB7C26" w:rsidRPr="00CC126D" w:rsidRDefault="00DB7C26" w:rsidP="00DB7C26">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水中总磷溶液标准物</w:t>
            </w:r>
            <w:r w:rsidR="00A16EAD">
              <w:rPr>
                <w:rFonts w:ascii="Times New Roman" w:eastAsiaTheme="minorEastAsia" w:hAnsiTheme="minorEastAsia" w:cs="Times New Roman"/>
                <w:color w:val="000000"/>
                <w:kern w:val="0"/>
                <w:sz w:val="22"/>
                <w:szCs w:val="22"/>
              </w:rPr>
              <w:t>质</w:t>
            </w:r>
          </w:p>
        </w:tc>
        <w:tc>
          <w:tcPr>
            <w:tcW w:w="1216" w:type="dxa"/>
            <w:shd w:val="clear" w:color="auto" w:fill="auto"/>
            <w:noWrap/>
            <w:vAlign w:val="center"/>
            <w:hideMark/>
          </w:tcPr>
          <w:p w:rsidR="00DB7C26"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w:t>
            </w:r>
          </w:p>
        </w:tc>
        <w:tc>
          <w:tcPr>
            <w:tcW w:w="1276" w:type="dxa"/>
            <w:shd w:val="clear" w:color="auto" w:fill="auto"/>
            <w:noWrap/>
            <w:vAlign w:val="center"/>
            <w:hideMark/>
          </w:tcPr>
          <w:p w:rsidR="00DB7C26"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1.5%</w:t>
            </w:r>
          </w:p>
        </w:tc>
      </w:tr>
      <w:tr w:rsidR="00F41636" w:rsidRPr="00CC126D" w:rsidTr="00DB7C26">
        <w:trPr>
          <w:trHeight w:val="397"/>
          <w:jc w:val="center"/>
        </w:trPr>
        <w:tc>
          <w:tcPr>
            <w:tcW w:w="463" w:type="dxa"/>
            <w:vAlign w:val="center"/>
          </w:tcPr>
          <w:p w:rsidR="00DB7C26" w:rsidRPr="00CC126D" w:rsidRDefault="00DB7C26" w:rsidP="006D57FD">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DB7C26"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GBW(E)084839</w:t>
            </w:r>
          </w:p>
        </w:tc>
        <w:tc>
          <w:tcPr>
            <w:tcW w:w="3118" w:type="dxa"/>
            <w:shd w:val="clear" w:color="auto" w:fill="auto"/>
            <w:noWrap/>
            <w:vAlign w:val="center"/>
            <w:hideMark/>
          </w:tcPr>
          <w:p w:rsidR="00DB7C26" w:rsidRPr="00CC126D" w:rsidRDefault="00DB7C26" w:rsidP="00DB7C26">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水中总磷溶液标准物</w:t>
            </w:r>
            <w:r w:rsidR="00A16EAD">
              <w:rPr>
                <w:rFonts w:ascii="Times New Roman" w:eastAsiaTheme="minorEastAsia" w:hAnsiTheme="minorEastAsia" w:cs="Times New Roman"/>
                <w:color w:val="000000"/>
                <w:kern w:val="0"/>
                <w:sz w:val="22"/>
                <w:szCs w:val="22"/>
              </w:rPr>
              <w:t>质</w:t>
            </w:r>
          </w:p>
        </w:tc>
        <w:tc>
          <w:tcPr>
            <w:tcW w:w="1216" w:type="dxa"/>
            <w:shd w:val="clear" w:color="auto" w:fill="auto"/>
            <w:noWrap/>
            <w:vAlign w:val="center"/>
            <w:hideMark/>
          </w:tcPr>
          <w:p w:rsidR="00DB7C26"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w:t>
            </w:r>
          </w:p>
        </w:tc>
        <w:tc>
          <w:tcPr>
            <w:tcW w:w="1276" w:type="dxa"/>
            <w:shd w:val="clear" w:color="auto" w:fill="auto"/>
            <w:noWrap/>
            <w:vAlign w:val="center"/>
            <w:hideMark/>
          </w:tcPr>
          <w:p w:rsidR="00DB7C26"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2%</w:t>
            </w:r>
          </w:p>
        </w:tc>
      </w:tr>
      <w:tr w:rsidR="0055796C" w:rsidRPr="00CC126D" w:rsidTr="00DB7C26">
        <w:trPr>
          <w:trHeight w:val="397"/>
          <w:jc w:val="center"/>
        </w:trPr>
        <w:tc>
          <w:tcPr>
            <w:tcW w:w="463" w:type="dxa"/>
            <w:vAlign w:val="center"/>
          </w:tcPr>
          <w:p w:rsidR="007B3A89" w:rsidRPr="00CC126D" w:rsidRDefault="007B3A89" w:rsidP="006D57FD">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7B3A89"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GBW(E)084840</w:t>
            </w:r>
          </w:p>
        </w:tc>
        <w:tc>
          <w:tcPr>
            <w:tcW w:w="3118" w:type="dxa"/>
            <w:shd w:val="clear" w:color="auto" w:fill="auto"/>
            <w:noWrap/>
            <w:vAlign w:val="center"/>
            <w:hideMark/>
          </w:tcPr>
          <w:p w:rsidR="007B3A89"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水中总磷溶液标准物</w:t>
            </w:r>
            <w:r w:rsidR="00A16EAD">
              <w:rPr>
                <w:rFonts w:ascii="Times New Roman" w:eastAsiaTheme="minorEastAsia" w:hAnsiTheme="minorEastAsia" w:cs="Times New Roman"/>
                <w:color w:val="000000"/>
                <w:kern w:val="0"/>
                <w:sz w:val="22"/>
                <w:szCs w:val="22"/>
              </w:rPr>
              <w:t>质</w:t>
            </w:r>
          </w:p>
        </w:tc>
        <w:tc>
          <w:tcPr>
            <w:tcW w:w="1216" w:type="dxa"/>
            <w:shd w:val="clear" w:color="auto" w:fill="auto"/>
            <w:noWrap/>
            <w:vAlign w:val="center"/>
            <w:hideMark/>
          </w:tcPr>
          <w:p w:rsidR="007B3A89"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5</w:t>
            </w:r>
            <w:r w:rsidR="007B3A89" w:rsidRPr="00CC126D">
              <w:rPr>
                <w:rFonts w:ascii="Times New Roman" w:eastAsiaTheme="minorEastAsia" w:hAnsi="Times New Roman" w:cs="Times New Roman"/>
                <w:color w:val="000000"/>
                <w:kern w:val="0"/>
                <w:sz w:val="22"/>
                <w:szCs w:val="22"/>
              </w:rPr>
              <w:t>00</w:t>
            </w:r>
          </w:p>
        </w:tc>
        <w:tc>
          <w:tcPr>
            <w:tcW w:w="1276" w:type="dxa"/>
            <w:shd w:val="clear" w:color="auto" w:fill="auto"/>
            <w:noWrap/>
            <w:vAlign w:val="center"/>
            <w:hideMark/>
          </w:tcPr>
          <w:p w:rsidR="007B3A89"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r w:rsidR="007B3A89" w:rsidRPr="00CC126D">
              <w:rPr>
                <w:rFonts w:ascii="Times New Roman" w:eastAsiaTheme="minorEastAsia" w:hAnsi="Times New Roman" w:cs="Times New Roman"/>
                <w:color w:val="000000"/>
                <w:kern w:val="0"/>
                <w:sz w:val="22"/>
                <w:szCs w:val="22"/>
              </w:rPr>
              <w:t>%</w:t>
            </w:r>
          </w:p>
        </w:tc>
      </w:tr>
      <w:tr w:rsidR="0055796C" w:rsidRPr="00CC126D" w:rsidTr="00DB7C26">
        <w:trPr>
          <w:trHeight w:val="397"/>
          <w:jc w:val="center"/>
        </w:trPr>
        <w:tc>
          <w:tcPr>
            <w:tcW w:w="463" w:type="dxa"/>
            <w:vAlign w:val="center"/>
          </w:tcPr>
          <w:p w:rsidR="007B3A89" w:rsidRPr="00CC126D" w:rsidRDefault="007B3A89" w:rsidP="006D57FD">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7B3A89"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GBW(E)081216</w:t>
            </w:r>
          </w:p>
        </w:tc>
        <w:tc>
          <w:tcPr>
            <w:tcW w:w="3118" w:type="dxa"/>
            <w:shd w:val="clear" w:color="auto" w:fill="auto"/>
            <w:noWrap/>
            <w:vAlign w:val="center"/>
            <w:hideMark/>
          </w:tcPr>
          <w:p w:rsidR="007B3A89"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水中磷酸盐</w:t>
            </w:r>
            <w:r w:rsidRPr="00CC126D">
              <w:rPr>
                <w:rFonts w:ascii="Times New Roman" w:eastAsiaTheme="minorEastAsia" w:hAnsi="Times New Roman" w:cs="Times New Roman"/>
                <w:color w:val="000000"/>
                <w:kern w:val="0"/>
                <w:sz w:val="22"/>
                <w:szCs w:val="22"/>
              </w:rPr>
              <w:t>-</w:t>
            </w:r>
            <w:r w:rsidRPr="00CC126D">
              <w:rPr>
                <w:rFonts w:ascii="Times New Roman" w:eastAsiaTheme="minorEastAsia" w:hAnsiTheme="minorEastAsia" w:cs="Times New Roman"/>
                <w:color w:val="000000"/>
                <w:kern w:val="0"/>
                <w:sz w:val="22"/>
                <w:szCs w:val="22"/>
              </w:rPr>
              <w:t>磷成分分析标准物质</w:t>
            </w:r>
          </w:p>
        </w:tc>
        <w:tc>
          <w:tcPr>
            <w:tcW w:w="1216" w:type="dxa"/>
            <w:shd w:val="clear" w:color="auto" w:fill="auto"/>
            <w:noWrap/>
            <w:vAlign w:val="center"/>
            <w:hideMark/>
          </w:tcPr>
          <w:p w:rsidR="007B3A89" w:rsidRPr="00CC126D" w:rsidRDefault="007B3A89"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w:t>
            </w:r>
          </w:p>
        </w:tc>
        <w:tc>
          <w:tcPr>
            <w:tcW w:w="1276" w:type="dxa"/>
            <w:shd w:val="clear" w:color="auto" w:fill="auto"/>
            <w:noWrap/>
            <w:vAlign w:val="center"/>
            <w:hideMark/>
          </w:tcPr>
          <w:p w:rsidR="007B3A89"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2.8</w:t>
            </w:r>
            <w:r w:rsidR="007B3A89" w:rsidRPr="00CC126D">
              <w:rPr>
                <w:rFonts w:ascii="Times New Roman" w:eastAsiaTheme="minorEastAsia" w:hAnsi="Times New Roman" w:cs="Times New Roman"/>
                <w:color w:val="000000"/>
                <w:kern w:val="0"/>
                <w:sz w:val="22"/>
                <w:szCs w:val="22"/>
              </w:rPr>
              <w:t>%</w:t>
            </w:r>
          </w:p>
        </w:tc>
      </w:tr>
      <w:tr w:rsidR="0055796C" w:rsidRPr="00CC126D" w:rsidTr="00DB7C26">
        <w:trPr>
          <w:trHeight w:val="397"/>
          <w:jc w:val="center"/>
        </w:trPr>
        <w:tc>
          <w:tcPr>
            <w:tcW w:w="463" w:type="dxa"/>
            <w:vAlign w:val="center"/>
          </w:tcPr>
          <w:p w:rsidR="007B3A89" w:rsidRPr="00CC126D" w:rsidRDefault="007B3A89" w:rsidP="006D57FD">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7B3A89"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GBW(E)081229</w:t>
            </w:r>
          </w:p>
        </w:tc>
        <w:tc>
          <w:tcPr>
            <w:tcW w:w="3118" w:type="dxa"/>
            <w:shd w:val="clear" w:color="auto" w:fill="auto"/>
            <w:noWrap/>
            <w:vAlign w:val="center"/>
            <w:hideMark/>
          </w:tcPr>
          <w:p w:rsidR="007B3A89"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水中磷酸盐</w:t>
            </w:r>
            <w:r w:rsidRPr="00CC126D">
              <w:rPr>
                <w:rFonts w:ascii="Times New Roman" w:eastAsiaTheme="minorEastAsia" w:hAnsi="Times New Roman" w:cs="Times New Roman"/>
                <w:color w:val="000000"/>
                <w:kern w:val="0"/>
                <w:sz w:val="22"/>
                <w:szCs w:val="22"/>
              </w:rPr>
              <w:t>-</w:t>
            </w:r>
            <w:r w:rsidRPr="00CC126D">
              <w:rPr>
                <w:rFonts w:ascii="Times New Roman" w:eastAsiaTheme="minorEastAsia" w:hAnsiTheme="minorEastAsia" w:cs="Times New Roman"/>
                <w:color w:val="000000"/>
                <w:kern w:val="0"/>
                <w:sz w:val="22"/>
                <w:szCs w:val="22"/>
              </w:rPr>
              <w:t>磷成分分析标准物质</w:t>
            </w:r>
          </w:p>
        </w:tc>
        <w:tc>
          <w:tcPr>
            <w:tcW w:w="1216" w:type="dxa"/>
            <w:shd w:val="clear" w:color="auto" w:fill="auto"/>
            <w:noWrap/>
            <w:vAlign w:val="center"/>
            <w:hideMark/>
          </w:tcPr>
          <w:p w:rsidR="007B3A89" w:rsidRPr="00CC126D" w:rsidRDefault="007B3A89"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w:t>
            </w:r>
            <w:r w:rsidR="00DB7C26" w:rsidRPr="00CC126D">
              <w:rPr>
                <w:rFonts w:ascii="Times New Roman" w:eastAsiaTheme="minorEastAsia" w:hAnsi="Times New Roman" w:cs="Times New Roman"/>
                <w:color w:val="000000"/>
                <w:kern w:val="0"/>
                <w:sz w:val="22"/>
                <w:szCs w:val="22"/>
              </w:rPr>
              <w:t>0</w:t>
            </w:r>
          </w:p>
        </w:tc>
        <w:tc>
          <w:tcPr>
            <w:tcW w:w="1276" w:type="dxa"/>
            <w:shd w:val="clear" w:color="auto" w:fill="auto"/>
            <w:noWrap/>
            <w:vAlign w:val="center"/>
            <w:hideMark/>
          </w:tcPr>
          <w:p w:rsidR="007B3A89"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0.6</w:t>
            </w:r>
            <w:r w:rsidR="007B3A89" w:rsidRPr="00CC126D">
              <w:rPr>
                <w:rFonts w:ascii="Times New Roman" w:eastAsiaTheme="minorEastAsia" w:hAnsi="Times New Roman" w:cs="Times New Roman"/>
                <w:color w:val="000000"/>
                <w:kern w:val="0"/>
                <w:sz w:val="22"/>
                <w:szCs w:val="22"/>
              </w:rPr>
              <w:t>%</w:t>
            </w:r>
          </w:p>
        </w:tc>
      </w:tr>
      <w:tr w:rsidR="0055796C" w:rsidRPr="00CC126D" w:rsidTr="00DB7C26">
        <w:trPr>
          <w:trHeight w:val="397"/>
          <w:jc w:val="center"/>
        </w:trPr>
        <w:tc>
          <w:tcPr>
            <w:tcW w:w="463" w:type="dxa"/>
            <w:vAlign w:val="center"/>
          </w:tcPr>
          <w:p w:rsidR="007B3A89" w:rsidRPr="00CC126D" w:rsidRDefault="007B3A89" w:rsidP="006D57FD">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7B3A89"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GBW(E)081699</w:t>
            </w:r>
          </w:p>
        </w:tc>
        <w:tc>
          <w:tcPr>
            <w:tcW w:w="3118" w:type="dxa"/>
            <w:shd w:val="clear" w:color="auto" w:fill="auto"/>
            <w:noWrap/>
            <w:vAlign w:val="center"/>
            <w:hideMark/>
          </w:tcPr>
          <w:p w:rsidR="007B3A89"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水中磷酸盐</w:t>
            </w:r>
            <w:r w:rsidRPr="00CC126D">
              <w:rPr>
                <w:rFonts w:ascii="Times New Roman" w:eastAsiaTheme="minorEastAsia" w:hAnsi="Times New Roman" w:cs="Times New Roman"/>
                <w:color w:val="000000"/>
                <w:kern w:val="0"/>
                <w:sz w:val="22"/>
                <w:szCs w:val="22"/>
              </w:rPr>
              <w:t>-</w:t>
            </w:r>
            <w:r w:rsidRPr="00CC126D">
              <w:rPr>
                <w:rFonts w:ascii="Times New Roman" w:eastAsiaTheme="minorEastAsia" w:hAnsiTheme="minorEastAsia" w:cs="Times New Roman"/>
                <w:color w:val="000000"/>
                <w:kern w:val="0"/>
                <w:sz w:val="22"/>
                <w:szCs w:val="22"/>
              </w:rPr>
              <w:t>磷成分分析标准物质</w:t>
            </w:r>
          </w:p>
        </w:tc>
        <w:tc>
          <w:tcPr>
            <w:tcW w:w="1216" w:type="dxa"/>
            <w:shd w:val="clear" w:color="auto" w:fill="auto"/>
            <w:noWrap/>
            <w:vAlign w:val="center"/>
            <w:hideMark/>
          </w:tcPr>
          <w:p w:rsidR="007B3A89"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2</w:t>
            </w:r>
            <w:r w:rsidR="007B3A89" w:rsidRPr="00CC126D">
              <w:rPr>
                <w:rFonts w:ascii="Times New Roman" w:eastAsiaTheme="minorEastAsia" w:hAnsi="Times New Roman" w:cs="Times New Roman"/>
                <w:color w:val="000000"/>
                <w:kern w:val="0"/>
                <w:sz w:val="22"/>
                <w:szCs w:val="22"/>
              </w:rPr>
              <w:t>00</w:t>
            </w:r>
          </w:p>
        </w:tc>
        <w:tc>
          <w:tcPr>
            <w:tcW w:w="1276" w:type="dxa"/>
            <w:shd w:val="clear" w:color="auto" w:fill="auto"/>
            <w:noWrap/>
            <w:vAlign w:val="center"/>
            <w:hideMark/>
          </w:tcPr>
          <w:p w:rsidR="007B3A89" w:rsidRPr="00CC126D" w:rsidRDefault="007B3A89"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2%</w:t>
            </w:r>
          </w:p>
        </w:tc>
      </w:tr>
      <w:tr w:rsidR="0055796C" w:rsidRPr="00CC126D" w:rsidTr="00DB7C26">
        <w:trPr>
          <w:trHeight w:val="397"/>
          <w:jc w:val="center"/>
        </w:trPr>
        <w:tc>
          <w:tcPr>
            <w:tcW w:w="463" w:type="dxa"/>
            <w:vAlign w:val="center"/>
          </w:tcPr>
          <w:p w:rsidR="007B3A89" w:rsidRPr="00CC126D" w:rsidRDefault="007B3A89" w:rsidP="006D57FD">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7B3A89"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GBW(E)083221</w:t>
            </w:r>
          </w:p>
        </w:tc>
        <w:tc>
          <w:tcPr>
            <w:tcW w:w="3118" w:type="dxa"/>
            <w:shd w:val="clear" w:color="auto" w:fill="auto"/>
            <w:noWrap/>
            <w:vAlign w:val="center"/>
            <w:hideMark/>
          </w:tcPr>
          <w:p w:rsidR="007B3A89"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水中磷酸盐</w:t>
            </w:r>
            <w:r w:rsidRPr="00CC126D">
              <w:rPr>
                <w:rFonts w:ascii="Times New Roman" w:eastAsiaTheme="minorEastAsia" w:hAnsi="Times New Roman" w:cs="Times New Roman"/>
                <w:color w:val="000000"/>
                <w:kern w:val="0"/>
                <w:sz w:val="22"/>
                <w:szCs w:val="22"/>
              </w:rPr>
              <w:t>-</w:t>
            </w:r>
            <w:r w:rsidRPr="00CC126D">
              <w:rPr>
                <w:rFonts w:ascii="Times New Roman" w:eastAsiaTheme="minorEastAsia" w:hAnsiTheme="minorEastAsia" w:cs="Times New Roman"/>
                <w:color w:val="000000"/>
                <w:kern w:val="0"/>
                <w:sz w:val="22"/>
                <w:szCs w:val="22"/>
              </w:rPr>
              <w:t>磷成分分析标准物质</w:t>
            </w:r>
          </w:p>
        </w:tc>
        <w:tc>
          <w:tcPr>
            <w:tcW w:w="1216" w:type="dxa"/>
            <w:shd w:val="clear" w:color="auto" w:fill="auto"/>
            <w:noWrap/>
            <w:vAlign w:val="center"/>
            <w:hideMark/>
          </w:tcPr>
          <w:p w:rsidR="007B3A89" w:rsidRPr="00CC126D" w:rsidRDefault="007B3A89"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1000</w:t>
            </w:r>
          </w:p>
        </w:tc>
        <w:tc>
          <w:tcPr>
            <w:tcW w:w="1276" w:type="dxa"/>
            <w:shd w:val="clear" w:color="auto" w:fill="auto"/>
            <w:noWrap/>
            <w:vAlign w:val="center"/>
            <w:hideMark/>
          </w:tcPr>
          <w:p w:rsidR="007B3A89"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r w:rsidR="007B3A89" w:rsidRPr="00CC126D">
              <w:rPr>
                <w:rFonts w:ascii="Times New Roman" w:eastAsiaTheme="minorEastAsia" w:hAnsi="Times New Roman" w:cs="Times New Roman"/>
                <w:color w:val="000000"/>
                <w:kern w:val="0"/>
                <w:sz w:val="22"/>
                <w:szCs w:val="22"/>
              </w:rPr>
              <w:t>%</w:t>
            </w:r>
            <w:bookmarkStart w:id="2" w:name="_GoBack"/>
            <w:bookmarkEnd w:id="2"/>
          </w:p>
        </w:tc>
      </w:tr>
      <w:tr w:rsidR="0055796C" w:rsidRPr="00CC126D" w:rsidTr="00DB7C26">
        <w:trPr>
          <w:trHeight w:val="397"/>
          <w:jc w:val="center"/>
        </w:trPr>
        <w:tc>
          <w:tcPr>
            <w:tcW w:w="463" w:type="dxa"/>
            <w:vAlign w:val="center"/>
          </w:tcPr>
          <w:p w:rsidR="007B3A89" w:rsidRPr="00CC126D" w:rsidRDefault="007B3A89" w:rsidP="006D57FD">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7B3A89"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GBW(E)083229</w:t>
            </w:r>
          </w:p>
        </w:tc>
        <w:tc>
          <w:tcPr>
            <w:tcW w:w="3118" w:type="dxa"/>
            <w:shd w:val="clear" w:color="auto" w:fill="auto"/>
            <w:noWrap/>
            <w:vAlign w:val="center"/>
            <w:hideMark/>
          </w:tcPr>
          <w:p w:rsidR="007B3A89"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水中磷酸盐</w:t>
            </w:r>
            <w:r w:rsidRPr="00CC126D">
              <w:rPr>
                <w:rFonts w:ascii="Times New Roman" w:eastAsiaTheme="minorEastAsia" w:hAnsi="Times New Roman" w:cs="Times New Roman"/>
                <w:color w:val="000000"/>
                <w:kern w:val="0"/>
                <w:sz w:val="22"/>
                <w:szCs w:val="22"/>
              </w:rPr>
              <w:t>-</w:t>
            </w:r>
            <w:r w:rsidRPr="00CC126D">
              <w:rPr>
                <w:rFonts w:ascii="Times New Roman" w:eastAsiaTheme="minorEastAsia" w:hAnsiTheme="minorEastAsia" w:cs="Times New Roman"/>
                <w:color w:val="000000"/>
                <w:kern w:val="0"/>
                <w:sz w:val="22"/>
                <w:szCs w:val="22"/>
              </w:rPr>
              <w:t>磷成分分析标准物质</w:t>
            </w:r>
          </w:p>
        </w:tc>
        <w:tc>
          <w:tcPr>
            <w:tcW w:w="1216" w:type="dxa"/>
            <w:shd w:val="clear" w:color="auto" w:fill="auto"/>
            <w:noWrap/>
            <w:vAlign w:val="center"/>
            <w:hideMark/>
          </w:tcPr>
          <w:p w:rsidR="007B3A89" w:rsidRPr="00CC126D" w:rsidRDefault="007B3A89"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w:t>
            </w:r>
          </w:p>
        </w:tc>
        <w:tc>
          <w:tcPr>
            <w:tcW w:w="1276" w:type="dxa"/>
            <w:shd w:val="clear" w:color="auto" w:fill="auto"/>
            <w:noWrap/>
            <w:vAlign w:val="center"/>
            <w:hideMark/>
          </w:tcPr>
          <w:p w:rsidR="007B3A89" w:rsidRPr="00CC126D" w:rsidRDefault="007B3A89"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2%</w:t>
            </w:r>
          </w:p>
        </w:tc>
      </w:tr>
      <w:tr w:rsidR="0055796C" w:rsidRPr="00CC126D" w:rsidTr="00DB7C26">
        <w:trPr>
          <w:trHeight w:val="397"/>
          <w:jc w:val="center"/>
        </w:trPr>
        <w:tc>
          <w:tcPr>
            <w:tcW w:w="463" w:type="dxa"/>
            <w:vAlign w:val="center"/>
          </w:tcPr>
          <w:p w:rsidR="007B3A89" w:rsidRPr="00CC126D" w:rsidRDefault="007B3A89" w:rsidP="006D57FD">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7B3A89"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GBW(E)083246</w:t>
            </w:r>
          </w:p>
        </w:tc>
        <w:tc>
          <w:tcPr>
            <w:tcW w:w="3118" w:type="dxa"/>
            <w:shd w:val="clear" w:color="auto" w:fill="auto"/>
            <w:noWrap/>
            <w:vAlign w:val="center"/>
            <w:hideMark/>
          </w:tcPr>
          <w:p w:rsidR="007B3A89"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水中磷酸盐</w:t>
            </w:r>
            <w:r w:rsidRPr="00CC126D">
              <w:rPr>
                <w:rFonts w:ascii="Times New Roman" w:eastAsiaTheme="minorEastAsia" w:hAnsi="Times New Roman" w:cs="Times New Roman"/>
                <w:color w:val="000000"/>
                <w:kern w:val="0"/>
                <w:sz w:val="22"/>
                <w:szCs w:val="22"/>
              </w:rPr>
              <w:t>-</w:t>
            </w:r>
            <w:r w:rsidRPr="00CC126D">
              <w:rPr>
                <w:rFonts w:ascii="Times New Roman" w:eastAsiaTheme="minorEastAsia" w:hAnsiTheme="minorEastAsia" w:cs="Times New Roman"/>
                <w:color w:val="000000"/>
                <w:kern w:val="0"/>
                <w:sz w:val="22"/>
                <w:szCs w:val="22"/>
              </w:rPr>
              <w:t>磷成分分析标准物质</w:t>
            </w:r>
          </w:p>
        </w:tc>
        <w:tc>
          <w:tcPr>
            <w:tcW w:w="1216" w:type="dxa"/>
            <w:shd w:val="clear" w:color="auto" w:fill="auto"/>
            <w:noWrap/>
            <w:vAlign w:val="center"/>
            <w:hideMark/>
          </w:tcPr>
          <w:p w:rsidR="007B3A89" w:rsidRPr="00CC126D" w:rsidRDefault="007B3A89"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500</w:t>
            </w:r>
          </w:p>
        </w:tc>
        <w:tc>
          <w:tcPr>
            <w:tcW w:w="1276" w:type="dxa"/>
            <w:shd w:val="clear" w:color="auto" w:fill="auto"/>
            <w:noWrap/>
            <w:vAlign w:val="center"/>
            <w:hideMark/>
          </w:tcPr>
          <w:p w:rsidR="007B3A89" w:rsidRPr="00CC126D" w:rsidRDefault="007B3A89"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p>
        </w:tc>
      </w:tr>
      <w:tr w:rsidR="0055796C" w:rsidRPr="00CC126D" w:rsidTr="00DB7C26">
        <w:trPr>
          <w:trHeight w:val="397"/>
          <w:jc w:val="center"/>
        </w:trPr>
        <w:tc>
          <w:tcPr>
            <w:tcW w:w="463" w:type="dxa"/>
            <w:vAlign w:val="center"/>
          </w:tcPr>
          <w:p w:rsidR="00DB7C26" w:rsidRPr="00CC126D" w:rsidRDefault="00DB7C26" w:rsidP="006D57FD">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DB7C26"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GBW(E)083724</w:t>
            </w:r>
          </w:p>
        </w:tc>
        <w:tc>
          <w:tcPr>
            <w:tcW w:w="3118" w:type="dxa"/>
            <w:shd w:val="clear" w:color="auto" w:fill="auto"/>
            <w:noWrap/>
            <w:vAlign w:val="center"/>
            <w:hideMark/>
          </w:tcPr>
          <w:p w:rsidR="00DB7C26" w:rsidRPr="00CC126D" w:rsidRDefault="00DB7C2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水中磷酸盐</w:t>
            </w:r>
            <w:r w:rsidRPr="00CC126D">
              <w:rPr>
                <w:rFonts w:ascii="Times New Roman" w:eastAsiaTheme="minorEastAsia" w:hAnsi="Times New Roman" w:cs="Times New Roman"/>
                <w:color w:val="000000"/>
                <w:kern w:val="0"/>
                <w:sz w:val="22"/>
                <w:szCs w:val="22"/>
              </w:rPr>
              <w:t>-</w:t>
            </w:r>
            <w:r w:rsidRPr="00CC126D">
              <w:rPr>
                <w:rFonts w:ascii="Times New Roman" w:eastAsiaTheme="minorEastAsia" w:hAnsiTheme="minorEastAsia" w:cs="Times New Roman"/>
                <w:color w:val="000000"/>
                <w:kern w:val="0"/>
                <w:sz w:val="22"/>
                <w:szCs w:val="22"/>
              </w:rPr>
              <w:t>磷成分分析标准物质</w:t>
            </w:r>
          </w:p>
        </w:tc>
        <w:tc>
          <w:tcPr>
            <w:tcW w:w="1216" w:type="dxa"/>
            <w:shd w:val="clear" w:color="auto" w:fill="auto"/>
            <w:noWrap/>
            <w:vAlign w:val="center"/>
            <w:hideMark/>
          </w:tcPr>
          <w:p w:rsidR="00DB7C26"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w:t>
            </w:r>
          </w:p>
        </w:tc>
        <w:tc>
          <w:tcPr>
            <w:tcW w:w="1276" w:type="dxa"/>
            <w:shd w:val="clear" w:color="auto" w:fill="auto"/>
            <w:noWrap/>
            <w:vAlign w:val="center"/>
            <w:hideMark/>
          </w:tcPr>
          <w:p w:rsidR="00DB7C26"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2%</w:t>
            </w:r>
          </w:p>
        </w:tc>
      </w:tr>
      <w:tr w:rsidR="0055796C" w:rsidRPr="00CC126D" w:rsidTr="00DB7C26">
        <w:trPr>
          <w:trHeight w:val="397"/>
          <w:jc w:val="center"/>
        </w:trPr>
        <w:tc>
          <w:tcPr>
            <w:tcW w:w="463" w:type="dxa"/>
            <w:vAlign w:val="center"/>
          </w:tcPr>
          <w:p w:rsidR="00DB7C26" w:rsidRPr="00CC126D" w:rsidRDefault="00DB7C26" w:rsidP="006D57FD">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DB7C26" w:rsidRPr="00CC126D" w:rsidRDefault="00DB7C2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GBW(E)083725</w:t>
            </w:r>
          </w:p>
        </w:tc>
        <w:tc>
          <w:tcPr>
            <w:tcW w:w="3118" w:type="dxa"/>
            <w:shd w:val="clear" w:color="auto" w:fill="auto"/>
            <w:noWrap/>
            <w:vAlign w:val="center"/>
            <w:hideMark/>
          </w:tcPr>
          <w:p w:rsidR="00DB7C26" w:rsidRPr="00CC126D" w:rsidRDefault="00DB7C2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水中磷酸盐</w:t>
            </w:r>
            <w:r w:rsidRPr="00CC126D">
              <w:rPr>
                <w:rFonts w:ascii="Times New Roman" w:eastAsiaTheme="minorEastAsia" w:hAnsi="Times New Roman" w:cs="Times New Roman"/>
                <w:color w:val="000000"/>
                <w:kern w:val="0"/>
                <w:sz w:val="22"/>
                <w:szCs w:val="22"/>
              </w:rPr>
              <w:t>-</w:t>
            </w:r>
            <w:r w:rsidRPr="00CC126D">
              <w:rPr>
                <w:rFonts w:ascii="Times New Roman" w:eastAsiaTheme="minorEastAsia" w:hAnsiTheme="minorEastAsia" w:cs="Times New Roman"/>
                <w:color w:val="000000"/>
                <w:kern w:val="0"/>
                <w:sz w:val="22"/>
                <w:szCs w:val="22"/>
              </w:rPr>
              <w:t>磷成分分析标准物质</w:t>
            </w:r>
          </w:p>
        </w:tc>
        <w:tc>
          <w:tcPr>
            <w:tcW w:w="1216" w:type="dxa"/>
            <w:shd w:val="clear" w:color="auto" w:fill="auto"/>
            <w:noWrap/>
            <w:vAlign w:val="center"/>
            <w:hideMark/>
          </w:tcPr>
          <w:p w:rsidR="00DB7C26"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500</w:t>
            </w:r>
          </w:p>
        </w:tc>
        <w:tc>
          <w:tcPr>
            <w:tcW w:w="1276" w:type="dxa"/>
            <w:shd w:val="clear" w:color="auto" w:fill="auto"/>
            <w:noWrap/>
            <w:vAlign w:val="center"/>
            <w:hideMark/>
          </w:tcPr>
          <w:p w:rsidR="00DB7C26"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p>
        </w:tc>
      </w:tr>
      <w:tr w:rsidR="0055796C" w:rsidRPr="00CC126D" w:rsidTr="00DB7C26">
        <w:trPr>
          <w:trHeight w:val="397"/>
          <w:jc w:val="center"/>
        </w:trPr>
        <w:tc>
          <w:tcPr>
            <w:tcW w:w="463" w:type="dxa"/>
            <w:vAlign w:val="center"/>
          </w:tcPr>
          <w:p w:rsidR="00DB7C26" w:rsidRPr="00CC126D" w:rsidRDefault="00DB7C26" w:rsidP="006D57FD">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DB7C26"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GBW(E)084149</w:t>
            </w:r>
          </w:p>
        </w:tc>
        <w:tc>
          <w:tcPr>
            <w:tcW w:w="3118" w:type="dxa"/>
            <w:shd w:val="clear" w:color="auto" w:fill="auto"/>
            <w:noWrap/>
            <w:vAlign w:val="center"/>
            <w:hideMark/>
          </w:tcPr>
          <w:p w:rsidR="00DB7C26"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水中磷酸盐</w:t>
            </w:r>
            <w:r w:rsidRPr="00CC126D">
              <w:rPr>
                <w:rFonts w:ascii="Times New Roman" w:eastAsiaTheme="minorEastAsia" w:hAnsi="Times New Roman" w:cs="Times New Roman"/>
                <w:color w:val="000000"/>
                <w:kern w:val="0"/>
                <w:sz w:val="22"/>
                <w:szCs w:val="22"/>
              </w:rPr>
              <w:t>-</w:t>
            </w:r>
            <w:r w:rsidRPr="00CC126D">
              <w:rPr>
                <w:rFonts w:ascii="Times New Roman" w:eastAsiaTheme="minorEastAsia" w:hAnsiTheme="minorEastAsia" w:cs="Times New Roman"/>
                <w:color w:val="000000"/>
                <w:kern w:val="0"/>
                <w:sz w:val="22"/>
                <w:szCs w:val="22"/>
              </w:rPr>
              <w:t>磷成分分析标准物质</w:t>
            </w:r>
          </w:p>
        </w:tc>
        <w:tc>
          <w:tcPr>
            <w:tcW w:w="1216" w:type="dxa"/>
            <w:shd w:val="clear" w:color="auto" w:fill="auto"/>
            <w:noWrap/>
            <w:vAlign w:val="center"/>
            <w:hideMark/>
          </w:tcPr>
          <w:p w:rsidR="00DB7C26"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1000</w:t>
            </w:r>
          </w:p>
        </w:tc>
        <w:tc>
          <w:tcPr>
            <w:tcW w:w="1276" w:type="dxa"/>
            <w:shd w:val="clear" w:color="auto" w:fill="auto"/>
            <w:noWrap/>
            <w:vAlign w:val="center"/>
            <w:hideMark/>
          </w:tcPr>
          <w:p w:rsidR="00DB7C26"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p>
        </w:tc>
      </w:tr>
      <w:tr w:rsidR="0055796C" w:rsidRPr="00CC126D" w:rsidTr="00DB7C26">
        <w:trPr>
          <w:trHeight w:val="397"/>
          <w:jc w:val="center"/>
        </w:trPr>
        <w:tc>
          <w:tcPr>
            <w:tcW w:w="463" w:type="dxa"/>
            <w:vAlign w:val="center"/>
          </w:tcPr>
          <w:p w:rsidR="00DB7C26" w:rsidRPr="00CC126D" w:rsidRDefault="00DB7C26" w:rsidP="006D57FD">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DB7C26" w:rsidRPr="00CC126D" w:rsidRDefault="00DB7C2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GBW(E)084150</w:t>
            </w:r>
          </w:p>
        </w:tc>
        <w:tc>
          <w:tcPr>
            <w:tcW w:w="3118" w:type="dxa"/>
            <w:shd w:val="clear" w:color="auto" w:fill="auto"/>
            <w:noWrap/>
            <w:vAlign w:val="center"/>
            <w:hideMark/>
          </w:tcPr>
          <w:p w:rsidR="00DB7C26" w:rsidRPr="00CC126D" w:rsidRDefault="00DB7C2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水中磷酸盐</w:t>
            </w:r>
            <w:r w:rsidRPr="00CC126D">
              <w:rPr>
                <w:rFonts w:ascii="Times New Roman" w:eastAsiaTheme="minorEastAsia" w:hAnsi="Times New Roman" w:cs="Times New Roman"/>
                <w:color w:val="000000"/>
                <w:kern w:val="0"/>
                <w:sz w:val="22"/>
                <w:szCs w:val="22"/>
              </w:rPr>
              <w:t>-</w:t>
            </w:r>
            <w:r w:rsidRPr="00CC126D">
              <w:rPr>
                <w:rFonts w:ascii="Times New Roman" w:eastAsiaTheme="minorEastAsia" w:hAnsiTheme="minorEastAsia" w:cs="Times New Roman"/>
                <w:color w:val="000000"/>
                <w:kern w:val="0"/>
                <w:sz w:val="22"/>
                <w:szCs w:val="22"/>
              </w:rPr>
              <w:t>磷成分分析标准</w:t>
            </w:r>
            <w:r w:rsidRPr="00CC126D">
              <w:rPr>
                <w:rFonts w:ascii="Times New Roman" w:eastAsiaTheme="minorEastAsia" w:hAnsiTheme="minorEastAsia" w:cs="Times New Roman"/>
                <w:color w:val="000000"/>
                <w:kern w:val="0"/>
                <w:sz w:val="22"/>
                <w:szCs w:val="22"/>
              </w:rPr>
              <w:lastRenderedPageBreak/>
              <w:t>物质</w:t>
            </w:r>
          </w:p>
        </w:tc>
        <w:tc>
          <w:tcPr>
            <w:tcW w:w="1216" w:type="dxa"/>
            <w:shd w:val="clear" w:color="auto" w:fill="auto"/>
            <w:noWrap/>
            <w:vAlign w:val="center"/>
            <w:hideMark/>
          </w:tcPr>
          <w:p w:rsidR="00DB7C26"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lastRenderedPageBreak/>
              <w:t>500</w:t>
            </w:r>
          </w:p>
        </w:tc>
        <w:tc>
          <w:tcPr>
            <w:tcW w:w="1276" w:type="dxa"/>
            <w:shd w:val="clear" w:color="auto" w:fill="auto"/>
            <w:noWrap/>
            <w:vAlign w:val="center"/>
            <w:hideMark/>
          </w:tcPr>
          <w:p w:rsidR="00DB7C26"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p>
        </w:tc>
      </w:tr>
      <w:tr w:rsidR="00DB7C26" w:rsidRPr="00CC126D" w:rsidTr="00DB7C26">
        <w:trPr>
          <w:trHeight w:val="397"/>
          <w:jc w:val="center"/>
        </w:trPr>
        <w:tc>
          <w:tcPr>
            <w:tcW w:w="463" w:type="dxa"/>
            <w:vAlign w:val="center"/>
          </w:tcPr>
          <w:p w:rsidR="00DB7C26" w:rsidRPr="00CC126D" w:rsidRDefault="00DB7C26" w:rsidP="006D57FD">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DB7C26" w:rsidRPr="00CC126D" w:rsidRDefault="00DB7C2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GBW(E)084151</w:t>
            </w:r>
          </w:p>
        </w:tc>
        <w:tc>
          <w:tcPr>
            <w:tcW w:w="3118" w:type="dxa"/>
            <w:shd w:val="clear" w:color="auto" w:fill="auto"/>
            <w:noWrap/>
            <w:vAlign w:val="center"/>
            <w:hideMark/>
          </w:tcPr>
          <w:p w:rsidR="00DB7C26" w:rsidRPr="00CC126D" w:rsidRDefault="00DB7C2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水中磷酸盐</w:t>
            </w:r>
            <w:r w:rsidRPr="00CC126D">
              <w:rPr>
                <w:rFonts w:ascii="Times New Roman" w:eastAsiaTheme="minorEastAsia" w:hAnsi="Times New Roman" w:cs="Times New Roman"/>
                <w:color w:val="000000"/>
                <w:kern w:val="0"/>
                <w:sz w:val="22"/>
                <w:szCs w:val="22"/>
              </w:rPr>
              <w:t>-</w:t>
            </w:r>
            <w:r w:rsidRPr="00CC126D">
              <w:rPr>
                <w:rFonts w:ascii="Times New Roman" w:eastAsiaTheme="minorEastAsia" w:hAnsiTheme="minorEastAsia" w:cs="Times New Roman"/>
                <w:color w:val="000000"/>
                <w:kern w:val="0"/>
                <w:sz w:val="22"/>
                <w:szCs w:val="22"/>
              </w:rPr>
              <w:t>磷成分分析标准物质</w:t>
            </w:r>
          </w:p>
        </w:tc>
        <w:tc>
          <w:tcPr>
            <w:tcW w:w="1216" w:type="dxa"/>
            <w:shd w:val="clear" w:color="auto" w:fill="auto"/>
            <w:noWrap/>
            <w:vAlign w:val="center"/>
            <w:hideMark/>
          </w:tcPr>
          <w:p w:rsidR="00DB7C26"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w:t>
            </w:r>
          </w:p>
        </w:tc>
        <w:tc>
          <w:tcPr>
            <w:tcW w:w="1276" w:type="dxa"/>
            <w:shd w:val="clear" w:color="auto" w:fill="auto"/>
            <w:noWrap/>
            <w:vAlign w:val="center"/>
            <w:hideMark/>
          </w:tcPr>
          <w:p w:rsidR="00DB7C26" w:rsidRPr="00CC126D" w:rsidRDefault="00DB7C2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p>
        </w:tc>
      </w:tr>
      <w:tr w:rsidR="00DB7C26" w:rsidRPr="00CC126D" w:rsidTr="00DB7C26">
        <w:trPr>
          <w:trHeight w:val="397"/>
          <w:jc w:val="center"/>
        </w:trPr>
        <w:tc>
          <w:tcPr>
            <w:tcW w:w="463" w:type="dxa"/>
            <w:vAlign w:val="center"/>
          </w:tcPr>
          <w:p w:rsidR="00DB7C26" w:rsidRPr="00CC126D" w:rsidRDefault="00DB7C26" w:rsidP="00F41636">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DB7C2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GBW(E)081019</w:t>
            </w:r>
          </w:p>
        </w:tc>
        <w:tc>
          <w:tcPr>
            <w:tcW w:w="3118" w:type="dxa"/>
            <w:shd w:val="clear" w:color="auto" w:fill="auto"/>
            <w:noWrap/>
            <w:vAlign w:val="center"/>
            <w:hideMark/>
          </w:tcPr>
          <w:p w:rsidR="00DB7C2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水中总氮标准物质</w:t>
            </w:r>
          </w:p>
        </w:tc>
        <w:tc>
          <w:tcPr>
            <w:tcW w:w="1216" w:type="dxa"/>
            <w:shd w:val="clear" w:color="auto" w:fill="auto"/>
            <w:noWrap/>
            <w:vAlign w:val="center"/>
            <w:hideMark/>
          </w:tcPr>
          <w:p w:rsidR="00DB7C26" w:rsidRPr="00CC126D" w:rsidRDefault="00F4163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500</w:t>
            </w:r>
          </w:p>
        </w:tc>
        <w:tc>
          <w:tcPr>
            <w:tcW w:w="1276" w:type="dxa"/>
            <w:shd w:val="clear" w:color="auto" w:fill="auto"/>
            <w:noWrap/>
            <w:vAlign w:val="center"/>
            <w:hideMark/>
          </w:tcPr>
          <w:p w:rsidR="00DB7C26" w:rsidRPr="00CC126D" w:rsidRDefault="00F41636" w:rsidP="007B3A89">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p>
        </w:tc>
      </w:tr>
      <w:tr w:rsidR="00F41636" w:rsidRPr="00CC126D" w:rsidTr="00DB7C26">
        <w:trPr>
          <w:trHeight w:val="397"/>
          <w:jc w:val="center"/>
        </w:trPr>
        <w:tc>
          <w:tcPr>
            <w:tcW w:w="463" w:type="dxa"/>
            <w:vAlign w:val="center"/>
          </w:tcPr>
          <w:p w:rsidR="00F41636" w:rsidRPr="00CC126D" w:rsidRDefault="00F41636" w:rsidP="00F41636">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GBW(E)082646</w:t>
            </w:r>
          </w:p>
        </w:tc>
        <w:tc>
          <w:tcPr>
            <w:tcW w:w="3118"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水中总氮溶液标准物质</w:t>
            </w:r>
          </w:p>
        </w:tc>
        <w:tc>
          <w:tcPr>
            <w:tcW w:w="121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5~1000</w:t>
            </w:r>
          </w:p>
        </w:tc>
        <w:tc>
          <w:tcPr>
            <w:tcW w:w="127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2%</w:t>
            </w:r>
          </w:p>
        </w:tc>
      </w:tr>
      <w:tr w:rsidR="00F41636" w:rsidRPr="00CC126D" w:rsidTr="00DB7C26">
        <w:trPr>
          <w:trHeight w:val="397"/>
          <w:jc w:val="center"/>
        </w:trPr>
        <w:tc>
          <w:tcPr>
            <w:tcW w:w="463" w:type="dxa"/>
            <w:vAlign w:val="center"/>
          </w:tcPr>
          <w:p w:rsidR="00F41636" w:rsidRPr="00CC126D" w:rsidRDefault="00F41636" w:rsidP="00F41636">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GBW(E)083305</w:t>
            </w:r>
          </w:p>
        </w:tc>
        <w:tc>
          <w:tcPr>
            <w:tcW w:w="3118"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水中总氮溶液标准物质</w:t>
            </w:r>
          </w:p>
        </w:tc>
        <w:tc>
          <w:tcPr>
            <w:tcW w:w="121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w:t>
            </w:r>
          </w:p>
        </w:tc>
        <w:tc>
          <w:tcPr>
            <w:tcW w:w="127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2%</w:t>
            </w:r>
          </w:p>
        </w:tc>
      </w:tr>
      <w:tr w:rsidR="00F41636" w:rsidRPr="00CC126D" w:rsidTr="00DB7C26">
        <w:trPr>
          <w:trHeight w:val="397"/>
          <w:jc w:val="center"/>
        </w:trPr>
        <w:tc>
          <w:tcPr>
            <w:tcW w:w="463" w:type="dxa"/>
            <w:vAlign w:val="center"/>
          </w:tcPr>
          <w:p w:rsidR="00F41636" w:rsidRPr="00CC126D" w:rsidRDefault="00F41636" w:rsidP="00F41636">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GBW(E)083306</w:t>
            </w:r>
          </w:p>
        </w:tc>
        <w:tc>
          <w:tcPr>
            <w:tcW w:w="3118"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水中总氮溶液标准物质</w:t>
            </w:r>
          </w:p>
        </w:tc>
        <w:tc>
          <w:tcPr>
            <w:tcW w:w="121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500</w:t>
            </w:r>
          </w:p>
        </w:tc>
        <w:tc>
          <w:tcPr>
            <w:tcW w:w="127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p>
        </w:tc>
      </w:tr>
      <w:tr w:rsidR="00F41636" w:rsidRPr="00CC126D" w:rsidTr="00DB7C26">
        <w:trPr>
          <w:trHeight w:val="397"/>
          <w:jc w:val="center"/>
        </w:trPr>
        <w:tc>
          <w:tcPr>
            <w:tcW w:w="463" w:type="dxa"/>
            <w:vAlign w:val="center"/>
          </w:tcPr>
          <w:p w:rsidR="00F41636" w:rsidRPr="00CC126D" w:rsidRDefault="00F41636" w:rsidP="00F41636">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GBW(E)083307</w:t>
            </w:r>
          </w:p>
        </w:tc>
        <w:tc>
          <w:tcPr>
            <w:tcW w:w="3118"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水中总氮溶液标准物质</w:t>
            </w:r>
          </w:p>
        </w:tc>
        <w:tc>
          <w:tcPr>
            <w:tcW w:w="121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1000</w:t>
            </w:r>
          </w:p>
        </w:tc>
        <w:tc>
          <w:tcPr>
            <w:tcW w:w="127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p>
        </w:tc>
      </w:tr>
      <w:tr w:rsidR="00F41636" w:rsidRPr="00CC126D" w:rsidTr="00DB7C26">
        <w:trPr>
          <w:trHeight w:val="397"/>
          <w:jc w:val="center"/>
        </w:trPr>
        <w:tc>
          <w:tcPr>
            <w:tcW w:w="463" w:type="dxa"/>
            <w:vAlign w:val="center"/>
          </w:tcPr>
          <w:p w:rsidR="00F41636" w:rsidRPr="00CC126D" w:rsidRDefault="00F41636" w:rsidP="00F41636">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GBW(E)083931</w:t>
            </w:r>
          </w:p>
        </w:tc>
        <w:tc>
          <w:tcPr>
            <w:tcW w:w="3118"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水中总氮溶液标准物质</w:t>
            </w:r>
          </w:p>
        </w:tc>
        <w:tc>
          <w:tcPr>
            <w:tcW w:w="121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1000</w:t>
            </w:r>
          </w:p>
        </w:tc>
        <w:tc>
          <w:tcPr>
            <w:tcW w:w="127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p>
        </w:tc>
      </w:tr>
      <w:tr w:rsidR="00F41636" w:rsidRPr="00CC126D" w:rsidTr="00DB7C26">
        <w:trPr>
          <w:trHeight w:val="397"/>
          <w:jc w:val="center"/>
        </w:trPr>
        <w:tc>
          <w:tcPr>
            <w:tcW w:w="463" w:type="dxa"/>
            <w:vAlign w:val="center"/>
          </w:tcPr>
          <w:p w:rsidR="00F41636" w:rsidRPr="00CC126D" w:rsidRDefault="00F41636" w:rsidP="00F41636">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GBW(E)083932</w:t>
            </w:r>
          </w:p>
        </w:tc>
        <w:tc>
          <w:tcPr>
            <w:tcW w:w="3118"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水中总氮溶液标准物质</w:t>
            </w:r>
          </w:p>
        </w:tc>
        <w:tc>
          <w:tcPr>
            <w:tcW w:w="121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500</w:t>
            </w:r>
          </w:p>
        </w:tc>
        <w:tc>
          <w:tcPr>
            <w:tcW w:w="127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p>
        </w:tc>
      </w:tr>
      <w:tr w:rsidR="00F41636" w:rsidRPr="00CC126D" w:rsidTr="00DB7C26">
        <w:trPr>
          <w:trHeight w:val="397"/>
          <w:jc w:val="center"/>
        </w:trPr>
        <w:tc>
          <w:tcPr>
            <w:tcW w:w="463" w:type="dxa"/>
            <w:vAlign w:val="center"/>
          </w:tcPr>
          <w:p w:rsidR="00F41636" w:rsidRPr="00CC126D" w:rsidRDefault="00F41636" w:rsidP="00F41636">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GBW(E)083933</w:t>
            </w:r>
          </w:p>
        </w:tc>
        <w:tc>
          <w:tcPr>
            <w:tcW w:w="3118"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水中总氮溶液标准物质</w:t>
            </w:r>
          </w:p>
        </w:tc>
        <w:tc>
          <w:tcPr>
            <w:tcW w:w="121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w:t>
            </w:r>
          </w:p>
        </w:tc>
        <w:tc>
          <w:tcPr>
            <w:tcW w:w="127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p>
        </w:tc>
      </w:tr>
      <w:tr w:rsidR="00F41636" w:rsidRPr="00CC126D" w:rsidTr="00DB7C26">
        <w:trPr>
          <w:trHeight w:val="397"/>
          <w:jc w:val="center"/>
        </w:trPr>
        <w:tc>
          <w:tcPr>
            <w:tcW w:w="463" w:type="dxa"/>
            <w:vAlign w:val="center"/>
          </w:tcPr>
          <w:p w:rsidR="00F41636" w:rsidRPr="00CC126D" w:rsidRDefault="00F41636" w:rsidP="00F41636">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GBW(E)084837</w:t>
            </w:r>
          </w:p>
        </w:tc>
        <w:tc>
          <w:tcPr>
            <w:tcW w:w="3118"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水中总氮溶液标准物质</w:t>
            </w:r>
          </w:p>
        </w:tc>
        <w:tc>
          <w:tcPr>
            <w:tcW w:w="121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w:t>
            </w:r>
          </w:p>
        </w:tc>
        <w:tc>
          <w:tcPr>
            <w:tcW w:w="127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2%</w:t>
            </w:r>
          </w:p>
        </w:tc>
      </w:tr>
      <w:tr w:rsidR="00F41636" w:rsidRPr="00CC126D" w:rsidTr="00DB7C26">
        <w:trPr>
          <w:trHeight w:val="397"/>
          <w:jc w:val="center"/>
        </w:trPr>
        <w:tc>
          <w:tcPr>
            <w:tcW w:w="463" w:type="dxa"/>
            <w:vAlign w:val="center"/>
          </w:tcPr>
          <w:p w:rsidR="00F41636" w:rsidRPr="00CC126D" w:rsidRDefault="00F41636" w:rsidP="00F41636">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GBW(E)084838</w:t>
            </w:r>
          </w:p>
        </w:tc>
        <w:tc>
          <w:tcPr>
            <w:tcW w:w="3118"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水中总氮溶液标准物质</w:t>
            </w:r>
          </w:p>
        </w:tc>
        <w:tc>
          <w:tcPr>
            <w:tcW w:w="121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500</w:t>
            </w:r>
          </w:p>
        </w:tc>
        <w:tc>
          <w:tcPr>
            <w:tcW w:w="127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2%</w:t>
            </w:r>
          </w:p>
        </w:tc>
      </w:tr>
      <w:tr w:rsidR="00F41636" w:rsidRPr="00CC126D" w:rsidTr="00DB7C26">
        <w:trPr>
          <w:trHeight w:val="397"/>
          <w:jc w:val="center"/>
        </w:trPr>
        <w:tc>
          <w:tcPr>
            <w:tcW w:w="463" w:type="dxa"/>
            <w:vAlign w:val="center"/>
          </w:tcPr>
          <w:p w:rsidR="00F41636" w:rsidRPr="00CC126D" w:rsidRDefault="00F41636" w:rsidP="00F41636">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GBW(E)080373</w:t>
            </w:r>
          </w:p>
        </w:tc>
        <w:tc>
          <w:tcPr>
            <w:tcW w:w="3118"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水中硝酸盐氮成分分析标准物质</w:t>
            </w:r>
          </w:p>
        </w:tc>
        <w:tc>
          <w:tcPr>
            <w:tcW w:w="121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500</w:t>
            </w:r>
          </w:p>
        </w:tc>
        <w:tc>
          <w:tcPr>
            <w:tcW w:w="127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p>
        </w:tc>
      </w:tr>
      <w:tr w:rsidR="00F41636" w:rsidRPr="00CC126D" w:rsidTr="00DB7C26">
        <w:trPr>
          <w:trHeight w:val="397"/>
          <w:jc w:val="center"/>
        </w:trPr>
        <w:tc>
          <w:tcPr>
            <w:tcW w:w="463" w:type="dxa"/>
            <w:vAlign w:val="center"/>
          </w:tcPr>
          <w:p w:rsidR="00F41636" w:rsidRPr="00CC126D" w:rsidRDefault="00F41636" w:rsidP="00F41636">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GBW(E)081214</w:t>
            </w:r>
          </w:p>
        </w:tc>
        <w:tc>
          <w:tcPr>
            <w:tcW w:w="3118"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水中硝酸盐</w:t>
            </w:r>
            <w:r w:rsidRPr="00CC126D">
              <w:rPr>
                <w:rFonts w:ascii="Times New Roman" w:eastAsiaTheme="minorEastAsia" w:hAnsi="Times New Roman" w:cs="Times New Roman"/>
                <w:color w:val="000000"/>
                <w:kern w:val="0"/>
                <w:sz w:val="22"/>
                <w:szCs w:val="22"/>
              </w:rPr>
              <w:t>-</w:t>
            </w:r>
            <w:r w:rsidRPr="00CC126D">
              <w:rPr>
                <w:rFonts w:ascii="Times New Roman" w:eastAsiaTheme="minorEastAsia" w:hAnsiTheme="minorEastAsia" w:cs="Times New Roman"/>
                <w:color w:val="000000"/>
                <w:kern w:val="0"/>
                <w:sz w:val="22"/>
                <w:szCs w:val="22"/>
              </w:rPr>
              <w:t>氮成分分析标准物质</w:t>
            </w:r>
          </w:p>
        </w:tc>
        <w:tc>
          <w:tcPr>
            <w:tcW w:w="121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w:t>
            </w:r>
          </w:p>
        </w:tc>
        <w:tc>
          <w:tcPr>
            <w:tcW w:w="127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2.8%</w:t>
            </w:r>
          </w:p>
        </w:tc>
      </w:tr>
      <w:tr w:rsidR="00F41636" w:rsidRPr="00CC126D" w:rsidTr="00DB7C26">
        <w:trPr>
          <w:trHeight w:val="397"/>
          <w:jc w:val="center"/>
        </w:trPr>
        <w:tc>
          <w:tcPr>
            <w:tcW w:w="463" w:type="dxa"/>
            <w:vAlign w:val="center"/>
          </w:tcPr>
          <w:p w:rsidR="00F41636" w:rsidRPr="00CC126D" w:rsidRDefault="00F41636" w:rsidP="00F41636">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GBW(E)081227</w:t>
            </w:r>
          </w:p>
        </w:tc>
        <w:tc>
          <w:tcPr>
            <w:tcW w:w="3118"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水中硝酸盐</w:t>
            </w:r>
            <w:r w:rsidRPr="00CC126D">
              <w:rPr>
                <w:rFonts w:ascii="Times New Roman" w:eastAsiaTheme="minorEastAsia" w:hAnsi="Times New Roman" w:cs="Times New Roman"/>
                <w:color w:val="000000"/>
                <w:kern w:val="0"/>
                <w:sz w:val="22"/>
                <w:szCs w:val="22"/>
              </w:rPr>
              <w:t>-</w:t>
            </w:r>
            <w:r w:rsidRPr="00CC126D">
              <w:rPr>
                <w:rFonts w:ascii="Times New Roman" w:eastAsiaTheme="minorEastAsia" w:hAnsiTheme="minorEastAsia" w:cs="Times New Roman"/>
                <w:color w:val="000000"/>
                <w:kern w:val="0"/>
                <w:sz w:val="22"/>
                <w:szCs w:val="22"/>
              </w:rPr>
              <w:t>氮成分分析标准物质</w:t>
            </w:r>
          </w:p>
        </w:tc>
        <w:tc>
          <w:tcPr>
            <w:tcW w:w="121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1000</w:t>
            </w:r>
          </w:p>
        </w:tc>
        <w:tc>
          <w:tcPr>
            <w:tcW w:w="127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0.6%</w:t>
            </w:r>
          </w:p>
        </w:tc>
      </w:tr>
      <w:tr w:rsidR="00F41636" w:rsidRPr="00CC126D" w:rsidTr="00DB7C26">
        <w:trPr>
          <w:trHeight w:val="397"/>
          <w:jc w:val="center"/>
        </w:trPr>
        <w:tc>
          <w:tcPr>
            <w:tcW w:w="463" w:type="dxa"/>
            <w:vAlign w:val="center"/>
          </w:tcPr>
          <w:p w:rsidR="00F41636" w:rsidRPr="00CC126D" w:rsidRDefault="00F41636" w:rsidP="00F41636">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GBW(E)081697</w:t>
            </w:r>
          </w:p>
        </w:tc>
        <w:tc>
          <w:tcPr>
            <w:tcW w:w="3118"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水中硝酸盐</w:t>
            </w:r>
            <w:r w:rsidRPr="00CC126D">
              <w:rPr>
                <w:rFonts w:ascii="Times New Roman" w:eastAsiaTheme="minorEastAsia" w:hAnsi="Times New Roman" w:cs="Times New Roman"/>
                <w:color w:val="000000"/>
                <w:kern w:val="0"/>
                <w:sz w:val="22"/>
                <w:szCs w:val="22"/>
              </w:rPr>
              <w:t>-</w:t>
            </w:r>
            <w:r w:rsidRPr="00CC126D">
              <w:rPr>
                <w:rFonts w:ascii="Times New Roman" w:eastAsiaTheme="minorEastAsia" w:hAnsiTheme="minorEastAsia" w:cs="Times New Roman"/>
                <w:color w:val="000000"/>
                <w:kern w:val="0"/>
                <w:sz w:val="22"/>
                <w:szCs w:val="22"/>
              </w:rPr>
              <w:t>氮成分分析标准物质</w:t>
            </w:r>
          </w:p>
        </w:tc>
        <w:tc>
          <w:tcPr>
            <w:tcW w:w="121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w:t>
            </w:r>
          </w:p>
        </w:tc>
        <w:tc>
          <w:tcPr>
            <w:tcW w:w="1276" w:type="dxa"/>
            <w:shd w:val="clear" w:color="auto" w:fill="auto"/>
            <w:noWrap/>
            <w:vAlign w:val="center"/>
            <w:hideMark/>
          </w:tcPr>
          <w:p w:rsidR="00F41636" w:rsidRPr="00CC126D" w:rsidRDefault="00F41636"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1.8%</w:t>
            </w:r>
          </w:p>
        </w:tc>
      </w:tr>
      <w:tr w:rsidR="0055796C" w:rsidRPr="00CC126D" w:rsidTr="00DB7C26">
        <w:trPr>
          <w:trHeight w:val="397"/>
          <w:jc w:val="center"/>
        </w:trPr>
        <w:tc>
          <w:tcPr>
            <w:tcW w:w="463" w:type="dxa"/>
            <w:vAlign w:val="center"/>
          </w:tcPr>
          <w:p w:rsidR="0055796C" w:rsidRPr="00CC126D" w:rsidRDefault="0055796C" w:rsidP="00F41636">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GBW(E)082687</w:t>
            </w:r>
          </w:p>
        </w:tc>
        <w:tc>
          <w:tcPr>
            <w:tcW w:w="3118"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水中硝酸盐</w:t>
            </w:r>
            <w:r w:rsidRPr="00CC126D">
              <w:rPr>
                <w:rFonts w:ascii="Times New Roman" w:eastAsiaTheme="minorEastAsia" w:hAnsi="Times New Roman" w:cs="Times New Roman"/>
                <w:color w:val="000000"/>
                <w:kern w:val="0"/>
                <w:sz w:val="22"/>
                <w:szCs w:val="22"/>
              </w:rPr>
              <w:t>-</w:t>
            </w:r>
            <w:r w:rsidRPr="00CC126D">
              <w:rPr>
                <w:rFonts w:ascii="Times New Roman" w:eastAsiaTheme="minorEastAsia" w:hAnsiTheme="minorEastAsia" w:cs="Times New Roman"/>
                <w:color w:val="000000"/>
                <w:kern w:val="0"/>
                <w:sz w:val="22"/>
                <w:szCs w:val="22"/>
              </w:rPr>
              <w:t>氮溶液标准物质</w:t>
            </w:r>
          </w:p>
        </w:tc>
        <w:tc>
          <w:tcPr>
            <w:tcW w:w="1216"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1000</w:t>
            </w:r>
          </w:p>
        </w:tc>
        <w:tc>
          <w:tcPr>
            <w:tcW w:w="1276"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p>
        </w:tc>
      </w:tr>
      <w:tr w:rsidR="0055796C" w:rsidRPr="00CC126D" w:rsidTr="00DB7C26">
        <w:trPr>
          <w:trHeight w:val="397"/>
          <w:jc w:val="center"/>
        </w:trPr>
        <w:tc>
          <w:tcPr>
            <w:tcW w:w="463" w:type="dxa"/>
            <w:vAlign w:val="center"/>
          </w:tcPr>
          <w:p w:rsidR="0055796C" w:rsidRPr="00CC126D" w:rsidRDefault="0055796C" w:rsidP="00F41636">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GBW(E)082819</w:t>
            </w:r>
          </w:p>
        </w:tc>
        <w:tc>
          <w:tcPr>
            <w:tcW w:w="3118"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水中硝酸盐氮溶液标准物质</w:t>
            </w:r>
          </w:p>
        </w:tc>
        <w:tc>
          <w:tcPr>
            <w:tcW w:w="1216"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1000</w:t>
            </w:r>
          </w:p>
        </w:tc>
        <w:tc>
          <w:tcPr>
            <w:tcW w:w="1276"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p>
        </w:tc>
      </w:tr>
      <w:tr w:rsidR="0055796C" w:rsidRPr="00CC126D" w:rsidTr="00DB7C26">
        <w:trPr>
          <w:trHeight w:val="397"/>
          <w:jc w:val="center"/>
        </w:trPr>
        <w:tc>
          <w:tcPr>
            <w:tcW w:w="463" w:type="dxa"/>
            <w:vAlign w:val="center"/>
          </w:tcPr>
          <w:p w:rsidR="0055796C" w:rsidRPr="00CC126D" w:rsidRDefault="0055796C" w:rsidP="00F41636">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GBW(E)083215</w:t>
            </w:r>
          </w:p>
        </w:tc>
        <w:tc>
          <w:tcPr>
            <w:tcW w:w="3118"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水中硝酸盐</w:t>
            </w:r>
            <w:r w:rsidRPr="00CC126D">
              <w:rPr>
                <w:rFonts w:ascii="Times New Roman" w:eastAsiaTheme="minorEastAsia" w:hAnsi="Times New Roman" w:cs="Times New Roman"/>
                <w:color w:val="000000"/>
                <w:kern w:val="0"/>
                <w:sz w:val="22"/>
                <w:szCs w:val="22"/>
              </w:rPr>
              <w:t>-</w:t>
            </w:r>
            <w:r w:rsidRPr="00CC126D">
              <w:rPr>
                <w:rFonts w:ascii="Times New Roman" w:eastAsiaTheme="minorEastAsia" w:hAnsiTheme="minorEastAsia" w:cs="Times New Roman"/>
                <w:color w:val="000000"/>
                <w:kern w:val="0"/>
                <w:sz w:val="22"/>
                <w:szCs w:val="22"/>
              </w:rPr>
              <w:t>氮成分分析标准物质</w:t>
            </w:r>
          </w:p>
        </w:tc>
        <w:tc>
          <w:tcPr>
            <w:tcW w:w="1216"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1000</w:t>
            </w:r>
          </w:p>
        </w:tc>
        <w:tc>
          <w:tcPr>
            <w:tcW w:w="1276"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p>
        </w:tc>
      </w:tr>
      <w:tr w:rsidR="0055796C" w:rsidRPr="00CC126D" w:rsidTr="00DB7C26">
        <w:trPr>
          <w:trHeight w:val="397"/>
          <w:jc w:val="center"/>
        </w:trPr>
        <w:tc>
          <w:tcPr>
            <w:tcW w:w="463" w:type="dxa"/>
            <w:vAlign w:val="center"/>
          </w:tcPr>
          <w:p w:rsidR="0055796C" w:rsidRPr="00CC126D" w:rsidRDefault="0055796C" w:rsidP="00F41636">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GBW(E)083223</w:t>
            </w:r>
          </w:p>
        </w:tc>
        <w:tc>
          <w:tcPr>
            <w:tcW w:w="3118"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水中硝酸盐</w:t>
            </w:r>
            <w:r w:rsidRPr="00CC126D">
              <w:rPr>
                <w:rFonts w:ascii="Times New Roman" w:eastAsiaTheme="minorEastAsia" w:hAnsi="Times New Roman" w:cs="Times New Roman"/>
                <w:color w:val="000000"/>
                <w:kern w:val="0"/>
                <w:sz w:val="22"/>
                <w:szCs w:val="22"/>
              </w:rPr>
              <w:t>-</w:t>
            </w:r>
            <w:r w:rsidRPr="00CC126D">
              <w:rPr>
                <w:rFonts w:ascii="Times New Roman" w:eastAsiaTheme="minorEastAsia" w:hAnsiTheme="minorEastAsia" w:cs="Times New Roman"/>
                <w:color w:val="000000"/>
                <w:kern w:val="0"/>
                <w:sz w:val="22"/>
                <w:szCs w:val="22"/>
              </w:rPr>
              <w:t>氮成分分析标准物质</w:t>
            </w:r>
          </w:p>
        </w:tc>
        <w:tc>
          <w:tcPr>
            <w:tcW w:w="1216" w:type="dxa"/>
            <w:shd w:val="clear" w:color="auto" w:fill="auto"/>
            <w:noWrap/>
            <w:vAlign w:val="center"/>
            <w:hideMark/>
          </w:tcPr>
          <w:p w:rsidR="0055796C" w:rsidRPr="00CC126D" w:rsidRDefault="0055796C" w:rsidP="0055796C">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w:t>
            </w:r>
          </w:p>
        </w:tc>
        <w:tc>
          <w:tcPr>
            <w:tcW w:w="1276"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2%</w:t>
            </w:r>
          </w:p>
        </w:tc>
      </w:tr>
      <w:tr w:rsidR="0055796C" w:rsidRPr="00CC126D" w:rsidTr="00DB7C26">
        <w:trPr>
          <w:trHeight w:val="397"/>
          <w:jc w:val="center"/>
        </w:trPr>
        <w:tc>
          <w:tcPr>
            <w:tcW w:w="463" w:type="dxa"/>
            <w:vAlign w:val="center"/>
          </w:tcPr>
          <w:p w:rsidR="0055796C" w:rsidRPr="00CC126D" w:rsidRDefault="0055796C" w:rsidP="00F41636">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GBW(E)083244</w:t>
            </w:r>
          </w:p>
        </w:tc>
        <w:tc>
          <w:tcPr>
            <w:tcW w:w="3118"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水中硝酸盐</w:t>
            </w:r>
            <w:r w:rsidRPr="00CC126D">
              <w:rPr>
                <w:rFonts w:ascii="Times New Roman" w:eastAsiaTheme="minorEastAsia" w:hAnsi="Times New Roman" w:cs="Times New Roman"/>
                <w:color w:val="000000"/>
                <w:kern w:val="0"/>
                <w:sz w:val="22"/>
                <w:szCs w:val="22"/>
              </w:rPr>
              <w:t>-</w:t>
            </w:r>
            <w:r w:rsidRPr="00CC126D">
              <w:rPr>
                <w:rFonts w:ascii="Times New Roman" w:eastAsiaTheme="minorEastAsia" w:hAnsiTheme="minorEastAsia" w:cs="Times New Roman"/>
                <w:color w:val="000000"/>
                <w:kern w:val="0"/>
                <w:sz w:val="22"/>
                <w:szCs w:val="22"/>
              </w:rPr>
              <w:t>氮成分分析标准物质</w:t>
            </w:r>
          </w:p>
        </w:tc>
        <w:tc>
          <w:tcPr>
            <w:tcW w:w="1216"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500</w:t>
            </w:r>
          </w:p>
        </w:tc>
        <w:tc>
          <w:tcPr>
            <w:tcW w:w="1276"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p>
        </w:tc>
      </w:tr>
      <w:tr w:rsidR="0055796C" w:rsidRPr="00CC126D" w:rsidTr="00DB7C26">
        <w:trPr>
          <w:trHeight w:val="397"/>
          <w:jc w:val="center"/>
        </w:trPr>
        <w:tc>
          <w:tcPr>
            <w:tcW w:w="463" w:type="dxa"/>
            <w:vAlign w:val="center"/>
          </w:tcPr>
          <w:p w:rsidR="0055796C" w:rsidRPr="00CC126D" w:rsidRDefault="0055796C" w:rsidP="00F41636">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GBW(E)083436</w:t>
            </w:r>
          </w:p>
        </w:tc>
        <w:tc>
          <w:tcPr>
            <w:tcW w:w="3118"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水中硝酸盐氮溶液标准物质</w:t>
            </w:r>
          </w:p>
        </w:tc>
        <w:tc>
          <w:tcPr>
            <w:tcW w:w="1216"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500</w:t>
            </w:r>
          </w:p>
        </w:tc>
        <w:tc>
          <w:tcPr>
            <w:tcW w:w="1276"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p>
        </w:tc>
      </w:tr>
      <w:tr w:rsidR="0055796C" w:rsidRPr="00CC126D" w:rsidTr="00DB7C26">
        <w:trPr>
          <w:trHeight w:val="397"/>
          <w:jc w:val="center"/>
        </w:trPr>
        <w:tc>
          <w:tcPr>
            <w:tcW w:w="463" w:type="dxa"/>
            <w:vAlign w:val="center"/>
          </w:tcPr>
          <w:p w:rsidR="0055796C" w:rsidRPr="00CC126D" w:rsidRDefault="0055796C" w:rsidP="00F41636">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GBW(E)084366</w:t>
            </w:r>
          </w:p>
        </w:tc>
        <w:tc>
          <w:tcPr>
            <w:tcW w:w="3118"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水中硝酸盐氮溶液标准物质</w:t>
            </w:r>
          </w:p>
        </w:tc>
        <w:tc>
          <w:tcPr>
            <w:tcW w:w="1216"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1000</w:t>
            </w:r>
          </w:p>
        </w:tc>
        <w:tc>
          <w:tcPr>
            <w:tcW w:w="1276"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p>
        </w:tc>
      </w:tr>
      <w:tr w:rsidR="0055796C" w:rsidRPr="00CC126D" w:rsidTr="00DB7C26">
        <w:trPr>
          <w:trHeight w:val="397"/>
          <w:jc w:val="center"/>
        </w:trPr>
        <w:tc>
          <w:tcPr>
            <w:tcW w:w="463" w:type="dxa"/>
            <w:vAlign w:val="center"/>
          </w:tcPr>
          <w:p w:rsidR="0055796C" w:rsidRPr="00CC126D" w:rsidRDefault="0055796C" w:rsidP="00F41636">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GBW(E)084771</w:t>
            </w:r>
          </w:p>
        </w:tc>
        <w:tc>
          <w:tcPr>
            <w:tcW w:w="3118"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水中硝酸盐氮溶液标准物质</w:t>
            </w:r>
          </w:p>
        </w:tc>
        <w:tc>
          <w:tcPr>
            <w:tcW w:w="1216"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1000</w:t>
            </w:r>
          </w:p>
        </w:tc>
        <w:tc>
          <w:tcPr>
            <w:tcW w:w="1276"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p>
        </w:tc>
      </w:tr>
      <w:tr w:rsidR="0055796C" w:rsidRPr="00CC126D" w:rsidTr="00DB7C26">
        <w:trPr>
          <w:trHeight w:val="397"/>
          <w:jc w:val="center"/>
        </w:trPr>
        <w:tc>
          <w:tcPr>
            <w:tcW w:w="463" w:type="dxa"/>
            <w:vAlign w:val="center"/>
          </w:tcPr>
          <w:p w:rsidR="0055796C" w:rsidRPr="00CC126D" w:rsidRDefault="0055796C" w:rsidP="00F41636">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GBW(E)084772</w:t>
            </w:r>
          </w:p>
        </w:tc>
        <w:tc>
          <w:tcPr>
            <w:tcW w:w="3118"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水中硝酸盐氮溶液标准物质</w:t>
            </w:r>
          </w:p>
        </w:tc>
        <w:tc>
          <w:tcPr>
            <w:tcW w:w="1216"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500</w:t>
            </w:r>
          </w:p>
        </w:tc>
        <w:tc>
          <w:tcPr>
            <w:tcW w:w="1276"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p>
        </w:tc>
      </w:tr>
      <w:tr w:rsidR="0055796C" w:rsidRPr="00CC126D" w:rsidTr="00DB7C26">
        <w:trPr>
          <w:trHeight w:val="397"/>
          <w:jc w:val="center"/>
        </w:trPr>
        <w:tc>
          <w:tcPr>
            <w:tcW w:w="463" w:type="dxa"/>
            <w:vAlign w:val="center"/>
          </w:tcPr>
          <w:p w:rsidR="0055796C" w:rsidRPr="00CC126D" w:rsidRDefault="0055796C" w:rsidP="00F41636">
            <w:pPr>
              <w:pStyle w:val="ae"/>
              <w:numPr>
                <w:ilvl w:val="0"/>
                <w:numId w:val="12"/>
              </w:numPr>
              <w:ind w:left="0" w:firstLineChars="90" w:firstLine="198"/>
              <w:jc w:val="right"/>
              <w:rPr>
                <w:rFonts w:ascii="Times New Roman" w:eastAsiaTheme="minorEastAsia" w:hAnsi="Times New Roman" w:cs="Times New Roman"/>
                <w:color w:val="000000"/>
                <w:sz w:val="22"/>
                <w:szCs w:val="22"/>
              </w:rPr>
            </w:pPr>
          </w:p>
        </w:tc>
        <w:tc>
          <w:tcPr>
            <w:tcW w:w="1985"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GBW(E)084773</w:t>
            </w:r>
          </w:p>
        </w:tc>
        <w:tc>
          <w:tcPr>
            <w:tcW w:w="3118"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水中硝酸盐氮溶液标准物质</w:t>
            </w:r>
          </w:p>
        </w:tc>
        <w:tc>
          <w:tcPr>
            <w:tcW w:w="1216"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100</w:t>
            </w:r>
          </w:p>
        </w:tc>
        <w:tc>
          <w:tcPr>
            <w:tcW w:w="1276" w:type="dxa"/>
            <w:shd w:val="clear" w:color="auto" w:fill="auto"/>
            <w:noWrap/>
            <w:vAlign w:val="center"/>
            <w:hideMark/>
          </w:tcPr>
          <w:p w:rsidR="0055796C" w:rsidRPr="00CC126D" w:rsidRDefault="0055796C" w:rsidP="000A2B1B">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1%</w:t>
            </w:r>
          </w:p>
        </w:tc>
      </w:tr>
    </w:tbl>
    <w:p w:rsidR="00062EA5" w:rsidRPr="00CC126D" w:rsidRDefault="00062EA5" w:rsidP="00062EA5">
      <w:pPr>
        <w:spacing w:line="360" w:lineRule="auto"/>
        <w:rPr>
          <w:rFonts w:ascii="Times New Roman" w:eastAsiaTheme="minorEastAsia" w:hAnsi="Times New Roman" w:cs="Times New Roman"/>
          <w:sz w:val="24"/>
        </w:rPr>
      </w:pPr>
      <w:r w:rsidRPr="00CC126D">
        <w:rPr>
          <w:rFonts w:ascii="Times New Roman" w:eastAsiaTheme="minorEastAsia" w:hAnsi="Times New Roman" w:cs="Times New Roman"/>
          <w:sz w:val="24"/>
        </w:rPr>
        <w:t>4</w:t>
      </w:r>
      <w:r w:rsidRPr="00CC126D">
        <w:rPr>
          <w:rFonts w:ascii="Times New Roman" w:eastAsiaTheme="minorEastAsia" w:hAnsiTheme="minorEastAsia" w:cs="Times New Roman"/>
          <w:sz w:val="24"/>
        </w:rPr>
        <w:t>、仪器情况</w:t>
      </w:r>
    </w:p>
    <w:p w:rsidR="008745E5" w:rsidRPr="00CC126D" w:rsidRDefault="009843F5" w:rsidP="009843F5">
      <w:pPr>
        <w:spacing w:line="360" w:lineRule="auto"/>
        <w:ind w:firstLineChars="200" w:firstLine="480"/>
        <w:rPr>
          <w:rFonts w:ascii="Times New Roman" w:eastAsiaTheme="minorEastAsia" w:hAnsi="Times New Roman" w:cs="Times New Roman"/>
          <w:sz w:val="24"/>
        </w:rPr>
      </w:pPr>
      <w:r w:rsidRPr="00CC126D">
        <w:rPr>
          <w:rFonts w:ascii="Times New Roman" w:eastAsiaTheme="minorEastAsia" w:hAnsiTheme="minorEastAsia" w:cs="Times New Roman"/>
          <w:sz w:val="24"/>
        </w:rPr>
        <w:t>目前市场上国内外不同型号的</w:t>
      </w:r>
      <w:r w:rsidR="00877D5A" w:rsidRPr="00CC126D">
        <w:rPr>
          <w:rFonts w:ascii="Times New Roman" w:eastAsiaTheme="minorEastAsia" w:hAnsiTheme="minorEastAsia" w:cs="Times New Roman"/>
          <w:sz w:val="24"/>
        </w:rPr>
        <w:t>总磷总氮分析仪</w:t>
      </w:r>
      <w:r w:rsidRPr="00CC126D">
        <w:rPr>
          <w:rFonts w:ascii="Times New Roman" w:eastAsiaTheme="minorEastAsia" w:hAnsiTheme="minorEastAsia" w:cs="Times New Roman"/>
          <w:sz w:val="24"/>
        </w:rPr>
        <w:t>种类繁多。实验室</w:t>
      </w:r>
      <w:r w:rsidR="00877D5A" w:rsidRPr="00CC126D">
        <w:rPr>
          <w:rFonts w:ascii="Times New Roman" w:eastAsiaTheme="minorEastAsia" w:hAnsiTheme="minorEastAsia" w:cs="Times New Roman"/>
          <w:sz w:val="24"/>
        </w:rPr>
        <w:t>总磷总氮分析仪</w:t>
      </w:r>
      <w:r w:rsidR="00CF1E53" w:rsidRPr="00CC126D">
        <w:rPr>
          <w:rFonts w:ascii="Times New Roman" w:eastAsiaTheme="minorEastAsia" w:hAnsiTheme="minorEastAsia" w:cs="Times New Roman"/>
          <w:sz w:val="24"/>
        </w:rPr>
        <w:t>主要包括台式和便携式，</w:t>
      </w:r>
      <w:r w:rsidRPr="00CC126D">
        <w:rPr>
          <w:rFonts w:ascii="Times New Roman" w:eastAsiaTheme="minorEastAsia" w:hAnsiTheme="minorEastAsia" w:cs="Times New Roman"/>
          <w:sz w:val="24"/>
        </w:rPr>
        <w:t>常见的测量原理</w:t>
      </w:r>
      <w:r w:rsidR="00877D5A" w:rsidRPr="00CC126D">
        <w:rPr>
          <w:rFonts w:ascii="Times New Roman" w:eastAsiaTheme="minorEastAsia" w:hAnsiTheme="minorEastAsia" w:cs="Times New Roman"/>
          <w:sz w:val="24"/>
        </w:rPr>
        <w:t>主要为比色法</w:t>
      </w:r>
      <w:r w:rsidRPr="00CC126D">
        <w:rPr>
          <w:rFonts w:ascii="Times New Roman" w:eastAsiaTheme="minorEastAsia" w:hAnsiTheme="minorEastAsia" w:cs="Times New Roman"/>
          <w:sz w:val="24"/>
        </w:rPr>
        <w:t>，其中</w:t>
      </w:r>
      <w:r w:rsidR="00517486" w:rsidRPr="00CC126D">
        <w:rPr>
          <w:rFonts w:ascii="Times New Roman" w:eastAsiaTheme="minorEastAsia" w:hAnsiTheme="minorEastAsia" w:cs="Times New Roman"/>
          <w:sz w:val="24"/>
        </w:rPr>
        <w:t>仪器根据取样、加液等环节的自动化程度不同</w:t>
      </w:r>
      <w:r w:rsidR="00877D5A" w:rsidRPr="00CC126D">
        <w:rPr>
          <w:rFonts w:ascii="Times New Roman" w:eastAsiaTheme="minorEastAsia" w:hAnsiTheme="minorEastAsia" w:cs="Times New Roman"/>
          <w:sz w:val="24"/>
        </w:rPr>
        <w:t>，又分为全自动和普通型的总磷总氮分析仪</w:t>
      </w:r>
      <w:r w:rsidRPr="00CC126D">
        <w:rPr>
          <w:rFonts w:ascii="Times New Roman" w:eastAsiaTheme="minorEastAsia" w:hAnsiTheme="minorEastAsia" w:cs="Times New Roman"/>
          <w:sz w:val="24"/>
        </w:rPr>
        <w:t>。</w:t>
      </w:r>
      <w:r w:rsidR="008745E5" w:rsidRPr="00CC126D">
        <w:rPr>
          <w:rFonts w:ascii="Times New Roman" w:eastAsiaTheme="minorEastAsia" w:hAnsiTheme="minorEastAsia" w:cs="Times New Roman"/>
          <w:sz w:val="24"/>
        </w:rPr>
        <w:t>常见</w:t>
      </w:r>
      <w:r w:rsidR="008745E5" w:rsidRPr="00CC126D">
        <w:rPr>
          <w:rFonts w:ascii="Times New Roman" w:eastAsiaTheme="minorEastAsia" w:hAnsiTheme="minorEastAsia" w:cs="Times New Roman"/>
          <w:sz w:val="24"/>
        </w:rPr>
        <w:lastRenderedPageBreak/>
        <w:t>的国内外实验室</w:t>
      </w:r>
      <w:r w:rsidR="00877D5A" w:rsidRPr="00CC126D">
        <w:rPr>
          <w:rFonts w:ascii="Times New Roman" w:eastAsiaTheme="minorEastAsia" w:hAnsiTheme="minorEastAsia" w:cs="Times New Roman"/>
          <w:sz w:val="24"/>
        </w:rPr>
        <w:t>总磷总氮分析仪</w:t>
      </w:r>
      <w:r w:rsidR="008745E5" w:rsidRPr="00CC126D">
        <w:rPr>
          <w:rFonts w:ascii="Times New Roman" w:eastAsiaTheme="minorEastAsia" w:hAnsiTheme="minorEastAsia" w:cs="Times New Roman"/>
          <w:sz w:val="24"/>
        </w:rPr>
        <w:t>的生产厂商、型号、</w:t>
      </w:r>
      <w:r w:rsidR="005261E7">
        <w:rPr>
          <w:rFonts w:ascii="Times New Roman" w:eastAsiaTheme="minorEastAsia" w:hAnsiTheme="minorEastAsia" w:cs="Times New Roman"/>
          <w:sz w:val="24"/>
        </w:rPr>
        <w:t>类别</w:t>
      </w:r>
      <w:r w:rsidR="008745E5" w:rsidRPr="00CC126D">
        <w:rPr>
          <w:rFonts w:ascii="Times New Roman" w:eastAsiaTheme="minorEastAsia" w:hAnsiTheme="minorEastAsia" w:cs="Times New Roman"/>
          <w:sz w:val="24"/>
        </w:rPr>
        <w:t>、测量范围等信息如表</w:t>
      </w:r>
      <w:r w:rsidR="008745E5" w:rsidRPr="00CC126D">
        <w:rPr>
          <w:rFonts w:ascii="Times New Roman" w:eastAsiaTheme="minorEastAsia" w:hAnsi="Times New Roman" w:cs="Times New Roman"/>
          <w:sz w:val="24"/>
        </w:rPr>
        <w:t>2</w:t>
      </w:r>
      <w:r w:rsidR="008745E5" w:rsidRPr="00CC126D">
        <w:rPr>
          <w:rFonts w:ascii="Times New Roman" w:eastAsiaTheme="minorEastAsia" w:hAnsiTheme="minorEastAsia" w:cs="Times New Roman"/>
          <w:sz w:val="24"/>
        </w:rPr>
        <w:t>所示。</w:t>
      </w:r>
    </w:p>
    <w:p w:rsidR="008745E5" w:rsidRPr="00CC126D" w:rsidRDefault="008745E5" w:rsidP="008745E5">
      <w:pPr>
        <w:spacing w:line="360" w:lineRule="auto"/>
        <w:jc w:val="center"/>
        <w:rPr>
          <w:rFonts w:ascii="Times New Roman" w:eastAsiaTheme="minorEastAsia" w:hAnsi="Times New Roman" w:cs="Times New Roman"/>
          <w:sz w:val="22"/>
          <w:szCs w:val="22"/>
        </w:rPr>
      </w:pPr>
      <w:r w:rsidRPr="00CC126D">
        <w:rPr>
          <w:rFonts w:ascii="Times New Roman" w:eastAsiaTheme="minorEastAsia" w:hAnsiTheme="minorEastAsia" w:cs="Times New Roman"/>
          <w:sz w:val="22"/>
          <w:szCs w:val="22"/>
        </w:rPr>
        <w:t>表</w:t>
      </w:r>
      <w:r w:rsidRPr="00CC126D">
        <w:rPr>
          <w:rFonts w:ascii="Times New Roman" w:eastAsiaTheme="minorEastAsia" w:hAnsi="Times New Roman" w:cs="Times New Roman"/>
          <w:sz w:val="22"/>
          <w:szCs w:val="22"/>
        </w:rPr>
        <w:t xml:space="preserve">2 </w:t>
      </w:r>
      <w:r w:rsidR="00517486" w:rsidRPr="00CC126D">
        <w:rPr>
          <w:rFonts w:ascii="Times New Roman" w:eastAsiaTheme="minorEastAsia" w:hAnsiTheme="minorEastAsia" w:cs="Times New Roman"/>
          <w:sz w:val="22"/>
          <w:szCs w:val="22"/>
        </w:rPr>
        <w:t>常见实验室总磷总氮分析仪</w:t>
      </w:r>
      <w:r w:rsidRPr="00CC126D">
        <w:rPr>
          <w:rFonts w:ascii="Times New Roman" w:eastAsiaTheme="minorEastAsia" w:hAnsiTheme="minorEastAsia" w:cs="Times New Roman"/>
          <w:sz w:val="22"/>
          <w:szCs w:val="22"/>
        </w:rPr>
        <w:t>的</w:t>
      </w:r>
      <w:r w:rsidR="00517486" w:rsidRPr="00CC126D">
        <w:rPr>
          <w:rFonts w:ascii="Times New Roman" w:eastAsiaTheme="minorEastAsia" w:hAnsiTheme="minorEastAsia" w:cs="Times New Roman"/>
          <w:sz w:val="22"/>
          <w:szCs w:val="22"/>
        </w:rPr>
        <w:t>生产厂商、型号、</w:t>
      </w:r>
      <w:r w:rsidR="005261E7">
        <w:rPr>
          <w:rFonts w:ascii="Times New Roman" w:eastAsiaTheme="minorEastAsia" w:hAnsiTheme="minorEastAsia" w:cs="Times New Roman"/>
          <w:sz w:val="22"/>
          <w:szCs w:val="22"/>
        </w:rPr>
        <w:t>类别</w:t>
      </w:r>
      <w:r w:rsidRPr="00CC126D">
        <w:rPr>
          <w:rFonts w:ascii="Times New Roman" w:eastAsiaTheme="minorEastAsia" w:hAnsiTheme="minorEastAsia" w:cs="Times New Roman"/>
          <w:sz w:val="22"/>
          <w:szCs w:val="22"/>
        </w:rPr>
        <w:t>和测量范围</w:t>
      </w:r>
    </w:p>
    <w:tbl>
      <w:tblPr>
        <w:tblStyle w:val="ac"/>
        <w:tblW w:w="7593" w:type="dxa"/>
        <w:jc w:val="center"/>
        <w:tblLayout w:type="fixed"/>
        <w:tblLook w:val="04A0"/>
      </w:tblPr>
      <w:tblGrid>
        <w:gridCol w:w="675"/>
        <w:gridCol w:w="1468"/>
        <w:gridCol w:w="1353"/>
        <w:gridCol w:w="1541"/>
        <w:gridCol w:w="2556"/>
      </w:tblGrid>
      <w:tr w:rsidR="00C034EC" w:rsidRPr="00CC126D" w:rsidTr="00C034EC">
        <w:trPr>
          <w:jc w:val="center"/>
        </w:trPr>
        <w:tc>
          <w:tcPr>
            <w:tcW w:w="675" w:type="dxa"/>
            <w:vAlign w:val="center"/>
          </w:tcPr>
          <w:p w:rsidR="00C034EC" w:rsidRPr="00CC126D" w:rsidRDefault="00C034EC" w:rsidP="000A2B1B">
            <w:pPr>
              <w:spacing w:line="440" w:lineRule="exact"/>
              <w:jc w:val="center"/>
              <w:rPr>
                <w:rFonts w:ascii="Times New Roman" w:eastAsiaTheme="minorEastAsia" w:hAnsi="Times New Roman" w:cs="Times New Roman"/>
                <w:b/>
                <w:bCs/>
                <w:kern w:val="0"/>
                <w:sz w:val="22"/>
                <w:szCs w:val="22"/>
              </w:rPr>
            </w:pPr>
            <w:r w:rsidRPr="00CC126D">
              <w:rPr>
                <w:rFonts w:ascii="Times New Roman" w:eastAsiaTheme="minorEastAsia" w:hAnsiTheme="minorEastAsia" w:cs="Times New Roman"/>
                <w:b/>
                <w:bCs/>
                <w:kern w:val="0"/>
                <w:sz w:val="22"/>
                <w:szCs w:val="22"/>
              </w:rPr>
              <w:t>序号</w:t>
            </w:r>
          </w:p>
        </w:tc>
        <w:tc>
          <w:tcPr>
            <w:tcW w:w="1468" w:type="dxa"/>
            <w:vAlign w:val="center"/>
          </w:tcPr>
          <w:p w:rsidR="00C034EC" w:rsidRPr="00CC126D" w:rsidRDefault="00C034EC" w:rsidP="000A2B1B">
            <w:pPr>
              <w:spacing w:line="440" w:lineRule="exact"/>
              <w:jc w:val="center"/>
              <w:rPr>
                <w:rFonts w:ascii="Times New Roman" w:eastAsiaTheme="minorEastAsia" w:hAnsi="Times New Roman" w:cs="Times New Roman"/>
                <w:b/>
                <w:bCs/>
                <w:kern w:val="0"/>
                <w:sz w:val="22"/>
                <w:szCs w:val="22"/>
              </w:rPr>
            </w:pPr>
            <w:r w:rsidRPr="00CC126D">
              <w:rPr>
                <w:rFonts w:ascii="Times New Roman" w:eastAsiaTheme="minorEastAsia" w:hAnsiTheme="minorEastAsia" w:cs="Times New Roman"/>
                <w:b/>
                <w:bCs/>
                <w:kern w:val="0"/>
                <w:sz w:val="22"/>
                <w:szCs w:val="22"/>
              </w:rPr>
              <w:t>生产厂商</w:t>
            </w:r>
          </w:p>
        </w:tc>
        <w:tc>
          <w:tcPr>
            <w:tcW w:w="1353" w:type="dxa"/>
            <w:vAlign w:val="center"/>
          </w:tcPr>
          <w:p w:rsidR="00C034EC" w:rsidRPr="00CC126D" w:rsidRDefault="00C034EC" w:rsidP="000A2B1B">
            <w:pPr>
              <w:spacing w:line="440" w:lineRule="exact"/>
              <w:jc w:val="center"/>
              <w:rPr>
                <w:rFonts w:ascii="Times New Roman" w:eastAsiaTheme="minorEastAsia" w:hAnsi="Times New Roman" w:cs="Times New Roman"/>
                <w:b/>
                <w:bCs/>
                <w:kern w:val="0"/>
                <w:sz w:val="22"/>
                <w:szCs w:val="22"/>
              </w:rPr>
            </w:pPr>
            <w:r w:rsidRPr="00CC126D">
              <w:rPr>
                <w:rFonts w:ascii="Times New Roman" w:eastAsiaTheme="minorEastAsia" w:hAnsiTheme="minorEastAsia" w:cs="Times New Roman"/>
                <w:b/>
                <w:bCs/>
                <w:kern w:val="0"/>
                <w:sz w:val="22"/>
                <w:szCs w:val="22"/>
              </w:rPr>
              <w:t>型号</w:t>
            </w:r>
          </w:p>
        </w:tc>
        <w:tc>
          <w:tcPr>
            <w:tcW w:w="1541" w:type="dxa"/>
            <w:vAlign w:val="center"/>
          </w:tcPr>
          <w:p w:rsidR="00C034EC" w:rsidRPr="00CC126D" w:rsidRDefault="005261E7" w:rsidP="000A2B1B">
            <w:pPr>
              <w:spacing w:line="440" w:lineRule="exact"/>
              <w:jc w:val="center"/>
              <w:rPr>
                <w:rFonts w:ascii="Times New Roman" w:eastAsiaTheme="minorEastAsia" w:hAnsi="Times New Roman" w:cs="Times New Roman"/>
                <w:b/>
                <w:bCs/>
                <w:kern w:val="0"/>
                <w:sz w:val="22"/>
                <w:szCs w:val="22"/>
              </w:rPr>
            </w:pPr>
            <w:r>
              <w:rPr>
                <w:rFonts w:ascii="Times New Roman" w:eastAsiaTheme="minorEastAsia" w:hAnsiTheme="minorEastAsia" w:cs="Times New Roman"/>
                <w:b/>
                <w:bCs/>
                <w:kern w:val="0"/>
                <w:sz w:val="22"/>
                <w:szCs w:val="22"/>
              </w:rPr>
              <w:t>类别</w:t>
            </w:r>
          </w:p>
        </w:tc>
        <w:tc>
          <w:tcPr>
            <w:tcW w:w="2556" w:type="dxa"/>
            <w:vAlign w:val="center"/>
          </w:tcPr>
          <w:p w:rsidR="00C034EC" w:rsidRPr="00CC126D" w:rsidRDefault="00C034EC" w:rsidP="000A2B1B">
            <w:pPr>
              <w:spacing w:line="440" w:lineRule="exact"/>
              <w:jc w:val="center"/>
              <w:rPr>
                <w:rFonts w:ascii="Times New Roman" w:eastAsiaTheme="minorEastAsia" w:hAnsi="Times New Roman" w:cs="Times New Roman"/>
                <w:b/>
                <w:bCs/>
                <w:kern w:val="0"/>
                <w:sz w:val="22"/>
                <w:szCs w:val="22"/>
              </w:rPr>
            </w:pPr>
            <w:r w:rsidRPr="00CC126D">
              <w:rPr>
                <w:rFonts w:ascii="Times New Roman" w:eastAsiaTheme="minorEastAsia" w:hAnsiTheme="minorEastAsia" w:cs="Times New Roman"/>
                <w:b/>
                <w:bCs/>
                <w:kern w:val="0"/>
                <w:sz w:val="22"/>
                <w:szCs w:val="22"/>
              </w:rPr>
              <w:t>测量范围</w:t>
            </w:r>
            <w:r w:rsidRPr="00CC126D">
              <w:rPr>
                <w:rFonts w:ascii="Times New Roman" w:eastAsiaTheme="minorEastAsia" w:hAnsi="Times New Roman" w:cs="Times New Roman"/>
                <w:b/>
                <w:bCs/>
                <w:kern w:val="0"/>
                <w:sz w:val="22"/>
                <w:szCs w:val="22"/>
              </w:rPr>
              <w:t>(mg/L)</w:t>
            </w:r>
          </w:p>
        </w:tc>
      </w:tr>
      <w:tr w:rsidR="00054331" w:rsidRPr="00CC126D" w:rsidTr="00C034EC">
        <w:trPr>
          <w:trHeight w:val="282"/>
          <w:jc w:val="center"/>
        </w:trPr>
        <w:tc>
          <w:tcPr>
            <w:tcW w:w="675" w:type="dxa"/>
            <w:vAlign w:val="center"/>
          </w:tcPr>
          <w:p w:rsidR="00054331" w:rsidRPr="00CC126D" w:rsidRDefault="00054331" w:rsidP="00CF1E53">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Merge w:val="restart"/>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HACH</w:t>
            </w:r>
          </w:p>
        </w:tc>
        <w:tc>
          <w:tcPr>
            <w:tcW w:w="1353" w:type="dxa"/>
            <w:vAlign w:val="center"/>
          </w:tcPr>
          <w:p w:rsidR="00054331" w:rsidRPr="00CC126D" w:rsidRDefault="00054331" w:rsidP="007219B0">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DR</w:t>
            </w:r>
            <w:r w:rsidR="007219B0">
              <w:rPr>
                <w:rFonts w:ascii="Times New Roman" w:eastAsiaTheme="minorEastAsia" w:hAnsi="Times New Roman" w:cs="Times New Roman" w:hint="eastAsia"/>
                <w:kern w:val="0"/>
                <w:sz w:val="22"/>
                <w:szCs w:val="22"/>
              </w:rPr>
              <w:t>60</w:t>
            </w:r>
            <w:r w:rsidRPr="00CC126D">
              <w:rPr>
                <w:rFonts w:ascii="Times New Roman" w:eastAsiaTheme="minorEastAsia" w:hAnsi="Times New Roman" w:cs="Times New Roman"/>
                <w:kern w:val="0"/>
                <w:sz w:val="22"/>
                <w:szCs w:val="22"/>
              </w:rPr>
              <w:t>00</w:t>
            </w:r>
          </w:p>
        </w:tc>
        <w:tc>
          <w:tcPr>
            <w:tcW w:w="1541" w:type="dxa"/>
            <w:vAlign w:val="center"/>
          </w:tcPr>
          <w:p w:rsidR="00054331" w:rsidRPr="00CC126D" w:rsidRDefault="00054331"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台式</w:t>
            </w:r>
          </w:p>
        </w:tc>
        <w:tc>
          <w:tcPr>
            <w:tcW w:w="2556" w:type="dxa"/>
            <w:vAlign w:val="center"/>
          </w:tcPr>
          <w:p w:rsidR="00054331" w:rsidRPr="00CC126D" w:rsidRDefault="00054331"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w:t>
            </w:r>
            <w:r w:rsidR="007219B0">
              <w:rPr>
                <w:rFonts w:ascii="Times New Roman" w:eastAsiaTheme="minorEastAsia" w:hAnsi="Times New Roman" w:cs="Times New Roman" w:hint="eastAsia"/>
                <w:kern w:val="0"/>
                <w:sz w:val="22"/>
                <w:szCs w:val="22"/>
              </w:rPr>
              <w:t>1</w:t>
            </w:r>
          </w:p>
          <w:p w:rsidR="00054331" w:rsidRPr="00CC126D" w:rsidRDefault="00054331" w:rsidP="007219B0">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0~2</w:t>
            </w:r>
            <w:r w:rsidR="007219B0">
              <w:rPr>
                <w:rFonts w:ascii="Times New Roman" w:eastAsiaTheme="minorEastAsia" w:hAnsi="Times New Roman" w:cs="Times New Roman" w:hint="eastAsia"/>
                <w:kern w:val="0"/>
                <w:sz w:val="22"/>
                <w:szCs w:val="22"/>
              </w:rPr>
              <w:t>5</w:t>
            </w:r>
          </w:p>
        </w:tc>
      </w:tr>
      <w:tr w:rsidR="00054331" w:rsidRPr="00CC126D" w:rsidTr="00C034EC">
        <w:trPr>
          <w:trHeight w:val="282"/>
          <w:jc w:val="center"/>
        </w:trPr>
        <w:tc>
          <w:tcPr>
            <w:tcW w:w="675" w:type="dxa"/>
            <w:vAlign w:val="center"/>
          </w:tcPr>
          <w:p w:rsidR="00054331" w:rsidRPr="00CC126D" w:rsidRDefault="00054331" w:rsidP="00CF1E53">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p>
        </w:tc>
        <w:tc>
          <w:tcPr>
            <w:tcW w:w="1353" w:type="dxa"/>
            <w:vAlign w:val="center"/>
          </w:tcPr>
          <w:p w:rsidR="00054331" w:rsidRPr="00CC126D" w:rsidRDefault="00054331"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DR900</w:t>
            </w:r>
          </w:p>
        </w:tc>
        <w:tc>
          <w:tcPr>
            <w:tcW w:w="1541" w:type="dxa"/>
            <w:vAlign w:val="center"/>
          </w:tcPr>
          <w:p w:rsidR="00054331" w:rsidRPr="00CC126D" w:rsidRDefault="00054331"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便携式</w:t>
            </w:r>
          </w:p>
        </w:tc>
        <w:tc>
          <w:tcPr>
            <w:tcW w:w="2556" w:type="dxa"/>
            <w:vAlign w:val="center"/>
          </w:tcPr>
          <w:p w:rsidR="00BB63BA" w:rsidRPr="00CC126D" w:rsidRDefault="00BB63BA" w:rsidP="00BB63BA">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005261E7" w:rsidRPr="00CC126D">
              <w:rPr>
                <w:rFonts w:ascii="Times New Roman" w:eastAsiaTheme="minorEastAsia" w:hAnsi="Times New Roman" w:cs="Times New Roman"/>
                <w:kern w:val="0"/>
                <w:sz w:val="22"/>
                <w:szCs w:val="22"/>
              </w:rPr>
              <w:t>0~</w:t>
            </w:r>
            <w:r w:rsidR="005261E7">
              <w:rPr>
                <w:rFonts w:ascii="Times New Roman" w:eastAsiaTheme="minorEastAsia" w:hAnsi="Times New Roman" w:cs="Times New Roman" w:hint="eastAsia"/>
                <w:kern w:val="0"/>
                <w:sz w:val="22"/>
                <w:szCs w:val="22"/>
              </w:rPr>
              <w:t>1</w:t>
            </w:r>
            <w:r w:rsidRPr="00CC126D">
              <w:rPr>
                <w:rFonts w:ascii="Times New Roman" w:eastAsiaTheme="minorEastAsia" w:hAnsiTheme="minorEastAsia" w:cs="Times New Roman"/>
                <w:kern w:val="0"/>
                <w:sz w:val="22"/>
                <w:szCs w:val="22"/>
              </w:rPr>
              <w:t>；</w:t>
            </w:r>
          </w:p>
          <w:p w:rsidR="00BB63BA" w:rsidRPr="00CC126D" w:rsidRDefault="005261E7" w:rsidP="00BB63BA">
            <w:pPr>
              <w:widowControl/>
              <w:spacing w:line="440" w:lineRule="exact"/>
              <w:jc w:val="center"/>
              <w:rPr>
                <w:rFonts w:ascii="Times New Roman" w:eastAsiaTheme="minorEastAsia" w:hAnsi="Times New Roman" w:cs="Times New Roman"/>
                <w:kern w:val="0"/>
                <w:sz w:val="22"/>
                <w:szCs w:val="22"/>
              </w:rPr>
            </w:pPr>
            <w:r>
              <w:rPr>
                <w:rFonts w:ascii="Times New Roman" w:eastAsiaTheme="minorEastAsia" w:hAnsi="Times New Roman" w:cs="Times New Roman"/>
                <w:kern w:val="0"/>
                <w:sz w:val="22"/>
                <w:szCs w:val="22"/>
              </w:rPr>
              <w:t>1~100</w:t>
            </w:r>
          </w:p>
          <w:p w:rsidR="00BB63BA" w:rsidRPr="00CC126D" w:rsidRDefault="00BB63BA" w:rsidP="00BB63BA">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005261E7">
              <w:rPr>
                <w:rFonts w:ascii="Times New Roman" w:eastAsiaTheme="minorEastAsia" w:hAnsi="Times New Roman" w:cs="Times New Roman"/>
                <w:kern w:val="0"/>
                <w:sz w:val="22"/>
                <w:szCs w:val="22"/>
              </w:rPr>
              <w:t>0.5~25</w:t>
            </w:r>
            <w:r w:rsidRPr="00CC126D">
              <w:rPr>
                <w:rFonts w:ascii="Times New Roman" w:eastAsiaTheme="minorEastAsia" w:hAnsiTheme="minorEastAsia" w:cs="Times New Roman"/>
                <w:kern w:val="0"/>
                <w:sz w:val="22"/>
                <w:szCs w:val="22"/>
              </w:rPr>
              <w:t>；</w:t>
            </w:r>
          </w:p>
          <w:p w:rsidR="00054331" w:rsidRPr="00CC126D" w:rsidRDefault="00BB63BA" w:rsidP="00BB63BA">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2~150</w:t>
            </w:r>
          </w:p>
        </w:tc>
      </w:tr>
      <w:tr w:rsidR="00FE5BBE" w:rsidRPr="00CC126D" w:rsidTr="00C034EC">
        <w:trPr>
          <w:trHeight w:val="282"/>
          <w:jc w:val="center"/>
        </w:trPr>
        <w:tc>
          <w:tcPr>
            <w:tcW w:w="675" w:type="dxa"/>
            <w:vAlign w:val="center"/>
          </w:tcPr>
          <w:p w:rsidR="00FE5BBE" w:rsidRPr="00CC126D" w:rsidRDefault="00FE5BBE" w:rsidP="00CF1E53">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Align w:val="center"/>
          </w:tcPr>
          <w:p w:rsidR="00FE5BBE" w:rsidRPr="00CC126D" w:rsidRDefault="00FE5BBE"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HANNA</w:t>
            </w:r>
          </w:p>
        </w:tc>
        <w:tc>
          <w:tcPr>
            <w:tcW w:w="1353" w:type="dxa"/>
            <w:vAlign w:val="center"/>
          </w:tcPr>
          <w:p w:rsidR="00FE5BBE" w:rsidRPr="00CC126D" w:rsidRDefault="00FE5BBE"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HI83224</w:t>
            </w:r>
          </w:p>
        </w:tc>
        <w:tc>
          <w:tcPr>
            <w:tcW w:w="1541" w:type="dxa"/>
            <w:vAlign w:val="center"/>
          </w:tcPr>
          <w:p w:rsidR="00FE5BBE" w:rsidRPr="00CC126D" w:rsidRDefault="00FE5BBE"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台式</w:t>
            </w:r>
          </w:p>
        </w:tc>
        <w:tc>
          <w:tcPr>
            <w:tcW w:w="2556" w:type="dxa"/>
            <w:vAlign w:val="center"/>
          </w:tcPr>
          <w:p w:rsidR="00BB63BA" w:rsidRPr="00CC126D" w:rsidRDefault="00BB63BA" w:rsidP="00BB63BA">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0.00~1.15</w:t>
            </w:r>
            <w:r w:rsidRPr="00CC126D">
              <w:rPr>
                <w:rFonts w:ascii="Times New Roman" w:eastAsiaTheme="minorEastAsia" w:hAnsiTheme="minorEastAsia" w:cs="Times New Roman"/>
                <w:kern w:val="0"/>
                <w:sz w:val="22"/>
                <w:szCs w:val="22"/>
              </w:rPr>
              <w:t>；</w:t>
            </w:r>
          </w:p>
          <w:p w:rsidR="00BB63BA" w:rsidRPr="00CC126D" w:rsidRDefault="00BB63BA" w:rsidP="00BB63BA">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0.00~32.6</w:t>
            </w:r>
          </w:p>
          <w:p w:rsidR="00BB63BA" w:rsidRPr="00CC126D" w:rsidRDefault="00BB63BA" w:rsidP="00BB63BA">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0.0~25.0</w:t>
            </w:r>
            <w:r w:rsidRPr="00CC126D">
              <w:rPr>
                <w:rFonts w:ascii="Times New Roman" w:eastAsiaTheme="minorEastAsia" w:hAnsiTheme="minorEastAsia" w:cs="Times New Roman"/>
                <w:kern w:val="0"/>
                <w:sz w:val="22"/>
                <w:szCs w:val="22"/>
              </w:rPr>
              <w:t>；</w:t>
            </w:r>
          </w:p>
          <w:p w:rsidR="00FE5BBE" w:rsidRPr="00CC126D" w:rsidRDefault="00BB63BA" w:rsidP="00BB63BA">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10~150</w:t>
            </w:r>
          </w:p>
        </w:tc>
      </w:tr>
      <w:tr w:rsidR="00680B8F" w:rsidRPr="00CC126D" w:rsidTr="00C034EC">
        <w:trPr>
          <w:trHeight w:val="282"/>
          <w:jc w:val="center"/>
        </w:trPr>
        <w:tc>
          <w:tcPr>
            <w:tcW w:w="675" w:type="dxa"/>
            <w:vAlign w:val="center"/>
          </w:tcPr>
          <w:p w:rsidR="00680B8F" w:rsidRPr="00CC126D" w:rsidRDefault="00680B8F" w:rsidP="00CF1E53">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Align w:val="center"/>
          </w:tcPr>
          <w:p w:rsidR="00680B8F" w:rsidRPr="00CC126D" w:rsidRDefault="00680B8F"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Thermo</w:t>
            </w:r>
          </w:p>
        </w:tc>
        <w:tc>
          <w:tcPr>
            <w:tcW w:w="1353" w:type="dxa"/>
            <w:vAlign w:val="center"/>
          </w:tcPr>
          <w:p w:rsidR="00680B8F" w:rsidRPr="00CC126D" w:rsidRDefault="00680B8F"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AQ3700</w:t>
            </w:r>
          </w:p>
        </w:tc>
        <w:tc>
          <w:tcPr>
            <w:tcW w:w="1541" w:type="dxa"/>
            <w:vAlign w:val="center"/>
          </w:tcPr>
          <w:p w:rsidR="00680B8F" w:rsidRPr="00CC126D" w:rsidRDefault="00680B8F"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便携式</w:t>
            </w:r>
          </w:p>
        </w:tc>
        <w:tc>
          <w:tcPr>
            <w:tcW w:w="2556" w:type="dxa"/>
            <w:vAlign w:val="center"/>
          </w:tcPr>
          <w:p w:rsidR="00680B8F" w:rsidRPr="00CC126D" w:rsidRDefault="00680B8F" w:rsidP="00680B8F">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0.02~1.1</w:t>
            </w:r>
          </w:p>
          <w:p w:rsidR="00680B8F" w:rsidRPr="00CC126D" w:rsidRDefault="00680B8F" w:rsidP="00680B8F">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0.5~25</w:t>
            </w:r>
            <w:r w:rsidRPr="00CC126D">
              <w:rPr>
                <w:rFonts w:ascii="Times New Roman" w:eastAsiaTheme="minorEastAsia" w:hAnsiTheme="minorEastAsia" w:cs="Times New Roman"/>
                <w:kern w:val="0"/>
                <w:sz w:val="22"/>
                <w:szCs w:val="22"/>
              </w:rPr>
              <w:t>；</w:t>
            </w:r>
          </w:p>
          <w:p w:rsidR="00680B8F" w:rsidRPr="00CC126D" w:rsidRDefault="00680B8F" w:rsidP="00680B8F">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5~150</w:t>
            </w:r>
          </w:p>
        </w:tc>
      </w:tr>
      <w:tr w:rsidR="00680B8F" w:rsidRPr="00CC126D" w:rsidTr="00C034EC">
        <w:trPr>
          <w:trHeight w:val="282"/>
          <w:jc w:val="center"/>
        </w:trPr>
        <w:tc>
          <w:tcPr>
            <w:tcW w:w="675" w:type="dxa"/>
            <w:vAlign w:val="center"/>
          </w:tcPr>
          <w:p w:rsidR="00680B8F" w:rsidRPr="00CC126D" w:rsidRDefault="00680B8F" w:rsidP="00CF1E53">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Align w:val="center"/>
          </w:tcPr>
          <w:p w:rsidR="00680B8F" w:rsidRPr="00CC126D" w:rsidRDefault="00BE14E8" w:rsidP="000A2B1B">
            <w:pPr>
              <w:spacing w:line="440" w:lineRule="exact"/>
              <w:jc w:val="center"/>
              <w:rPr>
                <w:rFonts w:ascii="Times New Roman" w:eastAsiaTheme="minorEastAsia" w:hAnsi="Times New Roman" w:cs="Times New Roman"/>
                <w:kern w:val="0"/>
                <w:sz w:val="22"/>
                <w:szCs w:val="22"/>
              </w:rPr>
            </w:pPr>
            <w:r w:rsidRPr="00BE14E8">
              <w:rPr>
                <w:rFonts w:ascii="Times New Roman" w:eastAsiaTheme="minorEastAsia" w:hAnsi="Times New Roman" w:cs="Times New Roman"/>
                <w:kern w:val="0"/>
                <w:sz w:val="22"/>
                <w:szCs w:val="22"/>
              </w:rPr>
              <w:t>Pyxis</w:t>
            </w:r>
          </w:p>
        </w:tc>
        <w:tc>
          <w:tcPr>
            <w:tcW w:w="1353" w:type="dxa"/>
            <w:vAlign w:val="center"/>
          </w:tcPr>
          <w:p w:rsidR="00680B8F" w:rsidRPr="00CC126D" w:rsidRDefault="00BE14E8" w:rsidP="000E4552">
            <w:pPr>
              <w:spacing w:line="440" w:lineRule="exact"/>
              <w:jc w:val="center"/>
              <w:rPr>
                <w:rFonts w:ascii="Times New Roman" w:eastAsiaTheme="minorEastAsia" w:hAnsi="Times New Roman" w:cs="Times New Roman"/>
                <w:kern w:val="0"/>
                <w:sz w:val="22"/>
                <w:szCs w:val="22"/>
              </w:rPr>
            </w:pPr>
            <w:r w:rsidRPr="00BE14E8">
              <w:rPr>
                <w:rFonts w:ascii="Times New Roman" w:eastAsiaTheme="minorEastAsia" w:hAnsi="Times New Roman" w:cs="Times New Roman"/>
                <w:kern w:val="0"/>
                <w:sz w:val="22"/>
                <w:szCs w:val="22"/>
              </w:rPr>
              <w:t>SP-910</w:t>
            </w:r>
          </w:p>
        </w:tc>
        <w:tc>
          <w:tcPr>
            <w:tcW w:w="1541" w:type="dxa"/>
            <w:vAlign w:val="center"/>
          </w:tcPr>
          <w:p w:rsidR="00680B8F" w:rsidRPr="00CC126D" w:rsidRDefault="00680B8F"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便携式</w:t>
            </w:r>
          </w:p>
        </w:tc>
        <w:tc>
          <w:tcPr>
            <w:tcW w:w="2556" w:type="dxa"/>
            <w:vAlign w:val="center"/>
          </w:tcPr>
          <w:p w:rsidR="00BE14E8" w:rsidRDefault="00680B8F" w:rsidP="00680B8F">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w:t>
            </w:r>
            <w:r w:rsidR="00BE14E8">
              <w:rPr>
                <w:rFonts w:ascii="Times New Roman" w:eastAsiaTheme="minorEastAsia" w:hAnsi="Times New Roman" w:cs="Times New Roman" w:hint="eastAsia"/>
                <w:kern w:val="0"/>
                <w:sz w:val="22"/>
                <w:szCs w:val="22"/>
              </w:rPr>
              <w:t>6</w:t>
            </w:r>
            <w:r w:rsidRPr="00CC126D">
              <w:rPr>
                <w:rFonts w:ascii="Times New Roman" w:eastAsiaTheme="minorEastAsia" w:hAnsi="Times New Roman" w:cs="Times New Roman"/>
                <w:kern w:val="0"/>
                <w:sz w:val="22"/>
                <w:szCs w:val="22"/>
              </w:rPr>
              <w:t>~</w:t>
            </w:r>
            <w:r w:rsidR="00BE14E8">
              <w:rPr>
                <w:rFonts w:ascii="Times New Roman" w:eastAsiaTheme="minorEastAsia" w:hAnsi="Times New Roman" w:cs="Times New Roman" w:hint="eastAsia"/>
                <w:kern w:val="0"/>
                <w:sz w:val="22"/>
                <w:szCs w:val="22"/>
              </w:rPr>
              <w:t>3.5</w:t>
            </w:r>
            <w:r w:rsidR="00BE14E8">
              <w:rPr>
                <w:rFonts w:ascii="Times New Roman" w:eastAsiaTheme="minorEastAsia" w:hAnsi="Times New Roman" w:cs="Times New Roman" w:hint="eastAsia"/>
                <w:kern w:val="0"/>
                <w:sz w:val="22"/>
                <w:szCs w:val="22"/>
              </w:rPr>
              <w:t>；</w:t>
            </w:r>
          </w:p>
          <w:p w:rsidR="00680B8F" w:rsidRPr="00CC126D" w:rsidRDefault="00BE14E8" w:rsidP="00680B8F">
            <w:pPr>
              <w:widowControl/>
              <w:spacing w:line="440" w:lineRule="exact"/>
              <w:jc w:val="center"/>
              <w:rPr>
                <w:rFonts w:ascii="Times New Roman" w:eastAsiaTheme="minorEastAsia" w:hAnsi="Times New Roman" w:cs="Times New Roman"/>
                <w:kern w:val="0"/>
                <w:sz w:val="22"/>
                <w:szCs w:val="22"/>
              </w:rPr>
            </w:pPr>
            <w:r>
              <w:rPr>
                <w:rFonts w:ascii="Times New Roman" w:eastAsiaTheme="minorEastAsia" w:hAnsi="Times New Roman" w:cs="Times New Roman" w:hint="eastAsia"/>
                <w:kern w:val="0"/>
                <w:sz w:val="22"/>
                <w:szCs w:val="22"/>
              </w:rPr>
              <w:t>1~100</w:t>
            </w:r>
          </w:p>
          <w:p w:rsidR="00680B8F" w:rsidRPr="00CC126D" w:rsidRDefault="00680B8F" w:rsidP="00680B8F">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0.5~25</w:t>
            </w:r>
            <w:r w:rsidRPr="00CC126D">
              <w:rPr>
                <w:rFonts w:ascii="Times New Roman" w:eastAsiaTheme="minorEastAsia" w:hAnsiTheme="minorEastAsia" w:cs="Times New Roman"/>
                <w:kern w:val="0"/>
                <w:sz w:val="22"/>
                <w:szCs w:val="22"/>
              </w:rPr>
              <w:t>；</w:t>
            </w:r>
          </w:p>
          <w:p w:rsidR="00680B8F" w:rsidRPr="00CC126D" w:rsidRDefault="00BE14E8" w:rsidP="00680B8F">
            <w:pPr>
              <w:widowControl/>
              <w:spacing w:line="440" w:lineRule="exact"/>
              <w:jc w:val="center"/>
              <w:rPr>
                <w:rFonts w:ascii="Times New Roman" w:eastAsiaTheme="minorEastAsia" w:hAnsi="Times New Roman" w:cs="Times New Roman"/>
                <w:kern w:val="0"/>
                <w:sz w:val="22"/>
                <w:szCs w:val="22"/>
              </w:rPr>
            </w:pPr>
            <w:r>
              <w:rPr>
                <w:rFonts w:ascii="Times New Roman" w:eastAsiaTheme="minorEastAsia" w:hAnsi="Times New Roman" w:cs="Times New Roman" w:hint="eastAsia"/>
                <w:kern w:val="0"/>
                <w:sz w:val="22"/>
                <w:szCs w:val="22"/>
              </w:rPr>
              <w:t>10</w:t>
            </w:r>
            <w:r w:rsidR="00680B8F" w:rsidRPr="00CC126D">
              <w:rPr>
                <w:rFonts w:ascii="Times New Roman" w:eastAsiaTheme="minorEastAsia" w:hAnsi="Times New Roman" w:cs="Times New Roman"/>
                <w:kern w:val="0"/>
                <w:sz w:val="22"/>
                <w:szCs w:val="22"/>
              </w:rPr>
              <w:t>~150</w:t>
            </w:r>
          </w:p>
        </w:tc>
      </w:tr>
      <w:tr w:rsidR="00054331" w:rsidRPr="00CC126D" w:rsidTr="00C034EC">
        <w:trPr>
          <w:jc w:val="center"/>
        </w:trPr>
        <w:tc>
          <w:tcPr>
            <w:tcW w:w="675" w:type="dxa"/>
            <w:vAlign w:val="center"/>
          </w:tcPr>
          <w:p w:rsidR="00054331" w:rsidRPr="00CC126D" w:rsidRDefault="00054331" w:rsidP="00CF1E53">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Merge w:val="restart"/>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连华科技</w:t>
            </w:r>
          </w:p>
        </w:tc>
        <w:tc>
          <w:tcPr>
            <w:tcW w:w="1353" w:type="dxa"/>
            <w:vAlign w:val="center"/>
          </w:tcPr>
          <w:p w:rsidR="00054331" w:rsidRPr="00CC126D" w:rsidRDefault="00054331" w:rsidP="000A2B1B">
            <w:pPr>
              <w:spacing w:line="440" w:lineRule="exact"/>
              <w:jc w:val="center"/>
              <w:rPr>
                <w:rFonts w:ascii="Times New Roman" w:eastAsiaTheme="minorEastAsia" w:hAnsi="Times New Roman" w:cs="Times New Roman"/>
                <w:kern w:val="0"/>
                <w:shd w:val="clear" w:color="auto" w:fill="FFFFFF"/>
              </w:rPr>
            </w:pPr>
            <w:r w:rsidRPr="00CC126D">
              <w:rPr>
                <w:rFonts w:ascii="Times New Roman" w:eastAsiaTheme="minorEastAsia" w:hAnsi="Times New Roman" w:cs="Times New Roman"/>
                <w:kern w:val="0"/>
                <w:shd w:val="clear" w:color="auto" w:fill="FFFFFF"/>
              </w:rPr>
              <w:t>LH-3BA</w:t>
            </w:r>
          </w:p>
        </w:tc>
        <w:tc>
          <w:tcPr>
            <w:tcW w:w="1541" w:type="dxa"/>
            <w:vAlign w:val="center"/>
          </w:tcPr>
          <w:p w:rsidR="00054331" w:rsidRPr="00CC126D" w:rsidRDefault="00054331" w:rsidP="000A2B1B">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台式</w:t>
            </w:r>
          </w:p>
        </w:tc>
        <w:tc>
          <w:tcPr>
            <w:tcW w:w="2556" w:type="dxa"/>
            <w:vAlign w:val="center"/>
          </w:tcPr>
          <w:p w:rsidR="00054331" w:rsidRPr="00CC126D" w:rsidRDefault="00054331" w:rsidP="00AA54AB">
            <w:pPr>
              <w:widowControl/>
              <w:spacing w:line="440" w:lineRule="exact"/>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color w:val="000000"/>
                <w:kern w:val="0"/>
                <w:sz w:val="22"/>
                <w:szCs w:val="22"/>
              </w:rPr>
              <w:t>2~100</w:t>
            </w:r>
            <w:r w:rsidRPr="00CC126D">
              <w:rPr>
                <w:rFonts w:ascii="Times New Roman" w:eastAsiaTheme="minorEastAsia" w:hAnsiTheme="minorEastAsia" w:cs="Times New Roman"/>
                <w:color w:val="000000"/>
                <w:kern w:val="0"/>
                <w:sz w:val="22"/>
                <w:szCs w:val="22"/>
              </w:rPr>
              <w:t>（分段）</w:t>
            </w:r>
          </w:p>
          <w:p w:rsidR="00054331" w:rsidRPr="00CC126D" w:rsidRDefault="00054331" w:rsidP="00AA54AB">
            <w:pPr>
              <w:widowControl/>
              <w:spacing w:line="440" w:lineRule="exact"/>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0~80</w:t>
            </w:r>
            <w:r w:rsidRPr="00CC126D">
              <w:rPr>
                <w:rFonts w:ascii="Times New Roman" w:eastAsiaTheme="minorEastAsia" w:hAnsiTheme="minorEastAsia" w:cs="Times New Roman"/>
                <w:color w:val="000000"/>
                <w:kern w:val="0"/>
                <w:sz w:val="22"/>
                <w:szCs w:val="22"/>
              </w:rPr>
              <w:t>（分段）</w:t>
            </w:r>
          </w:p>
        </w:tc>
      </w:tr>
      <w:tr w:rsidR="00054331" w:rsidRPr="00CC126D" w:rsidTr="00C034EC">
        <w:trPr>
          <w:jc w:val="center"/>
        </w:trPr>
        <w:tc>
          <w:tcPr>
            <w:tcW w:w="675" w:type="dxa"/>
            <w:vAlign w:val="center"/>
          </w:tcPr>
          <w:p w:rsidR="00054331" w:rsidRPr="00CC126D" w:rsidRDefault="00054331" w:rsidP="00CF1E53">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p>
        </w:tc>
        <w:tc>
          <w:tcPr>
            <w:tcW w:w="1353" w:type="dxa"/>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5B-6C</w:t>
            </w:r>
          </w:p>
        </w:tc>
        <w:tc>
          <w:tcPr>
            <w:tcW w:w="1541" w:type="dxa"/>
            <w:vAlign w:val="center"/>
          </w:tcPr>
          <w:p w:rsidR="00054331" w:rsidRPr="00CC126D" w:rsidRDefault="00054331" w:rsidP="000A2B1B">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台式</w:t>
            </w:r>
          </w:p>
        </w:tc>
        <w:tc>
          <w:tcPr>
            <w:tcW w:w="2556" w:type="dxa"/>
            <w:vAlign w:val="center"/>
          </w:tcPr>
          <w:p w:rsidR="00054331" w:rsidRPr="00CC126D" w:rsidRDefault="00054331" w:rsidP="000A2B1B">
            <w:pPr>
              <w:widowControl/>
              <w:spacing w:line="440" w:lineRule="exact"/>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color w:val="000000"/>
                <w:kern w:val="0"/>
                <w:sz w:val="22"/>
                <w:szCs w:val="22"/>
              </w:rPr>
              <w:t>0~100</w:t>
            </w:r>
            <w:r w:rsidRPr="00CC126D">
              <w:rPr>
                <w:rFonts w:ascii="Times New Roman" w:eastAsiaTheme="minorEastAsia" w:hAnsiTheme="minorEastAsia" w:cs="Times New Roman"/>
                <w:color w:val="000000"/>
                <w:kern w:val="0"/>
                <w:sz w:val="22"/>
                <w:szCs w:val="22"/>
              </w:rPr>
              <w:t>（分段）</w:t>
            </w:r>
          </w:p>
          <w:p w:rsidR="00054331" w:rsidRPr="00CC126D" w:rsidRDefault="00054331" w:rsidP="000A2B1B">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0~100</w:t>
            </w:r>
            <w:r w:rsidR="005261E7" w:rsidRPr="00CC126D">
              <w:rPr>
                <w:rFonts w:ascii="Times New Roman" w:eastAsiaTheme="minorEastAsia" w:hAnsiTheme="minorEastAsia" w:cs="Times New Roman"/>
                <w:color w:val="000000"/>
                <w:kern w:val="0"/>
                <w:sz w:val="22"/>
                <w:szCs w:val="22"/>
              </w:rPr>
              <w:t>（分段）</w:t>
            </w:r>
          </w:p>
        </w:tc>
      </w:tr>
      <w:tr w:rsidR="00054331" w:rsidRPr="00CC126D" w:rsidTr="00C034EC">
        <w:trPr>
          <w:jc w:val="center"/>
        </w:trPr>
        <w:tc>
          <w:tcPr>
            <w:tcW w:w="675" w:type="dxa"/>
            <w:vAlign w:val="center"/>
          </w:tcPr>
          <w:p w:rsidR="00054331" w:rsidRPr="00CC126D" w:rsidRDefault="00054331" w:rsidP="00CF1E53">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p>
        </w:tc>
        <w:tc>
          <w:tcPr>
            <w:tcW w:w="1353" w:type="dxa"/>
            <w:vAlign w:val="center"/>
          </w:tcPr>
          <w:p w:rsidR="00054331" w:rsidRPr="00CC126D" w:rsidRDefault="00054331" w:rsidP="000A2B1B">
            <w:pPr>
              <w:spacing w:line="440" w:lineRule="exact"/>
              <w:jc w:val="center"/>
              <w:rPr>
                <w:rFonts w:ascii="Times New Roman" w:eastAsiaTheme="minorEastAsia" w:hAnsi="Times New Roman" w:cs="Times New Roman"/>
                <w:kern w:val="0"/>
                <w:shd w:val="clear" w:color="auto" w:fill="FFFFFF"/>
              </w:rPr>
            </w:pPr>
            <w:r w:rsidRPr="00CC126D">
              <w:rPr>
                <w:rFonts w:ascii="Times New Roman" w:eastAsiaTheme="minorEastAsia" w:hAnsi="Times New Roman" w:cs="Times New Roman"/>
                <w:kern w:val="0"/>
                <w:sz w:val="22"/>
                <w:szCs w:val="22"/>
              </w:rPr>
              <w:t>5B-6P</w:t>
            </w:r>
          </w:p>
        </w:tc>
        <w:tc>
          <w:tcPr>
            <w:tcW w:w="1541" w:type="dxa"/>
            <w:vAlign w:val="center"/>
          </w:tcPr>
          <w:p w:rsidR="00054331" w:rsidRPr="00CC126D" w:rsidRDefault="00054331" w:rsidP="000A2B1B">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台式</w:t>
            </w:r>
          </w:p>
        </w:tc>
        <w:tc>
          <w:tcPr>
            <w:tcW w:w="2556" w:type="dxa"/>
            <w:vAlign w:val="center"/>
          </w:tcPr>
          <w:p w:rsidR="00054331" w:rsidRPr="00CC126D" w:rsidRDefault="00054331" w:rsidP="000A2B1B">
            <w:pPr>
              <w:widowControl/>
              <w:spacing w:line="440" w:lineRule="exact"/>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color w:val="000000"/>
                <w:kern w:val="0"/>
                <w:sz w:val="22"/>
                <w:szCs w:val="22"/>
              </w:rPr>
              <w:t>0~100</w:t>
            </w:r>
            <w:r w:rsidRPr="00CC126D">
              <w:rPr>
                <w:rFonts w:ascii="Times New Roman" w:eastAsiaTheme="minorEastAsia" w:hAnsiTheme="minorEastAsia" w:cs="Times New Roman"/>
                <w:color w:val="000000"/>
                <w:kern w:val="0"/>
                <w:sz w:val="22"/>
                <w:szCs w:val="22"/>
              </w:rPr>
              <w:t>（分段）</w:t>
            </w:r>
          </w:p>
        </w:tc>
      </w:tr>
      <w:tr w:rsidR="00054331" w:rsidRPr="00CC126D" w:rsidTr="00C034EC">
        <w:trPr>
          <w:jc w:val="center"/>
        </w:trPr>
        <w:tc>
          <w:tcPr>
            <w:tcW w:w="675" w:type="dxa"/>
            <w:vAlign w:val="center"/>
          </w:tcPr>
          <w:p w:rsidR="00054331" w:rsidRPr="00CC126D" w:rsidRDefault="00054331" w:rsidP="00CF1E53">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p>
        </w:tc>
        <w:tc>
          <w:tcPr>
            <w:tcW w:w="1353" w:type="dxa"/>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LH-TP2M</w:t>
            </w:r>
          </w:p>
        </w:tc>
        <w:tc>
          <w:tcPr>
            <w:tcW w:w="1541" w:type="dxa"/>
            <w:vAlign w:val="center"/>
          </w:tcPr>
          <w:p w:rsidR="00054331" w:rsidRPr="00CC126D" w:rsidRDefault="00054331" w:rsidP="000A2B1B">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便携式</w:t>
            </w:r>
          </w:p>
        </w:tc>
        <w:tc>
          <w:tcPr>
            <w:tcW w:w="2556" w:type="dxa"/>
            <w:vAlign w:val="center"/>
          </w:tcPr>
          <w:p w:rsidR="00054331" w:rsidRPr="00CC126D" w:rsidRDefault="00054331" w:rsidP="000A2B1B">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color w:val="000000"/>
                <w:kern w:val="0"/>
                <w:sz w:val="22"/>
                <w:szCs w:val="22"/>
              </w:rPr>
              <w:t>0~25</w:t>
            </w:r>
            <w:r w:rsidRPr="00CC126D">
              <w:rPr>
                <w:rFonts w:ascii="Times New Roman" w:eastAsiaTheme="minorEastAsia" w:hAnsiTheme="minorEastAsia" w:cs="Times New Roman"/>
                <w:color w:val="000000"/>
                <w:kern w:val="0"/>
                <w:sz w:val="22"/>
                <w:szCs w:val="22"/>
              </w:rPr>
              <w:t>（分段）</w:t>
            </w:r>
          </w:p>
        </w:tc>
      </w:tr>
      <w:tr w:rsidR="00054331" w:rsidRPr="00CC126D" w:rsidTr="00C034EC">
        <w:trPr>
          <w:jc w:val="center"/>
        </w:trPr>
        <w:tc>
          <w:tcPr>
            <w:tcW w:w="675" w:type="dxa"/>
            <w:vAlign w:val="center"/>
          </w:tcPr>
          <w:p w:rsidR="00054331" w:rsidRPr="00CC126D" w:rsidRDefault="00054331" w:rsidP="00CF1E53">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p>
        </w:tc>
        <w:tc>
          <w:tcPr>
            <w:tcW w:w="1353" w:type="dxa"/>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LH-TN200</w:t>
            </w:r>
          </w:p>
        </w:tc>
        <w:tc>
          <w:tcPr>
            <w:tcW w:w="1541" w:type="dxa"/>
            <w:vAlign w:val="center"/>
          </w:tcPr>
          <w:p w:rsidR="00054331" w:rsidRPr="00CC126D" w:rsidRDefault="00054331" w:rsidP="000A2B1B">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台式</w:t>
            </w:r>
          </w:p>
        </w:tc>
        <w:tc>
          <w:tcPr>
            <w:tcW w:w="2556" w:type="dxa"/>
            <w:vAlign w:val="center"/>
          </w:tcPr>
          <w:p w:rsidR="00054331" w:rsidRPr="00CC126D" w:rsidRDefault="00054331" w:rsidP="00AA54AB">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1~100</w:t>
            </w:r>
            <w:r w:rsidRPr="00CC126D">
              <w:rPr>
                <w:rFonts w:ascii="Times New Roman" w:eastAsiaTheme="minorEastAsia" w:hAnsiTheme="minorEastAsia" w:cs="Times New Roman"/>
                <w:color w:val="000000"/>
                <w:kern w:val="0"/>
                <w:sz w:val="22"/>
                <w:szCs w:val="22"/>
              </w:rPr>
              <w:t>（分段）</w:t>
            </w:r>
          </w:p>
        </w:tc>
      </w:tr>
      <w:tr w:rsidR="00054331" w:rsidRPr="00CC126D" w:rsidTr="00C034EC">
        <w:trPr>
          <w:jc w:val="center"/>
        </w:trPr>
        <w:tc>
          <w:tcPr>
            <w:tcW w:w="675" w:type="dxa"/>
            <w:vAlign w:val="center"/>
          </w:tcPr>
          <w:p w:rsidR="00054331" w:rsidRPr="00CC126D" w:rsidRDefault="00054331" w:rsidP="00CF1E53">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p>
        </w:tc>
        <w:tc>
          <w:tcPr>
            <w:tcW w:w="1353" w:type="dxa"/>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LH-TN2M</w:t>
            </w:r>
          </w:p>
        </w:tc>
        <w:tc>
          <w:tcPr>
            <w:tcW w:w="1541" w:type="dxa"/>
            <w:vAlign w:val="center"/>
          </w:tcPr>
          <w:p w:rsidR="00054331" w:rsidRPr="00CC126D" w:rsidRDefault="00054331" w:rsidP="000A2B1B">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便携式</w:t>
            </w:r>
          </w:p>
        </w:tc>
        <w:tc>
          <w:tcPr>
            <w:tcW w:w="2556" w:type="dxa"/>
            <w:vAlign w:val="center"/>
          </w:tcPr>
          <w:p w:rsidR="00054331" w:rsidRPr="00CC126D" w:rsidRDefault="00054331" w:rsidP="000A2B1B">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1~100</w:t>
            </w:r>
            <w:r w:rsidRPr="00CC126D">
              <w:rPr>
                <w:rFonts w:ascii="Times New Roman" w:eastAsiaTheme="minorEastAsia" w:hAnsiTheme="minorEastAsia" w:cs="Times New Roman"/>
                <w:color w:val="000000"/>
                <w:kern w:val="0"/>
                <w:sz w:val="22"/>
                <w:szCs w:val="22"/>
              </w:rPr>
              <w:t>（分段）</w:t>
            </w:r>
          </w:p>
        </w:tc>
      </w:tr>
      <w:tr w:rsidR="00054331" w:rsidRPr="00CC126D" w:rsidTr="00C034EC">
        <w:trPr>
          <w:jc w:val="center"/>
        </w:trPr>
        <w:tc>
          <w:tcPr>
            <w:tcW w:w="675" w:type="dxa"/>
            <w:vAlign w:val="center"/>
          </w:tcPr>
          <w:p w:rsidR="00054331" w:rsidRPr="00CC126D" w:rsidRDefault="00054331" w:rsidP="00CF1E53">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Merge w:val="restart"/>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江苏盛奥华环保科技有限公司</w:t>
            </w:r>
          </w:p>
        </w:tc>
        <w:tc>
          <w:tcPr>
            <w:tcW w:w="1353" w:type="dxa"/>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6B-70</w:t>
            </w:r>
          </w:p>
        </w:tc>
        <w:tc>
          <w:tcPr>
            <w:tcW w:w="1541" w:type="dxa"/>
            <w:vAlign w:val="center"/>
          </w:tcPr>
          <w:p w:rsidR="00054331" w:rsidRPr="00CC126D" w:rsidRDefault="00054331" w:rsidP="000A2B1B">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台式</w:t>
            </w:r>
          </w:p>
        </w:tc>
        <w:tc>
          <w:tcPr>
            <w:tcW w:w="2556" w:type="dxa"/>
            <w:vAlign w:val="center"/>
          </w:tcPr>
          <w:p w:rsidR="00054331" w:rsidRPr="00CC126D" w:rsidRDefault="00054331" w:rsidP="0082786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color w:val="000000"/>
                <w:kern w:val="0"/>
                <w:sz w:val="22"/>
                <w:szCs w:val="22"/>
              </w:rPr>
              <w:t>0.01~20</w:t>
            </w:r>
            <w:r w:rsidRPr="00CC126D">
              <w:rPr>
                <w:rFonts w:ascii="Times New Roman" w:eastAsiaTheme="minorEastAsia" w:hAnsiTheme="minorEastAsia" w:cs="Times New Roman"/>
                <w:color w:val="000000"/>
                <w:kern w:val="0"/>
                <w:sz w:val="22"/>
                <w:szCs w:val="22"/>
              </w:rPr>
              <w:t>（分段）</w:t>
            </w:r>
          </w:p>
        </w:tc>
      </w:tr>
      <w:tr w:rsidR="00054331" w:rsidRPr="00CC126D" w:rsidTr="00C034EC">
        <w:trPr>
          <w:jc w:val="center"/>
        </w:trPr>
        <w:tc>
          <w:tcPr>
            <w:tcW w:w="675" w:type="dxa"/>
            <w:vAlign w:val="center"/>
          </w:tcPr>
          <w:p w:rsidR="00054331" w:rsidRPr="00CC126D" w:rsidRDefault="00054331" w:rsidP="00CF1E53">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p>
        </w:tc>
        <w:tc>
          <w:tcPr>
            <w:tcW w:w="1353" w:type="dxa"/>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6B-90</w:t>
            </w:r>
          </w:p>
        </w:tc>
        <w:tc>
          <w:tcPr>
            <w:tcW w:w="1541" w:type="dxa"/>
            <w:vAlign w:val="center"/>
          </w:tcPr>
          <w:p w:rsidR="00054331" w:rsidRPr="00CC126D" w:rsidRDefault="00054331" w:rsidP="000A2B1B">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台式</w:t>
            </w:r>
          </w:p>
        </w:tc>
        <w:tc>
          <w:tcPr>
            <w:tcW w:w="2556" w:type="dxa"/>
            <w:vAlign w:val="center"/>
          </w:tcPr>
          <w:p w:rsidR="00054331" w:rsidRPr="00CC126D" w:rsidRDefault="00054331" w:rsidP="0082786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0.01~100</w:t>
            </w:r>
            <w:r w:rsidRPr="00CC126D">
              <w:rPr>
                <w:rFonts w:ascii="Times New Roman" w:eastAsiaTheme="minorEastAsia" w:hAnsiTheme="minorEastAsia" w:cs="Times New Roman"/>
                <w:color w:val="000000"/>
                <w:kern w:val="0"/>
                <w:sz w:val="22"/>
                <w:szCs w:val="22"/>
              </w:rPr>
              <w:t>（分段）</w:t>
            </w:r>
          </w:p>
        </w:tc>
      </w:tr>
      <w:tr w:rsidR="00054331" w:rsidRPr="00CC126D" w:rsidTr="00C034EC">
        <w:trPr>
          <w:jc w:val="center"/>
        </w:trPr>
        <w:tc>
          <w:tcPr>
            <w:tcW w:w="675" w:type="dxa"/>
            <w:vAlign w:val="center"/>
          </w:tcPr>
          <w:p w:rsidR="00054331" w:rsidRPr="00CC126D" w:rsidRDefault="00054331" w:rsidP="00CF1E53">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Merge w:val="restart"/>
            <w:vAlign w:val="center"/>
          </w:tcPr>
          <w:p w:rsidR="00054331" w:rsidRPr="00CC126D" w:rsidRDefault="005261E7" w:rsidP="000A2B1B">
            <w:pPr>
              <w:spacing w:line="440" w:lineRule="exact"/>
              <w:jc w:val="center"/>
              <w:rPr>
                <w:rFonts w:ascii="Times New Roman" w:eastAsiaTheme="minorEastAsia" w:hAnsi="Times New Roman" w:cs="Times New Roman"/>
                <w:kern w:val="0"/>
                <w:sz w:val="22"/>
                <w:szCs w:val="22"/>
              </w:rPr>
            </w:pPr>
            <w:r>
              <w:rPr>
                <w:rFonts w:ascii="Times New Roman" w:eastAsiaTheme="minorEastAsia" w:hAnsiTheme="minorEastAsia" w:cs="Times New Roman"/>
                <w:kern w:val="0"/>
                <w:sz w:val="22"/>
                <w:szCs w:val="22"/>
              </w:rPr>
              <w:t>浙江</w:t>
            </w:r>
            <w:r w:rsidR="00054331" w:rsidRPr="00CC126D">
              <w:rPr>
                <w:rFonts w:ascii="Times New Roman" w:eastAsiaTheme="minorEastAsia" w:hAnsiTheme="minorEastAsia" w:cs="Times New Roman"/>
                <w:kern w:val="0"/>
                <w:sz w:val="22"/>
                <w:szCs w:val="22"/>
              </w:rPr>
              <w:t>陆恒</w:t>
            </w:r>
            <w:r>
              <w:rPr>
                <w:rFonts w:ascii="Times New Roman" w:eastAsiaTheme="minorEastAsia" w:hAnsiTheme="minorEastAsia" w:cs="Times New Roman"/>
                <w:kern w:val="0"/>
                <w:sz w:val="22"/>
                <w:szCs w:val="22"/>
              </w:rPr>
              <w:t>环境</w:t>
            </w:r>
            <w:r w:rsidR="00054331" w:rsidRPr="00CC126D">
              <w:rPr>
                <w:rFonts w:ascii="Times New Roman" w:eastAsiaTheme="minorEastAsia" w:hAnsiTheme="minorEastAsia" w:cs="Times New Roman"/>
                <w:kern w:val="0"/>
                <w:sz w:val="22"/>
                <w:szCs w:val="22"/>
              </w:rPr>
              <w:t>科技有限公司</w:t>
            </w:r>
          </w:p>
        </w:tc>
        <w:tc>
          <w:tcPr>
            <w:tcW w:w="1353" w:type="dxa"/>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LH-T725</w:t>
            </w:r>
          </w:p>
        </w:tc>
        <w:tc>
          <w:tcPr>
            <w:tcW w:w="1541" w:type="dxa"/>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台式</w:t>
            </w:r>
          </w:p>
        </w:tc>
        <w:tc>
          <w:tcPr>
            <w:tcW w:w="2556" w:type="dxa"/>
            <w:vAlign w:val="center"/>
          </w:tcPr>
          <w:p w:rsidR="00054331" w:rsidRPr="00CC126D" w:rsidRDefault="00054331" w:rsidP="000A2B1B">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0.02~20</w:t>
            </w:r>
          </w:p>
          <w:p w:rsidR="00054331" w:rsidRPr="00CC126D" w:rsidRDefault="00054331"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0.5~500</w:t>
            </w:r>
          </w:p>
        </w:tc>
      </w:tr>
      <w:tr w:rsidR="00054331" w:rsidRPr="00CC126D" w:rsidTr="00C034EC">
        <w:trPr>
          <w:jc w:val="center"/>
        </w:trPr>
        <w:tc>
          <w:tcPr>
            <w:tcW w:w="675" w:type="dxa"/>
            <w:vAlign w:val="center"/>
          </w:tcPr>
          <w:p w:rsidR="00054331" w:rsidRPr="00CC126D" w:rsidRDefault="00054331" w:rsidP="00CF1E53">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p>
        </w:tc>
        <w:tc>
          <w:tcPr>
            <w:tcW w:w="1353" w:type="dxa"/>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LH-C660</w:t>
            </w:r>
          </w:p>
        </w:tc>
        <w:tc>
          <w:tcPr>
            <w:tcW w:w="1541" w:type="dxa"/>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便携式</w:t>
            </w:r>
          </w:p>
        </w:tc>
        <w:tc>
          <w:tcPr>
            <w:tcW w:w="2556" w:type="dxa"/>
            <w:vAlign w:val="center"/>
          </w:tcPr>
          <w:p w:rsidR="00054331" w:rsidRPr="00CC126D" w:rsidRDefault="00054331" w:rsidP="0082786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0.02~20.00</w:t>
            </w:r>
          </w:p>
          <w:p w:rsidR="00054331" w:rsidRPr="00CC126D" w:rsidRDefault="00054331" w:rsidP="0082786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0.5~500.00</w:t>
            </w:r>
          </w:p>
        </w:tc>
      </w:tr>
      <w:tr w:rsidR="00054331" w:rsidRPr="00CC126D" w:rsidTr="00C034EC">
        <w:trPr>
          <w:jc w:val="center"/>
        </w:trPr>
        <w:tc>
          <w:tcPr>
            <w:tcW w:w="675" w:type="dxa"/>
            <w:vAlign w:val="center"/>
          </w:tcPr>
          <w:p w:rsidR="00054331" w:rsidRPr="00CC126D" w:rsidRDefault="00054331" w:rsidP="00CF1E53">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Merge w:val="restart"/>
            <w:vAlign w:val="center"/>
          </w:tcPr>
          <w:p w:rsidR="00054331" w:rsidRPr="00CC126D" w:rsidRDefault="00054331" w:rsidP="000A2B1B">
            <w:pPr>
              <w:jc w:val="center"/>
              <w:rPr>
                <w:rFonts w:ascii="Times New Roman" w:eastAsiaTheme="minorEastAsia" w:hAnsi="Times New Roman" w:cs="Times New Roman"/>
                <w:sz w:val="24"/>
                <w:szCs w:val="24"/>
              </w:rPr>
            </w:pPr>
            <w:r w:rsidRPr="00CC126D">
              <w:rPr>
                <w:rFonts w:ascii="Times New Roman" w:eastAsiaTheme="minorEastAsia" w:hAnsiTheme="minorEastAsia" w:cs="Times New Roman"/>
              </w:rPr>
              <w:t>洛阳莱博图电子科技有限公司</w:t>
            </w:r>
          </w:p>
        </w:tc>
        <w:tc>
          <w:tcPr>
            <w:tcW w:w="1353" w:type="dxa"/>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LBT-H55</w:t>
            </w:r>
          </w:p>
        </w:tc>
        <w:tc>
          <w:tcPr>
            <w:tcW w:w="1541" w:type="dxa"/>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台式</w:t>
            </w:r>
          </w:p>
        </w:tc>
        <w:tc>
          <w:tcPr>
            <w:tcW w:w="2556" w:type="dxa"/>
            <w:vAlign w:val="center"/>
          </w:tcPr>
          <w:p w:rsidR="00054331" w:rsidRPr="00CC126D" w:rsidRDefault="00054331" w:rsidP="000A2B1B">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0~20</w:t>
            </w:r>
          </w:p>
          <w:p w:rsidR="00054331" w:rsidRPr="00CC126D" w:rsidRDefault="00054331" w:rsidP="000A2B1B">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0~500</w:t>
            </w:r>
          </w:p>
        </w:tc>
      </w:tr>
      <w:tr w:rsidR="00054331" w:rsidRPr="00CC126D" w:rsidTr="00C034EC">
        <w:trPr>
          <w:jc w:val="center"/>
        </w:trPr>
        <w:tc>
          <w:tcPr>
            <w:tcW w:w="675" w:type="dxa"/>
            <w:vAlign w:val="center"/>
          </w:tcPr>
          <w:p w:rsidR="00054331" w:rsidRPr="00CC126D" w:rsidRDefault="00054331" w:rsidP="00CF1E53">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054331" w:rsidRPr="00CC126D" w:rsidRDefault="00054331" w:rsidP="000A2B1B">
            <w:pPr>
              <w:jc w:val="center"/>
              <w:rPr>
                <w:rFonts w:ascii="Times New Roman" w:eastAsiaTheme="minorEastAsia" w:hAnsi="Times New Roman" w:cs="Times New Roman"/>
              </w:rPr>
            </w:pPr>
          </w:p>
        </w:tc>
        <w:tc>
          <w:tcPr>
            <w:tcW w:w="1353" w:type="dxa"/>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LBT-BX60</w:t>
            </w:r>
          </w:p>
        </w:tc>
        <w:tc>
          <w:tcPr>
            <w:tcW w:w="1541" w:type="dxa"/>
            <w:vAlign w:val="center"/>
          </w:tcPr>
          <w:p w:rsidR="00054331" w:rsidRPr="00CC126D" w:rsidRDefault="00054331"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便携式</w:t>
            </w:r>
          </w:p>
        </w:tc>
        <w:tc>
          <w:tcPr>
            <w:tcW w:w="2556" w:type="dxa"/>
            <w:vAlign w:val="center"/>
          </w:tcPr>
          <w:p w:rsidR="00054331" w:rsidRPr="00CC126D" w:rsidRDefault="00054331" w:rsidP="000A2B1B">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0.00~20.00</w:t>
            </w:r>
          </w:p>
          <w:p w:rsidR="00054331" w:rsidRPr="00CC126D" w:rsidRDefault="00054331" w:rsidP="000A2B1B">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0.50~50.00</w:t>
            </w:r>
          </w:p>
        </w:tc>
      </w:tr>
      <w:tr w:rsidR="00680B8F" w:rsidRPr="00CC126D" w:rsidTr="00C034EC">
        <w:trPr>
          <w:jc w:val="center"/>
        </w:trPr>
        <w:tc>
          <w:tcPr>
            <w:tcW w:w="675" w:type="dxa"/>
            <w:vAlign w:val="center"/>
          </w:tcPr>
          <w:p w:rsidR="00680B8F" w:rsidRPr="00CC126D" w:rsidRDefault="00680B8F" w:rsidP="00CF1E53">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Align w:val="center"/>
          </w:tcPr>
          <w:p w:rsidR="00680B8F" w:rsidRPr="00CC126D" w:rsidRDefault="00680B8F" w:rsidP="000E4552">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上海仪电科学仪器股份有限公司</w:t>
            </w:r>
          </w:p>
        </w:tc>
        <w:tc>
          <w:tcPr>
            <w:tcW w:w="1353" w:type="dxa"/>
            <w:vAlign w:val="center"/>
          </w:tcPr>
          <w:p w:rsidR="00680B8F" w:rsidRPr="00CC126D" w:rsidRDefault="00680B8F" w:rsidP="000E4552">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DGB-401</w:t>
            </w:r>
          </w:p>
        </w:tc>
        <w:tc>
          <w:tcPr>
            <w:tcW w:w="1541" w:type="dxa"/>
            <w:vAlign w:val="center"/>
          </w:tcPr>
          <w:p w:rsidR="00680B8F" w:rsidRPr="00CC126D" w:rsidRDefault="009F4FAB"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便携式</w:t>
            </w:r>
          </w:p>
        </w:tc>
        <w:tc>
          <w:tcPr>
            <w:tcW w:w="2556" w:type="dxa"/>
            <w:vAlign w:val="center"/>
          </w:tcPr>
          <w:p w:rsidR="009F4FAB" w:rsidRPr="00CC126D" w:rsidRDefault="009F4FAB" w:rsidP="009F4FAB">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0.000~1.000</w:t>
            </w:r>
            <w:r w:rsidRPr="00CC126D">
              <w:rPr>
                <w:rFonts w:ascii="Times New Roman" w:eastAsiaTheme="minorEastAsia" w:hAnsiTheme="minorEastAsia" w:cs="Times New Roman"/>
                <w:kern w:val="0"/>
                <w:sz w:val="22"/>
                <w:szCs w:val="22"/>
              </w:rPr>
              <w:t>，可扩展至</w:t>
            </w:r>
            <w:r w:rsidRPr="00CC126D">
              <w:rPr>
                <w:rFonts w:ascii="Times New Roman" w:eastAsiaTheme="minorEastAsia" w:hAnsi="Times New Roman" w:cs="Times New Roman"/>
                <w:kern w:val="0"/>
                <w:sz w:val="22"/>
                <w:szCs w:val="22"/>
              </w:rPr>
              <w:t>25.00</w:t>
            </w:r>
          </w:p>
          <w:p w:rsidR="00680B8F" w:rsidRPr="00CC126D" w:rsidRDefault="009F4FAB" w:rsidP="009F4FAB">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0.000~30.00</w:t>
            </w:r>
            <w:r w:rsidRPr="00CC126D">
              <w:rPr>
                <w:rFonts w:ascii="Times New Roman" w:eastAsiaTheme="minorEastAsia" w:hAnsiTheme="minorEastAsia" w:cs="Times New Roman"/>
                <w:kern w:val="0"/>
                <w:sz w:val="22"/>
                <w:szCs w:val="22"/>
              </w:rPr>
              <w:t>，可扩展至</w:t>
            </w:r>
            <w:r w:rsidRPr="00CC126D">
              <w:rPr>
                <w:rFonts w:ascii="Times New Roman" w:eastAsiaTheme="minorEastAsia" w:hAnsi="Times New Roman" w:cs="Times New Roman"/>
                <w:kern w:val="0"/>
                <w:sz w:val="22"/>
                <w:szCs w:val="22"/>
              </w:rPr>
              <w:t>300</w:t>
            </w:r>
          </w:p>
        </w:tc>
      </w:tr>
      <w:tr w:rsidR="007900AE" w:rsidRPr="00CC126D" w:rsidTr="000E4552">
        <w:trPr>
          <w:jc w:val="center"/>
        </w:trPr>
        <w:tc>
          <w:tcPr>
            <w:tcW w:w="675" w:type="dxa"/>
            <w:vAlign w:val="center"/>
          </w:tcPr>
          <w:p w:rsidR="007900AE" w:rsidRPr="00CC126D" w:rsidRDefault="007900AE" w:rsidP="007900AE">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Merge w:val="restart"/>
            <w:vAlign w:val="center"/>
          </w:tcPr>
          <w:p w:rsidR="007900AE" w:rsidRPr="00CC126D" w:rsidRDefault="007900AE"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深昌鸿科技有限公司</w:t>
            </w:r>
          </w:p>
        </w:tc>
        <w:tc>
          <w:tcPr>
            <w:tcW w:w="1353" w:type="dxa"/>
            <w:vAlign w:val="center"/>
          </w:tcPr>
          <w:p w:rsidR="007900AE" w:rsidRPr="00CC126D" w:rsidRDefault="007900AE" w:rsidP="000E4552">
            <w:pPr>
              <w:spacing w:line="440" w:lineRule="exact"/>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MULP-8C</w:t>
            </w:r>
          </w:p>
        </w:tc>
        <w:tc>
          <w:tcPr>
            <w:tcW w:w="1541" w:type="dxa"/>
            <w:vAlign w:val="center"/>
          </w:tcPr>
          <w:p w:rsidR="007900AE" w:rsidRPr="00CC126D" w:rsidRDefault="007900AE"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台式</w:t>
            </w:r>
          </w:p>
        </w:tc>
        <w:tc>
          <w:tcPr>
            <w:tcW w:w="2556" w:type="dxa"/>
            <w:vAlign w:val="center"/>
          </w:tcPr>
          <w:p w:rsidR="007900AE" w:rsidRPr="00CC126D" w:rsidRDefault="007900AE"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0.00~10</w:t>
            </w:r>
          </w:p>
          <w:p w:rsidR="007900AE" w:rsidRPr="00CC126D" w:rsidRDefault="007900AE"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0.05~100</w:t>
            </w:r>
          </w:p>
        </w:tc>
      </w:tr>
      <w:tr w:rsidR="007900AE" w:rsidRPr="00CC126D" w:rsidTr="000E4552">
        <w:trPr>
          <w:jc w:val="center"/>
        </w:trPr>
        <w:tc>
          <w:tcPr>
            <w:tcW w:w="675" w:type="dxa"/>
            <w:vAlign w:val="center"/>
          </w:tcPr>
          <w:p w:rsidR="007900AE" w:rsidRPr="00CC126D" w:rsidRDefault="007900AE" w:rsidP="007900AE">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7900AE" w:rsidRPr="00CC126D" w:rsidRDefault="007900AE" w:rsidP="000E4552">
            <w:pPr>
              <w:spacing w:line="440" w:lineRule="exact"/>
              <w:jc w:val="center"/>
              <w:rPr>
                <w:rFonts w:ascii="Times New Roman" w:eastAsiaTheme="minorEastAsia" w:hAnsi="Times New Roman" w:cs="Times New Roman"/>
                <w:kern w:val="0"/>
                <w:sz w:val="22"/>
                <w:szCs w:val="22"/>
              </w:rPr>
            </w:pPr>
          </w:p>
        </w:tc>
        <w:tc>
          <w:tcPr>
            <w:tcW w:w="1353" w:type="dxa"/>
            <w:vAlign w:val="center"/>
          </w:tcPr>
          <w:p w:rsidR="007900AE" w:rsidRPr="00CC126D" w:rsidRDefault="007900AE" w:rsidP="000E4552">
            <w:pPr>
              <w:spacing w:line="440" w:lineRule="exact"/>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TP-2A</w:t>
            </w:r>
          </w:p>
        </w:tc>
        <w:tc>
          <w:tcPr>
            <w:tcW w:w="1541" w:type="dxa"/>
            <w:vAlign w:val="center"/>
          </w:tcPr>
          <w:p w:rsidR="007900AE" w:rsidRPr="00CC126D" w:rsidRDefault="007900AE"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台式</w:t>
            </w:r>
          </w:p>
        </w:tc>
        <w:tc>
          <w:tcPr>
            <w:tcW w:w="2556" w:type="dxa"/>
            <w:vAlign w:val="center"/>
          </w:tcPr>
          <w:p w:rsidR="007900AE" w:rsidRPr="00CC126D" w:rsidRDefault="007900AE"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0.02~10</w:t>
            </w:r>
          </w:p>
        </w:tc>
      </w:tr>
      <w:tr w:rsidR="007900AE" w:rsidRPr="00CC126D" w:rsidTr="000E4552">
        <w:trPr>
          <w:jc w:val="center"/>
        </w:trPr>
        <w:tc>
          <w:tcPr>
            <w:tcW w:w="675" w:type="dxa"/>
            <w:vAlign w:val="center"/>
          </w:tcPr>
          <w:p w:rsidR="007900AE" w:rsidRPr="00CC126D" w:rsidRDefault="007900AE" w:rsidP="007900AE">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7900AE" w:rsidRPr="00CC126D" w:rsidRDefault="007900AE" w:rsidP="000E4552">
            <w:pPr>
              <w:spacing w:line="440" w:lineRule="exact"/>
              <w:jc w:val="center"/>
              <w:rPr>
                <w:rFonts w:ascii="Times New Roman" w:eastAsiaTheme="minorEastAsia" w:hAnsi="Times New Roman" w:cs="Times New Roman"/>
                <w:kern w:val="0"/>
                <w:sz w:val="22"/>
                <w:szCs w:val="22"/>
              </w:rPr>
            </w:pPr>
          </w:p>
        </w:tc>
        <w:tc>
          <w:tcPr>
            <w:tcW w:w="1353" w:type="dxa"/>
            <w:vAlign w:val="center"/>
          </w:tcPr>
          <w:p w:rsidR="007900AE" w:rsidRPr="00CC126D" w:rsidRDefault="007900AE" w:rsidP="000E4552">
            <w:pPr>
              <w:spacing w:line="440" w:lineRule="exact"/>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TN-2A</w:t>
            </w:r>
          </w:p>
        </w:tc>
        <w:tc>
          <w:tcPr>
            <w:tcW w:w="1541" w:type="dxa"/>
            <w:vAlign w:val="center"/>
          </w:tcPr>
          <w:p w:rsidR="007900AE" w:rsidRPr="00CC126D" w:rsidRDefault="007900AE"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台式</w:t>
            </w:r>
          </w:p>
        </w:tc>
        <w:tc>
          <w:tcPr>
            <w:tcW w:w="2556" w:type="dxa"/>
            <w:vAlign w:val="center"/>
          </w:tcPr>
          <w:p w:rsidR="007900AE" w:rsidRPr="00CC126D" w:rsidRDefault="007900AE"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0.05~100</w:t>
            </w:r>
          </w:p>
        </w:tc>
      </w:tr>
      <w:tr w:rsidR="007900AE" w:rsidRPr="00CC126D" w:rsidTr="000E4552">
        <w:trPr>
          <w:jc w:val="center"/>
        </w:trPr>
        <w:tc>
          <w:tcPr>
            <w:tcW w:w="675" w:type="dxa"/>
            <w:vAlign w:val="center"/>
          </w:tcPr>
          <w:p w:rsidR="007900AE" w:rsidRPr="00CC126D" w:rsidRDefault="007900AE" w:rsidP="007900AE">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Merge w:val="restart"/>
            <w:vAlign w:val="center"/>
          </w:tcPr>
          <w:p w:rsidR="007900AE" w:rsidRPr="00CC126D" w:rsidRDefault="007900AE"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青岛聚创环保集团</w:t>
            </w:r>
          </w:p>
        </w:tc>
        <w:tc>
          <w:tcPr>
            <w:tcW w:w="1353" w:type="dxa"/>
            <w:vAlign w:val="center"/>
          </w:tcPr>
          <w:p w:rsidR="007900AE" w:rsidRPr="00CC126D" w:rsidRDefault="007900AE" w:rsidP="000E4552">
            <w:pPr>
              <w:spacing w:line="440" w:lineRule="exact"/>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kern w:val="0"/>
                <w:sz w:val="22"/>
                <w:szCs w:val="22"/>
              </w:rPr>
              <w:t>N</w:t>
            </w:r>
            <w:r w:rsidRPr="00CC126D">
              <w:rPr>
                <w:rFonts w:ascii="Times New Roman" w:eastAsiaTheme="minorEastAsia" w:hAnsiTheme="minorEastAsia" w:cs="Times New Roman"/>
                <w:kern w:val="0"/>
                <w:sz w:val="22"/>
                <w:szCs w:val="22"/>
              </w:rPr>
              <w:t>系列</w:t>
            </w:r>
          </w:p>
        </w:tc>
        <w:tc>
          <w:tcPr>
            <w:tcW w:w="1541" w:type="dxa"/>
            <w:vAlign w:val="center"/>
          </w:tcPr>
          <w:p w:rsidR="007900AE" w:rsidRPr="00CC126D" w:rsidRDefault="007900AE" w:rsidP="000E4552">
            <w:pPr>
              <w:widowControl/>
              <w:spacing w:line="440" w:lineRule="exact"/>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kern w:val="0"/>
                <w:sz w:val="22"/>
                <w:szCs w:val="22"/>
              </w:rPr>
              <w:t>台式</w:t>
            </w:r>
          </w:p>
        </w:tc>
        <w:tc>
          <w:tcPr>
            <w:tcW w:w="2556" w:type="dxa"/>
            <w:vAlign w:val="center"/>
          </w:tcPr>
          <w:p w:rsidR="007900AE" w:rsidRPr="00CC126D" w:rsidRDefault="007900AE"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0.01~2.0</w:t>
            </w:r>
          </w:p>
          <w:p w:rsidR="007900AE" w:rsidRPr="00CC126D" w:rsidRDefault="007900AE" w:rsidP="000E4552">
            <w:pPr>
              <w:widowControl/>
              <w:spacing w:line="440" w:lineRule="exact"/>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0.1~20.0</w:t>
            </w:r>
          </w:p>
        </w:tc>
      </w:tr>
      <w:tr w:rsidR="007900AE" w:rsidRPr="00CC126D" w:rsidTr="000E4552">
        <w:trPr>
          <w:jc w:val="center"/>
        </w:trPr>
        <w:tc>
          <w:tcPr>
            <w:tcW w:w="675" w:type="dxa"/>
            <w:vAlign w:val="center"/>
          </w:tcPr>
          <w:p w:rsidR="007900AE" w:rsidRPr="00CC126D" w:rsidRDefault="007900AE" w:rsidP="007900AE">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7900AE" w:rsidRPr="00CC126D" w:rsidRDefault="007900AE" w:rsidP="000E4552">
            <w:pPr>
              <w:spacing w:line="440" w:lineRule="exact"/>
              <w:jc w:val="center"/>
              <w:rPr>
                <w:rFonts w:ascii="Times New Roman" w:eastAsiaTheme="minorEastAsia" w:hAnsi="Times New Roman" w:cs="Times New Roman"/>
                <w:kern w:val="0"/>
                <w:sz w:val="22"/>
                <w:szCs w:val="22"/>
              </w:rPr>
            </w:pPr>
          </w:p>
        </w:tc>
        <w:tc>
          <w:tcPr>
            <w:tcW w:w="1353" w:type="dxa"/>
            <w:vAlign w:val="center"/>
          </w:tcPr>
          <w:p w:rsidR="007900AE" w:rsidRPr="00CC126D" w:rsidRDefault="007900AE"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M</w:t>
            </w:r>
            <w:r w:rsidRPr="00CC126D">
              <w:rPr>
                <w:rFonts w:ascii="Times New Roman" w:eastAsiaTheme="minorEastAsia" w:hAnsiTheme="minorEastAsia" w:cs="Times New Roman"/>
                <w:kern w:val="0"/>
                <w:sz w:val="22"/>
                <w:szCs w:val="22"/>
              </w:rPr>
              <w:t>系列</w:t>
            </w:r>
          </w:p>
        </w:tc>
        <w:tc>
          <w:tcPr>
            <w:tcW w:w="1541" w:type="dxa"/>
            <w:vAlign w:val="center"/>
          </w:tcPr>
          <w:p w:rsidR="007900AE" w:rsidRPr="00CC126D" w:rsidRDefault="007900AE"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便携式</w:t>
            </w:r>
          </w:p>
        </w:tc>
        <w:tc>
          <w:tcPr>
            <w:tcW w:w="2556" w:type="dxa"/>
            <w:vAlign w:val="center"/>
          </w:tcPr>
          <w:p w:rsidR="007900AE" w:rsidRPr="00CC126D" w:rsidRDefault="007900AE"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0.01~2.0</w:t>
            </w:r>
          </w:p>
          <w:p w:rsidR="007900AE" w:rsidRPr="00CC126D" w:rsidRDefault="007900AE"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0.1~20.0</w:t>
            </w:r>
          </w:p>
        </w:tc>
      </w:tr>
      <w:tr w:rsidR="00680B8F" w:rsidRPr="00CC126D" w:rsidTr="000E4552">
        <w:trPr>
          <w:jc w:val="center"/>
        </w:trPr>
        <w:tc>
          <w:tcPr>
            <w:tcW w:w="675" w:type="dxa"/>
            <w:vAlign w:val="center"/>
          </w:tcPr>
          <w:p w:rsidR="00680B8F" w:rsidRPr="00CC126D" w:rsidRDefault="00680B8F" w:rsidP="007900AE">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Merge w:val="restart"/>
            <w:vAlign w:val="center"/>
          </w:tcPr>
          <w:p w:rsidR="00680B8F" w:rsidRPr="00CC126D" w:rsidRDefault="00680B8F"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杭州谱育科技发展有限公司</w:t>
            </w:r>
          </w:p>
        </w:tc>
        <w:tc>
          <w:tcPr>
            <w:tcW w:w="1353" w:type="dxa"/>
            <w:vAlign w:val="center"/>
          </w:tcPr>
          <w:p w:rsidR="00680B8F" w:rsidRPr="00CC126D" w:rsidRDefault="00680B8F"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SUPEC 5000 TPTN</w:t>
            </w:r>
          </w:p>
        </w:tc>
        <w:tc>
          <w:tcPr>
            <w:tcW w:w="1541" w:type="dxa"/>
            <w:vAlign w:val="center"/>
          </w:tcPr>
          <w:p w:rsidR="00680B8F" w:rsidRPr="00CC126D" w:rsidRDefault="00680B8F" w:rsidP="000E4552">
            <w:pPr>
              <w:widowControl/>
              <w:spacing w:line="440" w:lineRule="exact"/>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kern w:val="0"/>
                <w:sz w:val="22"/>
                <w:szCs w:val="22"/>
              </w:rPr>
              <w:t>全自动</w:t>
            </w:r>
          </w:p>
        </w:tc>
        <w:tc>
          <w:tcPr>
            <w:tcW w:w="2556" w:type="dxa"/>
            <w:vAlign w:val="center"/>
          </w:tcPr>
          <w:p w:rsidR="00680B8F" w:rsidRPr="00CC126D" w:rsidRDefault="00680B8F"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0~1.2</w:t>
            </w:r>
          </w:p>
          <w:p w:rsidR="00680B8F" w:rsidRPr="00CC126D" w:rsidRDefault="00680B8F" w:rsidP="000E4552">
            <w:pPr>
              <w:widowControl/>
              <w:spacing w:line="440" w:lineRule="exact"/>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0~7</w:t>
            </w:r>
          </w:p>
        </w:tc>
      </w:tr>
      <w:tr w:rsidR="00680B8F" w:rsidRPr="00CC126D" w:rsidTr="000E4552">
        <w:trPr>
          <w:jc w:val="center"/>
        </w:trPr>
        <w:tc>
          <w:tcPr>
            <w:tcW w:w="675" w:type="dxa"/>
            <w:vAlign w:val="center"/>
          </w:tcPr>
          <w:p w:rsidR="00680B8F" w:rsidRPr="00CC126D" w:rsidRDefault="00680B8F" w:rsidP="007900AE">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680B8F" w:rsidRPr="00CC126D" w:rsidRDefault="00680B8F" w:rsidP="000E4552">
            <w:pPr>
              <w:spacing w:line="440" w:lineRule="exact"/>
              <w:rPr>
                <w:rFonts w:ascii="Times New Roman" w:eastAsiaTheme="minorEastAsia" w:hAnsi="Times New Roman" w:cs="Times New Roman"/>
                <w:kern w:val="0"/>
                <w:sz w:val="22"/>
                <w:szCs w:val="22"/>
              </w:rPr>
            </w:pPr>
          </w:p>
        </w:tc>
        <w:tc>
          <w:tcPr>
            <w:tcW w:w="1353" w:type="dxa"/>
            <w:vAlign w:val="center"/>
          </w:tcPr>
          <w:p w:rsidR="00680B8F" w:rsidRPr="00CC126D" w:rsidRDefault="00680B8F"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SUPEC 5100 (TP)</w:t>
            </w:r>
          </w:p>
        </w:tc>
        <w:tc>
          <w:tcPr>
            <w:tcW w:w="1541" w:type="dxa"/>
            <w:vAlign w:val="center"/>
          </w:tcPr>
          <w:p w:rsidR="00680B8F" w:rsidRPr="00CC126D" w:rsidRDefault="00680B8F"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全自动</w:t>
            </w:r>
          </w:p>
        </w:tc>
        <w:tc>
          <w:tcPr>
            <w:tcW w:w="2556" w:type="dxa"/>
            <w:vAlign w:val="center"/>
          </w:tcPr>
          <w:p w:rsidR="00680B8F" w:rsidRPr="00CC126D" w:rsidRDefault="00680B8F"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0~50</w:t>
            </w:r>
          </w:p>
        </w:tc>
      </w:tr>
      <w:tr w:rsidR="00680B8F" w:rsidRPr="00CC126D" w:rsidTr="000E4552">
        <w:trPr>
          <w:jc w:val="center"/>
        </w:trPr>
        <w:tc>
          <w:tcPr>
            <w:tcW w:w="675" w:type="dxa"/>
            <w:vAlign w:val="center"/>
          </w:tcPr>
          <w:p w:rsidR="00680B8F" w:rsidRPr="00CC126D" w:rsidRDefault="00680B8F" w:rsidP="007900AE">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680B8F" w:rsidRPr="00CC126D" w:rsidRDefault="00680B8F" w:rsidP="000E4552">
            <w:pPr>
              <w:spacing w:line="440" w:lineRule="exact"/>
              <w:rPr>
                <w:rFonts w:ascii="Times New Roman" w:eastAsiaTheme="minorEastAsia" w:hAnsi="Times New Roman" w:cs="Times New Roman"/>
                <w:kern w:val="0"/>
                <w:sz w:val="22"/>
                <w:szCs w:val="22"/>
              </w:rPr>
            </w:pPr>
          </w:p>
        </w:tc>
        <w:tc>
          <w:tcPr>
            <w:tcW w:w="1353" w:type="dxa"/>
            <w:vAlign w:val="center"/>
          </w:tcPr>
          <w:p w:rsidR="00680B8F" w:rsidRPr="00CC126D" w:rsidRDefault="00680B8F"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SUPEC 5100 (TN)</w:t>
            </w:r>
          </w:p>
        </w:tc>
        <w:tc>
          <w:tcPr>
            <w:tcW w:w="1541" w:type="dxa"/>
            <w:vAlign w:val="center"/>
          </w:tcPr>
          <w:p w:rsidR="00680B8F" w:rsidRPr="00CC126D" w:rsidRDefault="00680B8F"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全自动</w:t>
            </w:r>
          </w:p>
        </w:tc>
        <w:tc>
          <w:tcPr>
            <w:tcW w:w="2556" w:type="dxa"/>
            <w:vAlign w:val="center"/>
          </w:tcPr>
          <w:p w:rsidR="00680B8F" w:rsidRPr="00CC126D" w:rsidRDefault="00680B8F"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0~200</w:t>
            </w:r>
          </w:p>
        </w:tc>
      </w:tr>
      <w:tr w:rsidR="00680B8F" w:rsidRPr="00CC126D" w:rsidTr="00C034EC">
        <w:trPr>
          <w:jc w:val="center"/>
        </w:trPr>
        <w:tc>
          <w:tcPr>
            <w:tcW w:w="675" w:type="dxa"/>
            <w:vAlign w:val="center"/>
          </w:tcPr>
          <w:p w:rsidR="00680B8F" w:rsidRPr="00CC126D" w:rsidRDefault="00680B8F" w:rsidP="007900AE">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Align w:val="center"/>
          </w:tcPr>
          <w:p w:rsidR="00680B8F" w:rsidRPr="00CC126D" w:rsidRDefault="00680B8F" w:rsidP="000A2B1B">
            <w:pPr>
              <w:widowControl/>
              <w:spacing w:line="440" w:lineRule="exact"/>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上海昂林科学仪器股份有限公司</w:t>
            </w:r>
          </w:p>
        </w:tc>
        <w:tc>
          <w:tcPr>
            <w:tcW w:w="1353" w:type="dxa"/>
            <w:vAlign w:val="center"/>
          </w:tcPr>
          <w:p w:rsidR="00680B8F" w:rsidRPr="00CC126D" w:rsidRDefault="00680B8F"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OL5012</w:t>
            </w:r>
          </w:p>
        </w:tc>
        <w:tc>
          <w:tcPr>
            <w:tcW w:w="1541" w:type="dxa"/>
            <w:vAlign w:val="center"/>
          </w:tcPr>
          <w:p w:rsidR="00680B8F" w:rsidRPr="00CC126D" w:rsidRDefault="00680B8F"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全自动</w:t>
            </w:r>
          </w:p>
        </w:tc>
        <w:tc>
          <w:tcPr>
            <w:tcW w:w="2556" w:type="dxa"/>
            <w:vAlign w:val="center"/>
          </w:tcPr>
          <w:p w:rsidR="00680B8F" w:rsidRPr="00CC126D" w:rsidRDefault="00680B8F" w:rsidP="000A2B1B">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0.01~0.6</w:t>
            </w:r>
          </w:p>
          <w:p w:rsidR="00680B8F" w:rsidRPr="00CC126D" w:rsidRDefault="00680B8F" w:rsidP="00835F3F">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0.05~4</w:t>
            </w:r>
          </w:p>
        </w:tc>
      </w:tr>
      <w:tr w:rsidR="00680B8F" w:rsidRPr="00CC126D" w:rsidTr="00C034EC">
        <w:trPr>
          <w:jc w:val="center"/>
        </w:trPr>
        <w:tc>
          <w:tcPr>
            <w:tcW w:w="675" w:type="dxa"/>
            <w:vAlign w:val="center"/>
          </w:tcPr>
          <w:p w:rsidR="00680B8F" w:rsidRPr="00CC126D" w:rsidRDefault="00680B8F" w:rsidP="007900AE">
            <w:pPr>
              <w:pStyle w:val="ae"/>
              <w:numPr>
                <w:ilvl w:val="0"/>
                <w:numId w:val="13"/>
              </w:numPr>
              <w:ind w:left="0" w:firstLineChars="120" w:firstLine="264"/>
              <w:jc w:val="right"/>
              <w:rPr>
                <w:rFonts w:ascii="Times New Roman" w:eastAsiaTheme="minorEastAsia" w:hAnsi="Times New Roman" w:cs="Times New Roman"/>
                <w:kern w:val="0"/>
                <w:sz w:val="22"/>
                <w:szCs w:val="22"/>
              </w:rPr>
            </w:pPr>
          </w:p>
        </w:tc>
        <w:tc>
          <w:tcPr>
            <w:tcW w:w="1468" w:type="dxa"/>
            <w:vAlign w:val="center"/>
          </w:tcPr>
          <w:p w:rsidR="00680B8F" w:rsidRPr="00CC126D" w:rsidRDefault="00680B8F"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上海北裕分析仪器股份有限公司</w:t>
            </w:r>
          </w:p>
        </w:tc>
        <w:tc>
          <w:tcPr>
            <w:tcW w:w="1353" w:type="dxa"/>
            <w:vAlign w:val="center"/>
          </w:tcPr>
          <w:p w:rsidR="00680B8F" w:rsidRPr="00CC126D" w:rsidRDefault="00680B8F" w:rsidP="00C50B6F">
            <w:pPr>
              <w:widowControl/>
              <w:spacing w:line="440" w:lineRule="exact"/>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CTP700</w:t>
            </w:r>
          </w:p>
        </w:tc>
        <w:tc>
          <w:tcPr>
            <w:tcW w:w="1541" w:type="dxa"/>
            <w:vAlign w:val="center"/>
          </w:tcPr>
          <w:p w:rsidR="00680B8F" w:rsidRPr="00CC126D" w:rsidRDefault="00680B8F" w:rsidP="000A2B1B">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全自动</w:t>
            </w:r>
          </w:p>
        </w:tc>
        <w:tc>
          <w:tcPr>
            <w:tcW w:w="2556" w:type="dxa"/>
            <w:vAlign w:val="center"/>
          </w:tcPr>
          <w:p w:rsidR="00680B8F" w:rsidRPr="00CC126D" w:rsidRDefault="00680B8F" w:rsidP="000A2B1B">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0~1.2</w:t>
            </w:r>
          </w:p>
        </w:tc>
      </w:tr>
    </w:tbl>
    <w:p w:rsidR="00764169" w:rsidRPr="00CC126D" w:rsidRDefault="00764169" w:rsidP="00764169">
      <w:pPr>
        <w:spacing w:line="720" w:lineRule="auto"/>
        <w:rPr>
          <w:rFonts w:ascii="Times New Roman" w:eastAsiaTheme="minorEastAsia" w:hAnsi="Times New Roman" w:cs="Times New Roman"/>
          <w:b/>
          <w:sz w:val="24"/>
        </w:rPr>
      </w:pPr>
      <w:r w:rsidRPr="00CC126D">
        <w:rPr>
          <w:rFonts w:ascii="Times New Roman" w:eastAsiaTheme="minorEastAsia" w:hAnsiTheme="minorEastAsia" w:cs="Times New Roman"/>
          <w:b/>
          <w:sz w:val="24"/>
        </w:rPr>
        <w:lastRenderedPageBreak/>
        <w:t>六、制定内容说明</w:t>
      </w:r>
    </w:p>
    <w:p w:rsidR="007B409F" w:rsidRPr="00CC126D" w:rsidRDefault="007B409F" w:rsidP="004F46FA">
      <w:pPr>
        <w:spacing w:line="360" w:lineRule="auto"/>
        <w:ind w:firstLineChars="200" w:firstLine="480"/>
        <w:rPr>
          <w:rFonts w:ascii="Times New Roman" w:eastAsiaTheme="minorEastAsia" w:hAnsi="Times New Roman" w:cs="Times New Roman"/>
          <w:sz w:val="24"/>
        </w:rPr>
      </w:pPr>
      <w:r w:rsidRPr="00CC126D">
        <w:rPr>
          <w:rFonts w:ascii="Times New Roman" w:eastAsiaTheme="minorEastAsia" w:hAnsiTheme="minorEastAsia" w:cs="Times New Roman"/>
          <w:sz w:val="24"/>
        </w:rPr>
        <w:t>通过调研，我们列出了部分型号总磷总氮分析仪公开的技术指标，主要有示值误差、重复性、温</w:t>
      </w:r>
      <w:r w:rsidR="00866EC3" w:rsidRPr="00CC126D">
        <w:rPr>
          <w:rFonts w:ascii="Times New Roman" w:eastAsiaTheme="minorEastAsia" w:hAnsiTheme="minorEastAsia" w:cs="Times New Roman"/>
          <w:sz w:val="24"/>
        </w:rPr>
        <w:t>度示值误差、</w:t>
      </w:r>
      <w:r w:rsidR="007E7246">
        <w:rPr>
          <w:rFonts w:ascii="Times New Roman" w:eastAsiaTheme="minorEastAsia" w:hAnsiTheme="minorEastAsia" w:cs="Times New Roman"/>
          <w:sz w:val="24"/>
        </w:rPr>
        <w:t>温度均匀性</w:t>
      </w:r>
      <w:r w:rsidRPr="00CC126D">
        <w:rPr>
          <w:rFonts w:ascii="Times New Roman" w:eastAsiaTheme="minorEastAsia" w:hAnsiTheme="minorEastAsia" w:cs="Times New Roman"/>
          <w:sz w:val="24"/>
        </w:rPr>
        <w:t>、</w:t>
      </w:r>
      <w:r w:rsidR="008A0DC2" w:rsidRPr="00CC126D">
        <w:rPr>
          <w:rFonts w:ascii="Times New Roman" w:eastAsiaTheme="minorEastAsia" w:hAnsiTheme="minorEastAsia" w:cs="Times New Roman"/>
          <w:sz w:val="24"/>
        </w:rPr>
        <w:t>消解时间</w:t>
      </w:r>
      <w:r w:rsidRPr="00CC126D">
        <w:rPr>
          <w:rFonts w:ascii="Times New Roman" w:eastAsiaTheme="minorEastAsia" w:hAnsiTheme="minorEastAsia" w:cs="Times New Roman"/>
          <w:sz w:val="24"/>
        </w:rPr>
        <w:t>误差等，详见表</w:t>
      </w:r>
      <w:r w:rsidRPr="00CC126D">
        <w:rPr>
          <w:rFonts w:ascii="Times New Roman" w:eastAsiaTheme="minorEastAsia" w:hAnsi="Times New Roman" w:cs="Times New Roman"/>
          <w:sz w:val="24"/>
        </w:rPr>
        <w:t>3</w:t>
      </w:r>
      <w:r w:rsidRPr="00CC126D">
        <w:rPr>
          <w:rFonts w:ascii="Times New Roman" w:eastAsiaTheme="minorEastAsia" w:hAnsiTheme="minorEastAsia" w:cs="Times New Roman"/>
          <w:sz w:val="24"/>
        </w:rPr>
        <w:t>。</w:t>
      </w:r>
    </w:p>
    <w:p w:rsidR="007B409F" w:rsidRPr="00CC126D" w:rsidRDefault="007B409F" w:rsidP="007B409F">
      <w:pPr>
        <w:spacing w:line="360" w:lineRule="auto"/>
        <w:jc w:val="center"/>
        <w:rPr>
          <w:rFonts w:ascii="Times New Roman" w:eastAsiaTheme="minorEastAsia" w:hAnsi="Times New Roman" w:cs="Times New Roman"/>
          <w:sz w:val="22"/>
          <w:szCs w:val="22"/>
        </w:rPr>
      </w:pPr>
      <w:r w:rsidRPr="00CC126D">
        <w:rPr>
          <w:rFonts w:ascii="Times New Roman" w:eastAsiaTheme="minorEastAsia" w:hAnsiTheme="minorEastAsia" w:cs="Times New Roman"/>
          <w:sz w:val="22"/>
          <w:szCs w:val="22"/>
        </w:rPr>
        <w:t>表</w:t>
      </w:r>
      <w:r w:rsidRPr="00CC126D">
        <w:rPr>
          <w:rFonts w:ascii="Times New Roman" w:eastAsiaTheme="minorEastAsia" w:hAnsi="Times New Roman" w:cs="Times New Roman"/>
          <w:sz w:val="22"/>
          <w:szCs w:val="22"/>
        </w:rPr>
        <w:t xml:space="preserve">3 </w:t>
      </w:r>
      <w:r w:rsidRPr="00CC126D">
        <w:rPr>
          <w:rFonts w:ascii="Times New Roman" w:eastAsiaTheme="minorEastAsia" w:hAnsiTheme="minorEastAsia" w:cs="Times New Roman"/>
          <w:sz w:val="22"/>
          <w:szCs w:val="22"/>
        </w:rPr>
        <w:t>常见实验室总磷总氮分析仪的技术指标</w:t>
      </w:r>
    </w:p>
    <w:tbl>
      <w:tblPr>
        <w:tblStyle w:val="ac"/>
        <w:tblW w:w="8855" w:type="dxa"/>
        <w:jc w:val="center"/>
        <w:tblLayout w:type="fixed"/>
        <w:tblLook w:val="04A0"/>
      </w:tblPr>
      <w:tblGrid>
        <w:gridCol w:w="675"/>
        <w:gridCol w:w="1468"/>
        <w:gridCol w:w="1353"/>
        <w:gridCol w:w="2102"/>
        <w:gridCol w:w="3257"/>
      </w:tblGrid>
      <w:tr w:rsidR="007B409F" w:rsidRPr="00CC126D" w:rsidTr="00BA1B34">
        <w:trPr>
          <w:jc w:val="center"/>
        </w:trPr>
        <w:tc>
          <w:tcPr>
            <w:tcW w:w="675" w:type="dxa"/>
            <w:vAlign w:val="center"/>
          </w:tcPr>
          <w:p w:rsidR="007B409F" w:rsidRPr="00CC126D" w:rsidRDefault="007B409F" w:rsidP="000E4552">
            <w:pPr>
              <w:spacing w:line="440" w:lineRule="exact"/>
              <w:jc w:val="center"/>
              <w:rPr>
                <w:rFonts w:ascii="Times New Roman" w:eastAsiaTheme="minorEastAsia" w:hAnsi="Times New Roman" w:cs="Times New Roman"/>
                <w:b/>
                <w:bCs/>
                <w:kern w:val="0"/>
                <w:sz w:val="22"/>
                <w:szCs w:val="22"/>
              </w:rPr>
            </w:pPr>
            <w:r w:rsidRPr="00CC126D">
              <w:rPr>
                <w:rFonts w:ascii="Times New Roman" w:eastAsiaTheme="minorEastAsia" w:hAnsiTheme="minorEastAsia" w:cs="Times New Roman"/>
                <w:b/>
                <w:bCs/>
                <w:kern w:val="0"/>
                <w:sz w:val="22"/>
                <w:szCs w:val="22"/>
              </w:rPr>
              <w:t>序号</w:t>
            </w:r>
          </w:p>
        </w:tc>
        <w:tc>
          <w:tcPr>
            <w:tcW w:w="1468" w:type="dxa"/>
            <w:vAlign w:val="center"/>
          </w:tcPr>
          <w:p w:rsidR="007B409F" w:rsidRPr="00CC126D" w:rsidRDefault="007B409F" w:rsidP="000E4552">
            <w:pPr>
              <w:spacing w:line="440" w:lineRule="exact"/>
              <w:jc w:val="center"/>
              <w:rPr>
                <w:rFonts w:ascii="Times New Roman" w:eastAsiaTheme="minorEastAsia" w:hAnsi="Times New Roman" w:cs="Times New Roman"/>
                <w:b/>
                <w:bCs/>
                <w:kern w:val="0"/>
                <w:sz w:val="22"/>
                <w:szCs w:val="22"/>
              </w:rPr>
            </w:pPr>
            <w:r w:rsidRPr="00CC126D">
              <w:rPr>
                <w:rFonts w:ascii="Times New Roman" w:eastAsiaTheme="minorEastAsia" w:hAnsiTheme="minorEastAsia" w:cs="Times New Roman"/>
                <w:b/>
                <w:bCs/>
                <w:kern w:val="0"/>
                <w:sz w:val="22"/>
                <w:szCs w:val="22"/>
              </w:rPr>
              <w:t>生产厂商</w:t>
            </w:r>
          </w:p>
        </w:tc>
        <w:tc>
          <w:tcPr>
            <w:tcW w:w="1353" w:type="dxa"/>
            <w:vAlign w:val="center"/>
          </w:tcPr>
          <w:p w:rsidR="007B409F" w:rsidRPr="00CC126D" w:rsidRDefault="007B409F" w:rsidP="000E4552">
            <w:pPr>
              <w:spacing w:line="440" w:lineRule="exact"/>
              <w:jc w:val="center"/>
              <w:rPr>
                <w:rFonts w:ascii="Times New Roman" w:eastAsiaTheme="minorEastAsia" w:hAnsi="Times New Roman" w:cs="Times New Roman"/>
                <w:b/>
                <w:bCs/>
                <w:kern w:val="0"/>
                <w:sz w:val="22"/>
                <w:szCs w:val="22"/>
              </w:rPr>
            </w:pPr>
            <w:r w:rsidRPr="00CC126D">
              <w:rPr>
                <w:rFonts w:ascii="Times New Roman" w:eastAsiaTheme="minorEastAsia" w:hAnsiTheme="minorEastAsia" w:cs="Times New Roman"/>
                <w:b/>
                <w:bCs/>
                <w:kern w:val="0"/>
                <w:sz w:val="22"/>
                <w:szCs w:val="22"/>
              </w:rPr>
              <w:t>型号</w:t>
            </w:r>
          </w:p>
        </w:tc>
        <w:tc>
          <w:tcPr>
            <w:tcW w:w="2102" w:type="dxa"/>
            <w:vAlign w:val="center"/>
          </w:tcPr>
          <w:p w:rsidR="007B409F" w:rsidRPr="00CC126D" w:rsidRDefault="007B409F" w:rsidP="000E4552">
            <w:pPr>
              <w:spacing w:line="440" w:lineRule="exact"/>
              <w:jc w:val="center"/>
              <w:rPr>
                <w:rFonts w:ascii="Times New Roman" w:eastAsiaTheme="minorEastAsia" w:hAnsi="Times New Roman" w:cs="Times New Roman"/>
                <w:b/>
                <w:bCs/>
                <w:kern w:val="0"/>
                <w:sz w:val="22"/>
                <w:szCs w:val="22"/>
              </w:rPr>
            </w:pPr>
            <w:r w:rsidRPr="00CC126D">
              <w:rPr>
                <w:rFonts w:ascii="Times New Roman" w:eastAsiaTheme="minorEastAsia" w:hAnsiTheme="minorEastAsia" w:cs="Times New Roman"/>
                <w:b/>
                <w:bCs/>
                <w:kern w:val="0"/>
                <w:sz w:val="22"/>
                <w:szCs w:val="22"/>
              </w:rPr>
              <w:t>测量范围</w:t>
            </w:r>
            <w:r w:rsidRPr="00CC126D">
              <w:rPr>
                <w:rFonts w:ascii="Times New Roman" w:eastAsiaTheme="minorEastAsia" w:hAnsi="Times New Roman" w:cs="Times New Roman"/>
                <w:b/>
                <w:bCs/>
                <w:kern w:val="0"/>
                <w:sz w:val="22"/>
                <w:szCs w:val="22"/>
              </w:rPr>
              <w:t>(mg/L)</w:t>
            </w:r>
          </w:p>
        </w:tc>
        <w:tc>
          <w:tcPr>
            <w:tcW w:w="3257" w:type="dxa"/>
            <w:vAlign w:val="center"/>
          </w:tcPr>
          <w:p w:rsidR="007B409F" w:rsidRPr="00CC126D" w:rsidRDefault="007B409F" w:rsidP="000E4552">
            <w:pPr>
              <w:spacing w:line="440" w:lineRule="exact"/>
              <w:jc w:val="center"/>
              <w:rPr>
                <w:rFonts w:ascii="Times New Roman" w:eastAsiaTheme="minorEastAsia" w:hAnsi="Times New Roman" w:cs="Times New Roman"/>
                <w:b/>
                <w:bCs/>
                <w:kern w:val="0"/>
                <w:sz w:val="22"/>
                <w:szCs w:val="22"/>
              </w:rPr>
            </w:pPr>
            <w:r w:rsidRPr="00CC126D">
              <w:rPr>
                <w:rFonts w:ascii="Times New Roman" w:eastAsiaTheme="minorEastAsia" w:hAnsiTheme="minorEastAsia" w:cs="Times New Roman"/>
                <w:b/>
                <w:bCs/>
                <w:kern w:val="0"/>
                <w:sz w:val="22"/>
                <w:szCs w:val="22"/>
              </w:rPr>
              <w:t>技术指标</w:t>
            </w:r>
          </w:p>
        </w:tc>
      </w:tr>
      <w:tr w:rsidR="00551E59" w:rsidRPr="00CC126D" w:rsidTr="00551E59">
        <w:trPr>
          <w:trHeight w:val="595"/>
          <w:jc w:val="center"/>
        </w:trPr>
        <w:tc>
          <w:tcPr>
            <w:tcW w:w="675" w:type="dxa"/>
            <w:vMerge w:val="restart"/>
            <w:vAlign w:val="center"/>
          </w:tcPr>
          <w:p w:rsidR="00551E59" w:rsidRPr="00CC126D" w:rsidRDefault="00551E59"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Merge w:val="restart"/>
            <w:vAlign w:val="center"/>
          </w:tcPr>
          <w:p w:rsidR="00551E59" w:rsidRPr="00CC126D" w:rsidRDefault="00551E59"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HANNA</w:t>
            </w:r>
          </w:p>
        </w:tc>
        <w:tc>
          <w:tcPr>
            <w:tcW w:w="1353" w:type="dxa"/>
            <w:vMerge w:val="restart"/>
            <w:vAlign w:val="center"/>
          </w:tcPr>
          <w:p w:rsidR="00551E59" w:rsidRPr="00CC126D" w:rsidRDefault="00551E59"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HI83224</w:t>
            </w:r>
          </w:p>
        </w:tc>
        <w:tc>
          <w:tcPr>
            <w:tcW w:w="2102" w:type="dxa"/>
            <w:vAlign w:val="center"/>
          </w:tcPr>
          <w:p w:rsidR="00551E59" w:rsidRPr="00CC126D" w:rsidRDefault="00551E59" w:rsidP="00551E59">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0.00~1.15</w:t>
            </w:r>
          </w:p>
        </w:tc>
        <w:tc>
          <w:tcPr>
            <w:tcW w:w="3257" w:type="dxa"/>
            <w:vAlign w:val="center"/>
          </w:tcPr>
          <w:p w:rsidR="00551E59" w:rsidRPr="00CC126D" w:rsidRDefault="00551E59" w:rsidP="00551E59">
            <w:pPr>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示值误差：读数</w:t>
            </w:r>
            <w:r w:rsidRPr="00CC126D">
              <w:rPr>
                <w:rFonts w:ascii="Times New Roman" w:eastAsiaTheme="minorEastAsia" w:hAnsi="Times New Roman" w:cs="Times New Roman"/>
                <w:kern w:val="0"/>
                <w:sz w:val="22"/>
                <w:szCs w:val="22"/>
              </w:rPr>
              <w:t>±6% ± 0.05 mg/L</w:t>
            </w:r>
          </w:p>
        </w:tc>
      </w:tr>
      <w:tr w:rsidR="00551E59" w:rsidRPr="00CC126D" w:rsidTr="00BA1B34">
        <w:trPr>
          <w:trHeight w:val="595"/>
          <w:jc w:val="center"/>
        </w:trPr>
        <w:tc>
          <w:tcPr>
            <w:tcW w:w="675" w:type="dxa"/>
            <w:vMerge/>
            <w:vAlign w:val="center"/>
          </w:tcPr>
          <w:p w:rsidR="00551E59" w:rsidRPr="00CC126D" w:rsidRDefault="00551E59"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551E59" w:rsidRPr="00CC126D" w:rsidRDefault="00551E59" w:rsidP="000E4552">
            <w:pPr>
              <w:spacing w:line="440" w:lineRule="exact"/>
              <w:jc w:val="center"/>
              <w:rPr>
                <w:rFonts w:ascii="Times New Roman" w:eastAsiaTheme="minorEastAsia" w:hAnsi="Times New Roman" w:cs="Times New Roman"/>
                <w:kern w:val="0"/>
                <w:sz w:val="22"/>
                <w:szCs w:val="22"/>
              </w:rPr>
            </w:pPr>
          </w:p>
        </w:tc>
        <w:tc>
          <w:tcPr>
            <w:tcW w:w="1353" w:type="dxa"/>
            <w:vMerge/>
            <w:vAlign w:val="center"/>
          </w:tcPr>
          <w:p w:rsidR="00551E59" w:rsidRPr="00CC126D" w:rsidRDefault="00551E59" w:rsidP="000E4552">
            <w:pPr>
              <w:spacing w:line="440" w:lineRule="exact"/>
              <w:jc w:val="center"/>
              <w:rPr>
                <w:rFonts w:ascii="Times New Roman" w:eastAsiaTheme="minorEastAsia" w:hAnsi="Times New Roman" w:cs="Times New Roman"/>
                <w:kern w:val="0"/>
                <w:sz w:val="22"/>
                <w:szCs w:val="22"/>
              </w:rPr>
            </w:pPr>
          </w:p>
        </w:tc>
        <w:tc>
          <w:tcPr>
            <w:tcW w:w="2102" w:type="dxa"/>
            <w:vAlign w:val="center"/>
          </w:tcPr>
          <w:p w:rsidR="00551E59" w:rsidRPr="00CC126D" w:rsidRDefault="00551E59" w:rsidP="00551E59">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0.00~32.6</w:t>
            </w:r>
          </w:p>
        </w:tc>
        <w:tc>
          <w:tcPr>
            <w:tcW w:w="3257" w:type="dxa"/>
            <w:vAlign w:val="center"/>
          </w:tcPr>
          <w:p w:rsidR="00551E59" w:rsidRPr="00CC126D" w:rsidRDefault="00551E59" w:rsidP="00551E59">
            <w:pPr>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示值误差：读数</w:t>
            </w:r>
            <w:r w:rsidRPr="00CC126D">
              <w:rPr>
                <w:rFonts w:ascii="Times New Roman" w:eastAsiaTheme="minorEastAsia" w:hAnsi="Times New Roman" w:cs="Times New Roman"/>
                <w:kern w:val="0"/>
                <w:sz w:val="22"/>
                <w:szCs w:val="22"/>
              </w:rPr>
              <w:t>±5%±0.5 mg/L</w:t>
            </w:r>
          </w:p>
        </w:tc>
      </w:tr>
      <w:tr w:rsidR="00551E59" w:rsidRPr="00CC126D" w:rsidTr="00BA1B34">
        <w:trPr>
          <w:trHeight w:val="595"/>
          <w:jc w:val="center"/>
        </w:trPr>
        <w:tc>
          <w:tcPr>
            <w:tcW w:w="675" w:type="dxa"/>
            <w:vMerge/>
            <w:vAlign w:val="center"/>
          </w:tcPr>
          <w:p w:rsidR="00551E59" w:rsidRPr="00CC126D" w:rsidRDefault="00551E59"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551E59" w:rsidRPr="00CC126D" w:rsidRDefault="00551E59" w:rsidP="000E4552">
            <w:pPr>
              <w:spacing w:line="440" w:lineRule="exact"/>
              <w:jc w:val="center"/>
              <w:rPr>
                <w:rFonts w:ascii="Times New Roman" w:eastAsiaTheme="minorEastAsia" w:hAnsi="Times New Roman" w:cs="Times New Roman"/>
                <w:kern w:val="0"/>
                <w:sz w:val="22"/>
                <w:szCs w:val="22"/>
              </w:rPr>
            </w:pPr>
          </w:p>
        </w:tc>
        <w:tc>
          <w:tcPr>
            <w:tcW w:w="1353" w:type="dxa"/>
            <w:vMerge/>
            <w:vAlign w:val="center"/>
          </w:tcPr>
          <w:p w:rsidR="00551E59" w:rsidRPr="00CC126D" w:rsidRDefault="00551E59" w:rsidP="000E4552">
            <w:pPr>
              <w:spacing w:line="440" w:lineRule="exact"/>
              <w:jc w:val="center"/>
              <w:rPr>
                <w:rFonts w:ascii="Times New Roman" w:eastAsiaTheme="minorEastAsia" w:hAnsi="Times New Roman" w:cs="Times New Roman"/>
                <w:kern w:val="0"/>
                <w:sz w:val="22"/>
                <w:szCs w:val="22"/>
              </w:rPr>
            </w:pPr>
          </w:p>
        </w:tc>
        <w:tc>
          <w:tcPr>
            <w:tcW w:w="2102" w:type="dxa"/>
            <w:vAlign w:val="center"/>
          </w:tcPr>
          <w:p w:rsidR="00551E59" w:rsidRPr="00CC126D" w:rsidRDefault="00551E59" w:rsidP="00551E59">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0.0~25.0</w:t>
            </w:r>
          </w:p>
        </w:tc>
        <w:tc>
          <w:tcPr>
            <w:tcW w:w="3257" w:type="dxa"/>
            <w:vAlign w:val="center"/>
          </w:tcPr>
          <w:p w:rsidR="00551E59" w:rsidRPr="00CC126D" w:rsidRDefault="00551E59" w:rsidP="00551E59">
            <w:pPr>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示值误差：读数</w:t>
            </w:r>
            <w:r w:rsidRPr="00CC126D">
              <w:rPr>
                <w:rFonts w:ascii="Times New Roman" w:eastAsiaTheme="minorEastAsia" w:hAnsi="Times New Roman" w:cs="Times New Roman"/>
                <w:kern w:val="0"/>
                <w:sz w:val="22"/>
                <w:szCs w:val="22"/>
              </w:rPr>
              <w:t>±5% ± 1.0 mg/L</w:t>
            </w:r>
          </w:p>
        </w:tc>
      </w:tr>
      <w:tr w:rsidR="00551E59" w:rsidRPr="00CC126D" w:rsidTr="00BA1B34">
        <w:trPr>
          <w:trHeight w:val="595"/>
          <w:jc w:val="center"/>
        </w:trPr>
        <w:tc>
          <w:tcPr>
            <w:tcW w:w="675" w:type="dxa"/>
            <w:vMerge/>
            <w:vAlign w:val="center"/>
          </w:tcPr>
          <w:p w:rsidR="00551E59" w:rsidRPr="00CC126D" w:rsidRDefault="00551E59"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551E59" w:rsidRPr="00CC126D" w:rsidRDefault="00551E59" w:rsidP="000E4552">
            <w:pPr>
              <w:spacing w:line="440" w:lineRule="exact"/>
              <w:jc w:val="center"/>
              <w:rPr>
                <w:rFonts w:ascii="Times New Roman" w:eastAsiaTheme="minorEastAsia" w:hAnsi="Times New Roman" w:cs="Times New Roman"/>
                <w:kern w:val="0"/>
                <w:sz w:val="22"/>
                <w:szCs w:val="22"/>
              </w:rPr>
            </w:pPr>
          </w:p>
        </w:tc>
        <w:tc>
          <w:tcPr>
            <w:tcW w:w="1353" w:type="dxa"/>
            <w:vMerge/>
            <w:vAlign w:val="center"/>
          </w:tcPr>
          <w:p w:rsidR="00551E59" w:rsidRPr="00CC126D" w:rsidRDefault="00551E59" w:rsidP="000E4552">
            <w:pPr>
              <w:spacing w:line="440" w:lineRule="exact"/>
              <w:jc w:val="center"/>
              <w:rPr>
                <w:rFonts w:ascii="Times New Roman" w:eastAsiaTheme="minorEastAsia" w:hAnsi="Times New Roman" w:cs="Times New Roman"/>
                <w:kern w:val="0"/>
                <w:sz w:val="22"/>
                <w:szCs w:val="22"/>
              </w:rPr>
            </w:pPr>
          </w:p>
        </w:tc>
        <w:tc>
          <w:tcPr>
            <w:tcW w:w="2102" w:type="dxa"/>
            <w:vAlign w:val="center"/>
          </w:tcPr>
          <w:p w:rsidR="00551E59" w:rsidRPr="00CC126D" w:rsidRDefault="00551E59" w:rsidP="00551E59">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10~150</w:t>
            </w:r>
          </w:p>
        </w:tc>
        <w:tc>
          <w:tcPr>
            <w:tcW w:w="3257" w:type="dxa"/>
            <w:vAlign w:val="center"/>
          </w:tcPr>
          <w:p w:rsidR="00551E59" w:rsidRPr="00CC126D" w:rsidRDefault="00551E59" w:rsidP="00551E59">
            <w:pPr>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示值误差：读数</w:t>
            </w:r>
            <w:r w:rsidRPr="00CC126D">
              <w:rPr>
                <w:rFonts w:ascii="Times New Roman" w:eastAsiaTheme="minorEastAsia" w:hAnsi="Times New Roman" w:cs="Times New Roman"/>
                <w:kern w:val="0"/>
                <w:sz w:val="22"/>
                <w:szCs w:val="22"/>
              </w:rPr>
              <w:t>±4% ± 2 mg/L</w:t>
            </w:r>
          </w:p>
        </w:tc>
      </w:tr>
      <w:tr w:rsidR="000E4552" w:rsidRPr="00CC126D" w:rsidTr="00BA1B34">
        <w:trPr>
          <w:jc w:val="center"/>
        </w:trPr>
        <w:tc>
          <w:tcPr>
            <w:tcW w:w="675" w:type="dxa"/>
            <w:vAlign w:val="center"/>
          </w:tcPr>
          <w:p w:rsidR="000E4552" w:rsidRPr="00CC126D" w:rsidRDefault="000E4552"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Merge w:val="restart"/>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连华科技</w:t>
            </w:r>
          </w:p>
        </w:tc>
        <w:tc>
          <w:tcPr>
            <w:tcW w:w="1353" w:type="dxa"/>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5B-6C</w:t>
            </w:r>
          </w:p>
        </w:tc>
        <w:tc>
          <w:tcPr>
            <w:tcW w:w="2102" w:type="dxa"/>
            <w:vAlign w:val="center"/>
          </w:tcPr>
          <w:p w:rsidR="000E4552" w:rsidRPr="00CC126D" w:rsidRDefault="000E4552" w:rsidP="000E4552">
            <w:pPr>
              <w:widowControl/>
              <w:spacing w:line="440" w:lineRule="exact"/>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color w:val="000000"/>
                <w:kern w:val="0"/>
                <w:sz w:val="22"/>
                <w:szCs w:val="22"/>
              </w:rPr>
              <w:t>0~100</w:t>
            </w:r>
            <w:r w:rsidRPr="00CC126D">
              <w:rPr>
                <w:rFonts w:ascii="Times New Roman" w:eastAsiaTheme="minorEastAsia" w:hAnsiTheme="minorEastAsia" w:cs="Times New Roman"/>
                <w:color w:val="000000"/>
                <w:kern w:val="0"/>
                <w:sz w:val="22"/>
                <w:szCs w:val="22"/>
              </w:rPr>
              <w:t>（分段）</w:t>
            </w:r>
          </w:p>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0~100</w:t>
            </w:r>
            <w:r w:rsidR="005261E7" w:rsidRPr="00CC126D">
              <w:rPr>
                <w:rFonts w:ascii="Times New Roman" w:eastAsiaTheme="minorEastAsia" w:hAnsiTheme="minorEastAsia" w:cs="Times New Roman"/>
                <w:color w:val="000000"/>
                <w:kern w:val="0"/>
                <w:sz w:val="22"/>
                <w:szCs w:val="22"/>
              </w:rPr>
              <w:t>（分段）</w:t>
            </w:r>
          </w:p>
        </w:tc>
        <w:tc>
          <w:tcPr>
            <w:tcW w:w="3257" w:type="dxa"/>
            <w:vAlign w:val="center"/>
          </w:tcPr>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示值误差：不超过</w:t>
            </w:r>
            <w:r w:rsidRPr="00CC126D">
              <w:rPr>
                <w:rFonts w:ascii="Times New Roman" w:eastAsiaTheme="minorEastAsia" w:hAnsi="Times New Roman" w:cs="Times New Roman"/>
                <w:kern w:val="0"/>
                <w:sz w:val="22"/>
                <w:szCs w:val="22"/>
              </w:rPr>
              <w:t>±5%</w:t>
            </w:r>
            <w:r w:rsidRPr="00CC126D">
              <w:rPr>
                <w:rFonts w:ascii="Times New Roman" w:eastAsiaTheme="minorEastAsia" w:hAnsiTheme="minorEastAsia" w:cs="Times New Roman"/>
                <w:kern w:val="0"/>
                <w:sz w:val="22"/>
                <w:szCs w:val="22"/>
              </w:rPr>
              <w:t>；</w:t>
            </w:r>
          </w:p>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重复性：</w:t>
            </w:r>
            <w:r w:rsidRPr="00CC126D">
              <w:rPr>
                <w:rFonts w:ascii="Times New Roman" w:eastAsiaTheme="minorEastAsia" w:hAnsi="Times New Roman" w:cs="Times New Roman"/>
                <w:kern w:val="0"/>
                <w:sz w:val="22"/>
                <w:szCs w:val="22"/>
              </w:rPr>
              <w:t>≤3%</w:t>
            </w:r>
          </w:p>
          <w:p w:rsidR="000E4552" w:rsidRPr="00CC126D" w:rsidRDefault="008A0DC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消解时间</w:t>
            </w:r>
            <w:r w:rsidR="000E4552" w:rsidRPr="00CC126D">
              <w:rPr>
                <w:rFonts w:ascii="Times New Roman" w:eastAsiaTheme="minorEastAsia" w:hAnsiTheme="minorEastAsia" w:cs="Times New Roman"/>
                <w:kern w:val="0"/>
                <w:sz w:val="22"/>
                <w:szCs w:val="22"/>
              </w:rPr>
              <w:t>误差：不超过</w:t>
            </w:r>
            <w:r w:rsidR="000E4552" w:rsidRPr="00CC126D">
              <w:rPr>
                <w:rFonts w:ascii="Times New Roman" w:eastAsiaTheme="minorEastAsia" w:hAnsi="Times New Roman" w:cs="Times New Roman"/>
                <w:kern w:val="0"/>
                <w:sz w:val="22"/>
                <w:szCs w:val="22"/>
              </w:rPr>
              <w:t>±2%</w:t>
            </w:r>
          </w:p>
        </w:tc>
      </w:tr>
      <w:tr w:rsidR="000E4552" w:rsidRPr="00CC126D" w:rsidTr="00BA1B34">
        <w:trPr>
          <w:jc w:val="center"/>
        </w:trPr>
        <w:tc>
          <w:tcPr>
            <w:tcW w:w="675" w:type="dxa"/>
            <w:vAlign w:val="center"/>
          </w:tcPr>
          <w:p w:rsidR="000E4552" w:rsidRPr="00CC126D" w:rsidRDefault="000E4552"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p>
        </w:tc>
        <w:tc>
          <w:tcPr>
            <w:tcW w:w="1353" w:type="dxa"/>
            <w:vAlign w:val="center"/>
          </w:tcPr>
          <w:p w:rsidR="000E4552" w:rsidRPr="00CC126D" w:rsidRDefault="000E4552" w:rsidP="000E4552">
            <w:pPr>
              <w:spacing w:line="440" w:lineRule="exact"/>
              <w:jc w:val="center"/>
              <w:rPr>
                <w:rFonts w:ascii="Times New Roman" w:eastAsiaTheme="minorEastAsia" w:hAnsi="Times New Roman" w:cs="Times New Roman"/>
                <w:kern w:val="0"/>
                <w:shd w:val="clear" w:color="auto" w:fill="FFFFFF"/>
              </w:rPr>
            </w:pPr>
            <w:r w:rsidRPr="00CC126D">
              <w:rPr>
                <w:rFonts w:ascii="Times New Roman" w:eastAsiaTheme="minorEastAsia" w:hAnsi="Times New Roman" w:cs="Times New Roman"/>
                <w:kern w:val="0"/>
                <w:sz w:val="22"/>
                <w:szCs w:val="22"/>
              </w:rPr>
              <w:t>5B-6P</w:t>
            </w:r>
          </w:p>
        </w:tc>
        <w:tc>
          <w:tcPr>
            <w:tcW w:w="2102" w:type="dxa"/>
            <w:vAlign w:val="center"/>
          </w:tcPr>
          <w:p w:rsidR="000E4552" w:rsidRPr="00CC126D" w:rsidRDefault="000E4552" w:rsidP="000E4552">
            <w:pPr>
              <w:widowControl/>
              <w:spacing w:line="440" w:lineRule="exact"/>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color w:val="000000"/>
                <w:kern w:val="0"/>
                <w:sz w:val="22"/>
                <w:szCs w:val="22"/>
              </w:rPr>
              <w:t>0~100</w:t>
            </w:r>
            <w:r w:rsidRPr="00CC126D">
              <w:rPr>
                <w:rFonts w:ascii="Times New Roman" w:eastAsiaTheme="minorEastAsia" w:hAnsiTheme="minorEastAsia" w:cs="Times New Roman"/>
                <w:color w:val="000000"/>
                <w:kern w:val="0"/>
                <w:sz w:val="22"/>
                <w:szCs w:val="22"/>
              </w:rPr>
              <w:t>（分段）</w:t>
            </w:r>
          </w:p>
        </w:tc>
        <w:tc>
          <w:tcPr>
            <w:tcW w:w="3257" w:type="dxa"/>
            <w:vAlign w:val="center"/>
          </w:tcPr>
          <w:p w:rsidR="00F271BC" w:rsidRPr="00CC126D" w:rsidRDefault="00F271BC" w:rsidP="00F271BC">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示值误差：不超过</w:t>
            </w:r>
            <w:r w:rsidRPr="00CC126D">
              <w:rPr>
                <w:rFonts w:ascii="Times New Roman" w:eastAsiaTheme="minorEastAsia" w:hAnsi="Times New Roman" w:cs="Times New Roman"/>
                <w:kern w:val="0"/>
                <w:sz w:val="22"/>
                <w:szCs w:val="22"/>
              </w:rPr>
              <w:t>±</w:t>
            </w:r>
            <w:r w:rsidR="00477C28" w:rsidRPr="00CC126D">
              <w:rPr>
                <w:rFonts w:ascii="Times New Roman" w:eastAsiaTheme="minorEastAsia" w:hAnsi="Times New Roman" w:cs="Times New Roman"/>
                <w:kern w:val="0"/>
                <w:sz w:val="22"/>
                <w:szCs w:val="22"/>
              </w:rPr>
              <w:t>5</w:t>
            </w:r>
            <w:r w:rsidRPr="00CC126D">
              <w:rPr>
                <w:rFonts w:ascii="Times New Roman" w:eastAsiaTheme="minorEastAsia" w:hAnsi="Times New Roman" w:cs="Times New Roman"/>
                <w:kern w:val="0"/>
                <w:sz w:val="22"/>
                <w:szCs w:val="22"/>
              </w:rPr>
              <w:t>%</w:t>
            </w:r>
            <w:r w:rsidRPr="00CC126D">
              <w:rPr>
                <w:rFonts w:ascii="Times New Roman" w:eastAsiaTheme="minorEastAsia" w:hAnsiTheme="minorEastAsia" w:cs="Times New Roman"/>
                <w:kern w:val="0"/>
                <w:sz w:val="22"/>
                <w:szCs w:val="22"/>
              </w:rPr>
              <w:t>；</w:t>
            </w:r>
          </w:p>
          <w:p w:rsidR="00F271BC" w:rsidRPr="00CC126D" w:rsidRDefault="00F271BC" w:rsidP="00F271BC">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重复性：</w:t>
            </w:r>
            <w:r w:rsidRPr="00CC126D">
              <w:rPr>
                <w:rFonts w:ascii="Times New Roman" w:eastAsiaTheme="minorEastAsia" w:hAnsi="Times New Roman" w:cs="Times New Roman"/>
                <w:kern w:val="0"/>
                <w:sz w:val="22"/>
                <w:szCs w:val="22"/>
              </w:rPr>
              <w:t>≤3%</w:t>
            </w:r>
          </w:p>
          <w:p w:rsidR="00F271BC" w:rsidRPr="00CC126D" w:rsidRDefault="00F271BC" w:rsidP="00F271BC">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温度示值误差：不超过</w:t>
            </w:r>
            <w:r w:rsidRPr="00CC126D">
              <w:rPr>
                <w:rFonts w:ascii="Times New Roman" w:eastAsiaTheme="minorEastAsia" w:hAnsi="Times New Roman" w:cs="Times New Roman"/>
                <w:kern w:val="0"/>
                <w:sz w:val="22"/>
                <w:szCs w:val="22"/>
              </w:rPr>
              <w:t>±2℃</w:t>
            </w:r>
          </w:p>
          <w:p w:rsidR="000E4552" w:rsidRPr="00CC126D" w:rsidRDefault="007E7246" w:rsidP="00F271BC">
            <w:pPr>
              <w:widowControl/>
              <w:spacing w:line="440" w:lineRule="exact"/>
              <w:jc w:val="center"/>
              <w:rPr>
                <w:rFonts w:ascii="Times New Roman" w:eastAsiaTheme="minorEastAsia" w:hAnsi="Times New Roman" w:cs="Times New Roman"/>
                <w:color w:val="000000"/>
                <w:kern w:val="0"/>
                <w:sz w:val="22"/>
                <w:szCs w:val="22"/>
              </w:rPr>
            </w:pPr>
            <w:r>
              <w:rPr>
                <w:rFonts w:ascii="Times New Roman" w:eastAsiaTheme="minorEastAsia" w:hAnsiTheme="minorEastAsia" w:cs="Times New Roman"/>
                <w:kern w:val="0"/>
                <w:sz w:val="22"/>
                <w:szCs w:val="22"/>
              </w:rPr>
              <w:t>温度均匀性</w:t>
            </w:r>
            <w:r w:rsidR="00F271BC" w:rsidRPr="00CC126D">
              <w:rPr>
                <w:rFonts w:ascii="Times New Roman" w:eastAsiaTheme="minorEastAsia" w:hAnsiTheme="minorEastAsia" w:cs="Times New Roman"/>
                <w:kern w:val="0"/>
                <w:sz w:val="22"/>
                <w:szCs w:val="22"/>
              </w:rPr>
              <w:t>：</w:t>
            </w:r>
            <w:r w:rsidR="00F271BC" w:rsidRPr="00CC126D">
              <w:rPr>
                <w:rFonts w:ascii="Times New Roman" w:eastAsiaTheme="minorEastAsia" w:hAnsi="Times New Roman" w:cs="Times New Roman"/>
                <w:kern w:val="0"/>
                <w:sz w:val="22"/>
                <w:szCs w:val="22"/>
              </w:rPr>
              <w:t>≤2℃</w:t>
            </w:r>
          </w:p>
        </w:tc>
      </w:tr>
      <w:tr w:rsidR="000E4552" w:rsidRPr="00CC126D" w:rsidTr="00BA1B34">
        <w:trPr>
          <w:jc w:val="center"/>
        </w:trPr>
        <w:tc>
          <w:tcPr>
            <w:tcW w:w="675" w:type="dxa"/>
            <w:vAlign w:val="center"/>
          </w:tcPr>
          <w:p w:rsidR="000E4552" w:rsidRPr="00CC126D" w:rsidRDefault="000E4552"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p>
        </w:tc>
        <w:tc>
          <w:tcPr>
            <w:tcW w:w="1353" w:type="dxa"/>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LH-TP2M</w:t>
            </w:r>
          </w:p>
        </w:tc>
        <w:tc>
          <w:tcPr>
            <w:tcW w:w="2102" w:type="dxa"/>
            <w:vAlign w:val="center"/>
          </w:tcPr>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color w:val="000000"/>
                <w:kern w:val="0"/>
                <w:sz w:val="22"/>
                <w:szCs w:val="22"/>
              </w:rPr>
              <w:t>0~25</w:t>
            </w:r>
            <w:r w:rsidRPr="00CC126D">
              <w:rPr>
                <w:rFonts w:ascii="Times New Roman" w:eastAsiaTheme="minorEastAsia" w:hAnsiTheme="minorEastAsia" w:cs="Times New Roman"/>
                <w:color w:val="000000"/>
                <w:kern w:val="0"/>
                <w:sz w:val="22"/>
                <w:szCs w:val="22"/>
              </w:rPr>
              <w:t>（分段）</w:t>
            </w:r>
          </w:p>
        </w:tc>
        <w:tc>
          <w:tcPr>
            <w:tcW w:w="3257" w:type="dxa"/>
            <w:vAlign w:val="center"/>
          </w:tcPr>
          <w:p w:rsidR="00F271BC" w:rsidRPr="00CC126D" w:rsidRDefault="00F271BC" w:rsidP="00F271BC">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示值误差：不超过</w:t>
            </w:r>
            <w:r w:rsidRPr="00CC126D">
              <w:rPr>
                <w:rFonts w:ascii="Times New Roman" w:eastAsiaTheme="minorEastAsia" w:hAnsi="Times New Roman" w:cs="Times New Roman"/>
                <w:kern w:val="0"/>
                <w:sz w:val="22"/>
                <w:szCs w:val="22"/>
              </w:rPr>
              <w:t>±8%</w:t>
            </w:r>
            <w:r w:rsidRPr="00CC126D">
              <w:rPr>
                <w:rFonts w:ascii="Times New Roman" w:eastAsiaTheme="minorEastAsia" w:hAnsiTheme="minorEastAsia" w:cs="Times New Roman"/>
                <w:kern w:val="0"/>
                <w:sz w:val="22"/>
                <w:szCs w:val="22"/>
              </w:rPr>
              <w:t>；</w:t>
            </w:r>
          </w:p>
          <w:p w:rsidR="00F271BC" w:rsidRPr="00CC126D" w:rsidRDefault="00F271BC" w:rsidP="00F271BC">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温度示值误差：不超过</w:t>
            </w:r>
            <w:r w:rsidRPr="00CC126D">
              <w:rPr>
                <w:rFonts w:ascii="Times New Roman" w:eastAsiaTheme="minorEastAsia" w:hAnsi="Times New Roman" w:cs="Times New Roman"/>
                <w:kern w:val="0"/>
                <w:sz w:val="22"/>
                <w:szCs w:val="22"/>
              </w:rPr>
              <w:t>±2℃</w:t>
            </w:r>
          </w:p>
          <w:p w:rsidR="00F271BC" w:rsidRPr="00CC126D" w:rsidRDefault="007E7246" w:rsidP="00F271BC">
            <w:pPr>
              <w:widowControl/>
              <w:spacing w:line="440" w:lineRule="exact"/>
              <w:jc w:val="center"/>
              <w:rPr>
                <w:rFonts w:ascii="Times New Roman" w:eastAsiaTheme="minorEastAsia" w:hAnsi="Times New Roman" w:cs="Times New Roman"/>
                <w:kern w:val="0"/>
                <w:sz w:val="22"/>
                <w:szCs w:val="22"/>
              </w:rPr>
            </w:pPr>
            <w:r>
              <w:rPr>
                <w:rFonts w:ascii="Times New Roman" w:eastAsiaTheme="minorEastAsia" w:hAnsiTheme="minorEastAsia" w:cs="Times New Roman"/>
                <w:kern w:val="0"/>
                <w:sz w:val="22"/>
                <w:szCs w:val="22"/>
              </w:rPr>
              <w:t>温度均匀性</w:t>
            </w:r>
            <w:r w:rsidR="00F271BC" w:rsidRPr="00CC126D">
              <w:rPr>
                <w:rFonts w:ascii="Times New Roman" w:eastAsiaTheme="minorEastAsia" w:hAnsiTheme="minorEastAsia" w:cs="Times New Roman"/>
                <w:kern w:val="0"/>
                <w:sz w:val="22"/>
                <w:szCs w:val="22"/>
              </w:rPr>
              <w:t>：</w:t>
            </w:r>
            <w:r w:rsidR="00F271BC" w:rsidRPr="00CC126D">
              <w:rPr>
                <w:rFonts w:ascii="Times New Roman" w:eastAsiaTheme="minorEastAsia" w:hAnsi="Times New Roman" w:cs="Times New Roman"/>
                <w:kern w:val="0"/>
                <w:sz w:val="22"/>
                <w:szCs w:val="22"/>
              </w:rPr>
              <w:t>≤2℃</w:t>
            </w:r>
          </w:p>
          <w:p w:rsidR="000E4552" w:rsidRPr="00CC126D" w:rsidRDefault="008A0DC2" w:rsidP="00F271BC">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消解时间</w:t>
            </w:r>
            <w:r w:rsidR="00F271BC" w:rsidRPr="00CC126D">
              <w:rPr>
                <w:rFonts w:ascii="Times New Roman" w:eastAsiaTheme="minorEastAsia" w:hAnsiTheme="minorEastAsia" w:cs="Times New Roman"/>
                <w:kern w:val="0"/>
                <w:sz w:val="22"/>
                <w:szCs w:val="22"/>
              </w:rPr>
              <w:t>误差：不超过</w:t>
            </w:r>
            <w:r w:rsidR="00F271BC" w:rsidRPr="00CC126D">
              <w:rPr>
                <w:rFonts w:ascii="Times New Roman" w:eastAsiaTheme="minorEastAsia" w:hAnsi="Times New Roman" w:cs="Times New Roman"/>
                <w:kern w:val="0"/>
                <w:sz w:val="22"/>
                <w:szCs w:val="22"/>
              </w:rPr>
              <w:t>±2%</w:t>
            </w:r>
          </w:p>
        </w:tc>
      </w:tr>
      <w:tr w:rsidR="000E4552" w:rsidRPr="00CC126D" w:rsidTr="00BA1B34">
        <w:trPr>
          <w:jc w:val="center"/>
        </w:trPr>
        <w:tc>
          <w:tcPr>
            <w:tcW w:w="675" w:type="dxa"/>
            <w:vAlign w:val="center"/>
          </w:tcPr>
          <w:p w:rsidR="000E4552" w:rsidRPr="00CC126D" w:rsidRDefault="000E4552"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p>
        </w:tc>
        <w:tc>
          <w:tcPr>
            <w:tcW w:w="1353" w:type="dxa"/>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LH-TN200</w:t>
            </w:r>
          </w:p>
        </w:tc>
        <w:tc>
          <w:tcPr>
            <w:tcW w:w="2102" w:type="dxa"/>
            <w:vAlign w:val="center"/>
          </w:tcPr>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1~100</w:t>
            </w:r>
            <w:r w:rsidRPr="00CC126D">
              <w:rPr>
                <w:rFonts w:ascii="Times New Roman" w:eastAsiaTheme="minorEastAsia" w:hAnsiTheme="minorEastAsia" w:cs="Times New Roman"/>
                <w:color w:val="000000"/>
                <w:kern w:val="0"/>
                <w:sz w:val="22"/>
                <w:szCs w:val="22"/>
              </w:rPr>
              <w:t>（分段）</w:t>
            </w:r>
          </w:p>
        </w:tc>
        <w:tc>
          <w:tcPr>
            <w:tcW w:w="3257" w:type="dxa"/>
            <w:vMerge w:val="restart"/>
            <w:vAlign w:val="center"/>
          </w:tcPr>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示值误差：不超过</w:t>
            </w:r>
            <w:r w:rsidRPr="00CC126D">
              <w:rPr>
                <w:rFonts w:ascii="Times New Roman" w:eastAsiaTheme="minorEastAsia" w:hAnsi="Times New Roman" w:cs="Times New Roman"/>
                <w:kern w:val="0"/>
                <w:sz w:val="22"/>
                <w:szCs w:val="22"/>
              </w:rPr>
              <w:t>±10%</w:t>
            </w:r>
            <w:r w:rsidRPr="00CC126D">
              <w:rPr>
                <w:rFonts w:ascii="Times New Roman" w:eastAsiaTheme="minorEastAsia" w:hAnsiTheme="minorEastAsia" w:cs="Times New Roman"/>
                <w:kern w:val="0"/>
                <w:sz w:val="22"/>
                <w:szCs w:val="22"/>
              </w:rPr>
              <w:t>；</w:t>
            </w:r>
          </w:p>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重复性：</w:t>
            </w:r>
            <w:r w:rsidRPr="00CC126D">
              <w:rPr>
                <w:rFonts w:ascii="Times New Roman" w:eastAsiaTheme="minorEastAsia" w:hAnsi="Times New Roman" w:cs="Times New Roman"/>
                <w:kern w:val="0"/>
                <w:sz w:val="22"/>
                <w:szCs w:val="22"/>
              </w:rPr>
              <w:t>≤3%</w:t>
            </w:r>
          </w:p>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温度示值误差：不超过</w:t>
            </w:r>
            <w:r w:rsidRPr="00CC126D">
              <w:rPr>
                <w:rFonts w:ascii="Times New Roman" w:eastAsiaTheme="minorEastAsia" w:hAnsi="Times New Roman" w:cs="Times New Roman"/>
                <w:kern w:val="0"/>
                <w:sz w:val="22"/>
                <w:szCs w:val="22"/>
              </w:rPr>
              <w:t>±2℃</w:t>
            </w:r>
          </w:p>
          <w:p w:rsidR="000E4552" w:rsidRPr="00CC126D" w:rsidRDefault="007E7246" w:rsidP="000E4552">
            <w:pPr>
              <w:widowControl/>
              <w:spacing w:line="440" w:lineRule="exact"/>
              <w:jc w:val="center"/>
              <w:rPr>
                <w:rFonts w:ascii="Times New Roman" w:eastAsiaTheme="minorEastAsia" w:hAnsi="Times New Roman" w:cs="Times New Roman"/>
                <w:kern w:val="0"/>
                <w:sz w:val="22"/>
                <w:szCs w:val="22"/>
              </w:rPr>
            </w:pPr>
            <w:r>
              <w:rPr>
                <w:rFonts w:ascii="Times New Roman" w:eastAsiaTheme="minorEastAsia" w:hAnsiTheme="minorEastAsia" w:cs="Times New Roman"/>
                <w:kern w:val="0"/>
                <w:sz w:val="22"/>
                <w:szCs w:val="22"/>
              </w:rPr>
              <w:t>温度均匀性</w:t>
            </w:r>
            <w:r w:rsidR="000E4552" w:rsidRPr="00CC126D">
              <w:rPr>
                <w:rFonts w:ascii="Times New Roman" w:eastAsiaTheme="minorEastAsia" w:hAnsiTheme="minorEastAsia" w:cs="Times New Roman"/>
                <w:kern w:val="0"/>
                <w:sz w:val="22"/>
                <w:szCs w:val="22"/>
              </w:rPr>
              <w:t>：</w:t>
            </w:r>
            <w:r w:rsidR="000E4552" w:rsidRPr="00CC126D">
              <w:rPr>
                <w:rFonts w:ascii="Times New Roman" w:eastAsiaTheme="minorEastAsia" w:hAnsi="Times New Roman" w:cs="Times New Roman"/>
                <w:kern w:val="0"/>
                <w:sz w:val="22"/>
                <w:szCs w:val="22"/>
              </w:rPr>
              <w:t>≤3℃</w:t>
            </w:r>
          </w:p>
          <w:p w:rsidR="000E4552" w:rsidRPr="00CC126D" w:rsidRDefault="008A0DC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消解时间</w:t>
            </w:r>
            <w:r w:rsidR="000E4552" w:rsidRPr="00CC126D">
              <w:rPr>
                <w:rFonts w:ascii="Times New Roman" w:eastAsiaTheme="minorEastAsia" w:hAnsiTheme="minorEastAsia" w:cs="Times New Roman"/>
                <w:kern w:val="0"/>
                <w:sz w:val="22"/>
                <w:szCs w:val="22"/>
              </w:rPr>
              <w:t>误差：不超过</w:t>
            </w:r>
            <w:r w:rsidR="000E4552" w:rsidRPr="00CC126D">
              <w:rPr>
                <w:rFonts w:ascii="Times New Roman" w:eastAsiaTheme="minorEastAsia" w:hAnsi="Times New Roman" w:cs="Times New Roman"/>
                <w:kern w:val="0"/>
                <w:sz w:val="22"/>
                <w:szCs w:val="22"/>
              </w:rPr>
              <w:t>±2%</w:t>
            </w:r>
          </w:p>
        </w:tc>
      </w:tr>
      <w:tr w:rsidR="000E4552" w:rsidRPr="00CC126D" w:rsidTr="00BA1B34">
        <w:trPr>
          <w:jc w:val="center"/>
        </w:trPr>
        <w:tc>
          <w:tcPr>
            <w:tcW w:w="675" w:type="dxa"/>
            <w:vAlign w:val="center"/>
          </w:tcPr>
          <w:p w:rsidR="000E4552" w:rsidRPr="00CC126D" w:rsidRDefault="000E4552"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p>
        </w:tc>
        <w:tc>
          <w:tcPr>
            <w:tcW w:w="1353" w:type="dxa"/>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LH-TN2M</w:t>
            </w:r>
          </w:p>
        </w:tc>
        <w:tc>
          <w:tcPr>
            <w:tcW w:w="2102" w:type="dxa"/>
            <w:vAlign w:val="center"/>
          </w:tcPr>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1~100</w:t>
            </w:r>
            <w:r w:rsidRPr="00CC126D">
              <w:rPr>
                <w:rFonts w:ascii="Times New Roman" w:eastAsiaTheme="minorEastAsia" w:hAnsiTheme="minorEastAsia" w:cs="Times New Roman"/>
                <w:color w:val="000000"/>
                <w:kern w:val="0"/>
                <w:sz w:val="22"/>
                <w:szCs w:val="22"/>
              </w:rPr>
              <w:t>（分段）</w:t>
            </w:r>
          </w:p>
        </w:tc>
        <w:tc>
          <w:tcPr>
            <w:tcW w:w="3257" w:type="dxa"/>
            <w:vMerge/>
            <w:vAlign w:val="center"/>
          </w:tcPr>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p>
        </w:tc>
      </w:tr>
      <w:tr w:rsidR="000E4552" w:rsidRPr="00CC126D" w:rsidTr="00BA1B34">
        <w:trPr>
          <w:jc w:val="center"/>
        </w:trPr>
        <w:tc>
          <w:tcPr>
            <w:tcW w:w="675" w:type="dxa"/>
            <w:vAlign w:val="center"/>
          </w:tcPr>
          <w:p w:rsidR="000E4552" w:rsidRPr="00CC126D" w:rsidRDefault="000E4552"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Merge w:val="restart"/>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江苏盛奥华环保科技有限公司</w:t>
            </w:r>
          </w:p>
        </w:tc>
        <w:tc>
          <w:tcPr>
            <w:tcW w:w="1353" w:type="dxa"/>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6B-70</w:t>
            </w:r>
          </w:p>
        </w:tc>
        <w:tc>
          <w:tcPr>
            <w:tcW w:w="2102" w:type="dxa"/>
            <w:vAlign w:val="center"/>
          </w:tcPr>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color w:val="000000"/>
                <w:kern w:val="0"/>
                <w:sz w:val="22"/>
                <w:szCs w:val="22"/>
              </w:rPr>
              <w:t>0.01~20</w:t>
            </w:r>
            <w:r w:rsidRPr="00CC126D">
              <w:rPr>
                <w:rFonts w:ascii="Times New Roman" w:eastAsiaTheme="minorEastAsia" w:hAnsiTheme="minorEastAsia" w:cs="Times New Roman"/>
                <w:color w:val="000000"/>
                <w:kern w:val="0"/>
                <w:sz w:val="22"/>
                <w:szCs w:val="22"/>
              </w:rPr>
              <w:t>（分段）</w:t>
            </w:r>
          </w:p>
        </w:tc>
        <w:tc>
          <w:tcPr>
            <w:tcW w:w="3257" w:type="dxa"/>
            <w:vMerge w:val="restart"/>
            <w:vAlign w:val="center"/>
          </w:tcPr>
          <w:p w:rsidR="000E4552" w:rsidRPr="00CC126D" w:rsidRDefault="000E4552" w:rsidP="00F91F77">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示值误差：不超过</w:t>
            </w:r>
            <w:r w:rsidRPr="00CC126D">
              <w:rPr>
                <w:rFonts w:ascii="Times New Roman" w:eastAsiaTheme="minorEastAsia" w:hAnsi="Times New Roman" w:cs="Times New Roman"/>
                <w:kern w:val="0"/>
                <w:sz w:val="22"/>
                <w:szCs w:val="22"/>
              </w:rPr>
              <w:t>±5%</w:t>
            </w:r>
          </w:p>
          <w:p w:rsidR="000E4552" w:rsidRPr="00CC126D" w:rsidRDefault="000E4552" w:rsidP="00F91F77">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重复性：</w:t>
            </w:r>
            <w:r w:rsidRPr="00CC126D">
              <w:rPr>
                <w:rFonts w:ascii="Times New Roman" w:eastAsiaTheme="minorEastAsia" w:hAnsi="Times New Roman" w:cs="Times New Roman"/>
                <w:kern w:val="0"/>
                <w:sz w:val="22"/>
                <w:szCs w:val="22"/>
              </w:rPr>
              <w:t>≤5%</w:t>
            </w:r>
          </w:p>
          <w:p w:rsidR="000E4552" w:rsidRPr="00CC126D" w:rsidRDefault="000E4552" w:rsidP="00F91F77">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温度示值误差：不超过</w:t>
            </w:r>
            <w:r w:rsidRPr="00CC126D">
              <w:rPr>
                <w:rFonts w:ascii="Times New Roman" w:eastAsiaTheme="minorEastAsia" w:hAnsi="Times New Roman" w:cs="Times New Roman"/>
                <w:kern w:val="0"/>
                <w:sz w:val="22"/>
                <w:szCs w:val="22"/>
              </w:rPr>
              <w:t>±0.5℃</w:t>
            </w:r>
          </w:p>
          <w:p w:rsidR="000E4552" w:rsidRPr="00CC126D" w:rsidRDefault="007E7246" w:rsidP="00F91F77">
            <w:pPr>
              <w:widowControl/>
              <w:spacing w:line="440" w:lineRule="exact"/>
              <w:jc w:val="center"/>
              <w:rPr>
                <w:rFonts w:ascii="Times New Roman" w:eastAsiaTheme="minorEastAsia" w:hAnsi="Times New Roman" w:cs="Times New Roman"/>
                <w:kern w:val="0"/>
                <w:sz w:val="22"/>
                <w:szCs w:val="22"/>
              </w:rPr>
            </w:pPr>
            <w:r>
              <w:rPr>
                <w:rFonts w:ascii="Times New Roman" w:eastAsiaTheme="minorEastAsia" w:hAnsiTheme="minorEastAsia" w:cs="Times New Roman"/>
                <w:kern w:val="0"/>
                <w:sz w:val="22"/>
                <w:szCs w:val="22"/>
              </w:rPr>
              <w:t>温度均匀性</w:t>
            </w:r>
            <w:r w:rsidR="000E4552" w:rsidRPr="00CC126D">
              <w:rPr>
                <w:rFonts w:ascii="Times New Roman" w:eastAsiaTheme="minorEastAsia" w:hAnsiTheme="minorEastAsia" w:cs="Times New Roman"/>
                <w:kern w:val="0"/>
                <w:sz w:val="22"/>
                <w:szCs w:val="22"/>
              </w:rPr>
              <w:t>：</w:t>
            </w:r>
            <w:r w:rsidR="000E4552" w:rsidRPr="00CC126D">
              <w:rPr>
                <w:rFonts w:ascii="Times New Roman" w:eastAsiaTheme="minorEastAsia" w:hAnsi="Times New Roman" w:cs="Times New Roman"/>
                <w:kern w:val="0"/>
                <w:sz w:val="22"/>
                <w:szCs w:val="22"/>
              </w:rPr>
              <w:t>≤0.5℃</w:t>
            </w:r>
          </w:p>
          <w:p w:rsidR="000E4552" w:rsidRPr="00CC126D" w:rsidRDefault="008A0DC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lastRenderedPageBreak/>
              <w:t>消解时间</w:t>
            </w:r>
            <w:r w:rsidR="000E4552" w:rsidRPr="00CC126D">
              <w:rPr>
                <w:rFonts w:ascii="Times New Roman" w:eastAsiaTheme="minorEastAsia" w:hAnsiTheme="minorEastAsia" w:cs="Times New Roman"/>
                <w:kern w:val="0"/>
                <w:sz w:val="22"/>
                <w:szCs w:val="22"/>
              </w:rPr>
              <w:t>误差：不超过</w:t>
            </w:r>
            <w:r w:rsidR="000E4552" w:rsidRPr="00CC126D">
              <w:rPr>
                <w:rFonts w:ascii="Times New Roman" w:eastAsiaTheme="minorEastAsia" w:hAnsi="Times New Roman" w:cs="Times New Roman"/>
                <w:kern w:val="0"/>
                <w:sz w:val="22"/>
                <w:szCs w:val="22"/>
              </w:rPr>
              <w:t>±2%</w:t>
            </w:r>
          </w:p>
        </w:tc>
      </w:tr>
      <w:tr w:rsidR="000E4552" w:rsidRPr="00CC126D" w:rsidTr="00BA1B34">
        <w:trPr>
          <w:jc w:val="center"/>
        </w:trPr>
        <w:tc>
          <w:tcPr>
            <w:tcW w:w="675" w:type="dxa"/>
            <w:vAlign w:val="center"/>
          </w:tcPr>
          <w:p w:rsidR="000E4552" w:rsidRPr="00CC126D" w:rsidRDefault="000E4552"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p>
        </w:tc>
        <w:tc>
          <w:tcPr>
            <w:tcW w:w="1353" w:type="dxa"/>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6B-90</w:t>
            </w:r>
          </w:p>
        </w:tc>
        <w:tc>
          <w:tcPr>
            <w:tcW w:w="2102" w:type="dxa"/>
            <w:vAlign w:val="center"/>
          </w:tcPr>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0.01~100</w:t>
            </w:r>
            <w:r w:rsidRPr="00CC126D">
              <w:rPr>
                <w:rFonts w:ascii="Times New Roman" w:eastAsiaTheme="minorEastAsia" w:hAnsiTheme="minorEastAsia" w:cs="Times New Roman"/>
                <w:color w:val="000000"/>
                <w:kern w:val="0"/>
                <w:sz w:val="22"/>
                <w:szCs w:val="22"/>
              </w:rPr>
              <w:t>（分段）</w:t>
            </w:r>
          </w:p>
        </w:tc>
        <w:tc>
          <w:tcPr>
            <w:tcW w:w="3257" w:type="dxa"/>
            <w:vMerge/>
            <w:vAlign w:val="center"/>
          </w:tcPr>
          <w:p w:rsidR="000E4552" w:rsidRPr="00CC126D" w:rsidRDefault="000E4552" w:rsidP="00F91F77">
            <w:pPr>
              <w:widowControl/>
              <w:spacing w:line="440" w:lineRule="exact"/>
              <w:jc w:val="center"/>
              <w:rPr>
                <w:rFonts w:ascii="Times New Roman" w:eastAsiaTheme="minorEastAsia" w:hAnsi="Times New Roman" w:cs="Times New Roman"/>
                <w:kern w:val="0"/>
                <w:sz w:val="22"/>
                <w:szCs w:val="22"/>
              </w:rPr>
            </w:pPr>
          </w:p>
        </w:tc>
      </w:tr>
      <w:tr w:rsidR="000E4552" w:rsidRPr="00CC126D" w:rsidTr="00BA1B34">
        <w:trPr>
          <w:jc w:val="center"/>
        </w:trPr>
        <w:tc>
          <w:tcPr>
            <w:tcW w:w="675" w:type="dxa"/>
            <w:vAlign w:val="center"/>
          </w:tcPr>
          <w:p w:rsidR="000E4552" w:rsidRPr="00CC126D" w:rsidRDefault="000E4552"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Merge w:val="restart"/>
            <w:vAlign w:val="center"/>
          </w:tcPr>
          <w:p w:rsidR="000E4552" w:rsidRPr="00CC126D" w:rsidRDefault="005261E7" w:rsidP="000E4552">
            <w:pPr>
              <w:spacing w:line="440" w:lineRule="exact"/>
              <w:jc w:val="center"/>
              <w:rPr>
                <w:rFonts w:ascii="Times New Roman" w:eastAsiaTheme="minorEastAsia" w:hAnsi="Times New Roman" w:cs="Times New Roman"/>
                <w:kern w:val="0"/>
                <w:sz w:val="22"/>
                <w:szCs w:val="22"/>
              </w:rPr>
            </w:pPr>
            <w:r>
              <w:rPr>
                <w:rFonts w:ascii="Times New Roman" w:eastAsiaTheme="minorEastAsia" w:hAnsiTheme="minorEastAsia" w:cs="Times New Roman"/>
                <w:kern w:val="0"/>
                <w:sz w:val="22"/>
                <w:szCs w:val="22"/>
              </w:rPr>
              <w:t>浙江</w:t>
            </w:r>
            <w:r w:rsidR="000E4552" w:rsidRPr="00CC126D">
              <w:rPr>
                <w:rFonts w:ascii="Times New Roman" w:eastAsiaTheme="minorEastAsia" w:hAnsiTheme="minorEastAsia" w:cs="Times New Roman"/>
                <w:kern w:val="0"/>
                <w:sz w:val="22"/>
                <w:szCs w:val="22"/>
              </w:rPr>
              <w:t>陆恒</w:t>
            </w:r>
            <w:r>
              <w:rPr>
                <w:rFonts w:ascii="Times New Roman" w:eastAsiaTheme="minorEastAsia" w:hAnsiTheme="minorEastAsia" w:cs="Times New Roman"/>
                <w:kern w:val="0"/>
                <w:sz w:val="22"/>
                <w:szCs w:val="22"/>
              </w:rPr>
              <w:t>环境</w:t>
            </w:r>
            <w:r w:rsidR="000E4552" w:rsidRPr="00CC126D">
              <w:rPr>
                <w:rFonts w:ascii="Times New Roman" w:eastAsiaTheme="minorEastAsia" w:hAnsiTheme="minorEastAsia" w:cs="Times New Roman"/>
                <w:kern w:val="0"/>
                <w:sz w:val="22"/>
                <w:szCs w:val="22"/>
              </w:rPr>
              <w:t>科技有限公司</w:t>
            </w:r>
          </w:p>
        </w:tc>
        <w:tc>
          <w:tcPr>
            <w:tcW w:w="1353" w:type="dxa"/>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LH-T725</w:t>
            </w:r>
          </w:p>
        </w:tc>
        <w:tc>
          <w:tcPr>
            <w:tcW w:w="2102" w:type="dxa"/>
            <w:vAlign w:val="center"/>
          </w:tcPr>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0.02~20</w:t>
            </w:r>
          </w:p>
          <w:p w:rsidR="000E4552" w:rsidRPr="00CC126D" w:rsidRDefault="000E4552"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0.5~500</w:t>
            </w:r>
          </w:p>
        </w:tc>
        <w:tc>
          <w:tcPr>
            <w:tcW w:w="3257" w:type="dxa"/>
            <w:vAlign w:val="center"/>
          </w:tcPr>
          <w:p w:rsidR="000E4552" w:rsidRPr="00CC126D" w:rsidRDefault="000E4552" w:rsidP="00EA185F">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示值误差：</w:t>
            </w:r>
          </w:p>
          <w:p w:rsidR="000E4552" w:rsidRPr="00CC126D" w:rsidRDefault="000E4552" w:rsidP="00EA185F">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：不超过</w:t>
            </w:r>
            <w:r w:rsidRPr="00CC126D">
              <w:rPr>
                <w:rFonts w:ascii="Times New Roman" w:eastAsiaTheme="minorEastAsia" w:hAnsi="Times New Roman" w:cs="Times New Roman"/>
                <w:kern w:val="0"/>
                <w:sz w:val="22"/>
                <w:szCs w:val="22"/>
              </w:rPr>
              <w:t>±5%</w:t>
            </w:r>
            <w:r w:rsidRPr="00CC126D">
              <w:rPr>
                <w:rFonts w:ascii="Times New Roman" w:eastAsiaTheme="minorEastAsia" w:hAnsiTheme="minorEastAsia" w:cs="Times New Roman"/>
                <w:kern w:val="0"/>
                <w:sz w:val="22"/>
                <w:szCs w:val="22"/>
              </w:rPr>
              <w:t>或</w:t>
            </w:r>
            <w:r w:rsidRPr="00CC126D">
              <w:rPr>
                <w:rFonts w:ascii="Times New Roman" w:eastAsiaTheme="minorEastAsia" w:hAnsi="Times New Roman" w:cs="Times New Roman"/>
                <w:kern w:val="0"/>
                <w:sz w:val="22"/>
                <w:szCs w:val="22"/>
              </w:rPr>
              <w:t>0.04mg/L</w:t>
            </w:r>
          </w:p>
          <w:p w:rsidR="000E4552" w:rsidRPr="00CC126D" w:rsidRDefault="000E4552" w:rsidP="00EA185F">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：不超过</w:t>
            </w:r>
            <w:r w:rsidRPr="00CC126D">
              <w:rPr>
                <w:rFonts w:ascii="Times New Roman" w:eastAsiaTheme="minorEastAsia" w:hAnsi="Times New Roman" w:cs="Times New Roman"/>
                <w:kern w:val="0"/>
                <w:sz w:val="22"/>
                <w:szCs w:val="22"/>
              </w:rPr>
              <w:t>±5%</w:t>
            </w:r>
            <w:r w:rsidRPr="00CC126D">
              <w:rPr>
                <w:rFonts w:ascii="Times New Roman" w:eastAsiaTheme="minorEastAsia" w:hAnsiTheme="minorEastAsia" w:cs="Times New Roman"/>
                <w:kern w:val="0"/>
                <w:sz w:val="22"/>
                <w:szCs w:val="22"/>
              </w:rPr>
              <w:t>或</w:t>
            </w:r>
            <w:r w:rsidRPr="00CC126D">
              <w:rPr>
                <w:rFonts w:ascii="Times New Roman" w:eastAsiaTheme="minorEastAsia" w:hAnsi="Times New Roman" w:cs="Times New Roman"/>
                <w:kern w:val="0"/>
                <w:sz w:val="22"/>
                <w:szCs w:val="22"/>
              </w:rPr>
              <w:t>0.4mg/L</w:t>
            </w:r>
          </w:p>
        </w:tc>
      </w:tr>
      <w:tr w:rsidR="000E4552" w:rsidRPr="00CC126D" w:rsidTr="00BA1B34">
        <w:trPr>
          <w:jc w:val="center"/>
        </w:trPr>
        <w:tc>
          <w:tcPr>
            <w:tcW w:w="675" w:type="dxa"/>
            <w:vAlign w:val="center"/>
          </w:tcPr>
          <w:p w:rsidR="000E4552" w:rsidRPr="00CC126D" w:rsidRDefault="000E4552"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p>
        </w:tc>
        <w:tc>
          <w:tcPr>
            <w:tcW w:w="1353" w:type="dxa"/>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LH-C660</w:t>
            </w:r>
          </w:p>
        </w:tc>
        <w:tc>
          <w:tcPr>
            <w:tcW w:w="2102" w:type="dxa"/>
            <w:vAlign w:val="center"/>
          </w:tcPr>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0.02~20.00</w:t>
            </w:r>
          </w:p>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0.5~500.00</w:t>
            </w:r>
          </w:p>
        </w:tc>
        <w:tc>
          <w:tcPr>
            <w:tcW w:w="3257" w:type="dxa"/>
            <w:vAlign w:val="center"/>
          </w:tcPr>
          <w:p w:rsidR="000E4552" w:rsidRPr="00CC126D" w:rsidRDefault="000E4552" w:rsidP="00EA185F">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示值误差：不超过</w:t>
            </w:r>
            <w:r w:rsidRPr="00CC126D">
              <w:rPr>
                <w:rFonts w:ascii="Times New Roman" w:eastAsiaTheme="minorEastAsia" w:hAnsi="Times New Roman" w:cs="Times New Roman"/>
                <w:kern w:val="0"/>
                <w:sz w:val="22"/>
                <w:szCs w:val="22"/>
              </w:rPr>
              <w:t>±5%</w:t>
            </w:r>
          </w:p>
          <w:p w:rsidR="000E4552" w:rsidRPr="00CC126D" w:rsidRDefault="000E4552" w:rsidP="00EA185F">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重复性：</w:t>
            </w:r>
            <w:r w:rsidRPr="00CC126D">
              <w:rPr>
                <w:rFonts w:ascii="Times New Roman" w:eastAsiaTheme="minorEastAsia" w:hAnsi="Times New Roman" w:cs="Times New Roman"/>
                <w:kern w:val="0"/>
                <w:sz w:val="22"/>
                <w:szCs w:val="22"/>
              </w:rPr>
              <w:t>≤3%</w:t>
            </w:r>
          </w:p>
        </w:tc>
      </w:tr>
      <w:tr w:rsidR="000E4552" w:rsidRPr="00CC126D" w:rsidTr="00BA1B34">
        <w:trPr>
          <w:jc w:val="center"/>
        </w:trPr>
        <w:tc>
          <w:tcPr>
            <w:tcW w:w="675" w:type="dxa"/>
            <w:vAlign w:val="center"/>
          </w:tcPr>
          <w:p w:rsidR="000E4552" w:rsidRPr="00CC126D" w:rsidRDefault="000E4552"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Merge w:val="restart"/>
            <w:vAlign w:val="center"/>
          </w:tcPr>
          <w:p w:rsidR="000E4552" w:rsidRPr="00CC126D" w:rsidRDefault="000E4552" w:rsidP="000E4552">
            <w:pPr>
              <w:jc w:val="center"/>
              <w:rPr>
                <w:rFonts w:ascii="Times New Roman" w:eastAsiaTheme="minorEastAsia" w:hAnsi="Times New Roman" w:cs="Times New Roman"/>
                <w:sz w:val="24"/>
                <w:szCs w:val="24"/>
              </w:rPr>
            </w:pPr>
            <w:r w:rsidRPr="00CC126D">
              <w:rPr>
                <w:rFonts w:ascii="Times New Roman" w:eastAsiaTheme="minorEastAsia" w:hAnsiTheme="minorEastAsia" w:cs="Times New Roman"/>
              </w:rPr>
              <w:t>洛阳莱博图电子科技有限公司</w:t>
            </w:r>
          </w:p>
        </w:tc>
        <w:tc>
          <w:tcPr>
            <w:tcW w:w="1353" w:type="dxa"/>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LBT-H55</w:t>
            </w:r>
          </w:p>
        </w:tc>
        <w:tc>
          <w:tcPr>
            <w:tcW w:w="2102" w:type="dxa"/>
            <w:vAlign w:val="center"/>
          </w:tcPr>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0~20</w:t>
            </w:r>
          </w:p>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0~500</w:t>
            </w:r>
          </w:p>
        </w:tc>
        <w:tc>
          <w:tcPr>
            <w:tcW w:w="3257" w:type="dxa"/>
            <w:vAlign w:val="center"/>
          </w:tcPr>
          <w:p w:rsidR="000E4552" w:rsidRPr="00CC126D" w:rsidRDefault="000E4552" w:rsidP="00BA1B34">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示值误差：</w:t>
            </w:r>
          </w:p>
          <w:p w:rsidR="000E4552" w:rsidRPr="00CC126D" w:rsidRDefault="000E4552" w:rsidP="00BA1B34">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：不超过</w:t>
            </w:r>
            <w:r w:rsidRPr="00CC126D">
              <w:rPr>
                <w:rFonts w:ascii="Times New Roman" w:eastAsiaTheme="minorEastAsia" w:hAnsi="Times New Roman" w:cs="Times New Roman"/>
                <w:kern w:val="0"/>
                <w:sz w:val="22"/>
                <w:szCs w:val="22"/>
              </w:rPr>
              <w:t>±5%</w:t>
            </w:r>
            <w:r w:rsidRPr="00CC126D">
              <w:rPr>
                <w:rFonts w:ascii="Times New Roman" w:eastAsiaTheme="minorEastAsia" w:hAnsiTheme="minorEastAsia" w:cs="Times New Roman"/>
                <w:kern w:val="0"/>
                <w:sz w:val="22"/>
                <w:szCs w:val="22"/>
              </w:rPr>
              <w:t>或</w:t>
            </w:r>
            <w:r w:rsidRPr="00CC126D">
              <w:rPr>
                <w:rFonts w:ascii="Times New Roman" w:eastAsiaTheme="minorEastAsia" w:hAnsi="Times New Roman" w:cs="Times New Roman"/>
                <w:kern w:val="0"/>
                <w:sz w:val="22"/>
                <w:szCs w:val="22"/>
              </w:rPr>
              <w:t>0.04mg/L</w:t>
            </w:r>
          </w:p>
          <w:p w:rsidR="000E4552" w:rsidRPr="00CC126D" w:rsidRDefault="000E4552" w:rsidP="00BA1B34">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：不超过</w:t>
            </w:r>
            <w:r w:rsidRPr="00CC126D">
              <w:rPr>
                <w:rFonts w:ascii="Times New Roman" w:eastAsiaTheme="minorEastAsia" w:hAnsi="Times New Roman" w:cs="Times New Roman"/>
                <w:kern w:val="0"/>
                <w:sz w:val="22"/>
                <w:szCs w:val="22"/>
              </w:rPr>
              <w:t>±5%</w:t>
            </w:r>
            <w:r w:rsidRPr="00CC126D">
              <w:rPr>
                <w:rFonts w:ascii="Times New Roman" w:eastAsiaTheme="minorEastAsia" w:hAnsiTheme="minorEastAsia" w:cs="Times New Roman"/>
                <w:kern w:val="0"/>
                <w:sz w:val="22"/>
                <w:szCs w:val="22"/>
              </w:rPr>
              <w:t>或</w:t>
            </w:r>
            <w:r w:rsidRPr="00CC126D">
              <w:rPr>
                <w:rFonts w:ascii="Times New Roman" w:eastAsiaTheme="minorEastAsia" w:hAnsi="Times New Roman" w:cs="Times New Roman"/>
                <w:kern w:val="0"/>
                <w:sz w:val="22"/>
                <w:szCs w:val="22"/>
              </w:rPr>
              <w:t>0.4mg/L</w:t>
            </w:r>
          </w:p>
          <w:p w:rsidR="000E4552" w:rsidRPr="00CC126D" w:rsidRDefault="000E4552" w:rsidP="00BA1B34">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重复性：</w:t>
            </w:r>
            <w:r w:rsidRPr="00CC126D">
              <w:rPr>
                <w:rFonts w:ascii="Times New Roman" w:eastAsiaTheme="minorEastAsia" w:hAnsi="Times New Roman" w:cs="Times New Roman"/>
                <w:kern w:val="0"/>
                <w:sz w:val="22"/>
                <w:szCs w:val="22"/>
              </w:rPr>
              <w:t>≤3%</w:t>
            </w:r>
          </w:p>
        </w:tc>
      </w:tr>
      <w:tr w:rsidR="000E4552" w:rsidRPr="00CC126D" w:rsidTr="00BA1B34">
        <w:trPr>
          <w:jc w:val="center"/>
        </w:trPr>
        <w:tc>
          <w:tcPr>
            <w:tcW w:w="675" w:type="dxa"/>
            <w:vAlign w:val="center"/>
          </w:tcPr>
          <w:p w:rsidR="000E4552" w:rsidRPr="00CC126D" w:rsidRDefault="000E4552"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0E4552" w:rsidRPr="00CC126D" w:rsidRDefault="000E4552" w:rsidP="000E4552">
            <w:pPr>
              <w:jc w:val="center"/>
              <w:rPr>
                <w:rFonts w:ascii="Times New Roman" w:eastAsiaTheme="minorEastAsia" w:hAnsi="Times New Roman" w:cs="Times New Roman"/>
              </w:rPr>
            </w:pPr>
          </w:p>
        </w:tc>
        <w:tc>
          <w:tcPr>
            <w:tcW w:w="1353" w:type="dxa"/>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LBT-BX60</w:t>
            </w:r>
          </w:p>
        </w:tc>
        <w:tc>
          <w:tcPr>
            <w:tcW w:w="2102" w:type="dxa"/>
            <w:vAlign w:val="center"/>
          </w:tcPr>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0.00~20.00</w:t>
            </w:r>
          </w:p>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0.50~50.00</w:t>
            </w:r>
          </w:p>
        </w:tc>
        <w:tc>
          <w:tcPr>
            <w:tcW w:w="3257" w:type="dxa"/>
            <w:vAlign w:val="center"/>
          </w:tcPr>
          <w:p w:rsidR="000E4552" w:rsidRPr="00CC126D" w:rsidRDefault="000E4552" w:rsidP="00EA185F">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示值误差：不超过</w:t>
            </w:r>
            <w:r w:rsidRPr="00CC126D">
              <w:rPr>
                <w:rFonts w:ascii="Times New Roman" w:eastAsiaTheme="minorEastAsia" w:hAnsi="Times New Roman" w:cs="Times New Roman"/>
                <w:kern w:val="0"/>
                <w:sz w:val="22"/>
                <w:szCs w:val="22"/>
              </w:rPr>
              <w:t>±5%</w:t>
            </w:r>
          </w:p>
        </w:tc>
      </w:tr>
      <w:tr w:rsidR="000E4552" w:rsidRPr="00CC126D" w:rsidTr="00BA1B34">
        <w:trPr>
          <w:jc w:val="center"/>
        </w:trPr>
        <w:tc>
          <w:tcPr>
            <w:tcW w:w="675" w:type="dxa"/>
            <w:vAlign w:val="center"/>
          </w:tcPr>
          <w:p w:rsidR="000E4552" w:rsidRPr="00CC126D" w:rsidRDefault="000E4552"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Align w:val="center"/>
          </w:tcPr>
          <w:p w:rsidR="000E4552" w:rsidRPr="00CC126D" w:rsidRDefault="000E4552" w:rsidP="000E4552">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上海仪电科学仪器股份有限公司</w:t>
            </w:r>
          </w:p>
        </w:tc>
        <w:tc>
          <w:tcPr>
            <w:tcW w:w="1353" w:type="dxa"/>
            <w:vAlign w:val="center"/>
          </w:tcPr>
          <w:p w:rsidR="000E4552" w:rsidRPr="00CC126D" w:rsidRDefault="000E4552" w:rsidP="000E4552">
            <w:pPr>
              <w:widowControl/>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DGB-401</w:t>
            </w:r>
          </w:p>
        </w:tc>
        <w:tc>
          <w:tcPr>
            <w:tcW w:w="2102" w:type="dxa"/>
            <w:vAlign w:val="center"/>
          </w:tcPr>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0.000~1.000</w:t>
            </w:r>
            <w:r w:rsidRPr="00CC126D">
              <w:rPr>
                <w:rFonts w:ascii="Times New Roman" w:eastAsiaTheme="minorEastAsia" w:hAnsiTheme="minorEastAsia" w:cs="Times New Roman"/>
                <w:kern w:val="0"/>
                <w:sz w:val="22"/>
                <w:szCs w:val="22"/>
              </w:rPr>
              <w:t>，可扩展至</w:t>
            </w:r>
            <w:r w:rsidRPr="00CC126D">
              <w:rPr>
                <w:rFonts w:ascii="Times New Roman" w:eastAsiaTheme="minorEastAsia" w:hAnsi="Times New Roman" w:cs="Times New Roman"/>
                <w:kern w:val="0"/>
                <w:sz w:val="22"/>
                <w:szCs w:val="22"/>
              </w:rPr>
              <w:t>25.00</w:t>
            </w:r>
          </w:p>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0.000~30.00</w:t>
            </w:r>
            <w:r w:rsidRPr="00CC126D">
              <w:rPr>
                <w:rFonts w:ascii="Times New Roman" w:eastAsiaTheme="minorEastAsia" w:hAnsiTheme="minorEastAsia" w:cs="Times New Roman"/>
                <w:kern w:val="0"/>
                <w:sz w:val="22"/>
                <w:szCs w:val="22"/>
              </w:rPr>
              <w:t>，可扩展至</w:t>
            </w:r>
            <w:r w:rsidRPr="00CC126D">
              <w:rPr>
                <w:rFonts w:ascii="Times New Roman" w:eastAsiaTheme="minorEastAsia" w:hAnsi="Times New Roman" w:cs="Times New Roman"/>
                <w:kern w:val="0"/>
                <w:sz w:val="22"/>
                <w:szCs w:val="22"/>
              </w:rPr>
              <w:t>300</w:t>
            </w:r>
          </w:p>
        </w:tc>
        <w:tc>
          <w:tcPr>
            <w:tcW w:w="3257" w:type="dxa"/>
            <w:vAlign w:val="center"/>
          </w:tcPr>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0.000~1.000</w:t>
            </w:r>
            <w:r w:rsidRPr="00CC126D">
              <w:rPr>
                <w:rFonts w:ascii="Times New Roman" w:eastAsiaTheme="minorEastAsia" w:hAnsiTheme="minorEastAsia" w:cs="Times New Roman"/>
                <w:kern w:val="0"/>
                <w:sz w:val="22"/>
                <w:szCs w:val="22"/>
              </w:rPr>
              <w:t>，可扩展至</w:t>
            </w:r>
            <w:r w:rsidRPr="00CC126D">
              <w:rPr>
                <w:rFonts w:ascii="Times New Roman" w:eastAsiaTheme="minorEastAsia" w:hAnsi="Times New Roman" w:cs="Times New Roman"/>
                <w:kern w:val="0"/>
                <w:sz w:val="22"/>
                <w:szCs w:val="22"/>
              </w:rPr>
              <w:t>25.00</w:t>
            </w:r>
          </w:p>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0.000~30.00</w:t>
            </w:r>
            <w:r w:rsidRPr="00CC126D">
              <w:rPr>
                <w:rFonts w:ascii="Times New Roman" w:eastAsiaTheme="minorEastAsia" w:hAnsiTheme="minorEastAsia" w:cs="Times New Roman"/>
                <w:kern w:val="0"/>
                <w:sz w:val="22"/>
                <w:szCs w:val="22"/>
              </w:rPr>
              <w:t>，可扩展至</w:t>
            </w:r>
            <w:r w:rsidRPr="00CC126D">
              <w:rPr>
                <w:rFonts w:ascii="Times New Roman" w:eastAsiaTheme="minorEastAsia" w:hAnsi="Times New Roman" w:cs="Times New Roman"/>
                <w:kern w:val="0"/>
                <w:sz w:val="22"/>
                <w:szCs w:val="22"/>
              </w:rPr>
              <w:t>300</w:t>
            </w:r>
          </w:p>
        </w:tc>
      </w:tr>
      <w:tr w:rsidR="000E4552" w:rsidRPr="00CC126D" w:rsidTr="00BA1B34">
        <w:trPr>
          <w:jc w:val="center"/>
        </w:trPr>
        <w:tc>
          <w:tcPr>
            <w:tcW w:w="675" w:type="dxa"/>
            <w:vAlign w:val="center"/>
          </w:tcPr>
          <w:p w:rsidR="000E4552" w:rsidRPr="00CC126D" w:rsidRDefault="000E4552"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Merge w:val="restart"/>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深昌鸿科技有限公司</w:t>
            </w:r>
          </w:p>
        </w:tc>
        <w:tc>
          <w:tcPr>
            <w:tcW w:w="1353" w:type="dxa"/>
            <w:vAlign w:val="center"/>
          </w:tcPr>
          <w:p w:rsidR="000E4552" w:rsidRPr="00CC126D" w:rsidRDefault="000E4552" w:rsidP="000E4552">
            <w:pPr>
              <w:spacing w:line="440" w:lineRule="exact"/>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MULP-8C</w:t>
            </w:r>
          </w:p>
        </w:tc>
        <w:tc>
          <w:tcPr>
            <w:tcW w:w="2102" w:type="dxa"/>
            <w:vAlign w:val="center"/>
          </w:tcPr>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0.00~10</w:t>
            </w:r>
          </w:p>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0.05~100</w:t>
            </w:r>
          </w:p>
        </w:tc>
        <w:tc>
          <w:tcPr>
            <w:tcW w:w="3257" w:type="dxa"/>
            <w:vAlign w:val="center"/>
          </w:tcPr>
          <w:p w:rsidR="000E4552" w:rsidRPr="00CC126D" w:rsidRDefault="000E4552" w:rsidP="00EA185F">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示值误差：不超过</w:t>
            </w:r>
            <w:r w:rsidRPr="00CC126D">
              <w:rPr>
                <w:rFonts w:ascii="Times New Roman" w:eastAsiaTheme="minorEastAsia" w:hAnsi="Times New Roman" w:cs="Times New Roman"/>
                <w:kern w:val="0"/>
                <w:sz w:val="22"/>
                <w:szCs w:val="22"/>
              </w:rPr>
              <w:t>±5%</w:t>
            </w:r>
          </w:p>
        </w:tc>
      </w:tr>
      <w:tr w:rsidR="000E4552" w:rsidRPr="00CC126D" w:rsidTr="00BA1B34">
        <w:trPr>
          <w:jc w:val="center"/>
        </w:trPr>
        <w:tc>
          <w:tcPr>
            <w:tcW w:w="675" w:type="dxa"/>
            <w:vAlign w:val="center"/>
          </w:tcPr>
          <w:p w:rsidR="000E4552" w:rsidRPr="00CC126D" w:rsidRDefault="000E4552"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p>
        </w:tc>
        <w:tc>
          <w:tcPr>
            <w:tcW w:w="1353" w:type="dxa"/>
            <w:vAlign w:val="center"/>
          </w:tcPr>
          <w:p w:rsidR="000E4552" w:rsidRPr="00CC126D" w:rsidRDefault="000E4552" w:rsidP="000E4552">
            <w:pPr>
              <w:spacing w:line="440" w:lineRule="exact"/>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TP-2A</w:t>
            </w:r>
          </w:p>
        </w:tc>
        <w:tc>
          <w:tcPr>
            <w:tcW w:w="2102" w:type="dxa"/>
            <w:vAlign w:val="center"/>
          </w:tcPr>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0.02~10</w:t>
            </w:r>
          </w:p>
        </w:tc>
        <w:tc>
          <w:tcPr>
            <w:tcW w:w="3257" w:type="dxa"/>
            <w:vMerge w:val="restart"/>
            <w:vAlign w:val="center"/>
          </w:tcPr>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示值误差：不超过</w:t>
            </w:r>
            <w:r w:rsidRPr="00CC126D">
              <w:rPr>
                <w:rFonts w:ascii="Times New Roman" w:eastAsiaTheme="minorEastAsia" w:hAnsi="Times New Roman" w:cs="Times New Roman"/>
                <w:kern w:val="0"/>
                <w:sz w:val="22"/>
                <w:szCs w:val="22"/>
              </w:rPr>
              <w:t>±5%FS</w:t>
            </w:r>
            <w:r w:rsidRPr="00CC126D">
              <w:rPr>
                <w:rFonts w:ascii="Times New Roman" w:eastAsiaTheme="minorEastAsia" w:hAnsiTheme="minorEastAsia" w:cs="Times New Roman"/>
                <w:kern w:val="0"/>
                <w:sz w:val="22"/>
                <w:szCs w:val="22"/>
              </w:rPr>
              <w:t>；</w:t>
            </w:r>
          </w:p>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重复性：</w:t>
            </w:r>
            <w:r w:rsidRPr="00CC126D">
              <w:rPr>
                <w:rFonts w:ascii="Times New Roman" w:eastAsiaTheme="minorEastAsia" w:hAnsi="Times New Roman" w:cs="Times New Roman"/>
                <w:kern w:val="0"/>
                <w:sz w:val="22"/>
                <w:szCs w:val="22"/>
              </w:rPr>
              <w:t>≤3%</w:t>
            </w:r>
          </w:p>
        </w:tc>
      </w:tr>
      <w:tr w:rsidR="000E4552" w:rsidRPr="00CC126D" w:rsidTr="00BA1B34">
        <w:trPr>
          <w:jc w:val="center"/>
        </w:trPr>
        <w:tc>
          <w:tcPr>
            <w:tcW w:w="675" w:type="dxa"/>
            <w:vAlign w:val="center"/>
          </w:tcPr>
          <w:p w:rsidR="000E4552" w:rsidRPr="00CC126D" w:rsidRDefault="000E4552"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p>
        </w:tc>
        <w:tc>
          <w:tcPr>
            <w:tcW w:w="1353" w:type="dxa"/>
            <w:vAlign w:val="center"/>
          </w:tcPr>
          <w:p w:rsidR="000E4552" w:rsidRPr="00CC126D" w:rsidRDefault="000E4552" w:rsidP="000E4552">
            <w:pPr>
              <w:spacing w:line="440" w:lineRule="exact"/>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TN-2A</w:t>
            </w:r>
          </w:p>
        </w:tc>
        <w:tc>
          <w:tcPr>
            <w:tcW w:w="2102" w:type="dxa"/>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0.05~100</w:t>
            </w:r>
          </w:p>
        </w:tc>
        <w:tc>
          <w:tcPr>
            <w:tcW w:w="3257" w:type="dxa"/>
            <w:vMerge/>
            <w:vAlign w:val="center"/>
          </w:tcPr>
          <w:p w:rsidR="000E4552" w:rsidRPr="00CC126D" w:rsidRDefault="000E4552" w:rsidP="00BA1B34">
            <w:pPr>
              <w:spacing w:line="440" w:lineRule="exact"/>
              <w:jc w:val="center"/>
              <w:rPr>
                <w:rFonts w:ascii="Times New Roman" w:eastAsiaTheme="minorEastAsia" w:hAnsi="Times New Roman" w:cs="Times New Roman"/>
                <w:kern w:val="0"/>
                <w:sz w:val="22"/>
                <w:szCs w:val="22"/>
              </w:rPr>
            </w:pPr>
          </w:p>
        </w:tc>
      </w:tr>
      <w:tr w:rsidR="000E4552" w:rsidRPr="00CC126D" w:rsidTr="00BA1B34">
        <w:trPr>
          <w:jc w:val="center"/>
        </w:trPr>
        <w:tc>
          <w:tcPr>
            <w:tcW w:w="675" w:type="dxa"/>
            <w:vAlign w:val="center"/>
          </w:tcPr>
          <w:p w:rsidR="000E4552" w:rsidRPr="00CC126D" w:rsidRDefault="000E4552"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Merge w:val="restart"/>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青岛聚创环保集团</w:t>
            </w:r>
          </w:p>
        </w:tc>
        <w:tc>
          <w:tcPr>
            <w:tcW w:w="1353" w:type="dxa"/>
            <w:vAlign w:val="center"/>
          </w:tcPr>
          <w:p w:rsidR="000E4552" w:rsidRPr="00CC126D" w:rsidRDefault="000E4552" w:rsidP="000E4552">
            <w:pPr>
              <w:spacing w:line="440" w:lineRule="exact"/>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kern w:val="0"/>
                <w:sz w:val="22"/>
                <w:szCs w:val="22"/>
              </w:rPr>
              <w:t>N</w:t>
            </w:r>
            <w:r w:rsidRPr="00CC126D">
              <w:rPr>
                <w:rFonts w:ascii="Times New Roman" w:eastAsiaTheme="minorEastAsia" w:hAnsiTheme="minorEastAsia" w:cs="Times New Roman"/>
                <w:kern w:val="0"/>
                <w:sz w:val="22"/>
                <w:szCs w:val="22"/>
              </w:rPr>
              <w:t>系列</w:t>
            </w:r>
          </w:p>
        </w:tc>
        <w:tc>
          <w:tcPr>
            <w:tcW w:w="2102" w:type="dxa"/>
            <w:vAlign w:val="center"/>
          </w:tcPr>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0.01~2.0</w:t>
            </w:r>
          </w:p>
          <w:p w:rsidR="000E4552" w:rsidRPr="00CC126D" w:rsidRDefault="000E4552" w:rsidP="000E4552">
            <w:pPr>
              <w:widowControl/>
              <w:spacing w:line="440" w:lineRule="exact"/>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0.1~20.0</w:t>
            </w:r>
          </w:p>
        </w:tc>
        <w:tc>
          <w:tcPr>
            <w:tcW w:w="3257" w:type="dxa"/>
            <w:vAlign w:val="center"/>
          </w:tcPr>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示值误差：</w:t>
            </w:r>
          </w:p>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：不超过</w:t>
            </w:r>
            <w:r w:rsidRPr="00CC126D">
              <w:rPr>
                <w:rFonts w:ascii="Times New Roman" w:eastAsiaTheme="minorEastAsia" w:hAnsi="Times New Roman" w:cs="Times New Roman"/>
                <w:kern w:val="0"/>
                <w:sz w:val="22"/>
                <w:szCs w:val="22"/>
              </w:rPr>
              <w:t>±5%</w:t>
            </w:r>
          </w:p>
          <w:p w:rsidR="000E4552" w:rsidRPr="00CC126D" w:rsidRDefault="000E4552" w:rsidP="000E4552">
            <w:pPr>
              <w:widowControl/>
              <w:spacing w:line="440" w:lineRule="exact"/>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：不超过</w:t>
            </w:r>
            <w:r w:rsidRPr="00CC126D">
              <w:rPr>
                <w:rFonts w:ascii="Times New Roman" w:eastAsiaTheme="minorEastAsia" w:hAnsi="Times New Roman" w:cs="Times New Roman"/>
                <w:kern w:val="0"/>
                <w:sz w:val="22"/>
                <w:szCs w:val="22"/>
              </w:rPr>
              <w:t>±5%</w:t>
            </w:r>
          </w:p>
        </w:tc>
      </w:tr>
      <w:tr w:rsidR="000E4552" w:rsidRPr="00CC126D" w:rsidTr="00BA1B34">
        <w:trPr>
          <w:jc w:val="center"/>
        </w:trPr>
        <w:tc>
          <w:tcPr>
            <w:tcW w:w="675" w:type="dxa"/>
            <w:vAlign w:val="center"/>
          </w:tcPr>
          <w:p w:rsidR="000E4552" w:rsidRPr="00CC126D" w:rsidRDefault="000E4552"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p>
        </w:tc>
        <w:tc>
          <w:tcPr>
            <w:tcW w:w="1353" w:type="dxa"/>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M</w:t>
            </w:r>
            <w:r w:rsidRPr="00CC126D">
              <w:rPr>
                <w:rFonts w:ascii="Times New Roman" w:eastAsiaTheme="minorEastAsia" w:hAnsiTheme="minorEastAsia" w:cs="Times New Roman"/>
                <w:kern w:val="0"/>
                <w:sz w:val="22"/>
                <w:szCs w:val="22"/>
              </w:rPr>
              <w:t>系列</w:t>
            </w:r>
          </w:p>
        </w:tc>
        <w:tc>
          <w:tcPr>
            <w:tcW w:w="2102" w:type="dxa"/>
            <w:vAlign w:val="center"/>
          </w:tcPr>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0.01~2.0</w:t>
            </w:r>
          </w:p>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0.1~20.0</w:t>
            </w:r>
          </w:p>
        </w:tc>
        <w:tc>
          <w:tcPr>
            <w:tcW w:w="3257" w:type="dxa"/>
            <w:vAlign w:val="center"/>
          </w:tcPr>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示值误差：</w:t>
            </w:r>
          </w:p>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≤0.4 mg/L</w:t>
            </w:r>
            <w:r w:rsidRPr="00CC126D">
              <w:rPr>
                <w:rFonts w:ascii="Times New Roman" w:eastAsiaTheme="minorEastAsia" w:hAnsiTheme="minorEastAsia" w:cs="Times New Roman"/>
                <w:kern w:val="0"/>
                <w:sz w:val="22"/>
                <w:szCs w:val="22"/>
              </w:rPr>
              <w:t>，不超过</w:t>
            </w:r>
            <w:r w:rsidRPr="00CC126D">
              <w:rPr>
                <w:rFonts w:ascii="Times New Roman" w:eastAsiaTheme="minorEastAsia" w:hAnsi="Times New Roman" w:cs="Times New Roman"/>
                <w:kern w:val="0"/>
                <w:sz w:val="22"/>
                <w:szCs w:val="22"/>
              </w:rPr>
              <w:t>±0.02 mg/L</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0.4 mg/L</w:t>
            </w:r>
            <w:r w:rsidRPr="00CC126D">
              <w:rPr>
                <w:rFonts w:ascii="Times New Roman" w:eastAsiaTheme="minorEastAsia" w:hAnsiTheme="minorEastAsia" w:cs="Times New Roman"/>
                <w:kern w:val="0"/>
                <w:sz w:val="22"/>
                <w:szCs w:val="22"/>
              </w:rPr>
              <w:t>，不超过</w:t>
            </w:r>
            <w:r w:rsidRPr="00CC126D">
              <w:rPr>
                <w:rFonts w:ascii="Times New Roman" w:eastAsiaTheme="minorEastAsia" w:hAnsi="Times New Roman" w:cs="Times New Roman"/>
                <w:kern w:val="0"/>
                <w:sz w:val="22"/>
                <w:szCs w:val="22"/>
              </w:rPr>
              <w:t>±5%</w:t>
            </w:r>
            <w:r w:rsidRPr="00CC126D">
              <w:rPr>
                <w:rFonts w:ascii="Times New Roman" w:eastAsiaTheme="minorEastAsia" w:hAnsiTheme="minorEastAsia" w:cs="Times New Roman"/>
                <w:kern w:val="0"/>
                <w:sz w:val="22"/>
                <w:szCs w:val="22"/>
              </w:rPr>
              <w:t>；</w:t>
            </w:r>
          </w:p>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≤4.0 mg/L</w:t>
            </w:r>
            <w:r w:rsidRPr="00CC126D">
              <w:rPr>
                <w:rFonts w:ascii="Times New Roman" w:eastAsiaTheme="minorEastAsia" w:hAnsiTheme="minorEastAsia" w:cs="Times New Roman"/>
                <w:kern w:val="0"/>
                <w:sz w:val="22"/>
                <w:szCs w:val="22"/>
              </w:rPr>
              <w:t>，不超过</w:t>
            </w:r>
            <w:r w:rsidRPr="00CC126D">
              <w:rPr>
                <w:rFonts w:ascii="Times New Roman" w:eastAsiaTheme="minorEastAsia" w:hAnsi="Times New Roman" w:cs="Times New Roman"/>
                <w:kern w:val="0"/>
                <w:sz w:val="22"/>
                <w:szCs w:val="22"/>
              </w:rPr>
              <w:t>±0.2 mg/L</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4.0 mg/L</w:t>
            </w:r>
            <w:r w:rsidRPr="00CC126D">
              <w:rPr>
                <w:rFonts w:ascii="Times New Roman" w:eastAsiaTheme="minorEastAsia" w:hAnsiTheme="minorEastAsia" w:cs="Times New Roman"/>
                <w:kern w:val="0"/>
                <w:sz w:val="22"/>
                <w:szCs w:val="22"/>
              </w:rPr>
              <w:t>，不超过</w:t>
            </w:r>
            <w:r w:rsidRPr="00CC126D">
              <w:rPr>
                <w:rFonts w:ascii="Times New Roman" w:eastAsiaTheme="minorEastAsia" w:hAnsi="Times New Roman" w:cs="Times New Roman"/>
                <w:kern w:val="0"/>
                <w:sz w:val="22"/>
                <w:szCs w:val="22"/>
              </w:rPr>
              <w:t>±5%</w:t>
            </w:r>
            <w:r w:rsidRPr="00CC126D">
              <w:rPr>
                <w:rFonts w:ascii="Times New Roman" w:eastAsiaTheme="minorEastAsia" w:hAnsiTheme="minorEastAsia" w:cs="Times New Roman"/>
                <w:kern w:val="0"/>
                <w:sz w:val="22"/>
                <w:szCs w:val="22"/>
              </w:rPr>
              <w:t>；</w:t>
            </w:r>
          </w:p>
        </w:tc>
      </w:tr>
      <w:tr w:rsidR="006117AC" w:rsidRPr="00CC126D" w:rsidTr="00BA1B34">
        <w:trPr>
          <w:jc w:val="center"/>
        </w:trPr>
        <w:tc>
          <w:tcPr>
            <w:tcW w:w="675" w:type="dxa"/>
            <w:vAlign w:val="center"/>
          </w:tcPr>
          <w:p w:rsidR="006117AC" w:rsidRPr="00CC126D" w:rsidRDefault="006117AC"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Merge w:val="restart"/>
            <w:vAlign w:val="center"/>
          </w:tcPr>
          <w:p w:rsidR="006117AC" w:rsidRPr="00CC126D" w:rsidRDefault="006117AC"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杭州谱育科技发展有限公司</w:t>
            </w:r>
          </w:p>
        </w:tc>
        <w:tc>
          <w:tcPr>
            <w:tcW w:w="1353" w:type="dxa"/>
            <w:vAlign w:val="center"/>
          </w:tcPr>
          <w:p w:rsidR="006117AC" w:rsidRPr="00CC126D" w:rsidRDefault="006117AC"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SUPEC 5000 TPTN</w:t>
            </w:r>
          </w:p>
        </w:tc>
        <w:tc>
          <w:tcPr>
            <w:tcW w:w="2102" w:type="dxa"/>
            <w:vAlign w:val="center"/>
          </w:tcPr>
          <w:p w:rsidR="006117AC" w:rsidRPr="00CC126D" w:rsidRDefault="006117AC"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0~1.2</w:t>
            </w:r>
          </w:p>
          <w:p w:rsidR="006117AC" w:rsidRPr="00CC126D" w:rsidRDefault="006117AC" w:rsidP="000E4552">
            <w:pPr>
              <w:widowControl/>
              <w:spacing w:line="440" w:lineRule="exact"/>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0~7</w:t>
            </w:r>
          </w:p>
        </w:tc>
        <w:tc>
          <w:tcPr>
            <w:tcW w:w="3257" w:type="dxa"/>
            <w:vAlign w:val="center"/>
          </w:tcPr>
          <w:p w:rsidR="006117AC" w:rsidRPr="00CC126D" w:rsidRDefault="006117AC" w:rsidP="00936764">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示值误差：不超过</w:t>
            </w:r>
            <w:r w:rsidRPr="00CC126D">
              <w:rPr>
                <w:rFonts w:ascii="Times New Roman" w:eastAsiaTheme="minorEastAsia" w:hAnsi="Times New Roman" w:cs="Times New Roman"/>
                <w:kern w:val="0"/>
                <w:sz w:val="22"/>
                <w:szCs w:val="22"/>
              </w:rPr>
              <w:t>±6%</w:t>
            </w:r>
          </w:p>
          <w:p w:rsidR="006117AC" w:rsidRPr="00CC126D" w:rsidRDefault="006117AC" w:rsidP="006117AC">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重复性：</w:t>
            </w:r>
            <w:r w:rsidRPr="00CC126D">
              <w:rPr>
                <w:rFonts w:ascii="Times New Roman" w:eastAsiaTheme="minorEastAsia" w:hAnsi="Times New Roman" w:cs="Times New Roman"/>
                <w:kern w:val="0"/>
                <w:sz w:val="22"/>
                <w:szCs w:val="22"/>
              </w:rPr>
              <w:t>≤3%</w:t>
            </w:r>
          </w:p>
        </w:tc>
      </w:tr>
      <w:tr w:rsidR="006117AC" w:rsidRPr="00CC126D" w:rsidTr="00BA1B34">
        <w:trPr>
          <w:jc w:val="center"/>
        </w:trPr>
        <w:tc>
          <w:tcPr>
            <w:tcW w:w="675" w:type="dxa"/>
            <w:vAlign w:val="center"/>
          </w:tcPr>
          <w:p w:rsidR="006117AC" w:rsidRPr="00CC126D" w:rsidRDefault="006117AC"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6117AC" w:rsidRPr="00CC126D" w:rsidRDefault="006117AC" w:rsidP="000E4552">
            <w:pPr>
              <w:spacing w:line="440" w:lineRule="exact"/>
              <w:rPr>
                <w:rFonts w:ascii="Times New Roman" w:eastAsiaTheme="minorEastAsia" w:hAnsi="Times New Roman" w:cs="Times New Roman"/>
                <w:kern w:val="0"/>
                <w:sz w:val="22"/>
                <w:szCs w:val="22"/>
              </w:rPr>
            </w:pPr>
          </w:p>
        </w:tc>
        <w:tc>
          <w:tcPr>
            <w:tcW w:w="1353" w:type="dxa"/>
            <w:vAlign w:val="center"/>
          </w:tcPr>
          <w:p w:rsidR="006117AC" w:rsidRPr="00CC126D" w:rsidRDefault="006117AC"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SUPEC 5100 (TP)</w:t>
            </w:r>
          </w:p>
        </w:tc>
        <w:tc>
          <w:tcPr>
            <w:tcW w:w="2102" w:type="dxa"/>
            <w:vAlign w:val="center"/>
          </w:tcPr>
          <w:p w:rsidR="006117AC" w:rsidRPr="00CC126D" w:rsidRDefault="006117AC"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0~50</w:t>
            </w:r>
          </w:p>
        </w:tc>
        <w:tc>
          <w:tcPr>
            <w:tcW w:w="3257" w:type="dxa"/>
            <w:vAlign w:val="center"/>
          </w:tcPr>
          <w:p w:rsidR="006117AC" w:rsidRPr="00CC126D" w:rsidRDefault="006117AC" w:rsidP="00936764">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重复性：</w:t>
            </w:r>
            <w:r w:rsidRPr="00CC126D">
              <w:rPr>
                <w:rFonts w:ascii="Times New Roman" w:eastAsiaTheme="minorEastAsia" w:hAnsi="Times New Roman" w:cs="Times New Roman"/>
                <w:kern w:val="0"/>
                <w:sz w:val="22"/>
                <w:szCs w:val="22"/>
              </w:rPr>
              <w:t>≤3%</w:t>
            </w:r>
          </w:p>
        </w:tc>
      </w:tr>
      <w:tr w:rsidR="006117AC" w:rsidRPr="00CC126D" w:rsidTr="00BA1B34">
        <w:trPr>
          <w:jc w:val="center"/>
        </w:trPr>
        <w:tc>
          <w:tcPr>
            <w:tcW w:w="675" w:type="dxa"/>
            <w:vAlign w:val="center"/>
          </w:tcPr>
          <w:p w:rsidR="006117AC" w:rsidRPr="00CC126D" w:rsidRDefault="006117AC"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Merge/>
            <w:vAlign w:val="center"/>
          </w:tcPr>
          <w:p w:rsidR="006117AC" w:rsidRPr="00CC126D" w:rsidRDefault="006117AC" w:rsidP="000E4552">
            <w:pPr>
              <w:spacing w:line="440" w:lineRule="exact"/>
              <w:rPr>
                <w:rFonts w:ascii="Times New Roman" w:eastAsiaTheme="minorEastAsia" w:hAnsi="Times New Roman" w:cs="Times New Roman"/>
                <w:kern w:val="0"/>
                <w:sz w:val="22"/>
                <w:szCs w:val="22"/>
              </w:rPr>
            </w:pPr>
          </w:p>
        </w:tc>
        <w:tc>
          <w:tcPr>
            <w:tcW w:w="1353" w:type="dxa"/>
            <w:vAlign w:val="center"/>
          </w:tcPr>
          <w:p w:rsidR="006117AC" w:rsidRPr="00CC126D" w:rsidRDefault="006117AC"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SUPEC 5100 (TN)</w:t>
            </w:r>
          </w:p>
        </w:tc>
        <w:tc>
          <w:tcPr>
            <w:tcW w:w="2102" w:type="dxa"/>
            <w:vAlign w:val="center"/>
          </w:tcPr>
          <w:p w:rsidR="006117AC" w:rsidRPr="00CC126D" w:rsidRDefault="006117AC"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0~200</w:t>
            </w:r>
          </w:p>
        </w:tc>
        <w:tc>
          <w:tcPr>
            <w:tcW w:w="3257" w:type="dxa"/>
            <w:vAlign w:val="center"/>
          </w:tcPr>
          <w:p w:rsidR="006117AC" w:rsidRPr="00CC126D" w:rsidRDefault="006117AC" w:rsidP="00936764">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重复性：</w:t>
            </w:r>
            <w:r w:rsidRPr="00CC126D">
              <w:rPr>
                <w:rFonts w:ascii="Times New Roman" w:eastAsiaTheme="minorEastAsia" w:hAnsi="Times New Roman" w:cs="Times New Roman"/>
                <w:kern w:val="0"/>
                <w:sz w:val="22"/>
                <w:szCs w:val="22"/>
              </w:rPr>
              <w:t>≤3%</w:t>
            </w:r>
          </w:p>
        </w:tc>
      </w:tr>
      <w:tr w:rsidR="000E4552" w:rsidRPr="00CC126D" w:rsidTr="00BA1B34">
        <w:trPr>
          <w:jc w:val="center"/>
        </w:trPr>
        <w:tc>
          <w:tcPr>
            <w:tcW w:w="675" w:type="dxa"/>
            <w:vAlign w:val="center"/>
          </w:tcPr>
          <w:p w:rsidR="000E4552" w:rsidRPr="00CC126D" w:rsidRDefault="000E4552"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Align w:val="center"/>
          </w:tcPr>
          <w:p w:rsidR="000E4552" w:rsidRPr="00CC126D" w:rsidRDefault="000E4552" w:rsidP="000E4552">
            <w:pPr>
              <w:widowControl/>
              <w:spacing w:line="440" w:lineRule="exact"/>
              <w:jc w:val="center"/>
              <w:rPr>
                <w:rFonts w:ascii="Times New Roman" w:eastAsiaTheme="minorEastAsia" w:hAnsi="Times New Roman" w:cs="Times New Roman"/>
                <w:color w:val="000000"/>
                <w:kern w:val="0"/>
                <w:sz w:val="22"/>
                <w:szCs w:val="22"/>
              </w:rPr>
            </w:pPr>
            <w:r w:rsidRPr="00CC126D">
              <w:rPr>
                <w:rFonts w:ascii="Times New Roman" w:eastAsiaTheme="minorEastAsia" w:hAnsiTheme="minorEastAsia" w:cs="Times New Roman"/>
                <w:color w:val="000000"/>
                <w:kern w:val="0"/>
                <w:sz w:val="22"/>
                <w:szCs w:val="22"/>
              </w:rPr>
              <w:t>上海昂林科学仪器股份有限公司</w:t>
            </w:r>
          </w:p>
        </w:tc>
        <w:tc>
          <w:tcPr>
            <w:tcW w:w="1353" w:type="dxa"/>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OL5012</w:t>
            </w:r>
          </w:p>
        </w:tc>
        <w:tc>
          <w:tcPr>
            <w:tcW w:w="2102" w:type="dxa"/>
            <w:vAlign w:val="center"/>
          </w:tcPr>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0.01~0.6</w:t>
            </w:r>
          </w:p>
          <w:p w:rsidR="000E4552" w:rsidRPr="00CC126D" w:rsidRDefault="000E4552"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TN</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0.05~4</w:t>
            </w:r>
          </w:p>
        </w:tc>
        <w:tc>
          <w:tcPr>
            <w:tcW w:w="3257" w:type="dxa"/>
            <w:vAlign w:val="center"/>
          </w:tcPr>
          <w:p w:rsidR="00584A22" w:rsidRPr="00CC126D" w:rsidRDefault="00584A22" w:rsidP="00584A2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示值误差：不超过</w:t>
            </w:r>
            <w:r w:rsidRPr="00CC126D">
              <w:rPr>
                <w:rFonts w:ascii="Times New Roman" w:eastAsiaTheme="minorEastAsia" w:hAnsi="Times New Roman" w:cs="Times New Roman"/>
                <w:kern w:val="0"/>
                <w:sz w:val="22"/>
                <w:szCs w:val="22"/>
              </w:rPr>
              <w:t>±2%</w:t>
            </w:r>
          </w:p>
          <w:p w:rsidR="000E4552" w:rsidRPr="00CC126D" w:rsidRDefault="00584A22" w:rsidP="00584A2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重复性：</w:t>
            </w:r>
            <w:r w:rsidRPr="00CC126D">
              <w:rPr>
                <w:rFonts w:ascii="Times New Roman" w:eastAsiaTheme="minorEastAsia" w:hAnsi="Times New Roman" w:cs="Times New Roman"/>
                <w:kern w:val="0"/>
                <w:sz w:val="22"/>
                <w:szCs w:val="22"/>
              </w:rPr>
              <w:t>≤3%</w:t>
            </w:r>
          </w:p>
        </w:tc>
      </w:tr>
      <w:tr w:rsidR="000E4552" w:rsidRPr="00CC126D" w:rsidTr="00BA1B34">
        <w:trPr>
          <w:jc w:val="center"/>
        </w:trPr>
        <w:tc>
          <w:tcPr>
            <w:tcW w:w="675" w:type="dxa"/>
            <w:vAlign w:val="center"/>
          </w:tcPr>
          <w:p w:rsidR="000E4552" w:rsidRPr="00CC126D" w:rsidRDefault="000E4552" w:rsidP="007B409F">
            <w:pPr>
              <w:pStyle w:val="ae"/>
              <w:numPr>
                <w:ilvl w:val="0"/>
                <w:numId w:val="16"/>
              </w:numPr>
              <w:ind w:left="0" w:firstLineChars="120" w:firstLine="264"/>
              <w:jc w:val="right"/>
              <w:rPr>
                <w:rFonts w:ascii="Times New Roman" w:eastAsiaTheme="minorEastAsia" w:hAnsi="Times New Roman" w:cs="Times New Roman"/>
                <w:kern w:val="0"/>
                <w:sz w:val="22"/>
                <w:szCs w:val="22"/>
              </w:rPr>
            </w:pPr>
          </w:p>
        </w:tc>
        <w:tc>
          <w:tcPr>
            <w:tcW w:w="1468" w:type="dxa"/>
            <w:vAlign w:val="center"/>
          </w:tcPr>
          <w:p w:rsidR="000E4552" w:rsidRPr="00CC126D" w:rsidRDefault="000E4552" w:rsidP="000E4552">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上海北裕分析仪器股份有限公司</w:t>
            </w:r>
          </w:p>
        </w:tc>
        <w:tc>
          <w:tcPr>
            <w:tcW w:w="1353" w:type="dxa"/>
            <w:vAlign w:val="center"/>
          </w:tcPr>
          <w:p w:rsidR="000E4552" w:rsidRPr="00CC126D" w:rsidRDefault="000E4552" w:rsidP="000E4552">
            <w:pPr>
              <w:widowControl/>
              <w:spacing w:line="440" w:lineRule="exact"/>
              <w:jc w:val="center"/>
              <w:rPr>
                <w:rFonts w:ascii="Times New Roman" w:eastAsiaTheme="minorEastAsia" w:hAnsi="Times New Roman" w:cs="Times New Roman"/>
                <w:color w:val="000000"/>
                <w:kern w:val="0"/>
                <w:sz w:val="22"/>
                <w:szCs w:val="22"/>
              </w:rPr>
            </w:pPr>
            <w:r w:rsidRPr="00CC126D">
              <w:rPr>
                <w:rFonts w:ascii="Times New Roman" w:eastAsiaTheme="minorEastAsia" w:hAnsi="Times New Roman" w:cs="Times New Roman"/>
                <w:color w:val="000000"/>
                <w:kern w:val="0"/>
                <w:sz w:val="22"/>
                <w:szCs w:val="22"/>
              </w:rPr>
              <w:t>CTP700</w:t>
            </w:r>
          </w:p>
        </w:tc>
        <w:tc>
          <w:tcPr>
            <w:tcW w:w="2102" w:type="dxa"/>
            <w:vAlign w:val="center"/>
          </w:tcPr>
          <w:p w:rsidR="000E4552" w:rsidRPr="00CC126D" w:rsidRDefault="000E455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TP</w:t>
            </w: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0~1.2</w:t>
            </w:r>
          </w:p>
        </w:tc>
        <w:tc>
          <w:tcPr>
            <w:tcW w:w="3257" w:type="dxa"/>
            <w:vAlign w:val="center"/>
          </w:tcPr>
          <w:p w:rsidR="000E4552" w:rsidRPr="00CC126D" w:rsidRDefault="00584A22" w:rsidP="000E4552">
            <w:pPr>
              <w:widowControl/>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重复性：</w:t>
            </w:r>
            <w:r w:rsidRPr="00CC126D">
              <w:rPr>
                <w:rFonts w:ascii="Times New Roman" w:eastAsiaTheme="minorEastAsia" w:hAnsi="Times New Roman" w:cs="Times New Roman"/>
                <w:kern w:val="0"/>
                <w:sz w:val="22"/>
                <w:szCs w:val="22"/>
              </w:rPr>
              <w:t>≤3%</w:t>
            </w:r>
          </w:p>
        </w:tc>
      </w:tr>
    </w:tbl>
    <w:p w:rsidR="007B409F" w:rsidRPr="00CC126D" w:rsidRDefault="000A4B13" w:rsidP="004F46FA">
      <w:pPr>
        <w:spacing w:line="360" w:lineRule="auto"/>
        <w:ind w:firstLineChars="200" w:firstLine="480"/>
        <w:rPr>
          <w:rFonts w:ascii="Times New Roman" w:eastAsiaTheme="minorEastAsia" w:hAnsi="Times New Roman" w:cs="Times New Roman"/>
          <w:sz w:val="24"/>
        </w:rPr>
      </w:pPr>
      <w:r w:rsidRPr="00CC126D">
        <w:rPr>
          <w:rFonts w:ascii="Times New Roman" w:eastAsiaTheme="minorEastAsia" w:hAnsiTheme="minorEastAsia" w:cs="Times New Roman"/>
          <w:sz w:val="24"/>
        </w:rPr>
        <w:t>根据不同型号总磷总氮分析仪的调研情况，结合仪器试验数据，确定仪器的校准项目、校准方法和计量特性要求。</w:t>
      </w:r>
    </w:p>
    <w:p w:rsidR="000A4B13" w:rsidRPr="00CC126D" w:rsidRDefault="000A4B13" w:rsidP="000A4B13">
      <w:pPr>
        <w:spacing w:line="360" w:lineRule="auto"/>
        <w:rPr>
          <w:rFonts w:ascii="Times New Roman" w:eastAsiaTheme="minorEastAsia" w:hAnsi="Times New Roman" w:cs="Times New Roman"/>
          <w:sz w:val="24"/>
        </w:rPr>
      </w:pPr>
      <w:r w:rsidRPr="00CC126D">
        <w:rPr>
          <w:rFonts w:ascii="Times New Roman" w:eastAsiaTheme="minorEastAsia" w:hAnsi="Times New Roman" w:cs="Times New Roman"/>
          <w:sz w:val="24"/>
        </w:rPr>
        <w:t>1</w:t>
      </w:r>
      <w:r w:rsidRPr="00CC126D">
        <w:rPr>
          <w:rFonts w:ascii="Times New Roman" w:eastAsiaTheme="minorEastAsia" w:hAnsiTheme="minorEastAsia" w:cs="Times New Roman"/>
          <w:sz w:val="24"/>
        </w:rPr>
        <w:t>、示值误差</w:t>
      </w:r>
    </w:p>
    <w:p w:rsidR="00E75645" w:rsidRPr="00CC126D" w:rsidRDefault="00A64117" w:rsidP="004F46FA">
      <w:pPr>
        <w:spacing w:line="360" w:lineRule="auto"/>
        <w:ind w:firstLineChars="200" w:firstLine="480"/>
        <w:rPr>
          <w:rFonts w:ascii="Times New Roman" w:eastAsiaTheme="minorEastAsia" w:hAnsi="Times New Roman" w:cs="Times New Roman"/>
          <w:sz w:val="24"/>
        </w:rPr>
      </w:pPr>
      <w:r w:rsidRPr="00CC126D">
        <w:rPr>
          <w:rFonts w:ascii="Times New Roman" w:eastAsiaTheme="minorEastAsia" w:hAnsiTheme="minorEastAsia" w:cs="Times New Roman"/>
          <w:sz w:val="24"/>
        </w:rPr>
        <w:t>由于</w:t>
      </w:r>
      <w:r w:rsidR="002918C6" w:rsidRPr="00CC126D">
        <w:rPr>
          <w:rFonts w:ascii="Times New Roman" w:eastAsiaTheme="minorEastAsia" w:hAnsiTheme="minorEastAsia" w:cs="Times New Roman"/>
          <w:sz w:val="24"/>
        </w:rPr>
        <w:t>国家对不同水体如地表水、地下水、生活污水和工业废水中的</w:t>
      </w:r>
      <w:r w:rsidR="007B409F" w:rsidRPr="00CC126D">
        <w:rPr>
          <w:rFonts w:ascii="Times New Roman" w:eastAsiaTheme="minorEastAsia" w:hAnsiTheme="minorEastAsia" w:cs="Times New Roman"/>
          <w:sz w:val="24"/>
        </w:rPr>
        <w:t>总磷总氮</w:t>
      </w:r>
      <w:r w:rsidR="002918C6" w:rsidRPr="00CC126D">
        <w:rPr>
          <w:rFonts w:ascii="Times New Roman" w:eastAsiaTheme="minorEastAsia" w:hAnsiTheme="minorEastAsia" w:cs="Times New Roman"/>
          <w:sz w:val="24"/>
        </w:rPr>
        <w:t>限值要求不同，因此针对不同水质</w:t>
      </w:r>
      <w:r w:rsidR="00560599" w:rsidRPr="00CC126D">
        <w:rPr>
          <w:rFonts w:ascii="Times New Roman" w:eastAsiaTheme="minorEastAsia" w:hAnsiTheme="minorEastAsia" w:cs="Times New Roman"/>
          <w:sz w:val="24"/>
        </w:rPr>
        <w:t>检测</w:t>
      </w:r>
      <w:r w:rsidR="002918C6" w:rsidRPr="00CC126D">
        <w:rPr>
          <w:rFonts w:ascii="Times New Roman" w:eastAsiaTheme="minorEastAsia" w:hAnsiTheme="minorEastAsia" w:cs="Times New Roman"/>
          <w:sz w:val="24"/>
        </w:rPr>
        <w:t>的</w:t>
      </w:r>
      <w:r w:rsidR="007B409F" w:rsidRPr="00CC126D">
        <w:rPr>
          <w:rFonts w:ascii="Times New Roman" w:eastAsiaTheme="minorEastAsia" w:hAnsiTheme="minorEastAsia" w:cs="Times New Roman"/>
          <w:sz w:val="24"/>
        </w:rPr>
        <w:t>总磷总氮分析仪</w:t>
      </w:r>
      <w:r w:rsidR="00560599" w:rsidRPr="00CC126D">
        <w:rPr>
          <w:rFonts w:ascii="Times New Roman" w:eastAsiaTheme="minorEastAsia" w:hAnsiTheme="minorEastAsia" w:cs="Times New Roman"/>
          <w:sz w:val="24"/>
        </w:rPr>
        <w:t>的测量范围也有着较大差异。根据表</w:t>
      </w:r>
      <w:r w:rsidR="00560599" w:rsidRPr="00CC126D">
        <w:rPr>
          <w:rFonts w:ascii="Times New Roman" w:eastAsiaTheme="minorEastAsia" w:hAnsi="Times New Roman" w:cs="Times New Roman"/>
          <w:sz w:val="24"/>
        </w:rPr>
        <w:t>2</w:t>
      </w:r>
      <w:r w:rsidR="00560599" w:rsidRPr="00CC126D">
        <w:rPr>
          <w:rFonts w:ascii="Times New Roman" w:eastAsiaTheme="minorEastAsia" w:hAnsiTheme="minorEastAsia" w:cs="Times New Roman"/>
          <w:sz w:val="24"/>
        </w:rPr>
        <w:t>中列出的各</w:t>
      </w:r>
      <w:r w:rsidR="002918C6" w:rsidRPr="00CC126D">
        <w:rPr>
          <w:rFonts w:ascii="Times New Roman" w:eastAsiaTheme="minorEastAsia" w:hAnsiTheme="minorEastAsia" w:cs="Times New Roman"/>
          <w:sz w:val="24"/>
        </w:rPr>
        <w:t>型号</w:t>
      </w:r>
      <w:r w:rsidR="007B409F" w:rsidRPr="00CC126D">
        <w:rPr>
          <w:rFonts w:ascii="Times New Roman" w:eastAsiaTheme="minorEastAsia" w:hAnsiTheme="minorEastAsia" w:cs="Times New Roman"/>
          <w:sz w:val="24"/>
        </w:rPr>
        <w:t>总磷总氮分析仪</w:t>
      </w:r>
      <w:r w:rsidR="002918C6" w:rsidRPr="00CC126D">
        <w:rPr>
          <w:rFonts w:ascii="Times New Roman" w:eastAsiaTheme="minorEastAsia" w:hAnsiTheme="minorEastAsia" w:cs="Times New Roman"/>
          <w:sz w:val="24"/>
        </w:rPr>
        <w:t>的测量范围</w:t>
      </w:r>
      <w:r w:rsidR="00544ED1" w:rsidRPr="00CC126D">
        <w:rPr>
          <w:rFonts w:ascii="Times New Roman" w:eastAsiaTheme="minorEastAsia" w:hAnsiTheme="minorEastAsia" w:cs="Times New Roman"/>
          <w:sz w:val="24"/>
        </w:rPr>
        <w:t>可以看出，不同</w:t>
      </w:r>
      <w:r w:rsidR="00560599" w:rsidRPr="00CC126D">
        <w:rPr>
          <w:rFonts w:ascii="Times New Roman" w:eastAsiaTheme="minorEastAsia" w:hAnsiTheme="minorEastAsia" w:cs="Times New Roman"/>
          <w:sz w:val="24"/>
        </w:rPr>
        <w:t>型号</w:t>
      </w:r>
      <w:r w:rsidR="00544ED1" w:rsidRPr="00CC126D">
        <w:rPr>
          <w:rFonts w:ascii="Times New Roman" w:eastAsiaTheme="minorEastAsia" w:hAnsiTheme="minorEastAsia" w:cs="Times New Roman"/>
          <w:sz w:val="24"/>
        </w:rPr>
        <w:t>仪器的测量范围</w:t>
      </w:r>
      <w:r w:rsidR="00560599" w:rsidRPr="00CC126D">
        <w:rPr>
          <w:rFonts w:ascii="Times New Roman" w:eastAsiaTheme="minorEastAsia" w:hAnsiTheme="minorEastAsia" w:cs="Times New Roman"/>
          <w:sz w:val="24"/>
        </w:rPr>
        <w:t>相差较大，</w:t>
      </w:r>
      <w:r w:rsidR="007B409F" w:rsidRPr="00CC126D">
        <w:rPr>
          <w:rFonts w:ascii="Times New Roman" w:eastAsiaTheme="minorEastAsia" w:hAnsiTheme="minorEastAsia" w:cs="Times New Roman"/>
          <w:sz w:val="24"/>
        </w:rPr>
        <w:t>总磷</w:t>
      </w:r>
      <w:r w:rsidR="00560599" w:rsidRPr="00CC126D">
        <w:rPr>
          <w:rFonts w:ascii="Times New Roman" w:eastAsiaTheme="minorEastAsia" w:hAnsiTheme="minorEastAsia" w:cs="Times New Roman"/>
          <w:sz w:val="24"/>
        </w:rPr>
        <w:t>测量上限可从</w:t>
      </w:r>
      <w:r w:rsidR="007B409F" w:rsidRPr="00CC126D">
        <w:rPr>
          <w:rFonts w:ascii="Times New Roman" w:eastAsiaTheme="minorEastAsia" w:hAnsi="Times New Roman" w:cs="Times New Roman"/>
          <w:sz w:val="24"/>
        </w:rPr>
        <w:t>0.5</w:t>
      </w:r>
      <w:r w:rsidR="00544ED1" w:rsidRPr="00CC126D">
        <w:rPr>
          <w:rFonts w:ascii="Times New Roman" w:eastAsiaTheme="minorEastAsia" w:hAnsi="Times New Roman" w:cs="Times New Roman"/>
          <w:sz w:val="24"/>
        </w:rPr>
        <w:t xml:space="preserve"> mg/L</w:t>
      </w:r>
      <w:r w:rsidR="00544ED1" w:rsidRPr="00CC126D">
        <w:rPr>
          <w:rFonts w:ascii="Times New Roman" w:eastAsiaTheme="minorEastAsia" w:hAnsiTheme="minorEastAsia" w:cs="Times New Roman"/>
          <w:sz w:val="24"/>
        </w:rPr>
        <w:t>以下到</w:t>
      </w:r>
      <w:r w:rsidR="00544ED1" w:rsidRPr="00CC126D">
        <w:rPr>
          <w:rFonts w:ascii="Times New Roman" w:eastAsiaTheme="minorEastAsia" w:hAnsi="Times New Roman" w:cs="Times New Roman"/>
          <w:sz w:val="24"/>
        </w:rPr>
        <w:t>100 mg/L</w:t>
      </w:r>
      <w:r w:rsidR="007B409F" w:rsidRPr="00CC126D">
        <w:rPr>
          <w:rFonts w:ascii="Times New Roman" w:eastAsiaTheme="minorEastAsia" w:hAnsiTheme="minorEastAsia" w:cs="Times New Roman"/>
          <w:sz w:val="24"/>
        </w:rPr>
        <w:t>，总氮测量上限可从</w:t>
      </w:r>
      <w:r w:rsidR="007B409F" w:rsidRPr="00CC126D">
        <w:rPr>
          <w:rFonts w:ascii="Times New Roman" w:eastAsiaTheme="minorEastAsia" w:hAnsi="Times New Roman" w:cs="Times New Roman"/>
          <w:sz w:val="24"/>
        </w:rPr>
        <w:t>5mg/L</w:t>
      </w:r>
      <w:r w:rsidR="007B409F" w:rsidRPr="00CC126D">
        <w:rPr>
          <w:rFonts w:ascii="Times New Roman" w:eastAsiaTheme="minorEastAsia" w:hAnsiTheme="minorEastAsia" w:cs="Times New Roman"/>
          <w:sz w:val="24"/>
        </w:rPr>
        <w:t>以下到</w:t>
      </w:r>
      <w:r w:rsidR="007B409F" w:rsidRPr="00CC126D">
        <w:rPr>
          <w:rFonts w:ascii="Times New Roman" w:eastAsiaTheme="minorEastAsia" w:hAnsi="Times New Roman" w:cs="Times New Roman"/>
          <w:sz w:val="24"/>
        </w:rPr>
        <w:t>500 mg/L</w:t>
      </w:r>
      <w:r w:rsidR="007B409F" w:rsidRPr="00CC126D">
        <w:rPr>
          <w:rFonts w:ascii="Times New Roman" w:eastAsiaTheme="minorEastAsia" w:hAnsiTheme="minorEastAsia" w:cs="Times New Roman"/>
          <w:sz w:val="24"/>
        </w:rPr>
        <w:t>甚至更大</w:t>
      </w:r>
      <w:r w:rsidR="00560599" w:rsidRPr="00CC126D">
        <w:rPr>
          <w:rFonts w:ascii="Times New Roman" w:eastAsiaTheme="minorEastAsia" w:hAnsiTheme="minorEastAsia" w:cs="Times New Roman"/>
          <w:sz w:val="24"/>
        </w:rPr>
        <w:t>。</w:t>
      </w:r>
      <w:r w:rsidR="00544ED1" w:rsidRPr="00CC126D">
        <w:rPr>
          <w:rFonts w:ascii="Times New Roman" w:eastAsiaTheme="minorEastAsia" w:hAnsiTheme="minorEastAsia" w:cs="Times New Roman"/>
          <w:sz w:val="24"/>
        </w:rPr>
        <w:t>因此对仪器性能评价时很难指定特定</w:t>
      </w:r>
      <w:r w:rsidR="00E75645" w:rsidRPr="00CC126D">
        <w:rPr>
          <w:rFonts w:ascii="Times New Roman" w:eastAsiaTheme="minorEastAsia" w:hAnsiTheme="minorEastAsia" w:cs="Times New Roman"/>
          <w:sz w:val="24"/>
        </w:rPr>
        <w:t>测量点</w:t>
      </w:r>
      <w:r w:rsidR="00544ED1" w:rsidRPr="00CC126D">
        <w:rPr>
          <w:rFonts w:ascii="Times New Roman" w:eastAsiaTheme="minorEastAsia" w:hAnsiTheme="minorEastAsia" w:cs="Times New Roman"/>
          <w:sz w:val="24"/>
        </w:rPr>
        <w:t>进行检测。为了能够更好地、完整地评价不同型号的</w:t>
      </w:r>
      <w:r w:rsidR="007B409F" w:rsidRPr="00CC126D">
        <w:rPr>
          <w:rFonts w:ascii="Times New Roman" w:eastAsiaTheme="minorEastAsia" w:hAnsiTheme="minorEastAsia" w:cs="Times New Roman"/>
          <w:sz w:val="24"/>
        </w:rPr>
        <w:t>总磷总氮</w:t>
      </w:r>
      <w:r w:rsidR="00544ED1" w:rsidRPr="00CC126D">
        <w:rPr>
          <w:rFonts w:ascii="Times New Roman" w:eastAsiaTheme="minorEastAsia" w:hAnsiTheme="minorEastAsia" w:cs="Times New Roman"/>
          <w:sz w:val="24"/>
        </w:rPr>
        <w:t>的示值</w:t>
      </w:r>
      <w:r w:rsidR="00E75645" w:rsidRPr="00CC126D">
        <w:rPr>
          <w:rFonts w:ascii="Times New Roman" w:eastAsiaTheme="minorEastAsia" w:hAnsiTheme="minorEastAsia" w:cs="Times New Roman"/>
          <w:sz w:val="24"/>
        </w:rPr>
        <w:t>准确性</w:t>
      </w:r>
      <w:r w:rsidR="00544ED1" w:rsidRPr="00CC126D">
        <w:rPr>
          <w:rFonts w:ascii="Times New Roman" w:eastAsiaTheme="minorEastAsia" w:hAnsiTheme="minorEastAsia" w:cs="Times New Roman"/>
          <w:sz w:val="24"/>
        </w:rPr>
        <w:t>，</w:t>
      </w:r>
      <w:r w:rsidR="00F5515B" w:rsidRPr="00CC126D">
        <w:rPr>
          <w:rFonts w:ascii="Times New Roman" w:eastAsiaTheme="minorEastAsia" w:hAnsiTheme="minorEastAsia" w:cs="Times New Roman"/>
          <w:sz w:val="24"/>
        </w:rPr>
        <w:t>同时考虑到用户实际的使用需求，</w:t>
      </w:r>
      <w:r w:rsidR="00544ED1" w:rsidRPr="00CC126D">
        <w:rPr>
          <w:rFonts w:ascii="Times New Roman" w:eastAsiaTheme="minorEastAsia" w:hAnsiTheme="minorEastAsia" w:cs="Times New Roman"/>
          <w:sz w:val="24"/>
        </w:rPr>
        <w:t>我们</w:t>
      </w:r>
      <w:r w:rsidR="00E75645" w:rsidRPr="00CC126D">
        <w:rPr>
          <w:rFonts w:ascii="Times New Roman" w:eastAsiaTheme="minorEastAsia" w:hAnsiTheme="minorEastAsia" w:cs="Times New Roman"/>
          <w:sz w:val="24"/>
        </w:rPr>
        <w:t>选择</w:t>
      </w:r>
      <w:r w:rsidR="00544ED1" w:rsidRPr="00CC126D">
        <w:rPr>
          <w:rFonts w:ascii="Times New Roman" w:eastAsiaTheme="minorEastAsia" w:hAnsiTheme="minorEastAsia" w:cs="Times New Roman"/>
          <w:sz w:val="24"/>
        </w:rPr>
        <w:t>在仪器测量范围</w:t>
      </w:r>
      <w:r w:rsidR="00BE4FB6" w:rsidRPr="00CC126D">
        <w:rPr>
          <w:rFonts w:ascii="Times New Roman" w:eastAsiaTheme="minorEastAsia" w:hAnsiTheme="minorEastAsia" w:cs="Times New Roman"/>
          <w:sz w:val="24"/>
        </w:rPr>
        <w:t>或实际使用范围</w:t>
      </w:r>
      <w:r w:rsidR="00544ED1" w:rsidRPr="00CC126D">
        <w:rPr>
          <w:rFonts w:ascii="Times New Roman" w:eastAsiaTheme="minorEastAsia" w:hAnsiTheme="minorEastAsia" w:cs="Times New Roman"/>
          <w:sz w:val="24"/>
        </w:rPr>
        <w:t>内</w:t>
      </w:r>
      <w:r w:rsidR="00E75645" w:rsidRPr="00CC126D">
        <w:rPr>
          <w:rFonts w:ascii="Times New Roman" w:eastAsiaTheme="minorEastAsia" w:hAnsiTheme="minorEastAsia" w:cs="Times New Roman"/>
          <w:sz w:val="24"/>
        </w:rPr>
        <w:t>对</w:t>
      </w:r>
      <w:r w:rsidR="00544ED1" w:rsidRPr="00CC126D">
        <w:rPr>
          <w:rFonts w:ascii="Times New Roman" w:eastAsiaTheme="minorEastAsia" w:hAnsi="Times New Roman" w:cs="Times New Roman"/>
          <w:color w:val="000000"/>
          <w:sz w:val="24"/>
          <w:lang w:val="zh-CN"/>
        </w:rPr>
        <w:t>20%</w:t>
      </w:r>
      <w:r w:rsidR="00544ED1" w:rsidRPr="00CC126D">
        <w:rPr>
          <w:rFonts w:ascii="Times New Roman" w:eastAsiaTheme="minorEastAsia" w:hAnsiTheme="minorEastAsia" w:cs="Times New Roman"/>
          <w:color w:val="000000"/>
          <w:sz w:val="24"/>
          <w:lang w:val="zh-CN"/>
        </w:rPr>
        <w:t>、</w:t>
      </w:r>
      <w:r w:rsidR="00544ED1" w:rsidRPr="00CC126D">
        <w:rPr>
          <w:rFonts w:ascii="Times New Roman" w:eastAsiaTheme="minorEastAsia" w:hAnsi="Times New Roman" w:cs="Times New Roman"/>
          <w:color w:val="000000"/>
          <w:sz w:val="24"/>
          <w:lang w:val="zh-CN"/>
        </w:rPr>
        <w:t>50%</w:t>
      </w:r>
      <w:r w:rsidR="00544ED1" w:rsidRPr="00CC126D">
        <w:rPr>
          <w:rFonts w:ascii="Times New Roman" w:eastAsiaTheme="minorEastAsia" w:hAnsiTheme="minorEastAsia" w:cs="Times New Roman"/>
          <w:color w:val="000000"/>
          <w:sz w:val="24"/>
          <w:lang w:val="zh-CN"/>
        </w:rPr>
        <w:t>、</w:t>
      </w:r>
      <w:r w:rsidR="00544ED1" w:rsidRPr="00CC126D">
        <w:rPr>
          <w:rFonts w:ascii="Times New Roman" w:eastAsiaTheme="minorEastAsia" w:hAnsi="Times New Roman" w:cs="Times New Roman"/>
          <w:color w:val="000000"/>
          <w:sz w:val="24"/>
          <w:lang w:val="zh-CN"/>
        </w:rPr>
        <w:t>80%</w:t>
      </w:r>
      <w:r w:rsidR="00975954" w:rsidRPr="00CC126D">
        <w:rPr>
          <w:rFonts w:ascii="Times New Roman" w:eastAsiaTheme="minorEastAsia" w:hAnsiTheme="minorEastAsia" w:cs="Times New Roman"/>
          <w:color w:val="000000"/>
          <w:sz w:val="24"/>
          <w:lang w:val="zh-CN"/>
        </w:rPr>
        <w:t>上限值的</w:t>
      </w:r>
      <w:r w:rsidR="00544ED1" w:rsidRPr="00CC126D">
        <w:rPr>
          <w:rFonts w:ascii="Times New Roman" w:eastAsiaTheme="minorEastAsia" w:hAnsiTheme="minorEastAsia" w:cs="Times New Roman"/>
          <w:color w:val="000000"/>
          <w:sz w:val="24"/>
          <w:lang w:val="zh-CN"/>
        </w:rPr>
        <w:t>测量点</w:t>
      </w:r>
      <w:r w:rsidR="00E75645" w:rsidRPr="00CC126D">
        <w:rPr>
          <w:rFonts w:ascii="Times New Roman" w:eastAsiaTheme="minorEastAsia" w:hAnsiTheme="minorEastAsia" w:cs="Times New Roman"/>
          <w:color w:val="000000"/>
          <w:sz w:val="24"/>
          <w:lang w:val="zh-CN"/>
        </w:rPr>
        <w:t>的</w:t>
      </w:r>
      <w:r w:rsidR="00544ED1" w:rsidRPr="00CC126D">
        <w:rPr>
          <w:rFonts w:ascii="Times New Roman" w:eastAsiaTheme="minorEastAsia" w:hAnsiTheme="minorEastAsia" w:cs="Times New Roman"/>
          <w:color w:val="000000"/>
          <w:sz w:val="24"/>
          <w:lang w:val="zh-CN"/>
        </w:rPr>
        <w:t>示值误差进行检测，</w:t>
      </w:r>
      <w:r w:rsidR="00544ED1" w:rsidRPr="00CC126D">
        <w:rPr>
          <w:rFonts w:ascii="Times New Roman" w:eastAsiaTheme="minorEastAsia" w:hAnsiTheme="minorEastAsia" w:cs="Times New Roman"/>
          <w:sz w:val="24"/>
        </w:rPr>
        <w:t>以保证</w:t>
      </w:r>
      <w:r w:rsidR="00E75645" w:rsidRPr="00CC126D">
        <w:rPr>
          <w:rFonts w:ascii="Times New Roman" w:eastAsiaTheme="minorEastAsia" w:hAnsiTheme="minorEastAsia" w:cs="Times New Roman"/>
          <w:sz w:val="24"/>
        </w:rPr>
        <w:t>示值误差</w:t>
      </w:r>
      <w:r w:rsidR="00975954" w:rsidRPr="00CC126D">
        <w:rPr>
          <w:rFonts w:ascii="Times New Roman" w:eastAsiaTheme="minorEastAsia" w:hAnsiTheme="minorEastAsia" w:cs="Times New Roman"/>
          <w:sz w:val="24"/>
        </w:rPr>
        <w:t>测量点能够均匀覆盖整个</w:t>
      </w:r>
      <w:r w:rsidR="00544ED1" w:rsidRPr="00CC126D">
        <w:rPr>
          <w:rFonts w:ascii="Times New Roman" w:eastAsiaTheme="minorEastAsia" w:hAnsiTheme="minorEastAsia" w:cs="Times New Roman"/>
          <w:sz w:val="24"/>
        </w:rPr>
        <w:t>测量</w:t>
      </w:r>
      <w:r w:rsidR="00975954" w:rsidRPr="00CC126D">
        <w:rPr>
          <w:rFonts w:ascii="Times New Roman" w:eastAsiaTheme="minorEastAsia" w:hAnsiTheme="minorEastAsia" w:cs="Times New Roman"/>
          <w:sz w:val="24"/>
        </w:rPr>
        <w:t>或使用</w:t>
      </w:r>
      <w:r w:rsidR="00544ED1" w:rsidRPr="00CC126D">
        <w:rPr>
          <w:rFonts w:ascii="Times New Roman" w:eastAsiaTheme="minorEastAsia" w:hAnsiTheme="minorEastAsia" w:cs="Times New Roman"/>
          <w:sz w:val="24"/>
        </w:rPr>
        <w:t>范围。</w:t>
      </w:r>
    </w:p>
    <w:p w:rsidR="00992E0F" w:rsidRPr="00CC126D" w:rsidRDefault="00992E0F" w:rsidP="00992E0F">
      <w:pPr>
        <w:spacing w:line="360" w:lineRule="auto"/>
        <w:ind w:firstLineChars="200" w:firstLine="480"/>
        <w:rPr>
          <w:rFonts w:ascii="Times New Roman" w:eastAsiaTheme="minorEastAsia" w:hAnsi="Times New Roman" w:cs="Times New Roman"/>
          <w:sz w:val="24"/>
          <w:szCs w:val="24"/>
        </w:rPr>
      </w:pPr>
      <w:r w:rsidRPr="00CC126D">
        <w:rPr>
          <w:rFonts w:ascii="Times New Roman" w:eastAsiaTheme="minorEastAsia" w:hAnsiTheme="minorEastAsia" w:cs="Times New Roman"/>
          <w:sz w:val="24"/>
        </w:rPr>
        <w:t>为了更合理地表示低浓度测量点的示值误差，</w:t>
      </w:r>
      <w:r w:rsidR="000A4B13" w:rsidRPr="00CC126D">
        <w:rPr>
          <w:rFonts w:ascii="Times New Roman" w:eastAsiaTheme="minorEastAsia" w:hAnsiTheme="minorEastAsia" w:cs="Times New Roman"/>
          <w:sz w:val="24"/>
        </w:rPr>
        <w:t>结合仪器试验数据，</w:t>
      </w:r>
      <w:r w:rsidRPr="00CC126D">
        <w:rPr>
          <w:rFonts w:ascii="Times New Roman" w:eastAsiaTheme="minorEastAsia" w:hAnsiTheme="minorEastAsia" w:cs="Times New Roman"/>
          <w:sz w:val="24"/>
        </w:rPr>
        <w:t>同时参考</w:t>
      </w:r>
      <w:r w:rsidRPr="00CC126D">
        <w:rPr>
          <w:rFonts w:ascii="Times New Roman" w:eastAsiaTheme="minorEastAsia" w:hAnsi="Times New Roman" w:cs="Times New Roman"/>
          <w:sz w:val="24"/>
        </w:rPr>
        <w:t xml:space="preserve">JJG </w:t>
      </w:r>
      <w:r w:rsidR="000A4B13" w:rsidRPr="00CC126D">
        <w:rPr>
          <w:rFonts w:ascii="Times New Roman" w:eastAsiaTheme="minorEastAsia" w:hAnsi="Times New Roman" w:cs="Times New Roman"/>
          <w:sz w:val="24"/>
        </w:rPr>
        <w:t>1094</w:t>
      </w:r>
      <w:r w:rsidRPr="00CC126D">
        <w:rPr>
          <w:rFonts w:ascii="Times New Roman" w:eastAsiaTheme="minorEastAsia" w:hAnsi="Times New Roman" w:cs="Times New Roman"/>
          <w:sz w:val="24"/>
        </w:rPr>
        <w:t>-2013</w:t>
      </w:r>
      <w:r w:rsidRPr="00CC126D">
        <w:rPr>
          <w:rFonts w:ascii="Times New Roman" w:eastAsiaTheme="minorEastAsia" w:hAnsiTheme="minorEastAsia" w:cs="Times New Roman"/>
          <w:sz w:val="24"/>
        </w:rPr>
        <w:t>《</w:t>
      </w:r>
      <w:r w:rsidR="000A4B13" w:rsidRPr="00CC126D">
        <w:rPr>
          <w:rFonts w:ascii="Times New Roman" w:eastAsiaTheme="minorEastAsia" w:hAnsiTheme="minorEastAsia" w:cs="Times New Roman"/>
          <w:sz w:val="24"/>
        </w:rPr>
        <w:t>总磷总氮水质在线分析仪</w:t>
      </w:r>
      <w:r w:rsidRPr="00CC126D">
        <w:rPr>
          <w:rFonts w:ascii="Times New Roman" w:eastAsiaTheme="minorEastAsia" w:hAnsiTheme="minorEastAsia" w:cs="Times New Roman"/>
          <w:sz w:val="24"/>
        </w:rPr>
        <w:t>检定规程》</w:t>
      </w:r>
      <w:r w:rsidR="000A4B13" w:rsidRPr="00CC126D">
        <w:rPr>
          <w:rFonts w:ascii="Times New Roman" w:eastAsiaTheme="minorEastAsia" w:hAnsiTheme="minorEastAsia" w:cs="Times New Roman"/>
          <w:sz w:val="24"/>
        </w:rPr>
        <w:t>和生产厂商的仪器资料，</w:t>
      </w:r>
      <w:r w:rsidRPr="00CC126D">
        <w:rPr>
          <w:rFonts w:ascii="Times New Roman" w:eastAsiaTheme="minorEastAsia" w:hAnsiTheme="minorEastAsia" w:cs="Times New Roman"/>
          <w:sz w:val="24"/>
        </w:rPr>
        <w:t>示值误差我们采用绝对误差或相对误差的方式进行计算。当</w:t>
      </w:r>
      <w:r w:rsidR="000A4B13" w:rsidRPr="00CC126D">
        <w:rPr>
          <w:rFonts w:ascii="Times New Roman" w:eastAsiaTheme="minorEastAsia" w:hAnsiTheme="minorEastAsia" w:cs="Times New Roman"/>
          <w:sz w:val="24"/>
        </w:rPr>
        <w:t>总磷的</w:t>
      </w:r>
      <w:r w:rsidRPr="00CC126D">
        <w:rPr>
          <w:rFonts w:ascii="Times New Roman" w:eastAsiaTheme="minorEastAsia" w:hAnsiTheme="minorEastAsia" w:cs="Times New Roman"/>
          <w:sz w:val="24"/>
        </w:rPr>
        <w:t>示值误差测量点大于</w:t>
      </w:r>
      <w:r w:rsidR="000A4B13" w:rsidRPr="00CC126D">
        <w:rPr>
          <w:rFonts w:ascii="Times New Roman" w:eastAsiaTheme="minorEastAsia" w:hAnsi="Times New Roman" w:cs="Times New Roman"/>
          <w:sz w:val="24"/>
        </w:rPr>
        <w:t>0.5</w:t>
      </w:r>
      <w:r w:rsidRPr="00CC126D">
        <w:rPr>
          <w:rFonts w:ascii="Times New Roman" w:eastAsiaTheme="minorEastAsia" w:hAnsi="Times New Roman" w:cs="Times New Roman"/>
          <w:sz w:val="24"/>
        </w:rPr>
        <w:t>mg/L</w:t>
      </w:r>
      <w:r w:rsidR="000A4B13" w:rsidRPr="00CC126D">
        <w:rPr>
          <w:rFonts w:ascii="Times New Roman" w:eastAsiaTheme="minorEastAsia" w:hAnsiTheme="minorEastAsia" w:cs="Times New Roman"/>
          <w:sz w:val="24"/>
        </w:rPr>
        <w:t>、总氮的示值误差测量点大于</w:t>
      </w:r>
      <w:r w:rsidR="000A4B13" w:rsidRPr="00CC126D">
        <w:rPr>
          <w:rFonts w:ascii="Times New Roman" w:eastAsiaTheme="minorEastAsia" w:hAnsi="Times New Roman" w:cs="Times New Roman"/>
          <w:sz w:val="24"/>
        </w:rPr>
        <w:t>2mg/L</w:t>
      </w:r>
      <w:r w:rsidRPr="00CC126D">
        <w:rPr>
          <w:rFonts w:ascii="Times New Roman" w:eastAsiaTheme="minorEastAsia" w:hAnsiTheme="minorEastAsia" w:cs="Times New Roman"/>
          <w:sz w:val="24"/>
        </w:rPr>
        <w:t>时，采用示值相对误差进行计算；当示</w:t>
      </w:r>
      <w:r w:rsidR="000A4B13" w:rsidRPr="00CC126D">
        <w:rPr>
          <w:rFonts w:ascii="Times New Roman" w:eastAsiaTheme="minorEastAsia" w:hAnsiTheme="minorEastAsia" w:cs="Times New Roman"/>
          <w:sz w:val="24"/>
        </w:rPr>
        <w:t>总磷的示值误差测量点小于等于</w:t>
      </w:r>
      <w:r w:rsidR="000A4B13" w:rsidRPr="00CC126D">
        <w:rPr>
          <w:rFonts w:ascii="Times New Roman" w:eastAsiaTheme="minorEastAsia" w:hAnsi="Times New Roman" w:cs="Times New Roman"/>
          <w:sz w:val="24"/>
        </w:rPr>
        <w:t>0.5mg/L</w:t>
      </w:r>
      <w:r w:rsidR="000A4B13" w:rsidRPr="00CC126D">
        <w:rPr>
          <w:rFonts w:ascii="Times New Roman" w:eastAsiaTheme="minorEastAsia" w:hAnsiTheme="minorEastAsia" w:cs="Times New Roman"/>
          <w:sz w:val="24"/>
        </w:rPr>
        <w:t>、总氮的示值误差测量点小于等于</w:t>
      </w:r>
      <w:r w:rsidR="000A4B13" w:rsidRPr="00CC126D">
        <w:rPr>
          <w:rFonts w:ascii="Times New Roman" w:eastAsiaTheme="minorEastAsia" w:hAnsi="Times New Roman" w:cs="Times New Roman"/>
          <w:sz w:val="24"/>
        </w:rPr>
        <w:t>2mg/L</w:t>
      </w:r>
      <w:r w:rsidR="000A4B13" w:rsidRPr="00CC126D">
        <w:rPr>
          <w:rFonts w:ascii="Times New Roman" w:eastAsiaTheme="minorEastAsia" w:hAnsiTheme="minorEastAsia" w:cs="Times New Roman"/>
          <w:sz w:val="24"/>
        </w:rPr>
        <w:t>时</w:t>
      </w:r>
      <w:r w:rsidRPr="00CC126D">
        <w:rPr>
          <w:rFonts w:ascii="Times New Roman" w:eastAsiaTheme="minorEastAsia" w:hAnsiTheme="minorEastAsia" w:cs="Times New Roman"/>
          <w:sz w:val="24"/>
        </w:rPr>
        <w:t>，采用绝对误差进行计算。</w:t>
      </w:r>
      <w:r w:rsidRPr="00CC126D">
        <w:rPr>
          <w:rFonts w:ascii="Times New Roman" w:eastAsiaTheme="minorEastAsia" w:hAnsiTheme="minorEastAsia" w:cs="Times New Roman"/>
          <w:sz w:val="24"/>
          <w:szCs w:val="24"/>
        </w:rPr>
        <w:t>建议仪器的</w:t>
      </w:r>
      <w:r w:rsidR="007F3589" w:rsidRPr="00CC126D">
        <w:rPr>
          <w:rFonts w:ascii="Times New Roman" w:eastAsiaTheme="minorEastAsia" w:hAnsiTheme="minorEastAsia" w:cs="Times New Roman"/>
          <w:sz w:val="24"/>
          <w:szCs w:val="24"/>
        </w:rPr>
        <w:t>示值误差要求如表</w:t>
      </w:r>
      <w:r w:rsidR="007F3589" w:rsidRPr="00CC126D">
        <w:rPr>
          <w:rFonts w:ascii="Times New Roman" w:eastAsiaTheme="minorEastAsia" w:hAnsi="Times New Roman" w:cs="Times New Roman"/>
          <w:sz w:val="24"/>
          <w:szCs w:val="24"/>
        </w:rPr>
        <w:t>4</w:t>
      </w:r>
      <w:r w:rsidR="007F3589" w:rsidRPr="00CC126D">
        <w:rPr>
          <w:rFonts w:ascii="Times New Roman" w:eastAsiaTheme="minorEastAsia" w:hAnsiTheme="minorEastAsia" w:cs="Times New Roman"/>
          <w:sz w:val="24"/>
          <w:szCs w:val="24"/>
        </w:rPr>
        <w:t>所示。</w:t>
      </w:r>
    </w:p>
    <w:p w:rsidR="007F3589" w:rsidRPr="00CC126D" w:rsidRDefault="007F3589" w:rsidP="00CC126D">
      <w:pPr>
        <w:spacing w:line="360" w:lineRule="auto"/>
        <w:ind w:firstLineChars="200" w:firstLine="440"/>
        <w:jc w:val="center"/>
        <w:rPr>
          <w:rFonts w:ascii="Times New Roman" w:eastAsiaTheme="minorEastAsia" w:hAnsi="Times New Roman" w:cs="Times New Roman"/>
          <w:sz w:val="22"/>
          <w:szCs w:val="22"/>
        </w:rPr>
      </w:pPr>
      <w:r w:rsidRPr="00CC126D">
        <w:rPr>
          <w:rFonts w:ascii="Times New Roman" w:eastAsiaTheme="minorEastAsia" w:hAnsiTheme="minorEastAsia" w:cs="Times New Roman"/>
          <w:sz w:val="22"/>
          <w:szCs w:val="22"/>
        </w:rPr>
        <w:t>表</w:t>
      </w:r>
      <w:r w:rsidRPr="00CC126D">
        <w:rPr>
          <w:rFonts w:ascii="Times New Roman" w:eastAsiaTheme="minorEastAsia" w:hAnsi="Times New Roman" w:cs="Times New Roman"/>
          <w:sz w:val="22"/>
          <w:szCs w:val="22"/>
        </w:rPr>
        <w:t xml:space="preserve">4 </w:t>
      </w:r>
      <w:r w:rsidRPr="00CC126D">
        <w:rPr>
          <w:rFonts w:ascii="Times New Roman" w:eastAsiaTheme="minorEastAsia" w:hAnsiTheme="minorEastAsia" w:cs="Times New Roman"/>
          <w:sz w:val="22"/>
          <w:szCs w:val="22"/>
        </w:rPr>
        <w:t>仪器的示值误差要求</w:t>
      </w:r>
    </w:p>
    <w:tbl>
      <w:tblPr>
        <w:tblStyle w:val="ac"/>
        <w:tblW w:w="0" w:type="auto"/>
        <w:jc w:val="center"/>
        <w:tblLook w:val="04A0"/>
      </w:tblPr>
      <w:tblGrid>
        <w:gridCol w:w="2626"/>
        <w:gridCol w:w="2949"/>
        <w:gridCol w:w="2947"/>
      </w:tblGrid>
      <w:tr w:rsidR="007F3589" w:rsidRPr="00CC126D" w:rsidTr="007F3589">
        <w:trPr>
          <w:jc w:val="center"/>
        </w:trPr>
        <w:tc>
          <w:tcPr>
            <w:tcW w:w="2626" w:type="dxa"/>
            <w:vMerge w:val="restart"/>
            <w:vAlign w:val="center"/>
          </w:tcPr>
          <w:p w:rsidR="007F3589" w:rsidRPr="00CC126D" w:rsidRDefault="007F3589" w:rsidP="00CC126D">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项目</w:t>
            </w:r>
          </w:p>
        </w:tc>
        <w:tc>
          <w:tcPr>
            <w:tcW w:w="5896" w:type="dxa"/>
            <w:gridSpan w:val="2"/>
            <w:vAlign w:val="center"/>
          </w:tcPr>
          <w:p w:rsidR="007F3589" w:rsidRPr="00CC126D" w:rsidRDefault="007F3589" w:rsidP="00CC126D">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计量特性要求</w:t>
            </w:r>
          </w:p>
        </w:tc>
      </w:tr>
      <w:tr w:rsidR="007F3589" w:rsidRPr="00CC126D" w:rsidTr="007F3589">
        <w:trPr>
          <w:jc w:val="center"/>
        </w:trPr>
        <w:tc>
          <w:tcPr>
            <w:tcW w:w="2626" w:type="dxa"/>
            <w:vMerge/>
            <w:vAlign w:val="center"/>
          </w:tcPr>
          <w:p w:rsidR="007F3589" w:rsidRPr="00CC126D" w:rsidRDefault="007F3589" w:rsidP="00CC126D">
            <w:pPr>
              <w:spacing w:line="440" w:lineRule="exact"/>
              <w:jc w:val="center"/>
              <w:rPr>
                <w:rFonts w:ascii="Times New Roman" w:eastAsiaTheme="minorEastAsia" w:hAnsi="Times New Roman" w:cs="Times New Roman"/>
                <w:kern w:val="0"/>
                <w:sz w:val="22"/>
                <w:szCs w:val="22"/>
              </w:rPr>
            </w:pPr>
          </w:p>
        </w:tc>
        <w:tc>
          <w:tcPr>
            <w:tcW w:w="2949" w:type="dxa"/>
            <w:vAlign w:val="center"/>
          </w:tcPr>
          <w:p w:rsidR="007F3589" w:rsidRPr="00CC126D" w:rsidRDefault="007F3589" w:rsidP="00CC126D">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总磷</w:t>
            </w:r>
          </w:p>
        </w:tc>
        <w:tc>
          <w:tcPr>
            <w:tcW w:w="2947" w:type="dxa"/>
            <w:vAlign w:val="center"/>
          </w:tcPr>
          <w:p w:rsidR="007F3589" w:rsidRPr="00CC126D" w:rsidRDefault="007F3589" w:rsidP="00CC126D">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总氮</w:t>
            </w:r>
          </w:p>
        </w:tc>
      </w:tr>
      <w:tr w:rsidR="007F3589" w:rsidRPr="00CC126D" w:rsidTr="007F3589">
        <w:trPr>
          <w:jc w:val="center"/>
        </w:trPr>
        <w:tc>
          <w:tcPr>
            <w:tcW w:w="2626" w:type="dxa"/>
            <w:vAlign w:val="center"/>
          </w:tcPr>
          <w:p w:rsidR="007F3589" w:rsidRPr="00CC126D" w:rsidRDefault="007F3589" w:rsidP="00CC126D">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示值误差</w:t>
            </w:r>
          </w:p>
        </w:tc>
        <w:tc>
          <w:tcPr>
            <w:tcW w:w="2949" w:type="dxa"/>
            <w:vAlign w:val="center"/>
          </w:tcPr>
          <w:p w:rsidR="007F3589" w:rsidRPr="00CC126D" w:rsidRDefault="007F3589" w:rsidP="00CC126D">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≤0.5mg/L:</w:t>
            </w:r>
            <w:r w:rsidRPr="00CC126D">
              <w:rPr>
                <w:rFonts w:ascii="Times New Roman" w:eastAsiaTheme="minorEastAsia" w:hAnsiTheme="minorEastAsia" w:cs="Times New Roman"/>
                <w:kern w:val="0"/>
                <w:sz w:val="22"/>
                <w:szCs w:val="22"/>
              </w:rPr>
              <w:t>不超过</w:t>
            </w:r>
            <w:r w:rsidRPr="00CC126D">
              <w:rPr>
                <w:rFonts w:ascii="Times New Roman" w:eastAsiaTheme="minorEastAsia" w:hAnsi="Times New Roman" w:cs="Times New Roman"/>
                <w:kern w:val="0"/>
                <w:sz w:val="22"/>
                <w:szCs w:val="22"/>
              </w:rPr>
              <w:t>±0.05mg/L</w:t>
            </w:r>
          </w:p>
          <w:p w:rsidR="007F3589" w:rsidRPr="00CC126D" w:rsidRDefault="007F3589" w:rsidP="00CC126D">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0.5mg/L:</w:t>
            </w:r>
            <w:r w:rsidRPr="00CC126D">
              <w:rPr>
                <w:rFonts w:ascii="Times New Roman" w:eastAsiaTheme="minorEastAsia" w:hAnsiTheme="minorEastAsia" w:cs="Times New Roman"/>
                <w:kern w:val="0"/>
                <w:sz w:val="22"/>
                <w:szCs w:val="22"/>
              </w:rPr>
              <w:t>不超过</w:t>
            </w:r>
            <w:r w:rsidRPr="00CC126D">
              <w:rPr>
                <w:rFonts w:ascii="Times New Roman" w:eastAsiaTheme="minorEastAsia" w:hAnsi="Times New Roman" w:cs="Times New Roman"/>
                <w:kern w:val="0"/>
                <w:sz w:val="22"/>
                <w:szCs w:val="22"/>
              </w:rPr>
              <w:t>±10%</w:t>
            </w:r>
          </w:p>
        </w:tc>
        <w:tc>
          <w:tcPr>
            <w:tcW w:w="2947" w:type="dxa"/>
            <w:vAlign w:val="center"/>
          </w:tcPr>
          <w:p w:rsidR="007F3589" w:rsidRPr="00CC126D" w:rsidRDefault="007F3589" w:rsidP="00CC126D">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imes New Roman" w:cs="Times New Roman"/>
                <w:kern w:val="0"/>
                <w:sz w:val="22"/>
                <w:szCs w:val="22"/>
              </w:rPr>
              <w:t>≤2mg/L:</w:t>
            </w:r>
            <w:r w:rsidRPr="00CC126D">
              <w:rPr>
                <w:rFonts w:ascii="Times New Roman" w:eastAsiaTheme="minorEastAsia" w:hAnsiTheme="minorEastAsia" w:cs="Times New Roman"/>
                <w:kern w:val="0"/>
                <w:sz w:val="22"/>
                <w:szCs w:val="22"/>
              </w:rPr>
              <w:t>不超过</w:t>
            </w:r>
            <w:r w:rsidRPr="00CC126D">
              <w:rPr>
                <w:rFonts w:ascii="Times New Roman" w:eastAsiaTheme="minorEastAsia" w:hAnsi="Times New Roman" w:cs="Times New Roman"/>
                <w:kern w:val="0"/>
                <w:sz w:val="22"/>
                <w:szCs w:val="22"/>
              </w:rPr>
              <w:t>±0.2mg/L</w:t>
            </w:r>
          </w:p>
          <w:p w:rsidR="007F3589" w:rsidRPr="00CC126D" w:rsidRDefault="007F3589" w:rsidP="00CC126D">
            <w:pPr>
              <w:spacing w:line="440" w:lineRule="exact"/>
              <w:jc w:val="center"/>
              <w:rPr>
                <w:rFonts w:ascii="Times New Roman" w:eastAsiaTheme="minorEastAsia" w:hAnsi="Times New Roman" w:cs="Times New Roman"/>
                <w:kern w:val="0"/>
                <w:sz w:val="22"/>
                <w:szCs w:val="22"/>
              </w:rPr>
            </w:pPr>
            <w:r w:rsidRPr="00CC126D">
              <w:rPr>
                <w:rFonts w:ascii="Times New Roman" w:eastAsiaTheme="minorEastAsia" w:hAnsiTheme="minorEastAsia" w:cs="Times New Roman"/>
                <w:kern w:val="0"/>
                <w:sz w:val="22"/>
                <w:szCs w:val="22"/>
              </w:rPr>
              <w:t>＞</w:t>
            </w:r>
            <w:r w:rsidRPr="00CC126D">
              <w:rPr>
                <w:rFonts w:ascii="Times New Roman" w:eastAsiaTheme="minorEastAsia" w:hAnsi="Times New Roman" w:cs="Times New Roman"/>
                <w:kern w:val="0"/>
                <w:sz w:val="22"/>
                <w:szCs w:val="22"/>
              </w:rPr>
              <w:t>2mg/L:</w:t>
            </w:r>
            <w:r w:rsidRPr="00CC126D">
              <w:rPr>
                <w:rFonts w:ascii="Times New Roman" w:eastAsiaTheme="minorEastAsia" w:hAnsiTheme="minorEastAsia" w:cs="Times New Roman"/>
                <w:kern w:val="0"/>
                <w:sz w:val="22"/>
                <w:szCs w:val="22"/>
              </w:rPr>
              <w:t>不超过</w:t>
            </w:r>
            <w:r w:rsidRPr="00CC126D">
              <w:rPr>
                <w:rFonts w:ascii="Times New Roman" w:eastAsiaTheme="minorEastAsia" w:hAnsi="Times New Roman" w:cs="Times New Roman"/>
                <w:kern w:val="0"/>
                <w:sz w:val="22"/>
                <w:szCs w:val="22"/>
              </w:rPr>
              <w:t>±10%</w:t>
            </w:r>
          </w:p>
        </w:tc>
      </w:tr>
    </w:tbl>
    <w:p w:rsidR="004F46FA" w:rsidRPr="00CC126D" w:rsidRDefault="004F46FA" w:rsidP="004F46FA">
      <w:pPr>
        <w:spacing w:line="360" w:lineRule="auto"/>
        <w:outlineLvl w:val="1"/>
        <w:rPr>
          <w:rFonts w:ascii="Times New Roman" w:eastAsiaTheme="minorEastAsia" w:hAnsi="Times New Roman" w:cs="Times New Roman"/>
          <w:color w:val="000000"/>
          <w:sz w:val="24"/>
        </w:rPr>
      </w:pPr>
      <w:bookmarkStart w:id="3" w:name="_Toc357935286"/>
      <w:bookmarkStart w:id="4" w:name="_Toc357936479"/>
      <w:bookmarkStart w:id="5" w:name="_Toc357936540"/>
      <w:r w:rsidRPr="00CC126D">
        <w:rPr>
          <w:rFonts w:ascii="Times New Roman" w:eastAsiaTheme="minorEastAsia" w:hAnsi="Times New Roman" w:cs="Times New Roman"/>
          <w:color w:val="000000"/>
          <w:sz w:val="24"/>
        </w:rPr>
        <w:lastRenderedPageBreak/>
        <w:t>2</w:t>
      </w:r>
      <w:r w:rsidRPr="00CC126D">
        <w:rPr>
          <w:rFonts w:ascii="Times New Roman" w:eastAsiaTheme="minorEastAsia" w:hAnsiTheme="minorEastAsia" w:cs="Times New Roman"/>
          <w:color w:val="000000"/>
          <w:sz w:val="24"/>
        </w:rPr>
        <w:t>、重复性</w:t>
      </w:r>
      <w:bookmarkEnd w:id="3"/>
      <w:bookmarkEnd w:id="4"/>
      <w:bookmarkEnd w:id="5"/>
    </w:p>
    <w:p w:rsidR="00AD2F7B" w:rsidRPr="00CC126D" w:rsidRDefault="00AD2F7B" w:rsidP="004F46FA">
      <w:pPr>
        <w:spacing w:line="360" w:lineRule="auto"/>
        <w:ind w:firstLineChars="200" w:firstLine="480"/>
        <w:outlineLvl w:val="1"/>
        <w:rPr>
          <w:rFonts w:ascii="Times New Roman" w:eastAsiaTheme="minorEastAsia" w:hAnsi="Times New Roman" w:cs="Times New Roman"/>
          <w:color w:val="000000"/>
          <w:sz w:val="24"/>
          <w:lang w:val="zh-CN"/>
        </w:rPr>
      </w:pPr>
      <w:r w:rsidRPr="00CC126D">
        <w:rPr>
          <w:rFonts w:ascii="Times New Roman" w:eastAsiaTheme="minorEastAsia" w:hAnsiTheme="minorEastAsia" w:cs="Times New Roman"/>
          <w:color w:val="000000"/>
          <w:sz w:val="24"/>
          <w:lang w:val="zh-CN"/>
        </w:rPr>
        <w:t>仪器的重复性</w:t>
      </w:r>
      <w:r w:rsidR="00856953" w:rsidRPr="00CC126D">
        <w:rPr>
          <w:rFonts w:ascii="Times New Roman" w:eastAsiaTheme="minorEastAsia" w:hAnsiTheme="minorEastAsia" w:cs="Times New Roman"/>
          <w:color w:val="000000"/>
          <w:sz w:val="24"/>
          <w:lang w:val="zh-CN"/>
        </w:rPr>
        <w:t>评价</w:t>
      </w:r>
      <w:r w:rsidRPr="00CC126D">
        <w:rPr>
          <w:rFonts w:ascii="Times New Roman" w:eastAsiaTheme="minorEastAsia" w:hAnsiTheme="minorEastAsia" w:cs="Times New Roman"/>
          <w:color w:val="000000"/>
          <w:sz w:val="24"/>
          <w:lang w:val="zh-CN"/>
        </w:rPr>
        <w:t>选择浓度为</w:t>
      </w:r>
      <w:r w:rsidR="00306C23" w:rsidRPr="00CC126D">
        <w:rPr>
          <w:rFonts w:ascii="Times New Roman" w:eastAsiaTheme="minorEastAsia" w:hAnsi="Times New Roman" w:cs="Times New Roman"/>
          <w:color w:val="000000"/>
          <w:sz w:val="24"/>
          <w:lang w:val="zh-CN"/>
        </w:rPr>
        <w:t>50%</w:t>
      </w:r>
      <w:r w:rsidR="00306C23" w:rsidRPr="00CC126D">
        <w:rPr>
          <w:rFonts w:ascii="Times New Roman" w:eastAsiaTheme="minorEastAsia" w:hAnsiTheme="minorEastAsia" w:cs="Times New Roman"/>
          <w:color w:val="000000"/>
          <w:sz w:val="24"/>
          <w:lang w:val="zh-CN"/>
        </w:rPr>
        <w:t>测量范围（或使用范围）上限值</w:t>
      </w:r>
      <w:r w:rsidRPr="00CC126D">
        <w:rPr>
          <w:rFonts w:ascii="Times New Roman" w:eastAsiaTheme="minorEastAsia" w:hAnsiTheme="minorEastAsia" w:cs="Times New Roman"/>
          <w:color w:val="000000"/>
          <w:sz w:val="24"/>
          <w:lang w:val="zh-CN"/>
        </w:rPr>
        <w:t>的测量点，进行独立重复测量</w:t>
      </w:r>
      <w:r w:rsidR="004C0B8C" w:rsidRPr="00CC126D">
        <w:rPr>
          <w:rFonts w:ascii="Times New Roman" w:eastAsiaTheme="minorEastAsia" w:hAnsi="Times New Roman" w:cs="Times New Roman"/>
          <w:color w:val="000000"/>
          <w:sz w:val="24"/>
          <w:lang w:val="zh-CN"/>
        </w:rPr>
        <w:t>7</w:t>
      </w:r>
      <w:r w:rsidRPr="00CC126D">
        <w:rPr>
          <w:rFonts w:ascii="Times New Roman" w:eastAsiaTheme="minorEastAsia" w:hAnsiTheme="minorEastAsia" w:cs="Times New Roman"/>
          <w:color w:val="000000"/>
          <w:sz w:val="24"/>
          <w:lang w:val="zh-CN"/>
        </w:rPr>
        <w:t>次。</w:t>
      </w:r>
      <w:r w:rsidRPr="00CC126D">
        <w:rPr>
          <w:rFonts w:ascii="Times New Roman" w:eastAsiaTheme="minorEastAsia" w:hAnsiTheme="minorEastAsia" w:cs="Times New Roman"/>
          <w:sz w:val="24"/>
          <w:szCs w:val="24"/>
        </w:rPr>
        <w:t>根据</w:t>
      </w:r>
      <w:r w:rsidR="007F3589" w:rsidRPr="00CC126D">
        <w:rPr>
          <w:rFonts w:ascii="Times New Roman" w:eastAsiaTheme="minorEastAsia" w:hAnsiTheme="minorEastAsia" w:cs="Times New Roman"/>
          <w:sz w:val="24"/>
          <w:szCs w:val="24"/>
        </w:rPr>
        <w:t>表</w:t>
      </w:r>
      <w:r w:rsidR="007F3589" w:rsidRPr="00CC126D">
        <w:rPr>
          <w:rFonts w:ascii="Times New Roman" w:eastAsiaTheme="minorEastAsia" w:hAnsi="Times New Roman" w:cs="Times New Roman"/>
          <w:sz w:val="24"/>
          <w:szCs w:val="24"/>
        </w:rPr>
        <w:t>3</w:t>
      </w:r>
      <w:r w:rsidR="007F3589" w:rsidRPr="00CC126D">
        <w:rPr>
          <w:rFonts w:ascii="Times New Roman" w:eastAsiaTheme="minorEastAsia" w:hAnsiTheme="minorEastAsia" w:cs="Times New Roman"/>
          <w:sz w:val="24"/>
          <w:szCs w:val="24"/>
        </w:rPr>
        <w:t>总磷总氮分析仪</w:t>
      </w:r>
      <w:r w:rsidRPr="00CC126D">
        <w:rPr>
          <w:rFonts w:ascii="Times New Roman" w:eastAsiaTheme="minorEastAsia" w:hAnsiTheme="minorEastAsia" w:cs="Times New Roman"/>
          <w:sz w:val="24"/>
          <w:szCs w:val="24"/>
        </w:rPr>
        <w:t>的</w:t>
      </w:r>
      <w:r w:rsidR="008A5BE8" w:rsidRPr="00CC126D">
        <w:rPr>
          <w:rFonts w:ascii="Times New Roman" w:eastAsiaTheme="minorEastAsia" w:hAnsiTheme="minorEastAsia" w:cs="Times New Roman"/>
          <w:sz w:val="24"/>
          <w:szCs w:val="24"/>
        </w:rPr>
        <w:t>技术</w:t>
      </w:r>
      <w:r w:rsidRPr="00CC126D">
        <w:rPr>
          <w:rFonts w:ascii="Times New Roman" w:eastAsiaTheme="minorEastAsia" w:hAnsiTheme="minorEastAsia" w:cs="Times New Roman"/>
          <w:sz w:val="24"/>
          <w:szCs w:val="24"/>
        </w:rPr>
        <w:t>指标以及实际仪器的测量结果，</w:t>
      </w:r>
      <w:r w:rsidR="004C0B8C" w:rsidRPr="00CC126D">
        <w:rPr>
          <w:rFonts w:ascii="Times New Roman" w:eastAsiaTheme="minorEastAsia" w:hAnsiTheme="minorEastAsia" w:cs="Times New Roman"/>
          <w:sz w:val="24"/>
          <w:szCs w:val="24"/>
        </w:rPr>
        <w:t>建议重复性技术要求为</w:t>
      </w:r>
      <w:r w:rsidRPr="00CC126D">
        <w:rPr>
          <w:rFonts w:ascii="Times New Roman" w:eastAsiaTheme="minorEastAsia" w:hAnsiTheme="minorEastAsia" w:cs="Times New Roman"/>
          <w:sz w:val="24"/>
          <w:szCs w:val="24"/>
        </w:rPr>
        <w:t>不大于</w:t>
      </w:r>
      <w:r w:rsidRPr="00CC126D">
        <w:rPr>
          <w:rFonts w:ascii="Times New Roman" w:eastAsiaTheme="minorEastAsia" w:hAnsi="Times New Roman" w:cs="Times New Roman"/>
          <w:sz w:val="24"/>
          <w:szCs w:val="24"/>
        </w:rPr>
        <w:t>3%</w:t>
      </w:r>
      <w:r w:rsidRPr="00CC126D">
        <w:rPr>
          <w:rFonts w:ascii="Times New Roman" w:eastAsiaTheme="minorEastAsia" w:hAnsiTheme="minorEastAsia" w:cs="Times New Roman"/>
          <w:sz w:val="24"/>
          <w:szCs w:val="24"/>
        </w:rPr>
        <w:t>。</w:t>
      </w:r>
    </w:p>
    <w:p w:rsidR="004F46FA" w:rsidRPr="00CC126D" w:rsidRDefault="00AD2F7B" w:rsidP="004F46FA">
      <w:pPr>
        <w:pStyle w:val="20"/>
        <w:tabs>
          <w:tab w:val="left" w:pos="1785"/>
        </w:tabs>
        <w:spacing w:line="360" w:lineRule="auto"/>
        <w:ind w:left="0" w:right="544" w:firstLineChars="0" w:firstLine="0"/>
        <w:rPr>
          <w:rFonts w:ascii="Times New Roman" w:eastAsiaTheme="minorEastAsia"/>
          <w:sz w:val="24"/>
          <w:szCs w:val="24"/>
        </w:rPr>
      </w:pPr>
      <w:r w:rsidRPr="00CC126D">
        <w:rPr>
          <w:rFonts w:ascii="Times New Roman" w:eastAsiaTheme="minorEastAsia"/>
          <w:sz w:val="24"/>
          <w:szCs w:val="24"/>
        </w:rPr>
        <w:t>3</w:t>
      </w:r>
      <w:r w:rsidR="004F46FA" w:rsidRPr="00CC126D">
        <w:rPr>
          <w:rFonts w:ascii="Times New Roman" w:eastAsiaTheme="minorEastAsia" w:hAnsiTheme="minorEastAsia"/>
          <w:sz w:val="24"/>
          <w:szCs w:val="24"/>
        </w:rPr>
        <w:t>、</w:t>
      </w:r>
      <w:r w:rsidR="008A0DC2" w:rsidRPr="00CC126D">
        <w:rPr>
          <w:rFonts w:ascii="Times New Roman" w:eastAsiaTheme="minorEastAsia" w:hAnsiTheme="minorEastAsia"/>
          <w:sz w:val="24"/>
          <w:szCs w:val="24"/>
        </w:rPr>
        <w:t>温度示值误差和</w:t>
      </w:r>
      <w:r w:rsidR="007E7246">
        <w:rPr>
          <w:rFonts w:ascii="Times New Roman" w:eastAsiaTheme="minorEastAsia" w:hAnsiTheme="minorEastAsia"/>
          <w:sz w:val="24"/>
          <w:szCs w:val="24"/>
        </w:rPr>
        <w:t>温度均匀性</w:t>
      </w:r>
    </w:p>
    <w:p w:rsidR="008A0DC2" w:rsidRPr="00CC126D" w:rsidRDefault="008A0DC2" w:rsidP="00C7619B">
      <w:pPr>
        <w:pStyle w:val="20"/>
        <w:tabs>
          <w:tab w:val="left" w:pos="1785"/>
        </w:tabs>
        <w:spacing w:line="360" w:lineRule="auto"/>
        <w:ind w:left="0" w:right="-58" w:firstLineChars="0" w:firstLine="470"/>
        <w:rPr>
          <w:rFonts w:ascii="Times New Roman" w:eastAsiaTheme="minorEastAsia"/>
          <w:sz w:val="24"/>
          <w:szCs w:val="24"/>
        </w:rPr>
      </w:pPr>
      <w:r w:rsidRPr="00CC126D">
        <w:rPr>
          <w:rFonts w:ascii="Times New Roman" w:eastAsiaTheme="minorEastAsia" w:hAnsiTheme="minorEastAsia"/>
          <w:sz w:val="24"/>
          <w:szCs w:val="24"/>
        </w:rPr>
        <w:t>仪器消解温度的准确性直接影响测量结果，</w:t>
      </w:r>
      <w:r w:rsidR="00C7619B" w:rsidRPr="00CC126D">
        <w:rPr>
          <w:rFonts w:ascii="Times New Roman" w:eastAsiaTheme="minorEastAsia" w:hAnsiTheme="minorEastAsia"/>
          <w:sz w:val="24"/>
          <w:szCs w:val="24"/>
        </w:rPr>
        <w:t>因此我们将温度示值误差和</w:t>
      </w:r>
      <w:r w:rsidR="007E7246">
        <w:rPr>
          <w:rFonts w:ascii="Times New Roman" w:eastAsiaTheme="minorEastAsia" w:hAnsiTheme="minorEastAsia"/>
          <w:sz w:val="24"/>
          <w:szCs w:val="24"/>
        </w:rPr>
        <w:t>温度均匀性</w:t>
      </w:r>
      <w:r w:rsidR="00C7619B" w:rsidRPr="00CC126D">
        <w:rPr>
          <w:rFonts w:ascii="Times New Roman" w:eastAsiaTheme="minorEastAsia" w:hAnsiTheme="minorEastAsia"/>
          <w:sz w:val="24"/>
          <w:szCs w:val="24"/>
        </w:rPr>
        <w:t>作为校准项目之一。</w:t>
      </w:r>
      <w:r w:rsidR="007E7246" w:rsidRPr="00CC126D">
        <w:rPr>
          <w:rFonts w:ascii="Times New Roman" w:eastAsiaTheme="minorEastAsia" w:hAnsiTheme="minorEastAsia"/>
          <w:sz w:val="24"/>
          <w:szCs w:val="24"/>
        </w:rPr>
        <w:t>参考</w:t>
      </w:r>
      <w:r w:rsidR="007E7246" w:rsidRPr="00CC126D">
        <w:rPr>
          <w:rFonts w:ascii="Times New Roman" w:eastAsiaTheme="minorEastAsia"/>
          <w:sz w:val="24"/>
          <w:szCs w:val="24"/>
        </w:rPr>
        <w:t>JJG 975-2002</w:t>
      </w:r>
      <w:r w:rsidR="007E7246" w:rsidRPr="00CC126D">
        <w:rPr>
          <w:rFonts w:ascii="Times New Roman" w:eastAsiaTheme="minorEastAsia" w:hAnsiTheme="minorEastAsia"/>
          <w:sz w:val="24"/>
          <w:szCs w:val="24"/>
        </w:rPr>
        <w:t>《化学需氧量</w:t>
      </w:r>
      <w:r w:rsidR="007E7246" w:rsidRPr="00CC126D">
        <w:rPr>
          <w:rFonts w:ascii="Times New Roman" w:eastAsiaTheme="minorEastAsia"/>
          <w:sz w:val="24"/>
          <w:szCs w:val="24"/>
        </w:rPr>
        <w:t>(</w:t>
      </w:r>
      <w:r w:rsidR="007E7246">
        <w:rPr>
          <w:rFonts w:ascii="Times New Roman" w:eastAsiaTheme="minorEastAsia" w:hint="eastAsia"/>
          <w:sz w:val="24"/>
          <w:szCs w:val="24"/>
        </w:rPr>
        <w:t>COD</w:t>
      </w:r>
      <w:r w:rsidR="007E7246" w:rsidRPr="00CC126D">
        <w:rPr>
          <w:rFonts w:ascii="Times New Roman" w:eastAsiaTheme="minorEastAsia"/>
          <w:sz w:val="24"/>
          <w:szCs w:val="24"/>
        </w:rPr>
        <w:t>)</w:t>
      </w:r>
      <w:r w:rsidR="007E7246" w:rsidRPr="00CC126D">
        <w:rPr>
          <w:rFonts w:ascii="Times New Roman" w:eastAsiaTheme="minorEastAsia" w:hAnsiTheme="minorEastAsia"/>
          <w:sz w:val="24"/>
          <w:szCs w:val="24"/>
        </w:rPr>
        <w:t>测定仪检定规程》</w:t>
      </w:r>
      <w:r w:rsidR="007E7246">
        <w:rPr>
          <w:rFonts w:ascii="Times New Roman" w:eastAsiaTheme="minorEastAsia" w:hAnsiTheme="minorEastAsia"/>
          <w:sz w:val="24"/>
          <w:szCs w:val="24"/>
        </w:rPr>
        <w:t>和</w:t>
      </w:r>
      <w:r w:rsidR="007E7246">
        <w:rPr>
          <w:rFonts w:ascii="Times New Roman" w:eastAsiaTheme="minorEastAsia" w:hAnsiTheme="minorEastAsia" w:hint="eastAsia"/>
          <w:sz w:val="24"/>
          <w:szCs w:val="24"/>
        </w:rPr>
        <w:t>JJF 1308-2011</w:t>
      </w:r>
      <w:r w:rsidR="007E7246">
        <w:rPr>
          <w:rFonts w:ascii="Times New Roman" w:eastAsiaTheme="minorEastAsia" w:hAnsiTheme="minorEastAsia" w:hint="eastAsia"/>
          <w:sz w:val="24"/>
          <w:szCs w:val="24"/>
        </w:rPr>
        <w:t>《医用热力灭菌设备温度计校准规范》</w:t>
      </w:r>
      <w:r w:rsidR="007E7246" w:rsidRPr="00CC126D">
        <w:rPr>
          <w:rFonts w:ascii="Times New Roman" w:eastAsiaTheme="minorEastAsia" w:hAnsiTheme="minorEastAsia"/>
          <w:sz w:val="24"/>
          <w:szCs w:val="24"/>
        </w:rPr>
        <w:t>中温度示值误差和</w:t>
      </w:r>
      <w:r w:rsidR="007E7246">
        <w:rPr>
          <w:rFonts w:ascii="Times New Roman" w:eastAsiaTheme="minorEastAsia" w:hAnsiTheme="minorEastAsia"/>
          <w:sz w:val="24"/>
          <w:szCs w:val="24"/>
        </w:rPr>
        <w:t>温度均匀性</w:t>
      </w:r>
      <w:r w:rsidR="007E7246" w:rsidRPr="00CC126D">
        <w:rPr>
          <w:rFonts w:ascii="Times New Roman" w:eastAsiaTheme="minorEastAsia" w:hAnsiTheme="minorEastAsia"/>
          <w:sz w:val="24"/>
          <w:szCs w:val="24"/>
        </w:rPr>
        <w:t>的测量方法</w:t>
      </w:r>
      <w:r w:rsidR="007E7246">
        <w:rPr>
          <w:rFonts w:ascii="Times New Roman" w:eastAsiaTheme="minorEastAsia" w:hAnsiTheme="minorEastAsia"/>
          <w:sz w:val="24"/>
          <w:szCs w:val="24"/>
        </w:rPr>
        <w:t>，</w:t>
      </w:r>
      <w:r w:rsidR="00C7619B" w:rsidRPr="00CC126D">
        <w:rPr>
          <w:rFonts w:ascii="Times New Roman" w:eastAsiaTheme="minorEastAsia" w:hAnsiTheme="minorEastAsia"/>
          <w:sz w:val="24"/>
          <w:szCs w:val="24"/>
        </w:rPr>
        <w:t>仪器</w:t>
      </w:r>
      <w:r w:rsidRPr="00CC126D">
        <w:rPr>
          <w:rFonts w:ascii="Times New Roman" w:eastAsiaTheme="minorEastAsia" w:hAnsiTheme="minorEastAsia"/>
          <w:sz w:val="24"/>
          <w:szCs w:val="24"/>
        </w:rPr>
        <w:t>消解单元根据实际应用场合的不同，消解孔数量不一，</w:t>
      </w:r>
      <w:r w:rsidR="00C7619B" w:rsidRPr="00CC126D">
        <w:rPr>
          <w:rFonts w:ascii="Times New Roman" w:eastAsiaTheme="minorEastAsia" w:hAnsiTheme="minorEastAsia"/>
          <w:sz w:val="24"/>
          <w:szCs w:val="24"/>
        </w:rPr>
        <w:t>为合理地评判温度计量性能，我们选取</w:t>
      </w:r>
      <w:r w:rsidR="005261E7">
        <w:rPr>
          <w:rFonts w:ascii="Times New Roman" w:eastAsiaTheme="minorEastAsia" w:hAnsiTheme="minorEastAsia"/>
          <w:sz w:val="24"/>
          <w:szCs w:val="24"/>
        </w:rPr>
        <w:t>不少于</w:t>
      </w:r>
      <w:r w:rsidR="005261E7">
        <w:rPr>
          <w:rFonts w:ascii="Times New Roman" w:eastAsiaTheme="minorEastAsia" w:hAnsiTheme="minorEastAsia" w:hint="eastAsia"/>
          <w:sz w:val="24"/>
          <w:szCs w:val="24"/>
        </w:rPr>
        <w:t>2</w:t>
      </w:r>
      <w:r w:rsidR="005261E7">
        <w:rPr>
          <w:rFonts w:ascii="Times New Roman" w:eastAsiaTheme="minorEastAsia" w:hAnsiTheme="minorEastAsia" w:hint="eastAsia"/>
          <w:sz w:val="24"/>
          <w:szCs w:val="24"/>
        </w:rPr>
        <w:t>个且</w:t>
      </w:r>
      <w:r w:rsidR="00C7619B" w:rsidRPr="00CC126D">
        <w:rPr>
          <w:rFonts w:ascii="Times New Roman" w:eastAsiaTheme="minorEastAsia" w:hAnsiTheme="minorEastAsia"/>
          <w:sz w:val="24"/>
          <w:szCs w:val="24"/>
        </w:rPr>
        <w:t>至少覆盖</w:t>
      </w:r>
      <w:r w:rsidR="00C7619B" w:rsidRPr="00CC126D">
        <w:rPr>
          <w:rFonts w:ascii="Times New Roman" w:eastAsiaTheme="minorEastAsia"/>
          <w:sz w:val="24"/>
          <w:szCs w:val="24"/>
        </w:rPr>
        <w:t>1/4</w:t>
      </w:r>
      <w:r w:rsidR="00C7619B" w:rsidRPr="00CC126D">
        <w:rPr>
          <w:rFonts w:ascii="Times New Roman" w:eastAsiaTheme="minorEastAsia" w:hAnsiTheme="minorEastAsia"/>
          <w:sz w:val="24"/>
          <w:szCs w:val="24"/>
        </w:rPr>
        <w:t>的消解孔做测量</w:t>
      </w:r>
      <w:r w:rsidR="007E7246">
        <w:rPr>
          <w:rFonts w:ascii="Times New Roman" w:eastAsiaTheme="minorEastAsia" w:hAnsiTheme="minorEastAsia"/>
          <w:sz w:val="24"/>
          <w:szCs w:val="24"/>
        </w:rPr>
        <w:t>；</w:t>
      </w:r>
      <w:r w:rsidR="007E7246">
        <w:rPr>
          <w:rFonts w:ascii="Times New Roman" w:eastAsiaTheme="minorEastAsia" w:hAnsiTheme="minorEastAsia" w:hint="eastAsia"/>
          <w:sz w:val="24"/>
          <w:szCs w:val="24"/>
        </w:rPr>
        <w:t>对于</w:t>
      </w:r>
      <w:r w:rsidR="007E7246">
        <w:rPr>
          <w:sz w:val="24"/>
          <w:szCs w:val="24"/>
        </w:rPr>
        <w:t>采用密封容器通过高压升温的消解单元，因容器大小一般不会超过</w:t>
      </w:r>
      <w:r w:rsidR="007E7246">
        <w:rPr>
          <w:rFonts w:hint="eastAsia"/>
          <w:sz w:val="24"/>
          <w:szCs w:val="24"/>
        </w:rPr>
        <w:t>0.1m</w:t>
      </w:r>
      <w:r w:rsidR="007E7246" w:rsidRPr="007E7246">
        <w:rPr>
          <w:rFonts w:hint="eastAsia"/>
          <w:sz w:val="24"/>
          <w:szCs w:val="24"/>
          <w:vertAlign w:val="superscript"/>
        </w:rPr>
        <w:t>3</w:t>
      </w:r>
      <w:r w:rsidR="007E7246">
        <w:rPr>
          <w:rFonts w:hint="eastAsia"/>
          <w:sz w:val="24"/>
          <w:szCs w:val="24"/>
        </w:rPr>
        <w:t>,不需要进行温度均匀性测试，只进行温度示值误差的测试，</w:t>
      </w:r>
      <w:r w:rsidR="007E7246">
        <w:rPr>
          <w:sz w:val="24"/>
          <w:szCs w:val="24"/>
        </w:rPr>
        <w:t>选取的测量点在被校温度计附近或在舱室中心处。</w:t>
      </w:r>
      <w:r w:rsidR="00C7619B" w:rsidRPr="00CC126D">
        <w:rPr>
          <w:rFonts w:ascii="Times New Roman" w:eastAsiaTheme="minorEastAsia" w:hAnsiTheme="minorEastAsia"/>
          <w:sz w:val="24"/>
          <w:szCs w:val="24"/>
        </w:rPr>
        <w:t>参考</w:t>
      </w:r>
      <w:r w:rsidR="00C7619B" w:rsidRPr="00CC126D">
        <w:rPr>
          <w:rFonts w:ascii="Times New Roman" w:eastAsiaTheme="minorEastAsia"/>
          <w:sz w:val="24"/>
          <w:szCs w:val="24"/>
        </w:rPr>
        <w:t>JJG 975-2002</w:t>
      </w:r>
      <w:r w:rsidR="00C7619B" w:rsidRPr="00CC126D">
        <w:rPr>
          <w:rFonts w:ascii="Times New Roman" w:eastAsiaTheme="minorEastAsia" w:hAnsiTheme="minorEastAsia"/>
          <w:sz w:val="24"/>
          <w:szCs w:val="24"/>
        </w:rPr>
        <w:t>《化学需氧量</w:t>
      </w:r>
      <w:r w:rsidR="00C7619B" w:rsidRPr="00CC126D">
        <w:rPr>
          <w:rFonts w:ascii="Times New Roman" w:eastAsiaTheme="minorEastAsia"/>
          <w:sz w:val="24"/>
          <w:szCs w:val="24"/>
        </w:rPr>
        <w:t>(</w:t>
      </w:r>
      <w:r w:rsidR="007E7246">
        <w:rPr>
          <w:rFonts w:ascii="Times New Roman" w:eastAsiaTheme="minorEastAsia" w:hint="eastAsia"/>
          <w:sz w:val="24"/>
          <w:szCs w:val="24"/>
        </w:rPr>
        <w:t>COD</w:t>
      </w:r>
      <w:r w:rsidR="00C7619B" w:rsidRPr="00CC126D">
        <w:rPr>
          <w:rFonts w:ascii="Times New Roman" w:eastAsiaTheme="minorEastAsia"/>
          <w:sz w:val="24"/>
          <w:szCs w:val="24"/>
        </w:rPr>
        <w:t>)</w:t>
      </w:r>
      <w:r w:rsidR="00C7619B" w:rsidRPr="00CC126D">
        <w:rPr>
          <w:rFonts w:ascii="Times New Roman" w:eastAsiaTheme="minorEastAsia" w:hAnsiTheme="minorEastAsia"/>
          <w:sz w:val="24"/>
          <w:szCs w:val="24"/>
        </w:rPr>
        <w:t>测定仪检定规程》中温度示值误差和</w:t>
      </w:r>
      <w:r w:rsidR="007E7246">
        <w:rPr>
          <w:rFonts w:ascii="Times New Roman" w:eastAsiaTheme="minorEastAsia" w:hAnsiTheme="minorEastAsia"/>
          <w:sz w:val="24"/>
          <w:szCs w:val="24"/>
        </w:rPr>
        <w:t>温度均匀性</w:t>
      </w:r>
      <w:r w:rsidR="00C7619B" w:rsidRPr="00CC126D">
        <w:rPr>
          <w:rFonts w:ascii="Times New Roman" w:eastAsiaTheme="minorEastAsia" w:hAnsiTheme="minorEastAsia"/>
          <w:sz w:val="24"/>
          <w:szCs w:val="24"/>
        </w:rPr>
        <w:t>的技术指标以及表</w:t>
      </w:r>
      <w:r w:rsidR="00C7619B" w:rsidRPr="00CC126D">
        <w:rPr>
          <w:rFonts w:ascii="Times New Roman" w:eastAsiaTheme="minorEastAsia"/>
          <w:sz w:val="24"/>
          <w:szCs w:val="24"/>
        </w:rPr>
        <w:t>3</w:t>
      </w:r>
      <w:r w:rsidR="00C7619B" w:rsidRPr="00CC126D">
        <w:rPr>
          <w:rFonts w:ascii="Times New Roman" w:eastAsiaTheme="minorEastAsia" w:hAnsiTheme="minorEastAsia"/>
          <w:sz w:val="24"/>
          <w:szCs w:val="24"/>
        </w:rPr>
        <w:t>中厂家提供的技术指标要求，建议温度示值误差不超过</w:t>
      </w:r>
      <w:r w:rsidR="00C7619B" w:rsidRPr="00CC126D">
        <w:rPr>
          <w:rFonts w:ascii="Times New Roman" w:eastAsiaTheme="minorEastAsia"/>
          <w:sz w:val="24"/>
          <w:szCs w:val="24"/>
        </w:rPr>
        <w:t>±2℃</w:t>
      </w:r>
      <w:r w:rsidR="00C7619B" w:rsidRPr="00CC126D">
        <w:rPr>
          <w:rFonts w:ascii="Times New Roman" w:eastAsiaTheme="minorEastAsia" w:hAnsiTheme="minorEastAsia"/>
          <w:sz w:val="24"/>
          <w:szCs w:val="24"/>
        </w:rPr>
        <w:t>，</w:t>
      </w:r>
      <w:r w:rsidR="007E7246">
        <w:rPr>
          <w:rFonts w:ascii="Times New Roman" w:eastAsiaTheme="minorEastAsia" w:hAnsiTheme="minorEastAsia"/>
          <w:sz w:val="24"/>
          <w:szCs w:val="24"/>
        </w:rPr>
        <w:t>温度均匀性</w:t>
      </w:r>
      <w:r w:rsidR="00C7619B" w:rsidRPr="00CC126D">
        <w:rPr>
          <w:rFonts w:ascii="Times New Roman" w:eastAsiaTheme="minorEastAsia"/>
          <w:sz w:val="24"/>
          <w:szCs w:val="24"/>
        </w:rPr>
        <w:t>≤3℃</w:t>
      </w:r>
      <w:r w:rsidR="00C7619B" w:rsidRPr="00CC126D">
        <w:rPr>
          <w:rFonts w:ascii="Times New Roman" w:eastAsiaTheme="minorEastAsia" w:hAnsiTheme="minorEastAsia"/>
          <w:sz w:val="24"/>
          <w:szCs w:val="24"/>
        </w:rPr>
        <w:t>。</w:t>
      </w:r>
    </w:p>
    <w:p w:rsidR="00C7619B" w:rsidRPr="00CC126D" w:rsidRDefault="00C7619B" w:rsidP="00C7619B">
      <w:pPr>
        <w:pStyle w:val="20"/>
        <w:tabs>
          <w:tab w:val="left" w:pos="1785"/>
        </w:tabs>
        <w:spacing w:line="360" w:lineRule="auto"/>
        <w:ind w:left="0" w:right="-58" w:firstLineChars="0" w:firstLine="0"/>
        <w:rPr>
          <w:rFonts w:ascii="Times New Roman" w:eastAsiaTheme="minorEastAsia"/>
          <w:sz w:val="24"/>
          <w:szCs w:val="24"/>
        </w:rPr>
      </w:pPr>
      <w:r w:rsidRPr="00CC126D">
        <w:rPr>
          <w:rFonts w:ascii="Times New Roman" w:eastAsiaTheme="minorEastAsia"/>
          <w:sz w:val="24"/>
          <w:szCs w:val="24"/>
        </w:rPr>
        <w:t>4</w:t>
      </w:r>
      <w:r w:rsidRPr="00CC126D">
        <w:rPr>
          <w:rFonts w:ascii="Times New Roman" w:eastAsiaTheme="minorEastAsia" w:hAnsiTheme="minorEastAsia"/>
          <w:sz w:val="24"/>
          <w:szCs w:val="24"/>
        </w:rPr>
        <w:t>、消解时间示值误差</w:t>
      </w:r>
    </w:p>
    <w:p w:rsidR="00C7619B" w:rsidRPr="00CC126D" w:rsidRDefault="00C7619B" w:rsidP="00451849">
      <w:pPr>
        <w:pStyle w:val="20"/>
        <w:tabs>
          <w:tab w:val="left" w:pos="1785"/>
        </w:tabs>
        <w:spacing w:line="360" w:lineRule="auto"/>
        <w:ind w:left="0" w:right="-58" w:firstLineChars="0" w:firstLine="480"/>
        <w:rPr>
          <w:rFonts w:ascii="Times New Roman" w:eastAsiaTheme="minorEastAsia"/>
          <w:sz w:val="24"/>
          <w:szCs w:val="24"/>
        </w:rPr>
      </w:pPr>
      <w:r w:rsidRPr="00CC126D">
        <w:rPr>
          <w:rFonts w:ascii="Times New Roman" w:eastAsiaTheme="minorEastAsia" w:hAnsiTheme="minorEastAsia"/>
          <w:sz w:val="24"/>
          <w:szCs w:val="24"/>
        </w:rPr>
        <w:t>同样地，仪器消解时间的准确性也会直接影响测量结果，因此我们将消解时间示值误差作为校准项目之一。参考</w:t>
      </w:r>
      <w:r w:rsidRPr="00CC126D">
        <w:rPr>
          <w:rFonts w:ascii="Times New Roman" w:eastAsiaTheme="minorEastAsia"/>
          <w:sz w:val="24"/>
          <w:szCs w:val="24"/>
        </w:rPr>
        <w:t>JJG 975-2002</w:t>
      </w:r>
      <w:r w:rsidRPr="00CC126D">
        <w:rPr>
          <w:rFonts w:ascii="Times New Roman" w:eastAsiaTheme="minorEastAsia" w:hAnsiTheme="minorEastAsia"/>
          <w:sz w:val="24"/>
          <w:szCs w:val="24"/>
        </w:rPr>
        <w:t>《化学需氧量</w:t>
      </w:r>
      <w:r w:rsidR="007E7246">
        <w:rPr>
          <w:rFonts w:ascii="Times New Roman" w:eastAsiaTheme="minorEastAsia"/>
          <w:sz w:val="24"/>
          <w:szCs w:val="24"/>
        </w:rPr>
        <w:t>(</w:t>
      </w:r>
      <w:r w:rsidR="007E7246">
        <w:rPr>
          <w:rFonts w:ascii="Times New Roman" w:eastAsiaTheme="minorEastAsia" w:hint="eastAsia"/>
          <w:sz w:val="24"/>
          <w:szCs w:val="24"/>
        </w:rPr>
        <w:t>COD</w:t>
      </w:r>
      <w:r w:rsidRPr="00CC126D">
        <w:rPr>
          <w:rFonts w:ascii="Times New Roman" w:eastAsiaTheme="minorEastAsia"/>
          <w:sz w:val="24"/>
          <w:szCs w:val="24"/>
        </w:rPr>
        <w:t>)</w:t>
      </w:r>
      <w:r w:rsidRPr="00CC126D">
        <w:rPr>
          <w:rFonts w:ascii="Times New Roman" w:eastAsiaTheme="minorEastAsia" w:hAnsiTheme="minorEastAsia"/>
          <w:sz w:val="24"/>
          <w:szCs w:val="24"/>
        </w:rPr>
        <w:t>测定仪检定规程》中消解时间示值误差的测量方法、技术指标以及表</w:t>
      </w:r>
      <w:r w:rsidRPr="00CC126D">
        <w:rPr>
          <w:rFonts w:ascii="Times New Roman" w:eastAsiaTheme="minorEastAsia"/>
          <w:sz w:val="24"/>
          <w:szCs w:val="24"/>
        </w:rPr>
        <w:t>3</w:t>
      </w:r>
      <w:r w:rsidRPr="00CC126D">
        <w:rPr>
          <w:rFonts w:ascii="Times New Roman" w:eastAsiaTheme="minorEastAsia" w:hAnsiTheme="minorEastAsia"/>
          <w:sz w:val="24"/>
          <w:szCs w:val="24"/>
        </w:rPr>
        <w:t>中厂家提供的技术指标要求，建议消解时间示值误差不超过</w:t>
      </w:r>
      <w:r w:rsidRPr="00CC126D">
        <w:rPr>
          <w:rFonts w:ascii="Times New Roman" w:eastAsiaTheme="minorEastAsia"/>
          <w:sz w:val="24"/>
          <w:szCs w:val="24"/>
        </w:rPr>
        <w:t>±2%</w:t>
      </w:r>
      <w:r w:rsidRPr="00CC126D">
        <w:rPr>
          <w:rFonts w:ascii="Times New Roman" w:eastAsiaTheme="minorEastAsia" w:hAnsiTheme="minorEastAsia"/>
          <w:sz w:val="24"/>
          <w:szCs w:val="24"/>
        </w:rPr>
        <w:t>。</w:t>
      </w:r>
    </w:p>
    <w:p w:rsidR="00451849" w:rsidRPr="00CC126D" w:rsidRDefault="00451849" w:rsidP="00451849">
      <w:pPr>
        <w:pStyle w:val="20"/>
        <w:tabs>
          <w:tab w:val="left" w:pos="1785"/>
        </w:tabs>
        <w:spacing w:line="360" w:lineRule="auto"/>
        <w:ind w:left="0" w:right="-58" w:firstLineChars="0" w:firstLine="0"/>
        <w:rPr>
          <w:rFonts w:ascii="Times New Roman" w:eastAsiaTheme="minorEastAsia"/>
          <w:sz w:val="24"/>
          <w:szCs w:val="24"/>
        </w:rPr>
      </w:pPr>
      <w:r w:rsidRPr="00CC126D">
        <w:rPr>
          <w:rFonts w:ascii="Times New Roman" w:eastAsiaTheme="minorEastAsia"/>
          <w:sz w:val="24"/>
          <w:szCs w:val="24"/>
        </w:rPr>
        <w:t>5</w:t>
      </w:r>
      <w:r w:rsidRPr="00CC126D">
        <w:rPr>
          <w:rFonts w:ascii="Times New Roman" w:eastAsiaTheme="minorEastAsia" w:hAnsiTheme="minorEastAsia"/>
          <w:sz w:val="24"/>
          <w:szCs w:val="24"/>
        </w:rPr>
        <w:t>、</w:t>
      </w:r>
      <w:r w:rsidR="007C25C4">
        <w:rPr>
          <w:rFonts w:ascii="Times New Roman" w:eastAsiaTheme="minorEastAsia" w:hAnsiTheme="minorEastAsia"/>
          <w:sz w:val="24"/>
          <w:szCs w:val="24"/>
        </w:rPr>
        <w:t>加液管</w:t>
      </w:r>
      <w:r w:rsidRPr="00CC126D">
        <w:rPr>
          <w:rFonts w:ascii="Times New Roman" w:eastAsiaTheme="minorEastAsia" w:hAnsiTheme="minorEastAsia"/>
          <w:sz w:val="24"/>
          <w:szCs w:val="24"/>
        </w:rPr>
        <w:t>容量误差</w:t>
      </w:r>
    </w:p>
    <w:p w:rsidR="00AD2F7B" w:rsidRDefault="00E75645" w:rsidP="00DB5F88">
      <w:pPr>
        <w:pStyle w:val="20"/>
        <w:spacing w:line="360" w:lineRule="auto"/>
        <w:ind w:left="0" w:firstLineChars="0" w:firstLine="480"/>
        <w:rPr>
          <w:rFonts w:ascii="Times New Roman" w:eastAsiaTheme="minorEastAsia" w:hAnsiTheme="minorEastAsia"/>
          <w:sz w:val="24"/>
          <w:szCs w:val="24"/>
        </w:rPr>
      </w:pPr>
      <w:r w:rsidRPr="00CC126D">
        <w:rPr>
          <w:rFonts w:ascii="Times New Roman" w:eastAsiaTheme="minorEastAsia" w:hAnsiTheme="minorEastAsia"/>
          <w:sz w:val="24"/>
          <w:szCs w:val="24"/>
        </w:rPr>
        <w:t>对于</w:t>
      </w:r>
      <w:r w:rsidR="00451849" w:rsidRPr="00CC126D">
        <w:rPr>
          <w:rFonts w:ascii="Times New Roman" w:eastAsiaTheme="minorEastAsia" w:hAnsiTheme="minorEastAsia"/>
          <w:sz w:val="24"/>
          <w:szCs w:val="24"/>
        </w:rPr>
        <w:t>全自动型仪器</w:t>
      </w:r>
      <w:r w:rsidR="00AD2F7B" w:rsidRPr="00CC126D">
        <w:rPr>
          <w:rFonts w:ascii="Times New Roman" w:eastAsiaTheme="minorEastAsia" w:hAnsiTheme="minorEastAsia"/>
          <w:sz w:val="24"/>
          <w:szCs w:val="24"/>
        </w:rPr>
        <w:t>，</w:t>
      </w:r>
      <w:r w:rsidR="007616E5" w:rsidRPr="00CC126D">
        <w:rPr>
          <w:rFonts w:ascii="Times New Roman" w:eastAsiaTheme="minorEastAsia" w:hAnsiTheme="minorEastAsia"/>
          <w:sz w:val="24"/>
          <w:szCs w:val="24"/>
        </w:rPr>
        <w:t>其</w:t>
      </w:r>
      <w:r w:rsidR="00224F52" w:rsidRPr="00CC126D">
        <w:rPr>
          <w:rFonts w:ascii="Times New Roman" w:eastAsiaTheme="minorEastAsia" w:hAnsiTheme="minorEastAsia"/>
          <w:sz w:val="24"/>
          <w:szCs w:val="24"/>
        </w:rPr>
        <w:t>添加反应试剂是不需要人工参与的，用</w:t>
      </w:r>
      <w:r w:rsidR="007C25C4">
        <w:rPr>
          <w:rFonts w:ascii="Times New Roman" w:eastAsiaTheme="minorEastAsia" w:hAnsiTheme="minorEastAsia"/>
          <w:sz w:val="24"/>
          <w:szCs w:val="24"/>
        </w:rPr>
        <w:t>加液管</w:t>
      </w:r>
      <w:r w:rsidR="00224F52" w:rsidRPr="00CC126D">
        <w:rPr>
          <w:rFonts w:ascii="Times New Roman" w:eastAsiaTheme="minorEastAsia" w:hAnsiTheme="minorEastAsia"/>
          <w:sz w:val="24"/>
          <w:szCs w:val="24"/>
        </w:rPr>
        <w:t>（定量环</w:t>
      </w:r>
      <w:r w:rsidR="00C900BB">
        <w:rPr>
          <w:rFonts w:ascii="Times New Roman" w:eastAsiaTheme="minorEastAsia" w:hAnsiTheme="minorEastAsia"/>
          <w:sz w:val="24"/>
          <w:szCs w:val="24"/>
        </w:rPr>
        <w:t>、柱塞泵等</w:t>
      </w:r>
      <w:r w:rsidR="00224F52" w:rsidRPr="00CC126D">
        <w:rPr>
          <w:rFonts w:ascii="Times New Roman" w:eastAsiaTheme="minorEastAsia" w:hAnsiTheme="minorEastAsia"/>
          <w:sz w:val="24"/>
          <w:szCs w:val="24"/>
        </w:rPr>
        <w:t>）代替人工加试剂时使用的移液器，</w:t>
      </w:r>
      <w:r w:rsidR="007C25C4">
        <w:rPr>
          <w:rFonts w:ascii="Times New Roman" w:eastAsiaTheme="minorEastAsia" w:hAnsiTheme="minorEastAsia"/>
          <w:sz w:val="24"/>
          <w:szCs w:val="24"/>
        </w:rPr>
        <w:t>加液管</w:t>
      </w:r>
      <w:r w:rsidR="00224F52" w:rsidRPr="00CC126D">
        <w:rPr>
          <w:rFonts w:ascii="Times New Roman" w:eastAsiaTheme="minorEastAsia" w:hAnsiTheme="minorEastAsia"/>
          <w:sz w:val="24"/>
          <w:szCs w:val="24"/>
        </w:rPr>
        <w:t>的容量准确性直接影响测量结果，因</w:t>
      </w:r>
      <w:r w:rsidR="00AD2F7B" w:rsidRPr="00CC126D">
        <w:rPr>
          <w:rFonts w:ascii="Times New Roman" w:eastAsiaTheme="minorEastAsia" w:hAnsiTheme="minorEastAsia"/>
          <w:sz w:val="24"/>
          <w:szCs w:val="24"/>
        </w:rPr>
        <w:t>此</w:t>
      </w:r>
      <w:r w:rsidR="007D2B93" w:rsidRPr="00CC126D">
        <w:rPr>
          <w:rFonts w:ascii="Times New Roman" w:eastAsiaTheme="minorEastAsia" w:hAnsiTheme="minorEastAsia"/>
          <w:sz w:val="24"/>
          <w:szCs w:val="24"/>
        </w:rPr>
        <w:t>我们</w:t>
      </w:r>
      <w:r w:rsidR="00224F52" w:rsidRPr="00CC126D">
        <w:rPr>
          <w:rFonts w:ascii="Times New Roman" w:eastAsiaTheme="minorEastAsia" w:hAnsiTheme="minorEastAsia"/>
          <w:sz w:val="24"/>
          <w:szCs w:val="24"/>
        </w:rPr>
        <w:t>针对全自动型</w:t>
      </w:r>
      <w:r w:rsidR="007D2B93" w:rsidRPr="00CC126D">
        <w:rPr>
          <w:rFonts w:ascii="Times New Roman" w:eastAsiaTheme="minorEastAsia" w:hAnsiTheme="minorEastAsia"/>
          <w:sz w:val="24"/>
          <w:szCs w:val="24"/>
        </w:rPr>
        <w:t>的</w:t>
      </w:r>
      <w:r w:rsidR="00224F52" w:rsidRPr="00CC126D">
        <w:rPr>
          <w:rFonts w:ascii="Times New Roman" w:eastAsiaTheme="minorEastAsia" w:hAnsiTheme="minorEastAsia"/>
          <w:sz w:val="24"/>
          <w:szCs w:val="24"/>
        </w:rPr>
        <w:t>总磷总氮分析仪增加了</w:t>
      </w:r>
      <w:r w:rsidR="007C25C4">
        <w:rPr>
          <w:rFonts w:ascii="Times New Roman" w:eastAsiaTheme="minorEastAsia" w:hAnsiTheme="minorEastAsia"/>
          <w:sz w:val="24"/>
          <w:szCs w:val="24"/>
        </w:rPr>
        <w:t>加液管</w:t>
      </w:r>
      <w:r w:rsidR="00224F52" w:rsidRPr="00CC126D">
        <w:rPr>
          <w:rFonts w:ascii="Times New Roman" w:eastAsiaTheme="minorEastAsia" w:hAnsiTheme="minorEastAsia"/>
          <w:sz w:val="24"/>
          <w:szCs w:val="24"/>
        </w:rPr>
        <w:t>容量误差</w:t>
      </w:r>
      <w:r w:rsidR="007616E5" w:rsidRPr="00CC126D">
        <w:rPr>
          <w:rFonts w:ascii="Times New Roman" w:eastAsiaTheme="minorEastAsia" w:hAnsiTheme="minorEastAsia"/>
          <w:sz w:val="24"/>
          <w:szCs w:val="24"/>
        </w:rPr>
        <w:t>的校准项目。</w:t>
      </w:r>
      <w:r w:rsidR="00D45041" w:rsidRPr="00CC126D">
        <w:rPr>
          <w:rFonts w:ascii="Times New Roman" w:eastAsiaTheme="minorEastAsia" w:hAnsiTheme="minorEastAsia"/>
          <w:sz w:val="24"/>
          <w:szCs w:val="24"/>
        </w:rPr>
        <w:t>因实际添加试剂的范围在（</w:t>
      </w:r>
      <w:r w:rsidR="00D45041" w:rsidRPr="00CC126D">
        <w:rPr>
          <w:rFonts w:ascii="Times New Roman" w:eastAsiaTheme="minorEastAsia"/>
          <w:sz w:val="24"/>
          <w:szCs w:val="24"/>
        </w:rPr>
        <w:t>1~</w:t>
      </w:r>
      <w:r w:rsidR="00C900BB">
        <w:rPr>
          <w:rFonts w:ascii="Times New Roman" w:eastAsiaTheme="minorEastAsia" w:hint="eastAsia"/>
          <w:sz w:val="24"/>
          <w:szCs w:val="24"/>
        </w:rPr>
        <w:t>2</w:t>
      </w:r>
      <w:r w:rsidR="00D45041" w:rsidRPr="00CC126D">
        <w:rPr>
          <w:rFonts w:ascii="Times New Roman" w:eastAsiaTheme="minorEastAsia"/>
          <w:sz w:val="24"/>
          <w:szCs w:val="24"/>
        </w:rPr>
        <w:t>5</w:t>
      </w:r>
      <w:r w:rsidR="00D45041" w:rsidRPr="00CC126D">
        <w:rPr>
          <w:rFonts w:ascii="Times New Roman" w:eastAsiaTheme="minorEastAsia" w:hAnsiTheme="minorEastAsia"/>
          <w:sz w:val="24"/>
          <w:szCs w:val="24"/>
        </w:rPr>
        <w:t>）</w:t>
      </w:r>
      <w:r w:rsidR="00D45041" w:rsidRPr="00CC126D">
        <w:rPr>
          <w:rFonts w:ascii="Times New Roman" w:eastAsiaTheme="minorEastAsia"/>
          <w:sz w:val="24"/>
          <w:szCs w:val="24"/>
        </w:rPr>
        <w:t>mL</w:t>
      </w:r>
      <w:r w:rsidR="00D45041" w:rsidRPr="00CC126D">
        <w:rPr>
          <w:rFonts w:ascii="Times New Roman" w:eastAsiaTheme="minorEastAsia" w:hAnsiTheme="minorEastAsia"/>
          <w:sz w:val="24"/>
          <w:szCs w:val="24"/>
        </w:rPr>
        <w:t>不等，</w:t>
      </w:r>
      <w:r w:rsidR="00AD258D" w:rsidRPr="00CC126D">
        <w:rPr>
          <w:rFonts w:ascii="Times New Roman" w:eastAsiaTheme="minorEastAsia" w:hAnsiTheme="minorEastAsia"/>
          <w:sz w:val="24"/>
          <w:szCs w:val="24"/>
        </w:rPr>
        <w:t>参考</w:t>
      </w:r>
      <w:r w:rsidR="00AD258D" w:rsidRPr="00CC126D">
        <w:rPr>
          <w:rFonts w:ascii="Times New Roman" w:eastAsiaTheme="minorEastAsia"/>
          <w:sz w:val="24"/>
          <w:szCs w:val="24"/>
        </w:rPr>
        <w:t>JJG 6</w:t>
      </w:r>
      <w:r w:rsidR="00D45041" w:rsidRPr="00CC126D">
        <w:rPr>
          <w:rFonts w:ascii="Times New Roman" w:eastAsiaTheme="minorEastAsia"/>
          <w:sz w:val="24"/>
          <w:szCs w:val="24"/>
        </w:rPr>
        <w:t>46</w:t>
      </w:r>
      <w:r w:rsidR="00AD258D" w:rsidRPr="00CC126D">
        <w:rPr>
          <w:rFonts w:ascii="Times New Roman" w:eastAsiaTheme="minorEastAsia"/>
          <w:sz w:val="24"/>
          <w:szCs w:val="24"/>
        </w:rPr>
        <w:t>-20</w:t>
      </w:r>
      <w:r w:rsidR="00D45041" w:rsidRPr="00CC126D">
        <w:rPr>
          <w:rFonts w:ascii="Times New Roman" w:eastAsiaTheme="minorEastAsia"/>
          <w:sz w:val="24"/>
          <w:szCs w:val="24"/>
        </w:rPr>
        <w:t>06</w:t>
      </w:r>
      <w:r w:rsidR="00AD258D" w:rsidRPr="00CC126D">
        <w:rPr>
          <w:rFonts w:ascii="Times New Roman" w:eastAsiaTheme="minorEastAsia" w:hAnsiTheme="minorEastAsia"/>
          <w:sz w:val="24"/>
          <w:szCs w:val="24"/>
        </w:rPr>
        <w:t>《</w:t>
      </w:r>
      <w:r w:rsidR="00D45041" w:rsidRPr="00CC126D">
        <w:rPr>
          <w:rFonts w:ascii="Times New Roman" w:eastAsiaTheme="minorEastAsia" w:hAnsiTheme="minorEastAsia"/>
          <w:sz w:val="24"/>
          <w:szCs w:val="24"/>
        </w:rPr>
        <w:t>移液器</w:t>
      </w:r>
      <w:r w:rsidR="00AD258D" w:rsidRPr="00CC126D">
        <w:rPr>
          <w:rFonts w:ascii="Times New Roman" w:eastAsiaTheme="minorEastAsia" w:hAnsiTheme="minorEastAsia"/>
          <w:sz w:val="24"/>
          <w:szCs w:val="24"/>
        </w:rPr>
        <w:t>检定规程》</w:t>
      </w:r>
      <w:r w:rsidR="00E708A7" w:rsidRPr="00CC126D">
        <w:rPr>
          <w:rFonts w:ascii="Times New Roman" w:eastAsiaTheme="minorEastAsia" w:hAnsiTheme="minorEastAsia"/>
          <w:sz w:val="24"/>
          <w:szCs w:val="24"/>
        </w:rPr>
        <w:t>中移液器</w:t>
      </w:r>
      <w:r w:rsidR="00D45041" w:rsidRPr="00CC126D">
        <w:rPr>
          <w:rFonts w:ascii="Times New Roman" w:eastAsiaTheme="minorEastAsia" w:hAnsiTheme="minorEastAsia"/>
          <w:sz w:val="24"/>
          <w:szCs w:val="24"/>
        </w:rPr>
        <w:t>的测量方法</w:t>
      </w:r>
      <w:r w:rsidR="00E708A7" w:rsidRPr="00CC126D">
        <w:rPr>
          <w:rFonts w:ascii="Times New Roman" w:eastAsiaTheme="minorEastAsia" w:hAnsiTheme="minorEastAsia"/>
          <w:sz w:val="24"/>
          <w:szCs w:val="24"/>
        </w:rPr>
        <w:t>和</w:t>
      </w:r>
      <w:r w:rsidR="00D45041" w:rsidRPr="00CC126D">
        <w:rPr>
          <w:rFonts w:ascii="Times New Roman" w:eastAsiaTheme="minorEastAsia" w:hAnsiTheme="minorEastAsia"/>
          <w:sz w:val="24"/>
          <w:szCs w:val="24"/>
        </w:rPr>
        <w:t>技术指标要求</w:t>
      </w:r>
      <w:r w:rsidR="00AD258D" w:rsidRPr="00CC126D">
        <w:rPr>
          <w:rFonts w:ascii="Times New Roman" w:eastAsiaTheme="minorEastAsia" w:hAnsiTheme="minorEastAsia"/>
          <w:sz w:val="24"/>
          <w:szCs w:val="24"/>
        </w:rPr>
        <w:t>，同时</w:t>
      </w:r>
      <w:r w:rsidR="007616E5" w:rsidRPr="00CC126D">
        <w:rPr>
          <w:rFonts w:ascii="Times New Roman" w:eastAsiaTheme="minorEastAsia" w:hAnsiTheme="minorEastAsia"/>
          <w:sz w:val="24"/>
          <w:szCs w:val="24"/>
        </w:rPr>
        <w:t>根据</w:t>
      </w:r>
      <w:r w:rsidR="00D45041" w:rsidRPr="00CC126D">
        <w:rPr>
          <w:rFonts w:ascii="Times New Roman" w:eastAsiaTheme="minorEastAsia" w:hAnsiTheme="minorEastAsia"/>
          <w:sz w:val="24"/>
          <w:szCs w:val="24"/>
        </w:rPr>
        <w:t>厂家提供</w:t>
      </w:r>
      <w:r w:rsidR="007616E5" w:rsidRPr="00CC126D">
        <w:rPr>
          <w:rFonts w:ascii="Times New Roman" w:eastAsiaTheme="minorEastAsia" w:hAnsiTheme="minorEastAsia"/>
          <w:sz w:val="24"/>
          <w:szCs w:val="24"/>
        </w:rPr>
        <w:t>的技术指标及实际测量结果，</w:t>
      </w:r>
      <w:r w:rsidR="00C900BB">
        <w:rPr>
          <w:rFonts w:ascii="Times New Roman" w:eastAsiaTheme="minorEastAsia" w:hAnsiTheme="minorEastAsia"/>
          <w:sz w:val="24"/>
          <w:szCs w:val="24"/>
        </w:rPr>
        <w:t>建议</w:t>
      </w:r>
      <w:r w:rsidR="007C25C4">
        <w:rPr>
          <w:rFonts w:ascii="Times New Roman" w:eastAsiaTheme="minorEastAsia" w:hAnsiTheme="minorEastAsia"/>
          <w:sz w:val="24"/>
          <w:szCs w:val="24"/>
        </w:rPr>
        <w:t>加液管</w:t>
      </w:r>
      <w:r w:rsidR="00D45041" w:rsidRPr="00CC126D">
        <w:rPr>
          <w:rFonts w:ascii="Times New Roman" w:eastAsiaTheme="minorEastAsia" w:hAnsiTheme="minorEastAsia"/>
          <w:sz w:val="24"/>
          <w:szCs w:val="24"/>
        </w:rPr>
        <w:t>容量误差</w:t>
      </w:r>
      <w:r w:rsidR="00E708A7" w:rsidRPr="00CC126D">
        <w:rPr>
          <w:rFonts w:ascii="Times New Roman" w:eastAsiaTheme="minorEastAsia" w:hAnsiTheme="minorEastAsia"/>
          <w:sz w:val="24"/>
          <w:szCs w:val="24"/>
        </w:rPr>
        <w:t>不超过</w:t>
      </w:r>
      <w:r w:rsidR="00E708A7" w:rsidRPr="00CC126D">
        <w:rPr>
          <w:rFonts w:ascii="Times New Roman" w:eastAsiaTheme="minorEastAsia"/>
          <w:sz w:val="24"/>
          <w:szCs w:val="24"/>
        </w:rPr>
        <w:t>±1.0%</w:t>
      </w:r>
      <w:r w:rsidR="00AD2F7B" w:rsidRPr="00CC126D">
        <w:rPr>
          <w:rFonts w:ascii="Times New Roman" w:eastAsiaTheme="minorEastAsia" w:hAnsiTheme="minorEastAsia"/>
          <w:sz w:val="24"/>
          <w:szCs w:val="24"/>
        </w:rPr>
        <w:t>。</w:t>
      </w:r>
    </w:p>
    <w:p w:rsidR="00764169" w:rsidRPr="00CC126D" w:rsidRDefault="00764169" w:rsidP="00764169">
      <w:pPr>
        <w:spacing w:line="720" w:lineRule="auto"/>
        <w:rPr>
          <w:rFonts w:ascii="Times New Roman" w:eastAsiaTheme="minorEastAsia" w:hAnsi="Times New Roman" w:cs="Times New Roman"/>
          <w:b/>
          <w:sz w:val="24"/>
        </w:rPr>
      </w:pPr>
      <w:r w:rsidRPr="00CC126D">
        <w:rPr>
          <w:rFonts w:ascii="Times New Roman" w:eastAsiaTheme="minorEastAsia" w:hAnsiTheme="minorEastAsia" w:cs="Times New Roman"/>
          <w:b/>
          <w:sz w:val="24"/>
        </w:rPr>
        <w:t>七、不确定度评定</w:t>
      </w:r>
    </w:p>
    <w:p w:rsidR="00764169" w:rsidRPr="00CC126D" w:rsidRDefault="00764169" w:rsidP="00764169">
      <w:pPr>
        <w:spacing w:line="360" w:lineRule="auto"/>
        <w:ind w:firstLineChars="200" w:firstLine="480"/>
        <w:rPr>
          <w:rFonts w:ascii="Times New Roman" w:eastAsiaTheme="minorEastAsia" w:hAnsi="Times New Roman" w:cs="Times New Roman"/>
          <w:sz w:val="24"/>
        </w:rPr>
      </w:pPr>
      <w:r w:rsidRPr="00CC126D">
        <w:rPr>
          <w:rFonts w:ascii="Times New Roman" w:eastAsiaTheme="minorEastAsia" w:hAnsiTheme="minorEastAsia" w:cs="Times New Roman"/>
          <w:sz w:val="24"/>
        </w:rPr>
        <w:t>按照</w:t>
      </w:r>
      <w:r w:rsidRPr="00CC126D">
        <w:rPr>
          <w:rFonts w:ascii="Times New Roman" w:eastAsiaTheme="minorEastAsia" w:hAnsi="Times New Roman" w:cs="Times New Roman"/>
          <w:sz w:val="24"/>
        </w:rPr>
        <w:t>JJF 1071-2010</w:t>
      </w:r>
      <w:r w:rsidRPr="00CC126D">
        <w:rPr>
          <w:rFonts w:ascii="Times New Roman" w:eastAsiaTheme="minorEastAsia" w:hAnsiTheme="minorEastAsia" w:cs="Times New Roman"/>
          <w:sz w:val="24"/>
        </w:rPr>
        <w:t>《国家计量校准规范编写规则》和</w:t>
      </w:r>
      <w:r w:rsidRPr="00CC126D">
        <w:rPr>
          <w:rFonts w:ascii="Times New Roman" w:eastAsiaTheme="minorEastAsia" w:hAnsi="Times New Roman" w:cs="Times New Roman"/>
          <w:sz w:val="24"/>
        </w:rPr>
        <w:t>JJF1059.1-2012</w:t>
      </w:r>
      <w:r w:rsidRPr="00CC126D">
        <w:rPr>
          <w:rFonts w:ascii="Times New Roman" w:eastAsiaTheme="minorEastAsia" w:hAnsiTheme="minorEastAsia" w:cs="Times New Roman"/>
          <w:sz w:val="24"/>
        </w:rPr>
        <w:t>《测量不确定度评定与表示》相关要求，编写了校准结果的不确定度评定实</w:t>
      </w:r>
      <w:bookmarkStart w:id="6" w:name="_Toc413319172"/>
      <w:r w:rsidRPr="00CC126D">
        <w:rPr>
          <w:rFonts w:ascii="Times New Roman" w:eastAsiaTheme="minorEastAsia" w:hAnsiTheme="minorEastAsia" w:cs="Times New Roman"/>
          <w:sz w:val="24"/>
        </w:rPr>
        <w:t>例</w:t>
      </w:r>
      <w:bookmarkEnd w:id="6"/>
      <w:r w:rsidRPr="00CC126D">
        <w:rPr>
          <w:rFonts w:ascii="Times New Roman" w:eastAsiaTheme="minorEastAsia" w:hAnsiTheme="minorEastAsia" w:cs="Times New Roman"/>
          <w:sz w:val="24"/>
        </w:rPr>
        <w:t>（详见校</w:t>
      </w:r>
      <w:r w:rsidRPr="00CC126D">
        <w:rPr>
          <w:rFonts w:ascii="Times New Roman" w:eastAsiaTheme="minorEastAsia" w:hAnsiTheme="minorEastAsia" w:cs="Times New Roman"/>
          <w:sz w:val="24"/>
        </w:rPr>
        <w:lastRenderedPageBreak/>
        <w:t>准规范</w:t>
      </w:r>
      <w:r w:rsidR="0008651C" w:rsidRPr="00CC126D">
        <w:rPr>
          <w:rFonts w:ascii="Times New Roman" w:eastAsiaTheme="minorEastAsia" w:hAnsiTheme="minorEastAsia" w:cs="Times New Roman"/>
          <w:sz w:val="24"/>
        </w:rPr>
        <w:t>附录</w:t>
      </w:r>
      <w:r w:rsidR="0008651C" w:rsidRPr="00CC126D">
        <w:rPr>
          <w:rFonts w:ascii="Times New Roman" w:eastAsiaTheme="minorEastAsia" w:hAnsi="Times New Roman" w:cs="Times New Roman"/>
          <w:sz w:val="24"/>
        </w:rPr>
        <w:t>E/F</w:t>
      </w:r>
      <w:r w:rsidRPr="00CC126D">
        <w:rPr>
          <w:rFonts w:ascii="Times New Roman" w:eastAsiaTheme="minorEastAsia" w:hAnsiTheme="minorEastAsia" w:cs="Times New Roman"/>
          <w:sz w:val="24"/>
        </w:rPr>
        <w:t>）。</w:t>
      </w:r>
    </w:p>
    <w:p w:rsidR="00764169" w:rsidRPr="00CC126D" w:rsidRDefault="00764169" w:rsidP="00764169">
      <w:pPr>
        <w:spacing w:line="720" w:lineRule="auto"/>
        <w:rPr>
          <w:rFonts w:ascii="Times New Roman" w:eastAsiaTheme="minorEastAsia" w:hAnsi="Times New Roman" w:cs="Times New Roman"/>
          <w:b/>
          <w:sz w:val="24"/>
        </w:rPr>
      </w:pPr>
      <w:r w:rsidRPr="00CC126D">
        <w:rPr>
          <w:rFonts w:ascii="Times New Roman" w:eastAsiaTheme="minorEastAsia" w:hAnsiTheme="minorEastAsia" w:cs="Times New Roman"/>
          <w:b/>
          <w:sz w:val="24"/>
        </w:rPr>
        <w:t>八</w:t>
      </w:r>
      <w:r w:rsidR="00AD2F7B" w:rsidRPr="00CC126D">
        <w:rPr>
          <w:rFonts w:ascii="Times New Roman" w:eastAsiaTheme="minorEastAsia" w:hAnsiTheme="minorEastAsia" w:cs="Times New Roman"/>
          <w:b/>
          <w:sz w:val="24"/>
        </w:rPr>
        <w:t>、</w:t>
      </w:r>
      <w:r w:rsidRPr="00CC126D">
        <w:rPr>
          <w:rFonts w:ascii="Times New Roman" w:eastAsiaTheme="minorEastAsia" w:hAnsiTheme="minorEastAsia" w:cs="Times New Roman"/>
          <w:b/>
          <w:sz w:val="24"/>
        </w:rPr>
        <w:t>总结</w:t>
      </w:r>
    </w:p>
    <w:p w:rsidR="002D621B" w:rsidRPr="00CC126D" w:rsidRDefault="00764169" w:rsidP="00AD2F7B">
      <w:pPr>
        <w:spacing w:line="360" w:lineRule="auto"/>
        <w:ind w:firstLineChars="200" w:firstLine="480"/>
        <w:rPr>
          <w:rFonts w:ascii="Times New Roman" w:eastAsiaTheme="minorEastAsia" w:hAnsi="Times New Roman" w:cs="Times New Roman"/>
          <w:sz w:val="24"/>
          <w:szCs w:val="24"/>
          <w:lang w:val="en-GB"/>
        </w:rPr>
      </w:pPr>
      <w:r w:rsidRPr="00CC126D">
        <w:rPr>
          <w:rFonts w:ascii="Times New Roman" w:eastAsiaTheme="minorEastAsia" w:hAnsiTheme="minorEastAsia" w:cs="Times New Roman"/>
          <w:sz w:val="24"/>
        </w:rPr>
        <w:t>在本规范的制定过程中，起草小组以大量技术资料及相关标准、实验数据为技术依据，本着科学合理、易于操作和普遍适用的原则，制定完成了</w:t>
      </w:r>
      <w:r w:rsidR="0008651C" w:rsidRPr="00CC126D">
        <w:rPr>
          <w:rFonts w:ascii="Times New Roman" w:eastAsiaTheme="minorEastAsia" w:hAnsiTheme="minorEastAsia" w:cs="Times New Roman"/>
          <w:color w:val="000000"/>
          <w:sz w:val="24"/>
          <w:lang w:val="en-GB"/>
        </w:rPr>
        <w:t>总磷总氮分析仪</w:t>
      </w:r>
      <w:r w:rsidRPr="00CC126D">
        <w:rPr>
          <w:rFonts w:ascii="Times New Roman" w:eastAsiaTheme="minorEastAsia" w:hAnsiTheme="minorEastAsia" w:cs="Times New Roman"/>
          <w:sz w:val="24"/>
        </w:rPr>
        <w:t>校准规范。</w:t>
      </w:r>
    </w:p>
    <w:sectPr w:rsidR="002D621B" w:rsidRPr="00CC126D" w:rsidSect="00FF29B4">
      <w:footerReference w:type="default" r:id="rId8"/>
      <w:pgSz w:w="11906" w:h="16838"/>
      <w:pgMar w:top="1134" w:right="1800" w:bottom="1134"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7316" w:rsidRDefault="00A37316">
      <w:r>
        <w:separator/>
      </w:r>
    </w:p>
  </w:endnote>
  <w:endnote w:type="continuationSeparator" w:id="1">
    <w:p w:rsidR="00A37316" w:rsidRDefault="00A373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401" w:rsidRDefault="00956401" w:rsidP="00290B39">
    <w:pPr>
      <w:pStyle w:val="a6"/>
      <w:jc w:val="center"/>
      <w:rPr>
        <w:rFonts w:cs="Times New Roman"/>
      </w:rPr>
    </w:pPr>
    <w:r>
      <w:rPr>
        <w:noProof/>
        <w:lang w:val="zh-CN"/>
      </w:rPr>
      <w:fldChar w:fldCharType="begin"/>
    </w:r>
    <w:r>
      <w:rPr>
        <w:noProof/>
        <w:lang w:val="zh-CN"/>
      </w:rPr>
      <w:instrText xml:space="preserve"> PAGE   \* MERGEFORMAT </w:instrText>
    </w:r>
    <w:r>
      <w:rPr>
        <w:noProof/>
        <w:lang w:val="zh-CN"/>
      </w:rPr>
      <w:fldChar w:fldCharType="separate"/>
    </w:r>
    <w:r w:rsidR="00C900BB">
      <w:rPr>
        <w:noProof/>
        <w:lang w:val="zh-CN"/>
      </w:rPr>
      <w:t>12</w:t>
    </w:r>
    <w:r>
      <w:rPr>
        <w:noProof/>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7316" w:rsidRDefault="00A37316">
      <w:r>
        <w:separator/>
      </w:r>
    </w:p>
  </w:footnote>
  <w:footnote w:type="continuationSeparator" w:id="1">
    <w:p w:rsidR="00A37316" w:rsidRDefault="00A373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86C8A"/>
    <w:multiLevelType w:val="hybridMultilevel"/>
    <w:tmpl w:val="52C01D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6938CF"/>
    <w:multiLevelType w:val="hybridMultilevel"/>
    <w:tmpl w:val="700E2A92"/>
    <w:lvl w:ilvl="0" w:tplc="44D61EBC">
      <w:start w:val="1"/>
      <w:numFmt w:val="decimal"/>
      <w:lvlText w:val="%1"/>
      <w:lvlJc w:val="right"/>
      <w:pPr>
        <w:ind w:left="57" w:hanging="5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970852"/>
    <w:multiLevelType w:val="hybridMultilevel"/>
    <w:tmpl w:val="A3DEF00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2C63B9"/>
    <w:multiLevelType w:val="hybridMultilevel"/>
    <w:tmpl w:val="EBDCFB2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7812CF0"/>
    <w:multiLevelType w:val="hybridMultilevel"/>
    <w:tmpl w:val="6FDCEE50"/>
    <w:lvl w:ilvl="0" w:tplc="A288A7A2">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FB27C32"/>
    <w:multiLevelType w:val="hybridMultilevel"/>
    <w:tmpl w:val="700E2A92"/>
    <w:lvl w:ilvl="0" w:tplc="44D61EBC">
      <w:start w:val="1"/>
      <w:numFmt w:val="decimal"/>
      <w:lvlText w:val="%1"/>
      <w:lvlJc w:val="right"/>
      <w:pPr>
        <w:ind w:left="57" w:hanging="5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6662228"/>
    <w:multiLevelType w:val="hybridMultilevel"/>
    <w:tmpl w:val="04C2BE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71F6061"/>
    <w:multiLevelType w:val="hybridMultilevel"/>
    <w:tmpl w:val="700E2A92"/>
    <w:lvl w:ilvl="0" w:tplc="44D61EBC">
      <w:start w:val="1"/>
      <w:numFmt w:val="decimal"/>
      <w:lvlText w:val="%1"/>
      <w:lvlJc w:val="right"/>
      <w:pPr>
        <w:ind w:left="57" w:hanging="5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75291D"/>
    <w:multiLevelType w:val="hybridMultilevel"/>
    <w:tmpl w:val="600E78C8"/>
    <w:lvl w:ilvl="0" w:tplc="04090011">
      <w:start w:val="1"/>
      <w:numFmt w:val="decimal"/>
      <w:lvlText w:val="%1)"/>
      <w:lvlJc w:val="left"/>
      <w:pPr>
        <w:ind w:left="420" w:hanging="420"/>
      </w:pPr>
    </w:lvl>
    <w:lvl w:ilvl="1" w:tplc="4A702760">
      <w:start w:val="1"/>
      <w:numFmt w:val="lowerLetter"/>
      <w:lvlText w:val="(%2)"/>
      <w:lvlJc w:val="left"/>
      <w:pPr>
        <w:ind w:left="780" w:hanging="360"/>
      </w:pPr>
      <w:rPr>
        <w:rFonts w:hint="default"/>
      </w:rPr>
    </w:lvl>
    <w:lvl w:ilvl="2" w:tplc="18FA95D0">
      <w:start w:val="1"/>
      <w:numFmt w:val="lowerLetter"/>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2FE4113"/>
    <w:multiLevelType w:val="hybridMultilevel"/>
    <w:tmpl w:val="FD80D476"/>
    <w:lvl w:ilvl="0" w:tplc="9C8AC0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77641C5"/>
    <w:multiLevelType w:val="hybridMultilevel"/>
    <w:tmpl w:val="41CEEA76"/>
    <w:lvl w:ilvl="0" w:tplc="54E2E6A0">
      <w:start w:val="2"/>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9F20527"/>
    <w:multiLevelType w:val="hybridMultilevel"/>
    <w:tmpl w:val="700E2A92"/>
    <w:lvl w:ilvl="0" w:tplc="44D61EBC">
      <w:start w:val="1"/>
      <w:numFmt w:val="decimal"/>
      <w:lvlText w:val="%1"/>
      <w:lvlJc w:val="right"/>
      <w:pPr>
        <w:ind w:left="57" w:hanging="5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C895CDA"/>
    <w:multiLevelType w:val="multilevel"/>
    <w:tmpl w:val="AF12B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1B60132"/>
    <w:multiLevelType w:val="hybridMultilevel"/>
    <w:tmpl w:val="1A9AF030"/>
    <w:lvl w:ilvl="0" w:tplc="CD48DA80">
      <w:start w:val="1"/>
      <w:numFmt w:val="decimal"/>
      <w:lvlText w:val="%1"/>
      <w:lvlJc w:val="right"/>
      <w:pPr>
        <w:ind w:left="57" w:hanging="5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74F4963"/>
    <w:multiLevelType w:val="hybridMultilevel"/>
    <w:tmpl w:val="58423C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167743C"/>
    <w:multiLevelType w:val="hybridMultilevel"/>
    <w:tmpl w:val="7D3A78B6"/>
    <w:lvl w:ilvl="0" w:tplc="2D3244FA">
      <w:start w:val="1"/>
      <w:numFmt w:val="japaneseCounting"/>
      <w:lvlText w:val="%1、"/>
      <w:lvlJc w:val="left"/>
      <w:pPr>
        <w:ind w:left="540" w:hanging="5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7FA0020"/>
    <w:multiLevelType w:val="hybridMultilevel"/>
    <w:tmpl w:val="D828FF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5"/>
  </w:num>
  <w:num w:numId="3">
    <w:abstractNumId w:val="12"/>
  </w:num>
  <w:num w:numId="4">
    <w:abstractNumId w:val="6"/>
  </w:num>
  <w:num w:numId="5">
    <w:abstractNumId w:val="0"/>
  </w:num>
  <w:num w:numId="6">
    <w:abstractNumId w:val="10"/>
  </w:num>
  <w:num w:numId="7">
    <w:abstractNumId w:val="14"/>
  </w:num>
  <w:num w:numId="8">
    <w:abstractNumId w:val="8"/>
  </w:num>
  <w:num w:numId="9">
    <w:abstractNumId w:val="16"/>
  </w:num>
  <w:num w:numId="10">
    <w:abstractNumId w:val="3"/>
  </w:num>
  <w:num w:numId="11">
    <w:abstractNumId w:val="2"/>
  </w:num>
  <w:num w:numId="12">
    <w:abstractNumId w:val="13"/>
  </w:num>
  <w:num w:numId="13">
    <w:abstractNumId w:val="7"/>
  </w:num>
  <w:num w:numId="14">
    <w:abstractNumId w:val="1"/>
  </w:num>
  <w:num w:numId="15">
    <w:abstractNumId w:val="11"/>
  </w:num>
  <w:num w:numId="16">
    <w:abstractNumId w:val="5"/>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oNotHyphenateCaps/>
  <w:drawingGridVerticalSpacing w:val="156"/>
  <w:displayHorizontalDrawingGridEvery w:val="0"/>
  <w:displayVerticalDrawingGridEvery w:val="2"/>
  <w:characterSpacingControl w:val="compressPunctuation"/>
  <w:doNotValidateAgainstSchema/>
  <w:doNotDemarcateInvalidXml/>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6C4A"/>
    <w:rsid w:val="00001571"/>
    <w:rsid w:val="00004450"/>
    <w:rsid w:val="00004CBA"/>
    <w:rsid w:val="00010C02"/>
    <w:rsid w:val="000244C9"/>
    <w:rsid w:val="00032B59"/>
    <w:rsid w:val="0003383B"/>
    <w:rsid w:val="0003700B"/>
    <w:rsid w:val="00041F1D"/>
    <w:rsid w:val="00054331"/>
    <w:rsid w:val="00054936"/>
    <w:rsid w:val="00054F04"/>
    <w:rsid w:val="0005516A"/>
    <w:rsid w:val="000557BA"/>
    <w:rsid w:val="00056102"/>
    <w:rsid w:val="0005613F"/>
    <w:rsid w:val="00060D0F"/>
    <w:rsid w:val="0006208D"/>
    <w:rsid w:val="00062BCF"/>
    <w:rsid w:val="00062EA5"/>
    <w:rsid w:val="000727B1"/>
    <w:rsid w:val="00072886"/>
    <w:rsid w:val="00080A68"/>
    <w:rsid w:val="0008504A"/>
    <w:rsid w:val="00085686"/>
    <w:rsid w:val="0008651C"/>
    <w:rsid w:val="00094CD5"/>
    <w:rsid w:val="000A14EE"/>
    <w:rsid w:val="000A258B"/>
    <w:rsid w:val="000A2B1B"/>
    <w:rsid w:val="000A4B13"/>
    <w:rsid w:val="000B0C04"/>
    <w:rsid w:val="000B37BB"/>
    <w:rsid w:val="000B5A2C"/>
    <w:rsid w:val="000C5BD9"/>
    <w:rsid w:val="000D5104"/>
    <w:rsid w:val="000E1E24"/>
    <w:rsid w:val="000E2596"/>
    <w:rsid w:val="000E4552"/>
    <w:rsid w:val="000F0A3C"/>
    <w:rsid w:val="000F7FEF"/>
    <w:rsid w:val="00102FFC"/>
    <w:rsid w:val="001054A3"/>
    <w:rsid w:val="00113992"/>
    <w:rsid w:val="001225EA"/>
    <w:rsid w:val="00124D1A"/>
    <w:rsid w:val="001271C7"/>
    <w:rsid w:val="00130D79"/>
    <w:rsid w:val="00141357"/>
    <w:rsid w:val="001429F9"/>
    <w:rsid w:val="00150948"/>
    <w:rsid w:val="00150A04"/>
    <w:rsid w:val="00152042"/>
    <w:rsid w:val="00156CC8"/>
    <w:rsid w:val="001714EA"/>
    <w:rsid w:val="001803B2"/>
    <w:rsid w:val="001848B3"/>
    <w:rsid w:val="00184E81"/>
    <w:rsid w:val="001946E6"/>
    <w:rsid w:val="00196666"/>
    <w:rsid w:val="001A3180"/>
    <w:rsid w:val="001B03C8"/>
    <w:rsid w:val="001B096F"/>
    <w:rsid w:val="001B59AB"/>
    <w:rsid w:val="001B7002"/>
    <w:rsid w:val="001D07AF"/>
    <w:rsid w:val="001D52BF"/>
    <w:rsid w:val="001F36E7"/>
    <w:rsid w:val="00201BF5"/>
    <w:rsid w:val="0020388D"/>
    <w:rsid w:val="00212E0B"/>
    <w:rsid w:val="00215543"/>
    <w:rsid w:val="002178CB"/>
    <w:rsid w:val="00224F52"/>
    <w:rsid w:val="002401A9"/>
    <w:rsid w:val="00240313"/>
    <w:rsid w:val="00246748"/>
    <w:rsid w:val="00246771"/>
    <w:rsid w:val="00253347"/>
    <w:rsid w:val="0025637E"/>
    <w:rsid w:val="00256ACE"/>
    <w:rsid w:val="0026288B"/>
    <w:rsid w:val="00275587"/>
    <w:rsid w:val="00290B39"/>
    <w:rsid w:val="002918C6"/>
    <w:rsid w:val="002934BF"/>
    <w:rsid w:val="002B0764"/>
    <w:rsid w:val="002B1764"/>
    <w:rsid w:val="002B3017"/>
    <w:rsid w:val="002C1BC2"/>
    <w:rsid w:val="002C34FA"/>
    <w:rsid w:val="002D0ABD"/>
    <w:rsid w:val="002D621B"/>
    <w:rsid w:val="002E1074"/>
    <w:rsid w:val="002E3D33"/>
    <w:rsid w:val="002F3423"/>
    <w:rsid w:val="002F65E7"/>
    <w:rsid w:val="002F7983"/>
    <w:rsid w:val="00304DE9"/>
    <w:rsid w:val="00306C23"/>
    <w:rsid w:val="00313DE7"/>
    <w:rsid w:val="00315F5B"/>
    <w:rsid w:val="0032185F"/>
    <w:rsid w:val="003228F2"/>
    <w:rsid w:val="00326ECD"/>
    <w:rsid w:val="00330198"/>
    <w:rsid w:val="003344FC"/>
    <w:rsid w:val="0033614B"/>
    <w:rsid w:val="00341CE4"/>
    <w:rsid w:val="00345965"/>
    <w:rsid w:val="00347E97"/>
    <w:rsid w:val="0035184A"/>
    <w:rsid w:val="00351955"/>
    <w:rsid w:val="00351B37"/>
    <w:rsid w:val="0035475C"/>
    <w:rsid w:val="00361F0B"/>
    <w:rsid w:val="0036383A"/>
    <w:rsid w:val="0036544B"/>
    <w:rsid w:val="00375012"/>
    <w:rsid w:val="00383F02"/>
    <w:rsid w:val="00386908"/>
    <w:rsid w:val="003A6473"/>
    <w:rsid w:val="003B385C"/>
    <w:rsid w:val="003B5F73"/>
    <w:rsid w:val="003D4747"/>
    <w:rsid w:val="003D5960"/>
    <w:rsid w:val="003E0ED2"/>
    <w:rsid w:val="003E478B"/>
    <w:rsid w:val="003E4A49"/>
    <w:rsid w:val="003E7C87"/>
    <w:rsid w:val="003F2C31"/>
    <w:rsid w:val="003F5375"/>
    <w:rsid w:val="004014E8"/>
    <w:rsid w:val="00402119"/>
    <w:rsid w:val="00405307"/>
    <w:rsid w:val="004213DE"/>
    <w:rsid w:val="00427F6B"/>
    <w:rsid w:val="0043054A"/>
    <w:rsid w:val="0043570F"/>
    <w:rsid w:val="00447DB2"/>
    <w:rsid w:val="00451849"/>
    <w:rsid w:val="004639E2"/>
    <w:rsid w:val="00464797"/>
    <w:rsid w:val="004658AC"/>
    <w:rsid w:val="00471152"/>
    <w:rsid w:val="0047752F"/>
    <w:rsid w:val="00477C28"/>
    <w:rsid w:val="00484CBA"/>
    <w:rsid w:val="004851E3"/>
    <w:rsid w:val="00486641"/>
    <w:rsid w:val="00486A58"/>
    <w:rsid w:val="00490532"/>
    <w:rsid w:val="00490D87"/>
    <w:rsid w:val="00492F31"/>
    <w:rsid w:val="00493C76"/>
    <w:rsid w:val="00494354"/>
    <w:rsid w:val="0049638B"/>
    <w:rsid w:val="00496BFE"/>
    <w:rsid w:val="004A7D93"/>
    <w:rsid w:val="004B2C16"/>
    <w:rsid w:val="004B4258"/>
    <w:rsid w:val="004B72ED"/>
    <w:rsid w:val="004B7AD7"/>
    <w:rsid w:val="004C0B8C"/>
    <w:rsid w:val="004E352B"/>
    <w:rsid w:val="004F46FA"/>
    <w:rsid w:val="004F63EE"/>
    <w:rsid w:val="005121E7"/>
    <w:rsid w:val="00517459"/>
    <w:rsid w:val="00517486"/>
    <w:rsid w:val="0052143C"/>
    <w:rsid w:val="005215D2"/>
    <w:rsid w:val="005223A0"/>
    <w:rsid w:val="005261E7"/>
    <w:rsid w:val="00526E18"/>
    <w:rsid w:val="00541184"/>
    <w:rsid w:val="00544ED1"/>
    <w:rsid w:val="00551E59"/>
    <w:rsid w:val="00554C65"/>
    <w:rsid w:val="0055796C"/>
    <w:rsid w:val="00560599"/>
    <w:rsid w:val="00561279"/>
    <w:rsid w:val="005714A2"/>
    <w:rsid w:val="00582B8C"/>
    <w:rsid w:val="00584A22"/>
    <w:rsid w:val="00590215"/>
    <w:rsid w:val="00593471"/>
    <w:rsid w:val="005A510B"/>
    <w:rsid w:val="005B24FC"/>
    <w:rsid w:val="005B272D"/>
    <w:rsid w:val="005B5207"/>
    <w:rsid w:val="005C4309"/>
    <w:rsid w:val="005D53B7"/>
    <w:rsid w:val="005D66E5"/>
    <w:rsid w:val="005D72D5"/>
    <w:rsid w:val="005E5B92"/>
    <w:rsid w:val="005E6781"/>
    <w:rsid w:val="005F6424"/>
    <w:rsid w:val="00604187"/>
    <w:rsid w:val="00605C2B"/>
    <w:rsid w:val="00610E96"/>
    <w:rsid w:val="00611606"/>
    <w:rsid w:val="006117AC"/>
    <w:rsid w:val="00617089"/>
    <w:rsid w:val="00623089"/>
    <w:rsid w:val="00626F3F"/>
    <w:rsid w:val="00633C58"/>
    <w:rsid w:val="00633E3C"/>
    <w:rsid w:val="006341FA"/>
    <w:rsid w:val="006401E6"/>
    <w:rsid w:val="00650EFA"/>
    <w:rsid w:val="00654FD3"/>
    <w:rsid w:val="00662E4B"/>
    <w:rsid w:val="006643B4"/>
    <w:rsid w:val="006645B0"/>
    <w:rsid w:val="00670621"/>
    <w:rsid w:val="00673D55"/>
    <w:rsid w:val="00673F07"/>
    <w:rsid w:val="00674B72"/>
    <w:rsid w:val="00674EB1"/>
    <w:rsid w:val="00675E8B"/>
    <w:rsid w:val="00680B8F"/>
    <w:rsid w:val="006826B4"/>
    <w:rsid w:val="00695C52"/>
    <w:rsid w:val="0069667D"/>
    <w:rsid w:val="00697B64"/>
    <w:rsid w:val="006A13F0"/>
    <w:rsid w:val="006A203E"/>
    <w:rsid w:val="006A5E5E"/>
    <w:rsid w:val="006A6530"/>
    <w:rsid w:val="006A6E8C"/>
    <w:rsid w:val="006A735A"/>
    <w:rsid w:val="006B2A40"/>
    <w:rsid w:val="006B3E73"/>
    <w:rsid w:val="006C1909"/>
    <w:rsid w:val="006C277A"/>
    <w:rsid w:val="006D1863"/>
    <w:rsid w:val="006D1F3A"/>
    <w:rsid w:val="006D57FD"/>
    <w:rsid w:val="006E52E6"/>
    <w:rsid w:val="007022BD"/>
    <w:rsid w:val="00710A0B"/>
    <w:rsid w:val="007219B0"/>
    <w:rsid w:val="00740FFA"/>
    <w:rsid w:val="00744880"/>
    <w:rsid w:val="007502CC"/>
    <w:rsid w:val="007616E5"/>
    <w:rsid w:val="00764169"/>
    <w:rsid w:val="00770AF5"/>
    <w:rsid w:val="00780E0B"/>
    <w:rsid w:val="00787291"/>
    <w:rsid w:val="007900AE"/>
    <w:rsid w:val="00791FC2"/>
    <w:rsid w:val="00793107"/>
    <w:rsid w:val="0079348B"/>
    <w:rsid w:val="007B3A89"/>
    <w:rsid w:val="007B409F"/>
    <w:rsid w:val="007B4EF6"/>
    <w:rsid w:val="007C25C4"/>
    <w:rsid w:val="007C7AB9"/>
    <w:rsid w:val="007D0382"/>
    <w:rsid w:val="007D2B93"/>
    <w:rsid w:val="007D757A"/>
    <w:rsid w:val="007E4A63"/>
    <w:rsid w:val="007E7246"/>
    <w:rsid w:val="007F3589"/>
    <w:rsid w:val="00801AE1"/>
    <w:rsid w:val="00810549"/>
    <w:rsid w:val="00827862"/>
    <w:rsid w:val="00835F3F"/>
    <w:rsid w:val="00845E1D"/>
    <w:rsid w:val="0084762F"/>
    <w:rsid w:val="008500FD"/>
    <w:rsid w:val="00856953"/>
    <w:rsid w:val="0086298B"/>
    <w:rsid w:val="008649C9"/>
    <w:rsid w:val="00866EC3"/>
    <w:rsid w:val="008673F9"/>
    <w:rsid w:val="008745E5"/>
    <w:rsid w:val="00877D5A"/>
    <w:rsid w:val="0088042B"/>
    <w:rsid w:val="00881E0F"/>
    <w:rsid w:val="00886721"/>
    <w:rsid w:val="00891333"/>
    <w:rsid w:val="008A0DC2"/>
    <w:rsid w:val="008A5BE8"/>
    <w:rsid w:val="008C29A1"/>
    <w:rsid w:val="008C3A51"/>
    <w:rsid w:val="008D057E"/>
    <w:rsid w:val="008E2492"/>
    <w:rsid w:val="008E7DD5"/>
    <w:rsid w:val="008F44D9"/>
    <w:rsid w:val="008F60B4"/>
    <w:rsid w:val="00901BBF"/>
    <w:rsid w:val="00902726"/>
    <w:rsid w:val="00902A98"/>
    <w:rsid w:val="009101D1"/>
    <w:rsid w:val="00914874"/>
    <w:rsid w:val="00915A30"/>
    <w:rsid w:val="00915BA5"/>
    <w:rsid w:val="00921DFC"/>
    <w:rsid w:val="00924A3F"/>
    <w:rsid w:val="00936764"/>
    <w:rsid w:val="00937DDB"/>
    <w:rsid w:val="00942CE5"/>
    <w:rsid w:val="0094728E"/>
    <w:rsid w:val="00956401"/>
    <w:rsid w:val="00973994"/>
    <w:rsid w:val="00974F50"/>
    <w:rsid w:val="00975954"/>
    <w:rsid w:val="00980E6F"/>
    <w:rsid w:val="009843F5"/>
    <w:rsid w:val="00986FD3"/>
    <w:rsid w:val="00991140"/>
    <w:rsid w:val="00992B74"/>
    <w:rsid w:val="00992E0F"/>
    <w:rsid w:val="00996D09"/>
    <w:rsid w:val="009A4C0F"/>
    <w:rsid w:val="009A5796"/>
    <w:rsid w:val="009A7FF9"/>
    <w:rsid w:val="009B6C4A"/>
    <w:rsid w:val="009C4DB4"/>
    <w:rsid w:val="009C5041"/>
    <w:rsid w:val="009C555E"/>
    <w:rsid w:val="009D2CEE"/>
    <w:rsid w:val="009E2044"/>
    <w:rsid w:val="009E218A"/>
    <w:rsid w:val="009E49F3"/>
    <w:rsid w:val="009F4FAB"/>
    <w:rsid w:val="009F5503"/>
    <w:rsid w:val="00A1364C"/>
    <w:rsid w:val="00A16EAD"/>
    <w:rsid w:val="00A210AF"/>
    <w:rsid w:val="00A246A8"/>
    <w:rsid w:val="00A247E2"/>
    <w:rsid w:val="00A25C32"/>
    <w:rsid w:val="00A30853"/>
    <w:rsid w:val="00A33ECC"/>
    <w:rsid w:val="00A37316"/>
    <w:rsid w:val="00A40568"/>
    <w:rsid w:val="00A412E7"/>
    <w:rsid w:val="00A54F89"/>
    <w:rsid w:val="00A64117"/>
    <w:rsid w:val="00A72E13"/>
    <w:rsid w:val="00A75B92"/>
    <w:rsid w:val="00A77178"/>
    <w:rsid w:val="00A77F1F"/>
    <w:rsid w:val="00A8693C"/>
    <w:rsid w:val="00A93280"/>
    <w:rsid w:val="00AA54AB"/>
    <w:rsid w:val="00AB26C2"/>
    <w:rsid w:val="00AB620B"/>
    <w:rsid w:val="00AD258D"/>
    <w:rsid w:val="00AD2F7B"/>
    <w:rsid w:val="00AD3135"/>
    <w:rsid w:val="00AD32A7"/>
    <w:rsid w:val="00AE09E3"/>
    <w:rsid w:val="00AE39EB"/>
    <w:rsid w:val="00B00F5F"/>
    <w:rsid w:val="00B0298C"/>
    <w:rsid w:val="00B15B9B"/>
    <w:rsid w:val="00B2106B"/>
    <w:rsid w:val="00B34E0F"/>
    <w:rsid w:val="00B41C08"/>
    <w:rsid w:val="00B47B50"/>
    <w:rsid w:val="00B536F8"/>
    <w:rsid w:val="00B61EDA"/>
    <w:rsid w:val="00B665D4"/>
    <w:rsid w:val="00B70D7B"/>
    <w:rsid w:val="00B72F52"/>
    <w:rsid w:val="00B87ED6"/>
    <w:rsid w:val="00BA1B34"/>
    <w:rsid w:val="00BB63BA"/>
    <w:rsid w:val="00BC0671"/>
    <w:rsid w:val="00BD5ACE"/>
    <w:rsid w:val="00BE14E8"/>
    <w:rsid w:val="00BE25C0"/>
    <w:rsid w:val="00BE4FB6"/>
    <w:rsid w:val="00BE5785"/>
    <w:rsid w:val="00BE7508"/>
    <w:rsid w:val="00C019C8"/>
    <w:rsid w:val="00C034EC"/>
    <w:rsid w:val="00C153B9"/>
    <w:rsid w:val="00C1723D"/>
    <w:rsid w:val="00C25164"/>
    <w:rsid w:val="00C33806"/>
    <w:rsid w:val="00C351FE"/>
    <w:rsid w:val="00C35E01"/>
    <w:rsid w:val="00C449EE"/>
    <w:rsid w:val="00C44F60"/>
    <w:rsid w:val="00C50B6F"/>
    <w:rsid w:val="00C519E7"/>
    <w:rsid w:val="00C544B3"/>
    <w:rsid w:val="00C608D9"/>
    <w:rsid w:val="00C667A0"/>
    <w:rsid w:val="00C7619B"/>
    <w:rsid w:val="00C82316"/>
    <w:rsid w:val="00C83146"/>
    <w:rsid w:val="00C900BB"/>
    <w:rsid w:val="00C92D0D"/>
    <w:rsid w:val="00CA0CC4"/>
    <w:rsid w:val="00CA3812"/>
    <w:rsid w:val="00CA417B"/>
    <w:rsid w:val="00CB349B"/>
    <w:rsid w:val="00CC01CE"/>
    <w:rsid w:val="00CC1028"/>
    <w:rsid w:val="00CC126D"/>
    <w:rsid w:val="00CC138A"/>
    <w:rsid w:val="00CC7E66"/>
    <w:rsid w:val="00CD40DA"/>
    <w:rsid w:val="00CD4127"/>
    <w:rsid w:val="00CE050C"/>
    <w:rsid w:val="00CE203B"/>
    <w:rsid w:val="00CE56F6"/>
    <w:rsid w:val="00CE7E00"/>
    <w:rsid w:val="00CF1E53"/>
    <w:rsid w:val="00CF6B96"/>
    <w:rsid w:val="00D15A24"/>
    <w:rsid w:val="00D164F9"/>
    <w:rsid w:val="00D17E1B"/>
    <w:rsid w:val="00D20BBB"/>
    <w:rsid w:val="00D35B85"/>
    <w:rsid w:val="00D4022C"/>
    <w:rsid w:val="00D45041"/>
    <w:rsid w:val="00D465B4"/>
    <w:rsid w:val="00D51895"/>
    <w:rsid w:val="00D548A4"/>
    <w:rsid w:val="00D618FA"/>
    <w:rsid w:val="00D732B3"/>
    <w:rsid w:val="00D759A0"/>
    <w:rsid w:val="00D803B4"/>
    <w:rsid w:val="00D823E6"/>
    <w:rsid w:val="00D83DFA"/>
    <w:rsid w:val="00D91680"/>
    <w:rsid w:val="00D94FD0"/>
    <w:rsid w:val="00DA2AC0"/>
    <w:rsid w:val="00DA45BF"/>
    <w:rsid w:val="00DB5F88"/>
    <w:rsid w:val="00DB7C26"/>
    <w:rsid w:val="00DC0FAE"/>
    <w:rsid w:val="00DC1D2F"/>
    <w:rsid w:val="00DC530B"/>
    <w:rsid w:val="00DD2DA6"/>
    <w:rsid w:val="00DD2F6F"/>
    <w:rsid w:val="00DD3BF9"/>
    <w:rsid w:val="00DD478D"/>
    <w:rsid w:val="00DE1376"/>
    <w:rsid w:val="00DE379E"/>
    <w:rsid w:val="00DE69A3"/>
    <w:rsid w:val="00DE7F90"/>
    <w:rsid w:val="00DF224C"/>
    <w:rsid w:val="00DF2839"/>
    <w:rsid w:val="00DF5A76"/>
    <w:rsid w:val="00E02128"/>
    <w:rsid w:val="00E13EB7"/>
    <w:rsid w:val="00E14D38"/>
    <w:rsid w:val="00E15966"/>
    <w:rsid w:val="00E22D42"/>
    <w:rsid w:val="00E25D22"/>
    <w:rsid w:val="00E271CC"/>
    <w:rsid w:val="00E329E4"/>
    <w:rsid w:val="00E345AE"/>
    <w:rsid w:val="00E361C6"/>
    <w:rsid w:val="00E54485"/>
    <w:rsid w:val="00E708A7"/>
    <w:rsid w:val="00E742EA"/>
    <w:rsid w:val="00E75645"/>
    <w:rsid w:val="00E85F31"/>
    <w:rsid w:val="00E91544"/>
    <w:rsid w:val="00E92741"/>
    <w:rsid w:val="00EA018D"/>
    <w:rsid w:val="00EA185F"/>
    <w:rsid w:val="00EA2EB1"/>
    <w:rsid w:val="00EA2FFB"/>
    <w:rsid w:val="00EB1DEC"/>
    <w:rsid w:val="00EB1FCA"/>
    <w:rsid w:val="00EB793B"/>
    <w:rsid w:val="00ED372F"/>
    <w:rsid w:val="00EE3768"/>
    <w:rsid w:val="00EF14EE"/>
    <w:rsid w:val="00EF1EE7"/>
    <w:rsid w:val="00EF289D"/>
    <w:rsid w:val="00EF40F0"/>
    <w:rsid w:val="00EF4547"/>
    <w:rsid w:val="00EF4CF7"/>
    <w:rsid w:val="00F06D82"/>
    <w:rsid w:val="00F12E26"/>
    <w:rsid w:val="00F138BC"/>
    <w:rsid w:val="00F23412"/>
    <w:rsid w:val="00F25409"/>
    <w:rsid w:val="00F271BC"/>
    <w:rsid w:val="00F30991"/>
    <w:rsid w:val="00F33587"/>
    <w:rsid w:val="00F33F89"/>
    <w:rsid w:val="00F41636"/>
    <w:rsid w:val="00F41DB4"/>
    <w:rsid w:val="00F44B48"/>
    <w:rsid w:val="00F51E85"/>
    <w:rsid w:val="00F5348F"/>
    <w:rsid w:val="00F5515B"/>
    <w:rsid w:val="00F61061"/>
    <w:rsid w:val="00F73182"/>
    <w:rsid w:val="00F738BA"/>
    <w:rsid w:val="00F7754B"/>
    <w:rsid w:val="00F86BD7"/>
    <w:rsid w:val="00F86CA1"/>
    <w:rsid w:val="00F910D8"/>
    <w:rsid w:val="00F91F77"/>
    <w:rsid w:val="00F9572C"/>
    <w:rsid w:val="00FB13C4"/>
    <w:rsid w:val="00FB1D8E"/>
    <w:rsid w:val="00FB4D88"/>
    <w:rsid w:val="00FC4021"/>
    <w:rsid w:val="00FC7224"/>
    <w:rsid w:val="00FD164F"/>
    <w:rsid w:val="00FD5712"/>
    <w:rsid w:val="00FE2EC8"/>
    <w:rsid w:val="00FE5BBE"/>
    <w:rsid w:val="00FF044E"/>
    <w:rsid w:val="00FF29B4"/>
    <w:rsid w:val="02A837E9"/>
    <w:rsid w:val="031E1079"/>
    <w:rsid w:val="03F47F88"/>
    <w:rsid w:val="0603356B"/>
    <w:rsid w:val="0EF5261A"/>
    <w:rsid w:val="14434C96"/>
    <w:rsid w:val="15F55695"/>
    <w:rsid w:val="16907A92"/>
    <w:rsid w:val="1F111D05"/>
    <w:rsid w:val="20B736BA"/>
    <w:rsid w:val="258430F3"/>
    <w:rsid w:val="270E3D1E"/>
    <w:rsid w:val="2E393461"/>
    <w:rsid w:val="34107960"/>
    <w:rsid w:val="36323AEC"/>
    <w:rsid w:val="3B233415"/>
    <w:rsid w:val="3F32613E"/>
    <w:rsid w:val="41C060BB"/>
    <w:rsid w:val="42077498"/>
    <w:rsid w:val="44770EE3"/>
    <w:rsid w:val="485324B9"/>
    <w:rsid w:val="49DF3268"/>
    <w:rsid w:val="4BFE1C3A"/>
    <w:rsid w:val="4C88631A"/>
    <w:rsid w:val="4E065892"/>
    <w:rsid w:val="566540CD"/>
    <w:rsid w:val="56B860D6"/>
    <w:rsid w:val="56DB3D0C"/>
    <w:rsid w:val="665E257D"/>
    <w:rsid w:val="68523A33"/>
    <w:rsid w:val="6E4A407E"/>
    <w:rsid w:val="715F4991"/>
    <w:rsid w:val="7169654D"/>
    <w:rsid w:val="72491197"/>
    <w:rsid w:val="74192D1B"/>
    <w:rsid w:val="74BE23CB"/>
    <w:rsid w:val="779A56C5"/>
    <w:rsid w:val="77E0567D"/>
    <w:rsid w:val="7875412E"/>
    <w:rsid w:val="78C80335"/>
    <w:rsid w:val="7D8F09A6"/>
    <w:rsid w:val="7EB03F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nhideWhenUsed="0"/>
    <w:lsdException w:name="header" w:unhideWhenUsed="0"/>
    <w:lsdException w:name="footer" w:semiHidden="0" w:unhideWhenUsed="0"/>
    <w:lsdException w:name="caption" w:locked="1" w:uiPriority="0" w:qFormat="1"/>
    <w:lsdException w:name="annotation reference" w:unhideWhenUsed="0"/>
    <w:lsdException w:name="Title" w:locked="1" w:semiHidden="0" w:uiPriority="0" w:unhideWhenUsed="0" w:qFormat="1"/>
    <w:lsdException w:name="Default Paragraph Font" w:unhideWhenUsed="0"/>
    <w:lsdException w:name="Subtitle" w:locked="1" w:semiHidden="0" w:uiPriority="0" w:unhideWhenUsed="0" w:qFormat="1"/>
    <w:lsdException w:name="Body Text Indent 2" w:uiPriority="0"/>
    <w:lsdException w:name="Strong" w:locked="1" w:semiHidden="0" w:uiPriority="22" w:unhideWhenUsed="0" w:qFormat="1"/>
    <w:lsdException w:name="Emphasis" w:locked="1" w:semiHidden="0" w:uiPriority="20" w:unhideWhenUsed="0" w:qFormat="1"/>
    <w:lsdException w:name="Normal Table" w:qFormat="1"/>
    <w:lsdException w:name="Balloon Text" w:unhideWhenUsed="0"/>
    <w:lsdException w:name="Table Grid" w:locked="1" w:semiHidden="0" w:uiPriority="0"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9B4"/>
    <w:pPr>
      <w:widowControl w:val="0"/>
      <w:jc w:val="both"/>
    </w:pPr>
    <w:rPr>
      <w:rFonts w:cs="Calibri"/>
      <w:kern w:val="2"/>
      <w:sz w:val="21"/>
      <w:szCs w:val="21"/>
    </w:rPr>
  </w:style>
  <w:style w:type="paragraph" w:styleId="1">
    <w:name w:val="heading 1"/>
    <w:basedOn w:val="a"/>
    <w:next w:val="a"/>
    <w:qFormat/>
    <w:locked/>
    <w:rsid w:val="00FF29B4"/>
    <w:pPr>
      <w:keepNext/>
      <w:keepLines/>
      <w:spacing w:before="340" w:after="330" w:line="576" w:lineRule="auto"/>
      <w:outlineLvl w:val="0"/>
    </w:pPr>
    <w:rPr>
      <w:b/>
      <w:kern w:val="44"/>
      <w:sz w:val="44"/>
    </w:rPr>
  </w:style>
  <w:style w:type="paragraph" w:styleId="2">
    <w:name w:val="heading 2"/>
    <w:basedOn w:val="a"/>
    <w:next w:val="a"/>
    <w:qFormat/>
    <w:locked/>
    <w:rsid w:val="00FF29B4"/>
    <w:pPr>
      <w:keepNext/>
      <w:keepLines/>
      <w:spacing w:before="260" w:after="260" w:line="413" w:lineRule="auto"/>
      <w:outlineLvl w:val="1"/>
    </w:pPr>
    <w:rPr>
      <w:rFonts w:ascii="Arial" w:eastAsia="黑体" w:hAnsi="Arial"/>
      <w:b/>
      <w:sz w:val="32"/>
    </w:rPr>
  </w:style>
  <w:style w:type="paragraph" w:styleId="5">
    <w:name w:val="heading 5"/>
    <w:basedOn w:val="a"/>
    <w:next w:val="a"/>
    <w:link w:val="5Char"/>
    <w:unhideWhenUsed/>
    <w:qFormat/>
    <w:locked/>
    <w:rsid w:val="004639E2"/>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rsid w:val="00FF29B4"/>
    <w:rPr>
      <w:sz w:val="21"/>
      <w:szCs w:val="21"/>
    </w:rPr>
  </w:style>
  <w:style w:type="character" w:customStyle="1" w:styleId="Char">
    <w:name w:val="页眉 Char"/>
    <w:basedOn w:val="a0"/>
    <w:link w:val="a4"/>
    <w:uiPriority w:val="99"/>
    <w:semiHidden/>
    <w:locked/>
    <w:rsid w:val="00FF29B4"/>
    <w:rPr>
      <w:sz w:val="18"/>
      <w:szCs w:val="18"/>
    </w:rPr>
  </w:style>
  <w:style w:type="character" w:customStyle="1" w:styleId="Char0">
    <w:name w:val="批注文字 Char"/>
    <w:basedOn w:val="a0"/>
    <w:link w:val="a5"/>
    <w:uiPriority w:val="99"/>
    <w:locked/>
    <w:rsid w:val="00FF29B4"/>
    <w:rPr>
      <w:rFonts w:ascii="Times New Roman" w:eastAsia="宋体" w:hAnsi="Times New Roman" w:cs="Times New Roman"/>
      <w:sz w:val="24"/>
      <w:szCs w:val="24"/>
    </w:rPr>
  </w:style>
  <w:style w:type="character" w:customStyle="1" w:styleId="Char1">
    <w:name w:val="页脚 Char"/>
    <w:basedOn w:val="a0"/>
    <w:link w:val="a6"/>
    <w:uiPriority w:val="99"/>
    <w:locked/>
    <w:rsid w:val="00FF29B4"/>
    <w:rPr>
      <w:sz w:val="18"/>
      <w:szCs w:val="18"/>
    </w:rPr>
  </w:style>
  <w:style w:type="character" w:customStyle="1" w:styleId="Char2">
    <w:name w:val="批注框文本 Char"/>
    <w:basedOn w:val="a0"/>
    <w:link w:val="a7"/>
    <w:uiPriority w:val="99"/>
    <w:semiHidden/>
    <w:locked/>
    <w:rsid w:val="00FF29B4"/>
    <w:rPr>
      <w:sz w:val="18"/>
      <w:szCs w:val="18"/>
    </w:rPr>
  </w:style>
  <w:style w:type="paragraph" w:styleId="a4">
    <w:name w:val="header"/>
    <w:basedOn w:val="a"/>
    <w:link w:val="Char"/>
    <w:uiPriority w:val="99"/>
    <w:semiHidden/>
    <w:rsid w:val="00FF29B4"/>
    <w:pPr>
      <w:pBdr>
        <w:bottom w:val="single" w:sz="6" w:space="1" w:color="auto"/>
      </w:pBdr>
      <w:tabs>
        <w:tab w:val="center" w:pos="4153"/>
        <w:tab w:val="right" w:pos="8306"/>
      </w:tabs>
      <w:snapToGrid w:val="0"/>
      <w:jc w:val="center"/>
    </w:pPr>
    <w:rPr>
      <w:sz w:val="18"/>
      <w:szCs w:val="18"/>
    </w:rPr>
  </w:style>
  <w:style w:type="paragraph" w:styleId="a6">
    <w:name w:val="footer"/>
    <w:basedOn w:val="a"/>
    <w:link w:val="Char1"/>
    <w:uiPriority w:val="99"/>
    <w:rsid w:val="00FF29B4"/>
    <w:pPr>
      <w:tabs>
        <w:tab w:val="center" w:pos="4153"/>
        <w:tab w:val="right" w:pos="8306"/>
      </w:tabs>
      <w:snapToGrid w:val="0"/>
      <w:jc w:val="left"/>
    </w:pPr>
    <w:rPr>
      <w:sz w:val="18"/>
      <w:szCs w:val="18"/>
    </w:rPr>
  </w:style>
  <w:style w:type="paragraph" w:styleId="a7">
    <w:name w:val="Balloon Text"/>
    <w:basedOn w:val="a"/>
    <w:link w:val="Char2"/>
    <w:uiPriority w:val="99"/>
    <w:semiHidden/>
    <w:rsid w:val="00FF29B4"/>
    <w:rPr>
      <w:sz w:val="18"/>
      <w:szCs w:val="18"/>
    </w:rPr>
  </w:style>
  <w:style w:type="paragraph" w:styleId="a5">
    <w:name w:val="annotation text"/>
    <w:basedOn w:val="a"/>
    <w:link w:val="Char0"/>
    <w:uiPriority w:val="99"/>
    <w:semiHidden/>
    <w:rsid w:val="00FF29B4"/>
    <w:pPr>
      <w:jc w:val="left"/>
    </w:pPr>
    <w:rPr>
      <w:rFonts w:ascii="Times New Roman" w:hAnsi="Times New Roman" w:cs="Times New Roman"/>
    </w:rPr>
  </w:style>
  <w:style w:type="paragraph" w:customStyle="1" w:styleId="Char3">
    <w:name w:val="Char"/>
    <w:basedOn w:val="a"/>
    <w:rsid w:val="00FF29B4"/>
    <w:pPr>
      <w:widowControl/>
      <w:spacing w:after="160" w:line="240" w:lineRule="exact"/>
      <w:jc w:val="left"/>
    </w:pPr>
    <w:rPr>
      <w:rFonts w:ascii="Verdana" w:eastAsia="仿宋_GB2312" w:hAnsi="Verdana" w:cs="Times New Roman"/>
      <w:kern w:val="0"/>
      <w:sz w:val="24"/>
      <w:szCs w:val="20"/>
      <w:lang w:eastAsia="en-US"/>
    </w:rPr>
  </w:style>
  <w:style w:type="paragraph" w:styleId="20">
    <w:name w:val="Body Text Indent 2"/>
    <w:basedOn w:val="a"/>
    <w:link w:val="2Char"/>
    <w:rsid w:val="00FB4D88"/>
    <w:pPr>
      <w:spacing w:line="500" w:lineRule="exact"/>
      <w:ind w:left="220" w:firstLineChars="217" w:firstLine="499"/>
    </w:pPr>
    <w:rPr>
      <w:rFonts w:ascii="宋体" w:hAnsi="Times New Roman" w:cs="Times New Roman"/>
      <w:color w:val="000000"/>
      <w:kern w:val="0"/>
      <w:sz w:val="23"/>
      <w:szCs w:val="23"/>
    </w:rPr>
  </w:style>
  <w:style w:type="character" w:customStyle="1" w:styleId="2Char">
    <w:name w:val="正文文本缩进 2 Char"/>
    <w:basedOn w:val="a0"/>
    <w:link w:val="20"/>
    <w:rsid w:val="00FB4D88"/>
    <w:rPr>
      <w:rFonts w:ascii="宋体" w:hAnsi="Times New Roman"/>
      <w:color w:val="000000"/>
      <w:sz w:val="23"/>
      <w:szCs w:val="23"/>
    </w:rPr>
  </w:style>
  <w:style w:type="character" w:styleId="a8">
    <w:name w:val="Hyperlink"/>
    <w:basedOn w:val="a0"/>
    <w:uiPriority w:val="99"/>
    <w:semiHidden/>
    <w:unhideWhenUsed/>
    <w:rsid w:val="002C1BC2"/>
    <w:rPr>
      <w:color w:val="0000FF"/>
      <w:u w:val="single"/>
    </w:rPr>
  </w:style>
  <w:style w:type="character" w:styleId="a9">
    <w:name w:val="Emphasis"/>
    <w:basedOn w:val="a0"/>
    <w:uiPriority w:val="20"/>
    <w:qFormat/>
    <w:locked/>
    <w:rsid w:val="00CA3812"/>
    <w:rPr>
      <w:i/>
      <w:iCs/>
    </w:rPr>
  </w:style>
  <w:style w:type="character" w:customStyle="1" w:styleId="apple-converted-space">
    <w:name w:val="apple-converted-space"/>
    <w:basedOn w:val="a0"/>
    <w:rsid w:val="003A6473"/>
  </w:style>
  <w:style w:type="paragraph" w:styleId="aa">
    <w:name w:val="Normal (Web)"/>
    <w:basedOn w:val="a"/>
    <w:uiPriority w:val="99"/>
    <w:unhideWhenUsed/>
    <w:rsid w:val="008D057E"/>
    <w:pPr>
      <w:widowControl/>
      <w:spacing w:before="100" w:beforeAutospacing="1" w:after="100" w:afterAutospacing="1"/>
      <w:jc w:val="left"/>
    </w:pPr>
    <w:rPr>
      <w:rFonts w:ascii="宋体" w:hAnsi="宋体" w:cs="宋体"/>
      <w:kern w:val="0"/>
      <w:sz w:val="24"/>
      <w:szCs w:val="24"/>
    </w:rPr>
  </w:style>
  <w:style w:type="character" w:styleId="ab">
    <w:name w:val="Strong"/>
    <w:basedOn w:val="a0"/>
    <w:uiPriority w:val="22"/>
    <w:qFormat/>
    <w:locked/>
    <w:rsid w:val="008D057E"/>
    <w:rPr>
      <w:b/>
      <w:bCs/>
    </w:rPr>
  </w:style>
  <w:style w:type="paragraph" w:customStyle="1" w:styleId="smtittle">
    <w:name w:val="sm_tittle"/>
    <w:basedOn w:val="a"/>
    <w:rsid w:val="00593471"/>
    <w:pPr>
      <w:widowControl/>
      <w:spacing w:before="100" w:beforeAutospacing="1" w:after="100" w:afterAutospacing="1"/>
      <w:jc w:val="left"/>
    </w:pPr>
    <w:rPr>
      <w:rFonts w:ascii="宋体" w:hAnsi="宋体" w:cs="宋体"/>
      <w:kern w:val="0"/>
      <w:sz w:val="24"/>
      <w:szCs w:val="24"/>
    </w:rPr>
  </w:style>
  <w:style w:type="table" w:styleId="ac">
    <w:name w:val="Table Grid"/>
    <w:basedOn w:val="a1"/>
    <w:qFormat/>
    <w:locked/>
    <w:rsid w:val="00845E1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ody Text Indent"/>
    <w:basedOn w:val="a"/>
    <w:link w:val="Char4"/>
    <w:uiPriority w:val="99"/>
    <w:semiHidden/>
    <w:unhideWhenUsed/>
    <w:rsid w:val="004F46FA"/>
    <w:pPr>
      <w:spacing w:after="120"/>
      <w:ind w:leftChars="200" w:left="420"/>
    </w:pPr>
  </w:style>
  <w:style w:type="character" w:customStyle="1" w:styleId="Char4">
    <w:name w:val="正文文本缩进 Char"/>
    <w:basedOn w:val="a0"/>
    <w:link w:val="ad"/>
    <w:uiPriority w:val="99"/>
    <w:semiHidden/>
    <w:rsid w:val="004F46FA"/>
    <w:rPr>
      <w:rFonts w:cs="Calibri"/>
      <w:kern w:val="2"/>
      <w:sz w:val="21"/>
      <w:szCs w:val="21"/>
    </w:rPr>
  </w:style>
  <w:style w:type="paragraph" w:styleId="ae">
    <w:name w:val="List Paragraph"/>
    <w:basedOn w:val="a"/>
    <w:uiPriority w:val="99"/>
    <w:qFormat/>
    <w:rsid w:val="00CD4127"/>
    <w:pPr>
      <w:ind w:firstLineChars="200" w:firstLine="420"/>
    </w:pPr>
  </w:style>
  <w:style w:type="character" w:customStyle="1" w:styleId="style6">
    <w:name w:val="style6"/>
    <w:basedOn w:val="a0"/>
    <w:rsid w:val="006A13F0"/>
  </w:style>
  <w:style w:type="paragraph" w:customStyle="1" w:styleId="style61">
    <w:name w:val="style61"/>
    <w:basedOn w:val="a"/>
    <w:rsid w:val="00361F0B"/>
    <w:pPr>
      <w:widowControl/>
      <w:spacing w:before="100" w:beforeAutospacing="1" w:after="100" w:afterAutospacing="1"/>
      <w:jc w:val="left"/>
    </w:pPr>
    <w:rPr>
      <w:rFonts w:ascii="宋体" w:hAnsi="宋体" w:cs="宋体"/>
      <w:kern w:val="0"/>
      <w:sz w:val="24"/>
      <w:szCs w:val="24"/>
    </w:rPr>
  </w:style>
  <w:style w:type="character" w:customStyle="1" w:styleId="5Char">
    <w:name w:val="标题 5 Char"/>
    <w:basedOn w:val="a0"/>
    <w:link w:val="5"/>
    <w:rsid w:val="004639E2"/>
    <w:rPr>
      <w:rFonts w:cs="Calibri"/>
      <w:b/>
      <w:bCs/>
      <w:kern w:val="2"/>
      <w:sz w:val="28"/>
      <w:szCs w:val="28"/>
    </w:rPr>
  </w:style>
</w:styles>
</file>

<file path=word/webSettings.xml><?xml version="1.0" encoding="utf-8"?>
<w:webSettings xmlns:r="http://schemas.openxmlformats.org/officeDocument/2006/relationships" xmlns:w="http://schemas.openxmlformats.org/wordprocessingml/2006/main">
  <w:divs>
    <w:div w:id="40789792">
      <w:bodyDiv w:val="1"/>
      <w:marLeft w:val="0"/>
      <w:marRight w:val="0"/>
      <w:marTop w:val="0"/>
      <w:marBottom w:val="0"/>
      <w:divBdr>
        <w:top w:val="none" w:sz="0" w:space="0" w:color="auto"/>
        <w:left w:val="none" w:sz="0" w:space="0" w:color="auto"/>
        <w:bottom w:val="none" w:sz="0" w:space="0" w:color="auto"/>
        <w:right w:val="none" w:sz="0" w:space="0" w:color="auto"/>
      </w:divBdr>
    </w:div>
    <w:div w:id="61830115">
      <w:bodyDiv w:val="1"/>
      <w:marLeft w:val="0"/>
      <w:marRight w:val="0"/>
      <w:marTop w:val="0"/>
      <w:marBottom w:val="0"/>
      <w:divBdr>
        <w:top w:val="none" w:sz="0" w:space="0" w:color="auto"/>
        <w:left w:val="none" w:sz="0" w:space="0" w:color="auto"/>
        <w:bottom w:val="none" w:sz="0" w:space="0" w:color="auto"/>
        <w:right w:val="none" w:sz="0" w:space="0" w:color="auto"/>
      </w:divBdr>
    </w:div>
    <w:div w:id="97145672">
      <w:bodyDiv w:val="1"/>
      <w:marLeft w:val="0"/>
      <w:marRight w:val="0"/>
      <w:marTop w:val="0"/>
      <w:marBottom w:val="0"/>
      <w:divBdr>
        <w:top w:val="none" w:sz="0" w:space="0" w:color="auto"/>
        <w:left w:val="none" w:sz="0" w:space="0" w:color="auto"/>
        <w:bottom w:val="none" w:sz="0" w:space="0" w:color="auto"/>
        <w:right w:val="none" w:sz="0" w:space="0" w:color="auto"/>
      </w:divBdr>
    </w:div>
    <w:div w:id="128593204">
      <w:bodyDiv w:val="1"/>
      <w:marLeft w:val="0"/>
      <w:marRight w:val="0"/>
      <w:marTop w:val="0"/>
      <w:marBottom w:val="0"/>
      <w:divBdr>
        <w:top w:val="none" w:sz="0" w:space="0" w:color="auto"/>
        <w:left w:val="none" w:sz="0" w:space="0" w:color="auto"/>
        <w:bottom w:val="none" w:sz="0" w:space="0" w:color="auto"/>
        <w:right w:val="none" w:sz="0" w:space="0" w:color="auto"/>
      </w:divBdr>
    </w:div>
    <w:div w:id="140008290">
      <w:bodyDiv w:val="1"/>
      <w:marLeft w:val="0"/>
      <w:marRight w:val="0"/>
      <w:marTop w:val="0"/>
      <w:marBottom w:val="0"/>
      <w:divBdr>
        <w:top w:val="none" w:sz="0" w:space="0" w:color="auto"/>
        <w:left w:val="none" w:sz="0" w:space="0" w:color="auto"/>
        <w:bottom w:val="none" w:sz="0" w:space="0" w:color="auto"/>
        <w:right w:val="none" w:sz="0" w:space="0" w:color="auto"/>
      </w:divBdr>
    </w:div>
    <w:div w:id="148374651">
      <w:bodyDiv w:val="1"/>
      <w:marLeft w:val="0"/>
      <w:marRight w:val="0"/>
      <w:marTop w:val="0"/>
      <w:marBottom w:val="0"/>
      <w:divBdr>
        <w:top w:val="none" w:sz="0" w:space="0" w:color="auto"/>
        <w:left w:val="none" w:sz="0" w:space="0" w:color="auto"/>
        <w:bottom w:val="none" w:sz="0" w:space="0" w:color="auto"/>
        <w:right w:val="none" w:sz="0" w:space="0" w:color="auto"/>
      </w:divBdr>
    </w:div>
    <w:div w:id="189150312">
      <w:bodyDiv w:val="1"/>
      <w:marLeft w:val="0"/>
      <w:marRight w:val="0"/>
      <w:marTop w:val="0"/>
      <w:marBottom w:val="0"/>
      <w:divBdr>
        <w:top w:val="none" w:sz="0" w:space="0" w:color="auto"/>
        <w:left w:val="none" w:sz="0" w:space="0" w:color="auto"/>
        <w:bottom w:val="none" w:sz="0" w:space="0" w:color="auto"/>
        <w:right w:val="none" w:sz="0" w:space="0" w:color="auto"/>
      </w:divBdr>
    </w:div>
    <w:div w:id="228614729">
      <w:bodyDiv w:val="1"/>
      <w:marLeft w:val="0"/>
      <w:marRight w:val="0"/>
      <w:marTop w:val="0"/>
      <w:marBottom w:val="0"/>
      <w:divBdr>
        <w:top w:val="none" w:sz="0" w:space="0" w:color="auto"/>
        <w:left w:val="none" w:sz="0" w:space="0" w:color="auto"/>
        <w:bottom w:val="none" w:sz="0" w:space="0" w:color="auto"/>
        <w:right w:val="none" w:sz="0" w:space="0" w:color="auto"/>
      </w:divBdr>
    </w:div>
    <w:div w:id="253973179">
      <w:bodyDiv w:val="1"/>
      <w:marLeft w:val="0"/>
      <w:marRight w:val="0"/>
      <w:marTop w:val="0"/>
      <w:marBottom w:val="0"/>
      <w:divBdr>
        <w:top w:val="none" w:sz="0" w:space="0" w:color="auto"/>
        <w:left w:val="none" w:sz="0" w:space="0" w:color="auto"/>
        <w:bottom w:val="none" w:sz="0" w:space="0" w:color="auto"/>
        <w:right w:val="none" w:sz="0" w:space="0" w:color="auto"/>
      </w:divBdr>
    </w:div>
    <w:div w:id="275412414">
      <w:bodyDiv w:val="1"/>
      <w:marLeft w:val="0"/>
      <w:marRight w:val="0"/>
      <w:marTop w:val="0"/>
      <w:marBottom w:val="0"/>
      <w:divBdr>
        <w:top w:val="none" w:sz="0" w:space="0" w:color="auto"/>
        <w:left w:val="none" w:sz="0" w:space="0" w:color="auto"/>
        <w:bottom w:val="none" w:sz="0" w:space="0" w:color="auto"/>
        <w:right w:val="none" w:sz="0" w:space="0" w:color="auto"/>
      </w:divBdr>
    </w:div>
    <w:div w:id="293220243">
      <w:bodyDiv w:val="1"/>
      <w:marLeft w:val="0"/>
      <w:marRight w:val="0"/>
      <w:marTop w:val="0"/>
      <w:marBottom w:val="0"/>
      <w:divBdr>
        <w:top w:val="none" w:sz="0" w:space="0" w:color="auto"/>
        <w:left w:val="none" w:sz="0" w:space="0" w:color="auto"/>
        <w:bottom w:val="none" w:sz="0" w:space="0" w:color="auto"/>
        <w:right w:val="none" w:sz="0" w:space="0" w:color="auto"/>
      </w:divBdr>
    </w:div>
    <w:div w:id="310139150">
      <w:bodyDiv w:val="1"/>
      <w:marLeft w:val="0"/>
      <w:marRight w:val="0"/>
      <w:marTop w:val="0"/>
      <w:marBottom w:val="0"/>
      <w:divBdr>
        <w:top w:val="none" w:sz="0" w:space="0" w:color="auto"/>
        <w:left w:val="none" w:sz="0" w:space="0" w:color="auto"/>
        <w:bottom w:val="none" w:sz="0" w:space="0" w:color="auto"/>
        <w:right w:val="none" w:sz="0" w:space="0" w:color="auto"/>
      </w:divBdr>
    </w:div>
    <w:div w:id="319700805">
      <w:bodyDiv w:val="1"/>
      <w:marLeft w:val="0"/>
      <w:marRight w:val="0"/>
      <w:marTop w:val="0"/>
      <w:marBottom w:val="0"/>
      <w:divBdr>
        <w:top w:val="none" w:sz="0" w:space="0" w:color="auto"/>
        <w:left w:val="none" w:sz="0" w:space="0" w:color="auto"/>
        <w:bottom w:val="none" w:sz="0" w:space="0" w:color="auto"/>
        <w:right w:val="none" w:sz="0" w:space="0" w:color="auto"/>
      </w:divBdr>
    </w:div>
    <w:div w:id="353505878">
      <w:bodyDiv w:val="1"/>
      <w:marLeft w:val="0"/>
      <w:marRight w:val="0"/>
      <w:marTop w:val="0"/>
      <w:marBottom w:val="0"/>
      <w:divBdr>
        <w:top w:val="none" w:sz="0" w:space="0" w:color="auto"/>
        <w:left w:val="none" w:sz="0" w:space="0" w:color="auto"/>
        <w:bottom w:val="none" w:sz="0" w:space="0" w:color="auto"/>
        <w:right w:val="none" w:sz="0" w:space="0" w:color="auto"/>
      </w:divBdr>
    </w:div>
    <w:div w:id="365058910">
      <w:bodyDiv w:val="1"/>
      <w:marLeft w:val="0"/>
      <w:marRight w:val="0"/>
      <w:marTop w:val="0"/>
      <w:marBottom w:val="0"/>
      <w:divBdr>
        <w:top w:val="none" w:sz="0" w:space="0" w:color="auto"/>
        <w:left w:val="none" w:sz="0" w:space="0" w:color="auto"/>
        <w:bottom w:val="none" w:sz="0" w:space="0" w:color="auto"/>
        <w:right w:val="none" w:sz="0" w:space="0" w:color="auto"/>
      </w:divBdr>
    </w:div>
    <w:div w:id="418985867">
      <w:bodyDiv w:val="1"/>
      <w:marLeft w:val="0"/>
      <w:marRight w:val="0"/>
      <w:marTop w:val="0"/>
      <w:marBottom w:val="0"/>
      <w:divBdr>
        <w:top w:val="none" w:sz="0" w:space="0" w:color="auto"/>
        <w:left w:val="none" w:sz="0" w:space="0" w:color="auto"/>
        <w:bottom w:val="none" w:sz="0" w:space="0" w:color="auto"/>
        <w:right w:val="none" w:sz="0" w:space="0" w:color="auto"/>
      </w:divBdr>
    </w:div>
    <w:div w:id="426728635">
      <w:bodyDiv w:val="1"/>
      <w:marLeft w:val="0"/>
      <w:marRight w:val="0"/>
      <w:marTop w:val="0"/>
      <w:marBottom w:val="0"/>
      <w:divBdr>
        <w:top w:val="none" w:sz="0" w:space="0" w:color="auto"/>
        <w:left w:val="none" w:sz="0" w:space="0" w:color="auto"/>
        <w:bottom w:val="none" w:sz="0" w:space="0" w:color="auto"/>
        <w:right w:val="none" w:sz="0" w:space="0" w:color="auto"/>
      </w:divBdr>
    </w:div>
    <w:div w:id="450247501">
      <w:bodyDiv w:val="1"/>
      <w:marLeft w:val="0"/>
      <w:marRight w:val="0"/>
      <w:marTop w:val="0"/>
      <w:marBottom w:val="0"/>
      <w:divBdr>
        <w:top w:val="none" w:sz="0" w:space="0" w:color="auto"/>
        <w:left w:val="none" w:sz="0" w:space="0" w:color="auto"/>
        <w:bottom w:val="none" w:sz="0" w:space="0" w:color="auto"/>
        <w:right w:val="none" w:sz="0" w:space="0" w:color="auto"/>
      </w:divBdr>
    </w:div>
    <w:div w:id="458180896">
      <w:bodyDiv w:val="1"/>
      <w:marLeft w:val="0"/>
      <w:marRight w:val="0"/>
      <w:marTop w:val="0"/>
      <w:marBottom w:val="0"/>
      <w:divBdr>
        <w:top w:val="none" w:sz="0" w:space="0" w:color="auto"/>
        <w:left w:val="none" w:sz="0" w:space="0" w:color="auto"/>
        <w:bottom w:val="none" w:sz="0" w:space="0" w:color="auto"/>
        <w:right w:val="none" w:sz="0" w:space="0" w:color="auto"/>
      </w:divBdr>
    </w:div>
    <w:div w:id="526531278">
      <w:bodyDiv w:val="1"/>
      <w:marLeft w:val="0"/>
      <w:marRight w:val="0"/>
      <w:marTop w:val="0"/>
      <w:marBottom w:val="0"/>
      <w:divBdr>
        <w:top w:val="none" w:sz="0" w:space="0" w:color="auto"/>
        <w:left w:val="none" w:sz="0" w:space="0" w:color="auto"/>
        <w:bottom w:val="none" w:sz="0" w:space="0" w:color="auto"/>
        <w:right w:val="none" w:sz="0" w:space="0" w:color="auto"/>
      </w:divBdr>
    </w:div>
    <w:div w:id="587930010">
      <w:bodyDiv w:val="1"/>
      <w:marLeft w:val="0"/>
      <w:marRight w:val="0"/>
      <w:marTop w:val="0"/>
      <w:marBottom w:val="0"/>
      <w:divBdr>
        <w:top w:val="none" w:sz="0" w:space="0" w:color="auto"/>
        <w:left w:val="none" w:sz="0" w:space="0" w:color="auto"/>
        <w:bottom w:val="none" w:sz="0" w:space="0" w:color="auto"/>
        <w:right w:val="none" w:sz="0" w:space="0" w:color="auto"/>
      </w:divBdr>
    </w:div>
    <w:div w:id="597829581">
      <w:bodyDiv w:val="1"/>
      <w:marLeft w:val="0"/>
      <w:marRight w:val="0"/>
      <w:marTop w:val="0"/>
      <w:marBottom w:val="0"/>
      <w:divBdr>
        <w:top w:val="none" w:sz="0" w:space="0" w:color="auto"/>
        <w:left w:val="none" w:sz="0" w:space="0" w:color="auto"/>
        <w:bottom w:val="none" w:sz="0" w:space="0" w:color="auto"/>
        <w:right w:val="none" w:sz="0" w:space="0" w:color="auto"/>
      </w:divBdr>
    </w:div>
    <w:div w:id="601379950">
      <w:bodyDiv w:val="1"/>
      <w:marLeft w:val="0"/>
      <w:marRight w:val="0"/>
      <w:marTop w:val="0"/>
      <w:marBottom w:val="0"/>
      <w:divBdr>
        <w:top w:val="none" w:sz="0" w:space="0" w:color="auto"/>
        <w:left w:val="none" w:sz="0" w:space="0" w:color="auto"/>
        <w:bottom w:val="none" w:sz="0" w:space="0" w:color="auto"/>
        <w:right w:val="none" w:sz="0" w:space="0" w:color="auto"/>
      </w:divBdr>
      <w:divsChild>
        <w:div w:id="25102545">
          <w:marLeft w:val="0"/>
          <w:marRight w:val="0"/>
          <w:marTop w:val="0"/>
          <w:marBottom w:val="0"/>
          <w:divBdr>
            <w:top w:val="none" w:sz="0" w:space="0" w:color="auto"/>
            <w:left w:val="none" w:sz="0" w:space="0" w:color="auto"/>
            <w:bottom w:val="none" w:sz="0" w:space="0" w:color="auto"/>
            <w:right w:val="none" w:sz="0" w:space="0" w:color="auto"/>
          </w:divBdr>
        </w:div>
        <w:div w:id="363990441">
          <w:marLeft w:val="0"/>
          <w:marRight w:val="0"/>
          <w:marTop w:val="0"/>
          <w:marBottom w:val="0"/>
          <w:divBdr>
            <w:top w:val="none" w:sz="0" w:space="0" w:color="auto"/>
            <w:left w:val="none" w:sz="0" w:space="0" w:color="auto"/>
            <w:bottom w:val="none" w:sz="0" w:space="0" w:color="auto"/>
            <w:right w:val="none" w:sz="0" w:space="0" w:color="auto"/>
          </w:divBdr>
          <w:divsChild>
            <w:div w:id="1184398544">
              <w:marLeft w:val="0"/>
              <w:marRight w:val="0"/>
              <w:marTop w:val="0"/>
              <w:marBottom w:val="0"/>
              <w:divBdr>
                <w:top w:val="none" w:sz="0" w:space="0" w:color="auto"/>
                <w:left w:val="none" w:sz="0" w:space="0" w:color="auto"/>
                <w:bottom w:val="none" w:sz="0" w:space="0" w:color="auto"/>
                <w:right w:val="none" w:sz="0" w:space="0" w:color="auto"/>
              </w:divBdr>
            </w:div>
            <w:div w:id="1719695703">
              <w:marLeft w:val="0"/>
              <w:marRight w:val="0"/>
              <w:marTop w:val="0"/>
              <w:marBottom w:val="0"/>
              <w:divBdr>
                <w:top w:val="none" w:sz="0" w:space="0" w:color="auto"/>
                <w:left w:val="none" w:sz="0" w:space="0" w:color="auto"/>
                <w:bottom w:val="none" w:sz="0" w:space="0" w:color="auto"/>
                <w:right w:val="none" w:sz="0" w:space="0" w:color="auto"/>
              </w:divBdr>
            </w:div>
            <w:div w:id="543754353">
              <w:marLeft w:val="0"/>
              <w:marRight w:val="0"/>
              <w:marTop w:val="0"/>
              <w:marBottom w:val="0"/>
              <w:divBdr>
                <w:top w:val="none" w:sz="0" w:space="0" w:color="auto"/>
                <w:left w:val="none" w:sz="0" w:space="0" w:color="auto"/>
                <w:bottom w:val="none" w:sz="0" w:space="0" w:color="auto"/>
                <w:right w:val="none" w:sz="0" w:space="0" w:color="auto"/>
              </w:divBdr>
            </w:div>
            <w:div w:id="1410154402">
              <w:marLeft w:val="0"/>
              <w:marRight w:val="0"/>
              <w:marTop w:val="0"/>
              <w:marBottom w:val="0"/>
              <w:divBdr>
                <w:top w:val="none" w:sz="0" w:space="0" w:color="auto"/>
                <w:left w:val="none" w:sz="0" w:space="0" w:color="auto"/>
                <w:bottom w:val="none" w:sz="0" w:space="0" w:color="auto"/>
                <w:right w:val="none" w:sz="0" w:space="0" w:color="auto"/>
              </w:divBdr>
            </w:div>
            <w:div w:id="999311483">
              <w:marLeft w:val="0"/>
              <w:marRight w:val="0"/>
              <w:marTop w:val="0"/>
              <w:marBottom w:val="0"/>
              <w:divBdr>
                <w:top w:val="none" w:sz="0" w:space="0" w:color="auto"/>
                <w:left w:val="none" w:sz="0" w:space="0" w:color="auto"/>
                <w:bottom w:val="none" w:sz="0" w:space="0" w:color="auto"/>
                <w:right w:val="none" w:sz="0" w:space="0" w:color="auto"/>
              </w:divBdr>
            </w:div>
            <w:div w:id="1122502088">
              <w:marLeft w:val="0"/>
              <w:marRight w:val="0"/>
              <w:marTop w:val="0"/>
              <w:marBottom w:val="0"/>
              <w:divBdr>
                <w:top w:val="none" w:sz="0" w:space="0" w:color="auto"/>
                <w:left w:val="none" w:sz="0" w:space="0" w:color="auto"/>
                <w:bottom w:val="none" w:sz="0" w:space="0" w:color="auto"/>
                <w:right w:val="none" w:sz="0" w:space="0" w:color="auto"/>
              </w:divBdr>
            </w:div>
            <w:div w:id="1536776132">
              <w:marLeft w:val="0"/>
              <w:marRight w:val="0"/>
              <w:marTop w:val="0"/>
              <w:marBottom w:val="0"/>
              <w:divBdr>
                <w:top w:val="none" w:sz="0" w:space="0" w:color="auto"/>
                <w:left w:val="none" w:sz="0" w:space="0" w:color="auto"/>
                <w:bottom w:val="none" w:sz="0" w:space="0" w:color="auto"/>
                <w:right w:val="none" w:sz="0" w:space="0" w:color="auto"/>
              </w:divBdr>
            </w:div>
            <w:div w:id="436098005">
              <w:marLeft w:val="0"/>
              <w:marRight w:val="0"/>
              <w:marTop w:val="0"/>
              <w:marBottom w:val="0"/>
              <w:divBdr>
                <w:top w:val="none" w:sz="0" w:space="0" w:color="auto"/>
                <w:left w:val="none" w:sz="0" w:space="0" w:color="auto"/>
                <w:bottom w:val="none" w:sz="0" w:space="0" w:color="auto"/>
                <w:right w:val="none" w:sz="0" w:space="0" w:color="auto"/>
              </w:divBdr>
            </w:div>
            <w:div w:id="908806974">
              <w:marLeft w:val="0"/>
              <w:marRight w:val="0"/>
              <w:marTop w:val="0"/>
              <w:marBottom w:val="0"/>
              <w:divBdr>
                <w:top w:val="none" w:sz="0" w:space="0" w:color="auto"/>
                <w:left w:val="none" w:sz="0" w:space="0" w:color="auto"/>
                <w:bottom w:val="none" w:sz="0" w:space="0" w:color="auto"/>
                <w:right w:val="none" w:sz="0" w:space="0" w:color="auto"/>
              </w:divBdr>
            </w:div>
            <w:div w:id="594939127">
              <w:marLeft w:val="0"/>
              <w:marRight w:val="0"/>
              <w:marTop w:val="0"/>
              <w:marBottom w:val="0"/>
              <w:divBdr>
                <w:top w:val="none" w:sz="0" w:space="0" w:color="auto"/>
                <w:left w:val="none" w:sz="0" w:space="0" w:color="auto"/>
                <w:bottom w:val="none" w:sz="0" w:space="0" w:color="auto"/>
                <w:right w:val="none" w:sz="0" w:space="0" w:color="auto"/>
              </w:divBdr>
            </w:div>
            <w:div w:id="1805386750">
              <w:marLeft w:val="0"/>
              <w:marRight w:val="0"/>
              <w:marTop w:val="0"/>
              <w:marBottom w:val="0"/>
              <w:divBdr>
                <w:top w:val="none" w:sz="0" w:space="0" w:color="auto"/>
                <w:left w:val="none" w:sz="0" w:space="0" w:color="auto"/>
                <w:bottom w:val="none" w:sz="0" w:space="0" w:color="auto"/>
                <w:right w:val="none" w:sz="0" w:space="0" w:color="auto"/>
              </w:divBdr>
            </w:div>
            <w:div w:id="1046373206">
              <w:marLeft w:val="0"/>
              <w:marRight w:val="0"/>
              <w:marTop w:val="0"/>
              <w:marBottom w:val="0"/>
              <w:divBdr>
                <w:top w:val="none" w:sz="0" w:space="0" w:color="auto"/>
                <w:left w:val="none" w:sz="0" w:space="0" w:color="auto"/>
                <w:bottom w:val="none" w:sz="0" w:space="0" w:color="auto"/>
                <w:right w:val="none" w:sz="0" w:space="0" w:color="auto"/>
              </w:divBdr>
            </w:div>
            <w:div w:id="2006661899">
              <w:marLeft w:val="0"/>
              <w:marRight w:val="0"/>
              <w:marTop w:val="0"/>
              <w:marBottom w:val="0"/>
              <w:divBdr>
                <w:top w:val="none" w:sz="0" w:space="0" w:color="auto"/>
                <w:left w:val="none" w:sz="0" w:space="0" w:color="auto"/>
                <w:bottom w:val="none" w:sz="0" w:space="0" w:color="auto"/>
                <w:right w:val="none" w:sz="0" w:space="0" w:color="auto"/>
              </w:divBdr>
            </w:div>
            <w:div w:id="582954192">
              <w:marLeft w:val="0"/>
              <w:marRight w:val="0"/>
              <w:marTop w:val="0"/>
              <w:marBottom w:val="0"/>
              <w:divBdr>
                <w:top w:val="none" w:sz="0" w:space="0" w:color="auto"/>
                <w:left w:val="none" w:sz="0" w:space="0" w:color="auto"/>
                <w:bottom w:val="none" w:sz="0" w:space="0" w:color="auto"/>
                <w:right w:val="none" w:sz="0" w:space="0" w:color="auto"/>
              </w:divBdr>
            </w:div>
            <w:div w:id="1136996403">
              <w:marLeft w:val="0"/>
              <w:marRight w:val="0"/>
              <w:marTop w:val="0"/>
              <w:marBottom w:val="0"/>
              <w:divBdr>
                <w:top w:val="none" w:sz="0" w:space="0" w:color="auto"/>
                <w:left w:val="none" w:sz="0" w:space="0" w:color="auto"/>
                <w:bottom w:val="none" w:sz="0" w:space="0" w:color="auto"/>
                <w:right w:val="none" w:sz="0" w:space="0" w:color="auto"/>
              </w:divBdr>
            </w:div>
            <w:div w:id="426654969">
              <w:marLeft w:val="0"/>
              <w:marRight w:val="0"/>
              <w:marTop w:val="0"/>
              <w:marBottom w:val="0"/>
              <w:divBdr>
                <w:top w:val="none" w:sz="0" w:space="0" w:color="auto"/>
                <w:left w:val="none" w:sz="0" w:space="0" w:color="auto"/>
                <w:bottom w:val="none" w:sz="0" w:space="0" w:color="auto"/>
                <w:right w:val="none" w:sz="0" w:space="0" w:color="auto"/>
              </w:divBdr>
            </w:div>
            <w:div w:id="1087766978">
              <w:marLeft w:val="0"/>
              <w:marRight w:val="0"/>
              <w:marTop w:val="0"/>
              <w:marBottom w:val="0"/>
              <w:divBdr>
                <w:top w:val="none" w:sz="0" w:space="0" w:color="auto"/>
                <w:left w:val="none" w:sz="0" w:space="0" w:color="auto"/>
                <w:bottom w:val="none" w:sz="0" w:space="0" w:color="auto"/>
                <w:right w:val="none" w:sz="0" w:space="0" w:color="auto"/>
              </w:divBdr>
            </w:div>
            <w:div w:id="11146593">
              <w:marLeft w:val="0"/>
              <w:marRight w:val="0"/>
              <w:marTop w:val="0"/>
              <w:marBottom w:val="0"/>
              <w:divBdr>
                <w:top w:val="none" w:sz="0" w:space="0" w:color="auto"/>
                <w:left w:val="none" w:sz="0" w:space="0" w:color="auto"/>
                <w:bottom w:val="none" w:sz="0" w:space="0" w:color="auto"/>
                <w:right w:val="none" w:sz="0" w:space="0" w:color="auto"/>
              </w:divBdr>
            </w:div>
            <w:div w:id="663976525">
              <w:marLeft w:val="0"/>
              <w:marRight w:val="0"/>
              <w:marTop w:val="0"/>
              <w:marBottom w:val="0"/>
              <w:divBdr>
                <w:top w:val="none" w:sz="0" w:space="0" w:color="auto"/>
                <w:left w:val="none" w:sz="0" w:space="0" w:color="auto"/>
                <w:bottom w:val="none" w:sz="0" w:space="0" w:color="auto"/>
                <w:right w:val="none" w:sz="0" w:space="0" w:color="auto"/>
              </w:divBdr>
            </w:div>
            <w:div w:id="423309525">
              <w:marLeft w:val="0"/>
              <w:marRight w:val="0"/>
              <w:marTop w:val="0"/>
              <w:marBottom w:val="0"/>
              <w:divBdr>
                <w:top w:val="none" w:sz="0" w:space="0" w:color="auto"/>
                <w:left w:val="none" w:sz="0" w:space="0" w:color="auto"/>
                <w:bottom w:val="none" w:sz="0" w:space="0" w:color="auto"/>
                <w:right w:val="none" w:sz="0" w:space="0" w:color="auto"/>
              </w:divBdr>
            </w:div>
            <w:div w:id="2042590362">
              <w:marLeft w:val="0"/>
              <w:marRight w:val="0"/>
              <w:marTop w:val="0"/>
              <w:marBottom w:val="0"/>
              <w:divBdr>
                <w:top w:val="none" w:sz="0" w:space="0" w:color="auto"/>
                <w:left w:val="none" w:sz="0" w:space="0" w:color="auto"/>
                <w:bottom w:val="none" w:sz="0" w:space="0" w:color="auto"/>
                <w:right w:val="none" w:sz="0" w:space="0" w:color="auto"/>
              </w:divBdr>
            </w:div>
            <w:div w:id="1878932260">
              <w:marLeft w:val="0"/>
              <w:marRight w:val="0"/>
              <w:marTop w:val="0"/>
              <w:marBottom w:val="0"/>
              <w:divBdr>
                <w:top w:val="none" w:sz="0" w:space="0" w:color="auto"/>
                <w:left w:val="none" w:sz="0" w:space="0" w:color="auto"/>
                <w:bottom w:val="none" w:sz="0" w:space="0" w:color="auto"/>
                <w:right w:val="none" w:sz="0" w:space="0" w:color="auto"/>
              </w:divBdr>
            </w:div>
            <w:div w:id="190540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399661">
      <w:bodyDiv w:val="1"/>
      <w:marLeft w:val="0"/>
      <w:marRight w:val="0"/>
      <w:marTop w:val="0"/>
      <w:marBottom w:val="0"/>
      <w:divBdr>
        <w:top w:val="none" w:sz="0" w:space="0" w:color="auto"/>
        <w:left w:val="none" w:sz="0" w:space="0" w:color="auto"/>
        <w:bottom w:val="none" w:sz="0" w:space="0" w:color="auto"/>
        <w:right w:val="none" w:sz="0" w:space="0" w:color="auto"/>
      </w:divBdr>
    </w:div>
    <w:div w:id="643319510">
      <w:bodyDiv w:val="1"/>
      <w:marLeft w:val="0"/>
      <w:marRight w:val="0"/>
      <w:marTop w:val="0"/>
      <w:marBottom w:val="0"/>
      <w:divBdr>
        <w:top w:val="none" w:sz="0" w:space="0" w:color="auto"/>
        <w:left w:val="none" w:sz="0" w:space="0" w:color="auto"/>
        <w:bottom w:val="none" w:sz="0" w:space="0" w:color="auto"/>
        <w:right w:val="none" w:sz="0" w:space="0" w:color="auto"/>
      </w:divBdr>
      <w:divsChild>
        <w:div w:id="1310331413">
          <w:marLeft w:val="0"/>
          <w:marRight w:val="0"/>
          <w:marTop w:val="0"/>
          <w:marBottom w:val="0"/>
          <w:divBdr>
            <w:top w:val="none" w:sz="0" w:space="0" w:color="auto"/>
            <w:left w:val="none" w:sz="0" w:space="0" w:color="auto"/>
            <w:bottom w:val="none" w:sz="0" w:space="0" w:color="auto"/>
            <w:right w:val="none" w:sz="0" w:space="0" w:color="auto"/>
          </w:divBdr>
        </w:div>
        <w:div w:id="1258293916">
          <w:marLeft w:val="0"/>
          <w:marRight w:val="0"/>
          <w:marTop w:val="0"/>
          <w:marBottom w:val="0"/>
          <w:divBdr>
            <w:top w:val="none" w:sz="0" w:space="0" w:color="auto"/>
            <w:left w:val="none" w:sz="0" w:space="0" w:color="auto"/>
            <w:bottom w:val="none" w:sz="0" w:space="0" w:color="auto"/>
            <w:right w:val="none" w:sz="0" w:space="0" w:color="auto"/>
          </w:divBdr>
        </w:div>
        <w:div w:id="190800802">
          <w:marLeft w:val="0"/>
          <w:marRight w:val="0"/>
          <w:marTop w:val="0"/>
          <w:marBottom w:val="0"/>
          <w:divBdr>
            <w:top w:val="none" w:sz="0" w:space="0" w:color="auto"/>
            <w:left w:val="none" w:sz="0" w:space="0" w:color="auto"/>
            <w:bottom w:val="none" w:sz="0" w:space="0" w:color="auto"/>
            <w:right w:val="none" w:sz="0" w:space="0" w:color="auto"/>
          </w:divBdr>
        </w:div>
        <w:div w:id="1572429585">
          <w:marLeft w:val="0"/>
          <w:marRight w:val="0"/>
          <w:marTop w:val="0"/>
          <w:marBottom w:val="0"/>
          <w:divBdr>
            <w:top w:val="none" w:sz="0" w:space="0" w:color="auto"/>
            <w:left w:val="none" w:sz="0" w:space="0" w:color="auto"/>
            <w:bottom w:val="none" w:sz="0" w:space="0" w:color="auto"/>
            <w:right w:val="none" w:sz="0" w:space="0" w:color="auto"/>
          </w:divBdr>
        </w:div>
      </w:divsChild>
    </w:div>
    <w:div w:id="674890907">
      <w:bodyDiv w:val="1"/>
      <w:marLeft w:val="0"/>
      <w:marRight w:val="0"/>
      <w:marTop w:val="0"/>
      <w:marBottom w:val="0"/>
      <w:divBdr>
        <w:top w:val="none" w:sz="0" w:space="0" w:color="auto"/>
        <w:left w:val="none" w:sz="0" w:space="0" w:color="auto"/>
        <w:bottom w:val="none" w:sz="0" w:space="0" w:color="auto"/>
        <w:right w:val="none" w:sz="0" w:space="0" w:color="auto"/>
      </w:divBdr>
      <w:divsChild>
        <w:div w:id="1453672910">
          <w:marLeft w:val="0"/>
          <w:marRight w:val="0"/>
          <w:marTop w:val="0"/>
          <w:marBottom w:val="0"/>
          <w:divBdr>
            <w:top w:val="none" w:sz="0" w:space="0" w:color="auto"/>
            <w:left w:val="none" w:sz="0" w:space="0" w:color="auto"/>
            <w:bottom w:val="none" w:sz="0" w:space="0" w:color="auto"/>
            <w:right w:val="none" w:sz="0" w:space="0" w:color="auto"/>
          </w:divBdr>
        </w:div>
        <w:div w:id="2028024176">
          <w:marLeft w:val="0"/>
          <w:marRight w:val="0"/>
          <w:marTop w:val="0"/>
          <w:marBottom w:val="0"/>
          <w:divBdr>
            <w:top w:val="none" w:sz="0" w:space="0" w:color="auto"/>
            <w:left w:val="none" w:sz="0" w:space="0" w:color="auto"/>
            <w:bottom w:val="none" w:sz="0" w:space="0" w:color="auto"/>
            <w:right w:val="none" w:sz="0" w:space="0" w:color="auto"/>
          </w:divBdr>
        </w:div>
        <w:div w:id="988285794">
          <w:marLeft w:val="0"/>
          <w:marRight w:val="0"/>
          <w:marTop w:val="0"/>
          <w:marBottom w:val="0"/>
          <w:divBdr>
            <w:top w:val="none" w:sz="0" w:space="0" w:color="auto"/>
            <w:left w:val="none" w:sz="0" w:space="0" w:color="auto"/>
            <w:bottom w:val="none" w:sz="0" w:space="0" w:color="auto"/>
            <w:right w:val="none" w:sz="0" w:space="0" w:color="auto"/>
          </w:divBdr>
        </w:div>
        <w:div w:id="1026521779">
          <w:marLeft w:val="0"/>
          <w:marRight w:val="0"/>
          <w:marTop w:val="0"/>
          <w:marBottom w:val="0"/>
          <w:divBdr>
            <w:top w:val="none" w:sz="0" w:space="0" w:color="auto"/>
            <w:left w:val="none" w:sz="0" w:space="0" w:color="auto"/>
            <w:bottom w:val="none" w:sz="0" w:space="0" w:color="auto"/>
            <w:right w:val="none" w:sz="0" w:space="0" w:color="auto"/>
          </w:divBdr>
        </w:div>
        <w:div w:id="1576624435">
          <w:marLeft w:val="0"/>
          <w:marRight w:val="0"/>
          <w:marTop w:val="0"/>
          <w:marBottom w:val="0"/>
          <w:divBdr>
            <w:top w:val="none" w:sz="0" w:space="0" w:color="auto"/>
            <w:left w:val="none" w:sz="0" w:space="0" w:color="auto"/>
            <w:bottom w:val="none" w:sz="0" w:space="0" w:color="auto"/>
            <w:right w:val="none" w:sz="0" w:space="0" w:color="auto"/>
          </w:divBdr>
        </w:div>
        <w:div w:id="2128812822">
          <w:marLeft w:val="0"/>
          <w:marRight w:val="0"/>
          <w:marTop w:val="0"/>
          <w:marBottom w:val="0"/>
          <w:divBdr>
            <w:top w:val="none" w:sz="0" w:space="0" w:color="auto"/>
            <w:left w:val="none" w:sz="0" w:space="0" w:color="auto"/>
            <w:bottom w:val="none" w:sz="0" w:space="0" w:color="auto"/>
            <w:right w:val="none" w:sz="0" w:space="0" w:color="auto"/>
          </w:divBdr>
        </w:div>
        <w:div w:id="755126989">
          <w:marLeft w:val="0"/>
          <w:marRight w:val="0"/>
          <w:marTop w:val="0"/>
          <w:marBottom w:val="0"/>
          <w:divBdr>
            <w:top w:val="none" w:sz="0" w:space="0" w:color="auto"/>
            <w:left w:val="none" w:sz="0" w:space="0" w:color="auto"/>
            <w:bottom w:val="none" w:sz="0" w:space="0" w:color="auto"/>
            <w:right w:val="none" w:sz="0" w:space="0" w:color="auto"/>
          </w:divBdr>
        </w:div>
      </w:divsChild>
    </w:div>
    <w:div w:id="688413046">
      <w:bodyDiv w:val="1"/>
      <w:marLeft w:val="0"/>
      <w:marRight w:val="0"/>
      <w:marTop w:val="0"/>
      <w:marBottom w:val="0"/>
      <w:divBdr>
        <w:top w:val="none" w:sz="0" w:space="0" w:color="auto"/>
        <w:left w:val="none" w:sz="0" w:space="0" w:color="auto"/>
        <w:bottom w:val="none" w:sz="0" w:space="0" w:color="auto"/>
        <w:right w:val="none" w:sz="0" w:space="0" w:color="auto"/>
      </w:divBdr>
    </w:div>
    <w:div w:id="694426180">
      <w:bodyDiv w:val="1"/>
      <w:marLeft w:val="0"/>
      <w:marRight w:val="0"/>
      <w:marTop w:val="0"/>
      <w:marBottom w:val="0"/>
      <w:divBdr>
        <w:top w:val="none" w:sz="0" w:space="0" w:color="auto"/>
        <w:left w:val="none" w:sz="0" w:space="0" w:color="auto"/>
        <w:bottom w:val="none" w:sz="0" w:space="0" w:color="auto"/>
        <w:right w:val="none" w:sz="0" w:space="0" w:color="auto"/>
      </w:divBdr>
    </w:div>
    <w:div w:id="717440835">
      <w:bodyDiv w:val="1"/>
      <w:marLeft w:val="0"/>
      <w:marRight w:val="0"/>
      <w:marTop w:val="0"/>
      <w:marBottom w:val="0"/>
      <w:divBdr>
        <w:top w:val="none" w:sz="0" w:space="0" w:color="auto"/>
        <w:left w:val="none" w:sz="0" w:space="0" w:color="auto"/>
        <w:bottom w:val="none" w:sz="0" w:space="0" w:color="auto"/>
        <w:right w:val="none" w:sz="0" w:space="0" w:color="auto"/>
      </w:divBdr>
      <w:divsChild>
        <w:div w:id="626007109">
          <w:marLeft w:val="0"/>
          <w:marRight w:val="0"/>
          <w:marTop w:val="0"/>
          <w:marBottom w:val="0"/>
          <w:divBdr>
            <w:top w:val="none" w:sz="0" w:space="0" w:color="auto"/>
            <w:left w:val="none" w:sz="0" w:space="0" w:color="auto"/>
            <w:bottom w:val="none" w:sz="0" w:space="0" w:color="auto"/>
            <w:right w:val="none" w:sz="0" w:space="0" w:color="auto"/>
          </w:divBdr>
        </w:div>
        <w:div w:id="160048756">
          <w:marLeft w:val="0"/>
          <w:marRight w:val="0"/>
          <w:marTop w:val="0"/>
          <w:marBottom w:val="0"/>
          <w:divBdr>
            <w:top w:val="none" w:sz="0" w:space="0" w:color="auto"/>
            <w:left w:val="none" w:sz="0" w:space="0" w:color="auto"/>
            <w:bottom w:val="none" w:sz="0" w:space="0" w:color="auto"/>
            <w:right w:val="none" w:sz="0" w:space="0" w:color="auto"/>
          </w:divBdr>
        </w:div>
        <w:div w:id="981079850">
          <w:marLeft w:val="0"/>
          <w:marRight w:val="0"/>
          <w:marTop w:val="0"/>
          <w:marBottom w:val="0"/>
          <w:divBdr>
            <w:top w:val="none" w:sz="0" w:space="0" w:color="auto"/>
            <w:left w:val="none" w:sz="0" w:space="0" w:color="auto"/>
            <w:bottom w:val="none" w:sz="0" w:space="0" w:color="auto"/>
            <w:right w:val="none" w:sz="0" w:space="0" w:color="auto"/>
          </w:divBdr>
        </w:div>
        <w:div w:id="1016155270">
          <w:marLeft w:val="0"/>
          <w:marRight w:val="0"/>
          <w:marTop w:val="0"/>
          <w:marBottom w:val="0"/>
          <w:divBdr>
            <w:top w:val="none" w:sz="0" w:space="0" w:color="auto"/>
            <w:left w:val="none" w:sz="0" w:space="0" w:color="auto"/>
            <w:bottom w:val="none" w:sz="0" w:space="0" w:color="auto"/>
            <w:right w:val="none" w:sz="0" w:space="0" w:color="auto"/>
          </w:divBdr>
        </w:div>
        <w:div w:id="1299918596">
          <w:marLeft w:val="0"/>
          <w:marRight w:val="0"/>
          <w:marTop w:val="0"/>
          <w:marBottom w:val="0"/>
          <w:divBdr>
            <w:top w:val="none" w:sz="0" w:space="0" w:color="auto"/>
            <w:left w:val="none" w:sz="0" w:space="0" w:color="auto"/>
            <w:bottom w:val="none" w:sz="0" w:space="0" w:color="auto"/>
            <w:right w:val="none" w:sz="0" w:space="0" w:color="auto"/>
          </w:divBdr>
        </w:div>
        <w:div w:id="1279871412">
          <w:marLeft w:val="0"/>
          <w:marRight w:val="0"/>
          <w:marTop w:val="0"/>
          <w:marBottom w:val="0"/>
          <w:divBdr>
            <w:top w:val="none" w:sz="0" w:space="0" w:color="auto"/>
            <w:left w:val="none" w:sz="0" w:space="0" w:color="auto"/>
            <w:bottom w:val="none" w:sz="0" w:space="0" w:color="auto"/>
            <w:right w:val="none" w:sz="0" w:space="0" w:color="auto"/>
          </w:divBdr>
        </w:div>
        <w:div w:id="400375056">
          <w:marLeft w:val="0"/>
          <w:marRight w:val="0"/>
          <w:marTop w:val="0"/>
          <w:marBottom w:val="0"/>
          <w:divBdr>
            <w:top w:val="none" w:sz="0" w:space="0" w:color="auto"/>
            <w:left w:val="none" w:sz="0" w:space="0" w:color="auto"/>
            <w:bottom w:val="none" w:sz="0" w:space="0" w:color="auto"/>
            <w:right w:val="none" w:sz="0" w:space="0" w:color="auto"/>
          </w:divBdr>
        </w:div>
        <w:div w:id="916399912">
          <w:marLeft w:val="0"/>
          <w:marRight w:val="0"/>
          <w:marTop w:val="0"/>
          <w:marBottom w:val="0"/>
          <w:divBdr>
            <w:top w:val="none" w:sz="0" w:space="0" w:color="auto"/>
            <w:left w:val="none" w:sz="0" w:space="0" w:color="auto"/>
            <w:bottom w:val="none" w:sz="0" w:space="0" w:color="auto"/>
            <w:right w:val="none" w:sz="0" w:space="0" w:color="auto"/>
          </w:divBdr>
        </w:div>
      </w:divsChild>
    </w:div>
    <w:div w:id="741173385">
      <w:bodyDiv w:val="1"/>
      <w:marLeft w:val="0"/>
      <w:marRight w:val="0"/>
      <w:marTop w:val="0"/>
      <w:marBottom w:val="0"/>
      <w:divBdr>
        <w:top w:val="none" w:sz="0" w:space="0" w:color="auto"/>
        <w:left w:val="none" w:sz="0" w:space="0" w:color="auto"/>
        <w:bottom w:val="none" w:sz="0" w:space="0" w:color="auto"/>
        <w:right w:val="none" w:sz="0" w:space="0" w:color="auto"/>
      </w:divBdr>
    </w:div>
    <w:div w:id="742947811">
      <w:bodyDiv w:val="1"/>
      <w:marLeft w:val="0"/>
      <w:marRight w:val="0"/>
      <w:marTop w:val="0"/>
      <w:marBottom w:val="0"/>
      <w:divBdr>
        <w:top w:val="none" w:sz="0" w:space="0" w:color="auto"/>
        <w:left w:val="none" w:sz="0" w:space="0" w:color="auto"/>
        <w:bottom w:val="none" w:sz="0" w:space="0" w:color="auto"/>
        <w:right w:val="none" w:sz="0" w:space="0" w:color="auto"/>
      </w:divBdr>
    </w:div>
    <w:div w:id="755856681">
      <w:bodyDiv w:val="1"/>
      <w:marLeft w:val="0"/>
      <w:marRight w:val="0"/>
      <w:marTop w:val="0"/>
      <w:marBottom w:val="0"/>
      <w:divBdr>
        <w:top w:val="none" w:sz="0" w:space="0" w:color="auto"/>
        <w:left w:val="none" w:sz="0" w:space="0" w:color="auto"/>
        <w:bottom w:val="none" w:sz="0" w:space="0" w:color="auto"/>
        <w:right w:val="none" w:sz="0" w:space="0" w:color="auto"/>
      </w:divBdr>
    </w:div>
    <w:div w:id="788934116">
      <w:bodyDiv w:val="1"/>
      <w:marLeft w:val="0"/>
      <w:marRight w:val="0"/>
      <w:marTop w:val="0"/>
      <w:marBottom w:val="0"/>
      <w:divBdr>
        <w:top w:val="none" w:sz="0" w:space="0" w:color="auto"/>
        <w:left w:val="none" w:sz="0" w:space="0" w:color="auto"/>
        <w:bottom w:val="none" w:sz="0" w:space="0" w:color="auto"/>
        <w:right w:val="none" w:sz="0" w:space="0" w:color="auto"/>
      </w:divBdr>
    </w:div>
    <w:div w:id="790973205">
      <w:bodyDiv w:val="1"/>
      <w:marLeft w:val="0"/>
      <w:marRight w:val="0"/>
      <w:marTop w:val="0"/>
      <w:marBottom w:val="0"/>
      <w:divBdr>
        <w:top w:val="none" w:sz="0" w:space="0" w:color="auto"/>
        <w:left w:val="none" w:sz="0" w:space="0" w:color="auto"/>
        <w:bottom w:val="none" w:sz="0" w:space="0" w:color="auto"/>
        <w:right w:val="none" w:sz="0" w:space="0" w:color="auto"/>
      </w:divBdr>
    </w:div>
    <w:div w:id="843939818">
      <w:bodyDiv w:val="1"/>
      <w:marLeft w:val="0"/>
      <w:marRight w:val="0"/>
      <w:marTop w:val="0"/>
      <w:marBottom w:val="0"/>
      <w:divBdr>
        <w:top w:val="none" w:sz="0" w:space="0" w:color="auto"/>
        <w:left w:val="none" w:sz="0" w:space="0" w:color="auto"/>
        <w:bottom w:val="none" w:sz="0" w:space="0" w:color="auto"/>
        <w:right w:val="none" w:sz="0" w:space="0" w:color="auto"/>
      </w:divBdr>
    </w:div>
    <w:div w:id="870342049">
      <w:bodyDiv w:val="1"/>
      <w:marLeft w:val="0"/>
      <w:marRight w:val="0"/>
      <w:marTop w:val="0"/>
      <w:marBottom w:val="0"/>
      <w:divBdr>
        <w:top w:val="none" w:sz="0" w:space="0" w:color="auto"/>
        <w:left w:val="none" w:sz="0" w:space="0" w:color="auto"/>
        <w:bottom w:val="none" w:sz="0" w:space="0" w:color="auto"/>
        <w:right w:val="none" w:sz="0" w:space="0" w:color="auto"/>
      </w:divBdr>
    </w:div>
    <w:div w:id="892888980">
      <w:bodyDiv w:val="1"/>
      <w:marLeft w:val="0"/>
      <w:marRight w:val="0"/>
      <w:marTop w:val="0"/>
      <w:marBottom w:val="0"/>
      <w:divBdr>
        <w:top w:val="none" w:sz="0" w:space="0" w:color="auto"/>
        <w:left w:val="none" w:sz="0" w:space="0" w:color="auto"/>
        <w:bottom w:val="none" w:sz="0" w:space="0" w:color="auto"/>
        <w:right w:val="none" w:sz="0" w:space="0" w:color="auto"/>
      </w:divBdr>
      <w:divsChild>
        <w:div w:id="304631085">
          <w:marLeft w:val="0"/>
          <w:marRight w:val="0"/>
          <w:marTop w:val="0"/>
          <w:marBottom w:val="0"/>
          <w:divBdr>
            <w:top w:val="none" w:sz="0" w:space="0" w:color="auto"/>
            <w:left w:val="none" w:sz="0" w:space="0" w:color="auto"/>
            <w:bottom w:val="none" w:sz="0" w:space="0" w:color="auto"/>
            <w:right w:val="none" w:sz="0" w:space="0" w:color="auto"/>
          </w:divBdr>
        </w:div>
        <w:div w:id="856045633">
          <w:marLeft w:val="0"/>
          <w:marRight w:val="0"/>
          <w:marTop w:val="0"/>
          <w:marBottom w:val="0"/>
          <w:divBdr>
            <w:top w:val="none" w:sz="0" w:space="0" w:color="auto"/>
            <w:left w:val="none" w:sz="0" w:space="0" w:color="auto"/>
            <w:bottom w:val="none" w:sz="0" w:space="0" w:color="auto"/>
            <w:right w:val="none" w:sz="0" w:space="0" w:color="auto"/>
          </w:divBdr>
          <w:divsChild>
            <w:div w:id="165933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105">
      <w:bodyDiv w:val="1"/>
      <w:marLeft w:val="0"/>
      <w:marRight w:val="0"/>
      <w:marTop w:val="0"/>
      <w:marBottom w:val="0"/>
      <w:divBdr>
        <w:top w:val="none" w:sz="0" w:space="0" w:color="auto"/>
        <w:left w:val="none" w:sz="0" w:space="0" w:color="auto"/>
        <w:bottom w:val="none" w:sz="0" w:space="0" w:color="auto"/>
        <w:right w:val="none" w:sz="0" w:space="0" w:color="auto"/>
      </w:divBdr>
    </w:div>
    <w:div w:id="940382285">
      <w:bodyDiv w:val="1"/>
      <w:marLeft w:val="0"/>
      <w:marRight w:val="0"/>
      <w:marTop w:val="0"/>
      <w:marBottom w:val="0"/>
      <w:divBdr>
        <w:top w:val="none" w:sz="0" w:space="0" w:color="auto"/>
        <w:left w:val="none" w:sz="0" w:space="0" w:color="auto"/>
        <w:bottom w:val="none" w:sz="0" w:space="0" w:color="auto"/>
        <w:right w:val="none" w:sz="0" w:space="0" w:color="auto"/>
      </w:divBdr>
    </w:div>
    <w:div w:id="954213687">
      <w:bodyDiv w:val="1"/>
      <w:marLeft w:val="0"/>
      <w:marRight w:val="0"/>
      <w:marTop w:val="0"/>
      <w:marBottom w:val="0"/>
      <w:divBdr>
        <w:top w:val="none" w:sz="0" w:space="0" w:color="auto"/>
        <w:left w:val="none" w:sz="0" w:space="0" w:color="auto"/>
        <w:bottom w:val="none" w:sz="0" w:space="0" w:color="auto"/>
        <w:right w:val="none" w:sz="0" w:space="0" w:color="auto"/>
      </w:divBdr>
    </w:div>
    <w:div w:id="979922653">
      <w:bodyDiv w:val="1"/>
      <w:marLeft w:val="0"/>
      <w:marRight w:val="0"/>
      <w:marTop w:val="0"/>
      <w:marBottom w:val="0"/>
      <w:divBdr>
        <w:top w:val="none" w:sz="0" w:space="0" w:color="auto"/>
        <w:left w:val="none" w:sz="0" w:space="0" w:color="auto"/>
        <w:bottom w:val="none" w:sz="0" w:space="0" w:color="auto"/>
        <w:right w:val="none" w:sz="0" w:space="0" w:color="auto"/>
      </w:divBdr>
    </w:div>
    <w:div w:id="1020593059">
      <w:bodyDiv w:val="1"/>
      <w:marLeft w:val="0"/>
      <w:marRight w:val="0"/>
      <w:marTop w:val="0"/>
      <w:marBottom w:val="0"/>
      <w:divBdr>
        <w:top w:val="none" w:sz="0" w:space="0" w:color="auto"/>
        <w:left w:val="none" w:sz="0" w:space="0" w:color="auto"/>
        <w:bottom w:val="none" w:sz="0" w:space="0" w:color="auto"/>
        <w:right w:val="none" w:sz="0" w:space="0" w:color="auto"/>
      </w:divBdr>
    </w:div>
    <w:div w:id="1039281396">
      <w:bodyDiv w:val="1"/>
      <w:marLeft w:val="0"/>
      <w:marRight w:val="0"/>
      <w:marTop w:val="0"/>
      <w:marBottom w:val="0"/>
      <w:divBdr>
        <w:top w:val="none" w:sz="0" w:space="0" w:color="auto"/>
        <w:left w:val="none" w:sz="0" w:space="0" w:color="auto"/>
        <w:bottom w:val="none" w:sz="0" w:space="0" w:color="auto"/>
        <w:right w:val="none" w:sz="0" w:space="0" w:color="auto"/>
      </w:divBdr>
    </w:div>
    <w:div w:id="1044717483">
      <w:bodyDiv w:val="1"/>
      <w:marLeft w:val="0"/>
      <w:marRight w:val="0"/>
      <w:marTop w:val="0"/>
      <w:marBottom w:val="0"/>
      <w:divBdr>
        <w:top w:val="none" w:sz="0" w:space="0" w:color="auto"/>
        <w:left w:val="none" w:sz="0" w:space="0" w:color="auto"/>
        <w:bottom w:val="none" w:sz="0" w:space="0" w:color="auto"/>
        <w:right w:val="none" w:sz="0" w:space="0" w:color="auto"/>
      </w:divBdr>
    </w:div>
    <w:div w:id="1074158930">
      <w:bodyDiv w:val="1"/>
      <w:marLeft w:val="0"/>
      <w:marRight w:val="0"/>
      <w:marTop w:val="0"/>
      <w:marBottom w:val="0"/>
      <w:divBdr>
        <w:top w:val="none" w:sz="0" w:space="0" w:color="auto"/>
        <w:left w:val="none" w:sz="0" w:space="0" w:color="auto"/>
        <w:bottom w:val="none" w:sz="0" w:space="0" w:color="auto"/>
        <w:right w:val="none" w:sz="0" w:space="0" w:color="auto"/>
      </w:divBdr>
      <w:divsChild>
        <w:div w:id="948589845">
          <w:marLeft w:val="0"/>
          <w:marRight w:val="0"/>
          <w:marTop w:val="0"/>
          <w:marBottom w:val="0"/>
          <w:divBdr>
            <w:top w:val="none" w:sz="0" w:space="0" w:color="auto"/>
            <w:left w:val="none" w:sz="0" w:space="0" w:color="auto"/>
            <w:bottom w:val="none" w:sz="0" w:space="0" w:color="auto"/>
            <w:right w:val="none" w:sz="0" w:space="0" w:color="auto"/>
          </w:divBdr>
        </w:div>
        <w:div w:id="368771611">
          <w:marLeft w:val="0"/>
          <w:marRight w:val="0"/>
          <w:marTop w:val="0"/>
          <w:marBottom w:val="0"/>
          <w:divBdr>
            <w:top w:val="none" w:sz="0" w:space="0" w:color="auto"/>
            <w:left w:val="none" w:sz="0" w:space="0" w:color="auto"/>
            <w:bottom w:val="none" w:sz="0" w:space="0" w:color="auto"/>
            <w:right w:val="none" w:sz="0" w:space="0" w:color="auto"/>
          </w:divBdr>
        </w:div>
        <w:div w:id="1145586138">
          <w:marLeft w:val="0"/>
          <w:marRight w:val="0"/>
          <w:marTop w:val="0"/>
          <w:marBottom w:val="0"/>
          <w:divBdr>
            <w:top w:val="none" w:sz="0" w:space="0" w:color="auto"/>
            <w:left w:val="none" w:sz="0" w:space="0" w:color="auto"/>
            <w:bottom w:val="none" w:sz="0" w:space="0" w:color="auto"/>
            <w:right w:val="none" w:sz="0" w:space="0" w:color="auto"/>
          </w:divBdr>
        </w:div>
        <w:div w:id="1691376113">
          <w:marLeft w:val="0"/>
          <w:marRight w:val="0"/>
          <w:marTop w:val="0"/>
          <w:marBottom w:val="0"/>
          <w:divBdr>
            <w:top w:val="none" w:sz="0" w:space="0" w:color="auto"/>
            <w:left w:val="none" w:sz="0" w:space="0" w:color="auto"/>
            <w:bottom w:val="none" w:sz="0" w:space="0" w:color="auto"/>
            <w:right w:val="none" w:sz="0" w:space="0" w:color="auto"/>
          </w:divBdr>
        </w:div>
        <w:div w:id="157118502">
          <w:marLeft w:val="269"/>
          <w:marRight w:val="0"/>
          <w:marTop w:val="0"/>
          <w:marBottom w:val="0"/>
          <w:divBdr>
            <w:top w:val="none" w:sz="0" w:space="0" w:color="auto"/>
            <w:left w:val="none" w:sz="0" w:space="0" w:color="auto"/>
            <w:bottom w:val="none" w:sz="0" w:space="0" w:color="auto"/>
            <w:right w:val="none" w:sz="0" w:space="0" w:color="auto"/>
          </w:divBdr>
        </w:div>
        <w:div w:id="503277239">
          <w:marLeft w:val="269"/>
          <w:marRight w:val="0"/>
          <w:marTop w:val="0"/>
          <w:marBottom w:val="0"/>
          <w:divBdr>
            <w:top w:val="none" w:sz="0" w:space="0" w:color="auto"/>
            <w:left w:val="none" w:sz="0" w:space="0" w:color="auto"/>
            <w:bottom w:val="none" w:sz="0" w:space="0" w:color="auto"/>
            <w:right w:val="none" w:sz="0" w:space="0" w:color="auto"/>
          </w:divBdr>
        </w:div>
        <w:div w:id="668676715">
          <w:marLeft w:val="269"/>
          <w:marRight w:val="0"/>
          <w:marTop w:val="0"/>
          <w:marBottom w:val="0"/>
          <w:divBdr>
            <w:top w:val="none" w:sz="0" w:space="0" w:color="auto"/>
            <w:left w:val="none" w:sz="0" w:space="0" w:color="auto"/>
            <w:bottom w:val="none" w:sz="0" w:space="0" w:color="auto"/>
            <w:right w:val="none" w:sz="0" w:space="0" w:color="auto"/>
          </w:divBdr>
        </w:div>
      </w:divsChild>
    </w:div>
    <w:div w:id="1092316229">
      <w:bodyDiv w:val="1"/>
      <w:marLeft w:val="0"/>
      <w:marRight w:val="0"/>
      <w:marTop w:val="0"/>
      <w:marBottom w:val="0"/>
      <w:divBdr>
        <w:top w:val="none" w:sz="0" w:space="0" w:color="auto"/>
        <w:left w:val="none" w:sz="0" w:space="0" w:color="auto"/>
        <w:bottom w:val="none" w:sz="0" w:space="0" w:color="auto"/>
        <w:right w:val="none" w:sz="0" w:space="0" w:color="auto"/>
      </w:divBdr>
    </w:div>
    <w:div w:id="1143231448">
      <w:bodyDiv w:val="1"/>
      <w:marLeft w:val="0"/>
      <w:marRight w:val="0"/>
      <w:marTop w:val="0"/>
      <w:marBottom w:val="0"/>
      <w:divBdr>
        <w:top w:val="none" w:sz="0" w:space="0" w:color="auto"/>
        <w:left w:val="none" w:sz="0" w:space="0" w:color="auto"/>
        <w:bottom w:val="none" w:sz="0" w:space="0" w:color="auto"/>
        <w:right w:val="none" w:sz="0" w:space="0" w:color="auto"/>
      </w:divBdr>
    </w:div>
    <w:div w:id="1188325728">
      <w:bodyDiv w:val="1"/>
      <w:marLeft w:val="0"/>
      <w:marRight w:val="0"/>
      <w:marTop w:val="0"/>
      <w:marBottom w:val="0"/>
      <w:divBdr>
        <w:top w:val="none" w:sz="0" w:space="0" w:color="auto"/>
        <w:left w:val="none" w:sz="0" w:space="0" w:color="auto"/>
        <w:bottom w:val="none" w:sz="0" w:space="0" w:color="auto"/>
        <w:right w:val="none" w:sz="0" w:space="0" w:color="auto"/>
      </w:divBdr>
    </w:div>
    <w:div w:id="1202135596">
      <w:bodyDiv w:val="1"/>
      <w:marLeft w:val="0"/>
      <w:marRight w:val="0"/>
      <w:marTop w:val="0"/>
      <w:marBottom w:val="0"/>
      <w:divBdr>
        <w:top w:val="none" w:sz="0" w:space="0" w:color="auto"/>
        <w:left w:val="none" w:sz="0" w:space="0" w:color="auto"/>
        <w:bottom w:val="none" w:sz="0" w:space="0" w:color="auto"/>
        <w:right w:val="none" w:sz="0" w:space="0" w:color="auto"/>
      </w:divBdr>
    </w:div>
    <w:div w:id="1280451251">
      <w:bodyDiv w:val="1"/>
      <w:marLeft w:val="0"/>
      <w:marRight w:val="0"/>
      <w:marTop w:val="0"/>
      <w:marBottom w:val="0"/>
      <w:divBdr>
        <w:top w:val="none" w:sz="0" w:space="0" w:color="auto"/>
        <w:left w:val="none" w:sz="0" w:space="0" w:color="auto"/>
        <w:bottom w:val="none" w:sz="0" w:space="0" w:color="auto"/>
        <w:right w:val="none" w:sz="0" w:space="0" w:color="auto"/>
      </w:divBdr>
    </w:div>
    <w:div w:id="1304240857">
      <w:bodyDiv w:val="1"/>
      <w:marLeft w:val="0"/>
      <w:marRight w:val="0"/>
      <w:marTop w:val="0"/>
      <w:marBottom w:val="0"/>
      <w:divBdr>
        <w:top w:val="none" w:sz="0" w:space="0" w:color="auto"/>
        <w:left w:val="none" w:sz="0" w:space="0" w:color="auto"/>
        <w:bottom w:val="none" w:sz="0" w:space="0" w:color="auto"/>
        <w:right w:val="none" w:sz="0" w:space="0" w:color="auto"/>
      </w:divBdr>
    </w:div>
    <w:div w:id="1359118323">
      <w:bodyDiv w:val="1"/>
      <w:marLeft w:val="0"/>
      <w:marRight w:val="0"/>
      <w:marTop w:val="0"/>
      <w:marBottom w:val="0"/>
      <w:divBdr>
        <w:top w:val="none" w:sz="0" w:space="0" w:color="auto"/>
        <w:left w:val="none" w:sz="0" w:space="0" w:color="auto"/>
        <w:bottom w:val="none" w:sz="0" w:space="0" w:color="auto"/>
        <w:right w:val="none" w:sz="0" w:space="0" w:color="auto"/>
      </w:divBdr>
    </w:div>
    <w:div w:id="1360426375">
      <w:bodyDiv w:val="1"/>
      <w:marLeft w:val="0"/>
      <w:marRight w:val="0"/>
      <w:marTop w:val="0"/>
      <w:marBottom w:val="0"/>
      <w:divBdr>
        <w:top w:val="none" w:sz="0" w:space="0" w:color="auto"/>
        <w:left w:val="none" w:sz="0" w:space="0" w:color="auto"/>
        <w:bottom w:val="none" w:sz="0" w:space="0" w:color="auto"/>
        <w:right w:val="none" w:sz="0" w:space="0" w:color="auto"/>
      </w:divBdr>
    </w:div>
    <w:div w:id="1425304783">
      <w:bodyDiv w:val="1"/>
      <w:marLeft w:val="0"/>
      <w:marRight w:val="0"/>
      <w:marTop w:val="0"/>
      <w:marBottom w:val="0"/>
      <w:divBdr>
        <w:top w:val="none" w:sz="0" w:space="0" w:color="auto"/>
        <w:left w:val="none" w:sz="0" w:space="0" w:color="auto"/>
        <w:bottom w:val="none" w:sz="0" w:space="0" w:color="auto"/>
        <w:right w:val="none" w:sz="0" w:space="0" w:color="auto"/>
      </w:divBdr>
    </w:div>
    <w:div w:id="1434596083">
      <w:bodyDiv w:val="1"/>
      <w:marLeft w:val="0"/>
      <w:marRight w:val="0"/>
      <w:marTop w:val="0"/>
      <w:marBottom w:val="0"/>
      <w:divBdr>
        <w:top w:val="none" w:sz="0" w:space="0" w:color="auto"/>
        <w:left w:val="none" w:sz="0" w:space="0" w:color="auto"/>
        <w:bottom w:val="none" w:sz="0" w:space="0" w:color="auto"/>
        <w:right w:val="none" w:sz="0" w:space="0" w:color="auto"/>
      </w:divBdr>
    </w:div>
    <w:div w:id="1436435544">
      <w:bodyDiv w:val="1"/>
      <w:marLeft w:val="0"/>
      <w:marRight w:val="0"/>
      <w:marTop w:val="0"/>
      <w:marBottom w:val="0"/>
      <w:divBdr>
        <w:top w:val="none" w:sz="0" w:space="0" w:color="auto"/>
        <w:left w:val="none" w:sz="0" w:space="0" w:color="auto"/>
        <w:bottom w:val="none" w:sz="0" w:space="0" w:color="auto"/>
        <w:right w:val="none" w:sz="0" w:space="0" w:color="auto"/>
      </w:divBdr>
    </w:div>
    <w:div w:id="1437365454">
      <w:bodyDiv w:val="1"/>
      <w:marLeft w:val="0"/>
      <w:marRight w:val="0"/>
      <w:marTop w:val="0"/>
      <w:marBottom w:val="0"/>
      <w:divBdr>
        <w:top w:val="none" w:sz="0" w:space="0" w:color="auto"/>
        <w:left w:val="none" w:sz="0" w:space="0" w:color="auto"/>
        <w:bottom w:val="none" w:sz="0" w:space="0" w:color="auto"/>
        <w:right w:val="none" w:sz="0" w:space="0" w:color="auto"/>
      </w:divBdr>
    </w:div>
    <w:div w:id="1462502422">
      <w:bodyDiv w:val="1"/>
      <w:marLeft w:val="0"/>
      <w:marRight w:val="0"/>
      <w:marTop w:val="0"/>
      <w:marBottom w:val="0"/>
      <w:divBdr>
        <w:top w:val="none" w:sz="0" w:space="0" w:color="auto"/>
        <w:left w:val="none" w:sz="0" w:space="0" w:color="auto"/>
        <w:bottom w:val="none" w:sz="0" w:space="0" w:color="auto"/>
        <w:right w:val="none" w:sz="0" w:space="0" w:color="auto"/>
      </w:divBdr>
      <w:divsChild>
        <w:div w:id="1376002345">
          <w:marLeft w:val="0"/>
          <w:marRight w:val="0"/>
          <w:marTop w:val="0"/>
          <w:marBottom w:val="0"/>
          <w:divBdr>
            <w:top w:val="none" w:sz="0" w:space="0" w:color="auto"/>
            <w:left w:val="none" w:sz="0" w:space="0" w:color="auto"/>
            <w:bottom w:val="none" w:sz="0" w:space="0" w:color="auto"/>
            <w:right w:val="none" w:sz="0" w:space="0" w:color="auto"/>
          </w:divBdr>
        </w:div>
        <w:div w:id="770856195">
          <w:marLeft w:val="0"/>
          <w:marRight w:val="0"/>
          <w:marTop w:val="0"/>
          <w:marBottom w:val="0"/>
          <w:divBdr>
            <w:top w:val="none" w:sz="0" w:space="0" w:color="auto"/>
            <w:left w:val="none" w:sz="0" w:space="0" w:color="auto"/>
            <w:bottom w:val="none" w:sz="0" w:space="0" w:color="auto"/>
            <w:right w:val="none" w:sz="0" w:space="0" w:color="auto"/>
          </w:divBdr>
        </w:div>
        <w:div w:id="2027369730">
          <w:marLeft w:val="0"/>
          <w:marRight w:val="0"/>
          <w:marTop w:val="0"/>
          <w:marBottom w:val="0"/>
          <w:divBdr>
            <w:top w:val="none" w:sz="0" w:space="0" w:color="auto"/>
            <w:left w:val="none" w:sz="0" w:space="0" w:color="auto"/>
            <w:bottom w:val="none" w:sz="0" w:space="0" w:color="auto"/>
            <w:right w:val="none" w:sz="0" w:space="0" w:color="auto"/>
          </w:divBdr>
        </w:div>
        <w:div w:id="374472861">
          <w:marLeft w:val="0"/>
          <w:marRight w:val="0"/>
          <w:marTop w:val="0"/>
          <w:marBottom w:val="0"/>
          <w:divBdr>
            <w:top w:val="none" w:sz="0" w:space="0" w:color="auto"/>
            <w:left w:val="none" w:sz="0" w:space="0" w:color="auto"/>
            <w:bottom w:val="none" w:sz="0" w:space="0" w:color="auto"/>
            <w:right w:val="none" w:sz="0" w:space="0" w:color="auto"/>
          </w:divBdr>
        </w:div>
        <w:div w:id="2140879768">
          <w:marLeft w:val="0"/>
          <w:marRight w:val="0"/>
          <w:marTop w:val="0"/>
          <w:marBottom w:val="0"/>
          <w:divBdr>
            <w:top w:val="none" w:sz="0" w:space="0" w:color="auto"/>
            <w:left w:val="none" w:sz="0" w:space="0" w:color="auto"/>
            <w:bottom w:val="none" w:sz="0" w:space="0" w:color="auto"/>
            <w:right w:val="none" w:sz="0" w:space="0" w:color="auto"/>
          </w:divBdr>
        </w:div>
        <w:div w:id="1491215688">
          <w:marLeft w:val="0"/>
          <w:marRight w:val="0"/>
          <w:marTop w:val="0"/>
          <w:marBottom w:val="0"/>
          <w:divBdr>
            <w:top w:val="none" w:sz="0" w:space="0" w:color="auto"/>
            <w:left w:val="none" w:sz="0" w:space="0" w:color="auto"/>
            <w:bottom w:val="none" w:sz="0" w:space="0" w:color="auto"/>
            <w:right w:val="none" w:sz="0" w:space="0" w:color="auto"/>
          </w:divBdr>
        </w:div>
        <w:div w:id="1480152806">
          <w:marLeft w:val="0"/>
          <w:marRight w:val="0"/>
          <w:marTop w:val="0"/>
          <w:marBottom w:val="0"/>
          <w:divBdr>
            <w:top w:val="none" w:sz="0" w:space="0" w:color="auto"/>
            <w:left w:val="none" w:sz="0" w:space="0" w:color="auto"/>
            <w:bottom w:val="none" w:sz="0" w:space="0" w:color="auto"/>
            <w:right w:val="none" w:sz="0" w:space="0" w:color="auto"/>
          </w:divBdr>
        </w:div>
        <w:div w:id="1306276456">
          <w:marLeft w:val="0"/>
          <w:marRight w:val="0"/>
          <w:marTop w:val="0"/>
          <w:marBottom w:val="0"/>
          <w:divBdr>
            <w:top w:val="none" w:sz="0" w:space="0" w:color="auto"/>
            <w:left w:val="none" w:sz="0" w:space="0" w:color="auto"/>
            <w:bottom w:val="none" w:sz="0" w:space="0" w:color="auto"/>
            <w:right w:val="none" w:sz="0" w:space="0" w:color="auto"/>
          </w:divBdr>
        </w:div>
        <w:div w:id="1207527209">
          <w:marLeft w:val="0"/>
          <w:marRight w:val="0"/>
          <w:marTop w:val="0"/>
          <w:marBottom w:val="0"/>
          <w:divBdr>
            <w:top w:val="none" w:sz="0" w:space="0" w:color="auto"/>
            <w:left w:val="none" w:sz="0" w:space="0" w:color="auto"/>
            <w:bottom w:val="none" w:sz="0" w:space="0" w:color="auto"/>
            <w:right w:val="none" w:sz="0" w:space="0" w:color="auto"/>
          </w:divBdr>
        </w:div>
        <w:div w:id="1061099347">
          <w:marLeft w:val="0"/>
          <w:marRight w:val="0"/>
          <w:marTop w:val="0"/>
          <w:marBottom w:val="0"/>
          <w:divBdr>
            <w:top w:val="none" w:sz="0" w:space="0" w:color="auto"/>
            <w:left w:val="none" w:sz="0" w:space="0" w:color="auto"/>
            <w:bottom w:val="none" w:sz="0" w:space="0" w:color="auto"/>
            <w:right w:val="none" w:sz="0" w:space="0" w:color="auto"/>
          </w:divBdr>
        </w:div>
        <w:div w:id="1423910142">
          <w:marLeft w:val="0"/>
          <w:marRight w:val="0"/>
          <w:marTop w:val="0"/>
          <w:marBottom w:val="0"/>
          <w:divBdr>
            <w:top w:val="none" w:sz="0" w:space="0" w:color="auto"/>
            <w:left w:val="none" w:sz="0" w:space="0" w:color="auto"/>
            <w:bottom w:val="none" w:sz="0" w:space="0" w:color="auto"/>
            <w:right w:val="none" w:sz="0" w:space="0" w:color="auto"/>
          </w:divBdr>
        </w:div>
        <w:div w:id="1154033372">
          <w:marLeft w:val="0"/>
          <w:marRight w:val="0"/>
          <w:marTop w:val="0"/>
          <w:marBottom w:val="0"/>
          <w:divBdr>
            <w:top w:val="none" w:sz="0" w:space="0" w:color="auto"/>
            <w:left w:val="none" w:sz="0" w:space="0" w:color="auto"/>
            <w:bottom w:val="none" w:sz="0" w:space="0" w:color="auto"/>
            <w:right w:val="none" w:sz="0" w:space="0" w:color="auto"/>
          </w:divBdr>
        </w:div>
        <w:div w:id="1219169251">
          <w:marLeft w:val="0"/>
          <w:marRight w:val="0"/>
          <w:marTop w:val="0"/>
          <w:marBottom w:val="0"/>
          <w:divBdr>
            <w:top w:val="none" w:sz="0" w:space="0" w:color="auto"/>
            <w:left w:val="none" w:sz="0" w:space="0" w:color="auto"/>
            <w:bottom w:val="none" w:sz="0" w:space="0" w:color="auto"/>
            <w:right w:val="none" w:sz="0" w:space="0" w:color="auto"/>
          </w:divBdr>
        </w:div>
        <w:div w:id="463037416">
          <w:marLeft w:val="0"/>
          <w:marRight w:val="0"/>
          <w:marTop w:val="0"/>
          <w:marBottom w:val="0"/>
          <w:divBdr>
            <w:top w:val="none" w:sz="0" w:space="0" w:color="auto"/>
            <w:left w:val="none" w:sz="0" w:space="0" w:color="auto"/>
            <w:bottom w:val="none" w:sz="0" w:space="0" w:color="auto"/>
            <w:right w:val="none" w:sz="0" w:space="0" w:color="auto"/>
          </w:divBdr>
        </w:div>
        <w:div w:id="1531458803">
          <w:marLeft w:val="0"/>
          <w:marRight w:val="0"/>
          <w:marTop w:val="0"/>
          <w:marBottom w:val="0"/>
          <w:divBdr>
            <w:top w:val="none" w:sz="0" w:space="0" w:color="auto"/>
            <w:left w:val="none" w:sz="0" w:space="0" w:color="auto"/>
            <w:bottom w:val="none" w:sz="0" w:space="0" w:color="auto"/>
            <w:right w:val="none" w:sz="0" w:space="0" w:color="auto"/>
          </w:divBdr>
        </w:div>
        <w:div w:id="2001305269">
          <w:marLeft w:val="0"/>
          <w:marRight w:val="0"/>
          <w:marTop w:val="0"/>
          <w:marBottom w:val="0"/>
          <w:divBdr>
            <w:top w:val="none" w:sz="0" w:space="0" w:color="auto"/>
            <w:left w:val="none" w:sz="0" w:space="0" w:color="auto"/>
            <w:bottom w:val="none" w:sz="0" w:space="0" w:color="auto"/>
            <w:right w:val="none" w:sz="0" w:space="0" w:color="auto"/>
          </w:divBdr>
        </w:div>
        <w:div w:id="242569312">
          <w:marLeft w:val="0"/>
          <w:marRight w:val="0"/>
          <w:marTop w:val="0"/>
          <w:marBottom w:val="0"/>
          <w:divBdr>
            <w:top w:val="none" w:sz="0" w:space="0" w:color="auto"/>
            <w:left w:val="none" w:sz="0" w:space="0" w:color="auto"/>
            <w:bottom w:val="none" w:sz="0" w:space="0" w:color="auto"/>
            <w:right w:val="none" w:sz="0" w:space="0" w:color="auto"/>
          </w:divBdr>
        </w:div>
        <w:div w:id="383482812">
          <w:marLeft w:val="0"/>
          <w:marRight w:val="0"/>
          <w:marTop w:val="0"/>
          <w:marBottom w:val="0"/>
          <w:divBdr>
            <w:top w:val="none" w:sz="0" w:space="0" w:color="auto"/>
            <w:left w:val="none" w:sz="0" w:space="0" w:color="auto"/>
            <w:bottom w:val="none" w:sz="0" w:space="0" w:color="auto"/>
            <w:right w:val="none" w:sz="0" w:space="0" w:color="auto"/>
          </w:divBdr>
        </w:div>
        <w:div w:id="58212652">
          <w:marLeft w:val="0"/>
          <w:marRight w:val="0"/>
          <w:marTop w:val="0"/>
          <w:marBottom w:val="0"/>
          <w:divBdr>
            <w:top w:val="none" w:sz="0" w:space="0" w:color="auto"/>
            <w:left w:val="none" w:sz="0" w:space="0" w:color="auto"/>
            <w:bottom w:val="none" w:sz="0" w:space="0" w:color="auto"/>
            <w:right w:val="none" w:sz="0" w:space="0" w:color="auto"/>
          </w:divBdr>
        </w:div>
        <w:div w:id="1336959703">
          <w:marLeft w:val="0"/>
          <w:marRight w:val="0"/>
          <w:marTop w:val="0"/>
          <w:marBottom w:val="0"/>
          <w:divBdr>
            <w:top w:val="none" w:sz="0" w:space="0" w:color="auto"/>
            <w:left w:val="none" w:sz="0" w:space="0" w:color="auto"/>
            <w:bottom w:val="none" w:sz="0" w:space="0" w:color="auto"/>
            <w:right w:val="none" w:sz="0" w:space="0" w:color="auto"/>
          </w:divBdr>
        </w:div>
        <w:div w:id="2136024996">
          <w:marLeft w:val="0"/>
          <w:marRight w:val="0"/>
          <w:marTop w:val="0"/>
          <w:marBottom w:val="0"/>
          <w:divBdr>
            <w:top w:val="none" w:sz="0" w:space="0" w:color="auto"/>
            <w:left w:val="none" w:sz="0" w:space="0" w:color="auto"/>
            <w:bottom w:val="none" w:sz="0" w:space="0" w:color="auto"/>
            <w:right w:val="none" w:sz="0" w:space="0" w:color="auto"/>
          </w:divBdr>
        </w:div>
        <w:div w:id="1297030690">
          <w:marLeft w:val="0"/>
          <w:marRight w:val="0"/>
          <w:marTop w:val="0"/>
          <w:marBottom w:val="0"/>
          <w:divBdr>
            <w:top w:val="none" w:sz="0" w:space="0" w:color="auto"/>
            <w:left w:val="none" w:sz="0" w:space="0" w:color="auto"/>
            <w:bottom w:val="none" w:sz="0" w:space="0" w:color="auto"/>
            <w:right w:val="none" w:sz="0" w:space="0" w:color="auto"/>
          </w:divBdr>
        </w:div>
        <w:div w:id="484317370">
          <w:marLeft w:val="0"/>
          <w:marRight w:val="0"/>
          <w:marTop w:val="0"/>
          <w:marBottom w:val="0"/>
          <w:divBdr>
            <w:top w:val="none" w:sz="0" w:space="0" w:color="auto"/>
            <w:left w:val="none" w:sz="0" w:space="0" w:color="auto"/>
            <w:bottom w:val="none" w:sz="0" w:space="0" w:color="auto"/>
            <w:right w:val="none" w:sz="0" w:space="0" w:color="auto"/>
          </w:divBdr>
        </w:div>
        <w:div w:id="732703479">
          <w:marLeft w:val="0"/>
          <w:marRight w:val="0"/>
          <w:marTop w:val="0"/>
          <w:marBottom w:val="0"/>
          <w:divBdr>
            <w:top w:val="none" w:sz="0" w:space="0" w:color="auto"/>
            <w:left w:val="none" w:sz="0" w:space="0" w:color="auto"/>
            <w:bottom w:val="none" w:sz="0" w:space="0" w:color="auto"/>
            <w:right w:val="none" w:sz="0" w:space="0" w:color="auto"/>
          </w:divBdr>
        </w:div>
      </w:divsChild>
    </w:div>
    <w:div w:id="1475945240">
      <w:bodyDiv w:val="1"/>
      <w:marLeft w:val="0"/>
      <w:marRight w:val="0"/>
      <w:marTop w:val="0"/>
      <w:marBottom w:val="0"/>
      <w:divBdr>
        <w:top w:val="none" w:sz="0" w:space="0" w:color="auto"/>
        <w:left w:val="none" w:sz="0" w:space="0" w:color="auto"/>
        <w:bottom w:val="none" w:sz="0" w:space="0" w:color="auto"/>
        <w:right w:val="none" w:sz="0" w:space="0" w:color="auto"/>
      </w:divBdr>
    </w:div>
    <w:div w:id="1486125880">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39469291">
      <w:bodyDiv w:val="1"/>
      <w:marLeft w:val="0"/>
      <w:marRight w:val="0"/>
      <w:marTop w:val="0"/>
      <w:marBottom w:val="0"/>
      <w:divBdr>
        <w:top w:val="none" w:sz="0" w:space="0" w:color="auto"/>
        <w:left w:val="none" w:sz="0" w:space="0" w:color="auto"/>
        <w:bottom w:val="none" w:sz="0" w:space="0" w:color="auto"/>
        <w:right w:val="none" w:sz="0" w:space="0" w:color="auto"/>
      </w:divBdr>
    </w:div>
    <w:div w:id="1599757485">
      <w:bodyDiv w:val="1"/>
      <w:marLeft w:val="0"/>
      <w:marRight w:val="0"/>
      <w:marTop w:val="0"/>
      <w:marBottom w:val="0"/>
      <w:divBdr>
        <w:top w:val="none" w:sz="0" w:space="0" w:color="auto"/>
        <w:left w:val="none" w:sz="0" w:space="0" w:color="auto"/>
        <w:bottom w:val="none" w:sz="0" w:space="0" w:color="auto"/>
        <w:right w:val="none" w:sz="0" w:space="0" w:color="auto"/>
      </w:divBdr>
    </w:div>
    <w:div w:id="1632204308">
      <w:bodyDiv w:val="1"/>
      <w:marLeft w:val="0"/>
      <w:marRight w:val="0"/>
      <w:marTop w:val="0"/>
      <w:marBottom w:val="0"/>
      <w:divBdr>
        <w:top w:val="none" w:sz="0" w:space="0" w:color="auto"/>
        <w:left w:val="none" w:sz="0" w:space="0" w:color="auto"/>
        <w:bottom w:val="none" w:sz="0" w:space="0" w:color="auto"/>
        <w:right w:val="none" w:sz="0" w:space="0" w:color="auto"/>
      </w:divBdr>
    </w:div>
    <w:div w:id="1647391169">
      <w:bodyDiv w:val="1"/>
      <w:marLeft w:val="0"/>
      <w:marRight w:val="0"/>
      <w:marTop w:val="0"/>
      <w:marBottom w:val="0"/>
      <w:divBdr>
        <w:top w:val="none" w:sz="0" w:space="0" w:color="auto"/>
        <w:left w:val="none" w:sz="0" w:space="0" w:color="auto"/>
        <w:bottom w:val="none" w:sz="0" w:space="0" w:color="auto"/>
        <w:right w:val="none" w:sz="0" w:space="0" w:color="auto"/>
      </w:divBdr>
    </w:div>
    <w:div w:id="1712729755">
      <w:bodyDiv w:val="1"/>
      <w:marLeft w:val="0"/>
      <w:marRight w:val="0"/>
      <w:marTop w:val="0"/>
      <w:marBottom w:val="0"/>
      <w:divBdr>
        <w:top w:val="none" w:sz="0" w:space="0" w:color="auto"/>
        <w:left w:val="none" w:sz="0" w:space="0" w:color="auto"/>
        <w:bottom w:val="none" w:sz="0" w:space="0" w:color="auto"/>
        <w:right w:val="none" w:sz="0" w:space="0" w:color="auto"/>
      </w:divBdr>
    </w:div>
    <w:div w:id="1731535636">
      <w:bodyDiv w:val="1"/>
      <w:marLeft w:val="0"/>
      <w:marRight w:val="0"/>
      <w:marTop w:val="0"/>
      <w:marBottom w:val="0"/>
      <w:divBdr>
        <w:top w:val="none" w:sz="0" w:space="0" w:color="auto"/>
        <w:left w:val="none" w:sz="0" w:space="0" w:color="auto"/>
        <w:bottom w:val="none" w:sz="0" w:space="0" w:color="auto"/>
        <w:right w:val="none" w:sz="0" w:space="0" w:color="auto"/>
      </w:divBdr>
    </w:div>
    <w:div w:id="1743605132">
      <w:bodyDiv w:val="1"/>
      <w:marLeft w:val="0"/>
      <w:marRight w:val="0"/>
      <w:marTop w:val="0"/>
      <w:marBottom w:val="0"/>
      <w:divBdr>
        <w:top w:val="none" w:sz="0" w:space="0" w:color="auto"/>
        <w:left w:val="none" w:sz="0" w:space="0" w:color="auto"/>
        <w:bottom w:val="none" w:sz="0" w:space="0" w:color="auto"/>
        <w:right w:val="none" w:sz="0" w:space="0" w:color="auto"/>
      </w:divBdr>
    </w:div>
    <w:div w:id="1752124151">
      <w:bodyDiv w:val="1"/>
      <w:marLeft w:val="0"/>
      <w:marRight w:val="0"/>
      <w:marTop w:val="0"/>
      <w:marBottom w:val="0"/>
      <w:divBdr>
        <w:top w:val="none" w:sz="0" w:space="0" w:color="auto"/>
        <w:left w:val="none" w:sz="0" w:space="0" w:color="auto"/>
        <w:bottom w:val="none" w:sz="0" w:space="0" w:color="auto"/>
        <w:right w:val="none" w:sz="0" w:space="0" w:color="auto"/>
      </w:divBdr>
    </w:div>
    <w:div w:id="1760249655">
      <w:bodyDiv w:val="1"/>
      <w:marLeft w:val="0"/>
      <w:marRight w:val="0"/>
      <w:marTop w:val="0"/>
      <w:marBottom w:val="0"/>
      <w:divBdr>
        <w:top w:val="none" w:sz="0" w:space="0" w:color="auto"/>
        <w:left w:val="none" w:sz="0" w:space="0" w:color="auto"/>
        <w:bottom w:val="none" w:sz="0" w:space="0" w:color="auto"/>
        <w:right w:val="none" w:sz="0" w:space="0" w:color="auto"/>
      </w:divBdr>
    </w:div>
    <w:div w:id="1761101803">
      <w:bodyDiv w:val="1"/>
      <w:marLeft w:val="0"/>
      <w:marRight w:val="0"/>
      <w:marTop w:val="0"/>
      <w:marBottom w:val="0"/>
      <w:divBdr>
        <w:top w:val="none" w:sz="0" w:space="0" w:color="auto"/>
        <w:left w:val="none" w:sz="0" w:space="0" w:color="auto"/>
        <w:bottom w:val="none" w:sz="0" w:space="0" w:color="auto"/>
        <w:right w:val="none" w:sz="0" w:space="0" w:color="auto"/>
      </w:divBdr>
    </w:div>
    <w:div w:id="1782139892">
      <w:bodyDiv w:val="1"/>
      <w:marLeft w:val="0"/>
      <w:marRight w:val="0"/>
      <w:marTop w:val="0"/>
      <w:marBottom w:val="0"/>
      <w:divBdr>
        <w:top w:val="none" w:sz="0" w:space="0" w:color="auto"/>
        <w:left w:val="none" w:sz="0" w:space="0" w:color="auto"/>
        <w:bottom w:val="none" w:sz="0" w:space="0" w:color="auto"/>
        <w:right w:val="none" w:sz="0" w:space="0" w:color="auto"/>
      </w:divBdr>
    </w:div>
    <w:div w:id="1804227372">
      <w:bodyDiv w:val="1"/>
      <w:marLeft w:val="0"/>
      <w:marRight w:val="0"/>
      <w:marTop w:val="0"/>
      <w:marBottom w:val="0"/>
      <w:divBdr>
        <w:top w:val="none" w:sz="0" w:space="0" w:color="auto"/>
        <w:left w:val="none" w:sz="0" w:space="0" w:color="auto"/>
        <w:bottom w:val="none" w:sz="0" w:space="0" w:color="auto"/>
        <w:right w:val="none" w:sz="0" w:space="0" w:color="auto"/>
      </w:divBdr>
    </w:div>
    <w:div w:id="1821799384">
      <w:bodyDiv w:val="1"/>
      <w:marLeft w:val="0"/>
      <w:marRight w:val="0"/>
      <w:marTop w:val="0"/>
      <w:marBottom w:val="0"/>
      <w:divBdr>
        <w:top w:val="none" w:sz="0" w:space="0" w:color="auto"/>
        <w:left w:val="none" w:sz="0" w:space="0" w:color="auto"/>
        <w:bottom w:val="none" w:sz="0" w:space="0" w:color="auto"/>
        <w:right w:val="none" w:sz="0" w:space="0" w:color="auto"/>
      </w:divBdr>
    </w:div>
    <w:div w:id="1824539966">
      <w:bodyDiv w:val="1"/>
      <w:marLeft w:val="0"/>
      <w:marRight w:val="0"/>
      <w:marTop w:val="0"/>
      <w:marBottom w:val="0"/>
      <w:divBdr>
        <w:top w:val="none" w:sz="0" w:space="0" w:color="auto"/>
        <w:left w:val="none" w:sz="0" w:space="0" w:color="auto"/>
        <w:bottom w:val="none" w:sz="0" w:space="0" w:color="auto"/>
        <w:right w:val="none" w:sz="0" w:space="0" w:color="auto"/>
      </w:divBdr>
    </w:div>
    <w:div w:id="1830290726">
      <w:bodyDiv w:val="1"/>
      <w:marLeft w:val="0"/>
      <w:marRight w:val="0"/>
      <w:marTop w:val="0"/>
      <w:marBottom w:val="0"/>
      <w:divBdr>
        <w:top w:val="none" w:sz="0" w:space="0" w:color="auto"/>
        <w:left w:val="none" w:sz="0" w:space="0" w:color="auto"/>
        <w:bottom w:val="none" w:sz="0" w:space="0" w:color="auto"/>
        <w:right w:val="none" w:sz="0" w:space="0" w:color="auto"/>
      </w:divBdr>
    </w:div>
    <w:div w:id="1832332830">
      <w:bodyDiv w:val="1"/>
      <w:marLeft w:val="0"/>
      <w:marRight w:val="0"/>
      <w:marTop w:val="0"/>
      <w:marBottom w:val="0"/>
      <w:divBdr>
        <w:top w:val="none" w:sz="0" w:space="0" w:color="auto"/>
        <w:left w:val="none" w:sz="0" w:space="0" w:color="auto"/>
        <w:bottom w:val="none" w:sz="0" w:space="0" w:color="auto"/>
        <w:right w:val="none" w:sz="0" w:space="0" w:color="auto"/>
      </w:divBdr>
    </w:div>
    <w:div w:id="1840079163">
      <w:bodyDiv w:val="1"/>
      <w:marLeft w:val="0"/>
      <w:marRight w:val="0"/>
      <w:marTop w:val="0"/>
      <w:marBottom w:val="0"/>
      <w:divBdr>
        <w:top w:val="none" w:sz="0" w:space="0" w:color="auto"/>
        <w:left w:val="none" w:sz="0" w:space="0" w:color="auto"/>
        <w:bottom w:val="none" w:sz="0" w:space="0" w:color="auto"/>
        <w:right w:val="none" w:sz="0" w:space="0" w:color="auto"/>
      </w:divBdr>
    </w:div>
    <w:div w:id="1958293080">
      <w:bodyDiv w:val="1"/>
      <w:marLeft w:val="0"/>
      <w:marRight w:val="0"/>
      <w:marTop w:val="0"/>
      <w:marBottom w:val="0"/>
      <w:divBdr>
        <w:top w:val="none" w:sz="0" w:space="0" w:color="auto"/>
        <w:left w:val="none" w:sz="0" w:space="0" w:color="auto"/>
        <w:bottom w:val="none" w:sz="0" w:space="0" w:color="auto"/>
        <w:right w:val="none" w:sz="0" w:space="0" w:color="auto"/>
      </w:divBdr>
    </w:div>
    <w:div w:id="1975014349">
      <w:bodyDiv w:val="1"/>
      <w:marLeft w:val="0"/>
      <w:marRight w:val="0"/>
      <w:marTop w:val="0"/>
      <w:marBottom w:val="0"/>
      <w:divBdr>
        <w:top w:val="none" w:sz="0" w:space="0" w:color="auto"/>
        <w:left w:val="none" w:sz="0" w:space="0" w:color="auto"/>
        <w:bottom w:val="none" w:sz="0" w:space="0" w:color="auto"/>
        <w:right w:val="none" w:sz="0" w:space="0" w:color="auto"/>
      </w:divBdr>
      <w:divsChild>
        <w:div w:id="149370030">
          <w:marLeft w:val="0"/>
          <w:marRight w:val="0"/>
          <w:marTop w:val="0"/>
          <w:marBottom w:val="0"/>
          <w:divBdr>
            <w:top w:val="none" w:sz="0" w:space="0" w:color="auto"/>
            <w:left w:val="none" w:sz="0" w:space="0" w:color="auto"/>
            <w:bottom w:val="none" w:sz="0" w:space="0" w:color="auto"/>
            <w:right w:val="none" w:sz="0" w:space="0" w:color="auto"/>
          </w:divBdr>
        </w:div>
        <w:div w:id="265189978">
          <w:marLeft w:val="0"/>
          <w:marRight w:val="0"/>
          <w:marTop w:val="0"/>
          <w:marBottom w:val="0"/>
          <w:divBdr>
            <w:top w:val="none" w:sz="0" w:space="0" w:color="auto"/>
            <w:left w:val="none" w:sz="0" w:space="0" w:color="auto"/>
            <w:bottom w:val="none" w:sz="0" w:space="0" w:color="auto"/>
            <w:right w:val="none" w:sz="0" w:space="0" w:color="auto"/>
          </w:divBdr>
        </w:div>
        <w:div w:id="1956251519">
          <w:marLeft w:val="0"/>
          <w:marRight w:val="0"/>
          <w:marTop w:val="0"/>
          <w:marBottom w:val="0"/>
          <w:divBdr>
            <w:top w:val="none" w:sz="0" w:space="0" w:color="auto"/>
            <w:left w:val="none" w:sz="0" w:space="0" w:color="auto"/>
            <w:bottom w:val="none" w:sz="0" w:space="0" w:color="auto"/>
            <w:right w:val="none" w:sz="0" w:space="0" w:color="auto"/>
          </w:divBdr>
        </w:div>
        <w:div w:id="186020387">
          <w:marLeft w:val="0"/>
          <w:marRight w:val="0"/>
          <w:marTop w:val="0"/>
          <w:marBottom w:val="0"/>
          <w:divBdr>
            <w:top w:val="none" w:sz="0" w:space="0" w:color="auto"/>
            <w:left w:val="none" w:sz="0" w:space="0" w:color="auto"/>
            <w:bottom w:val="none" w:sz="0" w:space="0" w:color="auto"/>
            <w:right w:val="none" w:sz="0" w:space="0" w:color="auto"/>
          </w:divBdr>
        </w:div>
        <w:div w:id="1692025652">
          <w:marLeft w:val="0"/>
          <w:marRight w:val="0"/>
          <w:marTop w:val="0"/>
          <w:marBottom w:val="0"/>
          <w:divBdr>
            <w:top w:val="none" w:sz="0" w:space="0" w:color="auto"/>
            <w:left w:val="none" w:sz="0" w:space="0" w:color="auto"/>
            <w:bottom w:val="none" w:sz="0" w:space="0" w:color="auto"/>
            <w:right w:val="none" w:sz="0" w:space="0" w:color="auto"/>
          </w:divBdr>
        </w:div>
        <w:div w:id="1241256502">
          <w:marLeft w:val="0"/>
          <w:marRight w:val="0"/>
          <w:marTop w:val="0"/>
          <w:marBottom w:val="0"/>
          <w:divBdr>
            <w:top w:val="none" w:sz="0" w:space="0" w:color="auto"/>
            <w:left w:val="none" w:sz="0" w:space="0" w:color="auto"/>
            <w:bottom w:val="none" w:sz="0" w:space="0" w:color="auto"/>
            <w:right w:val="none" w:sz="0" w:space="0" w:color="auto"/>
          </w:divBdr>
        </w:div>
        <w:div w:id="562446627">
          <w:marLeft w:val="0"/>
          <w:marRight w:val="0"/>
          <w:marTop w:val="0"/>
          <w:marBottom w:val="0"/>
          <w:divBdr>
            <w:top w:val="none" w:sz="0" w:space="0" w:color="auto"/>
            <w:left w:val="none" w:sz="0" w:space="0" w:color="auto"/>
            <w:bottom w:val="none" w:sz="0" w:space="0" w:color="auto"/>
            <w:right w:val="none" w:sz="0" w:space="0" w:color="auto"/>
          </w:divBdr>
        </w:div>
        <w:div w:id="13190671">
          <w:marLeft w:val="0"/>
          <w:marRight w:val="0"/>
          <w:marTop w:val="0"/>
          <w:marBottom w:val="0"/>
          <w:divBdr>
            <w:top w:val="none" w:sz="0" w:space="0" w:color="auto"/>
            <w:left w:val="none" w:sz="0" w:space="0" w:color="auto"/>
            <w:bottom w:val="none" w:sz="0" w:space="0" w:color="auto"/>
            <w:right w:val="none" w:sz="0" w:space="0" w:color="auto"/>
          </w:divBdr>
        </w:div>
        <w:div w:id="1390349352">
          <w:marLeft w:val="0"/>
          <w:marRight w:val="0"/>
          <w:marTop w:val="0"/>
          <w:marBottom w:val="0"/>
          <w:divBdr>
            <w:top w:val="none" w:sz="0" w:space="0" w:color="auto"/>
            <w:left w:val="none" w:sz="0" w:space="0" w:color="auto"/>
            <w:bottom w:val="none" w:sz="0" w:space="0" w:color="auto"/>
            <w:right w:val="none" w:sz="0" w:space="0" w:color="auto"/>
          </w:divBdr>
        </w:div>
        <w:div w:id="1690378127">
          <w:marLeft w:val="0"/>
          <w:marRight w:val="0"/>
          <w:marTop w:val="0"/>
          <w:marBottom w:val="0"/>
          <w:divBdr>
            <w:top w:val="none" w:sz="0" w:space="0" w:color="auto"/>
            <w:left w:val="none" w:sz="0" w:space="0" w:color="auto"/>
            <w:bottom w:val="none" w:sz="0" w:space="0" w:color="auto"/>
            <w:right w:val="none" w:sz="0" w:space="0" w:color="auto"/>
          </w:divBdr>
        </w:div>
        <w:div w:id="871921406">
          <w:marLeft w:val="0"/>
          <w:marRight w:val="0"/>
          <w:marTop w:val="0"/>
          <w:marBottom w:val="0"/>
          <w:divBdr>
            <w:top w:val="none" w:sz="0" w:space="0" w:color="auto"/>
            <w:left w:val="none" w:sz="0" w:space="0" w:color="auto"/>
            <w:bottom w:val="none" w:sz="0" w:space="0" w:color="auto"/>
            <w:right w:val="none" w:sz="0" w:space="0" w:color="auto"/>
          </w:divBdr>
        </w:div>
        <w:div w:id="161747351">
          <w:marLeft w:val="0"/>
          <w:marRight w:val="0"/>
          <w:marTop w:val="0"/>
          <w:marBottom w:val="0"/>
          <w:divBdr>
            <w:top w:val="none" w:sz="0" w:space="0" w:color="auto"/>
            <w:left w:val="none" w:sz="0" w:space="0" w:color="auto"/>
            <w:bottom w:val="none" w:sz="0" w:space="0" w:color="auto"/>
            <w:right w:val="none" w:sz="0" w:space="0" w:color="auto"/>
          </w:divBdr>
        </w:div>
        <w:div w:id="1251350497">
          <w:marLeft w:val="0"/>
          <w:marRight w:val="0"/>
          <w:marTop w:val="0"/>
          <w:marBottom w:val="0"/>
          <w:divBdr>
            <w:top w:val="none" w:sz="0" w:space="0" w:color="auto"/>
            <w:left w:val="none" w:sz="0" w:space="0" w:color="auto"/>
            <w:bottom w:val="none" w:sz="0" w:space="0" w:color="auto"/>
            <w:right w:val="none" w:sz="0" w:space="0" w:color="auto"/>
          </w:divBdr>
        </w:div>
        <w:div w:id="259022335">
          <w:marLeft w:val="0"/>
          <w:marRight w:val="0"/>
          <w:marTop w:val="0"/>
          <w:marBottom w:val="0"/>
          <w:divBdr>
            <w:top w:val="none" w:sz="0" w:space="0" w:color="auto"/>
            <w:left w:val="none" w:sz="0" w:space="0" w:color="auto"/>
            <w:bottom w:val="none" w:sz="0" w:space="0" w:color="auto"/>
            <w:right w:val="none" w:sz="0" w:space="0" w:color="auto"/>
          </w:divBdr>
        </w:div>
        <w:div w:id="380133074">
          <w:marLeft w:val="0"/>
          <w:marRight w:val="0"/>
          <w:marTop w:val="0"/>
          <w:marBottom w:val="0"/>
          <w:divBdr>
            <w:top w:val="none" w:sz="0" w:space="0" w:color="auto"/>
            <w:left w:val="none" w:sz="0" w:space="0" w:color="auto"/>
            <w:bottom w:val="none" w:sz="0" w:space="0" w:color="auto"/>
            <w:right w:val="none" w:sz="0" w:space="0" w:color="auto"/>
          </w:divBdr>
        </w:div>
        <w:div w:id="1027606953">
          <w:marLeft w:val="0"/>
          <w:marRight w:val="0"/>
          <w:marTop w:val="0"/>
          <w:marBottom w:val="0"/>
          <w:divBdr>
            <w:top w:val="none" w:sz="0" w:space="0" w:color="auto"/>
            <w:left w:val="none" w:sz="0" w:space="0" w:color="auto"/>
            <w:bottom w:val="none" w:sz="0" w:space="0" w:color="auto"/>
            <w:right w:val="none" w:sz="0" w:space="0" w:color="auto"/>
          </w:divBdr>
        </w:div>
        <w:div w:id="818573773">
          <w:marLeft w:val="0"/>
          <w:marRight w:val="0"/>
          <w:marTop w:val="0"/>
          <w:marBottom w:val="0"/>
          <w:divBdr>
            <w:top w:val="none" w:sz="0" w:space="0" w:color="auto"/>
            <w:left w:val="none" w:sz="0" w:space="0" w:color="auto"/>
            <w:bottom w:val="none" w:sz="0" w:space="0" w:color="auto"/>
            <w:right w:val="none" w:sz="0" w:space="0" w:color="auto"/>
          </w:divBdr>
        </w:div>
        <w:div w:id="2046320926">
          <w:marLeft w:val="0"/>
          <w:marRight w:val="0"/>
          <w:marTop w:val="0"/>
          <w:marBottom w:val="0"/>
          <w:divBdr>
            <w:top w:val="none" w:sz="0" w:space="0" w:color="auto"/>
            <w:left w:val="none" w:sz="0" w:space="0" w:color="auto"/>
            <w:bottom w:val="none" w:sz="0" w:space="0" w:color="auto"/>
            <w:right w:val="none" w:sz="0" w:space="0" w:color="auto"/>
          </w:divBdr>
        </w:div>
        <w:div w:id="1684937475">
          <w:marLeft w:val="0"/>
          <w:marRight w:val="0"/>
          <w:marTop w:val="0"/>
          <w:marBottom w:val="0"/>
          <w:divBdr>
            <w:top w:val="none" w:sz="0" w:space="0" w:color="auto"/>
            <w:left w:val="none" w:sz="0" w:space="0" w:color="auto"/>
            <w:bottom w:val="none" w:sz="0" w:space="0" w:color="auto"/>
            <w:right w:val="none" w:sz="0" w:space="0" w:color="auto"/>
          </w:divBdr>
        </w:div>
        <w:div w:id="1590578004">
          <w:marLeft w:val="0"/>
          <w:marRight w:val="0"/>
          <w:marTop w:val="0"/>
          <w:marBottom w:val="0"/>
          <w:divBdr>
            <w:top w:val="none" w:sz="0" w:space="0" w:color="auto"/>
            <w:left w:val="none" w:sz="0" w:space="0" w:color="auto"/>
            <w:bottom w:val="none" w:sz="0" w:space="0" w:color="auto"/>
            <w:right w:val="none" w:sz="0" w:space="0" w:color="auto"/>
          </w:divBdr>
        </w:div>
      </w:divsChild>
    </w:div>
    <w:div w:id="1977559868">
      <w:bodyDiv w:val="1"/>
      <w:marLeft w:val="0"/>
      <w:marRight w:val="0"/>
      <w:marTop w:val="0"/>
      <w:marBottom w:val="0"/>
      <w:divBdr>
        <w:top w:val="none" w:sz="0" w:space="0" w:color="auto"/>
        <w:left w:val="none" w:sz="0" w:space="0" w:color="auto"/>
        <w:bottom w:val="none" w:sz="0" w:space="0" w:color="auto"/>
        <w:right w:val="none" w:sz="0" w:space="0" w:color="auto"/>
      </w:divBdr>
    </w:div>
    <w:div w:id="1977905406">
      <w:bodyDiv w:val="1"/>
      <w:marLeft w:val="0"/>
      <w:marRight w:val="0"/>
      <w:marTop w:val="0"/>
      <w:marBottom w:val="0"/>
      <w:divBdr>
        <w:top w:val="none" w:sz="0" w:space="0" w:color="auto"/>
        <w:left w:val="none" w:sz="0" w:space="0" w:color="auto"/>
        <w:bottom w:val="none" w:sz="0" w:space="0" w:color="auto"/>
        <w:right w:val="none" w:sz="0" w:space="0" w:color="auto"/>
      </w:divBdr>
    </w:div>
    <w:div w:id="20546949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E8C65-F87A-4DAC-B3F1-3582D98A1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1988</TotalTime>
  <Pages>12</Pages>
  <Words>1247</Words>
  <Characters>7114</Characters>
  <Application>Microsoft Office Word</Application>
  <DocSecurity>0</DocSecurity>
  <PresentationFormat/>
  <Lines>59</Lines>
  <Paragraphs>16</Paragraphs>
  <Slides>0</Slides>
  <Notes>0</Notes>
  <HiddenSlides>0</HiddenSlides>
  <MMClips>0</MMClips>
  <ScaleCrop>false</ScaleCrop>
  <Company>CHINA</Company>
  <LinksUpToDate>false</LinksUpToDate>
  <CharactersWithSpaces>8345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《加油站油气回收装置》检定规程（征求意见稿）</dc:title>
  <dc:creator>韦洋</dc:creator>
  <cp:lastModifiedBy>Admin</cp:lastModifiedBy>
  <cp:revision>53</cp:revision>
  <dcterms:created xsi:type="dcterms:W3CDTF">2020-10-04T04:11:00Z</dcterms:created>
  <dcterms:modified xsi:type="dcterms:W3CDTF">2023-06-07T13:37:00Z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