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Microsoft_Visio___1.vsdx" ContentType="application/vnd.ms-visio.drawing"/>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pStyle w:val="11"/>
        <w:rPr>
          <w:rFonts w:ascii="Times New Roman" w:hAnsi="Times New Roman"/>
        </w:rPr>
      </w:pPr>
    </w:p>
    <w:p>
      <w:pPr>
        <w:pStyle w:val="11"/>
        <w:rPr>
          <w:rFonts w:ascii="Times New Roman" w:hAnsi="Times New Roman"/>
        </w:rPr>
      </w:pPr>
    </w:p>
    <w:p>
      <w:pPr>
        <w:pStyle w:val="11"/>
        <w:rPr>
          <w:rFonts w:ascii="Times New Roman" w:hAnsi="Times New Roman" w:eastAsia="楷体_GB2312"/>
          <w:sz w:val="72"/>
        </w:rPr>
      </w:pPr>
      <w:r>
        <w:rPr>
          <w:rFonts w:ascii="Times New Roman" w:hAnsi="Times New Roman"/>
        </w:rPr>
        <w:t xml:space="preserve">                                               </w:t>
      </w:r>
      <w:bookmarkStart w:id="0" w:name="_Toc222654283"/>
      <w:r>
        <w:rPr>
          <w:rFonts w:ascii="Times New Roman" w:hAnsi="Times New Roman" w:eastAsia="楷体_GB2312"/>
          <w:sz w:val="72"/>
        </w:rPr>
        <w:t>JJ</w:t>
      </w:r>
      <w:r>
        <w:rPr>
          <w:rFonts w:ascii="Times New Roman" w:hAnsi="Times New Roman"/>
          <w:sz w:val="72"/>
        </w:rPr>
        <w:t>F</w:t>
      </w:r>
      <w:bookmarkEnd w:id="0"/>
    </w:p>
    <w:p>
      <w:pPr>
        <w:jc w:val="center"/>
        <w:rPr>
          <w:rFonts w:ascii="宋体" w:hAnsi="宋体" w:cs="宋体"/>
          <w:b/>
          <w:sz w:val="52"/>
        </w:rPr>
      </w:pPr>
      <w:r>
        <w:rPr>
          <w:rFonts w:hint="eastAsia" w:ascii="宋体" w:hAnsi="宋体" w:cs="宋体"/>
          <w:b/>
          <w:sz w:val="48"/>
        </w:rPr>
        <w:t>中华人民共和国国家计量技术规范</w:t>
      </w:r>
    </w:p>
    <w:p>
      <w:pPr>
        <w:rPr>
          <w:rFonts w:eastAsia="黑体"/>
          <w:sz w:val="28"/>
        </w:rPr>
      </w:pPr>
      <w:r>
        <w:rPr>
          <w:rFonts w:eastAsia="黑体"/>
          <w:sz w:val="28"/>
        </w:rPr>
        <w:t xml:space="preserve">                                     JJF1117—2023</w:t>
      </w:r>
    </w:p>
    <w:p>
      <w:pPr>
        <w:rPr>
          <w:sz w:val="30"/>
        </w:rPr>
      </w:pPr>
      <w:r>
        <mc:AlternateContent>
          <mc:Choice Requires="wps">
            <w:drawing>
              <wp:anchor distT="0" distB="0" distL="114300" distR="114300" simplePos="0" relativeHeight="251659264" behindDoc="0" locked="0" layoutInCell="0" allowOverlap="1">
                <wp:simplePos x="0" y="0"/>
                <wp:positionH relativeFrom="column">
                  <wp:posOffset>0</wp:posOffset>
                </wp:positionH>
                <wp:positionV relativeFrom="paragraph">
                  <wp:posOffset>0</wp:posOffset>
                </wp:positionV>
                <wp:extent cx="5257800" cy="635"/>
                <wp:effectExtent l="0" t="0" r="0" b="0"/>
                <wp:wrapNone/>
                <wp:docPr id="3" name="直线 2"/>
                <wp:cNvGraphicFramePr/>
                <a:graphic xmlns:a="http://schemas.openxmlformats.org/drawingml/2006/main">
                  <a:graphicData uri="http://schemas.microsoft.com/office/word/2010/wordprocessingShape">
                    <wps:wsp>
                      <wps:cNvCnPr>
                        <a:cxnSpLocks noChangeShapeType="1"/>
                      </wps:cNvCnPr>
                      <wps:spPr bwMode="auto">
                        <a:xfrm>
                          <a:off x="0" y="0"/>
                          <a:ext cx="5257800" cy="635"/>
                        </a:xfrm>
                        <a:prstGeom prst="line">
                          <a:avLst/>
                        </a:prstGeom>
                        <a:noFill/>
                        <a:ln w="9525" cmpd="sng">
                          <a:solidFill>
                            <a:srgbClr val="000000"/>
                          </a:solidFill>
                          <a:round/>
                        </a:ln>
                        <a:effectLst/>
                      </wps:spPr>
                      <wps:bodyPr/>
                    </wps:wsp>
                  </a:graphicData>
                </a:graphic>
              </wp:anchor>
            </w:drawing>
          </mc:Choice>
          <mc:Fallback>
            <w:pict>
              <v:line id="直线 2" o:spid="_x0000_s1026" o:spt="20" style="position:absolute;left:0pt;margin-left:0pt;margin-top:0pt;height:0.05pt;width:414pt;z-index:251659264;mso-width-relative:page;mso-height-relative:page;" filled="f" stroked="t" coordsize="21600,21600" o:allowincell="f" o:gfxdata="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UeG1KtEAAAACAQAADwAA&#10;AAAAAAABACAAAAAiAAAAZHJzL2Rvd25yZXYueG1sUEsBAhQAFAAAAAgAh07iQM2YqevkAQAAvAMA&#10;AA4AAAAAAAAAAQAgAAAAIAEAAGRycy9lMm9Eb2MueG1sUEsFBgAAAAAGAAYAWQEAAHYFAAAAAA==&#10;">
                <v:fill on="f" focussize="0,0"/>
                <v:stroke color="#000000" joinstyle="round"/>
                <v:imagedata o:title=""/>
                <o:lock v:ext="edit" aspectratio="f"/>
              </v:line>
            </w:pict>
          </mc:Fallback>
        </mc:AlternateContent>
      </w:r>
    </w:p>
    <w:p>
      <w:pPr>
        <w:jc w:val="center"/>
        <w:rPr>
          <w:rFonts w:eastAsia="黑体"/>
          <w:sz w:val="32"/>
        </w:rPr>
      </w:pPr>
    </w:p>
    <w:p>
      <w:pPr>
        <w:jc w:val="center"/>
        <w:rPr>
          <w:rFonts w:eastAsia="黑体"/>
          <w:sz w:val="32"/>
        </w:rPr>
      </w:pPr>
    </w:p>
    <w:p>
      <w:pPr>
        <w:jc w:val="center"/>
        <w:rPr>
          <w:rFonts w:eastAsia="黑体"/>
          <w:sz w:val="52"/>
        </w:rPr>
      </w:pPr>
      <w:r>
        <w:rPr>
          <w:rFonts w:eastAsia="黑体"/>
          <w:sz w:val="52"/>
        </w:rPr>
        <w:t>计量比对</w:t>
      </w:r>
    </w:p>
    <w:p>
      <w:pPr>
        <w:jc w:val="center"/>
        <w:rPr>
          <w:b/>
          <w:sz w:val="28"/>
        </w:rPr>
      </w:pPr>
      <w:r>
        <w:rPr>
          <w:b/>
          <w:sz w:val="28"/>
        </w:rPr>
        <w:t xml:space="preserve"> M</w:t>
      </w:r>
      <w:r>
        <w:rPr>
          <w:rFonts w:hint="eastAsia"/>
          <w:b/>
          <w:sz w:val="28"/>
        </w:rPr>
        <w:t>easurement</w:t>
      </w:r>
      <w:r>
        <w:rPr>
          <w:b/>
          <w:sz w:val="28"/>
        </w:rPr>
        <w:t xml:space="preserve"> Comparison</w:t>
      </w:r>
    </w:p>
    <w:p>
      <w:pPr>
        <w:jc w:val="center"/>
        <w:rPr>
          <w:sz w:val="30"/>
        </w:rPr>
      </w:pPr>
      <w:r>
        <w:rPr>
          <w:sz w:val="30"/>
        </w:rPr>
        <w:t>（</w:t>
      </w:r>
      <w:r>
        <w:rPr>
          <w:rFonts w:hint="eastAsia"/>
          <w:sz w:val="30"/>
        </w:rPr>
        <w:t>征求意见</w:t>
      </w:r>
      <w:r>
        <w:rPr>
          <w:sz w:val="30"/>
        </w:rPr>
        <w:t>稿）</w:t>
      </w:r>
    </w:p>
    <w:p>
      <w:pPr>
        <w:rPr>
          <w:sz w:val="30"/>
        </w:rPr>
      </w:pPr>
    </w:p>
    <w:p>
      <w:pPr>
        <w:rPr>
          <w:sz w:val="30"/>
        </w:rPr>
      </w:pPr>
    </w:p>
    <w:p>
      <w:pPr>
        <w:rPr>
          <w:sz w:val="30"/>
        </w:rPr>
      </w:pPr>
    </w:p>
    <w:p>
      <w:pPr>
        <w:rPr>
          <w:sz w:val="30"/>
        </w:rPr>
      </w:pPr>
    </w:p>
    <w:p>
      <w:pPr>
        <w:rPr>
          <w:sz w:val="30"/>
        </w:rPr>
      </w:pPr>
    </w:p>
    <w:p>
      <w:pPr>
        <w:rPr>
          <w:sz w:val="30"/>
        </w:rPr>
      </w:pPr>
    </w:p>
    <w:p>
      <w:pPr>
        <w:rPr>
          <w:sz w:val="30"/>
        </w:rPr>
      </w:pPr>
    </w:p>
    <w:p>
      <w:pPr>
        <w:rPr>
          <w:sz w:val="30"/>
        </w:rPr>
      </w:pPr>
    </w:p>
    <w:p>
      <w:pPr>
        <w:rPr>
          <w:rFonts w:eastAsia="黑体"/>
          <w:sz w:val="28"/>
        </w:rPr>
      </w:pPr>
      <w:r>
        <mc:AlternateContent>
          <mc:Choice Requires="wps">
            <w:drawing>
              <wp:anchor distT="0" distB="0" distL="114300" distR="114300" simplePos="0" relativeHeight="251660288" behindDoc="0" locked="0" layoutInCell="0" allowOverlap="1">
                <wp:simplePos x="0" y="0"/>
                <wp:positionH relativeFrom="column">
                  <wp:posOffset>0</wp:posOffset>
                </wp:positionH>
                <wp:positionV relativeFrom="paragraph">
                  <wp:posOffset>396240</wp:posOffset>
                </wp:positionV>
                <wp:extent cx="5257800" cy="635"/>
                <wp:effectExtent l="0" t="0" r="0" b="0"/>
                <wp:wrapNone/>
                <wp:docPr id="2" name="直线 3"/>
                <wp:cNvGraphicFramePr/>
                <a:graphic xmlns:a="http://schemas.openxmlformats.org/drawingml/2006/main">
                  <a:graphicData uri="http://schemas.microsoft.com/office/word/2010/wordprocessingShape">
                    <wps:wsp>
                      <wps:cNvCnPr>
                        <a:cxnSpLocks noChangeShapeType="1"/>
                      </wps:cNvCnPr>
                      <wps:spPr bwMode="auto">
                        <a:xfrm>
                          <a:off x="0" y="0"/>
                          <a:ext cx="5257800" cy="635"/>
                        </a:xfrm>
                        <a:prstGeom prst="line">
                          <a:avLst/>
                        </a:prstGeom>
                        <a:noFill/>
                        <a:ln w="9525" cmpd="sng">
                          <a:solidFill>
                            <a:srgbClr val="000000"/>
                          </a:solidFill>
                          <a:round/>
                        </a:ln>
                        <a:effectLst/>
                      </wps:spPr>
                      <wps:bodyPr/>
                    </wps:wsp>
                  </a:graphicData>
                </a:graphic>
              </wp:anchor>
            </w:drawing>
          </mc:Choice>
          <mc:Fallback>
            <w:pict>
              <v:line id="直线 3" o:spid="_x0000_s1026" o:spt="20" style="position:absolute;left:0pt;margin-left:0pt;margin-top:31.2pt;height:0.05pt;width:414pt;z-index:251660288;mso-width-relative:page;mso-height-relative:page;" filled="f" stroked="t" coordsize="21600,21600" o:allowincell="f" o:gfxdata="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ZuydptQAAAAGAQAA&#10;DwAAAAAAAAABACAAAAAiAAAAZHJzL2Rvd25yZXYueG1sUEsBAhQAFAAAAAgAh07iQBiCqR7kAQAA&#10;vAMAAA4AAAAAAAAAAQAgAAAAIwEAAGRycy9lMm9Eb2MueG1sUEsFBgAAAAAGAAYAWQEAAHkFAAAA&#10;AA==&#10;">
                <v:fill on="f" focussize="0,0"/>
                <v:stroke color="#000000" joinstyle="round"/>
                <v:imagedata o:title=""/>
                <o:lock v:ext="edit" aspectratio="f"/>
              </v:line>
            </w:pict>
          </mc:Fallback>
        </mc:AlternateContent>
      </w:r>
      <w:r>
        <w:rPr>
          <w:rFonts w:eastAsia="黑体"/>
          <w:sz w:val="28"/>
        </w:rPr>
        <w:t xml:space="preserve">××××-××-××发布            </w:t>
      </w:r>
      <w:r>
        <w:rPr>
          <w:rFonts w:eastAsia="黑体"/>
          <w:sz w:val="28"/>
        </w:rPr>
        <w:tab/>
      </w:r>
      <w:r>
        <w:rPr>
          <w:rFonts w:eastAsia="黑体"/>
          <w:sz w:val="28"/>
        </w:rPr>
        <w:t>××××-××-××实施</w:t>
      </w:r>
    </w:p>
    <w:p>
      <w:pPr>
        <w:jc w:val="center"/>
        <w:rPr>
          <w:rFonts w:ascii="宋体" w:hAnsi="宋体" w:cs="宋体"/>
          <w:w w:val="110"/>
          <w:sz w:val="44"/>
        </w:rPr>
      </w:pPr>
      <w:r>
        <w:rPr>
          <w:rFonts w:hint="eastAsia" w:ascii="宋体" w:hAnsi="宋体" w:cs="宋体"/>
          <w:spacing w:val="60"/>
          <w:w w:val="110"/>
          <w:sz w:val="36"/>
        </w:rPr>
        <w:t>国家市场监督管理总局</w:t>
      </w:r>
      <w:r>
        <w:rPr>
          <w:rFonts w:hint="eastAsia" w:ascii="宋体" w:hAnsi="宋体" w:cs="宋体"/>
          <w:w w:val="110"/>
          <w:sz w:val="44"/>
        </w:rPr>
        <w:t xml:space="preserve">  </w:t>
      </w:r>
      <w:r>
        <w:rPr>
          <w:rFonts w:hint="eastAsia" w:ascii="宋体" w:hAnsi="宋体" w:cs="宋体"/>
          <w:w w:val="110"/>
          <w:sz w:val="28"/>
        </w:rPr>
        <w:t>发 布</w:t>
      </w:r>
    </w:p>
    <w:p>
      <w:pPr>
        <w:rPr>
          <w:rFonts w:ascii="宋体" w:hAnsi="宋体" w:cs="宋体"/>
        </w:rPr>
        <w:sectPr>
          <w:footerReference r:id="rId3" w:type="default"/>
          <w:pgSz w:w="11906" w:h="16838"/>
          <w:pgMar w:top="1440" w:right="1616" w:bottom="1440" w:left="1797" w:header="851" w:footer="992" w:gutter="0"/>
          <w:pgNumType w:start="1"/>
          <w:cols w:space="720" w:num="1"/>
          <w:docGrid w:type="lines" w:linePitch="312" w:charSpace="0"/>
        </w:sectPr>
      </w:pPr>
    </w:p>
    <w:p/>
    <w:p>
      <w:pPr>
        <w:framePr w:w="2503" w:h="962" w:hSpace="180" w:wrap="around" w:vAnchor="text" w:hAnchor="page" w:x="7220" w:y="-149"/>
        <w:pBdr>
          <w:top w:val="single" w:color="auto" w:sz="6" w:space="1"/>
          <w:left w:val="single" w:color="auto" w:sz="6" w:space="1"/>
          <w:bottom w:val="single" w:color="auto" w:sz="6" w:space="1"/>
          <w:right w:val="single" w:color="auto" w:sz="6" w:space="1"/>
        </w:pBdr>
        <w:spacing w:line="400" w:lineRule="exact"/>
        <w:ind w:firstLine="560" w:firstLineChars="200"/>
        <w:rPr>
          <w:rFonts w:eastAsia="黑体"/>
          <w:sz w:val="28"/>
        </w:rPr>
      </w:pPr>
      <w:r>
        <w:rPr>
          <w:rFonts w:eastAsia="黑体"/>
          <w:sz w:val="28"/>
        </w:rPr>
        <w:t>JJF1117-××××</w:t>
      </w:r>
    </w:p>
    <w:p>
      <w:pPr>
        <w:framePr w:w="2503" w:h="962" w:hSpace="180" w:wrap="around" w:vAnchor="text" w:hAnchor="page" w:x="7220" w:y="-149"/>
        <w:pBdr>
          <w:top w:val="single" w:color="auto" w:sz="6" w:space="1"/>
          <w:left w:val="single" w:color="auto" w:sz="6" w:space="1"/>
          <w:bottom w:val="single" w:color="auto" w:sz="6" w:space="1"/>
          <w:right w:val="single" w:color="auto" w:sz="6" w:space="1"/>
        </w:pBdr>
        <w:spacing w:line="400" w:lineRule="exact"/>
        <w:rPr>
          <w:rFonts w:eastAsia="黑体"/>
          <w:sz w:val="28"/>
        </w:rPr>
      </w:pPr>
      <w:r>
        <w:rPr>
          <w:rFonts w:eastAsia="黑体"/>
          <w:sz w:val="28"/>
        </w:rPr>
        <w:t>代替JJF1117-2010</w:t>
      </w:r>
    </w:p>
    <w:p>
      <w:pPr>
        <w:spacing w:line="400" w:lineRule="exact"/>
        <w:ind w:firstLine="531" w:firstLineChars="147"/>
        <w:rPr>
          <w:rFonts w:eastAsia="仿宋_GB2312"/>
          <w:b/>
          <w:sz w:val="36"/>
        </w:rPr>
      </w:pPr>
      <w:r>
        <w:rPr>
          <w:rFonts w:eastAsia="仿宋_GB2312"/>
          <w:b/>
          <w:sz w:val="36"/>
        </w:rPr>
        <w:t>计 量 比 对</w:t>
      </w:r>
    </w:p>
    <w:p>
      <w:pPr>
        <w:spacing w:line="400" w:lineRule="exact"/>
        <w:ind w:firstLine="630" w:firstLineChars="300"/>
      </w:pPr>
      <w:r>
        <w:rPr>
          <w:rFonts w:hint="eastAsia"/>
        </w:rPr>
        <w:t xml:space="preserve"> </w:t>
      </w:r>
      <w:r>
        <w:t>Me</w:t>
      </w:r>
      <w:r>
        <w:rPr>
          <w:rFonts w:hint="eastAsia"/>
        </w:rPr>
        <w:t>asurement</w:t>
      </w:r>
      <w:r>
        <w:t xml:space="preserve"> Comparison</w:t>
      </w:r>
    </w:p>
    <w:p>
      <w:pPr>
        <w:spacing w:line="400" w:lineRule="exact"/>
        <w:rPr>
          <w:rFonts w:eastAsia="黑体"/>
          <w:sz w:val="32"/>
        </w:rPr>
      </w:pPr>
      <w:r>
        <mc:AlternateContent>
          <mc:Choice Requires="wps">
            <w:drawing>
              <wp:anchor distT="0" distB="0" distL="114300" distR="114300" simplePos="0" relativeHeight="251661312" behindDoc="0" locked="0" layoutInCell="0" allowOverlap="1">
                <wp:simplePos x="0" y="0"/>
                <wp:positionH relativeFrom="column">
                  <wp:posOffset>-114300</wp:posOffset>
                </wp:positionH>
                <wp:positionV relativeFrom="paragraph">
                  <wp:posOffset>81280</wp:posOffset>
                </wp:positionV>
                <wp:extent cx="5486400" cy="635"/>
                <wp:effectExtent l="0" t="0" r="0" b="0"/>
                <wp:wrapNone/>
                <wp:docPr id="1" name="直线 4"/>
                <wp:cNvGraphicFramePr/>
                <a:graphic xmlns:a="http://schemas.openxmlformats.org/drawingml/2006/main">
                  <a:graphicData uri="http://schemas.microsoft.com/office/word/2010/wordprocessingShape">
                    <wps:wsp>
                      <wps:cNvCnPr>
                        <a:cxnSpLocks noChangeShapeType="1"/>
                      </wps:cNvCnPr>
                      <wps:spPr bwMode="auto">
                        <a:xfrm>
                          <a:off x="0" y="0"/>
                          <a:ext cx="5486400" cy="635"/>
                        </a:xfrm>
                        <a:prstGeom prst="line">
                          <a:avLst/>
                        </a:prstGeom>
                        <a:noFill/>
                        <a:ln w="9525" cmpd="sng">
                          <a:solidFill>
                            <a:srgbClr val="000000"/>
                          </a:solidFill>
                          <a:round/>
                        </a:ln>
                        <a:effectLst/>
                      </wps:spPr>
                      <wps:bodyPr/>
                    </wps:wsp>
                  </a:graphicData>
                </a:graphic>
              </wp:anchor>
            </w:drawing>
          </mc:Choice>
          <mc:Fallback>
            <w:pict>
              <v:line id="直线 4" o:spid="_x0000_s1026" o:spt="20" style="position:absolute;left:0pt;margin-left:-9pt;margin-top:6.4pt;height:0.05pt;width:432pt;z-index:251661312;mso-width-relative:page;mso-height-relative:page;" filled="f" stroked="t" coordsize="21600,21600" o:allowincell="f" o:gfxdata="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qvypJNYAAAAJ&#10;AQAADwAAAAAAAAABACAAAAAiAAAAZHJzL2Rvd25yZXYueG1sUEsBAhQAFAAAAAgAh07iQIJ2D87l&#10;AQAAvAMAAA4AAAAAAAAAAQAgAAAAJQEAAGRycy9lMm9Eb2MueG1sUEsFBgAAAAAGAAYAWQEAAHwF&#10;AAAAAA==&#10;">
                <v:fill on="f" focussize="0,0"/>
                <v:stroke color="#000000" joinstyle="round"/>
                <v:imagedata o:title=""/>
                <o:lock v:ext="edit" aspectratio="f"/>
              </v:line>
            </w:pict>
          </mc:Fallback>
        </mc:AlternateContent>
      </w:r>
    </w:p>
    <w:p>
      <w:pPr>
        <w:spacing w:line="360" w:lineRule="auto"/>
        <w:ind w:firstLine="658"/>
        <w:rPr>
          <w:sz w:val="24"/>
        </w:rPr>
      </w:pPr>
      <w:r>
        <w:rPr>
          <w:sz w:val="24"/>
        </w:rPr>
        <w:t>本规范经国家</w:t>
      </w:r>
      <w:r>
        <w:rPr>
          <w:rFonts w:hint="eastAsia"/>
          <w:sz w:val="24"/>
        </w:rPr>
        <w:t>市场监督管理</w:t>
      </w:r>
      <w:r>
        <w:rPr>
          <w:sz w:val="24"/>
        </w:rPr>
        <w:t>总局</w:t>
      </w:r>
      <w:r>
        <w:rPr>
          <w:rFonts w:hint="eastAsia"/>
          <w:sz w:val="24"/>
        </w:rPr>
        <w:t>于</w:t>
      </w:r>
      <w:r>
        <w:rPr>
          <w:sz w:val="24"/>
        </w:rPr>
        <w:t>XXXX年XX月XX日批准，并自XXXX年XX月XX日起施行。</w:t>
      </w:r>
    </w:p>
    <w:p>
      <w:pPr>
        <w:rPr>
          <w:sz w:val="28"/>
        </w:rPr>
      </w:pPr>
    </w:p>
    <w:p>
      <w:pPr>
        <w:rPr>
          <w:sz w:val="28"/>
        </w:rPr>
      </w:pPr>
    </w:p>
    <w:p>
      <w:pPr>
        <w:rPr>
          <w:sz w:val="28"/>
        </w:rPr>
      </w:pPr>
    </w:p>
    <w:p>
      <w:pPr>
        <w:rPr>
          <w:sz w:val="28"/>
        </w:rPr>
      </w:pPr>
    </w:p>
    <w:p>
      <w:pPr>
        <w:rPr>
          <w:sz w:val="28"/>
        </w:rPr>
      </w:pPr>
    </w:p>
    <w:p>
      <w:pPr>
        <w:ind w:firstLine="840" w:firstLineChars="300"/>
        <w:rPr>
          <w:sz w:val="28"/>
        </w:rPr>
      </w:pPr>
      <w:r>
        <w:rPr>
          <w:sz w:val="28"/>
        </w:rPr>
        <w:t>归口单位</w:t>
      </w:r>
      <w:r>
        <w:rPr>
          <w:spacing w:val="20"/>
          <w:sz w:val="28"/>
        </w:rPr>
        <w:t>：</w:t>
      </w:r>
      <w:r>
        <w:rPr>
          <w:sz w:val="28"/>
        </w:rPr>
        <w:t>全国法制计量管理计量技术委员会</w:t>
      </w:r>
    </w:p>
    <w:p>
      <w:pPr>
        <w:ind w:firstLine="848" w:firstLineChars="303"/>
        <w:rPr>
          <w:sz w:val="28"/>
        </w:rPr>
      </w:pPr>
      <w:r>
        <w:rPr>
          <w:sz w:val="28"/>
        </w:rPr>
        <w:t>起草单位</w:t>
      </w:r>
      <w:r>
        <w:rPr>
          <w:spacing w:val="20"/>
          <w:sz w:val="28"/>
        </w:rPr>
        <w:t>：</w:t>
      </w:r>
      <w:r>
        <w:rPr>
          <w:sz w:val="28"/>
        </w:rPr>
        <w:t>中国计量科学研究院</w:t>
      </w:r>
    </w:p>
    <w:p>
      <w:pPr>
        <w:ind w:firstLine="848" w:firstLineChars="303"/>
        <w:rPr>
          <w:sz w:val="28"/>
        </w:rPr>
      </w:pPr>
    </w:p>
    <w:p>
      <w:pPr>
        <w:ind w:firstLine="570"/>
        <w:rPr>
          <w:sz w:val="28"/>
        </w:rPr>
      </w:pPr>
      <w:r>
        <w:rPr>
          <w:sz w:val="28"/>
        </w:rPr>
        <w:t xml:space="preserve">                </w:t>
      </w:r>
    </w:p>
    <w:p>
      <w:pPr>
        <w:ind w:firstLine="570"/>
        <w:rPr>
          <w:sz w:val="28"/>
        </w:rPr>
      </w:pPr>
      <w:r>
        <w:rPr>
          <w:sz w:val="28"/>
        </w:rPr>
        <w:t xml:space="preserve">              </w:t>
      </w:r>
    </w:p>
    <w:p>
      <w:pPr>
        <w:ind w:firstLine="570"/>
        <w:rPr>
          <w:sz w:val="28"/>
        </w:rPr>
      </w:pPr>
      <w:r>
        <w:rPr>
          <w:sz w:val="28"/>
        </w:rPr>
        <w:t xml:space="preserve">             </w:t>
      </w:r>
    </w:p>
    <w:p>
      <w:pPr>
        <w:rPr>
          <w:sz w:val="28"/>
        </w:rPr>
      </w:pPr>
    </w:p>
    <w:p>
      <w:pPr>
        <w:rPr>
          <w:sz w:val="28"/>
        </w:rPr>
      </w:pPr>
    </w:p>
    <w:p>
      <w:pPr>
        <w:rPr>
          <w:sz w:val="28"/>
        </w:rPr>
      </w:pPr>
    </w:p>
    <w:p>
      <w:pPr>
        <w:rPr>
          <w:sz w:val="28"/>
        </w:rPr>
      </w:pPr>
    </w:p>
    <w:p>
      <w:pPr>
        <w:rPr>
          <w:sz w:val="28"/>
        </w:rPr>
      </w:pPr>
    </w:p>
    <w:p>
      <w:pPr>
        <w:rPr>
          <w:sz w:val="28"/>
        </w:rPr>
      </w:pPr>
    </w:p>
    <w:p>
      <w:pPr>
        <w:ind w:firstLine="105"/>
      </w:pPr>
      <w:r>
        <w:rPr>
          <w:sz w:val="24"/>
        </w:rPr>
        <w:t>本规范</w:t>
      </w:r>
      <w:r>
        <w:rPr>
          <w:rFonts w:hint="eastAsia"/>
          <w:sz w:val="24"/>
        </w:rPr>
        <w:t>由</w:t>
      </w:r>
      <w:r>
        <w:rPr>
          <w:sz w:val="24"/>
        </w:rPr>
        <w:t>全国法制计量管理计量技术委员会负责解释</w:t>
      </w:r>
    </w:p>
    <w:p>
      <w:pPr>
        <w:spacing w:line="400" w:lineRule="exact"/>
      </w:pPr>
    </w:p>
    <w:p>
      <w:pPr>
        <w:spacing w:line="400" w:lineRule="exact"/>
      </w:pPr>
    </w:p>
    <w:p>
      <w:pPr>
        <w:spacing w:line="400" w:lineRule="exact"/>
      </w:pPr>
    </w:p>
    <w:p>
      <w:pPr>
        <w:spacing w:line="400" w:lineRule="exact"/>
      </w:pPr>
    </w:p>
    <w:p>
      <w:pPr>
        <w:ind w:firstLine="1120" w:firstLineChars="400"/>
        <w:rPr>
          <w:sz w:val="28"/>
        </w:rPr>
      </w:pPr>
      <w:r>
        <w:rPr>
          <w:rFonts w:hint="eastAsia"/>
          <w:sz w:val="28"/>
        </w:rPr>
        <w:t>本规范主要</w:t>
      </w:r>
      <w:r>
        <w:rPr>
          <w:sz w:val="28"/>
        </w:rPr>
        <w:t>起草人：</w:t>
      </w:r>
    </w:p>
    <w:p>
      <w:pPr>
        <w:ind w:firstLine="570"/>
        <w:rPr>
          <w:sz w:val="28"/>
        </w:rPr>
      </w:pPr>
      <w:r>
        <w:rPr>
          <w:sz w:val="28"/>
        </w:rPr>
        <w:tab/>
      </w:r>
      <w:r>
        <w:rPr>
          <w:sz w:val="28"/>
        </w:rPr>
        <w:tab/>
      </w:r>
      <w:r>
        <w:rPr>
          <w:sz w:val="28"/>
        </w:rPr>
        <w:tab/>
      </w:r>
      <w:r>
        <w:rPr>
          <w:sz w:val="28"/>
        </w:rPr>
        <w:t>王</w:t>
      </w:r>
      <w:r>
        <w:rPr>
          <w:rFonts w:hint="eastAsia"/>
          <w:sz w:val="28"/>
        </w:rPr>
        <w:t xml:space="preserve"> </w:t>
      </w:r>
      <w:r>
        <w:rPr>
          <w:sz w:val="28"/>
        </w:rPr>
        <w:t xml:space="preserve"> 池（中国计量科学研究院）</w:t>
      </w:r>
    </w:p>
    <w:p>
      <w:pPr>
        <w:ind w:firstLine="1685" w:firstLineChars="602"/>
        <w:rPr>
          <w:sz w:val="28"/>
        </w:rPr>
      </w:pPr>
      <w:r>
        <w:rPr>
          <w:sz w:val="28"/>
        </w:rPr>
        <w:t>原遵东（中国计量科学研究院）</w:t>
      </w:r>
    </w:p>
    <w:p>
      <w:pPr>
        <w:ind w:firstLine="570"/>
        <w:rPr>
          <w:sz w:val="28"/>
        </w:rPr>
      </w:pPr>
      <w:r>
        <w:rPr>
          <w:sz w:val="28"/>
        </w:rPr>
        <w:t xml:space="preserve">        林延东（中国计量科学研究院）</w:t>
      </w:r>
    </w:p>
    <w:p>
      <w:pPr>
        <w:rPr>
          <w:sz w:val="28"/>
        </w:rPr>
      </w:pPr>
      <w:r>
        <w:rPr>
          <w:rFonts w:hint="eastAsia"/>
          <w:sz w:val="28"/>
        </w:rPr>
        <w:t xml:space="preserve"> </w:t>
      </w:r>
      <w:r>
        <w:rPr>
          <w:sz w:val="28"/>
        </w:rPr>
        <w:t xml:space="preserve">       </w:t>
      </w:r>
      <w:r>
        <w:rPr>
          <w:rFonts w:hint="eastAsia"/>
          <w:sz w:val="28"/>
        </w:rPr>
        <w:t>本规程参加起草人：</w:t>
      </w:r>
    </w:p>
    <w:p>
      <w:pPr>
        <w:rPr>
          <w:sz w:val="28"/>
        </w:rPr>
      </w:pPr>
      <w:r>
        <w:rPr>
          <w:rFonts w:hint="eastAsia"/>
          <w:sz w:val="28"/>
        </w:rPr>
        <w:t xml:space="preserve"> </w:t>
      </w:r>
      <w:r>
        <w:rPr>
          <w:sz w:val="28"/>
        </w:rPr>
        <w:t xml:space="preserve">           </w:t>
      </w:r>
      <w:r>
        <w:rPr>
          <w:rFonts w:hint="eastAsia"/>
          <w:sz w:val="28"/>
        </w:rPr>
        <w:t>冯晓娟</w:t>
      </w:r>
      <w:r>
        <w:rPr>
          <w:sz w:val="28"/>
        </w:rPr>
        <w:t>（中国计量科学研究院）</w:t>
      </w:r>
    </w:p>
    <w:p>
      <w:pPr>
        <w:rPr>
          <w:sz w:val="28"/>
        </w:rPr>
      </w:pPr>
      <w:r>
        <w:rPr>
          <w:rFonts w:hint="eastAsia"/>
          <w:sz w:val="28"/>
        </w:rPr>
        <w:t xml:space="preserve"> </w:t>
      </w:r>
      <w:r>
        <w:rPr>
          <w:sz w:val="28"/>
        </w:rPr>
        <w:t xml:space="preserve">           </w:t>
      </w:r>
      <w:r>
        <w:rPr>
          <w:rFonts w:hint="eastAsia"/>
          <w:sz w:val="28"/>
        </w:rPr>
        <w:t>杭晨哲</w:t>
      </w:r>
      <w:r>
        <w:rPr>
          <w:sz w:val="28"/>
        </w:rPr>
        <w:t>（中国计量科学研究院）</w:t>
      </w:r>
    </w:p>
    <w:p>
      <w:pPr>
        <w:rPr>
          <w:sz w:val="28"/>
        </w:rPr>
      </w:pPr>
      <w:r>
        <w:rPr>
          <w:rFonts w:hint="eastAsia"/>
          <w:sz w:val="28"/>
        </w:rPr>
        <w:t xml:space="preserve"> </w:t>
      </w:r>
      <w:r>
        <w:rPr>
          <w:sz w:val="28"/>
        </w:rPr>
        <w:t xml:space="preserve">           </w:t>
      </w:r>
      <w:r>
        <w:rPr>
          <w:rFonts w:hint="eastAsia"/>
          <w:sz w:val="28"/>
        </w:rPr>
        <w:t>李春辉</w:t>
      </w:r>
      <w:r>
        <w:rPr>
          <w:sz w:val="28"/>
        </w:rPr>
        <w:t>（中国计量科学研究院）</w:t>
      </w:r>
    </w:p>
    <w:p>
      <w:pPr>
        <w:rPr>
          <w:sz w:val="28"/>
        </w:rPr>
      </w:pPr>
      <w:r>
        <w:rPr>
          <w:rFonts w:hint="eastAsia"/>
          <w:sz w:val="28"/>
        </w:rPr>
        <w:t xml:space="preserve"> </w:t>
      </w:r>
      <w:r>
        <w:rPr>
          <w:sz w:val="28"/>
        </w:rPr>
        <w:t xml:space="preserve">           </w:t>
      </w:r>
      <w:r>
        <w:rPr>
          <w:rFonts w:hint="eastAsia"/>
          <w:sz w:val="28"/>
        </w:rPr>
        <w:t>甘海勇</w:t>
      </w:r>
      <w:r>
        <w:rPr>
          <w:sz w:val="28"/>
        </w:rPr>
        <w:t>（中国计量科学研究院）</w:t>
      </w:r>
    </w:p>
    <w:p>
      <w:pPr>
        <w:rPr>
          <w:sz w:val="28"/>
        </w:rPr>
      </w:pPr>
    </w:p>
    <w:p>
      <w:pPr>
        <w:rPr>
          <w:sz w:val="28"/>
        </w:rPr>
      </w:pPr>
    </w:p>
    <w:p/>
    <w:p/>
    <w:p/>
    <w:p/>
    <w:p/>
    <w:p/>
    <w:p/>
    <w:p/>
    <w:p/>
    <w:p/>
    <w:p/>
    <w:p/>
    <w:p/>
    <w:p/>
    <w:p/>
    <w:p/>
    <w:p/>
    <w:p>
      <w:pPr>
        <w:spacing w:line="360" w:lineRule="auto"/>
      </w:pPr>
    </w:p>
    <w:p>
      <w:pPr>
        <w:spacing w:line="360" w:lineRule="auto"/>
        <w:jc w:val="center"/>
        <w:rPr>
          <w:rFonts w:eastAsia="黑体"/>
          <w:sz w:val="32"/>
        </w:rPr>
      </w:pPr>
      <w:r>
        <w:rPr>
          <w:rFonts w:eastAsia="黑体"/>
          <w:sz w:val="32"/>
        </w:rPr>
        <w:t>目录</w:t>
      </w:r>
    </w:p>
    <w:p>
      <w:pPr>
        <w:pStyle w:val="16"/>
        <w:tabs>
          <w:tab w:val="right" w:leader="dot" w:pos="8483"/>
        </w:tabs>
        <w:rPr>
          <w:rFonts w:asciiTheme="minorHAnsi" w:hAnsiTheme="minorHAnsi" w:eastAsiaTheme="minorEastAsia" w:cstheme="minorBidi"/>
          <w:szCs w:val="22"/>
        </w:rPr>
      </w:pPr>
      <w:r>
        <w:rPr>
          <w:b/>
          <w:sz w:val="24"/>
        </w:rPr>
        <w:fldChar w:fldCharType="begin"/>
      </w:r>
      <w:r>
        <w:rPr>
          <w:b/>
          <w:sz w:val="24"/>
        </w:rPr>
        <w:instrText xml:space="preserve"> TOC \o "1-3" \h \z \u </w:instrText>
      </w:r>
      <w:r>
        <w:rPr>
          <w:b/>
          <w:sz w:val="24"/>
        </w:rPr>
        <w:fldChar w:fldCharType="separate"/>
      </w:r>
      <w:r>
        <w:fldChar w:fldCharType="begin"/>
      </w:r>
      <w:r>
        <w:instrText xml:space="preserve"> HYPERLINK \l "_Toc137854283" </w:instrText>
      </w:r>
      <w:r>
        <w:fldChar w:fldCharType="separate"/>
      </w:r>
      <w:r>
        <w:rPr>
          <w:rStyle w:val="25"/>
        </w:rPr>
        <w:t>计 量 比 对</w:t>
      </w:r>
      <w:r>
        <w:tab/>
      </w:r>
      <w:r>
        <w:fldChar w:fldCharType="begin"/>
      </w:r>
      <w:r>
        <w:instrText xml:space="preserve"> PAGEREF _Toc137854283 \h </w:instrText>
      </w:r>
      <w:r>
        <w:fldChar w:fldCharType="separate"/>
      </w:r>
      <w:r>
        <w:t>7</w:t>
      </w:r>
      <w:r>
        <w:fldChar w:fldCharType="end"/>
      </w:r>
      <w:r>
        <w:fldChar w:fldCharType="end"/>
      </w:r>
    </w:p>
    <w:p>
      <w:pPr>
        <w:pStyle w:val="16"/>
        <w:tabs>
          <w:tab w:val="right" w:leader="dot" w:pos="8483"/>
        </w:tabs>
        <w:rPr>
          <w:rFonts w:asciiTheme="minorHAnsi" w:hAnsiTheme="minorHAnsi" w:eastAsiaTheme="minorEastAsia" w:cstheme="minorBidi"/>
          <w:szCs w:val="22"/>
        </w:rPr>
      </w:pPr>
      <w:r>
        <w:fldChar w:fldCharType="begin"/>
      </w:r>
      <w:r>
        <w:instrText xml:space="preserve"> HYPERLINK \l "_Toc137854284" </w:instrText>
      </w:r>
      <w:r>
        <w:fldChar w:fldCharType="separate"/>
      </w:r>
      <w:r>
        <w:rPr>
          <w:rStyle w:val="25"/>
        </w:rPr>
        <w:t>1 范围</w:t>
      </w:r>
      <w:r>
        <w:tab/>
      </w:r>
      <w:r>
        <w:fldChar w:fldCharType="begin"/>
      </w:r>
      <w:r>
        <w:instrText xml:space="preserve"> PAGEREF _Toc137854284 \h </w:instrText>
      </w:r>
      <w:r>
        <w:fldChar w:fldCharType="separate"/>
      </w:r>
      <w:r>
        <w:t>7</w:t>
      </w:r>
      <w:r>
        <w:fldChar w:fldCharType="end"/>
      </w:r>
      <w:r>
        <w:fldChar w:fldCharType="end"/>
      </w:r>
    </w:p>
    <w:p>
      <w:pPr>
        <w:pStyle w:val="16"/>
        <w:tabs>
          <w:tab w:val="right" w:leader="dot" w:pos="8483"/>
        </w:tabs>
        <w:rPr>
          <w:rFonts w:asciiTheme="minorHAnsi" w:hAnsiTheme="minorHAnsi" w:eastAsiaTheme="minorEastAsia" w:cstheme="minorBidi"/>
          <w:szCs w:val="22"/>
        </w:rPr>
      </w:pPr>
      <w:r>
        <w:fldChar w:fldCharType="begin"/>
      </w:r>
      <w:r>
        <w:instrText xml:space="preserve"> HYPERLINK \l "_Toc137854285" </w:instrText>
      </w:r>
      <w:r>
        <w:fldChar w:fldCharType="separate"/>
      </w:r>
      <w:r>
        <w:rPr>
          <w:rStyle w:val="25"/>
        </w:rPr>
        <w:t>2 引用文献</w:t>
      </w:r>
      <w:r>
        <w:tab/>
      </w:r>
      <w:r>
        <w:fldChar w:fldCharType="begin"/>
      </w:r>
      <w:r>
        <w:instrText xml:space="preserve"> PAGEREF _Toc137854285 \h </w:instrText>
      </w:r>
      <w:r>
        <w:fldChar w:fldCharType="separate"/>
      </w:r>
      <w:r>
        <w:t>7</w:t>
      </w:r>
      <w:r>
        <w:fldChar w:fldCharType="end"/>
      </w:r>
      <w:r>
        <w:fldChar w:fldCharType="end"/>
      </w:r>
    </w:p>
    <w:p>
      <w:pPr>
        <w:pStyle w:val="16"/>
        <w:tabs>
          <w:tab w:val="right" w:leader="dot" w:pos="8483"/>
        </w:tabs>
        <w:rPr>
          <w:rFonts w:asciiTheme="minorHAnsi" w:hAnsiTheme="minorHAnsi" w:eastAsiaTheme="minorEastAsia" w:cstheme="minorBidi"/>
          <w:szCs w:val="22"/>
        </w:rPr>
      </w:pPr>
      <w:r>
        <w:fldChar w:fldCharType="begin"/>
      </w:r>
      <w:r>
        <w:instrText xml:space="preserve"> HYPERLINK \l "_Toc137854286" </w:instrText>
      </w:r>
      <w:r>
        <w:fldChar w:fldCharType="separate"/>
      </w:r>
      <w:r>
        <w:rPr>
          <w:rStyle w:val="25"/>
        </w:rPr>
        <w:t>3 术语和定义</w:t>
      </w:r>
      <w:r>
        <w:tab/>
      </w:r>
      <w:r>
        <w:fldChar w:fldCharType="begin"/>
      </w:r>
      <w:r>
        <w:instrText xml:space="preserve"> PAGEREF _Toc137854286 \h </w:instrText>
      </w:r>
      <w:r>
        <w:fldChar w:fldCharType="separate"/>
      </w:r>
      <w:r>
        <w:t>7</w:t>
      </w:r>
      <w:r>
        <w:fldChar w:fldCharType="end"/>
      </w:r>
      <w:r>
        <w:fldChar w:fldCharType="end"/>
      </w:r>
    </w:p>
    <w:p>
      <w:pPr>
        <w:pStyle w:val="16"/>
        <w:tabs>
          <w:tab w:val="right" w:leader="dot" w:pos="8483"/>
        </w:tabs>
        <w:rPr>
          <w:rFonts w:asciiTheme="minorHAnsi" w:hAnsiTheme="minorHAnsi" w:eastAsiaTheme="minorEastAsia" w:cstheme="minorBidi"/>
          <w:szCs w:val="22"/>
        </w:rPr>
      </w:pPr>
      <w:r>
        <w:fldChar w:fldCharType="begin"/>
      </w:r>
      <w:r>
        <w:instrText xml:space="preserve"> HYPERLINK \l "_Toc137854297" </w:instrText>
      </w:r>
      <w:r>
        <w:fldChar w:fldCharType="separate"/>
      </w:r>
      <w:r>
        <w:rPr>
          <w:rStyle w:val="25"/>
        </w:rPr>
        <w:t>4 概述</w:t>
      </w:r>
      <w:r>
        <w:tab/>
      </w:r>
      <w:r>
        <w:fldChar w:fldCharType="begin"/>
      </w:r>
      <w:r>
        <w:instrText xml:space="preserve"> PAGEREF _Toc137854297 \h </w:instrText>
      </w:r>
      <w:r>
        <w:fldChar w:fldCharType="separate"/>
      </w:r>
      <w:r>
        <w:t>8</w:t>
      </w:r>
      <w:r>
        <w:fldChar w:fldCharType="end"/>
      </w:r>
      <w:r>
        <w:fldChar w:fldCharType="end"/>
      </w:r>
    </w:p>
    <w:p>
      <w:pPr>
        <w:pStyle w:val="17"/>
        <w:tabs>
          <w:tab w:val="left" w:pos="1050"/>
          <w:tab w:val="right" w:leader="dot" w:pos="8483"/>
        </w:tabs>
        <w:rPr>
          <w:rFonts w:asciiTheme="minorHAnsi" w:hAnsiTheme="minorHAnsi" w:eastAsiaTheme="minorEastAsia" w:cstheme="minorBidi"/>
          <w:szCs w:val="22"/>
        </w:rPr>
      </w:pPr>
      <w:r>
        <w:fldChar w:fldCharType="begin"/>
      </w:r>
      <w:r>
        <w:instrText xml:space="preserve"> HYPERLINK \l "_Toc137854298" </w:instrText>
      </w:r>
      <w:r>
        <w:fldChar w:fldCharType="separate"/>
      </w:r>
      <w:r>
        <w:rPr>
          <w:rStyle w:val="25"/>
          <w:rFonts w:eastAsia="宋体-18030"/>
        </w:rPr>
        <w:t>4.1</w:t>
      </w:r>
      <w:r>
        <w:rPr>
          <w:rFonts w:asciiTheme="minorHAnsi" w:hAnsiTheme="minorHAnsi" w:eastAsiaTheme="minorEastAsia" w:cstheme="minorBidi"/>
          <w:szCs w:val="22"/>
        </w:rPr>
        <w:tab/>
      </w:r>
      <w:r>
        <w:rPr>
          <w:rStyle w:val="25"/>
          <w:rFonts w:eastAsia="宋体-18030"/>
        </w:rPr>
        <w:t>比对的作用</w:t>
      </w:r>
      <w:r>
        <w:tab/>
      </w:r>
      <w:r>
        <w:fldChar w:fldCharType="begin"/>
      </w:r>
      <w:r>
        <w:instrText xml:space="preserve"> PAGEREF _Toc137854298 \h </w:instrText>
      </w:r>
      <w:r>
        <w:fldChar w:fldCharType="separate"/>
      </w:r>
      <w:r>
        <w:t>8</w:t>
      </w:r>
      <w:r>
        <w:fldChar w:fldCharType="end"/>
      </w:r>
      <w:r>
        <w:fldChar w:fldCharType="end"/>
      </w:r>
    </w:p>
    <w:p>
      <w:pPr>
        <w:pStyle w:val="17"/>
        <w:tabs>
          <w:tab w:val="left" w:pos="1050"/>
          <w:tab w:val="right" w:leader="dot" w:pos="8483"/>
        </w:tabs>
        <w:rPr>
          <w:rFonts w:asciiTheme="minorHAnsi" w:hAnsiTheme="minorHAnsi" w:eastAsiaTheme="minorEastAsia" w:cstheme="minorBidi"/>
          <w:szCs w:val="22"/>
        </w:rPr>
      </w:pPr>
      <w:r>
        <w:fldChar w:fldCharType="begin"/>
      </w:r>
      <w:r>
        <w:instrText xml:space="preserve"> HYPERLINK \l "_Toc137854299" </w:instrText>
      </w:r>
      <w:r>
        <w:fldChar w:fldCharType="separate"/>
      </w:r>
      <w:r>
        <w:rPr>
          <w:rStyle w:val="25"/>
          <w:rFonts w:eastAsia="宋体-18030"/>
        </w:rPr>
        <w:t>4.2</w:t>
      </w:r>
      <w:r>
        <w:rPr>
          <w:rFonts w:asciiTheme="minorHAnsi" w:hAnsiTheme="minorHAnsi" w:eastAsiaTheme="minorEastAsia" w:cstheme="minorBidi"/>
          <w:szCs w:val="22"/>
        </w:rPr>
        <w:tab/>
      </w:r>
      <w:r>
        <w:rPr>
          <w:rStyle w:val="25"/>
          <w:rFonts w:eastAsia="宋体-18030"/>
        </w:rPr>
        <w:t>比对方法</w:t>
      </w:r>
      <w:r>
        <w:tab/>
      </w:r>
      <w:r>
        <w:fldChar w:fldCharType="begin"/>
      </w:r>
      <w:r>
        <w:instrText xml:space="preserve"> PAGEREF _Toc137854299 \h </w:instrText>
      </w:r>
      <w:r>
        <w:fldChar w:fldCharType="separate"/>
      </w:r>
      <w:r>
        <w:t>8</w:t>
      </w:r>
      <w:r>
        <w:fldChar w:fldCharType="end"/>
      </w:r>
      <w:r>
        <w:fldChar w:fldCharType="end"/>
      </w:r>
    </w:p>
    <w:p>
      <w:pPr>
        <w:pStyle w:val="16"/>
        <w:tabs>
          <w:tab w:val="right" w:leader="dot" w:pos="8483"/>
        </w:tabs>
        <w:rPr>
          <w:rFonts w:asciiTheme="minorHAnsi" w:hAnsiTheme="minorHAnsi" w:eastAsiaTheme="minorEastAsia" w:cstheme="minorBidi"/>
          <w:szCs w:val="22"/>
        </w:rPr>
      </w:pPr>
      <w:r>
        <w:fldChar w:fldCharType="begin"/>
      </w:r>
      <w:r>
        <w:instrText xml:space="preserve"> HYPERLINK \l "_Toc137854300" </w:instrText>
      </w:r>
      <w:r>
        <w:fldChar w:fldCharType="separate"/>
      </w:r>
      <w:r>
        <w:rPr>
          <w:rStyle w:val="25"/>
        </w:rPr>
        <w:t>5 组织</w:t>
      </w:r>
      <w:r>
        <w:tab/>
      </w:r>
      <w:r>
        <w:fldChar w:fldCharType="begin"/>
      </w:r>
      <w:r>
        <w:instrText xml:space="preserve"> PAGEREF _Toc137854300 \h </w:instrText>
      </w:r>
      <w:r>
        <w:fldChar w:fldCharType="separate"/>
      </w:r>
      <w:r>
        <w:t>8</w:t>
      </w:r>
      <w:r>
        <w:fldChar w:fldCharType="end"/>
      </w:r>
      <w:r>
        <w:fldChar w:fldCharType="end"/>
      </w:r>
    </w:p>
    <w:p>
      <w:pPr>
        <w:pStyle w:val="17"/>
        <w:tabs>
          <w:tab w:val="right" w:leader="dot" w:pos="8483"/>
        </w:tabs>
        <w:rPr>
          <w:rFonts w:asciiTheme="minorHAnsi" w:hAnsiTheme="minorHAnsi" w:eastAsiaTheme="minorEastAsia" w:cstheme="minorBidi"/>
          <w:szCs w:val="22"/>
        </w:rPr>
      </w:pPr>
      <w:r>
        <w:fldChar w:fldCharType="begin"/>
      </w:r>
      <w:r>
        <w:instrText xml:space="preserve"> HYPERLINK \l "_Toc137854301" </w:instrText>
      </w:r>
      <w:r>
        <w:fldChar w:fldCharType="separate"/>
      </w:r>
      <w:r>
        <w:rPr>
          <w:rStyle w:val="25"/>
          <w:rFonts w:eastAsia="宋体-18030"/>
        </w:rPr>
        <w:t>5.1 主导实验室</w:t>
      </w:r>
      <w:r>
        <w:tab/>
      </w:r>
      <w:r>
        <w:fldChar w:fldCharType="begin"/>
      </w:r>
      <w:r>
        <w:instrText xml:space="preserve"> PAGEREF _Toc137854301 \h </w:instrText>
      </w:r>
      <w:r>
        <w:fldChar w:fldCharType="separate"/>
      </w:r>
      <w:r>
        <w:t>8</w:t>
      </w:r>
      <w:r>
        <w:fldChar w:fldCharType="end"/>
      </w:r>
      <w:r>
        <w:fldChar w:fldCharType="end"/>
      </w:r>
    </w:p>
    <w:p>
      <w:pPr>
        <w:pStyle w:val="17"/>
        <w:tabs>
          <w:tab w:val="right" w:leader="dot" w:pos="8483"/>
        </w:tabs>
        <w:rPr>
          <w:rFonts w:asciiTheme="minorHAnsi" w:hAnsiTheme="minorHAnsi" w:eastAsiaTheme="minorEastAsia" w:cstheme="minorBidi"/>
          <w:szCs w:val="22"/>
        </w:rPr>
      </w:pPr>
      <w:r>
        <w:fldChar w:fldCharType="begin"/>
      </w:r>
      <w:r>
        <w:instrText xml:space="preserve"> HYPERLINK \l "_Toc137854302" </w:instrText>
      </w:r>
      <w:r>
        <w:fldChar w:fldCharType="separate"/>
      </w:r>
      <w:r>
        <w:rPr>
          <w:rStyle w:val="25"/>
          <w:rFonts w:eastAsia="宋体-18030"/>
        </w:rPr>
        <w:t>5.2 参比实验室</w:t>
      </w:r>
      <w:r>
        <w:tab/>
      </w:r>
      <w:r>
        <w:fldChar w:fldCharType="begin"/>
      </w:r>
      <w:r>
        <w:instrText xml:space="preserve"> PAGEREF _Toc137854302 \h </w:instrText>
      </w:r>
      <w:r>
        <w:fldChar w:fldCharType="separate"/>
      </w:r>
      <w:r>
        <w:t>9</w:t>
      </w:r>
      <w:r>
        <w:fldChar w:fldCharType="end"/>
      </w:r>
      <w:r>
        <w:fldChar w:fldCharType="end"/>
      </w:r>
    </w:p>
    <w:p>
      <w:pPr>
        <w:pStyle w:val="17"/>
        <w:tabs>
          <w:tab w:val="right" w:leader="dot" w:pos="8483"/>
        </w:tabs>
        <w:rPr>
          <w:rFonts w:asciiTheme="minorHAnsi" w:hAnsiTheme="minorHAnsi" w:eastAsiaTheme="minorEastAsia" w:cstheme="minorBidi"/>
          <w:szCs w:val="22"/>
        </w:rPr>
      </w:pPr>
      <w:r>
        <w:fldChar w:fldCharType="begin"/>
      </w:r>
      <w:r>
        <w:instrText xml:space="preserve"> HYPERLINK \l "_Toc137854303" </w:instrText>
      </w:r>
      <w:r>
        <w:fldChar w:fldCharType="separate"/>
      </w:r>
      <w:r>
        <w:rPr>
          <w:rStyle w:val="25"/>
          <w:rFonts w:eastAsia="宋体-18030"/>
        </w:rPr>
        <w:t>5.3 专家组</w:t>
      </w:r>
      <w:r>
        <w:tab/>
      </w:r>
      <w:r>
        <w:fldChar w:fldCharType="begin"/>
      </w:r>
      <w:r>
        <w:instrText xml:space="preserve"> PAGEREF _Toc137854303 \h </w:instrText>
      </w:r>
      <w:r>
        <w:fldChar w:fldCharType="separate"/>
      </w:r>
      <w:r>
        <w:t>10</w:t>
      </w:r>
      <w:r>
        <w:fldChar w:fldCharType="end"/>
      </w:r>
      <w:r>
        <w:fldChar w:fldCharType="end"/>
      </w:r>
    </w:p>
    <w:p>
      <w:pPr>
        <w:pStyle w:val="16"/>
        <w:tabs>
          <w:tab w:val="right" w:leader="dot" w:pos="8483"/>
        </w:tabs>
        <w:rPr>
          <w:rFonts w:asciiTheme="minorHAnsi" w:hAnsiTheme="minorHAnsi" w:eastAsiaTheme="minorEastAsia" w:cstheme="minorBidi"/>
          <w:szCs w:val="22"/>
        </w:rPr>
      </w:pPr>
      <w:r>
        <w:fldChar w:fldCharType="begin"/>
      </w:r>
      <w:r>
        <w:instrText xml:space="preserve"> HYPERLINK \l "_Toc137854304" </w:instrText>
      </w:r>
      <w:r>
        <w:fldChar w:fldCharType="separate"/>
      </w:r>
      <w:r>
        <w:rPr>
          <w:rStyle w:val="25"/>
        </w:rPr>
        <w:t>6  比对准备</w:t>
      </w:r>
      <w:r>
        <w:tab/>
      </w:r>
      <w:r>
        <w:fldChar w:fldCharType="begin"/>
      </w:r>
      <w:r>
        <w:instrText xml:space="preserve"> PAGEREF _Toc137854304 \h </w:instrText>
      </w:r>
      <w:r>
        <w:fldChar w:fldCharType="separate"/>
      </w:r>
      <w:r>
        <w:t>10</w:t>
      </w:r>
      <w:r>
        <w:fldChar w:fldCharType="end"/>
      </w:r>
      <w:r>
        <w:fldChar w:fldCharType="end"/>
      </w:r>
    </w:p>
    <w:p>
      <w:pPr>
        <w:pStyle w:val="17"/>
        <w:tabs>
          <w:tab w:val="right" w:leader="dot" w:pos="8483"/>
        </w:tabs>
        <w:rPr>
          <w:rFonts w:asciiTheme="minorHAnsi" w:hAnsiTheme="minorHAnsi" w:eastAsiaTheme="minorEastAsia" w:cstheme="minorBidi"/>
          <w:szCs w:val="22"/>
        </w:rPr>
      </w:pPr>
      <w:r>
        <w:fldChar w:fldCharType="begin"/>
      </w:r>
      <w:r>
        <w:instrText xml:space="preserve"> HYPERLINK \l "_Toc137854305" </w:instrText>
      </w:r>
      <w:r>
        <w:fldChar w:fldCharType="separate"/>
      </w:r>
      <w:r>
        <w:rPr>
          <w:rStyle w:val="25"/>
          <w:rFonts w:eastAsia="宋体-18030"/>
        </w:rPr>
        <w:t>6.1 传递标准的选择及性能评估</w:t>
      </w:r>
      <w:r>
        <w:tab/>
      </w:r>
      <w:r>
        <w:fldChar w:fldCharType="begin"/>
      </w:r>
      <w:r>
        <w:instrText xml:space="preserve"> PAGEREF _Toc137854305 \h </w:instrText>
      </w:r>
      <w:r>
        <w:fldChar w:fldCharType="separate"/>
      </w:r>
      <w:r>
        <w:t>10</w:t>
      </w:r>
      <w:r>
        <w:fldChar w:fldCharType="end"/>
      </w:r>
      <w:r>
        <w:fldChar w:fldCharType="end"/>
      </w:r>
    </w:p>
    <w:p>
      <w:pPr>
        <w:pStyle w:val="17"/>
        <w:tabs>
          <w:tab w:val="right" w:leader="dot" w:pos="8483"/>
        </w:tabs>
        <w:rPr>
          <w:rFonts w:asciiTheme="minorHAnsi" w:hAnsiTheme="minorHAnsi" w:eastAsiaTheme="minorEastAsia" w:cstheme="minorBidi"/>
          <w:szCs w:val="22"/>
        </w:rPr>
      </w:pPr>
      <w:r>
        <w:fldChar w:fldCharType="begin"/>
      </w:r>
      <w:r>
        <w:instrText xml:space="preserve"> HYPERLINK \l "_Toc137854306" </w:instrText>
      </w:r>
      <w:r>
        <w:fldChar w:fldCharType="separate"/>
      </w:r>
      <w:r>
        <w:rPr>
          <w:rStyle w:val="25"/>
          <w:rFonts w:eastAsia="宋体-18030"/>
        </w:rPr>
        <w:t>6.2 传递方式</w:t>
      </w:r>
      <w:r>
        <w:tab/>
      </w:r>
      <w:r>
        <w:fldChar w:fldCharType="begin"/>
      </w:r>
      <w:r>
        <w:instrText xml:space="preserve"> PAGEREF _Toc137854306 \h </w:instrText>
      </w:r>
      <w:r>
        <w:fldChar w:fldCharType="separate"/>
      </w:r>
      <w:r>
        <w:t>10</w:t>
      </w:r>
      <w:r>
        <w:fldChar w:fldCharType="end"/>
      </w:r>
      <w:r>
        <w:fldChar w:fldCharType="end"/>
      </w:r>
    </w:p>
    <w:p>
      <w:pPr>
        <w:pStyle w:val="17"/>
        <w:tabs>
          <w:tab w:val="right" w:leader="dot" w:pos="8483"/>
        </w:tabs>
        <w:rPr>
          <w:rFonts w:asciiTheme="minorHAnsi" w:hAnsiTheme="minorHAnsi" w:eastAsiaTheme="minorEastAsia" w:cstheme="minorBidi"/>
          <w:szCs w:val="22"/>
        </w:rPr>
      </w:pPr>
      <w:r>
        <w:fldChar w:fldCharType="begin"/>
      </w:r>
      <w:r>
        <w:instrText xml:space="preserve"> HYPERLINK \l "_Toc137854307" </w:instrText>
      </w:r>
      <w:r>
        <w:fldChar w:fldCharType="separate"/>
      </w:r>
      <w:r>
        <w:rPr>
          <w:rStyle w:val="25"/>
          <w:rFonts w:eastAsia="宋体-18030"/>
        </w:rPr>
        <w:t>6.3 比对实验方法</w:t>
      </w:r>
      <w:r>
        <w:tab/>
      </w:r>
      <w:r>
        <w:fldChar w:fldCharType="begin"/>
      </w:r>
      <w:r>
        <w:instrText xml:space="preserve"> PAGEREF _Toc137854307 \h </w:instrText>
      </w:r>
      <w:r>
        <w:fldChar w:fldCharType="separate"/>
      </w:r>
      <w:r>
        <w:t>10</w:t>
      </w:r>
      <w:r>
        <w:fldChar w:fldCharType="end"/>
      </w:r>
      <w:r>
        <w:fldChar w:fldCharType="end"/>
      </w:r>
    </w:p>
    <w:p>
      <w:pPr>
        <w:pStyle w:val="17"/>
        <w:tabs>
          <w:tab w:val="right" w:leader="dot" w:pos="8483"/>
        </w:tabs>
        <w:rPr>
          <w:rFonts w:asciiTheme="minorHAnsi" w:hAnsiTheme="minorHAnsi" w:eastAsiaTheme="minorEastAsia" w:cstheme="minorBidi"/>
          <w:szCs w:val="22"/>
        </w:rPr>
      </w:pPr>
      <w:r>
        <w:fldChar w:fldCharType="begin"/>
      </w:r>
      <w:r>
        <w:instrText xml:space="preserve"> HYPERLINK \l "_Toc137854308" </w:instrText>
      </w:r>
      <w:r>
        <w:fldChar w:fldCharType="separate"/>
      </w:r>
      <w:r>
        <w:rPr>
          <w:rStyle w:val="25"/>
          <w:rFonts w:eastAsia="宋体-18030"/>
        </w:rPr>
        <w:t>6.4 参考值的确定方法</w:t>
      </w:r>
      <w:r>
        <w:tab/>
      </w:r>
      <w:r>
        <w:fldChar w:fldCharType="begin"/>
      </w:r>
      <w:r>
        <w:instrText xml:space="preserve"> PAGEREF _Toc137854308 \h </w:instrText>
      </w:r>
      <w:r>
        <w:fldChar w:fldCharType="separate"/>
      </w:r>
      <w:r>
        <w:t>10</w:t>
      </w:r>
      <w:r>
        <w:fldChar w:fldCharType="end"/>
      </w:r>
      <w:r>
        <w:fldChar w:fldCharType="end"/>
      </w:r>
    </w:p>
    <w:p>
      <w:pPr>
        <w:pStyle w:val="17"/>
        <w:tabs>
          <w:tab w:val="right" w:leader="dot" w:pos="8483"/>
        </w:tabs>
        <w:rPr>
          <w:rFonts w:asciiTheme="minorHAnsi" w:hAnsiTheme="minorHAnsi" w:eastAsiaTheme="minorEastAsia" w:cstheme="minorBidi"/>
          <w:szCs w:val="22"/>
        </w:rPr>
      </w:pPr>
      <w:r>
        <w:fldChar w:fldCharType="begin"/>
      </w:r>
      <w:r>
        <w:instrText xml:space="preserve"> HYPERLINK \l "_Toc137854309" </w:instrText>
      </w:r>
      <w:r>
        <w:fldChar w:fldCharType="separate"/>
      </w:r>
      <w:r>
        <w:rPr>
          <w:rStyle w:val="25"/>
          <w:rFonts w:eastAsia="宋体-18030"/>
        </w:rPr>
        <w:t>6.5 比对实施方案</w:t>
      </w:r>
      <w:r>
        <w:tab/>
      </w:r>
      <w:r>
        <w:fldChar w:fldCharType="begin"/>
      </w:r>
      <w:r>
        <w:instrText xml:space="preserve"> PAGEREF _Toc137854309 \h </w:instrText>
      </w:r>
      <w:r>
        <w:fldChar w:fldCharType="separate"/>
      </w:r>
      <w:r>
        <w:t>11</w:t>
      </w:r>
      <w:r>
        <w:fldChar w:fldCharType="end"/>
      </w:r>
      <w:r>
        <w:fldChar w:fldCharType="end"/>
      </w:r>
    </w:p>
    <w:p>
      <w:pPr>
        <w:pStyle w:val="16"/>
        <w:tabs>
          <w:tab w:val="right" w:leader="dot" w:pos="8483"/>
        </w:tabs>
        <w:rPr>
          <w:rFonts w:asciiTheme="minorHAnsi" w:hAnsiTheme="minorHAnsi" w:eastAsiaTheme="minorEastAsia" w:cstheme="minorBidi"/>
          <w:szCs w:val="22"/>
        </w:rPr>
      </w:pPr>
      <w:r>
        <w:fldChar w:fldCharType="begin"/>
      </w:r>
      <w:r>
        <w:instrText xml:space="preserve"> HYPERLINK \l "_Toc137854310" </w:instrText>
      </w:r>
      <w:r>
        <w:fldChar w:fldCharType="separate"/>
      </w:r>
      <w:r>
        <w:rPr>
          <w:rStyle w:val="25"/>
        </w:rPr>
        <w:t>7  比对实施</w:t>
      </w:r>
      <w:r>
        <w:tab/>
      </w:r>
      <w:r>
        <w:fldChar w:fldCharType="begin"/>
      </w:r>
      <w:r>
        <w:instrText xml:space="preserve"> PAGEREF _Toc137854310 \h </w:instrText>
      </w:r>
      <w:r>
        <w:fldChar w:fldCharType="separate"/>
      </w:r>
      <w:r>
        <w:t>11</w:t>
      </w:r>
      <w:r>
        <w:fldChar w:fldCharType="end"/>
      </w:r>
      <w:r>
        <w:fldChar w:fldCharType="end"/>
      </w:r>
    </w:p>
    <w:p>
      <w:pPr>
        <w:pStyle w:val="17"/>
        <w:tabs>
          <w:tab w:val="right" w:leader="dot" w:pos="8483"/>
        </w:tabs>
        <w:rPr>
          <w:rFonts w:asciiTheme="minorHAnsi" w:hAnsiTheme="minorHAnsi" w:eastAsiaTheme="minorEastAsia" w:cstheme="minorBidi"/>
          <w:szCs w:val="22"/>
        </w:rPr>
      </w:pPr>
      <w:r>
        <w:fldChar w:fldCharType="begin"/>
      </w:r>
      <w:r>
        <w:instrText xml:space="preserve"> HYPERLINK \l "_Toc137854311" </w:instrText>
      </w:r>
      <w:r>
        <w:fldChar w:fldCharType="separate"/>
      </w:r>
      <w:r>
        <w:rPr>
          <w:rStyle w:val="25"/>
          <w:rFonts w:eastAsia="宋体-18030"/>
        </w:rPr>
        <w:t>7.1 比对实施方案讨论</w:t>
      </w:r>
      <w:r>
        <w:tab/>
      </w:r>
      <w:r>
        <w:fldChar w:fldCharType="begin"/>
      </w:r>
      <w:r>
        <w:instrText xml:space="preserve"> PAGEREF _Toc137854311 \h </w:instrText>
      </w:r>
      <w:r>
        <w:fldChar w:fldCharType="separate"/>
      </w:r>
      <w:r>
        <w:t>11</w:t>
      </w:r>
      <w:r>
        <w:fldChar w:fldCharType="end"/>
      </w:r>
      <w:r>
        <w:fldChar w:fldCharType="end"/>
      </w:r>
    </w:p>
    <w:p>
      <w:pPr>
        <w:pStyle w:val="17"/>
        <w:tabs>
          <w:tab w:val="right" w:leader="dot" w:pos="8483"/>
        </w:tabs>
        <w:rPr>
          <w:rFonts w:asciiTheme="minorHAnsi" w:hAnsiTheme="minorHAnsi" w:eastAsiaTheme="minorEastAsia" w:cstheme="minorBidi"/>
          <w:szCs w:val="22"/>
        </w:rPr>
      </w:pPr>
      <w:r>
        <w:fldChar w:fldCharType="begin"/>
      </w:r>
      <w:r>
        <w:instrText xml:space="preserve"> HYPERLINK \l "_Toc137854312" </w:instrText>
      </w:r>
      <w:r>
        <w:fldChar w:fldCharType="separate"/>
      </w:r>
      <w:r>
        <w:rPr>
          <w:rStyle w:val="25"/>
          <w:rFonts w:eastAsia="宋体-18030"/>
        </w:rPr>
        <w:t>7.2 比对实验</w:t>
      </w:r>
      <w:r>
        <w:tab/>
      </w:r>
      <w:r>
        <w:fldChar w:fldCharType="begin"/>
      </w:r>
      <w:r>
        <w:instrText xml:space="preserve"> PAGEREF _Toc137854312 \h </w:instrText>
      </w:r>
      <w:r>
        <w:fldChar w:fldCharType="separate"/>
      </w:r>
      <w:r>
        <w:t>11</w:t>
      </w:r>
      <w:r>
        <w:fldChar w:fldCharType="end"/>
      </w:r>
      <w:r>
        <w:fldChar w:fldCharType="end"/>
      </w:r>
    </w:p>
    <w:p>
      <w:pPr>
        <w:pStyle w:val="17"/>
        <w:tabs>
          <w:tab w:val="right" w:leader="dot" w:pos="8483"/>
        </w:tabs>
        <w:rPr>
          <w:rFonts w:asciiTheme="minorHAnsi" w:hAnsiTheme="minorHAnsi" w:eastAsiaTheme="minorEastAsia" w:cstheme="minorBidi"/>
          <w:szCs w:val="22"/>
        </w:rPr>
      </w:pPr>
      <w:r>
        <w:fldChar w:fldCharType="begin"/>
      </w:r>
      <w:r>
        <w:instrText xml:space="preserve"> HYPERLINK \l "_Toc137854313" </w:instrText>
      </w:r>
      <w:r>
        <w:fldChar w:fldCharType="separate"/>
      </w:r>
      <w:r>
        <w:rPr>
          <w:rStyle w:val="25"/>
          <w:rFonts w:eastAsia="宋体-18030"/>
        </w:rPr>
        <w:t>7.3 比对资料提交</w:t>
      </w:r>
      <w:r>
        <w:tab/>
      </w:r>
      <w:r>
        <w:fldChar w:fldCharType="begin"/>
      </w:r>
      <w:r>
        <w:instrText xml:space="preserve"> PAGEREF _Toc137854313 \h </w:instrText>
      </w:r>
      <w:r>
        <w:fldChar w:fldCharType="separate"/>
      </w:r>
      <w:r>
        <w:t>11</w:t>
      </w:r>
      <w:r>
        <w:fldChar w:fldCharType="end"/>
      </w:r>
      <w:r>
        <w:fldChar w:fldCharType="end"/>
      </w:r>
    </w:p>
    <w:p>
      <w:pPr>
        <w:pStyle w:val="16"/>
        <w:tabs>
          <w:tab w:val="right" w:leader="dot" w:pos="8483"/>
        </w:tabs>
        <w:rPr>
          <w:rFonts w:asciiTheme="minorHAnsi" w:hAnsiTheme="minorHAnsi" w:eastAsiaTheme="minorEastAsia" w:cstheme="minorBidi"/>
          <w:szCs w:val="22"/>
        </w:rPr>
      </w:pPr>
      <w:r>
        <w:fldChar w:fldCharType="begin"/>
      </w:r>
      <w:r>
        <w:instrText xml:space="preserve"> HYPERLINK \l "_Toc137854314" </w:instrText>
      </w:r>
      <w:r>
        <w:fldChar w:fldCharType="separate"/>
      </w:r>
      <w:r>
        <w:rPr>
          <w:rStyle w:val="25"/>
        </w:rPr>
        <w:t>8 比对数据处理和报告</w:t>
      </w:r>
      <w:r>
        <w:tab/>
      </w:r>
      <w:r>
        <w:fldChar w:fldCharType="begin"/>
      </w:r>
      <w:r>
        <w:instrText xml:space="preserve"> PAGEREF _Toc137854314 \h </w:instrText>
      </w:r>
      <w:r>
        <w:fldChar w:fldCharType="separate"/>
      </w:r>
      <w:r>
        <w:t>12</w:t>
      </w:r>
      <w:r>
        <w:fldChar w:fldCharType="end"/>
      </w:r>
      <w:r>
        <w:fldChar w:fldCharType="end"/>
      </w:r>
    </w:p>
    <w:p>
      <w:pPr>
        <w:pStyle w:val="17"/>
        <w:tabs>
          <w:tab w:val="right" w:leader="dot" w:pos="8483"/>
        </w:tabs>
        <w:rPr>
          <w:rFonts w:asciiTheme="minorHAnsi" w:hAnsiTheme="minorHAnsi" w:eastAsiaTheme="minorEastAsia" w:cstheme="minorBidi"/>
          <w:szCs w:val="22"/>
        </w:rPr>
      </w:pPr>
      <w:r>
        <w:fldChar w:fldCharType="begin"/>
      </w:r>
      <w:r>
        <w:instrText xml:space="preserve"> HYPERLINK \l "_Toc137854315" </w:instrText>
      </w:r>
      <w:r>
        <w:fldChar w:fldCharType="separate"/>
      </w:r>
      <w:r>
        <w:rPr>
          <w:rStyle w:val="25"/>
          <w:rFonts w:eastAsia="宋体-18030"/>
        </w:rPr>
        <w:t>8.1 比对资料的检查</w:t>
      </w:r>
      <w:r>
        <w:tab/>
      </w:r>
      <w:r>
        <w:fldChar w:fldCharType="begin"/>
      </w:r>
      <w:r>
        <w:instrText xml:space="preserve"> PAGEREF _Toc137854315 \h </w:instrText>
      </w:r>
      <w:r>
        <w:fldChar w:fldCharType="separate"/>
      </w:r>
      <w:r>
        <w:t>12</w:t>
      </w:r>
      <w:r>
        <w:fldChar w:fldCharType="end"/>
      </w:r>
      <w:r>
        <w:fldChar w:fldCharType="end"/>
      </w:r>
    </w:p>
    <w:p>
      <w:pPr>
        <w:pStyle w:val="17"/>
        <w:tabs>
          <w:tab w:val="right" w:leader="dot" w:pos="8483"/>
        </w:tabs>
        <w:rPr>
          <w:rFonts w:asciiTheme="minorHAnsi" w:hAnsiTheme="minorHAnsi" w:eastAsiaTheme="minorEastAsia" w:cstheme="minorBidi"/>
          <w:szCs w:val="22"/>
        </w:rPr>
      </w:pPr>
      <w:r>
        <w:fldChar w:fldCharType="begin"/>
      </w:r>
      <w:r>
        <w:instrText xml:space="preserve"> HYPERLINK \l "_Toc137854316" </w:instrText>
      </w:r>
      <w:r>
        <w:fldChar w:fldCharType="separate"/>
      </w:r>
      <w:r>
        <w:rPr>
          <w:rStyle w:val="25"/>
          <w:rFonts w:eastAsia="宋体-18030"/>
        </w:rPr>
        <w:t>8.2 数据的修正及统计</w:t>
      </w:r>
      <w:r>
        <w:tab/>
      </w:r>
      <w:r>
        <w:fldChar w:fldCharType="begin"/>
      </w:r>
      <w:r>
        <w:instrText xml:space="preserve"> PAGEREF _Toc137854316 \h </w:instrText>
      </w:r>
      <w:r>
        <w:fldChar w:fldCharType="separate"/>
      </w:r>
      <w:r>
        <w:t>12</w:t>
      </w:r>
      <w:r>
        <w:fldChar w:fldCharType="end"/>
      </w:r>
      <w:r>
        <w:fldChar w:fldCharType="end"/>
      </w:r>
    </w:p>
    <w:p>
      <w:pPr>
        <w:pStyle w:val="17"/>
        <w:tabs>
          <w:tab w:val="right" w:leader="dot" w:pos="8483"/>
        </w:tabs>
        <w:rPr>
          <w:rFonts w:asciiTheme="minorHAnsi" w:hAnsiTheme="minorHAnsi" w:eastAsiaTheme="minorEastAsia" w:cstheme="minorBidi"/>
          <w:szCs w:val="22"/>
        </w:rPr>
      </w:pPr>
      <w:r>
        <w:fldChar w:fldCharType="begin"/>
      </w:r>
      <w:r>
        <w:instrText xml:space="preserve"> HYPERLINK \l "_Toc137854317" </w:instrText>
      </w:r>
      <w:r>
        <w:fldChar w:fldCharType="separate"/>
      </w:r>
      <w:r>
        <w:rPr>
          <w:rStyle w:val="25"/>
          <w:rFonts w:eastAsia="宋体-18030"/>
        </w:rPr>
        <w:t>8.3 参考值的确定</w:t>
      </w:r>
      <w:r>
        <w:tab/>
      </w:r>
      <w:r>
        <w:fldChar w:fldCharType="begin"/>
      </w:r>
      <w:r>
        <w:instrText xml:space="preserve"> PAGEREF _Toc137854317 \h </w:instrText>
      </w:r>
      <w:r>
        <w:fldChar w:fldCharType="separate"/>
      </w:r>
      <w:r>
        <w:t>12</w:t>
      </w:r>
      <w:r>
        <w:fldChar w:fldCharType="end"/>
      </w:r>
      <w:r>
        <w:fldChar w:fldCharType="end"/>
      </w:r>
    </w:p>
    <w:p>
      <w:pPr>
        <w:pStyle w:val="17"/>
        <w:tabs>
          <w:tab w:val="right" w:leader="dot" w:pos="8483"/>
        </w:tabs>
        <w:rPr>
          <w:rFonts w:asciiTheme="minorHAnsi" w:hAnsiTheme="minorHAnsi" w:eastAsiaTheme="minorEastAsia" w:cstheme="minorBidi"/>
          <w:szCs w:val="22"/>
        </w:rPr>
      </w:pPr>
      <w:r>
        <w:fldChar w:fldCharType="begin"/>
      </w:r>
      <w:r>
        <w:instrText xml:space="preserve"> HYPERLINK \l "_Toc137854318" </w:instrText>
      </w:r>
      <w:r>
        <w:fldChar w:fldCharType="separate"/>
      </w:r>
      <w:r>
        <w:rPr>
          <w:rStyle w:val="25"/>
          <w:rFonts w:eastAsia="宋体-18030"/>
        </w:rPr>
        <w:t>8.4 对参比实验室比对结果的处理与评价</w:t>
      </w:r>
      <w:r>
        <w:tab/>
      </w:r>
      <w:r>
        <w:fldChar w:fldCharType="begin"/>
      </w:r>
      <w:r>
        <w:instrText xml:space="preserve"> PAGEREF _Toc137854318 \h </w:instrText>
      </w:r>
      <w:r>
        <w:fldChar w:fldCharType="separate"/>
      </w:r>
      <w:r>
        <w:t>12</w:t>
      </w:r>
      <w:r>
        <w:fldChar w:fldCharType="end"/>
      </w:r>
      <w:r>
        <w:fldChar w:fldCharType="end"/>
      </w:r>
    </w:p>
    <w:p>
      <w:pPr>
        <w:pStyle w:val="17"/>
        <w:tabs>
          <w:tab w:val="right" w:leader="dot" w:pos="8483"/>
        </w:tabs>
        <w:rPr>
          <w:rFonts w:asciiTheme="minorHAnsi" w:hAnsiTheme="minorHAnsi" w:eastAsiaTheme="minorEastAsia" w:cstheme="minorBidi"/>
          <w:szCs w:val="22"/>
        </w:rPr>
      </w:pPr>
      <w:r>
        <w:fldChar w:fldCharType="begin"/>
      </w:r>
      <w:r>
        <w:instrText xml:space="preserve"> HYPERLINK \l "_Toc137854319" </w:instrText>
      </w:r>
      <w:r>
        <w:fldChar w:fldCharType="separate"/>
      </w:r>
      <w:r>
        <w:rPr>
          <w:rStyle w:val="25"/>
          <w:rFonts w:eastAsia="宋体-18030"/>
        </w:rPr>
        <w:t>8.5 异常或可疑结果的确认</w:t>
      </w:r>
      <w:r>
        <w:tab/>
      </w:r>
      <w:r>
        <w:fldChar w:fldCharType="begin"/>
      </w:r>
      <w:r>
        <w:instrText xml:space="preserve"> PAGEREF _Toc137854319 \h </w:instrText>
      </w:r>
      <w:r>
        <w:fldChar w:fldCharType="separate"/>
      </w:r>
      <w:r>
        <w:t>13</w:t>
      </w:r>
      <w:r>
        <w:fldChar w:fldCharType="end"/>
      </w:r>
      <w:r>
        <w:fldChar w:fldCharType="end"/>
      </w:r>
    </w:p>
    <w:p>
      <w:pPr>
        <w:pStyle w:val="17"/>
        <w:tabs>
          <w:tab w:val="right" w:leader="dot" w:pos="8483"/>
        </w:tabs>
        <w:rPr>
          <w:rFonts w:asciiTheme="minorHAnsi" w:hAnsiTheme="minorHAnsi" w:eastAsiaTheme="minorEastAsia" w:cstheme="minorBidi"/>
          <w:szCs w:val="22"/>
        </w:rPr>
      </w:pPr>
      <w:r>
        <w:fldChar w:fldCharType="begin"/>
      </w:r>
      <w:r>
        <w:instrText xml:space="preserve"> HYPERLINK \l "_Toc137854320" </w:instrText>
      </w:r>
      <w:r>
        <w:fldChar w:fldCharType="separate"/>
      </w:r>
      <w:r>
        <w:rPr>
          <w:rStyle w:val="25"/>
          <w:rFonts w:eastAsia="宋体-18030"/>
        </w:rPr>
        <w:t>8.6 数据的保存</w:t>
      </w:r>
      <w:r>
        <w:tab/>
      </w:r>
      <w:r>
        <w:fldChar w:fldCharType="begin"/>
      </w:r>
      <w:r>
        <w:instrText xml:space="preserve"> PAGEREF _Toc137854320 \h </w:instrText>
      </w:r>
      <w:r>
        <w:fldChar w:fldCharType="separate"/>
      </w:r>
      <w:r>
        <w:t>13</w:t>
      </w:r>
      <w:r>
        <w:fldChar w:fldCharType="end"/>
      </w:r>
      <w:r>
        <w:fldChar w:fldCharType="end"/>
      </w:r>
    </w:p>
    <w:p>
      <w:pPr>
        <w:pStyle w:val="17"/>
        <w:tabs>
          <w:tab w:val="right" w:leader="dot" w:pos="8483"/>
        </w:tabs>
        <w:rPr>
          <w:rFonts w:asciiTheme="minorHAnsi" w:hAnsiTheme="minorHAnsi" w:eastAsiaTheme="minorEastAsia" w:cstheme="minorBidi"/>
          <w:szCs w:val="22"/>
        </w:rPr>
      </w:pPr>
      <w:r>
        <w:fldChar w:fldCharType="begin"/>
      </w:r>
      <w:r>
        <w:instrText xml:space="preserve"> HYPERLINK \l "_Toc137854321" </w:instrText>
      </w:r>
      <w:r>
        <w:fldChar w:fldCharType="separate"/>
      </w:r>
      <w:r>
        <w:rPr>
          <w:rStyle w:val="25"/>
          <w:rFonts w:eastAsia="宋体-18030"/>
        </w:rPr>
        <w:t>8.7 数据的保密</w:t>
      </w:r>
      <w:r>
        <w:tab/>
      </w:r>
      <w:r>
        <w:fldChar w:fldCharType="begin"/>
      </w:r>
      <w:r>
        <w:instrText xml:space="preserve"> PAGEREF _Toc137854321 \h </w:instrText>
      </w:r>
      <w:r>
        <w:fldChar w:fldCharType="separate"/>
      </w:r>
      <w:r>
        <w:t>13</w:t>
      </w:r>
      <w:r>
        <w:fldChar w:fldCharType="end"/>
      </w:r>
      <w:r>
        <w:fldChar w:fldCharType="end"/>
      </w:r>
    </w:p>
    <w:p>
      <w:pPr>
        <w:pStyle w:val="17"/>
        <w:tabs>
          <w:tab w:val="right" w:leader="dot" w:pos="8483"/>
        </w:tabs>
        <w:rPr>
          <w:rFonts w:asciiTheme="minorHAnsi" w:hAnsiTheme="minorHAnsi" w:eastAsiaTheme="minorEastAsia" w:cstheme="minorBidi"/>
          <w:szCs w:val="22"/>
        </w:rPr>
      </w:pPr>
      <w:r>
        <w:fldChar w:fldCharType="begin"/>
      </w:r>
      <w:r>
        <w:instrText xml:space="preserve"> HYPERLINK \l "_Toc137854322" </w:instrText>
      </w:r>
      <w:r>
        <w:fldChar w:fldCharType="separate"/>
      </w:r>
      <w:r>
        <w:rPr>
          <w:rStyle w:val="25"/>
          <w:rFonts w:eastAsia="宋体-18030"/>
        </w:rPr>
        <w:t>8.8 比对总结报告的起草和修改</w:t>
      </w:r>
      <w:r>
        <w:tab/>
      </w:r>
      <w:r>
        <w:fldChar w:fldCharType="begin"/>
      </w:r>
      <w:r>
        <w:instrText xml:space="preserve"> PAGEREF _Toc137854322 \h </w:instrText>
      </w:r>
      <w:r>
        <w:fldChar w:fldCharType="separate"/>
      </w:r>
      <w:r>
        <w:t>13</w:t>
      </w:r>
      <w:r>
        <w:fldChar w:fldCharType="end"/>
      </w:r>
      <w:r>
        <w:fldChar w:fldCharType="end"/>
      </w:r>
    </w:p>
    <w:p>
      <w:pPr>
        <w:pStyle w:val="17"/>
        <w:tabs>
          <w:tab w:val="right" w:leader="dot" w:pos="8483"/>
        </w:tabs>
        <w:rPr>
          <w:rFonts w:asciiTheme="minorHAnsi" w:hAnsiTheme="minorHAnsi" w:eastAsiaTheme="minorEastAsia" w:cstheme="minorBidi"/>
          <w:szCs w:val="22"/>
        </w:rPr>
      </w:pPr>
      <w:r>
        <w:fldChar w:fldCharType="begin"/>
      </w:r>
      <w:r>
        <w:instrText xml:space="preserve"> HYPERLINK \l "_Toc137854323" </w:instrText>
      </w:r>
      <w:r>
        <w:fldChar w:fldCharType="separate"/>
      </w:r>
      <w:r>
        <w:rPr>
          <w:rStyle w:val="25"/>
          <w:rFonts w:eastAsia="宋体-18030"/>
        </w:rPr>
        <w:t>8.9 比对总结</w:t>
      </w:r>
      <w:r>
        <w:tab/>
      </w:r>
      <w:r>
        <w:fldChar w:fldCharType="begin"/>
      </w:r>
      <w:r>
        <w:instrText xml:space="preserve"> PAGEREF _Toc137854323 \h </w:instrText>
      </w:r>
      <w:r>
        <w:fldChar w:fldCharType="separate"/>
      </w:r>
      <w:r>
        <w:t>13</w:t>
      </w:r>
      <w:r>
        <w:fldChar w:fldCharType="end"/>
      </w:r>
      <w:r>
        <w:fldChar w:fldCharType="end"/>
      </w:r>
    </w:p>
    <w:p>
      <w:pPr>
        <w:pStyle w:val="16"/>
        <w:tabs>
          <w:tab w:val="right" w:leader="dot" w:pos="8483"/>
        </w:tabs>
        <w:rPr>
          <w:rFonts w:asciiTheme="minorHAnsi" w:hAnsiTheme="minorHAnsi" w:eastAsiaTheme="minorEastAsia" w:cstheme="minorBidi"/>
          <w:szCs w:val="22"/>
        </w:rPr>
      </w:pPr>
      <w:r>
        <w:fldChar w:fldCharType="begin"/>
      </w:r>
      <w:r>
        <w:instrText xml:space="preserve"> HYPERLINK \l "_Toc137854324" </w:instrText>
      </w:r>
      <w:r>
        <w:fldChar w:fldCharType="separate"/>
      </w:r>
      <w:r>
        <w:rPr>
          <w:rStyle w:val="25"/>
        </w:rPr>
        <w:t>附录A  传递标准</w:t>
      </w:r>
      <w:r>
        <w:tab/>
      </w:r>
      <w:r>
        <w:fldChar w:fldCharType="begin"/>
      </w:r>
      <w:r>
        <w:instrText xml:space="preserve"> PAGEREF _Toc137854324 \h </w:instrText>
      </w:r>
      <w:r>
        <w:fldChar w:fldCharType="separate"/>
      </w:r>
      <w:r>
        <w:t>15</w:t>
      </w:r>
      <w:r>
        <w:fldChar w:fldCharType="end"/>
      </w:r>
      <w:r>
        <w:fldChar w:fldCharType="end"/>
      </w:r>
    </w:p>
    <w:p>
      <w:pPr>
        <w:pStyle w:val="16"/>
        <w:tabs>
          <w:tab w:val="right" w:leader="dot" w:pos="8483"/>
        </w:tabs>
        <w:rPr>
          <w:rFonts w:asciiTheme="minorHAnsi" w:hAnsiTheme="minorHAnsi" w:eastAsiaTheme="minorEastAsia" w:cstheme="minorBidi"/>
          <w:szCs w:val="22"/>
        </w:rPr>
      </w:pPr>
      <w:r>
        <w:fldChar w:fldCharType="begin"/>
      </w:r>
      <w:r>
        <w:instrText xml:space="preserve"> HYPERLINK \l "_Toc137854330" </w:instrText>
      </w:r>
      <w:r>
        <w:fldChar w:fldCharType="separate"/>
      </w:r>
      <w:r>
        <w:rPr>
          <w:rStyle w:val="25"/>
        </w:rPr>
        <w:t>附录B  比对实施方案内容</w:t>
      </w:r>
      <w:r>
        <w:tab/>
      </w:r>
      <w:r>
        <w:fldChar w:fldCharType="begin"/>
      </w:r>
      <w:r>
        <w:instrText xml:space="preserve"> PAGEREF _Toc137854330 \h </w:instrText>
      </w:r>
      <w:r>
        <w:fldChar w:fldCharType="separate"/>
      </w:r>
      <w:r>
        <w:t>20</w:t>
      </w:r>
      <w:r>
        <w:fldChar w:fldCharType="end"/>
      </w:r>
      <w:r>
        <w:fldChar w:fldCharType="end"/>
      </w:r>
    </w:p>
    <w:p>
      <w:pPr>
        <w:pStyle w:val="16"/>
        <w:tabs>
          <w:tab w:val="right" w:leader="dot" w:pos="8483"/>
        </w:tabs>
        <w:rPr>
          <w:rFonts w:asciiTheme="minorHAnsi" w:hAnsiTheme="minorHAnsi" w:eastAsiaTheme="minorEastAsia" w:cstheme="minorBidi"/>
          <w:szCs w:val="22"/>
        </w:rPr>
      </w:pPr>
      <w:r>
        <w:fldChar w:fldCharType="begin"/>
      </w:r>
      <w:r>
        <w:instrText xml:space="preserve"> HYPERLINK \l "_Toc137854332" </w:instrText>
      </w:r>
      <w:r>
        <w:fldChar w:fldCharType="separate"/>
      </w:r>
      <w:r>
        <w:rPr>
          <w:rStyle w:val="25"/>
        </w:rPr>
        <w:t>附录C  参考值的确定</w:t>
      </w:r>
      <w:r>
        <w:tab/>
      </w:r>
      <w:r>
        <w:fldChar w:fldCharType="begin"/>
      </w:r>
      <w:r>
        <w:instrText xml:space="preserve"> PAGEREF _Toc137854332 \h </w:instrText>
      </w:r>
      <w:r>
        <w:fldChar w:fldCharType="separate"/>
      </w:r>
      <w:r>
        <w:t>23</w:t>
      </w:r>
      <w:r>
        <w:fldChar w:fldCharType="end"/>
      </w:r>
      <w:r>
        <w:fldChar w:fldCharType="end"/>
      </w:r>
    </w:p>
    <w:p>
      <w:pPr>
        <w:pStyle w:val="16"/>
        <w:tabs>
          <w:tab w:val="right" w:leader="dot" w:pos="8483"/>
        </w:tabs>
        <w:rPr>
          <w:rFonts w:asciiTheme="minorHAnsi" w:hAnsiTheme="minorHAnsi" w:eastAsiaTheme="minorEastAsia" w:cstheme="minorBidi"/>
          <w:szCs w:val="22"/>
        </w:rPr>
      </w:pPr>
      <w:r>
        <w:fldChar w:fldCharType="begin"/>
      </w:r>
      <w:r>
        <w:instrText xml:space="preserve"> HYPERLINK \l "_Toc137854336" </w:instrText>
      </w:r>
      <w:r>
        <w:fldChar w:fldCharType="separate"/>
      </w:r>
      <w:r>
        <w:rPr>
          <w:rStyle w:val="25"/>
        </w:rPr>
        <w:t>附录D  比对结果的评价与分析</w:t>
      </w:r>
      <w:r>
        <w:tab/>
      </w:r>
      <w:r>
        <w:fldChar w:fldCharType="begin"/>
      </w:r>
      <w:r>
        <w:instrText xml:space="preserve"> PAGEREF _Toc137854336 \h </w:instrText>
      </w:r>
      <w:r>
        <w:fldChar w:fldCharType="separate"/>
      </w:r>
      <w:r>
        <w:t>32</w:t>
      </w:r>
      <w:r>
        <w:fldChar w:fldCharType="end"/>
      </w:r>
      <w:r>
        <w:fldChar w:fldCharType="end"/>
      </w:r>
    </w:p>
    <w:p>
      <w:pPr>
        <w:pStyle w:val="16"/>
        <w:tabs>
          <w:tab w:val="right" w:leader="dot" w:pos="8483"/>
        </w:tabs>
        <w:rPr>
          <w:rFonts w:asciiTheme="minorHAnsi" w:hAnsiTheme="minorHAnsi" w:eastAsiaTheme="minorEastAsia" w:cstheme="minorBidi"/>
          <w:szCs w:val="22"/>
        </w:rPr>
      </w:pPr>
      <w:r>
        <w:fldChar w:fldCharType="begin"/>
      </w:r>
      <w:r>
        <w:instrText xml:space="preserve"> HYPERLINK \l "_Toc137854343" </w:instrText>
      </w:r>
      <w:r>
        <w:fldChar w:fldCharType="separate"/>
      </w:r>
      <w:r>
        <w:rPr>
          <w:rStyle w:val="25"/>
        </w:rPr>
        <w:t>附录E  参考值函数回归</w:t>
      </w:r>
      <w:r>
        <w:tab/>
      </w:r>
      <w:r>
        <w:fldChar w:fldCharType="begin"/>
      </w:r>
      <w:r>
        <w:instrText xml:space="preserve"> PAGEREF _Toc137854343 \h </w:instrText>
      </w:r>
      <w:r>
        <w:fldChar w:fldCharType="separate"/>
      </w:r>
      <w:r>
        <w:t>38</w:t>
      </w:r>
      <w:r>
        <w:fldChar w:fldCharType="end"/>
      </w:r>
      <w:r>
        <w:fldChar w:fldCharType="end"/>
      </w:r>
    </w:p>
    <w:p>
      <w:pPr>
        <w:pStyle w:val="17"/>
        <w:tabs>
          <w:tab w:val="right" w:leader="dot" w:pos="8483"/>
        </w:tabs>
        <w:ind w:left="0" w:leftChars="0"/>
        <w:rPr>
          <w:rFonts w:asciiTheme="minorHAnsi" w:hAnsiTheme="minorHAnsi" w:eastAsiaTheme="minorEastAsia" w:cstheme="minorBidi"/>
          <w:szCs w:val="22"/>
        </w:rPr>
      </w:pPr>
      <w:r>
        <w:rPr>
          <w:rStyle w:val="25"/>
          <w:rFonts w:hint="eastAsia"/>
        </w:rPr>
        <w:t>符号列表……</w:t>
      </w:r>
    </w:p>
    <w:p>
      <w:pPr>
        <w:spacing w:line="360" w:lineRule="auto"/>
        <w:jc w:val="center"/>
        <w:rPr>
          <w:b/>
          <w:sz w:val="24"/>
        </w:rPr>
      </w:pPr>
      <w:r>
        <w:rPr>
          <w:b/>
          <w:sz w:val="24"/>
        </w:rPr>
        <w:fldChar w:fldCharType="end"/>
      </w:r>
    </w:p>
    <w:p>
      <w:pPr>
        <w:pageBreakBefore/>
        <w:spacing w:line="360" w:lineRule="auto"/>
        <w:jc w:val="center"/>
        <w:rPr>
          <w:b/>
          <w:sz w:val="30"/>
        </w:rPr>
      </w:pPr>
      <w:r>
        <w:rPr>
          <w:rFonts w:hint="eastAsia"/>
          <w:b/>
          <w:sz w:val="30"/>
        </w:rPr>
        <w:t xml:space="preserve"> 引 </w:t>
      </w:r>
      <w:r>
        <w:rPr>
          <w:b/>
          <w:sz w:val="30"/>
        </w:rPr>
        <w:t xml:space="preserve"> </w:t>
      </w:r>
      <w:r>
        <w:rPr>
          <w:rFonts w:hint="eastAsia"/>
          <w:b/>
          <w:sz w:val="30"/>
        </w:rPr>
        <w:t>言</w:t>
      </w:r>
    </w:p>
    <w:p>
      <w:pPr>
        <w:snapToGrid w:val="0"/>
        <w:spacing w:line="360" w:lineRule="auto"/>
        <w:ind w:firstLine="480" w:firstLineChars="200"/>
        <w:rPr>
          <w:sz w:val="24"/>
        </w:rPr>
      </w:pPr>
    </w:p>
    <w:p>
      <w:pPr>
        <w:snapToGrid w:val="0"/>
        <w:spacing w:line="360" w:lineRule="auto"/>
        <w:ind w:firstLine="480" w:firstLineChars="200"/>
        <w:rPr>
          <w:sz w:val="24"/>
        </w:rPr>
      </w:pPr>
      <w:r>
        <w:rPr>
          <w:rFonts w:hint="eastAsia"/>
          <w:sz w:val="24"/>
        </w:rPr>
        <w:t>JJF 1071-2010《国家计量校准规范编写规则》、JJF 1001-2011《通用计量术语及定义》和 JJF 1059.1-2012《测量不确定度评定与表示》共同构成支撑本规范制定工作的基础性系列规范</w:t>
      </w:r>
      <w:r>
        <w:rPr>
          <w:sz w:val="24"/>
        </w:rPr>
        <w:t>。</w:t>
      </w:r>
    </w:p>
    <w:p>
      <w:pPr>
        <w:snapToGrid w:val="0"/>
        <w:spacing w:line="360" w:lineRule="auto"/>
        <w:ind w:firstLine="480" w:firstLineChars="200"/>
        <w:rPr>
          <w:sz w:val="24"/>
        </w:rPr>
      </w:pPr>
      <w:r>
        <w:rPr>
          <w:rFonts w:hint="eastAsia"/>
          <w:sz w:val="24"/>
        </w:rPr>
        <w:t>与JJF 1117-2010《计量比对》相比，除编辑性修改外主要变化如下：</w:t>
      </w:r>
    </w:p>
    <w:p>
      <w:pPr>
        <w:snapToGrid w:val="0"/>
        <w:spacing w:line="360" w:lineRule="auto"/>
        <w:ind w:firstLine="480" w:firstLineChars="200"/>
        <w:rPr>
          <w:sz w:val="24"/>
        </w:rPr>
      </w:pPr>
      <w:r>
        <w:rPr>
          <w:rFonts w:hint="eastAsia"/>
          <w:sz w:val="24"/>
        </w:rPr>
        <w:t>修改了部分术语的定义；</w:t>
      </w:r>
    </w:p>
    <w:p>
      <w:pPr>
        <w:snapToGrid w:val="0"/>
        <w:spacing w:line="360" w:lineRule="auto"/>
        <w:ind w:firstLine="480" w:firstLineChars="200"/>
        <w:rPr>
          <w:sz w:val="24"/>
        </w:rPr>
      </w:pPr>
      <w:r>
        <w:rPr>
          <w:rFonts w:hint="eastAsia"/>
          <w:sz w:val="24"/>
        </w:rPr>
        <w:t>明确了对传递标准的相关技术考虑要求，并细化了传递标准不确定度的计算方法；</w:t>
      </w:r>
    </w:p>
    <w:p>
      <w:pPr>
        <w:snapToGrid w:val="0"/>
        <w:spacing w:line="360" w:lineRule="auto"/>
        <w:ind w:firstLine="480" w:firstLineChars="200"/>
        <w:rPr>
          <w:sz w:val="24"/>
        </w:rPr>
      </w:pPr>
      <w:r>
        <w:rPr>
          <w:rFonts w:hint="eastAsia"/>
          <w:sz w:val="24"/>
        </w:rPr>
        <w:t>删除了比对申报环节相关的管理内容；</w:t>
      </w:r>
    </w:p>
    <w:p>
      <w:pPr>
        <w:snapToGrid w:val="0"/>
        <w:spacing w:line="360" w:lineRule="auto"/>
        <w:ind w:firstLine="480" w:firstLineChars="200"/>
        <w:rPr>
          <w:sz w:val="24"/>
        </w:rPr>
      </w:pPr>
      <w:r>
        <w:rPr>
          <w:rFonts w:hint="eastAsia"/>
          <w:sz w:val="24"/>
        </w:rPr>
        <w:t>细化了参考值的计算方法，加入了卡方检验相容性的内容；</w:t>
      </w:r>
    </w:p>
    <w:p>
      <w:pPr>
        <w:snapToGrid w:val="0"/>
        <w:spacing w:line="360" w:lineRule="auto"/>
        <w:ind w:firstLine="480" w:firstLineChars="200"/>
        <w:rPr>
          <w:sz w:val="24"/>
        </w:rPr>
      </w:pPr>
      <w:r>
        <w:rPr>
          <w:rFonts w:hint="eastAsia"/>
          <w:sz w:val="24"/>
        </w:rPr>
        <w:t>给出了获得参考值在测量范围内的连续分布的方法和示例；</w:t>
      </w:r>
    </w:p>
    <w:p>
      <w:pPr>
        <w:snapToGrid w:val="0"/>
        <w:spacing w:line="360" w:lineRule="auto"/>
        <w:ind w:firstLine="480" w:firstLineChars="200"/>
        <w:rPr>
          <w:sz w:val="24"/>
        </w:rPr>
      </w:pPr>
      <w:r>
        <w:rPr>
          <w:rFonts w:hint="eastAsia"/>
          <w:sz w:val="24"/>
        </w:rPr>
        <w:t>调整了规范结构框架，使之具有更好的可操作性；</w:t>
      </w:r>
    </w:p>
    <w:p>
      <w:pPr>
        <w:snapToGrid w:val="0"/>
        <w:spacing w:line="360" w:lineRule="auto"/>
        <w:ind w:firstLine="480" w:firstLineChars="200"/>
        <w:rPr>
          <w:sz w:val="24"/>
        </w:rPr>
      </w:pPr>
      <w:r>
        <w:rPr>
          <w:rFonts w:hint="eastAsia"/>
          <w:sz w:val="24"/>
        </w:rPr>
        <w:t>明确了参加实验室不确定度与授权范围的关系。</w:t>
      </w:r>
    </w:p>
    <w:p>
      <w:pPr>
        <w:snapToGrid w:val="0"/>
        <w:spacing w:line="360" w:lineRule="auto"/>
        <w:ind w:firstLine="480" w:firstLineChars="200"/>
        <w:rPr>
          <w:sz w:val="24"/>
        </w:rPr>
      </w:pPr>
    </w:p>
    <w:p>
      <w:pPr>
        <w:snapToGrid w:val="0"/>
        <w:spacing w:line="360" w:lineRule="auto"/>
        <w:ind w:firstLine="480" w:firstLineChars="200"/>
        <w:rPr>
          <w:sz w:val="24"/>
        </w:rPr>
      </w:pPr>
    </w:p>
    <w:p>
      <w:pPr>
        <w:spacing w:line="360" w:lineRule="auto"/>
        <w:ind w:firstLine="480" w:firstLineChars="200"/>
        <w:rPr>
          <w:rFonts w:ascii="宋体" w:hAnsi="宋体"/>
          <w:sz w:val="24"/>
        </w:rPr>
      </w:pPr>
      <w:r>
        <w:rPr>
          <w:rFonts w:hint="eastAsia" w:ascii="宋体" w:hAnsi="宋体"/>
          <w:sz w:val="24"/>
        </w:rPr>
        <w:t>本规范的历次版本发布情况：</w:t>
      </w:r>
    </w:p>
    <w:p>
      <w:pPr>
        <w:spacing w:line="360" w:lineRule="auto"/>
        <w:ind w:firstLine="480" w:firstLineChars="200"/>
        <w:rPr>
          <w:rFonts w:ascii="宋体" w:hAnsi="宋体"/>
          <w:sz w:val="24"/>
        </w:rPr>
      </w:pPr>
      <w:r>
        <w:rPr>
          <w:rFonts w:ascii="宋体" w:hAnsi="宋体"/>
          <w:sz w:val="24"/>
        </w:rPr>
        <w:sym w:font="Symbol" w:char="F0BE"/>
      </w:r>
      <w:r>
        <w:rPr>
          <w:rFonts w:ascii="宋体" w:hAnsi="宋体"/>
          <w:sz w:val="24"/>
        </w:rPr>
        <w:sym w:font="Symbol" w:char="F0BE"/>
      </w:r>
      <w:r>
        <w:rPr>
          <w:rFonts w:ascii="宋体" w:hAnsi="宋体"/>
          <w:sz w:val="24"/>
        </w:rPr>
        <w:t xml:space="preserve">JJF 1117-2004 </w:t>
      </w:r>
      <w:r>
        <w:rPr>
          <w:rFonts w:hint="eastAsia" w:ascii="宋体" w:hAnsi="宋体"/>
          <w:sz w:val="24"/>
        </w:rPr>
        <w:t>《测量仪器比对规范》</w:t>
      </w:r>
    </w:p>
    <w:p>
      <w:pPr>
        <w:spacing w:line="360" w:lineRule="auto"/>
        <w:ind w:firstLine="480" w:firstLineChars="200"/>
        <w:rPr>
          <w:rFonts w:ascii="宋体" w:hAnsi="宋体"/>
          <w:sz w:val="24"/>
        </w:rPr>
      </w:pPr>
      <w:r>
        <w:rPr>
          <w:rFonts w:ascii="宋体" w:hAnsi="宋体"/>
          <w:sz w:val="24"/>
        </w:rPr>
        <w:sym w:font="Symbol" w:char="F0BE"/>
      </w:r>
      <w:r>
        <w:rPr>
          <w:rFonts w:ascii="宋体" w:hAnsi="宋体"/>
          <w:sz w:val="24"/>
        </w:rPr>
        <w:sym w:font="Symbol" w:char="F0BE"/>
      </w:r>
      <w:r>
        <w:rPr>
          <w:rFonts w:hint="eastAsia" w:ascii="宋体" w:hAnsi="宋体"/>
          <w:sz w:val="24"/>
        </w:rPr>
        <w:t>JJF</w:t>
      </w:r>
      <w:r>
        <w:rPr>
          <w:rFonts w:ascii="宋体" w:hAnsi="宋体"/>
          <w:sz w:val="24"/>
        </w:rPr>
        <w:t xml:space="preserve"> 1117-2010 </w:t>
      </w:r>
      <w:r>
        <w:rPr>
          <w:rFonts w:hint="eastAsia" w:ascii="宋体" w:hAnsi="宋体"/>
          <w:sz w:val="24"/>
        </w:rPr>
        <w:t>《计量比对》</w:t>
      </w:r>
    </w:p>
    <w:p>
      <w:pPr>
        <w:snapToGrid w:val="0"/>
        <w:spacing w:line="360" w:lineRule="auto"/>
        <w:ind w:firstLine="480" w:firstLineChars="200"/>
        <w:rPr>
          <w:sz w:val="24"/>
        </w:rPr>
      </w:pPr>
      <w:r>
        <w:rPr>
          <w:sz w:val="24"/>
        </w:rPr>
        <w:br w:type="page"/>
      </w:r>
    </w:p>
    <w:p>
      <w:pPr>
        <w:pStyle w:val="2"/>
        <w:jc w:val="center"/>
        <w:rPr>
          <w:b w:val="0"/>
          <w:sz w:val="30"/>
        </w:rPr>
      </w:pPr>
      <w:bookmarkStart w:id="1" w:name="_Toc137854283"/>
      <w:r>
        <w:rPr>
          <w:b w:val="0"/>
          <w:sz w:val="30"/>
        </w:rPr>
        <w:t>计</w:t>
      </w:r>
      <w:r>
        <w:rPr>
          <w:rFonts w:hint="eastAsia"/>
          <w:b w:val="0"/>
          <w:sz w:val="30"/>
        </w:rPr>
        <w:t xml:space="preserve"> </w:t>
      </w:r>
      <w:r>
        <w:rPr>
          <w:b w:val="0"/>
          <w:sz w:val="30"/>
        </w:rPr>
        <w:t>量</w:t>
      </w:r>
      <w:r>
        <w:rPr>
          <w:rFonts w:hint="eastAsia"/>
          <w:b w:val="0"/>
          <w:sz w:val="30"/>
        </w:rPr>
        <w:t xml:space="preserve"> </w:t>
      </w:r>
      <w:r>
        <w:rPr>
          <w:b w:val="0"/>
          <w:sz w:val="30"/>
        </w:rPr>
        <w:t>比</w:t>
      </w:r>
      <w:r>
        <w:rPr>
          <w:rFonts w:hint="eastAsia"/>
          <w:b w:val="0"/>
          <w:sz w:val="30"/>
        </w:rPr>
        <w:t xml:space="preserve"> </w:t>
      </w:r>
      <w:r>
        <w:rPr>
          <w:b w:val="0"/>
          <w:sz w:val="30"/>
        </w:rPr>
        <w:t>对</w:t>
      </w:r>
      <w:bookmarkEnd w:id="1"/>
      <w:bookmarkStart w:id="2" w:name="_Toc222654284"/>
      <w:bookmarkStart w:id="3" w:name="_Toc239495203"/>
    </w:p>
    <w:p>
      <w:pPr>
        <w:pStyle w:val="2"/>
        <w:rPr>
          <w:sz w:val="28"/>
        </w:rPr>
      </w:pPr>
      <w:bookmarkStart w:id="4" w:name="_Toc137854284"/>
      <w:r>
        <w:rPr>
          <w:sz w:val="28"/>
        </w:rPr>
        <w:t>1 范围</w:t>
      </w:r>
      <w:bookmarkEnd w:id="2"/>
      <w:bookmarkEnd w:id="3"/>
      <w:bookmarkEnd w:id="4"/>
    </w:p>
    <w:p>
      <w:pPr>
        <w:snapToGrid w:val="0"/>
        <w:spacing w:line="360" w:lineRule="auto"/>
        <w:ind w:firstLine="480" w:firstLineChars="200"/>
        <w:rPr>
          <w:sz w:val="24"/>
        </w:rPr>
      </w:pPr>
      <w:r>
        <w:rPr>
          <w:sz w:val="24"/>
        </w:rPr>
        <w:t>本规范适用于计量比对的</w:t>
      </w:r>
      <w:r>
        <w:rPr>
          <w:rFonts w:hint="eastAsia"/>
          <w:sz w:val="24"/>
        </w:rPr>
        <w:t>准备</w:t>
      </w:r>
      <w:r>
        <w:rPr>
          <w:sz w:val="24"/>
        </w:rPr>
        <w:t>、</w:t>
      </w:r>
      <w:r>
        <w:rPr>
          <w:rFonts w:hint="eastAsia"/>
          <w:sz w:val="24"/>
        </w:rPr>
        <w:t>过程控制</w:t>
      </w:r>
      <w:r>
        <w:rPr>
          <w:sz w:val="24"/>
        </w:rPr>
        <w:t>和评价。其他比对可参照本规范。</w:t>
      </w:r>
    </w:p>
    <w:p>
      <w:pPr>
        <w:pStyle w:val="2"/>
        <w:rPr>
          <w:sz w:val="28"/>
        </w:rPr>
      </w:pPr>
      <w:bookmarkStart w:id="5" w:name="_Toc137854285"/>
      <w:bookmarkStart w:id="6" w:name="_Toc222654285"/>
      <w:bookmarkStart w:id="7" w:name="_Toc239495204"/>
      <w:r>
        <w:rPr>
          <w:sz w:val="28"/>
        </w:rPr>
        <w:t>2 引用文献</w:t>
      </w:r>
      <w:bookmarkEnd w:id="5"/>
      <w:bookmarkEnd w:id="6"/>
      <w:bookmarkEnd w:id="7"/>
    </w:p>
    <w:p>
      <w:pPr>
        <w:snapToGrid w:val="0"/>
        <w:spacing w:line="360" w:lineRule="auto"/>
        <w:ind w:firstLine="480" w:firstLineChars="200"/>
        <w:rPr>
          <w:sz w:val="24"/>
        </w:rPr>
      </w:pPr>
      <w:r>
        <w:rPr>
          <w:rFonts w:hint="eastAsia"/>
          <w:sz w:val="24"/>
        </w:rPr>
        <w:t xml:space="preserve">本规范引用了下列文件： </w:t>
      </w:r>
    </w:p>
    <w:p>
      <w:pPr>
        <w:snapToGrid w:val="0"/>
        <w:spacing w:line="360" w:lineRule="auto"/>
        <w:ind w:firstLine="480" w:firstLineChars="200"/>
        <w:rPr>
          <w:sz w:val="24"/>
        </w:rPr>
      </w:pPr>
      <w:r>
        <w:rPr>
          <w:rFonts w:hint="eastAsia"/>
          <w:sz w:val="24"/>
        </w:rPr>
        <w:t>GB</w:t>
      </w:r>
      <w:r>
        <w:rPr>
          <w:sz w:val="24"/>
        </w:rPr>
        <w:t>/T 17560</w:t>
      </w:r>
      <w:r>
        <w:rPr>
          <w:rFonts w:hint="eastAsia"/>
          <w:sz w:val="24"/>
        </w:rPr>
        <w:t>，数据的统计处理和解释 中位数的估计</w:t>
      </w:r>
      <w:r>
        <w:rPr>
          <w:sz w:val="24"/>
        </w:rPr>
        <w:t xml:space="preserve"> </w:t>
      </w:r>
    </w:p>
    <w:p>
      <w:pPr>
        <w:autoSpaceDE w:val="0"/>
        <w:autoSpaceDN w:val="0"/>
        <w:adjustRightInd w:val="0"/>
        <w:snapToGrid w:val="0"/>
        <w:spacing w:line="360" w:lineRule="auto"/>
        <w:ind w:firstLine="480" w:firstLineChars="200"/>
        <w:jc w:val="left"/>
        <w:rPr>
          <w:kern w:val="0"/>
          <w:sz w:val="24"/>
        </w:rPr>
      </w:pPr>
      <w:r>
        <w:rPr>
          <w:rFonts w:hint="eastAsia"/>
          <w:kern w:val="0"/>
          <w:sz w:val="24"/>
        </w:rPr>
        <w:t>凡是注日期的引用文件，仅注日期的版本适用于本规范；凡是不注日期的引用文件，其最新版本（包括所有的修改单）适用于本规范。</w:t>
      </w:r>
    </w:p>
    <w:p>
      <w:pPr>
        <w:pStyle w:val="2"/>
        <w:rPr>
          <w:sz w:val="28"/>
        </w:rPr>
      </w:pPr>
      <w:bookmarkStart w:id="8" w:name="_Toc239495205"/>
      <w:bookmarkStart w:id="9" w:name="_Toc137854286"/>
      <w:bookmarkStart w:id="10" w:name="_Toc222654286"/>
      <w:r>
        <w:rPr>
          <w:sz w:val="28"/>
        </w:rPr>
        <w:t>3 术语和定义</w:t>
      </w:r>
      <w:bookmarkEnd w:id="8"/>
      <w:bookmarkEnd w:id="9"/>
      <w:bookmarkEnd w:id="10"/>
    </w:p>
    <w:p>
      <w:pPr>
        <w:pStyle w:val="3"/>
        <w:spacing w:before="0" w:after="93" w:afterLines="30" w:line="360" w:lineRule="auto"/>
        <w:rPr>
          <w:rFonts w:ascii="Times New Roman" w:hAnsi="Times New Roman" w:eastAsia="宋体-18030"/>
          <w:b w:val="0"/>
          <w:sz w:val="24"/>
        </w:rPr>
      </w:pPr>
      <w:bookmarkStart w:id="11" w:name="_Toc171909231"/>
      <w:bookmarkStart w:id="12" w:name="_Toc129326471"/>
      <w:bookmarkStart w:id="13" w:name="_Toc239495206"/>
      <w:bookmarkStart w:id="14" w:name="_Toc137854287"/>
      <w:bookmarkStart w:id="15" w:name="_Toc171906651"/>
      <w:bookmarkStart w:id="16" w:name="_Toc187223116"/>
      <w:bookmarkStart w:id="17" w:name="_Toc141449488"/>
      <w:r>
        <w:rPr>
          <w:rFonts w:ascii="Times New Roman" w:hAnsi="Times New Roman" w:eastAsia="宋体-18030"/>
          <w:b w:val="0"/>
          <w:sz w:val="24"/>
        </w:rPr>
        <w:t>3.1 计量比对  me</w:t>
      </w:r>
      <w:r>
        <w:rPr>
          <w:rFonts w:hint="eastAsia" w:ascii="Times New Roman" w:hAnsi="Times New Roman" w:eastAsia="宋体-18030"/>
          <w:b w:val="0"/>
          <w:sz w:val="24"/>
        </w:rPr>
        <w:t>asurement</w:t>
      </w:r>
      <w:r>
        <w:rPr>
          <w:rFonts w:ascii="Times New Roman" w:hAnsi="Times New Roman" w:eastAsia="宋体-18030"/>
          <w:b w:val="0"/>
          <w:sz w:val="24"/>
        </w:rPr>
        <w:t xml:space="preserve"> comparison</w:t>
      </w:r>
      <w:bookmarkEnd w:id="11"/>
      <w:bookmarkEnd w:id="12"/>
      <w:bookmarkEnd w:id="13"/>
      <w:bookmarkEnd w:id="14"/>
      <w:bookmarkEnd w:id="15"/>
      <w:bookmarkEnd w:id="16"/>
      <w:bookmarkEnd w:id="17"/>
    </w:p>
    <w:p>
      <w:pPr>
        <w:snapToGrid w:val="0"/>
        <w:spacing w:line="360" w:lineRule="auto"/>
        <w:ind w:firstLine="480" w:firstLineChars="200"/>
        <w:rPr>
          <w:sz w:val="24"/>
        </w:rPr>
      </w:pPr>
      <w:r>
        <w:rPr>
          <w:sz w:val="24"/>
        </w:rPr>
        <w:t>在规定条件下，在相同量的计量基准、计量标准所复现</w:t>
      </w:r>
      <w:r>
        <w:rPr>
          <w:rFonts w:hint="eastAsia"/>
          <w:sz w:val="24"/>
        </w:rPr>
        <w:t>或</w:t>
      </w:r>
      <w:r>
        <w:rPr>
          <w:sz w:val="24"/>
        </w:rPr>
        <w:t>保持的量值之间进行比较的过程。简称比对。</w:t>
      </w:r>
    </w:p>
    <w:p>
      <w:pPr>
        <w:pStyle w:val="3"/>
        <w:spacing w:before="0" w:after="93" w:afterLines="30" w:line="360" w:lineRule="auto"/>
        <w:rPr>
          <w:sz w:val="24"/>
        </w:rPr>
      </w:pPr>
      <w:bookmarkStart w:id="18" w:name="_Toc137854288"/>
      <w:r>
        <w:rPr>
          <w:rFonts w:ascii="Times New Roman" w:hAnsi="Times New Roman" w:eastAsia="宋体-18030"/>
          <w:b w:val="0"/>
          <w:sz w:val="24"/>
        </w:rPr>
        <w:t>3.2 参比实验室  participating laboratory</w:t>
      </w:r>
      <w:r>
        <w:rPr>
          <w:rFonts w:hint="eastAsia" w:ascii="Times New Roman" w:hAnsi="Times New Roman" w:eastAsia="宋体-18030"/>
          <w:b w:val="0"/>
          <w:sz w:val="24"/>
        </w:rPr>
        <w:t>,</w:t>
      </w:r>
      <w:r>
        <w:rPr>
          <w:rFonts w:ascii="Times New Roman" w:hAnsi="Times New Roman" w:eastAsia="宋体-18030"/>
          <w:b w:val="0"/>
          <w:sz w:val="24"/>
        </w:rPr>
        <w:t xml:space="preserve"> participant</w:t>
      </w:r>
      <w:bookmarkEnd w:id="18"/>
    </w:p>
    <w:p>
      <w:pPr>
        <w:autoSpaceDE w:val="0"/>
        <w:autoSpaceDN w:val="0"/>
        <w:adjustRightInd w:val="0"/>
        <w:snapToGrid w:val="0"/>
        <w:spacing w:line="360" w:lineRule="auto"/>
        <w:ind w:firstLine="420"/>
        <w:jc w:val="left"/>
        <w:rPr>
          <w:sz w:val="24"/>
        </w:rPr>
      </w:pPr>
      <w:r>
        <w:rPr>
          <w:rFonts w:hint="eastAsia"/>
          <w:sz w:val="24"/>
        </w:rPr>
        <w:t>比对中，量值参与比较</w:t>
      </w:r>
      <w:r>
        <w:rPr>
          <w:sz w:val="24"/>
        </w:rPr>
        <w:t>的实验室</w:t>
      </w:r>
      <w:r>
        <w:rPr>
          <w:rFonts w:hint="eastAsia"/>
          <w:sz w:val="24"/>
        </w:rPr>
        <w:t>。</w:t>
      </w:r>
    </w:p>
    <w:p>
      <w:pPr>
        <w:pStyle w:val="3"/>
        <w:spacing w:before="0" w:after="93" w:afterLines="30" w:line="360" w:lineRule="auto"/>
        <w:rPr>
          <w:rFonts w:ascii="Times New Roman" w:hAnsi="Times New Roman" w:eastAsia="宋体-18030"/>
          <w:b w:val="0"/>
          <w:sz w:val="24"/>
        </w:rPr>
      </w:pPr>
      <w:bookmarkStart w:id="19" w:name="_Toc135657087"/>
      <w:bookmarkStart w:id="20" w:name="_Toc137854289"/>
      <w:r>
        <w:rPr>
          <w:rFonts w:ascii="Times New Roman" w:hAnsi="Times New Roman" w:eastAsia="宋体-18030"/>
          <w:b w:val="0"/>
          <w:sz w:val="24"/>
        </w:rPr>
        <w:t>3.3 主导实验室  pilot laboratory</w:t>
      </w:r>
      <w:bookmarkEnd w:id="19"/>
      <w:bookmarkEnd w:id="20"/>
    </w:p>
    <w:p>
      <w:pPr>
        <w:autoSpaceDE w:val="0"/>
        <w:autoSpaceDN w:val="0"/>
        <w:adjustRightInd w:val="0"/>
        <w:snapToGrid w:val="0"/>
        <w:spacing w:line="360" w:lineRule="auto"/>
        <w:ind w:firstLine="480" w:firstLineChars="200"/>
        <w:jc w:val="left"/>
        <w:rPr>
          <w:kern w:val="0"/>
          <w:sz w:val="24"/>
        </w:rPr>
      </w:pPr>
      <w:r>
        <w:rPr>
          <w:rFonts w:hint="eastAsia"/>
          <w:kern w:val="0"/>
          <w:sz w:val="24"/>
        </w:rPr>
        <w:t>承担比对的组织、设计、实施、评价相关的主要技术工作的实验室。</w:t>
      </w:r>
    </w:p>
    <w:p>
      <w:pPr>
        <w:pStyle w:val="3"/>
        <w:spacing w:before="0" w:after="93" w:afterLines="30" w:line="360" w:lineRule="auto"/>
        <w:rPr>
          <w:rFonts w:ascii="Times New Roman" w:hAnsi="Times New Roman" w:eastAsia="宋体-18030"/>
          <w:b w:val="0"/>
          <w:sz w:val="24"/>
        </w:rPr>
      </w:pPr>
      <w:bookmarkStart w:id="21" w:name="_Toc137854290"/>
      <w:bookmarkStart w:id="22" w:name="_Toc239495210"/>
      <w:r>
        <w:rPr>
          <w:rFonts w:ascii="Times New Roman" w:hAnsi="Times New Roman" w:eastAsia="宋体-18030"/>
          <w:b w:val="0"/>
          <w:sz w:val="24"/>
        </w:rPr>
        <w:t xml:space="preserve">3.4 </w:t>
      </w:r>
      <w:bookmarkStart w:id="23" w:name="_Hlk116123446"/>
      <w:r>
        <w:rPr>
          <w:rFonts w:hint="eastAsia" w:ascii="Times New Roman" w:hAnsi="Times New Roman" w:eastAsia="宋体-18030"/>
          <w:b w:val="0"/>
          <w:sz w:val="24"/>
        </w:rPr>
        <w:t>[比对]</w:t>
      </w:r>
      <w:bookmarkEnd w:id="23"/>
      <w:r>
        <w:rPr>
          <w:rFonts w:ascii="Times New Roman" w:hAnsi="Times New Roman" w:eastAsia="宋体-18030"/>
          <w:b w:val="0"/>
          <w:sz w:val="24"/>
        </w:rPr>
        <w:t xml:space="preserve">传递标准 </w:t>
      </w:r>
      <w:r>
        <w:rPr>
          <w:rFonts w:hint="eastAsia" w:ascii="Times New Roman" w:hAnsi="Times New Roman" w:eastAsia="宋体-18030"/>
          <w:b w:val="0"/>
          <w:sz w:val="24"/>
        </w:rPr>
        <w:t>[c</w:t>
      </w:r>
      <w:r>
        <w:rPr>
          <w:rFonts w:ascii="Times New Roman" w:hAnsi="Times New Roman" w:eastAsia="宋体-18030"/>
          <w:b w:val="0"/>
          <w:sz w:val="24"/>
        </w:rPr>
        <w:t>omparison</w:t>
      </w:r>
      <w:r>
        <w:rPr>
          <w:rFonts w:hint="eastAsia" w:ascii="Times New Roman" w:hAnsi="Times New Roman" w:eastAsia="宋体-18030"/>
          <w:b w:val="0"/>
          <w:sz w:val="24"/>
        </w:rPr>
        <w:t>]</w:t>
      </w:r>
      <w:r>
        <w:rPr>
          <w:rFonts w:ascii="Times New Roman" w:hAnsi="Times New Roman" w:eastAsia="宋体-18030"/>
          <w:b w:val="0"/>
          <w:sz w:val="24"/>
        </w:rPr>
        <w:t>transfer standard</w:t>
      </w:r>
      <w:r>
        <w:rPr>
          <w:rFonts w:hint="eastAsia" w:ascii="Times New Roman" w:hAnsi="Times New Roman" w:eastAsia="宋体-18030"/>
          <w:b w:val="0"/>
          <w:sz w:val="24"/>
        </w:rPr>
        <w:t>，[c</w:t>
      </w:r>
      <w:r>
        <w:rPr>
          <w:rFonts w:ascii="Times New Roman" w:hAnsi="Times New Roman" w:eastAsia="宋体-18030"/>
          <w:b w:val="0"/>
          <w:sz w:val="24"/>
        </w:rPr>
        <w:t>omparison</w:t>
      </w:r>
      <w:r>
        <w:rPr>
          <w:rFonts w:hint="eastAsia" w:ascii="Times New Roman" w:hAnsi="Times New Roman" w:eastAsia="宋体-18030"/>
          <w:b w:val="0"/>
          <w:sz w:val="24"/>
        </w:rPr>
        <w:t>]</w:t>
      </w:r>
      <w:r>
        <w:rPr>
          <w:rFonts w:ascii="Times New Roman" w:hAnsi="Times New Roman" w:eastAsia="宋体-18030"/>
          <w:b w:val="0"/>
          <w:sz w:val="24"/>
        </w:rPr>
        <w:t xml:space="preserve"> artefact</w:t>
      </w:r>
      <w:bookmarkEnd w:id="21"/>
      <w:r>
        <w:rPr>
          <w:rFonts w:ascii="Times New Roman" w:hAnsi="Times New Roman" w:eastAsia="宋体-18030"/>
          <w:b w:val="0"/>
          <w:sz w:val="24"/>
        </w:rPr>
        <w:t xml:space="preserve"> </w:t>
      </w:r>
      <w:bookmarkEnd w:id="22"/>
    </w:p>
    <w:p>
      <w:pPr>
        <w:autoSpaceDE w:val="0"/>
        <w:autoSpaceDN w:val="0"/>
        <w:adjustRightInd w:val="0"/>
        <w:snapToGrid w:val="0"/>
        <w:spacing w:line="360" w:lineRule="auto"/>
        <w:ind w:firstLine="420"/>
        <w:jc w:val="left"/>
        <w:rPr>
          <w:kern w:val="0"/>
          <w:sz w:val="24"/>
          <w:szCs w:val="24"/>
        </w:rPr>
      </w:pPr>
      <w:r>
        <w:rPr>
          <w:rFonts w:hint="eastAsia" w:ascii="宋体" w:hAnsi="宋体"/>
          <w:sz w:val="24"/>
          <w:szCs w:val="24"/>
        </w:rPr>
        <w:t>在比对中用作媒介的测量标准或样品。</w:t>
      </w:r>
    </w:p>
    <w:p>
      <w:pPr>
        <w:pStyle w:val="3"/>
        <w:spacing w:before="0" w:after="93" w:afterLines="30" w:line="360" w:lineRule="auto"/>
        <w:rPr>
          <w:rFonts w:ascii="Times New Roman" w:hAnsi="Times New Roman" w:eastAsia="宋体-18030"/>
          <w:b w:val="0"/>
          <w:sz w:val="24"/>
        </w:rPr>
      </w:pPr>
      <w:bookmarkStart w:id="24" w:name="_Toc239495211"/>
      <w:bookmarkStart w:id="25" w:name="_Toc137854291"/>
      <w:r>
        <w:rPr>
          <w:rFonts w:ascii="Times New Roman" w:hAnsi="Times New Roman" w:eastAsia="宋体-18030"/>
          <w:b w:val="0"/>
          <w:sz w:val="24"/>
        </w:rPr>
        <w:t>3.5 [量值]复现  realization</w:t>
      </w:r>
      <w:bookmarkEnd w:id="24"/>
      <w:bookmarkEnd w:id="25"/>
    </w:p>
    <w:p>
      <w:pPr>
        <w:autoSpaceDE w:val="0"/>
        <w:autoSpaceDN w:val="0"/>
        <w:adjustRightInd w:val="0"/>
        <w:snapToGrid w:val="0"/>
        <w:spacing w:line="360" w:lineRule="auto"/>
        <w:ind w:firstLine="420"/>
        <w:jc w:val="left"/>
        <w:rPr>
          <w:kern w:val="0"/>
          <w:sz w:val="24"/>
        </w:rPr>
      </w:pPr>
      <w:r>
        <w:rPr>
          <w:kern w:val="0"/>
          <w:sz w:val="24"/>
        </w:rPr>
        <w:t>在规定条件下，为实现计量基准或计量标准的量值而开展的一组操作。</w:t>
      </w:r>
    </w:p>
    <w:p>
      <w:pPr>
        <w:pStyle w:val="3"/>
        <w:spacing w:before="0" w:after="93" w:afterLines="30" w:line="360" w:lineRule="auto"/>
        <w:rPr>
          <w:rFonts w:ascii="Times New Roman" w:hAnsi="Times New Roman" w:eastAsia="宋体-18030"/>
          <w:b w:val="0"/>
          <w:sz w:val="24"/>
        </w:rPr>
      </w:pPr>
      <w:bookmarkStart w:id="26" w:name="_Toc239495212"/>
      <w:bookmarkStart w:id="27" w:name="_Toc137854292"/>
      <w:r>
        <w:rPr>
          <w:rFonts w:ascii="Times New Roman" w:hAnsi="Times New Roman" w:eastAsia="宋体-18030"/>
          <w:b w:val="0"/>
          <w:sz w:val="24"/>
        </w:rPr>
        <w:t>3.6 溯源</w:t>
      </w:r>
      <w:r>
        <w:rPr>
          <w:rFonts w:hint="eastAsia" w:ascii="Times New Roman" w:hAnsi="Times New Roman" w:eastAsia="宋体-18030"/>
          <w:b w:val="0"/>
          <w:sz w:val="24"/>
        </w:rPr>
        <w:t>性</w:t>
      </w:r>
      <w:r>
        <w:rPr>
          <w:rFonts w:ascii="Times New Roman" w:hAnsi="Times New Roman" w:eastAsia="宋体-18030"/>
          <w:b w:val="0"/>
          <w:sz w:val="24"/>
        </w:rPr>
        <w:t xml:space="preserve">  traceability</w:t>
      </w:r>
      <w:bookmarkEnd w:id="26"/>
      <w:bookmarkEnd w:id="27"/>
    </w:p>
    <w:p>
      <w:pPr>
        <w:autoSpaceDE w:val="0"/>
        <w:autoSpaceDN w:val="0"/>
        <w:adjustRightInd w:val="0"/>
        <w:snapToGrid w:val="0"/>
        <w:spacing w:line="360" w:lineRule="auto"/>
        <w:ind w:firstLine="480" w:firstLineChars="200"/>
        <w:jc w:val="left"/>
        <w:rPr>
          <w:kern w:val="0"/>
          <w:sz w:val="24"/>
        </w:rPr>
      </w:pPr>
      <w:r>
        <w:rPr>
          <w:rFonts w:hint="eastAsia"/>
          <w:kern w:val="0"/>
          <w:sz w:val="24"/>
        </w:rPr>
        <w:t>通过有文件证明的不间断的校准链，使测量结果与参照对象联系起来的特性。参照对象常为按量和单位的定义建立的国家计量基准或计量标准</w:t>
      </w:r>
      <w:r>
        <w:rPr>
          <w:kern w:val="0"/>
          <w:sz w:val="24"/>
        </w:rPr>
        <w:t>。</w:t>
      </w:r>
    </w:p>
    <w:p>
      <w:pPr>
        <w:pStyle w:val="3"/>
        <w:spacing w:before="0" w:after="93" w:afterLines="30" w:line="360" w:lineRule="auto"/>
        <w:rPr>
          <w:rFonts w:ascii="Times New Roman" w:hAnsi="Times New Roman" w:eastAsia="宋体-18030"/>
          <w:b w:val="0"/>
          <w:sz w:val="24"/>
        </w:rPr>
      </w:pPr>
      <w:bookmarkStart w:id="28" w:name="_Toc239495213"/>
      <w:bookmarkStart w:id="29" w:name="_Toc137854293"/>
      <w:r>
        <w:rPr>
          <w:rFonts w:ascii="Times New Roman" w:hAnsi="Times New Roman" w:eastAsia="宋体-18030"/>
          <w:b w:val="0"/>
          <w:sz w:val="24"/>
        </w:rPr>
        <w:t xml:space="preserve">3.7 </w:t>
      </w:r>
      <w:r>
        <w:rPr>
          <w:rFonts w:hint="eastAsia" w:ascii="Times New Roman" w:hAnsi="Times New Roman" w:eastAsia="宋体-18030"/>
          <w:b w:val="0"/>
          <w:sz w:val="24"/>
        </w:rPr>
        <w:t>[比对]</w:t>
      </w:r>
      <w:r>
        <w:rPr>
          <w:rFonts w:ascii="Times New Roman" w:hAnsi="Times New Roman" w:eastAsia="宋体-18030"/>
          <w:b w:val="0"/>
          <w:sz w:val="24"/>
        </w:rPr>
        <w:t>参考值  reference value</w:t>
      </w:r>
      <w:bookmarkEnd w:id="28"/>
      <w:bookmarkEnd w:id="29"/>
      <w:r>
        <w:rPr>
          <w:rFonts w:ascii="Times New Roman" w:hAnsi="Times New Roman" w:eastAsia="宋体-18030"/>
          <w:b w:val="0"/>
          <w:sz w:val="24"/>
        </w:rPr>
        <w:t xml:space="preserve"> </w:t>
      </w:r>
    </w:p>
    <w:p>
      <w:pPr>
        <w:autoSpaceDE w:val="0"/>
        <w:autoSpaceDN w:val="0"/>
        <w:adjustRightInd w:val="0"/>
        <w:snapToGrid w:val="0"/>
        <w:spacing w:line="360" w:lineRule="auto"/>
        <w:ind w:firstLine="480" w:firstLineChars="200"/>
        <w:jc w:val="left"/>
        <w:rPr>
          <w:kern w:val="0"/>
          <w:sz w:val="24"/>
        </w:rPr>
      </w:pPr>
      <w:r>
        <w:rPr>
          <w:rFonts w:hint="eastAsia"/>
          <w:kern w:val="0"/>
          <w:sz w:val="24"/>
        </w:rPr>
        <w:t>由比对参比实验室提供的测量结果产生，或其他合理方式赋予，作为参比实验室量值间比较的基础的量值。常表示为参考值的估计值和相应测量不确定度（的组合）。参考值的估计值在不引起混淆时亦可简称为参考值。</w:t>
      </w:r>
    </w:p>
    <w:p>
      <w:pPr>
        <w:pStyle w:val="3"/>
        <w:spacing w:before="0" w:after="93" w:afterLines="30" w:line="360" w:lineRule="auto"/>
        <w:rPr>
          <w:rFonts w:ascii="Times New Roman" w:hAnsi="Times New Roman" w:eastAsia="宋体-18030"/>
          <w:b w:val="0"/>
          <w:sz w:val="24"/>
        </w:rPr>
      </w:pPr>
      <w:bookmarkStart w:id="30" w:name="_Toc239495214"/>
      <w:bookmarkStart w:id="31" w:name="_Toc137854294"/>
      <w:r>
        <w:rPr>
          <w:rFonts w:ascii="Times New Roman" w:hAnsi="Times New Roman" w:eastAsia="宋体-18030"/>
          <w:b w:val="0"/>
          <w:sz w:val="24"/>
        </w:rPr>
        <w:t>3.8 等效度 degree</w:t>
      </w:r>
      <w:bookmarkEnd w:id="30"/>
      <w:r>
        <w:rPr>
          <w:rFonts w:ascii="Times New Roman" w:hAnsi="Times New Roman" w:eastAsia="宋体-18030"/>
          <w:b w:val="0"/>
          <w:sz w:val="24"/>
        </w:rPr>
        <w:t xml:space="preserve"> </w:t>
      </w:r>
      <w:r>
        <w:rPr>
          <w:rFonts w:hint="eastAsia" w:ascii="Times New Roman" w:hAnsi="Times New Roman" w:eastAsia="宋体-18030"/>
          <w:b w:val="0"/>
          <w:sz w:val="24"/>
        </w:rPr>
        <w:t>of</w:t>
      </w:r>
      <w:r>
        <w:rPr>
          <w:rFonts w:ascii="Times New Roman" w:hAnsi="Times New Roman" w:eastAsia="宋体-18030"/>
          <w:b w:val="0"/>
          <w:sz w:val="24"/>
        </w:rPr>
        <w:t xml:space="preserve"> equivalen</w:t>
      </w:r>
      <w:r>
        <w:rPr>
          <w:rFonts w:hint="eastAsia" w:ascii="Times New Roman" w:hAnsi="Times New Roman" w:eastAsia="宋体-18030"/>
          <w:b w:val="0"/>
          <w:sz w:val="24"/>
        </w:rPr>
        <w:t>ce</w:t>
      </w:r>
      <w:bookmarkEnd w:id="31"/>
    </w:p>
    <w:p>
      <w:pPr>
        <w:autoSpaceDE w:val="0"/>
        <w:autoSpaceDN w:val="0"/>
        <w:adjustRightInd w:val="0"/>
        <w:snapToGrid w:val="0"/>
        <w:spacing w:line="360" w:lineRule="auto"/>
        <w:ind w:firstLine="480" w:firstLineChars="200"/>
        <w:jc w:val="left"/>
        <w:rPr>
          <w:color w:val="4472C4"/>
          <w:sz w:val="24"/>
        </w:rPr>
      </w:pPr>
      <w:r>
        <w:rPr>
          <w:rFonts w:hint="eastAsia"/>
          <w:sz w:val="24"/>
        </w:rPr>
        <w:t>表征</w:t>
      </w:r>
      <w:r>
        <w:rPr>
          <w:sz w:val="24"/>
        </w:rPr>
        <w:t>参比实验室</w:t>
      </w:r>
      <w:r>
        <w:rPr>
          <w:rFonts w:hint="eastAsia"/>
          <w:sz w:val="24"/>
        </w:rPr>
        <w:t>提供</w:t>
      </w:r>
      <w:r>
        <w:rPr>
          <w:sz w:val="24"/>
        </w:rPr>
        <w:t>的测量结果与</w:t>
      </w:r>
      <w:r>
        <w:rPr>
          <w:rFonts w:hint="eastAsia"/>
          <w:sz w:val="24"/>
        </w:rPr>
        <w:t>比对</w:t>
      </w:r>
      <w:r>
        <w:rPr>
          <w:sz w:val="24"/>
        </w:rPr>
        <w:t>参考值</w:t>
      </w:r>
      <w:r>
        <w:rPr>
          <w:rFonts w:hint="eastAsia"/>
          <w:sz w:val="24"/>
        </w:rPr>
        <w:t>的一致程度。常定量表示为</w:t>
      </w:r>
      <w:bookmarkStart w:id="32" w:name="_Hlk115950943"/>
      <w:r>
        <w:rPr>
          <w:rFonts w:hint="eastAsia"/>
          <w:sz w:val="24"/>
        </w:rPr>
        <w:t>等效度的值和相应的不确定度。等效度的值用</w:t>
      </w:r>
      <w:r>
        <w:rPr>
          <w:sz w:val="24"/>
        </w:rPr>
        <w:t>实验室的测</w:t>
      </w:r>
      <w:r>
        <w:rPr>
          <w:rFonts w:hint="eastAsia"/>
          <w:sz w:val="24"/>
        </w:rPr>
        <w:t>得值</w:t>
      </w:r>
      <w:r>
        <w:rPr>
          <w:sz w:val="24"/>
        </w:rPr>
        <w:t>与参考值</w:t>
      </w:r>
      <w:bookmarkEnd w:id="32"/>
      <w:r>
        <w:rPr>
          <w:rFonts w:hint="eastAsia"/>
          <w:sz w:val="24"/>
        </w:rPr>
        <w:t>之差表示</w:t>
      </w:r>
      <w:r>
        <w:rPr>
          <w:sz w:val="24"/>
        </w:rPr>
        <w:t>。</w:t>
      </w:r>
    </w:p>
    <w:p>
      <w:pPr>
        <w:pStyle w:val="3"/>
        <w:spacing w:before="0" w:after="93" w:afterLines="30" w:line="360" w:lineRule="auto"/>
        <w:rPr>
          <w:rFonts w:ascii="Times New Roman" w:hAnsi="Times New Roman" w:eastAsia="宋体-18030"/>
          <w:b w:val="0"/>
          <w:sz w:val="24"/>
        </w:rPr>
      </w:pPr>
      <w:bookmarkStart w:id="33" w:name="_Toc239495215"/>
      <w:bookmarkStart w:id="34" w:name="_Toc137854295"/>
      <w:r>
        <w:rPr>
          <w:rFonts w:ascii="Times New Roman" w:hAnsi="Times New Roman" w:eastAsia="宋体-18030"/>
          <w:b w:val="0"/>
          <w:sz w:val="24"/>
        </w:rPr>
        <w:t>3.9 归一化偏差 normalized error</w:t>
      </w:r>
      <w:bookmarkEnd w:id="33"/>
      <w:bookmarkEnd w:id="34"/>
    </w:p>
    <w:p>
      <w:pPr>
        <w:autoSpaceDE w:val="0"/>
        <w:autoSpaceDN w:val="0"/>
        <w:adjustRightInd w:val="0"/>
        <w:snapToGrid w:val="0"/>
        <w:spacing w:line="360" w:lineRule="auto"/>
        <w:ind w:firstLine="480" w:firstLineChars="200"/>
        <w:jc w:val="left"/>
        <w:rPr>
          <w:kern w:val="0"/>
          <w:sz w:val="24"/>
        </w:rPr>
      </w:pPr>
      <w:r>
        <w:rPr>
          <w:rFonts w:hint="eastAsia"/>
          <w:kern w:val="0"/>
          <w:sz w:val="24"/>
        </w:rPr>
        <w:t>等效度的</w:t>
      </w:r>
      <w:r>
        <w:rPr>
          <w:sz w:val="24"/>
        </w:rPr>
        <w:t>值</w:t>
      </w:r>
      <w:r>
        <w:rPr>
          <w:kern w:val="0"/>
          <w:sz w:val="24"/>
        </w:rPr>
        <w:t>与其</w:t>
      </w:r>
      <w:r>
        <w:rPr>
          <w:rFonts w:hint="eastAsia"/>
          <w:kern w:val="0"/>
          <w:sz w:val="24"/>
        </w:rPr>
        <w:t>测量</w:t>
      </w:r>
      <w:r>
        <w:rPr>
          <w:kern w:val="0"/>
          <w:sz w:val="24"/>
        </w:rPr>
        <w:t>不确定度之比</w:t>
      </w:r>
      <w:r>
        <w:rPr>
          <w:rFonts w:hint="eastAsia"/>
          <w:kern w:val="0"/>
          <w:sz w:val="24"/>
        </w:rPr>
        <w:t>。</w:t>
      </w:r>
      <w:r>
        <w:rPr>
          <w:kern w:val="0"/>
          <w:sz w:val="24"/>
        </w:rPr>
        <w:t>用</w:t>
      </w:r>
      <w:r>
        <w:rPr>
          <w:i/>
          <w:sz w:val="24"/>
        </w:rPr>
        <w:t>E</w:t>
      </w:r>
      <w:r>
        <w:rPr>
          <w:sz w:val="24"/>
          <w:vertAlign w:val="subscript"/>
        </w:rPr>
        <w:t>n</w:t>
      </w:r>
      <w:r>
        <w:rPr>
          <w:kern w:val="0"/>
          <w:sz w:val="24"/>
        </w:rPr>
        <w:t>表示。</w:t>
      </w:r>
      <w:r>
        <w:rPr>
          <w:rFonts w:hint="eastAsia"/>
          <w:kern w:val="0"/>
          <w:sz w:val="24"/>
        </w:rPr>
        <w:t>表征参比实验室提供的量值与其测量不确定度之间的自洽程度。</w:t>
      </w:r>
    </w:p>
    <w:p>
      <w:pPr>
        <w:pStyle w:val="3"/>
        <w:spacing w:before="0" w:after="93" w:afterLines="30" w:line="360" w:lineRule="auto"/>
        <w:rPr>
          <w:rFonts w:ascii="Times New Roman" w:hAnsi="Times New Roman" w:eastAsia="宋体-18030"/>
          <w:b w:val="0"/>
          <w:sz w:val="24"/>
        </w:rPr>
      </w:pPr>
      <w:bookmarkStart w:id="35" w:name="_Toc239495216"/>
      <w:bookmarkStart w:id="36" w:name="_Toc137854296"/>
      <w:r>
        <w:rPr>
          <w:rFonts w:ascii="Times New Roman" w:hAnsi="Times New Roman" w:eastAsia="宋体-18030"/>
          <w:b w:val="0"/>
          <w:sz w:val="24"/>
        </w:rPr>
        <w:t>3.10 Z比分数</w:t>
      </w:r>
      <w:r>
        <w:rPr>
          <w:rFonts w:hint="eastAsia" w:ascii="Times New Roman" w:hAnsi="Times New Roman" w:eastAsia="宋体-18030"/>
          <w:b w:val="0"/>
          <w:i/>
          <w:iCs/>
          <w:sz w:val="24"/>
        </w:rPr>
        <w:t xml:space="preserve"> </w:t>
      </w:r>
      <w:r>
        <w:rPr>
          <w:rFonts w:hint="eastAsia" w:ascii="Times New Roman" w:hAnsi="Times New Roman" w:eastAsia="宋体-18030"/>
          <w:b w:val="0"/>
          <w:sz w:val="24"/>
        </w:rPr>
        <w:t>Z score</w:t>
      </w:r>
      <w:bookmarkEnd w:id="35"/>
      <w:bookmarkEnd w:id="36"/>
    </w:p>
    <w:p>
      <w:pPr>
        <w:autoSpaceDE w:val="0"/>
        <w:autoSpaceDN w:val="0"/>
        <w:adjustRightInd w:val="0"/>
        <w:snapToGrid w:val="0"/>
        <w:spacing w:line="360" w:lineRule="auto"/>
        <w:ind w:firstLine="480" w:firstLineChars="200"/>
        <w:jc w:val="left"/>
        <w:rPr>
          <w:kern w:val="0"/>
          <w:sz w:val="24"/>
        </w:rPr>
      </w:pPr>
      <w:r>
        <w:rPr>
          <w:sz w:val="24"/>
        </w:rPr>
        <w:t>为</w:t>
      </w:r>
      <w:r>
        <w:rPr>
          <w:rFonts w:hint="eastAsia"/>
          <w:sz w:val="24"/>
        </w:rPr>
        <w:t>某</w:t>
      </w:r>
      <w:r>
        <w:rPr>
          <w:sz w:val="24"/>
        </w:rPr>
        <w:t>实验室比对结果与参考值的差值与</w:t>
      </w:r>
      <w:r>
        <w:rPr>
          <w:rFonts w:hint="eastAsia"/>
          <w:sz w:val="24"/>
        </w:rPr>
        <w:t>各参加实验室</w:t>
      </w:r>
      <w:r>
        <w:rPr>
          <w:sz w:val="24"/>
        </w:rPr>
        <w:t>比对结果的发散量的适当估计值</w:t>
      </w:r>
      <w:r>
        <w:rPr>
          <w:rFonts w:hint="eastAsia"/>
          <w:sz w:val="24"/>
        </w:rPr>
        <w:t>之比，</w:t>
      </w:r>
      <w:bookmarkStart w:id="37" w:name="_Toc222654287"/>
      <w:r>
        <w:rPr>
          <w:kern w:val="0"/>
          <w:sz w:val="24"/>
        </w:rPr>
        <w:t>用</w:t>
      </w:r>
      <w:r>
        <w:rPr>
          <w:rFonts w:eastAsia="宋体-18030"/>
          <w:i/>
          <w:iCs/>
          <w:sz w:val="24"/>
        </w:rPr>
        <w:t>Z</w:t>
      </w:r>
      <w:r>
        <w:rPr>
          <w:kern w:val="0"/>
          <w:sz w:val="24"/>
        </w:rPr>
        <w:t>表示。</w:t>
      </w:r>
    </w:p>
    <w:p>
      <w:pPr>
        <w:pStyle w:val="2"/>
        <w:rPr>
          <w:sz w:val="28"/>
        </w:rPr>
      </w:pPr>
      <w:bookmarkStart w:id="38" w:name="_Toc239495217"/>
      <w:bookmarkStart w:id="39" w:name="_Toc137854297"/>
      <w:r>
        <w:rPr>
          <w:sz w:val="28"/>
        </w:rPr>
        <w:t>4 概述</w:t>
      </w:r>
      <w:bookmarkEnd w:id="37"/>
      <w:bookmarkEnd w:id="38"/>
      <w:bookmarkEnd w:id="39"/>
    </w:p>
    <w:p>
      <w:pPr>
        <w:pStyle w:val="3"/>
        <w:numPr>
          <w:ilvl w:val="1"/>
          <w:numId w:val="1"/>
        </w:numPr>
        <w:spacing w:before="0" w:after="93" w:afterLines="30" w:line="360" w:lineRule="auto"/>
        <w:rPr>
          <w:rFonts w:ascii="Times New Roman" w:hAnsi="Times New Roman" w:eastAsia="宋体-18030"/>
          <w:b w:val="0"/>
          <w:sz w:val="24"/>
        </w:rPr>
      </w:pPr>
      <w:bookmarkStart w:id="40" w:name="_Toc239495218"/>
      <w:bookmarkStart w:id="41" w:name="_Toc137854298"/>
      <w:r>
        <w:rPr>
          <w:rFonts w:ascii="Times New Roman" w:hAnsi="Times New Roman" w:eastAsia="宋体-18030"/>
          <w:b w:val="0"/>
          <w:sz w:val="24"/>
        </w:rPr>
        <w:t>比对的作用</w:t>
      </w:r>
      <w:bookmarkEnd w:id="40"/>
      <w:bookmarkEnd w:id="41"/>
    </w:p>
    <w:p>
      <w:pPr>
        <w:spacing w:line="360" w:lineRule="auto"/>
        <w:ind w:firstLine="480" w:firstLineChars="200"/>
      </w:pPr>
      <w:r>
        <w:rPr>
          <w:sz w:val="24"/>
        </w:rPr>
        <w:t>比对能考察实验室测量量值的准确一致的程度；考核计量基</w:t>
      </w:r>
      <w:r>
        <w:rPr>
          <w:rFonts w:hint="eastAsia"/>
          <w:sz w:val="24"/>
        </w:rPr>
        <w:t>准或计量</w:t>
      </w:r>
      <w:r>
        <w:rPr>
          <w:sz w:val="24"/>
        </w:rPr>
        <w:t>标准</w:t>
      </w:r>
      <w:r>
        <w:rPr>
          <w:rFonts w:hint="eastAsia"/>
          <w:sz w:val="24"/>
        </w:rPr>
        <w:t>的</w:t>
      </w:r>
      <w:r>
        <w:rPr>
          <w:sz w:val="24"/>
        </w:rPr>
        <w:t>环境条件、人员</w:t>
      </w:r>
      <w:r>
        <w:rPr>
          <w:rFonts w:hint="eastAsia"/>
          <w:sz w:val="24"/>
        </w:rPr>
        <w:t>素质</w:t>
      </w:r>
      <w:r>
        <w:rPr>
          <w:sz w:val="24"/>
        </w:rPr>
        <w:t>、方法</w:t>
      </w:r>
      <w:r>
        <w:rPr>
          <w:rFonts w:hint="eastAsia"/>
          <w:sz w:val="24"/>
        </w:rPr>
        <w:t>技术、</w:t>
      </w:r>
      <w:r>
        <w:rPr>
          <w:sz w:val="24"/>
        </w:rPr>
        <w:t>数据处理、管理</w:t>
      </w:r>
      <w:r>
        <w:rPr>
          <w:rFonts w:hint="eastAsia"/>
          <w:sz w:val="24"/>
        </w:rPr>
        <w:t>维护</w:t>
      </w:r>
      <w:r>
        <w:rPr>
          <w:sz w:val="24"/>
        </w:rPr>
        <w:t>、材料供应等方面的</w:t>
      </w:r>
      <w:r>
        <w:rPr>
          <w:rFonts w:hint="eastAsia"/>
          <w:sz w:val="24"/>
        </w:rPr>
        <w:t>综合</w:t>
      </w:r>
      <w:r>
        <w:rPr>
          <w:sz w:val="24"/>
        </w:rPr>
        <w:t>能力；加强对国家计量基准</w:t>
      </w:r>
      <w:r>
        <w:rPr>
          <w:rFonts w:hint="eastAsia"/>
          <w:sz w:val="24"/>
        </w:rPr>
        <w:t>和计量</w:t>
      </w:r>
      <w:r>
        <w:rPr>
          <w:sz w:val="24"/>
        </w:rPr>
        <w:t>标准的监督管理；保持我国计量基准</w:t>
      </w:r>
      <w:r>
        <w:rPr>
          <w:rFonts w:hint="eastAsia"/>
          <w:sz w:val="24"/>
        </w:rPr>
        <w:t>和计量</w:t>
      </w:r>
      <w:r>
        <w:rPr>
          <w:sz w:val="24"/>
        </w:rPr>
        <w:t>标准的</w:t>
      </w:r>
      <w:r>
        <w:rPr>
          <w:rFonts w:hint="eastAsia"/>
          <w:sz w:val="24"/>
        </w:rPr>
        <w:t>水平</w:t>
      </w:r>
      <w:r>
        <w:rPr>
          <w:sz w:val="24"/>
        </w:rPr>
        <w:t>；确保测量量值准确、可靠。比对的结果可作为各种认证、认可和考核的评审证据及实验室能力的有效证明。</w:t>
      </w:r>
    </w:p>
    <w:p>
      <w:pPr>
        <w:pStyle w:val="3"/>
        <w:numPr>
          <w:ilvl w:val="1"/>
          <w:numId w:val="1"/>
        </w:numPr>
        <w:spacing w:before="0" w:after="93" w:afterLines="30" w:line="360" w:lineRule="auto"/>
        <w:rPr>
          <w:rFonts w:ascii="Times New Roman" w:hAnsi="Times New Roman" w:eastAsia="宋体-18030"/>
          <w:b w:val="0"/>
          <w:sz w:val="24"/>
        </w:rPr>
      </w:pPr>
      <w:bookmarkStart w:id="42" w:name="_Toc239495219"/>
      <w:bookmarkStart w:id="43" w:name="_Toc137854299"/>
      <w:r>
        <w:rPr>
          <w:rFonts w:ascii="Times New Roman" w:hAnsi="Times New Roman" w:eastAsia="宋体-18030"/>
          <w:b w:val="0"/>
          <w:sz w:val="24"/>
        </w:rPr>
        <w:t>比对</w:t>
      </w:r>
      <w:r>
        <w:rPr>
          <w:rFonts w:hint="eastAsia" w:ascii="Times New Roman" w:hAnsi="Times New Roman" w:eastAsia="宋体-18030"/>
          <w:b w:val="0"/>
          <w:sz w:val="24"/>
        </w:rPr>
        <w:t>方法</w:t>
      </w:r>
      <w:bookmarkEnd w:id="42"/>
      <w:bookmarkEnd w:id="43"/>
    </w:p>
    <w:p>
      <w:pPr>
        <w:snapToGrid w:val="0"/>
        <w:spacing w:line="360" w:lineRule="auto"/>
        <w:ind w:firstLine="480" w:firstLineChars="200"/>
        <w:rPr>
          <w:sz w:val="24"/>
        </w:rPr>
      </w:pPr>
      <w:r>
        <w:rPr>
          <w:sz w:val="24"/>
        </w:rPr>
        <w:t>由主导实验室</w:t>
      </w:r>
      <w:r>
        <w:rPr>
          <w:rFonts w:hint="eastAsia"/>
          <w:sz w:val="24"/>
        </w:rPr>
        <w:t>设计比对</w:t>
      </w:r>
      <w:r>
        <w:rPr>
          <w:sz w:val="24"/>
        </w:rPr>
        <w:t>实施</w:t>
      </w:r>
      <w:r>
        <w:rPr>
          <w:rFonts w:hint="eastAsia"/>
          <w:sz w:val="24"/>
        </w:rPr>
        <w:t>方案草案并进行前期实验准备。各参比实验室</w:t>
      </w:r>
      <w:r>
        <w:rPr>
          <w:sz w:val="24"/>
        </w:rPr>
        <w:t>按照预先规定的条件，测量或分度传递标准。</w:t>
      </w:r>
      <w:r>
        <w:rPr>
          <w:rFonts w:hint="eastAsia"/>
          <w:sz w:val="24"/>
        </w:rPr>
        <w:t>由主导实验室</w:t>
      </w:r>
      <w:r>
        <w:rPr>
          <w:sz w:val="24"/>
        </w:rPr>
        <w:t>确定各</w:t>
      </w:r>
      <w:r>
        <w:rPr>
          <w:rFonts w:hint="eastAsia"/>
          <w:sz w:val="24"/>
        </w:rPr>
        <w:t>参比</w:t>
      </w:r>
      <w:r>
        <w:rPr>
          <w:sz w:val="24"/>
        </w:rPr>
        <w:t>实验室测量结果与参考值的一致程度</w:t>
      </w:r>
      <w:r>
        <w:rPr>
          <w:rFonts w:hint="eastAsia"/>
          <w:sz w:val="24"/>
        </w:rPr>
        <w:t>，分析</w:t>
      </w:r>
      <w:r>
        <w:rPr>
          <w:sz w:val="24"/>
        </w:rPr>
        <w:t>各实验室的量值与参考值在合理的不确定度范围内的符合程度，</w:t>
      </w:r>
      <w:r>
        <w:rPr>
          <w:rFonts w:hint="eastAsia"/>
          <w:sz w:val="24"/>
        </w:rPr>
        <w:t>并据此验证</w:t>
      </w:r>
      <w:r>
        <w:rPr>
          <w:sz w:val="24"/>
        </w:rPr>
        <w:t>该实验室的测量能力。</w:t>
      </w:r>
    </w:p>
    <w:p>
      <w:pPr>
        <w:pStyle w:val="2"/>
        <w:rPr>
          <w:sz w:val="28"/>
        </w:rPr>
      </w:pPr>
      <w:bookmarkStart w:id="44" w:name="_Toc137854300"/>
      <w:r>
        <w:rPr>
          <w:sz w:val="28"/>
        </w:rPr>
        <w:t xml:space="preserve">5 </w:t>
      </w:r>
      <w:r>
        <w:rPr>
          <w:rFonts w:hint="eastAsia"/>
          <w:sz w:val="28"/>
        </w:rPr>
        <w:t>组织</w:t>
      </w:r>
      <w:bookmarkEnd w:id="44"/>
    </w:p>
    <w:p>
      <w:pPr>
        <w:pStyle w:val="3"/>
        <w:spacing w:before="0" w:after="93" w:afterLines="30" w:line="360" w:lineRule="auto"/>
        <w:rPr>
          <w:rFonts w:ascii="Times New Roman" w:hAnsi="Times New Roman" w:eastAsia="宋体-18030"/>
          <w:b w:val="0"/>
          <w:sz w:val="24"/>
        </w:rPr>
      </w:pPr>
      <w:bookmarkStart w:id="45" w:name="_Toc137854301"/>
      <w:r>
        <w:rPr>
          <w:rFonts w:ascii="Times New Roman" w:hAnsi="Times New Roman" w:eastAsia="宋体-18030"/>
          <w:b w:val="0"/>
          <w:sz w:val="24"/>
        </w:rPr>
        <w:t xml:space="preserve">5.1 </w:t>
      </w:r>
      <w:r>
        <w:rPr>
          <w:rFonts w:hint="eastAsia" w:ascii="Times New Roman" w:hAnsi="Times New Roman" w:eastAsia="宋体-18030"/>
          <w:b w:val="0"/>
          <w:sz w:val="24"/>
        </w:rPr>
        <w:t>主导实验室</w:t>
      </w:r>
      <w:bookmarkEnd w:id="45"/>
    </w:p>
    <w:p>
      <w:pPr>
        <w:snapToGrid w:val="0"/>
        <w:spacing w:line="360" w:lineRule="auto"/>
        <w:rPr>
          <w:sz w:val="24"/>
        </w:rPr>
      </w:pPr>
      <w:r>
        <w:rPr>
          <w:sz w:val="24"/>
        </w:rPr>
        <w:t>5.1.1 主导实验室应具备的条件</w:t>
      </w:r>
    </w:p>
    <w:p>
      <w:pPr>
        <w:snapToGrid w:val="0"/>
        <w:spacing w:line="360" w:lineRule="auto"/>
        <w:ind w:firstLine="480" w:firstLineChars="200"/>
        <w:rPr>
          <w:sz w:val="24"/>
        </w:rPr>
      </w:pPr>
      <w:r>
        <w:rPr>
          <w:kern w:val="0"/>
          <w:sz w:val="24"/>
        </w:rPr>
        <w:t>a)</w:t>
      </w:r>
      <w:r>
        <w:rPr>
          <w:sz w:val="24"/>
        </w:rPr>
        <w:t xml:space="preserve"> </w:t>
      </w:r>
      <w:r>
        <w:rPr>
          <w:rFonts w:hint="eastAsia"/>
          <w:kern w:val="0"/>
          <w:sz w:val="24"/>
        </w:rPr>
        <w:t>具备专业的比对经验或能力，例如主导或参加过相关量的国际比对、发表过经同行评审认可的比对研究成果等；</w:t>
      </w:r>
      <w:r>
        <w:rPr>
          <w:sz w:val="24"/>
        </w:rPr>
        <w:t xml:space="preserve"> </w:t>
      </w:r>
    </w:p>
    <w:p>
      <w:pPr>
        <w:snapToGrid w:val="0"/>
        <w:spacing w:line="360" w:lineRule="auto"/>
        <w:ind w:firstLine="480" w:firstLineChars="200"/>
        <w:rPr>
          <w:sz w:val="24"/>
        </w:rPr>
      </w:pPr>
      <w:r>
        <w:rPr>
          <w:kern w:val="0"/>
          <w:sz w:val="24"/>
        </w:rPr>
        <w:t>b)</w:t>
      </w:r>
      <w:r>
        <w:rPr>
          <w:rFonts w:hint="eastAsia"/>
          <w:sz w:val="24"/>
        </w:rPr>
        <w:t xml:space="preserve"> </w:t>
      </w:r>
      <w:r>
        <w:rPr>
          <w:sz w:val="24"/>
        </w:rPr>
        <w:t>在比对涉及的领域内有稳定、可靠的计量基准或者计量标准，其测量不确定度</w:t>
      </w:r>
      <w:r>
        <w:rPr>
          <w:rFonts w:hint="eastAsia"/>
          <w:sz w:val="24"/>
        </w:rPr>
        <w:t>满足</w:t>
      </w:r>
      <w:r>
        <w:rPr>
          <w:sz w:val="24"/>
        </w:rPr>
        <w:t>比对的要求；</w:t>
      </w:r>
    </w:p>
    <w:p>
      <w:pPr>
        <w:snapToGrid w:val="0"/>
        <w:spacing w:line="360" w:lineRule="auto"/>
        <w:ind w:firstLine="480" w:firstLineChars="200"/>
        <w:rPr>
          <w:sz w:val="24"/>
        </w:rPr>
      </w:pPr>
      <w:r>
        <w:rPr>
          <w:sz w:val="24"/>
        </w:rPr>
        <w:t>c</w:t>
      </w:r>
      <w:r>
        <w:rPr>
          <w:kern w:val="0"/>
          <w:sz w:val="24"/>
        </w:rPr>
        <w:t xml:space="preserve">) </w:t>
      </w:r>
      <w:r>
        <w:rPr>
          <w:sz w:val="24"/>
        </w:rPr>
        <w:t>具有技术能力与比对主导实验室工作相适应的人员；</w:t>
      </w:r>
    </w:p>
    <w:p>
      <w:pPr>
        <w:pStyle w:val="18"/>
        <w:snapToGrid w:val="0"/>
        <w:spacing w:before="0" w:beforeAutospacing="0" w:after="0" w:afterAutospacing="0" w:line="360" w:lineRule="auto"/>
        <w:rPr>
          <w:rFonts w:ascii="Times New Roman" w:hAnsi="Times New Roman"/>
        </w:rPr>
      </w:pPr>
      <w:r>
        <w:rPr>
          <w:rFonts w:ascii="Times New Roman" w:hAnsi="Times New Roman"/>
        </w:rPr>
        <w:t xml:space="preserve">    d) </w:t>
      </w:r>
      <w:r>
        <w:rPr>
          <w:rFonts w:hint="eastAsia" w:ascii="Times New Roman" w:hAnsi="Times New Roman"/>
        </w:rPr>
        <w:t>能够提供满足计量溯源性要求的准确、稳定和可靠的传递标准</w:t>
      </w:r>
      <w:r>
        <w:rPr>
          <w:rFonts w:ascii="Times New Roman" w:hAnsi="Times New Roman"/>
        </w:rPr>
        <w:t>。</w:t>
      </w:r>
    </w:p>
    <w:p>
      <w:pPr>
        <w:snapToGrid w:val="0"/>
        <w:spacing w:line="360" w:lineRule="auto"/>
        <w:rPr>
          <w:kern w:val="0"/>
          <w:sz w:val="24"/>
        </w:rPr>
      </w:pPr>
      <w:r>
        <w:rPr>
          <w:kern w:val="0"/>
          <w:sz w:val="24"/>
        </w:rPr>
        <w:t>5.1.2 主导实验室</w:t>
      </w:r>
      <w:r>
        <w:rPr>
          <w:rFonts w:hint="eastAsia"/>
          <w:kern w:val="0"/>
          <w:sz w:val="24"/>
        </w:rPr>
        <w:t>职责</w:t>
      </w:r>
    </w:p>
    <w:p>
      <w:pPr>
        <w:snapToGrid w:val="0"/>
        <w:spacing w:line="360" w:lineRule="auto"/>
        <w:ind w:firstLine="480"/>
        <w:rPr>
          <w:sz w:val="24"/>
        </w:rPr>
      </w:pPr>
      <w:r>
        <w:rPr>
          <w:kern w:val="0"/>
          <w:sz w:val="24"/>
        </w:rPr>
        <w:t xml:space="preserve">a) </w:t>
      </w:r>
      <w:r>
        <w:rPr>
          <w:sz w:val="24"/>
        </w:rPr>
        <w:t>预先估计比对的有效性</w:t>
      </w:r>
      <w:r>
        <w:rPr>
          <w:kern w:val="0"/>
          <w:sz w:val="24"/>
        </w:rPr>
        <w:t>，设计或选择</w:t>
      </w:r>
      <w:r>
        <w:rPr>
          <w:sz w:val="24"/>
        </w:rPr>
        <w:t>比对结果明确、可靠、溯源性清晰的比对方案；</w:t>
      </w:r>
    </w:p>
    <w:p>
      <w:pPr>
        <w:pStyle w:val="9"/>
        <w:snapToGrid w:val="0"/>
        <w:ind w:firstLine="461"/>
        <w:rPr>
          <w:kern w:val="0"/>
        </w:rPr>
      </w:pPr>
      <w:r>
        <w:rPr>
          <w:kern w:val="0"/>
        </w:rPr>
        <w:t>b) 开展前期实验，包括但不限于传递标准的重复性、均匀性</w:t>
      </w:r>
      <w:r>
        <w:rPr>
          <w:rFonts w:hint="eastAsia"/>
          <w:kern w:val="0"/>
        </w:rPr>
        <w:t>、</w:t>
      </w:r>
      <w:r>
        <w:rPr>
          <w:kern w:val="0"/>
        </w:rPr>
        <w:t>稳定性</w:t>
      </w:r>
      <w:r>
        <w:rPr>
          <w:rFonts w:hint="eastAsia"/>
          <w:kern w:val="0"/>
        </w:rPr>
        <w:t>、</w:t>
      </w:r>
      <w:r>
        <w:rPr>
          <w:kern w:val="0"/>
        </w:rPr>
        <w:t>运输特性</w:t>
      </w:r>
      <w:r>
        <w:rPr>
          <w:rFonts w:hint="eastAsia"/>
          <w:kern w:val="0"/>
        </w:rPr>
        <w:t>等</w:t>
      </w:r>
      <w:r>
        <w:rPr>
          <w:kern w:val="0"/>
        </w:rPr>
        <w:t>实验</w:t>
      </w:r>
      <w:r>
        <w:rPr>
          <w:rFonts w:hint="eastAsia"/>
          <w:kern w:val="0"/>
        </w:rPr>
        <w:t>，以保证传递标准性能的稳定、可靠</w:t>
      </w:r>
      <w:r>
        <w:rPr>
          <w:kern w:val="0"/>
        </w:rPr>
        <w:t>；</w:t>
      </w:r>
    </w:p>
    <w:p>
      <w:pPr>
        <w:pStyle w:val="9"/>
        <w:snapToGrid w:val="0"/>
        <w:ind w:firstLine="461"/>
        <w:rPr>
          <w:kern w:val="0"/>
        </w:rPr>
      </w:pPr>
      <w:r>
        <w:rPr>
          <w:rFonts w:hint="eastAsia"/>
          <w:kern w:val="0"/>
        </w:rPr>
        <w:t>c</w:t>
      </w:r>
      <w:r>
        <w:rPr>
          <w:kern w:val="0"/>
        </w:rPr>
        <w:t xml:space="preserve">) </w:t>
      </w:r>
      <w:r>
        <w:rPr>
          <w:rFonts w:hint="eastAsia"/>
          <w:kern w:val="0"/>
        </w:rPr>
        <w:t>选择适当的传递方式，</w:t>
      </w:r>
      <w:r>
        <w:rPr>
          <w:kern w:val="0"/>
        </w:rPr>
        <w:t>对传递标准采取必要的包装措施，保证传递过程的安全；</w:t>
      </w:r>
    </w:p>
    <w:p>
      <w:pPr>
        <w:pStyle w:val="9"/>
        <w:snapToGrid w:val="0"/>
        <w:ind w:firstLine="461"/>
        <w:rPr>
          <w:kern w:val="0"/>
        </w:rPr>
      </w:pPr>
      <w:r>
        <w:rPr>
          <w:rFonts w:hint="eastAsia"/>
          <w:kern w:val="0"/>
        </w:rPr>
        <w:t>d</w:t>
      </w:r>
      <w:r>
        <w:rPr>
          <w:kern w:val="0"/>
        </w:rPr>
        <w:t xml:space="preserve">) </w:t>
      </w:r>
      <w:r>
        <w:rPr>
          <w:rFonts w:hint="eastAsia"/>
          <w:kern w:val="0"/>
        </w:rPr>
        <w:t>起草比对实施方案，并在比对实施方案讨论会上对其解释、澄清和说明；</w:t>
      </w:r>
    </w:p>
    <w:p>
      <w:pPr>
        <w:pStyle w:val="9"/>
        <w:snapToGrid w:val="0"/>
        <w:ind w:firstLine="461"/>
        <w:rPr>
          <w:kern w:val="0"/>
        </w:rPr>
      </w:pPr>
      <w:r>
        <w:rPr>
          <w:rFonts w:hint="eastAsia"/>
          <w:kern w:val="0"/>
        </w:rPr>
        <w:t>e）</w:t>
      </w:r>
      <w:r>
        <w:rPr>
          <w:kern w:val="0"/>
        </w:rPr>
        <w:t>协调或解决比对过程中出现的问题，监督比对实验进程，记录比对过程，特别是可能引起争议和分歧的问题的处理过程；</w:t>
      </w:r>
    </w:p>
    <w:p>
      <w:pPr>
        <w:pStyle w:val="9"/>
        <w:snapToGrid w:val="0"/>
        <w:ind w:firstLine="461"/>
        <w:rPr>
          <w:kern w:val="0"/>
        </w:rPr>
      </w:pPr>
      <w:r>
        <w:rPr>
          <w:rFonts w:hint="eastAsia"/>
          <w:kern w:val="0"/>
        </w:rPr>
        <w:t>f</w:t>
      </w:r>
      <w:r>
        <w:rPr>
          <w:kern w:val="0"/>
        </w:rPr>
        <w:t>) 汇总参比实验室的实验数据及相关资料，分析结果，编写比对总结报告；</w:t>
      </w:r>
    </w:p>
    <w:p>
      <w:pPr>
        <w:pStyle w:val="9"/>
        <w:snapToGrid w:val="0"/>
        <w:ind w:firstLine="461"/>
        <w:rPr>
          <w:kern w:val="0"/>
        </w:rPr>
      </w:pPr>
      <w:r>
        <w:rPr>
          <w:rFonts w:hint="eastAsia"/>
          <w:kern w:val="0"/>
        </w:rPr>
        <w:t>g</w:t>
      </w:r>
      <w:r>
        <w:rPr>
          <w:kern w:val="0"/>
        </w:rPr>
        <w:t xml:space="preserve">) </w:t>
      </w:r>
      <w:r>
        <w:rPr>
          <w:rFonts w:hint="eastAsia"/>
          <w:kern w:val="0"/>
        </w:rPr>
        <w:t>向参比实验室发送需要确认或反馈的阶段性报告，形成最终比对报告，并在比对总结会上说明比对报告；</w:t>
      </w:r>
    </w:p>
    <w:p>
      <w:pPr>
        <w:pStyle w:val="9"/>
        <w:snapToGrid w:val="0"/>
        <w:ind w:firstLine="461"/>
        <w:rPr>
          <w:kern w:val="0"/>
        </w:rPr>
      </w:pPr>
      <w:r>
        <w:rPr>
          <w:rFonts w:hint="eastAsia"/>
          <w:kern w:val="0"/>
        </w:rPr>
        <w:t>h）</w:t>
      </w:r>
      <w:r>
        <w:rPr>
          <w:kern w:val="0"/>
        </w:rPr>
        <w:t>遵守有关比对的保密规定。</w:t>
      </w:r>
    </w:p>
    <w:p>
      <w:pPr>
        <w:pStyle w:val="3"/>
        <w:spacing w:before="0" w:after="93" w:afterLines="30" w:line="360" w:lineRule="auto"/>
        <w:rPr>
          <w:rFonts w:ascii="Times New Roman" w:hAnsi="Times New Roman" w:eastAsia="宋体-18030"/>
          <w:b w:val="0"/>
          <w:sz w:val="24"/>
        </w:rPr>
      </w:pPr>
      <w:bookmarkStart w:id="46" w:name="_Toc137854302"/>
      <w:bookmarkStart w:id="47" w:name="_Toc239495223"/>
      <w:r>
        <w:rPr>
          <w:rFonts w:ascii="Times New Roman" w:hAnsi="Times New Roman" w:eastAsia="宋体-18030"/>
          <w:b w:val="0"/>
          <w:sz w:val="24"/>
        </w:rPr>
        <w:t>5.2 参比实验室</w:t>
      </w:r>
      <w:bookmarkEnd w:id="46"/>
      <w:bookmarkEnd w:id="47"/>
    </w:p>
    <w:p>
      <w:pPr>
        <w:pStyle w:val="9"/>
        <w:snapToGrid w:val="0"/>
        <w:ind w:firstLine="461"/>
        <w:rPr>
          <w:kern w:val="0"/>
        </w:rPr>
      </w:pPr>
      <w:r>
        <w:rPr>
          <w:kern w:val="0"/>
        </w:rPr>
        <w:t xml:space="preserve">a) </w:t>
      </w:r>
      <w:r>
        <w:t>当收到比对组织者发布的比对计划时,应按要求及时书面表明是否参加比对；</w:t>
      </w:r>
    </w:p>
    <w:p>
      <w:pPr>
        <w:pStyle w:val="9"/>
        <w:snapToGrid w:val="0"/>
        <w:ind w:firstLine="461"/>
        <w:rPr>
          <w:kern w:val="0"/>
        </w:rPr>
      </w:pPr>
      <w:r>
        <w:rPr>
          <w:kern w:val="0"/>
        </w:rPr>
        <w:t>b) 参与比对实施方案的讨论，</w:t>
      </w:r>
      <w:r>
        <w:rPr>
          <w:rFonts w:hint="eastAsia"/>
          <w:kern w:val="0"/>
        </w:rPr>
        <w:t>理解</w:t>
      </w:r>
      <w:r>
        <w:rPr>
          <w:kern w:val="0"/>
        </w:rPr>
        <w:t>所确定的比对实施方案</w:t>
      </w:r>
      <w:r>
        <w:rPr>
          <w:rFonts w:hint="eastAsia"/>
          <w:kern w:val="0"/>
        </w:rPr>
        <w:t>内容</w:t>
      </w:r>
      <w:r>
        <w:rPr>
          <w:kern w:val="0"/>
        </w:rPr>
        <w:t>；</w:t>
      </w:r>
    </w:p>
    <w:p>
      <w:pPr>
        <w:pStyle w:val="9"/>
        <w:snapToGrid w:val="0"/>
        <w:ind w:firstLine="461"/>
        <w:rPr>
          <w:kern w:val="0"/>
        </w:rPr>
      </w:pPr>
      <w:r>
        <w:rPr>
          <w:kern w:val="0"/>
        </w:rPr>
        <w:t>c) 按比对实施方案的要求接收和交送（或发运）传递标准，确保其安全和完整，如出现意外情况，应及时报告主导实验室；</w:t>
      </w:r>
    </w:p>
    <w:p>
      <w:pPr>
        <w:pStyle w:val="9"/>
        <w:snapToGrid w:val="0"/>
        <w:ind w:firstLine="461"/>
        <w:rPr>
          <w:kern w:val="0"/>
        </w:rPr>
      </w:pPr>
      <w:r>
        <w:rPr>
          <w:kern w:val="0"/>
        </w:rPr>
        <w:t>d) 按照比对实施方案的进度完成比对工作，并记录比对过程。按时向主导实验室上报比对原始数据、测</w:t>
      </w:r>
      <w:r>
        <w:rPr>
          <w:rFonts w:hint="eastAsia"/>
          <w:kern w:val="0"/>
        </w:rPr>
        <w:t>得值</w:t>
      </w:r>
      <w:r>
        <w:rPr>
          <w:kern w:val="0"/>
        </w:rPr>
        <w:t>及其不确定度；</w:t>
      </w:r>
    </w:p>
    <w:p>
      <w:pPr>
        <w:pStyle w:val="9"/>
        <w:snapToGrid w:val="0"/>
        <w:ind w:firstLine="461"/>
        <w:rPr>
          <w:kern w:val="0"/>
        </w:rPr>
      </w:pPr>
      <w:r>
        <w:rPr>
          <w:kern w:val="0"/>
        </w:rPr>
        <w:t>e) 参与比对总结报告的讨论，参加比对总结会及相关技术活动；</w:t>
      </w:r>
    </w:p>
    <w:p>
      <w:pPr>
        <w:pStyle w:val="9"/>
        <w:snapToGrid w:val="0"/>
        <w:ind w:firstLine="461"/>
        <w:rPr>
          <w:kern w:val="0"/>
        </w:rPr>
      </w:pPr>
      <w:r>
        <w:rPr>
          <w:kern w:val="0"/>
        </w:rPr>
        <w:t>f) 遵守有关比对的保密规定。</w:t>
      </w:r>
    </w:p>
    <w:p>
      <w:pPr>
        <w:pStyle w:val="3"/>
        <w:spacing w:before="0" w:after="93" w:afterLines="30" w:line="360" w:lineRule="auto"/>
        <w:rPr>
          <w:rFonts w:ascii="Times New Roman" w:hAnsi="Times New Roman" w:eastAsia="宋体-18030"/>
          <w:b w:val="0"/>
          <w:sz w:val="24"/>
        </w:rPr>
      </w:pPr>
      <w:bookmarkStart w:id="48" w:name="_Toc137854303"/>
      <w:r>
        <w:rPr>
          <w:rFonts w:ascii="Times New Roman" w:hAnsi="Times New Roman" w:eastAsia="宋体-18030"/>
          <w:b w:val="0"/>
          <w:sz w:val="24"/>
        </w:rPr>
        <w:t xml:space="preserve">5.3 </w:t>
      </w:r>
      <w:r>
        <w:rPr>
          <w:rFonts w:hint="eastAsia" w:ascii="Times New Roman" w:hAnsi="Times New Roman" w:eastAsia="宋体-18030"/>
          <w:b w:val="0"/>
          <w:sz w:val="24"/>
        </w:rPr>
        <w:t>专家组</w:t>
      </w:r>
      <w:bookmarkEnd w:id="48"/>
    </w:p>
    <w:p>
      <w:pPr>
        <w:pStyle w:val="9"/>
        <w:snapToGrid w:val="0"/>
        <w:ind w:firstLineChars="200"/>
        <w:rPr>
          <w:kern w:val="0"/>
        </w:rPr>
      </w:pPr>
      <w:r>
        <w:rPr>
          <w:rFonts w:hint="eastAsia"/>
          <w:kern w:val="0"/>
        </w:rPr>
        <w:t>必要时可设置专家组，对关键技术问题提供咨询意见。</w:t>
      </w:r>
    </w:p>
    <w:p>
      <w:pPr>
        <w:pStyle w:val="2"/>
      </w:pPr>
      <w:bookmarkStart w:id="49" w:name="_Toc137854304"/>
      <w:r>
        <w:rPr>
          <w:sz w:val="28"/>
        </w:rPr>
        <w:t xml:space="preserve">6  </w:t>
      </w:r>
      <w:r>
        <w:rPr>
          <w:rFonts w:hint="eastAsia"/>
          <w:sz w:val="28"/>
        </w:rPr>
        <w:t>比对准备</w:t>
      </w:r>
      <w:bookmarkEnd w:id="49"/>
    </w:p>
    <w:p>
      <w:pPr>
        <w:pStyle w:val="3"/>
        <w:spacing w:before="0" w:after="93" w:afterLines="30" w:line="360" w:lineRule="auto"/>
        <w:rPr>
          <w:rFonts w:ascii="Times New Roman" w:hAnsi="Times New Roman" w:eastAsia="宋体-18030"/>
          <w:b w:val="0"/>
          <w:sz w:val="24"/>
        </w:rPr>
      </w:pPr>
      <w:bookmarkStart w:id="50" w:name="_Toc137854305"/>
      <w:r>
        <w:rPr>
          <w:rFonts w:ascii="Times New Roman" w:hAnsi="Times New Roman" w:eastAsia="宋体-18030"/>
          <w:b w:val="0"/>
          <w:sz w:val="24"/>
        </w:rPr>
        <w:t xml:space="preserve">6.1 </w:t>
      </w:r>
      <w:r>
        <w:rPr>
          <w:rFonts w:hint="eastAsia" w:ascii="Times New Roman" w:hAnsi="Times New Roman" w:eastAsia="宋体-18030"/>
          <w:b w:val="0"/>
          <w:sz w:val="24"/>
        </w:rPr>
        <w:t>传递标准的选择及性能评估</w:t>
      </w:r>
      <w:bookmarkEnd w:id="50"/>
    </w:p>
    <w:p>
      <w:pPr>
        <w:snapToGrid w:val="0"/>
        <w:spacing w:line="360" w:lineRule="auto"/>
        <w:ind w:firstLine="480" w:firstLineChars="200"/>
        <w:rPr>
          <w:sz w:val="24"/>
        </w:rPr>
      </w:pPr>
      <w:r>
        <w:rPr>
          <w:rFonts w:hint="eastAsia"/>
          <w:sz w:val="24"/>
        </w:rPr>
        <w:t>主导实验室在申报比对项目开始前应选择并评估准备采用的传递标准的计量性能，确认：</w:t>
      </w:r>
    </w:p>
    <w:p>
      <w:pPr>
        <w:snapToGrid w:val="0"/>
        <w:spacing w:line="360" w:lineRule="auto"/>
        <w:ind w:firstLine="480" w:firstLineChars="200"/>
        <w:rPr>
          <w:sz w:val="24"/>
        </w:rPr>
      </w:pPr>
      <w:r>
        <w:rPr>
          <w:rFonts w:hint="eastAsia"/>
          <w:sz w:val="24"/>
        </w:rPr>
        <w:t>a）传递标准的测量值能够覆盖比对量值的范围；</w:t>
      </w:r>
    </w:p>
    <w:p>
      <w:pPr>
        <w:snapToGrid w:val="0"/>
        <w:spacing w:line="360" w:lineRule="auto"/>
        <w:ind w:firstLine="480" w:firstLineChars="200"/>
        <w:rPr>
          <w:sz w:val="24"/>
        </w:rPr>
      </w:pPr>
      <w:r>
        <w:rPr>
          <w:rFonts w:hint="eastAsia"/>
          <w:sz w:val="24"/>
        </w:rPr>
        <w:t>b）传递标准的稳定性、均匀性、重复性、运输特性引入的</w:t>
      </w:r>
      <w:r>
        <w:rPr>
          <w:rFonts w:hint="eastAsia"/>
        </w:rPr>
        <w:t>测量</w:t>
      </w:r>
      <w:r>
        <w:rPr>
          <w:rFonts w:hint="eastAsia"/>
          <w:sz w:val="24"/>
        </w:rPr>
        <w:t>不确定度与参加比对计量标准的不确定度水平相匹配，不应造成显著影响；</w:t>
      </w:r>
    </w:p>
    <w:p>
      <w:pPr>
        <w:snapToGrid w:val="0"/>
        <w:spacing w:line="360" w:lineRule="auto"/>
        <w:ind w:firstLine="480" w:firstLineChars="200"/>
        <w:rPr>
          <w:sz w:val="24"/>
        </w:rPr>
      </w:pPr>
      <w:r>
        <w:rPr>
          <w:rFonts w:hint="eastAsia"/>
          <w:sz w:val="24"/>
        </w:rPr>
        <w:t>c）大多数实验室对传递标准的安装和测量不存在困难。</w:t>
      </w:r>
    </w:p>
    <w:p>
      <w:pPr>
        <w:pStyle w:val="3"/>
        <w:spacing w:before="0" w:after="93" w:afterLines="30" w:line="360" w:lineRule="auto"/>
        <w:rPr>
          <w:rFonts w:ascii="Times New Roman" w:hAnsi="Times New Roman" w:eastAsia="宋体-18030"/>
          <w:b w:val="0"/>
          <w:sz w:val="24"/>
        </w:rPr>
      </w:pPr>
      <w:bookmarkStart w:id="51" w:name="_Toc137854306"/>
      <w:r>
        <w:rPr>
          <w:rFonts w:ascii="Times New Roman" w:hAnsi="Times New Roman" w:eastAsia="宋体-18030"/>
          <w:b w:val="0"/>
          <w:sz w:val="24"/>
        </w:rPr>
        <w:t xml:space="preserve">6.2 </w:t>
      </w:r>
      <w:r>
        <w:rPr>
          <w:rFonts w:hint="eastAsia" w:ascii="Times New Roman" w:hAnsi="Times New Roman" w:eastAsia="宋体-18030"/>
          <w:b w:val="0"/>
          <w:sz w:val="24"/>
        </w:rPr>
        <w:t>传递方式</w:t>
      </w:r>
      <w:bookmarkEnd w:id="51"/>
    </w:p>
    <w:p>
      <w:pPr>
        <w:snapToGrid w:val="0"/>
        <w:spacing w:line="360" w:lineRule="auto"/>
        <w:ind w:firstLine="480"/>
        <w:rPr>
          <w:sz w:val="24"/>
        </w:rPr>
      </w:pPr>
      <w:r>
        <w:rPr>
          <w:rFonts w:hint="eastAsia"/>
          <w:sz w:val="24"/>
        </w:rPr>
        <w:t>根据参比实验室数量、传递标准特性、比对不确定度需求及专业特点确定传递方式。</w:t>
      </w:r>
      <w:r>
        <w:rPr>
          <w:color w:val="000000"/>
          <w:sz w:val="24"/>
        </w:rPr>
        <w:t>按传递标准传递路线的形式划分，</w:t>
      </w:r>
      <w:r>
        <w:rPr>
          <w:rFonts w:hint="eastAsia"/>
          <w:color w:val="000000"/>
          <w:sz w:val="24"/>
        </w:rPr>
        <w:t>传递</w:t>
      </w:r>
      <w:r>
        <w:rPr>
          <w:color w:val="000000"/>
          <w:sz w:val="24"/>
        </w:rPr>
        <w:t>方式分为移动地点比对和固定地点比对两种方式。多数情况采用移动地点比对方式，推荐环</w:t>
      </w:r>
      <w:r>
        <w:rPr>
          <w:rFonts w:hint="eastAsia"/>
          <w:color w:val="000000"/>
          <w:sz w:val="24"/>
        </w:rPr>
        <w:t>形</w:t>
      </w:r>
      <w:r>
        <w:rPr>
          <w:color w:val="000000"/>
          <w:sz w:val="24"/>
        </w:rPr>
        <w:t>、星</w:t>
      </w:r>
      <w:r>
        <w:rPr>
          <w:rFonts w:hint="eastAsia"/>
          <w:color w:val="000000"/>
          <w:sz w:val="24"/>
        </w:rPr>
        <w:t>形</w:t>
      </w:r>
      <w:r>
        <w:rPr>
          <w:color w:val="000000"/>
          <w:sz w:val="24"/>
        </w:rPr>
        <w:t>和花瓣</w:t>
      </w:r>
      <w:r>
        <w:rPr>
          <w:rFonts w:hint="eastAsia"/>
          <w:color w:val="000000"/>
          <w:sz w:val="24"/>
        </w:rPr>
        <w:t>形</w:t>
      </w:r>
      <w:r>
        <w:rPr>
          <w:color w:val="000000"/>
          <w:sz w:val="24"/>
        </w:rPr>
        <w:t>三种常见方式</w:t>
      </w:r>
      <w:r>
        <w:rPr>
          <w:rFonts w:hint="eastAsia"/>
          <w:color w:val="000000"/>
          <w:sz w:val="24"/>
        </w:rPr>
        <w:t>及其组合形式</w:t>
      </w:r>
      <w:r>
        <w:rPr>
          <w:color w:val="000000"/>
          <w:sz w:val="24"/>
        </w:rPr>
        <w:t>。</w:t>
      </w:r>
      <w:r>
        <w:rPr>
          <w:rFonts w:hint="eastAsia"/>
          <w:sz w:val="24"/>
        </w:rPr>
        <w:t>详见附录A。</w:t>
      </w:r>
    </w:p>
    <w:p>
      <w:pPr>
        <w:pStyle w:val="3"/>
        <w:spacing w:before="0" w:after="93" w:afterLines="30" w:line="360" w:lineRule="auto"/>
        <w:rPr>
          <w:rFonts w:ascii="Times New Roman" w:hAnsi="Times New Roman" w:eastAsia="宋体-18030"/>
          <w:b w:val="0"/>
          <w:sz w:val="24"/>
        </w:rPr>
      </w:pPr>
      <w:bookmarkStart w:id="52" w:name="_Toc137854307"/>
      <w:r>
        <w:rPr>
          <w:rFonts w:hint="eastAsia" w:ascii="Times New Roman" w:hAnsi="Times New Roman" w:eastAsia="宋体-18030"/>
          <w:b w:val="0"/>
          <w:sz w:val="24"/>
        </w:rPr>
        <w:t>6.3 比对实验方法</w:t>
      </w:r>
      <w:bookmarkEnd w:id="52"/>
    </w:p>
    <w:p>
      <w:pPr>
        <w:autoSpaceDE w:val="0"/>
        <w:autoSpaceDN w:val="0"/>
        <w:adjustRightInd w:val="0"/>
        <w:snapToGrid w:val="0"/>
        <w:spacing w:line="360" w:lineRule="auto"/>
        <w:ind w:firstLine="480" w:firstLineChars="200"/>
        <w:jc w:val="left"/>
        <w:rPr>
          <w:kern w:val="0"/>
          <w:sz w:val="24"/>
        </w:rPr>
      </w:pPr>
      <w:r>
        <w:rPr>
          <w:rFonts w:hint="eastAsia"/>
          <w:kern w:val="0"/>
          <w:sz w:val="24"/>
        </w:rPr>
        <w:t>比对实验涉及两个方面，一个是参比实验室对传递标准赋值的实验，另一个是主导实验室为实现实验室间量值可比所附加的实验。</w:t>
      </w:r>
    </w:p>
    <w:p>
      <w:pPr>
        <w:autoSpaceDE w:val="0"/>
        <w:autoSpaceDN w:val="0"/>
        <w:adjustRightInd w:val="0"/>
        <w:snapToGrid w:val="0"/>
        <w:spacing w:line="360" w:lineRule="auto"/>
        <w:ind w:firstLine="480" w:firstLineChars="200"/>
        <w:jc w:val="left"/>
        <w:rPr>
          <w:kern w:val="0"/>
          <w:sz w:val="24"/>
        </w:rPr>
      </w:pPr>
      <w:r>
        <w:rPr>
          <w:rFonts w:hint="eastAsia"/>
          <w:kern w:val="0"/>
          <w:sz w:val="24"/>
        </w:rPr>
        <w:t>参比实验室的测量在原则上应采用检定校准的常规方法，以体现其检定校准中的常规能力。如果常规方法引入的测量不确定度会显著影响比对结果的有效性，可附加采用优化方法的比对实验。</w:t>
      </w:r>
    </w:p>
    <w:p>
      <w:pPr>
        <w:autoSpaceDE w:val="0"/>
        <w:autoSpaceDN w:val="0"/>
        <w:adjustRightInd w:val="0"/>
        <w:snapToGrid w:val="0"/>
        <w:spacing w:line="360" w:lineRule="auto"/>
        <w:ind w:firstLine="480" w:firstLineChars="200"/>
        <w:jc w:val="left"/>
        <w:rPr>
          <w:kern w:val="0"/>
          <w:sz w:val="24"/>
        </w:rPr>
      </w:pPr>
      <w:r>
        <w:rPr>
          <w:rFonts w:hint="eastAsia"/>
          <w:kern w:val="0"/>
          <w:sz w:val="24"/>
        </w:rPr>
        <w:t>通常由主导实验室等承担的各实验室间量值可比所附加的实验，应本着不显著增加测量不确定度的原则确定实验方法细节。</w:t>
      </w:r>
    </w:p>
    <w:p>
      <w:pPr>
        <w:pStyle w:val="3"/>
        <w:spacing w:before="0" w:after="93" w:afterLines="30" w:line="360" w:lineRule="auto"/>
        <w:rPr>
          <w:sz w:val="24"/>
        </w:rPr>
      </w:pPr>
      <w:bookmarkStart w:id="53" w:name="_Toc137854308"/>
      <w:r>
        <w:rPr>
          <w:rFonts w:ascii="Times New Roman" w:hAnsi="Times New Roman" w:eastAsia="宋体-18030"/>
          <w:b w:val="0"/>
          <w:sz w:val="24"/>
        </w:rPr>
        <w:t xml:space="preserve">6.4 </w:t>
      </w:r>
      <w:r>
        <w:rPr>
          <w:rFonts w:hint="eastAsia" w:ascii="Times New Roman" w:hAnsi="Times New Roman" w:eastAsia="宋体-18030"/>
          <w:b w:val="0"/>
          <w:sz w:val="24"/>
        </w:rPr>
        <w:t>参考值的确定方法</w:t>
      </w:r>
      <w:bookmarkEnd w:id="53"/>
      <w:r>
        <w:rPr>
          <w:rFonts w:hint="eastAsia" w:ascii="Times New Roman" w:hAnsi="Times New Roman" w:eastAsia="宋体-18030"/>
          <w:b w:val="0"/>
          <w:sz w:val="24"/>
        </w:rPr>
        <w:t xml:space="preserve"> </w:t>
      </w:r>
    </w:p>
    <w:p>
      <w:pPr>
        <w:snapToGrid w:val="0"/>
        <w:spacing w:line="360" w:lineRule="auto"/>
        <w:rPr>
          <w:sz w:val="24"/>
        </w:rPr>
      </w:pPr>
      <w:r>
        <w:rPr>
          <w:rFonts w:hint="eastAsia"/>
          <w:sz w:val="24"/>
        </w:rPr>
        <w:t xml:space="preserve"> </w:t>
      </w:r>
      <w:r>
        <w:rPr>
          <w:sz w:val="24"/>
        </w:rPr>
        <w:t xml:space="preserve">   </w:t>
      </w:r>
      <w:r>
        <w:rPr>
          <w:rFonts w:hint="eastAsia"/>
          <w:sz w:val="24"/>
        </w:rPr>
        <w:t>参考值应主要来源于具有更高准确度等级资格或者具有更高级别比对的等效度</w:t>
      </w:r>
      <w:r>
        <w:rPr>
          <w:rFonts w:hint="eastAsia"/>
        </w:rPr>
        <w:t>支持的</w:t>
      </w:r>
      <w:r>
        <w:rPr>
          <w:rFonts w:hint="eastAsia"/>
          <w:sz w:val="24"/>
        </w:rPr>
        <w:t>实验室；当不具备该条件时，可以由多个参比实验室的有效量值得出。应选择可获得更小不确定度的参考值来源方式。选择参考值的具体原则见附录C。</w:t>
      </w:r>
    </w:p>
    <w:p>
      <w:pPr>
        <w:pStyle w:val="3"/>
        <w:spacing w:before="0" w:after="93" w:afterLines="30" w:line="360" w:lineRule="auto"/>
        <w:rPr>
          <w:rFonts w:ascii="Times New Roman" w:hAnsi="Times New Roman" w:eastAsia="宋体-18030"/>
          <w:b w:val="0"/>
          <w:sz w:val="24"/>
        </w:rPr>
      </w:pPr>
      <w:bookmarkStart w:id="54" w:name="_Toc137854309"/>
      <w:r>
        <w:rPr>
          <w:rFonts w:ascii="Times New Roman" w:hAnsi="Times New Roman" w:eastAsia="宋体-18030"/>
          <w:b w:val="0"/>
          <w:sz w:val="24"/>
        </w:rPr>
        <w:t>6.5</w:t>
      </w:r>
      <w:r>
        <w:rPr>
          <w:rFonts w:hint="eastAsia" w:ascii="Times New Roman" w:hAnsi="Times New Roman" w:eastAsia="宋体-18030"/>
          <w:b w:val="0"/>
          <w:sz w:val="24"/>
        </w:rPr>
        <w:t xml:space="preserve"> 比对实施方案</w:t>
      </w:r>
      <w:bookmarkEnd w:id="54"/>
    </w:p>
    <w:p>
      <w:pPr>
        <w:snapToGrid w:val="0"/>
        <w:spacing w:line="360" w:lineRule="auto"/>
        <w:ind w:firstLine="480" w:firstLineChars="200"/>
        <w:rPr>
          <w:sz w:val="24"/>
        </w:rPr>
      </w:pPr>
      <w:r>
        <w:rPr>
          <w:rFonts w:hint="eastAsia"/>
          <w:sz w:val="24"/>
        </w:rPr>
        <w:t xml:space="preserve">主导实验室负责起草比对实施方案。方案应包含如下技术内容： </w:t>
      </w:r>
    </w:p>
    <w:p>
      <w:pPr>
        <w:snapToGrid w:val="0"/>
        <w:spacing w:line="360" w:lineRule="auto"/>
        <w:ind w:firstLine="480" w:firstLineChars="200"/>
        <w:rPr>
          <w:sz w:val="24"/>
        </w:rPr>
      </w:pPr>
      <w:r>
        <w:rPr>
          <w:rFonts w:hint="eastAsia"/>
          <w:sz w:val="24"/>
        </w:rPr>
        <w:t>6</w:t>
      </w:r>
      <w:r>
        <w:rPr>
          <w:sz w:val="24"/>
        </w:rPr>
        <w:t xml:space="preserve">.5.1 </w:t>
      </w:r>
      <w:r>
        <w:rPr>
          <w:rFonts w:hint="eastAsia"/>
          <w:sz w:val="24"/>
        </w:rPr>
        <w:t>明确比对所针对的量和其值范围；</w:t>
      </w:r>
      <w:r>
        <w:rPr>
          <w:sz w:val="24"/>
        </w:rPr>
        <w:t xml:space="preserve"> </w:t>
      </w:r>
      <w:r>
        <w:rPr>
          <w:rFonts w:hint="eastAsia"/>
          <w:sz w:val="24"/>
        </w:rPr>
        <w:t>测量点的选取应能反映和代表参比实验室的测量水平。</w:t>
      </w:r>
    </w:p>
    <w:p>
      <w:pPr>
        <w:snapToGrid w:val="0"/>
        <w:spacing w:line="360" w:lineRule="auto"/>
        <w:ind w:firstLine="480" w:firstLineChars="200"/>
        <w:rPr>
          <w:sz w:val="24"/>
        </w:rPr>
      </w:pPr>
      <w:r>
        <w:rPr>
          <w:rFonts w:hint="eastAsia"/>
          <w:sz w:val="24"/>
        </w:rPr>
        <w:t>6,</w:t>
      </w:r>
      <w:r>
        <w:rPr>
          <w:sz w:val="24"/>
        </w:rPr>
        <w:t>5</w:t>
      </w:r>
      <w:r>
        <w:rPr>
          <w:rFonts w:hint="eastAsia"/>
          <w:sz w:val="24"/>
        </w:rPr>
        <w:t>,</w:t>
      </w:r>
      <w:r>
        <w:rPr>
          <w:sz w:val="24"/>
        </w:rPr>
        <w:t xml:space="preserve">2 </w:t>
      </w:r>
      <w:r>
        <w:rPr>
          <w:rFonts w:hint="eastAsia"/>
          <w:sz w:val="24"/>
        </w:rPr>
        <w:t>传递标准及特性描述、实验要求、传递方式等；</w:t>
      </w:r>
    </w:p>
    <w:p>
      <w:pPr>
        <w:snapToGrid w:val="0"/>
        <w:spacing w:line="360" w:lineRule="auto"/>
        <w:ind w:firstLine="480" w:firstLineChars="200"/>
        <w:rPr>
          <w:sz w:val="24"/>
        </w:rPr>
      </w:pPr>
      <w:r>
        <w:rPr>
          <w:rFonts w:hint="eastAsia"/>
          <w:sz w:val="24"/>
        </w:rPr>
        <w:t>6,5</w:t>
      </w:r>
      <w:r>
        <w:rPr>
          <w:sz w:val="24"/>
        </w:rPr>
        <w:t xml:space="preserve">.3 </w:t>
      </w:r>
      <w:r>
        <w:rPr>
          <w:rFonts w:hint="eastAsia"/>
          <w:sz w:val="24"/>
        </w:rPr>
        <w:t>参考值的确定方法；</w:t>
      </w:r>
    </w:p>
    <w:p>
      <w:pPr>
        <w:numPr>
          <w:ilvl w:val="2"/>
          <w:numId w:val="2"/>
        </w:numPr>
        <w:snapToGrid w:val="0"/>
        <w:spacing w:line="360" w:lineRule="auto"/>
        <w:rPr>
          <w:sz w:val="24"/>
        </w:rPr>
      </w:pPr>
      <w:r>
        <w:rPr>
          <w:rFonts w:hint="eastAsia"/>
          <w:sz w:val="24"/>
        </w:rPr>
        <w:t>数据处理方法和比对结果相容性判断原则。</w:t>
      </w:r>
    </w:p>
    <w:p>
      <w:pPr>
        <w:snapToGrid w:val="0"/>
        <w:spacing w:line="360" w:lineRule="auto"/>
        <w:ind w:firstLine="480"/>
        <w:rPr>
          <w:sz w:val="24"/>
        </w:rPr>
      </w:pPr>
      <w:r>
        <w:rPr>
          <w:sz w:val="24"/>
        </w:rPr>
        <w:t>比对实施方案应包括</w:t>
      </w:r>
      <w:r>
        <w:rPr>
          <w:rFonts w:hint="eastAsia"/>
          <w:sz w:val="24"/>
        </w:rPr>
        <w:t>的</w:t>
      </w:r>
      <w:r>
        <w:rPr>
          <w:sz w:val="24"/>
        </w:rPr>
        <w:t>内容</w:t>
      </w:r>
      <w:r>
        <w:rPr>
          <w:rFonts w:hint="eastAsia"/>
          <w:sz w:val="24"/>
        </w:rPr>
        <w:t>详见附录B。</w:t>
      </w:r>
    </w:p>
    <w:p>
      <w:pPr>
        <w:pStyle w:val="2"/>
        <w:rPr>
          <w:sz w:val="28"/>
        </w:rPr>
      </w:pPr>
      <w:bookmarkStart w:id="55" w:name="_Toc137854310"/>
      <w:r>
        <w:rPr>
          <w:sz w:val="28"/>
        </w:rPr>
        <w:t xml:space="preserve">7  </w:t>
      </w:r>
      <w:r>
        <w:rPr>
          <w:rFonts w:hint="eastAsia"/>
          <w:sz w:val="28"/>
        </w:rPr>
        <w:t>比对实施</w:t>
      </w:r>
      <w:bookmarkEnd w:id="55"/>
    </w:p>
    <w:p>
      <w:pPr>
        <w:pStyle w:val="3"/>
        <w:spacing w:before="0" w:after="93" w:afterLines="30" w:line="360" w:lineRule="auto"/>
        <w:rPr>
          <w:rFonts w:ascii="Times New Roman" w:hAnsi="Times New Roman" w:eastAsia="宋体-18030"/>
          <w:b w:val="0"/>
          <w:sz w:val="24"/>
        </w:rPr>
      </w:pPr>
      <w:bookmarkStart w:id="56" w:name="_Toc137854311"/>
      <w:r>
        <w:rPr>
          <w:rFonts w:ascii="Times New Roman" w:hAnsi="Times New Roman" w:eastAsia="宋体-18030"/>
          <w:b w:val="0"/>
          <w:sz w:val="24"/>
        </w:rPr>
        <w:t xml:space="preserve">7.1 </w:t>
      </w:r>
      <w:r>
        <w:rPr>
          <w:rFonts w:hint="eastAsia" w:ascii="Times New Roman" w:hAnsi="Times New Roman" w:eastAsia="宋体-18030"/>
          <w:b w:val="0"/>
          <w:sz w:val="24"/>
        </w:rPr>
        <w:t>比对实施方案讨论</w:t>
      </w:r>
      <w:bookmarkEnd w:id="56"/>
    </w:p>
    <w:p>
      <w:pPr>
        <w:snapToGrid w:val="0"/>
        <w:spacing w:line="360" w:lineRule="auto"/>
        <w:ind w:firstLine="480" w:firstLineChars="200"/>
        <w:rPr>
          <w:sz w:val="24"/>
        </w:rPr>
      </w:pPr>
      <w:r>
        <w:rPr>
          <w:rFonts w:hint="eastAsia"/>
          <w:sz w:val="24"/>
        </w:rPr>
        <w:t>比对实施方案应经所有参比实验室会商讨论并确认后定稿启用，讨论过程中应尊重并妥善处理所有意见和建议。通过后按实施方案确定的规则和时间安排推进。</w:t>
      </w:r>
    </w:p>
    <w:p>
      <w:pPr>
        <w:pStyle w:val="3"/>
        <w:spacing w:before="0" w:after="93" w:afterLines="30" w:line="360" w:lineRule="auto"/>
        <w:rPr>
          <w:rFonts w:ascii="Times New Roman" w:hAnsi="Times New Roman" w:eastAsia="宋体-18030"/>
          <w:b w:val="0"/>
          <w:sz w:val="24"/>
        </w:rPr>
      </w:pPr>
      <w:bookmarkStart w:id="57" w:name="_Toc137854312"/>
      <w:bookmarkStart w:id="58" w:name="_Toc239495235"/>
      <w:r>
        <w:rPr>
          <w:rFonts w:ascii="Times New Roman" w:hAnsi="Times New Roman" w:eastAsia="宋体-18030"/>
          <w:b w:val="0"/>
          <w:sz w:val="24"/>
        </w:rPr>
        <w:t>7.2 比对实验</w:t>
      </w:r>
      <w:bookmarkEnd w:id="57"/>
    </w:p>
    <w:bookmarkEnd w:id="58"/>
    <w:p>
      <w:pPr>
        <w:autoSpaceDE w:val="0"/>
        <w:autoSpaceDN w:val="0"/>
        <w:adjustRightInd w:val="0"/>
        <w:snapToGrid w:val="0"/>
        <w:spacing w:line="360" w:lineRule="auto"/>
        <w:jc w:val="left"/>
        <w:rPr>
          <w:kern w:val="0"/>
          <w:sz w:val="24"/>
        </w:rPr>
      </w:pPr>
      <w:r>
        <w:rPr>
          <w:kern w:val="0"/>
          <w:sz w:val="24"/>
        </w:rPr>
        <w:t>7.2.1 主导实验室和参比实验室按比对实施方案的规定接</w:t>
      </w:r>
      <w:r>
        <w:rPr>
          <w:rFonts w:hint="eastAsia"/>
          <w:kern w:val="0"/>
          <w:sz w:val="24"/>
        </w:rPr>
        <w:t>收</w:t>
      </w:r>
      <w:r>
        <w:rPr>
          <w:kern w:val="0"/>
          <w:sz w:val="24"/>
        </w:rPr>
        <w:t>传递标准</w:t>
      </w:r>
      <w:r>
        <w:rPr>
          <w:rFonts w:hint="eastAsia"/>
          <w:kern w:val="0"/>
          <w:sz w:val="24"/>
        </w:rPr>
        <w:t>，</w:t>
      </w:r>
      <w:r>
        <w:rPr>
          <w:kern w:val="0"/>
          <w:sz w:val="24"/>
        </w:rPr>
        <w:t>完成比对实验并交送（或发运）传递标准。</w:t>
      </w:r>
    </w:p>
    <w:p>
      <w:pPr>
        <w:snapToGrid w:val="0"/>
        <w:spacing w:line="360" w:lineRule="auto"/>
        <w:rPr>
          <w:kern w:val="0"/>
          <w:sz w:val="24"/>
        </w:rPr>
      </w:pPr>
      <w:r>
        <w:rPr>
          <w:kern w:val="0"/>
          <w:sz w:val="24"/>
        </w:rPr>
        <w:t xml:space="preserve">7.2.2 </w:t>
      </w:r>
      <w:bookmarkStart w:id="59" w:name="_Hlk116488760"/>
      <w:r>
        <w:rPr>
          <w:kern w:val="0"/>
          <w:sz w:val="24"/>
        </w:rPr>
        <w:t>对比对实施方案的任何偏离均应有书面记录，并及时通知主导实验室或相关参比实验室。</w:t>
      </w:r>
    </w:p>
    <w:bookmarkEnd w:id="59"/>
    <w:p>
      <w:pPr>
        <w:snapToGrid w:val="0"/>
        <w:spacing w:line="360" w:lineRule="auto"/>
        <w:rPr>
          <w:kern w:val="0"/>
          <w:sz w:val="24"/>
        </w:rPr>
      </w:pPr>
      <w:r>
        <w:rPr>
          <w:kern w:val="0"/>
          <w:sz w:val="24"/>
        </w:rPr>
        <w:t xml:space="preserve">7.2.3  </w:t>
      </w:r>
      <w:r>
        <w:rPr>
          <w:rFonts w:hint="eastAsia"/>
          <w:kern w:val="0"/>
          <w:sz w:val="24"/>
        </w:rPr>
        <w:t>如在实验测量过程中传递标准发生异常，需马上停止实验、保持状态，并报主导实验室，主导实验室明确处理意见后，方可按主导实验室意见采取措施。</w:t>
      </w:r>
      <w:r>
        <w:rPr>
          <w:kern w:val="0"/>
          <w:sz w:val="24"/>
        </w:rPr>
        <w:t xml:space="preserve"> </w:t>
      </w:r>
    </w:p>
    <w:p>
      <w:pPr>
        <w:snapToGrid w:val="0"/>
        <w:spacing w:line="360" w:lineRule="auto"/>
        <w:rPr>
          <w:kern w:val="0"/>
          <w:sz w:val="24"/>
        </w:rPr>
      </w:pPr>
      <w:r>
        <w:rPr>
          <w:kern w:val="0"/>
          <w:sz w:val="24"/>
        </w:rPr>
        <w:t xml:space="preserve">7.2.4  </w:t>
      </w:r>
      <w:r>
        <w:rPr>
          <w:rFonts w:hint="eastAsia"/>
          <w:kern w:val="0"/>
          <w:sz w:val="24"/>
        </w:rPr>
        <w:t>任何原因导致的时间推延，主导实验室均应重新制定时间计划并以书面方式及时告知参比实验室。</w:t>
      </w:r>
    </w:p>
    <w:p>
      <w:pPr>
        <w:pStyle w:val="3"/>
        <w:spacing w:before="0" w:after="93" w:afterLines="30" w:line="360" w:lineRule="auto"/>
        <w:rPr>
          <w:rFonts w:ascii="Times New Roman" w:hAnsi="Times New Roman" w:eastAsia="宋体-18030"/>
          <w:b w:val="0"/>
          <w:sz w:val="24"/>
        </w:rPr>
      </w:pPr>
      <w:bookmarkStart w:id="60" w:name="_Toc137854313"/>
      <w:r>
        <w:rPr>
          <w:rFonts w:ascii="Times New Roman" w:hAnsi="Times New Roman" w:eastAsia="宋体-18030"/>
          <w:b w:val="0"/>
          <w:sz w:val="24"/>
        </w:rPr>
        <w:t>7.3 比对</w:t>
      </w:r>
      <w:r>
        <w:rPr>
          <w:rFonts w:hint="eastAsia" w:ascii="Times New Roman" w:hAnsi="Times New Roman" w:eastAsia="宋体-18030"/>
          <w:b w:val="0"/>
          <w:sz w:val="24"/>
        </w:rPr>
        <w:t>资料</w:t>
      </w:r>
      <w:r>
        <w:rPr>
          <w:rFonts w:ascii="Times New Roman" w:hAnsi="Times New Roman" w:eastAsia="宋体-18030"/>
          <w:b w:val="0"/>
          <w:sz w:val="24"/>
        </w:rPr>
        <w:t>提交</w:t>
      </w:r>
      <w:bookmarkEnd w:id="60"/>
    </w:p>
    <w:p>
      <w:pPr>
        <w:autoSpaceDE w:val="0"/>
        <w:autoSpaceDN w:val="0"/>
        <w:adjustRightInd w:val="0"/>
        <w:snapToGrid w:val="0"/>
        <w:spacing w:line="360" w:lineRule="auto"/>
        <w:jc w:val="left"/>
        <w:rPr>
          <w:color w:val="000000"/>
          <w:sz w:val="24"/>
        </w:rPr>
      </w:pPr>
      <w:r>
        <w:rPr>
          <w:kern w:val="0"/>
          <w:sz w:val="24"/>
        </w:rPr>
        <w:t>7.</w:t>
      </w:r>
      <w:r>
        <w:rPr>
          <w:rFonts w:hint="eastAsia"/>
          <w:kern w:val="0"/>
          <w:sz w:val="24"/>
        </w:rPr>
        <w:t>3.</w:t>
      </w:r>
      <w:r>
        <w:rPr>
          <w:kern w:val="0"/>
          <w:sz w:val="24"/>
        </w:rPr>
        <w:t>1 当比对实验完成后，参比实验室应在规定时间内向主导实验室提交经确认的比对数据及相关资料。主导实验室</w:t>
      </w:r>
      <w:r>
        <w:rPr>
          <w:sz w:val="24"/>
        </w:rPr>
        <w:t>可以要求参比实验室提供电子文</w:t>
      </w:r>
      <w:r>
        <w:rPr>
          <w:color w:val="000000"/>
          <w:sz w:val="24"/>
        </w:rPr>
        <w:t>件数据；但当数据是以电子文件和书面报告两种形式提交时，需以书面</w:t>
      </w:r>
      <w:r>
        <w:rPr>
          <w:kern w:val="0"/>
          <w:sz w:val="24"/>
        </w:rPr>
        <w:t>报告</w:t>
      </w:r>
      <w:r>
        <w:rPr>
          <w:color w:val="000000"/>
          <w:sz w:val="24"/>
        </w:rPr>
        <w:t>的数据为准。</w:t>
      </w:r>
    </w:p>
    <w:p>
      <w:pPr>
        <w:snapToGrid w:val="0"/>
        <w:spacing w:line="360" w:lineRule="auto"/>
        <w:rPr>
          <w:color w:val="000000"/>
          <w:sz w:val="24"/>
        </w:rPr>
      </w:pPr>
      <w:r>
        <w:rPr>
          <w:sz w:val="24"/>
        </w:rPr>
        <w:t>7.3.2 原则上，参比实验室向主导</w:t>
      </w:r>
      <w:r>
        <w:rPr>
          <w:color w:val="000000"/>
          <w:sz w:val="24"/>
        </w:rPr>
        <w:t>实验室提交</w:t>
      </w:r>
      <w:r>
        <w:rPr>
          <w:rFonts w:hint="eastAsia"/>
          <w:color w:val="000000"/>
          <w:sz w:val="24"/>
        </w:rPr>
        <w:t>的</w:t>
      </w:r>
      <w:r>
        <w:rPr>
          <w:color w:val="000000"/>
          <w:sz w:val="24"/>
        </w:rPr>
        <w:t>比对数据不允许修改。在规定</w:t>
      </w:r>
      <w:r>
        <w:rPr>
          <w:rFonts w:hint="eastAsia"/>
          <w:color w:val="000000"/>
          <w:sz w:val="24"/>
        </w:rPr>
        <w:t>时间</w:t>
      </w:r>
      <w:r>
        <w:rPr>
          <w:color w:val="000000"/>
          <w:sz w:val="24"/>
        </w:rPr>
        <w:t>内，</w:t>
      </w:r>
      <w:r>
        <w:rPr>
          <w:rFonts w:hint="eastAsia"/>
          <w:color w:val="000000"/>
          <w:sz w:val="24"/>
        </w:rPr>
        <w:t>比对数据的补充或者相关资料的</w:t>
      </w:r>
      <w:r>
        <w:rPr>
          <w:color w:val="000000"/>
          <w:sz w:val="24"/>
        </w:rPr>
        <w:t>修改应以书面报告</w:t>
      </w:r>
      <w:r>
        <w:rPr>
          <w:rFonts w:hint="eastAsia"/>
          <w:color w:val="000000"/>
          <w:sz w:val="24"/>
        </w:rPr>
        <w:t>形</w:t>
      </w:r>
      <w:r>
        <w:rPr>
          <w:color w:val="000000"/>
          <w:sz w:val="24"/>
        </w:rPr>
        <w:t>式正式提出，详细说明原因</w:t>
      </w:r>
      <w:r>
        <w:rPr>
          <w:rFonts w:hint="eastAsia"/>
          <w:color w:val="000000"/>
          <w:sz w:val="24"/>
        </w:rPr>
        <w:t>并明确列出补充和修改内容</w:t>
      </w:r>
      <w:r>
        <w:rPr>
          <w:color w:val="000000"/>
          <w:sz w:val="24"/>
        </w:rPr>
        <w:t>。</w:t>
      </w:r>
    </w:p>
    <w:p>
      <w:pPr>
        <w:snapToGrid w:val="0"/>
        <w:spacing w:line="360" w:lineRule="auto"/>
        <w:ind w:firstLine="496" w:firstLineChars="207"/>
        <w:rPr>
          <w:color w:val="000000"/>
          <w:sz w:val="24"/>
        </w:rPr>
      </w:pPr>
      <w:r>
        <w:rPr>
          <w:sz w:val="24"/>
        </w:rPr>
        <w:t>主导实验室只能接受参比实验室</w:t>
      </w:r>
      <w:r>
        <w:rPr>
          <w:color w:val="000000"/>
          <w:sz w:val="24"/>
        </w:rPr>
        <w:t>在规定时限内提交的</w:t>
      </w:r>
      <w:r>
        <w:rPr>
          <w:sz w:val="24"/>
        </w:rPr>
        <w:t>对数据的勘误</w:t>
      </w:r>
      <w:r>
        <w:rPr>
          <w:color w:val="000000"/>
          <w:sz w:val="24"/>
        </w:rPr>
        <w:t>报告，并</w:t>
      </w:r>
      <w:r>
        <w:rPr>
          <w:sz w:val="24"/>
        </w:rPr>
        <w:t>需在起草的比对总结报告中</w:t>
      </w:r>
      <w:r>
        <w:rPr>
          <w:color w:val="000000"/>
          <w:sz w:val="24"/>
        </w:rPr>
        <w:t>说明原因和修改内容。</w:t>
      </w:r>
    </w:p>
    <w:p>
      <w:pPr>
        <w:pStyle w:val="2"/>
        <w:rPr>
          <w:sz w:val="28"/>
        </w:rPr>
      </w:pPr>
      <w:bookmarkStart w:id="61" w:name="_Toc137854314"/>
      <w:r>
        <w:rPr>
          <w:sz w:val="28"/>
        </w:rPr>
        <w:t xml:space="preserve">8 </w:t>
      </w:r>
      <w:r>
        <w:rPr>
          <w:rFonts w:hint="eastAsia"/>
          <w:sz w:val="28"/>
        </w:rPr>
        <w:t>比对数据处理和报告</w:t>
      </w:r>
      <w:bookmarkEnd w:id="61"/>
    </w:p>
    <w:p>
      <w:pPr>
        <w:pStyle w:val="3"/>
        <w:spacing w:before="0" w:after="93" w:afterLines="30" w:line="360" w:lineRule="auto"/>
        <w:rPr>
          <w:rFonts w:ascii="Times New Roman" w:hAnsi="Times New Roman" w:eastAsia="宋体-18030"/>
          <w:b w:val="0"/>
          <w:sz w:val="24"/>
        </w:rPr>
      </w:pPr>
      <w:bookmarkStart w:id="62" w:name="_Toc137854315"/>
      <w:r>
        <w:rPr>
          <w:rFonts w:ascii="Times New Roman" w:hAnsi="Times New Roman" w:eastAsia="宋体-18030"/>
          <w:b w:val="0"/>
          <w:sz w:val="24"/>
        </w:rPr>
        <w:t>8.1 比对资料的检查</w:t>
      </w:r>
      <w:bookmarkEnd w:id="62"/>
    </w:p>
    <w:p>
      <w:pPr>
        <w:snapToGrid w:val="0"/>
        <w:spacing w:line="360" w:lineRule="auto"/>
        <w:rPr>
          <w:sz w:val="24"/>
        </w:rPr>
      </w:pPr>
      <w:r>
        <w:rPr>
          <w:sz w:val="24"/>
        </w:rPr>
        <w:t>8.1.1  主导实验室应及时检查参比实验室提交文件的完整性和电子文件与书面报告的一致性。</w:t>
      </w:r>
    </w:p>
    <w:p>
      <w:pPr>
        <w:snapToGrid w:val="0"/>
        <w:spacing w:line="360" w:lineRule="auto"/>
        <w:rPr>
          <w:sz w:val="24"/>
        </w:rPr>
      </w:pPr>
      <w:r>
        <w:rPr>
          <w:color w:val="000000"/>
          <w:sz w:val="24"/>
        </w:rPr>
        <w:t>8.1.2  如果缺少相关的文件，应通知参比实验室补充提交</w:t>
      </w:r>
      <w:r>
        <w:rPr>
          <w:sz w:val="24"/>
        </w:rPr>
        <w:t>。如无法补充，应提交相关说明。</w:t>
      </w:r>
    </w:p>
    <w:p>
      <w:pPr>
        <w:snapToGrid w:val="0"/>
        <w:spacing w:line="360" w:lineRule="auto"/>
        <w:rPr>
          <w:sz w:val="24"/>
        </w:rPr>
      </w:pPr>
      <w:r>
        <w:rPr>
          <w:sz w:val="24"/>
        </w:rPr>
        <w:t>8.1.3  在规定时限内仍不能提交完整资料和文件的，则该实验室受此影响的相关结果在比对数据处理中可不予考虑，并在比对总结报告中说明该情况。</w:t>
      </w:r>
    </w:p>
    <w:p>
      <w:pPr>
        <w:pStyle w:val="3"/>
        <w:spacing w:before="0" w:after="93" w:afterLines="30" w:line="360" w:lineRule="auto"/>
        <w:rPr>
          <w:rFonts w:ascii="Times New Roman" w:hAnsi="Times New Roman" w:eastAsia="宋体-18030"/>
          <w:b w:val="0"/>
          <w:sz w:val="24"/>
        </w:rPr>
      </w:pPr>
      <w:bookmarkStart w:id="63" w:name="_Toc137854316"/>
      <w:r>
        <w:rPr>
          <w:rFonts w:ascii="Times New Roman" w:hAnsi="Times New Roman" w:eastAsia="宋体-18030"/>
          <w:b w:val="0"/>
          <w:sz w:val="24"/>
        </w:rPr>
        <w:t>8.2 数据的修正</w:t>
      </w:r>
      <w:r>
        <w:rPr>
          <w:rFonts w:hint="eastAsia" w:ascii="Times New Roman" w:hAnsi="Times New Roman" w:eastAsia="宋体-18030"/>
          <w:b w:val="0"/>
          <w:sz w:val="24"/>
        </w:rPr>
        <w:t>及统计</w:t>
      </w:r>
      <w:bookmarkEnd w:id="63"/>
    </w:p>
    <w:p>
      <w:pPr>
        <w:pStyle w:val="7"/>
        <w:snapToGrid w:val="0"/>
        <w:spacing w:line="360" w:lineRule="auto"/>
        <w:ind w:firstLine="420"/>
        <w:rPr>
          <w:sz w:val="24"/>
        </w:rPr>
      </w:pPr>
      <w:r>
        <w:rPr>
          <w:sz w:val="24"/>
        </w:rPr>
        <w:t>当参比实验室</w:t>
      </w:r>
      <w:r>
        <w:rPr>
          <w:rFonts w:hint="eastAsia"/>
          <w:sz w:val="24"/>
        </w:rPr>
        <w:t>实验条件</w:t>
      </w:r>
      <w:r>
        <w:rPr>
          <w:sz w:val="24"/>
        </w:rPr>
        <w:t>偏离</w:t>
      </w:r>
      <w:r>
        <w:rPr>
          <w:rFonts w:hint="eastAsia"/>
          <w:sz w:val="24"/>
        </w:rPr>
        <w:t>比对约定的</w:t>
      </w:r>
      <w:r>
        <w:rPr>
          <w:sz w:val="24"/>
        </w:rPr>
        <w:t>标准条件时，可以采用修正等方法尽可能消除不同实验室标准条件差异对测量结果带来的影响。</w:t>
      </w:r>
    </w:p>
    <w:p>
      <w:pPr>
        <w:pStyle w:val="3"/>
        <w:spacing w:before="0" w:after="93" w:afterLines="30" w:line="360" w:lineRule="auto"/>
        <w:rPr>
          <w:rFonts w:ascii="Times New Roman" w:hAnsi="Times New Roman" w:eastAsia="宋体-18030"/>
          <w:b w:val="0"/>
          <w:sz w:val="24"/>
        </w:rPr>
      </w:pPr>
      <w:bookmarkStart w:id="64" w:name="_Toc137854317"/>
      <w:r>
        <w:rPr>
          <w:rFonts w:ascii="Times New Roman" w:hAnsi="Times New Roman" w:eastAsia="宋体-18030"/>
          <w:b w:val="0"/>
          <w:sz w:val="24"/>
        </w:rPr>
        <w:t>8.3 参考值的确定</w:t>
      </w:r>
      <w:bookmarkEnd w:id="64"/>
    </w:p>
    <w:p>
      <w:pPr>
        <w:snapToGrid w:val="0"/>
        <w:spacing w:line="360" w:lineRule="auto"/>
        <w:rPr>
          <w:color w:val="000000"/>
          <w:sz w:val="24"/>
        </w:rPr>
      </w:pPr>
      <w:r>
        <w:rPr>
          <w:color w:val="000000"/>
          <w:sz w:val="24"/>
        </w:rPr>
        <w:tab/>
      </w:r>
      <w:r>
        <w:rPr>
          <w:color w:val="000000"/>
          <w:sz w:val="24"/>
        </w:rPr>
        <w:t>主导实验室应按照比对实施方案</w:t>
      </w:r>
      <w:r>
        <w:rPr>
          <w:rFonts w:hint="eastAsia"/>
          <w:color w:val="000000"/>
          <w:sz w:val="24"/>
        </w:rPr>
        <w:t>约</w:t>
      </w:r>
      <w:r>
        <w:rPr>
          <w:color w:val="000000"/>
          <w:sz w:val="24"/>
        </w:rPr>
        <w:t>定的方法确定参考值及其不确定度。</w:t>
      </w:r>
      <w:r>
        <w:rPr>
          <w:sz w:val="24"/>
        </w:rPr>
        <w:t>建议主导实验室</w:t>
      </w:r>
      <w:r>
        <w:rPr>
          <w:rFonts w:hint="eastAsia"/>
          <w:sz w:val="24"/>
        </w:rPr>
        <w:t>充分</w:t>
      </w:r>
      <w:r>
        <w:rPr>
          <w:sz w:val="24"/>
        </w:rPr>
        <w:t>分析</w:t>
      </w:r>
      <w:r>
        <w:rPr>
          <w:rFonts w:hint="eastAsia"/>
          <w:sz w:val="24"/>
        </w:rPr>
        <w:t>不同</w:t>
      </w:r>
      <w:r>
        <w:rPr>
          <w:sz w:val="24"/>
        </w:rPr>
        <w:t>参考值</w:t>
      </w:r>
      <w:r>
        <w:rPr>
          <w:rFonts w:hint="eastAsia"/>
          <w:sz w:val="24"/>
        </w:rPr>
        <w:t>确定方案的</w:t>
      </w:r>
      <w:r>
        <w:rPr>
          <w:sz w:val="24"/>
        </w:rPr>
        <w:t>结果及其差异。</w:t>
      </w:r>
      <w:r>
        <w:rPr>
          <w:color w:val="000000"/>
          <w:sz w:val="24"/>
        </w:rPr>
        <w:t>如</w:t>
      </w:r>
      <w:r>
        <w:rPr>
          <w:rFonts w:hint="eastAsia"/>
          <w:color w:val="000000"/>
          <w:sz w:val="24"/>
        </w:rPr>
        <w:t>存在</w:t>
      </w:r>
      <w:r>
        <w:rPr>
          <w:color w:val="000000"/>
          <w:sz w:val="24"/>
        </w:rPr>
        <w:t>更为合理的方法，应给出</w:t>
      </w:r>
      <w:r>
        <w:rPr>
          <w:rFonts w:hint="eastAsia"/>
          <w:color w:val="000000"/>
          <w:sz w:val="24"/>
        </w:rPr>
        <w:t>有效</w:t>
      </w:r>
      <w:r>
        <w:rPr>
          <w:color w:val="000000"/>
          <w:sz w:val="24"/>
        </w:rPr>
        <w:t>的依据</w:t>
      </w:r>
      <w:r>
        <w:rPr>
          <w:rFonts w:hint="eastAsia"/>
          <w:color w:val="000000"/>
          <w:sz w:val="24"/>
        </w:rPr>
        <w:t>并</w:t>
      </w:r>
      <w:r>
        <w:rPr>
          <w:color w:val="000000"/>
          <w:sz w:val="24"/>
        </w:rPr>
        <w:t>征得参比实验室的同意。</w:t>
      </w:r>
    </w:p>
    <w:p>
      <w:pPr>
        <w:snapToGrid w:val="0"/>
        <w:spacing w:line="360" w:lineRule="auto"/>
        <w:rPr>
          <w:color w:val="000000"/>
          <w:sz w:val="24"/>
        </w:rPr>
      </w:pPr>
      <w:r>
        <w:rPr>
          <w:color w:val="000000"/>
          <w:sz w:val="24"/>
        </w:rPr>
        <w:tab/>
      </w:r>
      <w:r>
        <w:rPr>
          <w:kern w:val="0"/>
          <w:sz w:val="24"/>
        </w:rPr>
        <w:t>在使用参比实验室的</w:t>
      </w:r>
      <w:r>
        <w:rPr>
          <w:rFonts w:hint="eastAsia"/>
          <w:kern w:val="0"/>
          <w:sz w:val="24"/>
        </w:rPr>
        <w:t>量值</w:t>
      </w:r>
      <w:r>
        <w:rPr>
          <w:kern w:val="0"/>
          <w:sz w:val="24"/>
        </w:rPr>
        <w:t>确定参考值时，所用的统计方法应当使极端结果的影响降至最小，具体可通过使用稳健统计方法或在计算之前剔除离群值来实现。</w:t>
      </w:r>
    </w:p>
    <w:p>
      <w:pPr>
        <w:snapToGrid w:val="0"/>
        <w:spacing w:line="360" w:lineRule="auto"/>
        <w:ind w:firstLine="420"/>
        <w:rPr>
          <w:sz w:val="24"/>
        </w:rPr>
      </w:pPr>
      <w:r>
        <w:rPr>
          <w:color w:val="000000"/>
          <w:sz w:val="24"/>
        </w:rPr>
        <w:t>确定参考值的具体方法详见</w:t>
      </w:r>
      <w:r>
        <w:rPr>
          <w:sz w:val="24"/>
        </w:rPr>
        <w:t>附录</w:t>
      </w:r>
      <w:r>
        <w:rPr>
          <w:rFonts w:hint="eastAsia"/>
          <w:sz w:val="24"/>
        </w:rPr>
        <w:t>C</w:t>
      </w:r>
      <w:r>
        <w:rPr>
          <w:sz w:val="24"/>
        </w:rPr>
        <w:t>。</w:t>
      </w:r>
    </w:p>
    <w:p>
      <w:pPr>
        <w:pStyle w:val="3"/>
        <w:spacing w:before="0" w:after="93" w:afterLines="30" w:line="360" w:lineRule="auto"/>
        <w:rPr>
          <w:rFonts w:ascii="Times New Roman" w:hAnsi="Times New Roman" w:eastAsia="宋体-18030"/>
          <w:b w:val="0"/>
          <w:sz w:val="24"/>
        </w:rPr>
      </w:pPr>
      <w:bookmarkStart w:id="65" w:name="_Toc137854318"/>
      <w:r>
        <w:rPr>
          <w:rFonts w:ascii="Times New Roman" w:hAnsi="Times New Roman" w:eastAsia="宋体-18030"/>
          <w:b w:val="0"/>
          <w:sz w:val="24"/>
        </w:rPr>
        <w:t>8.4 对参比实验室比对结果的处理与评价</w:t>
      </w:r>
      <w:bookmarkEnd w:id="65"/>
    </w:p>
    <w:p>
      <w:pPr>
        <w:autoSpaceDE w:val="0"/>
        <w:autoSpaceDN w:val="0"/>
        <w:adjustRightInd w:val="0"/>
        <w:snapToGrid w:val="0"/>
        <w:spacing w:line="360" w:lineRule="auto"/>
        <w:ind w:firstLine="480" w:firstLineChars="200"/>
        <w:jc w:val="left"/>
        <w:rPr>
          <w:color w:val="000000"/>
          <w:sz w:val="24"/>
        </w:rPr>
      </w:pPr>
      <w:r>
        <w:rPr>
          <w:color w:val="000000"/>
          <w:sz w:val="24"/>
        </w:rPr>
        <w:t>a) 不得随意更换或修改约定的处理方法；</w:t>
      </w:r>
    </w:p>
    <w:p>
      <w:pPr>
        <w:autoSpaceDE w:val="0"/>
        <w:autoSpaceDN w:val="0"/>
        <w:adjustRightInd w:val="0"/>
        <w:snapToGrid w:val="0"/>
        <w:spacing w:line="360" w:lineRule="auto"/>
        <w:ind w:firstLine="480" w:firstLineChars="200"/>
        <w:jc w:val="left"/>
        <w:rPr>
          <w:color w:val="000000"/>
          <w:sz w:val="24"/>
        </w:rPr>
      </w:pPr>
      <w:r>
        <w:rPr>
          <w:color w:val="000000"/>
          <w:sz w:val="24"/>
        </w:rPr>
        <w:t>b) 应遵循比对实施方案计算参比实验室的量值与参考值之差，并用归一化偏差</w:t>
      </w:r>
      <w:r>
        <w:rPr>
          <w:i/>
          <w:color w:val="000000"/>
          <w:sz w:val="24"/>
        </w:rPr>
        <w:t>E</w:t>
      </w:r>
      <w:r>
        <w:rPr>
          <w:color w:val="000000"/>
          <w:sz w:val="24"/>
          <w:vertAlign w:val="subscript"/>
        </w:rPr>
        <w:t>n</w:t>
      </w:r>
      <w:r>
        <w:rPr>
          <w:color w:val="000000"/>
          <w:sz w:val="24"/>
        </w:rPr>
        <w:t>或</w:t>
      </w:r>
      <w:r>
        <w:rPr>
          <w:i/>
          <w:iCs/>
          <w:color w:val="000000"/>
          <w:sz w:val="24"/>
        </w:rPr>
        <w:t>Z</w:t>
      </w:r>
      <w:r>
        <w:rPr>
          <w:color w:val="000000"/>
          <w:sz w:val="24"/>
        </w:rPr>
        <w:t>比分数等参数评价比对结果的</w:t>
      </w:r>
      <w:r>
        <w:rPr>
          <w:rFonts w:hint="eastAsia"/>
          <w:color w:val="000000"/>
          <w:sz w:val="24"/>
        </w:rPr>
        <w:t>相容</w:t>
      </w:r>
      <w:r>
        <w:rPr>
          <w:color w:val="000000"/>
          <w:sz w:val="24"/>
        </w:rPr>
        <w:t>性；</w:t>
      </w:r>
    </w:p>
    <w:p>
      <w:pPr>
        <w:autoSpaceDE w:val="0"/>
        <w:autoSpaceDN w:val="0"/>
        <w:adjustRightInd w:val="0"/>
        <w:snapToGrid w:val="0"/>
        <w:spacing w:line="360" w:lineRule="auto"/>
        <w:ind w:firstLine="480" w:firstLineChars="200"/>
        <w:jc w:val="left"/>
        <w:rPr>
          <w:color w:val="000000"/>
          <w:sz w:val="24"/>
        </w:rPr>
      </w:pPr>
      <w:r>
        <w:rPr>
          <w:color w:val="000000"/>
          <w:sz w:val="24"/>
        </w:rPr>
        <w:t>c) 对比对结果应做细致的分析。</w:t>
      </w:r>
    </w:p>
    <w:p>
      <w:pPr>
        <w:autoSpaceDE w:val="0"/>
        <w:autoSpaceDN w:val="0"/>
        <w:adjustRightInd w:val="0"/>
        <w:snapToGrid w:val="0"/>
        <w:spacing w:line="360" w:lineRule="auto"/>
        <w:ind w:firstLine="480" w:firstLineChars="200"/>
        <w:jc w:val="left"/>
        <w:rPr>
          <w:color w:val="000000"/>
          <w:sz w:val="24"/>
        </w:rPr>
      </w:pPr>
      <w:r>
        <w:rPr>
          <w:color w:val="000000"/>
          <w:sz w:val="24"/>
        </w:rPr>
        <w:t>比对结果</w:t>
      </w:r>
      <w:r>
        <w:rPr>
          <w:rFonts w:hint="eastAsia"/>
          <w:color w:val="000000"/>
          <w:sz w:val="24"/>
        </w:rPr>
        <w:t>的</w:t>
      </w:r>
      <w:r>
        <w:rPr>
          <w:color w:val="000000"/>
          <w:sz w:val="24"/>
        </w:rPr>
        <w:t>评价</w:t>
      </w:r>
      <w:r>
        <w:rPr>
          <w:rFonts w:hint="eastAsia"/>
          <w:color w:val="000000"/>
          <w:sz w:val="24"/>
        </w:rPr>
        <w:t>和分析方法详</w:t>
      </w:r>
      <w:r>
        <w:rPr>
          <w:color w:val="000000"/>
          <w:sz w:val="24"/>
        </w:rPr>
        <w:t>见附录</w:t>
      </w:r>
      <w:r>
        <w:rPr>
          <w:rFonts w:hint="eastAsia"/>
          <w:color w:val="000000"/>
          <w:sz w:val="24"/>
        </w:rPr>
        <w:t>D</w:t>
      </w:r>
      <w:r>
        <w:rPr>
          <w:sz w:val="24"/>
        </w:rPr>
        <w:t>。</w:t>
      </w:r>
    </w:p>
    <w:p>
      <w:pPr>
        <w:pStyle w:val="3"/>
        <w:spacing w:before="0" w:after="93" w:afterLines="30" w:line="360" w:lineRule="auto"/>
        <w:rPr>
          <w:rFonts w:ascii="Times New Roman" w:hAnsi="Times New Roman" w:eastAsia="宋体-18030"/>
          <w:b w:val="0"/>
          <w:sz w:val="24"/>
        </w:rPr>
      </w:pPr>
      <w:bookmarkStart w:id="66" w:name="_Toc137854319"/>
      <w:r>
        <w:rPr>
          <w:rFonts w:ascii="Times New Roman" w:hAnsi="Times New Roman" w:eastAsia="宋体-18030"/>
          <w:b w:val="0"/>
          <w:sz w:val="24"/>
        </w:rPr>
        <w:t>8.5 异常或可疑结果的确认</w:t>
      </w:r>
      <w:bookmarkEnd w:id="66"/>
    </w:p>
    <w:p>
      <w:pPr>
        <w:snapToGrid w:val="0"/>
        <w:spacing w:line="360" w:lineRule="auto"/>
        <w:ind w:firstLine="496" w:firstLineChars="207"/>
        <w:rPr>
          <w:sz w:val="24"/>
        </w:rPr>
      </w:pPr>
      <w:r>
        <w:rPr>
          <w:color w:val="000000"/>
          <w:sz w:val="24"/>
        </w:rPr>
        <w:t>主导实验室不得以任何理由提示</w:t>
      </w:r>
      <w:r>
        <w:rPr>
          <w:sz w:val="24"/>
        </w:rPr>
        <w:t>参比实验室修改数据或报告。如果主导实验室发现某参比实验室的结果异常或可疑时，可以在发布初稿后通过适当途径了解比对细节，以便分析原因；但不允许该参比实验室对比对数据和结果做任何修改。</w:t>
      </w:r>
    </w:p>
    <w:p>
      <w:pPr>
        <w:pStyle w:val="3"/>
        <w:spacing w:before="0" w:after="93" w:afterLines="30" w:line="360" w:lineRule="auto"/>
        <w:rPr>
          <w:rFonts w:ascii="Times New Roman" w:hAnsi="Times New Roman" w:eastAsia="宋体-18030"/>
          <w:b w:val="0"/>
          <w:sz w:val="24"/>
        </w:rPr>
      </w:pPr>
      <w:bookmarkStart w:id="67" w:name="_Toc137854320"/>
      <w:r>
        <w:rPr>
          <w:rFonts w:ascii="Times New Roman" w:hAnsi="Times New Roman" w:eastAsia="宋体-18030"/>
          <w:b w:val="0"/>
          <w:sz w:val="24"/>
        </w:rPr>
        <w:t>8.6 数据的保存</w:t>
      </w:r>
      <w:bookmarkEnd w:id="67"/>
    </w:p>
    <w:p>
      <w:pPr>
        <w:autoSpaceDE w:val="0"/>
        <w:autoSpaceDN w:val="0"/>
        <w:adjustRightInd w:val="0"/>
        <w:snapToGrid w:val="0"/>
        <w:spacing w:line="360" w:lineRule="auto"/>
        <w:ind w:firstLine="480" w:firstLineChars="200"/>
        <w:jc w:val="left"/>
        <w:rPr>
          <w:kern w:val="0"/>
          <w:sz w:val="24"/>
        </w:rPr>
      </w:pPr>
      <w:r>
        <w:rPr>
          <w:kern w:val="0"/>
          <w:sz w:val="24"/>
        </w:rPr>
        <w:t>比对的原始记录、电子备份文件、数据处理过程和结果等，应由主导实验室存档并保存5年以上。</w:t>
      </w:r>
    </w:p>
    <w:p>
      <w:pPr>
        <w:pStyle w:val="3"/>
        <w:spacing w:before="0" w:after="93" w:afterLines="30" w:line="360" w:lineRule="auto"/>
        <w:rPr>
          <w:rFonts w:ascii="Times New Roman" w:hAnsi="Times New Roman" w:eastAsia="宋体-18030"/>
          <w:b w:val="0"/>
          <w:sz w:val="24"/>
        </w:rPr>
      </w:pPr>
      <w:bookmarkStart w:id="68" w:name="_Toc137854321"/>
      <w:r>
        <w:rPr>
          <w:rFonts w:ascii="Times New Roman" w:hAnsi="Times New Roman" w:eastAsia="宋体-18030"/>
          <w:b w:val="0"/>
          <w:sz w:val="24"/>
        </w:rPr>
        <w:t>8.7 数据的保密</w:t>
      </w:r>
      <w:bookmarkEnd w:id="68"/>
    </w:p>
    <w:p>
      <w:pPr>
        <w:snapToGrid w:val="0"/>
        <w:spacing w:line="360" w:lineRule="auto"/>
        <w:ind w:firstLine="496" w:firstLineChars="207"/>
        <w:rPr>
          <w:color w:val="000000"/>
          <w:sz w:val="24"/>
        </w:rPr>
      </w:pPr>
      <w:r>
        <w:rPr>
          <w:color w:val="000000"/>
          <w:sz w:val="24"/>
        </w:rPr>
        <w:t>所有比对数据、图表及相关技术资料应保密，直至报告</w:t>
      </w:r>
      <w:r>
        <w:rPr>
          <w:rFonts w:hint="eastAsia"/>
          <w:color w:val="000000"/>
          <w:sz w:val="24"/>
        </w:rPr>
        <w:t>初稿公开</w:t>
      </w:r>
      <w:r>
        <w:rPr>
          <w:color w:val="000000"/>
          <w:sz w:val="24"/>
        </w:rPr>
        <w:t>。必要时，在内部分析讨论过程中使用编制的单位代码来代表各参比实验室</w:t>
      </w:r>
      <w:r>
        <w:rPr>
          <w:rFonts w:hint="eastAsia"/>
          <w:color w:val="000000"/>
          <w:sz w:val="24"/>
        </w:rPr>
        <w:t>，且采取必要措施以使主导实验室以外的各实验室无法获得自己实验室结果与其他实验室结果的相对关系</w:t>
      </w:r>
      <w:r>
        <w:rPr>
          <w:color w:val="000000"/>
          <w:sz w:val="24"/>
        </w:rPr>
        <w:t>。</w:t>
      </w:r>
    </w:p>
    <w:p>
      <w:pPr>
        <w:pStyle w:val="3"/>
        <w:spacing w:before="0" w:after="93" w:afterLines="30" w:line="360" w:lineRule="auto"/>
        <w:rPr>
          <w:rFonts w:ascii="Times New Roman" w:hAnsi="Times New Roman" w:eastAsia="宋体-18030"/>
          <w:b w:val="0"/>
          <w:sz w:val="24"/>
        </w:rPr>
      </w:pPr>
      <w:bookmarkStart w:id="69" w:name="_Toc137854322"/>
      <w:r>
        <w:rPr>
          <w:rFonts w:ascii="Times New Roman" w:hAnsi="Times New Roman" w:eastAsia="宋体-18030"/>
          <w:b w:val="0"/>
          <w:sz w:val="24"/>
        </w:rPr>
        <w:t>8.8 比对总结报告的起草和修改</w:t>
      </w:r>
      <w:bookmarkEnd w:id="69"/>
    </w:p>
    <w:p>
      <w:pPr>
        <w:snapToGrid w:val="0"/>
        <w:spacing w:line="360" w:lineRule="auto"/>
        <w:rPr>
          <w:color w:val="000000"/>
          <w:sz w:val="24"/>
        </w:rPr>
      </w:pPr>
      <w:r>
        <w:rPr>
          <w:kern w:val="0"/>
          <w:sz w:val="24"/>
        </w:rPr>
        <w:t>8.8.1 主导实验室应在规定时间内完成比对总结报告初稿的撰写。在此报告初稿中，应明确给出对</w:t>
      </w:r>
      <w:r>
        <w:rPr>
          <w:color w:val="000000"/>
          <w:sz w:val="24"/>
        </w:rPr>
        <w:t>比对结果的评价。评价方</w:t>
      </w:r>
      <w:r>
        <w:rPr>
          <w:sz w:val="24"/>
        </w:rPr>
        <w:t>法见附录</w:t>
      </w:r>
      <w:r>
        <w:rPr>
          <w:rFonts w:hint="eastAsia"/>
          <w:sz w:val="24"/>
        </w:rPr>
        <w:t>D</w:t>
      </w:r>
      <w:r>
        <w:rPr>
          <w:sz w:val="24"/>
        </w:rPr>
        <w:t>。</w:t>
      </w:r>
    </w:p>
    <w:p>
      <w:pPr>
        <w:autoSpaceDE w:val="0"/>
        <w:autoSpaceDN w:val="0"/>
        <w:adjustRightInd w:val="0"/>
        <w:snapToGrid w:val="0"/>
        <w:spacing w:line="360" w:lineRule="auto"/>
        <w:jc w:val="left"/>
        <w:rPr>
          <w:kern w:val="0"/>
          <w:sz w:val="24"/>
        </w:rPr>
      </w:pPr>
      <w:r>
        <w:rPr>
          <w:kern w:val="0"/>
          <w:sz w:val="24"/>
        </w:rPr>
        <w:t>8.8.2 主导实验室应将比对总结报告初稿向专家组及参比实验室公布并征求意见，参比实验室应在规定</w:t>
      </w:r>
      <w:r>
        <w:rPr>
          <w:rFonts w:hint="eastAsia"/>
          <w:kern w:val="0"/>
          <w:sz w:val="24"/>
        </w:rPr>
        <w:t>时间内</w:t>
      </w:r>
      <w:r>
        <w:rPr>
          <w:kern w:val="0"/>
          <w:sz w:val="24"/>
        </w:rPr>
        <w:t>提出对比对总结报告初稿的意见。</w:t>
      </w:r>
    </w:p>
    <w:p>
      <w:pPr>
        <w:autoSpaceDE w:val="0"/>
        <w:autoSpaceDN w:val="0"/>
        <w:adjustRightInd w:val="0"/>
        <w:snapToGrid w:val="0"/>
        <w:spacing w:line="360" w:lineRule="auto"/>
        <w:jc w:val="left"/>
        <w:rPr>
          <w:kern w:val="0"/>
          <w:sz w:val="24"/>
        </w:rPr>
      </w:pPr>
      <w:r>
        <w:rPr>
          <w:kern w:val="0"/>
          <w:sz w:val="24"/>
        </w:rPr>
        <w:t>8.8.3 对参比实验室提出的任何意见，主导实验室应与相关参比实验室讨论，讨论结果应体现在比对总结报告中。</w:t>
      </w:r>
    </w:p>
    <w:p>
      <w:pPr>
        <w:autoSpaceDE w:val="0"/>
        <w:autoSpaceDN w:val="0"/>
        <w:adjustRightInd w:val="0"/>
        <w:snapToGrid w:val="0"/>
        <w:spacing w:line="360" w:lineRule="auto"/>
        <w:jc w:val="left"/>
        <w:rPr>
          <w:kern w:val="0"/>
          <w:sz w:val="24"/>
        </w:rPr>
      </w:pPr>
      <w:r>
        <w:rPr>
          <w:kern w:val="0"/>
          <w:sz w:val="24"/>
        </w:rPr>
        <w:t>8.8.4 主导实验室在规定</w:t>
      </w:r>
      <w:r>
        <w:rPr>
          <w:rFonts w:hint="eastAsia"/>
          <w:kern w:val="0"/>
          <w:sz w:val="24"/>
        </w:rPr>
        <w:t>时间</w:t>
      </w:r>
      <w:r>
        <w:rPr>
          <w:kern w:val="0"/>
          <w:sz w:val="24"/>
        </w:rPr>
        <w:t>内修改比对总结报告初稿，提交比对总结报告的总结会讨论稿。</w:t>
      </w:r>
    </w:p>
    <w:p>
      <w:pPr>
        <w:pStyle w:val="3"/>
        <w:spacing w:before="0" w:after="93" w:afterLines="30" w:line="360" w:lineRule="auto"/>
        <w:rPr>
          <w:rFonts w:ascii="Times New Roman" w:hAnsi="Times New Roman" w:eastAsia="宋体-18030"/>
          <w:b w:val="0"/>
          <w:sz w:val="24"/>
        </w:rPr>
      </w:pPr>
      <w:bookmarkStart w:id="70" w:name="_Toc137854323"/>
      <w:r>
        <w:rPr>
          <w:rFonts w:ascii="Times New Roman" w:hAnsi="Times New Roman" w:eastAsia="宋体-18030"/>
          <w:b w:val="0"/>
          <w:sz w:val="24"/>
        </w:rPr>
        <w:t>8.9 比对总结</w:t>
      </w:r>
      <w:bookmarkEnd w:id="70"/>
    </w:p>
    <w:p>
      <w:pPr>
        <w:autoSpaceDE w:val="0"/>
        <w:autoSpaceDN w:val="0"/>
        <w:adjustRightInd w:val="0"/>
        <w:snapToGrid w:val="0"/>
        <w:spacing w:line="360" w:lineRule="auto"/>
        <w:jc w:val="left"/>
        <w:rPr>
          <w:kern w:val="0"/>
          <w:sz w:val="24"/>
        </w:rPr>
      </w:pPr>
      <w:r>
        <w:rPr>
          <w:kern w:val="0"/>
          <w:sz w:val="24"/>
        </w:rPr>
        <w:t>8.9.1 比对总结会应由比对组织者召集主导实验室和参比实验室参与比对的主要人员</w:t>
      </w:r>
      <w:r>
        <w:rPr>
          <w:rFonts w:hint="eastAsia"/>
          <w:kern w:val="0"/>
          <w:sz w:val="24"/>
        </w:rPr>
        <w:t>以</w:t>
      </w:r>
      <w:r>
        <w:rPr>
          <w:kern w:val="0"/>
          <w:sz w:val="24"/>
        </w:rPr>
        <w:t>及专家组成员</w:t>
      </w:r>
      <w:r>
        <w:rPr>
          <w:rFonts w:hint="eastAsia"/>
          <w:kern w:val="0"/>
          <w:sz w:val="24"/>
        </w:rPr>
        <w:t>等相关人员</w:t>
      </w:r>
      <w:r>
        <w:rPr>
          <w:kern w:val="0"/>
          <w:sz w:val="24"/>
        </w:rPr>
        <w:t>参加。</w:t>
      </w:r>
    </w:p>
    <w:p>
      <w:pPr>
        <w:autoSpaceDE w:val="0"/>
        <w:autoSpaceDN w:val="0"/>
        <w:adjustRightInd w:val="0"/>
        <w:snapToGrid w:val="0"/>
        <w:spacing w:line="360" w:lineRule="auto"/>
        <w:jc w:val="left"/>
        <w:rPr>
          <w:kern w:val="0"/>
          <w:sz w:val="24"/>
        </w:rPr>
      </w:pPr>
      <w:r>
        <w:rPr>
          <w:kern w:val="0"/>
          <w:sz w:val="24"/>
        </w:rPr>
        <w:t>8.9.2 应由主导实验室组织进行比对的技术评价和研讨，正式通报并分析比对结果。应重点分析：</w:t>
      </w:r>
    </w:p>
    <w:p>
      <w:pPr>
        <w:autoSpaceDE w:val="0"/>
        <w:autoSpaceDN w:val="0"/>
        <w:adjustRightInd w:val="0"/>
        <w:snapToGrid w:val="0"/>
        <w:spacing w:line="360" w:lineRule="auto"/>
        <w:ind w:firstLine="480" w:firstLineChars="200"/>
        <w:jc w:val="left"/>
        <w:rPr>
          <w:kern w:val="0"/>
          <w:sz w:val="24"/>
        </w:rPr>
      </w:pPr>
      <w:r>
        <w:rPr>
          <w:kern w:val="0"/>
          <w:sz w:val="24"/>
        </w:rPr>
        <w:t>a) 各实验室比对结果及其与比对参考值的比较；</w:t>
      </w:r>
    </w:p>
    <w:p>
      <w:pPr>
        <w:autoSpaceDE w:val="0"/>
        <w:autoSpaceDN w:val="0"/>
        <w:adjustRightInd w:val="0"/>
        <w:snapToGrid w:val="0"/>
        <w:spacing w:line="360" w:lineRule="auto"/>
        <w:ind w:firstLine="480" w:firstLineChars="200"/>
        <w:jc w:val="left"/>
        <w:rPr>
          <w:kern w:val="0"/>
          <w:sz w:val="24"/>
        </w:rPr>
      </w:pPr>
      <w:r>
        <w:rPr>
          <w:kern w:val="0"/>
          <w:sz w:val="24"/>
        </w:rPr>
        <w:t>b) 各实验室结果之间的差异及其原因；</w:t>
      </w:r>
    </w:p>
    <w:p>
      <w:pPr>
        <w:autoSpaceDE w:val="0"/>
        <w:autoSpaceDN w:val="0"/>
        <w:adjustRightInd w:val="0"/>
        <w:snapToGrid w:val="0"/>
        <w:spacing w:line="360" w:lineRule="auto"/>
        <w:ind w:firstLine="480" w:firstLineChars="200"/>
        <w:jc w:val="left"/>
        <w:rPr>
          <w:kern w:val="0"/>
          <w:sz w:val="24"/>
        </w:rPr>
      </w:pPr>
      <w:r>
        <w:rPr>
          <w:kern w:val="0"/>
          <w:sz w:val="24"/>
        </w:rPr>
        <w:t>c) 必要的改进建议或意见；</w:t>
      </w:r>
    </w:p>
    <w:p>
      <w:pPr>
        <w:autoSpaceDE w:val="0"/>
        <w:autoSpaceDN w:val="0"/>
        <w:adjustRightInd w:val="0"/>
        <w:snapToGrid w:val="0"/>
        <w:spacing w:line="360" w:lineRule="auto"/>
        <w:ind w:firstLine="480" w:firstLineChars="200"/>
        <w:jc w:val="left"/>
        <w:rPr>
          <w:kern w:val="0"/>
          <w:sz w:val="24"/>
        </w:rPr>
      </w:pPr>
      <w:r>
        <w:rPr>
          <w:kern w:val="0"/>
          <w:sz w:val="24"/>
        </w:rPr>
        <w:t>d) 比对结论及分析。</w:t>
      </w:r>
    </w:p>
    <w:p>
      <w:pPr>
        <w:autoSpaceDE w:val="0"/>
        <w:autoSpaceDN w:val="0"/>
        <w:adjustRightInd w:val="0"/>
        <w:snapToGrid w:val="0"/>
        <w:spacing w:line="360" w:lineRule="auto"/>
        <w:ind w:firstLine="480" w:firstLineChars="200"/>
        <w:jc w:val="left"/>
        <w:rPr>
          <w:kern w:val="0"/>
          <w:sz w:val="24"/>
        </w:rPr>
      </w:pPr>
      <w:r>
        <w:rPr>
          <w:kern w:val="0"/>
          <w:sz w:val="24"/>
        </w:rPr>
        <w:t>经讨论后形成比对总结报告及会议纪要。</w:t>
      </w:r>
    </w:p>
    <w:p>
      <w:pPr>
        <w:snapToGrid w:val="0"/>
        <w:spacing w:line="360" w:lineRule="auto"/>
        <w:ind w:left="360"/>
        <w:rPr>
          <w:sz w:val="24"/>
        </w:rPr>
      </w:pPr>
    </w:p>
    <w:p>
      <w:pPr>
        <w:pStyle w:val="2"/>
        <w:keepNext w:val="0"/>
        <w:keepLines w:val="0"/>
        <w:pageBreakBefore/>
        <w:textAlignment w:val="baseline"/>
        <w:rPr>
          <w:sz w:val="28"/>
        </w:rPr>
      </w:pPr>
      <w:bookmarkStart w:id="71" w:name="_Toc137854324"/>
      <w:bookmarkStart w:id="72" w:name="_Toc239495243"/>
      <w:bookmarkStart w:id="73" w:name="_Hlk116502184"/>
      <w:bookmarkStart w:id="74" w:name="_Toc222654292"/>
      <w:r>
        <w:rPr>
          <w:sz w:val="28"/>
        </w:rPr>
        <w:t>附录A</w:t>
      </w:r>
      <w:r>
        <w:rPr>
          <w:rFonts w:hint="eastAsia"/>
          <w:sz w:val="28"/>
        </w:rPr>
        <w:t xml:space="preserve">  传递标准</w:t>
      </w:r>
      <w:bookmarkEnd w:id="71"/>
    </w:p>
    <w:p>
      <w:pPr>
        <w:jc w:val="center"/>
        <w:rPr>
          <w:sz w:val="24"/>
        </w:rPr>
      </w:pPr>
    </w:p>
    <w:p>
      <w:pPr>
        <w:jc w:val="center"/>
        <w:rPr>
          <w:sz w:val="24"/>
        </w:rPr>
      </w:pPr>
    </w:p>
    <w:p>
      <w:pPr>
        <w:jc w:val="center"/>
        <w:rPr>
          <w:sz w:val="32"/>
        </w:rPr>
      </w:pPr>
      <w:r>
        <w:rPr>
          <w:rFonts w:hint="eastAsia"/>
          <w:sz w:val="32"/>
        </w:rPr>
        <w:t>传递标准</w:t>
      </w:r>
    </w:p>
    <w:p>
      <w:pPr>
        <w:jc w:val="center"/>
        <w:rPr>
          <w:sz w:val="24"/>
        </w:rPr>
      </w:pPr>
    </w:p>
    <w:p>
      <w:pPr>
        <w:snapToGrid w:val="0"/>
        <w:spacing w:line="360" w:lineRule="auto"/>
        <w:ind w:firstLine="420"/>
        <w:rPr>
          <w:color w:val="000000"/>
          <w:sz w:val="24"/>
        </w:rPr>
      </w:pPr>
      <w:r>
        <w:rPr>
          <w:rFonts w:hint="eastAsia"/>
          <w:color w:val="000000"/>
          <w:sz w:val="24"/>
        </w:rPr>
        <w:t>对传递标准技术考虑的核心是控制传递标准对比对结果的影响，涉及的主要技术工作包括：传递标准种类的选择，候选传递标准的性能评价，与传递标准性能影响有关的比对传递方式，比对中因参比实验室间使用不同传递标准而引入到统一参考条件的修正（如果需要），传递标准在比对中引入的不确定度的预估和实施中的评定方法。</w:t>
      </w:r>
    </w:p>
    <w:p>
      <w:pPr>
        <w:pStyle w:val="3"/>
        <w:spacing w:before="0" w:after="93" w:afterLines="30" w:line="360" w:lineRule="auto"/>
        <w:rPr>
          <w:rFonts w:ascii="Times New Roman" w:hAnsi="Times New Roman" w:eastAsia="宋体"/>
          <w:b w:val="0"/>
          <w:sz w:val="24"/>
        </w:rPr>
      </w:pPr>
      <w:bookmarkStart w:id="75" w:name="_Toc137854325"/>
      <w:r>
        <w:rPr>
          <w:rFonts w:hint="eastAsia" w:ascii="Times New Roman" w:hAnsi="Times New Roman" w:eastAsia="宋体"/>
          <w:b w:val="0"/>
          <w:sz w:val="24"/>
        </w:rPr>
        <w:t>A.</w:t>
      </w:r>
      <w:r>
        <w:rPr>
          <w:rFonts w:ascii="Times New Roman" w:hAnsi="Times New Roman" w:eastAsia="宋体"/>
          <w:b w:val="0"/>
          <w:sz w:val="24"/>
        </w:rPr>
        <w:t xml:space="preserve">1 </w:t>
      </w:r>
      <w:r>
        <w:rPr>
          <w:rFonts w:hint="eastAsia" w:ascii="Times New Roman" w:hAnsi="Times New Roman" w:eastAsia="宋体"/>
          <w:b w:val="0"/>
          <w:sz w:val="24"/>
        </w:rPr>
        <w:t>传递标准的选择</w:t>
      </w:r>
      <w:bookmarkEnd w:id="75"/>
    </w:p>
    <w:p>
      <w:pPr>
        <w:snapToGrid w:val="0"/>
        <w:spacing w:line="360" w:lineRule="auto"/>
        <w:rPr>
          <w:color w:val="000000"/>
          <w:sz w:val="24"/>
        </w:rPr>
      </w:pPr>
      <w:r>
        <w:rPr>
          <w:color w:val="000000"/>
          <w:sz w:val="24"/>
        </w:rPr>
        <w:t>A.1.1</w:t>
      </w:r>
      <w:r>
        <w:rPr>
          <w:rFonts w:hint="eastAsia"/>
          <w:color w:val="000000"/>
          <w:sz w:val="24"/>
        </w:rPr>
        <w:t xml:space="preserve"> 影响传递标准选择的主要特性</w:t>
      </w:r>
    </w:p>
    <w:p>
      <w:pPr>
        <w:spacing w:line="360" w:lineRule="auto"/>
        <w:rPr>
          <w:sz w:val="24"/>
          <w:szCs w:val="24"/>
        </w:rPr>
      </w:pPr>
      <w:r>
        <w:rPr>
          <w:sz w:val="24"/>
          <w:szCs w:val="24"/>
        </w:rPr>
        <w:t>A.1.1</w:t>
      </w:r>
      <w:r>
        <w:rPr>
          <w:rFonts w:hint="eastAsia"/>
          <w:sz w:val="24"/>
          <w:szCs w:val="24"/>
        </w:rPr>
        <w:t>.1</w:t>
      </w:r>
      <w:r>
        <w:rPr>
          <w:sz w:val="24"/>
          <w:szCs w:val="24"/>
        </w:rPr>
        <w:t xml:space="preserve"> </w:t>
      </w:r>
      <w:r>
        <w:rPr>
          <w:rFonts w:hint="eastAsia"/>
          <w:sz w:val="24"/>
          <w:szCs w:val="24"/>
        </w:rPr>
        <w:t>传递标准的稳定性</w:t>
      </w:r>
    </w:p>
    <w:p>
      <w:pPr>
        <w:spacing w:line="360" w:lineRule="auto"/>
        <w:ind w:firstLine="480" w:firstLineChars="200"/>
        <w:rPr>
          <w:sz w:val="24"/>
          <w:szCs w:val="24"/>
        </w:rPr>
      </w:pPr>
      <w:r>
        <w:rPr>
          <w:rFonts w:hint="eastAsia"/>
          <w:sz w:val="24"/>
          <w:szCs w:val="24"/>
        </w:rPr>
        <w:t>主导实验室应结合已有经验和数据，分析传递标准</w:t>
      </w:r>
      <w:r>
        <w:rPr>
          <w:rFonts w:hint="eastAsia"/>
          <w:color w:val="000000"/>
          <w:sz w:val="24"/>
        </w:rPr>
        <w:t>经历一定时间、运输、拆装以及环境条件等因素变化</w:t>
      </w:r>
      <w:r>
        <w:rPr>
          <w:rFonts w:hint="eastAsia"/>
          <w:sz w:val="24"/>
          <w:szCs w:val="24"/>
        </w:rPr>
        <w:t>时，仪表量值保持在规定范围内的能力。</w:t>
      </w:r>
    </w:p>
    <w:p>
      <w:pPr>
        <w:spacing w:line="360" w:lineRule="auto"/>
        <w:rPr>
          <w:sz w:val="24"/>
          <w:szCs w:val="24"/>
        </w:rPr>
      </w:pPr>
      <w:r>
        <w:rPr>
          <w:rFonts w:hint="eastAsia"/>
          <w:sz w:val="24"/>
          <w:szCs w:val="24"/>
        </w:rPr>
        <w:t>A</w:t>
      </w:r>
      <w:r>
        <w:rPr>
          <w:sz w:val="24"/>
          <w:szCs w:val="24"/>
        </w:rPr>
        <w:t>.1.</w:t>
      </w:r>
      <w:r>
        <w:rPr>
          <w:rFonts w:hint="eastAsia"/>
          <w:sz w:val="24"/>
          <w:szCs w:val="24"/>
        </w:rPr>
        <w:t>1.2 传递标准的均匀性</w:t>
      </w:r>
    </w:p>
    <w:p>
      <w:pPr>
        <w:spacing w:line="360" w:lineRule="auto"/>
        <w:ind w:firstLine="480" w:firstLineChars="200"/>
        <w:rPr>
          <w:color w:val="000000"/>
          <w:sz w:val="24"/>
        </w:rPr>
      </w:pPr>
      <w:r>
        <w:rPr>
          <w:rFonts w:hint="eastAsia"/>
          <w:sz w:val="24"/>
          <w:szCs w:val="24"/>
        </w:rPr>
        <w:t>主导实验应分析单个传递标准的不同部位等实验条件下量值的差异程度，或多个传递标准从相同量值源赋值后，不同传递标准之间量值的差异程度。</w:t>
      </w:r>
    </w:p>
    <w:p>
      <w:pPr>
        <w:snapToGrid w:val="0"/>
        <w:spacing w:line="360" w:lineRule="auto"/>
        <w:rPr>
          <w:b/>
          <w:color w:val="000000"/>
          <w:sz w:val="24"/>
        </w:rPr>
      </w:pPr>
      <w:r>
        <w:rPr>
          <w:color w:val="000000"/>
          <w:sz w:val="24"/>
        </w:rPr>
        <w:t xml:space="preserve">A.1.2 </w:t>
      </w:r>
      <w:r>
        <w:rPr>
          <w:rFonts w:hint="eastAsia"/>
          <w:color w:val="000000"/>
          <w:sz w:val="24"/>
        </w:rPr>
        <w:t>传递标准选择的考虑因素</w:t>
      </w:r>
    </w:p>
    <w:p>
      <w:pPr>
        <w:snapToGrid w:val="0"/>
        <w:spacing w:line="360" w:lineRule="auto"/>
        <w:ind w:firstLine="480"/>
        <w:rPr>
          <w:sz w:val="24"/>
        </w:rPr>
      </w:pPr>
      <w:r>
        <w:rPr>
          <w:rFonts w:hint="eastAsia"/>
          <w:sz w:val="24"/>
        </w:rPr>
        <w:t>传递标准的选择应综合考虑拆装、运输、漂移、使用要求、环境条件以及均匀性等因素对比对结果的影响。</w:t>
      </w:r>
    </w:p>
    <w:p>
      <w:pPr>
        <w:snapToGrid w:val="0"/>
        <w:spacing w:line="360" w:lineRule="auto"/>
        <w:ind w:firstLine="480" w:firstLineChars="200"/>
        <w:rPr>
          <w:sz w:val="24"/>
        </w:rPr>
      </w:pPr>
      <w:r>
        <w:rPr>
          <w:rFonts w:hint="eastAsia"/>
          <w:color w:val="000000"/>
          <w:sz w:val="24"/>
        </w:rPr>
        <w:t>主导实验室在申报比对项目前，需对不同种类的备选传递标准进行分析，对比其性能指标，通过分析</w:t>
      </w:r>
      <w:r>
        <w:rPr>
          <w:sz w:val="24"/>
        </w:rPr>
        <w:t>传递标准引入的不确定</w:t>
      </w:r>
      <w:r>
        <w:rPr>
          <w:rFonts w:hint="eastAsia"/>
          <w:sz w:val="24"/>
        </w:rPr>
        <w:t>度</w:t>
      </w:r>
      <w:r>
        <w:rPr>
          <w:sz w:val="24"/>
        </w:rPr>
        <w:t>与参比实验室</w:t>
      </w:r>
      <w:r>
        <w:rPr>
          <w:rFonts w:hint="eastAsia"/>
          <w:sz w:val="24"/>
        </w:rPr>
        <w:t>计量标准授权的量值传递能力</w:t>
      </w:r>
      <w:r>
        <w:rPr>
          <w:sz w:val="24"/>
        </w:rPr>
        <w:t>的比例关系，预判比对方法的有效性。若</w:t>
      </w:r>
      <w:r>
        <w:rPr>
          <w:rFonts w:hint="eastAsia"/>
          <w:sz w:val="24"/>
        </w:rPr>
        <w:t>传递标准引入的不确定度</w:t>
      </w:r>
      <w:r>
        <w:rPr>
          <w:sz w:val="24"/>
        </w:rPr>
        <w:t>不能</w:t>
      </w:r>
      <w:r>
        <w:rPr>
          <w:rFonts w:hint="eastAsia"/>
          <w:sz w:val="24"/>
        </w:rPr>
        <w:t>显著</w:t>
      </w:r>
      <w:r>
        <w:rPr>
          <w:sz w:val="24"/>
        </w:rPr>
        <w:t>小</w:t>
      </w:r>
      <w:r>
        <w:rPr>
          <w:rFonts w:hint="eastAsia"/>
          <w:sz w:val="24"/>
        </w:rPr>
        <w:t>于授权水平</w:t>
      </w:r>
      <w:r>
        <w:rPr>
          <w:color w:val="000000"/>
          <w:sz w:val="24"/>
        </w:rPr>
        <w:fldChar w:fldCharType="begin"/>
      </w:r>
      <w:r>
        <w:rPr>
          <w:color w:val="000000"/>
          <w:sz w:val="24"/>
        </w:rPr>
        <w:instrText xml:space="preserve"> QUOTE </w:instrText>
      </w:r>
      <w:r>
        <w:rPr>
          <w:position w:val="-7"/>
        </w:rPr>
        <w:pict>
          <v:shape id="_x0000_i1025" o:spt="75" type="#_x0000_t75" style="height:16.3pt;width:27.55pt;" filled="f" o:preferrelative="t" stroked="f" coordsize="21600,2160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doNotEmbedSystemFonts/&gt;&lt;w:bordersDontSurroundHeader/&gt;&lt;w:bordersDontSurroundFooter/&gt;&lt;w:stylePaneFormatFilter w:val=&quot;3F01&quot;/&gt;&lt;w:defaultTabStop w:val=&quot;420&quot;/&gt;&lt;w:drawingGridHorizontalSpacing w:val=&quot;2&quot;/&gt;&lt;w:drawingGridVerticalSpacing w:val=&quot;3&quot;/&gt;&lt;w:displayHorizontalDrawingGridEvery w:val=&quot;0&quot;/&gt;&lt;w:displayVerticalDrawingGridEvery w:val=&quot;2&quot;/&gt;&lt;w:punctuationKerning/&gt;&lt;w:characterSpacingControl w:val=&quot;CompressPunctuation&quot;/&gt;&lt;w:webPageEncoding w:val=&quot;x-cp20936&quot;/&gt;&lt;w:optimizeForBrowser/&gt;&lt;w:allowPNG/&gt;&lt;w:pixelsPerInch w:val=&quot;192&quot;/&gt;&lt;w:validateAgainstSchema w:val=&quot;off&quot;/&gt;&lt;w:saveInvalidXML w:val=&quot;off&quot;/&gt;&lt;w:ignoreMixedContent w:val=&quot;off&quot;/&gt;&lt;w:alwaysShowPlaceholderText w:val=&quot;off&quot;/&gt;&lt;w:doNotUnderlineInvalidXML/&gt;&lt;w:compat&gt;&lt;w:spaceForUL/&gt;&lt;w:balanceSingleByteDoubleByteWidth/&gt;&lt;w:doNotLeaveBackslashAlone/&gt;&lt;w:ulTrailSpace/&gt;&lt;w:doNotExpandShiftReturn/&gt;&lt;w:adjustLineHeightInTable/&gt;&lt;w:snapToGridInCell/&gt;&lt;w:useAsianBreakRules/&gt;&lt;w:dontGrowAutofit/&gt;&lt;w:useFELayout/&gt;&lt;/w:compat&gt;&lt;w:docVars&gt;&lt;w:docVar w:name=&quot;commondata&quot; w:val=&quot;eyJoZGlkIjoiZmE1ZDg1NDcyNmQwOTM0YmUyMGViN2Y1MWI5YTUwODMifQ==&quot;/&gt;&lt;/w:docVars&gt;&lt;wsp:rsids&gt;&lt;wsp:rsidRoot wsp:val=&quot;00172A27&quot;/&gt;&lt;wsp:rsid wsp:val=&quot;0000055C&quot;/&gt;&lt;wsp:rsid wsp:val=&quot;000027BB&quot;/&gt;&lt;wsp:rsid wsp:val=&quot;000042C1&quot;/&gt;&lt;wsp:rsid wsp:val=&quot;000236B8&quot;/&gt;&lt;wsp:rsid wsp:val=&quot;00031B90&quot;/&gt;&lt;wsp:rsid wsp:val=&quot;00033D1E&quot;/&gt;&lt;wsp:rsid wsp:val=&quot;00040EEF&quot;/&gt;&lt;wsp:rsid wsp:val=&quot;0005257E&quot;/&gt;&lt;wsp:rsid wsp:val=&quot;000613A0&quot;/&gt;&lt;wsp:rsid wsp:val=&quot;000619BF&quot;/&gt;&lt;wsp:rsid wsp:val=&quot;000643D4&quot;/&gt;&lt;wsp:rsid wsp:val=&quot;000649C1&quot;/&gt;&lt;wsp:rsid wsp:val=&quot;000650D6&quot;/&gt;&lt;wsp:rsid wsp:val=&quot;000714C9&quot;/&gt;&lt;wsp:rsid wsp:val=&quot;00085C58&quot;/&gt;&lt;wsp:rsid wsp:val=&quot;0009340B&quot;/&gt;&lt;wsp:rsid wsp:val=&quot;000947AE&quot;/&gt;&lt;wsp:rsid wsp:val=&quot;000956FF&quot;/&gt;&lt;wsp:rsid wsp:val=&quot;000A0A65&quot;/&gt;&lt;wsp:rsid wsp:val=&quot;000B72B9&quot;/&gt;&lt;wsp:rsid wsp:val=&quot;000C3756&quot;/&gt;&lt;wsp:rsid wsp:val=&quot;000C5712&quot;/&gt;&lt;wsp:rsid wsp:val=&quot;000D0A28&quot;/&gt;&lt;wsp:rsid wsp:val=&quot;000D6714&quot;/&gt;&lt;wsp:rsid wsp:val=&quot;000E5257&quot;/&gt;&lt;wsp:rsid wsp:val=&quot;000F1571&quot;/&gt;&lt;wsp:rsid wsp:val=&quot;00100482&quot;/&gt;&lt;wsp:rsid wsp:val=&quot;00103F5E&quot;/&gt;&lt;wsp:rsid wsp:val=&quot;00114C4F&quot;/&gt;&lt;wsp:rsid wsp:val=&quot;001213F0&quot;/&gt;&lt;wsp:rsid wsp:val=&quot;00127E2A&quot;/&gt;&lt;wsp:rsid wsp:val=&quot;00135DDA&quot;/&gt;&lt;wsp:rsid wsp:val=&quot;0015264D&quot;/&gt;&lt;wsp:rsid wsp:val=&quot;001531B8&quot;/&gt;&lt;wsp:rsid wsp:val=&quot;00157D46&quot;/&gt;&lt;wsp:rsid wsp:val=&quot;0016483C&quot;/&gt;&lt;wsp:rsid wsp:val=&quot;00165F0B&quot;/&gt;&lt;wsp:rsid wsp:val=&quot;0017526C&quot;/&gt;&lt;wsp:rsid wsp:val=&quot;00180551&quot;/&gt;&lt;wsp:rsid wsp:val=&quot;00180B49&quot;/&gt;&lt;wsp:rsid wsp:val=&quot;00183EC1&quot;/&gt;&lt;wsp:rsid wsp:val=&quot;001964A7&quot;/&gt;&lt;wsp:rsid wsp:val=&quot;001A3023&quot;/&gt;&lt;wsp:rsid wsp:val=&quot;001B0698&quot;/&gt;&lt;wsp:rsid wsp:val=&quot;001B3C4A&quot;/&gt;&lt;wsp:rsid wsp:val=&quot;001B4A84&quot;/&gt;&lt;wsp:rsid wsp:val=&quot;001B5023&quot;/&gt;&lt;wsp:rsid wsp:val=&quot;001C3187&quot;/&gt;&lt;wsp:rsid wsp:val=&quot;001C409D&quot;/&gt;&lt;wsp:rsid wsp:val=&quot;001E3BEA&quot;/&gt;&lt;wsp:rsid wsp:val=&quot;001E4D54&quot;/&gt;&lt;wsp:rsid wsp:val=&quot;001F29D1&quot;/&gt;&lt;wsp:rsid wsp:val=&quot;001F2C7A&quot;/&gt;&lt;wsp:rsid wsp:val=&quot;00222056&quot;/&gt;&lt;wsp:rsid wsp:val=&quot;00236EA6&quot;/&gt;&lt;wsp:rsid wsp:val=&quot;00253252&quot;/&gt;&lt;wsp:rsid wsp:val=&quot;00263F42&quot;/&gt;&lt;wsp:rsid wsp:val=&quot;00264369&quot;/&gt;&lt;wsp:rsid wsp:val=&quot;00265E4E&quot;/&gt;&lt;wsp:rsid wsp:val=&quot;0027203E&quot;/&gt;&lt;wsp:rsid wsp:val=&quot;00272AEC&quot;/&gt;&lt;wsp:rsid wsp:val=&quot;00272F87&quot;/&gt;&lt;wsp:rsid wsp:val=&quot;00282478&quot;/&gt;&lt;wsp:rsid wsp:val=&quot;00283F55&quot;/&gt;&lt;wsp:rsid wsp:val=&quot;00284CB6&quot;/&gt;&lt;wsp:rsid wsp:val=&quot;00293395&quot;/&gt;&lt;wsp:rsid wsp:val=&quot;002C1AE2&quot;/&gt;&lt;wsp:rsid wsp:val=&quot;002C2225&quot;/&gt;&lt;wsp:rsid wsp:val=&quot;002C3B1B&quot;/&gt;&lt;wsp:rsid wsp:val=&quot;002C60A9&quot;/&gt;&lt;wsp:rsid wsp:val=&quot;002D0BB1&quot;/&gt;&lt;wsp:rsid wsp:val=&quot;002D11AB&quot;/&gt;&lt;wsp:rsid wsp:val=&quot;002F0199&quot;/&gt;&lt;wsp:rsid wsp:val=&quot;002F172C&quot;/&gt;&lt;wsp:rsid wsp:val=&quot;002F7681&quot;/&gt;&lt;wsp:rsid wsp:val=&quot;003017AE&quot;/&gt;&lt;wsp:rsid wsp:val=&quot;00306AC9&quot;/&gt;&lt;wsp:rsid wsp:val=&quot;00310A5E&quot;/&gt;&lt;wsp:rsid wsp:val=&quot;00311F39&quot;/&gt;&lt;wsp:rsid wsp:val=&quot;00324AC4&quot;/&gt;&lt;wsp:rsid wsp:val=&quot;003268AF&quot;/&gt;&lt;wsp:rsid wsp:val=&quot;003305F7&quot;/&gt;&lt;wsp:rsid wsp:val=&quot;003739EA&quot;/&gt;&lt;wsp:rsid wsp:val=&quot;0037522E&quot;/&gt;&lt;wsp:rsid wsp:val=&quot;00377CF9&quot;/&gt;&lt;wsp:rsid wsp:val=&quot;003806F1&quot;/&gt;&lt;wsp:rsid wsp:val=&quot;0039737A&quot;/&gt;&lt;wsp:rsid wsp:val=&quot;003C2A47&quot;/&gt;&lt;wsp:rsid wsp:val=&quot;003C4817&quot;/&gt;&lt;wsp:rsid wsp:val=&quot;003C6323&quot;/&gt;&lt;wsp:rsid wsp:val=&quot;003F2AD5&quot;/&gt;&lt;wsp:rsid wsp:val=&quot;00400451&quot;/&gt;&lt;wsp:rsid wsp:val=&quot;0040326E&quot;/&gt;&lt;wsp:rsid wsp:val=&quot;0041247F&quot;/&gt;&lt;wsp:rsid wsp:val=&quot;00420A3E&quot;/&gt;&lt;wsp:rsid wsp:val=&quot;00422FDA&quot;/&gt;&lt;wsp:rsid wsp:val=&quot;0043558E&quot;/&gt;&lt;wsp:rsid wsp:val=&quot;0043633B&quot;/&gt;&lt;wsp:rsid wsp:val=&quot;00446EDC&quot;/&gt;&lt;wsp:rsid wsp:val=&quot;00455667&quot;/&gt;&lt;wsp:rsid wsp:val=&quot;00466E19&quot;/&gt;&lt;wsp:rsid wsp:val=&quot;0048485F&quot;/&gt;&lt;wsp:rsid wsp:val=&quot;004911AE&quot;/&gt;&lt;wsp:rsid wsp:val=&quot;00497FBF&quot;/&gt;&lt;wsp:rsid wsp:val=&quot;004A333A&quot;/&gt;&lt;wsp:rsid wsp:val=&quot;004B0166&quot;/&gt;&lt;wsp:rsid wsp:val=&quot;004C24A8&quot;/&gt;&lt;wsp:rsid wsp:val=&quot;004C4C95&quot;/&gt;&lt;wsp:rsid wsp:val=&quot;004D1ECA&quot;/&gt;&lt;wsp:rsid wsp:val=&quot;004E0FBC&quot;/&gt;&lt;wsp:rsid wsp:val=&quot;004E5A0B&quot;/&gt;&lt;wsp:rsid wsp:val=&quot;004E60D6&quot;/&gt;&lt;wsp:rsid wsp:val=&quot;004F04F2&quot;/&gt;&lt;wsp:rsid wsp:val=&quot;004F0F78&quot;/&gt;&lt;wsp:rsid wsp:val=&quot;004F384C&quot;/&gt;&lt;wsp:rsid wsp:val=&quot;004F622F&quot;/&gt;&lt;wsp:rsid wsp:val=&quot;005004D9&quot;/&gt;&lt;wsp:rsid wsp:val=&quot;00506360&quot;/&gt;&lt;wsp:rsid wsp:val=&quot;00507F79&quot;/&gt;&lt;wsp:rsid wsp:val=&quot;00511A23&quot;/&gt;&lt;wsp:rsid wsp:val=&quot;00524D5E&quot;/&gt;&lt;wsp:rsid wsp:val=&quot;00525509&quot;/&gt;&lt;wsp:rsid wsp:val=&quot;005318EB&quot;/&gt;&lt;wsp:rsid wsp:val=&quot;00534280&quot;/&gt;&lt;wsp:rsid wsp:val=&quot;005355B6&quot;/&gt;&lt;wsp:rsid wsp:val=&quot;005507B8&quot;/&gt;&lt;wsp:rsid wsp:val=&quot;00553947&quot;/&gt;&lt;wsp:rsid wsp:val=&quot;00561D99&quot;/&gt;&lt;wsp:rsid wsp:val=&quot;00564E65&quot;/&gt;&lt;wsp:rsid wsp:val=&quot;00564F8E&quot;/&gt;&lt;wsp:rsid wsp:val=&quot;00567059&quot;/&gt;&lt;wsp:rsid wsp:val=&quot;00571252&quot;/&gt;&lt;wsp:rsid wsp:val=&quot;005722DF&quot;/&gt;&lt;wsp:rsid wsp:val=&quot;00580050&quot;/&gt;&lt;wsp:rsid wsp:val=&quot;0058280C&quot;/&gt;&lt;wsp:rsid wsp:val=&quot;0059581B&quot;/&gt;&lt;wsp:rsid wsp:val=&quot;005A3A20&quot;/&gt;&lt;wsp:rsid wsp:val=&quot;005A69CD&quot;/&gt;&lt;wsp:rsid wsp:val=&quot;005C3CF3&quot;/&gt;&lt;wsp:rsid wsp:val=&quot;005C678F&quot;/&gt;&lt;wsp:rsid wsp:val=&quot;005C6EF3&quot;/&gt;&lt;wsp:rsid wsp:val=&quot;005D68AE&quot;/&gt;&lt;wsp:rsid wsp:val=&quot;005E2672&quot;/&gt;&lt;wsp:rsid wsp:val=&quot;005E76C0&quot;/&gt;&lt;wsp:rsid wsp:val=&quot;005E78FF&quot;/&gt;&lt;wsp:rsid wsp:val=&quot;005F6A58&quot;/&gt;&lt;wsp:rsid wsp:val=&quot;00603892&quot;/&gt;&lt;wsp:rsid wsp:val=&quot;00606281&quot;/&gt;&lt;wsp:rsid wsp:val=&quot;006109CB&quot;/&gt;&lt;wsp:rsid wsp:val=&quot;00610F13&quot;/&gt;&lt;wsp:rsid wsp:val=&quot;00612580&quot;/&gt;&lt;wsp:rsid wsp:val=&quot;00620E52&quot;/&gt;&lt;wsp:rsid wsp:val=&quot;00625CEC&quot;/&gt;&lt;wsp:rsid wsp:val=&quot;0063335B&quot;/&gt;&lt;wsp:rsid wsp:val=&quot;006337C1&quot;/&gt;&lt;wsp:rsid wsp:val=&quot;0064254D&quot;/&gt;&lt;wsp:rsid wsp:val=&quot;0066180F&quot;/&gt;&lt;wsp:rsid wsp:val=&quot;00666458&quot;/&gt;&lt;wsp:rsid wsp:val=&quot;006801AD&quot;/&gt;&lt;wsp:rsid wsp:val=&quot;006864F3&quot;/&gt;&lt;wsp:rsid wsp:val=&quot;00690299&quot;/&gt;&lt;wsp:rsid wsp:val=&quot;00690722&quot;/&gt;&lt;wsp:rsid wsp:val=&quot;006908FA&quot;/&gt;&lt;wsp:rsid wsp:val=&quot;006911D1&quot;/&gt;&lt;wsp:rsid wsp:val=&quot;006A390E&quot;/&gt;&lt;wsp:rsid wsp:val=&quot;006A4FFF&quot;/&gt;&lt;wsp:rsid wsp:val=&quot;006B2521&quot;/&gt;&lt;wsp:rsid wsp:val=&quot;006C0C1D&quot;/&gt;&lt;wsp:rsid wsp:val=&quot;006E2D85&quot;/&gt;&lt;wsp:rsid wsp:val=&quot;006E4BB9&quot;/&gt;&lt;wsp:rsid wsp:val=&quot;006E79D8&quot;/&gt;&lt;wsp:rsid wsp:val=&quot;006F5856&quot;/&gt;&lt;wsp:rsid wsp:val=&quot;006F628A&quot;/&gt;&lt;wsp:rsid wsp:val=&quot;00715244&quot;/&gt;&lt;wsp:rsid wsp:val=&quot;00717CFD&quot;/&gt;&lt;wsp:rsid wsp:val=&quot;007229D2&quot;/&gt;&lt;wsp:rsid wsp:val=&quot;00723510&quot;/&gt;&lt;wsp:rsid wsp:val=&quot;00723EFC&quot;/&gt;&lt;wsp:rsid wsp:val=&quot;00727423&quot;/&gt;&lt;wsp:rsid wsp:val=&quot;00736E21&quot;/&gt;&lt;wsp:rsid wsp:val=&quot;00750233&quot;/&gt;&lt;wsp:rsid wsp:val=&quot;00750517&quot;/&gt;&lt;wsp:rsid wsp:val=&quot;0075658F&quot;/&gt;&lt;wsp:rsid wsp:val=&quot;007572E8&quot;/&gt;&lt;wsp:rsid wsp:val=&quot;00764856&quot;/&gt;&lt;wsp:rsid wsp:val=&quot;00770246&quot;/&gt;&lt;wsp:rsid wsp:val=&quot;007751CD&quot;/&gt;&lt;wsp:rsid wsp:val=&quot;00776468&quot;/&gt;&lt;wsp:rsid wsp:val=&quot;007811AA&quot;/&gt;&lt;wsp:rsid wsp:val=&quot;00782083&quot;/&gt;&lt;wsp:rsid wsp:val=&quot;00795926&quot;/&gt;&lt;wsp:rsid wsp:val=&quot;007962C4&quot;/&gt;&lt;wsp:rsid wsp:val=&quot;007A19E5&quot;/&gt;&lt;wsp:rsid wsp:val=&quot;007B266A&quot;/&gt;&lt;wsp:rsid wsp:val=&quot;007B51C5&quot;/&gt;&lt;wsp:rsid wsp:val=&quot;007C0913&quot;/&gt;&lt;wsp:rsid wsp:val=&quot;007C2C08&quot;/&gt;&lt;wsp:rsid wsp:val=&quot;007C348A&quot;/&gt;&lt;wsp:rsid wsp:val=&quot;008011B9&quot;/&gt;&lt;wsp:rsid wsp:val=&quot;00801FDB&quot;/&gt;&lt;wsp:rsid wsp:val=&quot;00807F5F&quot;/&gt;&lt;wsp:rsid wsp:val=&quot;008132EF&quot;/&gt;&lt;wsp:rsid wsp:val=&quot;008201DE&quot;/&gt;&lt;wsp:rsid wsp:val=&quot;0084142F&quot;/&gt;&lt;wsp:rsid wsp:val=&quot;00853632&quot;/&gt;&lt;wsp:rsid wsp:val=&quot;00853CA8&quot;/&gt;&lt;wsp:rsid wsp:val=&quot;00867D55&quot;/&gt;&lt;wsp:rsid wsp:val=&quot;008702B1&quot;/&gt;&lt;wsp:rsid wsp:val=&quot;008903B8&quot;/&gt;&lt;wsp:rsid wsp:val=&quot;0089602C&quot;/&gt;&lt;wsp:rsid wsp:val=&quot;008A1742&quot;/&gt;&lt;wsp:rsid wsp:val=&quot;008B14D6&quot;/&gt;&lt;wsp:rsid wsp:val=&quot;008B2019&quot;/&gt;&lt;wsp:rsid wsp:val=&quot;008B2550&quot;/&gt;&lt;wsp:rsid wsp:val=&quot;008B4217&quot;/&gt;&lt;wsp:rsid wsp:val=&quot;008B495C&quot;/&gt;&lt;wsp:rsid wsp:val=&quot;008C428A&quot;/&gt;&lt;wsp:rsid wsp:val=&quot;008C4611&quot;/&gt;&lt;wsp:rsid wsp:val=&quot;008F31B6&quot;/&gt;&lt;wsp:rsid wsp:val=&quot;009000A4&quot;/&gt;&lt;wsp:rsid wsp:val=&quot;0090377B&quot;/&gt;&lt;wsp:rsid wsp:val=&quot;00912F21&quot;/&gt;&lt;wsp:rsid wsp:val=&quot;0091338A&quot;/&gt;&lt;wsp:rsid wsp:val=&quot;0092211A&quot;/&gt;&lt;wsp:rsid wsp:val=&quot;00923EA2&quot;/&gt;&lt;wsp:rsid wsp:val=&quot;00931860&quot;/&gt;&lt;wsp:rsid wsp:val=&quot;009327BC&quot;/&gt;&lt;wsp:rsid wsp:val=&quot;00946667&quot;/&gt;&lt;wsp:rsid wsp:val=&quot;009473CD&quot;/&gt;&lt;wsp:rsid wsp:val=&quot;00957530&quot;/&gt;&lt;wsp:rsid wsp:val=&quot;00962F9C&quot;/&gt;&lt;wsp:rsid wsp:val=&quot;00963ADC&quot;/&gt;&lt;wsp:rsid wsp:val=&quot;00966AAA&quot;/&gt;&lt;wsp:rsid wsp:val=&quot;009701FD&quot;/&gt;&lt;wsp:rsid wsp:val=&quot;009861D3&quot;/&gt;&lt;wsp:rsid wsp:val=&quot;009B218F&quot;/&gt;&lt;wsp:rsid wsp:val=&quot;009D5E93&quot;/&gt;&lt;wsp:rsid wsp:val=&quot;009E3355&quot;/&gt;&lt;wsp:rsid wsp:val=&quot;009F20C5&quot;/&gt;&lt;wsp:rsid wsp:val=&quot;009F38A5&quot;/&gt;&lt;wsp:rsid wsp:val=&quot;00A00B46&quot;/&gt;&lt;wsp:rsid wsp:val=&quot;00A1302D&quot;/&gt;&lt;wsp:rsid wsp:val=&quot;00A1602B&quot;/&gt;&lt;wsp:rsid wsp:val=&quot;00A1795B&quot;/&gt;&lt;wsp:rsid wsp:val=&quot;00A21780&quot;/&gt;&lt;wsp:rsid wsp:val=&quot;00A23A9B&quot;/&gt;&lt;wsp:rsid wsp:val=&quot;00A27D3A&quot;/&gt;&lt;wsp:rsid wsp:val=&quot;00A33922&quot;/&gt;&lt;wsp:rsid wsp:val=&quot;00A37ABF&quot;/&gt;&lt;wsp:rsid wsp:val=&quot;00A42A99&quot;/&gt;&lt;wsp:rsid wsp:val=&quot;00A63FC2&quot;/&gt;&lt;wsp:rsid wsp:val=&quot;00A67B05&quot;/&gt;&lt;wsp:rsid wsp:val=&quot;00A72CF5&quot;/&gt;&lt;wsp:rsid wsp:val=&quot;00A92435&quot;/&gt;&lt;wsp:rsid wsp:val=&quot;00A92876&quot;/&gt;&lt;wsp:rsid wsp:val=&quot;00AA1473&quot;/&gt;&lt;wsp:rsid wsp:val=&quot;00AA22C9&quot;/&gt;&lt;wsp:rsid wsp:val=&quot;00AA44A1&quot;/&gt;&lt;wsp:rsid wsp:val=&quot;00AA6F62&quot;/&gt;&lt;wsp:rsid wsp:val=&quot;00AB029F&quot;/&gt;&lt;wsp:rsid wsp:val=&quot;00AB0D54&quot;/&gt;&lt;wsp:rsid wsp:val=&quot;00AC176F&quot;/&gt;&lt;wsp:rsid wsp:val=&quot;00AC5F27&quot;/&gt;&lt;wsp:rsid wsp:val=&quot;00AD4B1F&quot;/&gt;&lt;wsp:rsid wsp:val=&quot;00AD4E5B&quot;/&gt;&lt;wsp:rsid wsp:val=&quot;00AD71D6&quot;/&gt;&lt;wsp:rsid wsp:val=&quot;00AD7972&quot;/&gt;&lt;wsp:rsid wsp:val=&quot;00B00FBA&quot;/&gt;&lt;wsp:rsid wsp:val=&quot;00B121F7&quot;/&gt;&lt;wsp:rsid wsp:val=&quot;00B122CA&quot;/&gt;&lt;wsp:rsid wsp:val=&quot;00B1687E&quot;/&gt;&lt;wsp:rsid wsp:val=&quot;00B20EE6&quot;/&gt;&lt;wsp:rsid wsp:val=&quot;00B237CA&quot;/&gt;&lt;wsp:rsid wsp:val=&quot;00B25AEA&quot;/&gt;&lt;wsp:rsid wsp:val=&quot;00B25B97&quot;/&gt;&lt;wsp:rsid wsp:val=&quot;00B36B7B&quot;/&gt;&lt;wsp:rsid wsp:val=&quot;00B501D6&quot;/&gt;&lt;wsp:rsid wsp:val=&quot;00B55FF4&quot;/&gt;&lt;wsp:rsid wsp:val=&quot;00B600B0&quot;/&gt;&lt;wsp:rsid wsp:val=&quot;00B8064F&quot;/&gt;&lt;wsp:rsid wsp:val=&quot;00BA3A70&quot;/&gt;&lt;wsp:rsid wsp:val=&quot;00BB3722&quot;/&gt;&lt;wsp:rsid wsp:val=&quot;00BC15EF&quot;/&gt;&lt;wsp:rsid wsp:val=&quot;00BC68C2&quot;/&gt;&lt;wsp:rsid wsp:val=&quot;00BD0629&quot;/&gt;&lt;wsp:rsid wsp:val=&quot;00BD1ED7&quot;/&gt;&lt;wsp:rsid wsp:val=&quot;00BF56CE&quot;/&gt;&lt;wsp:rsid wsp:val=&quot;00C032F9&quot;/&gt;&lt;wsp:rsid wsp:val=&quot;00C1385D&quot;/&gt;&lt;wsp:rsid wsp:val=&quot;00C13C5A&quot;/&gt;&lt;wsp:rsid wsp:val=&quot;00C23602&quot;/&gt;&lt;wsp:rsid wsp:val=&quot;00C23F82&quot;/&gt;&lt;wsp:rsid wsp:val=&quot;00C26E1B&quot;/&gt;&lt;wsp:rsid wsp:val=&quot;00C43395&quot;/&gt;&lt;wsp:rsid wsp:val=&quot;00C4572D&quot;/&gt;&lt;wsp:rsid wsp:val=&quot;00C50305&quot;/&gt;&lt;wsp:rsid wsp:val=&quot;00C56121&quot;/&gt;&lt;wsp:rsid wsp:val=&quot;00C630DD&quot;/&gt;&lt;wsp:rsid wsp:val=&quot;00C63562&quot;/&gt;&lt;wsp:rsid wsp:val=&quot;00C726B5&quot;/&gt;&lt;wsp:rsid wsp:val=&quot;00C861C8&quot;/&gt;&lt;wsp:rsid wsp:val=&quot;00C92F96&quot;/&gt;&lt;wsp:rsid wsp:val=&quot;00C93BF3&quot;/&gt;&lt;wsp:rsid wsp:val=&quot;00CA293A&quot;/&gt;&lt;wsp:rsid wsp:val=&quot;00CA2BD9&quot;/&gt;&lt;wsp:rsid wsp:val=&quot;00CA4CBE&quot;/&gt;&lt;wsp:rsid wsp:val=&quot;00CA615F&quot;/&gt;&lt;wsp:rsid wsp:val=&quot;00CA7A86&quot;/&gt;&lt;wsp:rsid wsp:val=&quot;00CB1918&quot;/&gt;&lt;wsp:rsid wsp:val=&quot;00CB757A&quot;/&gt;&lt;wsp:rsid wsp:val=&quot;00CC0194&quot;/&gt;&lt;wsp:rsid wsp:val=&quot;00CC3BD3&quot;/&gt;&lt;wsp:rsid wsp:val=&quot;00CC736F&quot;/&gt;&lt;wsp:rsid wsp:val=&quot;00CD7E26&quot;/&gt;&lt;wsp:rsid wsp:val=&quot;00CF1514&quot;/&gt;&lt;wsp:rsid wsp:val=&quot;00CF15A3&quot;/&gt;&lt;wsp:rsid wsp:val=&quot;00D44446&quot;/&gt;&lt;wsp:rsid wsp:val=&quot;00D503CB&quot;/&gt;&lt;wsp:rsid wsp:val=&quot;00D52DB0&quot;/&gt;&lt;wsp:rsid wsp:val=&quot;00D64D53&quot;/&gt;&lt;wsp:rsid wsp:val=&quot;00D764BF&quot;/&gt;&lt;wsp:rsid wsp:val=&quot;00D80B3D&quot;/&gt;&lt;wsp:rsid wsp:val=&quot;00D83016&quot;/&gt;&lt;wsp:rsid wsp:val=&quot;00D95C56&quot;/&gt;&lt;wsp:rsid wsp:val=&quot;00D96B0D&quot;/&gt;&lt;wsp:rsid wsp:val=&quot;00DB186B&quot;/&gt;&lt;wsp:rsid wsp:val=&quot;00DB1ABB&quot;/&gt;&lt;wsp:rsid wsp:val=&quot;00DC7DB4&quot;/&gt;&lt;wsp:rsid wsp:val=&quot;00DD0D65&quot;/&gt;&lt;wsp:rsid wsp:val=&quot;00DD354B&quot;/&gt;&lt;wsp:rsid wsp:val=&quot;00E00F73&quot;/&gt;&lt;wsp:rsid wsp:val=&quot;00E01B27&quot;/&gt;&lt;wsp:rsid wsp:val=&quot;00E03DE9&quot;/&gt;&lt;wsp:rsid wsp:val=&quot;00E1490D&quot;/&gt;&lt;wsp:rsid wsp:val=&quot;00E14B3C&quot;/&gt;&lt;wsp:rsid wsp:val=&quot;00E21C60&quot;/&gt;&lt;wsp:rsid wsp:val=&quot;00E26416&quot;/&gt;&lt;wsp:rsid wsp:val=&quot;00E30F00&quot;/&gt;&lt;wsp:rsid wsp:val=&quot;00E326DD&quot;/&gt;&lt;wsp:rsid wsp:val=&quot;00E332B2&quot;/&gt;&lt;wsp:rsid wsp:val=&quot;00E3746D&quot;/&gt;&lt;wsp:rsid wsp:val=&quot;00E44EE7&quot;/&gt;&lt;wsp:rsid wsp:val=&quot;00E525A5&quot;/&gt;&lt;wsp:rsid wsp:val=&quot;00E52917&quot;/&gt;&lt;wsp:rsid wsp:val=&quot;00E55634&quot;/&gt;&lt;wsp:rsid wsp:val=&quot;00E56399&quot;/&gt;&lt;wsp:rsid wsp:val=&quot;00E65A4A&quot;/&gt;&lt;wsp:rsid wsp:val=&quot;00E83B5B&quot;/&gt;&lt;wsp:rsid wsp:val=&quot;00E900C0&quot;/&gt;&lt;wsp:rsid wsp:val=&quot;00EA4DDB&quot;/&gt;&lt;wsp:rsid wsp:val=&quot;00EA7D19&quot;/&gt;&lt;wsp:rsid wsp:val=&quot;00EB727B&quot;/&gt;&lt;wsp:rsid wsp:val=&quot;00EC6A0C&quot;/&gt;&lt;wsp:rsid wsp:val=&quot;00ED34B3&quot;/&gt;&lt;wsp:rsid wsp:val=&quot;00EE5A7C&quot;/&gt;&lt;wsp:rsid wsp:val=&quot;00F04D7B&quot;/&gt;&lt;wsp:rsid wsp:val=&quot;00F107C9&quot;/&gt;&lt;wsp:rsid wsp:val=&quot;00F10C26&quot;/&gt;&lt;wsp:rsid wsp:val=&quot;00F25DDF&quot;/&gt;&lt;wsp:rsid wsp:val=&quot;00F32AE2&quot;/&gt;&lt;wsp:rsid wsp:val=&quot;00F44C95&quot;/&gt;&lt;wsp:rsid wsp:val=&quot;00F471AA&quot;/&gt;&lt;wsp:rsid wsp:val=&quot;00F66F49&quot;/&gt;&lt;wsp:rsid wsp:val=&quot;00F67F84&quot;/&gt;&lt;wsp:rsid wsp:val=&quot;00F716D3&quot;/&gt;&lt;wsp:rsid wsp:val=&quot;00F72CB3&quot;/&gt;&lt;wsp:rsid wsp:val=&quot;00F7343E&quot;/&gt;&lt;wsp:rsid wsp:val=&quot;00F77263&quot;/&gt;&lt;wsp:rsid wsp:val=&quot;00F77884&quot;/&gt;&lt;wsp:rsid wsp:val=&quot;00F82EB0&quot;/&gt;&lt;wsp:rsid wsp:val=&quot;00F83BB6&quot;/&gt;&lt;wsp:rsid wsp:val=&quot;00F8589E&quot;/&gt;&lt;wsp:rsid wsp:val=&quot;00F903E3&quot;/&gt;&lt;wsp:rsid wsp:val=&quot;00F9352E&quot;/&gt;&lt;wsp:rsid wsp:val=&quot;00F93C82&quot;/&gt;&lt;wsp:rsid wsp:val=&quot;00F97368&quot;/&gt;&lt;wsp:rsid wsp:val=&quot;00FA45AB&quot;/&gt;&lt;wsp:rsid wsp:val=&quot;00FC485D&quot;/&gt;&lt;wsp:rsid wsp:val=&quot;00FC79A7&quot;/&gt;&lt;wsp:rsid wsp:val=&quot;00FD0C60&quot;/&gt;&lt;wsp:rsid wsp:val=&quot;00FD5168&quot;/&gt;&lt;wsp:rsid wsp:val=&quot;00FD7B79&quot;/&gt;&lt;wsp:rsid wsp:val=&quot;00FE263E&quot;/&gt;&lt;wsp:rsid wsp:val=&quot;00FE42AF&quot;/&gt;&lt;wsp:rsid wsp:val=&quot;00FE79C9&quot;/&gt;&lt;wsp:rsid wsp:val=&quot;00FF7802&quot;/&gt;&lt;wsp:rsid wsp:val=&quot;2FBE662A&quot;/&gt;&lt;wsp:rsid wsp:val=&quot;4F341F9B&quot;/&gt;&lt;wsp:rsid wsp:val=&quot;58FF1110&quot;/&gt;&lt;wsp:rsid wsp:val=&quot;716F1742&quot;/&gt;&lt;/wsp:rsids&gt;&lt;/w:docPr&gt;&lt;w:body&gt;&lt;wx:sect&gt;&lt;w:p wsp:rsidR=&quot;00000000&quot; wsp:rsidRDefault=&quot;00A92435&quot; wsp:rsidP=&quot;00A92435&quot;&gt;&lt;m:oMathPara&gt;&lt;m:oMath&gt;&lt;m:r&gt;&lt;w:rPr&gt;&lt;w:rStyle w:val=&quot;a&quot;/&gt;&lt;w:rFonts w:ascii=&quot;Cambria Math&quot; w:h-ansi=&quot;Cambria Math&quot;/&gt;&lt;wx:font wx:val=&quot;Cambria Math&quot;/&gt;&lt;w:i/&gt;&lt;w:color w:val=&quot;000000&quot;/&gt;&lt;w:sz w:val=&quot;24&quot;/&gt;&lt;w:sz-cs w:val=&quot;24&quot;/&gt;&lt;/w:rPr&gt;&lt;m:t&gt;u&lt;/m:t&gt;&lt;/m:r&gt;&lt;m:d&gt;&lt;m:dPr&gt;&lt;m:ctrlPr&gt;&lt;w:rPr&gt;&lt;w:rStyle w:val=&quot;a&quot;/&gt;&lt;w:rFonts w:ascii=&quot;Cambria Math&quot; w:h-ansi=&quot;Cambria Math&quot;/&gt;&lt;wx:font wx:val=&quot;Cambria Math&quot;/&gt;&lt;w:i/&gt;&lt;w:color w:val=&quot;000000&quot;/&gt;&lt;w:sz w:val=&quot;24&quot;/&gt;&lt;w:sz-cs w:val=&quot;24&quot;/&gt;&lt;/w:rPr&gt;&lt;/m:ctrlPr&gt;&lt;/m:dPr&gt;&lt;m:e&gt;&lt;m:sSub&gt;&lt;m:sSubPr&gt;&lt;m:ctrlPr&gt;&lt;w:rPr&gt;&lt;w:rStyle w:val=&quot;a&quot;/&gt;&lt;w:rFonts w:ascii=&quot;Cambria Math&quot; w:h-ansi=&quot;Cambria Math&quot;/&gt;&lt;wx:font wx:val=&quot;Cambria Math&quot;/&gt;&lt;w:i/&gt;&lt;w:color w:val=&quot;000000&quot;/&gt;&lt;w:sz w:val=&quot;24&quot;/&gt;&lt;w:sz-cs w:val=&quot;24&quot;/&gt;&lt;/w:rPr&gt;&lt;/m:ctrlPr&gt;&lt;/m:sSubPr&gt;&lt;m:e&gt;&lt;m:r&gt;&lt;w:rPr&gt;&lt;w:rStyle w:val=&quot;a&quot;/&gt;&lt;w:rFonts w:ascii=&quot;Cambria Math&quot; w:h-ansi=&quot;Cambria Math&quot; w:hint=&quot;fareast&quot;/&gt;&lt;wx:font wx:val=&quot;Cambria Math&quot;/&gt;&lt;w:i/&gt;&lt;w:color w:val=&quot;000000&quot;/&gt;&lt;w:sz w:val=&quot;24&quot;/&gt;&lt;w:sz-cs w:val=&quot;24&quot;/&gt;&lt;/w:rPr&gt;&lt;m:t&gt;x&lt;/m:t&gt;&lt;/m:r&gt;&lt;/m:e&gt;&lt;m:sub&gt;&lt;m:r&gt;&lt;w:rPr&gt;&lt;w:rStyle w:val=&quot;a&quot;/&gt;&lt;w:rFonts w:ascii=&quot;Cambria Math&quot; w:h-ansi=&quot;Cambria Math&quot;/&gt;&lt;wx:font wx:val=&quot;Cambria Math&quot;/&gt;&lt;w:i/&gt;&lt;w:color w:val=&quot;000000&quot;/&gt;&lt;w:sz w:val=&quot;24&quot;/&gt;&lt;w:sz-cs w:val=&quot;24&quot;/&gt;&lt;/w:rPr&gt;&lt;m:t&gt;i&lt;/m:t&gt;&lt;/m:r&gt;&lt;/m:sub&gt;&lt;/m:sSub&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path/>
            <v:fill on="f" focussize="0,0"/>
            <v:stroke on="f" joinstyle="miter"/>
            <v:imagedata r:id="rId6" chromakey="#FFFFFF" o:title=""/>
            <o:lock v:ext="edit" aspectratio="t"/>
            <w10:wrap type="none"/>
            <w10:anchorlock/>
          </v:shape>
        </w:pict>
      </w:r>
      <w:r>
        <w:rPr>
          <w:color w:val="000000"/>
          <w:sz w:val="24"/>
        </w:rPr>
        <w:instrText xml:space="preserve"> </w:instrText>
      </w:r>
      <w:r>
        <w:rPr>
          <w:color w:val="000000"/>
          <w:sz w:val="24"/>
        </w:rPr>
        <w:fldChar w:fldCharType="separate"/>
      </w:r>
      <w:r>
        <w:rPr>
          <w:color w:val="000000"/>
          <w:sz w:val="24"/>
        </w:rPr>
        <w:fldChar w:fldCharType="end"/>
      </w:r>
      <w:r>
        <w:rPr>
          <w:sz w:val="24"/>
        </w:rPr>
        <w:t>，应选择更适合的传递标准</w:t>
      </w:r>
      <w:r>
        <w:rPr>
          <w:rFonts w:hint="eastAsia"/>
          <w:sz w:val="24"/>
        </w:rPr>
        <w:t>或传递方式。</w:t>
      </w:r>
    </w:p>
    <w:p>
      <w:pPr>
        <w:snapToGrid w:val="0"/>
        <w:spacing w:line="360" w:lineRule="auto"/>
        <w:ind w:firstLine="480" w:firstLineChars="200"/>
        <w:rPr>
          <w:sz w:val="24"/>
        </w:rPr>
      </w:pPr>
      <w:r>
        <w:rPr>
          <w:rFonts w:hint="eastAsia"/>
          <w:sz w:val="24"/>
        </w:rPr>
        <w:t>当可选的传递标准由于安装、运输等原因量值可能发生较大变动时，可采用多个传递标准以控制传递标准性能变化对比对的影响。为了分析传递标准的影响规律，也可采用不同原理的传递标准组成传递标准组。</w:t>
      </w:r>
    </w:p>
    <w:p>
      <w:pPr>
        <w:pStyle w:val="3"/>
        <w:spacing w:before="0" w:after="93" w:afterLines="30" w:line="360" w:lineRule="auto"/>
        <w:rPr>
          <w:rFonts w:ascii="Times New Roman" w:hAnsi="Times New Roman" w:eastAsia="宋体"/>
          <w:b w:val="0"/>
          <w:sz w:val="24"/>
        </w:rPr>
      </w:pPr>
      <w:bookmarkStart w:id="76" w:name="_Toc137854326"/>
      <w:r>
        <w:rPr>
          <w:rFonts w:hint="eastAsia" w:ascii="Times New Roman" w:hAnsi="Times New Roman" w:eastAsia="宋体"/>
          <w:b w:val="0"/>
          <w:sz w:val="24"/>
        </w:rPr>
        <w:t>A.2</w:t>
      </w:r>
      <w:r>
        <w:rPr>
          <w:rFonts w:ascii="Times New Roman" w:hAnsi="Times New Roman" w:eastAsia="宋体"/>
          <w:b w:val="0"/>
          <w:sz w:val="24"/>
        </w:rPr>
        <w:t xml:space="preserve"> </w:t>
      </w:r>
      <w:r>
        <w:rPr>
          <w:rFonts w:hint="eastAsia" w:ascii="Times New Roman" w:hAnsi="Times New Roman" w:eastAsia="宋体"/>
          <w:b w:val="0"/>
          <w:sz w:val="24"/>
        </w:rPr>
        <w:t>比对前针对传递标准的考查</w:t>
      </w:r>
      <w:bookmarkEnd w:id="76"/>
    </w:p>
    <w:p>
      <w:pPr>
        <w:snapToGrid w:val="0"/>
        <w:spacing w:line="360" w:lineRule="auto"/>
        <w:rPr>
          <w:color w:val="000000"/>
          <w:sz w:val="24"/>
        </w:rPr>
      </w:pPr>
      <w:r>
        <w:rPr>
          <w:rFonts w:hint="eastAsia"/>
          <w:color w:val="000000"/>
          <w:sz w:val="24"/>
        </w:rPr>
        <w:t>A.2.1 常规性能实验</w:t>
      </w:r>
    </w:p>
    <w:p>
      <w:pPr>
        <w:snapToGrid w:val="0"/>
        <w:spacing w:line="360" w:lineRule="auto"/>
        <w:ind w:firstLine="480" w:firstLineChars="200"/>
        <w:rPr>
          <w:color w:val="000000"/>
          <w:sz w:val="24"/>
        </w:rPr>
      </w:pPr>
      <w:r>
        <w:rPr>
          <w:rFonts w:hint="eastAsia"/>
          <w:color w:val="000000"/>
          <w:sz w:val="24"/>
        </w:rPr>
        <w:t>主导实验室针对候选传递标准，开展实验测量和分析，以确定其稳定性、均匀性等性能的水平，基于测量结果确定性能较为优良的作为比对用传递标准。部分结论可以基于以往的实验结果，但需注意的是：第一，以往实验结果也必须是参加比对的这台仪表的实验，而不能是同型号的其他仪表；第二，比对前至少要完成最基本的实验以达到能够验证其性能稳定的目的。</w:t>
      </w:r>
    </w:p>
    <w:p>
      <w:pPr>
        <w:snapToGrid w:val="0"/>
        <w:spacing w:line="360" w:lineRule="auto"/>
        <w:rPr>
          <w:sz w:val="24"/>
        </w:rPr>
      </w:pPr>
      <w:r>
        <w:rPr>
          <w:rFonts w:hint="eastAsia"/>
          <w:sz w:val="24"/>
        </w:rPr>
        <w:t>A.2.2  传递标准的模拟实验</w:t>
      </w:r>
    </w:p>
    <w:p>
      <w:pPr>
        <w:snapToGrid w:val="0"/>
        <w:spacing w:line="360" w:lineRule="auto"/>
        <w:ind w:firstLine="480"/>
        <w:rPr>
          <w:color w:val="000000"/>
          <w:sz w:val="24"/>
        </w:rPr>
      </w:pPr>
      <w:r>
        <w:rPr>
          <w:rFonts w:hint="eastAsia"/>
          <w:color w:val="000000"/>
          <w:sz w:val="24"/>
        </w:rPr>
        <w:t>建议主导实验室至少完成一次模拟比对试验，并根据传递标准的特点及实验表现，给出具体使用说明和注意事项。为了后续的修正和可能的问题分析，明确实验记录项目；并确定附加实验要求，如零点记录或调节、考核其性能的参考点测量等。</w:t>
      </w:r>
    </w:p>
    <w:p>
      <w:pPr>
        <w:pStyle w:val="3"/>
        <w:spacing w:before="0" w:after="93" w:afterLines="30" w:line="360" w:lineRule="auto"/>
        <w:rPr>
          <w:color w:val="000000"/>
          <w:sz w:val="24"/>
        </w:rPr>
      </w:pPr>
      <w:bookmarkStart w:id="77" w:name="_Toc137854327"/>
      <w:r>
        <w:rPr>
          <w:rFonts w:hint="eastAsia" w:ascii="Times New Roman" w:hAnsi="Times New Roman" w:eastAsia="宋体"/>
          <w:b w:val="0"/>
          <w:sz w:val="24"/>
        </w:rPr>
        <w:t>A.3</w:t>
      </w:r>
      <w:r>
        <w:rPr>
          <w:rFonts w:ascii="Times New Roman" w:hAnsi="Times New Roman" w:eastAsia="宋体"/>
          <w:b w:val="0"/>
          <w:sz w:val="24"/>
        </w:rPr>
        <w:t xml:space="preserve"> </w:t>
      </w:r>
      <w:r>
        <w:rPr>
          <w:rFonts w:hint="eastAsia" w:ascii="Times New Roman" w:hAnsi="Times New Roman" w:eastAsia="宋体"/>
          <w:b w:val="0"/>
          <w:sz w:val="24"/>
        </w:rPr>
        <w:t>传递</w:t>
      </w:r>
      <w:r>
        <w:rPr>
          <w:rFonts w:ascii="Times New Roman" w:hAnsi="Times New Roman" w:eastAsia="宋体"/>
          <w:b w:val="0"/>
          <w:sz w:val="24"/>
        </w:rPr>
        <w:t>方式</w:t>
      </w:r>
      <w:bookmarkEnd w:id="77"/>
    </w:p>
    <w:p>
      <w:pPr>
        <w:snapToGrid w:val="0"/>
        <w:spacing w:line="360" w:lineRule="auto"/>
        <w:rPr>
          <w:color w:val="000000"/>
          <w:sz w:val="24"/>
        </w:rPr>
      </w:pPr>
      <w:r>
        <w:rPr>
          <w:rFonts w:hint="eastAsia"/>
          <w:color w:val="000000"/>
          <w:sz w:val="24"/>
        </w:rPr>
        <w:t>A.3</w:t>
      </w:r>
      <w:r>
        <w:rPr>
          <w:color w:val="000000"/>
          <w:sz w:val="24"/>
        </w:rPr>
        <w:t>.1 常见</w:t>
      </w:r>
      <w:r>
        <w:rPr>
          <w:rFonts w:hint="eastAsia"/>
          <w:color w:val="000000"/>
          <w:sz w:val="24"/>
        </w:rPr>
        <w:t>传递</w:t>
      </w:r>
      <w:r>
        <w:rPr>
          <w:color w:val="000000"/>
          <w:sz w:val="24"/>
        </w:rPr>
        <w:t>方式</w:t>
      </w:r>
    </w:p>
    <w:p>
      <w:pPr>
        <w:snapToGrid w:val="0"/>
        <w:spacing w:line="360" w:lineRule="auto"/>
        <w:ind w:firstLine="420"/>
        <w:rPr>
          <w:color w:val="000000"/>
          <w:sz w:val="24"/>
        </w:rPr>
      </w:pPr>
      <w:r>
        <w:rPr>
          <w:rFonts w:hint="eastAsia"/>
          <w:color w:val="000000"/>
          <w:sz w:val="24"/>
        </w:rPr>
        <w:t>比对方式的合理选择可以控制（或减小）传递标准引入的不确定度，及时发现传递标准的异常，或提高比对效率。应</w:t>
      </w:r>
      <w:r>
        <w:rPr>
          <w:color w:val="000000"/>
          <w:sz w:val="24"/>
        </w:rPr>
        <w:t>根据比对所选择的传递标准的特性、比对的不确定度需求或专业特点确定</w:t>
      </w:r>
      <w:r>
        <w:rPr>
          <w:rFonts w:hint="eastAsia"/>
          <w:color w:val="000000"/>
          <w:sz w:val="24"/>
        </w:rPr>
        <w:t>传递</w:t>
      </w:r>
      <w:r>
        <w:rPr>
          <w:color w:val="000000"/>
          <w:sz w:val="24"/>
        </w:rPr>
        <w:t>方式。</w:t>
      </w:r>
      <w:r>
        <w:rPr>
          <w:rFonts w:hint="eastAsia"/>
          <w:color w:val="000000"/>
          <w:sz w:val="24"/>
        </w:rPr>
        <w:t>传递</w:t>
      </w:r>
      <w:r>
        <w:rPr>
          <w:color w:val="000000"/>
          <w:sz w:val="24"/>
        </w:rPr>
        <w:t>方式按传递标准传递路线的形式划分，分为移动地点比对和固定地点比对两种方式。</w:t>
      </w:r>
    </w:p>
    <w:p>
      <w:pPr>
        <w:snapToGrid w:val="0"/>
        <w:spacing w:line="360" w:lineRule="auto"/>
        <w:rPr>
          <w:color w:val="000000"/>
          <w:sz w:val="24"/>
        </w:rPr>
      </w:pPr>
      <w:r>
        <w:rPr>
          <w:rFonts w:hint="eastAsia"/>
          <w:color w:val="000000"/>
          <w:sz w:val="24"/>
        </w:rPr>
        <w:t>A.3.2  移动地点比对方式</w:t>
      </w:r>
    </w:p>
    <w:p>
      <w:pPr>
        <w:snapToGrid w:val="0"/>
        <w:spacing w:line="360" w:lineRule="auto"/>
        <w:ind w:firstLine="420"/>
        <w:rPr>
          <w:color w:val="000000"/>
          <w:sz w:val="24"/>
        </w:rPr>
      </w:pPr>
      <w:r>
        <w:rPr>
          <w:color w:val="000000"/>
          <w:sz w:val="24"/>
        </w:rPr>
        <w:t>多数情况采用移动地点比对方式，</w:t>
      </w:r>
      <w:r>
        <w:rPr>
          <w:rFonts w:hint="eastAsia"/>
          <w:color w:val="000000"/>
          <w:sz w:val="24"/>
        </w:rPr>
        <w:t>传递标准运送到参比实验室完成比对实验。按照传递标准传递路线的方式分为</w:t>
      </w:r>
      <w:r>
        <w:rPr>
          <w:color w:val="000000"/>
          <w:sz w:val="24"/>
        </w:rPr>
        <w:t>环</w:t>
      </w:r>
      <w:r>
        <w:rPr>
          <w:rFonts w:hint="eastAsia"/>
          <w:color w:val="000000"/>
          <w:sz w:val="24"/>
        </w:rPr>
        <w:t>形</w:t>
      </w:r>
      <w:r>
        <w:rPr>
          <w:color w:val="000000"/>
          <w:sz w:val="24"/>
        </w:rPr>
        <w:t>、星</w:t>
      </w:r>
      <w:r>
        <w:rPr>
          <w:rFonts w:hint="eastAsia"/>
          <w:color w:val="000000"/>
          <w:sz w:val="24"/>
        </w:rPr>
        <w:t>形</w:t>
      </w:r>
      <w:r>
        <w:rPr>
          <w:color w:val="000000"/>
          <w:sz w:val="24"/>
        </w:rPr>
        <w:t>和花瓣</w:t>
      </w:r>
      <w:r>
        <w:rPr>
          <w:rFonts w:hint="eastAsia"/>
          <w:color w:val="000000"/>
          <w:sz w:val="24"/>
        </w:rPr>
        <w:t>形</w:t>
      </w:r>
      <w:r>
        <w:rPr>
          <w:color w:val="000000"/>
          <w:sz w:val="24"/>
        </w:rPr>
        <w:t>三种常见方式。实际比对时还可采用常见方式的组合形式</w:t>
      </w:r>
      <w:r>
        <w:rPr>
          <w:rFonts w:hint="eastAsia"/>
          <w:color w:val="000000"/>
          <w:sz w:val="24"/>
        </w:rPr>
        <w:t>。</w:t>
      </w:r>
    </w:p>
    <w:p>
      <w:pPr>
        <w:snapToGrid w:val="0"/>
        <w:spacing w:line="360" w:lineRule="auto"/>
        <w:ind w:firstLine="480"/>
        <w:rPr>
          <w:color w:val="000000"/>
          <w:sz w:val="24"/>
        </w:rPr>
      </w:pPr>
      <w:r>
        <w:rPr>
          <w:rFonts w:hint="eastAsia"/>
          <w:color w:val="000000"/>
          <w:sz w:val="24"/>
        </w:rPr>
        <w:t>对于受运输、测量等因素影响较小、稳定性良好的传递标准，一般采用环形传递方式；对于稳定性对比对结果影响较显著的传递标准，一般采用星形传递方式；对于稳定性介于以上二者之间的传递标准，可采用花瓣形传递方式。</w:t>
      </w:r>
    </w:p>
    <w:p>
      <w:pPr>
        <w:snapToGrid w:val="0"/>
        <w:spacing w:line="360" w:lineRule="auto"/>
        <w:rPr>
          <w:color w:val="000000"/>
          <w:sz w:val="24"/>
        </w:rPr>
      </w:pPr>
      <w:r>
        <w:rPr>
          <w:rFonts w:hint="eastAsia"/>
          <w:color w:val="000000"/>
          <w:sz w:val="24"/>
        </w:rPr>
        <w:t>A.3</w:t>
      </w:r>
      <w:r>
        <w:rPr>
          <w:color w:val="000000"/>
          <w:sz w:val="24"/>
        </w:rPr>
        <w:t>.2</w:t>
      </w:r>
      <w:r>
        <w:rPr>
          <w:rFonts w:hint="eastAsia"/>
          <w:color w:val="000000"/>
          <w:sz w:val="24"/>
        </w:rPr>
        <w:t>.1</w:t>
      </w:r>
      <w:r>
        <w:rPr>
          <w:color w:val="000000"/>
          <w:sz w:val="24"/>
        </w:rPr>
        <w:t xml:space="preserve"> 环</w:t>
      </w:r>
      <w:r>
        <w:rPr>
          <w:rFonts w:hint="eastAsia"/>
          <w:color w:val="000000"/>
          <w:sz w:val="24"/>
        </w:rPr>
        <w:t>形</w:t>
      </w:r>
    </w:p>
    <w:p>
      <w:pPr>
        <w:snapToGrid w:val="0"/>
        <w:spacing w:line="360" w:lineRule="auto"/>
        <w:ind w:firstLine="420"/>
        <w:rPr>
          <w:color w:val="000000"/>
          <w:sz w:val="24"/>
        </w:rPr>
      </w:pPr>
      <w:r>
        <w:rPr>
          <w:kern w:val="0"/>
          <w:sz w:val="24"/>
        </w:rPr>
        <w:t>图A</w:t>
      </w:r>
      <w:r>
        <w:rPr>
          <w:rFonts w:hint="eastAsia"/>
          <w:kern w:val="0"/>
          <w:sz w:val="24"/>
        </w:rPr>
        <w:t>.</w:t>
      </w:r>
      <w:r>
        <w:rPr>
          <w:kern w:val="0"/>
          <w:sz w:val="24"/>
        </w:rPr>
        <w:t>1为环</w:t>
      </w:r>
      <w:r>
        <w:rPr>
          <w:rFonts w:hint="eastAsia"/>
          <w:kern w:val="0"/>
          <w:sz w:val="24"/>
        </w:rPr>
        <w:t>形传递</w:t>
      </w:r>
      <w:r>
        <w:rPr>
          <w:kern w:val="0"/>
          <w:sz w:val="24"/>
        </w:rPr>
        <w:t>方式的示意图，</w:t>
      </w:r>
      <w:r>
        <w:rPr>
          <w:color w:val="000000"/>
          <w:sz w:val="24"/>
        </w:rPr>
        <w:t>图中各圆圈中的字母表示不同参比</w:t>
      </w:r>
      <w:r>
        <w:rPr>
          <w:sz w:val="24"/>
        </w:rPr>
        <w:t>实验室。</w:t>
      </w:r>
      <w:r>
        <w:rPr>
          <w:kern w:val="0"/>
          <w:sz w:val="24"/>
        </w:rPr>
        <w:t>首先由主导实验室将传递标准在本实验室装置上进行校准，得出校准数据后，将传递标准传送到参比实验室A；经A实验室按比对实施方案规定的程序校准后，将传递标准传送到参比实验室B;再经B实验室校准后，将传递标准传送到参比实验室C。以下依次类推，最后将传递标准返回到主导实验室,由主导实验室进行复校，以验证传递标准</w:t>
      </w:r>
      <w:r>
        <w:rPr>
          <w:rFonts w:hint="eastAsia"/>
          <w:kern w:val="0"/>
          <w:sz w:val="24"/>
        </w:rPr>
        <w:t>量</w:t>
      </w:r>
      <w:r>
        <w:rPr>
          <w:kern w:val="0"/>
          <w:sz w:val="24"/>
        </w:rPr>
        <w:t>值变化是否正常。该方式适用于参比实验室为数不多，传递标准便于传递、稳定性非常好的情况。</w:t>
      </w:r>
    </w:p>
    <w:p>
      <w:pPr>
        <w:snapToGrid w:val="0"/>
        <w:spacing w:line="360" w:lineRule="auto"/>
        <w:rPr>
          <w:color w:val="000000"/>
          <w:sz w:val="24"/>
        </w:rPr>
      </w:pPr>
      <w:r>
        <w:rPr>
          <w:rFonts w:hint="eastAsia"/>
          <w:color w:val="000000"/>
          <w:sz w:val="24"/>
        </w:rPr>
        <w:t>A.3</w:t>
      </w:r>
      <w:r>
        <w:rPr>
          <w:color w:val="000000"/>
          <w:sz w:val="24"/>
        </w:rPr>
        <w:t>.</w:t>
      </w:r>
      <w:r>
        <w:rPr>
          <w:rFonts w:hint="eastAsia"/>
          <w:color w:val="000000"/>
          <w:sz w:val="24"/>
        </w:rPr>
        <w:t>2.2</w:t>
      </w:r>
      <w:r>
        <w:rPr>
          <w:color w:val="000000"/>
          <w:sz w:val="24"/>
        </w:rPr>
        <w:t xml:space="preserve"> 星形</w:t>
      </w:r>
    </w:p>
    <w:p>
      <w:pPr>
        <w:snapToGrid w:val="0"/>
        <w:spacing w:line="360" w:lineRule="auto"/>
        <w:ind w:firstLine="420"/>
        <w:rPr>
          <w:color w:val="000000"/>
          <w:sz w:val="24"/>
        </w:rPr>
      </w:pPr>
      <w:r>
        <w:rPr>
          <w:kern w:val="0"/>
          <w:sz w:val="24"/>
        </w:rPr>
        <w:t>图A</w:t>
      </w:r>
      <w:r>
        <w:rPr>
          <w:rFonts w:hint="eastAsia"/>
          <w:kern w:val="0"/>
          <w:sz w:val="24"/>
        </w:rPr>
        <w:t>.</w:t>
      </w:r>
      <w:r>
        <w:rPr>
          <w:kern w:val="0"/>
          <w:sz w:val="24"/>
        </w:rPr>
        <w:t>2为星形</w:t>
      </w:r>
      <w:r>
        <w:rPr>
          <w:rFonts w:hint="eastAsia"/>
          <w:kern w:val="0"/>
          <w:sz w:val="24"/>
        </w:rPr>
        <w:t>传递</w:t>
      </w:r>
      <w:r>
        <w:rPr>
          <w:kern w:val="0"/>
          <w:sz w:val="24"/>
        </w:rPr>
        <w:t>方式的示意图。首先由主导实验室将传递标准在本实验室进行校准，然后及时地将传递标准送到参比实验室A。由A实验室按规定的程序在本实验室的装置上进行校准，得出校准数据后，再将传递标准送回到主导实验室，在主导实验室进行复校，以考察传递标准经过运输后</w:t>
      </w:r>
      <w:r>
        <w:rPr>
          <w:rFonts w:hint="eastAsia"/>
          <w:kern w:val="0"/>
          <w:sz w:val="24"/>
        </w:rPr>
        <w:t>量</w:t>
      </w:r>
      <w:r>
        <w:rPr>
          <w:kern w:val="0"/>
          <w:sz w:val="24"/>
        </w:rPr>
        <w:t>值是否发生变化。若变化在允许范围内，则比对有效。该方式适用于</w:t>
      </w:r>
      <w:r>
        <w:rPr>
          <w:rFonts w:hint="eastAsia"/>
          <w:color w:val="000000"/>
          <w:sz w:val="24"/>
        </w:rPr>
        <w:t>传递标准的稳定性较差的情况；也适用于</w:t>
      </w:r>
      <w:r>
        <w:rPr>
          <w:kern w:val="0"/>
          <w:sz w:val="24"/>
        </w:rPr>
        <w:t>多套传递标准同时进行，</w:t>
      </w:r>
      <w:r>
        <w:rPr>
          <w:rFonts w:hint="eastAsia"/>
          <w:kern w:val="0"/>
          <w:sz w:val="24"/>
        </w:rPr>
        <w:t>这样</w:t>
      </w:r>
      <w:r>
        <w:rPr>
          <w:kern w:val="0"/>
          <w:sz w:val="24"/>
        </w:rPr>
        <w:t>比对周期短，即使某一个传递标准损坏，也只影响一个实验室的比对数据。</w:t>
      </w:r>
      <w:r>
        <w:rPr>
          <w:rFonts w:hint="eastAsia"/>
          <w:kern w:val="0"/>
          <w:sz w:val="24"/>
        </w:rPr>
        <w:t>从传递标准稳定性角度考虑，这</w:t>
      </w:r>
      <w:r>
        <w:rPr>
          <w:kern w:val="0"/>
          <w:sz w:val="24"/>
        </w:rPr>
        <w:t>是比对有效性最好的方式</w:t>
      </w:r>
      <w:r>
        <w:rPr>
          <w:rFonts w:hint="eastAsia"/>
          <w:kern w:val="0"/>
          <w:sz w:val="24"/>
        </w:rPr>
        <w:t>，</w:t>
      </w:r>
      <w:r>
        <w:rPr>
          <w:kern w:val="0"/>
          <w:sz w:val="24"/>
        </w:rPr>
        <w:t>若成本代价可接受，可为优选方案。</w:t>
      </w:r>
    </w:p>
    <w:p>
      <w:pPr>
        <w:snapToGrid w:val="0"/>
        <w:spacing w:line="360" w:lineRule="auto"/>
        <w:rPr>
          <w:color w:val="000000"/>
          <w:sz w:val="24"/>
        </w:rPr>
      </w:pPr>
      <w:r>
        <w:rPr>
          <w:rFonts w:hint="eastAsia"/>
          <w:color w:val="000000"/>
          <w:sz w:val="24"/>
        </w:rPr>
        <w:t>A.3.2.3</w:t>
      </w:r>
      <w:r>
        <w:rPr>
          <w:color w:val="000000"/>
          <w:sz w:val="24"/>
        </w:rPr>
        <w:t xml:space="preserve"> 花瓣</w:t>
      </w:r>
      <w:r>
        <w:rPr>
          <w:rFonts w:hint="eastAsia"/>
          <w:color w:val="000000"/>
          <w:sz w:val="24"/>
        </w:rPr>
        <w:t>形</w:t>
      </w:r>
    </w:p>
    <w:p>
      <w:pPr>
        <w:autoSpaceDE w:val="0"/>
        <w:autoSpaceDN w:val="0"/>
        <w:adjustRightInd w:val="0"/>
        <w:snapToGrid w:val="0"/>
        <w:spacing w:line="360" w:lineRule="auto"/>
        <w:ind w:firstLine="420"/>
        <w:rPr>
          <w:sz w:val="24"/>
        </w:rPr>
      </w:pPr>
      <w:r>
        <w:rPr>
          <w:kern w:val="0"/>
          <w:sz w:val="24"/>
        </w:rPr>
        <w:t>图A</w:t>
      </w:r>
      <w:r>
        <w:rPr>
          <w:rFonts w:hint="eastAsia"/>
          <w:kern w:val="0"/>
          <w:sz w:val="24"/>
        </w:rPr>
        <w:t>.</w:t>
      </w:r>
      <w:r>
        <w:rPr>
          <w:kern w:val="0"/>
          <w:sz w:val="24"/>
        </w:rPr>
        <w:t>3为花瓣</w:t>
      </w:r>
      <w:r>
        <w:rPr>
          <w:rFonts w:hint="eastAsia"/>
          <w:kern w:val="0"/>
          <w:sz w:val="24"/>
        </w:rPr>
        <w:t>形传递</w:t>
      </w:r>
      <w:r>
        <w:rPr>
          <w:kern w:val="0"/>
          <w:sz w:val="24"/>
        </w:rPr>
        <w:t>方式的示意图。花瓣</w:t>
      </w:r>
      <w:r>
        <w:rPr>
          <w:rFonts w:hint="eastAsia"/>
          <w:kern w:val="0"/>
          <w:sz w:val="24"/>
        </w:rPr>
        <w:t>形</w:t>
      </w:r>
      <w:r>
        <w:rPr>
          <w:kern w:val="0"/>
          <w:sz w:val="24"/>
        </w:rPr>
        <w:t>由若干个小的环式所组成。在按环</w:t>
      </w:r>
      <w:r>
        <w:rPr>
          <w:rFonts w:hint="eastAsia"/>
          <w:kern w:val="0"/>
          <w:sz w:val="24"/>
        </w:rPr>
        <w:t>形</w:t>
      </w:r>
      <w:r>
        <w:rPr>
          <w:kern w:val="0"/>
          <w:sz w:val="24"/>
        </w:rPr>
        <w:t>进行了几个参比实验室的比对后，将传递标准返回主导实验室进行复校。由此，可在比对过程中验证传递标准</w:t>
      </w:r>
      <w:r>
        <w:rPr>
          <w:rFonts w:hint="eastAsia"/>
          <w:kern w:val="0"/>
          <w:sz w:val="24"/>
        </w:rPr>
        <w:t>量</w:t>
      </w:r>
      <w:r>
        <w:rPr>
          <w:kern w:val="0"/>
          <w:sz w:val="24"/>
        </w:rPr>
        <w:t>值的变化情况，而不需等待所有参比实验室比对完成后才返回主导实验室。该方式可将无效比对控制在比对过程的某一中间环节。若多套传递标准同时进行，可缩短比对周期。</w:t>
      </w:r>
    </w:p>
    <w:p>
      <w:pPr>
        <w:snapToGrid w:val="0"/>
        <w:spacing w:line="360" w:lineRule="auto"/>
        <w:rPr>
          <w:sz w:val="24"/>
        </w:rPr>
      </w:pPr>
      <w:r>
        <w:rPr>
          <w:sz w:val="24"/>
        </w:rPr>
        <w:drawing>
          <wp:inline distT="0" distB="0" distL="0" distR="0">
            <wp:extent cx="1553210" cy="1296035"/>
            <wp:effectExtent l="0" t="0" r="8890" b="0"/>
            <wp:docPr id="206944228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442284" name="图片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1553210" cy="1296035"/>
                    </a:xfrm>
                    <a:prstGeom prst="rect">
                      <a:avLst/>
                    </a:prstGeom>
                    <a:noFill/>
                  </pic:spPr>
                </pic:pic>
              </a:graphicData>
            </a:graphic>
          </wp:inline>
        </w:drawing>
      </w:r>
      <w:r>
        <w:rPr>
          <w:sz w:val="24"/>
        </w:rPr>
        <w:t xml:space="preserve">   </w:t>
      </w:r>
      <w:r>
        <w:rPr>
          <w:sz w:val="24"/>
        </w:rPr>
        <w:drawing>
          <wp:inline distT="0" distB="0" distL="0" distR="0">
            <wp:extent cx="1579880" cy="1296035"/>
            <wp:effectExtent l="0" t="0" r="1270" b="0"/>
            <wp:docPr id="16427153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715330" name="图片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579880" cy="1296035"/>
                    </a:xfrm>
                    <a:prstGeom prst="rect">
                      <a:avLst/>
                    </a:prstGeom>
                    <a:noFill/>
                  </pic:spPr>
                </pic:pic>
              </a:graphicData>
            </a:graphic>
          </wp:inline>
        </w:drawing>
      </w:r>
      <w:r>
        <w:rPr>
          <w:sz w:val="24"/>
        </w:rPr>
        <w:t xml:space="preserve">    </w:t>
      </w:r>
      <w:r>
        <w:rPr>
          <w:sz w:val="24"/>
        </w:rPr>
        <w:drawing>
          <wp:inline distT="0" distB="0" distL="0" distR="0">
            <wp:extent cx="1552575" cy="1296035"/>
            <wp:effectExtent l="0" t="0" r="9525" b="0"/>
            <wp:docPr id="20470075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007596"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552575" cy="1296035"/>
                    </a:xfrm>
                    <a:prstGeom prst="rect">
                      <a:avLst/>
                    </a:prstGeom>
                    <a:noFill/>
                  </pic:spPr>
                </pic:pic>
              </a:graphicData>
            </a:graphic>
          </wp:inline>
        </w:drawing>
      </w:r>
    </w:p>
    <w:p>
      <w:pPr>
        <w:snapToGrid w:val="0"/>
        <w:ind w:firstLine="735" w:firstLineChars="350"/>
        <w:rPr>
          <w:sz w:val="24"/>
        </w:rPr>
      </w:pPr>
      <w:r>
        <w:rPr>
          <w:color w:val="000000"/>
        </w:rPr>
        <w:t>图A</w:t>
      </w:r>
      <w:r>
        <w:rPr>
          <w:rFonts w:hint="eastAsia"/>
          <w:color w:val="000000"/>
        </w:rPr>
        <w:t>.</w:t>
      </w:r>
      <w:r>
        <w:rPr>
          <w:color w:val="000000"/>
        </w:rPr>
        <w:t>1 环</w:t>
      </w:r>
      <w:r>
        <w:rPr>
          <w:rFonts w:hint="eastAsia"/>
          <w:color w:val="000000"/>
        </w:rPr>
        <w:t>形</w:t>
      </w:r>
      <w:r>
        <w:rPr>
          <w:color w:val="000000"/>
        </w:rPr>
        <w:t xml:space="preserve">               图A</w:t>
      </w:r>
      <w:r>
        <w:rPr>
          <w:rFonts w:hint="eastAsia"/>
          <w:color w:val="000000"/>
        </w:rPr>
        <w:t>.</w:t>
      </w:r>
      <w:r>
        <w:rPr>
          <w:color w:val="000000"/>
        </w:rPr>
        <w:t>2星</w:t>
      </w:r>
      <w:r>
        <w:rPr>
          <w:rFonts w:hint="eastAsia"/>
          <w:color w:val="000000"/>
        </w:rPr>
        <w:t>形</w:t>
      </w:r>
      <w:r>
        <w:rPr>
          <w:color w:val="000000"/>
        </w:rPr>
        <w:t xml:space="preserve">                  图A</w:t>
      </w:r>
      <w:r>
        <w:rPr>
          <w:rFonts w:hint="eastAsia"/>
          <w:color w:val="000000"/>
        </w:rPr>
        <w:t>.</w:t>
      </w:r>
      <w:r>
        <w:rPr>
          <w:color w:val="000000"/>
        </w:rPr>
        <w:t>3花瓣</w:t>
      </w:r>
      <w:r>
        <w:rPr>
          <w:rFonts w:hint="eastAsia"/>
          <w:color w:val="000000"/>
        </w:rPr>
        <w:t>形</w:t>
      </w:r>
    </w:p>
    <w:p>
      <w:pPr>
        <w:snapToGrid w:val="0"/>
        <w:spacing w:line="360" w:lineRule="auto"/>
        <w:ind w:firstLine="420"/>
        <w:rPr>
          <w:color w:val="000000"/>
          <w:sz w:val="24"/>
        </w:rPr>
      </w:pPr>
    </w:p>
    <w:p>
      <w:pPr>
        <w:snapToGrid w:val="0"/>
        <w:spacing w:line="360" w:lineRule="auto"/>
        <w:rPr>
          <w:color w:val="000000"/>
          <w:sz w:val="24"/>
        </w:rPr>
      </w:pPr>
      <w:r>
        <w:rPr>
          <w:rFonts w:hint="eastAsia"/>
          <w:color w:val="000000"/>
          <w:sz w:val="24"/>
        </w:rPr>
        <w:t>A.3.3  固定地点比对方式</w:t>
      </w:r>
    </w:p>
    <w:p>
      <w:pPr>
        <w:snapToGrid w:val="0"/>
        <w:spacing w:line="360" w:lineRule="auto"/>
        <w:ind w:firstLine="420"/>
        <w:rPr>
          <w:b/>
          <w:bCs/>
        </w:rPr>
      </w:pPr>
      <w:r>
        <w:rPr>
          <w:color w:val="000000"/>
          <w:sz w:val="24"/>
        </w:rPr>
        <w:t>固定地点比对是指</w:t>
      </w:r>
      <w:r>
        <w:rPr>
          <w:sz w:val="24"/>
        </w:rPr>
        <w:t>参比实验室按计划携带测量标准到固定实验场所开展比对实验的比对方式，主要适用于某些实验条件一致性要求高</w:t>
      </w:r>
      <w:r>
        <w:rPr>
          <w:rFonts w:hint="eastAsia"/>
          <w:sz w:val="24"/>
        </w:rPr>
        <w:t>而在不同地点难以实现</w:t>
      </w:r>
      <w:r>
        <w:rPr>
          <w:sz w:val="24"/>
        </w:rPr>
        <w:t>、传递标准较大、不便于运输等情况</w:t>
      </w:r>
      <w:r>
        <w:rPr>
          <w:rFonts w:hint="eastAsia"/>
          <w:sz w:val="24"/>
        </w:rPr>
        <w:t>，如重力加速度、太阳辐射、大容量的比对</w:t>
      </w:r>
      <w:r>
        <w:rPr>
          <w:sz w:val="24"/>
        </w:rPr>
        <w:t>。</w:t>
      </w:r>
    </w:p>
    <w:p>
      <w:pPr>
        <w:pStyle w:val="3"/>
        <w:spacing w:before="0" w:after="93" w:afterLines="30" w:line="360" w:lineRule="auto"/>
        <w:rPr>
          <w:rFonts w:ascii="Times New Roman" w:hAnsi="Times New Roman" w:eastAsia="宋体"/>
          <w:b w:val="0"/>
          <w:sz w:val="24"/>
        </w:rPr>
      </w:pPr>
      <w:bookmarkStart w:id="78" w:name="_Toc137854328"/>
      <w:r>
        <w:rPr>
          <w:rFonts w:hint="eastAsia" w:ascii="Times New Roman" w:hAnsi="Times New Roman" w:eastAsia="宋体"/>
          <w:b w:val="0"/>
          <w:sz w:val="24"/>
        </w:rPr>
        <w:t>A.4</w:t>
      </w:r>
      <w:r>
        <w:rPr>
          <w:rFonts w:ascii="Times New Roman" w:hAnsi="Times New Roman" w:eastAsia="宋体"/>
          <w:b w:val="0"/>
          <w:sz w:val="24"/>
        </w:rPr>
        <w:t xml:space="preserve"> </w:t>
      </w:r>
      <w:r>
        <w:rPr>
          <w:rFonts w:hint="eastAsia" w:ascii="Times New Roman" w:hAnsi="Times New Roman" w:eastAsia="宋体"/>
          <w:b w:val="0"/>
          <w:sz w:val="24"/>
        </w:rPr>
        <w:t>传递标准的修正</w:t>
      </w:r>
      <w:bookmarkEnd w:id="78"/>
    </w:p>
    <w:p>
      <w:pPr>
        <w:snapToGrid w:val="0"/>
        <w:spacing w:line="360" w:lineRule="auto"/>
        <w:rPr>
          <w:color w:val="000000"/>
          <w:sz w:val="24"/>
        </w:rPr>
      </w:pPr>
      <w:r>
        <w:rPr>
          <w:rFonts w:hint="eastAsia"/>
          <w:color w:val="000000"/>
          <w:sz w:val="24"/>
        </w:rPr>
        <w:t>A.4.1  修正到规定条件</w:t>
      </w:r>
    </w:p>
    <w:p>
      <w:pPr>
        <w:snapToGrid w:val="0"/>
        <w:spacing w:line="360" w:lineRule="auto"/>
        <w:ind w:firstLine="480"/>
        <w:rPr>
          <w:color w:val="000000"/>
          <w:sz w:val="24"/>
        </w:rPr>
      </w:pPr>
      <w:r>
        <w:rPr>
          <w:rFonts w:hint="eastAsia"/>
          <w:color w:val="000000"/>
          <w:sz w:val="24"/>
        </w:rPr>
        <w:t>对于受环境及实验条件等因素影响，需对传递标准的测量结果进行修正至同</w:t>
      </w:r>
      <w:r>
        <w:rPr>
          <w:color w:val="000000"/>
          <w:sz w:val="24"/>
        </w:rPr>
        <w:t>一</w:t>
      </w:r>
      <w:r>
        <w:rPr>
          <w:rFonts w:hint="eastAsia"/>
          <w:color w:val="000000"/>
          <w:sz w:val="24"/>
        </w:rPr>
        <w:t>规定</w:t>
      </w:r>
      <w:r>
        <w:rPr>
          <w:color w:val="000000"/>
          <w:sz w:val="24"/>
        </w:rPr>
        <w:t>条件</w:t>
      </w:r>
      <w:r>
        <w:rPr>
          <w:rFonts w:hint="eastAsia"/>
          <w:color w:val="000000"/>
          <w:sz w:val="24"/>
        </w:rPr>
        <w:t>时，可按照修正模型，采</w:t>
      </w:r>
      <w:r>
        <w:rPr>
          <w:color w:val="000000"/>
          <w:sz w:val="24"/>
        </w:rPr>
        <w:t>用内插或外推的方法</w:t>
      </w:r>
      <w:r>
        <w:rPr>
          <w:rFonts w:hint="eastAsia"/>
          <w:color w:val="000000"/>
          <w:sz w:val="24"/>
        </w:rPr>
        <w:t>进行修正。所受影响参数的测量不确定度以及修正模型引入的不确定度，应计算至传递标准修正引入的不确定度中。</w:t>
      </w:r>
    </w:p>
    <w:p>
      <w:pPr>
        <w:snapToGrid w:val="0"/>
        <w:spacing w:line="360" w:lineRule="auto"/>
        <w:rPr>
          <w:color w:val="000000"/>
          <w:sz w:val="24"/>
        </w:rPr>
      </w:pPr>
      <w:r>
        <w:rPr>
          <w:rFonts w:hint="eastAsia"/>
          <w:color w:val="000000"/>
          <w:sz w:val="24"/>
        </w:rPr>
        <w:t>A.4.2  对传递过程中量值变化的修正</w:t>
      </w:r>
    </w:p>
    <w:p>
      <w:pPr>
        <w:snapToGrid w:val="0"/>
        <w:spacing w:line="360" w:lineRule="auto"/>
        <w:ind w:firstLine="420"/>
        <w:rPr>
          <w:color w:val="000000"/>
          <w:sz w:val="24"/>
        </w:rPr>
      </w:pPr>
      <w:r>
        <w:rPr>
          <w:rFonts w:hint="eastAsia"/>
          <w:color w:val="000000"/>
          <w:sz w:val="24"/>
        </w:rPr>
        <w:t>当传递标准的量值在比对过程中存在明确的变化规律时，可依据其变化规律对其进行修正，此修正一般由主导实验室提供，其不确定度，应计算至传递标准修正引入的不确定度中。当怀疑传递标准的量值存在“阶跃”变化时，可通过分析采用前后参考值中最合适的一个。</w:t>
      </w:r>
    </w:p>
    <w:p>
      <w:pPr>
        <w:pStyle w:val="3"/>
        <w:spacing w:before="0" w:after="93" w:afterLines="30" w:line="360" w:lineRule="auto"/>
        <w:rPr>
          <w:rFonts w:ascii="Times New Roman" w:hAnsi="Times New Roman" w:eastAsia="宋体"/>
          <w:b w:val="0"/>
          <w:sz w:val="24"/>
        </w:rPr>
      </w:pPr>
      <w:bookmarkStart w:id="79" w:name="_Toc137854329"/>
      <w:r>
        <w:rPr>
          <w:rFonts w:ascii="Times New Roman" w:hAnsi="Times New Roman" w:eastAsia="宋体"/>
          <w:b w:val="0"/>
          <w:sz w:val="24"/>
        </w:rPr>
        <w:t xml:space="preserve">A.5 </w:t>
      </w:r>
      <w:r>
        <w:rPr>
          <w:rFonts w:hint="eastAsia" w:ascii="Times New Roman" w:hAnsi="Times New Roman" w:eastAsia="宋体"/>
          <w:b w:val="0"/>
          <w:sz w:val="24"/>
        </w:rPr>
        <w:t>传递标准引入的不确定度分析</w:t>
      </w:r>
      <w:bookmarkEnd w:id="79"/>
    </w:p>
    <w:p>
      <w:pPr>
        <w:snapToGrid w:val="0"/>
        <w:spacing w:line="360" w:lineRule="auto"/>
        <w:rPr>
          <w:color w:val="000000"/>
          <w:sz w:val="24"/>
        </w:rPr>
      </w:pPr>
      <w:r>
        <w:rPr>
          <w:rFonts w:hint="eastAsia"/>
          <w:color w:val="000000"/>
          <w:sz w:val="24"/>
        </w:rPr>
        <w:t>A.5</w:t>
      </w:r>
      <w:r>
        <w:rPr>
          <w:color w:val="000000"/>
          <w:sz w:val="24"/>
        </w:rPr>
        <w:t xml:space="preserve">.1 </w:t>
      </w:r>
      <w:r>
        <w:rPr>
          <w:rFonts w:hint="eastAsia"/>
          <w:color w:val="000000"/>
          <w:sz w:val="24"/>
        </w:rPr>
        <w:t>传递标准的稳定性</w:t>
      </w:r>
    </w:p>
    <w:p>
      <w:pPr>
        <w:adjustRightInd w:val="0"/>
        <w:snapToGrid w:val="0"/>
        <w:spacing w:line="360" w:lineRule="auto"/>
        <w:rPr>
          <w:color w:val="000000"/>
          <w:sz w:val="24"/>
        </w:rPr>
      </w:pPr>
      <w:r>
        <w:rPr>
          <w:rFonts w:hint="eastAsia"/>
          <w:color w:val="000000"/>
          <w:sz w:val="24"/>
        </w:rPr>
        <w:t>传递标准的稳定性是由传递标准引入到比对结果不确定度的关键因素。主导实验室对于</w:t>
      </w:r>
      <w:r>
        <w:rPr>
          <w:color w:val="000000"/>
          <w:sz w:val="24"/>
        </w:rPr>
        <w:t>传递</w:t>
      </w:r>
      <w:r>
        <w:rPr>
          <w:rFonts w:hint="eastAsia"/>
          <w:color w:val="000000"/>
          <w:sz w:val="24"/>
        </w:rPr>
        <w:t>标准的稳定性、以及运输过程中可能引入的漂移应有评估，应有实验数据的支持。传递标准稳定性引入的不确定度由主导实验室依据比对前后对传递标准的测量结果</w:t>
      </w:r>
      <w:r>
        <w:rPr>
          <w:rFonts w:hint="eastAsia" w:ascii="宋体" w:hAnsi="宋体"/>
          <w:color w:val="000000"/>
          <w:sz w:val="24"/>
          <w:szCs w:val="24"/>
        </w:rPr>
        <w:t>以及对传递标准的附加实验结果</w:t>
      </w:r>
      <w:r>
        <w:rPr>
          <w:rFonts w:hint="eastAsia"/>
          <w:color w:val="000000"/>
          <w:sz w:val="24"/>
        </w:rPr>
        <w:t>进行具体分析。</w:t>
      </w:r>
    </w:p>
    <w:p>
      <w:pPr>
        <w:snapToGrid w:val="0"/>
        <w:spacing w:line="360" w:lineRule="auto"/>
        <w:ind w:firstLine="480"/>
        <w:rPr>
          <w:color w:val="000000"/>
          <w:sz w:val="24"/>
          <w:szCs w:val="24"/>
        </w:rPr>
      </w:pPr>
      <w:r>
        <w:rPr>
          <w:rFonts w:hint="eastAsia" w:ascii="宋体" w:hAnsi="宋体"/>
          <w:color w:val="000000"/>
          <w:sz w:val="24"/>
          <w:szCs w:val="24"/>
        </w:rPr>
        <w:t>对于星形比对，可采用主导实验室对传递标准在比对前后测量的变化量表征该测量点上传递标准的稳定性，其作为采用该传递标准的比对结果的不确定度来源之一；假设为矩形分布，符号为</w:t>
      </w:r>
      <w:r>
        <w:rPr>
          <w:rFonts w:hint="eastAsia"/>
          <w:i/>
          <w:iCs/>
          <w:color w:val="000000"/>
          <w:sz w:val="24"/>
          <w:szCs w:val="24"/>
        </w:rPr>
        <w:t>u</w:t>
      </w:r>
      <w:r>
        <w:rPr>
          <w:rFonts w:hint="eastAsia"/>
          <w:color w:val="000000"/>
          <w:sz w:val="24"/>
          <w:szCs w:val="24"/>
          <w:vertAlign w:val="subscript"/>
        </w:rPr>
        <w:t>sta</w:t>
      </w:r>
      <w:r>
        <w:rPr>
          <w:rFonts w:hint="eastAsia" w:ascii="宋体" w:hAnsi="宋体"/>
          <w:color w:val="000000"/>
          <w:sz w:val="24"/>
          <w:szCs w:val="24"/>
        </w:rPr>
        <w:t>，表示为：</w:t>
      </w:r>
    </w:p>
    <w:p>
      <w:pPr>
        <w:snapToGrid w:val="0"/>
        <w:spacing w:line="360" w:lineRule="auto"/>
        <w:ind w:firstLine="480"/>
        <w:jc w:val="right"/>
        <w:rPr>
          <w:sz w:val="24"/>
          <w:szCs w:val="24"/>
        </w:rPr>
      </w:pPr>
      <w:r>
        <w:rPr>
          <w:szCs w:val="21"/>
        </w:rPr>
        <w:drawing>
          <wp:inline distT="0" distB="0" distL="0" distR="0">
            <wp:extent cx="1391285" cy="266065"/>
            <wp:effectExtent l="0" t="0" r="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391285" cy="266065"/>
                    </a:xfrm>
                    <a:prstGeom prst="rect">
                      <a:avLst/>
                    </a:prstGeom>
                    <a:noFill/>
                    <a:ln>
                      <a:noFill/>
                    </a:ln>
                  </pic:spPr>
                </pic:pic>
              </a:graphicData>
            </a:graphic>
          </wp:inline>
        </w:drawing>
      </w:r>
      <w:r>
        <w:rPr>
          <w:sz w:val="24"/>
          <w:szCs w:val="24"/>
        </w:rPr>
        <w:t xml:space="preserve">   </w:t>
      </w:r>
      <w:r>
        <w:rPr>
          <w:sz w:val="24"/>
          <w:szCs w:val="24"/>
        </w:rPr>
        <w:tab/>
      </w:r>
      <w:r>
        <w:rPr>
          <w:sz w:val="24"/>
          <w:szCs w:val="24"/>
        </w:rPr>
        <w:tab/>
      </w:r>
      <w:r>
        <w:rPr>
          <w:sz w:val="24"/>
          <w:szCs w:val="24"/>
        </w:rPr>
        <w:tab/>
      </w:r>
      <w:r>
        <w:rPr>
          <w:sz w:val="24"/>
          <w:szCs w:val="24"/>
        </w:rPr>
        <w:tab/>
      </w:r>
      <w:r>
        <w:rPr>
          <w:sz w:val="24"/>
          <w:szCs w:val="24"/>
        </w:rPr>
        <w:t xml:space="preserve"> </w:t>
      </w:r>
      <w:r>
        <w:rPr>
          <w:rFonts w:hint="eastAsia" w:ascii="宋体" w:hAnsi="宋体"/>
          <w:sz w:val="24"/>
          <w:szCs w:val="24"/>
        </w:rPr>
        <w:t>（</w:t>
      </w:r>
      <w:r>
        <w:rPr>
          <w:sz w:val="24"/>
          <w:szCs w:val="24"/>
        </w:rPr>
        <w:t>A.1</w:t>
      </w:r>
      <w:r>
        <w:rPr>
          <w:rFonts w:hint="eastAsia" w:ascii="宋体" w:hAnsi="宋体"/>
          <w:sz w:val="24"/>
          <w:szCs w:val="24"/>
        </w:rPr>
        <w:t>）</w:t>
      </w:r>
    </w:p>
    <w:p>
      <w:pPr>
        <w:snapToGrid w:val="0"/>
        <w:spacing w:line="360" w:lineRule="auto"/>
        <w:rPr>
          <w:sz w:val="24"/>
          <w:szCs w:val="24"/>
        </w:rPr>
      </w:pPr>
      <w:r>
        <w:rPr>
          <w:rFonts w:hint="eastAsia" w:ascii="宋体" w:hAnsi="宋体"/>
          <w:sz w:val="24"/>
          <w:szCs w:val="24"/>
        </w:rPr>
        <w:t>其中</w:t>
      </w:r>
      <w:r>
        <w:rPr>
          <w:i/>
          <w:iCs/>
          <w:sz w:val="24"/>
          <w:szCs w:val="24"/>
        </w:rPr>
        <w:t>y</w:t>
      </w:r>
      <w:r>
        <w:rPr>
          <w:sz w:val="24"/>
          <w:szCs w:val="24"/>
          <w:vertAlign w:val="subscript"/>
        </w:rPr>
        <w:t>0</w:t>
      </w:r>
      <w:r>
        <w:rPr>
          <w:rFonts w:hint="eastAsia"/>
          <w:i/>
          <w:iCs/>
          <w:sz w:val="24"/>
          <w:szCs w:val="24"/>
          <w:vertAlign w:val="subscript"/>
        </w:rPr>
        <w:t>i</w:t>
      </w:r>
      <w:r>
        <w:rPr>
          <w:sz w:val="24"/>
          <w:szCs w:val="24"/>
          <w:vertAlign w:val="subscript"/>
        </w:rPr>
        <w:t>-1</w:t>
      </w:r>
      <w:r>
        <w:rPr>
          <w:rFonts w:hint="eastAsia" w:ascii="宋体" w:hAnsi="宋体"/>
          <w:sz w:val="24"/>
          <w:szCs w:val="24"/>
        </w:rPr>
        <w:t>和</w:t>
      </w:r>
      <w:r>
        <w:rPr>
          <w:i/>
          <w:iCs/>
          <w:sz w:val="24"/>
          <w:szCs w:val="24"/>
        </w:rPr>
        <w:t>y</w:t>
      </w:r>
      <w:r>
        <w:rPr>
          <w:sz w:val="24"/>
          <w:szCs w:val="24"/>
          <w:vertAlign w:val="subscript"/>
        </w:rPr>
        <w:t>0</w:t>
      </w:r>
      <w:r>
        <w:rPr>
          <w:rFonts w:hint="eastAsia"/>
          <w:i/>
          <w:iCs/>
          <w:sz w:val="24"/>
          <w:szCs w:val="24"/>
          <w:vertAlign w:val="subscript"/>
        </w:rPr>
        <w:t>i</w:t>
      </w:r>
      <w:r>
        <w:rPr>
          <w:sz w:val="24"/>
          <w:szCs w:val="24"/>
          <w:vertAlign w:val="subscript"/>
        </w:rPr>
        <w:t>-2</w:t>
      </w:r>
      <w:r>
        <w:rPr>
          <w:rFonts w:hint="eastAsia" w:ascii="宋体" w:hAnsi="宋体"/>
          <w:sz w:val="24"/>
          <w:szCs w:val="24"/>
        </w:rPr>
        <w:t>分别为主导实验室对第</w:t>
      </w:r>
      <w:r>
        <w:rPr>
          <w:rFonts w:hint="eastAsia"/>
          <w:i/>
          <w:iCs/>
          <w:sz w:val="24"/>
          <w:szCs w:val="24"/>
        </w:rPr>
        <w:t>i</w:t>
      </w:r>
      <w:r>
        <w:rPr>
          <w:rFonts w:hint="eastAsia" w:ascii="宋体" w:hAnsi="宋体"/>
          <w:sz w:val="24"/>
          <w:szCs w:val="24"/>
        </w:rPr>
        <w:t>个测量点在实验前后的测量结果。</w:t>
      </w:r>
    </w:p>
    <w:p>
      <w:pPr>
        <w:snapToGrid w:val="0"/>
        <w:spacing w:line="360" w:lineRule="auto"/>
        <w:ind w:firstLine="480"/>
        <w:rPr>
          <w:color w:val="000000"/>
          <w:sz w:val="24"/>
          <w:szCs w:val="24"/>
        </w:rPr>
      </w:pPr>
      <w:r>
        <w:rPr>
          <w:rFonts w:hint="eastAsia"/>
          <w:sz w:val="24"/>
          <w:szCs w:val="24"/>
        </w:rPr>
        <w:t xml:space="preserve"> </w:t>
      </w:r>
      <w:r>
        <w:rPr>
          <w:sz w:val="24"/>
          <w:szCs w:val="24"/>
        </w:rPr>
        <w:t xml:space="preserve">       </w:t>
      </w:r>
      <w:r>
        <w:rPr>
          <w:rFonts w:ascii="宋体" w:hAnsi="宋体"/>
          <w:sz w:val="24"/>
          <w:szCs w:val="24"/>
        </w:rPr>
        <w:t>对于</w:t>
      </w:r>
      <w:r>
        <w:rPr>
          <w:rFonts w:hint="eastAsia" w:ascii="宋体" w:hAnsi="宋体"/>
          <w:sz w:val="24"/>
          <w:szCs w:val="24"/>
        </w:rPr>
        <w:t>环形比对，需结合比对及附加的实验数据，综合考虑传递标准在比对过程中的变化规律，</w:t>
      </w:r>
      <w:r>
        <w:rPr>
          <w:rFonts w:hint="eastAsia" w:ascii="宋体" w:hAnsi="宋体"/>
          <w:color w:val="000000"/>
          <w:sz w:val="24"/>
          <w:szCs w:val="24"/>
        </w:rPr>
        <w:t>若确认传递标准存在相对稳定的漂移模型，可修正后再根据实验数据评估不确定度。</w:t>
      </w:r>
      <w:r>
        <w:rPr>
          <w:rFonts w:ascii="宋体" w:hAnsi="宋体"/>
          <w:color w:val="000000"/>
          <w:sz w:val="24"/>
          <w:szCs w:val="24"/>
        </w:rPr>
        <w:t>对于</w:t>
      </w:r>
      <w:r>
        <w:rPr>
          <w:rFonts w:hint="eastAsia" w:ascii="宋体" w:hAnsi="宋体"/>
          <w:color w:val="000000"/>
          <w:sz w:val="24"/>
          <w:szCs w:val="24"/>
        </w:rPr>
        <w:t>花瓣形比对，单个传递标准稳定性引入的不确定度按环形比对处理。对于固定地点比对，若所有参比实验的测量同时进行，传递标准稳定性引入的不确定度可忽略。</w:t>
      </w:r>
    </w:p>
    <w:p>
      <w:pPr>
        <w:snapToGrid w:val="0"/>
        <w:spacing w:line="360" w:lineRule="auto"/>
        <w:rPr>
          <w:color w:val="000000"/>
          <w:sz w:val="24"/>
        </w:rPr>
      </w:pPr>
      <w:r>
        <w:rPr>
          <w:rFonts w:hint="eastAsia"/>
          <w:color w:val="000000"/>
          <w:sz w:val="24"/>
        </w:rPr>
        <w:t>A.5</w:t>
      </w:r>
      <w:r>
        <w:rPr>
          <w:color w:val="000000"/>
          <w:sz w:val="24"/>
        </w:rPr>
        <w:t>.</w:t>
      </w:r>
      <w:r>
        <w:rPr>
          <w:rFonts w:hint="eastAsia"/>
          <w:color w:val="000000"/>
          <w:sz w:val="24"/>
        </w:rPr>
        <w:t>2</w:t>
      </w:r>
      <w:r>
        <w:rPr>
          <w:color w:val="000000"/>
          <w:sz w:val="24"/>
        </w:rPr>
        <w:t xml:space="preserve"> </w:t>
      </w:r>
      <w:r>
        <w:rPr>
          <w:rFonts w:hint="eastAsia"/>
          <w:color w:val="000000"/>
          <w:sz w:val="24"/>
        </w:rPr>
        <w:t>传递标准的均匀性</w:t>
      </w:r>
    </w:p>
    <w:p>
      <w:pPr>
        <w:snapToGrid w:val="0"/>
        <w:spacing w:line="360" w:lineRule="auto"/>
        <w:ind w:firstLine="480"/>
        <w:rPr>
          <w:color w:val="000000"/>
          <w:sz w:val="24"/>
        </w:rPr>
      </w:pPr>
      <w:r>
        <w:rPr>
          <w:rFonts w:hint="eastAsia"/>
          <w:color w:val="000000"/>
          <w:sz w:val="24"/>
        </w:rPr>
        <w:t>主导实验室对传递标准的如不同部位、不同角度等条件下测量的差异；或对多个传递标准测量为实现可比性所附加引入的不确定度分量，计算至由均匀性引入的测量不确定度</w:t>
      </w:r>
      <w:r>
        <w:rPr>
          <w:rFonts w:hint="eastAsia"/>
          <w:i/>
          <w:iCs/>
          <w:color w:val="000000"/>
          <w:sz w:val="24"/>
        </w:rPr>
        <w:t>u</w:t>
      </w:r>
      <w:r>
        <w:rPr>
          <w:rFonts w:hint="eastAsia"/>
          <w:color w:val="000000"/>
          <w:sz w:val="24"/>
          <w:vertAlign w:val="subscript"/>
        </w:rPr>
        <w:t>uni</w:t>
      </w:r>
      <w:r>
        <w:rPr>
          <w:rFonts w:hint="eastAsia"/>
          <w:color w:val="000000"/>
          <w:sz w:val="24"/>
        </w:rPr>
        <w:t>。</w:t>
      </w:r>
    </w:p>
    <w:p>
      <w:pPr>
        <w:snapToGrid w:val="0"/>
        <w:spacing w:line="360" w:lineRule="auto"/>
        <w:rPr>
          <w:color w:val="000000"/>
          <w:sz w:val="24"/>
        </w:rPr>
      </w:pPr>
      <w:r>
        <w:rPr>
          <w:rFonts w:hint="eastAsia"/>
          <w:color w:val="000000"/>
          <w:sz w:val="24"/>
        </w:rPr>
        <w:t>A.5.3 修正引入的不确定度</w:t>
      </w:r>
    </w:p>
    <w:p>
      <w:pPr>
        <w:snapToGrid w:val="0"/>
        <w:spacing w:line="360" w:lineRule="auto"/>
        <w:ind w:firstLine="480"/>
        <w:rPr>
          <w:color w:val="000000"/>
          <w:sz w:val="24"/>
        </w:rPr>
      </w:pPr>
      <w:r>
        <w:rPr>
          <w:rFonts w:hint="eastAsia"/>
          <w:sz w:val="24"/>
          <w:szCs w:val="24"/>
        </w:rPr>
        <w:t>对传递标准的修正主要分为两种，第一种是由于环境条件或其他已知不同测量条件造成的测量量值存在差异时，通过修正模型将测量结果修正至同一条件使得量值具有可比性的过程；第二种是在比对过程中，传递标准存在已知变化规律的变化时，按照变化规律模型对其进行的修正。对传递标准的修正以及分析其引入的不确定度，应</w:t>
      </w:r>
      <w:r>
        <w:rPr>
          <w:sz w:val="24"/>
          <w:szCs w:val="24"/>
        </w:rPr>
        <w:t>有</w:t>
      </w:r>
      <w:r>
        <w:rPr>
          <w:rFonts w:hint="eastAsia"/>
          <w:sz w:val="24"/>
          <w:szCs w:val="24"/>
        </w:rPr>
        <w:t>详细的分析并由主导实验室确认。修正引入的不确定度符号为</w:t>
      </w:r>
      <w:r>
        <w:rPr>
          <w:rFonts w:hint="eastAsia"/>
          <w:i/>
          <w:iCs/>
          <w:color w:val="000000"/>
          <w:sz w:val="24"/>
        </w:rPr>
        <w:t>u</w:t>
      </w:r>
      <w:r>
        <w:rPr>
          <w:color w:val="000000"/>
          <w:sz w:val="24"/>
          <w:vertAlign w:val="subscript"/>
        </w:rPr>
        <w:t>cor</w:t>
      </w:r>
      <w:r>
        <w:rPr>
          <w:rFonts w:hint="eastAsia"/>
          <w:color w:val="000000"/>
          <w:sz w:val="24"/>
        </w:rPr>
        <w:t>，表示为：</w:t>
      </w:r>
    </w:p>
    <w:p>
      <w:pPr>
        <w:spacing w:line="360" w:lineRule="auto"/>
        <w:jc w:val="right"/>
        <w:rPr>
          <w:sz w:val="24"/>
          <w:szCs w:val="24"/>
        </w:rPr>
      </w:pPr>
      <m:oMath>
        <m:sSub>
          <m:sSubPr>
            <m:ctrlPr>
              <w:rPr>
                <w:rFonts w:ascii="Cambria Math" w:hAnsi="Cambria Math" w:eastAsia="等线"/>
                <w:i/>
                <w:sz w:val="24"/>
                <w:szCs w:val="24"/>
              </w:rPr>
            </m:ctrlPr>
          </m:sSubPr>
          <m:e>
            <m:r>
              <m:rPr/>
              <w:rPr>
                <w:rFonts w:ascii="Cambria Math" w:hAnsi="Cambria Math"/>
                <w:sz w:val="24"/>
                <w:szCs w:val="24"/>
              </w:rPr>
              <m:t>u</m:t>
            </m:r>
            <m:ctrlPr>
              <w:rPr>
                <w:rFonts w:ascii="Cambria Math" w:hAnsi="Cambria Math" w:eastAsia="等线"/>
                <w:i/>
                <w:sz w:val="24"/>
                <w:szCs w:val="24"/>
              </w:rPr>
            </m:ctrlPr>
          </m:e>
          <m:sub>
            <m:r>
              <m:rPr>
                <m:sty m:val="p"/>
              </m:rPr>
              <w:rPr>
                <w:rFonts w:ascii="Cambria Math" w:hAnsi="Cambria Math"/>
                <w:sz w:val="24"/>
                <w:szCs w:val="24"/>
              </w:rPr>
              <m:t>cor</m:t>
            </m:r>
            <m:ctrlPr>
              <w:rPr>
                <w:rFonts w:ascii="Cambria Math" w:hAnsi="Cambria Math" w:eastAsia="等线"/>
                <w:i/>
                <w:sz w:val="24"/>
                <w:szCs w:val="24"/>
              </w:rPr>
            </m:ctrlPr>
          </m:sub>
        </m:sSub>
        <m:r>
          <m:rPr/>
          <w:rPr>
            <w:rFonts w:ascii="Cambria Math" w:hAnsi="Cambria Math"/>
            <w:sz w:val="24"/>
            <w:szCs w:val="24"/>
          </w:rPr>
          <m:t>=</m:t>
        </m:r>
        <m:rad>
          <m:radPr>
            <m:degHide m:val="1"/>
            <m:ctrlPr>
              <w:rPr>
                <w:rFonts w:ascii="Cambria Math" w:hAnsi="Cambria Math" w:eastAsia="等线"/>
                <w:i/>
                <w:sz w:val="24"/>
                <w:szCs w:val="24"/>
              </w:rPr>
            </m:ctrlPr>
          </m:radPr>
          <m:deg>
            <m:ctrlPr>
              <w:rPr>
                <w:rFonts w:ascii="Cambria Math" w:hAnsi="Cambria Math" w:eastAsia="等线"/>
                <w:i/>
                <w:sz w:val="24"/>
                <w:szCs w:val="24"/>
              </w:rPr>
            </m:ctrlPr>
          </m:deg>
          <m:e>
            <m:nary>
              <m:naryPr>
                <m:chr m:val="∑"/>
                <m:limLoc m:val="undOvr"/>
                <m:subHide m:val="1"/>
                <m:supHide m:val="1"/>
                <m:ctrlPr>
                  <w:rPr>
                    <w:rFonts w:ascii="Cambria Math" w:hAnsi="Cambria Math" w:eastAsia="等线"/>
                    <w:i/>
                    <w:sz w:val="24"/>
                    <w:szCs w:val="24"/>
                  </w:rPr>
                </m:ctrlPr>
              </m:naryPr>
              <m:sub>
                <m:ctrlPr>
                  <w:rPr>
                    <w:rFonts w:ascii="Cambria Math" w:hAnsi="Cambria Math" w:eastAsia="等线"/>
                    <w:i/>
                    <w:sz w:val="24"/>
                    <w:szCs w:val="24"/>
                  </w:rPr>
                </m:ctrlPr>
              </m:sub>
              <m:sup>
                <m:ctrlPr>
                  <w:rPr>
                    <w:rFonts w:ascii="Cambria Math" w:hAnsi="Cambria Math" w:eastAsia="等线"/>
                    <w:i/>
                    <w:sz w:val="24"/>
                    <w:szCs w:val="24"/>
                  </w:rPr>
                </m:ctrlPr>
              </m:sup>
              <m:e>
                <m:sSup>
                  <m:sSupPr>
                    <m:ctrlPr>
                      <w:rPr>
                        <w:rFonts w:ascii="Cambria Math" w:hAnsi="Cambria Math" w:eastAsia="等线"/>
                        <w:i/>
                        <w:sz w:val="24"/>
                        <w:szCs w:val="24"/>
                      </w:rPr>
                    </m:ctrlPr>
                  </m:sSupPr>
                  <m:e>
                    <m:sSub>
                      <m:sSubPr>
                        <m:ctrlPr>
                          <w:rPr>
                            <w:rFonts w:ascii="Cambria Math" w:hAnsi="Cambria Math" w:eastAsia="等线"/>
                            <w:i/>
                            <w:sz w:val="24"/>
                            <w:szCs w:val="24"/>
                          </w:rPr>
                        </m:ctrlPr>
                      </m:sSubPr>
                      <m:e>
                        <m:r>
                          <m:rPr/>
                          <w:rPr>
                            <w:rFonts w:ascii="Cambria Math" w:hAnsi="Cambria Math"/>
                            <w:sz w:val="24"/>
                            <w:szCs w:val="24"/>
                          </w:rPr>
                          <m:t>c</m:t>
                        </m:r>
                        <m:ctrlPr>
                          <w:rPr>
                            <w:rFonts w:ascii="Cambria Math" w:hAnsi="Cambria Math" w:eastAsia="等线"/>
                            <w:i/>
                            <w:sz w:val="24"/>
                            <w:szCs w:val="24"/>
                          </w:rPr>
                        </m:ctrlPr>
                      </m:e>
                      <m:sub>
                        <m:r>
                          <m:rPr/>
                          <w:rPr>
                            <w:rFonts w:ascii="Cambria Math" w:hAnsi="Cambria Math"/>
                            <w:sz w:val="24"/>
                            <w:szCs w:val="24"/>
                          </w:rPr>
                          <m:t>k</m:t>
                        </m:r>
                        <m:ctrlPr>
                          <w:rPr>
                            <w:rFonts w:ascii="Cambria Math" w:hAnsi="Cambria Math" w:eastAsia="等线"/>
                            <w:i/>
                            <w:sz w:val="24"/>
                            <w:szCs w:val="24"/>
                          </w:rPr>
                        </m:ctrlPr>
                      </m:sub>
                    </m:sSub>
                    <m:ctrlPr>
                      <w:rPr>
                        <w:rFonts w:ascii="Cambria Math" w:hAnsi="Cambria Math" w:eastAsia="等线"/>
                        <w:i/>
                        <w:sz w:val="24"/>
                        <w:szCs w:val="24"/>
                      </w:rPr>
                    </m:ctrlPr>
                  </m:e>
                  <m:sup>
                    <m:r>
                      <m:rPr/>
                      <w:rPr>
                        <w:rFonts w:ascii="Cambria Math" w:hAnsi="Cambria Math"/>
                        <w:sz w:val="24"/>
                        <w:szCs w:val="24"/>
                      </w:rPr>
                      <m:t>2</m:t>
                    </m:r>
                    <m:ctrlPr>
                      <w:rPr>
                        <w:rFonts w:ascii="Cambria Math" w:hAnsi="Cambria Math" w:eastAsia="等线"/>
                        <w:i/>
                        <w:sz w:val="24"/>
                        <w:szCs w:val="24"/>
                      </w:rPr>
                    </m:ctrlPr>
                  </m:sup>
                </m:sSup>
                <m:sSup>
                  <m:sSupPr>
                    <m:ctrlPr>
                      <w:rPr>
                        <w:rFonts w:ascii="Cambria Math" w:hAnsi="Cambria Math" w:eastAsia="等线"/>
                        <w:i/>
                        <w:sz w:val="24"/>
                        <w:szCs w:val="24"/>
                      </w:rPr>
                    </m:ctrlPr>
                  </m:sSupPr>
                  <m:e>
                    <m:sSub>
                      <m:sSubPr>
                        <m:ctrlPr>
                          <w:rPr>
                            <w:rFonts w:ascii="Cambria Math" w:hAnsi="Cambria Math" w:eastAsia="等线"/>
                            <w:i/>
                            <w:sz w:val="24"/>
                            <w:szCs w:val="24"/>
                          </w:rPr>
                        </m:ctrlPr>
                      </m:sSubPr>
                      <m:e>
                        <m:r>
                          <m:rPr/>
                          <w:rPr>
                            <w:rFonts w:ascii="Cambria Math" w:hAnsi="Cambria Math"/>
                            <w:sz w:val="24"/>
                            <w:szCs w:val="24"/>
                          </w:rPr>
                          <m:t>u</m:t>
                        </m:r>
                        <m:ctrlPr>
                          <w:rPr>
                            <w:rFonts w:ascii="Cambria Math" w:hAnsi="Cambria Math" w:eastAsia="等线"/>
                            <w:i/>
                            <w:sz w:val="24"/>
                            <w:szCs w:val="24"/>
                          </w:rPr>
                        </m:ctrlPr>
                      </m:e>
                      <m:sub>
                        <m:r>
                          <m:rPr>
                            <m:sty m:val="p"/>
                          </m:rPr>
                          <w:rPr>
                            <w:rFonts w:ascii="Cambria Math" w:hAnsi="Cambria Math"/>
                            <w:sz w:val="24"/>
                            <w:szCs w:val="24"/>
                          </w:rPr>
                          <m:t>cor,</m:t>
                        </m:r>
                        <m:r>
                          <m:rPr/>
                          <w:rPr>
                            <w:rFonts w:ascii="Cambria Math" w:hAnsi="Cambria Math"/>
                            <w:sz w:val="24"/>
                            <w:szCs w:val="24"/>
                          </w:rPr>
                          <m:t>k</m:t>
                        </m:r>
                        <m:ctrlPr>
                          <w:rPr>
                            <w:rFonts w:ascii="Cambria Math" w:hAnsi="Cambria Math" w:eastAsia="等线"/>
                            <w:i/>
                            <w:sz w:val="24"/>
                            <w:szCs w:val="24"/>
                          </w:rPr>
                        </m:ctrlPr>
                      </m:sub>
                    </m:sSub>
                    <m:ctrlPr>
                      <w:rPr>
                        <w:rFonts w:ascii="Cambria Math" w:hAnsi="Cambria Math" w:eastAsia="等线"/>
                        <w:i/>
                        <w:sz w:val="24"/>
                        <w:szCs w:val="24"/>
                      </w:rPr>
                    </m:ctrlPr>
                  </m:e>
                  <m:sup>
                    <m:r>
                      <m:rPr/>
                      <w:rPr>
                        <w:rFonts w:ascii="Cambria Math" w:hAnsi="Cambria Math"/>
                        <w:sz w:val="24"/>
                        <w:szCs w:val="24"/>
                      </w:rPr>
                      <m:t>2</m:t>
                    </m:r>
                    <m:ctrlPr>
                      <w:rPr>
                        <w:rFonts w:ascii="Cambria Math" w:hAnsi="Cambria Math" w:eastAsia="等线"/>
                        <w:i/>
                        <w:sz w:val="24"/>
                        <w:szCs w:val="24"/>
                      </w:rPr>
                    </m:ctrlPr>
                  </m:sup>
                </m:sSup>
                <m:ctrlPr>
                  <w:rPr>
                    <w:rFonts w:ascii="Cambria Math" w:hAnsi="Cambria Math" w:eastAsia="等线"/>
                    <w:i/>
                    <w:sz w:val="24"/>
                    <w:szCs w:val="24"/>
                  </w:rPr>
                </m:ctrlPr>
              </m:e>
            </m:nary>
            <m:ctrlPr>
              <w:rPr>
                <w:rFonts w:ascii="Cambria Math" w:hAnsi="Cambria Math" w:eastAsia="等线"/>
                <w:i/>
                <w:sz w:val="24"/>
                <w:szCs w:val="24"/>
              </w:rPr>
            </m:ctrlPr>
          </m:e>
        </m:rad>
      </m:oMath>
      <w:r>
        <w:rPr>
          <w:sz w:val="24"/>
          <w:szCs w:val="24"/>
        </w:rPr>
        <w:t xml:space="preserve">   </w:t>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(A.2)</w:t>
      </w:r>
    </w:p>
    <w:p>
      <w:pPr>
        <w:adjustRightInd w:val="0"/>
        <w:spacing w:line="360" w:lineRule="auto"/>
        <w:rPr>
          <w:sz w:val="24"/>
          <w:szCs w:val="24"/>
        </w:rPr>
      </w:pPr>
      <w:r>
        <w:rPr>
          <w:rFonts w:hint="eastAsia"/>
          <w:sz w:val="24"/>
          <w:szCs w:val="24"/>
        </w:rPr>
        <w:t>其中，</w:t>
      </w:r>
      <w:r>
        <w:rPr>
          <w:rFonts w:hint="eastAsia"/>
          <w:i/>
          <w:iCs/>
          <w:sz w:val="24"/>
          <w:szCs w:val="24"/>
        </w:rPr>
        <w:t>c</w:t>
      </w:r>
      <w:r>
        <w:rPr>
          <w:rFonts w:hint="eastAsia"/>
          <w:i/>
          <w:iCs/>
          <w:sz w:val="24"/>
          <w:szCs w:val="24"/>
          <w:vertAlign w:val="subscript"/>
        </w:rPr>
        <w:t>k</w:t>
      </w:r>
      <w:r>
        <w:rPr>
          <w:rFonts w:hint="eastAsia"/>
          <w:sz w:val="24"/>
          <w:szCs w:val="24"/>
        </w:rPr>
        <w:t>为第</w:t>
      </w:r>
      <w:r>
        <w:rPr>
          <w:rFonts w:hint="eastAsia"/>
          <w:i/>
          <w:iCs/>
          <w:sz w:val="24"/>
          <w:szCs w:val="24"/>
        </w:rPr>
        <w:t>k</w:t>
      </w:r>
      <w:r>
        <w:rPr>
          <w:rFonts w:hint="eastAsia"/>
          <w:sz w:val="24"/>
          <w:szCs w:val="24"/>
        </w:rPr>
        <w:t>个修正量的灵敏系数，</w:t>
      </w:r>
      <w:r>
        <w:rPr>
          <w:rFonts w:hint="eastAsia"/>
          <w:i/>
          <w:iCs/>
          <w:sz w:val="24"/>
          <w:szCs w:val="24"/>
        </w:rPr>
        <w:t>u</w:t>
      </w:r>
      <w:r>
        <w:rPr>
          <w:sz w:val="24"/>
          <w:szCs w:val="24"/>
          <w:vertAlign w:val="subscript"/>
        </w:rPr>
        <w:t>cor</w:t>
      </w:r>
      <w:r>
        <w:rPr>
          <w:rFonts w:hint="eastAsia"/>
          <w:i/>
          <w:iCs/>
          <w:sz w:val="24"/>
          <w:szCs w:val="24"/>
          <w:vertAlign w:val="subscript"/>
        </w:rPr>
        <w:t>k</w:t>
      </w:r>
      <w:r>
        <w:rPr>
          <w:rFonts w:hint="eastAsia"/>
          <w:sz w:val="24"/>
          <w:szCs w:val="24"/>
        </w:rPr>
        <w:t>为第</w:t>
      </w:r>
      <w:r>
        <w:rPr>
          <w:rFonts w:hint="eastAsia"/>
          <w:i/>
          <w:iCs/>
          <w:sz w:val="24"/>
          <w:szCs w:val="24"/>
        </w:rPr>
        <w:t>k</w:t>
      </w:r>
      <w:r>
        <w:rPr>
          <w:rFonts w:hint="eastAsia"/>
          <w:sz w:val="24"/>
          <w:szCs w:val="24"/>
        </w:rPr>
        <w:t>个引发修正因素的不确定度。</w:t>
      </w:r>
    </w:p>
    <w:p>
      <w:pPr>
        <w:adjustRightInd w:val="0"/>
        <w:snapToGrid w:val="0"/>
        <w:spacing w:line="360" w:lineRule="auto"/>
        <w:rPr>
          <w:color w:val="000000"/>
          <w:sz w:val="24"/>
        </w:rPr>
      </w:pPr>
      <w:r>
        <w:rPr>
          <w:rFonts w:hint="eastAsia"/>
          <w:color w:val="000000"/>
          <w:sz w:val="24"/>
        </w:rPr>
        <w:t>A.5</w:t>
      </w:r>
      <w:r>
        <w:rPr>
          <w:color w:val="000000"/>
          <w:sz w:val="24"/>
        </w:rPr>
        <w:t>.</w:t>
      </w:r>
      <w:r>
        <w:rPr>
          <w:rFonts w:hint="eastAsia"/>
          <w:color w:val="000000"/>
          <w:sz w:val="24"/>
        </w:rPr>
        <w:t>4</w:t>
      </w:r>
      <w:r>
        <w:rPr>
          <w:color w:val="000000"/>
          <w:sz w:val="24"/>
        </w:rPr>
        <w:t xml:space="preserve"> </w:t>
      </w:r>
      <w:r>
        <w:rPr>
          <w:rFonts w:hint="eastAsia"/>
          <w:color w:val="000000"/>
          <w:sz w:val="24"/>
        </w:rPr>
        <w:t>传递标准引入不确定度的计算</w:t>
      </w:r>
    </w:p>
    <w:p>
      <w:pPr>
        <w:snapToGrid w:val="0"/>
        <w:spacing w:line="360" w:lineRule="auto"/>
        <w:rPr>
          <w:color w:val="000000"/>
          <w:sz w:val="24"/>
        </w:rPr>
      </w:pPr>
      <w:r>
        <w:rPr>
          <w:rFonts w:hint="eastAsia"/>
          <w:color w:val="000000"/>
          <w:sz w:val="24"/>
        </w:rPr>
        <w:t xml:space="preserve"> </w:t>
      </w:r>
      <w:r>
        <w:rPr>
          <w:color w:val="000000"/>
          <w:sz w:val="24"/>
        </w:rPr>
        <w:t xml:space="preserve">  </w:t>
      </w:r>
      <w:r>
        <w:rPr>
          <w:rFonts w:hint="eastAsia"/>
          <w:color w:val="000000"/>
          <w:sz w:val="24"/>
        </w:rPr>
        <w:t xml:space="preserve">传递标准引入的不确定度包含传递标准的稳定性、均匀性以及由修正引入的不确定度，可由下式计算： </w:t>
      </w:r>
    </w:p>
    <w:p>
      <w:pPr>
        <w:snapToGrid w:val="0"/>
        <w:spacing w:line="360" w:lineRule="auto"/>
        <w:jc w:val="right"/>
        <w:rPr>
          <w:sz w:val="24"/>
          <w:szCs w:val="24"/>
        </w:rPr>
      </w:pPr>
      <m:oMath>
        <m:sSub>
          <m:sSubPr>
            <m:ctrlPr>
              <w:rPr>
                <w:rFonts w:ascii="Cambria Math" w:hAnsi="Cambria Math"/>
                <w:sz w:val="24"/>
                <w:szCs w:val="24"/>
              </w:rPr>
            </m:ctrlPr>
          </m:sSubPr>
          <m:e>
            <m:r>
              <m:rPr/>
              <w:rPr>
                <w:rFonts w:ascii="Cambria Math" w:hAnsi="Cambria Math"/>
                <w:sz w:val="24"/>
                <w:szCs w:val="24"/>
              </w:rPr>
              <m:t>u</m:t>
            </m:r>
            <m:ctrlPr>
              <w:rPr>
                <w:rFonts w:ascii="Cambria Math" w:hAnsi="Cambria Math"/>
                <w:sz w:val="24"/>
                <w:szCs w:val="24"/>
              </w:rPr>
            </m:ctrlPr>
          </m:e>
          <m:sub>
            <m:r>
              <m:rPr>
                <m:sty m:val="p"/>
              </m:rPr>
              <w:rPr>
                <w:rFonts w:ascii="Cambria Math" w:hAnsi="Cambria Math"/>
                <w:sz w:val="24"/>
                <w:szCs w:val="24"/>
              </w:rPr>
              <m:t>e</m:t>
            </m:r>
            <m:ctrlPr>
              <w:rPr>
                <w:rFonts w:ascii="Cambria Math" w:hAnsi="Cambria Math"/>
                <w:sz w:val="24"/>
                <w:szCs w:val="24"/>
              </w:rPr>
            </m:ctrlPr>
          </m:sub>
        </m:sSub>
        <m:r>
          <m:rPr>
            <m:sty m:val="p"/>
          </m:rPr>
          <w:rPr>
            <w:rFonts w:ascii="Cambria Math" w:hAnsi="Cambria Math"/>
            <w:sz w:val="24"/>
            <w:szCs w:val="24"/>
          </w:rPr>
          <m:t>=</m:t>
        </m:r>
        <m:rad>
          <m:radPr>
            <m:degHide m:val="1"/>
            <m:ctrlPr>
              <w:rPr>
                <w:rFonts w:ascii="Cambria Math" w:hAnsi="Cambria Math"/>
                <w:sz w:val="24"/>
                <w:szCs w:val="24"/>
              </w:rPr>
            </m:ctrlPr>
          </m:radPr>
          <m:deg>
            <m:ctrlPr>
              <w:rPr>
                <w:rFonts w:ascii="Cambria Math" w:hAnsi="Cambria Math"/>
                <w:sz w:val="24"/>
                <w:szCs w:val="24"/>
              </w:rPr>
            </m:ctrlPr>
          </m:deg>
          <m:e>
            <m:sSup>
              <m:sSupPr>
                <m:ctrlPr>
                  <w:rPr>
                    <w:rFonts w:ascii="Cambria Math" w:hAnsi="Cambria Math"/>
                    <w:sz w:val="24"/>
                    <w:szCs w:val="24"/>
                  </w:rPr>
                </m:ctrlPr>
              </m:sSupPr>
              <m:e>
                <m:sSub>
                  <m:sSubPr>
                    <m:ctrlPr>
                      <w:rPr>
                        <w:rFonts w:ascii="Cambria Math" w:hAnsi="Cambria Math"/>
                        <w:sz w:val="24"/>
                        <w:szCs w:val="24"/>
                      </w:rPr>
                    </m:ctrlPr>
                  </m:sSubPr>
                  <m:e>
                    <m:r>
                      <m:rPr/>
                      <w:rPr>
                        <w:rFonts w:ascii="Cambria Math" w:hAnsi="Cambria Math"/>
                        <w:sz w:val="24"/>
                        <w:szCs w:val="24"/>
                      </w:rPr>
                      <m:t>u</m:t>
                    </m:r>
                    <m:ctrlPr>
                      <w:rPr>
                        <w:rFonts w:ascii="Cambria Math" w:hAnsi="Cambria Math"/>
                        <w:sz w:val="24"/>
                        <w:szCs w:val="24"/>
                      </w:rPr>
                    </m:ctrlPr>
                  </m:e>
                  <m:sub>
                    <m:r>
                      <m:rPr>
                        <m:sty m:val="p"/>
                      </m:rPr>
                      <w:rPr>
                        <w:rFonts w:ascii="Cambria Math" w:hAnsi="Cambria Math" w:eastAsia="等线"/>
                        <w:sz w:val="24"/>
                        <w:szCs w:val="24"/>
                      </w:rPr>
                      <m:t>sta</m:t>
                    </m:r>
                    <m:ctrlPr>
                      <w:rPr>
                        <w:rFonts w:ascii="Cambria Math" w:hAnsi="Cambria Math"/>
                        <w:sz w:val="24"/>
                        <w:szCs w:val="24"/>
                      </w:rPr>
                    </m:ctrlPr>
                  </m:sub>
                </m:sSub>
                <m:ctrlPr>
                  <w:rPr>
                    <w:rFonts w:ascii="Cambria Math" w:hAnsi="Cambria Math"/>
                    <w:sz w:val="24"/>
                    <w:szCs w:val="24"/>
                  </w:rPr>
                </m:ctrlPr>
              </m:e>
              <m:sup>
                <m:r>
                  <m:rPr>
                    <m:sty m:val="p"/>
                  </m:rPr>
                  <w:rPr>
                    <w:rFonts w:ascii="Cambria Math" w:hAnsi="Cambria Math"/>
                    <w:sz w:val="24"/>
                    <w:szCs w:val="24"/>
                  </w:rPr>
                  <m:t>2</m:t>
                </m:r>
                <m:ctrlPr>
                  <w:rPr>
                    <w:rFonts w:ascii="Cambria Math" w:hAnsi="Cambria Math"/>
                    <w:sz w:val="24"/>
                    <w:szCs w:val="24"/>
                  </w:rPr>
                </m:ctrlPr>
              </m:sup>
            </m:sSup>
            <m:r>
              <m:rPr>
                <m:sty m:val="p"/>
              </m:rPr>
              <w:rPr>
                <w:rFonts w:ascii="Cambria Math" w:hAnsi="Cambria Math"/>
                <w:sz w:val="24"/>
                <w:szCs w:val="24"/>
              </w:rPr>
              <m:t>+</m:t>
            </m:r>
            <m:sSup>
              <m:sSupPr>
                <m:ctrlPr>
                  <w:rPr>
                    <w:rFonts w:ascii="Cambria Math" w:hAnsi="Cambria Math"/>
                    <w:sz w:val="24"/>
                    <w:szCs w:val="24"/>
                  </w:rPr>
                </m:ctrlPr>
              </m:sSupPr>
              <m:e>
                <m:sSub>
                  <m:sSubPr>
                    <m:ctrlPr>
                      <w:rPr>
                        <w:rFonts w:ascii="Cambria Math" w:hAnsi="Cambria Math"/>
                        <w:sz w:val="24"/>
                        <w:szCs w:val="24"/>
                      </w:rPr>
                    </m:ctrlPr>
                  </m:sSubPr>
                  <m:e>
                    <m:r>
                      <m:rPr/>
                      <w:rPr>
                        <w:rFonts w:ascii="Cambria Math" w:hAnsi="Cambria Math"/>
                        <w:sz w:val="24"/>
                        <w:szCs w:val="24"/>
                      </w:rPr>
                      <m:t>u</m:t>
                    </m:r>
                    <m:ctrlPr>
                      <w:rPr>
                        <w:rFonts w:ascii="Cambria Math" w:hAnsi="Cambria Math"/>
                        <w:sz w:val="24"/>
                        <w:szCs w:val="24"/>
                      </w:rPr>
                    </m:ctrlPr>
                  </m:e>
                  <m:sub>
                    <m:r>
                      <m:rPr>
                        <m:sty m:val="p"/>
                      </m:rPr>
                      <w:rPr>
                        <w:rFonts w:ascii="Cambria Math" w:hAnsi="Cambria Math"/>
                        <w:sz w:val="24"/>
                        <w:szCs w:val="24"/>
                      </w:rPr>
                      <m:t>uni</m:t>
                    </m:r>
                    <m:ctrlPr>
                      <w:rPr>
                        <w:rFonts w:ascii="Cambria Math" w:hAnsi="Cambria Math"/>
                        <w:sz w:val="24"/>
                        <w:szCs w:val="24"/>
                      </w:rPr>
                    </m:ctrlPr>
                  </m:sub>
                </m:sSub>
                <m:ctrlPr>
                  <w:rPr>
                    <w:rFonts w:ascii="Cambria Math" w:hAnsi="Cambria Math"/>
                    <w:sz w:val="24"/>
                    <w:szCs w:val="24"/>
                  </w:rPr>
                </m:ctrlPr>
              </m:e>
              <m:sup>
                <m:r>
                  <m:rPr>
                    <m:sty m:val="p"/>
                  </m:rPr>
                  <w:rPr>
                    <w:rFonts w:ascii="Cambria Math" w:hAnsi="Cambria Math"/>
                    <w:sz w:val="24"/>
                    <w:szCs w:val="24"/>
                  </w:rPr>
                  <m:t>2</m:t>
                </m:r>
                <m:ctrlPr>
                  <w:rPr>
                    <w:rFonts w:ascii="Cambria Math" w:hAnsi="Cambria Math"/>
                    <w:sz w:val="24"/>
                    <w:szCs w:val="24"/>
                  </w:rPr>
                </m:ctrlPr>
              </m:sup>
            </m:sSup>
            <m:r>
              <m:rPr>
                <m:sty m:val="p"/>
              </m:rPr>
              <w:rPr>
                <w:rFonts w:ascii="Cambria Math" w:hAnsi="Cambria Math"/>
                <w:sz w:val="24"/>
                <w:szCs w:val="24"/>
              </w:rPr>
              <m:t>+</m:t>
            </m:r>
            <w:bookmarkStart w:id="80" w:name="_Hlk137914876"/>
            <m:sSup>
              <m:sSupPr>
                <m:ctrlPr>
                  <w:rPr>
                    <w:rFonts w:ascii="Cambria Math" w:hAnsi="Cambria Math"/>
                    <w:sz w:val="24"/>
                    <w:szCs w:val="24"/>
                  </w:rPr>
                </m:ctrlPr>
              </m:sSupPr>
              <m:e>
                <m:sSub>
                  <m:sSubPr>
                    <m:ctrlPr>
                      <w:rPr>
                        <w:rFonts w:ascii="Cambria Math" w:hAnsi="Cambria Math"/>
                        <w:sz w:val="24"/>
                        <w:szCs w:val="24"/>
                      </w:rPr>
                    </m:ctrlPr>
                  </m:sSubPr>
                  <m:e>
                    <m:r>
                      <m:rPr/>
                      <w:rPr>
                        <w:rFonts w:ascii="Cambria Math" w:hAnsi="Cambria Math"/>
                        <w:sz w:val="24"/>
                        <w:szCs w:val="24"/>
                      </w:rPr>
                      <m:t>u</m:t>
                    </m:r>
                    <m:ctrlPr>
                      <w:rPr>
                        <w:rFonts w:ascii="Cambria Math" w:hAnsi="Cambria Math"/>
                        <w:sz w:val="24"/>
                        <w:szCs w:val="24"/>
                      </w:rPr>
                    </m:ctrlPr>
                  </m:e>
                  <m:sub>
                    <m:r>
                      <m:rPr>
                        <m:sty m:val="p"/>
                      </m:rPr>
                      <w:rPr>
                        <w:rFonts w:ascii="Cambria Math" w:hAnsi="Cambria Math"/>
                        <w:sz w:val="24"/>
                        <w:szCs w:val="24"/>
                      </w:rPr>
                      <m:t>cor</m:t>
                    </m:r>
                    <m:ctrlPr>
                      <w:rPr>
                        <w:rFonts w:ascii="Cambria Math" w:hAnsi="Cambria Math"/>
                        <w:sz w:val="24"/>
                        <w:szCs w:val="24"/>
                      </w:rPr>
                    </m:ctrlPr>
                  </m:sub>
                </m:sSub>
                <m:ctrlPr>
                  <w:rPr>
                    <w:rFonts w:ascii="Cambria Math" w:hAnsi="Cambria Math"/>
                    <w:sz w:val="24"/>
                    <w:szCs w:val="24"/>
                  </w:rPr>
                </m:ctrlPr>
              </m:e>
              <m:sup>
                <m:r>
                  <m:rPr>
                    <m:sty m:val="p"/>
                  </m:rPr>
                  <w:rPr>
                    <w:rFonts w:ascii="Cambria Math" w:hAnsi="Cambria Math"/>
                    <w:sz w:val="24"/>
                    <w:szCs w:val="24"/>
                  </w:rPr>
                  <m:t>2</m:t>
                </m:r>
                <m:ctrlPr>
                  <w:rPr>
                    <w:rFonts w:ascii="Cambria Math" w:hAnsi="Cambria Math"/>
                    <w:sz w:val="24"/>
                    <w:szCs w:val="24"/>
                  </w:rPr>
                </m:ctrlPr>
                <w:bookmarkEnd w:id="80"/>
              </m:sup>
            </m:sSup>
            <m:ctrlPr>
              <w:rPr>
                <w:rFonts w:ascii="Cambria Math" w:hAnsi="Cambria Math"/>
                <w:sz w:val="24"/>
                <w:szCs w:val="24"/>
              </w:rPr>
            </m:ctrlPr>
          </m:e>
        </m:rad>
      </m:oMath>
      <w:r>
        <w:rPr>
          <w:rFonts w:ascii="Cambria Math" w:hAnsi="Cambria Math" w:eastAsia="等线"/>
          <w:i/>
          <w:sz w:val="24"/>
          <w:szCs w:val="24"/>
        </w:rPr>
        <w:t xml:space="preserve"> </w:t>
      </w:r>
      <w:r>
        <w:rPr>
          <w:sz w:val="24"/>
          <w:szCs w:val="24"/>
        </w:rPr>
        <w:tab/>
      </w:r>
      <w:r>
        <w:rPr>
          <w:sz w:val="24"/>
          <w:szCs w:val="24"/>
        </w:rPr>
        <w:tab/>
      </w:r>
      <w:r>
        <w:rPr>
          <w:sz w:val="24"/>
          <w:szCs w:val="24"/>
        </w:rPr>
        <w:tab/>
      </w:r>
      <w:r>
        <w:rPr>
          <w:sz w:val="24"/>
          <w:szCs w:val="24"/>
        </w:rPr>
        <w:tab/>
      </w:r>
      <w:r>
        <w:rPr>
          <w:sz w:val="24"/>
          <w:szCs w:val="24"/>
        </w:rPr>
        <w:t>(A.3)</w:t>
      </w:r>
    </w:p>
    <w:bookmarkEnd w:id="72"/>
    <w:bookmarkEnd w:id="73"/>
    <w:bookmarkEnd w:id="74"/>
    <w:p>
      <w:pPr>
        <w:pStyle w:val="2"/>
        <w:keepNext w:val="0"/>
        <w:keepLines w:val="0"/>
        <w:pageBreakBefore/>
        <w:textAlignment w:val="baseline"/>
        <w:rPr>
          <w:color w:val="FFFFFF"/>
          <w:sz w:val="28"/>
        </w:rPr>
      </w:pPr>
      <w:bookmarkStart w:id="81" w:name="_Toc137854330"/>
      <w:bookmarkStart w:id="82" w:name="_Toc239495259"/>
      <w:bookmarkStart w:id="83" w:name="_Toc222654294"/>
      <w:r>
        <w:rPr>
          <w:sz w:val="28"/>
        </w:rPr>
        <w:t>附录</w:t>
      </w:r>
      <w:r>
        <w:rPr>
          <w:rFonts w:hint="eastAsia"/>
          <w:sz w:val="28"/>
        </w:rPr>
        <w:t>B</w:t>
      </w:r>
      <w:bookmarkStart w:id="84" w:name="_Hlk116502229"/>
      <w:r>
        <w:rPr>
          <w:rFonts w:hint="eastAsia"/>
          <w:sz w:val="28"/>
        </w:rPr>
        <w:t xml:space="preserve">  </w:t>
      </w:r>
      <w:r>
        <w:rPr>
          <w:sz w:val="28"/>
        </w:rPr>
        <w:t>比对</w:t>
      </w:r>
      <w:r>
        <w:rPr>
          <w:rFonts w:hint="eastAsia"/>
          <w:sz w:val="28"/>
        </w:rPr>
        <w:t>实施方案内容</w:t>
      </w:r>
      <w:bookmarkEnd w:id="81"/>
      <w:bookmarkEnd w:id="84"/>
    </w:p>
    <w:p>
      <w:pPr>
        <w:jc w:val="center"/>
        <w:rPr>
          <w:sz w:val="24"/>
        </w:rPr>
      </w:pPr>
    </w:p>
    <w:p>
      <w:pPr>
        <w:jc w:val="center"/>
        <w:rPr>
          <w:sz w:val="24"/>
        </w:rPr>
      </w:pPr>
    </w:p>
    <w:p>
      <w:pPr>
        <w:jc w:val="center"/>
        <w:rPr>
          <w:sz w:val="24"/>
        </w:rPr>
      </w:pPr>
      <w:r>
        <w:rPr>
          <w:color w:val="FFFFFF"/>
          <w:sz w:val="28"/>
        </w:rPr>
        <w:t>比对</w:t>
      </w:r>
      <w:r>
        <w:rPr>
          <w:rFonts w:hint="eastAsia"/>
          <w:color w:val="FFFFFF"/>
          <w:sz w:val="28"/>
        </w:rPr>
        <w:t>实施方案内容</w:t>
      </w:r>
    </w:p>
    <w:p>
      <w:pPr>
        <w:snapToGrid w:val="0"/>
        <w:spacing w:line="360" w:lineRule="auto"/>
        <w:ind w:firstLine="480" w:firstLineChars="200"/>
        <w:rPr>
          <w:sz w:val="24"/>
        </w:rPr>
      </w:pPr>
    </w:p>
    <w:p>
      <w:pPr>
        <w:snapToGrid w:val="0"/>
        <w:spacing w:line="360" w:lineRule="auto"/>
        <w:ind w:firstLine="480" w:firstLineChars="200"/>
        <w:rPr>
          <w:color w:val="000000"/>
          <w:sz w:val="24"/>
        </w:rPr>
      </w:pPr>
      <w:r>
        <w:rPr>
          <w:sz w:val="24"/>
        </w:rPr>
        <w:t>比对实施方案应包括如下内容：</w:t>
      </w:r>
    </w:p>
    <w:p>
      <w:pPr>
        <w:snapToGrid w:val="0"/>
        <w:spacing w:line="360" w:lineRule="auto"/>
        <w:rPr>
          <w:color w:val="000000"/>
          <w:sz w:val="24"/>
        </w:rPr>
      </w:pPr>
      <w:r>
        <w:rPr>
          <w:rFonts w:hint="eastAsia"/>
          <w:color w:val="000000"/>
          <w:sz w:val="24"/>
        </w:rPr>
        <w:t>B</w:t>
      </w:r>
      <w:r>
        <w:rPr>
          <w:color w:val="000000"/>
          <w:sz w:val="24"/>
        </w:rPr>
        <w:t xml:space="preserve">.1 </w:t>
      </w:r>
      <w:r>
        <w:rPr>
          <w:rFonts w:hint="eastAsia"/>
          <w:color w:val="000000"/>
          <w:sz w:val="24"/>
        </w:rPr>
        <w:t>基本情况：</w:t>
      </w:r>
      <w:r>
        <w:rPr>
          <w:color w:val="000000"/>
          <w:sz w:val="24"/>
        </w:rPr>
        <w:t>比对任务来源、比对目的、参比实验室的范围和性质。</w:t>
      </w:r>
    </w:p>
    <w:p>
      <w:pPr>
        <w:autoSpaceDE w:val="0"/>
        <w:autoSpaceDN w:val="0"/>
        <w:adjustRightInd w:val="0"/>
        <w:snapToGrid w:val="0"/>
        <w:spacing w:line="360" w:lineRule="auto"/>
        <w:jc w:val="left"/>
        <w:rPr>
          <w:color w:val="000000"/>
          <w:sz w:val="24"/>
        </w:rPr>
      </w:pPr>
      <w:r>
        <w:rPr>
          <w:rFonts w:hint="eastAsia"/>
          <w:color w:val="000000"/>
          <w:sz w:val="24"/>
        </w:rPr>
        <w:t>B</w:t>
      </w:r>
      <w:r>
        <w:rPr>
          <w:color w:val="000000"/>
          <w:sz w:val="24"/>
        </w:rPr>
        <w:t xml:space="preserve">.2 </w:t>
      </w:r>
      <w:r>
        <w:rPr>
          <w:sz w:val="24"/>
        </w:rPr>
        <w:t>技术描述：</w:t>
      </w:r>
      <w:r>
        <w:rPr>
          <w:color w:val="000000"/>
          <w:sz w:val="24"/>
        </w:rPr>
        <w:t>比对所针对的量及范围，对比对涉及的仪器、设备和环境的要求,对准确度等级或不确定度的要求。</w:t>
      </w:r>
      <w:r>
        <w:rPr>
          <w:rFonts w:hint="eastAsia"/>
          <w:color w:val="000000"/>
          <w:sz w:val="24"/>
        </w:rPr>
        <w:t>必要时可用量值关系图来说明比对在该量值传递图中的位置，与上一级计量基准或标准的量值关系，以及向下传递的计量器具以及服务的领域和范围。</w:t>
      </w:r>
    </w:p>
    <w:p>
      <w:pPr>
        <w:snapToGrid w:val="0"/>
        <w:spacing w:line="360" w:lineRule="auto"/>
        <w:rPr>
          <w:color w:val="000000"/>
          <w:sz w:val="24"/>
        </w:rPr>
      </w:pPr>
      <w:r>
        <w:rPr>
          <w:rFonts w:hint="eastAsia"/>
          <w:color w:val="000000"/>
          <w:sz w:val="24"/>
        </w:rPr>
        <w:t>B</w:t>
      </w:r>
      <w:r>
        <w:rPr>
          <w:color w:val="000000"/>
          <w:sz w:val="24"/>
        </w:rPr>
        <w:t>.3 实验室：主导实验室和参比实验室，联系人及有效联系方式。</w:t>
      </w:r>
    </w:p>
    <w:p>
      <w:pPr>
        <w:snapToGrid w:val="0"/>
        <w:spacing w:line="360" w:lineRule="auto"/>
        <w:rPr>
          <w:color w:val="000000"/>
          <w:sz w:val="24"/>
        </w:rPr>
      </w:pPr>
      <w:r>
        <w:rPr>
          <w:rFonts w:hint="eastAsia"/>
          <w:color w:val="000000"/>
          <w:sz w:val="24"/>
        </w:rPr>
        <w:t>B</w:t>
      </w:r>
      <w:r>
        <w:rPr>
          <w:color w:val="000000"/>
          <w:sz w:val="24"/>
        </w:rPr>
        <w:t>.4 传递标准</w:t>
      </w:r>
    </w:p>
    <w:p>
      <w:pPr>
        <w:snapToGrid w:val="0"/>
        <w:spacing w:line="360" w:lineRule="auto"/>
        <w:rPr>
          <w:color w:val="000000"/>
          <w:sz w:val="24"/>
        </w:rPr>
      </w:pPr>
      <w:r>
        <w:rPr>
          <w:rFonts w:hint="eastAsia"/>
          <w:color w:val="000000"/>
          <w:sz w:val="24"/>
        </w:rPr>
        <w:t>B</w:t>
      </w:r>
      <w:r>
        <w:rPr>
          <w:color w:val="000000"/>
          <w:sz w:val="24"/>
        </w:rPr>
        <w:t>.4.1 传递标准及特性描述：传递标准及其附属设备与实验相关的特性的详细描述，包括制造商及操作所需的技术条件。</w:t>
      </w:r>
    </w:p>
    <w:p>
      <w:pPr>
        <w:snapToGrid w:val="0"/>
        <w:spacing w:line="360" w:lineRule="auto"/>
        <w:rPr>
          <w:color w:val="000000"/>
          <w:sz w:val="24"/>
        </w:rPr>
      </w:pPr>
      <w:r>
        <w:rPr>
          <w:rFonts w:hint="eastAsia"/>
          <w:color w:val="000000"/>
          <w:sz w:val="24"/>
        </w:rPr>
        <w:t>B</w:t>
      </w:r>
      <w:r>
        <w:rPr>
          <w:color w:val="000000"/>
          <w:sz w:val="24"/>
        </w:rPr>
        <w:t>.4.2 传递标准的运输和使用：针对传递标准的特性提出传递</w:t>
      </w:r>
      <w:r>
        <w:rPr>
          <w:sz w:val="24"/>
        </w:rPr>
        <w:t>时所需要的特定条件，如防震、防高温、防低温等以及</w:t>
      </w:r>
      <w:r>
        <w:rPr>
          <w:color w:val="000000"/>
          <w:sz w:val="24"/>
        </w:rPr>
        <w:t>处理要求，包括包装、运输、拆包、安装、调试、校准等。还可规定运输及保险的费用承担方。</w:t>
      </w:r>
    </w:p>
    <w:p>
      <w:pPr>
        <w:snapToGrid w:val="0"/>
        <w:spacing w:line="360" w:lineRule="auto"/>
        <w:rPr>
          <w:color w:val="000000"/>
          <w:sz w:val="24"/>
        </w:rPr>
      </w:pPr>
      <w:r>
        <w:rPr>
          <w:rFonts w:hint="eastAsia"/>
          <w:color w:val="000000"/>
          <w:sz w:val="24"/>
        </w:rPr>
        <w:t>B</w:t>
      </w:r>
      <w:r>
        <w:rPr>
          <w:color w:val="000000"/>
          <w:sz w:val="24"/>
        </w:rPr>
        <w:t>.4.3 传递标准的交接</w:t>
      </w:r>
    </w:p>
    <w:p>
      <w:pPr>
        <w:snapToGrid w:val="0"/>
        <w:spacing w:line="360" w:lineRule="auto"/>
        <w:rPr>
          <w:color w:val="000000"/>
          <w:sz w:val="24"/>
        </w:rPr>
      </w:pPr>
      <w:r>
        <w:rPr>
          <w:rFonts w:hint="eastAsia"/>
          <w:color w:val="000000"/>
          <w:sz w:val="24"/>
        </w:rPr>
        <w:t>B</w:t>
      </w:r>
      <w:r>
        <w:rPr>
          <w:color w:val="000000"/>
          <w:sz w:val="24"/>
        </w:rPr>
        <w:t>.</w:t>
      </w:r>
      <w:r>
        <w:rPr>
          <w:rFonts w:hint="eastAsia"/>
          <w:color w:val="000000"/>
          <w:sz w:val="24"/>
        </w:rPr>
        <w:t>4.3</w:t>
      </w:r>
      <w:r>
        <w:rPr>
          <w:color w:val="000000"/>
          <w:sz w:val="24"/>
        </w:rPr>
        <w:t>.1</w:t>
      </w:r>
      <w:r>
        <w:rPr>
          <w:kern w:val="0"/>
          <w:sz w:val="24"/>
        </w:rPr>
        <w:t>应充分</w:t>
      </w:r>
      <w:r>
        <w:rPr>
          <w:color w:val="000000"/>
          <w:sz w:val="24"/>
        </w:rPr>
        <w:t>考虑传递标准在运输交接过程中的安全性，并在</w:t>
      </w:r>
      <w:r>
        <w:rPr>
          <w:kern w:val="0"/>
          <w:sz w:val="24"/>
        </w:rPr>
        <w:t>比对实施方案中</w:t>
      </w:r>
      <w:r>
        <w:rPr>
          <w:color w:val="000000"/>
          <w:sz w:val="24"/>
        </w:rPr>
        <w:t>确定传递标准的运输方式，规定交送（或发运）、接收传递标准时采取的措施及交接方式并设计传递标准交接单。交接单示例见表A.1，在交接单中应有传递标准设备及配件的明细清单。</w:t>
      </w:r>
    </w:p>
    <w:p>
      <w:pPr>
        <w:snapToGrid w:val="0"/>
        <w:spacing w:line="360" w:lineRule="auto"/>
        <w:rPr>
          <w:color w:val="000000"/>
          <w:sz w:val="24"/>
        </w:rPr>
      </w:pPr>
      <w:r>
        <w:rPr>
          <w:rFonts w:hint="eastAsia"/>
          <w:color w:val="000000"/>
          <w:sz w:val="24"/>
        </w:rPr>
        <w:t>B.4.3</w:t>
      </w:r>
      <w:r>
        <w:rPr>
          <w:color w:val="000000"/>
          <w:sz w:val="24"/>
        </w:rPr>
        <w:t xml:space="preserve">.2 各接收实验室在接到传递标准后应按要求核查传递标准是否有损坏或缺失，核对货物清单，填好交接单并及时通知主导实验室。 </w:t>
      </w:r>
    </w:p>
    <w:p>
      <w:pPr>
        <w:snapToGrid w:val="0"/>
        <w:spacing w:line="360" w:lineRule="auto"/>
        <w:rPr>
          <w:color w:val="000000"/>
          <w:sz w:val="24"/>
        </w:rPr>
      </w:pPr>
      <w:r>
        <w:rPr>
          <w:rFonts w:hint="eastAsia"/>
          <w:color w:val="000000"/>
          <w:sz w:val="24"/>
        </w:rPr>
        <w:t>B.4.3</w:t>
      </w:r>
      <w:r>
        <w:rPr>
          <w:color w:val="000000"/>
          <w:sz w:val="24"/>
        </w:rPr>
        <w:t>.3 交接单一式三联，交接双方各执一联，第三联随传递标准传递。</w:t>
      </w:r>
    </w:p>
    <w:p>
      <w:pPr>
        <w:snapToGrid w:val="0"/>
        <w:spacing w:line="360" w:lineRule="auto"/>
        <w:rPr>
          <w:color w:val="000000"/>
          <w:sz w:val="24"/>
        </w:rPr>
      </w:pPr>
      <w:r>
        <w:rPr>
          <w:rFonts w:hint="eastAsia"/>
          <w:color w:val="000000"/>
          <w:sz w:val="24"/>
        </w:rPr>
        <w:t>B.4.3</w:t>
      </w:r>
      <w:r>
        <w:rPr>
          <w:color w:val="000000"/>
          <w:sz w:val="24"/>
        </w:rPr>
        <w:t>.4 实验室完成比对实验后应按比对实施方案的要求将传递标准传递到下一个接收实验室，并同时告知主导实验室</w:t>
      </w:r>
      <w:r>
        <w:rPr>
          <w:rFonts w:hint="eastAsia"/>
          <w:color w:val="000000"/>
          <w:sz w:val="24"/>
        </w:rPr>
        <w:t>和</w:t>
      </w:r>
      <w:r>
        <w:rPr>
          <w:color w:val="000000"/>
          <w:sz w:val="24"/>
        </w:rPr>
        <w:t>通知</w:t>
      </w:r>
      <w:r>
        <w:rPr>
          <w:rFonts w:hint="eastAsia"/>
          <w:color w:val="000000"/>
          <w:sz w:val="24"/>
        </w:rPr>
        <w:t>下一个</w:t>
      </w:r>
      <w:r>
        <w:rPr>
          <w:color w:val="000000"/>
          <w:sz w:val="24"/>
        </w:rPr>
        <w:t>实验室做好接收准备。</w:t>
      </w:r>
    </w:p>
    <w:p>
      <w:pPr>
        <w:snapToGrid w:val="0"/>
        <w:spacing w:line="360" w:lineRule="auto"/>
        <w:ind w:firstLine="480" w:firstLineChars="200"/>
        <w:rPr>
          <w:color w:val="000000"/>
          <w:sz w:val="24"/>
        </w:rPr>
      </w:pPr>
      <w:r>
        <w:rPr>
          <w:color w:val="000000"/>
          <w:sz w:val="24"/>
        </w:rPr>
        <w:t xml:space="preserve">                 表B</w:t>
      </w:r>
      <w:r>
        <w:rPr>
          <w:rFonts w:hint="eastAsia"/>
          <w:color w:val="000000"/>
          <w:sz w:val="24"/>
        </w:rPr>
        <w:t>.</w:t>
      </w:r>
      <w:r>
        <w:rPr>
          <w:color w:val="000000"/>
          <w:sz w:val="24"/>
        </w:rPr>
        <w:t>1 交接单示例</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09" w:type="dxa"/>
          </w:tcPr>
          <w:p>
            <w:pPr>
              <w:snapToGrid w:val="0"/>
              <w:spacing w:line="360" w:lineRule="auto"/>
              <w:jc w:val="center"/>
              <w:rPr>
                <w:sz w:val="24"/>
              </w:rPr>
            </w:pPr>
            <w:r>
              <w:rPr>
                <w:b/>
                <w:color w:val="000000"/>
              </w:rPr>
              <w:t>交 接 单</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3"/>
              <w:gridCol w:w="1957"/>
              <w:gridCol w:w="1418"/>
              <w:gridCol w:w="1134"/>
              <w:gridCol w:w="30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8" w:type="dxa"/>
                  <w:gridSpan w:val="5"/>
                </w:tcPr>
                <w:p>
                  <w:pPr>
                    <w:snapToGrid w:val="0"/>
                    <w:spacing w:line="360" w:lineRule="auto"/>
                    <w:ind w:firstLine="360" w:firstLineChars="200"/>
                    <w:rPr>
                      <w:sz w:val="24"/>
                    </w:rPr>
                  </w:pPr>
                  <w:r>
                    <w:rPr>
                      <w:color w:val="000000"/>
                      <w:sz w:val="18"/>
                    </w:rPr>
                    <w:t>经检查，如果没有问题，请在相应方框内打√，否则打×。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8" w:type="dxa"/>
                  <w:gridSpan w:val="5"/>
                </w:tcPr>
                <w:p>
                  <w:pPr>
                    <w:snapToGrid w:val="0"/>
                    <w:spacing w:line="360" w:lineRule="auto"/>
                    <w:ind w:firstLine="360" w:firstLineChars="200"/>
                    <w:rPr>
                      <w:color w:val="000000"/>
                      <w:sz w:val="18"/>
                      <w:szCs w:val="18"/>
                    </w:rPr>
                  </w:pPr>
                  <w:r>
                    <w:rPr>
                      <w:color w:val="000000"/>
                      <w:sz w:val="18"/>
                    </w:rPr>
                    <w:t xml:space="preserve">1、交接物品外包装是否完好      </w:t>
                  </w:r>
                  <w:r>
                    <w:rPr>
                      <w:color w:val="000000"/>
                      <w:sz w:val="18"/>
                      <w:szCs w:val="18"/>
                    </w:rPr>
                    <w:t>□</w:t>
                  </w:r>
                </w:p>
                <w:p>
                  <w:pPr>
                    <w:snapToGrid w:val="0"/>
                    <w:spacing w:line="360" w:lineRule="auto"/>
                    <w:ind w:firstLine="360" w:firstLineChars="200"/>
                    <w:rPr>
                      <w:color w:val="000000"/>
                      <w:sz w:val="18"/>
                    </w:rPr>
                  </w:pPr>
                  <w:r>
                    <w:rPr>
                      <w:color w:val="000000"/>
                      <w:sz w:val="18"/>
                    </w:rPr>
                    <w:t>2、标准流量计  共1箱（流量计1台，编号7626501001；电缆1根；…）       □</w:t>
                  </w:r>
                </w:p>
                <w:p>
                  <w:pPr>
                    <w:snapToGrid w:val="0"/>
                    <w:spacing w:line="360" w:lineRule="auto"/>
                    <w:ind w:firstLine="360" w:firstLineChars="200"/>
                    <w:rPr>
                      <w:color w:val="000000"/>
                      <w:sz w:val="18"/>
                    </w:rPr>
                  </w:pPr>
                  <w:r>
                    <w:rPr>
                      <w:color w:val="000000"/>
                      <w:sz w:val="18"/>
                    </w:rPr>
                    <w:t>3、标准铂电阻温度计2支(编号：×××，×××)                           □</w:t>
                  </w:r>
                </w:p>
                <w:p>
                  <w:pPr>
                    <w:snapToGrid w:val="0"/>
                    <w:spacing w:line="360" w:lineRule="auto"/>
                    <w:ind w:firstLine="360" w:firstLineChars="200"/>
                    <w:rPr>
                      <w:color w:val="000000"/>
                      <w:sz w:val="18"/>
                    </w:rPr>
                  </w:pPr>
                  <w:r>
                    <w:rPr>
                      <w:color w:val="000000"/>
                      <w:sz w:val="18"/>
                    </w:rPr>
                    <w:t>4、请在收到后和送出前仔细检查，如有问题请在下面注明并及时与主导实验室联系。</w:t>
                  </w:r>
                </w:p>
                <w:p>
                  <w:pPr>
                    <w:snapToGrid w:val="0"/>
                    <w:spacing w:line="360" w:lineRule="auto"/>
                    <w:ind w:firstLine="360" w:firstLineChars="200"/>
                    <w:rPr>
                      <w:sz w:val="24"/>
                    </w:rPr>
                  </w:pPr>
                  <w:r>
                    <w:rPr>
                      <w:color w:val="000000"/>
                      <w:sz w:val="18"/>
                    </w:rPr>
                    <w:t>5、交接地点：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3" w:type="dxa"/>
                </w:tcPr>
                <w:p>
                  <w:pPr>
                    <w:snapToGrid w:val="0"/>
                    <w:spacing w:line="360" w:lineRule="auto"/>
                    <w:jc w:val="center"/>
                    <w:rPr>
                      <w:sz w:val="24"/>
                    </w:rPr>
                  </w:pPr>
                </w:p>
              </w:tc>
              <w:tc>
                <w:tcPr>
                  <w:tcW w:w="1957" w:type="dxa"/>
                </w:tcPr>
                <w:p>
                  <w:pPr>
                    <w:snapToGrid w:val="0"/>
                    <w:spacing w:line="360" w:lineRule="auto"/>
                    <w:jc w:val="center"/>
                    <w:rPr>
                      <w:sz w:val="24"/>
                    </w:rPr>
                  </w:pPr>
                  <w:r>
                    <w:rPr>
                      <w:color w:val="000000"/>
                      <w:sz w:val="18"/>
                    </w:rPr>
                    <w:t>单位</w:t>
                  </w:r>
                </w:p>
              </w:tc>
              <w:tc>
                <w:tcPr>
                  <w:tcW w:w="1418" w:type="dxa"/>
                </w:tcPr>
                <w:p>
                  <w:pPr>
                    <w:snapToGrid w:val="0"/>
                    <w:spacing w:line="360" w:lineRule="auto"/>
                    <w:jc w:val="center"/>
                    <w:rPr>
                      <w:sz w:val="24"/>
                    </w:rPr>
                  </w:pPr>
                  <w:r>
                    <w:rPr>
                      <w:color w:val="000000"/>
                      <w:sz w:val="18"/>
                    </w:rPr>
                    <w:t>经办人签字</w:t>
                  </w:r>
                </w:p>
              </w:tc>
              <w:tc>
                <w:tcPr>
                  <w:tcW w:w="1134" w:type="dxa"/>
                </w:tcPr>
                <w:p>
                  <w:pPr>
                    <w:snapToGrid w:val="0"/>
                    <w:spacing w:line="360" w:lineRule="auto"/>
                    <w:jc w:val="center"/>
                    <w:rPr>
                      <w:sz w:val="24"/>
                    </w:rPr>
                  </w:pPr>
                  <w:r>
                    <w:rPr>
                      <w:color w:val="000000"/>
                      <w:sz w:val="18"/>
                    </w:rPr>
                    <w:t>日期</w:t>
                  </w:r>
                </w:p>
              </w:tc>
              <w:tc>
                <w:tcPr>
                  <w:tcW w:w="3096" w:type="dxa"/>
                </w:tcPr>
                <w:p>
                  <w:pPr>
                    <w:snapToGrid w:val="0"/>
                    <w:spacing w:line="360" w:lineRule="auto"/>
                    <w:jc w:val="center"/>
                    <w:rPr>
                      <w:sz w:val="24"/>
                    </w:rPr>
                  </w:pPr>
                  <w:r>
                    <w:rPr>
                      <w:color w:val="000000"/>
                      <w:sz w:val="18"/>
                    </w:rPr>
                    <w:t>如有问题请注明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3" w:type="dxa"/>
                </w:tcPr>
                <w:p>
                  <w:pPr>
                    <w:snapToGrid w:val="0"/>
                    <w:spacing w:line="360" w:lineRule="auto"/>
                    <w:jc w:val="center"/>
                    <w:rPr>
                      <w:sz w:val="24"/>
                    </w:rPr>
                  </w:pPr>
                  <w:r>
                    <w:rPr>
                      <w:color w:val="000000"/>
                      <w:sz w:val="18"/>
                    </w:rPr>
                    <w:t>交送方</w:t>
                  </w:r>
                </w:p>
              </w:tc>
              <w:tc>
                <w:tcPr>
                  <w:tcW w:w="1957" w:type="dxa"/>
                </w:tcPr>
                <w:p>
                  <w:pPr>
                    <w:snapToGrid w:val="0"/>
                    <w:spacing w:line="360" w:lineRule="auto"/>
                    <w:rPr>
                      <w:sz w:val="24"/>
                    </w:rPr>
                  </w:pPr>
                </w:p>
              </w:tc>
              <w:tc>
                <w:tcPr>
                  <w:tcW w:w="1418" w:type="dxa"/>
                </w:tcPr>
                <w:p>
                  <w:pPr>
                    <w:snapToGrid w:val="0"/>
                    <w:spacing w:line="360" w:lineRule="auto"/>
                    <w:rPr>
                      <w:sz w:val="24"/>
                    </w:rPr>
                  </w:pPr>
                </w:p>
              </w:tc>
              <w:tc>
                <w:tcPr>
                  <w:tcW w:w="1134" w:type="dxa"/>
                </w:tcPr>
                <w:p>
                  <w:pPr>
                    <w:snapToGrid w:val="0"/>
                    <w:spacing w:line="360" w:lineRule="auto"/>
                    <w:rPr>
                      <w:sz w:val="24"/>
                    </w:rPr>
                  </w:pPr>
                </w:p>
              </w:tc>
              <w:tc>
                <w:tcPr>
                  <w:tcW w:w="3096" w:type="dxa"/>
                </w:tcPr>
                <w:p>
                  <w:pPr>
                    <w:snapToGrid w:val="0"/>
                    <w:spacing w:line="360" w:lineRule="auto"/>
                    <w:rPr>
                      <w:sz w:val="24"/>
                    </w:rPr>
                  </w:pPr>
                </w:p>
                <w:p>
                  <w:pPr>
                    <w:snapToGrid w:val="0"/>
                    <w:spacing w:line="360" w:lineRule="auto"/>
                    <w:rPr>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3" w:type="dxa"/>
                </w:tcPr>
                <w:p>
                  <w:pPr>
                    <w:snapToGrid w:val="0"/>
                    <w:spacing w:line="360" w:lineRule="auto"/>
                    <w:jc w:val="center"/>
                    <w:rPr>
                      <w:sz w:val="24"/>
                    </w:rPr>
                  </w:pPr>
                  <w:r>
                    <w:rPr>
                      <w:color w:val="000000"/>
                      <w:sz w:val="18"/>
                    </w:rPr>
                    <w:t>接收方</w:t>
                  </w:r>
                </w:p>
              </w:tc>
              <w:tc>
                <w:tcPr>
                  <w:tcW w:w="1957" w:type="dxa"/>
                </w:tcPr>
                <w:p>
                  <w:pPr>
                    <w:snapToGrid w:val="0"/>
                    <w:spacing w:line="360" w:lineRule="auto"/>
                    <w:rPr>
                      <w:sz w:val="24"/>
                    </w:rPr>
                  </w:pPr>
                </w:p>
              </w:tc>
              <w:tc>
                <w:tcPr>
                  <w:tcW w:w="1418" w:type="dxa"/>
                </w:tcPr>
                <w:p>
                  <w:pPr>
                    <w:snapToGrid w:val="0"/>
                    <w:spacing w:line="360" w:lineRule="auto"/>
                    <w:rPr>
                      <w:sz w:val="24"/>
                    </w:rPr>
                  </w:pPr>
                </w:p>
              </w:tc>
              <w:tc>
                <w:tcPr>
                  <w:tcW w:w="1134" w:type="dxa"/>
                </w:tcPr>
                <w:p>
                  <w:pPr>
                    <w:snapToGrid w:val="0"/>
                    <w:spacing w:line="360" w:lineRule="auto"/>
                    <w:rPr>
                      <w:sz w:val="24"/>
                    </w:rPr>
                  </w:pPr>
                </w:p>
              </w:tc>
              <w:tc>
                <w:tcPr>
                  <w:tcW w:w="3096" w:type="dxa"/>
                </w:tcPr>
                <w:p>
                  <w:pPr>
                    <w:snapToGrid w:val="0"/>
                    <w:spacing w:line="360" w:lineRule="auto"/>
                    <w:rPr>
                      <w:sz w:val="24"/>
                    </w:rPr>
                  </w:pPr>
                </w:p>
                <w:p>
                  <w:pPr>
                    <w:snapToGrid w:val="0"/>
                    <w:spacing w:line="360" w:lineRule="auto"/>
                    <w:rPr>
                      <w:sz w:val="24"/>
                    </w:rPr>
                  </w:pPr>
                </w:p>
              </w:tc>
            </w:tr>
          </w:tbl>
          <w:p>
            <w:pPr>
              <w:snapToGrid w:val="0"/>
              <w:spacing w:line="360" w:lineRule="auto"/>
              <w:ind w:firstLine="443" w:firstLineChars="245"/>
              <w:rPr>
                <w:sz w:val="24"/>
              </w:rPr>
            </w:pPr>
            <w:r>
              <w:rPr>
                <w:b/>
                <w:color w:val="000000"/>
                <w:sz w:val="18"/>
              </w:rPr>
              <w:t>此表一式三份，接收方、发送方各存留一份，另一份随货物装箱送到下一站。</w:t>
            </w:r>
          </w:p>
        </w:tc>
      </w:tr>
    </w:tbl>
    <w:p>
      <w:pPr>
        <w:snapToGrid w:val="0"/>
        <w:spacing w:line="360" w:lineRule="auto"/>
        <w:rPr>
          <w:color w:val="000000"/>
          <w:sz w:val="24"/>
        </w:rPr>
      </w:pPr>
    </w:p>
    <w:p>
      <w:pPr>
        <w:snapToGrid w:val="0"/>
        <w:spacing w:line="360" w:lineRule="auto"/>
        <w:rPr>
          <w:color w:val="000000"/>
          <w:sz w:val="24"/>
        </w:rPr>
      </w:pPr>
      <w:r>
        <w:rPr>
          <w:rFonts w:hint="eastAsia"/>
          <w:color w:val="000000"/>
          <w:sz w:val="24"/>
        </w:rPr>
        <w:t>B</w:t>
      </w:r>
      <w:r>
        <w:rPr>
          <w:color w:val="000000"/>
          <w:sz w:val="24"/>
        </w:rPr>
        <w:t xml:space="preserve">.5 </w:t>
      </w:r>
      <w:r>
        <w:rPr>
          <w:rFonts w:hint="eastAsia"/>
          <w:sz w:val="24"/>
        </w:rPr>
        <w:t>传递</w:t>
      </w:r>
      <w:r>
        <w:rPr>
          <w:sz w:val="24"/>
        </w:rPr>
        <w:t>方式</w:t>
      </w:r>
      <w:r>
        <w:rPr>
          <w:color w:val="000000"/>
          <w:sz w:val="24"/>
        </w:rPr>
        <w:t>：</w:t>
      </w:r>
      <w:r>
        <w:rPr>
          <w:rFonts w:hint="eastAsia"/>
          <w:color w:val="000000"/>
          <w:sz w:val="24"/>
        </w:rPr>
        <w:t>当采用移动地点比对时，</w:t>
      </w:r>
      <w:r>
        <w:rPr>
          <w:color w:val="000000"/>
          <w:sz w:val="24"/>
        </w:rPr>
        <w:t>根据比对所选择的传递标准的特性和参比实验室的数量等因素确定比对</w:t>
      </w:r>
      <w:r>
        <w:rPr>
          <w:sz w:val="24"/>
        </w:rPr>
        <w:t>传递方式及具体传递</w:t>
      </w:r>
      <w:r>
        <w:rPr>
          <w:color w:val="000000"/>
          <w:sz w:val="24"/>
        </w:rPr>
        <w:t>路线。</w:t>
      </w:r>
    </w:p>
    <w:p>
      <w:pPr>
        <w:snapToGrid w:val="0"/>
        <w:spacing w:line="360" w:lineRule="auto"/>
        <w:rPr>
          <w:color w:val="000000"/>
          <w:sz w:val="24"/>
        </w:rPr>
      </w:pPr>
      <w:r>
        <w:rPr>
          <w:rFonts w:hint="eastAsia"/>
          <w:color w:val="000000"/>
          <w:sz w:val="24"/>
        </w:rPr>
        <w:t>B</w:t>
      </w:r>
      <w:r>
        <w:rPr>
          <w:color w:val="000000"/>
          <w:sz w:val="24"/>
        </w:rPr>
        <w:t>.6 比对日程：充分考虑实验和运输中各因素的影响后，确定的实验室所需的最长比对工作时间，参比实验室的具体日程安排。在安排日程时可考虑参比实验室的意见。</w:t>
      </w:r>
    </w:p>
    <w:p>
      <w:pPr>
        <w:snapToGrid w:val="0"/>
        <w:spacing w:line="360" w:lineRule="auto"/>
        <w:rPr>
          <w:color w:val="000000"/>
          <w:sz w:val="24"/>
        </w:rPr>
      </w:pPr>
      <w:r>
        <w:rPr>
          <w:rFonts w:hint="eastAsia"/>
          <w:color w:val="000000"/>
          <w:sz w:val="24"/>
        </w:rPr>
        <w:t>B</w:t>
      </w:r>
      <w:r>
        <w:rPr>
          <w:color w:val="000000"/>
          <w:sz w:val="24"/>
        </w:rPr>
        <w:t xml:space="preserve">.7 </w:t>
      </w:r>
      <w:r>
        <w:rPr>
          <w:rFonts w:hint="eastAsia"/>
          <w:color w:val="000000"/>
          <w:sz w:val="24"/>
        </w:rPr>
        <w:t>比对</w:t>
      </w:r>
      <w:r>
        <w:rPr>
          <w:color w:val="000000"/>
          <w:sz w:val="24"/>
        </w:rPr>
        <w:t>实验方法：可以采用国家计量检定规程或国家计量技术规范规定的方法和程序</w:t>
      </w:r>
      <w:r>
        <w:rPr>
          <w:rFonts w:hint="eastAsia"/>
          <w:color w:val="000000"/>
          <w:sz w:val="24"/>
        </w:rPr>
        <w:t>，</w:t>
      </w:r>
      <w:r>
        <w:rPr>
          <w:color w:val="000000"/>
          <w:sz w:val="24"/>
        </w:rPr>
        <w:t>也可采用国际比对方法、国际建议或国际标准、国家标准推荐的方法和程序。如采用其他方法和程序，应遵循科学合理的原则，在比对实施方案中给出明确、详细的说明。</w:t>
      </w:r>
    </w:p>
    <w:p>
      <w:pPr>
        <w:snapToGrid w:val="0"/>
        <w:spacing w:line="360" w:lineRule="auto"/>
        <w:rPr>
          <w:color w:val="000000"/>
          <w:sz w:val="24"/>
        </w:rPr>
      </w:pPr>
      <w:r>
        <w:rPr>
          <w:rFonts w:hint="eastAsia"/>
          <w:color w:val="000000"/>
          <w:sz w:val="24"/>
        </w:rPr>
        <w:t>B</w:t>
      </w:r>
      <w:r>
        <w:rPr>
          <w:color w:val="000000"/>
          <w:sz w:val="24"/>
        </w:rPr>
        <w:t>.8 意外情况处理：如传递标准在运输过程中出现意外故障的处理程序及传递标准在某实验室比对过程中因意外发生延时等情况的处理程序。</w:t>
      </w:r>
    </w:p>
    <w:p>
      <w:pPr>
        <w:snapToGrid w:val="0"/>
        <w:spacing w:line="360" w:lineRule="auto"/>
        <w:rPr>
          <w:color w:val="000000"/>
          <w:sz w:val="24"/>
        </w:rPr>
      </w:pPr>
      <w:r>
        <w:rPr>
          <w:rFonts w:hint="eastAsia"/>
          <w:color w:val="000000"/>
          <w:sz w:val="24"/>
        </w:rPr>
        <w:t>B</w:t>
      </w:r>
      <w:r>
        <w:rPr>
          <w:color w:val="000000"/>
          <w:sz w:val="24"/>
        </w:rPr>
        <w:t>.9 记录格式：参比实验室比对实验原始记录的格式，比对结果分析所需的其他信息。必要时主导实验室向参比实验室提供规定格式的电子文件，以利于后期数据的</w:t>
      </w:r>
      <w:r>
        <w:rPr>
          <w:rFonts w:hint="eastAsia"/>
          <w:color w:val="000000"/>
          <w:sz w:val="24"/>
        </w:rPr>
        <w:t>处理和</w:t>
      </w:r>
      <w:r>
        <w:rPr>
          <w:color w:val="000000"/>
          <w:sz w:val="24"/>
        </w:rPr>
        <w:t>分析。</w:t>
      </w:r>
    </w:p>
    <w:p>
      <w:pPr>
        <w:pStyle w:val="3"/>
        <w:spacing w:before="0" w:after="93" w:afterLines="30" w:line="360" w:lineRule="auto"/>
        <w:rPr>
          <w:rFonts w:ascii="Times New Roman" w:hAnsi="Times New Roman" w:eastAsia="宋体"/>
          <w:b w:val="0"/>
          <w:color w:val="000000"/>
          <w:sz w:val="24"/>
        </w:rPr>
      </w:pPr>
      <w:bookmarkStart w:id="85" w:name="_Toc137854331"/>
      <w:r>
        <w:rPr>
          <w:rFonts w:hint="eastAsia" w:ascii="Times New Roman" w:hAnsi="Times New Roman" w:eastAsia="宋体"/>
          <w:b w:val="0"/>
          <w:color w:val="000000"/>
          <w:sz w:val="24"/>
        </w:rPr>
        <w:t>B</w:t>
      </w:r>
      <w:r>
        <w:rPr>
          <w:rFonts w:ascii="Times New Roman" w:hAnsi="Times New Roman" w:eastAsia="宋体"/>
          <w:b w:val="0"/>
          <w:color w:val="000000"/>
          <w:sz w:val="24"/>
        </w:rPr>
        <w:t>.10  比对过程记录文件</w:t>
      </w:r>
      <w:bookmarkEnd w:id="85"/>
    </w:p>
    <w:p>
      <w:pPr>
        <w:autoSpaceDE w:val="0"/>
        <w:autoSpaceDN w:val="0"/>
        <w:adjustRightInd w:val="0"/>
        <w:snapToGrid w:val="0"/>
        <w:spacing w:line="360" w:lineRule="auto"/>
        <w:ind w:firstLine="420"/>
        <w:jc w:val="left"/>
        <w:rPr>
          <w:color w:val="000000"/>
          <w:kern w:val="0"/>
          <w:sz w:val="24"/>
        </w:rPr>
      </w:pPr>
      <w:r>
        <w:rPr>
          <w:color w:val="000000"/>
          <w:kern w:val="0"/>
          <w:sz w:val="24"/>
        </w:rPr>
        <w:t>比对实施方案所要求的</w:t>
      </w:r>
      <w:r>
        <w:rPr>
          <w:color w:val="000000"/>
          <w:sz w:val="24"/>
        </w:rPr>
        <w:t>比对过程记录文件。</w:t>
      </w:r>
      <w:r>
        <w:rPr>
          <w:color w:val="000000"/>
          <w:kern w:val="0"/>
          <w:sz w:val="24"/>
        </w:rPr>
        <w:t>如传递标准的交接、实验过程和实验数据的记录，以及意外情况的记录与说明等文件。</w:t>
      </w:r>
    </w:p>
    <w:p>
      <w:pPr>
        <w:snapToGrid w:val="0"/>
        <w:spacing w:line="360" w:lineRule="auto"/>
        <w:rPr>
          <w:color w:val="000000"/>
          <w:sz w:val="24"/>
        </w:rPr>
      </w:pPr>
      <w:r>
        <w:rPr>
          <w:rFonts w:hint="eastAsia"/>
          <w:color w:val="000000"/>
          <w:sz w:val="24"/>
        </w:rPr>
        <w:t>B.1</w:t>
      </w:r>
      <w:r>
        <w:rPr>
          <w:color w:val="000000"/>
          <w:sz w:val="24"/>
        </w:rPr>
        <w:t xml:space="preserve">1  </w:t>
      </w:r>
      <w:r>
        <w:rPr>
          <w:rFonts w:hint="eastAsia"/>
          <w:color w:val="000000"/>
          <w:sz w:val="24"/>
        </w:rPr>
        <w:t>参比实验室测量结果报告的提交时间与方式：</w:t>
      </w:r>
      <w:r>
        <w:rPr>
          <w:color w:val="000000"/>
          <w:sz w:val="24"/>
        </w:rPr>
        <w:t>参比实验室提交比对结果报告（包括比对数据及相关资料）的时间，将报告传送至主导实验室的恰当和有效方式。</w:t>
      </w:r>
    </w:p>
    <w:p>
      <w:pPr>
        <w:snapToGrid w:val="0"/>
        <w:spacing w:line="360" w:lineRule="auto"/>
        <w:rPr>
          <w:color w:val="000000"/>
          <w:sz w:val="24"/>
        </w:rPr>
      </w:pPr>
      <w:r>
        <w:rPr>
          <w:rFonts w:hint="eastAsia"/>
          <w:color w:val="000000"/>
          <w:sz w:val="24"/>
        </w:rPr>
        <w:t>B</w:t>
      </w:r>
      <w:r>
        <w:rPr>
          <w:color w:val="000000"/>
          <w:sz w:val="24"/>
        </w:rPr>
        <w:t>.12 参比实验室提交比对</w:t>
      </w:r>
      <w:r>
        <w:rPr>
          <w:rFonts w:hint="eastAsia"/>
          <w:color w:val="000000"/>
          <w:sz w:val="24"/>
        </w:rPr>
        <w:t>测量</w:t>
      </w:r>
      <w:r>
        <w:rPr>
          <w:color w:val="000000"/>
          <w:sz w:val="24"/>
        </w:rPr>
        <w:t>结果报告的内容和要求：</w:t>
      </w:r>
    </w:p>
    <w:p>
      <w:pPr>
        <w:snapToGrid w:val="0"/>
        <w:spacing w:line="360" w:lineRule="auto"/>
        <w:ind w:firstLine="480" w:firstLineChars="200"/>
        <w:rPr>
          <w:color w:val="000000"/>
          <w:sz w:val="24"/>
        </w:rPr>
      </w:pPr>
      <w:r>
        <w:rPr>
          <w:color w:val="000000"/>
          <w:sz w:val="24"/>
        </w:rPr>
        <w:t xml:space="preserve">a) </w:t>
      </w:r>
      <w:r>
        <w:rPr>
          <w:rFonts w:hint="eastAsia"/>
          <w:color w:val="000000"/>
          <w:sz w:val="24"/>
        </w:rPr>
        <w:t>要求提交的</w:t>
      </w:r>
      <w:r>
        <w:rPr>
          <w:color w:val="000000"/>
          <w:sz w:val="24"/>
        </w:rPr>
        <w:t>比对结果</w:t>
      </w:r>
      <w:r>
        <w:rPr>
          <w:rFonts w:hint="eastAsia"/>
          <w:color w:val="000000"/>
          <w:sz w:val="24"/>
        </w:rPr>
        <w:t>，包括各测量点的测量结果，测量次数以及</w:t>
      </w:r>
      <w:r>
        <w:rPr>
          <w:color w:val="000000"/>
          <w:sz w:val="24"/>
        </w:rPr>
        <w:t>测量结果的不确定度，并附有测量不确定度评定报告，其评定和表述需符合JJF 1059</w:t>
      </w:r>
      <w:r>
        <w:rPr>
          <w:sz w:val="24"/>
        </w:rPr>
        <w:t>的要求</w:t>
      </w:r>
      <w:r>
        <w:rPr>
          <w:color w:val="000000"/>
          <w:sz w:val="24"/>
        </w:rPr>
        <w:t>；</w:t>
      </w:r>
    </w:p>
    <w:p>
      <w:pPr>
        <w:snapToGrid w:val="0"/>
        <w:spacing w:line="360" w:lineRule="auto"/>
        <w:ind w:firstLine="480" w:firstLineChars="200"/>
        <w:rPr>
          <w:color w:val="000000"/>
          <w:sz w:val="24"/>
        </w:rPr>
      </w:pPr>
      <w:r>
        <w:rPr>
          <w:rFonts w:hint="eastAsia"/>
          <w:color w:val="000000"/>
          <w:sz w:val="24"/>
        </w:rPr>
        <w:t>b</w:t>
      </w:r>
      <w:r>
        <w:rPr>
          <w:color w:val="000000"/>
          <w:sz w:val="24"/>
        </w:rPr>
        <w:t>) 比对原始记录复印件（在记录过程中更改</w:t>
      </w:r>
      <w:r>
        <w:rPr>
          <w:sz w:val="24"/>
        </w:rPr>
        <w:t>的信息，应保留其修改过程清晰可辨别）</w:t>
      </w:r>
      <w:r>
        <w:rPr>
          <w:color w:val="000000"/>
          <w:sz w:val="24"/>
        </w:rPr>
        <w:t>。</w:t>
      </w:r>
    </w:p>
    <w:p>
      <w:pPr>
        <w:snapToGrid w:val="0"/>
        <w:spacing w:line="360" w:lineRule="auto"/>
        <w:ind w:firstLine="480" w:firstLineChars="200"/>
        <w:rPr>
          <w:color w:val="000000"/>
          <w:sz w:val="24"/>
        </w:rPr>
      </w:pPr>
      <w:r>
        <w:rPr>
          <w:color w:val="000000"/>
          <w:sz w:val="24"/>
        </w:rPr>
        <w:t>为了更好地进行比对结果分析，可以要求参比实验室的装置、方法</w:t>
      </w:r>
      <w:r>
        <w:rPr>
          <w:rFonts w:hint="eastAsia"/>
          <w:color w:val="000000"/>
          <w:sz w:val="24"/>
        </w:rPr>
        <w:t>、</w:t>
      </w:r>
      <w:r>
        <w:rPr>
          <w:color w:val="000000"/>
          <w:sz w:val="24"/>
        </w:rPr>
        <w:t>标准器证书的复印件</w:t>
      </w:r>
      <w:r>
        <w:rPr>
          <w:rFonts w:hint="eastAsia"/>
          <w:color w:val="000000"/>
          <w:sz w:val="24"/>
        </w:rPr>
        <w:t>、</w:t>
      </w:r>
      <w:r>
        <w:rPr>
          <w:color w:val="000000"/>
          <w:sz w:val="24"/>
        </w:rPr>
        <w:t>具体情况说明等文件。</w:t>
      </w:r>
    </w:p>
    <w:p>
      <w:pPr>
        <w:snapToGrid w:val="0"/>
        <w:spacing w:line="360" w:lineRule="auto"/>
        <w:rPr>
          <w:color w:val="000000"/>
          <w:sz w:val="24"/>
        </w:rPr>
      </w:pPr>
      <w:r>
        <w:rPr>
          <w:rFonts w:hint="eastAsia"/>
          <w:color w:val="000000"/>
          <w:sz w:val="24"/>
        </w:rPr>
        <w:t>B</w:t>
      </w:r>
      <w:r>
        <w:rPr>
          <w:color w:val="000000"/>
          <w:sz w:val="24"/>
        </w:rPr>
        <w:t xml:space="preserve">.13 </w:t>
      </w:r>
      <w:r>
        <w:rPr>
          <w:rFonts w:hint="eastAsia"/>
          <w:color w:val="000000"/>
          <w:sz w:val="24"/>
        </w:rPr>
        <w:t>比对数据处理方法：</w:t>
      </w:r>
      <w:r>
        <w:rPr>
          <w:color w:val="000000"/>
          <w:sz w:val="24"/>
        </w:rPr>
        <w:t>参考值的确定方法、数据处理方法和比对结果</w:t>
      </w:r>
      <w:r>
        <w:rPr>
          <w:rFonts w:hint="eastAsia"/>
          <w:color w:val="000000"/>
          <w:sz w:val="24"/>
        </w:rPr>
        <w:t>相容</w:t>
      </w:r>
      <w:r>
        <w:rPr>
          <w:color w:val="000000"/>
          <w:sz w:val="24"/>
        </w:rPr>
        <w:t>性定原则，包括列出评定测量不确定度应考虑的主要分量，给出不确定度评定原则和计算方法。</w:t>
      </w:r>
    </w:p>
    <w:p>
      <w:pPr>
        <w:autoSpaceDE w:val="0"/>
        <w:autoSpaceDN w:val="0"/>
        <w:adjustRightInd w:val="0"/>
        <w:snapToGrid w:val="0"/>
        <w:spacing w:line="360" w:lineRule="auto"/>
        <w:ind w:firstLine="480" w:firstLineChars="200"/>
        <w:jc w:val="left"/>
        <w:rPr>
          <w:kern w:val="0"/>
          <w:sz w:val="24"/>
        </w:rPr>
      </w:pPr>
      <w:r>
        <w:rPr>
          <w:color w:val="000000"/>
          <w:sz w:val="24"/>
        </w:rPr>
        <w:t>常用的</w:t>
      </w:r>
      <w:r>
        <w:rPr>
          <w:sz w:val="24"/>
        </w:rPr>
        <w:t>参考值的确定方法见附录D。</w:t>
      </w:r>
    </w:p>
    <w:p>
      <w:pPr>
        <w:snapToGrid w:val="0"/>
        <w:spacing w:line="360" w:lineRule="auto"/>
        <w:rPr>
          <w:color w:val="000000"/>
          <w:sz w:val="24"/>
        </w:rPr>
      </w:pPr>
      <w:r>
        <w:rPr>
          <w:rFonts w:hint="eastAsia"/>
          <w:color w:val="000000"/>
          <w:sz w:val="24"/>
        </w:rPr>
        <w:t>B</w:t>
      </w:r>
      <w:r>
        <w:rPr>
          <w:color w:val="000000"/>
          <w:sz w:val="24"/>
        </w:rPr>
        <w:t>.14 保密规定：明确规定在比对数据尚未正式公布之前，所有</w:t>
      </w:r>
      <w:r>
        <w:rPr>
          <w:rFonts w:hint="eastAsia"/>
          <w:color w:val="000000"/>
          <w:sz w:val="24"/>
        </w:rPr>
        <w:t>参</w:t>
      </w:r>
      <w:r>
        <w:rPr>
          <w:color w:val="000000"/>
          <w:sz w:val="24"/>
        </w:rPr>
        <w:t>与比对</w:t>
      </w:r>
      <w:r>
        <w:rPr>
          <w:rFonts w:hint="eastAsia"/>
          <w:color w:val="000000"/>
          <w:sz w:val="24"/>
        </w:rPr>
        <w:t>的</w:t>
      </w:r>
      <w:r>
        <w:rPr>
          <w:color w:val="000000"/>
          <w:sz w:val="24"/>
        </w:rPr>
        <w:t>相关人员均应对比对数据保密，不允许任何数据串通，不得泄露与比对数据有关的信息，以确保比对结果的公正性。</w:t>
      </w:r>
    </w:p>
    <w:p>
      <w:pPr>
        <w:autoSpaceDE w:val="0"/>
        <w:autoSpaceDN w:val="0"/>
        <w:adjustRightInd w:val="0"/>
        <w:snapToGrid w:val="0"/>
        <w:spacing w:line="360" w:lineRule="auto"/>
        <w:jc w:val="left"/>
        <w:rPr>
          <w:b/>
          <w:bCs/>
        </w:rPr>
      </w:pPr>
      <w:r>
        <w:rPr>
          <w:rFonts w:hint="eastAsia"/>
          <w:color w:val="000000"/>
          <w:sz w:val="24"/>
        </w:rPr>
        <w:t>B</w:t>
      </w:r>
      <w:r>
        <w:rPr>
          <w:color w:val="000000"/>
          <w:sz w:val="24"/>
        </w:rPr>
        <w:t>.15 其他注意事项。</w:t>
      </w:r>
      <w:bookmarkEnd w:id="82"/>
      <w:bookmarkEnd w:id="83"/>
      <w:bookmarkStart w:id="86" w:name="_Toc222654295"/>
      <w:r>
        <w:rPr>
          <w:b/>
          <w:bCs/>
        </w:rPr>
        <w:br w:type="page"/>
      </w:r>
    </w:p>
    <w:p>
      <w:pPr>
        <w:pStyle w:val="2"/>
        <w:keepNext w:val="0"/>
        <w:keepLines w:val="0"/>
        <w:pageBreakBefore/>
        <w:textAlignment w:val="baseline"/>
        <w:rPr>
          <w:sz w:val="28"/>
        </w:rPr>
      </w:pPr>
      <w:bookmarkStart w:id="87" w:name="_Toc137854332"/>
      <w:r>
        <w:rPr>
          <w:sz w:val="28"/>
        </w:rPr>
        <w:t>附录C</w:t>
      </w:r>
      <w:r>
        <w:rPr>
          <w:rFonts w:hint="eastAsia"/>
          <w:sz w:val="28"/>
        </w:rPr>
        <w:t xml:space="preserve">  参考值的确定</w:t>
      </w:r>
      <w:bookmarkEnd w:id="87"/>
    </w:p>
    <w:p/>
    <w:p>
      <w:pPr>
        <w:snapToGrid w:val="0"/>
        <w:spacing w:line="360" w:lineRule="auto"/>
        <w:jc w:val="center"/>
        <w:rPr>
          <w:rFonts w:eastAsia="黑体"/>
          <w:b/>
          <w:kern w:val="44"/>
          <w:sz w:val="28"/>
        </w:rPr>
      </w:pPr>
    </w:p>
    <w:p>
      <w:pPr>
        <w:snapToGrid w:val="0"/>
        <w:spacing w:line="360" w:lineRule="auto"/>
        <w:jc w:val="center"/>
        <w:rPr>
          <w:sz w:val="32"/>
        </w:rPr>
      </w:pPr>
      <w:r>
        <w:rPr>
          <w:sz w:val="32"/>
        </w:rPr>
        <w:t>参考值的确定</w:t>
      </w:r>
    </w:p>
    <w:p>
      <w:pPr>
        <w:snapToGrid w:val="0"/>
        <w:spacing w:line="360" w:lineRule="auto"/>
        <w:jc w:val="center"/>
        <w:rPr>
          <w:sz w:val="32"/>
        </w:rPr>
      </w:pPr>
    </w:p>
    <w:p>
      <w:pPr>
        <w:pStyle w:val="3"/>
        <w:spacing w:before="0" w:after="93" w:afterLines="30" w:line="360" w:lineRule="auto"/>
        <w:rPr>
          <w:rFonts w:ascii="Times New Roman" w:hAnsi="Times New Roman" w:eastAsia="宋体-18030"/>
          <w:b w:val="0"/>
          <w:sz w:val="24"/>
        </w:rPr>
      </w:pPr>
      <w:bookmarkStart w:id="88" w:name="_Toc137854333"/>
      <w:bookmarkStart w:id="89" w:name="_Toc239495260"/>
      <w:r>
        <w:rPr>
          <w:rFonts w:hint="eastAsia" w:ascii="Times New Roman" w:hAnsi="Times New Roman" w:eastAsia="宋体-18030"/>
          <w:b w:val="0"/>
          <w:sz w:val="24"/>
        </w:rPr>
        <w:t>C</w:t>
      </w:r>
      <w:r>
        <w:rPr>
          <w:rFonts w:ascii="Times New Roman" w:hAnsi="Times New Roman" w:eastAsia="宋体-18030"/>
          <w:b w:val="0"/>
          <w:sz w:val="24"/>
        </w:rPr>
        <w:t>.1</w:t>
      </w:r>
      <w:r>
        <w:rPr>
          <w:rFonts w:hint="eastAsia" w:ascii="Times New Roman" w:hAnsi="Times New Roman" w:eastAsia="宋体-18030"/>
          <w:b w:val="0"/>
          <w:sz w:val="24"/>
        </w:rPr>
        <w:t xml:space="preserve"> </w:t>
      </w:r>
      <w:r>
        <w:rPr>
          <w:rFonts w:ascii="Times New Roman" w:hAnsi="Times New Roman" w:eastAsia="宋体-18030"/>
          <w:b w:val="0"/>
          <w:sz w:val="24"/>
        </w:rPr>
        <w:t>确定参考值的</w:t>
      </w:r>
      <w:r>
        <w:rPr>
          <w:rFonts w:hint="eastAsia" w:ascii="Times New Roman" w:hAnsi="Times New Roman" w:eastAsia="宋体-18030"/>
          <w:b w:val="0"/>
          <w:sz w:val="24"/>
        </w:rPr>
        <w:t>来源</w:t>
      </w:r>
      <w:bookmarkEnd w:id="88"/>
      <w:bookmarkEnd w:id="89"/>
    </w:p>
    <w:p>
      <w:pPr>
        <w:snapToGrid w:val="0"/>
        <w:spacing w:line="360" w:lineRule="auto"/>
        <w:rPr>
          <w:sz w:val="24"/>
        </w:rPr>
      </w:pPr>
      <w:r>
        <w:rPr>
          <w:rFonts w:hint="eastAsia"/>
          <w:sz w:val="24"/>
        </w:rPr>
        <w:t>C</w:t>
      </w:r>
      <w:r>
        <w:rPr>
          <w:sz w:val="24"/>
        </w:rPr>
        <w:t>.1.</w:t>
      </w:r>
      <w:r>
        <w:rPr>
          <w:rFonts w:hint="eastAsia"/>
          <w:sz w:val="24"/>
        </w:rPr>
        <w:t>1</w:t>
      </w:r>
      <w:r>
        <w:rPr>
          <w:sz w:val="24"/>
        </w:rPr>
        <w:t xml:space="preserve"> 以权威</w:t>
      </w:r>
      <w:r>
        <w:rPr>
          <w:rFonts w:hint="eastAsia"/>
          <w:sz w:val="24"/>
        </w:rPr>
        <w:t>实验室的量值作</w:t>
      </w:r>
      <w:r>
        <w:rPr>
          <w:sz w:val="24"/>
        </w:rPr>
        <w:t>为参考值</w:t>
      </w:r>
    </w:p>
    <w:p>
      <w:pPr>
        <w:snapToGrid w:val="0"/>
        <w:spacing w:line="360" w:lineRule="auto"/>
        <w:rPr>
          <w:kern w:val="0"/>
          <w:sz w:val="24"/>
        </w:rPr>
      </w:pPr>
      <w:r>
        <w:rPr>
          <w:sz w:val="24"/>
        </w:rPr>
        <w:t>C.1.</w:t>
      </w:r>
      <w:r>
        <w:rPr>
          <w:rFonts w:hint="eastAsia"/>
          <w:sz w:val="24"/>
        </w:rPr>
        <w:t>1</w:t>
      </w:r>
      <w:r>
        <w:rPr>
          <w:sz w:val="24"/>
        </w:rPr>
        <w:t xml:space="preserve">.1 </w:t>
      </w:r>
      <w:r>
        <w:rPr>
          <w:rFonts w:hint="eastAsia"/>
          <w:sz w:val="24"/>
        </w:rPr>
        <w:t>计量基准或</w:t>
      </w:r>
      <w:r>
        <w:rPr>
          <w:rFonts w:hint="eastAsia"/>
          <w:kern w:val="0"/>
          <w:sz w:val="24"/>
        </w:rPr>
        <w:t>上一级计量标准的量值作为参考值</w:t>
      </w:r>
    </w:p>
    <w:p>
      <w:pPr>
        <w:snapToGrid w:val="0"/>
        <w:spacing w:line="360" w:lineRule="auto"/>
        <w:ind w:firstLine="480" w:firstLineChars="200"/>
        <w:rPr>
          <w:kern w:val="0"/>
          <w:sz w:val="24"/>
        </w:rPr>
      </w:pPr>
      <w:r>
        <w:rPr>
          <w:kern w:val="0"/>
          <w:sz w:val="24"/>
        </w:rPr>
        <w:t>当参比实验室的量值</w:t>
      </w:r>
      <w:r>
        <w:rPr>
          <w:rFonts w:hint="eastAsia"/>
          <w:kern w:val="0"/>
          <w:sz w:val="24"/>
        </w:rPr>
        <w:t>均</w:t>
      </w:r>
      <w:r>
        <w:rPr>
          <w:kern w:val="0"/>
          <w:sz w:val="24"/>
        </w:rPr>
        <w:t>由</w:t>
      </w:r>
      <w:r>
        <w:rPr>
          <w:rFonts w:hint="eastAsia"/>
          <w:kern w:val="0"/>
          <w:sz w:val="24"/>
        </w:rPr>
        <w:t>某一</w:t>
      </w:r>
      <w:r>
        <w:rPr>
          <w:kern w:val="0"/>
          <w:sz w:val="24"/>
        </w:rPr>
        <w:t>实验室的同一量</w:t>
      </w:r>
      <w:r>
        <w:rPr>
          <w:rFonts w:hint="eastAsia"/>
          <w:kern w:val="0"/>
          <w:sz w:val="24"/>
        </w:rPr>
        <w:t>的测量标准</w:t>
      </w:r>
      <w:r>
        <w:rPr>
          <w:kern w:val="0"/>
          <w:sz w:val="24"/>
        </w:rPr>
        <w:t>（直接或间接）传递而来时，应采用</w:t>
      </w:r>
      <w:r>
        <w:rPr>
          <w:rFonts w:hint="eastAsia"/>
          <w:kern w:val="0"/>
          <w:sz w:val="24"/>
        </w:rPr>
        <w:t>该</w:t>
      </w:r>
      <w:r>
        <w:rPr>
          <w:kern w:val="0"/>
          <w:sz w:val="24"/>
        </w:rPr>
        <w:t>实验室的量值作为参考值</w:t>
      </w:r>
      <w:r>
        <w:rPr>
          <w:rFonts w:hint="eastAsia"/>
          <w:kern w:val="0"/>
          <w:sz w:val="24"/>
        </w:rPr>
        <w:t>。该量值的来源通常为国家计量基准或参加比对的测量标准的上级计量标准。</w:t>
      </w:r>
    </w:p>
    <w:p>
      <w:pPr>
        <w:snapToGrid w:val="0"/>
        <w:spacing w:line="360" w:lineRule="auto"/>
        <w:rPr>
          <w:sz w:val="24"/>
        </w:rPr>
      </w:pPr>
      <w:r>
        <w:rPr>
          <w:sz w:val="24"/>
        </w:rPr>
        <w:t>C.1.</w:t>
      </w:r>
      <w:r>
        <w:rPr>
          <w:rFonts w:hint="eastAsia"/>
          <w:sz w:val="24"/>
        </w:rPr>
        <w:t>1</w:t>
      </w:r>
      <w:r>
        <w:rPr>
          <w:sz w:val="24"/>
        </w:rPr>
        <w:t>.</w:t>
      </w:r>
      <w:r>
        <w:rPr>
          <w:rFonts w:hint="eastAsia"/>
          <w:sz w:val="24"/>
        </w:rPr>
        <w:t>2</w:t>
      </w:r>
      <w:r>
        <w:rPr>
          <w:sz w:val="24"/>
        </w:rPr>
        <w:t xml:space="preserve"> 以更高水平实验室的量值</w:t>
      </w:r>
      <w:r>
        <w:rPr>
          <w:rFonts w:hint="eastAsia"/>
          <w:sz w:val="24"/>
        </w:rPr>
        <w:t>作</w:t>
      </w:r>
      <w:r>
        <w:rPr>
          <w:sz w:val="24"/>
        </w:rPr>
        <w:t>为参考值</w:t>
      </w:r>
    </w:p>
    <w:p>
      <w:pPr>
        <w:snapToGrid w:val="0"/>
        <w:spacing w:line="360" w:lineRule="auto"/>
        <w:ind w:firstLine="420"/>
        <w:rPr>
          <w:sz w:val="24"/>
        </w:rPr>
      </w:pPr>
      <w:r>
        <w:rPr>
          <w:sz w:val="24"/>
        </w:rPr>
        <w:t>当可获得公认的更高水平实验室的量值时，可</w:t>
      </w:r>
      <w:r>
        <w:rPr>
          <w:rFonts w:hint="eastAsia"/>
          <w:sz w:val="24"/>
        </w:rPr>
        <w:t>寻求</w:t>
      </w:r>
      <w:r>
        <w:rPr>
          <w:sz w:val="24"/>
        </w:rPr>
        <w:t>采用该实验室的量值为比对参考值</w:t>
      </w:r>
      <w:r>
        <w:rPr>
          <w:rFonts w:hint="eastAsia"/>
          <w:sz w:val="24"/>
        </w:rPr>
        <w:t>的途径</w:t>
      </w:r>
      <w:r>
        <w:rPr>
          <w:sz w:val="24"/>
        </w:rPr>
        <w:t>。</w:t>
      </w:r>
    </w:p>
    <w:p>
      <w:pPr>
        <w:snapToGrid w:val="0"/>
        <w:spacing w:line="360" w:lineRule="auto"/>
        <w:rPr>
          <w:kern w:val="0"/>
          <w:sz w:val="24"/>
        </w:rPr>
      </w:pPr>
      <w:r>
        <w:rPr>
          <w:sz w:val="24"/>
        </w:rPr>
        <w:t>C.1.</w:t>
      </w:r>
      <w:r>
        <w:rPr>
          <w:rFonts w:hint="eastAsia"/>
          <w:sz w:val="24"/>
        </w:rPr>
        <w:t>1</w:t>
      </w:r>
      <w:r>
        <w:rPr>
          <w:sz w:val="24"/>
        </w:rPr>
        <w:t>.</w:t>
      </w:r>
      <w:r>
        <w:rPr>
          <w:rFonts w:hint="eastAsia"/>
          <w:sz w:val="24"/>
        </w:rPr>
        <w:t>3  以具有不确定度优势实验室的量值作为参考值</w:t>
      </w:r>
    </w:p>
    <w:p>
      <w:pPr>
        <w:snapToGrid w:val="0"/>
        <w:spacing w:line="360" w:lineRule="auto"/>
        <w:ind w:firstLine="420"/>
        <w:rPr>
          <w:kern w:val="0"/>
          <w:sz w:val="24"/>
        </w:rPr>
      </w:pPr>
      <w:r>
        <w:rPr>
          <w:kern w:val="0"/>
          <w:sz w:val="24"/>
        </w:rPr>
        <w:t>当</w:t>
      </w:r>
      <w:r>
        <w:rPr>
          <w:rFonts w:hint="eastAsia"/>
          <w:kern w:val="0"/>
          <w:sz w:val="24"/>
        </w:rPr>
        <w:t>某一</w:t>
      </w:r>
      <w:r>
        <w:rPr>
          <w:kern w:val="0"/>
          <w:sz w:val="24"/>
        </w:rPr>
        <w:t>实验室的量值具有</w:t>
      </w:r>
      <w:r>
        <w:rPr>
          <w:rFonts w:hint="eastAsia"/>
          <w:kern w:val="0"/>
          <w:sz w:val="24"/>
        </w:rPr>
        <w:t>显著</w:t>
      </w:r>
      <w:r>
        <w:rPr>
          <w:kern w:val="0"/>
          <w:sz w:val="24"/>
        </w:rPr>
        <w:t>测量不确定度优势</w:t>
      </w:r>
      <w:r>
        <w:rPr>
          <w:rFonts w:hint="eastAsia"/>
          <w:kern w:val="0"/>
          <w:sz w:val="24"/>
        </w:rPr>
        <w:t>，且该测量能力有已发布的</w:t>
      </w:r>
      <w:r>
        <w:rPr>
          <w:kern w:val="0"/>
          <w:sz w:val="24"/>
        </w:rPr>
        <w:t>国际比对结果支持</w:t>
      </w:r>
      <w:r>
        <w:rPr>
          <w:rFonts w:hint="eastAsia"/>
          <w:kern w:val="0"/>
          <w:sz w:val="24"/>
        </w:rPr>
        <w:t>，或其不确定度评定经与更高计量标准或国家基准比对确认</w:t>
      </w:r>
      <w:r>
        <w:rPr>
          <w:kern w:val="0"/>
          <w:sz w:val="24"/>
        </w:rPr>
        <w:t>，</w:t>
      </w:r>
      <w:r>
        <w:rPr>
          <w:rFonts w:hint="eastAsia"/>
          <w:kern w:val="0"/>
          <w:sz w:val="24"/>
        </w:rPr>
        <w:t>可</w:t>
      </w:r>
      <w:r>
        <w:rPr>
          <w:kern w:val="0"/>
          <w:sz w:val="24"/>
        </w:rPr>
        <w:t>采用</w:t>
      </w:r>
      <w:r>
        <w:rPr>
          <w:rFonts w:hint="eastAsia"/>
          <w:kern w:val="0"/>
          <w:sz w:val="24"/>
        </w:rPr>
        <w:t>该</w:t>
      </w:r>
      <w:r>
        <w:rPr>
          <w:kern w:val="0"/>
          <w:sz w:val="24"/>
        </w:rPr>
        <w:t>实验室的量值作为参考值</w:t>
      </w:r>
      <w:r>
        <w:rPr>
          <w:rFonts w:hint="eastAsia"/>
          <w:kern w:val="0"/>
          <w:sz w:val="24"/>
        </w:rPr>
        <w:t>。</w:t>
      </w:r>
    </w:p>
    <w:p>
      <w:pPr>
        <w:snapToGrid w:val="0"/>
        <w:spacing w:line="360" w:lineRule="auto"/>
        <w:rPr>
          <w:sz w:val="24"/>
        </w:rPr>
      </w:pPr>
      <w:r>
        <w:rPr>
          <w:sz w:val="24"/>
        </w:rPr>
        <w:t>C.1.</w:t>
      </w:r>
      <w:r>
        <w:rPr>
          <w:rFonts w:hint="eastAsia"/>
          <w:sz w:val="24"/>
        </w:rPr>
        <w:t>2</w:t>
      </w:r>
      <w:r>
        <w:rPr>
          <w:sz w:val="24"/>
        </w:rPr>
        <w:t xml:space="preserve"> 由多个参比实验室的量值得到参考值</w:t>
      </w:r>
    </w:p>
    <w:p>
      <w:pPr>
        <w:snapToGrid w:val="0"/>
        <w:spacing w:line="360" w:lineRule="auto"/>
        <w:rPr>
          <w:sz w:val="24"/>
        </w:rPr>
      </w:pPr>
      <w:r>
        <w:rPr>
          <w:rFonts w:hint="eastAsia"/>
          <w:sz w:val="24"/>
        </w:rPr>
        <w:t>C</w:t>
      </w:r>
      <w:r>
        <w:rPr>
          <w:sz w:val="24"/>
        </w:rPr>
        <w:t>.1.</w:t>
      </w:r>
      <w:r>
        <w:rPr>
          <w:rFonts w:hint="eastAsia"/>
          <w:sz w:val="24"/>
        </w:rPr>
        <w:t>2</w:t>
      </w:r>
      <w:r>
        <w:rPr>
          <w:sz w:val="24"/>
        </w:rPr>
        <w:t xml:space="preserve">.1 </w:t>
      </w:r>
      <w:r>
        <w:rPr>
          <w:rFonts w:hint="eastAsia"/>
          <w:sz w:val="24"/>
        </w:rPr>
        <w:t>当C</w:t>
      </w:r>
      <w:r>
        <w:rPr>
          <w:sz w:val="24"/>
        </w:rPr>
        <w:t>.1.1</w:t>
      </w:r>
      <w:r>
        <w:rPr>
          <w:rFonts w:hint="eastAsia"/>
          <w:sz w:val="24"/>
        </w:rPr>
        <w:t>款所述情况不适用或理由不充分时，可采用本款所述方法。</w:t>
      </w:r>
    </w:p>
    <w:p>
      <w:pPr>
        <w:snapToGrid w:val="0"/>
        <w:spacing w:line="360" w:lineRule="auto"/>
        <w:rPr>
          <w:sz w:val="24"/>
        </w:rPr>
      </w:pPr>
      <w:r>
        <w:rPr>
          <w:sz w:val="24"/>
        </w:rPr>
        <w:t>C.1.</w:t>
      </w:r>
      <w:r>
        <w:rPr>
          <w:rFonts w:hint="eastAsia"/>
          <w:sz w:val="24"/>
        </w:rPr>
        <w:t>2</w:t>
      </w:r>
      <w:r>
        <w:rPr>
          <w:sz w:val="24"/>
        </w:rPr>
        <w:t>.</w:t>
      </w:r>
      <w:r>
        <w:rPr>
          <w:rFonts w:hint="eastAsia"/>
          <w:sz w:val="24"/>
        </w:rPr>
        <w:t>2</w:t>
      </w:r>
      <w:r>
        <w:rPr>
          <w:sz w:val="24"/>
        </w:rPr>
        <w:t xml:space="preserve"> 当参比实验室中有多个</w:t>
      </w:r>
      <w:r>
        <w:rPr>
          <w:rFonts w:hint="eastAsia"/>
          <w:sz w:val="24"/>
        </w:rPr>
        <w:t>独立</w:t>
      </w:r>
      <w:r>
        <w:rPr>
          <w:sz w:val="24"/>
        </w:rPr>
        <w:t>复现</w:t>
      </w:r>
      <w:r>
        <w:rPr>
          <w:rFonts w:hint="eastAsia"/>
          <w:sz w:val="24"/>
        </w:rPr>
        <w:t>比对</w:t>
      </w:r>
      <w:r>
        <w:rPr>
          <w:sz w:val="24"/>
        </w:rPr>
        <w:t>量值实验室时，推荐采用这些实验室量值确定参考值。</w:t>
      </w:r>
    </w:p>
    <w:p>
      <w:pPr>
        <w:snapToGrid w:val="0"/>
        <w:spacing w:line="360" w:lineRule="auto"/>
        <w:rPr>
          <w:sz w:val="24"/>
        </w:rPr>
      </w:pPr>
      <w:r>
        <w:rPr>
          <w:sz w:val="24"/>
        </w:rPr>
        <w:t>C.1.</w:t>
      </w:r>
      <w:r>
        <w:rPr>
          <w:rFonts w:hint="eastAsia"/>
          <w:sz w:val="24"/>
        </w:rPr>
        <w:t>2</w:t>
      </w:r>
      <w:r>
        <w:rPr>
          <w:sz w:val="24"/>
        </w:rPr>
        <w:t>.</w:t>
      </w:r>
      <w:r>
        <w:rPr>
          <w:rFonts w:hint="eastAsia"/>
          <w:sz w:val="24"/>
        </w:rPr>
        <w:t>3</w:t>
      </w:r>
      <w:r>
        <w:rPr>
          <w:sz w:val="24"/>
        </w:rPr>
        <w:t xml:space="preserve"> 当参比实验室</w:t>
      </w:r>
      <w:r>
        <w:rPr>
          <w:rFonts w:hint="eastAsia"/>
          <w:sz w:val="24"/>
        </w:rPr>
        <w:t>标准装置等级不同时，可采用高等级标准装置的量值确定参考值。</w:t>
      </w:r>
    </w:p>
    <w:p>
      <w:pPr>
        <w:snapToGrid w:val="0"/>
        <w:spacing w:line="360" w:lineRule="auto"/>
        <w:rPr>
          <w:sz w:val="24"/>
        </w:rPr>
      </w:pPr>
      <w:r>
        <w:rPr>
          <w:sz w:val="24"/>
        </w:rPr>
        <w:t>C.1.</w:t>
      </w:r>
      <w:r>
        <w:rPr>
          <w:rFonts w:hint="eastAsia"/>
          <w:sz w:val="24"/>
        </w:rPr>
        <w:t>2.4需充分考虑各实验室量值间的相关性，避免一组量值相关实验室量值的权被高估并进而导致参考值不确定度数值被低估（的情况发生）。</w:t>
      </w:r>
    </w:p>
    <w:p>
      <w:pPr>
        <w:snapToGrid w:val="0"/>
        <w:spacing w:line="360" w:lineRule="auto"/>
        <w:rPr>
          <w:sz w:val="24"/>
        </w:rPr>
      </w:pPr>
      <w:r>
        <w:rPr>
          <w:sz w:val="24"/>
        </w:rPr>
        <w:t>C.1.</w:t>
      </w:r>
      <w:r>
        <w:rPr>
          <w:rFonts w:hint="eastAsia"/>
          <w:sz w:val="24"/>
        </w:rPr>
        <w:t>2</w:t>
      </w:r>
      <w:r>
        <w:rPr>
          <w:sz w:val="24"/>
        </w:rPr>
        <w:t>.</w:t>
      </w:r>
      <w:r>
        <w:rPr>
          <w:rFonts w:hint="eastAsia"/>
          <w:sz w:val="24"/>
        </w:rPr>
        <w:t>5</w:t>
      </w:r>
      <w:r>
        <w:rPr>
          <w:sz w:val="24"/>
        </w:rPr>
        <w:t xml:space="preserve"> 参比实验室的量值复现和溯源情况难以明确评价时，可采用部分或全部参比实验室的量值确定参考值。</w:t>
      </w:r>
    </w:p>
    <w:p>
      <w:pPr>
        <w:snapToGrid w:val="0"/>
        <w:spacing w:line="360" w:lineRule="auto"/>
        <w:rPr>
          <w:sz w:val="24"/>
        </w:rPr>
      </w:pPr>
      <w:r>
        <w:rPr>
          <w:sz w:val="24"/>
        </w:rPr>
        <w:t>C.1.</w:t>
      </w:r>
      <w:r>
        <w:rPr>
          <w:rFonts w:hint="eastAsia"/>
          <w:sz w:val="24"/>
        </w:rPr>
        <w:t>3</w:t>
      </w:r>
      <w:r>
        <w:rPr>
          <w:sz w:val="24"/>
        </w:rPr>
        <w:t xml:space="preserve"> </w:t>
      </w:r>
      <w:r>
        <w:rPr>
          <w:rFonts w:hint="eastAsia"/>
          <w:sz w:val="24"/>
        </w:rPr>
        <w:t>比对中更为复杂的</w:t>
      </w:r>
      <w:r>
        <w:rPr>
          <w:sz w:val="24"/>
        </w:rPr>
        <w:t>情</w:t>
      </w:r>
      <w:r>
        <w:rPr>
          <w:rFonts w:hint="eastAsia"/>
          <w:sz w:val="24"/>
        </w:rPr>
        <w:t>况</w:t>
      </w:r>
      <w:r>
        <w:rPr>
          <w:sz w:val="24"/>
        </w:rPr>
        <w:t>可参照</w:t>
      </w:r>
      <w:r>
        <w:rPr>
          <w:rFonts w:hint="eastAsia"/>
          <w:sz w:val="24"/>
        </w:rPr>
        <w:t>上</w:t>
      </w:r>
      <w:r>
        <w:rPr>
          <w:sz w:val="24"/>
        </w:rPr>
        <w:t>述原则处理。</w:t>
      </w:r>
    </w:p>
    <w:p>
      <w:pPr>
        <w:pStyle w:val="3"/>
        <w:spacing w:before="0" w:after="93" w:afterLines="30" w:line="360" w:lineRule="auto"/>
        <w:rPr>
          <w:rFonts w:ascii="Times New Roman" w:hAnsi="Times New Roman" w:eastAsia="宋体-18030"/>
          <w:b w:val="0"/>
          <w:sz w:val="24"/>
        </w:rPr>
      </w:pPr>
      <w:bookmarkStart w:id="90" w:name="_Toc137854334"/>
      <w:bookmarkStart w:id="91" w:name="_Toc239495261"/>
      <w:r>
        <w:rPr>
          <w:rFonts w:ascii="Times New Roman" w:hAnsi="Times New Roman" w:eastAsia="宋体-18030"/>
          <w:b w:val="0"/>
          <w:sz w:val="24"/>
        </w:rPr>
        <w:t xml:space="preserve">C.2 </w:t>
      </w:r>
      <w:r>
        <w:rPr>
          <w:rFonts w:hint="eastAsia" w:ascii="Times New Roman" w:hAnsi="Times New Roman" w:eastAsia="宋体-18030"/>
          <w:b w:val="0"/>
          <w:sz w:val="24"/>
        </w:rPr>
        <w:t>由多个实验室量值得到</w:t>
      </w:r>
      <w:r>
        <w:rPr>
          <w:rFonts w:ascii="Times New Roman" w:hAnsi="Times New Roman" w:eastAsia="宋体-18030"/>
          <w:b w:val="0"/>
          <w:sz w:val="24"/>
        </w:rPr>
        <w:t>参考值</w:t>
      </w:r>
      <w:r>
        <w:rPr>
          <w:rFonts w:hint="eastAsia" w:ascii="Times New Roman" w:hAnsi="Times New Roman" w:eastAsia="宋体-18030"/>
          <w:b w:val="0"/>
          <w:sz w:val="24"/>
        </w:rPr>
        <w:t>的</w:t>
      </w:r>
      <w:r>
        <w:rPr>
          <w:rFonts w:ascii="Times New Roman" w:hAnsi="Times New Roman" w:eastAsia="宋体-18030"/>
          <w:b w:val="0"/>
          <w:sz w:val="24"/>
        </w:rPr>
        <w:t>常用</w:t>
      </w:r>
      <w:r>
        <w:rPr>
          <w:rFonts w:hint="eastAsia" w:ascii="Times New Roman" w:hAnsi="Times New Roman" w:eastAsia="宋体-18030"/>
          <w:b w:val="0"/>
          <w:sz w:val="24"/>
        </w:rPr>
        <w:t>估</w:t>
      </w:r>
      <w:r>
        <w:rPr>
          <w:rFonts w:ascii="Times New Roman" w:hAnsi="Times New Roman" w:eastAsia="宋体-18030"/>
          <w:b w:val="0"/>
          <w:sz w:val="24"/>
        </w:rPr>
        <w:t>算方法</w:t>
      </w:r>
      <w:bookmarkEnd w:id="90"/>
      <w:bookmarkEnd w:id="91"/>
    </w:p>
    <w:p>
      <w:pPr>
        <w:spacing w:line="360" w:lineRule="auto"/>
        <w:rPr>
          <w:sz w:val="24"/>
          <w:szCs w:val="24"/>
        </w:rPr>
      </w:pPr>
      <w:r>
        <w:rPr>
          <w:sz w:val="24"/>
          <w:szCs w:val="24"/>
        </w:rPr>
        <w:t>C</w:t>
      </w:r>
      <w:r>
        <w:rPr>
          <w:rFonts w:hint="eastAsia"/>
          <w:sz w:val="24"/>
          <w:szCs w:val="24"/>
        </w:rPr>
        <w:t>.2.1</w:t>
      </w:r>
      <w:r>
        <w:rPr>
          <w:sz w:val="24"/>
          <w:szCs w:val="24"/>
        </w:rPr>
        <w:t xml:space="preserve"> </w:t>
      </w:r>
      <w:r>
        <w:rPr>
          <w:rFonts w:hint="eastAsia"/>
          <w:sz w:val="24"/>
          <w:szCs w:val="24"/>
        </w:rPr>
        <w:t>算法选择</w:t>
      </w:r>
    </w:p>
    <w:p>
      <w:pPr>
        <w:spacing w:line="360" w:lineRule="auto"/>
        <w:ind w:firstLine="480" w:firstLineChars="200"/>
        <w:rPr>
          <w:sz w:val="24"/>
          <w:szCs w:val="24"/>
        </w:rPr>
      </w:pPr>
      <w:r>
        <w:rPr>
          <w:sz w:val="24"/>
          <w:szCs w:val="24"/>
        </w:rPr>
        <w:t>由多个</w:t>
      </w:r>
      <w:r>
        <w:rPr>
          <w:rFonts w:hint="eastAsia"/>
          <w:sz w:val="24"/>
          <w:szCs w:val="24"/>
        </w:rPr>
        <w:t>参比</w:t>
      </w:r>
      <w:r>
        <w:rPr>
          <w:sz w:val="24"/>
          <w:szCs w:val="24"/>
        </w:rPr>
        <w:t>实验室</w:t>
      </w:r>
      <w:r>
        <w:rPr>
          <w:rFonts w:hint="eastAsia"/>
          <w:sz w:val="24"/>
          <w:szCs w:val="24"/>
        </w:rPr>
        <w:t>的</w:t>
      </w:r>
      <w:r>
        <w:rPr>
          <w:sz w:val="24"/>
          <w:szCs w:val="24"/>
        </w:rPr>
        <w:t>量值得到参考值时，非独立量值不应参与参考值的计算。如果某些参比实验室</w:t>
      </w:r>
      <w:r>
        <w:rPr>
          <w:rFonts w:hint="eastAsia"/>
          <w:sz w:val="24"/>
          <w:szCs w:val="24"/>
        </w:rPr>
        <w:t>的参比量</w:t>
      </w:r>
      <w:r>
        <w:rPr>
          <w:sz w:val="24"/>
          <w:szCs w:val="24"/>
        </w:rPr>
        <w:t>溯源到</w:t>
      </w:r>
      <w:r>
        <w:rPr>
          <w:rFonts w:hint="eastAsia"/>
          <w:sz w:val="24"/>
          <w:szCs w:val="24"/>
        </w:rPr>
        <w:t>其它</w:t>
      </w:r>
      <w:r>
        <w:rPr>
          <w:sz w:val="24"/>
          <w:szCs w:val="24"/>
        </w:rPr>
        <w:t>参比实验室，则这些参比实验室的量值不应参与参考值的计算。</w:t>
      </w:r>
    </w:p>
    <w:p>
      <w:pPr>
        <w:spacing w:line="360" w:lineRule="auto"/>
        <w:ind w:firstLine="420"/>
        <w:rPr>
          <w:bCs/>
          <w:sz w:val="24"/>
          <w:szCs w:val="24"/>
        </w:rPr>
      </w:pPr>
      <w:r>
        <w:rPr>
          <w:bCs/>
          <w:sz w:val="24"/>
          <w:szCs w:val="24"/>
        </w:rPr>
        <w:t>参考值常用</w:t>
      </w:r>
      <w:r>
        <w:rPr>
          <w:rFonts w:hint="eastAsia"/>
          <w:bCs/>
          <w:sz w:val="24"/>
          <w:szCs w:val="24"/>
        </w:rPr>
        <w:t>估计</w:t>
      </w:r>
      <w:r>
        <w:rPr>
          <w:bCs/>
          <w:sz w:val="24"/>
          <w:szCs w:val="24"/>
        </w:rPr>
        <w:t>方法</w:t>
      </w:r>
      <w:r>
        <w:rPr>
          <w:rFonts w:hint="eastAsia"/>
          <w:bCs/>
          <w:sz w:val="24"/>
          <w:szCs w:val="24"/>
        </w:rPr>
        <w:t>主要</w:t>
      </w:r>
      <w:r>
        <w:rPr>
          <w:bCs/>
          <w:sz w:val="24"/>
          <w:szCs w:val="24"/>
        </w:rPr>
        <w:t>有加权平均、算术平均</w:t>
      </w:r>
      <w:r>
        <w:rPr>
          <w:rFonts w:hint="eastAsia"/>
          <w:bCs/>
          <w:sz w:val="24"/>
          <w:szCs w:val="24"/>
        </w:rPr>
        <w:t>，部分特殊情况也可使用</w:t>
      </w:r>
      <w:r>
        <w:rPr>
          <w:bCs/>
          <w:sz w:val="24"/>
          <w:szCs w:val="24"/>
        </w:rPr>
        <w:t>中位值法。</w:t>
      </w:r>
    </w:p>
    <w:p>
      <w:pPr>
        <w:spacing w:line="360" w:lineRule="auto"/>
        <w:ind w:firstLine="420"/>
        <w:rPr>
          <w:bCs/>
          <w:sz w:val="24"/>
          <w:szCs w:val="24"/>
        </w:rPr>
      </w:pPr>
      <w:r>
        <w:rPr>
          <w:rFonts w:hint="eastAsia"/>
          <w:bCs/>
          <w:sz w:val="24"/>
          <w:szCs w:val="24"/>
        </w:rPr>
        <w:t>当参比实验室量值的不确定度差异较大，各自不确定度评定合理，经相容性核验证明所有或部分参比实验室结果具备相容性时，可采用基于不确定度的加权平均方法。</w:t>
      </w:r>
    </w:p>
    <w:p>
      <w:pPr>
        <w:spacing w:line="360" w:lineRule="auto"/>
        <w:ind w:firstLine="420"/>
        <w:rPr>
          <w:bCs/>
          <w:sz w:val="24"/>
          <w:szCs w:val="24"/>
        </w:rPr>
      </w:pPr>
      <w:r>
        <w:rPr>
          <w:rFonts w:hint="eastAsia"/>
          <w:bCs/>
          <w:sz w:val="24"/>
          <w:szCs w:val="24"/>
        </w:rPr>
        <w:t>当参比实验室量值的不确定度相同或相近，各自不确定度评定合理，经相容性核验证明所有或部分参比实验室结果具备相容性时，可采用</w:t>
      </w:r>
      <w:r>
        <w:rPr>
          <w:bCs/>
          <w:sz w:val="24"/>
          <w:szCs w:val="24"/>
        </w:rPr>
        <w:t>算术</w:t>
      </w:r>
      <w:r>
        <w:rPr>
          <w:rFonts w:hint="eastAsia"/>
          <w:bCs/>
          <w:sz w:val="24"/>
          <w:szCs w:val="24"/>
        </w:rPr>
        <w:t>平均方法。</w:t>
      </w:r>
    </w:p>
    <w:p>
      <w:pPr>
        <w:spacing w:line="360" w:lineRule="auto"/>
        <w:ind w:firstLine="420"/>
        <w:rPr>
          <w:bCs/>
          <w:sz w:val="24"/>
          <w:szCs w:val="24"/>
        </w:rPr>
      </w:pPr>
      <w:r>
        <w:rPr>
          <w:rFonts w:hint="eastAsia"/>
          <w:bCs/>
          <w:sz w:val="24"/>
          <w:szCs w:val="24"/>
        </w:rPr>
        <w:t>当参比实验室量值间的分散性相对于测量不确定度过大，无法合理采用加权平均或</w:t>
      </w:r>
      <w:r>
        <w:rPr>
          <w:bCs/>
          <w:sz w:val="24"/>
          <w:szCs w:val="24"/>
        </w:rPr>
        <w:t>算术</w:t>
      </w:r>
      <w:r>
        <w:rPr>
          <w:rFonts w:hint="eastAsia"/>
          <w:bCs/>
          <w:sz w:val="24"/>
          <w:szCs w:val="24"/>
        </w:rPr>
        <w:t>平均时，可采用中位值方法。但此时，参考值的不确定度是基于参比实验室量值间分散性的统计学不确定度，因而参考值的不确定度不体现测量的溯源性，并影响相关比对结果的溯源性。在量值具强调溯源性的计量比对，除非参比实验室量值间的分散性远远大于各自溯源引入的不确定度，一般不推荐采用中位值法。</w:t>
      </w:r>
    </w:p>
    <w:p>
      <w:pPr>
        <w:spacing w:line="360" w:lineRule="auto"/>
        <w:ind w:firstLine="420"/>
        <w:rPr>
          <w:sz w:val="24"/>
          <w:szCs w:val="24"/>
        </w:rPr>
      </w:pPr>
      <w:r>
        <w:rPr>
          <w:rFonts w:hint="eastAsia"/>
          <w:bCs/>
          <w:sz w:val="24"/>
          <w:szCs w:val="24"/>
        </w:rPr>
        <w:t>以上为对每个比对点逐点计算参考值的方法。对于参比实验室测量范围不同和无法采用统一比对点的情况，可参见附录E给出的根据全部比对点确定参考值函数的方法。</w:t>
      </w:r>
    </w:p>
    <w:p>
      <w:pPr>
        <w:widowControl/>
        <w:jc w:val="left"/>
        <w:rPr>
          <w:b/>
          <w:bCs/>
        </w:rPr>
        <w:sectPr>
          <w:headerReference r:id="rId4" w:type="default"/>
          <w:pgSz w:w="11906" w:h="16838"/>
          <w:pgMar w:top="1440" w:right="1616" w:bottom="1440" w:left="1797" w:header="851" w:footer="992" w:gutter="0"/>
          <w:cols w:space="720" w:num="1"/>
          <w:docGrid w:type="lines" w:linePitch="312" w:charSpace="0"/>
        </w:sectPr>
      </w:pPr>
    </w:p>
    <w:bookmarkEnd w:id="86"/>
    <w:p>
      <w:pPr>
        <w:spacing w:line="360" w:lineRule="auto"/>
        <w:rPr>
          <w:kern w:val="0"/>
          <w:sz w:val="24"/>
        </w:rPr>
      </w:pPr>
      <w:r>
        <w:rPr>
          <w:rFonts w:hint="eastAsia"/>
          <w:kern w:val="0"/>
          <w:sz w:val="24"/>
        </w:rPr>
        <w:t>C</w:t>
      </w:r>
      <w:r>
        <w:rPr>
          <w:kern w:val="0"/>
          <w:sz w:val="24"/>
        </w:rPr>
        <w:t xml:space="preserve">.2.2 </w:t>
      </w:r>
      <w:r>
        <w:rPr>
          <w:sz w:val="24"/>
          <w:szCs w:val="24"/>
        </w:rPr>
        <w:t>加权平均</w:t>
      </w:r>
      <w:r>
        <w:rPr>
          <w:kern w:val="0"/>
          <w:sz w:val="24"/>
        </w:rPr>
        <w:t>法</w:t>
      </w:r>
    </w:p>
    <w:p>
      <w:pPr>
        <w:spacing w:line="360" w:lineRule="auto"/>
        <w:rPr>
          <w:sz w:val="24"/>
          <w:szCs w:val="24"/>
        </w:rPr>
      </w:pPr>
      <w:bookmarkStart w:id="92" w:name="_Hlk116505333"/>
      <w:r>
        <w:rPr>
          <w:rFonts w:hint="eastAsia"/>
          <w:sz w:val="24"/>
          <w:szCs w:val="24"/>
        </w:rPr>
        <w:t>C</w:t>
      </w:r>
      <w:r>
        <w:rPr>
          <w:sz w:val="24"/>
          <w:szCs w:val="24"/>
        </w:rPr>
        <w:t xml:space="preserve">.2.2.1 </w:t>
      </w:r>
      <w:r>
        <w:rPr>
          <w:rFonts w:hint="eastAsia"/>
          <w:sz w:val="24"/>
          <w:szCs w:val="24"/>
        </w:rPr>
        <w:t>加权平均法是比对参考值最常用估计方法。在一般情况下，加权平均法被认为是参考值的最优线性估计方法。</w:t>
      </w:r>
    </w:p>
    <w:bookmarkEnd w:id="92"/>
    <w:p>
      <w:pPr>
        <w:spacing w:line="360" w:lineRule="auto"/>
        <w:rPr>
          <w:color w:val="000000"/>
          <w:sz w:val="24"/>
          <w:szCs w:val="24"/>
        </w:rPr>
      </w:pPr>
      <w:r>
        <w:rPr>
          <w:rFonts w:hint="eastAsia"/>
          <w:color w:val="000000"/>
          <w:sz w:val="24"/>
          <w:szCs w:val="24"/>
        </w:rPr>
        <w:t>C</w:t>
      </w:r>
      <w:r>
        <w:rPr>
          <w:color w:val="000000"/>
          <w:sz w:val="24"/>
          <w:szCs w:val="24"/>
        </w:rPr>
        <w:t xml:space="preserve">.2.2.2 </w:t>
      </w:r>
      <w:r>
        <w:rPr>
          <w:rFonts w:hint="eastAsia"/>
          <w:color w:val="000000"/>
          <w:sz w:val="24"/>
          <w:szCs w:val="24"/>
        </w:rPr>
        <w:t>加权平均值模型</w:t>
      </w:r>
    </w:p>
    <w:p>
      <w:pPr>
        <w:spacing w:line="360" w:lineRule="auto"/>
        <w:ind w:firstLine="480"/>
        <w:rPr>
          <w:color w:val="000000"/>
          <w:sz w:val="24"/>
          <w:szCs w:val="24"/>
        </w:rPr>
      </w:pPr>
      <w:r>
        <w:rPr>
          <w:color w:val="000000"/>
          <w:sz w:val="24"/>
          <w:szCs w:val="24"/>
        </w:rPr>
        <w:t>假设</w:t>
      </w:r>
      <w:r>
        <w:rPr>
          <w:rFonts w:hint="eastAsia"/>
          <w:color w:val="000000"/>
          <w:sz w:val="24"/>
          <w:szCs w:val="24"/>
        </w:rPr>
        <w:t>比对中</w:t>
      </w:r>
      <w:r>
        <w:rPr>
          <w:color w:val="000000"/>
          <w:sz w:val="24"/>
          <w:szCs w:val="24"/>
        </w:rPr>
        <w:t>有</w:t>
      </w:r>
      <w:r>
        <w:rPr>
          <w:i/>
          <w:iCs/>
          <w:color w:val="000000"/>
          <w:sz w:val="24"/>
          <w:szCs w:val="24"/>
        </w:rPr>
        <w:t>n</w:t>
      </w:r>
      <w:r>
        <w:rPr>
          <w:color w:val="000000"/>
          <w:sz w:val="24"/>
          <w:szCs w:val="24"/>
        </w:rPr>
        <w:t>个相互独立的实验室</w:t>
      </w:r>
      <w:r>
        <w:rPr>
          <w:rFonts w:hint="eastAsia"/>
          <w:color w:val="000000"/>
          <w:sz w:val="24"/>
          <w:szCs w:val="24"/>
        </w:rPr>
        <w:t>量值</w:t>
      </w:r>
      <w:r>
        <w:rPr>
          <w:color w:val="000000"/>
          <w:sz w:val="24"/>
          <w:szCs w:val="24"/>
        </w:rPr>
        <w:t>参与参考值</w:t>
      </w:r>
      <w:r>
        <w:rPr>
          <w:rFonts w:hint="eastAsia"/>
          <w:color w:val="000000"/>
          <w:sz w:val="24"/>
          <w:szCs w:val="24"/>
        </w:rPr>
        <w:t>的确定</w:t>
      </w:r>
      <w:r>
        <w:rPr>
          <w:color w:val="000000"/>
          <w:sz w:val="24"/>
          <w:szCs w:val="24"/>
        </w:rPr>
        <w:t>，第</w:t>
      </w:r>
      <w:r>
        <w:rPr>
          <w:i/>
          <w:iCs/>
          <w:color w:val="000000"/>
          <w:sz w:val="24"/>
          <w:szCs w:val="24"/>
        </w:rPr>
        <w:t>i</w:t>
      </w:r>
      <w:r>
        <w:rPr>
          <w:color w:val="000000"/>
          <w:sz w:val="24"/>
          <w:szCs w:val="24"/>
        </w:rPr>
        <w:t>个</w:t>
      </w:r>
      <w:r>
        <w:rPr>
          <w:rFonts w:hint="eastAsia"/>
          <w:color w:val="000000"/>
          <w:sz w:val="24"/>
          <w:szCs w:val="24"/>
        </w:rPr>
        <w:t>参比</w:t>
      </w:r>
      <w:r>
        <w:rPr>
          <w:color w:val="000000"/>
          <w:sz w:val="24"/>
          <w:szCs w:val="24"/>
        </w:rPr>
        <w:t>实验室的</w:t>
      </w:r>
      <w:r>
        <w:rPr>
          <w:rFonts w:hint="eastAsia"/>
          <w:color w:val="000000"/>
          <w:sz w:val="24"/>
          <w:szCs w:val="24"/>
        </w:rPr>
        <w:t>比对结果</w:t>
      </w:r>
      <m:oMath>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oMath>
      <w:r>
        <w:rPr>
          <w:rStyle w:val="45"/>
          <w:rFonts w:hint="eastAsia"/>
          <w:color w:val="000000"/>
          <w:sz w:val="24"/>
          <w:szCs w:val="24"/>
        </w:rPr>
        <w:t>的</w:t>
      </w:r>
      <w:r>
        <w:rPr>
          <w:color w:val="000000"/>
          <w:sz w:val="24"/>
          <w:szCs w:val="24"/>
        </w:rPr>
        <w:t>标准不确定度为</w:t>
      </w:r>
      <m:oMath>
        <m:sSub>
          <m:sSubPr>
            <m:ctrlPr>
              <w:rPr>
                <w:rFonts w:ascii="Cambria Math" w:hAnsi="Cambria Math"/>
                <w:i/>
                <w:color w:val="000000"/>
                <w:sz w:val="24"/>
                <w:szCs w:val="24"/>
              </w:rPr>
            </m:ctrlPr>
          </m:sSubPr>
          <m:e>
            <m:r>
              <m:rPr/>
              <w:rPr>
                <w:rFonts w:ascii="Cambria Math" w:hAnsi="Cambria Math"/>
                <w:color w:val="000000"/>
                <w:sz w:val="24"/>
                <w:szCs w:val="24"/>
              </w:rPr>
              <m:t>u</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oMath>
      <w:r>
        <w:rPr>
          <w:rStyle w:val="45"/>
          <w:rFonts w:hint="eastAsia"/>
          <w:color w:val="000000"/>
          <w:sz w:val="24"/>
          <w:szCs w:val="24"/>
        </w:rPr>
        <w:t>，且</w:t>
      </w:r>
      <m:oMath>
        <m:sSub>
          <m:sSubPr>
            <m:ctrlPr>
              <w:rPr>
                <w:rFonts w:ascii="Cambria Math" w:hAnsi="Cambria Math"/>
                <w:i/>
                <w:color w:val="000000"/>
                <w:sz w:val="24"/>
                <w:szCs w:val="24"/>
              </w:rPr>
            </m:ctrlPr>
          </m:sSubPr>
          <m:e>
            <m:r>
              <m:rPr/>
              <w:rPr>
                <w:rFonts w:ascii="Cambria Math" w:hAnsi="Cambria Math"/>
                <w:color w:val="000000"/>
                <w:sz w:val="24"/>
                <w:szCs w:val="24"/>
              </w:rPr>
              <m:t>u</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oMath>
      <w:r>
        <w:rPr>
          <w:rStyle w:val="45"/>
          <w:rFonts w:hint="eastAsia"/>
          <w:color w:val="000000"/>
          <w:sz w:val="24"/>
          <w:szCs w:val="24"/>
        </w:rPr>
        <w:t>包括第</w:t>
      </w:r>
      <w:r>
        <w:rPr>
          <w:i/>
          <w:iCs/>
          <w:color w:val="000000"/>
          <w:sz w:val="24"/>
          <w:szCs w:val="24"/>
        </w:rPr>
        <w:t>i</w:t>
      </w:r>
      <w:r>
        <w:rPr>
          <w:color w:val="000000"/>
          <w:sz w:val="24"/>
          <w:szCs w:val="24"/>
        </w:rPr>
        <w:t>个</w:t>
      </w:r>
      <w:r>
        <w:rPr>
          <w:rFonts w:hint="eastAsia"/>
          <w:color w:val="000000"/>
          <w:sz w:val="24"/>
          <w:szCs w:val="24"/>
        </w:rPr>
        <w:t>参比</w:t>
      </w:r>
      <w:r>
        <w:rPr>
          <w:color w:val="000000"/>
          <w:sz w:val="24"/>
          <w:szCs w:val="24"/>
        </w:rPr>
        <w:t>实验室</w:t>
      </w:r>
      <w:r>
        <w:rPr>
          <w:rFonts w:hint="eastAsia"/>
          <w:color w:val="000000"/>
          <w:sz w:val="24"/>
          <w:szCs w:val="24"/>
        </w:rPr>
        <w:t>提供的标准不确定度</w:t>
      </w:r>
      <m:oMath>
        <m:r>
          <m:rPr/>
          <w:rPr>
            <w:rFonts w:ascii="Cambria Math" w:hAnsi="Cambria Math"/>
            <w:color w:val="000000"/>
            <w:sz w:val="24"/>
            <w:szCs w:val="24"/>
          </w:rPr>
          <m:t>u</m:t>
        </m:r>
        <m:d>
          <m:dPr>
            <m:ctrlPr>
              <w:rPr>
                <w:rFonts w:ascii="Cambria Math" w:hAnsi="Cambria Math"/>
                <w:i/>
                <w:color w:val="000000"/>
                <w:sz w:val="24"/>
                <w:szCs w:val="24"/>
              </w:rPr>
            </m:ctrlPr>
          </m:dPr>
          <m:e>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ctrlPr>
              <w:rPr>
                <w:rFonts w:ascii="Cambria Math" w:hAnsi="Cambria Math"/>
                <w:i/>
                <w:color w:val="000000"/>
                <w:sz w:val="24"/>
                <w:szCs w:val="24"/>
              </w:rPr>
            </m:ctrlPr>
          </m:e>
        </m:d>
      </m:oMath>
      <w:r>
        <w:rPr>
          <w:rFonts w:hint="eastAsia"/>
          <w:color w:val="000000"/>
          <w:sz w:val="24"/>
          <w:szCs w:val="24"/>
        </w:rPr>
        <w:t>和传递标准的标准不确定度</w:t>
      </w:r>
      <m:oMath>
        <m:sSub>
          <m:sSubPr>
            <m:ctrlPr>
              <w:rPr>
                <w:rFonts w:ascii="Cambria Math" w:hAnsi="Cambria Math"/>
                <w:i/>
                <w:color w:val="000000"/>
                <w:sz w:val="24"/>
                <w:szCs w:val="24"/>
              </w:rPr>
            </m:ctrlPr>
          </m:sSubPr>
          <m:e>
            <m:r>
              <m:rPr/>
              <w:rPr>
                <w:rFonts w:ascii="Cambria Math" w:hAnsi="Cambria Math"/>
                <w:color w:val="000000"/>
                <w:sz w:val="24"/>
                <w:szCs w:val="24"/>
              </w:rPr>
              <m:t>u</m:t>
            </m:r>
            <m:ctrlPr>
              <w:rPr>
                <w:rFonts w:ascii="Cambria Math" w:hAnsi="Cambria Math"/>
                <w:i/>
                <w:color w:val="000000"/>
                <w:sz w:val="24"/>
                <w:szCs w:val="24"/>
              </w:rPr>
            </m:ctrlPr>
          </m:e>
          <m:sub>
            <m:r>
              <m:rPr/>
              <w:rPr>
                <w:rFonts w:ascii="Cambria Math" w:hAnsi="Cambria Math"/>
                <w:color w:val="000000"/>
                <w:sz w:val="24"/>
                <w:szCs w:val="24"/>
              </w:rPr>
              <m:t>e</m:t>
            </m:r>
            <m:ctrlPr>
              <w:rPr>
                <w:rFonts w:ascii="Cambria Math" w:hAnsi="Cambria Math"/>
                <w:i/>
                <w:color w:val="000000"/>
                <w:sz w:val="24"/>
                <w:szCs w:val="24"/>
              </w:rPr>
            </m:ctrlPr>
          </m:sub>
        </m:sSub>
      </m:oMath>
      <w:r>
        <w:rPr>
          <w:color w:val="000000"/>
          <w:sz w:val="24"/>
          <w:szCs w:val="24"/>
        </w:rPr>
        <w:t>。</w:t>
      </w:r>
    </w:p>
    <w:tbl>
      <w:tblPr>
        <w:tblStyle w:val="20"/>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63"/>
        <w:gridCol w:w="7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63" w:type="dxa"/>
            <w:vAlign w:val="center"/>
          </w:tcPr>
          <w:p>
            <w:pPr>
              <w:ind w:firstLine="3360" w:firstLineChars="1600"/>
              <w:rPr>
                <w:rFonts w:hint="eastAsia"/>
                <w:szCs w:val="21"/>
              </w:rPr>
            </w:pPr>
            <w:r>
              <w:rPr>
                <w:szCs w:val="21"/>
              </w:rPr>
              <w:drawing>
                <wp:inline distT="0" distB="0" distL="0" distR="0">
                  <wp:extent cx="1173480" cy="391160"/>
                  <wp:effectExtent l="0" t="0" r="762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173480" cy="391160"/>
                          </a:xfrm>
                          <a:prstGeom prst="rect">
                            <a:avLst/>
                          </a:prstGeom>
                          <a:noFill/>
                          <a:ln>
                            <a:noFill/>
                          </a:ln>
                        </pic:spPr>
                      </pic:pic>
                    </a:graphicData>
                  </a:graphic>
                </wp:inline>
              </w:drawing>
            </w:r>
          </w:p>
        </w:tc>
        <w:tc>
          <w:tcPr>
            <w:tcW w:w="759" w:type="dxa"/>
            <w:vAlign w:val="center"/>
          </w:tcPr>
          <w:p>
            <w:pPr>
              <w:spacing w:line="360" w:lineRule="auto"/>
              <w:jc w:val="center"/>
              <w:rPr>
                <w:color w:val="000000"/>
                <w:sz w:val="24"/>
                <w:szCs w:val="24"/>
              </w:rPr>
            </w:pPr>
            <w:r>
              <w:rPr>
                <w:color w:val="000000"/>
                <w:sz w:val="24"/>
                <w:szCs w:val="24"/>
              </w:rPr>
              <w:t>(</w:t>
            </w:r>
            <w:r>
              <w:rPr>
                <w:rFonts w:hint="eastAsia"/>
                <w:color w:val="000000"/>
                <w:sz w:val="24"/>
                <w:szCs w:val="24"/>
              </w:rPr>
              <w:t>C</w:t>
            </w:r>
            <w:r>
              <w:rPr>
                <w:color w:val="000000"/>
                <w:sz w:val="24"/>
                <w:szCs w:val="24"/>
              </w:rPr>
              <w:t>.</w:t>
            </w:r>
            <w:r>
              <w:rPr>
                <w:rFonts w:hint="eastAsia"/>
                <w:color w:val="000000"/>
                <w:sz w:val="24"/>
                <w:szCs w:val="24"/>
              </w:rPr>
              <w:t>1</w:t>
            </w:r>
            <w:r>
              <w:rPr>
                <w:color w:val="000000"/>
                <w:sz w:val="24"/>
                <w:szCs w:val="24"/>
              </w:rPr>
              <w:t>)</w:t>
            </w:r>
          </w:p>
        </w:tc>
      </w:tr>
    </w:tbl>
    <w:p>
      <w:pPr>
        <w:spacing w:line="360" w:lineRule="auto"/>
        <w:ind w:firstLine="480"/>
        <w:rPr>
          <w:color w:val="000000"/>
          <w:sz w:val="24"/>
          <w:szCs w:val="24"/>
        </w:rPr>
      </w:pPr>
      <w:r>
        <w:rPr>
          <w:color w:val="000000"/>
          <w:sz w:val="24"/>
          <w:szCs w:val="24"/>
        </w:rPr>
        <w:t>此时，加权平均值如式（</w:t>
      </w:r>
      <w:r>
        <w:rPr>
          <w:rFonts w:hint="eastAsia"/>
          <w:color w:val="000000"/>
          <w:sz w:val="24"/>
          <w:szCs w:val="24"/>
        </w:rPr>
        <w:t>C</w:t>
      </w:r>
      <w:r>
        <w:rPr>
          <w:color w:val="000000"/>
          <w:sz w:val="24"/>
          <w:szCs w:val="24"/>
        </w:rPr>
        <w:t>.2）所示：</w:t>
      </w:r>
    </w:p>
    <w:tbl>
      <w:tblPr>
        <w:tblStyle w:val="20"/>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63"/>
        <w:gridCol w:w="7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63" w:type="dxa"/>
            <w:vAlign w:val="center"/>
          </w:tcPr>
          <w:p>
            <w:pPr>
              <w:spacing w:line="360" w:lineRule="auto"/>
              <w:jc w:val="center"/>
              <w:rPr>
                <w:color w:val="000000"/>
                <w:sz w:val="24"/>
                <w:szCs w:val="24"/>
              </w:rPr>
            </w:pPr>
            <m:oMathPara>
              <m:oMath>
                <m:sSub>
                  <m:sSubPr>
                    <m:ctrlPr>
                      <w:rPr>
                        <w:rFonts w:ascii="Cambria Math" w:hAnsi="Cambria Math"/>
                        <w:i/>
                        <w:color w:val="000000"/>
                        <w:sz w:val="24"/>
                        <w:szCs w:val="24"/>
                      </w:rPr>
                    </m:ctrlPr>
                  </m:sSubPr>
                  <m:e>
                    <m:r>
                      <m:rPr/>
                      <w:rPr>
                        <w:rFonts w:ascii="Cambria Math" w:hAnsi="Cambria Math"/>
                        <w:color w:val="000000"/>
                        <w:sz w:val="24"/>
                        <w:szCs w:val="24"/>
                      </w:rPr>
                      <m:t>y</m:t>
                    </m:r>
                    <m:ctrlPr>
                      <w:rPr>
                        <w:rFonts w:ascii="Cambria Math" w:hAnsi="Cambria Math"/>
                        <w:i/>
                        <w:color w:val="000000"/>
                        <w:sz w:val="24"/>
                        <w:szCs w:val="24"/>
                      </w:rPr>
                    </m:ctrlPr>
                  </m:e>
                  <m:sub>
                    <m:r>
                      <m:rPr/>
                      <w:rPr>
                        <w:rFonts w:ascii="Cambria Math" w:hAnsi="Cambria Math"/>
                        <w:color w:val="000000"/>
                        <w:sz w:val="24"/>
                        <w:szCs w:val="24"/>
                      </w:rPr>
                      <m:t>w</m:t>
                    </m:r>
                    <m:ctrlPr>
                      <w:rPr>
                        <w:rFonts w:ascii="Cambria Math" w:hAnsi="Cambria Math"/>
                        <w:i/>
                        <w:color w:val="000000"/>
                        <w:sz w:val="24"/>
                        <w:szCs w:val="24"/>
                      </w:rPr>
                    </m:ctrlPr>
                  </m:sub>
                </m:sSub>
                <m:r>
                  <m:rPr/>
                  <w:rPr>
                    <w:rFonts w:ascii="Cambria Math" w:hAnsi="Cambria Math"/>
                    <w:color w:val="000000"/>
                    <w:sz w:val="24"/>
                    <w:szCs w:val="24"/>
                  </w:rPr>
                  <m:t>=</m:t>
                </m:r>
                <m:nary>
                  <m:naryPr>
                    <m:chr m:val="∑"/>
                    <m:limLoc m:val="undOvr"/>
                    <m:ctrlPr>
                      <w:rPr>
                        <w:rFonts w:ascii="Cambria Math" w:hAnsi="Cambria Math"/>
                        <w:i/>
                        <w:color w:val="000000"/>
                        <w:sz w:val="24"/>
                        <w:szCs w:val="24"/>
                      </w:rPr>
                    </m:ctrlPr>
                  </m:naryPr>
                  <m:sub>
                    <m:r>
                      <m:rPr/>
                      <w:rPr>
                        <w:rFonts w:ascii="Cambria Math" w:hAnsi="Cambria Math"/>
                        <w:color w:val="000000"/>
                        <w:sz w:val="24"/>
                        <w:szCs w:val="24"/>
                      </w:rPr>
                      <m:t>i=1</m:t>
                    </m:r>
                    <m:ctrlPr>
                      <w:rPr>
                        <w:rFonts w:ascii="Cambria Math" w:hAnsi="Cambria Math"/>
                        <w:i/>
                        <w:color w:val="000000"/>
                        <w:sz w:val="24"/>
                        <w:szCs w:val="24"/>
                      </w:rPr>
                    </m:ctrlPr>
                  </m:sub>
                  <m:sup>
                    <m:r>
                      <m:rPr/>
                      <w:rPr>
                        <w:rFonts w:ascii="Cambria Math" w:hAnsi="Cambria Math"/>
                        <w:color w:val="000000"/>
                        <w:sz w:val="24"/>
                        <w:szCs w:val="24"/>
                      </w:rPr>
                      <m:t>n</m:t>
                    </m:r>
                    <m:ctrlPr>
                      <w:rPr>
                        <w:rFonts w:ascii="Cambria Math" w:hAnsi="Cambria Math"/>
                        <w:i/>
                        <w:color w:val="000000"/>
                        <w:sz w:val="24"/>
                        <w:szCs w:val="24"/>
                      </w:rPr>
                    </m:ctrlPr>
                  </m:sup>
                  <m:e>
                    <m:sSub>
                      <m:sSubPr>
                        <m:ctrlPr>
                          <w:rPr>
                            <w:rFonts w:ascii="Cambria Math" w:hAnsi="Cambria Math"/>
                            <w:i/>
                            <w:color w:val="000000"/>
                            <w:sz w:val="24"/>
                            <w:szCs w:val="24"/>
                          </w:rPr>
                        </m:ctrlPr>
                      </m:sSubPr>
                      <m:e>
                        <m:r>
                          <m:rPr/>
                          <w:rPr>
                            <w:rFonts w:ascii="Cambria Math" w:hAnsi="Cambria Math"/>
                            <w:color w:val="000000"/>
                            <w:sz w:val="24"/>
                            <w:szCs w:val="24"/>
                          </w:rPr>
                          <m:t>w</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ctrlPr>
                      <w:rPr>
                        <w:rFonts w:ascii="Cambria Math" w:hAnsi="Cambria Math"/>
                        <w:i/>
                        <w:color w:val="000000"/>
                        <w:sz w:val="24"/>
                        <w:szCs w:val="24"/>
                      </w:rPr>
                    </m:ctrlPr>
                  </m:e>
                </m:nary>
                <m:r>
                  <m:rPr/>
                  <w:rPr>
                    <w:rFonts w:ascii="Cambria Math" w:hAnsi="Cambria Math"/>
                    <w:color w:val="000000"/>
                    <w:sz w:val="24"/>
                    <w:szCs w:val="24"/>
                  </w:rPr>
                  <m:t>∙</m:t>
                </m:r>
                <m:sSub>
                  <m:sSubPr>
                    <m:ctrlPr>
                      <w:rPr>
                        <w:rFonts w:ascii="Cambria Math" w:hAnsi="Cambria Math"/>
                        <w:i/>
                        <w:color w:val="000000"/>
                        <w:sz w:val="24"/>
                        <w:szCs w:val="24"/>
                      </w:rPr>
                    </m:ctrlPr>
                  </m:sSubPr>
                  <m:e>
                    <m:r>
                      <m:rPr/>
                      <w:rPr>
                        <w:rFonts w:ascii="Cambria Math" w:hAnsi="Cambria Math"/>
                        <w:color w:val="000000"/>
                        <w:sz w:val="24"/>
                        <w:szCs w:val="24"/>
                      </w:rPr>
                      <m:t>y</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oMath>
            </m:oMathPara>
          </w:p>
        </w:tc>
        <w:tc>
          <w:tcPr>
            <w:tcW w:w="759" w:type="dxa"/>
            <w:vAlign w:val="center"/>
          </w:tcPr>
          <w:p>
            <w:pPr>
              <w:spacing w:line="360" w:lineRule="auto"/>
              <w:jc w:val="center"/>
              <w:rPr>
                <w:color w:val="000000"/>
                <w:sz w:val="24"/>
                <w:szCs w:val="24"/>
              </w:rPr>
            </w:pPr>
            <w:r>
              <w:rPr>
                <w:color w:val="000000"/>
                <w:sz w:val="24"/>
                <w:szCs w:val="24"/>
              </w:rPr>
              <w:t>(</w:t>
            </w:r>
            <w:r>
              <w:rPr>
                <w:rFonts w:hint="eastAsia"/>
                <w:color w:val="000000"/>
                <w:sz w:val="24"/>
                <w:szCs w:val="24"/>
              </w:rPr>
              <w:t>C</w:t>
            </w:r>
            <w:r>
              <w:rPr>
                <w:color w:val="000000"/>
                <w:sz w:val="24"/>
                <w:szCs w:val="24"/>
              </w:rPr>
              <w:t>.2)</w:t>
            </w:r>
          </w:p>
        </w:tc>
      </w:tr>
    </w:tbl>
    <w:p>
      <w:pPr>
        <w:spacing w:line="360" w:lineRule="auto"/>
        <w:rPr>
          <w:color w:val="000000"/>
          <w:sz w:val="24"/>
          <w:szCs w:val="24"/>
        </w:rPr>
      </w:pPr>
      <w:r>
        <w:rPr>
          <w:color w:val="000000"/>
          <w:sz w:val="24"/>
          <w:szCs w:val="24"/>
        </w:rPr>
        <w:t>式中：</w:t>
      </w:r>
      <m:oMath>
        <m:sSub>
          <m:sSubPr>
            <m:ctrlPr>
              <w:rPr>
                <w:rFonts w:ascii="Cambria Math" w:hAnsi="Cambria Math"/>
                <w:color w:val="000000"/>
                <w:sz w:val="24"/>
                <w:szCs w:val="24"/>
              </w:rPr>
            </m:ctrlPr>
          </m:sSubPr>
          <m:e>
            <m:r>
              <m:rPr/>
              <w:rPr>
                <w:rFonts w:ascii="Cambria Math" w:hAnsi="Cambria Math"/>
                <w:color w:val="000000"/>
                <w:sz w:val="24"/>
                <w:szCs w:val="24"/>
              </w:rPr>
              <m:t>y</m:t>
            </m:r>
            <m:ctrlPr>
              <w:rPr>
                <w:rFonts w:ascii="Cambria Math" w:hAnsi="Cambria Math"/>
                <w:color w:val="000000"/>
                <w:sz w:val="24"/>
                <w:szCs w:val="24"/>
              </w:rPr>
            </m:ctrlPr>
          </m:e>
          <m:sub>
            <m:r>
              <m:rPr/>
              <w:rPr>
                <w:rFonts w:ascii="Cambria Math" w:hAnsi="Cambria Math"/>
                <w:color w:val="000000"/>
                <w:sz w:val="24"/>
                <w:szCs w:val="24"/>
              </w:rPr>
              <m:t>w</m:t>
            </m:r>
            <m:ctrlPr>
              <w:rPr>
                <w:rFonts w:ascii="Cambria Math" w:hAnsi="Cambria Math"/>
                <w:color w:val="000000"/>
                <w:sz w:val="24"/>
                <w:szCs w:val="24"/>
              </w:rPr>
            </m:ctrlPr>
          </m:sub>
        </m:sSub>
      </m:oMath>
      <w:r>
        <w:rPr>
          <w:color w:val="000000"/>
          <w:sz w:val="24"/>
          <w:szCs w:val="24"/>
        </w:rPr>
        <w:t>——加权平均值</w:t>
      </w:r>
      <w:r>
        <w:rPr>
          <w:rFonts w:hint="eastAsia"/>
          <w:color w:val="000000"/>
          <w:sz w:val="24"/>
          <w:szCs w:val="24"/>
        </w:rPr>
        <w:t>，可作为参考值使用</w:t>
      </w:r>
      <w:r>
        <w:rPr>
          <w:color w:val="000000"/>
          <w:sz w:val="24"/>
          <w:szCs w:val="24"/>
        </w:rPr>
        <w:t>；</w:t>
      </w:r>
    </w:p>
    <w:p>
      <w:pPr>
        <w:spacing w:line="360" w:lineRule="auto"/>
        <w:rPr>
          <w:color w:val="000000"/>
          <w:sz w:val="24"/>
          <w:szCs w:val="24"/>
        </w:rPr>
      </w:pPr>
      <w:r>
        <w:rPr>
          <w:color w:val="000000"/>
          <w:sz w:val="24"/>
          <w:szCs w:val="24"/>
        </w:rPr>
        <w:t xml:space="preserve">      </w:t>
      </w:r>
      <m:oMath>
        <m:sSub>
          <m:sSubPr>
            <m:ctrlPr>
              <w:rPr>
                <w:rFonts w:ascii="Cambria Math" w:hAnsi="Cambria Math"/>
                <w:color w:val="000000"/>
                <w:sz w:val="24"/>
                <w:szCs w:val="24"/>
              </w:rPr>
            </m:ctrlPr>
          </m:sSubPr>
          <m:e>
            <m:r>
              <m:rPr/>
              <w:rPr>
                <w:rFonts w:ascii="Cambria Math" w:hAnsi="Cambria Math"/>
                <w:color w:val="000000"/>
                <w:sz w:val="24"/>
                <w:szCs w:val="24"/>
              </w:rPr>
              <m:t>w</m:t>
            </m:r>
            <m:ctrlPr>
              <w:rPr>
                <w:rFonts w:ascii="Cambria Math" w:hAnsi="Cambria Math"/>
                <w:color w:val="000000"/>
                <w:sz w:val="24"/>
                <w:szCs w:val="24"/>
              </w:rPr>
            </m:ctrlPr>
          </m:e>
          <m:sub>
            <m:r>
              <m:rPr/>
              <w:rPr>
                <w:rFonts w:ascii="Cambria Math" w:hAnsi="Cambria Math"/>
                <w:color w:val="000000"/>
                <w:sz w:val="24"/>
                <w:szCs w:val="24"/>
              </w:rPr>
              <m:t>i</m:t>
            </m:r>
            <m:ctrlPr>
              <w:rPr>
                <w:rFonts w:ascii="Cambria Math" w:hAnsi="Cambria Math"/>
                <w:color w:val="000000"/>
                <w:sz w:val="24"/>
                <w:szCs w:val="24"/>
              </w:rPr>
            </m:ctrlPr>
          </m:sub>
        </m:sSub>
      </m:oMath>
      <w:r>
        <w:rPr>
          <w:color w:val="000000"/>
          <w:sz w:val="24"/>
          <w:szCs w:val="24"/>
        </w:rPr>
        <w:t>——第</w:t>
      </w:r>
      <w:r>
        <w:rPr>
          <w:i/>
          <w:iCs/>
          <w:color w:val="000000"/>
          <w:sz w:val="24"/>
          <w:szCs w:val="24"/>
        </w:rPr>
        <w:t>i</w:t>
      </w:r>
      <w:r>
        <w:rPr>
          <w:color w:val="000000"/>
          <w:sz w:val="24"/>
          <w:szCs w:val="24"/>
        </w:rPr>
        <w:t>个</w:t>
      </w:r>
      <w:r>
        <w:rPr>
          <w:rFonts w:hint="eastAsia"/>
          <w:color w:val="000000"/>
          <w:sz w:val="24"/>
          <w:szCs w:val="24"/>
        </w:rPr>
        <w:t>参比</w:t>
      </w:r>
      <w:r>
        <w:rPr>
          <w:color w:val="000000"/>
          <w:sz w:val="24"/>
          <w:szCs w:val="24"/>
        </w:rPr>
        <w:t>实验室</w:t>
      </w:r>
      <w:r>
        <w:rPr>
          <w:rFonts w:hint="eastAsia"/>
          <w:color w:val="000000"/>
          <w:sz w:val="24"/>
          <w:szCs w:val="24"/>
        </w:rPr>
        <w:t>测量值</w:t>
      </w:r>
      <w:r>
        <w:rPr>
          <w:color w:val="000000"/>
          <w:sz w:val="24"/>
          <w:szCs w:val="24"/>
        </w:rPr>
        <w:t>在参考值中所占权重。</w:t>
      </w:r>
    </w:p>
    <w:p>
      <w:pPr>
        <w:spacing w:line="360" w:lineRule="auto"/>
        <w:rPr>
          <w:color w:val="000000"/>
          <w:sz w:val="24"/>
          <w:szCs w:val="24"/>
        </w:rPr>
      </w:pPr>
      <w:r>
        <w:rPr>
          <w:color w:val="000000"/>
          <w:sz w:val="24"/>
          <w:szCs w:val="24"/>
        </w:rPr>
        <w:t>其中，权重值</w:t>
      </w:r>
      <m:oMath>
        <m:sSub>
          <m:sSubPr>
            <m:ctrlPr>
              <w:rPr>
                <w:rFonts w:ascii="Cambria Math" w:hAnsi="Cambria Math"/>
                <w:color w:val="000000"/>
                <w:sz w:val="24"/>
                <w:szCs w:val="24"/>
              </w:rPr>
            </m:ctrlPr>
          </m:sSubPr>
          <m:e>
            <m:r>
              <m:rPr/>
              <w:rPr>
                <w:rFonts w:ascii="Cambria Math" w:hAnsi="Cambria Math"/>
                <w:color w:val="000000"/>
                <w:sz w:val="24"/>
                <w:szCs w:val="24"/>
              </w:rPr>
              <m:t>w</m:t>
            </m:r>
            <m:ctrlPr>
              <w:rPr>
                <w:rFonts w:ascii="Cambria Math" w:hAnsi="Cambria Math"/>
                <w:color w:val="000000"/>
                <w:sz w:val="24"/>
                <w:szCs w:val="24"/>
              </w:rPr>
            </m:ctrlPr>
          </m:e>
          <m:sub>
            <m:r>
              <m:rPr/>
              <w:rPr>
                <w:rFonts w:ascii="Cambria Math" w:hAnsi="Cambria Math"/>
                <w:color w:val="000000"/>
                <w:sz w:val="24"/>
                <w:szCs w:val="24"/>
              </w:rPr>
              <m:t>i</m:t>
            </m:r>
            <m:ctrlPr>
              <w:rPr>
                <w:rFonts w:ascii="Cambria Math" w:hAnsi="Cambria Math"/>
                <w:color w:val="000000"/>
                <w:sz w:val="24"/>
                <w:szCs w:val="24"/>
              </w:rPr>
            </m:ctrlPr>
          </m:sub>
        </m:sSub>
      </m:oMath>
      <w:r>
        <w:rPr>
          <w:color w:val="000000"/>
          <w:sz w:val="24"/>
          <w:szCs w:val="24"/>
        </w:rPr>
        <w:t>计算方法如式（</w:t>
      </w:r>
      <w:r>
        <w:rPr>
          <w:rFonts w:hint="eastAsia"/>
          <w:color w:val="000000"/>
          <w:sz w:val="24"/>
          <w:szCs w:val="24"/>
        </w:rPr>
        <w:t>C</w:t>
      </w:r>
      <w:r>
        <w:rPr>
          <w:color w:val="000000"/>
          <w:sz w:val="24"/>
          <w:szCs w:val="24"/>
        </w:rPr>
        <w:t>.</w:t>
      </w:r>
      <w:r>
        <w:rPr>
          <w:rFonts w:hint="eastAsia"/>
          <w:color w:val="000000"/>
          <w:sz w:val="24"/>
          <w:szCs w:val="24"/>
        </w:rPr>
        <w:t>3</w:t>
      </w:r>
      <w:r>
        <w:rPr>
          <w:color w:val="000000"/>
          <w:sz w:val="24"/>
          <w:szCs w:val="24"/>
        </w:rPr>
        <w:t>）所示：</w:t>
      </w:r>
    </w:p>
    <w:tbl>
      <w:tblPr>
        <w:tblStyle w:val="20"/>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63"/>
        <w:gridCol w:w="7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63" w:type="dxa"/>
            <w:vAlign w:val="center"/>
          </w:tcPr>
          <w:p>
            <w:pPr>
              <w:spacing w:line="360" w:lineRule="auto"/>
              <w:jc w:val="center"/>
              <w:rPr>
                <w:color w:val="000000"/>
                <w:sz w:val="24"/>
                <w:szCs w:val="24"/>
              </w:rPr>
            </w:pPr>
            <m:oMathPara>
              <m:oMath>
                <m:sSub>
                  <m:sSubPr>
                    <m:ctrlPr>
                      <w:rPr>
                        <w:rFonts w:ascii="Cambria Math" w:hAnsi="Cambria Math"/>
                        <w:i/>
                        <w:color w:val="000000"/>
                        <w:sz w:val="24"/>
                        <w:szCs w:val="24"/>
                      </w:rPr>
                    </m:ctrlPr>
                  </m:sSubPr>
                  <m:e>
                    <m:r>
                      <m:rPr/>
                      <w:rPr>
                        <w:rFonts w:ascii="Cambria Math" w:hAnsi="Cambria Math"/>
                        <w:color w:val="000000"/>
                        <w:sz w:val="24"/>
                        <w:szCs w:val="24"/>
                      </w:rPr>
                      <m:t>w</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r>
                  <m:rPr/>
                  <w:rPr>
                    <w:rFonts w:ascii="Cambria Math" w:hAnsi="Cambria Math"/>
                    <w:color w:val="000000"/>
                    <w:sz w:val="24"/>
                    <w:szCs w:val="24"/>
                  </w:rPr>
                  <m:t>=</m:t>
                </m:r>
                <m:f>
                  <m:fPr>
                    <m:ctrlPr>
                      <w:rPr>
                        <w:rFonts w:ascii="Cambria Math" w:hAnsi="Cambria Math"/>
                        <w:i/>
                        <w:color w:val="000000"/>
                        <w:sz w:val="24"/>
                        <w:szCs w:val="24"/>
                      </w:rPr>
                    </m:ctrlPr>
                  </m:fPr>
                  <m:num>
                    <m:f>
                      <m:fPr>
                        <m:ctrlPr>
                          <w:rPr>
                            <w:rFonts w:ascii="Cambria Math" w:hAnsi="Cambria Math"/>
                            <w:i/>
                            <w:color w:val="000000"/>
                            <w:sz w:val="24"/>
                            <w:szCs w:val="24"/>
                          </w:rPr>
                        </m:ctrlPr>
                      </m:fPr>
                      <m:num>
                        <m:r>
                          <m:rPr/>
                          <w:rPr>
                            <w:rFonts w:ascii="Cambria Math" w:hAnsi="Cambria Math"/>
                            <w:color w:val="000000"/>
                            <w:sz w:val="24"/>
                            <w:szCs w:val="24"/>
                          </w:rPr>
                          <m:t>1</m:t>
                        </m:r>
                        <m:ctrlPr>
                          <w:rPr>
                            <w:rFonts w:ascii="Cambria Math" w:hAnsi="Cambria Math"/>
                            <w:i/>
                            <w:color w:val="000000"/>
                            <w:sz w:val="24"/>
                            <w:szCs w:val="24"/>
                          </w:rPr>
                        </m:ctrlPr>
                      </m:num>
                      <m:den>
                        <m:sSup>
                          <m:sSupPr>
                            <m:ctrlPr>
                              <w:rPr>
                                <w:rFonts w:ascii="Cambria Math" w:hAnsi="Cambria Math"/>
                                <w:i/>
                                <w:color w:val="000000"/>
                                <w:sz w:val="24"/>
                                <w:szCs w:val="24"/>
                              </w:rPr>
                            </m:ctrlPr>
                          </m:sSupPr>
                          <m:e>
                            <m:sSub>
                              <m:sSubPr>
                                <m:ctrlPr>
                                  <w:rPr>
                                    <w:rFonts w:ascii="Cambria Math" w:hAnsi="Cambria Math"/>
                                    <w:i/>
                                    <w:color w:val="000000"/>
                                    <w:sz w:val="24"/>
                                    <w:szCs w:val="24"/>
                                  </w:rPr>
                                </m:ctrlPr>
                              </m:sSubPr>
                              <m:e>
                                <m:r>
                                  <m:rPr/>
                                  <w:rPr>
                                    <w:rFonts w:ascii="Cambria Math" w:hAnsi="Cambria Math"/>
                                    <w:color w:val="000000"/>
                                    <w:sz w:val="24"/>
                                    <w:szCs w:val="24"/>
                                  </w:rPr>
                                  <m:t>u</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ctrlPr>
                              <w:rPr>
                                <w:rFonts w:ascii="Cambria Math" w:hAnsi="Cambria Math"/>
                                <w:i/>
                                <w:color w:val="000000"/>
                                <w:sz w:val="24"/>
                                <w:szCs w:val="24"/>
                              </w:rPr>
                            </m:ctrlPr>
                          </m:e>
                          <m:sup>
                            <m:r>
                              <m:rPr/>
                              <w:rPr>
                                <w:rFonts w:ascii="Cambria Math" w:hAnsi="Cambria Math"/>
                                <w:color w:val="000000"/>
                                <w:sz w:val="24"/>
                                <w:szCs w:val="24"/>
                              </w:rPr>
                              <m:t>2</m:t>
                            </m:r>
                            <m:ctrlPr>
                              <w:rPr>
                                <w:rFonts w:ascii="Cambria Math" w:hAnsi="Cambria Math"/>
                                <w:i/>
                                <w:color w:val="000000"/>
                                <w:sz w:val="24"/>
                                <w:szCs w:val="24"/>
                              </w:rPr>
                            </m:ctrlPr>
                          </m:sup>
                        </m:sSup>
                        <m:ctrlPr>
                          <w:rPr>
                            <w:rFonts w:ascii="Cambria Math" w:hAnsi="Cambria Math"/>
                            <w:i/>
                            <w:color w:val="000000"/>
                            <w:sz w:val="24"/>
                            <w:szCs w:val="24"/>
                          </w:rPr>
                        </m:ctrlPr>
                      </m:den>
                    </m:f>
                    <m:ctrlPr>
                      <w:rPr>
                        <w:rFonts w:ascii="Cambria Math" w:hAnsi="Cambria Math"/>
                        <w:i/>
                        <w:color w:val="000000"/>
                        <w:sz w:val="24"/>
                        <w:szCs w:val="24"/>
                      </w:rPr>
                    </m:ctrlPr>
                  </m:num>
                  <m:den>
                    <m:nary>
                      <m:naryPr>
                        <m:chr m:val="∑"/>
                        <m:limLoc m:val="undOvr"/>
                        <m:ctrlPr>
                          <w:rPr>
                            <w:rFonts w:ascii="Cambria Math" w:hAnsi="Cambria Math"/>
                            <w:i/>
                            <w:color w:val="000000"/>
                            <w:sz w:val="24"/>
                            <w:szCs w:val="24"/>
                          </w:rPr>
                        </m:ctrlPr>
                      </m:naryPr>
                      <m:sub>
                        <m:r>
                          <m:rPr/>
                          <w:rPr>
                            <w:rFonts w:ascii="Cambria Math" w:hAnsi="Cambria Math"/>
                            <w:color w:val="000000"/>
                            <w:sz w:val="24"/>
                            <w:szCs w:val="24"/>
                          </w:rPr>
                          <m:t>i=1</m:t>
                        </m:r>
                        <m:ctrlPr>
                          <w:rPr>
                            <w:rFonts w:ascii="Cambria Math" w:hAnsi="Cambria Math"/>
                            <w:i/>
                            <w:color w:val="000000"/>
                            <w:sz w:val="24"/>
                            <w:szCs w:val="24"/>
                          </w:rPr>
                        </m:ctrlPr>
                      </m:sub>
                      <m:sup>
                        <m:r>
                          <m:rPr/>
                          <w:rPr>
                            <w:rFonts w:ascii="Cambria Math" w:hAnsi="Cambria Math"/>
                            <w:color w:val="000000"/>
                            <w:sz w:val="24"/>
                            <w:szCs w:val="24"/>
                          </w:rPr>
                          <m:t>n</m:t>
                        </m:r>
                        <m:ctrlPr>
                          <w:rPr>
                            <w:rFonts w:ascii="Cambria Math" w:hAnsi="Cambria Math"/>
                            <w:i/>
                            <w:color w:val="000000"/>
                            <w:sz w:val="24"/>
                            <w:szCs w:val="24"/>
                          </w:rPr>
                        </m:ctrlPr>
                      </m:sup>
                      <m:e>
                        <m:f>
                          <m:fPr>
                            <m:ctrlPr>
                              <w:rPr>
                                <w:rFonts w:ascii="Cambria Math" w:hAnsi="Cambria Math"/>
                                <w:i/>
                                <w:color w:val="000000"/>
                                <w:sz w:val="24"/>
                                <w:szCs w:val="24"/>
                              </w:rPr>
                            </m:ctrlPr>
                          </m:fPr>
                          <m:num>
                            <m:r>
                              <m:rPr/>
                              <w:rPr>
                                <w:rFonts w:ascii="Cambria Math" w:hAnsi="Cambria Math"/>
                                <w:color w:val="000000"/>
                                <w:sz w:val="24"/>
                                <w:szCs w:val="24"/>
                              </w:rPr>
                              <m:t>1</m:t>
                            </m:r>
                            <m:ctrlPr>
                              <w:rPr>
                                <w:rFonts w:ascii="Cambria Math" w:hAnsi="Cambria Math"/>
                                <w:i/>
                                <w:color w:val="000000"/>
                                <w:sz w:val="24"/>
                                <w:szCs w:val="24"/>
                              </w:rPr>
                            </m:ctrlPr>
                          </m:num>
                          <m:den>
                            <m:sSup>
                              <m:sSupPr>
                                <m:ctrlPr>
                                  <w:rPr>
                                    <w:rFonts w:ascii="Cambria Math" w:hAnsi="Cambria Math"/>
                                    <w:i/>
                                    <w:color w:val="000000"/>
                                    <w:sz w:val="24"/>
                                    <w:szCs w:val="24"/>
                                  </w:rPr>
                                </m:ctrlPr>
                              </m:sSupPr>
                              <m:e>
                                <m:sSub>
                                  <m:sSubPr>
                                    <m:ctrlPr>
                                      <w:rPr>
                                        <w:rFonts w:ascii="Cambria Math" w:hAnsi="Cambria Math"/>
                                        <w:i/>
                                        <w:color w:val="000000"/>
                                        <w:sz w:val="24"/>
                                        <w:szCs w:val="24"/>
                                      </w:rPr>
                                    </m:ctrlPr>
                                  </m:sSubPr>
                                  <m:e>
                                    <m:r>
                                      <m:rPr/>
                                      <w:rPr>
                                        <w:rFonts w:ascii="Cambria Math" w:hAnsi="Cambria Math"/>
                                        <w:color w:val="000000"/>
                                        <w:sz w:val="24"/>
                                        <w:szCs w:val="24"/>
                                      </w:rPr>
                                      <m:t>u</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ctrlPr>
                                  <w:rPr>
                                    <w:rFonts w:ascii="Cambria Math" w:hAnsi="Cambria Math"/>
                                    <w:i/>
                                    <w:color w:val="000000"/>
                                    <w:sz w:val="24"/>
                                    <w:szCs w:val="24"/>
                                  </w:rPr>
                                </m:ctrlPr>
                              </m:e>
                              <m:sup>
                                <m:r>
                                  <m:rPr/>
                                  <w:rPr>
                                    <w:rFonts w:ascii="Cambria Math" w:hAnsi="Cambria Math"/>
                                    <w:color w:val="000000"/>
                                    <w:sz w:val="24"/>
                                    <w:szCs w:val="24"/>
                                  </w:rPr>
                                  <m:t>2</m:t>
                                </m:r>
                                <m:ctrlPr>
                                  <w:rPr>
                                    <w:rFonts w:ascii="Cambria Math" w:hAnsi="Cambria Math"/>
                                    <w:i/>
                                    <w:color w:val="000000"/>
                                    <w:sz w:val="24"/>
                                    <w:szCs w:val="24"/>
                                  </w:rPr>
                                </m:ctrlPr>
                              </m:sup>
                            </m:sSup>
                            <m:ctrlPr>
                              <w:rPr>
                                <w:rFonts w:ascii="Cambria Math" w:hAnsi="Cambria Math"/>
                                <w:i/>
                                <w:color w:val="000000"/>
                                <w:sz w:val="24"/>
                                <w:szCs w:val="24"/>
                              </w:rPr>
                            </m:ctrlPr>
                          </m:den>
                        </m:f>
                        <m:ctrlPr>
                          <w:rPr>
                            <w:rFonts w:ascii="Cambria Math" w:hAnsi="Cambria Math"/>
                            <w:i/>
                            <w:color w:val="000000"/>
                            <w:sz w:val="24"/>
                            <w:szCs w:val="24"/>
                          </w:rPr>
                        </m:ctrlPr>
                      </m:e>
                    </m:nary>
                    <m:ctrlPr>
                      <w:rPr>
                        <w:rFonts w:ascii="Cambria Math" w:hAnsi="Cambria Math"/>
                        <w:i/>
                        <w:color w:val="000000"/>
                        <w:sz w:val="24"/>
                        <w:szCs w:val="24"/>
                      </w:rPr>
                    </m:ctrlPr>
                  </m:den>
                </m:f>
              </m:oMath>
            </m:oMathPara>
          </w:p>
        </w:tc>
        <w:tc>
          <w:tcPr>
            <w:tcW w:w="759" w:type="dxa"/>
            <w:vAlign w:val="center"/>
          </w:tcPr>
          <w:p>
            <w:pPr>
              <w:spacing w:line="360" w:lineRule="auto"/>
              <w:jc w:val="center"/>
              <w:rPr>
                <w:color w:val="000000"/>
                <w:sz w:val="24"/>
                <w:szCs w:val="24"/>
              </w:rPr>
            </w:pPr>
            <w:r>
              <w:rPr>
                <w:color w:val="000000"/>
                <w:sz w:val="24"/>
                <w:szCs w:val="24"/>
              </w:rPr>
              <w:t>(</w:t>
            </w:r>
            <w:r>
              <w:rPr>
                <w:rFonts w:hint="eastAsia"/>
                <w:color w:val="000000"/>
                <w:sz w:val="24"/>
                <w:szCs w:val="24"/>
              </w:rPr>
              <w:t>C</w:t>
            </w:r>
            <w:r>
              <w:rPr>
                <w:color w:val="000000"/>
                <w:sz w:val="24"/>
                <w:szCs w:val="24"/>
              </w:rPr>
              <w:t>.</w:t>
            </w:r>
            <w:r>
              <w:rPr>
                <w:rFonts w:hint="eastAsia"/>
                <w:color w:val="000000"/>
                <w:sz w:val="24"/>
                <w:szCs w:val="24"/>
              </w:rPr>
              <w:t>3</w:t>
            </w:r>
            <w:r>
              <w:rPr>
                <w:color w:val="000000"/>
                <w:sz w:val="24"/>
                <w:szCs w:val="24"/>
              </w:rPr>
              <w:t>)</w:t>
            </w:r>
          </w:p>
        </w:tc>
      </w:tr>
    </w:tbl>
    <w:p>
      <w:pPr>
        <w:spacing w:line="360" w:lineRule="auto"/>
        <w:ind w:firstLine="480" w:firstLineChars="200"/>
        <w:rPr>
          <w:color w:val="000000"/>
          <w:sz w:val="24"/>
          <w:szCs w:val="24"/>
        </w:rPr>
      </w:pPr>
      <w:r>
        <w:rPr>
          <w:rFonts w:hint="eastAsia"/>
          <w:color w:val="000000"/>
          <w:sz w:val="24"/>
          <w:szCs w:val="24"/>
        </w:rPr>
        <w:t>此时，参考值的不确定度如式（C</w:t>
      </w:r>
      <w:r>
        <w:rPr>
          <w:color w:val="000000"/>
          <w:sz w:val="24"/>
          <w:szCs w:val="24"/>
        </w:rPr>
        <w:t>.</w:t>
      </w:r>
      <w:r>
        <w:rPr>
          <w:rFonts w:hint="eastAsia"/>
          <w:color w:val="000000"/>
          <w:sz w:val="24"/>
          <w:szCs w:val="24"/>
        </w:rPr>
        <w:t>4）所示：</w:t>
      </w:r>
    </w:p>
    <w:tbl>
      <w:tblPr>
        <w:tblStyle w:val="20"/>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63"/>
        <w:gridCol w:w="7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63" w:type="dxa"/>
            <w:vAlign w:val="center"/>
          </w:tcPr>
          <w:p>
            <w:pPr>
              <w:spacing w:line="360" w:lineRule="auto"/>
              <w:jc w:val="center"/>
              <w:rPr>
                <w:color w:val="000000"/>
                <w:sz w:val="24"/>
                <w:szCs w:val="24"/>
              </w:rPr>
            </w:pPr>
            <m:oMathPara>
              <m:oMath>
                <m:r>
                  <m:rPr/>
                  <w:rPr>
                    <w:rFonts w:ascii="Cambria Math" w:hAnsi="Cambria Math"/>
                    <w:color w:val="000000"/>
                    <w:sz w:val="24"/>
                    <w:szCs w:val="24"/>
                  </w:rPr>
                  <m:t>u</m:t>
                </m:r>
                <m:d>
                  <m:dPr>
                    <m:ctrlPr>
                      <w:rPr>
                        <w:rFonts w:ascii="Cambria Math" w:hAnsi="Cambria Math"/>
                        <w:i/>
                        <w:color w:val="000000"/>
                        <w:sz w:val="24"/>
                        <w:szCs w:val="24"/>
                      </w:rPr>
                    </m:ctrlPr>
                  </m:dPr>
                  <m:e>
                    <m:sSub>
                      <m:sSubPr>
                        <m:ctrlPr>
                          <w:rPr>
                            <w:rFonts w:ascii="Cambria Math" w:hAnsi="Cambria Math"/>
                            <w:i/>
                            <w:color w:val="000000"/>
                            <w:sz w:val="24"/>
                            <w:szCs w:val="24"/>
                          </w:rPr>
                        </m:ctrlPr>
                      </m:sSubPr>
                      <m:e>
                        <m:r>
                          <m:rPr/>
                          <w:rPr>
                            <w:rFonts w:ascii="Cambria Math" w:hAnsi="Cambria Math"/>
                            <w:color w:val="000000"/>
                            <w:sz w:val="24"/>
                            <w:szCs w:val="24"/>
                          </w:rPr>
                          <m:t>y</m:t>
                        </m:r>
                        <m:ctrlPr>
                          <w:rPr>
                            <w:rFonts w:ascii="Cambria Math" w:hAnsi="Cambria Math"/>
                            <w:i/>
                            <w:color w:val="000000"/>
                            <w:sz w:val="24"/>
                            <w:szCs w:val="24"/>
                          </w:rPr>
                        </m:ctrlPr>
                      </m:e>
                      <m:sub>
                        <m:r>
                          <m:rPr/>
                          <w:rPr>
                            <w:rFonts w:ascii="Cambria Math" w:hAnsi="Cambria Math"/>
                            <w:color w:val="000000"/>
                            <w:sz w:val="24"/>
                            <w:szCs w:val="24"/>
                          </w:rPr>
                          <m:t>w</m:t>
                        </m:r>
                        <m:ctrlPr>
                          <w:rPr>
                            <w:rFonts w:ascii="Cambria Math" w:hAnsi="Cambria Math"/>
                            <w:i/>
                            <w:color w:val="000000"/>
                            <w:sz w:val="24"/>
                            <w:szCs w:val="24"/>
                          </w:rPr>
                        </m:ctrlPr>
                      </m:sub>
                    </m:sSub>
                    <m:ctrlPr>
                      <w:rPr>
                        <w:rFonts w:ascii="Cambria Math" w:hAnsi="Cambria Math"/>
                        <w:i/>
                        <w:color w:val="000000"/>
                        <w:sz w:val="24"/>
                        <w:szCs w:val="24"/>
                      </w:rPr>
                    </m:ctrlPr>
                  </m:e>
                </m:d>
                <m:r>
                  <m:rPr/>
                  <w:rPr>
                    <w:rFonts w:ascii="Cambria Math" w:hAnsi="Cambria Math"/>
                    <w:color w:val="000000"/>
                    <w:sz w:val="24"/>
                    <w:szCs w:val="24"/>
                  </w:rPr>
                  <m:t>=</m:t>
                </m:r>
                <m:rad>
                  <m:radPr>
                    <m:degHide m:val="1"/>
                    <m:ctrlPr>
                      <w:rPr>
                        <w:rFonts w:ascii="Cambria Math" w:hAnsi="Cambria Math"/>
                        <w:i/>
                        <w:color w:val="000000"/>
                        <w:sz w:val="24"/>
                        <w:szCs w:val="24"/>
                      </w:rPr>
                    </m:ctrlPr>
                  </m:radPr>
                  <m:deg>
                    <m:ctrlPr>
                      <w:rPr>
                        <w:rFonts w:ascii="Cambria Math" w:hAnsi="Cambria Math"/>
                        <w:i/>
                        <w:color w:val="000000"/>
                        <w:sz w:val="24"/>
                        <w:szCs w:val="24"/>
                      </w:rPr>
                    </m:ctrlPr>
                  </m:deg>
                  <m:e>
                    <m:f>
                      <m:fPr>
                        <m:ctrlPr>
                          <w:rPr>
                            <w:rFonts w:ascii="Cambria Math" w:hAnsi="Cambria Math"/>
                            <w:i/>
                            <w:color w:val="000000"/>
                            <w:sz w:val="24"/>
                            <w:szCs w:val="24"/>
                          </w:rPr>
                        </m:ctrlPr>
                      </m:fPr>
                      <m:num>
                        <m:r>
                          <m:rPr/>
                          <w:rPr>
                            <w:rFonts w:ascii="Cambria Math" w:hAnsi="Cambria Math"/>
                            <w:color w:val="000000"/>
                            <w:sz w:val="24"/>
                            <w:szCs w:val="24"/>
                          </w:rPr>
                          <m:t>1</m:t>
                        </m:r>
                        <m:ctrlPr>
                          <w:rPr>
                            <w:rFonts w:ascii="Cambria Math" w:hAnsi="Cambria Math"/>
                            <w:i/>
                            <w:color w:val="000000"/>
                            <w:sz w:val="24"/>
                            <w:szCs w:val="24"/>
                          </w:rPr>
                        </m:ctrlPr>
                      </m:num>
                      <m:den>
                        <m:nary>
                          <m:naryPr>
                            <m:chr m:val="∑"/>
                            <m:limLoc m:val="undOvr"/>
                            <m:ctrlPr>
                              <w:rPr>
                                <w:rFonts w:ascii="Cambria Math" w:hAnsi="Cambria Math"/>
                                <w:i/>
                                <w:color w:val="000000"/>
                                <w:sz w:val="24"/>
                                <w:szCs w:val="24"/>
                              </w:rPr>
                            </m:ctrlPr>
                          </m:naryPr>
                          <m:sub>
                            <m:r>
                              <m:rPr/>
                              <w:rPr>
                                <w:rFonts w:ascii="Cambria Math" w:hAnsi="Cambria Math"/>
                                <w:color w:val="000000"/>
                                <w:sz w:val="24"/>
                                <w:szCs w:val="24"/>
                              </w:rPr>
                              <m:t>i=1</m:t>
                            </m:r>
                            <m:ctrlPr>
                              <w:rPr>
                                <w:rFonts w:ascii="Cambria Math" w:hAnsi="Cambria Math"/>
                                <w:i/>
                                <w:color w:val="000000"/>
                                <w:sz w:val="24"/>
                                <w:szCs w:val="24"/>
                              </w:rPr>
                            </m:ctrlPr>
                          </m:sub>
                          <m:sup>
                            <m:r>
                              <m:rPr/>
                              <w:rPr>
                                <w:rFonts w:ascii="Cambria Math" w:hAnsi="Cambria Math"/>
                                <w:color w:val="000000"/>
                                <w:sz w:val="24"/>
                                <w:szCs w:val="24"/>
                              </w:rPr>
                              <m:t>n</m:t>
                            </m:r>
                            <m:ctrlPr>
                              <w:rPr>
                                <w:rFonts w:ascii="Cambria Math" w:hAnsi="Cambria Math"/>
                                <w:i/>
                                <w:color w:val="000000"/>
                                <w:sz w:val="24"/>
                                <w:szCs w:val="24"/>
                              </w:rPr>
                            </m:ctrlPr>
                          </m:sup>
                          <m:e>
                            <m:f>
                              <m:fPr>
                                <m:ctrlPr>
                                  <w:rPr>
                                    <w:rFonts w:ascii="Cambria Math" w:hAnsi="Cambria Math"/>
                                    <w:i/>
                                    <w:color w:val="000000"/>
                                    <w:sz w:val="24"/>
                                    <w:szCs w:val="24"/>
                                  </w:rPr>
                                </m:ctrlPr>
                              </m:fPr>
                              <m:num>
                                <m:r>
                                  <m:rPr/>
                                  <w:rPr>
                                    <w:rFonts w:ascii="Cambria Math" w:hAnsi="Cambria Math"/>
                                    <w:color w:val="000000"/>
                                    <w:sz w:val="24"/>
                                    <w:szCs w:val="24"/>
                                  </w:rPr>
                                  <m:t>1</m:t>
                                </m:r>
                                <m:ctrlPr>
                                  <w:rPr>
                                    <w:rFonts w:ascii="Cambria Math" w:hAnsi="Cambria Math"/>
                                    <w:i/>
                                    <w:color w:val="000000"/>
                                    <w:sz w:val="24"/>
                                    <w:szCs w:val="24"/>
                                  </w:rPr>
                                </m:ctrlPr>
                              </m:num>
                              <m:den>
                                <m:sSup>
                                  <m:sSupPr>
                                    <m:ctrlPr>
                                      <w:rPr>
                                        <w:rFonts w:ascii="Cambria Math" w:hAnsi="Cambria Math"/>
                                        <w:i/>
                                        <w:color w:val="000000"/>
                                        <w:sz w:val="24"/>
                                        <w:szCs w:val="24"/>
                                      </w:rPr>
                                    </m:ctrlPr>
                                  </m:sSupPr>
                                  <m:e>
                                    <m:sSub>
                                      <m:sSubPr>
                                        <m:ctrlPr>
                                          <w:rPr>
                                            <w:rFonts w:ascii="Cambria Math" w:hAnsi="Cambria Math"/>
                                            <w:i/>
                                            <w:color w:val="000000"/>
                                            <w:sz w:val="24"/>
                                            <w:szCs w:val="24"/>
                                          </w:rPr>
                                        </m:ctrlPr>
                                      </m:sSubPr>
                                      <m:e>
                                        <m:r>
                                          <m:rPr/>
                                          <w:rPr>
                                            <w:rFonts w:ascii="Cambria Math" w:hAnsi="Cambria Math"/>
                                            <w:color w:val="000000"/>
                                            <w:sz w:val="24"/>
                                            <w:szCs w:val="24"/>
                                          </w:rPr>
                                          <m:t>u</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ctrlPr>
                                      <w:rPr>
                                        <w:rFonts w:ascii="Cambria Math" w:hAnsi="Cambria Math"/>
                                        <w:i/>
                                        <w:color w:val="000000"/>
                                        <w:sz w:val="24"/>
                                        <w:szCs w:val="24"/>
                                      </w:rPr>
                                    </m:ctrlPr>
                                  </m:e>
                                  <m:sup>
                                    <m:r>
                                      <m:rPr/>
                                      <w:rPr>
                                        <w:rFonts w:ascii="Cambria Math" w:hAnsi="Cambria Math"/>
                                        <w:color w:val="000000"/>
                                        <w:sz w:val="24"/>
                                        <w:szCs w:val="24"/>
                                      </w:rPr>
                                      <m:t>2</m:t>
                                    </m:r>
                                    <m:ctrlPr>
                                      <w:rPr>
                                        <w:rFonts w:ascii="Cambria Math" w:hAnsi="Cambria Math"/>
                                        <w:i/>
                                        <w:color w:val="000000"/>
                                        <w:sz w:val="24"/>
                                        <w:szCs w:val="24"/>
                                      </w:rPr>
                                    </m:ctrlPr>
                                  </m:sup>
                                </m:sSup>
                                <m:ctrlPr>
                                  <w:rPr>
                                    <w:rFonts w:ascii="Cambria Math" w:hAnsi="Cambria Math"/>
                                    <w:i/>
                                    <w:color w:val="000000"/>
                                    <w:sz w:val="24"/>
                                    <w:szCs w:val="24"/>
                                  </w:rPr>
                                </m:ctrlPr>
                              </m:den>
                            </m:f>
                            <m:ctrlPr>
                              <w:rPr>
                                <w:rFonts w:ascii="Cambria Math" w:hAnsi="Cambria Math"/>
                                <w:i/>
                                <w:color w:val="000000"/>
                                <w:sz w:val="24"/>
                                <w:szCs w:val="24"/>
                              </w:rPr>
                            </m:ctrlPr>
                          </m:e>
                        </m:nary>
                        <m:ctrlPr>
                          <w:rPr>
                            <w:rFonts w:ascii="Cambria Math" w:hAnsi="Cambria Math"/>
                            <w:i/>
                            <w:color w:val="000000"/>
                            <w:sz w:val="24"/>
                            <w:szCs w:val="24"/>
                          </w:rPr>
                        </m:ctrlPr>
                      </m:den>
                    </m:f>
                    <m:ctrlPr>
                      <w:rPr>
                        <w:rFonts w:ascii="Cambria Math" w:hAnsi="Cambria Math"/>
                        <w:i/>
                        <w:color w:val="000000"/>
                        <w:sz w:val="24"/>
                        <w:szCs w:val="24"/>
                      </w:rPr>
                    </m:ctrlPr>
                  </m:e>
                </m:rad>
              </m:oMath>
            </m:oMathPara>
          </w:p>
        </w:tc>
        <w:tc>
          <w:tcPr>
            <w:tcW w:w="759" w:type="dxa"/>
            <w:vAlign w:val="center"/>
          </w:tcPr>
          <w:p>
            <w:pPr>
              <w:spacing w:line="360" w:lineRule="auto"/>
              <w:jc w:val="center"/>
              <w:rPr>
                <w:color w:val="000000"/>
                <w:sz w:val="24"/>
                <w:szCs w:val="24"/>
              </w:rPr>
            </w:pPr>
            <w:r>
              <w:rPr>
                <w:color w:val="000000"/>
                <w:sz w:val="24"/>
                <w:szCs w:val="24"/>
              </w:rPr>
              <w:t>(</w:t>
            </w:r>
            <w:r>
              <w:rPr>
                <w:rFonts w:hint="eastAsia"/>
                <w:color w:val="000000"/>
                <w:sz w:val="24"/>
                <w:szCs w:val="24"/>
              </w:rPr>
              <w:t>C</w:t>
            </w:r>
            <w:r>
              <w:rPr>
                <w:color w:val="000000"/>
                <w:sz w:val="24"/>
                <w:szCs w:val="24"/>
              </w:rPr>
              <w:t>.</w:t>
            </w:r>
            <w:r>
              <w:rPr>
                <w:rFonts w:hint="eastAsia"/>
                <w:color w:val="000000"/>
                <w:sz w:val="24"/>
                <w:szCs w:val="24"/>
              </w:rPr>
              <w:t>4</w:t>
            </w:r>
            <w:r>
              <w:rPr>
                <w:color w:val="000000"/>
                <w:sz w:val="24"/>
                <w:szCs w:val="24"/>
              </w:rPr>
              <w:t>)</w:t>
            </w:r>
          </w:p>
        </w:tc>
      </w:tr>
    </w:tbl>
    <w:p>
      <w:pPr>
        <w:spacing w:line="360" w:lineRule="auto"/>
        <w:rPr>
          <w:color w:val="000000"/>
          <w:sz w:val="24"/>
          <w:szCs w:val="24"/>
        </w:rPr>
      </w:pPr>
      <w:r>
        <w:rPr>
          <w:rFonts w:hint="eastAsia"/>
          <w:color w:val="000000"/>
          <w:sz w:val="24"/>
          <w:szCs w:val="24"/>
        </w:rPr>
        <w:t>C</w:t>
      </w:r>
      <w:r>
        <w:rPr>
          <w:color w:val="000000"/>
          <w:sz w:val="24"/>
          <w:szCs w:val="24"/>
        </w:rPr>
        <w:t xml:space="preserve">.2.2.3 </w:t>
      </w:r>
      <w:r>
        <w:rPr>
          <w:rFonts w:hint="eastAsia"/>
          <w:color w:val="000000"/>
          <w:sz w:val="24"/>
          <w:szCs w:val="24"/>
        </w:rPr>
        <w:t>加权平均计算的数据相容性核验</w:t>
      </w:r>
    </w:p>
    <w:p>
      <w:pPr>
        <w:spacing w:line="360" w:lineRule="auto"/>
        <w:ind w:firstLine="480"/>
        <w:rPr>
          <w:rStyle w:val="45"/>
          <w:color w:val="000000"/>
          <w:sz w:val="24"/>
          <w:szCs w:val="24"/>
        </w:rPr>
      </w:pPr>
      <w:r>
        <w:rPr>
          <w:rFonts w:hint="eastAsia"/>
          <w:sz w:val="24"/>
          <w:szCs w:val="24"/>
        </w:rPr>
        <w:t>加权平均法需采用卡方统计量对参比实验室量值进行相容性检验。在相容性检验通过时，采用通过检验的参比实验室量值进行比对参考值的估算；在相容性检验不通过时，可用卡方统计量对参比实验室量值进行判断，逐次剔除相容性最差的参比实验室的量值，直至相容性检验得以通过，然后再采用通过检验的参比实验室量值进行比对参考值的计算。</w:t>
      </w:r>
    </w:p>
    <w:p>
      <w:pPr>
        <w:spacing w:line="360" w:lineRule="auto"/>
        <w:ind w:firstLine="480"/>
        <w:rPr>
          <w:rStyle w:val="45"/>
          <w:color w:val="000000"/>
          <w:sz w:val="24"/>
          <w:szCs w:val="24"/>
        </w:rPr>
      </w:pPr>
      <w:r>
        <w:rPr>
          <w:rStyle w:val="45"/>
          <w:rFonts w:hint="eastAsia"/>
          <w:color w:val="000000"/>
          <w:sz w:val="24"/>
          <w:szCs w:val="24"/>
        </w:rPr>
        <w:t>对于</w:t>
      </w:r>
      <w:r>
        <w:rPr>
          <w:rStyle w:val="45"/>
          <w:i/>
          <w:iCs/>
          <w:color w:val="000000"/>
          <w:sz w:val="24"/>
          <w:szCs w:val="24"/>
        </w:rPr>
        <w:t>n</w:t>
      </w:r>
      <w:r>
        <w:rPr>
          <w:rStyle w:val="45"/>
          <w:rFonts w:hint="eastAsia"/>
          <w:color w:val="000000"/>
          <w:sz w:val="24"/>
          <w:szCs w:val="24"/>
        </w:rPr>
        <w:t>个比对结果参与参考值估算的情况，</w:t>
      </w:r>
      <w:r>
        <w:rPr>
          <w:rStyle w:val="45"/>
          <w:color w:val="000000"/>
          <w:sz w:val="24"/>
          <w:szCs w:val="24"/>
        </w:rPr>
        <w:t>采用</w:t>
      </w:r>
      <w:r>
        <w:rPr>
          <w:rStyle w:val="45"/>
          <w:rFonts w:hint="eastAsia"/>
          <w:color w:val="000000"/>
          <w:sz w:val="24"/>
          <w:szCs w:val="24"/>
        </w:rPr>
        <w:t>自由度为</w:t>
      </w:r>
      <w:r>
        <w:rPr>
          <w:rStyle w:val="45"/>
          <w:i/>
          <w:iCs/>
          <w:color w:val="000000"/>
          <w:sz w:val="24"/>
          <w:szCs w:val="24"/>
        </w:rPr>
        <w:t>n</w:t>
      </w:r>
      <w:r>
        <w:rPr>
          <w:rStyle w:val="45"/>
          <w:color w:val="000000"/>
          <w:sz w:val="24"/>
          <w:szCs w:val="24"/>
        </w:rPr>
        <w:t>-1</w:t>
      </w:r>
      <w:r>
        <w:rPr>
          <w:rStyle w:val="45"/>
          <w:rFonts w:hint="eastAsia"/>
          <w:color w:val="000000"/>
          <w:sz w:val="24"/>
          <w:szCs w:val="24"/>
        </w:rPr>
        <w:t>的</w:t>
      </w:r>
      <w:r>
        <w:rPr>
          <w:rStyle w:val="45"/>
          <w:color w:val="000000"/>
          <w:sz w:val="24"/>
          <w:szCs w:val="24"/>
        </w:rPr>
        <w:t>卡方统计量</w:t>
      </w:r>
      <m:oMath>
        <m:sSubSup>
          <m:sSubSupPr>
            <m:ctrlPr>
              <w:rPr>
                <w:rFonts w:ascii="Cambria Math" w:hAnsi="Cambria Math"/>
                <w:i/>
                <w:color w:val="000000"/>
                <w:sz w:val="24"/>
                <w:szCs w:val="24"/>
              </w:rPr>
            </m:ctrlPr>
          </m:sSubSupPr>
          <m:e>
            <m:r>
              <m:rPr/>
              <w:rPr>
                <w:rFonts w:ascii="Cambria Math" w:hAnsi="Cambria Math"/>
                <w:color w:val="000000"/>
                <w:sz w:val="24"/>
                <w:szCs w:val="24"/>
              </w:rPr>
              <m:t>χ</m:t>
            </m:r>
            <m:ctrlPr>
              <w:rPr>
                <w:rFonts w:ascii="Cambria Math" w:hAnsi="Cambria Math"/>
                <w:i/>
                <w:color w:val="000000"/>
                <w:sz w:val="24"/>
                <w:szCs w:val="24"/>
              </w:rPr>
            </m:ctrlPr>
          </m:e>
          <m:sub>
            <m:r>
              <m:rPr/>
              <w:rPr>
                <w:rFonts w:hint="eastAsia" w:ascii="Cambria Math" w:hAnsi="Cambria Math"/>
                <w:color w:val="000000"/>
                <w:sz w:val="24"/>
                <w:szCs w:val="24"/>
              </w:rPr>
              <m:t>w</m:t>
            </m:r>
            <m:ctrlPr>
              <w:rPr>
                <w:rFonts w:ascii="Cambria Math" w:hAnsi="Cambria Math"/>
                <w:i/>
                <w:color w:val="000000"/>
                <w:sz w:val="24"/>
                <w:szCs w:val="24"/>
              </w:rPr>
            </m:ctrlPr>
          </m:sub>
          <m:sup>
            <m:r>
              <m:rPr/>
              <w:rPr>
                <w:rFonts w:ascii="Cambria Math" w:hAnsi="Cambria Math"/>
                <w:color w:val="000000"/>
                <w:sz w:val="24"/>
                <w:szCs w:val="24"/>
              </w:rPr>
              <m:t>2</m:t>
            </m:r>
            <m:ctrlPr>
              <w:rPr>
                <w:rFonts w:ascii="Cambria Math" w:hAnsi="Cambria Math"/>
                <w:i/>
                <w:color w:val="000000"/>
                <w:sz w:val="24"/>
                <w:szCs w:val="24"/>
              </w:rPr>
            </m:ctrlPr>
          </m:sup>
        </m:sSubSup>
      </m:oMath>
      <w:r>
        <w:rPr>
          <w:rStyle w:val="45"/>
          <w:rFonts w:hint="eastAsia"/>
          <w:color w:val="000000"/>
          <w:sz w:val="24"/>
          <w:szCs w:val="24"/>
        </w:rPr>
        <w:t>作为加权平均值的相容性检验的统计量，</w:t>
      </w:r>
      <w:r>
        <w:rPr>
          <w:rStyle w:val="45"/>
          <w:color w:val="000000"/>
          <w:sz w:val="24"/>
          <w:szCs w:val="24"/>
        </w:rPr>
        <w:t>如式（</w:t>
      </w:r>
      <w:r>
        <w:rPr>
          <w:rStyle w:val="45"/>
          <w:rFonts w:hint="eastAsia"/>
          <w:color w:val="000000"/>
          <w:sz w:val="24"/>
          <w:szCs w:val="24"/>
        </w:rPr>
        <w:t>C</w:t>
      </w:r>
      <w:r>
        <w:rPr>
          <w:rStyle w:val="45"/>
          <w:color w:val="000000"/>
          <w:sz w:val="24"/>
          <w:szCs w:val="24"/>
        </w:rPr>
        <w:t>.</w:t>
      </w:r>
      <w:r>
        <w:rPr>
          <w:rStyle w:val="45"/>
          <w:rFonts w:hint="eastAsia"/>
          <w:color w:val="000000"/>
          <w:sz w:val="24"/>
          <w:szCs w:val="24"/>
        </w:rPr>
        <w:t>5</w:t>
      </w:r>
      <w:r>
        <w:rPr>
          <w:rStyle w:val="45"/>
          <w:color w:val="000000"/>
          <w:sz w:val="24"/>
          <w:szCs w:val="24"/>
        </w:rPr>
        <w:t>）所示：</w:t>
      </w:r>
    </w:p>
    <w:tbl>
      <w:tblPr>
        <w:tblStyle w:val="20"/>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63"/>
        <w:gridCol w:w="7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63" w:type="dxa"/>
            <w:vAlign w:val="center"/>
          </w:tcPr>
          <w:p>
            <w:pPr>
              <w:spacing w:line="360" w:lineRule="auto"/>
              <w:jc w:val="center"/>
              <w:rPr>
                <w:color w:val="000000"/>
                <w:sz w:val="24"/>
                <w:szCs w:val="24"/>
              </w:rPr>
            </w:pPr>
            <m:oMathPara>
              <m:oMath>
                <m:sSubSup>
                  <m:sSubSupPr>
                    <m:ctrlPr>
                      <w:rPr>
                        <w:rFonts w:ascii="Cambria Math" w:hAnsi="Cambria Math"/>
                        <w:i/>
                        <w:color w:val="000000"/>
                        <w:sz w:val="24"/>
                        <w:szCs w:val="24"/>
                      </w:rPr>
                    </m:ctrlPr>
                  </m:sSubSupPr>
                  <m:e>
                    <m:r>
                      <m:rPr/>
                      <w:rPr>
                        <w:rFonts w:ascii="Cambria Math" w:hAnsi="Cambria Math"/>
                        <w:color w:val="000000"/>
                        <w:sz w:val="24"/>
                        <w:szCs w:val="24"/>
                      </w:rPr>
                      <m:t>χ</m:t>
                    </m:r>
                    <m:ctrlPr>
                      <w:rPr>
                        <w:rFonts w:ascii="Cambria Math" w:hAnsi="Cambria Math"/>
                        <w:i/>
                        <w:color w:val="000000"/>
                        <w:sz w:val="24"/>
                        <w:szCs w:val="24"/>
                      </w:rPr>
                    </m:ctrlPr>
                  </m:e>
                  <m:sub>
                    <m:r>
                      <m:rPr>
                        <m:sty m:val="p"/>
                      </m:rPr>
                      <w:rPr>
                        <w:rFonts w:hint="eastAsia" w:ascii="Cambria Math" w:hAnsi="Cambria Math"/>
                        <w:color w:val="000000"/>
                        <w:sz w:val="24"/>
                        <w:szCs w:val="24"/>
                      </w:rPr>
                      <m:t>w</m:t>
                    </m:r>
                    <m:ctrlPr>
                      <w:rPr>
                        <w:rFonts w:ascii="Cambria Math" w:hAnsi="Cambria Math"/>
                        <w:i/>
                        <w:color w:val="000000"/>
                        <w:sz w:val="24"/>
                        <w:szCs w:val="24"/>
                      </w:rPr>
                    </m:ctrlPr>
                  </m:sub>
                  <m:sup>
                    <m:r>
                      <m:rPr/>
                      <w:rPr>
                        <w:rFonts w:ascii="Cambria Math" w:hAnsi="Cambria Math"/>
                        <w:color w:val="000000"/>
                        <w:sz w:val="24"/>
                        <w:szCs w:val="24"/>
                      </w:rPr>
                      <m:t>2</m:t>
                    </m:r>
                    <m:ctrlPr>
                      <w:rPr>
                        <w:rFonts w:ascii="Cambria Math" w:hAnsi="Cambria Math"/>
                        <w:i/>
                        <w:color w:val="000000"/>
                        <w:sz w:val="24"/>
                        <w:szCs w:val="24"/>
                      </w:rPr>
                    </m:ctrlPr>
                  </m:sup>
                </m:sSubSup>
                <m:r>
                  <m:rPr/>
                  <w:rPr>
                    <w:rFonts w:ascii="Cambria Math" w:hAnsi="Cambria Math"/>
                    <w:color w:val="000000"/>
                    <w:sz w:val="24"/>
                    <w:szCs w:val="24"/>
                  </w:rPr>
                  <m:t>=</m:t>
                </m:r>
                <m:nary>
                  <m:naryPr>
                    <m:chr m:val="∑"/>
                    <m:limLoc m:val="undOvr"/>
                    <m:ctrlPr>
                      <w:rPr>
                        <w:rFonts w:ascii="Cambria Math" w:hAnsi="Cambria Math"/>
                        <w:i/>
                        <w:color w:val="000000"/>
                        <w:sz w:val="24"/>
                        <w:szCs w:val="24"/>
                      </w:rPr>
                    </m:ctrlPr>
                  </m:naryPr>
                  <m:sub>
                    <m:r>
                      <m:rPr/>
                      <w:rPr>
                        <w:rFonts w:ascii="Cambria Math" w:hAnsi="Cambria Math"/>
                        <w:color w:val="000000"/>
                        <w:sz w:val="24"/>
                        <w:szCs w:val="24"/>
                      </w:rPr>
                      <m:t>i=1</m:t>
                    </m:r>
                    <m:ctrlPr>
                      <w:rPr>
                        <w:rFonts w:ascii="Cambria Math" w:hAnsi="Cambria Math"/>
                        <w:i/>
                        <w:color w:val="000000"/>
                        <w:sz w:val="24"/>
                        <w:szCs w:val="24"/>
                      </w:rPr>
                    </m:ctrlPr>
                  </m:sub>
                  <m:sup>
                    <m:r>
                      <m:rPr/>
                      <w:rPr>
                        <w:rFonts w:ascii="Cambria Math" w:hAnsi="Cambria Math"/>
                        <w:color w:val="000000"/>
                        <w:sz w:val="24"/>
                        <w:szCs w:val="24"/>
                      </w:rPr>
                      <m:t>n</m:t>
                    </m:r>
                    <m:ctrlPr>
                      <w:rPr>
                        <w:rFonts w:ascii="Cambria Math" w:hAnsi="Cambria Math"/>
                        <w:i/>
                        <w:color w:val="000000"/>
                        <w:sz w:val="24"/>
                        <w:szCs w:val="24"/>
                      </w:rPr>
                    </m:ctrlPr>
                  </m:sup>
                  <m:e>
                    <m:f>
                      <m:fPr>
                        <m:ctrlPr>
                          <w:rPr>
                            <w:rFonts w:ascii="Cambria Math" w:hAnsi="Cambria Math"/>
                            <w:i/>
                            <w:color w:val="000000"/>
                            <w:sz w:val="24"/>
                            <w:szCs w:val="24"/>
                          </w:rPr>
                        </m:ctrlPr>
                      </m:fPr>
                      <m:num>
                        <m:sSup>
                          <m:sSupPr>
                            <m:ctrlPr>
                              <w:rPr>
                                <w:rFonts w:ascii="Cambria Math" w:hAnsi="Cambria Math"/>
                                <w:i/>
                                <w:color w:val="000000"/>
                                <w:sz w:val="24"/>
                                <w:szCs w:val="24"/>
                              </w:rPr>
                            </m:ctrlPr>
                          </m:sSupPr>
                          <m:e>
                            <m:d>
                              <m:dPr>
                                <m:ctrlPr>
                                  <w:rPr>
                                    <w:rFonts w:ascii="Cambria Math" w:hAnsi="Cambria Math"/>
                                    <w:i/>
                                    <w:color w:val="000000"/>
                                    <w:sz w:val="24"/>
                                    <w:szCs w:val="24"/>
                                  </w:rPr>
                                </m:ctrlPr>
                              </m:dPr>
                              <m:e>
                                <m:sSub>
                                  <m:sSubPr>
                                    <m:ctrlPr>
                                      <w:rPr>
                                        <w:rFonts w:ascii="Cambria Math" w:hAnsi="Cambria Math"/>
                                        <w:i/>
                                        <w:color w:val="000000"/>
                                        <w:sz w:val="24"/>
                                        <w:szCs w:val="24"/>
                                      </w:rPr>
                                    </m:ctrlPr>
                                  </m:sSubPr>
                                  <m:e>
                                    <m:r>
                                      <m:rPr/>
                                      <w:rPr>
                                        <w:rFonts w:ascii="Cambria Math" w:hAnsi="Cambria Math"/>
                                        <w:color w:val="000000"/>
                                        <w:sz w:val="24"/>
                                        <w:szCs w:val="24"/>
                                      </w:rPr>
                                      <m:t>y</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r>
                                  <m:rPr/>
                                  <w:rPr>
                                    <w:rFonts w:ascii="Cambria Math" w:hAnsi="Cambria Math"/>
                                    <w:color w:val="000000"/>
                                    <w:sz w:val="24"/>
                                    <w:szCs w:val="24"/>
                                  </w:rPr>
                                  <m:t>−</m:t>
                                </m:r>
                                <m:sSub>
                                  <m:sSubPr>
                                    <m:ctrlPr>
                                      <w:rPr>
                                        <w:rFonts w:ascii="Cambria Math" w:hAnsi="Cambria Math"/>
                                        <w:i/>
                                        <w:color w:val="000000"/>
                                        <w:sz w:val="24"/>
                                        <w:szCs w:val="24"/>
                                      </w:rPr>
                                    </m:ctrlPr>
                                  </m:sSubPr>
                                  <m:e>
                                    <m:r>
                                      <m:rPr/>
                                      <w:rPr>
                                        <w:rFonts w:ascii="Cambria Math" w:hAnsi="Cambria Math"/>
                                        <w:color w:val="000000"/>
                                        <w:sz w:val="24"/>
                                        <w:szCs w:val="24"/>
                                      </w:rPr>
                                      <m:t>y</m:t>
                                    </m:r>
                                    <m:ctrlPr>
                                      <w:rPr>
                                        <w:rFonts w:ascii="Cambria Math" w:hAnsi="Cambria Math"/>
                                        <w:i/>
                                        <w:color w:val="000000"/>
                                        <w:sz w:val="24"/>
                                        <w:szCs w:val="24"/>
                                      </w:rPr>
                                    </m:ctrlPr>
                                  </m:e>
                                  <m:sub>
                                    <m:r>
                                      <m:rPr>
                                        <m:sty m:val="p"/>
                                      </m:rPr>
                                      <w:rPr>
                                        <w:rFonts w:ascii="Cambria Math" w:hAnsi="Cambria Math"/>
                                        <w:color w:val="000000"/>
                                        <w:sz w:val="24"/>
                                        <w:szCs w:val="24"/>
                                      </w:rPr>
                                      <m:t>w</m:t>
                                    </m:r>
                                    <m:ctrlPr>
                                      <w:rPr>
                                        <w:rFonts w:ascii="Cambria Math" w:hAnsi="Cambria Math"/>
                                        <w:i/>
                                        <w:color w:val="000000"/>
                                        <w:sz w:val="24"/>
                                        <w:szCs w:val="24"/>
                                      </w:rPr>
                                    </m:ctrlPr>
                                  </m:sub>
                                </m:sSub>
                                <m:ctrlPr>
                                  <w:rPr>
                                    <w:rFonts w:ascii="Cambria Math" w:hAnsi="Cambria Math"/>
                                    <w:i/>
                                    <w:color w:val="000000"/>
                                    <w:sz w:val="24"/>
                                    <w:szCs w:val="24"/>
                                  </w:rPr>
                                </m:ctrlPr>
                              </m:e>
                            </m:d>
                            <m:ctrlPr>
                              <w:rPr>
                                <w:rFonts w:ascii="Cambria Math" w:hAnsi="Cambria Math"/>
                                <w:i/>
                                <w:color w:val="000000"/>
                                <w:sz w:val="24"/>
                                <w:szCs w:val="24"/>
                              </w:rPr>
                            </m:ctrlPr>
                          </m:e>
                          <m:sup>
                            <m:r>
                              <m:rPr/>
                              <w:rPr>
                                <w:rFonts w:ascii="Cambria Math" w:hAnsi="Cambria Math"/>
                                <w:color w:val="000000"/>
                                <w:sz w:val="24"/>
                                <w:szCs w:val="24"/>
                              </w:rPr>
                              <m:t>2</m:t>
                            </m:r>
                            <m:ctrlPr>
                              <w:rPr>
                                <w:rFonts w:ascii="Cambria Math" w:hAnsi="Cambria Math"/>
                                <w:i/>
                                <w:color w:val="000000"/>
                                <w:sz w:val="24"/>
                                <w:szCs w:val="24"/>
                              </w:rPr>
                            </m:ctrlPr>
                          </m:sup>
                        </m:sSup>
                        <m:ctrlPr>
                          <w:rPr>
                            <w:rFonts w:ascii="Cambria Math" w:hAnsi="Cambria Math"/>
                            <w:i/>
                            <w:color w:val="000000"/>
                            <w:sz w:val="24"/>
                            <w:szCs w:val="24"/>
                          </w:rPr>
                        </m:ctrlPr>
                      </m:num>
                      <m:den>
                        <m:sSup>
                          <m:sSupPr>
                            <m:ctrlPr>
                              <w:rPr>
                                <w:rFonts w:ascii="Cambria Math" w:hAnsi="Cambria Math"/>
                                <w:i/>
                                <w:color w:val="000000"/>
                                <w:sz w:val="24"/>
                                <w:szCs w:val="24"/>
                              </w:rPr>
                            </m:ctrlPr>
                          </m:sSupPr>
                          <m:e>
                            <m:sSub>
                              <m:sSubPr>
                                <m:ctrlPr>
                                  <w:rPr>
                                    <w:rFonts w:ascii="Cambria Math" w:hAnsi="Cambria Math"/>
                                    <w:i/>
                                    <w:color w:val="000000"/>
                                    <w:sz w:val="24"/>
                                    <w:szCs w:val="24"/>
                                  </w:rPr>
                                </m:ctrlPr>
                              </m:sSubPr>
                              <m:e>
                                <m:r>
                                  <m:rPr/>
                                  <w:rPr>
                                    <w:rFonts w:ascii="Cambria Math" w:hAnsi="Cambria Math"/>
                                    <w:color w:val="000000"/>
                                    <w:sz w:val="24"/>
                                    <w:szCs w:val="24"/>
                                  </w:rPr>
                                  <m:t>u</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ctrlPr>
                              <w:rPr>
                                <w:rFonts w:ascii="Cambria Math" w:hAnsi="Cambria Math"/>
                                <w:i/>
                                <w:color w:val="000000"/>
                                <w:sz w:val="24"/>
                                <w:szCs w:val="24"/>
                              </w:rPr>
                            </m:ctrlPr>
                          </m:e>
                          <m:sup>
                            <m:r>
                              <m:rPr/>
                              <w:rPr>
                                <w:rFonts w:ascii="Cambria Math" w:hAnsi="Cambria Math"/>
                                <w:color w:val="000000"/>
                                <w:sz w:val="24"/>
                                <w:szCs w:val="24"/>
                              </w:rPr>
                              <m:t>2</m:t>
                            </m:r>
                            <m:ctrlPr>
                              <w:rPr>
                                <w:rFonts w:ascii="Cambria Math" w:hAnsi="Cambria Math"/>
                                <w:i/>
                                <w:color w:val="000000"/>
                                <w:sz w:val="24"/>
                                <w:szCs w:val="24"/>
                              </w:rPr>
                            </m:ctrlPr>
                          </m:sup>
                        </m:sSup>
                        <m:ctrlPr>
                          <w:rPr>
                            <w:rFonts w:ascii="Cambria Math" w:hAnsi="Cambria Math"/>
                            <w:i/>
                            <w:color w:val="000000"/>
                            <w:sz w:val="24"/>
                            <w:szCs w:val="24"/>
                          </w:rPr>
                        </m:ctrlPr>
                      </m:den>
                    </m:f>
                    <m:ctrlPr>
                      <w:rPr>
                        <w:rFonts w:ascii="Cambria Math" w:hAnsi="Cambria Math"/>
                        <w:i/>
                        <w:color w:val="000000"/>
                        <w:sz w:val="24"/>
                        <w:szCs w:val="24"/>
                      </w:rPr>
                    </m:ctrlPr>
                  </m:e>
                </m:nary>
              </m:oMath>
            </m:oMathPara>
          </w:p>
        </w:tc>
        <w:tc>
          <w:tcPr>
            <w:tcW w:w="759" w:type="dxa"/>
            <w:vAlign w:val="center"/>
          </w:tcPr>
          <w:p>
            <w:pPr>
              <w:spacing w:line="360" w:lineRule="auto"/>
              <w:jc w:val="center"/>
              <w:rPr>
                <w:color w:val="000000"/>
                <w:sz w:val="24"/>
                <w:szCs w:val="24"/>
              </w:rPr>
            </w:pPr>
            <w:r>
              <w:rPr>
                <w:color w:val="000000"/>
                <w:sz w:val="24"/>
                <w:szCs w:val="24"/>
              </w:rPr>
              <w:t>(</w:t>
            </w:r>
            <w:r>
              <w:rPr>
                <w:rFonts w:hint="eastAsia"/>
                <w:color w:val="000000"/>
                <w:sz w:val="24"/>
                <w:szCs w:val="24"/>
              </w:rPr>
              <w:t>C</w:t>
            </w:r>
            <w:r>
              <w:rPr>
                <w:color w:val="000000"/>
                <w:sz w:val="24"/>
                <w:szCs w:val="24"/>
              </w:rPr>
              <w:t>.</w:t>
            </w:r>
            <w:r>
              <w:rPr>
                <w:rFonts w:hint="eastAsia"/>
                <w:color w:val="000000"/>
                <w:sz w:val="24"/>
                <w:szCs w:val="24"/>
              </w:rPr>
              <w:t>5</w:t>
            </w:r>
            <w:r>
              <w:rPr>
                <w:color w:val="000000"/>
                <w:sz w:val="24"/>
                <w:szCs w:val="24"/>
              </w:rPr>
              <w:t>)</w:t>
            </w:r>
          </w:p>
        </w:tc>
      </w:tr>
    </w:tbl>
    <w:p>
      <w:pPr>
        <w:spacing w:line="360" w:lineRule="auto"/>
        <w:rPr>
          <w:rStyle w:val="45"/>
          <w:color w:val="000000"/>
          <w:sz w:val="24"/>
          <w:szCs w:val="24"/>
        </w:rPr>
      </w:pPr>
      <w:r>
        <w:rPr>
          <w:color w:val="000000"/>
          <w:sz w:val="24"/>
          <w:szCs w:val="24"/>
        </w:rPr>
        <w:t>式中：</w:t>
      </w:r>
      <m:oMath>
        <m:sSubSup>
          <m:sSubSupPr>
            <m:ctrlPr>
              <w:rPr>
                <w:rFonts w:ascii="Cambria Math" w:hAnsi="Cambria Math"/>
                <w:i/>
                <w:color w:val="000000"/>
                <w:sz w:val="24"/>
                <w:szCs w:val="24"/>
              </w:rPr>
            </m:ctrlPr>
          </m:sSubSupPr>
          <m:e>
            <m:r>
              <m:rPr/>
              <w:rPr>
                <w:rFonts w:ascii="Cambria Math" w:hAnsi="Cambria Math"/>
                <w:color w:val="000000"/>
                <w:sz w:val="24"/>
                <w:szCs w:val="24"/>
              </w:rPr>
              <m:t>χ</m:t>
            </m:r>
            <m:ctrlPr>
              <w:rPr>
                <w:rFonts w:ascii="Cambria Math" w:hAnsi="Cambria Math"/>
                <w:i/>
                <w:color w:val="000000"/>
                <w:sz w:val="24"/>
                <w:szCs w:val="24"/>
              </w:rPr>
            </m:ctrlPr>
          </m:e>
          <m:sub>
            <m:r>
              <m:rPr/>
              <w:rPr>
                <w:rFonts w:hint="eastAsia" w:ascii="Cambria Math" w:hAnsi="Cambria Math"/>
                <w:color w:val="000000"/>
                <w:sz w:val="24"/>
                <w:szCs w:val="24"/>
              </w:rPr>
              <m:t>w</m:t>
            </m:r>
            <m:ctrlPr>
              <w:rPr>
                <w:rFonts w:ascii="Cambria Math" w:hAnsi="Cambria Math"/>
                <w:i/>
                <w:color w:val="000000"/>
                <w:sz w:val="24"/>
                <w:szCs w:val="24"/>
              </w:rPr>
            </m:ctrlPr>
          </m:sub>
          <m:sup>
            <m:r>
              <m:rPr/>
              <w:rPr>
                <w:rFonts w:ascii="Cambria Math" w:hAnsi="Cambria Math"/>
                <w:color w:val="000000"/>
                <w:sz w:val="24"/>
                <w:szCs w:val="24"/>
              </w:rPr>
              <m:t>2</m:t>
            </m:r>
            <m:ctrlPr>
              <w:rPr>
                <w:rFonts w:ascii="Cambria Math" w:hAnsi="Cambria Math"/>
                <w:i/>
                <w:color w:val="000000"/>
                <w:sz w:val="24"/>
                <w:szCs w:val="24"/>
              </w:rPr>
            </m:ctrlPr>
          </m:sup>
        </m:sSubSup>
      </m:oMath>
      <w:r>
        <w:rPr>
          <w:rStyle w:val="45"/>
          <w:color w:val="000000"/>
          <w:sz w:val="24"/>
          <w:szCs w:val="24"/>
        </w:rPr>
        <w:t>——</w:t>
      </w:r>
      <w:r>
        <w:rPr>
          <w:rStyle w:val="45"/>
          <w:rFonts w:hint="eastAsia"/>
          <w:color w:val="000000"/>
          <w:sz w:val="24"/>
          <w:szCs w:val="24"/>
        </w:rPr>
        <w:t>加权平均值</w:t>
      </w:r>
      <w:r>
        <w:rPr>
          <w:rStyle w:val="45"/>
          <w:color w:val="000000"/>
          <w:sz w:val="24"/>
          <w:szCs w:val="24"/>
        </w:rPr>
        <w:t>的卡方统计量</w:t>
      </w:r>
      <w:r>
        <w:rPr>
          <w:rStyle w:val="45"/>
          <w:rFonts w:hint="eastAsia"/>
          <w:color w:val="000000"/>
          <w:sz w:val="24"/>
          <w:szCs w:val="24"/>
        </w:rPr>
        <w:t>，自由度为</w:t>
      </w:r>
      <w:r>
        <w:rPr>
          <w:i/>
          <w:iCs/>
          <w:color w:val="000000"/>
          <w:sz w:val="24"/>
          <w:szCs w:val="24"/>
        </w:rPr>
        <w:t>n</w:t>
      </w:r>
      <w:r>
        <w:rPr>
          <w:color w:val="000000"/>
          <w:sz w:val="24"/>
          <w:szCs w:val="24"/>
        </w:rPr>
        <w:t>-1</w:t>
      </w:r>
      <w:r>
        <w:rPr>
          <w:rStyle w:val="45"/>
          <w:color w:val="000000"/>
          <w:sz w:val="24"/>
          <w:szCs w:val="24"/>
        </w:rPr>
        <w:t>。</w:t>
      </w:r>
    </w:p>
    <w:p>
      <w:pPr>
        <w:spacing w:line="360" w:lineRule="auto"/>
        <w:ind w:firstLine="480" w:firstLineChars="200"/>
        <w:rPr>
          <w:rStyle w:val="45"/>
          <w:color w:val="000000"/>
          <w:sz w:val="24"/>
          <w:szCs w:val="24"/>
        </w:rPr>
      </w:pPr>
      <w:r>
        <w:rPr>
          <w:rStyle w:val="45"/>
          <w:rFonts w:hint="eastAsia"/>
          <w:color w:val="000000"/>
          <w:sz w:val="24"/>
          <w:szCs w:val="24"/>
        </w:rPr>
        <w:t>使用卡方统计量</w:t>
      </w:r>
      <m:oMath>
        <m:sSubSup>
          <m:sSubSupPr>
            <m:ctrlPr>
              <w:rPr>
                <w:rFonts w:ascii="Cambria Math" w:hAnsi="Cambria Math"/>
                <w:i/>
                <w:color w:val="000000"/>
                <w:sz w:val="24"/>
                <w:szCs w:val="24"/>
              </w:rPr>
            </m:ctrlPr>
          </m:sSubSupPr>
          <m:e>
            <m:r>
              <m:rPr/>
              <w:rPr>
                <w:rFonts w:ascii="Cambria Math" w:hAnsi="Cambria Math"/>
                <w:color w:val="000000"/>
                <w:sz w:val="24"/>
                <w:szCs w:val="24"/>
              </w:rPr>
              <m:t>χ</m:t>
            </m:r>
            <m:ctrlPr>
              <w:rPr>
                <w:rFonts w:ascii="Cambria Math" w:hAnsi="Cambria Math"/>
                <w:i/>
                <w:color w:val="000000"/>
                <w:sz w:val="24"/>
                <w:szCs w:val="24"/>
              </w:rPr>
            </m:ctrlPr>
          </m:e>
          <m:sub>
            <m:r>
              <m:rPr/>
              <w:rPr>
                <w:rFonts w:hint="eastAsia" w:ascii="Cambria Math" w:hAnsi="Cambria Math"/>
                <w:color w:val="000000"/>
                <w:sz w:val="24"/>
                <w:szCs w:val="24"/>
              </w:rPr>
              <m:t>w</m:t>
            </m:r>
            <m:ctrlPr>
              <w:rPr>
                <w:rFonts w:ascii="Cambria Math" w:hAnsi="Cambria Math"/>
                <w:i/>
                <w:color w:val="000000"/>
                <w:sz w:val="24"/>
                <w:szCs w:val="24"/>
              </w:rPr>
            </m:ctrlPr>
          </m:sub>
          <m:sup>
            <m:r>
              <m:rPr/>
              <w:rPr>
                <w:rFonts w:ascii="Cambria Math" w:hAnsi="Cambria Math"/>
                <w:color w:val="000000"/>
                <w:sz w:val="24"/>
                <w:szCs w:val="24"/>
              </w:rPr>
              <m:t>2</m:t>
            </m:r>
            <m:ctrlPr>
              <w:rPr>
                <w:rFonts w:ascii="Cambria Math" w:hAnsi="Cambria Math"/>
                <w:i/>
                <w:color w:val="000000"/>
                <w:sz w:val="24"/>
                <w:szCs w:val="24"/>
              </w:rPr>
            </m:ctrlPr>
          </m:sup>
        </m:sSubSup>
      </m:oMath>
      <w:r>
        <w:rPr>
          <w:rStyle w:val="45"/>
          <w:rFonts w:hint="eastAsia"/>
          <w:color w:val="000000"/>
          <w:sz w:val="24"/>
          <w:szCs w:val="24"/>
        </w:rPr>
        <w:t>的检验步骤（如图C</w:t>
      </w:r>
      <w:r>
        <w:rPr>
          <w:rStyle w:val="45"/>
          <w:color w:val="000000"/>
          <w:sz w:val="24"/>
          <w:szCs w:val="24"/>
        </w:rPr>
        <w:t>.1</w:t>
      </w:r>
      <w:r>
        <w:rPr>
          <w:rStyle w:val="45"/>
          <w:rFonts w:hint="eastAsia"/>
          <w:color w:val="000000"/>
          <w:sz w:val="24"/>
          <w:szCs w:val="24"/>
        </w:rPr>
        <w:t>）如下：</w:t>
      </w:r>
    </w:p>
    <w:p>
      <w:pPr>
        <w:pStyle w:val="46"/>
        <w:spacing w:line="360" w:lineRule="auto"/>
        <w:ind w:left="480" w:firstLine="240" w:firstLineChars="100"/>
        <w:rPr>
          <w:rStyle w:val="45"/>
          <w:rFonts w:ascii="Times New Roman" w:hAnsi="Times New Roman"/>
          <w:color w:val="000000"/>
          <w:sz w:val="24"/>
          <w:szCs w:val="24"/>
        </w:rPr>
      </w:pPr>
      <w:r>
        <w:rPr>
          <w:rStyle w:val="45"/>
          <w:rFonts w:hint="eastAsia" w:ascii="Times New Roman" w:hAnsi="Times New Roman"/>
          <w:color w:val="000000"/>
          <w:sz w:val="24"/>
          <w:szCs w:val="24"/>
        </w:rPr>
        <w:t>1）有</w:t>
      </w:r>
      <w:r>
        <w:rPr>
          <w:rStyle w:val="45"/>
          <w:rFonts w:ascii="Times New Roman" w:hAnsi="Times New Roman"/>
          <w:i/>
          <w:iCs/>
          <w:color w:val="000000"/>
          <w:sz w:val="24"/>
          <w:szCs w:val="24"/>
        </w:rPr>
        <w:t>m</w:t>
      </w:r>
      <w:r>
        <w:rPr>
          <w:rFonts w:ascii="Times New Roman" w:hAnsi="Times New Roman"/>
          <w:color w:val="000000"/>
          <w:sz w:val="24"/>
          <w:szCs w:val="24"/>
        </w:rPr>
        <w:t>个</w:t>
      </w:r>
      <w:r>
        <w:rPr>
          <w:rStyle w:val="45"/>
          <w:rFonts w:hint="eastAsia" w:ascii="Times New Roman" w:hAnsi="Times New Roman"/>
          <w:color w:val="000000"/>
          <w:sz w:val="24"/>
          <w:szCs w:val="24"/>
        </w:rPr>
        <w:t>参比实验室参与参考值的估算，最初</w:t>
      </w:r>
      <w:r>
        <w:rPr>
          <w:rStyle w:val="45"/>
          <w:rFonts w:ascii="Times New Roman" w:hAnsi="Times New Roman"/>
          <w:i/>
          <w:color w:val="000000"/>
          <w:sz w:val="24"/>
          <w:szCs w:val="24"/>
        </w:rPr>
        <w:t>m</w:t>
      </w:r>
      <w:r>
        <w:rPr>
          <w:rStyle w:val="45"/>
          <w:rFonts w:hint="eastAsia" w:ascii="Times New Roman" w:hAnsi="Times New Roman"/>
          <w:color w:val="000000"/>
          <w:sz w:val="24"/>
          <w:szCs w:val="24"/>
        </w:rPr>
        <w:t>=</w:t>
      </w:r>
      <w:r>
        <w:rPr>
          <w:rStyle w:val="45"/>
          <w:rFonts w:ascii="Times New Roman" w:hAnsi="Times New Roman"/>
          <w:i/>
          <w:color w:val="000000"/>
          <w:sz w:val="24"/>
          <w:szCs w:val="24"/>
        </w:rPr>
        <w:t>n</w:t>
      </w:r>
      <w:r>
        <w:rPr>
          <w:rStyle w:val="45"/>
          <w:rFonts w:hint="eastAsia" w:ascii="Times New Roman" w:hAnsi="Times New Roman"/>
          <w:color w:val="000000"/>
          <w:sz w:val="24"/>
          <w:szCs w:val="24"/>
        </w:rPr>
        <w:t>，采用C</w:t>
      </w:r>
      <w:r>
        <w:rPr>
          <w:rStyle w:val="45"/>
          <w:rFonts w:ascii="Times New Roman" w:hAnsi="Times New Roman"/>
          <w:color w:val="000000"/>
          <w:sz w:val="24"/>
          <w:szCs w:val="24"/>
        </w:rPr>
        <w:t>2.2.2</w:t>
      </w:r>
      <w:r>
        <w:rPr>
          <w:rStyle w:val="45"/>
          <w:rFonts w:hint="eastAsia" w:ascii="Times New Roman" w:hAnsi="Times New Roman"/>
          <w:color w:val="000000"/>
          <w:sz w:val="24"/>
          <w:szCs w:val="24"/>
        </w:rPr>
        <w:t>方法计算得到卡方统计量</w:t>
      </w:r>
      <m:oMath>
        <m:sSubSup>
          <m:sSubSupPr>
            <m:ctrlPr>
              <w:rPr>
                <w:rFonts w:ascii="Cambria Math" w:hAnsi="Cambria Math"/>
                <w:i/>
                <w:color w:val="000000"/>
                <w:sz w:val="24"/>
                <w:szCs w:val="24"/>
              </w:rPr>
            </m:ctrlPr>
          </m:sSubSupPr>
          <m:e>
            <m:r>
              <m:rPr/>
              <w:rPr>
                <w:rFonts w:ascii="Cambria Math" w:hAnsi="Cambria Math"/>
                <w:color w:val="000000"/>
                <w:sz w:val="24"/>
                <w:szCs w:val="24"/>
              </w:rPr>
              <m:t>χ</m:t>
            </m:r>
            <m:ctrlPr>
              <w:rPr>
                <w:rFonts w:ascii="Cambria Math" w:hAnsi="Cambria Math"/>
                <w:i/>
                <w:color w:val="000000"/>
                <w:sz w:val="24"/>
                <w:szCs w:val="24"/>
              </w:rPr>
            </m:ctrlPr>
          </m:e>
          <m:sub>
            <m:r>
              <m:rPr>
                <m:sty m:val="p"/>
              </m:rPr>
              <w:rPr>
                <w:rFonts w:hint="eastAsia" w:ascii="Cambria Math" w:hAnsi="Cambria Math"/>
                <w:color w:val="000000"/>
                <w:sz w:val="24"/>
                <w:szCs w:val="24"/>
              </w:rPr>
              <m:t>w</m:t>
            </m:r>
            <m:ctrlPr>
              <w:rPr>
                <w:rFonts w:ascii="Cambria Math" w:hAnsi="Cambria Math"/>
                <w:i/>
                <w:color w:val="000000"/>
                <w:sz w:val="24"/>
                <w:szCs w:val="24"/>
              </w:rPr>
            </m:ctrlPr>
          </m:sub>
          <m:sup>
            <m:r>
              <m:rPr/>
              <w:rPr>
                <w:rFonts w:ascii="Cambria Math" w:hAnsi="Cambria Math"/>
                <w:color w:val="000000"/>
                <w:sz w:val="24"/>
                <w:szCs w:val="24"/>
              </w:rPr>
              <m:t>2</m:t>
            </m:r>
            <m:ctrlPr>
              <w:rPr>
                <w:rFonts w:ascii="Cambria Math" w:hAnsi="Cambria Math"/>
                <w:i/>
                <w:color w:val="000000"/>
                <w:sz w:val="24"/>
                <w:szCs w:val="24"/>
              </w:rPr>
            </m:ctrlPr>
          </m:sup>
        </m:sSubSup>
      </m:oMath>
      <w:r>
        <w:rPr>
          <w:rStyle w:val="45"/>
          <w:rFonts w:hint="eastAsia" w:ascii="Times New Roman" w:hAnsi="Times New Roman"/>
          <w:color w:val="000000"/>
          <w:sz w:val="24"/>
          <w:szCs w:val="24"/>
        </w:rPr>
        <w:t>。自由度为</w:t>
      </w:r>
      <w:r>
        <w:rPr>
          <w:rFonts w:hint="eastAsia" w:ascii="Times New Roman" w:hAnsi="Times New Roman"/>
          <w:i/>
          <w:iCs/>
          <w:color w:val="000000"/>
          <w:sz w:val="24"/>
          <w:szCs w:val="24"/>
        </w:rPr>
        <w:t>m</w:t>
      </w:r>
      <w:r>
        <w:rPr>
          <w:rFonts w:ascii="Times New Roman" w:hAnsi="Times New Roman"/>
          <w:color w:val="000000"/>
          <w:sz w:val="24"/>
          <w:szCs w:val="24"/>
        </w:rPr>
        <w:t>-1</w:t>
      </w:r>
      <w:r>
        <w:rPr>
          <w:rStyle w:val="45"/>
          <w:rFonts w:hint="eastAsia" w:ascii="Times New Roman" w:hAnsi="Times New Roman"/>
          <w:color w:val="000000"/>
          <w:sz w:val="24"/>
          <w:szCs w:val="24"/>
        </w:rPr>
        <w:t>的卡方统计量0</w:t>
      </w:r>
      <w:r>
        <w:rPr>
          <w:rStyle w:val="45"/>
          <w:rFonts w:ascii="Times New Roman" w:hAnsi="Times New Roman"/>
          <w:color w:val="000000"/>
          <w:sz w:val="24"/>
          <w:szCs w:val="24"/>
        </w:rPr>
        <w:t>.95</w:t>
      </w:r>
      <w:r>
        <w:rPr>
          <w:rStyle w:val="45"/>
          <w:rFonts w:hint="eastAsia" w:ascii="Times New Roman" w:hAnsi="Times New Roman"/>
          <w:color w:val="000000"/>
          <w:sz w:val="24"/>
          <w:szCs w:val="24"/>
        </w:rPr>
        <w:t>分位点值（查表C.</w:t>
      </w:r>
      <w:r>
        <w:rPr>
          <w:rStyle w:val="45"/>
          <w:rFonts w:ascii="Times New Roman" w:hAnsi="Times New Roman"/>
          <w:color w:val="000000"/>
          <w:sz w:val="24"/>
          <w:szCs w:val="24"/>
        </w:rPr>
        <w:t>1</w:t>
      </w:r>
      <w:r>
        <w:rPr>
          <w:rStyle w:val="45"/>
          <w:rFonts w:hint="eastAsia" w:ascii="Times New Roman" w:hAnsi="Times New Roman"/>
          <w:color w:val="000000"/>
          <w:sz w:val="24"/>
          <w:szCs w:val="24"/>
        </w:rPr>
        <w:t>，该值简记为“</w:t>
      </w:r>
      <m:oMath>
        <m:sSubSup>
          <m:sSubSupPr>
            <m:ctrlPr>
              <w:rPr>
                <w:rFonts w:ascii="Cambria Math" w:hAnsi="Cambria Math"/>
                <w:i/>
                <w:color w:val="000000"/>
                <w:sz w:val="24"/>
                <w:szCs w:val="24"/>
              </w:rPr>
            </m:ctrlPr>
          </m:sSubSupPr>
          <m:e>
            <m:r>
              <m:rPr/>
              <w:rPr>
                <w:rFonts w:ascii="Cambria Math" w:hAnsi="Cambria Math"/>
                <w:color w:val="000000"/>
                <w:sz w:val="24"/>
                <w:szCs w:val="24"/>
              </w:rPr>
              <m:t>χ</m:t>
            </m:r>
            <m:ctrlPr>
              <w:rPr>
                <w:rFonts w:ascii="Cambria Math" w:hAnsi="Cambria Math"/>
                <w:i/>
                <w:color w:val="000000"/>
                <w:sz w:val="24"/>
                <w:szCs w:val="24"/>
              </w:rPr>
            </m:ctrlPr>
          </m:e>
          <m:sub>
            <m:r>
              <m:rPr/>
              <w:rPr>
                <w:rFonts w:hint="eastAsia" w:ascii="Cambria Math" w:hAnsi="Cambria Math"/>
                <w:color w:val="000000"/>
                <w:sz w:val="24"/>
                <w:szCs w:val="24"/>
              </w:rPr>
              <m:t>m</m:t>
            </m:r>
            <m:r>
              <m:rPr/>
              <w:rPr>
                <w:rFonts w:hint="eastAsia" w:ascii="Cambria Math" w:hAnsi="Cambria Math" w:eastAsia="微软雅黑" w:cs="微软雅黑"/>
                <w:color w:val="000000"/>
                <w:sz w:val="24"/>
                <w:szCs w:val="24"/>
              </w:rPr>
              <m:t>−</m:t>
            </m:r>
            <m:r>
              <m:rPr/>
              <w:rPr>
                <w:rFonts w:hint="eastAsia" w:ascii="Cambria Math" w:hAnsi="Cambria Math"/>
                <w:color w:val="000000"/>
                <w:sz w:val="24"/>
                <w:szCs w:val="24"/>
              </w:rPr>
              <m:t>1，</m:t>
            </m:r>
            <m:r>
              <m:rPr/>
              <w:rPr>
                <w:rFonts w:ascii="Cambria Math" w:hAnsi="Cambria Math"/>
                <w:color w:val="000000"/>
                <w:sz w:val="24"/>
                <w:szCs w:val="24"/>
              </w:rPr>
              <m:t>0.95</m:t>
            </m:r>
            <m:ctrlPr>
              <w:rPr>
                <w:rFonts w:ascii="Cambria Math" w:hAnsi="Cambria Math"/>
                <w:i/>
                <w:color w:val="000000"/>
                <w:sz w:val="24"/>
                <w:szCs w:val="24"/>
              </w:rPr>
            </m:ctrlPr>
          </m:sub>
          <m:sup>
            <m:r>
              <m:rPr/>
              <w:rPr>
                <w:rFonts w:ascii="Cambria Math" w:hAnsi="Cambria Math"/>
                <w:color w:val="000000"/>
                <w:sz w:val="24"/>
                <w:szCs w:val="24"/>
              </w:rPr>
              <m:t>2</m:t>
            </m:r>
            <m:ctrlPr>
              <w:rPr>
                <w:rFonts w:ascii="Cambria Math" w:hAnsi="Cambria Math"/>
                <w:i/>
                <w:color w:val="000000"/>
                <w:sz w:val="24"/>
                <w:szCs w:val="24"/>
              </w:rPr>
            </m:ctrlPr>
          </m:sup>
        </m:sSubSup>
      </m:oMath>
      <w:r>
        <w:rPr>
          <w:rStyle w:val="45"/>
          <w:rFonts w:hint="eastAsia" w:ascii="Times New Roman" w:hAnsi="Times New Roman"/>
          <w:color w:val="000000"/>
          <w:sz w:val="24"/>
          <w:szCs w:val="24"/>
        </w:rPr>
        <w:t>”）；</w:t>
      </w:r>
    </w:p>
    <w:p>
      <w:pPr>
        <w:pStyle w:val="46"/>
        <w:spacing w:line="360" w:lineRule="auto"/>
        <w:ind w:left="480" w:firstLine="240" w:firstLineChars="100"/>
        <w:rPr>
          <w:rStyle w:val="45"/>
          <w:rFonts w:ascii="Times New Roman" w:hAnsi="Times New Roman"/>
          <w:color w:val="000000"/>
          <w:sz w:val="24"/>
          <w:szCs w:val="24"/>
        </w:rPr>
      </w:pPr>
      <w:r>
        <w:rPr>
          <w:rStyle w:val="45"/>
          <w:rFonts w:hint="eastAsia" w:ascii="Times New Roman" w:hAnsi="Times New Roman"/>
          <w:color w:val="000000"/>
          <w:sz w:val="24"/>
          <w:szCs w:val="24"/>
        </w:rPr>
        <w:t>2）如果</w:t>
      </w:r>
      <m:oMath>
        <m:sSubSup>
          <m:sSubSupPr>
            <m:ctrlPr>
              <w:rPr>
                <w:rFonts w:ascii="Cambria Math" w:hAnsi="Cambria Math"/>
                <w:i/>
                <w:color w:val="000000"/>
                <w:sz w:val="24"/>
                <w:szCs w:val="24"/>
              </w:rPr>
            </m:ctrlPr>
          </m:sSubSupPr>
          <m:e>
            <m:r>
              <m:rPr/>
              <w:rPr>
                <w:rFonts w:ascii="Cambria Math" w:hAnsi="Cambria Math"/>
                <w:color w:val="000000"/>
                <w:sz w:val="24"/>
                <w:szCs w:val="24"/>
              </w:rPr>
              <m:t>χ</m:t>
            </m:r>
            <m:ctrlPr>
              <w:rPr>
                <w:rFonts w:ascii="Cambria Math" w:hAnsi="Cambria Math"/>
                <w:i/>
                <w:color w:val="000000"/>
                <w:sz w:val="24"/>
                <w:szCs w:val="24"/>
              </w:rPr>
            </m:ctrlPr>
          </m:e>
          <m:sub>
            <m:r>
              <m:rPr>
                <m:sty m:val="p"/>
              </m:rPr>
              <w:rPr>
                <w:rFonts w:hint="eastAsia" w:ascii="Cambria Math" w:hAnsi="Cambria Math"/>
                <w:color w:val="000000"/>
                <w:sz w:val="24"/>
                <w:szCs w:val="24"/>
              </w:rPr>
              <m:t>w</m:t>
            </m:r>
            <m:ctrlPr>
              <w:rPr>
                <w:rFonts w:ascii="Cambria Math" w:hAnsi="Cambria Math"/>
                <w:i/>
                <w:color w:val="000000"/>
                <w:sz w:val="24"/>
                <w:szCs w:val="24"/>
              </w:rPr>
            </m:ctrlPr>
          </m:sub>
          <m:sup>
            <m:r>
              <m:rPr/>
              <w:rPr>
                <w:rFonts w:ascii="Cambria Math" w:hAnsi="Cambria Math"/>
                <w:color w:val="000000"/>
                <w:sz w:val="24"/>
                <w:szCs w:val="24"/>
              </w:rPr>
              <m:t>2</m:t>
            </m:r>
            <m:ctrlPr>
              <w:rPr>
                <w:rFonts w:ascii="Cambria Math" w:hAnsi="Cambria Math"/>
                <w:i/>
                <w:color w:val="000000"/>
                <w:sz w:val="24"/>
                <w:szCs w:val="24"/>
              </w:rPr>
            </m:ctrlPr>
          </m:sup>
        </m:sSubSup>
        <m:r>
          <m:rPr/>
          <w:rPr>
            <w:rFonts w:ascii="Cambria Math" w:hAnsi="Cambria Math"/>
            <w:color w:val="000000"/>
            <w:sz w:val="24"/>
            <w:szCs w:val="24"/>
          </w:rPr>
          <m:t>≤</m:t>
        </m:r>
        <m:sSubSup>
          <m:sSubSupPr>
            <m:ctrlPr>
              <w:rPr>
                <w:rFonts w:ascii="Cambria Math" w:hAnsi="Cambria Math"/>
                <w:i/>
                <w:color w:val="000000"/>
                <w:sz w:val="24"/>
                <w:szCs w:val="24"/>
              </w:rPr>
            </m:ctrlPr>
          </m:sSubSupPr>
          <m:e>
            <m:r>
              <m:rPr/>
              <w:rPr>
                <w:rFonts w:ascii="Cambria Math" w:hAnsi="Cambria Math"/>
                <w:color w:val="000000"/>
                <w:sz w:val="24"/>
                <w:szCs w:val="24"/>
              </w:rPr>
              <m:t>χ</m:t>
            </m:r>
            <m:ctrlPr>
              <w:rPr>
                <w:rFonts w:ascii="Cambria Math" w:hAnsi="Cambria Math"/>
                <w:i/>
                <w:color w:val="000000"/>
                <w:sz w:val="24"/>
                <w:szCs w:val="24"/>
              </w:rPr>
            </m:ctrlPr>
          </m:e>
          <m:sub>
            <m:r>
              <m:rPr/>
              <w:rPr>
                <w:rFonts w:hint="eastAsia" w:ascii="Cambria Math" w:hAnsi="Cambria Math"/>
                <w:color w:val="000000"/>
                <w:sz w:val="24"/>
                <w:szCs w:val="24"/>
              </w:rPr>
              <m:t>m</m:t>
            </m:r>
            <m:r>
              <m:rPr/>
              <w:rPr>
                <w:rFonts w:hint="eastAsia" w:ascii="Cambria Math" w:hAnsi="Cambria Math" w:eastAsia="微软雅黑" w:cs="微软雅黑"/>
                <w:color w:val="000000"/>
                <w:sz w:val="24"/>
                <w:szCs w:val="24"/>
              </w:rPr>
              <m:t>−</m:t>
            </m:r>
            <m:r>
              <m:rPr/>
              <w:rPr>
                <w:rFonts w:hint="eastAsia" w:ascii="Cambria Math" w:hAnsi="Cambria Math"/>
                <w:color w:val="000000"/>
                <w:sz w:val="24"/>
                <w:szCs w:val="24"/>
              </w:rPr>
              <m:t>1，</m:t>
            </m:r>
            <m:r>
              <m:rPr/>
              <w:rPr>
                <w:rFonts w:ascii="Cambria Math" w:hAnsi="Cambria Math"/>
                <w:color w:val="000000"/>
                <w:sz w:val="24"/>
                <w:szCs w:val="24"/>
              </w:rPr>
              <m:t>0.95</m:t>
            </m:r>
            <m:ctrlPr>
              <w:rPr>
                <w:rFonts w:ascii="Cambria Math" w:hAnsi="Cambria Math"/>
                <w:i/>
                <w:color w:val="000000"/>
                <w:sz w:val="24"/>
                <w:szCs w:val="24"/>
              </w:rPr>
            </m:ctrlPr>
          </m:sub>
          <m:sup>
            <m:r>
              <m:rPr/>
              <w:rPr>
                <w:rFonts w:ascii="Cambria Math" w:hAnsi="Cambria Math"/>
                <w:color w:val="000000"/>
                <w:sz w:val="24"/>
                <w:szCs w:val="24"/>
              </w:rPr>
              <m:t>2</m:t>
            </m:r>
            <m:ctrlPr>
              <w:rPr>
                <w:rFonts w:ascii="Cambria Math" w:hAnsi="Cambria Math"/>
                <w:i/>
                <w:color w:val="000000"/>
                <w:sz w:val="24"/>
                <w:szCs w:val="24"/>
              </w:rPr>
            </m:ctrlPr>
          </m:sup>
        </m:sSubSup>
      </m:oMath>
      <w:r>
        <w:rPr>
          <w:rStyle w:val="45"/>
          <w:rFonts w:hint="eastAsia" w:ascii="Times New Roman" w:hAnsi="Times New Roman"/>
          <w:color w:val="000000"/>
          <w:sz w:val="24"/>
          <w:szCs w:val="24"/>
        </w:rPr>
        <w:t>，本组数据的相容性检验通过；</w:t>
      </w:r>
    </w:p>
    <w:p>
      <w:pPr>
        <w:pStyle w:val="46"/>
        <w:spacing w:line="360" w:lineRule="auto"/>
        <w:ind w:left="480" w:firstLine="240" w:firstLineChars="100"/>
        <w:rPr>
          <w:rStyle w:val="45"/>
          <w:rFonts w:ascii="Times New Roman" w:hAnsi="Times New Roman"/>
          <w:color w:val="000000"/>
          <w:sz w:val="24"/>
          <w:szCs w:val="24"/>
        </w:rPr>
      </w:pPr>
      <w:r>
        <w:rPr>
          <w:rStyle w:val="45"/>
          <w:rFonts w:hint="eastAsia" w:ascii="Times New Roman" w:hAnsi="Times New Roman"/>
          <w:color w:val="000000"/>
          <w:sz w:val="24"/>
          <w:szCs w:val="24"/>
        </w:rPr>
        <w:t>3）如果</w:t>
      </w:r>
      <m:oMath>
        <m:sSubSup>
          <m:sSubSupPr>
            <m:ctrlPr>
              <w:rPr>
                <w:rFonts w:ascii="Cambria Math" w:hAnsi="Cambria Math"/>
                <w:i/>
                <w:color w:val="000000"/>
                <w:sz w:val="24"/>
                <w:szCs w:val="24"/>
              </w:rPr>
            </m:ctrlPr>
          </m:sSubSupPr>
          <m:e>
            <m:r>
              <m:rPr/>
              <w:rPr>
                <w:rFonts w:ascii="Cambria Math" w:hAnsi="Cambria Math"/>
                <w:color w:val="000000"/>
                <w:sz w:val="24"/>
                <w:szCs w:val="24"/>
              </w:rPr>
              <m:t>χ</m:t>
            </m:r>
            <m:ctrlPr>
              <w:rPr>
                <w:rFonts w:ascii="Cambria Math" w:hAnsi="Cambria Math"/>
                <w:i/>
                <w:color w:val="000000"/>
                <w:sz w:val="24"/>
                <w:szCs w:val="24"/>
              </w:rPr>
            </m:ctrlPr>
          </m:e>
          <m:sub>
            <m:r>
              <m:rPr>
                <m:sty m:val="p"/>
              </m:rPr>
              <w:rPr>
                <w:rFonts w:hint="eastAsia" w:ascii="Cambria Math" w:hAnsi="Cambria Math"/>
                <w:color w:val="000000"/>
                <w:sz w:val="24"/>
                <w:szCs w:val="24"/>
              </w:rPr>
              <m:t>w</m:t>
            </m:r>
            <m:ctrlPr>
              <w:rPr>
                <w:rFonts w:ascii="Cambria Math" w:hAnsi="Cambria Math"/>
                <w:i/>
                <w:color w:val="000000"/>
                <w:sz w:val="24"/>
                <w:szCs w:val="24"/>
              </w:rPr>
            </m:ctrlPr>
          </m:sub>
          <m:sup>
            <m:r>
              <m:rPr/>
              <w:rPr>
                <w:rFonts w:ascii="Cambria Math" w:hAnsi="Cambria Math"/>
                <w:color w:val="000000"/>
                <w:sz w:val="24"/>
                <w:szCs w:val="24"/>
              </w:rPr>
              <m:t>2</m:t>
            </m:r>
            <m:ctrlPr>
              <w:rPr>
                <w:rFonts w:ascii="Cambria Math" w:hAnsi="Cambria Math"/>
                <w:i/>
                <w:color w:val="000000"/>
                <w:sz w:val="24"/>
                <w:szCs w:val="24"/>
              </w:rPr>
            </m:ctrlPr>
          </m:sup>
        </m:sSubSup>
        <m:r>
          <m:rPr/>
          <w:rPr>
            <w:rFonts w:ascii="Cambria Math" w:hAnsi="Cambria Math"/>
            <w:color w:val="000000"/>
            <w:sz w:val="24"/>
            <w:szCs w:val="24"/>
          </w:rPr>
          <m:t>≥</m:t>
        </m:r>
        <m:sSubSup>
          <m:sSubSupPr>
            <m:ctrlPr>
              <w:rPr>
                <w:rFonts w:ascii="Cambria Math" w:hAnsi="Cambria Math"/>
                <w:i/>
                <w:color w:val="000000"/>
                <w:sz w:val="24"/>
                <w:szCs w:val="24"/>
              </w:rPr>
            </m:ctrlPr>
          </m:sSubSupPr>
          <m:e>
            <m:r>
              <m:rPr/>
              <w:rPr>
                <w:rFonts w:ascii="Cambria Math" w:hAnsi="Cambria Math"/>
                <w:color w:val="000000"/>
                <w:sz w:val="24"/>
                <w:szCs w:val="24"/>
              </w:rPr>
              <m:t>χ</m:t>
            </m:r>
            <m:ctrlPr>
              <w:rPr>
                <w:rFonts w:ascii="Cambria Math" w:hAnsi="Cambria Math"/>
                <w:i/>
                <w:color w:val="000000"/>
                <w:sz w:val="24"/>
                <w:szCs w:val="24"/>
              </w:rPr>
            </m:ctrlPr>
          </m:e>
          <m:sub>
            <m:r>
              <m:rPr/>
              <w:rPr>
                <w:rFonts w:hint="eastAsia" w:ascii="Cambria Math" w:hAnsi="Cambria Math"/>
                <w:color w:val="000000"/>
                <w:sz w:val="24"/>
                <w:szCs w:val="24"/>
              </w:rPr>
              <m:t>m</m:t>
            </m:r>
            <m:r>
              <m:rPr/>
              <w:rPr>
                <w:rFonts w:hint="eastAsia" w:ascii="Cambria Math" w:hAnsi="Cambria Math" w:eastAsia="微软雅黑" w:cs="微软雅黑"/>
                <w:color w:val="000000"/>
                <w:sz w:val="24"/>
                <w:szCs w:val="24"/>
              </w:rPr>
              <m:t>−</m:t>
            </m:r>
            <m:r>
              <m:rPr/>
              <w:rPr>
                <w:rFonts w:hint="eastAsia" w:ascii="Cambria Math" w:hAnsi="Cambria Math"/>
                <w:color w:val="000000"/>
                <w:sz w:val="24"/>
                <w:szCs w:val="24"/>
              </w:rPr>
              <m:t>1，</m:t>
            </m:r>
            <m:r>
              <m:rPr/>
              <w:rPr>
                <w:rFonts w:ascii="Cambria Math" w:hAnsi="Cambria Math"/>
                <w:color w:val="000000"/>
                <w:sz w:val="24"/>
                <w:szCs w:val="24"/>
              </w:rPr>
              <m:t>0.95</m:t>
            </m:r>
            <m:ctrlPr>
              <w:rPr>
                <w:rFonts w:ascii="Cambria Math" w:hAnsi="Cambria Math"/>
                <w:i/>
                <w:color w:val="000000"/>
                <w:sz w:val="24"/>
                <w:szCs w:val="24"/>
              </w:rPr>
            </m:ctrlPr>
          </m:sub>
          <m:sup>
            <m:r>
              <m:rPr/>
              <w:rPr>
                <w:rFonts w:ascii="Cambria Math" w:hAnsi="Cambria Math"/>
                <w:color w:val="000000"/>
                <w:sz w:val="24"/>
                <w:szCs w:val="24"/>
              </w:rPr>
              <m:t>2</m:t>
            </m:r>
            <m:ctrlPr>
              <w:rPr>
                <w:rFonts w:ascii="Cambria Math" w:hAnsi="Cambria Math"/>
                <w:i/>
                <w:color w:val="000000"/>
                <w:sz w:val="24"/>
                <w:szCs w:val="24"/>
              </w:rPr>
            </m:ctrlPr>
          </m:sup>
        </m:sSubSup>
      </m:oMath>
      <w:r>
        <w:rPr>
          <w:rStyle w:val="45"/>
          <w:rFonts w:hint="eastAsia" w:ascii="Times New Roman" w:hAnsi="Times New Roman"/>
          <w:color w:val="000000"/>
          <w:sz w:val="24"/>
          <w:szCs w:val="24"/>
        </w:rPr>
        <w:t>，对本组数据的相容性检验失败；</w:t>
      </w:r>
    </w:p>
    <w:p>
      <w:pPr>
        <w:pStyle w:val="46"/>
        <w:spacing w:line="360" w:lineRule="auto"/>
        <w:ind w:left="480" w:firstLine="240" w:firstLineChars="100"/>
        <w:rPr>
          <w:rStyle w:val="45"/>
          <w:rFonts w:ascii="Times New Roman" w:hAnsi="Times New Roman"/>
          <w:color w:val="000000"/>
          <w:sz w:val="24"/>
          <w:szCs w:val="24"/>
        </w:rPr>
      </w:pPr>
      <w:r>
        <w:rPr>
          <w:rStyle w:val="45"/>
          <w:rFonts w:hint="eastAsia" w:ascii="Times New Roman" w:hAnsi="Times New Roman"/>
          <w:color w:val="000000"/>
          <w:sz w:val="24"/>
          <w:szCs w:val="24"/>
        </w:rPr>
        <w:t>4）确定对相容性检验失败的主要贡献数据</w:t>
      </w:r>
    </w:p>
    <w:p>
      <w:pPr>
        <w:pStyle w:val="46"/>
        <w:spacing w:line="360" w:lineRule="auto"/>
        <w:ind w:left="1260" w:leftChars="600" w:firstLine="0" w:firstLineChars="0"/>
        <w:rPr>
          <w:rStyle w:val="45"/>
          <w:rFonts w:ascii="Times New Roman" w:hAnsi="Times New Roman"/>
          <w:color w:val="000000"/>
          <w:sz w:val="24"/>
          <w:szCs w:val="24"/>
        </w:rPr>
      </w:pPr>
      <w:r>
        <w:rPr>
          <w:rStyle w:val="45"/>
          <w:rFonts w:hint="eastAsia" w:ascii="Times New Roman" w:hAnsi="Times New Roman"/>
          <w:color w:val="000000"/>
          <w:sz w:val="24"/>
          <w:szCs w:val="24"/>
        </w:rPr>
        <w:t>a）将</w:t>
      </w:r>
      <w:r>
        <w:rPr>
          <w:rFonts w:hint="eastAsia" w:ascii="Times New Roman" w:hAnsi="Times New Roman"/>
          <w:i/>
          <w:iCs/>
          <w:color w:val="000000"/>
          <w:sz w:val="24"/>
          <w:szCs w:val="24"/>
        </w:rPr>
        <w:t>m</w:t>
      </w:r>
      <w:r>
        <w:rPr>
          <w:rFonts w:ascii="Times New Roman" w:hAnsi="Times New Roman"/>
          <w:color w:val="000000"/>
          <w:sz w:val="24"/>
          <w:szCs w:val="24"/>
        </w:rPr>
        <w:t>个</w:t>
      </w:r>
      <w:r>
        <w:rPr>
          <w:rStyle w:val="45"/>
          <w:rFonts w:hint="eastAsia" w:ascii="Times New Roman" w:hAnsi="Times New Roman"/>
          <w:color w:val="000000"/>
          <w:sz w:val="24"/>
          <w:szCs w:val="24"/>
        </w:rPr>
        <w:t>参比实验室量值依次去掉不同的第</w:t>
      </w:r>
      <w:r>
        <w:rPr>
          <w:rStyle w:val="45"/>
          <w:rFonts w:ascii="Times New Roman" w:hAnsi="Times New Roman"/>
          <w:i/>
          <w:color w:val="000000"/>
          <w:sz w:val="24"/>
          <w:szCs w:val="24"/>
        </w:rPr>
        <w:t>i</w:t>
      </w:r>
      <w:r>
        <w:rPr>
          <w:rStyle w:val="45"/>
          <w:rFonts w:hint="eastAsia" w:ascii="Times New Roman" w:hAnsi="Times New Roman"/>
          <w:color w:val="000000"/>
          <w:sz w:val="24"/>
          <w:szCs w:val="24"/>
        </w:rPr>
        <w:t>个实验室量值，形成</w:t>
      </w:r>
      <w:r>
        <w:rPr>
          <w:rFonts w:hint="eastAsia" w:ascii="Times New Roman" w:hAnsi="Times New Roman"/>
          <w:i/>
          <w:iCs/>
          <w:color w:val="000000"/>
          <w:sz w:val="24"/>
          <w:szCs w:val="24"/>
        </w:rPr>
        <w:t>m</w:t>
      </w:r>
      <w:r>
        <w:rPr>
          <w:rFonts w:hint="eastAsia" w:ascii="Times New Roman" w:hAnsi="Times New Roman"/>
          <w:color w:val="000000"/>
          <w:sz w:val="24"/>
          <w:szCs w:val="24"/>
        </w:rPr>
        <w:t>组数据</w:t>
      </w:r>
      <w:r>
        <w:rPr>
          <w:rStyle w:val="45"/>
          <w:rFonts w:hint="eastAsia" w:ascii="Times New Roman" w:hAnsi="Times New Roman"/>
          <w:color w:val="000000"/>
          <w:sz w:val="24"/>
          <w:szCs w:val="24"/>
        </w:rPr>
        <w:t>；</w:t>
      </w:r>
      <w:r>
        <w:rPr>
          <w:rStyle w:val="45"/>
          <w:rFonts w:ascii="Times New Roman" w:hAnsi="Times New Roman"/>
          <w:color w:val="000000"/>
          <w:sz w:val="24"/>
          <w:szCs w:val="24"/>
        </w:rPr>
        <w:br w:type="textWrapping"/>
      </w:r>
      <w:r>
        <w:rPr>
          <w:rStyle w:val="45"/>
          <w:rFonts w:hint="eastAsia" w:ascii="Times New Roman" w:hAnsi="Times New Roman"/>
          <w:color w:val="000000"/>
          <w:sz w:val="24"/>
          <w:szCs w:val="24"/>
        </w:rPr>
        <w:t>b）</w:t>
      </w:r>
      <w:r>
        <w:rPr>
          <w:rFonts w:hint="eastAsia" w:ascii="Times New Roman" w:hAnsi="Times New Roman"/>
          <w:color w:val="000000"/>
          <w:sz w:val="24"/>
          <w:szCs w:val="24"/>
        </w:rPr>
        <w:t>对每组数据的（</w:t>
      </w:r>
      <w:r>
        <w:rPr>
          <w:rFonts w:hint="eastAsia" w:ascii="Times New Roman" w:hAnsi="Times New Roman"/>
          <w:i/>
          <w:iCs/>
          <w:color w:val="000000"/>
          <w:sz w:val="24"/>
          <w:szCs w:val="24"/>
        </w:rPr>
        <w:t>m</w:t>
      </w:r>
      <w:r>
        <w:rPr>
          <w:rFonts w:hint="eastAsia" w:ascii="Times New Roman" w:hAnsi="Times New Roman"/>
          <w:color w:val="000000"/>
          <w:sz w:val="24"/>
          <w:szCs w:val="24"/>
        </w:rPr>
        <w:t>-1）个</w:t>
      </w:r>
      <w:r>
        <w:rPr>
          <w:rStyle w:val="45"/>
          <w:rFonts w:hint="eastAsia" w:ascii="Times New Roman" w:hAnsi="Times New Roman"/>
          <w:color w:val="000000"/>
          <w:sz w:val="24"/>
          <w:szCs w:val="24"/>
        </w:rPr>
        <w:t>参比实验室量值采用重新计算卡方统计量结果</w:t>
      </w:r>
      <m:oMath>
        <m:sSubSup>
          <m:sSubSupPr>
            <m:ctrlPr>
              <w:rPr>
                <w:rFonts w:ascii="Cambria Math" w:hAnsi="Cambria Math"/>
                <w:i/>
                <w:color w:val="000000"/>
                <w:sz w:val="24"/>
                <w:szCs w:val="24"/>
              </w:rPr>
            </m:ctrlPr>
          </m:sSubSupPr>
          <m:e>
            <m:r>
              <m:rPr/>
              <w:rPr>
                <w:rFonts w:ascii="Cambria Math" w:hAnsi="Cambria Math"/>
                <w:color w:val="000000"/>
                <w:sz w:val="24"/>
                <w:szCs w:val="24"/>
              </w:rPr>
              <m:t>χ</m:t>
            </m:r>
            <m:ctrlPr>
              <w:rPr>
                <w:rFonts w:ascii="Cambria Math" w:hAnsi="Cambria Math"/>
                <w:i/>
                <w:color w:val="000000"/>
                <w:sz w:val="24"/>
                <w:szCs w:val="24"/>
              </w:rPr>
            </m:ctrlPr>
          </m:e>
          <m:sub>
            <m:r>
              <m:rPr>
                <m:sty m:val="p"/>
              </m:rPr>
              <w:rPr>
                <w:rFonts w:hint="eastAsia" w:ascii="Cambria Math" w:hAnsi="Cambria Math"/>
                <w:color w:val="000000"/>
                <w:sz w:val="24"/>
                <w:szCs w:val="24"/>
              </w:rPr>
              <m:t>w</m:t>
            </m:r>
            <m:ctrlPr>
              <w:rPr>
                <w:rFonts w:ascii="Cambria Math" w:hAnsi="Cambria Math"/>
                <w:i/>
                <w:color w:val="000000"/>
                <w:sz w:val="24"/>
                <w:szCs w:val="24"/>
              </w:rPr>
            </m:ctrlPr>
          </m:sub>
          <m:sup>
            <m:r>
              <m:rPr/>
              <w:rPr>
                <w:rFonts w:ascii="Cambria Math" w:hAnsi="Cambria Math"/>
                <w:color w:val="000000"/>
                <w:sz w:val="24"/>
                <w:szCs w:val="24"/>
              </w:rPr>
              <m:t>2</m:t>
            </m:r>
            <m:ctrlPr>
              <w:rPr>
                <w:rFonts w:ascii="Cambria Math" w:hAnsi="Cambria Math"/>
                <w:i/>
                <w:color w:val="000000"/>
                <w:sz w:val="24"/>
                <w:szCs w:val="24"/>
              </w:rPr>
            </m:ctrlPr>
          </m:sup>
        </m:sSubSup>
      </m:oMath>
      <w:r>
        <w:rPr>
          <w:rStyle w:val="45"/>
          <w:rFonts w:hint="eastAsia" w:ascii="Times New Roman" w:hAnsi="Times New Roman"/>
          <w:color w:val="000000"/>
          <w:sz w:val="24"/>
          <w:szCs w:val="24"/>
        </w:rPr>
        <w:t>；</w:t>
      </w:r>
      <w:r>
        <w:rPr>
          <w:rStyle w:val="45"/>
          <w:rFonts w:ascii="Times New Roman" w:hAnsi="Times New Roman"/>
          <w:color w:val="000000"/>
          <w:sz w:val="24"/>
          <w:szCs w:val="24"/>
        </w:rPr>
        <w:br w:type="textWrapping"/>
      </w:r>
      <w:r>
        <w:rPr>
          <w:rStyle w:val="45"/>
          <w:rFonts w:hint="eastAsia" w:ascii="Times New Roman" w:hAnsi="Times New Roman"/>
          <w:color w:val="000000"/>
          <w:sz w:val="24"/>
          <w:szCs w:val="24"/>
        </w:rPr>
        <w:t>c）比较</w:t>
      </w:r>
      <w:r>
        <w:rPr>
          <w:rStyle w:val="45"/>
          <w:rFonts w:hint="eastAsia" w:ascii="Times New Roman" w:hAnsi="Times New Roman"/>
          <w:i/>
          <w:iCs/>
          <w:color w:val="000000"/>
          <w:sz w:val="24"/>
          <w:szCs w:val="24"/>
        </w:rPr>
        <w:t>m</w:t>
      </w:r>
      <w:r>
        <w:rPr>
          <w:rStyle w:val="45"/>
          <w:rFonts w:hint="eastAsia" w:ascii="Times New Roman" w:hAnsi="Times New Roman"/>
          <w:color w:val="000000"/>
          <w:sz w:val="24"/>
          <w:szCs w:val="24"/>
        </w:rPr>
        <w:t>组（</w:t>
      </w:r>
      <w:r>
        <w:rPr>
          <w:rStyle w:val="45"/>
          <w:rFonts w:hint="eastAsia" w:ascii="Times New Roman" w:hAnsi="Times New Roman"/>
          <w:i/>
          <w:iCs/>
          <w:color w:val="000000"/>
          <w:sz w:val="24"/>
          <w:szCs w:val="24"/>
        </w:rPr>
        <w:t>m</w:t>
      </w:r>
      <w:r>
        <w:rPr>
          <w:rStyle w:val="45"/>
          <w:rFonts w:hint="eastAsia" w:ascii="Times New Roman" w:hAnsi="Times New Roman"/>
          <w:color w:val="000000"/>
          <w:sz w:val="24"/>
          <w:szCs w:val="24"/>
        </w:rPr>
        <w:t>-1）个实验室数据的卡方统计量结果，其中与</w:t>
      </w:r>
      <m:oMath>
        <m:sSubSup>
          <m:sSubSupPr>
            <m:ctrlPr>
              <w:rPr>
                <w:rFonts w:ascii="Cambria Math" w:hAnsi="Cambria Math"/>
                <w:i/>
                <w:color w:val="000000"/>
                <w:sz w:val="24"/>
                <w:szCs w:val="24"/>
              </w:rPr>
            </m:ctrlPr>
          </m:sSubSupPr>
          <m:e>
            <m:r>
              <m:rPr/>
              <w:rPr>
                <w:rFonts w:ascii="Cambria Math" w:hAnsi="Cambria Math"/>
                <w:color w:val="000000"/>
                <w:sz w:val="24"/>
                <w:szCs w:val="24"/>
              </w:rPr>
              <m:t>χ</m:t>
            </m:r>
            <m:ctrlPr>
              <w:rPr>
                <w:rFonts w:ascii="Cambria Math" w:hAnsi="Cambria Math"/>
                <w:i/>
                <w:color w:val="000000"/>
                <w:sz w:val="24"/>
                <w:szCs w:val="24"/>
              </w:rPr>
            </m:ctrlPr>
          </m:e>
          <m:sub>
            <m:r>
              <m:rPr>
                <m:sty m:val="p"/>
              </m:rPr>
              <w:rPr>
                <w:rFonts w:hint="eastAsia" w:ascii="Cambria Math" w:hAnsi="Cambria Math"/>
                <w:color w:val="000000"/>
                <w:sz w:val="24"/>
                <w:szCs w:val="24"/>
              </w:rPr>
              <m:t>w</m:t>
            </m:r>
            <m:ctrlPr>
              <w:rPr>
                <w:rFonts w:ascii="Cambria Math" w:hAnsi="Cambria Math"/>
                <w:i/>
                <w:color w:val="000000"/>
                <w:sz w:val="24"/>
                <w:szCs w:val="24"/>
              </w:rPr>
            </m:ctrlPr>
          </m:sub>
          <m:sup>
            <m:r>
              <m:rPr/>
              <w:rPr>
                <w:rFonts w:ascii="Cambria Math" w:hAnsi="Cambria Math"/>
                <w:color w:val="000000"/>
                <w:sz w:val="24"/>
                <w:szCs w:val="24"/>
              </w:rPr>
              <m:t>2</m:t>
            </m:r>
            <m:ctrlPr>
              <w:rPr>
                <w:rFonts w:ascii="Cambria Math" w:hAnsi="Cambria Math"/>
                <w:i/>
                <w:color w:val="000000"/>
                <w:sz w:val="24"/>
                <w:szCs w:val="24"/>
              </w:rPr>
            </m:ctrlPr>
          </m:sup>
        </m:sSubSup>
      </m:oMath>
      <w:r>
        <w:rPr>
          <w:rStyle w:val="45"/>
          <w:rFonts w:hint="eastAsia" w:ascii="Times New Roman" w:hAnsi="Times New Roman"/>
          <w:color w:val="000000"/>
          <w:sz w:val="24"/>
          <w:szCs w:val="24"/>
        </w:rPr>
        <w:t>最小值对应被去掉的参比实验室量值将不再参与参考值计算，其余</w:t>
      </w:r>
      <w:r>
        <w:rPr>
          <w:rFonts w:hint="eastAsia" w:ascii="Times New Roman" w:hAnsi="Times New Roman"/>
          <w:i/>
          <w:iCs/>
          <w:color w:val="000000"/>
          <w:sz w:val="24"/>
          <w:szCs w:val="24"/>
        </w:rPr>
        <w:t>m</w:t>
      </w:r>
      <w:r>
        <w:rPr>
          <w:rFonts w:ascii="Times New Roman" w:hAnsi="Times New Roman"/>
          <w:color w:val="000000"/>
          <w:sz w:val="24"/>
          <w:szCs w:val="24"/>
        </w:rPr>
        <w:t>-1个</w:t>
      </w:r>
      <w:r>
        <w:rPr>
          <w:rStyle w:val="45"/>
          <w:rFonts w:hint="eastAsia" w:ascii="Times New Roman" w:hAnsi="Times New Roman"/>
          <w:color w:val="000000"/>
          <w:sz w:val="24"/>
          <w:szCs w:val="24"/>
        </w:rPr>
        <w:t>参比实验室量值作为新的一组实验室数据，</w:t>
      </w:r>
      <w:r>
        <w:rPr>
          <w:rStyle w:val="45"/>
          <w:rFonts w:hint="eastAsia"/>
          <w:color w:val="000000"/>
          <w:sz w:val="24"/>
          <w:szCs w:val="24"/>
        </w:rPr>
        <w:t>将</w:t>
      </w:r>
      <w:r>
        <w:rPr>
          <w:rStyle w:val="45"/>
          <w:rFonts w:ascii="Times New Roman" w:hAnsi="Times New Roman"/>
          <w:i/>
          <w:iCs/>
          <w:color w:val="000000"/>
          <w:sz w:val="24"/>
          <w:szCs w:val="24"/>
        </w:rPr>
        <w:t>m</w:t>
      </w:r>
      <w:r>
        <w:rPr>
          <w:rStyle w:val="45"/>
          <w:rFonts w:hint="eastAsia" w:ascii="Times New Roman" w:hAnsi="Times New Roman"/>
          <w:color w:val="000000"/>
          <w:sz w:val="24"/>
          <w:szCs w:val="24"/>
        </w:rPr>
        <w:t>-</w:t>
      </w:r>
      <w:r>
        <w:rPr>
          <w:rStyle w:val="45"/>
          <w:rFonts w:ascii="Times New Roman" w:hAnsi="Times New Roman"/>
          <w:color w:val="000000"/>
          <w:sz w:val="24"/>
          <w:szCs w:val="24"/>
        </w:rPr>
        <w:t>1</w:t>
      </w:r>
      <w:r>
        <w:rPr>
          <w:rStyle w:val="45"/>
          <w:rFonts w:hint="eastAsia" w:ascii="Times New Roman" w:hAnsi="Times New Roman"/>
          <w:color w:val="000000"/>
          <w:sz w:val="24"/>
          <w:szCs w:val="24"/>
        </w:rPr>
        <w:t>设置为</w:t>
      </w:r>
      <w:r>
        <w:rPr>
          <w:rStyle w:val="45"/>
          <w:rFonts w:hint="eastAsia"/>
          <w:color w:val="000000"/>
          <w:sz w:val="24"/>
          <w:szCs w:val="24"/>
        </w:rPr>
        <w:t>新的</w:t>
      </w:r>
      <w:r>
        <w:rPr>
          <w:rStyle w:val="45"/>
          <w:rFonts w:ascii="Times New Roman" w:hAnsi="Times New Roman"/>
          <w:i/>
          <w:iCs/>
          <w:color w:val="000000"/>
          <w:sz w:val="24"/>
          <w:szCs w:val="24"/>
        </w:rPr>
        <w:t>m</w:t>
      </w:r>
      <w:r>
        <w:rPr>
          <w:rStyle w:val="45"/>
          <w:rFonts w:hint="eastAsia" w:ascii="Times New Roman" w:hAnsi="Times New Roman"/>
          <w:color w:val="000000"/>
          <w:sz w:val="24"/>
          <w:szCs w:val="24"/>
        </w:rPr>
        <w:t>值，转至步骤</w:t>
      </w:r>
      <w:r>
        <w:rPr>
          <w:rStyle w:val="45"/>
          <w:rFonts w:ascii="Times New Roman" w:hAnsi="Times New Roman"/>
          <w:color w:val="000000"/>
          <w:sz w:val="24"/>
          <w:szCs w:val="24"/>
        </w:rPr>
        <w:t>1</w:t>
      </w:r>
      <w:r>
        <w:rPr>
          <w:rStyle w:val="45"/>
          <w:rFonts w:hint="eastAsia" w:ascii="Times New Roman" w:hAnsi="Times New Roman"/>
          <w:color w:val="000000"/>
          <w:sz w:val="24"/>
          <w:szCs w:val="24"/>
        </w:rPr>
        <w:t>），重新计算加权平均值和相容性检验。</w:t>
      </w:r>
    </w:p>
    <w:p>
      <w:pPr>
        <w:spacing w:line="360" w:lineRule="auto"/>
        <w:ind w:firstLine="480" w:firstLineChars="200"/>
        <w:rPr>
          <w:rStyle w:val="45"/>
          <w:color w:val="000000"/>
          <w:sz w:val="24"/>
          <w:szCs w:val="24"/>
        </w:rPr>
      </w:pPr>
      <w:r>
        <w:rPr>
          <w:rStyle w:val="45"/>
          <w:rFonts w:hint="eastAsia"/>
          <w:color w:val="000000"/>
          <w:sz w:val="24"/>
          <w:szCs w:val="24"/>
        </w:rPr>
        <w:t>一般情况下，被相容性检验排除不能参与参考值确定的参比实验室量值数量不应过多，避免造成参考值不具有代表性的情况。特别是参比实验室量值数据分布图表明分为实验室数量较多的两组或两组以上时，用卡方检验逐一剔除其他组的实验室量值是不合理的。</w:t>
      </w:r>
    </w:p>
    <w:p>
      <w:pPr>
        <w:spacing w:line="360" w:lineRule="auto"/>
        <w:ind w:firstLine="480" w:firstLineChars="200"/>
        <w:rPr>
          <w:color w:val="000000"/>
          <w:sz w:val="24"/>
          <w:szCs w:val="24"/>
        </w:rPr>
      </w:pPr>
    </w:p>
    <w:p>
      <w:pPr>
        <w:rPr>
          <w:szCs w:val="21"/>
        </w:rPr>
      </w:pPr>
      <w:r>
        <w:rPr>
          <w:szCs w:val="21"/>
        </w:rPr>
        <w:drawing>
          <wp:inline distT="0" distB="0" distL="0" distR="0">
            <wp:extent cx="4277995" cy="5943600"/>
            <wp:effectExtent l="0" t="0" r="825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277995" cy="5943600"/>
                    </a:xfrm>
                    <a:prstGeom prst="rect">
                      <a:avLst/>
                    </a:prstGeom>
                    <a:noFill/>
                    <a:ln>
                      <a:noFill/>
                    </a:ln>
                  </pic:spPr>
                </pic:pic>
              </a:graphicData>
            </a:graphic>
          </wp:inline>
        </w:drawing>
      </w:r>
    </w:p>
    <w:p>
      <w:pPr>
        <w:spacing w:line="360" w:lineRule="auto"/>
        <w:ind w:firstLine="480" w:firstLineChars="200"/>
        <w:jc w:val="center"/>
        <w:rPr>
          <w:rStyle w:val="45"/>
          <w:color w:val="000000"/>
          <w:sz w:val="24"/>
          <w:szCs w:val="24"/>
        </w:rPr>
      </w:pPr>
    </w:p>
    <w:p>
      <w:pPr>
        <w:spacing w:line="360" w:lineRule="auto"/>
        <w:jc w:val="center"/>
        <w:rPr>
          <w:rStyle w:val="45"/>
          <w:color w:val="000000"/>
          <w:sz w:val="24"/>
          <w:szCs w:val="24"/>
        </w:rPr>
      </w:pPr>
      <w:r>
        <w:rPr>
          <w:rStyle w:val="45"/>
          <w:rFonts w:hint="eastAsia"/>
          <w:color w:val="000000"/>
          <w:sz w:val="24"/>
          <w:szCs w:val="24"/>
        </w:rPr>
        <w:t>图C</w:t>
      </w:r>
      <w:r>
        <w:rPr>
          <w:rStyle w:val="45"/>
          <w:color w:val="000000"/>
          <w:sz w:val="24"/>
          <w:szCs w:val="24"/>
        </w:rPr>
        <w:t xml:space="preserve">.1 </w:t>
      </w:r>
      <w:r>
        <w:rPr>
          <w:rStyle w:val="45"/>
          <w:rFonts w:hint="eastAsia"/>
          <w:color w:val="000000"/>
          <w:sz w:val="24"/>
          <w:szCs w:val="24"/>
        </w:rPr>
        <w:t>卡方统计量相容性检验步骤</w:t>
      </w:r>
    </w:p>
    <w:p>
      <w:pPr>
        <w:spacing w:line="360" w:lineRule="auto"/>
        <w:rPr>
          <w:rStyle w:val="45"/>
          <w:color w:val="000000"/>
          <w:sz w:val="24"/>
          <w:szCs w:val="24"/>
        </w:rPr>
      </w:pPr>
    </w:p>
    <w:p>
      <w:pPr>
        <w:spacing w:line="360" w:lineRule="auto"/>
        <w:jc w:val="center"/>
        <w:rPr>
          <w:rStyle w:val="45"/>
          <w:color w:val="000000"/>
          <w:sz w:val="24"/>
          <w:szCs w:val="24"/>
        </w:rPr>
      </w:pPr>
      <w:r>
        <w:rPr>
          <w:rStyle w:val="45"/>
          <w:rFonts w:hint="eastAsia"/>
          <w:color w:val="000000"/>
          <w:sz w:val="24"/>
          <w:szCs w:val="24"/>
        </w:rPr>
        <w:t>表C</w:t>
      </w:r>
      <w:r>
        <w:rPr>
          <w:rStyle w:val="45"/>
          <w:color w:val="000000"/>
          <w:sz w:val="24"/>
          <w:szCs w:val="24"/>
        </w:rPr>
        <w:t xml:space="preserve">.1 </w:t>
      </w:r>
      <w:r>
        <w:rPr>
          <w:rStyle w:val="45"/>
          <w:rFonts w:hint="eastAsia"/>
          <w:color w:val="000000"/>
          <w:sz w:val="24"/>
          <w:szCs w:val="24"/>
        </w:rPr>
        <w:t>卡方统计量的0</w:t>
      </w:r>
      <w:r>
        <w:rPr>
          <w:rStyle w:val="45"/>
          <w:color w:val="000000"/>
          <w:sz w:val="24"/>
          <w:szCs w:val="24"/>
        </w:rPr>
        <w:t>.95</w:t>
      </w:r>
      <w:r>
        <w:rPr>
          <w:rStyle w:val="45"/>
          <w:rFonts w:hint="eastAsia"/>
          <w:color w:val="000000"/>
          <w:sz w:val="24"/>
          <w:szCs w:val="24"/>
        </w:rPr>
        <w:t>分位点</w:t>
      </w:r>
    </w:p>
    <w:tbl>
      <w:tblPr>
        <w:tblStyle w:val="20"/>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74"/>
        <w:gridCol w:w="2074"/>
        <w:gridCol w:w="2074"/>
        <w:gridCol w:w="20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4" w:type="dxa"/>
          </w:tcPr>
          <w:p>
            <w:pPr>
              <w:spacing w:line="360" w:lineRule="auto"/>
              <w:jc w:val="center"/>
              <w:rPr>
                <w:rStyle w:val="45"/>
                <w:color w:val="000000"/>
                <w:sz w:val="24"/>
                <w:szCs w:val="24"/>
              </w:rPr>
            </w:pPr>
            <w:r>
              <w:rPr>
                <w:rStyle w:val="45"/>
                <w:rFonts w:hint="eastAsia"/>
                <w:color w:val="000000"/>
                <w:sz w:val="24"/>
                <w:szCs w:val="24"/>
              </w:rPr>
              <w:t>自由度</w:t>
            </w:r>
          </w:p>
        </w:tc>
        <w:tc>
          <w:tcPr>
            <w:tcW w:w="2074" w:type="dxa"/>
          </w:tcPr>
          <w:p>
            <w:pPr>
              <w:spacing w:line="360" w:lineRule="auto"/>
              <w:jc w:val="center"/>
              <w:rPr>
                <w:rStyle w:val="45"/>
                <w:color w:val="000000"/>
                <w:sz w:val="24"/>
                <w:szCs w:val="24"/>
              </w:rPr>
            </w:pPr>
            <w:r>
              <w:rPr>
                <w:rStyle w:val="45"/>
                <w:rFonts w:hint="eastAsia"/>
                <w:color w:val="000000"/>
                <w:sz w:val="24"/>
                <w:szCs w:val="24"/>
              </w:rPr>
              <w:t>0</w:t>
            </w:r>
            <w:r>
              <w:rPr>
                <w:rStyle w:val="45"/>
                <w:color w:val="000000"/>
                <w:sz w:val="24"/>
                <w:szCs w:val="24"/>
              </w:rPr>
              <w:t>.95</w:t>
            </w:r>
            <w:r>
              <w:rPr>
                <w:rStyle w:val="45"/>
                <w:rFonts w:hint="eastAsia"/>
                <w:color w:val="000000"/>
                <w:sz w:val="24"/>
                <w:szCs w:val="24"/>
              </w:rPr>
              <w:t>分位点</w:t>
            </w:r>
          </w:p>
        </w:tc>
        <w:tc>
          <w:tcPr>
            <w:tcW w:w="2074" w:type="dxa"/>
          </w:tcPr>
          <w:p>
            <w:pPr>
              <w:spacing w:line="360" w:lineRule="auto"/>
              <w:jc w:val="center"/>
              <w:rPr>
                <w:rStyle w:val="45"/>
                <w:color w:val="000000"/>
                <w:sz w:val="24"/>
                <w:szCs w:val="24"/>
              </w:rPr>
            </w:pPr>
            <w:r>
              <w:rPr>
                <w:rStyle w:val="45"/>
                <w:rFonts w:hint="eastAsia"/>
                <w:color w:val="000000"/>
                <w:sz w:val="24"/>
                <w:szCs w:val="24"/>
              </w:rPr>
              <w:t>自由度</w:t>
            </w:r>
          </w:p>
        </w:tc>
        <w:tc>
          <w:tcPr>
            <w:tcW w:w="2074" w:type="dxa"/>
          </w:tcPr>
          <w:p>
            <w:pPr>
              <w:spacing w:line="360" w:lineRule="auto"/>
              <w:jc w:val="center"/>
              <w:rPr>
                <w:rStyle w:val="45"/>
                <w:color w:val="000000"/>
                <w:sz w:val="24"/>
                <w:szCs w:val="24"/>
              </w:rPr>
            </w:pPr>
            <w:r>
              <w:rPr>
                <w:rStyle w:val="45"/>
                <w:rFonts w:hint="eastAsia"/>
                <w:color w:val="000000"/>
                <w:sz w:val="24"/>
                <w:szCs w:val="24"/>
              </w:rPr>
              <w:t>0</w:t>
            </w:r>
            <w:r>
              <w:rPr>
                <w:rStyle w:val="45"/>
                <w:color w:val="000000"/>
                <w:sz w:val="24"/>
                <w:szCs w:val="24"/>
              </w:rPr>
              <w:t>.95</w:t>
            </w:r>
            <w:r>
              <w:rPr>
                <w:rStyle w:val="45"/>
                <w:rFonts w:hint="eastAsia"/>
                <w:color w:val="000000"/>
                <w:sz w:val="24"/>
                <w:szCs w:val="24"/>
              </w:rPr>
              <w:t>分位点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4" w:type="dxa"/>
            <w:vAlign w:val="center"/>
          </w:tcPr>
          <w:p>
            <w:pPr>
              <w:spacing w:line="360" w:lineRule="auto"/>
              <w:jc w:val="center"/>
              <w:rPr>
                <w:rStyle w:val="45"/>
                <w:color w:val="000000"/>
                <w:sz w:val="24"/>
                <w:szCs w:val="24"/>
              </w:rPr>
            </w:pPr>
            <w:r>
              <w:rPr>
                <w:rStyle w:val="45"/>
                <w:rFonts w:hint="eastAsia"/>
                <w:color w:val="000000"/>
                <w:sz w:val="24"/>
                <w:szCs w:val="24"/>
              </w:rPr>
              <w:t>1</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3.841 </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16</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26.296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4" w:type="dxa"/>
            <w:vAlign w:val="center"/>
          </w:tcPr>
          <w:p>
            <w:pPr>
              <w:spacing w:line="360" w:lineRule="auto"/>
              <w:jc w:val="center"/>
              <w:rPr>
                <w:rStyle w:val="45"/>
                <w:color w:val="000000"/>
                <w:sz w:val="24"/>
                <w:szCs w:val="24"/>
              </w:rPr>
            </w:pPr>
            <w:r>
              <w:rPr>
                <w:rStyle w:val="45"/>
                <w:rFonts w:hint="eastAsia"/>
                <w:color w:val="000000"/>
                <w:sz w:val="24"/>
                <w:szCs w:val="24"/>
              </w:rPr>
              <w:t>2</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5.991 </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17</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27.587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4" w:type="dxa"/>
            <w:vAlign w:val="center"/>
          </w:tcPr>
          <w:p>
            <w:pPr>
              <w:spacing w:line="360" w:lineRule="auto"/>
              <w:jc w:val="center"/>
              <w:rPr>
                <w:rStyle w:val="45"/>
                <w:color w:val="000000"/>
                <w:sz w:val="24"/>
                <w:szCs w:val="24"/>
              </w:rPr>
            </w:pPr>
            <w:r>
              <w:rPr>
                <w:rStyle w:val="45"/>
                <w:rFonts w:hint="eastAsia"/>
                <w:color w:val="000000"/>
                <w:sz w:val="24"/>
                <w:szCs w:val="24"/>
              </w:rPr>
              <w:t>3</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7.815 </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18</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28.869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4" w:type="dxa"/>
            <w:vAlign w:val="center"/>
          </w:tcPr>
          <w:p>
            <w:pPr>
              <w:spacing w:line="360" w:lineRule="auto"/>
              <w:jc w:val="center"/>
              <w:rPr>
                <w:rStyle w:val="45"/>
                <w:color w:val="000000"/>
                <w:sz w:val="24"/>
                <w:szCs w:val="24"/>
              </w:rPr>
            </w:pPr>
            <w:r>
              <w:rPr>
                <w:rStyle w:val="45"/>
                <w:rFonts w:hint="eastAsia"/>
                <w:color w:val="000000"/>
                <w:sz w:val="24"/>
                <w:szCs w:val="24"/>
              </w:rPr>
              <w:t>4</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9.488 </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19</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30.144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4" w:type="dxa"/>
            <w:vAlign w:val="center"/>
          </w:tcPr>
          <w:p>
            <w:pPr>
              <w:spacing w:line="360" w:lineRule="auto"/>
              <w:jc w:val="center"/>
              <w:rPr>
                <w:rStyle w:val="45"/>
                <w:color w:val="000000"/>
                <w:sz w:val="24"/>
                <w:szCs w:val="24"/>
              </w:rPr>
            </w:pPr>
            <w:r>
              <w:rPr>
                <w:rStyle w:val="45"/>
                <w:rFonts w:hint="eastAsia"/>
                <w:color w:val="000000"/>
                <w:sz w:val="24"/>
                <w:szCs w:val="24"/>
              </w:rPr>
              <w:t>5</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11.070 </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20</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31.410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4" w:type="dxa"/>
            <w:vAlign w:val="center"/>
          </w:tcPr>
          <w:p>
            <w:pPr>
              <w:spacing w:line="360" w:lineRule="auto"/>
              <w:jc w:val="center"/>
              <w:rPr>
                <w:rStyle w:val="45"/>
                <w:color w:val="000000"/>
                <w:sz w:val="24"/>
                <w:szCs w:val="24"/>
              </w:rPr>
            </w:pPr>
            <w:r>
              <w:rPr>
                <w:rStyle w:val="45"/>
                <w:rFonts w:hint="eastAsia"/>
                <w:color w:val="000000"/>
                <w:sz w:val="24"/>
                <w:szCs w:val="24"/>
              </w:rPr>
              <w:t>6</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12.592 </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21</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32.671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4" w:type="dxa"/>
            <w:vAlign w:val="center"/>
          </w:tcPr>
          <w:p>
            <w:pPr>
              <w:spacing w:line="360" w:lineRule="auto"/>
              <w:jc w:val="center"/>
              <w:rPr>
                <w:rStyle w:val="45"/>
                <w:color w:val="000000"/>
                <w:sz w:val="24"/>
                <w:szCs w:val="24"/>
              </w:rPr>
            </w:pPr>
            <w:r>
              <w:rPr>
                <w:rStyle w:val="45"/>
                <w:rFonts w:hint="eastAsia"/>
                <w:color w:val="000000"/>
                <w:sz w:val="24"/>
                <w:szCs w:val="24"/>
              </w:rPr>
              <w:t>7</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14.067 </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22</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33.924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4" w:type="dxa"/>
            <w:vAlign w:val="center"/>
          </w:tcPr>
          <w:p>
            <w:pPr>
              <w:spacing w:line="360" w:lineRule="auto"/>
              <w:jc w:val="center"/>
              <w:rPr>
                <w:rStyle w:val="45"/>
                <w:color w:val="000000"/>
                <w:sz w:val="24"/>
                <w:szCs w:val="24"/>
              </w:rPr>
            </w:pPr>
            <w:r>
              <w:rPr>
                <w:rStyle w:val="45"/>
                <w:rFonts w:hint="eastAsia"/>
                <w:color w:val="000000"/>
                <w:sz w:val="24"/>
                <w:szCs w:val="24"/>
              </w:rPr>
              <w:t>8</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15.507 </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23</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35.172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4" w:type="dxa"/>
            <w:vAlign w:val="center"/>
          </w:tcPr>
          <w:p>
            <w:pPr>
              <w:spacing w:line="360" w:lineRule="auto"/>
              <w:jc w:val="center"/>
              <w:rPr>
                <w:rStyle w:val="45"/>
                <w:color w:val="000000"/>
                <w:sz w:val="24"/>
                <w:szCs w:val="24"/>
              </w:rPr>
            </w:pPr>
            <w:r>
              <w:rPr>
                <w:rStyle w:val="45"/>
                <w:rFonts w:hint="eastAsia"/>
                <w:color w:val="000000"/>
                <w:sz w:val="24"/>
                <w:szCs w:val="24"/>
              </w:rPr>
              <w:t>9</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16.919 </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24</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36.415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4" w:type="dxa"/>
            <w:vAlign w:val="center"/>
          </w:tcPr>
          <w:p>
            <w:pPr>
              <w:spacing w:line="360" w:lineRule="auto"/>
              <w:jc w:val="center"/>
              <w:rPr>
                <w:rStyle w:val="45"/>
                <w:color w:val="000000"/>
                <w:sz w:val="24"/>
                <w:szCs w:val="24"/>
              </w:rPr>
            </w:pPr>
            <w:r>
              <w:rPr>
                <w:rStyle w:val="45"/>
                <w:rFonts w:hint="eastAsia"/>
                <w:color w:val="000000"/>
                <w:sz w:val="24"/>
                <w:szCs w:val="24"/>
              </w:rPr>
              <w:t>10</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18.307 </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25</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37.652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4" w:type="dxa"/>
            <w:vAlign w:val="center"/>
          </w:tcPr>
          <w:p>
            <w:pPr>
              <w:spacing w:line="360" w:lineRule="auto"/>
              <w:jc w:val="center"/>
              <w:rPr>
                <w:rStyle w:val="45"/>
                <w:color w:val="000000"/>
                <w:sz w:val="24"/>
                <w:szCs w:val="24"/>
              </w:rPr>
            </w:pPr>
            <w:r>
              <w:rPr>
                <w:rStyle w:val="45"/>
                <w:rFonts w:hint="eastAsia"/>
                <w:color w:val="000000"/>
                <w:sz w:val="24"/>
                <w:szCs w:val="24"/>
              </w:rPr>
              <w:t>11</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19.675 </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26</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38.885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4" w:type="dxa"/>
            <w:vAlign w:val="center"/>
          </w:tcPr>
          <w:p>
            <w:pPr>
              <w:spacing w:line="360" w:lineRule="auto"/>
              <w:jc w:val="center"/>
              <w:rPr>
                <w:rStyle w:val="45"/>
                <w:color w:val="000000"/>
                <w:sz w:val="24"/>
                <w:szCs w:val="24"/>
              </w:rPr>
            </w:pPr>
            <w:r>
              <w:rPr>
                <w:rStyle w:val="45"/>
                <w:rFonts w:hint="eastAsia"/>
                <w:color w:val="000000"/>
                <w:sz w:val="24"/>
                <w:szCs w:val="24"/>
              </w:rPr>
              <w:t>12</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21.026 </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27</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40.113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4" w:type="dxa"/>
            <w:vAlign w:val="center"/>
          </w:tcPr>
          <w:p>
            <w:pPr>
              <w:spacing w:line="360" w:lineRule="auto"/>
              <w:jc w:val="center"/>
              <w:rPr>
                <w:rStyle w:val="45"/>
                <w:color w:val="000000"/>
                <w:sz w:val="24"/>
                <w:szCs w:val="24"/>
              </w:rPr>
            </w:pPr>
            <w:r>
              <w:rPr>
                <w:rStyle w:val="45"/>
                <w:rFonts w:hint="eastAsia"/>
                <w:color w:val="000000"/>
                <w:sz w:val="24"/>
                <w:szCs w:val="24"/>
              </w:rPr>
              <w:t>13</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22.362 </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28</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41.337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4" w:type="dxa"/>
            <w:vAlign w:val="center"/>
          </w:tcPr>
          <w:p>
            <w:pPr>
              <w:spacing w:line="360" w:lineRule="auto"/>
              <w:jc w:val="center"/>
              <w:rPr>
                <w:rStyle w:val="45"/>
                <w:color w:val="000000"/>
                <w:sz w:val="24"/>
                <w:szCs w:val="24"/>
              </w:rPr>
            </w:pPr>
            <w:r>
              <w:rPr>
                <w:rStyle w:val="45"/>
                <w:rFonts w:hint="eastAsia"/>
                <w:color w:val="000000"/>
                <w:sz w:val="24"/>
                <w:szCs w:val="24"/>
              </w:rPr>
              <w:t>14</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23.685 </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29</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42.557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74" w:type="dxa"/>
            <w:vAlign w:val="center"/>
          </w:tcPr>
          <w:p>
            <w:pPr>
              <w:spacing w:line="360" w:lineRule="auto"/>
              <w:jc w:val="center"/>
              <w:rPr>
                <w:rStyle w:val="45"/>
                <w:color w:val="000000"/>
                <w:sz w:val="24"/>
                <w:szCs w:val="24"/>
              </w:rPr>
            </w:pPr>
            <w:r>
              <w:rPr>
                <w:rStyle w:val="45"/>
                <w:rFonts w:hint="eastAsia"/>
                <w:color w:val="000000"/>
                <w:sz w:val="24"/>
                <w:szCs w:val="24"/>
              </w:rPr>
              <w:t>15</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24.996 </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30</w:t>
            </w:r>
          </w:p>
        </w:tc>
        <w:tc>
          <w:tcPr>
            <w:tcW w:w="2074" w:type="dxa"/>
            <w:vAlign w:val="center"/>
          </w:tcPr>
          <w:p>
            <w:pPr>
              <w:spacing w:line="360" w:lineRule="auto"/>
              <w:jc w:val="center"/>
              <w:rPr>
                <w:rStyle w:val="45"/>
                <w:color w:val="000000"/>
                <w:sz w:val="24"/>
                <w:szCs w:val="24"/>
              </w:rPr>
            </w:pPr>
            <w:r>
              <w:rPr>
                <w:rStyle w:val="45"/>
                <w:rFonts w:hint="eastAsia"/>
                <w:color w:val="000000"/>
                <w:sz w:val="24"/>
                <w:szCs w:val="24"/>
              </w:rPr>
              <w:t xml:space="preserve">43.773 </w:t>
            </w:r>
          </w:p>
        </w:tc>
      </w:tr>
    </w:tbl>
    <w:p>
      <w:pPr>
        <w:spacing w:line="360" w:lineRule="auto"/>
        <w:ind w:firstLine="420"/>
        <w:rPr>
          <w:rStyle w:val="45"/>
          <w:color w:val="000000"/>
          <w:sz w:val="24"/>
          <w:szCs w:val="24"/>
        </w:rPr>
      </w:pPr>
      <w:r>
        <w:rPr>
          <w:rStyle w:val="45"/>
          <w:rFonts w:hint="eastAsia"/>
          <w:color w:val="000000"/>
          <w:sz w:val="24"/>
          <w:szCs w:val="24"/>
        </w:rPr>
        <w:t>对于只有在排除较多参比实验室量值的条件下才能通过相容性检验的情形，如没有这些数据具有代表性的进一步理由支持，或无法通过相容性核验的情形，可考虑采用中位值方法。但这种情形下获得的比对结果可能不能支持参比实验室声称的测量不确定度。</w:t>
      </w:r>
    </w:p>
    <w:p>
      <w:pPr>
        <w:spacing w:line="360" w:lineRule="auto"/>
        <w:rPr>
          <w:rStyle w:val="45"/>
          <w:color w:val="auto"/>
          <w:sz w:val="24"/>
          <w:szCs w:val="24"/>
        </w:rPr>
      </w:pPr>
      <w:r>
        <w:rPr>
          <w:rFonts w:hint="eastAsia"/>
          <w:sz w:val="24"/>
          <w:szCs w:val="24"/>
        </w:rPr>
        <w:t>C</w:t>
      </w:r>
      <w:r>
        <w:rPr>
          <w:sz w:val="24"/>
          <w:szCs w:val="24"/>
        </w:rPr>
        <w:t xml:space="preserve">.2.3 </w:t>
      </w:r>
      <w:r>
        <w:rPr>
          <w:rFonts w:hint="eastAsia"/>
          <w:sz w:val="24"/>
          <w:szCs w:val="24"/>
        </w:rPr>
        <w:t>算术平均法</w:t>
      </w:r>
    </w:p>
    <w:p>
      <w:pPr>
        <w:spacing w:line="360" w:lineRule="auto"/>
        <w:rPr>
          <w:sz w:val="24"/>
          <w:szCs w:val="24"/>
        </w:rPr>
      </w:pPr>
      <w:r>
        <w:rPr>
          <w:rFonts w:hint="eastAsia"/>
          <w:sz w:val="24"/>
          <w:szCs w:val="24"/>
        </w:rPr>
        <w:t>C</w:t>
      </w:r>
      <w:r>
        <w:rPr>
          <w:sz w:val="24"/>
          <w:szCs w:val="24"/>
        </w:rPr>
        <w:t xml:space="preserve">.2.3.1 </w:t>
      </w:r>
      <w:r>
        <w:rPr>
          <w:rFonts w:hint="eastAsia"/>
          <w:sz w:val="24"/>
          <w:szCs w:val="24"/>
        </w:rPr>
        <w:t>算术平均法也是比对参考值的一种常用的无偏估计方法。当各实验室测量值的不确定度相等时，算术平均法是加权平均法的特例，结果等同；随着各实验室测量值不确定度差异的增大，算术平均法的不确定度相对于加权平均会显著增大。</w:t>
      </w:r>
    </w:p>
    <w:p>
      <w:pPr>
        <w:spacing w:line="360" w:lineRule="auto"/>
        <w:ind w:firstLine="480" w:firstLineChars="200"/>
        <w:rPr>
          <w:sz w:val="24"/>
          <w:szCs w:val="24"/>
        </w:rPr>
      </w:pPr>
      <w:r>
        <w:rPr>
          <w:rFonts w:hint="eastAsia"/>
          <w:sz w:val="24"/>
          <w:szCs w:val="24"/>
        </w:rPr>
        <w:t>算术平均法的使用也需要基于卡方统计量的相容性核验。</w:t>
      </w:r>
    </w:p>
    <w:p>
      <w:pPr>
        <w:spacing w:line="360" w:lineRule="auto"/>
        <w:rPr>
          <w:color w:val="000000"/>
          <w:sz w:val="24"/>
          <w:szCs w:val="24"/>
        </w:rPr>
      </w:pPr>
      <w:r>
        <w:rPr>
          <w:rFonts w:hint="eastAsia"/>
          <w:color w:val="000000"/>
          <w:sz w:val="24"/>
          <w:szCs w:val="24"/>
        </w:rPr>
        <w:t>C</w:t>
      </w:r>
      <w:r>
        <w:rPr>
          <w:color w:val="000000"/>
          <w:sz w:val="24"/>
          <w:szCs w:val="24"/>
        </w:rPr>
        <w:t xml:space="preserve">.2.3.2 </w:t>
      </w:r>
      <w:r>
        <w:rPr>
          <w:rFonts w:hint="eastAsia"/>
          <w:color w:val="000000"/>
          <w:sz w:val="24"/>
          <w:szCs w:val="24"/>
        </w:rPr>
        <w:t>算术平均值模型</w:t>
      </w:r>
    </w:p>
    <w:p>
      <w:pPr>
        <w:spacing w:line="360" w:lineRule="auto"/>
        <w:ind w:firstLine="480" w:firstLineChars="200"/>
        <w:rPr>
          <w:color w:val="000000"/>
          <w:sz w:val="24"/>
          <w:szCs w:val="24"/>
        </w:rPr>
      </w:pPr>
      <w:r>
        <w:rPr>
          <w:rFonts w:hint="eastAsia"/>
          <w:color w:val="000000"/>
          <w:sz w:val="24"/>
          <w:szCs w:val="24"/>
        </w:rPr>
        <w:t>算术平均值如式（C</w:t>
      </w:r>
      <w:r>
        <w:rPr>
          <w:color w:val="000000"/>
          <w:sz w:val="24"/>
          <w:szCs w:val="24"/>
        </w:rPr>
        <w:t>.</w:t>
      </w:r>
      <w:r>
        <w:rPr>
          <w:rFonts w:hint="eastAsia"/>
          <w:color w:val="000000"/>
          <w:sz w:val="24"/>
          <w:szCs w:val="24"/>
        </w:rPr>
        <w:t>6）所示：</w:t>
      </w:r>
    </w:p>
    <w:tbl>
      <w:tblPr>
        <w:tblStyle w:val="20"/>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63"/>
        <w:gridCol w:w="7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63" w:type="dxa"/>
          </w:tcPr>
          <w:p>
            <w:pPr>
              <w:spacing w:line="360" w:lineRule="auto"/>
              <w:jc w:val="center"/>
              <w:rPr>
                <w:color w:val="000000"/>
                <w:sz w:val="24"/>
                <w:szCs w:val="24"/>
              </w:rPr>
            </w:pPr>
            <m:oMathPara>
              <m:oMath>
                <m:acc>
                  <m:accPr>
                    <m:chr m:val="̅"/>
                    <m:ctrlPr>
                      <w:rPr>
                        <w:rFonts w:ascii="Cambria Math" w:hAnsi="Cambria Math"/>
                        <w:i/>
                        <w:color w:val="000000"/>
                        <w:sz w:val="24"/>
                        <w:szCs w:val="24"/>
                      </w:rPr>
                    </m:ctrlPr>
                  </m:accPr>
                  <m:e>
                    <m:r>
                      <m:rPr/>
                      <w:rPr>
                        <w:rFonts w:hint="eastAsia" w:ascii="Cambria Math" w:hAnsi="Cambria Math"/>
                        <w:color w:val="000000"/>
                        <w:sz w:val="24"/>
                        <w:szCs w:val="24"/>
                      </w:rPr>
                      <m:t>y</m:t>
                    </m:r>
                    <m:ctrlPr>
                      <w:rPr>
                        <w:rFonts w:ascii="Cambria Math" w:hAnsi="Cambria Math"/>
                        <w:i/>
                        <w:color w:val="000000"/>
                        <w:sz w:val="24"/>
                        <w:szCs w:val="24"/>
                      </w:rPr>
                    </m:ctrlPr>
                  </m:e>
                </m:acc>
                <m:r>
                  <m:rPr/>
                  <w:rPr>
                    <w:rFonts w:ascii="Cambria Math" w:hAnsi="Cambria Math"/>
                    <w:color w:val="000000"/>
                    <w:sz w:val="24"/>
                    <w:szCs w:val="24"/>
                  </w:rPr>
                  <m:t>=</m:t>
                </m:r>
                <m:f>
                  <m:fPr>
                    <m:ctrlPr>
                      <w:rPr>
                        <w:rFonts w:ascii="Cambria Math" w:hAnsi="Cambria Math"/>
                        <w:i/>
                        <w:color w:val="000000"/>
                        <w:sz w:val="24"/>
                        <w:szCs w:val="24"/>
                      </w:rPr>
                    </m:ctrlPr>
                  </m:fPr>
                  <m:num>
                    <m:r>
                      <m:rPr/>
                      <w:rPr>
                        <w:rFonts w:ascii="Cambria Math" w:hAnsi="Cambria Math"/>
                        <w:color w:val="000000"/>
                        <w:sz w:val="24"/>
                        <w:szCs w:val="24"/>
                      </w:rPr>
                      <m:t>1</m:t>
                    </m:r>
                    <m:ctrlPr>
                      <w:rPr>
                        <w:rFonts w:ascii="Cambria Math" w:hAnsi="Cambria Math"/>
                        <w:i/>
                        <w:color w:val="000000"/>
                        <w:sz w:val="24"/>
                        <w:szCs w:val="24"/>
                      </w:rPr>
                    </m:ctrlPr>
                  </m:num>
                  <m:den>
                    <m:r>
                      <m:rPr/>
                      <w:rPr>
                        <w:rFonts w:ascii="Cambria Math" w:hAnsi="Cambria Math"/>
                        <w:color w:val="000000"/>
                        <w:sz w:val="24"/>
                        <w:szCs w:val="24"/>
                      </w:rPr>
                      <m:t>n</m:t>
                    </m:r>
                    <m:ctrlPr>
                      <w:rPr>
                        <w:rFonts w:ascii="Cambria Math" w:hAnsi="Cambria Math"/>
                        <w:i/>
                        <w:color w:val="000000"/>
                        <w:sz w:val="24"/>
                        <w:szCs w:val="24"/>
                      </w:rPr>
                    </m:ctrlPr>
                  </m:den>
                </m:f>
                <m:nary>
                  <m:naryPr>
                    <m:chr m:val="∑"/>
                    <m:limLoc m:val="undOvr"/>
                    <m:ctrlPr>
                      <w:rPr>
                        <w:rFonts w:ascii="Cambria Math" w:hAnsi="Cambria Math"/>
                        <w:i/>
                        <w:color w:val="000000"/>
                        <w:sz w:val="24"/>
                        <w:szCs w:val="24"/>
                      </w:rPr>
                    </m:ctrlPr>
                  </m:naryPr>
                  <m:sub>
                    <m:r>
                      <m:rPr/>
                      <w:rPr>
                        <w:rFonts w:ascii="Cambria Math" w:hAnsi="Cambria Math"/>
                        <w:color w:val="000000"/>
                        <w:sz w:val="24"/>
                        <w:szCs w:val="24"/>
                      </w:rPr>
                      <m:t>i=1</m:t>
                    </m:r>
                    <m:ctrlPr>
                      <w:rPr>
                        <w:rFonts w:ascii="Cambria Math" w:hAnsi="Cambria Math"/>
                        <w:i/>
                        <w:color w:val="000000"/>
                        <w:sz w:val="24"/>
                        <w:szCs w:val="24"/>
                      </w:rPr>
                    </m:ctrlPr>
                  </m:sub>
                  <m:sup>
                    <m:r>
                      <m:rPr/>
                      <w:rPr>
                        <w:rFonts w:ascii="Cambria Math" w:hAnsi="Cambria Math"/>
                        <w:color w:val="000000"/>
                        <w:sz w:val="24"/>
                        <w:szCs w:val="24"/>
                      </w:rPr>
                      <m:t>n</m:t>
                    </m:r>
                    <m:ctrlPr>
                      <w:rPr>
                        <w:rFonts w:ascii="Cambria Math" w:hAnsi="Cambria Math"/>
                        <w:i/>
                        <w:color w:val="000000"/>
                        <w:sz w:val="24"/>
                        <w:szCs w:val="24"/>
                      </w:rPr>
                    </m:ctrlPr>
                  </m:sup>
                  <m:e>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ctrlPr>
                      <w:rPr>
                        <w:rFonts w:ascii="Cambria Math" w:hAnsi="Cambria Math"/>
                        <w:i/>
                        <w:color w:val="000000"/>
                        <w:sz w:val="24"/>
                        <w:szCs w:val="24"/>
                      </w:rPr>
                    </m:ctrlPr>
                  </m:e>
                </m:nary>
              </m:oMath>
            </m:oMathPara>
          </w:p>
        </w:tc>
        <w:tc>
          <w:tcPr>
            <w:tcW w:w="759" w:type="dxa"/>
            <w:vAlign w:val="center"/>
          </w:tcPr>
          <w:p>
            <w:pPr>
              <w:spacing w:line="360" w:lineRule="auto"/>
              <w:jc w:val="center"/>
              <w:rPr>
                <w:sz w:val="24"/>
                <w:szCs w:val="24"/>
              </w:rPr>
            </w:pPr>
            <w:r>
              <w:rPr>
                <w:sz w:val="24"/>
                <w:szCs w:val="24"/>
              </w:rPr>
              <w:t>(</w:t>
            </w:r>
            <w:r>
              <w:rPr>
                <w:rFonts w:hint="eastAsia"/>
                <w:sz w:val="24"/>
                <w:szCs w:val="24"/>
              </w:rPr>
              <w:t>C</w:t>
            </w:r>
            <w:r>
              <w:rPr>
                <w:sz w:val="24"/>
                <w:szCs w:val="24"/>
              </w:rPr>
              <w:t>.</w:t>
            </w:r>
            <w:r>
              <w:rPr>
                <w:rFonts w:hint="eastAsia"/>
                <w:sz w:val="24"/>
                <w:szCs w:val="24"/>
              </w:rPr>
              <w:t>6</w:t>
            </w:r>
            <w:r>
              <w:rPr>
                <w:sz w:val="24"/>
                <w:szCs w:val="24"/>
              </w:rPr>
              <w:t>)</w:t>
            </w:r>
          </w:p>
        </w:tc>
      </w:tr>
    </w:tbl>
    <w:p>
      <w:pPr>
        <w:spacing w:line="360" w:lineRule="auto"/>
        <w:rPr>
          <w:color w:val="000000"/>
          <w:sz w:val="24"/>
          <w:szCs w:val="24"/>
        </w:rPr>
      </w:pPr>
      <w:r>
        <w:rPr>
          <w:color w:val="000000"/>
          <w:sz w:val="24"/>
          <w:szCs w:val="24"/>
        </w:rPr>
        <w:t>式中：</w:t>
      </w:r>
      <m:oMath>
        <m:acc>
          <m:accPr>
            <m:chr m:val="̅"/>
            <m:ctrlPr>
              <w:rPr>
                <w:rFonts w:ascii="Cambria Math" w:hAnsi="Cambria Math"/>
                <w:i/>
                <w:color w:val="000000"/>
                <w:sz w:val="24"/>
                <w:szCs w:val="24"/>
              </w:rPr>
            </m:ctrlPr>
          </m:accPr>
          <m:e>
            <m:r>
              <m:rPr/>
              <w:rPr>
                <w:rFonts w:hint="eastAsia" w:ascii="Cambria Math" w:hAnsi="Cambria Math"/>
                <w:color w:val="000000"/>
                <w:sz w:val="24"/>
                <w:szCs w:val="24"/>
              </w:rPr>
              <m:t>y</m:t>
            </m:r>
            <m:ctrlPr>
              <w:rPr>
                <w:rFonts w:ascii="Cambria Math" w:hAnsi="Cambria Math"/>
                <w:i/>
                <w:color w:val="000000"/>
                <w:sz w:val="24"/>
                <w:szCs w:val="24"/>
              </w:rPr>
            </m:ctrlPr>
          </m:e>
        </m:acc>
      </m:oMath>
      <w:r>
        <w:rPr>
          <w:color w:val="000000"/>
          <w:sz w:val="24"/>
          <w:szCs w:val="24"/>
        </w:rPr>
        <w:t>——</w:t>
      </w:r>
      <w:r>
        <w:rPr>
          <w:rFonts w:hint="eastAsia"/>
          <w:color w:val="000000"/>
          <w:sz w:val="24"/>
          <w:szCs w:val="24"/>
        </w:rPr>
        <w:t>算术</w:t>
      </w:r>
      <w:r>
        <w:rPr>
          <w:color w:val="000000"/>
          <w:sz w:val="24"/>
          <w:szCs w:val="24"/>
        </w:rPr>
        <w:t>平均值；</w:t>
      </w:r>
    </w:p>
    <w:p>
      <w:pPr>
        <w:spacing w:line="360" w:lineRule="auto"/>
        <w:ind w:firstLine="480" w:firstLineChars="200"/>
        <w:rPr>
          <w:color w:val="000000"/>
          <w:sz w:val="24"/>
          <w:szCs w:val="24"/>
        </w:rPr>
      </w:pPr>
      <w:r>
        <w:rPr>
          <w:color w:val="000000"/>
          <w:sz w:val="24"/>
          <w:szCs w:val="24"/>
        </w:rPr>
        <w:fldChar w:fldCharType="begin"/>
      </w:r>
      <w:r>
        <w:rPr>
          <w:color w:val="000000"/>
          <w:sz w:val="24"/>
          <w:szCs w:val="24"/>
        </w:rPr>
        <w:instrText xml:space="preserve"> QUOTE </w:instrText>
      </w:r>
      <m:oMath>
        <m:acc>
          <m:accPr>
            <m:chr m:val="?"/>
            <m:ctrlPr>
              <w:rPr>
                <w:rFonts w:ascii="Cambria Math" w:hAnsi="Cambria Math"/>
                <w:i/>
                <w:color w:val="000000"/>
                <w:sz w:val="24"/>
                <w:szCs w:val="24"/>
              </w:rPr>
            </m:ctrlPr>
          </m:accPr>
          <m:e>
            <m:r>
              <m:rPr>
                <m:sty m:val="p"/>
              </m:rPr>
              <w:rPr>
                <w:rFonts w:ascii="Cambria Math" w:hAnsi="Cambria Math"/>
                <w:color w:val="000000"/>
                <w:sz w:val="24"/>
                <w:szCs w:val="24"/>
              </w:rPr>
              <m:t xml:space="preserve">x</m:t>
            </m:r>
            <m:ctrlPr>
              <w:rPr>
                <w:rFonts w:ascii="Cambria Math" w:hAnsi="Cambria Math"/>
                <w:i/>
                <w:color w:val="000000"/>
                <w:sz w:val="24"/>
                <w:szCs w:val="24"/>
              </w:rPr>
            </m:ctrlPr>
          </m:e>
        </m:acc>
      </m:oMath>
      <w:r>
        <w:rPr>
          <w:color w:val="000000"/>
          <w:sz w:val="24"/>
          <w:szCs w:val="24"/>
        </w:rPr>
        <w:instrText xml:space="preserve"> </w:instrText>
      </w:r>
      <w:r>
        <w:rPr>
          <w:color w:val="000000"/>
          <w:sz w:val="24"/>
          <w:szCs w:val="24"/>
        </w:rPr>
        <w:fldChar w:fldCharType="separate"/>
      </w:r>
      <w:r>
        <w:rPr>
          <w:color w:val="000000"/>
          <w:sz w:val="24"/>
          <w:szCs w:val="24"/>
        </w:rPr>
        <w:fldChar w:fldCharType="end"/>
      </w:r>
      <w:r>
        <w:rPr>
          <w:rFonts w:hint="eastAsia"/>
          <w:color w:val="000000"/>
          <w:sz w:val="24"/>
          <w:szCs w:val="24"/>
        </w:rPr>
        <w:t>参考值</w:t>
      </w:r>
      <m:oMath>
        <m:acc>
          <m:accPr>
            <m:chr m:val="̅"/>
            <m:ctrlPr>
              <w:rPr>
                <w:rFonts w:ascii="Cambria Math" w:hAnsi="Cambria Math"/>
                <w:i/>
                <w:color w:val="000000"/>
                <w:sz w:val="24"/>
                <w:szCs w:val="24"/>
              </w:rPr>
            </m:ctrlPr>
          </m:accPr>
          <m:e>
            <m:r>
              <m:rPr/>
              <w:rPr>
                <w:rFonts w:ascii="Cambria Math" w:hAnsi="Cambria Math"/>
                <w:color w:val="000000"/>
                <w:sz w:val="24"/>
                <w:szCs w:val="24"/>
              </w:rPr>
              <m:t>x</m:t>
            </m:r>
            <m:ctrlPr>
              <w:rPr>
                <w:rFonts w:ascii="Cambria Math" w:hAnsi="Cambria Math"/>
                <w:i/>
                <w:color w:val="000000"/>
                <w:sz w:val="24"/>
                <w:szCs w:val="24"/>
              </w:rPr>
            </m:ctrlPr>
          </m:e>
        </m:acc>
      </m:oMath>
      <w:r>
        <w:rPr>
          <w:rFonts w:hint="eastAsia"/>
          <w:color w:val="000000"/>
          <w:sz w:val="24"/>
          <w:szCs w:val="24"/>
        </w:rPr>
        <w:t>的不确定度如式（C</w:t>
      </w:r>
      <w:r>
        <w:rPr>
          <w:color w:val="000000"/>
          <w:sz w:val="24"/>
          <w:szCs w:val="24"/>
        </w:rPr>
        <w:t>.</w:t>
      </w:r>
      <w:r>
        <w:rPr>
          <w:rFonts w:hint="eastAsia"/>
          <w:color w:val="000000"/>
          <w:sz w:val="24"/>
          <w:szCs w:val="24"/>
        </w:rPr>
        <w:t>7）所示：</w:t>
      </w:r>
    </w:p>
    <w:tbl>
      <w:tblPr>
        <w:tblStyle w:val="20"/>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63"/>
        <w:gridCol w:w="7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63" w:type="dxa"/>
            <w:vAlign w:val="center"/>
          </w:tcPr>
          <w:p>
            <w:pPr>
              <w:spacing w:line="360" w:lineRule="auto"/>
              <w:jc w:val="center"/>
              <w:rPr>
                <w:color w:val="000000"/>
                <w:sz w:val="24"/>
                <w:szCs w:val="24"/>
              </w:rPr>
            </w:pPr>
            <m:oMathPara>
              <m:oMath>
                <m:r>
                  <m:rPr/>
                  <w:rPr>
                    <w:rFonts w:ascii="Cambria Math" w:hAnsi="Cambria Math"/>
                    <w:color w:val="000000"/>
                    <w:sz w:val="24"/>
                    <w:szCs w:val="24"/>
                  </w:rPr>
                  <m:t>u</m:t>
                </m:r>
                <m:d>
                  <m:dPr>
                    <m:ctrlPr>
                      <w:rPr>
                        <w:rFonts w:ascii="Cambria Math" w:hAnsi="Cambria Math"/>
                        <w:i/>
                        <w:color w:val="000000"/>
                        <w:sz w:val="24"/>
                        <w:szCs w:val="24"/>
                      </w:rPr>
                    </m:ctrlPr>
                  </m:dPr>
                  <m:e>
                    <m:acc>
                      <m:accPr>
                        <m:chr m:val="̅"/>
                        <m:ctrlPr>
                          <w:rPr>
                            <w:rFonts w:ascii="Cambria Math" w:hAnsi="Cambria Math"/>
                            <w:i/>
                            <w:color w:val="000000"/>
                            <w:sz w:val="24"/>
                            <w:szCs w:val="24"/>
                          </w:rPr>
                        </m:ctrlPr>
                      </m:accPr>
                      <m:e>
                        <m:r>
                          <m:rPr/>
                          <w:rPr>
                            <w:rFonts w:hint="eastAsia" w:ascii="Cambria Math" w:hAnsi="Cambria Math"/>
                            <w:color w:val="000000"/>
                            <w:sz w:val="24"/>
                            <w:szCs w:val="24"/>
                          </w:rPr>
                          <m:t>y</m:t>
                        </m:r>
                        <m:ctrlPr>
                          <w:rPr>
                            <w:rFonts w:ascii="Cambria Math" w:hAnsi="Cambria Math"/>
                            <w:i/>
                            <w:color w:val="000000"/>
                            <w:sz w:val="24"/>
                            <w:szCs w:val="24"/>
                          </w:rPr>
                        </m:ctrlPr>
                      </m:e>
                    </m:acc>
                    <m:ctrlPr>
                      <w:rPr>
                        <w:rFonts w:ascii="Cambria Math" w:hAnsi="Cambria Math"/>
                        <w:i/>
                        <w:color w:val="000000"/>
                        <w:sz w:val="24"/>
                        <w:szCs w:val="24"/>
                      </w:rPr>
                    </m:ctrlPr>
                  </m:e>
                </m:d>
                <m:r>
                  <m:rPr/>
                  <w:rPr>
                    <w:rFonts w:ascii="Cambria Math" w:hAnsi="Cambria Math"/>
                    <w:color w:val="000000"/>
                    <w:sz w:val="24"/>
                    <w:szCs w:val="24"/>
                  </w:rPr>
                  <m:t>=</m:t>
                </m:r>
                <m:f>
                  <m:fPr>
                    <m:ctrlPr>
                      <w:rPr>
                        <w:rFonts w:ascii="Cambria Math" w:hAnsi="Cambria Math"/>
                        <w:i/>
                        <w:color w:val="000000"/>
                        <w:sz w:val="24"/>
                        <w:szCs w:val="24"/>
                      </w:rPr>
                    </m:ctrlPr>
                  </m:fPr>
                  <m:num>
                    <m:r>
                      <m:rPr/>
                      <w:rPr>
                        <w:rFonts w:ascii="Cambria Math" w:hAnsi="Cambria Math"/>
                        <w:color w:val="000000"/>
                        <w:sz w:val="24"/>
                        <w:szCs w:val="24"/>
                      </w:rPr>
                      <m:t>1</m:t>
                    </m:r>
                    <m:ctrlPr>
                      <w:rPr>
                        <w:rFonts w:ascii="Cambria Math" w:hAnsi="Cambria Math"/>
                        <w:i/>
                        <w:color w:val="000000"/>
                        <w:sz w:val="24"/>
                        <w:szCs w:val="24"/>
                      </w:rPr>
                    </m:ctrlPr>
                  </m:num>
                  <m:den>
                    <m:r>
                      <m:rPr/>
                      <w:rPr>
                        <w:rFonts w:ascii="Cambria Math" w:hAnsi="Cambria Math"/>
                        <w:color w:val="000000"/>
                        <w:sz w:val="24"/>
                        <w:szCs w:val="24"/>
                      </w:rPr>
                      <m:t>n</m:t>
                    </m:r>
                    <m:ctrlPr>
                      <w:rPr>
                        <w:rFonts w:ascii="Cambria Math" w:hAnsi="Cambria Math"/>
                        <w:i/>
                        <w:color w:val="000000"/>
                        <w:sz w:val="24"/>
                        <w:szCs w:val="24"/>
                      </w:rPr>
                    </m:ctrlPr>
                  </m:den>
                </m:f>
                <m:rad>
                  <m:radPr>
                    <m:degHide m:val="1"/>
                    <m:ctrlPr>
                      <w:rPr>
                        <w:rFonts w:ascii="Cambria Math" w:hAnsi="Cambria Math"/>
                        <w:i/>
                        <w:color w:val="000000"/>
                        <w:sz w:val="24"/>
                        <w:szCs w:val="24"/>
                      </w:rPr>
                    </m:ctrlPr>
                  </m:radPr>
                  <m:deg>
                    <m:ctrlPr>
                      <w:rPr>
                        <w:rFonts w:ascii="Cambria Math" w:hAnsi="Cambria Math"/>
                        <w:i/>
                        <w:color w:val="000000"/>
                        <w:sz w:val="24"/>
                        <w:szCs w:val="24"/>
                      </w:rPr>
                    </m:ctrlPr>
                  </m:deg>
                  <m:e>
                    <m:nary>
                      <m:naryPr>
                        <m:chr m:val="∑"/>
                        <m:limLoc m:val="undOvr"/>
                        <m:ctrlPr>
                          <w:rPr>
                            <w:rFonts w:ascii="Cambria Math" w:hAnsi="Cambria Math"/>
                            <w:i/>
                            <w:color w:val="000000"/>
                            <w:sz w:val="24"/>
                            <w:szCs w:val="24"/>
                          </w:rPr>
                        </m:ctrlPr>
                      </m:naryPr>
                      <m:sub>
                        <m:r>
                          <m:rPr/>
                          <w:rPr>
                            <w:rFonts w:ascii="Cambria Math" w:hAnsi="Cambria Math"/>
                            <w:color w:val="000000"/>
                            <w:sz w:val="24"/>
                            <w:szCs w:val="24"/>
                          </w:rPr>
                          <m:t>i=1</m:t>
                        </m:r>
                        <m:ctrlPr>
                          <w:rPr>
                            <w:rFonts w:ascii="Cambria Math" w:hAnsi="Cambria Math"/>
                            <w:i/>
                            <w:color w:val="000000"/>
                            <w:sz w:val="24"/>
                            <w:szCs w:val="24"/>
                          </w:rPr>
                        </m:ctrlPr>
                      </m:sub>
                      <m:sup>
                        <m:r>
                          <m:rPr/>
                          <w:rPr>
                            <w:rFonts w:ascii="Cambria Math" w:hAnsi="Cambria Math"/>
                            <w:color w:val="000000"/>
                            <w:sz w:val="24"/>
                            <w:szCs w:val="24"/>
                          </w:rPr>
                          <m:t>n</m:t>
                        </m:r>
                        <m:ctrlPr>
                          <w:rPr>
                            <w:rFonts w:ascii="Cambria Math" w:hAnsi="Cambria Math"/>
                            <w:i/>
                            <w:color w:val="000000"/>
                            <w:sz w:val="24"/>
                            <w:szCs w:val="24"/>
                          </w:rPr>
                        </m:ctrlPr>
                      </m:sup>
                      <m:e>
                        <m:sSup>
                          <m:sSupPr>
                            <m:ctrlPr>
                              <w:rPr>
                                <w:rFonts w:ascii="Cambria Math" w:hAnsi="Cambria Math"/>
                                <w:i/>
                                <w:color w:val="000000"/>
                                <w:sz w:val="24"/>
                                <w:szCs w:val="24"/>
                              </w:rPr>
                            </m:ctrlPr>
                          </m:sSupPr>
                          <m:e>
                            <m:sSub>
                              <m:sSubPr>
                                <m:ctrlPr>
                                  <w:rPr>
                                    <w:rFonts w:ascii="Cambria Math" w:hAnsi="Cambria Math"/>
                                    <w:i/>
                                    <w:color w:val="000000"/>
                                    <w:sz w:val="24"/>
                                    <w:szCs w:val="24"/>
                                  </w:rPr>
                                </m:ctrlPr>
                              </m:sSubPr>
                              <m:e>
                                <m:r>
                                  <m:rPr/>
                                  <w:rPr>
                                    <w:rFonts w:ascii="Cambria Math" w:hAnsi="Cambria Math"/>
                                    <w:color w:val="000000"/>
                                    <w:sz w:val="24"/>
                                    <w:szCs w:val="24"/>
                                  </w:rPr>
                                  <m:t>u</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ctrlPr>
                              <w:rPr>
                                <w:rFonts w:ascii="Cambria Math" w:hAnsi="Cambria Math"/>
                                <w:i/>
                                <w:color w:val="000000"/>
                                <w:sz w:val="24"/>
                                <w:szCs w:val="24"/>
                              </w:rPr>
                            </m:ctrlPr>
                          </m:e>
                          <m:sup>
                            <m:r>
                              <m:rPr/>
                              <w:rPr>
                                <w:rFonts w:ascii="Cambria Math" w:hAnsi="Cambria Math"/>
                                <w:color w:val="000000"/>
                                <w:sz w:val="24"/>
                                <w:szCs w:val="24"/>
                              </w:rPr>
                              <m:t>2</m:t>
                            </m:r>
                            <m:ctrlPr>
                              <w:rPr>
                                <w:rFonts w:ascii="Cambria Math" w:hAnsi="Cambria Math"/>
                                <w:i/>
                                <w:color w:val="000000"/>
                                <w:sz w:val="24"/>
                                <w:szCs w:val="24"/>
                              </w:rPr>
                            </m:ctrlPr>
                          </m:sup>
                        </m:sSup>
                        <m:ctrlPr>
                          <w:rPr>
                            <w:rFonts w:ascii="Cambria Math" w:hAnsi="Cambria Math"/>
                            <w:i/>
                            <w:color w:val="000000"/>
                            <w:sz w:val="24"/>
                            <w:szCs w:val="24"/>
                          </w:rPr>
                        </m:ctrlPr>
                      </m:e>
                    </m:nary>
                    <m:ctrlPr>
                      <w:rPr>
                        <w:rFonts w:ascii="Cambria Math" w:hAnsi="Cambria Math"/>
                        <w:i/>
                        <w:color w:val="000000"/>
                        <w:sz w:val="24"/>
                        <w:szCs w:val="24"/>
                      </w:rPr>
                    </m:ctrlPr>
                  </m:e>
                </m:rad>
              </m:oMath>
            </m:oMathPara>
          </w:p>
        </w:tc>
        <w:tc>
          <w:tcPr>
            <w:tcW w:w="759" w:type="dxa"/>
            <w:vAlign w:val="center"/>
          </w:tcPr>
          <w:p>
            <w:pPr>
              <w:spacing w:line="360" w:lineRule="auto"/>
              <w:jc w:val="center"/>
              <w:rPr>
                <w:color w:val="000000"/>
                <w:sz w:val="24"/>
                <w:szCs w:val="24"/>
              </w:rPr>
            </w:pPr>
            <w:r>
              <w:rPr>
                <w:color w:val="000000"/>
                <w:sz w:val="24"/>
                <w:szCs w:val="24"/>
              </w:rPr>
              <w:t>(</w:t>
            </w:r>
            <w:r>
              <w:rPr>
                <w:rFonts w:hint="eastAsia"/>
                <w:color w:val="000000"/>
                <w:sz w:val="24"/>
                <w:szCs w:val="24"/>
              </w:rPr>
              <w:t>C</w:t>
            </w:r>
            <w:r>
              <w:rPr>
                <w:color w:val="000000"/>
                <w:sz w:val="24"/>
                <w:szCs w:val="24"/>
              </w:rPr>
              <w:t>.</w:t>
            </w:r>
            <w:r>
              <w:rPr>
                <w:rFonts w:hint="eastAsia"/>
                <w:color w:val="000000"/>
                <w:sz w:val="24"/>
                <w:szCs w:val="24"/>
              </w:rPr>
              <w:t>7</w:t>
            </w:r>
            <w:r>
              <w:rPr>
                <w:color w:val="000000"/>
                <w:sz w:val="24"/>
                <w:szCs w:val="24"/>
              </w:rPr>
              <w:t>)</w:t>
            </w:r>
          </w:p>
        </w:tc>
      </w:tr>
    </w:tbl>
    <w:p>
      <w:pPr>
        <w:spacing w:line="360" w:lineRule="auto"/>
        <w:rPr>
          <w:color w:val="000000"/>
          <w:sz w:val="24"/>
          <w:szCs w:val="24"/>
        </w:rPr>
      </w:pPr>
      <w:r>
        <w:rPr>
          <w:rFonts w:hint="eastAsia"/>
          <w:color w:val="000000"/>
          <w:sz w:val="24"/>
          <w:szCs w:val="24"/>
        </w:rPr>
        <w:t>C</w:t>
      </w:r>
      <w:r>
        <w:rPr>
          <w:color w:val="000000"/>
          <w:sz w:val="24"/>
          <w:szCs w:val="24"/>
        </w:rPr>
        <w:t xml:space="preserve">.2.3.3 </w:t>
      </w:r>
      <w:r>
        <w:rPr>
          <w:rFonts w:hint="eastAsia"/>
          <w:color w:val="000000"/>
          <w:sz w:val="24"/>
          <w:szCs w:val="24"/>
        </w:rPr>
        <w:t>算术平均值的相容性检验统计量</w:t>
      </w:r>
    </w:p>
    <w:p>
      <w:pPr>
        <w:spacing w:line="360" w:lineRule="auto"/>
        <w:ind w:firstLine="480"/>
        <w:rPr>
          <w:rStyle w:val="45"/>
          <w:color w:val="000000"/>
          <w:sz w:val="24"/>
          <w:szCs w:val="24"/>
        </w:rPr>
      </w:pPr>
      <w:r>
        <w:rPr>
          <w:rStyle w:val="45"/>
          <w:color w:val="000000"/>
          <w:sz w:val="24"/>
          <w:szCs w:val="24"/>
        </w:rPr>
        <w:t>采用</w:t>
      </w:r>
      <w:r>
        <w:rPr>
          <w:rStyle w:val="45"/>
          <w:rFonts w:hint="eastAsia"/>
          <w:color w:val="000000"/>
          <w:sz w:val="24"/>
          <w:szCs w:val="24"/>
        </w:rPr>
        <w:t>卡</w:t>
      </w:r>
      <w:r>
        <w:rPr>
          <w:rStyle w:val="45"/>
          <w:color w:val="000000"/>
          <w:sz w:val="24"/>
          <w:szCs w:val="24"/>
        </w:rPr>
        <w:t>方统计量</w:t>
      </w:r>
      <m:oMath>
        <m:sSubSup>
          <m:sSubSupPr>
            <m:ctrlPr>
              <w:rPr>
                <w:rFonts w:ascii="Cambria Math" w:hAnsi="Cambria Math"/>
                <w:i/>
                <w:color w:val="000000"/>
                <w:sz w:val="24"/>
                <w:szCs w:val="24"/>
              </w:rPr>
            </m:ctrlPr>
          </m:sSubSupPr>
          <m:e>
            <m:r>
              <m:rPr/>
              <w:rPr>
                <w:rFonts w:ascii="Cambria Math" w:hAnsi="Cambria Math"/>
                <w:color w:val="000000"/>
                <w:sz w:val="24"/>
                <w:szCs w:val="24"/>
              </w:rPr>
              <m:t>χ</m:t>
            </m:r>
            <m:ctrlPr>
              <w:rPr>
                <w:rFonts w:ascii="Cambria Math" w:hAnsi="Cambria Math"/>
                <w:i/>
                <w:color w:val="000000"/>
                <w:sz w:val="24"/>
                <w:szCs w:val="24"/>
              </w:rPr>
            </m:ctrlPr>
          </m:e>
          <m:sub>
            <m:r>
              <m:rPr/>
              <w:rPr>
                <w:rFonts w:hint="eastAsia" w:ascii="Cambria Math" w:hAnsi="Cambria Math"/>
                <w:color w:val="000000"/>
                <w:sz w:val="24"/>
                <w:szCs w:val="24"/>
              </w:rPr>
              <m:t>A</m:t>
            </m:r>
            <m:ctrlPr>
              <w:rPr>
                <w:rFonts w:ascii="Cambria Math" w:hAnsi="Cambria Math"/>
                <w:i/>
                <w:color w:val="000000"/>
                <w:sz w:val="24"/>
                <w:szCs w:val="24"/>
              </w:rPr>
            </m:ctrlPr>
          </m:sub>
          <m:sup>
            <m:r>
              <m:rPr/>
              <w:rPr>
                <w:rFonts w:ascii="Cambria Math" w:hAnsi="Cambria Math"/>
                <w:color w:val="000000"/>
                <w:sz w:val="24"/>
                <w:szCs w:val="24"/>
              </w:rPr>
              <m:t>2</m:t>
            </m:r>
            <m:ctrlPr>
              <w:rPr>
                <w:rFonts w:ascii="Cambria Math" w:hAnsi="Cambria Math"/>
                <w:i/>
                <w:color w:val="000000"/>
                <w:sz w:val="24"/>
                <w:szCs w:val="24"/>
              </w:rPr>
            </m:ctrlPr>
          </m:sup>
        </m:sSubSup>
      </m:oMath>
      <w:r>
        <w:rPr>
          <w:rStyle w:val="45"/>
          <w:rFonts w:hint="eastAsia"/>
          <w:color w:val="000000"/>
          <w:sz w:val="24"/>
          <w:szCs w:val="24"/>
        </w:rPr>
        <w:t>作为算术平均值的相容性检验统计量，</w:t>
      </w:r>
      <w:r>
        <w:rPr>
          <w:rStyle w:val="45"/>
          <w:color w:val="000000"/>
          <w:sz w:val="24"/>
          <w:szCs w:val="24"/>
        </w:rPr>
        <w:t>如式（</w:t>
      </w:r>
      <w:r>
        <w:rPr>
          <w:rStyle w:val="45"/>
          <w:rFonts w:hint="eastAsia"/>
          <w:color w:val="000000"/>
          <w:sz w:val="24"/>
          <w:szCs w:val="24"/>
        </w:rPr>
        <w:t>C</w:t>
      </w:r>
      <w:r>
        <w:rPr>
          <w:rStyle w:val="45"/>
          <w:color w:val="000000"/>
          <w:sz w:val="24"/>
          <w:szCs w:val="24"/>
        </w:rPr>
        <w:t>.</w:t>
      </w:r>
      <w:r>
        <w:rPr>
          <w:rStyle w:val="45"/>
          <w:rFonts w:hint="eastAsia"/>
          <w:color w:val="000000"/>
          <w:sz w:val="24"/>
          <w:szCs w:val="24"/>
        </w:rPr>
        <w:t>8</w:t>
      </w:r>
      <w:r>
        <w:rPr>
          <w:rStyle w:val="45"/>
          <w:color w:val="000000"/>
          <w:sz w:val="24"/>
          <w:szCs w:val="24"/>
        </w:rPr>
        <w:t>）所示：</w:t>
      </w:r>
    </w:p>
    <w:tbl>
      <w:tblPr>
        <w:tblStyle w:val="20"/>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63"/>
        <w:gridCol w:w="7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63" w:type="dxa"/>
            <w:vAlign w:val="center"/>
          </w:tcPr>
          <w:p>
            <w:pPr>
              <w:spacing w:line="360" w:lineRule="auto"/>
              <w:jc w:val="center"/>
              <w:rPr>
                <w:color w:val="000000"/>
                <w:sz w:val="24"/>
                <w:szCs w:val="24"/>
              </w:rPr>
            </w:pPr>
            <m:oMathPara>
              <m:oMath>
                <m:sSubSup>
                  <m:sSubSupPr>
                    <m:ctrlPr>
                      <w:rPr>
                        <w:rFonts w:ascii="Cambria Math" w:hAnsi="Cambria Math"/>
                        <w:i/>
                        <w:color w:val="000000"/>
                        <w:sz w:val="24"/>
                        <w:szCs w:val="24"/>
                      </w:rPr>
                    </m:ctrlPr>
                  </m:sSubSupPr>
                  <m:e>
                    <m:r>
                      <m:rPr/>
                      <w:rPr>
                        <w:rFonts w:ascii="Cambria Math" w:hAnsi="Cambria Math"/>
                        <w:color w:val="000000"/>
                        <w:sz w:val="24"/>
                        <w:szCs w:val="24"/>
                      </w:rPr>
                      <m:t>χ</m:t>
                    </m:r>
                    <m:ctrlPr>
                      <w:rPr>
                        <w:rFonts w:ascii="Cambria Math" w:hAnsi="Cambria Math"/>
                        <w:i/>
                        <w:color w:val="000000"/>
                        <w:sz w:val="24"/>
                        <w:szCs w:val="24"/>
                      </w:rPr>
                    </m:ctrlPr>
                  </m:e>
                  <m:sub>
                    <m:r>
                      <m:rPr/>
                      <w:rPr>
                        <w:rFonts w:hint="eastAsia" w:ascii="Cambria Math" w:hAnsi="Cambria Math"/>
                        <w:color w:val="000000"/>
                        <w:sz w:val="24"/>
                        <w:szCs w:val="24"/>
                      </w:rPr>
                      <m:t>A</m:t>
                    </m:r>
                    <m:ctrlPr>
                      <w:rPr>
                        <w:rFonts w:ascii="Cambria Math" w:hAnsi="Cambria Math"/>
                        <w:i/>
                        <w:color w:val="000000"/>
                        <w:sz w:val="24"/>
                        <w:szCs w:val="24"/>
                      </w:rPr>
                    </m:ctrlPr>
                  </m:sub>
                  <m:sup>
                    <m:r>
                      <m:rPr/>
                      <w:rPr>
                        <w:rFonts w:ascii="Cambria Math" w:hAnsi="Cambria Math"/>
                        <w:color w:val="000000"/>
                        <w:sz w:val="24"/>
                        <w:szCs w:val="24"/>
                      </w:rPr>
                      <m:t>2</m:t>
                    </m:r>
                    <m:ctrlPr>
                      <w:rPr>
                        <w:rFonts w:ascii="Cambria Math" w:hAnsi="Cambria Math"/>
                        <w:i/>
                        <w:color w:val="000000"/>
                        <w:sz w:val="24"/>
                        <w:szCs w:val="24"/>
                      </w:rPr>
                    </m:ctrlPr>
                  </m:sup>
                </m:sSubSup>
                <m:r>
                  <m:rPr/>
                  <w:rPr>
                    <w:rFonts w:ascii="Cambria Math" w:hAnsi="Cambria Math"/>
                    <w:color w:val="000000"/>
                    <w:sz w:val="24"/>
                    <w:szCs w:val="24"/>
                  </w:rPr>
                  <m:t>=</m:t>
                </m:r>
                <m:r>
                  <m:rPr/>
                  <w:rPr>
                    <w:rFonts w:ascii="Cambria Math" w:hAnsi="Cambria Math"/>
                    <w:szCs w:val="21"/>
                  </w:rPr>
                  <m:t>n∙</m:t>
                </m:r>
                <m:f>
                  <m:fPr>
                    <m:ctrlPr>
                      <w:rPr>
                        <w:rFonts w:ascii="Cambria Math" w:hAnsi="Cambria Math"/>
                        <w:i/>
                        <w:szCs w:val="21"/>
                      </w:rPr>
                    </m:ctrlPr>
                  </m:fPr>
                  <m:num>
                    <m:nary>
                      <m:naryPr>
                        <m:chr m:val="∑"/>
                        <m:limLoc m:val="subSup"/>
                        <m:ctrlPr>
                          <w:rPr>
                            <w:rFonts w:ascii="Cambria Math" w:hAnsi="Cambria Math"/>
                            <w:i/>
                            <w:szCs w:val="21"/>
                          </w:rPr>
                        </m:ctrlPr>
                      </m:naryPr>
                      <m:sub>
                        <m:r>
                          <m:rPr/>
                          <w:rPr>
                            <w:rFonts w:ascii="Cambria Math" w:hAnsi="Cambria Math"/>
                            <w:szCs w:val="21"/>
                          </w:rPr>
                          <m:t>i=1</m:t>
                        </m:r>
                        <m:ctrlPr>
                          <w:rPr>
                            <w:rFonts w:ascii="Cambria Math" w:hAnsi="Cambria Math"/>
                            <w:i/>
                            <w:szCs w:val="21"/>
                          </w:rPr>
                        </m:ctrlPr>
                      </m:sub>
                      <m:sup>
                        <m:r>
                          <m:rPr/>
                          <w:rPr>
                            <w:rFonts w:ascii="Cambria Math" w:hAnsi="Cambria Math"/>
                            <w:szCs w:val="21"/>
                          </w:rPr>
                          <m:t>n</m:t>
                        </m:r>
                        <m:ctrlPr>
                          <w:rPr>
                            <w:rFonts w:ascii="Cambria Math" w:hAnsi="Cambria Math"/>
                            <w:i/>
                            <w:szCs w:val="21"/>
                          </w:rPr>
                        </m:ctrlPr>
                      </m:sup>
                      <m:e>
                        <m:sSup>
                          <m:sSupPr>
                            <m:ctrlPr>
                              <w:rPr>
                                <w:rFonts w:ascii="Cambria Math" w:hAnsi="Cambria Math"/>
                                <w:i/>
                                <w:szCs w:val="21"/>
                              </w:rPr>
                            </m:ctrlPr>
                          </m:sSupPr>
                          <m:e>
                            <m:d>
                              <m:dPr>
                                <m:ctrlPr>
                                  <w:rPr>
                                    <w:rFonts w:ascii="Cambria Math" w:hAnsi="Cambria Math"/>
                                    <w:i/>
                                    <w:szCs w:val="21"/>
                                  </w:rPr>
                                </m:ctrlPr>
                              </m:dPr>
                              <m:e>
                                <m:sSub>
                                  <m:sSubPr>
                                    <m:ctrlPr>
                                      <w:rPr>
                                        <w:rFonts w:ascii="Cambria Math" w:hAnsi="Cambria Math"/>
                                        <w:i/>
                                        <w:szCs w:val="21"/>
                                      </w:rPr>
                                    </m:ctrlPr>
                                  </m:sSubPr>
                                  <m:e>
                                    <m:r>
                                      <m:rPr/>
                                      <w:rPr>
                                        <w:rFonts w:hint="eastAsia" w:ascii="Cambria Math" w:hAnsi="Cambria Math"/>
                                        <w:szCs w:val="21"/>
                                      </w:rPr>
                                      <m:t>y</m:t>
                                    </m:r>
                                    <m:ctrlPr>
                                      <w:rPr>
                                        <w:rFonts w:ascii="Cambria Math" w:hAnsi="Cambria Math"/>
                                        <w:i/>
                                        <w:szCs w:val="21"/>
                                      </w:rPr>
                                    </m:ctrlPr>
                                  </m:e>
                                  <m:sub>
                                    <m:r>
                                      <m:rPr/>
                                      <w:rPr>
                                        <w:rFonts w:ascii="Cambria Math" w:hAnsi="Cambria Math"/>
                                        <w:szCs w:val="21"/>
                                      </w:rPr>
                                      <m:t>i</m:t>
                                    </m:r>
                                    <m:ctrlPr>
                                      <w:rPr>
                                        <w:rFonts w:ascii="Cambria Math" w:hAnsi="Cambria Math"/>
                                        <w:i/>
                                        <w:szCs w:val="21"/>
                                      </w:rPr>
                                    </m:ctrlPr>
                                  </m:sub>
                                </m:sSub>
                                <m:r>
                                  <m:rPr/>
                                  <w:rPr>
                                    <w:rFonts w:ascii="Cambria Math" w:hAnsi="Cambria Math"/>
                                    <w:szCs w:val="21"/>
                                  </w:rPr>
                                  <m:t>−</m:t>
                                </m:r>
                                <m:acc>
                                  <m:accPr>
                                    <m:chr m:val="̅"/>
                                    <m:ctrlPr>
                                      <w:rPr>
                                        <w:rFonts w:ascii="Cambria Math" w:hAnsi="Cambria Math"/>
                                        <w:i/>
                                        <w:szCs w:val="21"/>
                                      </w:rPr>
                                    </m:ctrlPr>
                                  </m:accPr>
                                  <m:e>
                                    <m:r>
                                      <m:rPr/>
                                      <w:rPr>
                                        <w:rFonts w:hint="eastAsia" w:ascii="Cambria Math" w:hAnsi="Cambria Math"/>
                                        <w:szCs w:val="21"/>
                                      </w:rPr>
                                      <m:t>y</m:t>
                                    </m:r>
                                    <m:ctrlPr>
                                      <w:rPr>
                                        <w:rFonts w:ascii="Cambria Math" w:hAnsi="Cambria Math"/>
                                        <w:i/>
                                        <w:szCs w:val="21"/>
                                      </w:rPr>
                                    </m:ctrlPr>
                                  </m:e>
                                </m:acc>
                                <m:ctrlPr>
                                  <w:rPr>
                                    <w:rFonts w:ascii="Cambria Math" w:hAnsi="Cambria Math"/>
                                    <w:i/>
                                    <w:szCs w:val="21"/>
                                  </w:rPr>
                                </m:ctrlPr>
                              </m:e>
                            </m:d>
                            <m:ctrlPr>
                              <w:rPr>
                                <w:rFonts w:ascii="Cambria Math" w:hAnsi="Cambria Math"/>
                                <w:i/>
                                <w:szCs w:val="21"/>
                              </w:rPr>
                            </m:ctrlPr>
                          </m:e>
                          <m:sup>
                            <m:r>
                              <m:rPr/>
                              <w:rPr>
                                <w:rFonts w:ascii="Cambria Math" w:hAnsi="Cambria Math"/>
                                <w:szCs w:val="21"/>
                              </w:rPr>
                              <m:t>2</m:t>
                            </m:r>
                            <m:ctrlPr>
                              <w:rPr>
                                <w:rFonts w:ascii="Cambria Math" w:hAnsi="Cambria Math"/>
                                <w:i/>
                                <w:szCs w:val="21"/>
                              </w:rPr>
                            </m:ctrlPr>
                          </m:sup>
                        </m:sSup>
                        <m:ctrlPr>
                          <w:rPr>
                            <w:rFonts w:ascii="Cambria Math" w:hAnsi="Cambria Math"/>
                            <w:i/>
                            <w:szCs w:val="21"/>
                          </w:rPr>
                        </m:ctrlPr>
                      </m:e>
                    </m:nary>
                    <m:ctrlPr>
                      <w:rPr>
                        <w:rFonts w:ascii="Cambria Math" w:hAnsi="Cambria Math"/>
                        <w:i/>
                        <w:szCs w:val="21"/>
                      </w:rPr>
                    </m:ctrlPr>
                  </m:num>
                  <m:den>
                    <m:nary>
                      <m:naryPr>
                        <m:chr m:val="∑"/>
                        <m:limLoc m:val="subSup"/>
                        <m:ctrlPr>
                          <w:rPr>
                            <w:rFonts w:ascii="Cambria Math" w:hAnsi="Cambria Math"/>
                            <w:i/>
                            <w:szCs w:val="21"/>
                          </w:rPr>
                        </m:ctrlPr>
                      </m:naryPr>
                      <m:sub>
                        <m:r>
                          <m:rPr/>
                          <w:rPr>
                            <w:rFonts w:ascii="Cambria Math" w:hAnsi="Cambria Math"/>
                            <w:szCs w:val="21"/>
                          </w:rPr>
                          <m:t>i=1</m:t>
                        </m:r>
                        <m:ctrlPr>
                          <w:rPr>
                            <w:rFonts w:ascii="Cambria Math" w:hAnsi="Cambria Math"/>
                            <w:i/>
                            <w:szCs w:val="21"/>
                          </w:rPr>
                        </m:ctrlPr>
                      </m:sub>
                      <m:sup>
                        <m:r>
                          <m:rPr/>
                          <w:rPr>
                            <w:rFonts w:ascii="Cambria Math" w:hAnsi="Cambria Math"/>
                            <w:szCs w:val="21"/>
                          </w:rPr>
                          <m:t>n</m:t>
                        </m:r>
                        <m:ctrlPr>
                          <w:rPr>
                            <w:rFonts w:ascii="Cambria Math" w:hAnsi="Cambria Math"/>
                            <w:i/>
                            <w:szCs w:val="21"/>
                          </w:rPr>
                        </m:ctrlPr>
                      </m:sup>
                      <m:e>
                        <m:sSup>
                          <m:sSupPr>
                            <m:ctrlPr>
                              <w:rPr>
                                <w:rFonts w:ascii="Cambria Math" w:hAnsi="Cambria Math"/>
                                <w:i/>
                                <w:szCs w:val="21"/>
                              </w:rPr>
                            </m:ctrlPr>
                          </m:sSupPr>
                          <m:e>
                            <m:sSub>
                              <m:sSubPr>
                                <m:ctrlPr>
                                  <w:rPr>
                                    <w:rFonts w:ascii="Cambria Math" w:hAnsi="Cambria Math"/>
                                    <w:i/>
                                    <w:szCs w:val="21"/>
                                  </w:rPr>
                                </m:ctrlPr>
                              </m:sSubPr>
                              <m:e>
                                <m:r>
                                  <m:rPr/>
                                  <w:rPr>
                                    <w:rFonts w:ascii="Cambria Math" w:hAnsi="Cambria Math"/>
                                    <w:szCs w:val="21"/>
                                  </w:rPr>
                                  <m:t>u</m:t>
                                </m:r>
                                <m:ctrlPr>
                                  <w:rPr>
                                    <w:rFonts w:ascii="Cambria Math" w:hAnsi="Cambria Math"/>
                                    <w:i/>
                                    <w:szCs w:val="21"/>
                                  </w:rPr>
                                </m:ctrlPr>
                              </m:e>
                              <m:sub>
                                <m:r>
                                  <m:rPr/>
                                  <w:rPr>
                                    <w:rFonts w:ascii="Cambria Math" w:hAnsi="Cambria Math"/>
                                    <w:szCs w:val="21"/>
                                  </w:rPr>
                                  <m:t>i</m:t>
                                </m:r>
                                <m:ctrlPr>
                                  <w:rPr>
                                    <w:rFonts w:ascii="Cambria Math" w:hAnsi="Cambria Math"/>
                                    <w:i/>
                                    <w:szCs w:val="21"/>
                                  </w:rPr>
                                </m:ctrlPr>
                              </m:sub>
                            </m:sSub>
                            <m:ctrlPr>
                              <w:rPr>
                                <w:rFonts w:ascii="Cambria Math" w:hAnsi="Cambria Math"/>
                                <w:i/>
                                <w:szCs w:val="21"/>
                              </w:rPr>
                            </m:ctrlPr>
                          </m:e>
                          <m:sup>
                            <m:r>
                              <m:rPr/>
                              <w:rPr>
                                <w:rFonts w:ascii="Cambria Math" w:hAnsi="Cambria Math"/>
                                <w:szCs w:val="21"/>
                              </w:rPr>
                              <m:t>2</m:t>
                            </m:r>
                            <m:ctrlPr>
                              <w:rPr>
                                <w:rFonts w:ascii="Cambria Math" w:hAnsi="Cambria Math"/>
                                <w:i/>
                                <w:szCs w:val="21"/>
                              </w:rPr>
                            </m:ctrlPr>
                          </m:sup>
                        </m:sSup>
                        <m:ctrlPr>
                          <w:rPr>
                            <w:rFonts w:ascii="Cambria Math" w:hAnsi="Cambria Math"/>
                            <w:i/>
                            <w:szCs w:val="21"/>
                          </w:rPr>
                        </m:ctrlPr>
                      </m:e>
                    </m:nary>
                    <m:ctrlPr>
                      <w:rPr>
                        <w:rFonts w:ascii="Cambria Math" w:hAnsi="Cambria Math"/>
                        <w:i/>
                        <w:szCs w:val="21"/>
                      </w:rPr>
                    </m:ctrlPr>
                  </m:den>
                </m:f>
              </m:oMath>
            </m:oMathPara>
          </w:p>
        </w:tc>
        <w:tc>
          <w:tcPr>
            <w:tcW w:w="759" w:type="dxa"/>
            <w:vAlign w:val="center"/>
          </w:tcPr>
          <w:p>
            <w:pPr>
              <w:spacing w:line="360" w:lineRule="auto"/>
              <w:jc w:val="center"/>
              <w:rPr>
                <w:color w:val="000000"/>
                <w:sz w:val="24"/>
                <w:szCs w:val="24"/>
              </w:rPr>
            </w:pPr>
            <w:r>
              <w:rPr>
                <w:color w:val="000000"/>
                <w:sz w:val="24"/>
                <w:szCs w:val="24"/>
              </w:rPr>
              <w:t>(</w:t>
            </w:r>
            <w:r>
              <w:rPr>
                <w:rFonts w:hint="eastAsia"/>
                <w:color w:val="000000"/>
                <w:sz w:val="24"/>
                <w:szCs w:val="24"/>
              </w:rPr>
              <w:t>C</w:t>
            </w:r>
            <w:r>
              <w:rPr>
                <w:color w:val="000000"/>
                <w:sz w:val="24"/>
                <w:szCs w:val="24"/>
              </w:rPr>
              <w:t>.</w:t>
            </w:r>
            <w:r>
              <w:rPr>
                <w:rFonts w:hint="eastAsia"/>
                <w:color w:val="000000"/>
                <w:sz w:val="24"/>
                <w:szCs w:val="24"/>
              </w:rPr>
              <w:t>8</w:t>
            </w:r>
            <w:r>
              <w:rPr>
                <w:color w:val="000000"/>
                <w:sz w:val="24"/>
                <w:szCs w:val="24"/>
              </w:rPr>
              <w:t>)</w:t>
            </w:r>
          </w:p>
        </w:tc>
      </w:tr>
    </w:tbl>
    <w:p>
      <w:pPr>
        <w:spacing w:line="360" w:lineRule="auto"/>
        <w:rPr>
          <w:color w:val="000000"/>
          <w:sz w:val="24"/>
          <w:szCs w:val="24"/>
        </w:rPr>
      </w:pPr>
      <w:r>
        <w:rPr>
          <w:color w:val="000000"/>
          <w:sz w:val="24"/>
          <w:szCs w:val="24"/>
        </w:rPr>
        <w:t>式中：</w:t>
      </w:r>
      <m:oMath>
        <m:sSubSup>
          <m:sSubSupPr>
            <m:ctrlPr>
              <w:rPr>
                <w:rFonts w:ascii="Cambria Math" w:hAnsi="Cambria Math"/>
                <w:i/>
                <w:color w:val="000000"/>
                <w:sz w:val="24"/>
                <w:szCs w:val="24"/>
              </w:rPr>
            </m:ctrlPr>
          </m:sSubSupPr>
          <m:e>
            <m:r>
              <m:rPr/>
              <w:rPr>
                <w:rFonts w:ascii="Cambria Math" w:hAnsi="Cambria Math"/>
                <w:color w:val="000000"/>
                <w:sz w:val="24"/>
                <w:szCs w:val="24"/>
              </w:rPr>
              <m:t>χ</m:t>
            </m:r>
            <m:ctrlPr>
              <w:rPr>
                <w:rFonts w:ascii="Cambria Math" w:hAnsi="Cambria Math"/>
                <w:i/>
                <w:color w:val="000000"/>
                <w:sz w:val="24"/>
                <w:szCs w:val="24"/>
              </w:rPr>
            </m:ctrlPr>
          </m:e>
          <m:sub>
            <m:r>
              <m:rPr/>
              <w:rPr>
                <w:rFonts w:hint="eastAsia" w:ascii="Cambria Math" w:hAnsi="Cambria Math"/>
                <w:color w:val="000000"/>
                <w:sz w:val="24"/>
                <w:szCs w:val="24"/>
              </w:rPr>
              <m:t>A</m:t>
            </m:r>
            <m:ctrlPr>
              <w:rPr>
                <w:rFonts w:ascii="Cambria Math" w:hAnsi="Cambria Math"/>
                <w:i/>
                <w:color w:val="000000"/>
                <w:sz w:val="24"/>
                <w:szCs w:val="24"/>
              </w:rPr>
            </m:ctrlPr>
          </m:sub>
          <m:sup>
            <m:r>
              <m:rPr/>
              <w:rPr>
                <w:rFonts w:ascii="Cambria Math" w:hAnsi="Cambria Math"/>
                <w:color w:val="000000"/>
                <w:sz w:val="24"/>
                <w:szCs w:val="24"/>
              </w:rPr>
              <m:t>2</m:t>
            </m:r>
            <m:ctrlPr>
              <w:rPr>
                <w:rFonts w:ascii="Cambria Math" w:hAnsi="Cambria Math"/>
                <w:i/>
                <w:color w:val="000000"/>
                <w:sz w:val="24"/>
                <w:szCs w:val="24"/>
              </w:rPr>
            </m:ctrlPr>
          </m:sup>
        </m:sSubSup>
      </m:oMath>
      <w:r>
        <w:rPr>
          <w:rStyle w:val="45"/>
          <w:color w:val="000000"/>
          <w:sz w:val="24"/>
          <w:szCs w:val="24"/>
        </w:rPr>
        <w:t>——</w:t>
      </w:r>
      <w:r>
        <w:rPr>
          <w:rStyle w:val="45"/>
          <w:rFonts w:hint="eastAsia"/>
          <w:color w:val="000000"/>
          <w:sz w:val="24"/>
          <w:szCs w:val="24"/>
        </w:rPr>
        <w:t>算术平均值</w:t>
      </w:r>
      <w:r>
        <w:rPr>
          <w:rStyle w:val="45"/>
          <w:color w:val="000000"/>
          <w:sz w:val="24"/>
          <w:szCs w:val="24"/>
        </w:rPr>
        <w:t>的卡方统计量。</w:t>
      </w:r>
    </w:p>
    <w:p>
      <w:pPr>
        <w:spacing w:line="360" w:lineRule="auto"/>
        <w:ind w:firstLine="480" w:firstLineChars="200"/>
        <w:rPr>
          <w:rStyle w:val="45"/>
          <w:color w:val="000000"/>
          <w:sz w:val="24"/>
          <w:szCs w:val="24"/>
        </w:rPr>
      </w:pPr>
      <w:r>
        <w:rPr>
          <w:rStyle w:val="45"/>
          <w:rFonts w:hint="eastAsia"/>
          <w:color w:val="000000"/>
          <w:sz w:val="24"/>
          <w:szCs w:val="24"/>
        </w:rPr>
        <w:t>该卡方统计量的检验步骤可参照C</w:t>
      </w:r>
      <w:r>
        <w:rPr>
          <w:rStyle w:val="45"/>
          <w:color w:val="000000"/>
          <w:sz w:val="24"/>
          <w:szCs w:val="24"/>
        </w:rPr>
        <w:t>.2.2.3</w:t>
      </w:r>
      <w:r>
        <w:rPr>
          <w:rStyle w:val="45"/>
          <w:rFonts w:hint="eastAsia"/>
          <w:color w:val="000000"/>
          <w:sz w:val="24"/>
          <w:szCs w:val="24"/>
        </w:rPr>
        <w:t>节。</w:t>
      </w:r>
    </w:p>
    <w:p>
      <w:pPr>
        <w:snapToGrid w:val="0"/>
        <w:spacing w:line="360" w:lineRule="auto"/>
        <w:rPr>
          <w:color w:val="000000"/>
          <w:sz w:val="24"/>
        </w:rPr>
      </w:pPr>
    </w:p>
    <w:p>
      <w:pPr>
        <w:spacing w:line="360" w:lineRule="auto"/>
        <w:rPr>
          <w:sz w:val="24"/>
          <w:szCs w:val="24"/>
        </w:rPr>
      </w:pPr>
      <w:r>
        <w:rPr>
          <w:rFonts w:hint="eastAsia"/>
          <w:sz w:val="24"/>
          <w:szCs w:val="24"/>
        </w:rPr>
        <w:t>C</w:t>
      </w:r>
      <w:r>
        <w:rPr>
          <w:sz w:val="24"/>
          <w:szCs w:val="24"/>
        </w:rPr>
        <w:t xml:space="preserve">.2.4 </w:t>
      </w:r>
      <w:r>
        <w:rPr>
          <w:rFonts w:hint="eastAsia"/>
          <w:sz w:val="24"/>
          <w:szCs w:val="24"/>
        </w:rPr>
        <w:t>中位值</w:t>
      </w:r>
    </w:p>
    <w:p>
      <w:pPr>
        <w:spacing w:line="360" w:lineRule="auto"/>
        <w:rPr>
          <w:color w:val="000000"/>
          <w:sz w:val="24"/>
          <w:szCs w:val="24"/>
        </w:rPr>
      </w:pPr>
      <w:r>
        <w:rPr>
          <w:rFonts w:hint="eastAsia"/>
          <w:sz w:val="24"/>
          <w:szCs w:val="24"/>
        </w:rPr>
        <w:t>C</w:t>
      </w:r>
      <w:r>
        <w:rPr>
          <w:sz w:val="24"/>
          <w:szCs w:val="24"/>
        </w:rPr>
        <w:t>.2.4.1 中位值是指将各参比实验室测量值按照大小顺序排列，居于中间位置的数据。中位值可以作为一种比对参考值的估计量，当参比实验室数量足够多，测量值又相对分散</w:t>
      </w:r>
      <w:r>
        <w:rPr>
          <w:rFonts w:hint="eastAsia"/>
          <w:sz w:val="24"/>
          <w:szCs w:val="24"/>
        </w:rPr>
        <w:t>且不对称</w:t>
      </w:r>
      <w:r>
        <w:rPr>
          <w:sz w:val="24"/>
          <w:szCs w:val="24"/>
        </w:rPr>
        <w:t>时可采用此估计量。采用中位值确定参考值是一种对离群值不敏感</w:t>
      </w:r>
      <w:r>
        <w:rPr>
          <w:rFonts w:hint="eastAsia"/>
          <w:sz w:val="24"/>
          <w:szCs w:val="24"/>
        </w:rPr>
        <w:t>的</w:t>
      </w:r>
      <w:r>
        <w:rPr>
          <w:sz w:val="24"/>
          <w:szCs w:val="24"/>
        </w:rPr>
        <w:t>稳健估计方法</w:t>
      </w:r>
      <w:r>
        <w:rPr>
          <w:rFonts w:hint="eastAsia"/>
          <w:sz w:val="24"/>
          <w:szCs w:val="24"/>
        </w:rPr>
        <w:t>，但是该方法没有考虑参比实验室提供的不确定度信息，而且在参比实验室数量较少时存在较大风险。</w:t>
      </w:r>
    </w:p>
    <w:p>
      <w:pPr>
        <w:spacing w:line="360" w:lineRule="auto"/>
        <w:rPr>
          <w:color w:val="000000"/>
          <w:sz w:val="24"/>
          <w:szCs w:val="24"/>
        </w:rPr>
      </w:pPr>
      <w:r>
        <w:rPr>
          <w:rFonts w:hint="eastAsia"/>
          <w:color w:val="000000"/>
          <w:sz w:val="24"/>
          <w:szCs w:val="24"/>
        </w:rPr>
        <w:t>C</w:t>
      </w:r>
      <w:r>
        <w:rPr>
          <w:color w:val="000000"/>
          <w:sz w:val="24"/>
          <w:szCs w:val="24"/>
        </w:rPr>
        <w:t xml:space="preserve">.2.4.2 </w:t>
      </w:r>
      <w:r>
        <w:rPr>
          <w:rFonts w:hint="eastAsia"/>
          <w:color w:val="000000"/>
          <w:sz w:val="24"/>
          <w:szCs w:val="24"/>
        </w:rPr>
        <w:t>中位值模型</w:t>
      </w:r>
    </w:p>
    <w:p>
      <w:pPr>
        <w:spacing w:line="360" w:lineRule="auto"/>
        <w:ind w:firstLine="480"/>
        <w:rPr>
          <w:color w:val="000000"/>
          <w:sz w:val="24"/>
          <w:szCs w:val="24"/>
        </w:rPr>
      </w:pPr>
      <w:r>
        <w:rPr>
          <w:color w:val="000000"/>
          <w:sz w:val="24"/>
          <w:szCs w:val="24"/>
        </w:rPr>
        <w:t>中位值需要将</w:t>
      </w:r>
      <w:r>
        <w:rPr>
          <w:i/>
          <w:iCs/>
          <w:color w:val="000000"/>
          <w:sz w:val="24"/>
          <w:szCs w:val="24"/>
        </w:rPr>
        <w:t>n</w:t>
      </w:r>
      <w:r>
        <w:rPr>
          <w:color w:val="000000"/>
          <w:sz w:val="24"/>
          <w:szCs w:val="24"/>
        </w:rPr>
        <w:t>个参加实验室测量值进行</w:t>
      </w:r>
      <w:r>
        <w:rPr>
          <w:rFonts w:hint="eastAsia"/>
          <w:color w:val="000000"/>
          <w:sz w:val="24"/>
          <w:szCs w:val="24"/>
        </w:rPr>
        <w:t>由小到大</w:t>
      </w:r>
      <w:r>
        <w:rPr>
          <w:color w:val="000000"/>
          <w:sz w:val="24"/>
          <w:szCs w:val="24"/>
        </w:rPr>
        <w:t>排序，表示为：</w:t>
      </w:r>
    </w:p>
    <w:tbl>
      <w:tblPr>
        <w:tblStyle w:val="20"/>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522" w:type="dxa"/>
          </w:tcPr>
          <w:p>
            <w:pPr>
              <w:spacing w:line="360" w:lineRule="auto"/>
              <w:jc w:val="center"/>
              <w:rPr>
                <w:color w:val="000000"/>
                <w:sz w:val="24"/>
                <w:szCs w:val="24"/>
              </w:rPr>
            </w:pPr>
            <m:oMath>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d>
                    <m:dPr>
                      <m:ctrlPr>
                        <w:rPr>
                          <w:rFonts w:ascii="Cambria Math" w:hAnsi="Cambria Math"/>
                          <w:i/>
                          <w:color w:val="000000"/>
                          <w:sz w:val="24"/>
                          <w:szCs w:val="24"/>
                        </w:rPr>
                      </m:ctrlPr>
                    </m:dPr>
                    <m:e>
                      <m:r>
                        <m:rPr/>
                        <w:rPr>
                          <w:rFonts w:ascii="Cambria Math" w:hAnsi="Cambria Math"/>
                          <w:color w:val="000000"/>
                          <w:sz w:val="24"/>
                          <w:szCs w:val="24"/>
                        </w:rPr>
                        <m:t>1</m:t>
                      </m:r>
                      <m:ctrlPr>
                        <w:rPr>
                          <w:rFonts w:ascii="Cambria Math" w:hAnsi="Cambria Math"/>
                          <w:i/>
                          <w:color w:val="000000"/>
                          <w:sz w:val="24"/>
                          <w:szCs w:val="24"/>
                        </w:rPr>
                      </m:ctrlPr>
                    </m:e>
                  </m:d>
                  <m:ctrlPr>
                    <w:rPr>
                      <w:rFonts w:ascii="Cambria Math" w:hAnsi="Cambria Math"/>
                      <w:i/>
                      <w:color w:val="000000"/>
                      <w:sz w:val="24"/>
                      <w:szCs w:val="24"/>
                    </w:rPr>
                  </m:ctrlPr>
                </m:sub>
              </m:sSub>
            </m:oMath>
            <w:r>
              <w:rPr>
                <w:rStyle w:val="45"/>
                <w:color w:val="000000"/>
                <w:sz w:val="24"/>
                <w:szCs w:val="24"/>
              </w:rPr>
              <w:t>，</w:t>
            </w:r>
            <m:oMath>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d>
                    <m:dPr>
                      <m:ctrlPr>
                        <w:rPr>
                          <w:rFonts w:ascii="Cambria Math" w:hAnsi="Cambria Math"/>
                          <w:i/>
                          <w:color w:val="000000"/>
                          <w:sz w:val="24"/>
                          <w:szCs w:val="24"/>
                        </w:rPr>
                      </m:ctrlPr>
                    </m:dPr>
                    <m:e>
                      <m:r>
                        <m:rPr/>
                        <w:rPr>
                          <w:rFonts w:ascii="Cambria Math" w:hAnsi="Cambria Math"/>
                          <w:color w:val="000000"/>
                          <w:sz w:val="24"/>
                          <w:szCs w:val="24"/>
                        </w:rPr>
                        <m:t>2</m:t>
                      </m:r>
                      <m:ctrlPr>
                        <w:rPr>
                          <w:rFonts w:ascii="Cambria Math" w:hAnsi="Cambria Math"/>
                          <w:i/>
                          <w:color w:val="000000"/>
                          <w:sz w:val="24"/>
                          <w:szCs w:val="24"/>
                        </w:rPr>
                      </m:ctrlPr>
                    </m:e>
                  </m:d>
                  <m:ctrlPr>
                    <w:rPr>
                      <w:rFonts w:ascii="Cambria Math" w:hAnsi="Cambria Math"/>
                      <w:i/>
                      <w:color w:val="000000"/>
                      <w:sz w:val="24"/>
                      <w:szCs w:val="24"/>
                    </w:rPr>
                  </m:ctrlPr>
                </m:sub>
              </m:sSub>
            </m:oMath>
            <w:r>
              <w:rPr>
                <w:rStyle w:val="45"/>
                <w:color w:val="000000"/>
                <w:sz w:val="24"/>
                <w:szCs w:val="24"/>
              </w:rPr>
              <w:t>，</w:t>
            </w:r>
            <m:oMath>
              <m:r>
                <m:rPr/>
                <w:rPr>
                  <w:rFonts w:ascii="Cambria Math" w:hAnsi="Cambria Math"/>
                  <w:color w:val="000000"/>
                  <w:sz w:val="24"/>
                  <w:szCs w:val="24"/>
                </w:rPr>
                <m:t>⋯</m:t>
              </m:r>
            </m:oMath>
            <w:r>
              <w:rPr>
                <w:rStyle w:val="45"/>
                <w:color w:val="000000"/>
                <w:sz w:val="24"/>
                <w:szCs w:val="24"/>
              </w:rPr>
              <w:t>，</w:t>
            </w:r>
            <m:oMath>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d>
                    <m:dPr>
                      <m:ctrlPr>
                        <w:rPr>
                          <w:rFonts w:ascii="Cambria Math" w:hAnsi="Cambria Math"/>
                          <w:i/>
                          <w:color w:val="000000"/>
                          <w:sz w:val="24"/>
                          <w:szCs w:val="24"/>
                        </w:rPr>
                      </m:ctrlPr>
                    </m:dPr>
                    <m:e>
                      <m:r>
                        <m:rPr/>
                        <w:rPr>
                          <w:rFonts w:ascii="Cambria Math" w:hAnsi="Cambria Math"/>
                          <w:color w:val="000000"/>
                          <w:sz w:val="24"/>
                          <w:szCs w:val="24"/>
                        </w:rPr>
                        <m:t>n</m:t>
                      </m:r>
                      <m:ctrlPr>
                        <w:rPr>
                          <w:rFonts w:ascii="Cambria Math" w:hAnsi="Cambria Math"/>
                          <w:i/>
                          <w:color w:val="000000"/>
                          <w:sz w:val="24"/>
                          <w:szCs w:val="24"/>
                        </w:rPr>
                      </m:ctrlPr>
                    </m:e>
                  </m:d>
                  <m:ctrlPr>
                    <w:rPr>
                      <w:rFonts w:ascii="Cambria Math" w:hAnsi="Cambria Math"/>
                      <w:i/>
                      <w:color w:val="000000"/>
                      <w:sz w:val="24"/>
                      <w:szCs w:val="24"/>
                    </w:rPr>
                  </m:ctrlPr>
                </m:sub>
              </m:sSub>
            </m:oMath>
          </w:p>
        </w:tc>
      </w:tr>
    </w:tbl>
    <w:p>
      <w:pPr>
        <w:spacing w:line="360" w:lineRule="auto"/>
        <w:rPr>
          <w:rStyle w:val="45"/>
          <w:color w:val="000000"/>
          <w:sz w:val="24"/>
          <w:szCs w:val="24"/>
        </w:rPr>
      </w:pPr>
      <w:r>
        <w:rPr>
          <w:color w:val="000000"/>
          <w:sz w:val="24"/>
          <w:szCs w:val="24"/>
        </w:rPr>
        <w:t>则中位值</w:t>
      </w:r>
      <m:oMath>
        <m:r>
          <m:rPr>
            <m:sty m:val="p"/>
          </m:rPr>
          <w:rPr>
            <w:rFonts w:ascii="Cambria Math" w:hAnsi="Cambria Math"/>
            <w:color w:val="000000"/>
            <w:sz w:val="24"/>
            <w:szCs w:val="24"/>
          </w:rPr>
          <m:t>med</m:t>
        </m:r>
        <m:d>
          <m:dPr>
            <m:ctrlPr>
              <w:rPr>
                <w:rFonts w:ascii="Cambria Math" w:hAnsi="Cambria Math"/>
                <w:i/>
                <w:color w:val="000000"/>
                <w:sz w:val="24"/>
                <w:szCs w:val="24"/>
              </w:rPr>
            </m:ctrlPr>
          </m:dPr>
          <m:e>
            <m:r>
              <m:rPr/>
              <w:rPr>
                <w:rFonts w:hint="eastAsia" w:ascii="Cambria Math" w:hAnsi="Cambria Math"/>
                <w:color w:val="000000"/>
                <w:sz w:val="24"/>
                <w:szCs w:val="24"/>
              </w:rPr>
              <m:t>y</m:t>
            </m:r>
            <m:ctrlPr>
              <w:rPr>
                <w:rFonts w:ascii="Cambria Math" w:hAnsi="Cambria Math"/>
                <w:i/>
                <w:color w:val="000000"/>
                <w:sz w:val="24"/>
                <w:szCs w:val="24"/>
              </w:rPr>
            </m:ctrlPr>
          </m:e>
        </m:d>
      </m:oMath>
      <w:r>
        <w:rPr>
          <w:rStyle w:val="45"/>
          <w:color w:val="000000"/>
          <w:sz w:val="24"/>
          <w:szCs w:val="24"/>
        </w:rPr>
        <w:t>如式（</w:t>
      </w:r>
      <w:r>
        <w:rPr>
          <w:rStyle w:val="45"/>
          <w:rFonts w:hint="eastAsia"/>
          <w:color w:val="000000"/>
          <w:sz w:val="24"/>
          <w:szCs w:val="24"/>
        </w:rPr>
        <w:t>C</w:t>
      </w:r>
      <w:r>
        <w:rPr>
          <w:rStyle w:val="45"/>
          <w:color w:val="000000"/>
          <w:sz w:val="24"/>
          <w:szCs w:val="24"/>
        </w:rPr>
        <w:t>.</w:t>
      </w:r>
      <w:r>
        <w:rPr>
          <w:rStyle w:val="45"/>
          <w:rFonts w:hint="eastAsia"/>
          <w:color w:val="000000"/>
          <w:sz w:val="24"/>
          <w:szCs w:val="24"/>
        </w:rPr>
        <w:t>9</w:t>
      </w:r>
      <w:r>
        <w:rPr>
          <w:rStyle w:val="45"/>
          <w:color w:val="000000"/>
          <w:sz w:val="24"/>
          <w:szCs w:val="24"/>
        </w:rPr>
        <w:t>）所示：</w:t>
      </w:r>
    </w:p>
    <w:tbl>
      <w:tblPr>
        <w:tblStyle w:val="20"/>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03"/>
        <w:gridCol w:w="1969"/>
        <w:gridCol w:w="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5703" w:type="dxa"/>
            <w:vMerge w:val="restart"/>
            <w:vAlign w:val="center"/>
          </w:tcPr>
          <w:p>
            <w:pPr>
              <w:spacing w:line="360" w:lineRule="auto"/>
              <w:ind w:firstLine="2268" w:firstLineChars="945"/>
              <w:jc w:val="center"/>
              <w:rPr>
                <w:color w:val="000000"/>
                <w:sz w:val="24"/>
                <w:szCs w:val="24"/>
              </w:rPr>
            </w:pPr>
            <m:oMathPara>
              <m:oMathParaPr>
                <m:jc m:val="right"/>
              </m:oMathParaPr>
              <m:oMath>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r>
                      <m:rPr>
                        <m:sty m:val="p"/>
                      </m:rPr>
                      <w:rPr>
                        <w:rFonts w:hint="eastAsia" w:ascii="Cambria Math" w:hAnsi="Cambria Math"/>
                        <w:color w:val="000000"/>
                        <w:sz w:val="24"/>
                        <w:szCs w:val="24"/>
                      </w:rPr>
                      <m:t>med</m:t>
                    </m:r>
                    <m:ctrlPr>
                      <w:rPr>
                        <w:rFonts w:ascii="Cambria Math" w:hAnsi="Cambria Math"/>
                        <w:i/>
                        <w:color w:val="000000"/>
                        <w:sz w:val="24"/>
                        <w:szCs w:val="24"/>
                      </w:rPr>
                    </m:ctrlPr>
                  </m:sub>
                </m:sSub>
                <m:r>
                  <m:rPr>
                    <m:sty m:val="p"/>
                  </m:rPr>
                  <w:rPr>
                    <w:rFonts w:hint="eastAsia" w:ascii="Cambria Math" w:hAnsi="Cambria Math"/>
                    <w:color w:val="000000"/>
                    <w:sz w:val="24"/>
                    <w:szCs w:val="24"/>
                  </w:rPr>
                  <m:t>=</m:t>
                </m:r>
                <m:r>
                  <m:rPr>
                    <m:sty m:val="p"/>
                  </m:rPr>
                  <w:rPr>
                    <w:rFonts w:ascii="Cambria Math" w:hAnsi="Cambria Math"/>
                    <w:color w:val="000000"/>
                    <w:sz w:val="24"/>
                    <w:szCs w:val="24"/>
                  </w:rPr>
                  <m:t>med</m:t>
                </m:r>
                <m:d>
                  <m:dPr>
                    <m:ctrlPr>
                      <w:rPr>
                        <w:rFonts w:ascii="Cambria Math" w:hAnsi="Cambria Math"/>
                        <w:i/>
                        <w:color w:val="000000"/>
                        <w:sz w:val="24"/>
                        <w:szCs w:val="24"/>
                      </w:rPr>
                    </m:ctrlPr>
                  </m:dPr>
                  <m:e>
                    <m:r>
                      <m:rPr/>
                      <w:rPr>
                        <w:rFonts w:hint="eastAsia" w:ascii="Cambria Math" w:hAnsi="Cambria Math"/>
                        <w:color w:val="000000"/>
                        <w:sz w:val="24"/>
                        <w:szCs w:val="24"/>
                      </w:rPr>
                      <m:t>y</m:t>
                    </m:r>
                    <m:ctrlPr>
                      <w:rPr>
                        <w:rFonts w:ascii="Cambria Math" w:hAnsi="Cambria Math"/>
                        <w:i/>
                        <w:color w:val="000000"/>
                        <w:sz w:val="24"/>
                        <w:szCs w:val="24"/>
                      </w:rPr>
                    </m:ctrlPr>
                  </m:e>
                </m:d>
                <m:r>
                  <m:rPr/>
                  <w:rPr>
                    <w:rFonts w:ascii="Cambria Math" w:hAnsi="Cambria Math"/>
                    <w:color w:val="000000"/>
                    <w:sz w:val="24"/>
                    <w:szCs w:val="24"/>
                  </w:rPr>
                  <m:t>=</m:t>
                </m:r>
                <m:d>
                  <m:dPr>
                    <m:begChr m:val="{"/>
                    <m:endChr m:val=""/>
                    <m:ctrlPr>
                      <w:rPr>
                        <w:rFonts w:ascii="Cambria Math" w:hAnsi="Cambria Math"/>
                        <w:i/>
                        <w:color w:val="000000"/>
                        <w:sz w:val="24"/>
                        <w:szCs w:val="24"/>
                      </w:rPr>
                    </m:ctrlPr>
                  </m:dPr>
                  <m:e>
                    <m:eqArr>
                      <m:eqArrPr>
                        <m:ctrlPr>
                          <w:rPr>
                            <w:rFonts w:ascii="Cambria Math" w:hAnsi="Cambria Math"/>
                            <w:i/>
                            <w:color w:val="000000"/>
                            <w:sz w:val="24"/>
                            <w:szCs w:val="24"/>
                          </w:rPr>
                        </m:ctrlPr>
                      </m:eqArrPr>
                      <m:e>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d>
                              <m:dPr>
                                <m:ctrlPr>
                                  <w:rPr>
                                    <w:rFonts w:ascii="Cambria Math" w:hAnsi="Cambria Math"/>
                                    <w:i/>
                                    <w:color w:val="000000"/>
                                    <w:sz w:val="24"/>
                                    <w:szCs w:val="24"/>
                                  </w:rPr>
                                </m:ctrlPr>
                              </m:dPr>
                              <m:e>
                                <m:f>
                                  <m:fPr>
                                    <m:ctrlPr>
                                      <w:rPr>
                                        <w:rFonts w:ascii="Cambria Math" w:hAnsi="Cambria Math"/>
                                        <w:i/>
                                        <w:color w:val="000000"/>
                                        <w:sz w:val="24"/>
                                        <w:szCs w:val="24"/>
                                      </w:rPr>
                                    </m:ctrlPr>
                                  </m:fPr>
                                  <m:num>
                                    <m:r>
                                      <m:rPr/>
                                      <w:rPr>
                                        <w:rFonts w:ascii="Cambria Math" w:hAnsi="Cambria Math"/>
                                        <w:color w:val="000000"/>
                                        <w:sz w:val="24"/>
                                        <w:szCs w:val="24"/>
                                      </w:rPr>
                                      <m:t>n+1</m:t>
                                    </m:r>
                                    <m:ctrlPr>
                                      <w:rPr>
                                        <w:rFonts w:ascii="Cambria Math" w:hAnsi="Cambria Math"/>
                                        <w:i/>
                                        <w:color w:val="000000"/>
                                        <w:sz w:val="24"/>
                                        <w:szCs w:val="24"/>
                                      </w:rPr>
                                    </m:ctrlPr>
                                  </m:num>
                                  <m:den>
                                    <m:r>
                                      <m:rPr/>
                                      <w:rPr>
                                        <w:rFonts w:ascii="Cambria Math" w:hAnsi="Cambria Math"/>
                                        <w:color w:val="000000"/>
                                        <w:sz w:val="24"/>
                                        <w:szCs w:val="24"/>
                                      </w:rPr>
                                      <m:t>2</m:t>
                                    </m:r>
                                    <m:ctrlPr>
                                      <w:rPr>
                                        <w:rFonts w:ascii="Cambria Math" w:hAnsi="Cambria Math"/>
                                        <w:i/>
                                        <w:color w:val="000000"/>
                                        <w:sz w:val="24"/>
                                        <w:szCs w:val="24"/>
                                      </w:rPr>
                                    </m:ctrlPr>
                                  </m:den>
                                </m:f>
                                <m:ctrlPr>
                                  <w:rPr>
                                    <w:rFonts w:ascii="Cambria Math" w:hAnsi="Cambria Math"/>
                                    <w:i/>
                                    <w:color w:val="000000"/>
                                    <w:sz w:val="24"/>
                                    <w:szCs w:val="24"/>
                                  </w:rPr>
                                </m:ctrlPr>
                              </m:e>
                            </m:d>
                            <m:ctrlPr>
                              <w:rPr>
                                <w:rFonts w:ascii="Cambria Math" w:hAnsi="Cambria Math"/>
                                <w:i/>
                                <w:color w:val="000000"/>
                                <w:sz w:val="24"/>
                                <w:szCs w:val="24"/>
                              </w:rPr>
                            </m:ctrlPr>
                          </m:sub>
                        </m:sSub>
                        <m:ctrlPr>
                          <w:rPr>
                            <w:rFonts w:ascii="Cambria Math" w:hAnsi="Cambria Math"/>
                            <w:i/>
                            <w:color w:val="000000"/>
                            <w:sz w:val="24"/>
                            <w:szCs w:val="24"/>
                          </w:rPr>
                        </m:ctrlPr>
                      </m:e>
                      <m:e>
                        <m:ctrlPr>
                          <w:rPr>
                            <w:rFonts w:ascii="Cambria Math" w:hAnsi="Cambria Math"/>
                            <w:i/>
                            <w:color w:val="000000"/>
                            <w:sz w:val="24"/>
                            <w:szCs w:val="24"/>
                          </w:rPr>
                        </m:ctrlPr>
                      </m:e>
                      <m:e>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d>
                                  <m:dPr>
                                    <m:ctrlPr>
                                      <w:rPr>
                                        <w:rFonts w:ascii="Cambria Math" w:hAnsi="Cambria Math"/>
                                        <w:i/>
                                        <w:color w:val="000000"/>
                                        <w:sz w:val="24"/>
                                        <w:szCs w:val="24"/>
                                      </w:rPr>
                                    </m:ctrlPr>
                                  </m:dPr>
                                  <m:e>
                                    <m:f>
                                      <m:fPr>
                                        <m:ctrlPr>
                                          <w:rPr>
                                            <w:rFonts w:ascii="Cambria Math" w:hAnsi="Cambria Math"/>
                                            <w:i/>
                                            <w:color w:val="000000"/>
                                            <w:sz w:val="24"/>
                                            <w:szCs w:val="24"/>
                                          </w:rPr>
                                        </m:ctrlPr>
                                      </m:fPr>
                                      <m:num>
                                        <m:r>
                                          <m:rPr/>
                                          <w:rPr>
                                            <w:rFonts w:ascii="Cambria Math" w:hAnsi="Cambria Math"/>
                                            <w:color w:val="000000"/>
                                            <w:sz w:val="24"/>
                                            <w:szCs w:val="24"/>
                                          </w:rPr>
                                          <m:t>n</m:t>
                                        </m:r>
                                        <m:ctrlPr>
                                          <w:rPr>
                                            <w:rFonts w:ascii="Cambria Math" w:hAnsi="Cambria Math"/>
                                            <w:i/>
                                            <w:color w:val="000000"/>
                                            <w:sz w:val="24"/>
                                            <w:szCs w:val="24"/>
                                          </w:rPr>
                                        </m:ctrlPr>
                                      </m:num>
                                      <m:den>
                                        <m:r>
                                          <m:rPr/>
                                          <w:rPr>
                                            <w:rFonts w:ascii="Cambria Math" w:hAnsi="Cambria Math"/>
                                            <w:color w:val="000000"/>
                                            <w:sz w:val="24"/>
                                            <w:szCs w:val="24"/>
                                          </w:rPr>
                                          <m:t>2</m:t>
                                        </m:r>
                                        <m:ctrlPr>
                                          <w:rPr>
                                            <w:rFonts w:ascii="Cambria Math" w:hAnsi="Cambria Math"/>
                                            <w:i/>
                                            <w:color w:val="000000"/>
                                            <w:sz w:val="24"/>
                                            <w:szCs w:val="24"/>
                                          </w:rPr>
                                        </m:ctrlPr>
                                      </m:den>
                                    </m:f>
                                    <m:ctrlPr>
                                      <w:rPr>
                                        <w:rFonts w:ascii="Cambria Math" w:hAnsi="Cambria Math"/>
                                        <w:i/>
                                        <w:color w:val="000000"/>
                                        <w:sz w:val="24"/>
                                        <w:szCs w:val="24"/>
                                      </w:rPr>
                                    </m:ctrlPr>
                                  </m:e>
                                </m:d>
                                <m:ctrlPr>
                                  <w:rPr>
                                    <w:rFonts w:ascii="Cambria Math" w:hAnsi="Cambria Math"/>
                                    <w:i/>
                                    <w:color w:val="000000"/>
                                    <w:sz w:val="24"/>
                                    <w:szCs w:val="24"/>
                                  </w:rPr>
                                </m:ctrlPr>
                              </m:sub>
                            </m:sSub>
                            <m:r>
                              <m:rPr/>
                              <w:rPr>
                                <w:rFonts w:ascii="Cambria Math" w:hAnsi="Cambria Math"/>
                                <w:color w:val="000000"/>
                                <w:sz w:val="24"/>
                                <w:szCs w:val="24"/>
                              </w:rPr>
                              <m:t>+</m:t>
                            </m:r>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d>
                                  <m:dPr>
                                    <m:ctrlPr>
                                      <w:rPr>
                                        <w:rFonts w:ascii="Cambria Math" w:hAnsi="Cambria Math"/>
                                        <w:i/>
                                        <w:color w:val="000000"/>
                                        <w:sz w:val="24"/>
                                        <w:szCs w:val="24"/>
                                      </w:rPr>
                                    </m:ctrlPr>
                                  </m:dPr>
                                  <m:e>
                                    <m:f>
                                      <m:fPr>
                                        <m:ctrlPr>
                                          <w:rPr>
                                            <w:rFonts w:ascii="Cambria Math" w:hAnsi="Cambria Math"/>
                                            <w:i/>
                                            <w:color w:val="000000"/>
                                            <w:sz w:val="24"/>
                                            <w:szCs w:val="24"/>
                                          </w:rPr>
                                        </m:ctrlPr>
                                      </m:fPr>
                                      <m:num>
                                        <m:r>
                                          <m:rPr/>
                                          <w:rPr>
                                            <w:rFonts w:ascii="Cambria Math" w:hAnsi="Cambria Math"/>
                                            <w:color w:val="000000"/>
                                            <w:sz w:val="24"/>
                                            <w:szCs w:val="24"/>
                                          </w:rPr>
                                          <m:t>n</m:t>
                                        </m:r>
                                        <m:ctrlPr>
                                          <w:rPr>
                                            <w:rFonts w:ascii="Cambria Math" w:hAnsi="Cambria Math"/>
                                            <w:i/>
                                            <w:color w:val="000000"/>
                                            <w:sz w:val="24"/>
                                            <w:szCs w:val="24"/>
                                          </w:rPr>
                                        </m:ctrlPr>
                                      </m:num>
                                      <m:den>
                                        <m:r>
                                          <m:rPr/>
                                          <w:rPr>
                                            <w:rFonts w:ascii="Cambria Math" w:hAnsi="Cambria Math"/>
                                            <w:color w:val="000000"/>
                                            <w:sz w:val="24"/>
                                            <w:szCs w:val="24"/>
                                          </w:rPr>
                                          <m:t>2</m:t>
                                        </m:r>
                                        <m:ctrlPr>
                                          <w:rPr>
                                            <w:rFonts w:ascii="Cambria Math" w:hAnsi="Cambria Math"/>
                                            <w:i/>
                                            <w:color w:val="000000"/>
                                            <w:sz w:val="24"/>
                                            <w:szCs w:val="24"/>
                                          </w:rPr>
                                        </m:ctrlPr>
                                      </m:den>
                                    </m:f>
                                    <m:r>
                                      <m:rPr/>
                                      <w:rPr>
                                        <w:rFonts w:ascii="Cambria Math" w:hAnsi="Cambria Math"/>
                                        <w:color w:val="000000"/>
                                        <w:sz w:val="24"/>
                                        <w:szCs w:val="24"/>
                                      </w:rPr>
                                      <m:t>+1</m:t>
                                    </m:r>
                                    <m:ctrlPr>
                                      <w:rPr>
                                        <w:rFonts w:ascii="Cambria Math" w:hAnsi="Cambria Math"/>
                                        <w:i/>
                                        <w:color w:val="000000"/>
                                        <w:sz w:val="24"/>
                                        <w:szCs w:val="24"/>
                                      </w:rPr>
                                    </m:ctrlPr>
                                  </m:e>
                                </m:d>
                                <m:ctrlPr>
                                  <w:rPr>
                                    <w:rFonts w:ascii="Cambria Math" w:hAnsi="Cambria Math"/>
                                    <w:i/>
                                    <w:color w:val="000000"/>
                                    <w:sz w:val="24"/>
                                    <w:szCs w:val="24"/>
                                  </w:rPr>
                                </m:ctrlPr>
                              </m:sub>
                            </m:sSub>
                            <m:ctrlPr>
                              <w:rPr>
                                <w:rFonts w:ascii="Cambria Math" w:hAnsi="Cambria Math"/>
                                <w:i/>
                                <w:color w:val="000000"/>
                                <w:sz w:val="24"/>
                                <w:szCs w:val="24"/>
                              </w:rPr>
                            </m:ctrlPr>
                          </m:num>
                          <m:den>
                            <m:r>
                              <m:rPr/>
                              <w:rPr>
                                <w:rFonts w:ascii="Cambria Math" w:hAnsi="Cambria Math"/>
                                <w:color w:val="000000"/>
                                <w:sz w:val="24"/>
                                <w:szCs w:val="24"/>
                              </w:rPr>
                              <m:t>2</m:t>
                            </m:r>
                            <m:ctrlPr>
                              <w:rPr>
                                <w:rFonts w:ascii="Cambria Math" w:hAnsi="Cambria Math"/>
                                <w:i/>
                                <w:color w:val="000000"/>
                                <w:sz w:val="24"/>
                                <w:szCs w:val="24"/>
                              </w:rPr>
                            </m:ctrlPr>
                          </m:den>
                        </m:f>
                        <m:ctrlPr>
                          <w:rPr>
                            <w:rFonts w:ascii="Cambria Math" w:hAnsi="Cambria Math"/>
                            <w:i/>
                            <w:color w:val="000000"/>
                            <w:sz w:val="24"/>
                            <w:szCs w:val="24"/>
                          </w:rPr>
                        </m:ctrlPr>
                      </m:e>
                    </m:eqArr>
                    <m:ctrlPr>
                      <w:rPr>
                        <w:rFonts w:ascii="Cambria Math" w:hAnsi="Cambria Math"/>
                        <w:i/>
                        <w:color w:val="000000"/>
                        <w:sz w:val="24"/>
                        <w:szCs w:val="24"/>
                      </w:rPr>
                    </m:ctrlPr>
                  </m:e>
                </m:d>
              </m:oMath>
            </m:oMathPara>
          </w:p>
        </w:tc>
        <w:tc>
          <w:tcPr>
            <w:tcW w:w="1969" w:type="dxa"/>
            <w:vAlign w:val="center"/>
          </w:tcPr>
          <w:p>
            <w:pPr>
              <w:spacing w:line="360" w:lineRule="auto"/>
              <w:jc w:val="center"/>
              <w:rPr>
                <w:color w:val="000000"/>
                <w:sz w:val="24"/>
                <w:szCs w:val="24"/>
              </w:rPr>
            </w:pPr>
            <w:r>
              <w:rPr>
                <w:color w:val="000000"/>
                <w:sz w:val="24"/>
                <w:szCs w:val="24"/>
              </w:rPr>
              <w:t>（当</w:t>
            </w:r>
            <w:r>
              <w:rPr>
                <w:i/>
                <w:iCs/>
                <w:color w:val="000000"/>
                <w:sz w:val="24"/>
                <w:szCs w:val="24"/>
              </w:rPr>
              <w:t>n</w:t>
            </w:r>
            <w:r>
              <w:rPr>
                <w:color w:val="000000"/>
                <w:sz w:val="24"/>
                <w:szCs w:val="24"/>
              </w:rPr>
              <w:t>为奇数时）</w:t>
            </w:r>
          </w:p>
        </w:tc>
        <w:tc>
          <w:tcPr>
            <w:tcW w:w="850" w:type="dxa"/>
            <w:vMerge w:val="restart"/>
            <w:vAlign w:val="center"/>
          </w:tcPr>
          <w:p>
            <w:pPr>
              <w:spacing w:line="360" w:lineRule="auto"/>
              <w:jc w:val="center"/>
              <w:rPr>
                <w:color w:val="000000"/>
                <w:sz w:val="24"/>
                <w:szCs w:val="24"/>
              </w:rPr>
            </w:pPr>
            <w:r>
              <w:rPr>
                <w:color w:val="000000"/>
                <w:sz w:val="24"/>
                <w:szCs w:val="24"/>
              </w:rPr>
              <w:t>(</w:t>
            </w:r>
            <w:r>
              <w:rPr>
                <w:rFonts w:hint="eastAsia"/>
                <w:color w:val="000000"/>
                <w:sz w:val="24"/>
                <w:szCs w:val="24"/>
              </w:rPr>
              <w:t>C</w:t>
            </w:r>
            <w:r>
              <w:rPr>
                <w:color w:val="000000"/>
                <w:sz w:val="24"/>
                <w:szCs w:val="24"/>
              </w:rPr>
              <w:t>.</w:t>
            </w:r>
            <w:r>
              <w:rPr>
                <w:rFonts w:hint="eastAsia"/>
                <w:color w:val="000000"/>
                <w:sz w:val="24"/>
                <w:szCs w:val="24"/>
              </w:rPr>
              <w:t>9</w:t>
            </w:r>
            <w:r>
              <w:rPr>
                <w:color w:val="000000"/>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0" w:hRule="atLeast"/>
        </w:trPr>
        <w:tc>
          <w:tcPr>
            <w:tcW w:w="5703" w:type="dxa"/>
            <w:vMerge w:val="continue"/>
            <w:vAlign w:val="center"/>
          </w:tcPr>
          <w:p>
            <w:pPr>
              <w:spacing w:line="360" w:lineRule="auto"/>
              <w:jc w:val="center"/>
              <w:rPr>
                <w:rStyle w:val="45"/>
                <w:color w:val="000000"/>
                <w:sz w:val="24"/>
                <w:szCs w:val="24"/>
              </w:rPr>
            </w:pPr>
          </w:p>
        </w:tc>
        <w:tc>
          <w:tcPr>
            <w:tcW w:w="1969" w:type="dxa"/>
            <w:vAlign w:val="center"/>
          </w:tcPr>
          <w:p>
            <w:pPr>
              <w:spacing w:line="360" w:lineRule="auto"/>
              <w:jc w:val="center"/>
              <w:rPr>
                <w:color w:val="000000"/>
                <w:sz w:val="24"/>
                <w:szCs w:val="24"/>
              </w:rPr>
            </w:pPr>
            <w:r>
              <w:rPr>
                <w:color w:val="000000"/>
                <w:sz w:val="24"/>
                <w:szCs w:val="24"/>
              </w:rPr>
              <w:t>（当</w:t>
            </w:r>
            <w:r>
              <w:rPr>
                <w:i/>
                <w:iCs/>
                <w:color w:val="000000"/>
                <w:sz w:val="24"/>
                <w:szCs w:val="24"/>
              </w:rPr>
              <w:t>n</w:t>
            </w:r>
            <w:r>
              <w:rPr>
                <w:color w:val="000000"/>
                <w:sz w:val="24"/>
                <w:szCs w:val="24"/>
              </w:rPr>
              <w:t>为偶数时）</w:t>
            </w:r>
          </w:p>
        </w:tc>
        <w:tc>
          <w:tcPr>
            <w:tcW w:w="850" w:type="dxa"/>
            <w:vMerge w:val="continue"/>
            <w:vAlign w:val="center"/>
          </w:tcPr>
          <w:p>
            <w:pPr>
              <w:spacing w:line="360" w:lineRule="auto"/>
              <w:jc w:val="center"/>
              <w:rPr>
                <w:color w:val="000000"/>
                <w:sz w:val="24"/>
                <w:szCs w:val="24"/>
              </w:rPr>
            </w:pPr>
          </w:p>
        </w:tc>
      </w:tr>
    </w:tbl>
    <w:p>
      <w:pPr>
        <w:spacing w:line="360" w:lineRule="auto"/>
        <w:rPr>
          <w:color w:val="000000"/>
          <w:sz w:val="24"/>
          <w:szCs w:val="24"/>
        </w:rPr>
      </w:pPr>
    </w:p>
    <w:p>
      <w:pPr>
        <w:spacing w:line="360" w:lineRule="auto"/>
        <w:rPr>
          <w:sz w:val="24"/>
          <w:szCs w:val="24"/>
        </w:rPr>
      </w:pPr>
      <w:r>
        <w:rPr>
          <w:rFonts w:hint="eastAsia"/>
          <w:sz w:val="24"/>
          <w:szCs w:val="24"/>
        </w:rPr>
        <w:t>C</w:t>
      </w:r>
      <w:r>
        <w:rPr>
          <w:sz w:val="24"/>
          <w:szCs w:val="24"/>
        </w:rPr>
        <w:t>.2.4.3 中位值不确定度的估计方法</w:t>
      </w:r>
    </w:p>
    <w:p>
      <w:pPr>
        <w:spacing w:line="360" w:lineRule="auto"/>
        <w:rPr>
          <w:color w:val="000000"/>
          <w:sz w:val="24"/>
          <w:szCs w:val="24"/>
        </w:rPr>
      </w:pPr>
      <w:r>
        <w:rPr>
          <w:sz w:val="24"/>
          <w:szCs w:val="24"/>
        </w:rPr>
        <w:t xml:space="preserve">   </w:t>
      </w:r>
      <w:r>
        <w:rPr>
          <w:color w:val="000000"/>
          <w:sz w:val="24"/>
          <w:szCs w:val="24"/>
        </w:rPr>
        <w:t xml:space="preserve"> </w:t>
      </w:r>
      <w:r>
        <w:rPr>
          <w:color w:val="000000"/>
          <w:kern w:val="0"/>
          <w:sz w:val="24"/>
        </w:rPr>
        <w:t>中位值以一定的概率处于置信下限</w:t>
      </w:r>
      <w:r>
        <w:rPr>
          <w:i/>
          <w:color w:val="000000"/>
          <w:kern w:val="0"/>
          <w:sz w:val="24"/>
        </w:rPr>
        <w:t>T</w:t>
      </w:r>
      <w:r>
        <w:rPr>
          <w:iCs/>
          <w:color w:val="000000"/>
          <w:kern w:val="0"/>
          <w:sz w:val="24"/>
          <w:vertAlign w:val="subscript"/>
        </w:rPr>
        <w:t>1</w:t>
      </w:r>
      <w:r>
        <w:rPr>
          <w:color w:val="000000"/>
          <w:kern w:val="0"/>
          <w:sz w:val="24"/>
        </w:rPr>
        <w:t>与置信上限</w:t>
      </w:r>
      <w:r>
        <w:rPr>
          <w:i/>
          <w:color w:val="000000"/>
          <w:kern w:val="0"/>
          <w:sz w:val="24"/>
        </w:rPr>
        <w:t>T</w:t>
      </w:r>
      <w:r>
        <w:rPr>
          <w:iCs/>
          <w:color w:val="000000"/>
          <w:kern w:val="0"/>
          <w:sz w:val="24"/>
          <w:vertAlign w:val="subscript"/>
        </w:rPr>
        <w:t>2</w:t>
      </w:r>
      <w:r>
        <w:rPr>
          <w:color w:val="000000"/>
          <w:kern w:val="0"/>
          <w:sz w:val="24"/>
        </w:rPr>
        <w:t>之间的双侧置信区间[</w:t>
      </w:r>
      <w:r>
        <w:rPr>
          <w:i/>
          <w:color w:val="000000"/>
          <w:kern w:val="0"/>
          <w:sz w:val="24"/>
        </w:rPr>
        <w:t>T</w:t>
      </w:r>
      <w:r>
        <w:rPr>
          <w:color w:val="000000"/>
          <w:kern w:val="0"/>
          <w:sz w:val="24"/>
          <w:vertAlign w:val="subscript"/>
        </w:rPr>
        <w:t>1</w:t>
      </w:r>
      <w:r>
        <w:rPr>
          <w:color w:val="000000"/>
          <w:kern w:val="0"/>
          <w:sz w:val="24"/>
        </w:rPr>
        <w:t>，</w:t>
      </w:r>
      <w:r>
        <w:rPr>
          <w:i/>
          <w:color w:val="000000"/>
          <w:kern w:val="0"/>
          <w:sz w:val="24"/>
        </w:rPr>
        <w:t xml:space="preserve"> T</w:t>
      </w:r>
      <w:r>
        <w:rPr>
          <w:color w:val="000000"/>
          <w:kern w:val="0"/>
          <w:sz w:val="24"/>
          <w:vertAlign w:val="subscript"/>
        </w:rPr>
        <w:t>2</w:t>
      </w:r>
      <w:r>
        <w:rPr>
          <w:color w:val="000000"/>
          <w:kern w:val="0"/>
          <w:sz w:val="24"/>
        </w:rPr>
        <w:t>]，置信区间的上下限可表示为：</w:t>
      </w:r>
    </w:p>
    <w:tbl>
      <w:tblPr>
        <w:tblStyle w:val="20"/>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72"/>
        <w:gridCol w:w="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72" w:type="dxa"/>
            <w:vAlign w:val="center"/>
          </w:tcPr>
          <w:p>
            <w:pPr>
              <w:spacing w:line="360" w:lineRule="auto"/>
              <w:jc w:val="center"/>
              <w:rPr>
                <w:color w:val="000000"/>
                <w:sz w:val="24"/>
                <w:szCs w:val="24"/>
              </w:rPr>
            </w:pPr>
            <m:oMathPara>
              <m:oMath>
                <m:sSub>
                  <m:sSubPr>
                    <m:ctrlPr>
                      <w:rPr>
                        <w:rFonts w:ascii="Cambria Math" w:hAnsi="Cambria Math"/>
                        <w:i/>
                        <w:color w:val="000000"/>
                        <w:sz w:val="24"/>
                        <w:szCs w:val="24"/>
                      </w:rPr>
                    </m:ctrlPr>
                  </m:sSubPr>
                  <m:e>
                    <m:r>
                      <m:rPr/>
                      <w:rPr>
                        <w:rFonts w:ascii="Cambria Math" w:hAnsi="Cambria Math"/>
                        <w:color w:val="000000"/>
                        <w:sz w:val="24"/>
                        <w:szCs w:val="24"/>
                      </w:rPr>
                      <m:t>T</m:t>
                    </m:r>
                    <m:ctrlPr>
                      <w:rPr>
                        <w:rFonts w:ascii="Cambria Math" w:hAnsi="Cambria Math"/>
                        <w:i/>
                        <w:color w:val="000000"/>
                        <w:sz w:val="24"/>
                        <w:szCs w:val="24"/>
                      </w:rPr>
                    </m:ctrlPr>
                  </m:e>
                  <m:sub>
                    <m:r>
                      <m:rPr/>
                      <w:rPr>
                        <w:rFonts w:ascii="Cambria Math" w:hAnsi="Cambria Math"/>
                        <w:color w:val="000000"/>
                        <w:sz w:val="24"/>
                        <w:szCs w:val="24"/>
                      </w:rPr>
                      <m:t>1</m:t>
                    </m:r>
                    <m:ctrlPr>
                      <w:rPr>
                        <w:rFonts w:ascii="Cambria Math" w:hAnsi="Cambria Math"/>
                        <w:i/>
                        <w:color w:val="000000"/>
                        <w:sz w:val="24"/>
                        <w:szCs w:val="24"/>
                      </w:rPr>
                    </m:ctrlPr>
                  </m:sub>
                </m:sSub>
                <m:r>
                  <m:rPr/>
                  <w:rPr>
                    <w:rFonts w:ascii="Cambria Math" w:hAnsi="Cambria Math"/>
                    <w:color w:val="000000"/>
                    <w:sz w:val="24"/>
                    <w:szCs w:val="24"/>
                  </w:rPr>
                  <m:t>=</m:t>
                </m:r>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d>
                      <m:dPr>
                        <m:ctrlPr>
                          <w:rPr>
                            <w:rFonts w:ascii="Cambria Math" w:hAnsi="Cambria Math"/>
                            <w:i/>
                            <w:color w:val="000000"/>
                            <w:sz w:val="24"/>
                            <w:szCs w:val="24"/>
                          </w:rPr>
                        </m:ctrlPr>
                      </m:dPr>
                      <m:e>
                        <m:r>
                          <m:rPr/>
                          <w:rPr>
                            <w:rFonts w:ascii="Cambria Math" w:hAnsi="Cambria Math"/>
                            <w:color w:val="000000"/>
                            <w:sz w:val="24"/>
                            <w:szCs w:val="24"/>
                          </w:rPr>
                          <m:t>q</m:t>
                        </m:r>
                        <m:ctrlPr>
                          <w:rPr>
                            <w:rFonts w:ascii="Cambria Math" w:hAnsi="Cambria Math"/>
                            <w:i/>
                            <w:color w:val="000000"/>
                            <w:sz w:val="24"/>
                            <w:szCs w:val="24"/>
                          </w:rPr>
                        </m:ctrlPr>
                      </m:e>
                    </m:d>
                    <m:ctrlPr>
                      <w:rPr>
                        <w:rFonts w:ascii="Cambria Math" w:hAnsi="Cambria Math"/>
                        <w:i/>
                        <w:color w:val="000000"/>
                        <w:sz w:val="24"/>
                        <w:szCs w:val="24"/>
                      </w:rPr>
                    </m:ctrlPr>
                  </m:sub>
                </m:sSub>
              </m:oMath>
            </m:oMathPara>
          </w:p>
        </w:tc>
        <w:tc>
          <w:tcPr>
            <w:tcW w:w="850" w:type="dxa"/>
            <w:vAlign w:val="center"/>
          </w:tcPr>
          <w:p>
            <w:pPr>
              <w:spacing w:line="360" w:lineRule="auto"/>
              <w:jc w:val="center"/>
              <w:rPr>
                <w:color w:val="000000"/>
                <w:sz w:val="24"/>
                <w:szCs w:val="24"/>
              </w:rPr>
            </w:pPr>
            <w:r>
              <w:rPr>
                <w:color w:val="000000"/>
                <w:sz w:val="24"/>
                <w:szCs w:val="24"/>
              </w:rPr>
              <w:t>(</w:t>
            </w:r>
            <w:r>
              <w:rPr>
                <w:rFonts w:hint="eastAsia"/>
                <w:color w:val="000000"/>
                <w:sz w:val="24"/>
                <w:szCs w:val="24"/>
              </w:rPr>
              <w:t>C</w:t>
            </w:r>
            <w:r>
              <w:rPr>
                <w:color w:val="000000"/>
                <w:sz w:val="24"/>
                <w:szCs w:val="24"/>
              </w:rPr>
              <w:t>.</w:t>
            </w:r>
            <w:r>
              <w:rPr>
                <w:rFonts w:hint="eastAsia"/>
                <w:color w:val="000000"/>
                <w:sz w:val="24"/>
                <w:szCs w:val="24"/>
              </w:rPr>
              <w:t>10</w:t>
            </w:r>
            <w:r>
              <w:rPr>
                <w:color w:val="000000"/>
                <w:sz w:val="24"/>
                <w:szCs w:val="24"/>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672" w:type="dxa"/>
          </w:tcPr>
          <w:p>
            <w:pPr>
              <w:spacing w:line="360" w:lineRule="auto"/>
              <w:jc w:val="center"/>
              <w:rPr>
                <w:color w:val="000000"/>
                <w:sz w:val="24"/>
                <w:szCs w:val="24"/>
              </w:rPr>
            </w:pPr>
            <m:oMathPara>
              <m:oMath>
                <m:sSub>
                  <m:sSubPr>
                    <m:ctrlPr>
                      <w:rPr>
                        <w:rFonts w:ascii="Cambria Math" w:hAnsi="Cambria Math"/>
                        <w:i/>
                        <w:color w:val="000000"/>
                        <w:sz w:val="24"/>
                        <w:szCs w:val="24"/>
                      </w:rPr>
                    </m:ctrlPr>
                  </m:sSubPr>
                  <m:e>
                    <m:r>
                      <m:rPr/>
                      <w:rPr>
                        <w:rFonts w:ascii="Cambria Math" w:hAnsi="Cambria Math"/>
                        <w:color w:val="000000"/>
                        <w:sz w:val="24"/>
                        <w:szCs w:val="24"/>
                      </w:rPr>
                      <m:t>T</m:t>
                    </m:r>
                    <m:ctrlPr>
                      <w:rPr>
                        <w:rFonts w:ascii="Cambria Math" w:hAnsi="Cambria Math"/>
                        <w:i/>
                        <w:color w:val="000000"/>
                        <w:sz w:val="24"/>
                        <w:szCs w:val="24"/>
                      </w:rPr>
                    </m:ctrlPr>
                  </m:e>
                  <m:sub>
                    <m:r>
                      <m:rPr/>
                      <w:rPr>
                        <w:rFonts w:ascii="Cambria Math" w:hAnsi="Cambria Math"/>
                        <w:color w:val="000000"/>
                        <w:sz w:val="24"/>
                        <w:szCs w:val="24"/>
                      </w:rPr>
                      <m:t>2</m:t>
                    </m:r>
                    <m:ctrlPr>
                      <w:rPr>
                        <w:rFonts w:ascii="Cambria Math" w:hAnsi="Cambria Math"/>
                        <w:i/>
                        <w:color w:val="000000"/>
                        <w:sz w:val="24"/>
                        <w:szCs w:val="24"/>
                      </w:rPr>
                    </m:ctrlPr>
                  </m:sub>
                </m:sSub>
                <m:r>
                  <m:rPr/>
                  <w:rPr>
                    <w:rFonts w:ascii="Cambria Math" w:hAnsi="Cambria Math"/>
                    <w:color w:val="000000"/>
                    <w:sz w:val="24"/>
                    <w:szCs w:val="24"/>
                  </w:rPr>
                  <m:t>=</m:t>
                </m:r>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d>
                      <m:dPr>
                        <m:ctrlPr>
                          <w:rPr>
                            <w:rFonts w:ascii="Cambria Math" w:hAnsi="Cambria Math"/>
                            <w:i/>
                            <w:color w:val="000000"/>
                            <w:sz w:val="24"/>
                            <w:szCs w:val="24"/>
                          </w:rPr>
                        </m:ctrlPr>
                      </m:dPr>
                      <m:e>
                        <m:r>
                          <m:rPr/>
                          <w:rPr>
                            <w:rFonts w:ascii="Cambria Math" w:hAnsi="Cambria Math"/>
                            <w:color w:val="000000"/>
                            <w:sz w:val="24"/>
                            <w:szCs w:val="24"/>
                          </w:rPr>
                          <m:t>n−q+1</m:t>
                        </m:r>
                        <m:ctrlPr>
                          <w:rPr>
                            <w:rFonts w:ascii="Cambria Math" w:hAnsi="Cambria Math"/>
                            <w:i/>
                            <w:color w:val="000000"/>
                            <w:sz w:val="24"/>
                            <w:szCs w:val="24"/>
                          </w:rPr>
                        </m:ctrlPr>
                      </m:e>
                    </m:d>
                    <m:ctrlPr>
                      <w:rPr>
                        <w:rFonts w:ascii="Cambria Math" w:hAnsi="Cambria Math"/>
                        <w:i/>
                        <w:color w:val="000000"/>
                        <w:sz w:val="24"/>
                        <w:szCs w:val="24"/>
                      </w:rPr>
                    </m:ctrlPr>
                  </m:sub>
                </m:sSub>
              </m:oMath>
            </m:oMathPara>
          </w:p>
        </w:tc>
        <w:tc>
          <w:tcPr>
            <w:tcW w:w="850" w:type="dxa"/>
          </w:tcPr>
          <w:p>
            <w:pPr>
              <w:spacing w:line="360" w:lineRule="auto"/>
              <w:jc w:val="center"/>
              <w:rPr>
                <w:color w:val="000000"/>
                <w:sz w:val="24"/>
                <w:szCs w:val="24"/>
              </w:rPr>
            </w:pPr>
            <w:r>
              <w:rPr>
                <w:color w:val="000000"/>
                <w:sz w:val="24"/>
                <w:szCs w:val="24"/>
              </w:rPr>
              <w:t>(</w:t>
            </w:r>
            <w:r>
              <w:rPr>
                <w:rFonts w:hint="eastAsia"/>
                <w:color w:val="000000"/>
                <w:sz w:val="24"/>
                <w:szCs w:val="24"/>
              </w:rPr>
              <w:t>C</w:t>
            </w:r>
            <w:r>
              <w:rPr>
                <w:color w:val="000000"/>
                <w:sz w:val="24"/>
                <w:szCs w:val="24"/>
              </w:rPr>
              <w:t>.1</w:t>
            </w:r>
            <w:r>
              <w:rPr>
                <w:rFonts w:hint="eastAsia"/>
                <w:color w:val="000000"/>
                <w:sz w:val="24"/>
                <w:szCs w:val="24"/>
              </w:rPr>
              <w:t>1</w:t>
            </w:r>
            <w:r>
              <w:rPr>
                <w:color w:val="000000"/>
                <w:sz w:val="24"/>
                <w:szCs w:val="24"/>
              </w:rPr>
              <w:t>)</w:t>
            </w:r>
          </w:p>
        </w:tc>
      </w:tr>
    </w:tbl>
    <w:p>
      <w:pPr>
        <w:spacing w:line="360" w:lineRule="auto"/>
        <w:ind w:firstLine="480" w:firstLineChars="200"/>
        <w:rPr>
          <w:color w:val="000000"/>
          <w:kern w:val="0"/>
          <w:sz w:val="24"/>
        </w:rPr>
      </w:pPr>
      <w:r>
        <w:rPr>
          <w:color w:val="000000"/>
          <w:kern w:val="0"/>
          <w:sz w:val="24"/>
        </w:rPr>
        <w:t>上式用于确定置信区间的数据序号的变量</w:t>
      </w:r>
      <w:r>
        <w:rPr>
          <w:i/>
          <w:color w:val="000000"/>
          <w:kern w:val="0"/>
          <w:sz w:val="24"/>
        </w:rPr>
        <w:t>q</w:t>
      </w:r>
      <w:r>
        <w:rPr>
          <w:color w:val="000000"/>
          <w:kern w:val="0"/>
          <w:sz w:val="24"/>
        </w:rPr>
        <w:t>与序列的数据总数</w:t>
      </w:r>
      <w:r>
        <w:rPr>
          <w:i/>
          <w:color w:val="000000"/>
          <w:kern w:val="0"/>
          <w:sz w:val="24"/>
        </w:rPr>
        <w:t>n</w:t>
      </w:r>
      <w:r>
        <w:rPr>
          <w:color w:val="000000"/>
          <w:kern w:val="0"/>
          <w:sz w:val="24"/>
        </w:rPr>
        <w:t>、标准正态分布的</w:t>
      </w:r>
      <w:r>
        <w:rPr>
          <w:rFonts w:hint="eastAsia"/>
          <w:color w:val="000000"/>
          <w:kern w:val="0"/>
          <w:sz w:val="24"/>
        </w:rPr>
        <w:t>双侧限</w:t>
      </w:r>
      <w:r>
        <w:rPr>
          <w:color w:val="000000"/>
          <w:kern w:val="0"/>
          <w:sz w:val="24"/>
        </w:rPr>
        <w:t>分位数</w:t>
      </w:r>
      <w:r>
        <w:rPr>
          <w:i/>
          <w:color w:val="000000"/>
          <w:kern w:val="0"/>
          <w:sz w:val="24"/>
        </w:rPr>
        <w:t>s</w:t>
      </w:r>
      <w:r>
        <w:rPr>
          <w:color w:val="000000"/>
          <w:kern w:val="0"/>
          <w:sz w:val="24"/>
        </w:rPr>
        <w:t>的关系</w:t>
      </w:r>
      <w:r>
        <w:rPr>
          <w:rFonts w:hint="eastAsia"/>
          <w:color w:val="000000"/>
          <w:kern w:val="0"/>
          <w:sz w:val="24"/>
        </w:rPr>
        <w:t>。</w:t>
      </w:r>
      <w:r>
        <w:rPr>
          <w:color w:val="000000"/>
          <w:kern w:val="0"/>
          <w:sz w:val="24"/>
        </w:rPr>
        <w:t>一般取置信水平0.95，相应地</w:t>
      </w:r>
      <w:r>
        <w:rPr>
          <w:i/>
          <w:color w:val="000000"/>
          <w:kern w:val="0"/>
          <w:sz w:val="24"/>
        </w:rPr>
        <w:t>s</w:t>
      </w:r>
      <w:r>
        <w:rPr>
          <w:color w:val="000000"/>
          <w:kern w:val="0"/>
          <w:sz w:val="24"/>
        </w:rPr>
        <w:t>的值为1.96</w:t>
      </w:r>
      <w:r>
        <w:rPr>
          <w:rFonts w:hint="eastAsia"/>
          <w:color w:val="000000"/>
          <w:kern w:val="0"/>
          <w:sz w:val="24"/>
        </w:rPr>
        <w:t>。当</w:t>
      </w:r>
      <w:r>
        <w:rPr>
          <w:i/>
          <w:color w:val="000000"/>
          <w:kern w:val="0"/>
          <w:sz w:val="24"/>
        </w:rPr>
        <w:t>n</w:t>
      </w:r>
      <w:r>
        <w:rPr>
          <w:rFonts w:hint="eastAsia" w:ascii="Yu Gothic UI Semilight" w:hAnsi="Yu Gothic UI Semilight" w:eastAsia="Yu Gothic UI Semilight"/>
          <w:color w:val="000000"/>
          <w:kern w:val="0"/>
          <w:sz w:val="24"/>
        </w:rPr>
        <w:t>≤</w:t>
      </w:r>
      <w:r>
        <w:rPr>
          <w:color w:val="000000"/>
          <w:kern w:val="0"/>
          <w:sz w:val="24"/>
        </w:rPr>
        <w:t>30</w:t>
      </w:r>
      <w:r>
        <w:rPr>
          <w:rFonts w:hint="eastAsia"/>
          <w:color w:val="000000"/>
          <w:kern w:val="0"/>
          <w:sz w:val="24"/>
        </w:rPr>
        <w:t>时，</w:t>
      </w:r>
      <w:r>
        <w:rPr>
          <w:i/>
          <w:color w:val="000000"/>
          <w:kern w:val="0"/>
          <w:sz w:val="24"/>
        </w:rPr>
        <w:t>n</w:t>
      </w:r>
      <w:r>
        <w:rPr>
          <w:color w:val="000000"/>
          <w:kern w:val="0"/>
          <w:sz w:val="24"/>
        </w:rPr>
        <w:t>与</w:t>
      </w:r>
      <w:r>
        <w:rPr>
          <w:i/>
          <w:color w:val="000000"/>
          <w:kern w:val="0"/>
          <w:sz w:val="24"/>
        </w:rPr>
        <w:t>q</w:t>
      </w:r>
      <w:r>
        <w:rPr>
          <w:color w:val="000000"/>
          <w:kern w:val="0"/>
          <w:sz w:val="24"/>
        </w:rPr>
        <w:t>对应数值关系见表</w:t>
      </w:r>
      <w:r>
        <w:rPr>
          <w:rFonts w:hint="eastAsia"/>
          <w:color w:val="000000"/>
          <w:kern w:val="0"/>
          <w:sz w:val="24"/>
        </w:rPr>
        <w:t>C</w:t>
      </w:r>
      <w:r>
        <w:rPr>
          <w:color w:val="000000"/>
          <w:kern w:val="0"/>
          <w:sz w:val="24"/>
        </w:rPr>
        <w:t>.2。</w:t>
      </w:r>
      <w:r>
        <w:rPr>
          <w:rFonts w:hint="eastAsia"/>
          <w:color w:val="000000"/>
          <w:kern w:val="0"/>
          <w:sz w:val="24"/>
        </w:rPr>
        <w:t>对于任意</w:t>
      </w:r>
      <w:r>
        <w:rPr>
          <w:rFonts w:hint="eastAsia"/>
          <w:i/>
          <w:color w:val="000000"/>
          <w:kern w:val="0"/>
          <w:sz w:val="24"/>
        </w:rPr>
        <w:t>n</w:t>
      </w:r>
      <w:r>
        <w:rPr>
          <w:rFonts w:hint="eastAsia"/>
          <w:color w:val="000000"/>
          <w:kern w:val="0"/>
          <w:sz w:val="24"/>
        </w:rPr>
        <w:t>值，</w:t>
      </w:r>
      <w:r>
        <w:rPr>
          <w:i/>
          <w:color w:val="000000"/>
          <w:kern w:val="0"/>
          <w:sz w:val="24"/>
        </w:rPr>
        <w:t>n</w:t>
      </w:r>
      <w:r>
        <w:rPr>
          <w:color w:val="000000"/>
          <w:kern w:val="0"/>
          <w:sz w:val="24"/>
        </w:rPr>
        <w:t>与</w:t>
      </w:r>
      <w:r>
        <w:rPr>
          <w:i/>
          <w:color w:val="000000"/>
          <w:kern w:val="0"/>
          <w:sz w:val="24"/>
        </w:rPr>
        <w:t>q</w:t>
      </w:r>
      <w:r>
        <w:rPr>
          <w:color w:val="000000"/>
          <w:kern w:val="0"/>
          <w:sz w:val="24"/>
        </w:rPr>
        <w:t>对应数值关系</w:t>
      </w:r>
      <w:r>
        <w:rPr>
          <w:rFonts w:hint="eastAsia"/>
          <w:color w:val="000000"/>
          <w:kern w:val="0"/>
          <w:sz w:val="24"/>
        </w:rPr>
        <w:t>可近似表示</w:t>
      </w:r>
      <w:r>
        <w:rPr>
          <w:color w:val="000000"/>
          <w:kern w:val="0"/>
          <w:sz w:val="24"/>
        </w:rPr>
        <w:t>为：</w:t>
      </w:r>
    </w:p>
    <w:tbl>
      <w:tblPr>
        <w:tblStyle w:val="20"/>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46"/>
        <w:gridCol w:w="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46" w:type="dxa"/>
            <w:vAlign w:val="center"/>
          </w:tcPr>
          <w:p>
            <w:pPr>
              <w:spacing w:line="360" w:lineRule="auto"/>
              <w:jc w:val="center"/>
              <w:rPr>
                <w:color w:val="000000"/>
                <w:sz w:val="24"/>
                <w:szCs w:val="24"/>
              </w:rPr>
            </w:pPr>
            <m:oMathPara>
              <m:oMath>
                <m:r>
                  <m:rPr/>
                  <w:rPr>
                    <w:rFonts w:ascii="Cambria Math" w:hAnsi="Cambria Math"/>
                    <w:color w:val="000000"/>
                    <w:sz w:val="24"/>
                    <w:szCs w:val="24"/>
                  </w:rPr>
                  <m:t>q=</m:t>
                </m:r>
                <m:r>
                  <m:rPr>
                    <m:sty m:val="p"/>
                  </m:rPr>
                  <w:rPr>
                    <w:rFonts w:ascii="Cambria Math" w:hAnsi="Cambria Math"/>
                    <w:color w:val="000000"/>
                    <w:sz w:val="24"/>
                    <w:szCs w:val="24"/>
                  </w:rPr>
                  <m:t>int</m:t>
                </m:r>
                <m:d>
                  <m:dPr>
                    <m:begChr m:val="["/>
                    <m:endChr m:val="]"/>
                    <m:ctrlPr>
                      <w:rPr>
                        <w:rFonts w:ascii="Cambria Math" w:hAnsi="Cambria Math"/>
                        <w:i/>
                        <w:color w:val="000000"/>
                        <w:sz w:val="24"/>
                        <w:szCs w:val="24"/>
                      </w:rPr>
                    </m:ctrlPr>
                  </m:dPr>
                  <m:e>
                    <m:r>
                      <m:rPr/>
                      <w:rPr>
                        <w:rFonts w:ascii="Cambria Math" w:hAnsi="Cambria Math"/>
                        <w:color w:val="000000"/>
                        <w:sz w:val="24"/>
                        <w:szCs w:val="24"/>
                      </w:rPr>
                      <m:t>0.5×</m:t>
                    </m:r>
                    <m:d>
                      <m:dPr>
                        <m:ctrlPr>
                          <w:rPr>
                            <w:rFonts w:ascii="Cambria Math" w:hAnsi="Cambria Math"/>
                            <w:i/>
                            <w:color w:val="000000"/>
                            <w:sz w:val="24"/>
                            <w:szCs w:val="24"/>
                          </w:rPr>
                        </m:ctrlPr>
                      </m:dPr>
                      <m:e>
                        <m:r>
                          <m:rPr/>
                          <w:rPr>
                            <w:rFonts w:ascii="Cambria Math" w:hAnsi="Cambria Math"/>
                            <w:color w:val="000000"/>
                            <w:sz w:val="24"/>
                            <w:szCs w:val="24"/>
                          </w:rPr>
                          <m:t>n+1−s</m:t>
                        </m:r>
                        <m:rad>
                          <m:radPr>
                            <m:degHide m:val="1"/>
                            <m:ctrlPr>
                              <w:rPr>
                                <w:rFonts w:ascii="Cambria Math" w:hAnsi="Cambria Math"/>
                                <w:i/>
                                <w:color w:val="000000"/>
                                <w:sz w:val="24"/>
                                <w:szCs w:val="24"/>
                              </w:rPr>
                            </m:ctrlPr>
                          </m:radPr>
                          <m:deg>
                            <m:ctrlPr>
                              <w:rPr>
                                <w:rFonts w:ascii="Cambria Math" w:hAnsi="Cambria Math"/>
                                <w:i/>
                                <w:color w:val="000000"/>
                                <w:sz w:val="24"/>
                                <w:szCs w:val="24"/>
                              </w:rPr>
                            </m:ctrlPr>
                          </m:deg>
                          <m:e>
                            <m:r>
                              <m:rPr/>
                              <w:rPr>
                                <w:rFonts w:ascii="Cambria Math" w:hAnsi="Cambria Math"/>
                                <w:color w:val="000000"/>
                                <w:sz w:val="24"/>
                                <w:szCs w:val="24"/>
                              </w:rPr>
                              <m:t>n+0.5</m:t>
                            </m:r>
                            <m:r>
                              <m:rPr/>
                              <w:rPr>
                                <w:rFonts w:ascii="Cambria Math" w:hAnsi="Cambria Math" w:eastAsia="微软雅黑"/>
                                <w:color w:val="000000"/>
                                <w:sz w:val="24"/>
                                <w:szCs w:val="24"/>
                              </w:rPr>
                              <m:t>−</m:t>
                            </m:r>
                            <m:r>
                              <m:rPr/>
                              <w:rPr>
                                <w:rFonts w:ascii="Cambria Math" w:hAnsi="Cambria Math"/>
                                <w:color w:val="000000"/>
                                <w:sz w:val="24"/>
                                <w:szCs w:val="24"/>
                              </w:rPr>
                              <m:t>0.25</m:t>
                            </m:r>
                            <m:sSup>
                              <m:sSupPr>
                                <m:ctrlPr>
                                  <w:rPr>
                                    <w:rFonts w:ascii="Cambria Math" w:hAnsi="Cambria Math"/>
                                    <w:i/>
                                    <w:color w:val="000000"/>
                                    <w:sz w:val="24"/>
                                    <w:szCs w:val="24"/>
                                  </w:rPr>
                                </m:ctrlPr>
                              </m:sSupPr>
                              <m:e>
                                <m:r>
                                  <m:rPr/>
                                  <w:rPr>
                                    <w:rFonts w:ascii="Cambria Math" w:hAnsi="Cambria Math"/>
                                    <w:color w:val="000000"/>
                                    <w:sz w:val="24"/>
                                    <w:szCs w:val="24"/>
                                  </w:rPr>
                                  <m:t>s</m:t>
                                </m:r>
                                <m:ctrlPr>
                                  <w:rPr>
                                    <w:rFonts w:ascii="Cambria Math" w:hAnsi="Cambria Math"/>
                                    <w:i/>
                                    <w:color w:val="000000"/>
                                    <w:sz w:val="24"/>
                                    <w:szCs w:val="24"/>
                                  </w:rPr>
                                </m:ctrlPr>
                              </m:e>
                              <m:sup>
                                <m:r>
                                  <m:rPr/>
                                  <w:rPr>
                                    <w:rFonts w:ascii="Cambria Math" w:hAnsi="Cambria Math"/>
                                    <w:color w:val="000000"/>
                                    <w:sz w:val="24"/>
                                    <w:szCs w:val="24"/>
                                  </w:rPr>
                                  <m:t>2</m:t>
                                </m:r>
                                <m:ctrlPr>
                                  <w:rPr>
                                    <w:rFonts w:ascii="Cambria Math" w:hAnsi="Cambria Math"/>
                                    <w:i/>
                                    <w:color w:val="000000"/>
                                    <w:sz w:val="24"/>
                                    <w:szCs w:val="24"/>
                                  </w:rPr>
                                </m:ctrlPr>
                              </m:sup>
                            </m:sSup>
                            <m:ctrlPr>
                              <w:rPr>
                                <w:rFonts w:ascii="Cambria Math" w:hAnsi="Cambria Math"/>
                                <w:i/>
                                <w:color w:val="000000"/>
                                <w:sz w:val="24"/>
                                <w:szCs w:val="24"/>
                              </w:rPr>
                            </m:ctrlPr>
                          </m:e>
                        </m:rad>
                        <m:ctrlPr>
                          <w:rPr>
                            <w:rFonts w:ascii="Cambria Math" w:hAnsi="Cambria Math"/>
                            <w:i/>
                            <w:color w:val="000000"/>
                            <w:sz w:val="24"/>
                            <w:szCs w:val="24"/>
                          </w:rPr>
                        </m:ctrlPr>
                      </m:e>
                    </m:d>
                    <m:ctrlPr>
                      <w:rPr>
                        <w:rFonts w:ascii="Cambria Math" w:hAnsi="Cambria Math"/>
                        <w:i/>
                        <w:color w:val="000000"/>
                        <w:sz w:val="24"/>
                        <w:szCs w:val="24"/>
                      </w:rPr>
                    </m:ctrlPr>
                  </m:e>
                </m:d>
              </m:oMath>
            </m:oMathPara>
          </w:p>
        </w:tc>
        <w:tc>
          <w:tcPr>
            <w:tcW w:w="850" w:type="dxa"/>
            <w:vAlign w:val="center"/>
          </w:tcPr>
          <w:p>
            <w:pPr>
              <w:spacing w:line="360" w:lineRule="auto"/>
              <w:jc w:val="center"/>
              <w:rPr>
                <w:color w:val="000000"/>
                <w:sz w:val="24"/>
                <w:szCs w:val="24"/>
              </w:rPr>
            </w:pPr>
            <w:r>
              <w:rPr>
                <w:color w:val="000000"/>
                <w:sz w:val="24"/>
                <w:szCs w:val="24"/>
              </w:rPr>
              <w:t>(</w:t>
            </w:r>
            <w:r>
              <w:rPr>
                <w:rFonts w:hint="eastAsia"/>
                <w:color w:val="000000"/>
                <w:sz w:val="24"/>
                <w:szCs w:val="24"/>
              </w:rPr>
              <w:t>C</w:t>
            </w:r>
            <w:r>
              <w:rPr>
                <w:color w:val="000000"/>
                <w:sz w:val="24"/>
                <w:szCs w:val="24"/>
              </w:rPr>
              <w:t>.12)</w:t>
            </w:r>
          </w:p>
        </w:tc>
      </w:tr>
    </w:tbl>
    <w:p>
      <w:pPr>
        <w:snapToGrid w:val="0"/>
        <w:spacing w:line="360" w:lineRule="auto"/>
        <w:rPr>
          <w:color w:val="000000"/>
          <w:kern w:val="0"/>
          <w:sz w:val="24"/>
        </w:rPr>
      </w:pPr>
      <w:r>
        <w:rPr>
          <w:color w:val="000000"/>
          <w:kern w:val="0"/>
          <w:sz w:val="24"/>
        </w:rPr>
        <w:t>式中，int为</w:t>
      </w:r>
      <w:r>
        <w:rPr>
          <w:rFonts w:hint="eastAsia"/>
          <w:color w:val="000000"/>
          <w:kern w:val="0"/>
          <w:sz w:val="24"/>
        </w:rPr>
        <w:t>向下</w:t>
      </w:r>
      <w:r>
        <w:rPr>
          <w:color w:val="000000"/>
          <w:kern w:val="0"/>
          <w:sz w:val="24"/>
        </w:rPr>
        <w:t>取整函数。</w:t>
      </w:r>
    </w:p>
    <w:p>
      <w:pPr>
        <w:snapToGrid w:val="0"/>
        <w:spacing w:line="360" w:lineRule="auto"/>
        <w:ind w:firstLine="480" w:firstLineChars="200"/>
        <w:rPr>
          <w:color w:val="000000"/>
          <w:kern w:val="0"/>
          <w:sz w:val="24"/>
        </w:rPr>
      </w:pPr>
      <w:r>
        <w:rPr>
          <w:color w:val="000000"/>
          <w:kern w:val="0"/>
          <w:sz w:val="24"/>
        </w:rPr>
        <w:t>中位值的不确定度可按下式估计：</w:t>
      </w:r>
    </w:p>
    <w:tbl>
      <w:tblPr>
        <w:tblStyle w:val="20"/>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66"/>
        <w:gridCol w:w="9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366" w:type="dxa"/>
            <w:vAlign w:val="center"/>
          </w:tcPr>
          <w:p>
            <w:pPr>
              <w:spacing w:line="360" w:lineRule="auto"/>
              <w:jc w:val="center"/>
              <w:rPr>
                <w:strike/>
                <w:color w:val="000000"/>
                <w:sz w:val="24"/>
                <w:szCs w:val="24"/>
              </w:rPr>
            </w:pPr>
            <m:oMathPara>
              <m:oMath>
                <m:r>
                  <m:rPr/>
                  <w:rPr>
                    <w:rFonts w:ascii="Cambria Math" w:hAnsi="Cambria Math"/>
                    <w:color w:val="000000"/>
                    <w:sz w:val="24"/>
                    <w:szCs w:val="24"/>
                  </w:rPr>
                  <m:t>u</m:t>
                </m:r>
                <m:d>
                  <m:dPr>
                    <m:ctrlPr>
                      <w:rPr>
                        <w:rFonts w:ascii="Cambria Math" w:hAnsi="Cambria Math"/>
                        <w:i/>
                        <w:color w:val="000000"/>
                        <w:sz w:val="24"/>
                        <w:szCs w:val="24"/>
                      </w:rPr>
                    </m:ctrlPr>
                  </m:dPr>
                  <m:e>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r>
                          <m:rPr>
                            <m:sty m:val="p"/>
                          </m:rPr>
                          <w:rPr>
                            <w:rFonts w:hint="eastAsia" w:ascii="Cambria Math" w:hAnsi="Cambria Math"/>
                            <w:color w:val="000000"/>
                            <w:sz w:val="24"/>
                            <w:szCs w:val="24"/>
                          </w:rPr>
                          <m:t>med</m:t>
                        </m:r>
                        <m:ctrlPr>
                          <w:rPr>
                            <w:rFonts w:ascii="Cambria Math" w:hAnsi="Cambria Math"/>
                            <w:i/>
                            <w:color w:val="000000"/>
                            <w:sz w:val="24"/>
                            <w:szCs w:val="24"/>
                          </w:rPr>
                        </m:ctrlPr>
                      </m:sub>
                    </m:sSub>
                    <m:ctrlPr>
                      <w:rPr>
                        <w:rFonts w:ascii="Cambria Math" w:hAnsi="Cambria Math"/>
                        <w:i/>
                        <w:color w:val="000000"/>
                        <w:sz w:val="24"/>
                        <w:szCs w:val="24"/>
                      </w:rPr>
                    </m:ctrlPr>
                  </m:e>
                </m:d>
                <m:r>
                  <m:rPr/>
                  <w:rPr>
                    <w:rFonts w:ascii="Cambria Math" w:hAnsi="Cambria Math"/>
                    <w:color w:val="000000"/>
                    <w:sz w:val="24"/>
                    <w:szCs w:val="24"/>
                  </w:rPr>
                  <m:t>=</m:t>
                </m:r>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m:rPr/>
                          <w:rPr>
                            <w:rFonts w:ascii="Cambria Math" w:hAnsi="Cambria Math"/>
                            <w:color w:val="000000"/>
                            <w:sz w:val="24"/>
                            <w:szCs w:val="24"/>
                          </w:rPr>
                          <m:t>T</m:t>
                        </m:r>
                        <m:ctrlPr>
                          <w:rPr>
                            <w:rFonts w:ascii="Cambria Math" w:hAnsi="Cambria Math"/>
                            <w:i/>
                            <w:color w:val="000000"/>
                            <w:sz w:val="24"/>
                            <w:szCs w:val="24"/>
                          </w:rPr>
                        </m:ctrlPr>
                      </m:e>
                      <m:sub>
                        <m:r>
                          <m:rPr/>
                          <w:rPr>
                            <w:rFonts w:ascii="Cambria Math" w:hAnsi="Cambria Math"/>
                            <w:color w:val="000000"/>
                            <w:sz w:val="24"/>
                            <w:szCs w:val="24"/>
                          </w:rPr>
                          <m:t>2</m:t>
                        </m:r>
                        <m:ctrlPr>
                          <w:rPr>
                            <w:rFonts w:ascii="Cambria Math" w:hAnsi="Cambria Math"/>
                            <w:i/>
                            <w:color w:val="000000"/>
                            <w:sz w:val="24"/>
                            <w:szCs w:val="24"/>
                          </w:rPr>
                        </m:ctrlPr>
                      </m:sub>
                    </m:sSub>
                    <m:r>
                      <m:rPr/>
                      <w:rPr>
                        <w:rFonts w:ascii="Cambria Math" w:hAnsi="Cambria Math"/>
                        <w:color w:val="000000"/>
                        <w:sz w:val="24"/>
                        <w:szCs w:val="24"/>
                      </w:rPr>
                      <m:t>−</m:t>
                    </m:r>
                    <m:sSub>
                      <m:sSubPr>
                        <m:ctrlPr>
                          <w:rPr>
                            <w:rFonts w:ascii="Cambria Math" w:hAnsi="Cambria Math"/>
                            <w:i/>
                            <w:color w:val="000000"/>
                            <w:sz w:val="24"/>
                            <w:szCs w:val="24"/>
                          </w:rPr>
                        </m:ctrlPr>
                      </m:sSubPr>
                      <m:e>
                        <m:r>
                          <m:rPr/>
                          <w:rPr>
                            <w:rFonts w:ascii="Cambria Math" w:hAnsi="Cambria Math"/>
                            <w:color w:val="000000"/>
                            <w:sz w:val="24"/>
                            <w:szCs w:val="24"/>
                          </w:rPr>
                          <m:t>T</m:t>
                        </m:r>
                        <m:ctrlPr>
                          <w:rPr>
                            <w:rFonts w:ascii="Cambria Math" w:hAnsi="Cambria Math"/>
                            <w:i/>
                            <w:color w:val="000000"/>
                            <w:sz w:val="24"/>
                            <w:szCs w:val="24"/>
                          </w:rPr>
                        </m:ctrlPr>
                      </m:e>
                      <m:sub>
                        <m:r>
                          <m:rPr/>
                          <w:rPr>
                            <w:rFonts w:ascii="Cambria Math" w:hAnsi="Cambria Math"/>
                            <w:color w:val="000000"/>
                            <w:sz w:val="24"/>
                            <w:szCs w:val="24"/>
                          </w:rPr>
                          <m:t>1</m:t>
                        </m:r>
                        <m:ctrlPr>
                          <w:rPr>
                            <w:rFonts w:ascii="Cambria Math" w:hAnsi="Cambria Math"/>
                            <w:i/>
                            <w:color w:val="000000"/>
                            <w:sz w:val="24"/>
                            <w:szCs w:val="24"/>
                          </w:rPr>
                        </m:ctrlPr>
                      </m:sub>
                    </m:sSub>
                    <m:ctrlPr>
                      <w:rPr>
                        <w:rFonts w:ascii="Cambria Math" w:hAnsi="Cambria Math"/>
                        <w:i/>
                        <w:color w:val="000000"/>
                        <w:sz w:val="24"/>
                        <w:szCs w:val="24"/>
                      </w:rPr>
                    </m:ctrlPr>
                  </m:num>
                  <m:den>
                    <m:r>
                      <m:rPr/>
                      <w:rPr>
                        <w:rFonts w:ascii="Cambria Math" w:hAnsi="Cambria Math"/>
                        <w:color w:val="000000"/>
                        <w:sz w:val="24"/>
                        <w:szCs w:val="24"/>
                      </w:rPr>
                      <m:t>2s</m:t>
                    </m:r>
                    <m:ctrlPr>
                      <w:rPr>
                        <w:rFonts w:ascii="Cambria Math" w:hAnsi="Cambria Math"/>
                        <w:i/>
                        <w:color w:val="000000"/>
                        <w:sz w:val="24"/>
                        <w:szCs w:val="24"/>
                      </w:rPr>
                    </m:ctrlPr>
                  </m:den>
                </m:f>
              </m:oMath>
            </m:oMathPara>
          </w:p>
        </w:tc>
        <w:tc>
          <w:tcPr>
            <w:tcW w:w="993" w:type="dxa"/>
            <w:vAlign w:val="center"/>
          </w:tcPr>
          <w:p>
            <w:pPr>
              <w:spacing w:line="360" w:lineRule="auto"/>
              <w:jc w:val="center"/>
              <w:rPr>
                <w:color w:val="000000"/>
                <w:sz w:val="24"/>
                <w:szCs w:val="24"/>
              </w:rPr>
            </w:pPr>
            <w:r>
              <w:rPr>
                <w:color w:val="000000"/>
                <w:sz w:val="24"/>
                <w:szCs w:val="24"/>
              </w:rPr>
              <w:t>(</w:t>
            </w:r>
            <w:r>
              <w:rPr>
                <w:rFonts w:hint="eastAsia"/>
                <w:color w:val="000000"/>
                <w:sz w:val="24"/>
                <w:szCs w:val="24"/>
              </w:rPr>
              <w:t>C.1</w:t>
            </w:r>
            <w:r>
              <w:rPr>
                <w:color w:val="000000"/>
                <w:sz w:val="24"/>
                <w:szCs w:val="24"/>
              </w:rPr>
              <w:t>3)</w:t>
            </w:r>
          </w:p>
        </w:tc>
      </w:tr>
    </w:tbl>
    <w:p>
      <w:pPr>
        <w:snapToGrid w:val="0"/>
        <w:spacing w:line="360" w:lineRule="auto"/>
        <w:jc w:val="left"/>
        <w:rPr>
          <w:i/>
          <w:color w:val="000000"/>
          <w:kern w:val="0"/>
          <w:sz w:val="24"/>
        </w:rPr>
      </w:pPr>
      <w:r>
        <w:rPr>
          <w:color w:val="000000"/>
          <w:kern w:val="0"/>
          <w:sz w:val="24"/>
        </w:rPr>
        <w:t>当置信</w:t>
      </w:r>
      <w:r>
        <w:rPr>
          <w:rFonts w:hint="eastAsia"/>
          <w:color w:val="000000"/>
          <w:kern w:val="0"/>
          <w:sz w:val="24"/>
        </w:rPr>
        <w:t>概率</w:t>
      </w:r>
      <w:r>
        <w:rPr>
          <w:color w:val="000000"/>
          <w:kern w:val="0"/>
          <w:sz w:val="24"/>
        </w:rPr>
        <w:t>取0.95时</w:t>
      </w:r>
      <w:r>
        <w:rPr>
          <w:rFonts w:hint="eastAsia"/>
          <w:color w:val="000000"/>
          <w:kern w:val="0"/>
          <w:sz w:val="24"/>
        </w:rPr>
        <w:t>s</w:t>
      </w:r>
      <w:r>
        <w:rPr>
          <w:color w:val="000000"/>
          <w:kern w:val="0"/>
          <w:sz w:val="24"/>
        </w:rPr>
        <w:t>为1.96。</w:t>
      </w:r>
    </w:p>
    <w:p>
      <w:pPr>
        <w:snapToGrid w:val="0"/>
        <w:spacing w:line="360" w:lineRule="auto"/>
        <w:jc w:val="center"/>
        <w:rPr>
          <w:color w:val="000000"/>
          <w:kern w:val="0"/>
          <w:szCs w:val="21"/>
        </w:rPr>
      </w:pPr>
      <w:bookmarkStart w:id="93" w:name="_Toc239495262"/>
      <w:r>
        <w:rPr>
          <w:color w:val="000000"/>
          <w:kern w:val="0"/>
          <w:szCs w:val="21"/>
        </w:rPr>
        <w:t>表</w:t>
      </w:r>
      <w:r>
        <w:rPr>
          <w:rFonts w:hint="eastAsia"/>
          <w:color w:val="000000"/>
          <w:kern w:val="0"/>
          <w:szCs w:val="21"/>
        </w:rPr>
        <w:t>C</w:t>
      </w:r>
      <w:r>
        <w:rPr>
          <w:color w:val="000000"/>
          <w:kern w:val="0"/>
          <w:szCs w:val="21"/>
        </w:rPr>
        <w:t>.2</w:t>
      </w:r>
      <w:r>
        <w:rPr>
          <w:rFonts w:hint="eastAsia"/>
          <w:color w:val="000000"/>
          <w:kern w:val="0"/>
          <w:szCs w:val="21"/>
        </w:rPr>
        <w:t>置信概率</w:t>
      </w:r>
      <w:r>
        <w:rPr>
          <w:color w:val="000000"/>
          <w:kern w:val="0"/>
          <w:szCs w:val="21"/>
        </w:rPr>
        <w:t>0.95</w:t>
      </w:r>
      <w:r>
        <w:rPr>
          <w:rFonts w:hint="eastAsia"/>
          <w:color w:val="000000"/>
          <w:kern w:val="0"/>
          <w:szCs w:val="21"/>
        </w:rPr>
        <w:t>时不同</w:t>
      </w:r>
      <w:r>
        <w:rPr>
          <w:i/>
          <w:color w:val="000000"/>
          <w:kern w:val="0"/>
          <w:szCs w:val="21"/>
        </w:rPr>
        <w:t>n</w:t>
      </w:r>
      <w:r>
        <w:rPr>
          <w:rFonts w:hint="eastAsia"/>
          <w:color w:val="000000"/>
          <w:kern w:val="0"/>
          <w:szCs w:val="21"/>
        </w:rPr>
        <w:t>对应的</w:t>
      </w:r>
      <w:r>
        <w:rPr>
          <w:i/>
          <w:color w:val="000000"/>
          <w:kern w:val="0"/>
          <w:szCs w:val="21"/>
        </w:rPr>
        <w:t>q</w:t>
      </w:r>
      <w:r>
        <w:rPr>
          <w:rFonts w:hint="eastAsia"/>
          <w:color w:val="000000"/>
          <w:kern w:val="0"/>
          <w:szCs w:val="21"/>
        </w:rPr>
        <w:t>值表</w:t>
      </w:r>
    </w:p>
    <w:tbl>
      <w:tblPr>
        <w:tblStyle w:val="2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0"/>
        <w:gridCol w:w="2160"/>
        <w:gridCol w:w="1080"/>
        <w:gridCol w:w="21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jc w:val="center"/>
        </w:trPr>
        <w:tc>
          <w:tcPr>
            <w:tcW w:w="1080" w:type="dxa"/>
          </w:tcPr>
          <w:p>
            <w:pPr>
              <w:widowControl/>
              <w:jc w:val="center"/>
              <w:rPr>
                <w:i/>
                <w:color w:val="000000"/>
                <w:kern w:val="0"/>
                <w:szCs w:val="21"/>
              </w:rPr>
            </w:pPr>
            <w:r>
              <w:rPr>
                <w:i/>
                <w:color w:val="000000"/>
                <w:kern w:val="0"/>
                <w:szCs w:val="21"/>
              </w:rPr>
              <w:t>n</w:t>
            </w:r>
          </w:p>
        </w:tc>
        <w:tc>
          <w:tcPr>
            <w:tcW w:w="2160" w:type="dxa"/>
          </w:tcPr>
          <w:p>
            <w:pPr>
              <w:widowControl/>
              <w:jc w:val="center"/>
              <w:rPr>
                <w:color w:val="000000"/>
                <w:kern w:val="0"/>
                <w:szCs w:val="21"/>
              </w:rPr>
            </w:pPr>
            <w:r>
              <w:rPr>
                <w:i/>
                <w:color w:val="000000"/>
                <w:kern w:val="0"/>
                <w:szCs w:val="21"/>
              </w:rPr>
              <w:t>q</w:t>
            </w:r>
          </w:p>
        </w:tc>
        <w:tc>
          <w:tcPr>
            <w:tcW w:w="1080" w:type="dxa"/>
          </w:tcPr>
          <w:p>
            <w:pPr>
              <w:widowControl/>
              <w:jc w:val="center"/>
              <w:rPr>
                <w:i/>
                <w:color w:val="000000"/>
                <w:kern w:val="0"/>
                <w:szCs w:val="21"/>
              </w:rPr>
            </w:pPr>
            <w:r>
              <w:rPr>
                <w:i/>
                <w:color w:val="000000"/>
                <w:kern w:val="0"/>
                <w:szCs w:val="21"/>
              </w:rPr>
              <w:t>n</w:t>
            </w:r>
          </w:p>
        </w:tc>
        <w:tc>
          <w:tcPr>
            <w:tcW w:w="2160" w:type="dxa"/>
          </w:tcPr>
          <w:p>
            <w:pPr>
              <w:widowControl/>
              <w:jc w:val="center"/>
              <w:rPr>
                <w:color w:val="000000"/>
                <w:kern w:val="0"/>
                <w:szCs w:val="21"/>
              </w:rPr>
            </w:pPr>
            <w:r>
              <w:rPr>
                <w:rFonts w:hint="eastAsia"/>
                <w:i/>
                <w:color w:val="000000"/>
                <w:kern w:val="0"/>
                <w:szCs w:val="21"/>
              </w:rPr>
              <w:t>q</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80" w:type="dxa"/>
          </w:tcPr>
          <w:p>
            <w:pPr>
              <w:widowControl/>
              <w:jc w:val="center"/>
              <w:rPr>
                <w:color w:val="000000"/>
                <w:kern w:val="0"/>
                <w:szCs w:val="21"/>
              </w:rPr>
            </w:pPr>
            <w:r>
              <w:rPr>
                <w:color w:val="000000"/>
                <w:kern w:val="0"/>
                <w:szCs w:val="21"/>
              </w:rPr>
              <w:t>5</w:t>
            </w:r>
          </w:p>
        </w:tc>
        <w:tc>
          <w:tcPr>
            <w:tcW w:w="2160" w:type="dxa"/>
          </w:tcPr>
          <w:p>
            <w:pPr>
              <w:widowControl/>
              <w:jc w:val="center"/>
              <w:rPr>
                <w:color w:val="000000"/>
                <w:kern w:val="0"/>
                <w:szCs w:val="21"/>
                <w:highlight w:val="yellow"/>
              </w:rPr>
            </w:pPr>
            <w:r>
              <w:rPr>
                <w:color w:val="000000"/>
                <w:kern w:val="0"/>
                <w:szCs w:val="21"/>
              </w:rPr>
              <w:t>0</w:t>
            </w:r>
          </w:p>
        </w:tc>
        <w:tc>
          <w:tcPr>
            <w:tcW w:w="1080" w:type="dxa"/>
          </w:tcPr>
          <w:p>
            <w:pPr>
              <w:widowControl/>
              <w:jc w:val="center"/>
              <w:rPr>
                <w:color w:val="000000"/>
                <w:kern w:val="0"/>
                <w:szCs w:val="21"/>
              </w:rPr>
            </w:pPr>
            <w:r>
              <w:rPr>
                <w:color w:val="000000"/>
                <w:kern w:val="0"/>
                <w:szCs w:val="21"/>
              </w:rPr>
              <w:t>18</w:t>
            </w:r>
          </w:p>
        </w:tc>
        <w:tc>
          <w:tcPr>
            <w:tcW w:w="2160" w:type="dxa"/>
          </w:tcPr>
          <w:p>
            <w:pPr>
              <w:widowControl/>
              <w:jc w:val="center"/>
              <w:rPr>
                <w:color w:val="000000"/>
                <w:kern w:val="0"/>
                <w:szCs w:val="21"/>
                <w:highlight w:val="yellow"/>
              </w:rPr>
            </w:pPr>
            <w:r>
              <w:rPr>
                <w:color w:val="000000"/>
                <w:kern w:val="0"/>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80" w:type="dxa"/>
          </w:tcPr>
          <w:p>
            <w:pPr>
              <w:widowControl/>
              <w:jc w:val="center"/>
              <w:rPr>
                <w:color w:val="000000"/>
                <w:kern w:val="0"/>
                <w:szCs w:val="21"/>
              </w:rPr>
            </w:pPr>
            <w:r>
              <w:rPr>
                <w:color w:val="000000"/>
                <w:kern w:val="0"/>
                <w:szCs w:val="21"/>
              </w:rPr>
              <w:t>6</w:t>
            </w:r>
          </w:p>
        </w:tc>
        <w:tc>
          <w:tcPr>
            <w:tcW w:w="2160" w:type="dxa"/>
          </w:tcPr>
          <w:p>
            <w:pPr>
              <w:widowControl/>
              <w:jc w:val="center"/>
              <w:rPr>
                <w:color w:val="000000"/>
                <w:kern w:val="0"/>
                <w:szCs w:val="21"/>
                <w:highlight w:val="yellow"/>
              </w:rPr>
            </w:pPr>
            <w:r>
              <w:rPr>
                <w:color w:val="000000"/>
                <w:kern w:val="0"/>
                <w:szCs w:val="21"/>
              </w:rPr>
              <w:t>1</w:t>
            </w:r>
          </w:p>
        </w:tc>
        <w:tc>
          <w:tcPr>
            <w:tcW w:w="1080" w:type="dxa"/>
          </w:tcPr>
          <w:p>
            <w:pPr>
              <w:widowControl/>
              <w:jc w:val="center"/>
              <w:rPr>
                <w:color w:val="000000"/>
                <w:kern w:val="0"/>
                <w:szCs w:val="21"/>
              </w:rPr>
            </w:pPr>
            <w:r>
              <w:rPr>
                <w:color w:val="000000"/>
                <w:kern w:val="0"/>
                <w:szCs w:val="21"/>
              </w:rPr>
              <w:t>19</w:t>
            </w:r>
          </w:p>
        </w:tc>
        <w:tc>
          <w:tcPr>
            <w:tcW w:w="2160" w:type="dxa"/>
          </w:tcPr>
          <w:p>
            <w:pPr>
              <w:widowControl/>
              <w:jc w:val="center"/>
              <w:rPr>
                <w:color w:val="000000"/>
                <w:kern w:val="0"/>
                <w:szCs w:val="21"/>
                <w:highlight w:val="yellow"/>
              </w:rPr>
            </w:pPr>
            <w:r>
              <w:rPr>
                <w:color w:val="000000"/>
                <w:kern w:val="0"/>
                <w:szCs w:val="21"/>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80" w:type="dxa"/>
          </w:tcPr>
          <w:p>
            <w:pPr>
              <w:widowControl/>
              <w:jc w:val="center"/>
              <w:rPr>
                <w:color w:val="000000"/>
                <w:kern w:val="0"/>
                <w:szCs w:val="21"/>
              </w:rPr>
            </w:pPr>
            <w:r>
              <w:rPr>
                <w:color w:val="000000"/>
                <w:kern w:val="0"/>
                <w:szCs w:val="21"/>
              </w:rPr>
              <w:t>7</w:t>
            </w:r>
          </w:p>
        </w:tc>
        <w:tc>
          <w:tcPr>
            <w:tcW w:w="2160" w:type="dxa"/>
          </w:tcPr>
          <w:p>
            <w:pPr>
              <w:widowControl/>
              <w:jc w:val="center"/>
              <w:rPr>
                <w:color w:val="000000"/>
                <w:kern w:val="0"/>
                <w:szCs w:val="21"/>
                <w:highlight w:val="yellow"/>
              </w:rPr>
            </w:pPr>
            <w:r>
              <w:rPr>
                <w:color w:val="000000"/>
                <w:kern w:val="0"/>
                <w:szCs w:val="21"/>
              </w:rPr>
              <w:t>1</w:t>
            </w:r>
          </w:p>
        </w:tc>
        <w:tc>
          <w:tcPr>
            <w:tcW w:w="1080" w:type="dxa"/>
          </w:tcPr>
          <w:p>
            <w:pPr>
              <w:widowControl/>
              <w:jc w:val="center"/>
              <w:rPr>
                <w:color w:val="000000"/>
                <w:kern w:val="0"/>
                <w:szCs w:val="21"/>
              </w:rPr>
            </w:pPr>
            <w:r>
              <w:rPr>
                <w:color w:val="000000"/>
                <w:kern w:val="0"/>
                <w:szCs w:val="21"/>
              </w:rPr>
              <w:t>20</w:t>
            </w:r>
          </w:p>
        </w:tc>
        <w:tc>
          <w:tcPr>
            <w:tcW w:w="2160" w:type="dxa"/>
          </w:tcPr>
          <w:p>
            <w:pPr>
              <w:widowControl/>
              <w:jc w:val="center"/>
              <w:rPr>
                <w:color w:val="000000"/>
                <w:kern w:val="0"/>
                <w:szCs w:val="21"/>
                <w:highlight w:val="yellow"/>
              </w:rPr>
            </w:pPr>
            <w:r>
              <w:rPr>
                <w:color w:val="000000"/>
                <w:kern w:val="0"/>
                <w:szCs w:val="21"/>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80" w:type="dxa"/>
          </w:tcPr>
          <w:p>
            <w:pPr>
              <w:widowControl/>
              <w:jc w:val="center"/>
              <w:rPr>
                <w:color w:val="000000"/>
                <w:kern w:val="0"/>
                <w:szCs w:val="21"/>
              </w:rPr>
            </w:pPr>
            <w:r>
              <w:rPr>
                <w:color w:val="000000"/>
                <w:kern w:val="0"/>
                <w:szCs w:val="21"/>
              </w:rPr>
              <w:t>8</w:t>
            </w:r>
          </w:p>
        </w:tc>
        <w:tc>
          <w:tcPr>
            <w:tcW w:w="2160" w:type="dxa"/>
          </w:tcPr>
          <w:p>
            <w:pPr>
              <w:widowControl/>
              <w:jc w:val="center"/>
              <w:rPr>
                <w:color w:val="000000"/>
                <w:kern w:val="0"/>
                <w:szCs w:val="21"/>
                <w:highlight w:val="yellow"/>
              </w:rPr>
            </w:pPr>
            <w:r>
              <w:rPr>
                <w:color w:val="000000"/>
                <w:kern w:val="0"/>
                <w:szCs w:val="21"/>
              </w:rPr>
              <w:t>1</w:t>
            </w:r>
          </w:p>
        </w:tc>
        <w:tc>
          <w:tcPr>
            <w:tcW w:w="1080" w:type="dxa"/>
          </w:tcPr>
          <w:p>
            <w:pPr>
              <w:widowControl/>
              <w:jc w:val="center"/>
              <w:rPr>
                <w:color w:val="000000"/>
                <w:kern w:val="0"/>
                <w:szCs w:val="21"/>
              </w:rPr>
            </w:pPr>
            <w:r>
              <w:rPr>
                <w:color w:val="000000"/>
                <w:kern w:val="0"/>
                <w:szCs w:val="21"/>
              </w:rPr>
              <w:t>21</w:t>
            </w:r>
          </w:p>
        </w:tc>
        <w:tc>
          <w:tcPr>
            <w:tcW w:w="2160" w:type="dxa"/>
          </w:tcPr>
          <w:p>
            <w:pPr>
              <w:widowControl/>
              <w:jc w:val="center"/>
              <w:rPr>
                <w:color w:val="000000"/>
                <w:kern w:val="0"/>
                <w:szCs w:val="21"/>
                <w:highlight w:val="yellow"/>
              </w:rPr>
            </w:pPr>
            <w:r>
              <w:rPr>
                <w:color w:val="000000"/>
                <w:kern w:val="0"/>
                <w:szCs w:val="21"/>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80" w:type="dxa"/>
          </w:tcPr>
          <w:p>
            <w:pPr>
              <w:widowControl/>
              <w:jc w:val="center"/>
              <w:rPr>
                <w:color w:val="000000"/>
                <w:kern w:val="0"/>
                <w:szCs w:val="21"/>
              </w:rPr>
            </w:pPr>
            <w:r>
              <w:rPr>
                <w:color w:val="000000"/>
                <w:kern w:val="0"/>
                <w:szCs w:val="21"/>
              </w:rPr>
              <w:t>9</w:t>
            </w:r>
          </w:p>
        </w:tc>
        <w:tc>
          <w:tcPr>
            <w:tcW w:w="2160" w:type="dxa"/>
          </w:tcPr>
          <w:p>
            <w:pPr>
              <w:widowControl/>
              <w:jc w:val="center"/>
              <w:rPr>
                <w:color w:val="000000"/>
                <w:kern w:val="0"/>
                <w:szCs w:val="21"/>
                <w:highlight w:val="yellow"/>
              </w:rPr>
            </w:pPr>
            <w:r>
              <w:rPr>
                <w:color w:val="000000"/>
                <w:kern w:val="0"/>
                <w:szCs w:val="21"/>
              </w:rPr>
              <w:t>2</w:t>
            </w:r>
          </w:p>
        </w:tc>
        <w:tc>
          <w:tcPr>
            <w:tcW w:w="1080" w:type="dxa"/>
          </w:tcPr>
          <w:p>
            <w:pPr>
              <w:widowControl/>
              <w:jc w:val="center"/>
              <w:rPr>
                <w:color w:val="000000"/>
                <w:kern w:val="0"/>
                <w:szCs w:val="21"/>
              </w:rPr>
            </w:pPr>
            <w:r>
              <w:rPr>
                <w:color w:val="000000"/>
                <w:kern w:val="0"/>
                <w:szCs w:val="21"/>
              </w:rPr>
              <w:t>22</w:t>
            </w:r>
          </w:p>
        </w:tc>
        <w:tc>
          <w:tcPr>
            <w:tcW w:w="2160" w:type="dxa"/>
          </w:tcPr>
          <w:p>
            <w:pPr>
              <w:widowControl/>
              <w:jc w:val="center"/>
              <w:rPr>
                <w:color w:val="000000"/>
                <w:kern w:val="0"/>
                <w:szCs w:val="21"/>
                <w:highlight w:val="yellow"/>
              </w:rPr>
            </w:pPr>
            <w:r>
              <w:rPr>
                <w:color w:val="000000"/>
                <w:kern w:val="0"/>
                <w:szCs w:val="21"/>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80" w:type="dxa"/>
          </w:tcPr>
          <w:p>
            <w:pPr>
              <w:widowControl/>
              <w:jc w:val="center"/>
              <w:rPr>
                <w:color w:val="000000"/>
                <w:kern w:val="0"/>
                <w:szCs w:val="21"/>
              </w:rPr>
            </w:pPr>
            <w:r>
              <w:rPr>
                <w:color w:val="000000"/>
                <w:kern w:val="0"/>
                <w:szCs w:val="21"/>
              </w:rPr>
              <w:t>10</w:t>
            </w:r>
          </w:p>
        </w:tc>
        <w:tc>
          <w:tcPr>
            <w:tcW w:w="2160" w:type="dxa"/>
          </w:tcPr>
          <w:p>
            <w:pPr>
              <w:widowControl/>
              <w:jc w:val="center"/>
              <w:rPr>
                <w:color w:val="000000"/>
                <w:kern w:val="0"/>
                <w:szCs w:val="21"/>
                <w:highlight w:val="yellow"/>
              </w:rPr>
            </w:pPr>
            <w:r>
              <w:rPr>
                <w:color w:val="000000"/>
                <w:kern w:val="0"/>
                <w:szCs w:val="21"/>
              </w:rPr>
              <w:t>2</w:t>
            </w:r>
          </w:p>
        </w:tc>
        <w:tc>
          <w:tcPr>
            <w:tcW w:w="1080" w:type="dxa"/>
          </w:tcPr>
          <w:p>
            <w:pPr>
              <w:widowControl/>
              <w:jc w:val="center"/>
              <w:rPr>
                <w:color w:val="000000"/>
                <w:kern w:val="0"/>
                <w:szCs w:val="21"/>
              </w:rPr>
            </w:pPr>
            <w:r>
              <w:rPr>
                <w:color w:val="000000"/>
                <w:kern w:val="0"/>
                <w:szCs w:val="21"/>
              </w:rPr>
              <w:t>23</w:t>
            </w:r>
          </w:p>
        </w:tc>
        <w:tc>
          <w:tcPr>
            <w:tcW w:w="2160" w:type="dxa"/>
          </w:tcPr>
          <w:p>
            <w:pPr>
              <w:widowControl/>
              <w:jc w:val="center"/>
              <w:rPr>
                <w:color w:val="000000"/>
                <w:kern w:val="0"/>
                <w:szCs w:val="21"/>
                <w:highlight w:val="yellow"/>
              </w:rPr>
            </w:pPr>
            <w:r>
              <w:rPr>
                <w:color w:val="000000"/>
                <w:kern w:val="0"/>
                <w:szCs w:val="21"/>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80" w:type="dxa"/>
          </w:tcPr>
          <w:p>
            <w:pPr>
              <w:widowControl/>
              <w:jc w:val="center"/>
              <w:rPr>
                <w:color w:val="000000"/>
                <w:kern w:val="0"/>
                <w:szCs w:val="21"/>
              </w:rPr>
            </w:pPr>
            <w:r>
              <w:rPr>
                <w:color w:val="000000"/>
                <w:kern w:val="0"/>
                <w:szCs w:val="21"/>
              </w:rPr>
              <w:t>11</w:t>
            </w:r>
          </w:p>
        </w:tc>
        <w:tc>
          <w:tcPr>
            <w:tcW w:w="2160" w:type="dxa"/>
          </w:tcPr>
          <w:p>
            <w:pPr>
              <w:widowControl/>
              <w:jc w:val="center"/>
              <w:rPr>
                <w:color w:val="000000"/>
                <w:kern w:val="0"/>
                <w:szCs w:val="21"/>
                <w:highlight w:val="yellow"/>
              </w:rPr>
            </w:pPr>
            <w:r>
              <w:rPr>
                <w:color w:val="000000"/>
                <w:kern w:val="0"/>
                <w:szCs w:val="21"/>
              </w:rPr>
              <w:t>2</w:t>
            </w:r>
          </w:p>
        </w:tc>
        <w:tc>
          <w:tcPr>
            <w:tcW w:w="1080" w:type="dxa"/>
          </w:tcPr>
          <w:p>
            <w:pPr>
              <w:widowControl/>
              <w:jc w:val="center"/>
              <w:rPr>
                <w:color w:val="000000"/>
                <w:kern w:val="0"/>
                <w:szCs w:val="21"/>
              </w:rPr>
            </w:pPr>
            <w:r>
              <w:rPr>
                <w:color w:val="000000"/>
                <w:kern w:val="0"/>
                <w:szCs w:val="21"/>
              </w:rPr>
              <w:t>24</w:t>
            </w:r>
          </w:p>
        </w:tc>
        <w:tc>
          <w:tcPr>
            <w:tcW w:w="2160" w:type="dxa"/>
          </w:tcPr>
          <w:p>
            <w:pPr>
              <w:widowControl/>
              <w:jc w:val="center"/>
              <w:rPr>
                <w:color w:val="000000"/>
                <w:kern w:val="0"/>
                <w:szCs w:val="21"/>
                <w:highlight w:val="yellow"/>
              </w:rPr>
            </w:pPr>
            <w:r>
              <w:rPr>
                <w:color w:val="000000"/>
                <w:kern w:val="0"/>
                <w:szCs w:val="21"/>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80" w:type="dxa"/>
          </w:tcPr>
          <w:p>
            <w:pPr>
              <w:widowControl/>
              <w:jc w:val="center"/>
              <w:rPr>
                <w:color w:val="000000"/>
                <w:kern w:val="0"/>
                <w:szCs w:val="21"/>
              </w:rPr>
            </w:pPr>
            <w:r>
              <w:rPr>
                <w:color w:val="000000"/>
                <w:kern w:val="0"/>
                <w:szCs w:val="21"/>
              </w:rPr>
              <w:t>12</w:t>
            </w:r>
          </w:p>
        </w:tc>
        <w:tc>
          <w:tcPr>
            <w:tcW w:w="2160" w:type="dxa"/>
          </w:tcPr>
          <w:p>
            <w:pPr>
              <w:widowControl/>
              <w:jc w:val="center"/>
              <w:rPr>
                <w:color w:val="000000"/>
                <w:kern w:val="0"/>
                <w:szCs w:val="21"/>
                <w:highlight w:val="yellow"/>
              </w:rPr>
            </w:pPr>
            <w:r>
              <w:rPr>
                <w:color w:val="000000"/>
                <w:kern w:val="0"/>
                <w:szCs w:val="21"/>
              </w:rPr>
              <w:t>3</w:t>
            </w:r>
          </w:p>
        </w:tc>
        <w:tc>
          <w:tcPr>
            <w:tcW w:w="1080" w:type="dxa"/>
          </w:tcPr>
          <w:p>
            <w:pPr>
              <w:widowControl/>
              <w:jc w:val="center"/>
              <w:rPr>
                <w:color w:val="000000"/>
                <w:kern w:val="0"/>
                <w:szCs w:val="21"/>
              </w:rPr>
            </w:pPr>
            <w:r>
              <w:rPr>
                <w:color w:val="000000"/>
                <w:kern w:val="0"/>
                <w:szCs w:val="21"/>
              </w:rPr>
              <w:t>25</w:t>
            </w:r>
          </w:p>
        </w:tc>
        <w:tc>
          <w:tcPr>
            <w:tcW w:w="2160" w:type="dxa"/>
          </w:tcPr>
          <w:p>
            <w:pPr>
              <w:widowControl/>
              <w:jc w:val="center"/>
              <w:rPr>
                <w:color w:val="000000"/>
                <w:kern w:val="0"/>
                <w:szCs w:val="21"/>
                <w:highlight w:val="yellow"/>
              </w:rPr>
            </w:pPr>
            <w:r>
              <w:rPr>
                <w:color w:val="000000"/>
                <w:kern w:val="0"/>
                <w:szCs w:val="21"/>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80" w:type="dxa"/>
          </w:tcPr>
          <w:p>
            <w:pPr>
              <w:widowControl/>
              <w:jc w:val="center"/>
              <w:rPr>
                <w:color w:val="000000"/>
                <w:kern w:val="0"/>
                <w:szCs w:val="21"/>
              </w:rPr>
            </w:pPr>
            <w:r>
              <w:rPr>
                <w:color w:val="000000"/>
                <w:kern w:val="0"/>
                <w:szCs w:val="21"/>
              </w:rPr>
              <w:t>13</w:t>
            </w:r>
          </w:p>
        </w:tc>
        <w:tc>
          <w:tcPr>
            <w:tcW w:w="2160" w:type="dxa"/>
          </w:tcPr>
          <w:p>
            <w:pPr>
              <w:widowControl/>
              <w:jc w:val="center"/>
              <w:rPr>
                <w:color w:val="000000"/>
                <w:kern w:val="0"/>
                <w:szCs w:val="21"/>
                <w:highlight w:val="yellow"/>
              </w:rPr>
            </w:pPr>
            <w:r>
              <w:rPr>
                <w:color w:val="000000"/>
                <w:kern w:val="0"/>
                <w:szCs w:val="21"/>
              </w:rPr>
              <w:t>3</w:t>
            </w:r>
          </w:p>
        </w:tc>
        <w:tc>
          <w:tcPr>
            <w:tcW w:w="1080" w:type="dxa"/>
          </w:tcPr>
          <w:p>
            <w:pPr>
              <w:widowControl/>
              <w:jc w:val="center"/>
              <w:rPr>
                <w:color w:val="000000"/>
                <w:kern w:val="0"/>
                <w:szCs w:val="21"/>
              </w:rPr>
            </w:pPr>
            <w:r>
              <w:rPr>
                <w:color w:val="000000"/>
                <w:kern w:val="0"/>
                <w:szCs w:val="21"/>
              </w:rPr>
              <w:t>26</w:t>
            </w:r>
          </w:p>
        </w:tc>
        <w:tc>
          <w:tcPr>
            <w:tcW w:w="2160" w:type="dxa"/>
          </w:tcPr>
          <w:p>
            <w:pPr>
              <w:widowControl/>
              <w:jc w:val="center"/>
              <w:rPr>
                <w:color w:val="000000"/>
                <w:kern w:val="0"/>
                <w:szCs w:val="21"/>
                <w:highlight w:val="yellow"/>
              </w:rPr>
            </w:pPr>
            <w:r>
              <w:rPr>
                <w:color w:val="000000"/>
                <w:kern w:val="0"/>
                <w:szCs w:val="21"/>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80" w:type="dxa"/>
          </w:tcPr>
          <w:p>
            <w:pPr>
              <w:widowControl/>
              <w:jc w:val="center"/>
              <w:rPr>
                <w:color w:val="000000"/>
                <w:kern w:val="0"/>
                <w:szCs w:val="21"/>
              </w:rPr>
            </w:pPr>
            <w:r>
              <w:rPr>
                <w:color w:val="000000"/>
                <w:kern w:val="0"/>
                <w:szCs w:val="21"/>
              </w:rPr>
              <w:t>14</w:t>
            </w:r>
          </w:p>
        </w:tc>
        <w:tc>
          <w:tcPr>
            <w:tcW w:w="2160" w:type="dxa"/>
          </w:tcPr>
          <w:p>
            <w:pPr>
              <w:widowControl/>
              <w:jc w:val="center"/>
              <w:rPr>
                <w:color w:val="000000"/>
                <w:kern w:val="0"/>
                <w:szCs w:val="21"/>
                <w:highlight w:val="yellow"/>
              </w:rPr>
            </w:pPr>
            <w:r>
              <w:rPr>
                <w:color w:val="000000"/>
                <w:kern w:val="0"/>
                <w:szCs w:val="21"/>
              </w:rPr>
              <w:t>3</w:t>
            </w:r>
          </w:p>
        </w:tc>
        <w:tc>
          <w:tcPr>
            <w:tcW w:w="1080" w:type="dxa"/>
          </w:tcPr>
          <w:p>
            <w:pPr>
              <w:widowControl/>
              <w:jc w:val="center"/>
              <w:rPr>
                <w:color w:val="000000"/>
                <w:kern w:val="0"/>
                <w:szCs w:val="21"/>
              </w:rPr>
            </w:pPr>
            <w:r>
              <w:rPr>
                <w:color w:val="000000"/>
                <w:kern w:val="0"/>
                <w:szCs w:val="21"/>
              </w:rPr>
              <w:t>27</w:t>
            </w:r>
          </w:p>
        </w:tc>
        <w:tc>
          <w:tcPr>
            <w:tcW w:w="2160" w:type="dxa"/>
          </w:tcPr>
          <w:p>
            <w:pPr>
              <w:widowControl/>
              <w:jc w:val="center"/>
              <w:rPr>
                <w:color w:val="000000"/>
                <w:kern w:val="0"/>
                <w:szCs w:val="21"/>
                <w:highlight w:val="yellow"/>
              </w:rPr>
            </w:pPr>
            <w:r>
              <w:rPr>
                <w:color w:val="000000"/>
                <w:kern w:val="0"/>
                <w:szCs w:val="21"/>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80" w:type="dxa"/>
          </w:tcPr>
          <w:p>
            <w:pPr>
              <w:widowControl/>
              <w:jc w:val="center"/>
              <w:rPr>
                <w:color w:val="000000"/>
                <w:kern w:val="0"/>
                <w:szCs w:val="21"/>
              </w:rPr>
            </w:pPr>
            <w:r>
              <w:rPr>
                <w:color w:val="000000"/>
                <w:kern w:val="0"/>
                <w:szCs w:val="21"/>
              </w:rPr>
              <w:t>15</w:t>
            </w:r>
          </w:p>
        </w:tc>
        <w:tc>
          <w:tcPr>
            <w:tcW w:w="2160" w:type="dxa"/>
          </w:tcPr>
          <w:p>
            <w:pPr>
              <w:widowControl/>
              <w:jc w:val="center"/>
              <w:rPr>
                <w:color w:val="000000"/>
                <w:kern w:val="0"/>
                <w:szCs w:val="21"/>
                <w:highlight w:val="yellow"/>
              </w:rPr>
            </w:pPr>
            <w:r>
              <w:rPr>
                <w:color w:val="000000"/>
                <w:kern w:val="0"/>
                <w:szCs w:val="21"/>
              </w:rPr>
              <w:t>4</w:t>
            </w:r>
          </w:p>
        </w:tc>
        <w:tc>
          <w:tcPr>
            <w:tcW w:w="1080" w:type="dxa"/>
          </w:tcPr>
          <w:p>
            <w:pPr>
              <w:widowControl/>
              <w:jc w:val="center"/>
              <w:rPr>
                <w:color w:val="000000"/>
                <w:kern w:val="0"/>
                <w:szCs w:val="21"/>
              </w:rPr>
            </w:pPr>
            <w:r>
              <w:rPr>
                <w:color w:val="000000"/>
                <w:kern w:val="0"/>
                <w:szCs w:val="21"/>
              </w:rPr>
              <w:t>28</w:t>
            </w:r>
          </w:p>
        </w:tc>
        <w:tc>
          <w:tcPr>
            <w:tcW w:w="2160" w:type="dxa"/>
          </w:tcPr>
          <w:p>
            <w:pPr>
              <w:widowControl/>
              <w:jc w:val="center"/>
              <w:rPr>
                <w:color w:val="000000"/>
                <w:kern w:val="0"/>
                <w:szCs w:val="21"/>
                <w:highlight w:val="yellow"/>
              </w:rPr>
            </w:pPr>
            <w:r>
              <w:rPr>
                <w:color w:val="000000"/>
                <w:kern w:val="0"/>
                <w:szCs w:val="21"/>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80" w:type="dxa"/>
          </w:tcPr>
          <w:p>
            <w:pPr>
              <w:widowControl/>
              <w:jc w:val="center"/>
              <w:rPr>
                <w:color w:val="000000"/>
                <w:kern w:val="0"/>
                <w:szCs w:val="21"/>
              </w:rPr>
            </w:pPr>
            <w:r>
              <w:rPr>
                <w:color w:val="000000"/>
                <w:kern w:val="0"/>
                <w:szCs w:val="21"/>
              </w:rPr>
              <w:t>16</w:t>
            </w:r>
          </w:p>
        </w:tc>
        <w:tc>
          <w:tcPr>
            <w:tcW w:w="2160" w:type="dxa"/>
          </w:tcPr>
          <w:p>
            <w:pPr>
              <w:widowControl/>
              <w:jc w:val="center"/>
              <w:rPr>
                <w:color w:val="000000"/>
                <w:kern w:val="0"/>
                <w:szCs w:val="21"/>
                <w:highlight w:val="yellow"/>
              </w:rPr>
            </w:pPr>
            <w:r>
              <w:rPr>
                <w:color w:val="000000"/>
                <w:kern w:val="0"/>
                <w:szCs w:val="21"/>
              </w:rPr>
              <w:t>4</w:t>
            </w:r>
          </w:p>
        </w:tc>
        <w:tc>
          <w:tcPr>
            <w:tcW w:w="1080" w:type="dxa"/>
          </w:tcPr>
          <w:p>
            <w:pPr>
              <w:widowControl/>
              <w:jc w:val="center"/>
              <w:rPr>
                <w:color w:val="000000"/>
                <w:kern w:val="0"/>
                <w:szCs w:val="21"/>
              </w:rPr>
            </w:pPr>
            <w:r>
              <w:rPr>
                <w:color w:val="000000"/>
                <w:kern w:val="0"/>
                <w:szCs w:val="21"/>
              </w:rPr>
              <w:t>29</w:t>
            </w:r>
          </w:p>
        </w:tc>
        <w:tc>
          <w:tcPr>
            <w:tcW w:w="2160" w:type="dxa"/>
          </w:tcPr>
          <w:p>
            <w:pPr>
              <w:widowControl/>
              <w:jc w:val="center"/>
              <w:rPr>
                <w:color w:val="000000"/>
                <w:kern w:val="0"/>
                <w:szCs w:val="21"/>
                <w:highlight w:val="yellow"/>
              </w:rPr>
            </w:pPr>
            <w:r>
              <w:rPr>
                <w:color w:val="000000"/>
                <w:kern w:val="0"/>
                <w:szCs w:val="21"/>
              </w:rPr>
              <w:t>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080" w:type="dxa"/>
          </w:tcPr>
          <w:p>
            <w:pPr>
              <w:widowControl/>
              <w:jc w:val="center"/>
              <w:rPr>
                <w:color w:val="000000"/>
                <w:kern w:val="0"/>
                <w:szCs w:val="21"/>
              </w:rPr>
            </w:pPr>
            <w:r>
              <w:rPr>
                <w:color w:val="000000"/>
                <w:kern w:val="0"/>
                <w:szCs w:val="21"/>
              </w:rPr>
              <w:t>17</w:t>
            </w:r>
          </w:p>
        </w:tc>
        <w:tc>
          <w:tcPr>
            <w:tcW w:w="2160" w:type="dxa"/>
          </w:tcPr>
          <w:p>
            <w:pPr>
              <w:widowControl/>
              <w:jc w:val="center"/>
              <w:rPr>
                <w:color w:val="000000"/>
                <w:kern w:val="0"/>
                <w:szCs w:val="21"/>
                <w:highlight w:val="yellow"/>
              </w:rPr>
            </w:pPr>
            <w:r>
              <w:rPr>
                <w:color w:val="000000"/>
                <w:kern w:val="0"/>
                <w:szCs w:val="21"/>
              </w:rPr>
              <w:t>5</w:t>
            </w:r>
          </w:p>
        </w:tc>
        <w:tc>
          <w:tcPr>
            <w:tcW w:w="1080" w:type="dxa"/>
          </w:tcPr>
          <w:p>
            <w:pPr>
              <w:widowControl/>
              <w:jc w:val="center"/>
              <w:rPr>
                <w:color w:val="000000"/>
                <w:kern w:val="0"/>
                <w:szCs w:val="21"/>
              </w:rPr>
            </w:pPr>
            <w:r>
              <w:rPr>
                <w:color w:val="000000"/>
                <w:kern w:val="0"/>
                <w:szCs w:val="21"/>
              </w:rPr>
              <w:t>30</w:t>
            </w:r>
          </w:p>
        </w:tc>
        <w:tc>
          <w:tcPr>
            <w:tcW w:w="2160" w:type="dxa"/>
          </w:tcPr>
          <w:p>
            <w:pPr>
              <w:widowControl/>
              <w:jc w:val="center"/>
              <w:rPr>
                <w:color w:val="000000"/>
                <w:kern w:val="0"/>
                <w:szCs w:val="21"/>
                <w:highlight w:val="yellow"/>
              </w:rPr>
            </w:pPr>
            <w:r>
              <w:rPr>
                <w:color w:val="000000"/>
                <w:kern w:val="0"/>
                <w:szCs w:val="21"/>
              </w:rPr>
              <w:t>10</w:t>
            </w:r>
          </w:p>
        </w:tc>
      </w:tr>
    </w:tbl>
    <w:p>
      <w:pPr>
        <w:pStyle w:val="3"/>
        <w:spacing w:before="0" w:after="93" w:afterLines="30" w:line="360" w:lineRule="auto"/>
        <w:rPr>
          <w:rFonts w:ascii="Times New Roman" w:hAnsi="Times New Roman" w:eastAsia="宋体-18030"/>
          <w:b w:val="0"/>
          <w:sz w:val="24"/>
        </w:rPr>
      </w:pPr>
      <w:bookmarkStart w:id="94" w:name="_Toc137854335"/>
      <w:r>
        <w:rPr>
          <w:rFonts w:hint="eastAsia" w:ascii="Times New Roman" w:hAnsi="Times New Roman" w:eastAsia="宋体-18030"/>
          <w:b w:val="0"/>
          <w:sz w:val="24"/>
        </w:rPr>
        <w:t>C</w:t>
      </w:r>
      <w:r>
        <w:rPr>
          <w:rFonts w:ascii="Times New Roman" w:hAnsi="Times New Roman" w:eastAsia="宋体-18030"/>
          <w:b w:val="0"/>
          <w:sz w:val="24"/>
        </w:rPr>
        <w:t>.3 参考值的合理性与可靠性</w:t>
      </w:r>
      <w:bookmarkEnd w:id="93"/>
      <w:bookmarkEnd w:id="94"/>
    </w:p>
    <w:p>
      <w:pPr>
        <w:pStyle w:val="7"/>
        <w:snapToGrid w:val="0"/>
        <w:spacing w:line="360" w:lineRule="auto"/>
        <w:rPr>
          <w:sz w:val="24"/>
        </w:rPr>
      </w:pPr>
      <w:r>
        <w:rPr>
          <w:rFonts w:hint="eastAsia"/>
          <w:sz w:val="24"/>
        </w:rPr>
        <w:t>C</w:t>
      </w:r>
      <w:r>
        <w:rPr>
          <w:sz w:val="24"/>
        </w:rPr>
        <w:t>.3.1 参考值确定方法的合理性</w:t>
      </w:r>
    </w:p>
    <w:p>
      <w:pPr>
        <w:pStyle w:val="7"/>
        <w:snapToGrid w:val="0"/>
        <w:spacing w:line="360" w:lineRule="auto"/>
        <w:ind w:firstLine="420"/>
        <w:rPr>
          <w:sz w:val="24"/>
        </w:rPr>
      </w:pPr>
      <w:r>
        <w:rPr>
          <w:sz w:val="24"/>
        </w:rPr>
        <w:t>根据比对实验室的量值来源分析，检</w:t>
      </w:r>
      <w:r>
        <w:rPr>
          <w:rFonts w:hint="eastAsia"/>
          <w:sz w:val="24"/>
        </w:rPr>
        <w:t>查</w:t>
      </w:r>
      <w:r>
        <w:rPr>
          <w:sz w:val="24"/>
        </w:rPr>
        <w:t>选择的确定参考值的方法的合理性；在分析实验数据时，主导实验室可以采用可能的多种参考值计算方法，比较计算过程及结果的差异，并尝试分析其原因，从而确认或选择更为合理的计算方法。</w:t>
      </w:r>
    </w:p>
    <w:p>
      <w:pPr>
        <w:snapToGrid w:val="0"/>
        <w:spacing w:line="360" w:lineRule="auto"/>
        <w:rPr>
          <w:sz w:val="24"/>
        </w:rPr>
      </w:pPr>
      <w:r>
        <w:rPr>
          <w:rFonts w:hint="eastAsia"/>
          <w:sz w:val="24"/>
        </w:rPr>
        <w:t>C</w:t>
      </w:r>
      <w:r>
        <w:rPr>
          <w:sz w:val="24"/>
        </w:rPr>
        <w:t>.3.</w:t>
      </w:r>
      <w:r>
        <w:rPr>
          <w:rFonts w:hint="eastAsia"/>
          <w:sz w:val="24"/>
        </w:rPr>
        <w:t>2</w:t>
      </w:r>
      <w:r>
        <w:rPr>
          <w:sz w:val="24"/>
        </w:rPr>
        <w:t xml:space="preserve"> 比对方法有效性分析</w:t>
      </w:r>
    </w:p>
    <w:p>
      <w:pPr>
        <w:pStyle w:val="7"/>
        <w:snapToGrid w:val="0"/>
        <w:spacing w:line="360" w:lineRule="auto"/>
        <w:ind w:firstLine="420"/>
        <w:rPr>
          <w:sz w:val="24"/>
        </w:rPr>
      </w:pPr>
      <w:r>
        <w:rPr>
          <w:sz w:val="24"/>
        </w:rPr>
        <w:t>在完成比对实验后，应分析偏离比对设计方案或比对中发现问题对比对的影响，检查</w:t>
      </w:r>
      <m:oMath>
        <m:sSub>
          <m:sSubPr>
            <m:ctrlPr>
              <w:rPr>
                <w:rFonts w:ascii="Cambria Math" w:hAnsi="Cambria Math"/>
                <w:i/>
                <w:color w:val="000000"/>
                <w:sz w:val="24"/>
                <w:szCs w:val="24"/>
              </w:rPr>
            </m:ctrlPr>
          </m:sSubPr>
          <m:e>
            <m:r>
              <m:rPr/>
              <w:rPr>
                <w:rFonts w:ascii="Cambria Math" w:hAnsi="Cambria Math"/>
                <w:color w:val="000000"/>
                <w:sz w:val="24"/>
                <w:szCs w:val="24"/>
              </w:rPr>
              <m:t>u</m:t>
            </m:r>
            <m:ctrlPr>
              <w:rPr>
                <w:rFonts w:ascii="Cambria Math" w:hAnsi="Cambria Math"/>
                <w:i/>
                <w:color w:val="000000"/>
                <w:sz w:val="24"/>
                <w:szCs w:val="24"/>
              </w:rPr>
            </m:ctrlPr>
          </m:e>
          <m:sub>
            <m:r>
              <m:rPr/>
              <w:rPr>
                <w:rFonts w:ascii="Cambria Math" w:hAnsi="Cambria Math"/>
                <w:color w:val="000000"/>
                <w:sz w:val="24"/>
                <w:szCs w:val="24"/>
              </w:rPr>
              <m:t>R</m:t>
            </m:r>
            <m:ctrlPr>
              <w:rPr>
                <w:rFonts w:ascii="Cambria Math" w:hAnsi="Cambria Math"/>
                <w:i/>
                <w:color w:val="000000"/>
                <w:sz w:val="24"/>
                <w:szCs w:val="24"/>
              </w:rPr>
            </m:ctrlPr>
          </m:sub>
        </m:sSub>
      </m:oMath>
      <w:r>
        <w:rPr>
          <w:color w:val="000000"/>
          <w:sz w:val="24"/>
        </w:rPr>
        <w:t>，</w:t>
      </w:r>
      <m:oMath>
        <m:sSub>
          <m:sSubPr>
            <m:ctrlPr>
              <w:rPr>
                <w:rFonts w:ascii="Cambria Math" w:hAnsi="Cambria Math"/>
                <w:i/>
                <w:color w:val="000000"/>
                <w:sz w:val="24"/>
                <w:szCs w:val="24"/>
              </w:rPr>
            </m:ctrlPr>
          </m:sSubPr>
          <m:e>
            <m:r>
              <m:rPr/>
              <w:rPr>
                <w:rFonts w:ascii="Cambria Math" w:hAnsi="Cambria Math"/>
                <w:color w:val="000000"/>
                <w:sz w:val="24"/>
                <w:szCs w:val="24"/>
              </w:rPr>
              <m:t>u</m:t>
            </m:r>
            <m:ctrlPr>
              <w:rPr>
                <w:rFonts w:ascii="Cambria Math" w:hAnsi="Cambria Math"/>
                <w:i/>
                <w:color w:val="000000"/>
                <w:sz w:val="24"/>
                <w:szCs w:val="24"/>
              </w:rPr>
            </m:ctrlPr>
          </m:e>
          <m:sub>
            <m:r>
              <m:rPr/>
              <w:rPr>
                <w:rFonts w:ascii="Cambria Math" w:hAnsi="Cambria Math"/>
                <w:color w:val="000000"/>
                <w:sz w:val="24"/>
                <w:szCs w:val="24"/>
              </w:rPr>
              <m:t>e</m:t>
            </m:r>
            <m:ctrlPr>
              <w:rPr>
                <w:rFonts w:ascii="Cambria Math" w:hAnsi="Cambria Math"/>
                <w:i/>
                <w:color w:val="000000"/>
                <w:sz w:val="24"/>
                <w:szCs w:val="24"/>
              </w:rPr>
            </m:ctrlPr>
          </m:sub>
        </m:sSub>
      </m:oMath>
      <w:r>
        <w:rPr>
          <w:color w:val="000000"/>
          <w:sz w:val="24"/>
        </w:rPr>
        <w:t>与</w:t>
      </w:r>
      <m:oMath>
        <m:r>
          <m:rPr/>
          <w:rPr>
            <w:rFonts w:ascii="Cambria Math" w:hAnsi="Cambria Math"/>
            <w:color w:val="000000"/>
            <w:sz w:val="24"/>
            <w:szCs w:val="24"/>
          </w:rPr>
          <m:t>u</m:t>
        </m:r>
        <m:d>
          <m:dPr>
            <m:ctrlPr>
              <w:rPr>
                <w:rFonts w:ascii="Cambria Math" w:hAnsi="Cambria Math"/>
                <w:i/>
                <w:color w:val="000000"/>
                <w:sz w:val="24"/>
                <w:szCs w:val="24"/>
              </w:rPr>
            </m:ctrlPr>
          </m:dPr>
          <m:e>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ctrlPr>
              <w:rPr>
                <w:rFonts w:ascii="Cambria Math" w:hAnsi="Cambria Math"/>
                <w:i/>
                <w:color w:val="000000"/>
                <w:sz w:val="24"/>
                <w:szCs w:val="24"/>
              </w:rPr>
            </m:ctrlPr>
          </m:e>
        </m:d>
      </m:oMath>
      <w:r>
        <w:rPr>
          <w:sz w:val="24"/>
        </w:rPr>
        <w:t>的实际比例关系，并在对比对结果的分析中客观分析比对方法有效性的影响。</w:t>
      </w:r>
    </w:p>
    <w:p>
      <w:pPr>
        <w:snapToGrid w:val="0"/>
        <w:spacing w:line="360" w:lineRule="auto"/>
        <w:rPr>
          <w:sz w:val="24"/>
        </w:rPr>
      </w:pPr>
      <w:r>
        <w:rPr>
          <w:rFonts w:hint="eastAsia"/>
          <w:sz w:val="24"/>
        </w:rPr>
        <w:t>C</w:t>
      </w:r>
      <w:r>
        <w:rPr>
          <w:sz w:val="24"/>
        </w:rPr>
        <w:t>.3.</w:t>
      </w:r>
      <w:r>
        <w:rPr>
          <w:rFonts w:hint="eastAsia"/>
          <w:sz w:val="24"/>
        </w:rPr>
        <w:t>3</w:t>
      </w:r>
      <w:r>
        <w:rPr>
          <w:sz w:val="24"/>
        </w:rPr>
        <w:t xml:space="preserve"> 由主导实验室量值确定的参考值</w:t>
      </w:r>
    </w:p>
    <w:p>
      <w:pPr>
        <w:pStyle w:val="7"/>
        <w:snapToGrid w:val="0"/>
        <w:spacing w:line="360" w:lineRule="auto"/>
        <w:ind w:firstLine="480" w:firstLineChars="200"/>
        <w:rPr>
          <w:sz w:val="24"/>
        </w:rPr>
      </w:pPr>
      <w:r>
        <w:rPr>
          <w:sz w:val="24"/>
        </w:rPr>
        <w:t>当主导实验室的量值作为参考值，且与其他参比实验室不存在传递关系时，应慎重考虑主导实验室量值的准确性，并提供参考值不确定度的详细说明。</w:t>
      </w:r>
    </w:p>
    <w:p>
      <w:pPr>
        <w:snapToGrid w:val="0"/>
        <w:spacing w:line="360" w:lineRule="auto"/>
        <w:rPr>
          <w:sz w:val="24"/>
        </w:rPr>
      </w:pPr>
      <w:r>
        <w:rPr>
          <w:rFonts w:hint="eastAsia"/>
          <w:sz w:val="24"/>
        </w:rPr>
        <w:t>C</w:t>
      </w:r>
      <w:r>
        <w:rPr>
          <w:sz w:val="24"/>
        </w:rPr>
        <w:t>.3.</w:t>
      </w:r>
      <w:r>
        <w:rPr>
          <w:rFonts w:hint="eastAsia"/>
          <w:sz w:val="24"/>
        </w:rPr>
        <w:t>4</w:t>
      </w:r>
      <w:r>
        <w:rPr>
          <w:sz w:val="24"/>
        </w:rPr>
        <w:t xml:space="preserve"> 由多个实验室量值采用平均法确定的参考值</w:t>
      </w:r>
    </w:p>
    <w:p>
      <w:pPr>
        <w:snapToGrid w:val="0"/>
        <w:spacing w:line="360" w:lineRule="auto"/>
        <w:rPr>
          <w:sz w:val="24"/>
        </w:rPr>
      </w:pPr>
      <w:r>
        <w:rPr>
          <w:sz w:val="24"/>
        </w:rPr>
        <w:tab/>
      </w:r>
      <w:r>
        <w:rPr>
          <w:sz w:val="24"/>
        </w:rPr>
        <w:t>为保证参考值的可靠性，需要检查各实验室量值的有效性与不确定度评定的合理性，必要时减小不具备有效性或合理性的实验室量值对参考值贡献的权重。</w:t>
      </w:r>
    </w:p>
    <w:p>
      <w:pPr>
        <w:snapToGrid w:val="0"/>
        <w:spacing w:line="360" w:lineRule="auto"/>
        <w:rPr>
          <w:sz w:val="24"/>
        </w:rPr>
      </w:pPr>
      <w:r>
        <w:rPr>
          <w:rFonts w:hint="eastAsia"/>
          <w:sz w:val="24"/>
        </w:rPr>
        <w:t>C</w:t>
      </w:r>
      <w:r>
        <w:rPr>
          <w:sz w:val="24"/>
        </w:rPr>
        <w:t>.3.</w:t>
      </w:r>
      <w:r>
        <w:rPr>
          <w:rFonts w:hint="eastAsia"/>
          <w:sz w:val="24"/>
        </w:rPr>
        <w:t>4</w:t>
      </w:r>
      <w:r>
        <w:rPr>
          <w:sz w:val="24"/>
        </w:rPr>
        <w:t>.1 不确定度评定的合理性</w:t>
      </w:r>
    </w:p>
    <w:p>
      <w:pPr>
        <w:snapToGrid w:val="0"/>
        <w:spacing w:line="360" w:lineRule="auto"/>
        <w:rPr>
          <w:sz w:val="24"/>
        </w:rPr>
      </w:pPr>
      <w:r>
        <w:rPr>
          <w:rFonts w:hint="eastAsia"/>
          <w:sz w:val="24"/>
        </w:rPr>
        <w:t>C</w:t>
      </w:r>
      <w:r>
        <w:rPr>
          <w:sz w:val="24"/>
        </w:rPr>
        <w:t>.3.</w:t>
      </w:r>
      <w:r>
        <w:rPr>
          <w:rFonts w:hint="eastAsia"/>
          <w:sz w:val="24"/>
        </w:rPr>
        <w:t>4</w:t>
      </w:r>
      <w:r>
        <w:rPr>
          <w:sz w:val="24"/>
        </w:rPr>
        <w:t>.1.1</w:t>
      </w:r>
      <w:r>
        <w:rPr>
          <w:rFonts w:eastAsia="宋体-18030"/>
          <w:sz w:val="24"/>
        </w:rPr>
        <w:t xml:space="preserve"> 检查不确定度评估所用原始数据的正确性，通过分析测量模型以及偏离模型的因素，列出主要影响量。</w:t>
      </w:r>
    </w:p>
    <w:p>
      <w:pPr>
        <w:snapToGrid w:val="0"/>
        <w:spacing w:line="360" w:lineRule="auto"/>
        <w:rPr>
          <w:sz w:val="24"/>
        </w:rPr>
      </w:pPr>
      <w:r>
        <w:rPr>
          <w:rFonts w:hint="eastAsia"/>
          <w:sz w:val="24"/>
        </w:rPr>
        <w:t>C</w:t>
      </w:r>
      <w:r>
        <w:rPr>
          <w:sz w:val="24"/>
        </w:rPr>
        <w:t>.3.</w:t>
      </w:r>
      <w:r>
        <w:rPr>
          <w:rFonts w:hint="eastAsia"/>
          <w:sz w:val="24"/>
        </w:rPr>
        <w:t>4</w:t>
      </w:r>
      <w:r>
        <w:rPr>
          <w:sz w:val="24"/>
        </w:rPr>
        <w:t>.1.2 通过研究各参比实验室提交的不确定度评估报告，检查其宣称不确定度的依据与合理性，特别是不确定度评定结果显著小于其他实验室的评定的依据与合理性，有无被明显低估数值的不确定度评定。对于不确定度评定结果显著小于其他实验室的评定，若能提供合理的</w:t>
      </w:r>
      <w:r>
        <w:rPr>
          <w:kern w:val="0"/>
          <w:sz w:val="24"/>
        </w:rPr>
        <w:t>不确定度评定，应认为不确定度评定有效。</w:t>
      </w:r>
    </w:p>
    <w:p>
      <w:pPr>
        <w:snapToGrid w:val="0"/>
        <w:spacing w:line="360" w:lineRule="auto"/>
        <w:rPr>
          <w:sz w:val="24"/>
        </w:rPr>
      </w:pPr>
      <w:r>
        <w:rPr>
          <w:rFonts w:hint="eastAsia"/>
          <w:sz w:val="24"/>
        </w:rPr>
        <w:t>C</w:t>
      </w:r>
      <w:r>
        <w:rPr>
          <w:sz w:val="24"/>
        </w:rPr>
        <w:t>.3.</w:t>
      </w:r>
      <w:r>
        <w:rPr>
          <w:rFonts w:hint="eastAsia"/>
          <w:sz w:val="24"/>
        </w:rPr>
        <w:t>4</w:t>
      </w:r>
      <w:r>
        <w:rPr>
          <w:sz w:val="24"/>
        </w:rPr>
        <w:t>.1.3 通过比较计量标准</w:t>
      </w:r>
      <w:r>
        <w:rPr>
          <w:rFonts w:hint="eastAsia"/>
          <w:sz w:val="24"/>
        </w:rPr>
        <w:t>考核</w:t>
      </w:r>
      <w:r>
        <w:rPr>
          <w:sz w:val="24"/>
        </w:rPr>
        <w:t>证书与不确定度评估报告的结论，检查宣称不确定度与</w:t>
      </w:r>
      <w:r>
        <w:rPr>
          <w:rFonts w:hint="eastAsia"/>
          <w:sz w:val="24"/>
        </w:rPr>
        <w:t>该计量标准经批准的</w:t>
      </w:r>
      <w:r>
        <w:rPr>
          <w:sz w:val="24"/>
        </w:rPr>
        <w:t>准确度水平的关系。</w:t>
      </w:r>
    </w:p>
    <w:p>
      <w:pPr>
        <w:snapToGrid w:val="0"/>
        <w:spacing w:line="360" w:lineRule="auto"/>
        <w:rPr>
          <w:sz w:val="24"/>
        </w:rPr>
      </w:pPr>
      <w:r>
        <w:rPr>
          <w:rFonts w:hint="eastAsia"/>
          <w:sz w:val="24"/>
        </w:rPr>
        <w:t>C</w:t>
      </w:r>
      <w:r>
        <w:rPr>
          <w:sz w:val="24"/>
        </w:rPr>
        <w:t>.3.</w:t>
      </w:r>
      <w:r>
        <w:rPr>
          <w:rFonts w:hint="eastAsia"/>
          <w:sz w:val="24"/>
        </w:rPr>
        <w:t>4</w:t>
      </w:r>
      <w:r>
        <w:rPr>
          <w:sz w:val="24"/>
        </w:rPr>
        <w:t>.1.4 检查实验室量值的溯源性。</w:t>
      </w:r>
    </w:p>
    <w:p>
      <w:pPr>
        <w:tabs>
          <w:tab w:val="left" w:pos="2450"/>
        </w:tabs>
        <w:autoSpaceDE w:val="0"/>
        <w:autoSpaceDN w:val="0"/>
        <w:adjustRightInd w:val="0"/>
        <w:snapToGrid w:val="0"/>
        <w:spacing w:line="360" w:lineRule="auto"/>
        <w:jc w:val="left"/>
        <w:rPr>
          <w:kern w:val="0"/>
          <w:sz w:val="24"/>
        </w:rPr>
      </w:pPr>
      <w:r>
        <w:rPr>
          <w:rFonts w:hint="eastAsia"/>
          <w:sz w:val="24"/>
        </w:rPr>
        <w:t>C</w:t>
      </w:r>
      <w:r>
        <w:rPr>
          <w:sz w:val="24"/>
        </w:rPr>
        <w:t>.3.</w:t>
      </w:r>
      <w:r>
        <w:rPr>
          <w:rFonts w:hint="eastAsia"/>
          <w:sz w:val="24"/>
        </w:rPr>
        <w:t>4</w:t>
      </w:r>
      <w:r>
        <w:rPr>
          <w:sz w:val="24"/>
        </w:rPr>
        <w:t>.1.5</w:t>
      </w:r>
      <w:r>
        <w:rPr>
          <w:kern w:val="0"/>
          <w:sz w:val="24"/>
        </w:rPr>
        <w:t xml:space="preserve"> </w:t>
      </w:r>
      <w:r>
        <w:rPr>
          <w:sz w:val="24"/>
        </w:rPr>
        <w:t>减小对参考值贡献的权重。</w:t>
      </w:r>
    </w:p>
    <w:p>
      <w:pPr>
        <w:snapToGrid w:val="0"/>
        <w:spacing w:line="360" w:lineRule="auto"/>
        <w:ind w:firstLine="480"/>
        <w:rPr>
          <w:kern w:val="0"/>
          <w:sz w:val="24"/>
        </w:rPr>
      </w:pPr>
      <w:r>
        <w:rPr>
          <w:kern w:val="0"/>
          <w:sz w:val="24"/>
        </w:rPr>
        <w:t>若</w:t>
      </w:r>
      <w:r>
        <w:rPr>
          <w:sz w:val="24"/>
        </w:rPr>
        <w:t>宣</w:t>
      </w:r>
      <w:r>
        <w:rPr>
          <w:kern w:val="0"/>
          <w:sz w:val="24"/>
        </w:rPr>
        <w:t>称的不确定度缺乏合理的依据，或</w:t>
      </w:r>
      <w:r>
        <w:rPr>
          <w:sz w:val="24"/>
        </w:rPr>
        <w:t>实验室量值的溯源性存在问题，</w:t>
      </w:r>
      <w:r>
        <w:rPr>
          <w:kern w:val="0"/>
          <w:sz w:val="24"/>
        </w:rPr>
        <w:t>为避免该实验室数据对参考值的影响过大，建议</w:t>
      </w:r>
      <w:r>
        <w:rPr>
          <w:sz w:val="24"/>
        </w:rPr>
        <w:t>减小该实验室对参考值贡献的权重</w:t>
      </w:r>
      <w:r>
        <w:rPr>
          <w:kern w:val="0"/>
          <w:sz w:val="24"/>
        </w:rPr>
        <w:t>，</w:t>
      </w:r>
      <w:r>
        <w:rPr>
          <w:sz w:val="24"/>
        </w:rPr>
        <w:t>直至取消该实验室对参考值的贡献资格。</w:t>
      </w:r>
      <w:r>
        <w:rPr>
          <w:kern w:val="0"/>
          <w:sz w:val="24"/>
        </w:rPr>
        <w:t>并在报告中明确说明。</w:t>
      </w:r>
    </w:p>
    <w:p>
      <w:pPr>
        <w:snapToGrid w:val="0"/>
        <w:spacing w:line="360" w:lineRule="auto"/>
        <w:ind w:firstLine="480" w:firstLineChars="200"/>
        <w:rPr>
          <w:color w:val="000000"/>
          <w:sz w:val="24"/>
        </w:rPr>
      </w:pPr>
      <w:r>
        <w:rPr>
          <w:rFonts w:hint="eastAsia"/>
          <w:color w:val="000000"/>
          <w:sz w:val="24"/>
        </w:rPr>
        <w:t>在采用加权平均值作为参考值时，可以在比对方案中设计给出参比实验室权重上限或不确定度下限，避免由于参比实验室上报不确定度明显偏小造成权重过高的情况。不确定度低于下限的情况，该实验室能力评价可以比对方案中的不确定度下限为准。</w:t>
      </w:r>
    </w:p>
    <w:p>
      <w:pPr>
        <w:pStyle w:val="7"/>
        <w:snapToGrid w:val="0"/>
        <w:spacing w:line="360" w:lineRule="auto"/>
        <w:rPr>
          <w:kern w:val="0"/>
          <w:sz w:val="24"/>
        </w:rPr>
      </w:pPr>
      <w:r>
        <w:rPr>
          <w:rFonts w:hint="eastAsia"/>
          <w:kern w:val="0"/>
          <w:sz w:val="24"/>
        </w:rPr>
        <w:t>C</w:t>
      </w:r>
      <w:r>
        <w:rPr>
          <w:kern w:val="0"/>
          <w:sz w:val="24"/>
        </w:rPr>
        <w:t>.3.</w:t>
      </w:r>
      <w:r>
        <w:rPr>
          <w:rFonts w:hint="eastAsia"/>
          <w:kern w:val="0"/>
          <w:sz w:val="24"/>
        </w:rPr>
        <w:t>4</w:t>
      </w:r>
      <w:r>
        <w:rPr>
          <w:kern w:val="0"/>
          <w:sz w:val="24"/>
        </w:rPr>
        <w:t xml:space="preserve">.2 </w:t>
      </w:r>
      <w:r>
        <w:rPr>
          <w:sz w:val="24"/>
        </w:rPr>
        <w:t>实验室量值的有效性</w:t>
      </w:r>
    </w:p>
    <w:p>
      <w:pPr>
        <w:pStyle w:val="7"/>
        <w:snapToGrid w:val="0"/>
        <w:spacing w:line="360" w:lineRule="auto"/>
        <w:rPr>
          <w:kern w:val="0"/>
        </w:rPr>
      </w:pPr>
      <w:r>
        <w:rPr>
          <w:kern w:val="0"/>
          <w:sz w:val="24"/>
        </w:rPr>
        <w:tab/>
      </w:r>
      <w:r>
        <w:rPr>
          <w:kern w:val="0"/>
          <w:sz w:val="24"/>
        </w:rPr>
        <w:t>在比对结果处理初步完成后，应检查对参考值有贡献的实验室的比对结果的有效性。</w:t>
      </w:r>
    </w:p>
    <w:p>
      <w:pPr>
        <w:tabs>
          <w:tab w:val="left" w:pos="2450"/>
        </w:tabs>
        <w:autoSpaceDE w:val="0"/>
        <w:autoSpaceDN w:val="0"/>
        <w:adjustRightInd w:val="0"/>
        <w:snapToGrid w:val="0"/>
        <w:spacing w:line="360" w:lineRule="auto"/>
        <w:ind w:firstLine="480" w:firstLineChars="200"/>
        <w:jc w:val="left"/>
        <w:rPr>
          <w:sz w:val="24"/>
        </w:rPr>
      </w:pPr>
      <w:r>
        <w:rPr>
          <w:sz w:val="24"/>
        </w:rPr>
        <w:t>如个别实验室的测量结果偏离过大，应分析原因。对于因数据修正模型与众不同等原因造成比对结果离群的实验室，若不能断定其错误，应充分听取相关的解释，慎重处理，并在比对总结报告中说明。</w:t>
      </w:r>
    </w:p>
    <w:p>
      <w:pPr>
        <w:tabs>
          <w:tab w:val="left" w:pos="2450"/>
        </w:tabs>
        <w:autoSpaceDE w:val="0"/>
        <w:autoSpaceDN w:val="0"/>
        <w:adjustRightInd w:val="0"/>
        <w:snapToGrid w:val="0"/>
        <w:spacing w:line="360" w:lineRule="auto"/>
        <w:ind w:firstLine="480" w:firstLineChars="200"/>
        <w:jc w:val="left"/>
        <w:rPr>
          <w:sz w:val="24"/>
        </w:rPr>
      </w:pPr>
      <w:r>
        <w:rPr>
          <w:sz w:val="24"/>
        </w:rPr>
        <w:t>对于其他情况，</w:t>
      </w:r>
      <w:r>
        <w:rPr>
          <w:kern w:val="0"/>
          <w:sz w:val="24"/>
        </w:rPr>
        <w:t>当按附录</w:t>
      </w:r>
      <w:r>
        <w:rPr>
          <w:rFonts w:hint="eastAsia"/>
          <w:kern w:val="0"/>
          <w:sz w:val="24"/>
        </w:rPr>
        <w:t>D</w:t>
      </w:r>
      <w:r>
        <w:rPr>
          <w:kern w:val="0"/>
          <w:sz w:val="24"/>
        </w:rPr>
        <w:t>计算归一化偏差</w:t>
      </w:r>
      <w:r>
        <w:rPr>
          <w:i/>
          <w:kern w:val="0"/>
          <w:sz w:val="24"/>
        </w:rPr>
        <w:t>E</w:t>
      </w:r>
      <w:r>
        <w:rPr>
          <w:kern w:val="0"/>
          <w:sz w:val="24"/>
          <w:vertAlign w:val="subscript"/>
        </w:rPr>
        <w:t>n</w:t>
      </w:r>
      <w:r>
        <w:rPr>
          <w:kern w:val="0"/>
          <w:sz w:val="24"/>
        </w:rPr>
        <w:t>值后，如果某实验室</w:t>
      </w:r>
      <w:r>
        <w:rPr>
          <w:i/>
          <w:kern w:val="0"/>
          <w:sz w:val="24"/>
        </w:rPr>
        <w:t>E</w:t>
      </w:r>
      <w:r>
        <w:rPr>
          <w:kern w:val="0"/>
          <w:sz w:val="24"/>
          <w:vertAlign w:val="subscript"/>
        </w:rPr>
        <w:t>n</w:t>
      </w:r>
      <w:r>
        <w:rPr>
          <w:kern w:val="0"/>
          <w:sz w:val="24"/>
        </w:rPr>
        <w:t>值</w:t>
      </w:r>
      <w:r>
        <w:rPr>
          <w:rFonts w:hint="eastAsia"/>
          <w:kern w:val="0"/>
          <w:sz w:val="24"/>
        </w:rPr>
        <w:t>过</w:t>
      </w:r>
      <w:r>
        <w:rPr>
          <w:kern w:val="0"/>
          <w:sz w:val="24"/>
        </w:rPr>
        <w:t>大时，建议降低该实验室量值对参考值贡献的权重</w:t>
      </w:r>
      <w:r>
        <w:rPr>
          <w:color w:val="999999"/>
          <w:kern w:val="0"/>
          <w:sz w:val="24"/>
        </w:rPr>
        <w:t>。</w:t>
      </w:r>
    </w:p>
    <w:p>
      <w:pPr>
        <w:snapToGrid w:val="0"/>
        <w:spacing w:line="360" w:lineRule="auto"/>
        <w:rPr>
          <w:rFonts w:eastAsia="宋体-18030"/>
          <w:sz w:val="24"/>
        </w:rPr>
      </w:pPr>
      <w:r>
        <w:rPr>
          <w:rFonts w:hint="eastAsia" w:eastAsia="宋体-18030"/>
          <w:sz w:val="24"/>
        </w:rPr>
        <w:t>C</w:t>
      </w:r>
      <w:r>
        <w:rPr>
          <w:rFonts w:eastAsia="宋体-18030"/>
          <w:sz w:val="24"/>
        </w:rPr>
        <w:t>.3.</w:t>
      </w:r>
      <w:r>
        <w:rPr>
          <w:rFonts w:hint="eastAsia" w:eastAsia="宋体-18030"/>
          <w:sz w:val="24"/>
        </w:rPr>
        <w:t>5</w:t>
      </w:r>
      <w:r>
        <w:rPr>
          <w:rFonts w:eastAsia="宋体-18030"/>
          <w:sz w:val="24"/>
        </w:rPr>
        <w:t>影响参考值的合理性与可靠性的诸因素通常是相互关联的，需要全面考虑。改变</w:t>
      </w:r>
      <w:r>
        <w:rPr>
          <w:kern w:val="0"/>
          <w:sz w:val="24"/>
        </w:rPr>
        <w:t>实验室对参考值贡献的权重后，需要重新计算比对结果、</w:t>
      </w:r>
      <w:r>
        <w:rPr>
          <w:i/>
          <w:kern w:val="0"/>
          <w:sz w:val="24"/>
        </w:rPr>
        <w:t>E</w:t>
      </w:r>
      <w:r>
        <w:rPr>
          <w:kern w:val="0"/>
          <w:sz w:val="24"/>
          <w:vertAlign w:val="subscript"/>
        </w:rPr>
        <w:t>n</w:t>
      </w:r>
      <w:r>
        <w:rPr>
          <w:kern w:val="0"/>
          <w:sz w:val="24"/>
        </w:rPr>
        <w:t>等评价参数，重新考虑对参考值有贡献的</w:t>
      </w:r>
      <w:r>
        <w:rPr>
          <w:sz w:val="24"/>
        </w:rPr>
        <w:t>实验室量值的有效性</w:t>
      </w:r>
      <w:r>
        <w:rPr>
          <w:kern w:val="0"/>
          <w:sz w:val="24"/>
        </w:rPr>
        <w:t>，并在比对总结报告中说明调整过程</w:t>
      </w:r>
      <w:r>
        <w:rPr>
          <w:rFonts w:eastAsia="宋体-18030"/>
          <w:sz w:val="24"/>
        </w:rPr>
        <w:t>。</w:t>
      </w:r>
    </w:p>
    <w:p>
      <w:pPr>
        <w:widowControl/>
        <w:jc w:val="left"/>
        <w:rPr>
          <w:rFonts w:eastAsia="黑体"/>
          <w:b/>
          <w:color w:val="000000"/>
          <w:kern w:val="44"/>
          <w:sz w:val="24"/>
          <w:szCs w:val="24"/>
        </w:rPr>
      </w:pPr>
      <w:r>
        <w:rPr>
          <w:color w:val="000000"/>
          <w:szCs w:val="24"/>
        </w:rPr>
        <w:br w:type="page"/>
      </w:r>
    </w:p>
    <w:p>
      <w:pPr>
        <w:pStyle w:val="2"/>
        <w:keepNext w:val="0"/>
        <w:keepLines w:val="0"/>
        <w:pageBreakBefore/>
        <w:rPr>
          <w:color w:val="FFFFFF"/>
          <w:sz w:val="28"/>
        </w:rPr>
      </w:pPr>
      <w:bookmarkStart w:id="95" w:name="_Toc239495263"/>
      <w:bookmarkStart w:id="96" w:name="_Toc137854336"/>
      <w:r>
        <w:rPr>
          <w:sz w:val="28"/>
        </w:rPr>
        <w:t>附录</w:t>
      </w:r>
      <w:r>
        <w:rPr>
          <w:rFonts w:hint="eastAsia"/>
          <w:sz w:val="28"/>
        </w:rPr>
        <w:t xml:space="preserve">D  </w:t>
      </w:r>
      <w:r>
        <w:rPr>
          <w:color w:val="FFFFFF"/>
          <w:sz w:val="28"/>
        </w:rPr>
        <w:t>比对结果的评价与分析</w:t>
      </w:r>
      <w:bookmarkEnd w:id="95"/>
      <w:bookmarkEnd w:id="96"/>
    </w:p>
    <w:p/>
    <w:p>
      <w:pPr>
        <w:snapToGrid w:val="0"/>
        <w:spacing w:line="360" w:lineRule="auto"/>
        <w:jc w:val="center"/>
        <w:rPr>
          <w:color w:val="000000"/>
          <w:sz w:val="32"/>
          <w:szCs w:val="32"/>
        </w:rPr>
      </w:pPr>
      <w:r>
        <w:rPr>
          <w:rFonts w:hint="eastAsia"/>
          <w:color w:val="000000"/>
          <w:sz w:val="32"/>
          <w:szCs w:val="32"/>
        </w:rPr>
        <w:t>比对结果的评价与分析</w:t>
      </w:r>
    </w:p>
    <w:p>
      <w:pPr>
        <w:snapToGrid w:val="0"/>
        <w:spacing w:line="360" w:lineRule="auto"/>
        <w:jc w:val="center"/>
        <w:rPr>
          <w:color w:val="000000"/>
          <w:sz w:val="32"/>
          <w:szCs w:val="32"/>
        </w:rPr>
      </w:pPr>
    </w:p>
    <w:p>
      <w:pPr>
        <w:pStyle w:val="3"/>
        <w:spacing w:before="0" w:after="93" w:afterLines="30" w:line="360" w:lineRule="auto"/>
        <w:rPr>
          <w:rFonts w:ascii="Times New Roman" w:hAnsi="Times New Roman" w:eastAsia="宋体-18030"/>
          <w:b w:val="0"/>
          <w:sz w:val="24"/>
        </w:rPr>
      </w:pPr>
      <w:bookmarkStart w:id="97" w:name="_Toc239495264"/>
      <w:bookmarkStart w:id="98" w:name="_Toc137854337"/>
      <w:r>
        <w:rPr>
          <w:rFonts w:hint="eastAsia" w:ascii="Times New Roman" w:hAnsi="Times New Roman" w:eastAsia="宋体-18030"/>
          <w:b w:val="0"/>
          <w:sz w:val="24"/>
        </w:rPr>
        <w:t>D</w:t>
      </w:r>
      <w:r>
        <w:rPr>
          <w:rFonts w:ascii="Times New Roman" w:hAnsi="Times New Roman" w:eastAsia="宋体-18030"/>
          <w:b w:val="0"/>
          <w:sz w:val="24"/>
        </w:rPr>
        <w:t>.1 比对结果、评价方法及依据</w:t>
      </w:r>
      <w:bookmarkEnd w:id="97"/>
      <w:bookmarkEnd w:id="98"/>
    </w:p>
    <w:p>
      <w:pPr>
        <w:pStyle w:val="7"/>
        <w:snapToGrid w:val="0"/>
        <w:spacing w:line="360" w:lineRule="auto"/>
        <w:ind w:firstLine="420"/>
        <w:rPr>
          <w:sz w:val="24"/>
        </w:rPr>
      </w:pPr>
      <w:r>
        <w:rPr>
          <w:sz w:val="24"/>
        </w:rPr>
        <w:t>比对结果通常包括：</w:t>
      </w:r>
    </w:p>
    <w:p>
      <w:pPr>
        <w:pStyle w:val="7"/>
        <w:snapToGrid w:val="0"/>
        <w:spacing w:line="360" w:lineRule="auto"/>
        <w:ind w:firstLine="420"/>
        <w:rPr>
          <w:sz w:val="24"/>
        </w:rPr>
      </w:pPr>
      <w:r>
        <w:rPr>
          <w:sz w:val="24"/>
        </w:rPr>
        <w:t>a) 比对参考值及其不确定度；</w:t>
      </w:r>
    </w:p>
    <w:p>
      <w:pPr>
        <w:pStyle w:val="7"/>
        <w:snapToGrid w:val="0"/>
        <w:spacing w:line="360" w:lineRule="auto"/>
        <w:ind w:firstLine="420"/>
        <w:rPr>
          <w:sz w:val="24"/>
        </w:rPr>
      </w:pPr>
      <w:r>
        <w:rPr>
          <w:sz w:val="24"/>
        </w:rPr>
        <w:t xml:space="preserve">b) </w:t>
      </w:r>
      <w:r>
        <w:rPr>
          <w:rFonts w:hint="eastAsia"/>
          <w:sz w:val="24"/>
        </w:rPr>
        <w:t>各</w:t>
      </w:r>
      <w:r>
        <w:rPr>
          <w:sz w:val="24"/>
        </w:rPr>
        <w:t>参比实验室的测量结果的等效度及其不确定度；</w:t>
      </w:r>
    </w:p>
    <w:p>
      <w:pPr>
        <w:pStyle w:val="7"/>
        <w:snapToGrid w:val="0"/>
        <w:spacing w:line="360" w:lineRule="auto"/>
        <w:ind w:firstLine="420"/>
        <w:rPr>
          <w:sz w:val="24"/>
        </w:rPr>
      </w:pPr>
      <w:r>
        <w:rPr>
          <w:sz w:val="24"/>
        </w:rPr>
        <w:t>c) 等效度与其不确定度的</w:t>
      </w:r>
      <w:r>
        <w:rPr>
          <w:rFonts w:hint="eastAsia"/>
          <w:sz w:val="24"/>
        </w:rPr>
        <w:t>相容</w:t>
      </w:r>
      <w:r>
        <w:rPr>
          <w:sz w:val="24"/>
        </w:rPr>
        <w:t>性的评价参数</w:t>
      </w:r>
      <w:r>
        <w:rPr>
          <w:rFonts w:hint="eastAsia"/>
          <w:sz w:val="24"/>
        </w:rPr>
        <w:t>，</w:t>
      </w:r>
      <w:r>
        <w:rPr>
          <w:sz w:val="24"/>
        </w:rPr>
        <w:t>如归一化偏差</w:t>
      </w:r>
      <w:r>
        <w:rPr>
          <w:i/>
          <w:sz w:val="24"/>
        </w:rPr>
        <w:t>E</w:t>
      </w:r>
      <w:r>
        <w:rPr>
          <w:sz w:val="24"/>
          <w:vertAlign w:val="subscript"/>
        </w:rPr>
        <w:t>n</w:t>
      </w:r>
      <w:r>
        <w:rPr>
          <w:sz w:val="24"/>
        </w:rPr>
        <w:t>或</w:t>
      </w:r>
      <w:r>
        <w:rPr>
          <w:i/>
          <w:sz w:val="24"/>
        </w:rPr>
        <w:t>Z</w:t>
      </w:r>
      <w:r>
        <w:rPr>
          <w:sz w:val="24"/>
        </w:rPr>
        <w:t>比分数。</w:t>
      </w:r>
    </w:p>
    <w:p>
      <w:pPr>
        <w:pStyle w:val="7"/>
        <w:snapToGrid w:val="0"/>
        <w:spacing w:line="360" w:lineRule="auto"/>
        <w:ind w:firstLine="420"/>
        <w:rPr>
          <w:sz w:val="24"/>
        </w:rPr>
      </w:pPr>
      <w:r>
        <w:rPr>
          <w:sz w:val="24"/>
        </w:rPr>
        <w:t>对比对结果的评价</w:t>
      </w:r>
      <w:r>
        <w:rPr>
          <w:rFonts w:hint="eastAsia"/>
          <w:sz w:val="24"/>
        </w:rPr>
        <w:t>、分析</w:t>
      </w:r>
      <w:r>
        <w:rPr>
          <w:sz w:val="24"/>
        </w:rPr>
        <w:t>及其依据取决于比对的目的，应由主导实验室提出，征求参比实验室意见后，体现在比对实施方案中。</w:t>
      </w:r>
    </w:p>
    <w:p>
      <w:pPr>
        <w:pStyle w:val="3"/>
        <w:spacing w:before="0" w:after="93" w:afterLines="30" w:line="360" w:lineRule="auto"/>
        <w:rPr>
          <w:rFonts w:ascii="Times New Roman" w:hAnsi="Times New Roman" w:eastAsia="宋体-18030"/>
          <w:b w:val="0"/>
          <w:sz w:val="24"/>
        </w:rPr>
      </w:pPr>
      <w:bookmarkStart w:id="99" w:name="_Toc137854338"/>
      <w:bookmarkStart w:id="100" w:name="_Toc116893431"/>
      <w:bookmarkStart w:id="101" w:name="_Toc239495265"/>
      <w:r>
        <w:rPr>
          <w:rFonts w:hint="eastAsia" w:ascii="Times New Roman" w:hAnsi="Times New Roman" w:eastAsia="宋体-18030"/>
          <w:b w:val="0"/>
          <w:sz w:val="24"/>
        </w:rPr>
        <w:t>D</w:t>
      </w:r>
      <w:r>
        <w:rPr>
          <w:rFonts w:ascii="Times New Roman" w:hAnsi="Times New Roman" w:eastAsia="宋体-18030"/>
          <w:b w:val="0"/>
          <w:sz w:val="24"/>
        </w:rPr>
        <w:t xml:space="preserve">.2 </w:t>
      </w:r>
      <w:r>
        <w:rPr>
          <w:rFonts w:hint="eastAsia" w:ascii="Times New Roman" w:hAnsi="Times New Roman" w:eastAsia="宋体-18030"/>
          <w:b w:val="0"/>
          <w:sz w:val="24"/>
        </w:rPr>
        <w:t>参比实验室的等效度及其不确定度</w:t>
      </w:r>
      <w:bookmarkEnd w:id="99"/>
    </w:p>
    <w:p>
      <w:pPr>
        <w:spacing w:line="360" w:lineRule="auto"/>
        <w:ind w:firstLine="480" w:firstLineChars="200"/>
        <w:rPr>
          <w:rFonts w:ascii="宋体" w:hAnsi="宋体"/>
          <w:color w:val="000000"/>
          <w:sz w:val="24"/>
          <w:szCs w:val="24"/>
        </w:rPr>
      </w:pPr>
      <w:r>
        <w:rPr>
          <w:rFonts w:hint="eastAsia" w:ascii="宋体" w:hAnsi="宋体"/>
          <w:color w:val="000000"/>
          <w:sz w:val="24"/>
          <w:szCs w:val="24"/>
        </w:rPr>
        <w:t>各参比实验室的等效度为该实验室比对测量结果与比对参考值的差值，如式（</w:t>
      </w:r>
      <w:r>
        <w:rPr>
          <w:rFonts w:hint="eastAsia"/>
          <w:color w:val="000000"/>
          <w:sz w:val="24"/>
          <w:szCs w:val="24"/>
        </w:rPr>
        <w:t>D</w:t>
      </w:r>
      <w:r>
        <w:rPr>
          <w:color w:val="000000"/>
          <w:sz w:val="24"/>
          <w:szCs w:val="24"/>
        </w:rPr>
        <w:t>.1</w:t>
      </w:r>
      <w:r>
        <w:rPr>
          <w:rFonts w:hint="eastAsia" w:ascii="宋体" w:hAnsi="宋体"/>
          <w:color w:val="000000"/>
          <w:sz w:val="24"/>
          <w:szCs w:val="24"/>
        </w:rPr>
        <w:t>）所示：</w:t>
      </w:r>
    </w:p>
    <w:p>
      <w:pPr>
        <w:spacing w:line="360" w:lineRule="auto"/>
        <w:ind w:firstLine="3840" w:firstLineChars="1600"/>
        <w:rPr>
          <w:color w:val="000000"/>
          <w:sz w:val="24"/>
          <w:szCs w:val="24"/>
        </w:rPr>
      </w:pPr>
      <w:bookmarkStart w:id="102" w:name="_Hlk137930692"/>
      <w:bookmarkStart w:id="103" w:name="_Hlk137930490"/>
      <m:oMathPara>
        <m:oMath>
          <m:sSub>
            <m:sSubPr>
              <m:ctrlPr>
                <w:rPr>
                  <w:rFonts w:ascii="Cambria Math" w:hAnsi="Cambria Math"/>
                  <w:i/>
                  <w:color w:val="000000"/>
                  <w:sz w:val="24"/>
                  <w:szCs w:val="24"/>
                </w:rPr>
              </m:ctrlPr>
            </m:sSubPr>
            <m:e>
              <m:r>
                <m:rPr/>
                <w:rPr>
                  <w:rFonts w:hint="eastAsia" w:ascii="Cambria Math" w:hAnsi="Cambria Math"/>
                  <w:color w:val="000000"/>
                  <w:sz w:val="24"/>
                  <w:szCs w:val="24"/>
                </w:rPr>
                <m:t>d</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r>
            <m:rPr/>
            <w:rPr>
              <w:rFonts w:ascii="Cambria Math" w:hAnsi="Cambria Math"/>
              <w:color w:val="000000"/>
              <w:sz w:val="24"/>
              <w:szCs w:val="24"/>
            </w:rPr>
            <m:t>=</m:t>
          </m:r>
          <m:sSub>
            <m:sSubPr>
              <m:ctrlPr>
                <w:rPr>
                  <w:rFonts w:ascii="Cambria Math" w:hAnsi="Cambria Math"/>
                  <w:i/>
                  <w:color w:val="000000"/>
                </w:rPr>
              </m:ctrlPr>
            </m:sSubPr>
            <m:e>
              <m:r>
                <m:rPr/>
                <w:rPr>
                  <w:rFonts w:hint="eastAsia" w:ascii="Cambria Math" w:hAnsi="Cambria Math"/>
                  <w:color w:val="000000"/>
                </w:rPr>
                <m:t>y</m:t>
              </m:r>
              <m:ctrlPr>
                <w:rPr>
                  <w:rFonts w:ascii="Cambria Math" w:hAnsi="Cambria Math"/>
                  <w:i/>
                  <w:color w:val="000000"/>
                </w:rPr>
              </m:ctrlPr>
            </m:e>
            <m:sub>
              <m:r>
                <m:rPr/>
                <w:rPr>
                  <w:rFonts w:ascii="Cambria Math" w:hAnsi="Cambria Math"/>
                  <w:color w:val="000000"/>
                </w:rPr>
                <m:t>i</m:t>
              </m:r>
              <m:ctrlPr>
                <w:rPr>
                  <w:rFonts w:ascii="Cambria Math" w:hAnsi="Cambria Math"/>
                  <w:i/>
                  <w:color w:val="000000"/>
                </w:rPr>
              </m:ctrlPr>
            </m:sub>
          </m:sSub>
          <m:r>
            <m:rPr/>
            <w:rPr>
              <w:rFonts w:ascii="Cambria Math" w:hAnsi="Cambria Math"/>
              <w:color w:val="000000"/>
            </w:rPr>
            <m:t>−</m:t>
          </m:r>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r>
                <m:rPr/>
                <w:rPr>
                  <w:rFonts w:ascii="Cambria Math" w:hAnsi="Cambria Math"/>
                  <w:color w:val="000000"/>
                  <w:sz w:val="24"/>
                  <w:szCs w:val="24"/>
                </w:rPr>
                <m:t>R</m:t>
              </m:r>
              <m:ctrlPr>
                <w:rPr>
                  <w:rFonts w:ascii="Cambria Math" w:hAnsi="Cambria Math"/>
                  <w:i/>
                  <w:color w:val="000000"/>
                  <w:sz w:val="24"/>
                  <w:szCs w:val="24"/>
                </w:rPr>
              </m:ctrlPr>
              <w:bookmarkEnd w:id="102"/>
              <w:bookmarkEnd w:id="103"/>
            </m:sub>
          </m:sSub>
          <m:r>
            <m:rPr/>
            <w:rPr>
              <w:rFonts w:ascii="Cambria Math" w:hAnsi="Cambria Math"/>
              <w:color w:val="000000"/>
              <w:sz w:val="24"/>
              <w:szCs w:val="24"/>
            </w:rPr>
            <m:t xml:space="preserve">                                                    </m:t>
          </m:r>
          <m:r>
            <m:rPr>
              <m:sty m:val="p"/>
            </m:rPr>
            <w:rPr>
              <w:rFonts w:ascii="Cambria Math" w:hAnsi="Cambria Math"/>
              <w:color w:val="000000"/>
              <w:sz w:val="24"/>
              <w:szCs w:val="24"/>
            </w:rPr>
            <m:t>(</m:t>
          </m:r>
          <m:r>
            <m:rPr>
              <m:sty m:val="p"/>
            </m:rPr>
            <w:rPr>
              <w:rFonts w:hint="eastAsia" w:ascii="Cambria Math" w:hAnsi="Cambria Math"/>
              <w:color w:val="000000"/>
              <w:sz w:val="24"/>
              <w:szCs w:val="24"/>
            </w:rPr>
            <m:t>D</m:t>
          </m:r>
          <m:r>
            <m:rPr>
              <m:sty m:val="p"/>
            </m:rPr>
            <w:rPr>
              <w:rFonts w:ascii="Cambria Math" w:hAnsi="Cambria Math"/>
              <w:color w:val="000000"/>
              <w:sz w:val="24"/>
              <w:szCs w:val="24"/>
            </w:rPr>
            <m:t>.1)</m:t>
          </m:r>
        </m:oMath>
      </m:oMathPara>
    </w:p>
    <w:p>
      <w:pPr>
        <w:spacing w:line="360" w:lineRule="auto"/>
        <w:ind w:firstLine="720" w:firstLineChars="300"/>
        <w:rPr>
          <w:color w:val="000000"/>
          <w:szCs w:val="21"/>
        </w:rPr>
      </w:pPr>
      <w:r>
        <w:rPr>
          <w:rFonts w:hint="eastAsia" w:ascii="宋体" w:hAnsi="宋体"/>
          <w:color w:val="000000"/>
          <w:sz w:val="24"/>
          <w:szCs w:val="24"/>
        </w:rPr>
        <w:t>式中：</w:t>
      </w:r>
      <w:r>
        <w:rPr>
          <w:color w:val="000000"/>
          <w:sz w:val="24"/>
          <w:szCs w:val="24"/>
        </w:rPr>
        <w:t>——</w:t>
      </w:r>
      <w:r>
        <w:rPr>
          <w:rFonts w:hint="eastAsia" w:ascii="宋体" w:hAnsi="宋体"/>
          <w:color w:val="000000"/>
          <w:sz w:val="24"/>
          <w:szCs w:val="24"/>
        </w:rPr>
        <w:t>比对参考值。</w:t>
      </w:r>
    </w:p>
    <w:p>
      <w:pPr>
        <w:spacing w:line="360" w:lineRule="auto"/>
        <w:rPr>
          <w:color w:val="000000"/>
          <w:sz w:val="24"/>
          <w:szCs w:val="24"/>
        </w:rPr>
      </w:pPr>
      <w:r>
        <w:rPr>
          <w:rFonts w:hint="eastAsia"/>
          <w:color w:val="000000"/>
          <w:sz w:val="24"/>
          <w:szCs w:val="24"/>
        </w:rPr>
        <w:t>D</w:t>
      </w:r>
      <w:r>
        <w:rPr>
          <w:color w:val="000000"/>
          <w:sz w:val="24"/>
          <w:szCs w:val="24"/>
        </w:rPr>
        <w:t xml:space="preserve">.2.1 </w:t>
      </w:r>
      <w:r>
        <w:rPr>
          <w:rFonts w:hint="eastAsia" w:ascii="宋体" w:hAnsi="宋体"/>
          <w:color w:val="000000"/>
          <w:sz w:val="24"/>
          <w:szCs w:val="24"/>
        </w:rPr>
        <w:t>权威实验室量值算得参比实验室结果的等效度及不确定度</w:t>
      </w:r>
    </w:p>
    <w:p>
      <w:pPr>
        <w:spacing w:line="360" w:lineRule="auto"/>
        <w:ind w:firstLine="480" w:firstLineChars="200"/>
        <w:rPr>
          <w:sz w:val="24"/>
          <w:szCs w:val="24"/>
        </w:rPr>
      </w:pPr>
      <w:r>
        <w:rPr>
          <w:rFonts w:hint="eastAsia" w:ascii="宋体" w:hAnsi="宋体"/>
          <w:sz w:val="24"/>
          <w:szCs w:val="24"/>
        </w:rPr>
        <w:t>当以权威实验室的量值作为比对参考值</w:t>
      </w:r>
      <m:oMath>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r>
              <m:rPr/>
              <w:rPr>
                <w:rFonts w:ascii="Cambria Math" w:hAnsi="Cambria Math"/>
                <w:color w:val="000000"/>
                <w:sz w:val="24"/>
                <w:szCs w:val="24"/>
              </w:rPr>
              <m:t>R</m:t>
            </m:r>
            <m:ctrlPr>
              <w:rPr>
                <w:rFonts w:ascii="Cambria Math" w:hAnsi="Cambria Math"/>
                <w:i/>
                <w:color w:val="000000"/>
                <w:sz w:val="24"/>
                <w:szCs w:val="24"/>
              </w:rPr>
            </m:ctrlPr>
          </m:sub>
        </m:sSub>
      </m:oMath>
      <w:r>
        <w:rPr>
          <w:rFonts w:hint="eastAsia" w:ascii="宋体" w:hAnsi="宋体"/>
          <w:sz w:val="24"/>
          <w:szCs w:val="24"/>
        </w:rPr>
        <w:t>时，各参比实验室等效度计算公式如式（</w:t>
      </w:r>
      <w:r>
        <w:rPr>
          <w:rFonts w:hint="eastAsia"/>
          <w:sz w:val="24"/>
          <w:szCs w:val="24"/>
        </w:rPr>
        <w:t>D</w:t>
      </w:r>
      <w:r>
        <w:rPr>
          <w:sz w:val="24"/>
          <w:szCs w:val="24"/>
        </w:rPr>
        <w:t>.1</w:t>
      </w:r>
      <w:r>
        <w:rPr>
          <w:rFonts w:hint="eastAsia" w:ascii="宋体" w:hAnsi="宋体"/>
          <w:sz w:val="24"/>
          <w:szCs w:val="24"/>
        </w:rPr>
        <w:t>），</w:t>
      </w:r>
      <m:oMath>
        <m:sSub>
          <m:sSubPr>
            <m:ctrlPr>
              <w:rPr>
                <w:rFonts w:ascii="Cambria Math" w:hAnsi="Cambria Math"/>
                <w:i/>
                <w:color w:val="000000"/>
                <w:sz w:val="24"/>
                <w:szCs w:val="24"/>
              </w:rPr>
            </m:ctrlPr>
          </m:sSubPr>
          <m:e>
            <m:r>
              <m:rPr/>
              <w:rPr>
                <w:rFonts w:hint="eastAsia" w:ascii="Cambria Math" w:hAnsi="Cambria Math"/>
                <w:color w:val="000000"/>
                <w:sz w:val="24"/>
                <w:szCs w:val="24"/>
              </w:rPr>
              <m:t>d</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oMath>
      <w:r>
        <w:rPr>
          <w:rFonts w:hint="eastAsia" w:ascii="宋体" w:hAnsi="宋体"/>
          <w:color w:val="000000"/>
          <w:sz w:val="24"/>
          <w:szCs w:val="24"/>
        </w:rPr>
        <w:t>的不确定度可表示为：</w:t>
      </w:r>
    </w:p>
    <w:tbl>
      <w:tblPr>
        <w:tblStyle w:val="20"/>
        <w:tblW w:w="0" w:type="auto"/>
        <w:tblInd w:w="113" w:type="dxa"/>
        <w:tblBorders>
          <w:top w:val="none" w:color="auto" w:sz="0" w:space="0"/>
          <w:left w:val="none" w:color="auto" w:sz="0" w:space="0"/>
          <w:bottom w:val="none" w:color="auto" w:sz="0" w:space="0"/>
          <w:right w:val="none" w:color="auto" w:sz="0" w:space="0"/>
          <w:insideH w:val="single" w:color="auto" w:sz="4" w:space="0"/>
          <w:insideV w:val="none" w:color="auto" w:sz="0" w:space="0"/>
        </w:tblBorders>
        <w:tblLayout w:type="autofit"/>
        <w:tblCellMar>
          <w:top w:w="0" w:type="dxa"/>
          <w:left w:w="108" w:type="dxa"/>
          <w:bottom w:w="0" w:type="dxa"/>
          <w:right w:w="108" w:type="dxa"/>
        </w:tblCellMar>
      </w:tblPr>
      <w:tblGrid>
        <w:gridCol w:w="7763"/>
        <w:gridCol w:w="759"/>
      </w:tblGrid>
      <w:tr>
        <w:tblPrEx>
          <w:tblBorders>
            <w:top w:val="none" w:color="auto" w:sz="0" w:space="0"/>
            <w:left w:val="none" w:color="auto" w:sz="0" w:space="0"/>
            <w:bottom w:val="none" w:color="auto" w:sz="0" w:space="0"/>
            <w:right w:val="none" w:color="auto" w:sz="0" w:space="0"/>
            <w:insideH w:val="single" w:color="auto" w:sz="4" w:space="0"/>
            <w:insideV w:val="none" w:color="auto" w:sz="0" w:space="0"/>
          </w:tblBorders>
          <w:tblCellMar>
            <w:top w:w="0" w:type="dxa"/>
            <w:left w:w="108" w:type="dxa"/>
            <w:bottom w:w="0" w:type="dxa"/>
            <w:right w:w="108" w:type="dxa"/>
          </w:tblCellMar>
        </w:tblPrEx>
        <w:tc>
          <w:tcPr>
            <w:tcW w:w="7763" w:type="dxa"/>
            <w:tcBorders>
              <w:top w:val="nil"/>
              <w:left w:val="nil"/>
              <w:bottom w:val="nil"/>
              <w:right w:val="nil"/>
            </w:tcBorders>
            <w:vAlign w:val="center"/>
          </w:tcPr>
          <w:p>
            <w:pPr>
              <w:spacing w:line="360" w:lineRule="auto"/>
              <w:jc w:val="center"/>
              <w:rPr>
                <w:color w:val="000000"/>
                <w:sz w:val="24"/>
                <w:szCs w:val="24"/>
              </w:rPr>
            </w:pPr>
            <m:oMathPara>
              <m:oMath>
                <m:sSup>
                  <m:sSupPr>
                    <m:ctrlPr>
                      <w:rPr>
                        <w:rFonts w:ascii="Cambria Math" w:hAnsi="Cambria Math"/>
                        <w:i/>
                        <w:color w:val="000000"/>
                        <w:sz w:val="24"/>
                        <w:szCs w:val="24"/>
                      </w:rPr>
                    </m:ctrlPr>
                  </m:sSupPr>
                  <m:e>
                    <m:r>
                      <m:rPr/>
                      <w:rPr>
                        <w:rFonts w:hint="eastAsia" w:ascii="Cambria Math" w:hAnsi="Cambria Math"/>
                        <w:color w:val="000000"/>
                        <w:sz w:val="24"/>
                        <w:szCs w:val="24"/>
                      </w:rPr>
                      <m:t>u</m:t>
                    </m:r>
                    <m:ctrlPr>
                      <w:rPr>
                        <w:rFonts w:ascii="Cambria Math" w:hAnsi="Cambria Math"/>
                        <w:i/>
                        <w:color w:val="000000"/>
                        <w:sz w:val="24"/>
                        <w:szCs w:val="24"/>
                      </w:rPr>
                    </m:ctrlPr>
                  </m:e>
                  <m:sup>
                    <m:r>
                      <m:rPr/>
                      <w:rPr>
                        <w:rFonts w:ascii="Cambria Math" w:hAnsi="Cambria Math"/>
                        <w:color w:val="000000"/>
                        <w:sz w:val="24"/>
                        <w:szCs w:val="24"/>
                      </w:rPr>
                      <m:t>2</m:t>
                    </m:r>
                    <m:ctrlPr>
                      <w:rPr>
                        <w:rFonts w:ascii="Cambria Math" w:hAnsi="Cambria Math"/>
                        <w:i/>
                        <w:color w:val="000000"/>
                        <w:sz w:val="24"/>
                        <w:szCs w:val="24"/>
                      </w:rPr>
                    </m:ctrlPr>
                  </m:sup>
                </m:sSup>
                <m:d>
                  <m:dPr>
                    <m:ctrlPr>
                      <w:rPr>
                        <w:rFonts w:ascii="Cambria Math" w:hAnsi="Cambria Math"/>
                        <w:i/>
                        <w:color w:val="000000"/>
                        <w:sz w:val="24"/>
                        <w:szCs w:val="24"/>
                      </w:rPr>
                    </m:ctrlPr>
                  </m:dPr>
                  <m:e>
                    <m:sSub>
                      <m:sSubPr>
                        <m:ctrlPr>
                          <w:rPr>
                            <w:rFonts w:ascii="Cambria Math" w:hAnsi="Cambria Math"/>
                            <w:i/>
                            <w:color w:val="000000"/>
                            <w:sz w:val="24"/>
                            <w:szCs w:val="24"/>
                          </w:rPr>
                        </m:ctrlPr>
                      </m:sSubPr>
                      <m:e>
                        <m:r>
                          <m:rPr/>
                          <w:rPr>
                            <w:rFonts w:hint="eastAsia" w:ascii="Cambria Math" w:hAnsi="Cambria Math"/>
                            <w:color w:val="000000"/>
                            <w:sz w:val="24"/>
                            <w:szCs w:val="24"/>
                          </w:rPr>
                          <m:t>d</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ctrlPr>
                      <w:rPr>
                        <w:rFonts w:ascii="Cambria Math" w:hAnsi="Cambria Math"/>
                        <w:i/>
                        <w:color w:val="000000"/>
                        <w:sz w:val="24"/>
                        <w:szCs w:val="24"/>
                      </w:rPr>
                    </m:ctrlPr>
                  </m:e>
                </m:d>
                <m:r>
                  <m:rPr/>
                  <w:rPr>
                    <w:rFonts w:ascii="Cambria Math" w:hAnsi="Cambria Math"/>
                    <w:color w:val="000000"/>
                    <w:sz w:val="24"/>
                    <w:szCs w:val="24"/>
                  </w:rPr>
                  <m:t>=</m:t>
                </m:r>
                <m:sSup>
                  <m:sSupPr>
                    <m:ctrlPr>
                      <w:rPr>
                        <w:rFonts w:ascii="Cambria Math" w:hAnsi="Cambria Math"/>
                        <w:i/>
                        <w:color w:val="000000"/>
                        <w:sz w:val="24"/>
                        <w:szCs w:val="24"/>
                      </w:rPr>
                    </m:ctrlPr>
                  </m:sSupPr>
                  <m:e>
                    <m:r>
                      <m:rPr/>
                      <w:rPr>
                        <w:rFonts w:hint="eastAsia" w:ascii="Cambria Math" w:hAnsi="Cambria Math"/>
                        <w:color w:val="000000"/>
                        <w:sz w:val="24"/>
                        <w:szCs w:val="24"/>
                      </w:rPr>
                      <m:t>u</m:t>
                    </m:r>
                    <m:ctrlPr>
                      <w:rPr>
                        <w:rFonts w:ascii="Cambria Math" w:hAnsi="Cambria Math"/>
                        <w:i/>
                        <w:color w:val="000000"/>
                        <w:sz w:val="24"/>
                        <w:szCs w:val="24"/>
                      </w:rPr>
                    </m:ctrlPr>
                  </m:e>
                  <m:sup>
                    <m:r>
                      <m:rPr/>
                      <w:rPr>
                        <w:rFonts w:ascii="Cambria Math" w:hAnsi="Cambria Math"/>
                        <w:color w:val="000000"/>
                        <w:sz w:val="24"/>
                        <w:szCs w:val="24"/>
                      </w:rPr>
                      <m:t>2</m:t>
                    </m:r>
                    <m:ctrlPr>
                      <w:rPr>
                        <w:rFonts w:ascii="Cambria Math" w:hAnsi="Cambria Math"/>
                        <w:i/>
                        <w:color w:val="000000"/>
                        <w:sz w:val="24"/>
                        <w:szCs w:val="24"/>
                      </w:rPr>
                    </m:ctrlPr>
                  </m:sup>
                </m:sSup>
                <m:d>
                  <m:dPr>
                    <m:ctrlPr>
                      <w:rPr>
                        <w:rFonts w:ascii="Cambria Math" w:hAnsi="Cambria Math"/>
                        <w:i/>
                        <w:color w:val="000000"/>
                        <w:sz w:val="24"/>
                        <w:szCs w:val="24"/>
                      </w:rPr>
                    </m:ctrlPr>
                  </m:dPr>
                  <m:e>
                    <m:sSub>
                      <m:sSubPr>
                        <m:ctrlPr>
                          <w:rPr>
                            <w:rFonts w:ascii="Cambria Math" w:hAnsi="Cambria Math"/>
                            <w:i/>
                            <w:color w:val="000000"/>
                          </w:rPr>
                        </m:ctrlPr>
                      </m:sSubPr>
                      <m:e>
                        <m:r>
                          <m:rPr/>
                          <w:rPr>
                            <w:rFonts w:hint="eastAsia" w:ascii="Cambria Math" w:hAnsi="Cambria Math"/>
                            <w:color w:val="000000"/>
                          </w:rPr>
                          <m:t>y</m:t>
                        </m:r>
                        <m:ctrlPr>
                          <w:rPr>
                            <w:rFonts w:ascii="Cambria Math" w:hAnsi="Cambria Math"/>
                            <w:i/>
                            <w:color w:val="000000"/>
                          </w:rPr>
                        </m:ctrlPr>
                      </m:e>
                      <m:sub>
                        <m:r>
                          <m:rPr/>
                          <w:rPr>
                            <w:rFonts w:ascii="Cambria Math" w:hAnsi="Cambria Math"/>
                            <w:color w:val="000000"/>
                          </w:rPr>
                          <m:t>i</m:t>
                        </m:r>
                        <m:ctrlPr>
                          <w:rPr>
                            <w:rFonts w:ascii="Cambria Math" w:hAnsi="Cambria Math"/>
                            <w:i/>
                            <w:color w:val="000000"/>
                          </w:rPr>
                        </m:ctrlPr>
                      </m:sub>
                    </m:sSub>
                    <m:ctrlPr>
                      <w:rPr>
                        <w:rFonts w:ascii="Cambria Math" w:hAnsi="Cambria Math"/>
                        <w:i/>
                        <w:color w:val="000000"/>
                        <w:sz w:val="24"/>
                        <w:szCs w:val="24"/>
                      </w:rPr>
                    </m:ctrlPr>
                  </m:e>
                </m:d>
                <m:r>
                  <m:rPr/>
                  <w:rPr>
                    <w:rFonts w:ascii="Cambria Math" w:hAnsi="Cambria Math"/>
                    <w:color w:val="000000"/>
                    <w:sz w:val="24"/>
                    <w:szCs w:val="24"/>
                  </w:rPr>
                  <m:t>+</m:t>
                </m:r>
                <m:sSup>
                  <m:sSupPr>
                    <m:ctrlPr>
                      <w:rPr>
                        <w:rFonts w:ascii="Cambria Math" w:hAnsi="Cambria Math"/>
                        <w:i/>
                        <w:color w:val="000000"/>
                        <w:sz w:val="24"/>
                        <w:szCs w:val="24"/>
                      </w:rPr>
                    </m:ctrlPr>
                  </m:sSupPr>
                  <m:e>
                    <m:r>
                      <m:rPr/>
                      <w:rPr>
                        <w:rFonts w:hint="eastAsia" w:ascii="Cambria Math" w:hAnsi="Cambria Math"/>
                        <w:color w:val="000000"/>
                        <w:sz w:val="24"/>
                        <w:szCs w:val="24"/>
                      </w:rPr>
                      <m:t>u</m:t>
                    </m:r>
                    <m:ctrlPr>
                      <w:rPr>
                        <w:rFonts w:ascii="Cambria Math" w:hAnsi="Cambria Math"/>
                        <w:i/>
                        <w:color w:val="000000"/>
                        <w:sz w:val="24"/>
                        <w:szCs w:val="24"/>
                      </w:rPr>
                    </m:ctrlPr>
                  </m:e>
                  <m:sup>
                    <m:r>
                      <m:rPr/>
                      <w:rPr>
                        <w:rFonts w:ascii="Cambria Math" w:hAnsi="Cambria Math"/>
                        <w:color w:val="000000"/>
                        <w:sz w:val="24"/>
                        <w:szCs w:val="24"/>
                      </w:rPr>
                      <m:t>2</m:t>
                    </m:r>
                    <m:ctrlPr>
                      <w:rPr>
                        <w:rFonts w:ascii="Cambria Math" w:hAnsi="Cambria Math"/>
                        <w:i/>
                        <w:color w:val="000000"/>
                        <w:sz w:val="24"/>
                        <w:szCs w:val="24"/>
                      </w:rPr>
                    </m:ctrlPr>
                  </m:sup>
                </m:sSup>
                <m:d>
                  <m:dPr>
                    <m:ctrlPr>
                      <w:rPr>
                        <w:rFonts w:ascii="Cambria Math" w:hAnsi="Cambria Math"/>
                        <w:i/>
                        <w:color w:val="000000"/>
                        <w:sz w:val="24"/>
                        <w:szCs w:val="24"/>
                      </w:rPr>
                    </m:ctrlPr>
                  </m:dPr>
                  <m:e>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r>
                          <m:rPr/>
                          <w:rPr>
                            <w:rFonts w:ascii="Cambria Math" w:hAnsi="Cambria Math"/>
                            <w:color w:val="000000"/>
                            <w:sz w:val="24"/>
                            <w:szCs w:val="24"/>
                          </w:rPr>
                          <m:t>R</m:t>
                        </m:r>
                        <m:ctrlPr>
                          <w:rPr>
                            <w:rFonts w:ascii="Cambria Math" w:hAnsi="Cambria Math"/>
                            <w:i/>
                            <w:color w:val="000000"/>
                            <w:sz w:val="24"/>
                            <w:szCs w:val="24"/>
                          </w:rPr>
                        </m:ctrlPr>
                      </m:sub>
                    </m:sSub>
                    <m:ctrlPr>
                      <w:rPr>
                        <w:rFonts w:ascii="Cambria Math" w:hAnsi="Cambria Math"/>
                        <w:i/>
                        <w:color w:val="000000"/>
                        <w:sz w:val="24"/>
                        <w:szCs w:val="24"/>
                      </w:rPr>
                    </m:ctrlPr>
                  </m:e>
                </m:d>
              </m:oMath>
            </m:oMathPara>
          </w:p>
        </w:tc>
        <w:tc>
          <w:tcPr>
            <w:tcW w:w="759" w:type="dxa"/>
            <w:tcBorders>
              <w:top w:val="nil"/>
              <w:left w:val="nil"/>
              <w:bottom w:val="nil"/>
              <w:right w:val="nil"/>
            </w:tcBorders>
            <w:vAlign w:val="center"/>
          </w:tcPr>
          <w:p>
            <w:pPr>
              <w:spacing w:line="360" w:lineRule="auto"/>
              <w:jc w:val="center"/>
              <w:rPr>
                <w:color w:val="000000"/>
                <w:sz w:val="24"/>
                <w:szCs w:val="24"/>
              </w:rPr>
            </w:pPr>
            <w:bookmarkStart w:id="104" w:name="_Hlk137930360"/>
            <w:r>
              <w:rPr>
                <w:color w:val="000000"/>
                <w:sz w:val="24"/>
                <w:szCs w:val="24"/>
              </w:rPr>
              <w:t>(</w:t>
            </w:r>
            <w:r>
              <w:rPr>
                <w:rFonts w:hint="eastAsia"/>
                <w:color w:val="000000"/>
                <w:sz w:val="24"/>
                <w:szCs w:val="24"/>
              </w:rPr>
              <w:t>D</w:t>
            </w:r>
            <w:r>
              <w:rPr>
                <w:color w:val="000000"/>
                <w:sz w:val="24"/>
                <w:szCs w:val="24"/>
              </w:rPr>
              <w:t>.2)</w:t>
            </w:r>
            <w:bookmarkEnd w:id="104"/>
          </w:p>
        </w:tc>
      </w:tr>
    </w:tbl>
    <w:p>
      <w:pPr>
        <w:spacing w:line="360" w:lineRule="auto"/>
        <w:rPr>
          <w:rFonts w:hint="eastAsia"/>
          <w:color w:val="000000"/>
          <w:sz w:val="24"/>
          <w:szCs w:val="24"/>
        </w:rPr>
      </w:pPr>
    </w:p>
    <w:p>
      <w:pPr>
        <w:spacing w:line="360" w:lineRule="auto"/>
        <w:rPr>
          <w:color w:val="000000"/>
          <w:sz w:val="24"/>
          <w:szCs w:val="24"/>
        </w:rPr>
      </w:pPr>
      <w:r>
        <w:rPr>
          <w:rFonts w:hint="eastAsia"/>
          <w:color w:val="000000"/>
          <w:sz w:val="24"/>
          <w:szCs w:val="24"/>
        </w:rPr>
        <w:t>D</w:t>
      </w:r>
      <w:r>
        <w:rPr>
          <w:color w:val="000000"/>
          <w:sz w:val="24"/>
          <w:szCs w:val="24"/>
        </w:rPr>
        <w:t xml:space="preserve">.2.2 </w:t>
      </w:r>
      <w:r>
        <w:rPr>
          <w:rFonts w:hint="eastAsia"/>
          <w:color w:val="000000"/>
          <w:sz w:val="24"/>
          <w:szCs w:val="24"/>
        </w:rPr>
        <w:t>加权平均法算得参比实验室结果的等效度及不确定度</w:t>
      </w:r>
    </w:p>
    <w:p>
      <w:pPr>
        <w:spacing w:line="360" w:lineRule="auto"/>
        <w:ind w:firstLine="480" w:firstLineChars="200"/>
        <w:rPr>
          <w:color w:val="000000"/>
          <w:sz w:val="24"/>
          <w:szCs w:val="24"/>
        </w:rPr>
      </w:pPr>
      <w:r>
        <w:rPr>
          <w:rFonts w:hint="eastAsia"/>
          <w:color w:val="000000"/>
          <w:sz w:val="24"/>
          <w:szCs w:val="24"/>
        </w:rPr>
        <w:t>采用附录C的加权平均值</w:t>
      </w:r>
      <m:oMath>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r>
              <m:rPr/>
              <w:rPr>
                <w:rFonts w:ascii="Cambria Math" w:hAnsi="Cambria Math"/>
                <w:color w:val="000000"/>
                <w:sz w:val="24"/>
                <w:szCs w:val="24"/>
              </w:rPr>
              <m:t>w</m:t>
            </m:r>
            <m:ctrlPr>
              <w:rPr>
                <w:rFonts w:ascii="Cambria Math" w:hAnsi="Cambria Math"/>
                <w:i/>
                <w:color w:val="000000"/>
                <w:sz w:val="24"/>
                <w:szCs w:val="24"/>
              </w:rPr>
            </m:ctrlPr>
          </m:sub>
        </m:sSub>
      </m:oMath>
      <w:r>
        <w:rPr>
          <w:rFonts w:hint="eastAsia"/>
          <w:color w:val="000000"/>
          <w:sz w:val="24"/>
          <w:szCs w:val="24"/>
        </w:rPr>
        <w:t>（公式C</w:t>
      </w:r>
      <w:r>
        <w:rPr>
          <w:color w:val="000000"/>
          <w:sz w:val="24"/>
          <w:szCs w:val="24"/>
        </w:rPr>
        <w:t>.1</w:t>
      </w:r>
      <w:r>
        <w:rPr>
          <w:rFonts w:hint="eastAsia"/>
          <w:color w:val="000000"/>
          <w:sz w:val="24"/>
          <w:szCs w:val="24"/>
        </w:rPr>
        <w:t>）作为比对参考值</w:t>
      </w:r>
      <m:oMath>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r>
              <m:rPr/>
              <w:rPr>
                <w:rFonts w:hint="eastAsia" w:ascii="Cambria Math" w:hAnsi="Cambria Math"/>
                <w:color w:val="000000"/>
                <w:sz w:val="24"/>
                <w:szCs w:val="24"/>
              </w:rPr>
              <m:t>R</m:t>
            </m:r>
            <m:ctrlPr>
              <w:rPr>
                <w:rFonts w:ascii="Cambria Math" w:hAnsi="Cambria Math"/>
                <w:i/>
                <w:color w:val="000000"/>
                <w:sz w:val="24"/>
                <w:szCs w:val="24"/>
              </w:rPr>
            </m:ctrlPr>
          </m:sub>
        </m:sSub>
      </m:oMath>
      <w:r>
        <w:rPr>
          <w:rFonts w:hint="eastAsia"/>
          <w:color w:val="000000"/>
          <w:sz w:val="24"/>
          <w:szCs w:val="24"/>
        </w:rPr>
        <w:t>时，第</w:t>
      </w:r>
      <w:r>
        <w:rPr>
          <w:rFonts w:hint="eastAsia"/>
          <w:i/>
          <w:iCs/>
          <w:color w:val="000000"/>
          <w:sz w:val="24"/>
          <w:szCs w:val="24"/>
        </w:rPr>
        <w:t>i</w:t>
      </w:r>
      <w:r>
        <w:rPr>
          <w:rFonts w:hint="eastAsia"/>
          <w:color w:val="000000"/>
          <w:sz w:val="24"/>
          <w:szCs w:val="24"/>
        </w:rPr>
        <w:t>个参比实验室量值的等效度如式（D</w:t>
      </w:r>
      <w:r>
        <w:rPr>
          <w:color w:val="000000"/>
          <w:sz w:val="24"/>
          <w:szCs w:val="24"/>
        </w:rPr>
        <w:t>.3</w:t>
      </w:r>
      <w:r>
        <w:rPr>
          <w:rFonts w:hint="eastAsia"/>
          <w:color w:val="000000"/>
          <w:sz w:val="24"/>
          <w:szCs w:val="24"/>
        </w:rPr>
        <w:t>）所示：</w:t>
      </w:r>
    </w:p>
    <w:p>
      <w:pPr>
        <w:spacing w:line="360" w:lineRule="auto"/>
        <w:ind w:firstLine="3840" w:firstLineChars="1600"/>
        <w:rPr>
          <w:rFonts w:hint="eastAsia"/>
          <w:color w:val="000000"/>
          <w:sz w:val="24"/>
          <w:szCs w:val="24"/>
        </w:rPr>
      </w:pPr>
      <m:oMath>
        <m:sSub>
          <m:sSubPr>
            <m:ctrlPr>
              <w:rPr>
                <w:rFonts w:ascii="Cambria Math" w:hAnsi="Cambria Math"/>
                <w:i/>
                <w:color w:val="000000"/>
                <w:sz w:val="24"/>
                <w:szCs w:val="24"/>
              </w:rPr>
            </m:ctrlPr>
          </m:sSubPr>
          <m:e>
            <m:r>
              <m:rPr/>
              <w:rPr>
                <w:rFonts w:hint="eastAsia" w:ascii="Cambria Math" w:hAnsi="Cambria Math"/>
                <w:color w:val="000000"/>
                <w:sz w:val="24"/>
                <w:szCs w:val="24"/>
              </w:rPr>
              <m:t>d</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r>
          <m:rPr/>
          <w:rPr>
            <w:rFonts w:ascii="Cambria Math" w:hAnsi="Cambria Math"/>
            <w:color w:val="000000"/>
            <w:sz w:val="24"/>
            <w:szCs w:val="24"/>
          </w:rPr>
          <m:t>=</m:t>
        </m:r>
        <m:sSub>
          <m:sSubPr>
            <m:ctrlPr>
              <w:rPr>
                <w:rFonts w:ascii="Cambria Math" w:hAnsi="Cambria Math"/>
                <w:i/>
                <w:color w:val="000000"/>
              </w:rPr>
            </m:ctrlPr>
          </m:sSubPr>
          <m:e>
            <m:r>
              <m:rPr/>
              <w:rPr>
                <w:rFonts w:hint="eastAsia" w:ascii="Cambria Math" w:hAnsi="Cambria Math"/>
                <w:color w:val="000000"/>
              </w:rPr>
              <m:t>y</m:t>
            </m:r>
            <m:ctrlPr>
              <w:rPr>
                <w:rFonts w:ascii="Cambria Math" w:hAnsi="Cambria Math"/>
                <w:i/>
                <w:color w:val="000000"/>
              </w:rPr>
            </m:ctrlPr>
          </m:e>
          <m:sub>
            <m:r>
              <m:rPr/>
              <w:rPr>
                <w:rFonts w:ascii="Cambria Math" w:hAnsi="Cambria Math"/>
                <w:color w:val="000000"/>
              </w:rPr>
              <m:t>i</m:t>
            </m:r>
            <m:ctrlPr>
              <w:rPr>
                <w:rFonts w:ascii="Cambria Math" w:hAnsi="Cambria Math"/>
                <w:i/>
                <w:color w:val="000000"/>
              </w:rPr>
            </m:ctrlPr>
          </m:sub>
        </m:sSub>
        <m:r>
          <m:rPr/>
          <w:rPr>
            <w:rFonts w:ascii="Cambria Math" w:hAnsi="Cambria Math"/>
            <w:color w:val="000000"/>
          </w:rPr>
          <m:t>−</m:t>
        </m:r>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r>
              <m:rPr/>
              <w:rPr>
                <w:rFonts w:ascii="Cambria Math" w:hAnsi="Cambria Math"/>
                <w:color w:val="000000"/>
                <w:sz w:val="24"/>
                <w:szCs w:val="24"/>
              </w:rPr>
              <m:t>w</m:t>
            </m:r>
            <m:ctrlPr>
              <w:rPr>
                <w:rFonts w:ascii="Cambria Math" w:hAnsi="Cambria Math"/>
                <w:i/>
                <w:color w:val="000000"/>
                <w:sz w:val="24"/>
                <w:szCs w:val="24"/>
              </w:rPr>
            </m:ctrlPr>
          </m:sub>
        </m:sSub>
      </m:oMath>
      <w:r>
        <w:rPr>
          <w:rFonts w:hint="eastAsia"/>
          <w:color w:val="000000"/>
          <w:sz w:val="24"/>
          <w:szCs w:val="24"/>
        </w:rPr>
        <w:t xml:space="preserve"> </w:t>
      </w:r>
      <w:r>
        <w:rPr>
          <w:color w:val="000000"/>
          <w:sz w:val="24"/>
          <w:szCs w:val="24"/>
        </w:rPr>
        <w:t xml:space="preserve">              </w:t>
      </w:r>
      <w:bookmarkStart w:id="105" w:name="_Hlk137931455"/>
      <w:r>
        <w:rPr>
          <w:color w:val="000000"/>
          <w:sz w:val="24"/>
          <w:szCs w:val="24"/>
        </w:rPr>
        <w:t xml:space="preserve">        (</w:t>
      </w:r>
      <w:r>
        <w:rPr>
          <w:rFonts w:hint="eastAsia"/>
          <w:color w:val="000000"/>
          <w:sz w:val="24"/>
          <w:szCs w:val="24"/>
        </w:rPr>
        <w:t>D</w:t>
      </w:r>
      <w:r>
        <w:rPr>
          <w:color w:val="000000"/>
          <w:sz w:val="24"/>
          <w:szCs w:val="24"/>
        </w:rPr>
        <w:t>.3)</w:t>
      </w:r>
      <w:bookmarkEnd w:id="105"/>
    </w:p>
    <w:p>
      <w:pPr>
        <w:spacing w:line="360" w:lineRule="auto"/>
        <w:ind w:firstLine="480" w:firstLineChars="200"/>
        <w:rPr>
          <w:rStyle w:val="45"/>
          <w:color w:val="000000"/>
          <w:sz w:val="24"/>
          <w:szCs w:val="24"/>
        </w:rPr>
      </w:pPr>
      <w:r>
        <w:rPr>
          <w:rFonts w:hint="eastAsia"/>
          <w:color w:val="000000"/>
          <w:sz w:val="24"/>
          <w:szCs w:val="24"/>
        </w:rPr>
        <w:t>当第</w:t>
      </w:r>
      <w:r>
        <w:rPr>
          <w:rFonts w:hint="eastAsia"/>
          <w:i/>
          <w:iCs/>
          <w:color w:val="000000"/>
          <w:sz w:val="24"/>
          <w:szCs w:val="24"/>
        </w:rPr>
        <w:t>i</w:t>
      </w:r>
      <w:r>
        <w:rPr>
          <w:rFonts w:hint="eastAsia"/>
          <w:color w:val="000000"/>
          <w:sz w:val="24"/>
          <w:szCs w:val="24"/>
        </w:rPr>
        <w:t>个参比实验室量值参与参考值的计算时，</w:t>
      </w:r>
      <m:oMath>
        <m:sSub>
          <m:sSubPr>
            <m:ctrlPr>
              <w:rPr>
                <w:rFonts w:ascii="Cambria Math" w:hAnsi="Cambria Math"/>
                <w:i/>
                <w:color w:val="000000"/>
                <w:sz w:val="24"/>
                <w:szCs w:val="24"/>
              </w:rPr>
            </m:ctrlPr>
          </m:sSubPr>
          <m:e>
            <m:r>
              <m:rPr/>
              <w:rPr>
                <w:rFonts w:hint="eastAsia" w:ascii="Cambria Math" w:hAnsi="Cambria Math"/>
                <w:color w:val="000000"/>
                <w:sz w:val="24"/>
                <w:szCs w:val="24"/>
              </w:rPr>
              <m:t>d</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oMath>
      <w:r>
        <w:rPr>
          <w:rStyle w:val="45"/>
          <w:rFonts w:hint="eastAsia"/>
          <w:color w:val="000000"/>
          <w:sz w:val="24"/>
          <w:szCs w:val="24"/>
        </w:rPr>
        <w:t>的不确定度可表示为：</w:t>
      </w:r>
    </w:p>
    <w:p>
      <w:pPr>
        <w:spacing w:line="360" w:lineRule="auto"/>
        <w:ind w:firstLine="480" w:firstLineChars="200"/>
        <w:rPr>
          <w:rFonts w:hint="eastAsia"/>
          <w:color w:val="000000"/>
          <w:sz w:val="24"/>
          <w:szCs w:val="24"/>
        </w:rPr>
      </w:pPr>
      <w:r>
        <w:rPr>
          <w:rFonts w:hint="eastAsia"/>
          <w:color w:val="000000"/>
          <w:sz w:val="24"/>
          <w:szCs w:val="24"/>
        </w:rPr>
        <w:t xml:space="preserve"> </w:t>
      </w:r>
      <w:r>
        <w:rPr>
          <w:color w:val="000000"/>
          <w:sz w:val="24"/>
          <w:szCs w:val="24"/>
        </w:rPr>
        <w:t xml:space="preserve">                 </w:t>
      </w:r>
      <m:oMath>
        <m:sSup>
          <m:sSupPr>
            <m:ctrlPr>
              <w:rPr>
                <w:rFonts w:ascii="Cambria Math" w:hAnsi="Cambria Math"/>
                <w:i/>
                <w:color w:val="000000"/>
                <w:sz w:val="24"/>
                <w:szCs w:val="24"/>
              </w:rPr>
            </m:ctrlPr>
          </m:sSupPr>
          <m:e>
            <m:r>
              <m:rPr/>
              <w:rPr>
                <w:rFonts w:hint="eastAsia" w:ascii="Cambria Math" w:hAnsi="Cambria Math"/>
                <w:color w:val="000000"/>
                <w:sz w:val="24"/>
                <w:szCs w:val="24"/>
              </w:rPr>
              <m:t>u</m:t>
            </m:r>
            <m:ctrlPr>
              <w:rPr>
                <w:rFonts w:ascii="Cambria Math" w:hAnsi="Cambria Math"/>
                <w:i/>
                <w:color w:val="000000"/>
                <w:sz w:val="24"/>
                <w:szCs w:val="24"/>
              </w:rPr>
            </m:ctrlPr>
          </m:e>
          <m:sup>
            <m:r>
              <m:rPr/>
              <w:rPr>
                <w:rFonts w:ascii="Cambria Math" w:hAnsi="Cambria Math"/>
                <w:color w:val="000000"/>
                <w:sz w:val="24"/>
                <w:szCs w:val="24"/>
              </w:rPr>
              <m:t>2</m:t>
            </m:r>
            <m:ctrlPr>
              <w:rPr>
                <w:rFonts w:ascii="Cambria Math" w:hAnsi="Cambria Math"/>
                <w:i/>
                <w:color w:val="000000"/>
                <w:sz w:val="24"/>
                <w:szCs w:val="24"/>
              </w:rPr>
            </m:ctrlPr>
          </m:sup>
        </m:sSup>
        <m:d>
          <m:dPr>
            <m:ctrlPr>
              <w:rPr>
                <w:rFonts w:ascii="Cambria Math" w:hAnsi="Cambria Math"/>
                <w:i/>
                <w:color w:val="000000"/>
                <w:sz w:val="24"/>
                <w:szCs w:val="24"/>
              </w:rPr>
            </m:ctrlPr>
          </m:dPr>
          <m:e>
            <m:sSub>
              <m:sSubPr>
                <m:ctrlPr>
                  <w:rPr>
                    <w:rFonts w:ascii="Cambria Math" w:hAnsi="Cambria Math"/>
                    <w:i/>
                    <w:color w:val="000000"/>
                    <w:sz w:val="24"/>
                    <w:szCs w:val="24"/>
                  </w:rPr>
                </m:ctrlPr>
              </m:sSubPr>
              <m:e>
                <m:r>
                  <m:rPr/>
                  <w:rPr>
                    <w:rFonts w:hint="eastAsia" w:ascii="Cambria Math" w:hAnsi="Cambria Math"/>
                    <w:color w:val="000000"/>
                    <w:sz w:val="24"/>
                    <w:szCs w:val="24"/>
                  </w:rPr>
                  <m:t>d</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ctrlPr>
              <w:rPr>
                <w:rFonts w:ascii="Cambria Math" w:hAnsi="Cambria Math"/>
                <w:i/>
                <w:color w:val="000000"/>
                <w:sz w:val="24"/>
                <w:szCs w:val="24"/>
              </w:rPr>
            </m:ctrlPr>
          </m:e>
        </m:d>
        <m:r>
          <m:rPr/>
          <w:rPr>
            <w:rFonts w:ascii="Cambria Math" w:hAnsi="Cambria Math"/>
            <w:color w:val="000000"/>
            <w:sz w:val="24"/>
            <w:szCs w:val="24"/>
          </w:rPr>
          <m:t>=</m:t>
        </m:r>
        <m:sSup>
          <m:sSupPr>
            <m:ctrlPr>
              <w:rPr>
                <w:rFonts w:ascii="Cambria Math" w:hAnsi="Cambria Math"/>
                <w:i/>
                <w:color w:val="000000"/>
                <w:sz w:val="24"/>
                <w:szCs w:val="24"/>
              </w:rPr>
            </m:ctrlPr>
          </m:sSupPr>
          <m:e>
            <m:r>
              <m:rPr/>
              <w:rPr>
                <w:rFonts w:hint="eastAsia" w:ascii="Cambria Math" w:hAnsi="Cambria Math"/>
                <w:color w:val="000000"/>
                <w:sz w:val="24"/>
                <w:szCs w:val="24"/>
              </w:rPr>
              <m:t>u</m:t>
            </m:r>
            <m:ctrlPr>
              <w:rPr>
                <w:rFonts w:ascii="Cambria Math" w:hAnsi="Cambria Math"/>
                <w:i/>
                <w:color w:val="000000"/>
                <w:sz w:val="24"/>
                <w:szCs w:val="24"/>
              </w:rPr>
            </m:ctrlPr>
          </m:e>
          <m:sup>
            <m:r>
              <m:rPr/>
              <w:rPr>
                <w:rFonts w:ascii="Cambria Math" w:hAnsi="Cambria Math"/>
                <w:color w:val="000000"/>
                <w:sz w:val="24"/>
                <w:szCs w:val="24"/>
              </w:rPr>
              <m:t>2</m:t>
            </m:r>
            <m:ctrlPr>
              <w:rPr>
                <w:rFonts w:ascii="Cambria Math" w:hAnsi="Cambria Math"/>
                <w:i/>
                <w:color w:val="000000"/>
                <w:sz w:val="24"/>
                <w:szCs w:val="24"/>
              </w:rPr>
            </m:ctrlPr>
          </m:sup>
        </m:sSup>
        <m:d>
          <m:dPr>
            <m:ctrlPr>
              <w:rPr>
                <w:rFonts w:ascii="Cambria Math" w:hAnsi="Cambria Math"/>
                <w:i/>
                <w:color w:val="000000"/>
                <w:sz w:val="24"/>
                <w:szCs w:val="24"/>
              </w:rPr>
            </m:ctrlPr>
          </m:dPr>
          <m:e>
            <m:sSub>
              <m:sSubPr>
                <m:ctrlPr>
                  <w:rPr>
                    <w:rFonts w:ascii="Cambria Math" w:hAnsi="Cambria Math"/>
                    <w:i/>
                    <w:color w:val="000000"/>
                  </w:rPr>
                </m:ctrlPr>
              </m:sSubPr>
              <m:e>
                <m:r>
                  <m:rPr/>
                  <w:rPr>
                    <w:rFonts w:hint="eastAsia" w:ascii="Cambria Math" w:hAnsi="Cambria Math"/>
                    <w:color w:val="000000"/>
                  </w:rPr>
                  <m:t>y</m:t>
                </m:r>
                <m:ctrlPr>
                  <w:rPr>
                    <w:rFonts w:ascii="Cambria Math" w:hAnsi="Cambria Math"/>
                    <w:i/>
                    <w:color w:val="000000"/>
                  </w:rPr>
                </m:ctrlPr>
              </m:e>
              <m:sub>
                <m:r>
                  <m:rPr/>
                  <w:rPr>
                    <w:rFonts w:ascii="Cambria Math" w:hAnsi="Cambria Math"/>
                    <w:color w:val="000000"/>
                  </w:rPr>
                  <m:t>i</m:t>
                </m:r>
                <m:ctrlPr>
                  <w:rPr>
                    <w:rFonts w:ascii="Cambria Math" w:hAnsi="Cambria Math"/>
                    <w:i/>
                    <w:color w:val="000000"/>
                  </w:rPr>
                </m:ctrlPr>
              </m:sub>
            </m:sSub>
            <m:ctrlPr>
              <w:rPr>
                <w:rFonts w:ascii="Cambria Math" w:hAnsi="Cambria Math"/>
                <w:i/>
                <w:color w:val="000000"/>
                <w:sz w:val="24"/>
                <w:szCs w:val="24"/>
              </w:rPr>
            </m:ctrlPr>
          </m:e>
        </m:d>
        <m:r>
          <m:rPr/>
          <w:rPr>
            <w:rFonts w:ascii="Cambria Math" w:hAnsi="Cambria Math"/>
            <w:color w:val="000000"/>
            <w:sz w:val="24"/>
            <w:szCs w:val="24"/>
          </w:rPr>
          <m:t>−</m:t>
        </m:r>
        <m:sSup>
          <m:sSupPr>
            <m:ctrlPr>
              <w:rPr>
                <w:rFonts w:ascii="Cambria Math" w:hAnsi="Cambria Math"/>
                <w:i/>
                <w:color w:val="000000"/>
                <w:sz w:val="24"/>
                <w:szCs w:val="24"/>
              </w:rPr>
            </m:ctrlPr>
          </m:sSupPr>
          <m:e>
            <m:r>
              <m:rPr/>
              <w:rPr>
                <w:rFonts w:hint="eastAsia" w:ascii="Cambria Math" w:hAnsi="Cambria Math"/>
                <w:color w:val="000000"/>
                <w:sz w:val="24"/>
                <w:szCs w:val="24"/>
              </w:rPr>
              <m:t>u</m:t>
            </m:r>
            <m:ctrlPr>
              <w:rPr>
                <w:rFonts w:ascii="Cambria Math" w:hAnsi="Cambria Math"/>
                <w:i/>
                <w:color w:val="000000"/>
                <w:sz w:val="24"/>
                <w:szCs w:val="24"/>
              </w:rPr>
            </m:ctrlPr>
          </m:e>
          <m:sup>
            <m:r>
              <m:rPr/>
              <w:rPr>
                <w:rFonts w:ascii="Cambria Math" w:hAnsi="Cambria Math"/>
                <w:color w:val="000000"/>
                <w:sz w:val="24"/>
                <w:szCs w:val="24"/>
              </w:rPr>
              <m:t>2</m:t>
            </m:r>
            <m:ctrlPr>
              <w:rPr>
                <w:rFonts w:ascii="Cambria Math" w:hAnsi="Cambria Math"/>
                <w:i/>
                <w:color w:val="000000"/>
                <w:sz w:val="24"/>
                <w:szCs w:val="24"/>
              </w:rPr>
            </m:ctrlPr>
          </m:sup>
        </m:sSup>
        <m:d>
          <m:dPr>
            <m:ctrlPr>
              <w:rPr>
                <w:rFonts w:ascii="Cambria Math" w:hAnsi="Cambria Math"/>
                <w:i/>
                <w:color w:val="000000"/>
                <w:sz w:val="24"/>
                <w:szCs w:val="24"/>
              </w:rPr>
            </m:ctrlPr>
          </m:dPr>
          <m:e>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r>
                  <m:rPr/>
                  <w:rPr>
                    <w:rFonts w:ascii="Cambria Math" w:hAnsi="Cambria Math"/>
                    <w:color w:val="000000"/>
                    <w:sz w:val="24"/>
                    <w:szCs w:val="24"/>
                  </w:rPr>
                  <m:t>w</m:t>
                </m:r>
                <m:ctrlPr>
                  <w:rPr>
                    <w:rFonts w:ascii="Cambria Math" w:hAnsi="Cambria Math"/>
                    <w:i/>
                    <w:color w:val="000000"/>
                    <w:sz w:val="24"/>
                    <w:szCs w:val="24"/>
                  </w:rPr>
                </m:ctrlPr>
              </m:sub>
            </m:sSub>
            <m:ctrlPr>
              <w:rPr>
                <w:rFonts w:ascii="Cambria Math" w:hAnsi="Cambria Math"/>
                <w:i/>
                <w:color w:val="000000"/>
                <w:sz w:val="24"/>
                <w:szCs w:val="24"/>
              </w:rPr>
            </m:ctrlPr>
          </m:e>
        </m:d>
      </m:oMath>
      <w:r>
        <w:rPr>
          <w:color w:val="000000"/>
          <w:sz w:val="24"/>
          <w:szCs w:val="24"/>
        </w:rPr>
        <w:t xml:space="preserve">                     (</w:t>
      </w:r>
      <w:r>
        <w:rPr>
          <w:rFonts w:hint="eastAsia"/>
          <w:color w:val="000000"/>
          <w:sz w:val="24"/>
          <w:szCs w:val="24"/>
        </w:rPr>
        <w:t>D</w:t>
      </w:r>
      <w:r>
        <w:rPr>
          <w:color w:val="000000"/>
          <w:sz w:val="24"/>
          <w:szCs w:val="24"/>
        </w:rPr>
        <w:t>.4)</w:t>
      </w:r>
    </w:p>
    <w:p>
      <w:pPr>
        <w:spacing w:line="360" w:lineRule="auto"/>
        <w:ind w:firstLine="480" w:firstLineChars="200"/>
        <w:rPr>
          <w:rStyle w:val="45"/>
          <w:color w:val="000000"/>
          <w:sz w:val="24"/>
          <w:szCs w:val="24"/>
        </w:rPr>
      </w:pPr>
      <w:r>
        <w:rPr>
          <w:rFonts w:hint="eastAsia"/>
          <w:color w:val="000000"/>
          <w:sz w:val="24"/>
          <w:szCs w:val="24"/>
        </w:rPr>
        <w:t>当第</w:t>
      </w:r>
      <w:r>
        <w:rPr>
          <w:rFonts w:hint="eastAsia"/>
          <w:i/>
          <w:iCs/>
          <w:color w:val="000000"/>
          <w:sz w:val="24"/>
          <w:szCs w:val="24"/>
        </w:rPr>
        <w:t>i</w:t>
      </w:r>
      <w:r>
        <w:rPr>
          <w:rFonts w:hint="eastAsia"/>
          <w:color w:val="000000"/>
          <w:sz w:val="24"/>
          <w:szCs w:val="24"/>
        </w:rPr>
        <w:t>个参比实验室量值不参与参考值的计算时，</w:t>
      </w:r>
      <m:oMath>
        <m:sSub>
          <m:sSubPr>
            <m:ctrlPr>
              <w:rPr>
                <w:rFonts w:ascii="Cambria Math" w:hAnsi="Cambria Math"/>
                <w:i/>
                <w:color w:val="000000"/>
                <w:sz w:val="24"/>
                <w:szCs w:val="24"/>
              </w:rPr>
            </m:ctrlPr>
          </m:sSubPr>
          <m:e>
            <m:r>
              <m:rPr/>
              <w:rPr>
                <w:rFonts w:hint="eastAsia" w:ascii="Cambria Math" w:hAnsi="Cambria Math"/>
                <w:color w:val="000000"/>
                <w:sz w:val="24"/>
                <w:szCs w:val="24"/>
              </w:rPr>
              <m:t>d</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oMath>
      <w:r>
        <w:rPr>
          <w:rStyle w:val="45"/>
          <w:rFonts w:hint="eastAsia"/>
          <w:color w:val="000000"/>
          <w:sz w:val="24"/>
          <w:szCs w:val="24"/>
        </w:rPr>
        <w:t>的不确定度可表示为：</w:t>
      </w:r>
    </w:p>
    <w:p>
      <w:pPr>
        <w:spacing w:line="360" w:lineRule="auto"/>
        <w:ind w:firstLine="420" w:firstLineChars="200"/>
        <w:rPr>
          <w:rFonts w:hint="eastAsia"/>
          <w:color w:val="000000"/>
          <w:sz w:val="24"/>
          <w:szCs w:val="24"/>
        </w:rPr>
      </w:pPr>
      <w:r>
        <w:rPr>
          <w:rStyle w:val="45"/>
          <w:rFonts w:hint="eastAsia"/>
        </w:rPr>
        <w:t xml:space="preserve"> </w:t>
      </w:r>
      <w:r>
        <w:rPr>
          <w:rStyle w:val="45"/>
        </w:rPr>
        <w:t xml:space="preserve">                    </w:t>
      </w:r>
      <m:oMath>
        <m:sSup>
          <m:sSupPr>
            <m:ctrlPr>
              <w:rPr>
                <w:rFonts w:ascii="Cambria Math" w:hAnsi="Cambria Math"/>
                <w:i/>
                <w:color w:val="000000"/>
                <w:sz w:val="24"/>
                <w:szCs w:val="24"/>
              </w:rPr>
            </m:ctrlPr>
          </m:sSupPr>
          <m:e>
            <m:r>
              <m:rPr/>
              <w:rPr>
                <w:rFonts w:hint="eastAsia" w:ascii="Cambria Math" w:hAnsi="Cambria Math"/>
                <w:color w:val="000000"/>
                <w:sz w:val="24"/>
                <w:szCs w:val="24"/>
              </w:rPr>
              <m:t>u</m:t>
            </m:r>
            <m:ctrlPr>
              <w:rPr>
                <w:rFonts w:ascii="Cambria Math" w:hAnsi="Cambria Math"/>
                <w:i/>
                <w:color w:val="000000"/>
                <w:sz w:val="24"/>
                <w:szCs w:val="24"/>
              </w:rPr>
            </m:ctrlPr>
          </m:e>
          <m:sup>
            <m:r>
              <m:rPr/>
              <w:rPr>
                <w:rFonts w:ascii="Cambria Math" w:hAnsi="Cambria Math"/>
                <w:color w:val="000000"/>
                <w:sz w:val="24"/>
                <w:szCs w:val="24"/>
              </w:rPr>
              <m:t>2</m:t>
            </m:r>
            <m:ctrlPr>
              <w:rPr>
                <w:rFonts w:ascii="Cambria Math" w:hAnsi="Cambria Math"/>
                <w:i/>
                <w:color w:val="000000"/>
                <w:sz w:val="24"/>
                <w:szCs w:val="24"/>
              </w:rPr>
            </m:ctrlPr>
          </m:sup>
        </m:sSup>
        <m:d>
          <m:dPr>
            <m:ctrlPr>
              <w:rPr>
                <w:rFonts w:ascii="Cambria Math" w:hAnsi="Cambria Math"/>
                <w:i/>
                <w:color w:val="000000"/>
                <w:sz w:val="24"/>
                <w:szCs w:val="24"/>
              </w:rPr>
            </m:ctrlPr>
          </m:dPr>
          <m:e>
            <m:sSub>
              <m:sSubPr>
                <m:ctrlPr>
                  <w:rPr>
                    <w:rFonts w:ascii="Cambria Math" w:hAnsi="Cambria Math"/>
                    <w:i/>
                    <w:color w:val="000000"/>
                    <w:sz w:val="24"/>
                    <w:szCs w:val="24"/>
                  </w:rPr>
                </m:ctrlPr>
              </m:sSubPr>
              <m:e>
                <m:r>
                  <m:rPr/>
                  <w:rPr>
                    <w:rFonts w:hint="eastAsia" w:ascii="Cambria Math" w:hAnsi="Cambria Math"/>
                    <w:color w:val="000000"/>
                    <w:sz w:val="24"/>
                    <w:szCs w:val="24"/>
                  </w:rPr>
                  <m:t>d</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ctrlPr>
              <w:rPr>
                <w:rFonts w:ascii="Cambria Math" w:hAnsi="Cambria Math"/>
                <w:i/>
                <w:color w:val="000000"/>
                <w:sz w:val="24"/>
                <w:szCs w:val="24"/>
              </w:rPr>
            </m:ctrlPr>
          </m:e>
        </m:d>
        <m:r>
          <m:rPr/>
          <w:rPr>
            <w:rFonts w:ascii="Cambria Math" w:hAnsi="Cambria Math"/>
            <w:color w:val="000000"/>
            <w:sz w:val="24"/>
            <w:szCs w:val="24"/>
          </w:rPr>
          <m:t>=</m:t>
        </m:r>
        <m:sSup>
          <m:sSupPr>
            <m:ctrlPr>
              <w:rPr>
                <w:rFonts w:ascii="Cambria Math" w:hAnsi="Cambria Math"/>
                <w:i/>
                <w:color w:val="000000"/>
                <w:sz w:val="24"/>
                <w:szCs w:val="24"/>
              </w:rPr>
            </m:ctrlPr>
          </m:sSupPr>
          <m:e>
            <m:r>
              <m:rPr/>
              <w:rPr>
                <w:rFonts w:hint="eastAsia" w:ascii="Cambria Math" w:hAnsi="Cambria Math"/>
                <w:color w:val="000000"/>
                <w:sz w:val="24"/>
                <w:szCs w:val="24"/>
              </w:rPr>
              <m:t>u</m:t>
            </m:r>
            <m:ctrlPr>
              <w:rPr>
                <w:rFonts w:ascii="Cambria Math" w:hAnsi="Cambria Math"/>
                <w:i/>
                <w:color w:val="000000"/>
                <w:sz w:val="24"/>
                <w:szCs w:val="24"/>
              </w:rPr>
            </m:ctrlPr>
          </m:e>
          <m:sup>
            <m:r>
              <m:rPr/>
              <w:rPr>
                <w:rFonts w:ascii="Cambria Math" w:hAnsi="Cambria Math"/>
                <w:color w:val="000000"/>
                <w:sz w:val="24"/>
                <w:szCs w:val="24"/>
              </w:rPr>
              <m:t>2</m:t>
            </m:r>
            <m:ctrlPr>
              <w:rPr>
                <w:rFonts w:ascii="Cambria Math" w:hAnsi="Cambria Math"/>
                <w:i/>
                <w:color w:val="000000"/>
                <w:sz w:val="24"/>
                <w:szCs w:val="24"/>
              </w:rPr>
            </m:ctrlPr>
          </m:sup>
        </m:sSup>
        <m:d>
          <m:dPr>
            <m:ctrlPr>
              <w:rPr>
                <w:rFonts w:ascii="Cambria Math" w:hAnsi="Cambria Math"/>
                <w:i/>
                <w:color w:val="000000"/>
                <w:sz w:val="24"/>
                <w:szCs w:val="24"/>
              </w:rPr>
            </m:ctrlPr>
          </m:dPr>
          <m:e>
            <m:sSub>
              <m:sSubPr>
                <m:ctrlPr>
                  <w:rPr>
                    <w:rFonts w:ascii="Cambria Math" w:hAnsi="Cambria Math"/>
                    <w:i/>
                    <w:color w:val="000000"/>
                  </w:rPr>
                </m:ctrlPr>
              </m:sSubPr>
              <m:e>
                <m:r>
                  <m:rPr/>
                  <w:rPr>
                    <w:rFonts w:hint="eastAsia" w:ascii="Cambria Math" w:hAnsi="Cambria Math"/>
                    <w:color w:val="000000"/>
                  </w:rPr>
                  <m:t>y</m:t>
                </m:r>
                <m:ctrlPr>
                  <w:rPr>
                    <w:rFonts w:ascii="Cambria Math" w:hAnsi="Cambria Math"/>
                    <w:i/>
                    <w:color w:val="000000"/>
                  </w:rPr>
                </m:ctrlPr>
              </m:e>
              <m:sub>
                <m:r>
                  <m:rPr/>
                  <w:rPr>
                    <w:rFonts w:ascii="Cambria Math" w:hAnsi="Cambria Math"/>
                    <w:color w:val="000000"/>
                  </w:rPr>
                  <m:t>i</m:t>
                </m:r>
                <m:ctrlPr>
                  <w:rPr>
                    <w:rFonts w:ascii="Cambria Math" w:hAnsi="Cambria Math"/>
                    <w:i/>
                    <w:color w:val="000000"/>
                  </w:rPr>
                </m:ctrlPr>
              </m:sub>
            </m:sSub>
            <m:ctrlPr>
              <w:rPr>
                <w:rFonts w:ascii="Cambria Math" w:hAnsi="Cambria Math"/>
                <w:i/>
                <w:color w:val="000000"/>
                <w:sz w:val="24"/>
                <w:szCs w:val="24"/>
              </w:rPr>
            </m:ctrlPr>
          </m:e>
        </m:d>
        <m:r>
          <m:rPr/>
          <w:rPr>
            <w:rFonts w:hint="eastAsia" w:ascii="Cambria Math" w:hAnsi="Cambria Math"/>
            <w:color w:val="000000"/>
            <w:sz w:val="24"/>
            <w:szCs w:val="24"/>
          </w:rPr>
          <m:t>+</m:t>
        </m:r>
        <m:sSup>
          <m:sSupPr>
            <m:ctrlPr>
              <w:rPr>
                <w:rFonts w:ascii="Cambria Math" w:hAnsi="Cambria Math"/>
                <w:i/>
                <w:color w:val="000000"/>
                <w:sz w:val="24"/>
                <w:szCs w:val="24"/>
              </w:rPr>
            </m:ctrlPr>
          </m:sSupPr>
          <m:e>
            <m:r>
              <m:rPr/>
              <w:rPr>
                <w:rFonts w:hint="eastAsia" w:ascii="Cambria Math" w:hAnsi="Cambria Math"/>
                <w:color w:val="000000"/>
                <w:sz w:val="24"/>
                <w:szCs w:val="24"/>
              </w:rPr>
              <m:t>u</m:t>
            </m:r>
            <m:ctrlPr>
              <w:rPr>
                <w:rFonts w:ascii="Cambria Math" w:hAnsi="Cambria Math"/>
                <w:i/>
                <w:color w:val="000000"/>
                <w:sz w:val="24"/>
                <w:szCs w:val="24"/>
              </w:rPr>
            </m:ctrlPr>
          </m:e>
          <m:sup>
            <m:r>
              <m:rPr/>
              <w:rPr>
                <w:rFonts w:ascii="Cambria Math" w:hAnsi="Cambria Math"/>
                <w:color w:val="000000"/>
                <w:sz w:val="24"/>
                <w:szCs w:val="24"/>
              </w:rPr>
              <m:t>2</m:t>
            </m:r>
            <m:ctrlPr>
              <w:rPr>
                <w:rFonts w:ascii="Cambria Math" w:hAnsi="Cambria Math"/>
                <w:i/>
                <w:color w:val="000000"/>
                <w:sz w:val="24"/>
                <w:szCs w:val="24"/>
              </w:rPr>
            </m:ctrlPr>
          </m:sup>
        </m:sSup>
        <m:d>
          <m:dPr>
            <m:ctrlPr>
              <w:rPr>
                <w:rFonts w:ascii="Cambria Math" w:hAnsi="Cambria Math"/>
                <w:i/>
                <w:color w:val="000000"/>
                <w:sz w:val="24"/>
                <w:szCs w:val="24"/>
              </w:rPr>
            </m:ctrlPr>
          </m:dPr>
          <m:e>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r>
                  <m:rPr/>
                  <w:rPr>
                    <w:rFonts w:ascii="Cambria Math" w:hAnsi="Cambria Math"/>
                    <w:color w:val="000000"/>
                    <w:sz w:val="24"/>
                    <w:szCs w:val="24"/>
                  </w:rPr>
                  <m:t>w</m:t>
                </m:r>
                <m:ctrlPr>
                  <w:rPr>
                    <w:rFonts w:ascii="Cambria Math" w:hAnsi="Cambria Math"/>
                    <w:i/>
                    <w:color w:val="000000"/>
                    <w:sz w:val="24"/>
                    <w:szCs w:val="24"/>
                  </w:rPr>
                </m:ctrlPr>
              </m:sub>
            </m:sSub>
            <m:ctrlPr>
              <w:rPr>
                <w:rFonts w:ascii="Cambria Math" w:hAnsi="Cambria Math"/>
                <w:i/>
                <w:color w:val="000000"/>
                <w:sz w:val="24"/>
                <w:szCs w:val="24"/>
              </w:rPr>
            </m:ctrlPr>
          </m:e>
        </m:d>
      </m:oMath>
      <w:r>
        <w:rPr>
          <w:rStyle w:val="45"/>
        </w:rPr>
        <w:t xml:space="preserve">                </w:t>
      </w:r>
      <w:r>
        <w:rPr>
          <w:color w:val="000000"/>
          <w:sz w:val="24"/>
          <w:szCs w:val="24"/>
        </w:rPr>
        <w:t xml:space="preserve">        (</w:t>
      </w:r>
      <w:r>
        <w:rPr>
          <w:rFonts w:hint="eastAsia"/>
          <w:color w:val="000000"/>
          <w:sz w:val="24"/>
          <w:szCs w:val="24"/>
        </w:rPr>
        <w:t>D</w:t>
      </w:r>
      <w:r>
        <w:rPr>
          <w:color w:val="000000"/>
          <w:sz w:val="24"/>
          <w:szCs w:val="24"/>
        </w:rPr>
        <w:t>.5)</w:t>
      </w:r>
      <w:r>
        <w:rPr>
          <w:rStyle w:val="45"/>
        </w:rPr>
        <w:t xml:space="preserve">  </w:t>
      </w:r>
    </w:p>
    <w:p>
      <w:pPr>
        <w:spacing w:line="360" w:lineRule="auto"/>
        <w:rPr>
          <w:color w:val="000000"/>
          <w:sz w:val="24"/>
          <w:szCs w:val="24"/>
        </w:rPr>
      </w:pPr>
      <w:r>
        <w:rPr>
          <w:rFonts w:hint="eastAsia"/>
          <w:color w:val="000000"/>
          <w:sz w:val="24"/>
          <w:szCs w:val="24"/>
        </w:rPr>
        <w:t>D</w:t>
      </w:r>
      <w:r>
        <w:rPr>
          <w:color w:val="000000"/>
          <w:sz w:val="24"/>
          <w:szCs w:val="24"/>
        </w:rPr>
        <w:t xml:space="preserve">.2.2 </w:t>
      </w:r>
      <w:r>
        <w:rPr>
          <w:rFonts w:hint="eastAsia"/>
          <w:color w:val="000000"/>
          <w:sz w:val="24"/>
          <w:szCs w:val="24"/>
        </w:rPr>
        <w:t>算术平均法算得参比实验室结果的等效度及不确定度</w:t>
      </w:r>
    </w:p>
    <w:p>
      <w:pPr>
        <w:spacing w:line="360" w:lineRule="auto"/>
        <w:ind w:firstLine="480" w:firstLineChars="200"/>
        <w:rPr>
          <w:rFonts w:hint="eastAsia"/>
          <w:color w:val="000000"/>
          <w:sz w:val="24"/>
          <w:szCs w:val="24"/>
        </w:rPr>
      </w:pPr>
      <w:r>
        <w:rPr>
          <w:rFonts w:hint="eastAsia"/>
          <w:color w:val="000000"/>
          <w:sz w:val="24"/>
          <w:szCs w:val="24"/>
        </w:rPr>
        <w:t>采用附录C的算术平均值（公式C</w:t>
      </w:r>
      <w:r>
        <w:rPr>
          <w:color w:val="000000"/>
          <w:sz w:val="24"/>
          <w:szCs w:val="24"/>
        </w:rPr>
        <w:t>.6</w:t>
      </w:r>
      <w:r>
        <w:rPr>
          <w:rFonts w:hint="eastAsia"/>
          <w:color w:val="000000"/>
          <w:sz w:val="24"/>
          <w:szCs w:val="24"/>
        </w:rPr>
        <w:t>）作为比对参考值时，第</w:t>
      </w:r>
      <w:r>
        <w:rPr>
          <w:rFonts w:hint="eastAsia"/>
          <w:i/>
          <w:iCs/>
          <w:color w:val="000000"/>
          <w:sz w:val="24"/>
          <w:szCs w:val="24"/>
        </w:rPr>
        <w:t>i</w:t>
      </w:r>
      <w:r>
        <w:rPr>
          <w:rFonts w:hint="eastAsia"/>
          <w:color w:val="000000"/>
          <w:sz w:val="24"/>
          <w:szCs w:val="24"/>
        </w:rPr>
        <w:t>个参比实验室量值的等效度如式（D</w:t>
      </w:r>
      <w:r>
        <w:rPr>
          <w:color w:val="000000"/>
          <w:sz w:val="24"/>
          <w:szCs w:val="24"/>
        </w:rPr>
        <w:t>.</w:t>
      </w:r>
      <w:r>
        <w:rPr>
          <w:rFonts w:hint="eastAsia"/>
          <w:color w:val="000000"/>
          <w:sz w:val="24"/>
          <w:szCs w:val="24"/>
        </w:rPr>
        <w:t>4）所示：</w:t>
      </w:r>
    </w:p>
    <w:tbl>
      <w:tblPr>
        <w:tblStyle w:val="20"/>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63"/>
        <w:gridCol w:w="7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63" w:type="dxa"/>
            <w:vAlign w:val="center"/>
          </w:tcPr>
          <w:p>
            <w:pPr>
              <w:spacing w:line="360" w:lineRule="auto"/>
              <w:jc w:val="center"/>
              <w:rPr>
                <w:color w:val="000000"/>
                <w:sz w:val="24"/>
                <w:szCs w:val="24"/>
              </w:rPr>
            </w:pPr>
            <m:oMathPara>
              <m:oMath>
                <m:sSub>
                  <m:sSubPr>
                    <m:ctrlPr>
                      <w:rPr>
                        <w:rFonts w:ascii="Cambria Math" w:hAnsi="Cambria Math"/>
                        <w:i/>
                        <w:color w:val="000000"/>
                        <w:sz w:val="24"/>
                        <w:szCs w:val="24"/>
                      </w:rPr>
                    </m:ctrlPr>
                  </m:sSubPr>
                  <m:e>
                    <m:r>
                      <m:rPr/>
                      <w:rPr>
                        <w:rFonts w:hint="eastAsia" w:ascii="Cambria Math" w:hAnsi="Cambria Math"/>
                        <w:color w:val="000000"/>
                        <w:sz w:val="24"/>
                        <w:szCs w:val="24"/>
                      </w:rPr>
                      <m:t>d</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r>
                  <m:rPr/>
                  <w:rPr>
                    <w:rFonts w:ascii="Cambria Math" w:hAnsi="Cambria Math"/>
                    <w:color w:val="000000"/>
                    <w:sz w:val="24"/>
                    <w:szCs w:val="24"/>
                  </w:rPr>
                  <m:t>=</m:t>
                </m:r>
                <m:sSub>
                  <m:sSubPr>
                    <m:ctrlPr>
                      <w:rPr>
                        <w:rFonts w:ascii="Cambria Math" w:hAnsi="Cambria Math"/>
                        <w:i/>
                        <w:color w:val="000000"/>
                      </w:rPr>
                    </m:ctrlPr>
                  </m:sSubPr>
                  <m:e>
                    <m:r>
                      <m:rPr/>
                      <w:rPr>
                        <w:rFonts w:hint="eastAsia" w:ascii="Cambria Math" w:hAnsi="Cambria Math"/>
                        <w:color w:val="000000"/>
                      </w:rPr>
                      <m:t>y</m:t>
                    </m:r>
                    <m:ctrlPr>
                      <w:rPr>
                        <w:rFonts w:ascii="Cambria Math" w:hAnsi="Cambria Math"/>
                        <w:i/>
                        <w:color w:val="000000"/>
                      </w:rPr>
                    </m:ctrlPr>
                  </m:e>
                  <m:sub>
                    <m:r>
                      <m:rPr/>
                      <w:rPr>
                        <w:rFonts w:ascii="Cambria Math" w:hAnsi="Cambria Math"/>
                        <w:color w:val="000000"/>
                      </w:rPr>
                      <m:t>i</m:t>
                    </m:r>
                    <m:ctrlPr>
                      <w:rPr>
                        <w:rFonts w:ascii="Cambria Math" w:hAnsi="Cambria Math"/>
                        <w:i/>
                        <w:color w:val="000000"/>
                      </w:rPr>
                    </m:ctrlPr>
                  </m:sub>
                </m:sSub>
                <m:r>
                  <m:rPr/>
                  <w:rPr>
                    <w:rFonts w:ascii="Cambria Math" w:hAnsi="Cambria Math"/>
                    <w:color w:val="000000"/>
                  </w:rPr>
                  <m:t>−</m:t>
                </m:r>
                <m:acc>
                  <m:accPr>
                    <m:chr m:val="̅"/>
                    <m:ctrlPr>
                      <w:rPr>
                        <w:rFonts w:ascii="Cambria Math" w:hAnsi="Cambria Math"/>
                        <w:i/>
                        <w:szCs w:val="21"/>
                      </w:rPr>
                    </m:ctrlPr>
                  </m:accPr>
                  <m:e>
                    <m:r>
                      <m:rPr/>
                      <w:rPr>
                        <w:rFonts w:hint="eastAsia" w:ascii="Cambria Math" w:hAnsi="Cambria Math"/>
                        <w:szCs w:val="21"/>
                      </w:rPr>
                      <m:t>y</m:t>
                    </m:r>
                    <m:ctrlPr>
                      <w:rPr>
                        <w:rFonts w:ascii="Cambria Math" w:hAnsi="Cambria Math"/>
                        <w:i/>
                        <w:szCs w:val="21"/>
                      </w:rPr>
                    </m:ctrlPr>
                  </m:e>
                </m:acc>
              </m:oMath>
            </m:oMathPara>
          </w:p>
        </w:tc>
        <w:tc>
          <w:tcPr>
            <w:tcW w:w="759" w:type="dxa"/>
            <w:vAlign w:val="center"/>
          </w:tcPr>
          <w:p>
            <w:pPr>
              <w:spacing w:line="360" w:lineRule="auto"/>
              <w:jc w:val="center"/>
              <w:rPr>
                <w:color w:val="000000"/>
                <w:sz w:val="24"/>
                <w:szCs w:val="24"/>
              </w:rPr>
            </w:pPr>
            <w:r>
              <w:rPr>
                <w:color w:val="000000"/>
                <w:sz w:val="24"/>
                <w:szCs w:val="24"/>
              </w:rPr>
              <w:t>(</w:t>
            </w:r>
            <w:r>
              <w:rPr>
                <w:rFonts w:hint="eastAsia"/>
                <w:color w:val="000000"/>
                <w:sz w:val="24"/>
                <w:szCs w:val="24"/>
              </w:rPr>
              <w:t>D</w:t>
            </w:r>
            <w:r>
              <w:rPr>
                <w:color w:val="000000"/>
                <w:sz w:val="24"/>
                <w:szCs w:val="24"/>
              </w:rPr>
              <w:t>.6)</w:t>
            </w:r>
          </w:p>
        </w:tc>
      </w:tr>
    </w:tbl>
    <w:p>
      <w:pPr>
        <w:spacing w:line="360" w:lineRule="auto"/>
        <w:ind w:firstLine="480" w:firstLineChars="200"/>
        <w:rPr>
          <w:color w:val="000000"/>
          <w:sz w:val="24"/>
          <w:szCs w:val="24"/>
        </w:rPr>
      </w:pPr>
      <w:r>
        <w:rPr>
          <w:rFonts w:hint="eastAsia"/>
          <w:color w:val="000000"/>
          <w:sz w:val="24"/>
          <w:szCs w:val="24"/>
        </w:rPr>
        <w:t>当第</w:t>
      </w:r>
      <w:r>
        <w:rPr>
          <w:rFonts w:hint="eastAsia"/>
          <w:i/>
          <w:iCs/>
          <w:color w:val="000000"/>
          <w:sz w:val="24"/>
          <w:szCs w:val="24"/>
        </w:rPr>
        <w:t>i</w:t>
      </w:r>
      <w:r>
        <w:rPr>
          <w:rFonts w:hint="eastAsia"/>
          <w:color w:val="000000"/>
          <w:sz w:val="24"/>
          <w:szCs w:val="24"/>
        </w:rPr>
        <w:t>个参比实验室量值参与参考值的计算时，</w:t>
      </w:r>
      <m:oMath>
        <m:sSub>
          <m:sSubPr>
            <m:ctrlPr>
              <w:rPr>
                <w:rFonts w:ascii="Cambria Math" w:hAnsi="Cambria Math"/>
                <w:i/>
                <w:color w:val="000000"/>
                <w:sz w:val="24"/>
                <w:szCs w:val="24"/>
              </w:rPr>
            </m:ctrlPr>
          </m:sSubPr>
          <m:e>
            <m:r>
              <m:rPr/>
              <w:rPr>
                <w:rFonts w:hint="eastAsia" w:ascii="Cambria Math" w:hAnsi="Cambria Math"/>
                <w:color w:val="000000"/>
                <w:sz w:val="24"/>
                <w:szCs w:val="24"/>
              </w:rPr>
              <m:t>d</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oMath>
      <w:r>
        <w:rPr>
          <w:rStyle w:val="45"/>
          <w:rFonts w:hint="eastAsia"/>
          <w:color w:val="000000"/>
          <w:sz w:val="24"/>
          <w:szCs w:val="24"/>
        </w:rPr>
        <w:t>的不确定度可表示为：</w:t>
      </w:r>
    </w:p>
    <w:tbl>
      <w:tblPr>
        <w:tblStyle w:val="20"/>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63"/>
        <w:gridCol w:w="7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763" w:type="dxa"/>
            <w:vAlign w:val="center"/>
          </w:tcPr>
          <w:p>
            <w:pPr>
              <w:spacing w:line="360" w:lineRule="auto"/>
              <w:jc w:val="center"/>
              <w:rPr>
                <w:color w:val="000000"/>
                <w:sz w:val="24"/>
                <w:szCs w:val="24"/>
              </w:rPr>
            </w:pPr>
            <m:oMathPara>
              <m:oMath>
                <m:sSup>
                  <m:sSupPr>
                    <m:ctrlPr>
                      <w:rPr>
                        <w:rFonts w:ascii="Cambria Math" w:hAnsi="Cambria Math"/>
                        <w:i/>
                        <w:color w:val="000000"/>
                        <w:sz w:val="24"/>
                        <w:szCs w:val="24"/>
                      </w:rPr>
                    </m:ctrlPr>
                  </m:sSupPr>
                  <m:e>
                    <m:r>
                      <m:rPr/>
                      <w:rPr>
                        <w:rFonts w:hint="eastAsia" w:ascii="Cambria Math" w:hAnsi="Cambria Math"/>
                        <w:color w:val="000000"/>
                        <w:sz w:val="24"/>
                        <w:szCs w:val="24"/>
                      </w:rPr>
                      <m:t>u</m:t>
                    </m:r>
                    <m:ctrlPr>
                      <w:rPr>
                        <w:rFonts w:ascii="Cambria Math" w:hAnsi="Cambria Math"/>
                        <w:i/>
                        <w:color w:val="000000"/>
                        <w:sz w:val="24"/>
                        <w:szCs w:val="24"/>
                      </w:rPr>
                    </m:ctrlPr>
                  </m:e>
                  <m:sup>
                    <m:r>
                      <m:rPr/>
                      <w:rPr>
                        <w:rFonts w:ascii="Cambria Math" w:hAnsi="Cambria Math"/>
                        <w:color w:val="000000"/>
                        <w:sz w:val="24"/>
                        <w:szCs w:val="24"/>
                      </w:rPr>
                      <m:t>2</m:t>
                    </m:r>
                    <m:ctrlPr>
                      <w:rPr>
                        <w:rFonts w:ascii="Cambria Math" w:hAnsi="Cambria Math"/>
                        <w:i/>
                        <w:color w:val="000000"/>
                        <w:sz w:val="24"/>
                        <w:szCs w:val="24"/>
                      </w:rPr>
                    </m:ctrlPr>
                  </m:sup>
                </m:sSup>
                <m:d>
                  <m:dPr>
                    <m:ctrlPr>
                      <w:rPr>
                        <w:rFonts w:ascii="Cambria Math" w:hAnsi="Cambria Math"/>
                        <w:i/>
                        <w:color w:val="000000"/>
                        <w:sz w:val="24"/>
                        <w:szCs w:val="24"/>
                      </w:rPr>
                    </m:ctrlPr>
                  </m:dPr>
                  <m:e>
                    <m:sSub>
                      <m:sSubPr>
                        <m:ctrlPr>
                          <w:rPr>
                            <w:rFonts w:ascii="Cambria Math" w:hAnsi="Cambria Math"/>
                            <w:i/>
                            <w:color w:val="000000"/>
                            <w:sz w:val="24"/>
                            <w:szCs w:val="24"/>
                          </w:rPr>
                        </m:ctrlPr>
                      </m:sSubPr>
                      <m:e>
                        <m:r>
                          <m:rPr/>
                          <w:rPr>
                            <w:rFonts w:hint="eastAsia" w:ascii="Cambria Math" w:hAnsi="Cambria Math"/>
                            <w:color w:val="000000"/>
                            <w:sz w:val="24"/>
                            <w:szCs w:val="24"/>
                          </w:rPr>
                          <m:t>d</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ctrlPr>
                      <w:rPr>
                        <w:rFonts w:ascii="Cambria Math" w:hAnsi="Cambria Math"/>
                        <w:i/>
                        <w:color w:val="000000"/>
                        <w:sz w:val="24"/>
                        <w:szCs w:val="24"/>
                      </w:rPr>
                    </m:ctrlPr>
                  </m:e>
                </m:d>
                <m:r>
                  <m:rPr/>
                  <w:rPr>
                    <w:rFonts w:ascii="Cambria Math" w:hAnsi="Cambria Math"/>
                    <w:color w:val="000000"/>
                    <w:sz w:val="24"/>
                    <w:szCs w:val="24"/>
                  </w:rPr>
                  <m:t>=</m:t>
                </m:r>
                <m:d>
                  <m:dPr>
                    <m:ctrlPr>
                      <w:rPr>
                        <w:rFonts w:ascii="Cambria Math" w:hAnsi="Cambria Math"/>
                        <w:i/>
                        <w:color w:val="000000"/>
                        <w:sz w:val="24"/>
                        <w:szCs w:val="24"/>
                      </w:rPr>
                    </m:ctrlPr>
                  </m:dPr>
                  <m:e>
                    <m:r>
                      <m:rPr/>
                      <w:rPr>
                        <w:rFonts w:ascii="Cambria Math" w:hAnsi="Cambria Math"/>
                        <w:color w:val="000000"/>
                        <w:sz w:val="24"/>
                        <w:szCs w:val="24"/>
                      </w:rPr>
                      <m:t>1−</m:t>
                    </m:r>
                    <m:f>
                      <m:fPr>
                        <m:ctrlPr>
                          <w:rPr>
                            <w:rFonts w:ascii="Cambria Math" w:hAnsi="Cambria Math"/>
                            <w:i/>
                            <w:color w:val="000000"/>
                            <w:sz w:val="24"/>
                            <w:szCs w:val="24"/>
                          </w:rPr>
                        </m:ctrlPr>
                      </m:fPr>
                      <m:num>
                        <m:r>
                          <m:rPr/>
                          <w:rPr>
                            <w:rFonts w:ascii="Cambria Math" w:hAnsi="Cambria Math"/>
                            <w:color w:val="000000"/>
                            <w:sz w:val="24"/>
                            <w:szCs w:val="24"/>
                          </w:rPr>
                          <m:t>2</m:t>
                        </m:r>
                        <m:ctrlPr>
                          <w:rPr>
                            <w:rFonts w:ascii="Cambria Math" w:hAnsi="Cambria Math"/>
                            <w:i/>
                            <w:color w:val="000000"/>
                            <w:sz w:val="24"/>
                            <w:szCs w:val="24"/>
                          </w:rPr>
                        </m:ctrlPr>
                      </m:num>
                      <m:den>
                        <m:r>
                          <m:rPr/>
                          <w:rPr>
                            <w:rFonts w:hint="eastAsia" w:ascii="Cambria Math" w:hAnsi="Cambria Math"/>
                            <w:color w:val="000000"/>
                            <w:sz w:val="24"/>
                            <w:szCs w:val="24"/>
                          </w:rPr>
                          <m:t>n</m:t>
                        </m:r>
                        <m:ctrlPr>
                          <w:rPr>
                            <w:rFonts w:ascii="Cambria Math" w:hAnsi="Cambria Math"/>
                            <w:i/>
                            <w:color w:val="000000"/>
                            <w:sz w:val="24"/>
                            <w:szCs w:val="24"/>
                          </w:rPr>
                        </m:ctrlPr>
                      </m:den>
                    </m:f>
                    <m:ctrlPr>
                      <w:rPr>
                        <w:rFonts w:ascii="Cambria Math" w:hAnsi="Cambria Math"/>
                        <w:i/>
                        <w:color w:val="000000"/>
                        <w:sz w:val="24"/>
                        <w:szCs w:val="24"/>
                      </w:rPr>
                    </m:ctrlPr>
                  </m:e>
                </m:d>
                <m:sSup>
                  <m:sSupPr>
                    <m:ctrlPr>
                      <w:rPr>
                        <w:rFonts w:ascii="Cambria Math" w:hAnsi="Cambria Math"/>
                        <w:i/>
                        <w:color w:val="000000"/>
                        <w:sz w:val="24"/>
                        <w:szCs w:val="24"/>
                      </w:rPr>
                    </m:ctrlPr>
                  </m:sSupPr>
                  <m:e>
                    <m:r>
                      <m:rPr/>
                      <w:rPr>
                        <w:rFonts w:hint="eastAsia" w:ascii="Cambria Math" w:hAnsi="Cambria Math"/>
                        <w:color w:val="000000"/>
                        <w:sz w:val="24"/>
                        <w:szCs w:val="24"/>
                      </w:rPr>
                      <m:t>u</m:t>
                    </m:r>
                    <m:ctrlPr>
                      <w:rPr>
                        <w:rFonts w:ascii="Cambria Math" w:hAnsi="Cambria Math"/>
                        <w:i/>
                        <w:color w:val="000000"/>
                        <w:sz w:val="24"/>
                        <w:szCs w:val="24"/>
                      </w:rPr>
                    </m:ctrlPr>
                  </m:e>
                  <m:sup>
                    <m:r>
                      <m:rPr/>
                      <w:rPr>
                        <w:rFonts w:ascii="Cambria Math" w:hAnsi="Cambria Math"/>
                        <w:color w:val="000000"/>
                        <w:sz w:val="24"/>
                        <w:szCs w:val="24"/>
                      </w:rPr>
                      <m:t>2</m:t>
                    </m:r>
                    <m:ctrlPr>
                      <w:rPr>
                        <w:rFonts w:ascii="Cambria Math" w:hAnsi="Cambria Math"/>
                        <w:i/>
                        <w:color w:val="000000"/>
                        <w:sz w:val="24"/>
                        <w:szCs w:val="24"/>
                      </w:rPr>
                    </m:ctrlPr>
                  </m:sup>
                </m:sSup>
                <m:d>
                  <m:dPr>
                    <m:ctrlPr>
                      <w:rPr>
                        <w:rFonts w:ascii="Cambria Math" w:hAnsi="Cambria Math"/>
                        <w:i/>
                        <w:color w:val="000000"/>
                        <w:sz w:val="24"/>
                        <w:szCs w:val="24"/>
                      </w:rPr>
                    </m:ctrlPr>
                  </m:dPr>
                  <m:e>
                    <m:sSub>
                      <m:sSubPr>
                        <m:ctrlPr>
                          <w:rPr>
                            <w:rFonts w:ascii="Cambria Math" w:hAnsi="Cambria Math"/>
                            <w:i/>
                            <w:color w:val="000000"/>
                          </w:rPr>
                        </m:ctrlPr>
                      </m:sSubPr>
                      <m:e>
                        <m:r>
                          <m:rPr/>
                          <w:rPr>
                            <w:rFonts w:hint="eastAsia" w:ascii="Cambria Math" w:hAnsi="Cambria Math"/>
                            <w:color w:val="000000"/>
                          </w:rPr>
                          <m:t>y</m:t>
                        </m:r>
                        <m:ctrlPr>
                          <w:rPr>
                            <w:rFonts w:ascii="Cambria Math" w:hAnsi="Cambria Math"/>
                            <w:i/>
                            <w:color w:val="000000"/>
                          </w:rPr>
                        </m:ctrlPr>
                      </m:e>
                      <m:sub>
                        <m:r>
                          <m:rPr/>
                          <w:rPr>
                            <w:rFonts w:ascii="Cambria Math" w:hAnsi="Cambria Math"/>
                            <w:color w:val="000000"/>
                          </w:rPr>
                          <m:t>i</m:t>
                        </m:r>
                        <m:ctrlPr>
                          <w:rPr>
                            <w:rFonts w:ascii="Cambria Math" w:hAnsi="Cambria Math"/>
                            <w:i/>
                            <w:color w:val="000000"/>
                          </w:rPr>
                        </m:ctrlPr>
                      </m:sub>
                    </m:sSub>
                    <m:ctrlPr>
                      <w:rPr>
                        <w:rFonts w:ascii="Cambria Math" w:hAnsi="Cambria Math"/>
                        <w:i/>
                        <w:color w:val="000000"/>
                        <w:sz w:val="24"/>
                        <w:szCs w:val="24"/>
                      </w:rPr>
                    </m:ctrlPr>
                  </m:e>
                </m:d>
                <m:r>
                  <m:rPr/>
                  <w:rPr>
                    <w:rFonts w:hint="eastAsia" w:ascii="Cambria Math" w:hAnsi="Cambria Math"/>
                    <w:color w:val="000000"/>
                    <w:sz w:val="24"/>
                    <w:szCs w:val="24"/>
                  </w:rPr>
                  <m:t>+</m:t>
                </m:r>
                <m:sSup>
                  <m:sSupPr>
                    <m:ctrlPr>
                      <w:rPr>
                        <w:rFonts w:ascii="Cambria Math" w:hAnsi="Cambria Math"/>
                        <w:i/>
                        <w:color w:val="000000"/>
                        <w:sz w:val="24"/>
                        <w:szCs w:val="24"/>
                      </w:rPr>
                    </m:ctrlPr>
                  </m:sSupPr>
                  <m:e>
                    <m:r>
                      <m:rPr/>
                      <w:rPr>
                        <w:rFonts w:hint="eastAsia" w:ascii="Cambria Math" w:hAnsi="Cambria Math"/>
                        <w:color w:val="000000"/>
                        <w:sz w:val="24"/>
                        <w:szCs w:val="24"/>
                      </w:rPr>
                      <m:t>u</m:t>
                    </m:r>
                    <m:ctrlPr>
                      <w:rPr>
                        <w:rFonts w:ascii="Cambria Math" w:hAnsi="Cambria Math"/>
                        <w:i/>
                        <w:color w:val="000000"/>
                        <w:sz w:val="24"/>
                        <w:szCs w:val="24"/>
                      </w:rPr>
                    </m:ctrlPr>
                  </m:e>
                  <m:sup>
                    <m:r>
                      <m:rPr/>
                      <w:rPr>
                        <w:rFonts w:ascii="Cambria Math" w:hAnsi="Cambria Math"/>
                        <w:color w:val="000000"/>
                        <w:sz w:val="24"/>
                        <w:szCs w:val="24"/>
                      </w:rPr>
                      <m:t>2</m:t>
                    </m:r>
                    <m:ctrlPr>
                      <w:rPr>
                        <w:rFonts w:ascii="Cambria Math" w:hAnsi="Cambria Math"/>
                        <w:i/>
                        <w:color w:val="000000"/>
                        <w:sz w:val="24"/>
                        <w:szCs w:val="24"/>
                      </w:rPr>
                    </m:ctrlPr>
                  </m:sup>
                </m:sSup>
                <m:d>
                  <m:dPr>
                    <m:ctrlPr>
                      <w:rPr>
                        <w:rFonts w:ascii="Cambria Math" w:hAnsi="Cambria Math"/>
                        <w:i/>
                        <w:color w:val="000000"/>
                        <w:sz w:val="24"/>
                        <w:szCs w:val="24"/>
                      </w:rPr>
                    </m:ctrlPr>
                  </m:dPr>
                  <m:e>
                    <m:acc>
                      <m:accPr>
                        <m:chr m:val="̅"/>
                        <m:ctrlPr>
                          <w:rPr>
                            <w:rFonts w:ascii="Cambria Math" w:hAnsi="Cambria Math"/>
                            <w:i/>
                            <w:szCs w:val="21"/>
                          </w:rPr>
                        </m:ctrlPr>
                      </m:accPr>
                      <m:e>
                        <m:r>
                          <m:rPr/>
                          <w:rPr>
                            <w:rFonts w:hint="eastAsia" w:ascii="Cambria Math" w:hAnsi="Cambria Math"/>
                            <w:szCs w:val="21"/>
                          </w:rPr>
                          <m:t>y</m:t>
                        </m:r>
                        <m:ctrlPr>
                          <w:rPr>
                            <w:rFonts w:ascii="Cambria Math" w:hAnsi="Cambria Math"/>
                            <w:i/>
                            <w:szCs w:val="21"/>
                          </w:rPr>
                        </m:ctrlPr>
                      </m:e>
                    </m:acc>
                    <m:ctrlPr>
                      <w:rPr>
                        <w:rFonts w:ascii="Cambria Math" w:hAnsi="Cambria Math"/>
                        <w:i/>
                        <w:color w:val="000000"/>
                        <w:sz w:val="24"/>
                        <w:szCs w:val="24"/>
                      </w:rPr>
                    </m:ctrlPr>
                  </m:e>
                </m:d>
              </m:oMath>
            </m:oMathPara>
          </w:p>
        </w:tc>
        <w:tc>
          <w:tcPr>
            <w:tcW w:w="759" w:type="dxa"/>
            <w:vAlign w:val="center"/>
          </w:tcPr>
          <w:p>
            <w:pPr>
              <w:spacing w:line="360" w:lineRule="auto"/>
              <w:jc w:val="center"/>
              <w:rPr>
                <w:color w:val="000000"/>
                <w:sz w:val="24"/>
                <w:szCs w:val="24"/>
              </w:rPr>
            </w:pPr>
            <w:r>
              <w:rPr>
                <w:color w:val="000000"/>
                <w:sz w:val="24"/>
                <w:szCs w:val="24"/>
              </w:rPr>
              <w:t>(</w:t>
            </w:r>
            <w:r>
              <w:rPr>
                <w:rFonts w:hint="eastAsia"/>
                <w:color w:val="000000"/>
                <w:sz w:val="24"/>
                <w:szCs w:val="24"/>
              </w:rPr>
              <w:t>D</w:t>
            </w:r>
            <w:r>
              <w:rPr>
                <w:color w:val="000000"/>
                <w:sz w:val="24"/>
                <w:szCs w:val="24"/>
              </w:rPr>
              <w:t>.7)</w:t>
            </w:r>
          </w:p>
        </w:tc>
      </w:tr>
    </w:tbl>
    <w:p>
      <w:pPr>
        <w:spacing w:line="360" w:lineRule="auto"/>
        <w:ind w:firstLine="480" w:firstLineChars="200"/>
        <w:rPr>
          <w:color w:val="000000"/>
          <w:sz w:val="24"/>
          <w:szCs w:val="24"/>
        </w:rPr>
      </w:pPr>
      <w:r>
        <w:rPr>
          <w:rFonts w:hint="eastAsia"/>
          <w:color w:val="000000"/>
          <w:sz w:val="24"/>
          <w:szCs w:val="24"/>
        </w:rPr>
        <w:t>当第</w:t>
      </w:r>
      <w:r>
        <w:rPr>
          <w:rFonts w:hint="eastAsia"/>
          <w:i/>
          <w:iCs/>
          <w:color w:val="000000"/>
          <w:sz w:val="24"/>
          <w:szCs w:val="24"/>
        </w:rPr>
        <w:t>i</w:t>
      </w:r>
      <w:r>
        <w:rPr>
          <w:rFonts w:hint="eastAsia"/>
          <w:color w:val="000000"/>
          <w:sz w:val="24"/>
          <w:szCs w:val="24"/>
        </w:rPr>
        <w:t>个参比实验室量值不参与参考值的计算时，</w:t>
      </w:r>
      <m:oMath>
        <m:sSub>
          <m:sSubPr>
            <m:ctrlPr>
              <w:rPr>
                <w:rFonts w:ascii="Cambria Math" w:hAnsi="Cambria Math"/>
                <w:i/>
                <w:color w:val="000000"/>
                <w:sz w:val="24"/>
                <w:szCs w:val="24"/>
              </w:rPr>
            </m:ctrlPr>
          </m:sSubPr>
          <m:e>
            <m:r>
              <m:rPr/>
              <w:rPr>
                <w:rFonts w:hint="eastAsia" w:ascii="Cambria Math" w:hAnsi="Cambria Math"/>
                <w:color w:val="000000"/>
                <w:sz w:val="24"/>
                <w:szCs w:val="24"/>
              </w:rPr>
              <m:t>d</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oMath>
      <w:r>
        <w:rPr>
          <w:rStyle w:val="45"/>
          <w:rFonts w:hint="eastAsia"/>
          <w:color w:val="000000"/>
          <w:sz w:val="24"/>
          <w:szCs w:val="24"/>
        </w:rPr>
        <w:t>的不确定度可表示为：</w:t>
      </w:r>
    </w:p>
    <w:tbl>
      <w:tblPr>
        <w:tblStyle w:val="20"/>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92"/>
        <w:gridCol w:w="7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792" w:type="dxa"/>
            <w:vAlign w:val="center"/>
          </w:tcPr>
          <w:p>
            <w:pPr>
              <w:spacing w:line="360" w:lineRule="auto"/>
              <w:jc w:val="center"/>
              <w:rPr>
                <w:color w:val="000000"/>
                <w:sz w:val="24"/>
                <w:szCs w:val="24"/>
              </w:rPr>
            </w:pPr>
            <m:oMathPara>
              <m:oMath>
                <m:sSup>
                  <m:sSupPr>
                    <m:ctrlPr>
                      <w:rPr>
                        <w:rFonts w:ascii="Cambria Math" w:hAnsi="Cambria Math"/>
                        <w:i/>
                        <w:color w:val="000000"/>
                        <w:sz w:val="24"/>
                        <w:szCs w:val="24"/>
                      </w:rPr>
                    </m:ctrlPr>
                  </m:sSupPr>
                  <m:e>
                    <m:r>
                      <m:rPr/>
                      <w:rPr>
                        <w:rFonts w:hint="eastAsia" w:ascii="Cambria Math" w:hAnsi="Cambria Math"/>
                        <w:color w:val="000000"/>
                        <w:sz w:val="24"/>
                        <w:szCs w:val="24"/>
                      </w:rPr>
                      <m:t>u</m:t>
                    </m:r>
                    <m:ctrlPr>
                      <w:rPr>
                        <w:rFonts w:ascii="Cambria Math" w:hAnsi="Cambria Math"/>
                        <w:i/>
                        <w:color w:val="000000"/>
                        <w:sz w:val="24"/>
                        <w:szCs w:val="24"/>
                      </w:rPr>
                    </m:ctrlPr>
                  </m:e>
                  <m:sup>
                    <m:r>
                      <m:rPr/>
                      <w:rPr>
                        <w:rFonts w:ascii="Cambria Math" w:hAnsi="Cambria Math"/>
                        <w:color w:val="000000"/>
                        <w:sz w:val="24"/>
                        <w:szCs w:val="24"/>
                      </w:rPr>
                      <m:t>2</m:t>
                    </m:r>
                    <m:ctrlPr>
                      <w:rPr>
                        <w:rFonts w:ascii="Cambria Math" w:hAnsi="Cambria Math"/>
                        <w:i/>
                        <w:color w:val="000000"/>
                        <w:sz w:val="24"/>
                        <w:szCs w:val="24"/>
                      </w:rPr>
                    </m:ctrlPr>
                  </m:sup>
                </m:sSup>
                <m:d>
                  <m:dPr>
                    <m:ctrlPr>
                      <w:rPr>
                        <w:rFonts w:ascii="Cambria Math" w:hAnsi="Cambria Math"/>
                        <w:i/>
                        <w:color w:val="000000"/>
                        <w:sz w:val="24"/>
                        <w:szCs w:val="24"/>
                      </w:rPr>
                    </m:ctrlPr>
                  </m:dPr>
                  <m:e>
                    <m:sSub>
                      <m:sSubPr>
                        <m:ctrlPr>
                          <w:rPr>
                            <w:rFonts w:ascii="Cambria Math" w:hAnsi="Cambria Math"/>
                            <w:i/>
                            <w:color w:val="000000"/>
                            <w:sz w:val="24"/>
                            <w:szCs w:val="24"/>
                          </w:rPr>
                        </m:ctrlPr>
                      </m:sSubPr>
                      <m:e>
                        <m:r>
                          <m:rPr/>
                          <w:rPr>
                            <w:rFonts w:hint="eastAsia" w:ascii="Cambria Math" w:hAnsi="Cambria Math"/>
                            <w:color w:val="000000"/>
                            <w:sz w:val="24"/>
                            <w:szCs w:val="24"/>
                          </w:rPr>
                          <m:t>d</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ctrlPr>
                      <w:rPr>
                        <w:rFonts w:ascii="Cambria Math" w:hAnsi="Cambria Math"/>
                        <w:i/>
                        <w:color w:val="000000"/>
                        <w:sz w:val="24"/>
                        <w:szCs w:val="24"/>
                      </w:rPr>
                    </m:ctrlPr>
                  </m:e>
                </m:d>
                <m:r>
                  <m:rPr/>
                  <w:rPr>
                    <w:rFonts w:ascii="Cambria Math" w:hAnsi="Cambria Math"/>
                    <w:color w:val="000000"/>
                    <w:sz w:val="24"/>
                    <w:szCs w:val="24"/>
                  </w:rPr>
                  <m:t>=</m:t>
                </m:r>
                <m:sSup>
                  <m:sSupPr>
                    <m:ctrlPr>
                      <w:rPr>
                        <w:rFonts w:ascii="Cambria Math" w:hAnsi="Cambria Math"/>
                        <w:i/>
                        <w:color w:val="000000"/>
                        <w:sz w:val="24"/>
                        <w:szCs w:val="24"/>
                      </w:rPr>
                    </m:ctrlPr>
                  </m:sSupPr>
                  <m:e>
                    <m:r>
                      <m:rPr/>
                      <w:rPr>
                        <w:rFonts w:hint="eastAsia" w:ascii="Cambria Math" w:hAnsi="Cambria Math"/>
                        <w:color w:val="000000"/>
                        <w:sz w:val="24"/>
                        <w:szCs w:val="24"/>
                      </w:rPr>
                      <m:t>u</m:t>
                    </m:r>
                    <m:ctrlPr>
                      <w:rPr>
                        <w:rFonts w:ascii="Cambria Math" w:hAnsi="Cambria Math"/>
                        <w:i/>
                        <w:color w:val="000000"/>
                        <w:sz w:val="24"/>
                        <w:szCs w:val="24"/>
                      </w:rPr>
                    </m:ctrlPr>
                  </m:e>
                  <m:sup>
                    <m:r>
                      <m:rPr/>
                      <w:rPr>
                        <w:rFonts w:ascii="Cambria Math" w:hAnsi="Cambria Math"/>
                        <w:color w:val="000000"/>
                        <w:sz w:val="24"/>
                        <w:szCs w:val="24"/>
                      </w:rPr>
                      <m:t>2</m:t>
                    </m:r>
                    <m:ctrlPr>
                      <w:rPr>
                        <w:rFonts w:ascii="Cambria Math" w:hAnsi="Cambria Math"/>
                        <w:i/>
                        <w:color w:val="000000"/>
                        <w:sz w:val="24"/>
                        <w:szCs w:val="24"/>
                      </w:rPr>
                    </m:ctrlPr>
                  </m:sup>
                </m:sSup>
                <m:d>
                  <m:dPr>
                    <m:ctrlPr>
                      <w:rPr>
                        <w:rFonts w:ascii="Cambria Math" w:hAnsi="Cambria Math"/>
                        <w:i/>
                        <w:color w:val="000000"/>
                        <w:sz w:val="24"/>
                        <w:szCs w:val="24"/>
                      </w:rPr>
                    </m:ctrlPr>
                  </m:dPr>
                  <m:e>
                    <m:sSub>
                      <m:sSubPr>
                        <m:ctrlPr>
                          <w:rPr>
                            <w:rFonts w:ascii="Cambria Math" w:hAnsi="Cambria Math"/>
                            <w:i/>
                            <w:color w:val="000000"/>
                          </w:rPr>
                        </m:ctrlPr>
                      </m:sSubPr>
                      <m:e>
                        <m:r>
                          <m:rPr/>
                          <w:rPr>
                            <w:rFonts w:hint="eastAsia" w:ascii="Cambria Math" w:hAnsi="Cambria Math"/>
                            <w:color w:val="000000"/>
                          </w:rPr>
                          <m:t>y</m:t>
                        </m:r>
                        <m:ctrlPr>
                          <w:rPr>
                            <w:rFonts w:ascii="Cambria Math" w:hAnsi="Cambria Math"/>
                            <w:i/>
                            <w:color w:val="000000"/>
                          </w:rPr>
                        </m:ctrlPr>
                      </m:e>
                      <m:sub>
                        <m:r>
                          <m:rPr/>
                          <w:rPr>
                            <w:rFonts w:ascii="Cambria Math" w:hAnsi="Cambria Math"/>
                            <w:color w:val="000000"/>
                          </w:rPr>
                          <m:t>i</m:t>
                        </m:r>
                        <m:ctrlPr>
                          <w:rPr>
                            <w:rFonts w:ascii="Cambria Math" w:hAnsi="Cambria Math"/>
                            <w:i/>
                            <w:color w:val="000000"/>
                          </w:rPr>
                        </m:ctrlPr>
                      </m:sub>
                    </m:sSub>
                    <m:ctrlPr>
                      <w:rPr>
                        <w:rFonts w:ascii="Cambria Math" w:hAnsi="Cambria Math"/>
                        <w:i/>
                        <w:color w:val="000000"/>
                        <w:sz w:val="24"/>
                        <w:szCs w:val="24"/>
                      </w:rPr>
                    </m:ctrlPr>
                  </m:e>
                </m:d>
                <m:r>
                  <m:rPr/>
                  <w:rPr>
                    <w:rFonts w:hint="eastAsia" w:ascii="Cambria Math" w:hAnsi="Cambria Math"/>
                    <w:color w:val="000000"/>
                    <w:sz w:val="24"/>
                    <w:szCs w:val="24"/>
                  </w:rPr>
                  <m:t>+</m:t>
                </m:r>
                <m:sSup>
                  <m:sSupPr>
                    <m:ctrlPr>
                      <w:rPr>
                        <w:rFonts w:ascii="Cambria Math" w:hAnsi="Cambria Math"/>
                        <w:i/>
                        <w:color w:val="000000"/>
                        <w:sz w:val="24"/>
                        <w:szCs w:val="24"/>
                      </w:rPr>
                    </m:ctrlPr>
                  </m:sSupPr>
                  <m:e>
                    <m:r>
                      <m:rPr/>
                      <w:rPr>
                        <w:rFonts w:hint="eastAsia" w:ascii="Cambria Math" w:hAnsi="Cambria Math"/>
                        <w:color w:val="000000"/>
                        <w:sz w:val="24"/>
                        <w:szCs w:val="24"/>
                      </w:rPr>
                      <m:t>u</m:t>
                    </m:r>
                    <m:ctrlPr>
                      <w:rPr>
                        <w:rFonts w:ascii="Cambria Math" w:hAnsi="Cambria Math"/>
                        <w:i/>
                        <w:color w:val="000000"/>
                        <w:sz w:val="24"/>
                        <w:szCs w:val="24"/>
                      </w:rPr>
                    </m:ctrlPr>
                  </m:e>
                  <m:sup>
                    <m:r>
                      <m:rPr/>
                      <w:rPr>
                        <w:rFonts w:ascii="Cambria Math" w:hAnsi="Cambria Math"/>
                        <w:color w:val="000000"/>
                        <w:sz w:val="24"/>
                        <w:szCs w:val="24"/>
                      </w:rPr>
                      <m:t>2</m:t>
                    </m:r>
                    <m:ctrlPr>
                      <w:rPr>
                        <w:rFonts w:ascii="Cambria Math" w:hAnsi="Cambria Math"/>
                        <w:i/>
                        <w:color w:val="000000"/>
                        <w:sz w:val="24"/>
                        <w:szCs w:val="24"/>
                      </w:rPr>
                    </m:ctrlPr>
                  </m:sup>
                </m:sSup>
                <m:d>
                  <m:dPr>
                    <m:ctrlPr>
                      <w:rPr>
                        <w:rFonts w:ascii="Cambria Math" w:hAnsi="Cambria Math"/>
                        <w:i/>
                        <w:color w:val="000000"/>
                        <w:sz w:val="24"/>
                        <w:szCs w:val="24"/>
                      </w:rPr>
                    </m:ctrlPr>
                  </m:dPr>
                  <m:e>
                    <m:r>
                      <m:rPr/>
                      <w:rPr>
                        <w:rFonts w:hint="eastAsia" w:ascii="Cambria Math" w:hAnsi="Cambria Math"/>
                        <w:szCs w:val="21"/>
                      </w:rPr>
                      <m:t>y</m:t>
                    </m:r>
                    <m:ctrlPr>
                      <w:rPr>
                        <w:rFonts w:ascii="Cambria Math" w:hAnsi="Cambria Math"/>
                        <w:i/>
                        <w:color w:val="000000"/>
                        <w:sz w:val="24"/>
                        <w:szCs w:val="24"/>
                      </w:rPr>
                    </m:ctrlPr>
                  </m:e>
                </m:d>
              </m:oMath>
            </m:oMathPara>
          </w:p>
        </w:tc>
        <w:tc>
          <w:tcPr>
            <w:tcW w:w="708" w:type="dxa"/>
            <w:vAlign w:val="center"/>
          </w:tcPr>
          <w:p>
            <w:pPr>
              <w:spacing w:line="360" w:lineRule="auto"/>
              <w:jc w:val="center"/>
              <w:rPr>
                <w:color w:val="000000"/>
                <w:sz w:val="24"/>
                <w:szCs w:val="24"/>
              </w:rPr>
            </w:pPr>
            <w:r>
              <w:rPr>
                <w:color w:val="000000"/>
                <w:sz w:val="24"/>
                <w:szCs w:val="24"/>
              </w:rPr>
              <w:t>(</w:t>
            </w:r>
            <w:r>
              <w:rPr>
                <w:rFonts w:hint="eastAsia"/>
                <w:color w:val="000000"/>
                <w:sz w:val="24"/>
                <w:szCs w:val="24"/>
              </w:rPr>
              <w:t>D</w:t>
            </w:r>
            <w:r>
              <w:rPr>
                <w:color w:val="000000"/>
                <w:sz w:val="24"/>
                <w:szCs w:val="24"/>
              </w:rPr>
              <w:t>.8)</w:t>
            </w:r>
          </w:p>
        </w:tc>
      </w:tr>
    </w:tbl>
    <w:p>
      <w:pPr>
        <w:pStyle w:val="3"/>
        <w:spacing w:before="0" w:after="93" w:afterLines="30" w:line="360" w:lineRule="auto"/>
        <w:rPr>
          <w:rFonts w:ascii="Times New Roman" w:hAnsi="Times New Roman" w:eastAsia="宋体-18030"/>
          <w:b w:val="0"/>
          <w:sz w:val="24"/>
        </w:rPr>
      </w:pPr>
      <w:bookmarkStart w:id="106" w:name="_Toc137854339"/>
      <w:r>
        <w:rPr>
          <w:rFonts w:hint="eastAsia" w:ascii="Times New Roman" w:hAnsi="Times New Roman" w:eastAsia="宋体-18030"/>
          <w:b w:val="0"/>
          <w:sz w:val="24"/>
        </w:rPr>
        <w:t>D</w:t>
      </w:r>
      <w:r>
        <w:rPr>
          <w:rFonts w:ascii="Times New Roman" w:hAnsi="Times New Roman" w:eastAsia="宋体-18030"/>
          <w:b w:val="0"/>
          <w:sz w:val="24"/>
        </w:rPr>
        <w:t>.</w:t>
      </w:r>
      <w:r>
        <w:rPr>
          <w:rFonts w:hint="eastAsia" w:ascii="Times New Roman" w:hAnsi="Times New Roman" w:eastAsia="宋体-18030"/>
          <w:b w:val="0"/>
          <w:sz w:val="24"/>
        </w:rPr>
        <w:t>3</w:t>
      </w:r>
      <w:r>
        <w:rPr>
          <w:rFonts w:ascii="Times New Roman" w:hAnsi="Times New Roman" w:eastAsia="宋体-18030"/>
          <w:b w:val="0"/>
          <w:sz w:val="24"/>
        </w:rPr>
        <w:t xml:space="preserve"> 参比实验室比对结果的评价</w:t>
      </w:r>
      <w:bookmarkEnd w:id="100"/>
      <w:bookmarkEnd w:id="106"/>
    </w:p>
    <w:bookmarkEnd w:id="101"/>
    <w:p>
      <w:pPr>
        <w:snapToGrid w:val="0"/>
        <w:spacing w:line="360" w:lineRule="auto"/>
        <w:ind w:firstLine="480" w:firstLineChars="200"/>
        <w:rPr>
          <w:sz w:val="24"/>
        </w:rPr>
      </w:pPr>
      <w:r>
        <w:rPr>
          <w:sz w:val="24"/>
        </w:rPr>
        <w:t>通常情况下，某一参比实验室的测量结果与其不确定度的</w:t>
      </w:r>
      <w:r>
        <w:rPr>
          <w:rFonts w:hint="eastAsia"/>
          <w:sz w:val="24"/>
        </w:rPr>
        <w:t>相容</w:t>
      </w:r>
      <w:r>
        <w:rPr>
          <w:sz w:val="24"/>
        </w:rPr>
        <w:t>性用归一化偏差</w:t>
      </w:r>
      <w:r>
        <w:rPr>
          <w:i/>
          <w:sz w:val="24"/>
        </w:rPr>
        <w:t>E</w:t>
      </w:r>
      <w:r>
        <w:rPr>
          <w:sz w:val="24"/>
          <w:vertAlign w:val="subscript"/>
        </w:rPr>
        <w:t>n</w:t>
      </w:r>
      <w:r>
        <w:rPr>
          <w:sz w:val="24"/>
        </w:rPr>
        <w:t>进行评价；当采用</w:t>
      </w:r>
      <w:r>
        <w:rPr>
          <w:rFonts w:hint="eastAsia"/>
          <w:color w:val="000000"/>
          <w:sz w:val="24"/>
          <w:szCs w:val="24"/>
        </w:rPr>
        <w:t>附录C中</w:t>
      </w:r>
      <w:r>
        <w:rPr>
          <w:sz w:val="24"/>
        </w:rPr>
        <w:t>中位值法确定参考值时，用</w:t>
      </w:r>
      <w:r>
        <w:rPr>
          <w:i/>
          <w:sz w:val="24"/>
        </w:rPr>
        <w:t>Z</w:t>
      </w:r>
      <w:r>
        <w:rPr>
          <w:sz w:val="24"/>
        </w:rPr>
        <w:t>比分数评价。</w:t>
      </w:r>
    </w:p>
    <w:p>
      <w:pPr>
        <w:snapToGrid w:val="0"/>
        <w:spacing w:line="360" w:lineRule="auto"/>
        <w:rPr>
          <w:sz w:val="24"/>
        </w:rPr>
      </w:pPr>
      <w:r>
        <w:rPr>
          <w:rFonts w:hint="eastAsia"/>
          <w:sz w:val="24"/>
        </w:rPr>
        <w:t>D</w:t>
      </w:r>
      <w:r>
        <w:rPr>
          <w:sz w:val="24"/>
        </w:rPr>
        <w:t>.</w:t>
      </w:r>
      <w:r>
        <w:rPr>
          <w:rFonts w:hint="eastAsia"/>
          <w:sz w:val="24"/>
        </w:rPr>
        <w:t>3</w:t>
      </w:r>
      <w:r>
        <w:rPr>
          <w:sz w:val="24"/>
        </w:rPr>
        <w:t>.1 通过归一化偏差</w:t>
      </w:r>
      <w:r>
        <w:rPr>
          <w:i/>
          <w:sz w:val="24"/>
        </w:rPr>
        <w:t>E</w:t>
      </w:r>
      <w:r>
        <w:rPr>
          <w:sz w:val="24"/>
          <w:vertAlign w:val="subscript"/>
        </w:rPr>
        <w:t>n</w:t>
      </w:r>
      <w:r>
        <w:rPr>
          <w:sz w:val="24"/>
        </w:rPr>
        <w:t>评价</w:t>
      </w:r>
    </w:p>
    <w:tbl>
      <w:tblPr>
        <w:tblStyle w:val="20"/>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63"/>
        <w:gridCol w:w="7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63" w:type="dxa"/>
            <w:vAlign w:val="center"/>
          </w:tcPr>
          <w:p>
            <w:pPr>
              <w:spacing w:line="360" w:lineRule="auto"/>
              <w:jc w:val="center"/>
              <w:rPr>
                <w:color w:val="000000"/>
                <w:sz w:val="24"/>
                <w:szCs w:val="24"/>
              </w:rPr>
            </w:pPr>
            <m:oMathPara>
              <m:oMath>
                <m:sSub>
                  <m:sSubPr>
                    <m:ctrlPr>
                      <w:rPr>
                        <w:rFonts w:ascii="Cambria Math" w:hAnsi="Cambria Math"/>
                        <w:i/>
                        <w:color w:val="000000"/>
                        <w:sz w:val="24"/>
                        <w:szCs w:val="24"/>
                      </w:rPr>
                    </m:ctrlPr>
                  </m:sSubPr>
                  <m:e>
                    <m:r>
                      <m:rPr/>
                      <w:rPr>
                        <w:rFonts w:hint="eastAsia" w:ascii="Cambria Math" w:hAnsi="Cambria Math"/>
                        <w:color w:val="000000"/>
                        <w:sz w:val="24"/>
                        <w:szCs w:val="24"/>
                      </w:rPr>
                      <m:t>E</m:t>
                    </m:r>
                    <m:ctrlPr>
                      <w:rPr>
                        <w:rFonts w:ascii="Cambria Math" w:hAnsi="Cambria Math"/>
                        <w:i/>
                        <w:color w:val="000000"/>
                        <w:sz w:val="24"/>
                        <w:szCs w:val="24"/>
                      </w:rPr>
                    </m:ctrlPr>
                  </m:e>
                  <m:sub>
                    <m:r>
                      <m:rPr/>
                      <w:rPr>
                        <w:rFonts w:ascii="Cambria Math" w:hAnsi="Cambria Math"/>
                        <w:color w:val="000000"/>
                        <w:sz w:val="24"/>
                        <w:szCs w:val="24"/>
                      </w:rPr>
                      <m:t>n</m:t>
                    </m:r>
                    <m:ctrlPr>
                      <w:rPr>
                        <w:rFonts w:ascii="Cambria Math" w:hAnsi="Cambria Math"/>
                        <w:i/>
                        <w:color w:val="000000"/>
                        <w:sz w:val="24"/>
                        <w:szCs w:val="24"/>
                      </w:rPr>
                    </m:ctrlPr>
                  </m:sub>
                </m:sSub>
                <m:r>
                  <m:rPr/>
                  <w:rPr>
                    <w:rFonts w:ascii="Cambria Math" w:hAnsi="Cambria Math"/>
                    <w:color w:val="000000"/>
                    <w:sz w:val="24"/>
                    <w:szCs w:val="24"/>
                  </w:rPr>
                  <m:t>=</m:t>
                </m:r>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r>
                      <m:rPr/>
                      <w:rPr>
                        <w:rFonts w:ascii="Cambria Math" w:hAnsi="Cambria Math"/>
                        <w:color w:val="000000"/>
                        <w:sz w:val="24"/>
                        <w:szCs w:val="24"/>
                      </w:rPr>
                      <m:t>−</m:t>
                    </m:r>
                    <m:sSub>
                      <w:bookmarkStart w:id="107" w:name="_Hlk137931660"/>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r>
                          <m:rPr>
                            <m:sty m:val="p"/>
                          </m:rPr>
                          <w:rPr>
                            <w:rFonts w:ascii="Cambria Math" w:hAnsi="Cambria Math"/>
                            <w:color w:val="000000"/>
                            <w:sz w:val="24"/>
                            <w:szCs w:val="24"/>
                          </w:rPr>
                          <m:t>R</m:t>
                        </m:r>
                        <m:ctrlPr>
                          <w:rPr>
                            <w:rFonts w:ascii="Cambria Math" w:hAnsi="Cambria Math"/>
                            <w:i/>
                            <w:color w:val="000000"/>
                            <w:sz w:val="24"/>
                            <w:szCs w:val="24"/>
                          </w:rPr>
                        </m:ctrlPr>
                        <w:bookmarkEnd w:id="107"/>
                      </m:sub>
                    </m:sSub>
                    <m:ctrlPr>
                      <w:rPr>
                        <w:rFonts w:ascii="Cambria Math" w:hAnsi="Cambria Math"/>
                        <w:i/>
                        <w:color w:val="000000"/>
                        <w:sz w:val="24"/>
                        <w:szCs w:val="24"/>
                      </w:rPr>
                    </m:ctrlPr>
                  </m:num>
                  <m:den>
                    <m:r>
                      <m:rPr/>
                      <w:rPr>
                        <w:rFonts w:ascii="Cambria Math" w:hAnsi="Cambria Math"/>
                        <w:color w:val="000000"/>
                        <w:sz w:val="24"/>
                        <w:szCs w:val="24"/>
                      </w:rPr>
                      <m:t>k</m:t>
                    </m:r>
                    <m:r>
                      <m:rPr/>
                      <w:rPr>
                        <w:rFonts w:ascii="Cambria Math" w:hAnsi="Cambria Math"/>
                        <w:color w:val="000000"/>
                      </w:rPr>
                      <m:t>∙</m:t>
                    </m:r>
                    <m:r>
                      <m:rPr/>
                      <w:rPr>
                        <w:rFonts w:hint="eastAsia" w:ascii="Cambria Math" w:hAnsi="Cambria Math"/>
                        <w:color w:val="000000"/>
                      </w:rPr>
                      <m:t>u</m:t>
                    </m:r>
                    <m:d>
                      <m:dPr>
                        <m:ctrlPr>
                          <w:rPr>
                            <w:rFonts w:ascii="Cambria Math" w:hAnsi="Cambria Math"/>
                            <w:i/>
                            <w:color w:val="000000"/>
                            <w:sz w:val="24"/>
                            <w:szCs w:val="24"/>
                          </w:rPr>
                        </m:ctrlPr>
                      </m:dPr>
                      <m:e>
                        <m:sSub>
                          <m:sSubPr>
                            <m:ctrlPr>
                              <w:rPr>
                                <w:rFonts w:ascii="Cambria Math" w:hAnsi="Cambria Math"/>
                                <w:i/>
                                <w:color w:val="000000"/>
                                <w:sz w:val="24"/>
                                <w:szCs w:val="24"/>
                              </w:rPr>
                            </m:ctrlPr>
                          </m:sSubPr>
                          <m:e>
                            <m:r>
                              <m:rPr/>
                              <w:rPr>
                                <w:rFonts w:hint="eastAsia" w:ascii="Cambria Math" w:hAnsi="Cambria Math"/>
                                <w:color w:val="000000"/>
                                <w:sz w:val="24"/>
                                <w:szCs w:val="24"/>
                              </w:rPr>
                              <m:t>d</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ctrlPr>
                          <w:rPr>
                            <w:rFonts w:ascii="Cambria Math" w:hAnsi="Cambria Math"/>
                            <w:i/>
                            <w:color w:val="000000"/>
                            <w:sz w:val="24"/>
                            <w:szCs w:val="24"/>
                          </w:rPr>
                        </m:ctrlPr>
                      </m:e>
                    </m:d>
                    <m:ctrlPr>
                      <w:rPr>
                        <w:rFonts w:ascii="Cambria Math" w:hAnsi="Cambria Math"/>
                        <w:i/>
                        <w:color w:val="000000"/>
                        <w:sz w:val="24"/>
                        <w:szCs w:val="24"/>
                      </w:rPr>
                    </m:ctrlPr>
                  </m:den>
                </m:f>
              </m:oMath>
            </m:oMathPara>
          </w:p>
        </w:tc>
        <w:tc>
          <w:tcPr>
            <w:tcW w:w="759" w:type="dxa"/>
            <w:vAlign w:val="center"/>
          </w:tcPr>
          <w:p>
            <w:pPr>
              <w:spacing w:line="360" w:lineRule="auto"/>
              <w:jc w:val="center"/>
              <w:rPr>
                <w:color w:val="000000"/>
                <w:sz w:val="24"/>
                <w:szCs w:val="24"/>
              </w:rPr>
            </w:pPr>
            <w:r>
              <w:rPr>
                <w:color w:val="000000"/>
                <w:sz w:val="24"/>
                <w:szCs w:val="24"/>
              </w:rPr>
              <w:t>(</w:t>
            </w:r>
            <w:r>
              <w:rPr>
                <w:rFonts w:hint="eastAsia"/>
                <w:color w:val="000000"/>
                <w:sz w:val="24"/>
                <w:szCs w:val="24"/>
              </w:rPr>
              <w:t>D</w:t>
            </w:r>
            <w:r>
              <w:rPr>
                <w:color w:val="000000"/>
                <w:sz w:val="24"/>
                <w:szCs w:val="24"/>
              </w:rPr>
              <w:t>.9)</w:t>
            </w:r>
          </w:p>
        </w:tc>
      </w:tr>
    </w:tbl>
    <w:p>
      <w:pPr>
        <w:snapToGrid w:val="0"/>
        <w:spacing w:line="360" w:lineRule="auto"/>
        <w:rPr>
          <w:color w:val="000000"/>
          <w:sz w:val="24"/>
        </w:rPr>
      </w:pPr>
      <w:r>
        <w:rPr>
          <w:color w:val="000000"/>
          <w:sz w:val="24"/>
        </w:rPr>
        <w:t xml:space="preserve">式中： </w:t>
      </w:r>
      <w:r>
        <w:rPr>
          <w:i/>
          <w:sz w:val="24"/>
        </w:rPr>
        <w:t xml:space="preserve">k </w:t>
      </w:r>
      <w:r>
        <w:rPr>
          <w:sz w:val="24"/>
        </w:rPr>
        <w:t>——</w:t>
      </w:r>
      <w:r>
        <w:rPr>
          <w:rFonts w:hint="eastAsia"/>
          <w:sz w:val="24"/>
        </w:rPr>
        <w:t>包含</w:t>
      </w:r>
      <w:r>
        <w:rPr>
          <w:sz w:val="24"/>
        </w:rPr>
        <w:t>因子，一般情况</w:t>
      </w:r>
      <w:r>
        <w:rPr>
          <w:i/>
          <w:sz w:val="24"/>
        </w:rPr>
        <w:t>k</w:t>
      </w:r>
      <w:r>
        <w:rPr>
          <w:sz w:val="24"/>
        </w:rPr>
        <w:t>=2；</w:t>
      </w:r>
    </w:p>
    <w:p>
      <w:pPr>
        <w:spacing w:line="360" w:lineRule="auto"/>
        <w:ind w:firstLine="720" w:firstLineChars="300"/>
        <w:rPr>
          <w:rStyle w:val="45"/>
          <w:color w:val="000000"/>
          <w:sz w:val="24"/>
          <w:szCs w:val="24"/>
        </w:rPr>
      </w:pPr>
    </w:p>
    <w:p>
      <w:pPr>
        <w:spacing w:line="360" w:lineRule="auto"/>
        <w:ind w:firstLine="480" w:firstLineChars="200"/>
        <w:rPr>
          <w:color w:val="000000"/>
          <w:sz w:val="24"/>
          <w:szCs w:val="24"/>
        </w:rPr>
      </w:pPr>
      <w:r>
        <w:rPr>
          <w:rFonts w:hint="eastAsia"/>
          <w:color w:val="000000"/>
          <w:sz w:val="24"/>
          <w:szCs w:val="24"/>
        </w:rPr>
        <w:t>比对结果的评判原则：</w:t>
      </w:r>
      <m:oMath>
        <m:d>
          <m:dPr>
            <m:begChr m:val="|"/>
            <m:endChr m:val="|"/>
            <m:ctrlPr>
              <w:rPr>
                <w:rFonts w:ascii="Cambria Math" w:hAnsi="Cambria Math"/>
                <w:i/>
                <w:color w:val="000000"/>
                <w:sz w:val="24"/>
                <w:szCs w:val="24"/>
              </w:rPr>
            </m:ctrlPr>
          </m:dPr>
          <m:e>
            <m:sSub>
              <m:sSubPr>
                <m:ctrlPr>
                  <w:rPr>
                    <w:rFonts w:ascii="Cambria Math" w:hAnsi="Cambria Math"/>
                    <w:i/>
                    <w:color w:val="000000"/>
                    <w:sz w:val="24"/>
                    <w:szCs w:val="24"/>
                  </w:rPr>
                </m:ctrlPr>
              </m:sSubPr>
              <m:e>
                <m:r>
                  <m:rPr/>
                  <w:rPr>
                    <w:rFonts w:hint="eastAsia" w:ascii="Cambria Math" w:hAnsi="Cambria Math"/>
                    <w:color w:val="000000"/>
                    <w:sz w:val="24"/>
                    <w:szCs w:val="24"/>
                  </w:rPr>
                  <m:t>E</m:t>
                </m:r>
                <m:ctrlPr>
                  <w:rPr>
                    <w:rFonts w:ascii="Cambria Math" w:hAnsi="Cambria Math"/>
                    <w:i/>
                    <w:color w:val="000000"/>
                    <w:sz w:val="24"/>
                    <w:szCs w:val="24"/>
                  </w:rPr>
                </m:ctrlPr>
              </m:e>
              <m:sub>
                <m:r>
                  <m:rPr/>
                  <w:rPr>
                    <w:rFonts w:hint="eastAsia" w:ascii="Cambria Math" w:hAnsi="Cambria Math"/>
                    <w:color w:val="000000"/>
                    <w:sz w:val="24"/>
                    <w:szCs w:val="24"/>
                  </w:rPr>
                  <m:t>n</m:t>
                </m:r>
                <m:ctrlPr>
                  <w:rPr>
                    <w:rFonts w:ascii="Cambria Math" w:hAnsi="Cambria Math"/>
                    <w:i/>
                    <w:color w:val="000000"/>
                    <w:sz w:val="24"/>
                    <w:szCs w:val="24"/>
                  </w:rPr>
                </m:ctrlPr>
              </m:sub>
            </m:sSub>
            <m:ctrlPr>
              <w:rPr>
                <w:rFonts w:ascii="Cambria Math" w:hAnsi="Cambria Math"/>
                <w:i/>
                <w:color w:val="000000"/>
                <w:sz w:val="24"/>
                <w:szCs w:val="24"/>
              </w:rPr>
            </m:ctrlPr>
          </m:e>
        </m:d>
        <m:r>
          <m:rPr/>
          <w:rPr>
            <w:rFonts w:ascii="Cambria Math" w:hAnsi="Cambria Math"/>
            <w:color w:val="000000"/>
            <w:sz w:val="24"/>
            <w:szCs w:val="24"/>
          </w:rPr>
          <m:t>≤1</m:t>
        </m:r>
      </m:oMath>
      <w:r>
        <w:rPr>
          <w:rStyle w:val="45"/>
          <w:color w:val="000000"/>
          <w:sz w:val="24"/>
        </w:rPr>
        <w:t>的</w:t>
      </w:r>
      <w:r>
        <w:rPr>
          <w:rFonts w:hint="eastAsia"/>
          <w:color w:val="000000"/>
          <w:sz w:val="24"/>
        </w:rPr>
        <w:t>实验室，且比对宣称不确定度符合建标证书水平，比对结果满意。</w:t>
      </w:r>
    </w:p>
    <w:p>
      <w:pPr>
        <w:pStyle w:val="46"/>
        <w:spacing w:line="360" w:lineRule="auto"/>
        <w:ind w:firstLine="480"/>
        <w:jc w:val="left"/>
      </w:pPr>
      <w:r>
        <w:rPr>
          <w:rFonts w:hint="eastAsia" w:ascii="Times New Roman" w:hAnsi="Times New Roman"/>
          <w:sz w:val="24"/>
          <w:szCs w:val="24"/>
        </w:rPr>
        <w:t>a）</w:t>
      </w:r>
      <w:r>
        <w:rPr>
          <w:rFonts w:hint="eastAsia" w:ascii="Times New Roman" w:hAnsi="Times New Roman"/>
          <w:i/>
          <w:iCs/>
          <w:sz w:val="24"/>
          <w:szCs w:val="24"/>
        </w:rPr>
        <w:t>E</w:t>
      </w:r>
      <w:r>
        <w:rPr>
          <w:rFonts w:hint="eastAsia" w:ascii="Times New Roman" w:hAnsi="Times New Roman"/>
          <w:sz w:val="24"/>
          <w:szCs w:val="24"/>
          <w:vertAlign w:val="subscript"/>
        </w:rPr>
        <w:t>n</w:t>
      </w:r>
      <w:r>
        <w:rPr>
          <w:rFonts w:hint="eastAsia"/>
          <w:color w:val="000000"/>
          <w:sz w:val="24"/>
        </w:rPr>
        <w:t>值评价</w:t>
      </w:r>
      <w:r>
        <w:rPr>
          <w:sz w:val="24"/>
        </w:rPr>
        <w:t>:</w:t>
      </w:r>
    </w:p>
    <w:p>
      <w:pPr>
        <w:snapToGrid w:val="0"/>
        <w:spacing w:line="360" w:lineRule="auto"/>
        <w:ind w:left="1677" w:leftChars="9" w:hanging="1658" w:hangingChars="691"/>
        <w:rPr>
          <w:sz w:val="24"/>
        </w:rPr>
      </w:pPr>
      <w:r>
        <w:rPr>
          <w:sz w:val="24"/>
        </w:rPr>
        <w:t xml:space="preserve">    </w:t>
      </w:r>
      <w:r>
        <w:rPr>
          <w:sz w:val="24"/>
        </w:rPr>
        <w:sym w:font="Symbol" w:char="F07C"/>
      </w:r>
      <w:r>
        <w:rPr>
          <w:i/>
          <w:sz w:val="24"/>
        </w:rPr>
        <w:t>E</w:t>
      </w:r>
      <w:r>
        <w:rPr>
          <w:sz w:val="24"/>
          <w:vertAlign w:val="subscript"/>
        </w:rPr>
        <w:t>n</w:t>
      </w:r>
      <w:r>
        <w:rPr>
          <w:sz w:val="24"/>
        </w:rPr>
        <w:sym w:font="Symbol" w:char="F07C"/>
      </w:r>
      <w:r>
        <w:rPr>
          <w:sz w:val="24"/>
        </w:rPr>
        <w:t>≤1    参加实验室的测量结果与参考值之差</w:t>
      </w:r>
      <w:r>
        <w:rPr>
          <w:rFonts w:hint="eastAsia"/>
          <w:sz w:val="24"/>
        </w:rPr>
        <w:t>相对于不确定度</w:t>
      </w:r>
      <w:r>
        <w:rPr>
          <w:sz w:val="24"/>
        </w:rPr>
        <w:t>在合理的预期之内。</w:t>
      </w:r>
    </w:p>
    <w:p>
      <w:pPr>
        <w:snapToGrid w:val="0"/>
        <w:spacing w:line="360" w:lineRule="auto"/>
        <w:ind w:left="1677" w:leftChars="9" w:hanging="1658" w:hangingChars="691"/>
        <w:rPr>
          <w:sz w:val="24"/>
        </w:rPr>
      </w:pPr>
      <w:r>
        <w:rPr>
          <w:sz w:val="24"/>
        </w:rPr>
        <w:t xml:space="preserve">    </w:t>
      </w:r>
      <w:r>
        <w:rPr>
          <w:sz w:val="24"/>
        </w:rPr>
        <w:sym w:font="Symbol" w:char="F07C"/>
      </w:r>
      <w:r>
        <w:rPr>
          <w:i/>
          <w:sz w:val="24"/>
        </w:rPr>
        <w:t>E</w:t>
      </w:r>
      <w:r>
        <w:rPr>
          <w:sz w:val="24"/>
          <w:vertAlign w:val="subscript"/>
        </w:rPr>
        <w:t>n</w:t>
      </w:r>
      <w:r>
        <w:rPr>
          <w:sz w:val="24"/>
        </w:rPr>
        <w:sym w:font="Symbol" w:char="F07C"/>
      </w:r>
      <w:r>
        <w:rPr>
          <w:sz w:val="24"/>
          <w:vertAlign w:val="subscript"/>
        </w:rPr>
        <w:t xml:space="preserve"> </w:t>
      </w:r>
      <w:r>
        <w:rPr>
          <w:sz w:val="24"/>
        </w:rPr>
        <w:t>＞1    参加实验室的测量结果与参考值之差</w:t>
      </w:r>
      <w:r>
        <w:rPr>
          <w:rFonts w:hint="eastAsia"/>
          <w:sz w:val="24"/>
        </w:rPr>
        <w:t>相对于不确定度</w:t>
      </w:r>
      <w:r>
        <w:rPr>
          <w:sz w:val="24"/>
        </w:rPr>
        <w:t>没有达到合理的预期，应分析原因。</w:t>
      </w:r>
    </w:p>
    <w:p>
      <w:pPr>
        <w:pStyle w:val="46"/>
        <w:spacing w:line="360" w:lineRule="auto"/>
        <w:ind w:firstLine="480"/>
        <w:rPr>
          <w:color w:val="000000"/>
          <w:sz w:val="24"/>
        </w:rPr>
      </w:pPr>
      <w:r>
        <w:rPr>
          <w:rFonts w:hint="eastAsia"/>
          <w:color w:val="000000"/>
          <w:sz w:val="24"/>
        </w:rPr>
        <w:t>b）宣称不确定度评价</w:t>
      </w:r>
    </w:p>
    <w:p>
      <w:pPr>
        <w:spacing w:line="360" w:lineRule="auto"/>
        <w:ind w:firstLine="480" w:firstLineChars="200"/>
        <w:rPr>
          <w:color w:val="000000"/>
          <w:sz w:val="24"/>
        </w:rPr>
      </w:pPr>
      <w:r>
        <w:rPr>
          <w:rFonts w:hint="eastAsia"/>
          <w:color w:val="000000"/>
          <w:sz w:val="24"/>
        </w:rPr>
        <w:t>应对比各参比实验室声称不确定度与建标证书中的相应不确定度，两者的关系应在合理范围内。</w:t>
      </w:r>
    </w:p>
    <w:p>
      <w:pPr>
        <w:spacing w:line="360" w:lineRule="auto"/>
        <w:rPr>
          <w:color w:val="000000"/>
          <w:sz w:val="24"/>
          <w:szCs w:val="24"/>
        </w:rPr>
      </w:pPr>
      <w:r>
        <w:rPr>
          <w:rFonts w:hint="eastAsia"/>
          <w:color w:val="000000"/>
          <w:sz w:val="24"/>
        </w:rPr>
        <w:t>D</w:t>
      </w:r>
      <w:r>
        <w:rPr>
          <w:color w:val="000000"/>
          <w:sz w:val="24"/>
        </w:rPr>
        <w:t>.</w:t>
      </w:r>
      <w:r>
        <w:rPr>
          <w:rFonts w:hint="eastAsia"/>
          <w:color w:val="000000"/>
          <w:sz w:val="24"/>
        </w:rPr>
        <w:t>3</w:t>
      </w:r>
      <w:r>
        <w:rPr>
          <w:color w:val="000000"/>
          <w:sz w:val="24"/>
        </w:rPr>
        <w:t xml:space="preserve">.2 </w:t>
      </w:r>
      <w:r>
        <w:rPr>
          <w:rFonts w:hint="eastAsia"/>
          <w:color w:val="000000"/>
          <w:sz w:val="24"/>
        </w:rPr>
        <w:t>通过Z比分数评价</w:t>
      </w:r>
    </w:p>
    <w:p>
      <w:pPr>
        <w:spacing w:line="360" w:lineRule="auto"/>
        <w:ind w:firstLine="480" w:firstLineChars="200"/>
        <w:jc w:val="left"/>
        <w:rPr>
          <w:color w:val="000000"/>
          <w:sz w:val="24"/>
          <w:szCs w:val="24"/>
        </w:rPr>
      </w:pPr>
      <w:r>
        <w:rPr>
          <w:rFonts w:hint="eastAsia"/>
          <w:color w:val="000000"/>
          <w:sz w:val="24"/>
          <w:szCs w:val="24"/>
        </w:rPr>
        <w:t>第</w:t>
      </w:r>
      <w:r>
        <w:rPr>
          <w:i/>
          <w:color w:val="000000"/>
          <w:sz w:val="24"/>
          <w:szCs w:val="24"/>
        </w:rPr>
        <w:t>i</w:t>
      </w:r>
      <w:r>
        <w:rPr>
          <w:rFonts w:hint="eastAsia"/>
          <w:color w:val="000000"/>
          <w:sz w:val="24"/>
          <w:szCs w:val="24"/>
        </w:rPr>
        <w:t>个实验室的Z比分数值为：</w:t>
      </w:r>
    </w:p>
    <w:tbl>
      <w:tblPr>
        <w:tblStyle w:val="20"/>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46"/>
        <w:gridCol w:w="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63" w:type="dxa"/>
            <w:vAlign w:val="center"/>
          </w:tcPr>
          <w:p>
            <w:pPr>
              <w:spacing w:line="360" w:lineRule="auto"/>
              <w:jc w:val="center"/>
              <w:rPr>
                <w:color w:val="000000"/>
                <w:sz w:val="24"/>
                <w:szCs w:val="24"/>
              </w:rPr>
            </w:pPr>
            <m:oMathPara>
              <m:oMath>
                <m:r>
                  <m:rPr/>
                  <w:rPr>
                    <w:rFonts w:hint="eastAsia" w:ascii="Cambria Math" w:hAnsi="Cambria Math"/>
                    <w:color w:val="000000"/>
                    <w:sz w:val="24"/>
                    <w:szCs w:val="24"/>
                  </w:rPr>
                  <m:t>Z=</m:t>
                </m:r>
                <m:f>
                  <m:fPr>
                    <m:ctrlPr>
                      <w:rPr>
                        <w:rFonts w:ascii="Cambria Math" w:hAnsi="Cambria Math"/>
                        <w:i/>
                        <w:color w:val="000000"/>
                        <w:sz w:val="24"/>
                        <w:szCs w:val="24"/>
                      </w:rPr>
                    </m:ctrlPr>
                  </m:fPr>
                  <m:num>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r>
                      <m:rPr/>
                      <w:rPr>
                        <w:rFonts w:ascii="Cambria Math" w:hAnsi="Cambria Math"/>
                        <w:color w:val="000000"/>
                        <w:sz w:val="24"/>
                        <w:szCs w:val="24"/>
                      </w:rPr>
                      <m:t>−</m:t>
                    </m:r>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r>
                          <m:rPr>
                            <m:sty m:val="p"/>
                          </m:rPr>
                          <w:rPr>
                            <w:rFonts w:hint="eastAsia" w:ascii="Cambria Math" w:hAnsi="Cambria Math"/>
                            <w:color w:val="000000"/>
                            <w:sz w:val="24"/>
                            <w:szCs w:val="24"/>
                          </w:rPr>
                          <m:t>med</m:t>
                        </m:r>
                        <m:ctrlPr>
                          <w:rPr>
                            <w:rFonts w:ascii="Cambria Math" w:hAnsi="Cambria Math"/>
                            <w:i/>
                            <w:color w:val="000000"/>
                            <w:sz w:val="24"/>
                            <w:szCs w:val="24"/>
                          </w:rPr>
                        </m:ctrlPr>
                      </m:sub>
                    </m:sSub>
                    <m:ctrlPr>
                      <w:rPr>
                        <w:rFonts w:ascii="Cambria Math" w:hAnsi="Cambria Math"/>
                        <w:i/>
                        <w:color w:val="000000"/>
                        <w:sz w:val="24"/>
                        <w:szCs w:val="24"/>
                      </w:rPr>
                    </m:ctrlPr>
                  </m:num>
                  <m:den>
                    <m:r>
                      <m:rPr/>
                      <w:rPr>
                        <w:rFonts w:hint="eastAsia" w:ascii="Cambria Math" w:hAnsi="Cambria Math"/>
                        <w:color w:val="000000"/>
                        <w:sz w:val="24"/>
                        <w:szCs w:val="24"/>
                      </w:rPr>
                      <m:t>s</m:t>
                    </m:r>
                    <m:ctrlPr>
                      <w:rPr>
                        <w:rFonts w:ascii="Cambria Math" w:hAnsi="Cambria Math"/>
                        <w:i/>
                        <w:color w:val="000000"/>
                        <w:sz w:val="24"/>
                        <w:szCs w:val="24"/>
                      </w:rPr>
                    </m:ctrlPr>
                  </m:den>
                </m:f>
              </m:oMath>
            </m:oMathPara>
          </w:p>
        </w:tc>
        <w:tc>
          <w:tcPr>
            <w:tcW w:w="759" w:type="dxa"/>
            <w:vAlign w:val="center"/>
          </w:tcPr>
          <w:p>
            <w:pPr>
              <w:spacing w:line="360" w:lineRule="auto"/>
              <w:jc w:val="center"/>
              <w:rPr>
                <w:color w:val="000000"/>
                <w:sz w:val="24"/>
                <w:szCs w:val="24"/>
              </w:rPr>
            </w:pPr>
            <w:r>
              <w:rPr>
                <w:color w:val="000000"/>
                <w:sz w:val="24"/>
                <w:szCs w:val="24"/>
              </w:rPr>
              <w:t>(</w:t>
            </w:r>
            <w:r>
              <w:rPr>
                <w:rFonts w:hint="eastAsia"/>
                <w:color w:val="000000"/>
                <w:sz w:val="24"/>
                <w:szCs w:val="24"/>
              </w:rPr>
              <w:t>D</w:t>
            </w:r>
            <w:r>
              <w:rPr>
                <w:color w:val="000000"/>
                <w:sz w:val="24"/>
                <w:szCs w:val="24"/>
              </w:rPr>
              <w:t>.10)</w:t>
            </w:r>
          </w:p>
        </w:tc>
      </w:tr>
    </w:tbl>
    <w:p>
      <w:pPr>
        <w:spacing w:line="360" w:lineRule="auto"/>
        <w:jc w:val="left"/>
        <w:rPr>
          <w:color w:val="000000"/>
          <w:sz w:val="24"/>
          <w:szCs w:val="24"/>
        </w:rPr>
      </w:pPr>
      <w:r>
        <w:rPr>
          <w:rFonts w:hint="eastAsia"/>
          <w:color w:val="000000"/>
          <w:sz w:val="24"/>
          <w:szCs w:val="24"/>
        </w:rPr>
        <w:t>式中：</w:t>
      </w:r>
      <m:oMath>
        <m:r>
          <m:rPr/>
          <w:rPr>
            <w:rFonts w:hint="eastAsia" w:ascii="Cambria Math" w:hAnsi="Cambria Math"/>
            <w:color w:val="000000"/>
            <w:sz w:val="24"/>
            <w:szCs w:val="24"/>
          </w:rPr>
          <m:t>s</m:t>
        </m:r>
      </m:oMath>
      <w:r>
        <w:rPr>
          <w:rStyle w:val="45"/>
          <w:color w:val="000000"/>
          <w:sz w:val="24"/>
          <w:szCs w:val="24"/>
        </w:rPr>
        <w:t>——</w:t>
      </w:r>
      <w:r>
        <w:rPr>
          <w:rStyle w:val="45"/>
          <w:rFonts w:hint="eastAsia"/>
          <w:color w:val="000000"/>
          <w:sz w:val="24"/>
          <w:szCs w:val="24"/>
        </w:rPr>
        <w:t>所有参比实验室测量结果发散性的估计量，一般采用样本标准差或标准化四分位间距（</w:t>
      </w:r>
      <w:r>
        <w:rPr>
          <w:rStyle w:val="45"/>
          <w:rFonts w:hint="eastAsia"/>
          <w:i/>
          <w:iCs/>
          <w:color w:val="000000"/>
          <w:sz w:val="24"/>
          <w:szCs w:val="24"/>
        </w:rPr>
        <w:t>NIQR</w:t>
      </w:r>
      <w:r>
        <w:rPr>
          <w:rStyle w:val="45"/>
          <w:rFonts w:hint="eastAsia"/>
          <w:color w:val="000000"/>
          <w:sz w:val="24"/>
          <w:szCs w:val="24"/>
        </w:rPr>
        <w:t>）作为结果发散性的量度。</w:t>
      </w:r>
      <w:r>
        <w:rPr>
          <w:rStyle w:val="45"/>
          <w:rFonts w:hint="eastAsia"/>
          <w:i/>
          <w:iCs/>
          <w:color w:val="000000"/>
          <w:sz w:val="24"/>
          <w:szCs w:val="24"/>
        </w:rPr>
        <w:t>NIQR</w:t>
      </w:r>
      <w:r>
        <w:rPr>
          <w:rStyle w:val="45"/>
          <w:rFonts w:hint="eastAsia"/>
          <w:color w:val="000000"/>
          <w:sz w:val="24"/>
          <w:szCs w:val="24"/>
        </w:rPr>
        <w:t>与标准偏差相类似。处理方法是采用</w:t>
      </w:r>
      <w:r>
        <w:rPr>
          <w:rStyle w:val="45"/>
          <w:rFonts w:hint="eastAsia"/>
          <w:i/>
          <w:iCs/>
          <w:color w:val="000000"/>
          <w:sz w:val="24"/>
          <w:szCs w:val="24"/>
        </w:rPr>
        <w:t>NIQR</w:t>
      </w:r>
      <w:r>
        <w:rPr>
          <w:rStyle w:val="45"/>
          <w:rFonts w:hint="eastAsia"/>
          <w:color w:val="000000"/>
          <w:sz w:val="24"/>
          <w:szCs w:val="24"/>
        </w:rPr>
        <w:t>：</w:t>
      </w:r>
    </w:p>
    <w:tbl>
      <w:tblPr>
        <w:tblStyle w:val="20"/>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55"/>
        <w:gridCol w:w="8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63" w:type="dxa"/>
            <w:vAlign w:val="center"/>
          </w:tcPr>
          <w:p>
            <w:pPr>
              <w:spacing w:line="360" w:lineRule="auto"/>
              <w:jc w:val="center"/>
              <w:rPr>
                <w:color w:val="000000"/>
                <w:sz w:val="24"/>
                <w:szCs w:val="24"/>
              </w:rPr>
            </w:pPr>
            <m:oMathPara>
              <m:oMath>
                <m:r>
                  <m:rPr/>
                  <w:rPr>
                    <w:rFonts w:hint="eastAsia" w:ascii="Cambria Math" w:hAnsi="Cambria Math"/>
                    <w:color w:val="000000"/>
                    <w:sz w:val="24"/>
                    <w:szCs w:val="24"/>
                  </w:rPr>
                  <m:t>s=NIQR=IQR</m:t>
                </m:r>
                <m:r>
                  <m:rPr/>
                  <w:rPr>
                    <w:rFonts w:ascii="Cambria Math" w:hAnsi="Cambria Math"/>
                    <w:color w:val="000000"/>
                    <w:sz w:val="24"/>
                    <w:szCs w:val="24"/>
                  </w:rPr>
                  <m:t>×0.7413</m:t>
                </m:r>
              </m:oMath>
            </m:oMathPara>
          </w:p>
        </w:tc>
        <w:tc>
          <w:tcPr>
            <w:tcW w:w="759" w:type="dxa"/>
            <w:vAlign w:val="center"/>
          </w:tcPr>
          <w:p>
            <w:pPr>
              <w:spacing w:line="360" w:lineRule="auto"/>
              <w:jc w:val="center"/>
              <w:rPr>
                <w:color w:val="000000"/>
                <w:sz w:val="24"/>
                <w:szCs w:val="24"/>
              </w:rPr>
            </w:pPr>
            <w:r>
              <w:rPr>
                <w:color w:val="000000"/>
                <w:sz w:val="24"/>
                <w:szCs w:val="24"/>
              </w:rPr>
              <w:t>(</w:t>
            </w:r>
            <w:r>
              <w:rPr>
                <w:rFonts w:hint="eastAsia"/>
                <w:color w:val="000000"/>
                <w:sz w:val="24"/>
                <w:szCs w:val="24"/>
              </w:rPr>
              <w:t>D</w:t>
            </w:r>
            <w:r>
              <w:rPr>
                <w:color w:val="000000"/>
                <w:sz w:val="24"/>
                <w:szCs w:val="24"/>
              </w:rPr>
              <w:t>.11)</w:t>
            </w:r>
          </w:p>
        </w:tc>
      </w:tr>
    </w:tbl>
    <w:p>
      <w:pPr>
        <w:spacing w:line="360" w:lineRule="auto"/>
        <w:rPr>
          <w:color w:val="000000"/>
          <w:sz w:val="24"/>
          <w:szCs w:val="24"/>
        </w:rPr>
      </w:pPr>
      <w:r>
        <w:rPr>
          <w:rFonts w:hint="eastAsia"/>
          <w:color w:val="000000"/>
          <w:sz w:val="24"/>
          <w:szCs w:val="24"/>
        </w:rPr>
        <w:t>式中，</w:t>
      </w:r>
      <w:r>
        <w:rPr>
          <w:rStyle w:val="45"/>
          <w:rFonts w:hint="eastAsia"/>
          <w:i/>
          <w:iCs/>
          <w:color w:val="000000"/>
          <w:sz w:val="24"/>
          <w:szCs w:val="24"/>
        </w:rPr>
        <w:t>IQR</w:t>
      </w:r>
      <w:r>
        <w:rPr>
          <w:rFonts w:hint="eastAsia"/>
          <w:color w:val="000000"/>
          <w:sz w:val="24"/>
          <w:szCs w:val="24"/>
        </w:rPr>
        <w:t>为四分位间距，是高四分位数值和低四分位数值的差值，即：</w:t>
      </w:r>
    </w:p>
    <w:tbl>
      <w:tblPr>
        <w:tblStyle w:val="20"/>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46"/>
        <w:gridCol w:w="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63" w:type="dxa"/>
            <w:vAlign w:val="center"/>
          </w:tcPr>
          <w:p>
            <w:pPr>
              <w:spacing w:line="360" w:lineRule="auto"/>
              <w:jc w:val="center"/>
              <w:rPr>
                <w:color w:val="000000"/>
                <w:sz w:val="24"/>
                <w:szCs w:val="24"/>
              </w:rPr>
            </w:pPr>
            <m:oMathPara>
              <m:oMath>
                <m:r>
                  <m:rPr/>
                  <w:rPr>
                    <w:rFonts w:hint="eastAsia" w:ascii="Cambria Math" w:hAnsi="Cambria Math"/>
                    <w:color w:val="000000"/>
                    <w:sz w:val="24"/>
                    <w:szCs w:val="24"/>
                  </w:rPr>
                  <m:t>IQR=</m:t>
                </m:r>
                <m:sSub>
                  <m:sSubPr>
                    <m:ctrlPr>
                      <w:rPr>
                        <w:rFonts w:ascii="Cambria Math" w:hAnsi="Cambria Math"/>
                        <w:i/>
                        <w:color w:val="000000"/>
                        <w:sz w:val="24"/>
                        <w:szCs w:val="24"/>
                      </w:rPr>
                    </m:ctrlPr>
                  </m:sSubPr>
                  <m:e>
                    <m:r>
                      <m:rPr/>
                      <w:rPr>
                        <w:rFonts w:hint="eastAsia" w:ascii="Cambria Math" w:hAnsi="Cambria Math"/>
                        <w:color w:val="000000"/>
                        <w:sz w:val="24"/>
                        <w:szCs w:val="24"/>
                      </w:rPr>
                      <m:t>Q</m:t>
                    </m:r>
                    <m:ctrlPr>
                      <w:rPr>
                        <w:rFonts w:ascii="Cambria Math" w:hAnsi="Cambria Math"/>
                        <w:i/>
                        <w:color w:val="000000"/>
                        <w:sz w:val="24"/>
                        <w:szCs w:val="24"/>
                      </w:rPr>
                    </m:ctrlPr>
                  </m:e>
                  <m:sub>
                    <m:r>
                      <m:rPr/>
                      <w:rPr>
                        <w:rFonts w:ascii="Cambria Math" w:hAnsi="Cambria Math"/>
                        <w:color w:val="000000"/>
                        <w:sz w:val="24"/>
                        <w:szCs w:val="24"/>
                      </w:rPr>
                      <m:t>3</m:t>
                    </m:r>
                    <m:ctrlPr>
                      <w:rPr>
                        <w:rFonts w:ascii="Cambria Math" w:hAnsi="Cambria Math"/>
                        <w:i/>
                        <w:color w:val="000000"/>
                        <w:sz w:val="24"/>
                        <w:szCs w:val="24"/>
                      </w:rPr>
                    </m:ctrlPr>
                  </m:sub>
                </m:sSub>
                <m:r>
                  <m:rPr/>
                  <w:rPr>
                    <w:rFonts w:ascii="Cambria Math" w:hAnsi="Cambria Math"/>
                    <w:color w:val="000000"/>
                    <w:sz w:val="24"/>
                    <w:szCs w:val="24"/>
                  </w:rPr>
                  <m:t>−</m:t>
                </m:r>
                <m:sSub>
                  <m:sSubPr>
                    <m:ctrlPr>
                      <w:rPr>
                        <w:rFonts w:ascii="Cambria Math" w:hAnsi="Cambria Math"/>
                        <w:i/>
                        <w:color w:val="000000"/>
                        <w:sz w:val="24"/>
                        <w:szCs w:val="24"/>
                      </w:rPr>
                    </m:ctrlPr>
                  </m:sSubPr>
                  <m:e>
                    <m:r>
                      <m:rPr/>
                      <w:rPr>
                        <w:rFonts w:hint="eastAsia" w:ascii="Cambria Math" w:hAnsi="Cambria Math"/>
                        <w:color w:val="000000"/>
                        <w:sz w:val="24"/>
                        <w:szCs w:val="24"/>
                      </w:rPr>
                      <m:t>Q</m:t>
                    </m:r>
                    <m:ctrlPr>
                      <w:rPr>
                        <w:rFonts w:ascii="Cambria Math" w:hAnsi="Cambria Math"/>
                        <w:i/>
                        <w:color w:val="000000"/>
                        <w:sz w:val="24"/>
                        <w:szCs w:val="24"/>
                      </w:rPr>
                    </m:ctrlPr>
                  </m:e>
                  <m:sub>
                    <m:r>
                      <m:rPr/>
                      <w:rPr>
                        <w:rFonts w:ascii="Cambria Math" w:hAnsi="Cambria Math"/>
                        <w:color w:val="000000"/>
                        <w:sz w:val="24"/>
                        <w:szCs w:val="24"/>
                      </w:rPr>
                      <m:t>1</m:t>
                    </m:r>
                    <m:ctrlPr>
                      <w:rPr>
                        <w:rFonts w:ascii="Cambria Math" w:hAnsi="Cambria Math"/>
                        <w:i/>
                        <w:color w:val="000000"/>
                        <w:sz w:val="24"/>
                        <w:szCs w:val="24"/>
                      </w:rPr>
                    </m:ctrlPr>
                  </m:sub>
                </m:sSub>
              </m:oMath>
            </m:oMathPara>
          </w:p>
        </w:tc>
        <w:tc>
          <w:tcPr>
            <w:tcW w:w="823" w:type="dxa"/>
            <w:vAlign w:val="center"/>
          </w:tcPr>
          <w:p>
            <w:pPr>
              <w:spacing w:line="360" w:lineRule="auto"/>
              <w:jc w:val="center"/>
              <w:rPr>
                <w:color w:val="000000"/>
                <w:sz w:val="24"/>
                <w:szCs w:val="24"/>
              </w:rPr>
            </w:pPr>
            <w:r>
              <w:rPr>
                <w:color w:val="000000"/>
                <w:sz w:val="24"/>
                <w:szCs w:val="24"/>
              </w:rPr>
              <w:t>(</w:t>
            </w:r>
            <w:r>
              <w:rPr>
                <w:rFonts w:hint="eastAsia"/>
                <w:color w:val="000000"/>
                <w:sz w:val="24"/>
                <w:szCs w:val="24"/>
              </w:rPr>
              <w:t>D</w:t>
            </w:r>
            <w:r>
              <w:rPr>
                <w:color w:val="000000"/>
                <w:sz w:val="24"/>
                <w:szCs w:val="24"/>
              </w:rPr>
              <w:t>.12)</w:t>
            </w:r>
          </w:p>
        </w:tc>
      </w:tr>
    </w:tbl>
    <w:p>
      <w:pPr>
        <w:spacing w:line="360" w:lineRule="auto"/>
        <w:rPr>
          <w:rStyle w:val="45"/>
          <w:color w:val="000000"/>
          <w:sz w:val="24"/>
          <w:szCs w:val="24"/>
        </w:rPr>
      </w:pPr>
      <w:r>
        <w:rPr>
          <w:rFonts w:hint="eastAsia"/>
          <w:color w:val="000000"/>
          <w:sz w:val="24"/>
          <w:szCs w:val="24"/>
        </w:rPr>
        <w:t>其中，低四分位数值</w:t>
      </w:r>
      <m:oMath>
        <m:sSub>
          <m:sSubPr>
            <m:ctrlPr>
              <w:rPr>
                <w:rFonts w:ascii="Cambria Math" w:hAnsi="Cambria Math"/>
                <w:i/>
                <w:color w:val="000000"/>
                <w:sz w:val="24"/>
                <w:szCs w:val="24"/>
              </w:rPr>
            </m:ctrlPr>
          </m:sSubPr>
          <m:e>
            <m:r>
              <m:rPr/>
              <w:rPr>
                <w:rFonts w:hint="eastAsia" w:ascii="Cambria Math" w:hAnsi="Cambria Math"/>
                <w:color w:val="000000"/>
                <w:sz w:val="24"/>
                <w:szCs w:val="24"/>
              </w:rPr>
              <m:t>Q</m:t>
            </m:r>
            <m:ctrlPr>
              <w:rPr>
                <w:rFonts w:ascii="Cambria Math" w:hAnsi="Cambria Math"/>
                <w:i/>
                <w:color w:val="000000"/>
                <w:sz w:val="24"/>
                <w:szCs w:val="24"/>
              </w:rPr>
            </m:ctrlPr>
          </m:e>
          <m:sub>
            <m:r>
              <m:rPr/>
              <w:rPr>
                <w:rFonts w:ascii="Cambria Math" w:hAnsi="Cambria Math"/>
                <w:color w:val="000000"/>
                <w:sz w:val="24"/>
                <w:szCs w:val="24"/>
              </w:rPr>
              <m:t>1</m:t>
            </m:r>
            <m:ctrlPr>
              <w:rPr>
                <w:rFonts w:ascii="Cambria Math" w:hAnsi="Cambria Math"/>
                <w:i/>
                <w:color w:val="000000"/>
                <w:sz w:val="24"/>
                <w:szCs w:val="24"/>
              </w:rPr>
            </m:ctrlPr>
          </m:sub>
        </m:sSub>
      </m:oMath>
      <w:r>
        <w:rPr>
          <w:rStyle w:val="45"/>
          <w:rFonts w:hint="eastAsia"/>
          <w:color w:val="000000"/>
          <w:sz w:val="24"/>
          <w:szCs w:val="24"/>
        </w:rPr>
        <w:t>是低于结果的四分之一处的最近值，高四分位数值</w:t>
      </w:r>
      <m:oMath>
        <m:sSub>
          <m:sSubPr>
            <m:ctrlPr>
              <w:rPr>
                <w:rFonts w:ascii="Cambria Math" w:hAnsi="Cambria Math"/>
                <w:i/>
                <w:color w:val="000000"/>
                <w:sz w:val="24"/>
                <w:szCs w:val="24"/>
              </w:rPr>
            </m:ctrlPr>
          </m:sSubPr>
          <m:e>
            <m:r>
              <m:rPr/>
              <w:rPr>
                <w:rFonts w:hint="eastAsia" w:ascii="Cambria Math" w:hAnsi="Cambria Math"/>
                <w:color w:val="000000"/>
                <w:sz w:val="24"/>
                <w:szCs w:val="24"/>
              </w:rPr>
              <m:t>Q</m:t>
            </m:r>
            <m:ctrlPr>
              <w:rPr>
                <w:rFonts w:ascii="Cambria Math" w:hAnsi="Cambria Math"/>
                <w:i/>
                <w:color w:val="000000"/>
                <w:sz w:val="24"/>
                <w:szCs w:val="24"/>
              </w:rPr>
            </m:ctrlPr>
          </m:e>
          <m:sub>
            <m:r>
              <m:rPr/>
              <w:rPr>
                <w:rFonts w:ascii="Cambria Math" w:hAnsi="Cambria Math"/>
                <w:color w:val="000000"/>
                <w:sz w:val="24"/>
                <w:szCs w:val="24"/>
              </w:rPr>
              <m:t>3</m:t>
            </m:r>
            <m:ctrlPr>
              <w:rPr>
                <w:rFonts w:ascii="Cambria Math" w:hAnsi="Cambria Math"/>
                <w:i/>
                <w:color w:val="000000"/>
                <w:sz w:val="24"/>
                <w:szCs w:val="24"/>
              </w:rPr>
            </m:ctrlPr>
          </m:sub>
        </m:sSub>
      </m:oMath>
      <w:r>
        <w:rPr>
          <w:rStyle w:val="45"/>
          <w:rFonts w:hint="eastAsia"/>
          <w:color w:val="000000"/>
          <w:sz w:val="24"/>
          <w:szCs w:val="24"/>
        </w:rPr>
        <w:t>是高于结果四分之三处的最近值。在大多数情况下</w:t>
      </w:r>
      <m:oMath>
        <m:sSub>
          <m:sSubPr>
            <m:ctrlPr>
              <w:rPr>
                <w:rFonts w:ascii="Cambria Math" w:hAnsi="Cambria Math"/>
                <w:i/>
                <w:color w:val="000000"/>
                <w:sz w:val="24"/>
                <w:szCs w:val="24"/>
              </w:rPr>
            </m:ctrlPr>
          </m:sSubPr>
          <m:e>
            <m:r>
              <m:rPr/>
              <w:rPr>
                <w:rFonts w:hint="eastAsia" w:ascii="Cambria Math" w:hAnsi="Cambria Math"/>
                <w:color w:val="000000"/>
                <w:sz w:val="24"/>
                <w:szCs w:val="24"/>
              </w:rPr>
              <m:t>Q</m:t>
            </m:r>
            <m:ctrlPr>
              <w:rPr>
                <w:rFonts w:ascii="Cambria Math" w:hAnsi="Cambria Math"/>
                <w:i/>
                <w:color w:val="000000"/>
                <w:sz w:val="24"/>
                <w:szCs w:val="24"/>
              </w:rPr>
            </m:ctrlPr>
          </m:e>
          <m:sub>
            <m:r>
              <m:rPr/>
              <w:rPr>
                <w:rFonts w:ascii="Cambria Math" w:hAnsi="Cambria Math"/>
                <w:color w:val="000000"/>
                <w:sz w:val="24"/>
                <w:szCs w:val="24"/>
              </w:rPr>
              <m:t>1</m:t>
            </m:r>
            <m:ctrlPr>
              <w:rPr>
                <w:rFonts w:ascii="Cambria Math" w:hAnsi="Cambria Math"/>
                <w:i/>
                <w:color w:val="000000"/>
                <w:sz w:val="24"/>
                <w:szCs w:val="24"/>
              </w:rPr>
            </m:ctrlPr>
          </m:sub>
        </m:sSub>
      </m:oMath>
      <w:r>
        <w:rPr>
          <w:rStyle w:val="45"/>
          <w:rFonts w:hint="eastAsia"/>
          <w:color w:val="000000"/>
          <w:sz w:val="24"/>
          <w:szCs w:val="24"/>
        </w:rPr>
        <w:t>和</w:t>
      </w:r>
      <m:oMath>
        <m:sSub>
          <m:sSubPr>
            <m:ctrlPr>
              <w:rPr>
                <w:rFonts w:ascii="Cambria Math" w:hAnsi="Cambria Math"/>
                <w:i/>
                <w:color w:val="000000"/>
                <w:sz w:val="24"/>
                <w:szCs w:val="24"/>
              </w:rPr>
            </m:ctrlPr>
          </m:sSubPr>
          <m:e>
            <m:r>
              <m:rPr/>
              <w:rPr>
                <w:rFonts w:hint="eastAsia" w:ascii="Cambria Math" w:hAnsi="Cambria Math"/>
                <w:color w:val="000000"/>
                <w:sz w:val="24"/>
                <w:szCs w:val="24"/>
              </w:rPr>
              <m:t>Q</m:t>
            </m:r>
            <m:ctrlPr>
              <w:rPr>
                <w:rFonts w:ascii="Cambria Math" w:hAnsi="Cambria Math"/>
                <w:i/>
                <w:color w:val="000000"/>
                <w:sz w:val="24"/>
                <w:szCs w:val="24"/>
              </w:rPr>
            </m:ctrlPr>
          </m:e>
          <m:sub>
            <m:r>
              <m:rPr/>
              <w:rPr>
                <w:rFonts w:ascii="Cambria Math" w:hAnsi="Cambria Math"/>
                <w:color w:val="000000"/>
                <w:sz w:val="24"/>
                <w:szCs w:val="24"/>
              </w:rPr>
              <m:t>3</m:t>
            </m:r>
            <m:ctrlPr>
              <w:rPr>
                <w:rFonts w:ascii="Cambria Math" w:hAnsi="Cambria Math"/>
                <w:i/>
                <w:color w:val="000000"/>
                <w:sz w:val="24"/>
                <w:szCs w:val="24"/>
              </w:rPr>
            </m:ctrlPr>
          </m:sub>
        </m:sSub>
      </m:oMath>
      <w:r>
        <w:rPr>
          <w:rStyle w:val="45"/>
          <w:rFonts w:hint="eastAsia"/>
          <w:color w:val="000000"/>
          <w:sz w:val="24"/>
          <w:szCs w:val="24"/>
        </w:rPr>
        <w:t>通过数据值之间的内插法获得。</w:t>
      </w:r>
    </w:p>
    <w:p>
      <w:pPr>
        <w:spacing w:line="360" w:lineRule="auto"/>
        <w:ind w:firstLine="480" w:firstLineChars="200"/>
        <w:rPr>
          <w:rStyle w:val="45"/>
          <w:color w:val="000000"/>
          <w:sz w:val="24"/>
          <w:szCs w:val="24"/>
        </w:rPr>
      </w:pPr>
      <w:r>
        <w:rPr>
          <w:rStyle w:val="45"/>
          <w:rFonts w:hint="eastAsia"/>
          <w:color w:val="000000"/>
          <w:sz w:val="24"/>
          <w:szCs w:val="24"/>
        </w:rPr>
        <w:t>参比实验室的比对结果是否有效的评判原则：</w:t>
      </w:r>
    </w:p>
    <w:p>
      <w:pPr>
        <w:spacing w:line="360" w:lineRule="auto"/>
        <w:ind w:firstLine="480" w:firstLineChars="200"/>
        <w:rPr>
          <w:rStyle w:val="45"/>
          <w:color w:val="000000"/>
          <w:sz w:val="24"/>
          <w:szCs w:val="24"/>
        </w:rPr>
      </w:pPr>
      <w:r>
        <w:rPr>
          <w:rStyle w:val="45"/>
          <w:rFonts w:hint="eastAsia"/>
          <w:color w:val="000000"/>
          <w:sz w:val="24"/>
          <w:szCs w:val="24"/>
        </w:rPr>
        <w:t>当</w:t>
      </w:r>
      <m:oMath>
        <m:d>
          <m:dPr>
            <m:begChr m:val="|"/>
            <m:endChr m:val="|"/>
            <m:ctrlPr>
              <w:rPr>
                <w:rFonts w:ascii="Cambria Math" w:hAnsi="Cambria Math"/>
                <w:i/>
                <w:color w:val="000000"/>
                <w:sz w:val="24"/>
                <w:szCs w:val="24"/>
              </w:rPr>
            </m:ctrlPr>
          </m:dPr>
          <m:e>
            <m:r>
              <m:rPr/>
              <w:rPr>
                <w:rFonts w:hint="eastAsia" w:ascii="Cambria Math" w:hAnsi="Cambria Math"/>
                <w:color w:val="000000"/>
                <w:sz w:val="24"/>
                <w:szCs w:val="24"/>
              </w:rPr>
              <m:t>Z</m:t>
            </m:r>
            <m:ctrlPr>
              <w:rPr>
                <w:rFonts w:ascii="Cambria Math" w:hAnsi="Cambria Math"/>
                <w:i/>
                <w:color w:val="000000"/>
                <w:sz w:val="24"/>
                <w:szCs w:val="24"/>
              </w:rPr>
            </m:ctrlPr>
          </m:e>
        </m:d>
        <m:r>
          <m:rPr/>
          <w:rPr>
            <w:rFonts w:ascii="Cambria Math" w:hAnsi="Cambria Math"/>
            <w:color w:val="000000"/>
            <w:sz w:val="24"/>
            <w:szCs w:val="24"/>
          </w:rPr>
          <m:t>≤2</m:t>
        </m:r>
      </m:oMath>
      <w:r>
        <w:rPr>
          <w:rStyle w:val="45"/>
          <w:rFonts w:hint="eastAsia"/>
          <w:color w:val="000000"/>
          <w:sz w:val="24"/>
          <w:szCs w:val="24"/>
        </w:rPr>
        <w:t>时，比对结果在合理的预期范围之内；</w:t>
      </w:r>
    </w:p>
    <w:p>
      <w:pPr>
        <w:spacing w:line="360" w:lineRule="auto"/>
        <w:ind w:firstLine="480" w:firstLineChars="200"/>
        <w:rPr>
          <w:rStyle w:val="45"/>
          <w:color w:val="000000"/>
          <w:sz w:val="24"/>
          <w:szCs w:val="24"/>
        </w:rPr>
      </w:pPr>
      <w:r>
        <w:rPr>
          <w:rStyle w:val="45"/>
          <w:rFonts w:hint="eastAsia"/>
          <w:color w:val="000000"/>
          <w:sz w:val="24"/>
          <w:szCs w:val="24"/>
        </w:rPr>
        <w:t>当</w:t>
      </w:r>
      <m:oMath>
        <m:r>
          <m:rPr/>
          <w:rPr>
            <w:rFonts w:ascii="Cambria Math" w:hAnsi="Cambria Math"/>
            <w:color w:val="000000"/>
            <w:sz w:val="24"/>
            <w:szCs w:val="24"/>
          </w:rPr>
          <m:t>2&lt;</m:t>
        </m:r>
        <m:d>
          <m:dPr>
            <m:begChr m:val="|"/>
            <m:endChr m:val="|"/>
            <m:ctrlPr>
              <w:rPr>
                <w:rFonts w:ascii="Cambria Math" w:hAnsi="Cambria Math"/>
                <w:i/>
                <w:color w:val="000000"/>
                <w:sz w:val="24"/>
                <w:szCs w:val="24"/>
              </w:rPr>
            </m:ctrlPr>
          </m:dPr>
          <m:e>
            <m:r>
              <m:rPr/>
              <w:rPr>
                <w:rFonts w:hint="eastAsia" w:ascii="Cambria Math" w:hAnsi="Cambria Math"/>
                <w:color w:val="000000"/>
                <w:sz w:val="24"/>
                <w:szCs w:val="24"/>
              </w:rPr>
              <m:t>Z</m:t>
            </m:r>
            <m:ctrlPr>
              <w:rPr>
                <w:rFonts w:ascii="Cambria Math" w:hAnsi="Cambria Math"/>
                <w:i/>
                <w:color w:val="000000"/>
                <w:sz w:val="24"/>
                <w:szCs w:val="24"/>
              </w:rPr>
            </m:ctrlPr>
          </m:e>
        </m:d>
        <m:r>
          <m:rPr/>
          <w:rPr>
            <w:rFonts w:ascii="Cambria Math" w:hAnsi="Cambria Math"/>
            <w:color w:val="000000"/>
            <w:sz w:val="24"/>
            <w:szCs w:val="24"/>
          </w:rPr>
          <m:t>&lt;3</m:t>
        </m:r>
      </m:oMath>
      <w:r>
        <w:rPr>
          <w:rStyle w:val="45"/>
          <w:rFonts w:hint="eastAsia"/>
          <w:color w:val="000000"/>
          <w:sz w:val="24"/>
          <w:szCs w:val="24"/>
        </w:rPr>
        <w:t>，比对结果与合理的预期结果有差距，结果可疑，应分析原因；</w:t>
      </w:r>
    </w:p>
    <w:p>
      <w:pPr>
        <w:spacing w:line="360" w:lineRule="auto"/>
        <w:ind w:firstLine="480" w:firstLineChars="200"/>
        <w:rPr>
          <w:rStyle w:val="45"/>
          <w:color w:val="000000"/>
          <w:sz w:val="24"/>
          <w:szCs w:val="24"/>
        </w:rPr>
      </w:pPr>
      <w:r>
        <w:rPr>
          <w:rStyle w:val="45"/>
          <w:rFonts w:hint="eastAsia"/>
          <w:color w:val="000000"/>
          <w:sz w:val="24"/>
          <w:szCs w:val="24"/>
        </w:rPr>
        <w:t>当</w:t>
      </w:r>
      <m:oMath>
        <m:d>
          <m:dPr>
            <m:begChr m:val="|"/>
            <m:endChr m:val="|"/>
            <m:ctrlPr>
              <w:rPr>
                <w:rFonts w:ascii="Cambria Math" w:hAnsi="Cambria Math"/>
                <w:i/>
                <w:color w:val="000000"/>
                <w:sz w:val="24"/>
                <w:szCs w:val="24"/>
              </w:rPr>
            </m:ctrlPr>
          </m:dPr>
          <m:e>
            <m:r>
              <m:rPr/>
              <w:rPr>
                <w:rFonts w:hint="eastAsia" w:ascii="Cambria Math" w:hAnsi="Cambria Math"/>
                <w:color w:val="000000"/>
                <w:sz w:val="24"/>
                <w:szCs w:val="24"/>
              </w:rPr>
              <m:t>Z</m:t>
            </m:r>
            <m:ctrlPr>
              <w:rPr>
                <w:rFonts w:ascii="Cambria Math" w:hAnsi="Cambria Math"/>
                <w:i/>
                <w:color w:val="000000"/>
                <w:sz w:val="24"/>
                <w:szCs w:val="24"/>
              </w:rPr>
            </m:ctrlPr>
          </m:e>
        </m:d>
        <m:r>
          <m:rPr/>
          <w:rPr>
            <w:rFonts w:ascii="Cambria Math" w:hAnsi="Cambria Math"/>
            <w:color w:val="000000"/>
            <w:sz w:val="24"/>
            <w:szCs w:val="24"/>
          </w:rPr>
          <m:t>≥3</m:t>
        </m:r>
      </m:oMath>
      <w:r>
        <w:rPr>
          <w:rStyle w:val="45"/>
          <w:rFonts w:hint="eastAsia"/>
          <w:color w:val="000000"/>
          <w:sz w:val="24"/>
          <w:szCs w:val="24"/>
        </w:rPr>
        <w:t>，比对结果没有达到合理的预期，应分析原因。</w:t>
      </w:r>
    </w:p>
    <w:p>
      <w:pPr>
        <w:snapToGrid w:val="0"/>
        <w:spacing w:line="360" w:lineRule="auto"/>
        <w:rPr>
          <w:sz w:val="24"/>
        </w:rPr>
      </w:pPr>
    </w:p>
    <w:p>
      <w:pPr>
        <w:pStyle w:val="3"/>
        <w:spacing w:before="0" w:after="93" w:afterLines="30" w:line="360" w:lineRule="auto"/>
        <w:rPr>
          <w:rFonts w:ascii="Times New Roman" w:hAnsi="Times New Roman" w:eastAsia="宋体-18030"/>
          <w:b w:val="0"/>
          <w:sz w:val="24"/>
        </w:rPr>
      </w:pPr>
      <w:bookmarkStart w:id="108" w:name="_Toc137854340"/>
      <w:bookmarkStart w:id="109" w:name="_Toc239495266"/>
      <w:r>
        <w:rPr>
          <w:rFonts w:ascii="Times New Roman" w:hAnsi="Times New Roman" w:eastAsia="宋体-18030"/>
          <w:b w:val="0"/>
          <w:sz w:val="24"/>
        </w:rPr>
        <w:t>D.</w:t>
      </w:r>
      <w:r>
        <w:rPr>
          <w:rFonts w:hint="eastAsia" w:ascii="Times New Roman" w:hAnsi="Times New Roman" w:eastAsia="宋体-18030"/>
          <w:b w:val="0"/>
          <w:sz w:val="24"/>
        </w:rPr>
        <w:t xml:space="preserve">4 </w:t>
      </w:r>
      <w:r>
        <w:rPr>
          <w:rFonts w:ascii="Times New Roman" w:hAnsi="Times New Roman" w:eastAsia="宋体-18030"/>
          <w:b w:val="0"/>
          <w:sz w:val="24"/>
        </w:rPr>
        <w:t>对比对结果的分析</w:t>
      </w:r>
      <w:bookmarkEnd w:id="108"/>
      <w:bookmarkEnd w:id="109"/>
    </w:p>
    <w:p>
      <w:pPr>
        <w:pStyle w:val="7"/>
        <w:snapToGrid w:val="0"/>
        <w:spacing w:line="360" w:lineRule="auto"/>
        <w:ind w:firstLine="480" w:firstLineChars="200"/>
        <w:rPr>
          <w:sz w:val="24"/>
        </w:rPr>
      </w:pPr>
      <w:r>
        <w:rPr>
          <w:sz w:val="24"/>
        </w:rPr>
        <w:t>比对结论应在分析、研究后得出。</w:t>
      </w:r>
    </w:p>
    <w:p>
      <w:pPr>
        <w:pStyle w:val="7"/>
        <w:snapToGrid w:val="0"/>
        <w:spacing w:line="360" w:lineRule="auto"/>
        <w:rPr>
          <w:kern w:val="0"/>
          <w:sz w:val="24"/>
        </w:rPr>
      </w:pPr>
      <w:r>
        <w:rPr>
          <w:kern w:val="0"/>
          <w:sz w:val="24"/>
        </w:rPr>
        <w:t>D.4.1 应从参考值来源、传递标准稳定性、传递标准受实验条件影响产生的差异、</w:t>
      </w:r>
      <w:r>
        <w:rPr>
          <w:sz w:val="24"/>
        </w:rPr>
        <w:t>不同原理标准器校准传递标准时可能产生的差异、参比实验室技术条件控制等方面进行分析，总结比对实施方案、过程的经验，提出改进方案。</w:t>
      </w:r>
    </w:p>
    <w:p>
      <w:pPr>
        <w:snapToGrid w:val="0"/>
        <w:spacing w:line="360" w:lineRule="auto"/>
        <w:rPr>
          <w:kern w:val="0"/>
          <w:sz w:val="24"/>
        </w:rPr>
      </w:pPr>
      <w:r>
        <w:rPr>
          <w:kern w:val="0"/>
          <w:sz w:val="24"/>
        </w:rPr>
        <w:t>D.4.2 离群结果</w:t>
      </w:r>
    </w:p>
    <w:p>
      <w:pPr>
        <w:pStyle w:val="7"/>
        <w:snapToGrid w:val="0"/>
        <w:spacing w:line="360" w:lineRule="auto"/>
        <w:ind w:firstLine="480" w:firstLineChars="200"/>
        <w:rPr>
          <w:sz w:val="24"/>
        </w:rPr>
      </w:pPr>
      <w:r>
        <w:rPr>
          <w:sz w:val="24"/>
        </w:rPr>
        <w:t>对离群结果应尝试通过分析找出原因，必要时进行补充实验研究或确认。</w:t>
      </w:r>
    </w:p>
    <w:p>
      <w:pPr>
        <w:pStyle w:val="7"/>
        <w:snapToGrid w:val="0"/>
        <w:spacing w:line="360" w:lineRule="auto"/>
        <w:ind w:firstLine="480" w:firstLineChars="200"/>
        <w:rPr>
          <w:sz w:val="24"/>
        </w:rPr>
      </w:pPr>
      <w:r>
        <w:rPr>
          <w:sz w:val="24"/>
        </w:rPr>
        <w:t>对采用特殊修正模型或方法导致结果离群的实验室，若不能断定其方法错误，应充分听取相关的解释，慎重处理，并在比对总结报告中详细说明。</w:t>
      </w:r>
    </w:p>
    <w:p>
      <w:pPr>
        <w:snapToGrid w:val="0"/>
        <w:spacing w:line="360" w:lineRule="auto"/>
        <w:rPr>
          <w:kern w:val="0"/>
          <w:sz w:val="24"/>
        </w:rPr>
      </w:pPr>
      <w:r>
        <w:rPr>
          <w:kern w:val="0"/>
          <w:sz w:val="24"/>
        </w:rPr>
        <w:t>D.4.3 统计分析</w:t>
      </w:r>
    </w:p>
    <w:p>
      <w:pPr>
        <w:snapToGrid w:val="0"/>
        <w:spacing w:line="360" w:lineRule="auto"/>
        <w:ind w:firstLine="420"/>
        <w:rPr>
          <w:kern w:val="0"/>
          <w:sz w:val="24"/>
        </w:rPr>
      </w:pPr>
      <w:r>
        <w:rPr>
          <w:kern w:val="0"/>
          <w:sz w:val="24"/>
        </w:rPr>
        <w:t>采用统计分析方法，可给出多方面的信息，检验比对实验室量值复现与传递的方法与水平。</w:t>
      </w:r>
    </w:p>
    <w:p>
      <w:pPr>
        <w:snapToGrid w:val="0"/>
        <w:spacing w:line="360" w:lineRule="auto"/>
        <w:rPr>
          <w:kern w:val="0"/>
          <w:sz w:val="24"/>
        </w:rPr>
      </w:pPr>
      <w:r>
        <w:rPr>
          <w:kern w:val="0"/>
          <w:sz w:val="24"/>
        </w:rPr>
        <w:t>D.4.3.1 可给出测量结果与参考值之差、宣称不确定度水平、</w:t>
      </w:r>
      <w:r>
        <w:rPr>
          <w:i/>
          <w:kern w:val="0"/>
          <w:sz w:val="24"/>
        </w:rPr>
        <w:t>E</w:t>
      </w:r>
      <w:r>
        <w:rPr>
          <w:kern w:val="0"/>
          <w:sz w:val="24"/>
        </w:rPr>
        <w:t>n或</w:t>
      </w:r>
      <w:r>
        <w:rPr>
          <w:i/>
          <w:kern w:val="0"/>
          <w:sz w:val="24"/>
        </w:rPr>
        <w:t>Z</w:t>
      </w:r>
      <w:r>
        <w:rPr>
          <w:kern w:val="0"/>
          <w:sz w:val="24"/>
        </w:rPr>
        <w:t>比分数、测量范围、正常完成比对的实验室数量和结果是否符合其计量标准技术要求等统计结果。</w:t>
      </w:r>
    </w:p>
    <w:p>
      <w:pPr>
        <w:snapToGrid w:val="0"/>
        <w:spacing w:line="360" w:lineRule="auto"/>
        <w:rPr>
          <w:sz w:val="24"/>
        </w:rPr>
      </w:pPr>
      <w:r>
        <w:rPr>
          <w:kern w:val="0"/>
          <w:sz w:val="24"/>
        </w:rPr>
        <w:t>D.4.3.2当全部参比实验室的量值是由主导实验室的同一量值直接或间接传递而来时</w:t>
      </w:r>
      <w:r>
        <w:rPr>
          <w:sz w:val="24"/>
        </w:rPr>
        <w:t>，应分析各参比实验室量值的分布，检验是否存在显著系统偏差。</w:t>
      </w:r>
    </w:p>
    <w:p>
      <w:pPr>
        <w:snapToGrid w:val="0"/>
        <w:spacing w:line="360" w:lineRule="auto"/>
        <w:rPr>
          <w:sz w:val="24"/>
        </w:rPr>
      </w:pPr>
      <w:r>
        <w:rPr>
          <w:kern w:val="0"/>
          <w:sz w:val="24"/>
        </w:rPr>
        <w:t xml:space="preserve">D.4.3.3 </w:t>
      </w:r>
      <w:r>
        <w:rPr>
          <w:sz w:val="24"/>
        </w:rPr>
        <w:t>也可通过统计方法，分别检验采用不同原理、不同类型仪器装置或不同实验条件的实验室之间的量值的宏观差异。</w:t>
      </w:r>
    </w:p>
    <w:p>
      <w:pPr>
        <w:pStyle w:val="3"/>
        <w:spacing w:before="0" w:after="93" w:afterLines="30" w:line="360" w:lineRule="auto"/>
        <w:rPr>
          <w:rFonts w:ascii="Times New Roman" w:hAnsi="Times New Roman" w:eastAsia="宋体"/>
          <w:b w:val="0"/>
          <w:sz w:val="24"/>
        </w:rPr>
      </w:pPr>
      <w:bookmarkStart w:id="110" w:name="_Toc137854341"/>
      <w:bookmarkStart w:id="111" w:name="_Toc239495267"/>
      <w:r>
        <w:rPr>
          <w:rFonts w:ascii="Times New Roman" w:hAnsi="Times New Roman" w:eastAsia="宋体"/>
          <w:b w:val="0"/>
          <w:sz w:val="24"/>
        </w:rPr>
        <w:t>D.5</w:t>
      </w:r>
      <w:r>
        <w:rPr>
          <w:rFonts w:hint="eastAsia" w:ascii="Times New Roman" w:hAnsi="Times New Roman" w:eastAsia="宋体"/>
          <w:b w:val="0"/>
          <w:sz w:val="24"/>
        </w:rPr>
        <w:t xml:space="preserve"> </w:t>
      </w:r>
      <w:r>
        <w:rPr>
          <w:rFonts w:ascii="Times New Roman" w:hAnsi="Times New Roman" w:eastAsia="宋体"/>
          <w:b w:val="0"/>
          <w:sz w:val="24"/>
        </w:rPr>
        <w:t>比对结果表示方法示例</w:t>
      </w:r>
      <w:bookmarkEnd w:id="110"/>
      <w:bookmarkEnd w:id="111"/>
    </w:p>
    <w:p>
      <w:pPr>
        <w:textAlignment w:val="baseline"/>
        <w:rPr>
          <w:rFonts w:eastAsia="宋体-18030"/>
          <w:sz w:val="24"/>
        </w:rPr>
      </w:pPr>
      <w:bookmarkStart w:id="112" w:name="_Toc228589273"/>
      <w:r>
        <w:rPr>
          <w:sz w:val="24"/>
        </w:rPr>
        <w:t>D.5</w:t>
      </w:r>
      <w:r>
        <w:rPr>
          <w:rFonts w:eastAsia="宋体-18030"/>
          <w:sz w:val="24"/>
        </w:rPr>
        <w:t>.</w:t>
      </w:r>
      <w:r>
        <w:rPr>
          <w:rFonts w:hint="eastAsia" w:eastAsia="宋体-18030"/>
          <w:sz w:val="24"/>
        </w:rPr>
        <w:t>1</w:t>
      </w:r>
      <w:r>
        <w:rPr>
          <w:rFonts w:eastAsia="宋体-18030"/>
          <w:sz w:val="24"/>
        </w:rPr>
        <w:t xml:space="preserve">  </w:t>
      </w:r>
      <w:r>
        <w:rPr>
          <w:rFonts w:hint="eastAsia" w:eastAsia="宋体-18030"/>
          <w:sz w:val="24"/>
        </w:rPr>
        <w:t>等效度和不确定度</w:t>
      </w:r>
      <w:r>
        <w:rPr>
          <w:rFonts w:eastAsia="宋体-18030"/>
          <w:sz w:val="24"/>
        </w:rPr>
        <w:t>图示</w:t>
      </w:r>
    </w:p>
    <w:p>
      <w:pPr>
        <w:ind w:firstLine="480" w:firstLineChars="200"/>
        <w:textAlignment w:val="baseline"/>
        <w:rPr>
          <w:sz w:val="24"/>
        </w:rPr>
      </w:pPr>
      <w:r>
        <w:rPr>
          <w:rFonts w:eastAsia="宋体-18030"/>
          <w:sz w:val="24"/>
        </w:rPr>
        <w:t>比对结果图示</w:t>
      </w:r>
      <w:r>
        <w:rPr>
          <w:rFonts w:hint="eastAsia"/>
          <w:sz w:val="24"/>
        </w:rPr>
        <w:t>见图</w:t>
      </w:r>
      <w:r>
        <w:rPr>
          <w:sz w:val="24"/>
        </w:rPr>
        <w:t>D</w:t>
      </w:r>
      <w:r>
        <w:rPr>
          <w:rFonts w:hint="eastAsia"/>
          <w:sz w:val="24"/>
        </w:rPr>
        <w:t>.1。</w:t>
      </w:r>
    </w:p>
    <w:p>
      <w:pPr>
        <w:rPr>
          <w:sz w:val="24"/>
        </w:rPr>
      </w:pPr>
      <w:r>
        <w:object>
          <v:shape id="_x0000_i1026" o:spt="75" type="#_x0000_t75" style="height:268.3pt;width:409.45pt;" o:ole="t" filled="f" o:preferrelative="t" stroked="f" coordsize="21600,21600">
            <v:path/>
            <v:fill on="f" focussize="0,0"/>
            <v:stroke on="f" joinstyle="miter"/>
            <v:imagedata r:id="rId14" o:title=""/>
            <o:lock v:ext="edit" aspectratio="t"/>
            <w10:wrap type="none"/>
            <w10:anchorlock/>
          </v:shape>
          <o:OLEObject Type="Embed" ProgID="Visio.Drawing.15" ShapeID="_x0000_i1026" DrawAspect="Content" ObjectID="_1468075725" r:id="rId13">
            <o:LockedField>false</o:LockedField>
          </o:OLEObject>
        </w:object>
      </w:r>
    </w:p>
    <w:p>
      <w:pPr>
        <w:jc w:val="center"/>
        <w:textAlignment w:val="baseline"/>
        <w:rPr>
          <w:sz w:val="24"/>
        </w:rPr>
      </w:pPr>
      <w:r>
        <w:rPr>
          <w:rFonts w:hint="eastAsia"/>
          <w:sz w:val="24"/>
        </w:rPr>
        <w:t>图</w:t>
      </w:r>
      <w:r>
        <w:rPr>
          <w:sz w:val="24"/>
        </w:rPr>
        <w:t>D</w:t>
      </w:r>
      <w:r>
        <w:rPr>
          <w:rFonts w:hint="eastAsia"/>
          <w:sz w:val="24"/>
        </w:rPr>
        <w:t xml:space="preserve">.1  </w:t>
      </w:r>
      <w:r>
        <w:rPr>
          <w:rFonts w:eastAsia="宋体-18030"/>
          <w:sz w:val="24"/>
        </w:rPr>
        <w:t>比对结果图示</w:t>
      </w:r>
    </w:p>
    <w:p>
      <w:pPr>
        <w:textAlignment w:val="baseline"/>
        <w:rPr>
          <w:sz w:val="24"/>
        </w:rPr>
      </w:pPr>
    </w:p>
    <w:p>
      <w:pPr>
        <w:tabs>
          <w:tab w:val="left" w:pos="2450"/>
        </w:tabs>
        <w:autoSpaceDE w:val="0"/>
        <w:autoSpaceDN w:val="0"/>
        <w:adjustRightInd w:val="0"/>
        <w:snapToGrid w:val="0"/>
        <w:spacing w:line="360" w:lineRule="auto"/>
        <w:ind w:firstLine="4" w:firstLineChars="2"/>
        <w:jc w:val="left"/>
        <w:rPr>
          <w:sz w:val="24"/>
        </w:rPr>
      </w:pPr>
      <w:r>
        <w:rPr>
          <w:sz w:val="24"/>
        </w:rPr>
        <w:t>注：此图的目的在于描述各实验室的比对结果与参考值的关系；图中横坐标为各实验室，纵坐标为各实验室测量结果与参考值之差，</w:t>
      </w:r>
      <w:r>
        <w:rPr>
          <w:rFonts w:hint="eastAsia"/>
          <w:sz w:val="24"/>
        </w:rPr>
        <w:t>纵坐标标为“0.00”的</w:t>
      </w:r>
      <w:r>
        <w:rPr>
          <w:sz w:val="24"/>
        </w:rPr>
        <w:t>横线为参考值；图中小点为各实验室比对结果，</w:t>
      </w:r>
      <w:r>
        <w:rPr>
          <w:rFonts w:hint="eastAsia"/>
          <w:sz w:val="24"/>
        </w:rPr>
        <w:t>通过小点的</w:t>
      </w:r>
      <w:r>
        <w:rPr>
          <w:sz w:val="24"/>
        </w:rPr>
        <w:t>短线</w:t>
      </w:r>
      <w:r>
        <w:rPr>
          <w:rFonts w:hint="eastAsia"/>
          <w:sz w:val="24"/>
        </w:rPr>
        <w:t>的半宽</w:t>
      </w:r>
      <w:r>
        <w:rPr>
          <w:sz w:val="24"/>
        </w:rPr>
        <w:t>为各实验室</w:t>
      </w:r>
      <w:r>
        <w:rPr>
          <w:rFonts w:hint="eastAsia"/>
          <w:sz w:val="24"/>
        </w:rPr>
        <w:t>等效度不确定度的</w:t>
      </w:r>
      <w:r>
        <w:rPr>
          <w:i/>
          <w:iCs/>
          <w:sz w:val="24"/>
        </w:rPr>
        <w:t>k</w:t>
      </w:r>
      <w:r>
        <w:rPr>
          <w:rFonts w:hint="eastAsia"/>
          <w:sz w:val="24"/>
        </w:rPr>
        <w:t>倍</w:t>
      </w:r>
      <w:r>
        <w:rPr>
          <w:sz w:val="24"/>
        </w:rPr>
        <w:t>，如果该线与参考值相交则参比实验室的测量结果与参考值之差在合理的预期之内，比对一致性可接受；如果短线没有与参考值相交，则参比实验室的测量结果与参考值之差没有达到合理的预期，应分析原因。</w:t>
      </w:r>
    </w:p>
    <w:p>
      <w:pPr>
        <w:snapToGrid w:val="0"/>
        <w:spacing w:line="360" w:lineRule="auto"/>
        <w:rPr>
          <w:sz w:val="24"/>
        </w:rPr>
      </w:pPr>
      <w:r>
        <w:rPr>
          <w:kern w:val="0"/>
          <w:sz w:val="24"/>
        </w:rPr>
        <w:t>D.</w:t>
      </w:r>
      <w:r>
        <w:rPr>
          <w:b/>
          <w:sz w:val="24"/>
        </w:rPr>
        <w:t>5</w:t>
      </w:r>
      <w:r>
        <w:rPr>
          <w:rFonts w:eastAsia="宋体-18030"/>
          <w:b/>
          <w:sz w:val="24"/>
        </w:rPr>
        <w:t>.</w:t>
      </w:r>
      <w:r>
        <w:rPr>
          <w:rFonts w:hint="eastAsia" w:eastAsia="宋体-18030"/>
          <w:b/>
          <w:sz w:val="24"/>
        </w:rPr>
        <w:t>2</w:t>
      </w:r>
      <w:r>
        <w:rPr>
          <w:sz w:val="24"/>
        </w:rPr>
        <w:t xml:space="preserve">  </w:t>
      </w:r>
      <w:r>
        <w:rPr>
          <w:i/>
          <w:sz w:val="24"/>
        </w:rPr>
        <w:t>E</w:t>
      </w:r>
      <w:r>
        <w:rPr>
          <w:sz w:val="24"/>
          <w:vertAlign w:val="subscript"/>
        </w:rPr>
        <w:t>n</w:t>
      </w:r>
      <w:r>
        <w:rPr>
          <w:sz w:val="24"/>
        </w:rPr>
        <w:t>值汇总表</w:t>
      </w:r>
      <w:bookmarkEnd w:id="112"/>
    </w:p>
    <w:p>
      <w:pPr>
        <w:snapToGrid w:val="0"/>
        <w:spacing w:line="360" w:lineRule="auto"/>
        <w:ind w:firstLine="480"/>
        <w:rPr>
          <w:sz w:val="24"/>
        </w:rPr>
      </w:pPr>
      <w:r>
        <w:rPr>
          <w:i/>
          <w:sz w:val="24"/>
        </w:rPr>
        <w:t>E</w:t>
      </w:r>
      <w:r>
        <w:rPr>
          <w:sz w:val="24"/>
          <w:vertAlign w:val="subscript"/>
        </w:rPr>
        <w:t>n</w:t>
      </w:r>
      <w:r>
        <w:rPr>
          <w:sz w:val="24"/>
        </w:rPr>
        <w:t>值汇总表</w:t>
      </w:r>
      <w:r>
        <w:rPr>
          <w:rFonts w:hint="eastAsia"/>
          <w:sz w:val="24"/>
        </w:rPr>
        <w:t>见表</w:t>
      </w:r>
      <w:r>
        <w:rPr>
          <w:sz w:val="24"/>
        </w:rPr>
        <w:t>D</w:t>
      </w:r>
      <w:r>
        <w:rPr>
          <w:rFonts w:hint="eastAsia"/>
          <w:sz w:val="24"/>
        </w:rPr>
        <w:t>.1。</w:t>
      </w:r>
    </w:p>
    <w:p>
      <w:pPr>
        <w:snapToGrid w:val="0"/>
        <w:spacing w:line="360" w:lineRule="auto"/>
        <w:jc w:val="center"/>
        <w:rPr>
          <w:sz w:val="24"/>
        </w:rPr>
      </w:pPr>
      <w:r>
        <w:rPr>
          <w:rFonts w:hint="eastAsia"/>
          <w:sz w:val="24"/>
        </w:rPr>
        <w:t>表</w:t>
      </w:r>
      <w:r>
        <w:rPr>
          <w:sz w:val="24"/>
        </w:rPr>
        <w:t>D</w:t>
      </w:r>
      <w:r>
        <w:rPr>
          <w:rFonts w:hint="eastAsia"/>
          <w:sz w:val="24"/>
        </w:rPr>
        <w:t xml:space="preserve">.1  </w:t>
      </w:r>
      <w:r>
        <w:rPr>
          <w:i/>
          <w:sz w:val="24"/>
        </w:rPr>
        <w:t>E</w:t>
      </w:r>
      <w:r>
        <w:rPr>
          <w:sz w:val="24"/>
          <w:vertAlign w:val="subscript"/>
        </w:rPr>
        <w:t>n</w:t>
      </w:r>
      <w:r>
        <w:rPr>
          <w:sz w:val="24"/>
        </w:rPr>
        <w:t>值汇总表</w:t>
      </w:r>
    </w:p>
    <w:tbl>
      <w:tblPr>
        <w:tblStyle w:val="20"/>
        <w:tblW w:w="0" w:type="auto"/>
        <w:tblInd w:w="0" w:type="dxa"/>
        <w:tblLayout w:type="fixed"/>
        <w:tblCellMar>
          <w:top w:w="0" w:type="dxa"/>
          <w:left w:w="0" w:type="dxa"/>
          <w:bottom w:w="0" w:type="dxa"/>
          <w:right w:w="0" w:type="dxa"/>
        </w:tblCellMar>
      </w:tblPr>
      <w:tblGrid>
        <w:gridCol w:w="1194"/>
        <w:gridCol w:w="1194"/>
        <w:gridCol w:w="1194"/>
        <w:gridCol w:w="1194"/>
        <w:gridCol w:w="1194"/>
        <w:gridCol w:w="1194"/>
        <w:gridCol w:w="1198"/>
      </w:tblGrid>
      <w:tr>
        <w:tblPrEx>
          <w:tblCellMar>
            <w:top w:w="0" w:type="dxa"/>
            <w:left w:w="0" w:type="dxa"/>
            <w:bottom w:w="0" w:type="dxa"/>
            <w:right w:w="0" w:type="dxa"/>
          </w:tblCellMar>
        </w:tblPrEx>
        <w:trPr>
          <w:trHeight w:val="285" w:hRule="atLeast"/>
        </w:trPr>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rPr>
                <w:sz w:val="24"/>
              </w:rPr>
            </w:pPr>
            <w:r>
              <w:t>流量(m</w:t>
            </w:r>
            <w:r>
              <w:rPr>
                <w:vertAlign w:val="superscript"/>
              </w:rPr>
              <w:t>3</w:t>
            </w:r>
            <w:r>
              <w:t>/h)</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rPr>
                <w:sz w:val="24"/>
              </w:rPr>
            </w:pPr>
            <w:r>
              <w:t>实验室1</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rPr>
                <w:sz w:val="24"/>
              </w:rPr>
            </w:pPr>
            <w:r>
              <w:t>实验室2</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rPr>
                <w:sz w:val="24"/>
              </w:rPr>
            </w:pPr>
            <w:r>
              <w:t>实验室3</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rPr>
                <w:sz w:val="24"/>
              </w:rPr>
            </w:pPr>
            <w:r>
              <w:t>......</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rPr>
                <w:sz w:val="24"/>
              </w:rPr>
            </w:pPr>
            <w:r>
              <w:t>实验室</w:t>
            </w:r>
            <w:r>
              <w:rPr>
                <w:i/>
              </w:rPr>
              <w:t>n</w:t>
            </w:r>
            <w:r>
              <w:t>-1</w:t>
            </w:r>
          </w:p>
        </w:tc>
        <w:tc>
          <w:tcPr>
            <w:tcW w:w="1198"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rPr>
                <w:sz w:val="24"/>
              </w:rPr>
            </w:pPr>
            <w:r>
              <w:t>实验室</w:t>
            </w:r>
            <w:r>
              <w:rPr>
                <w:i/>
              </w:rPr>
              <w:t>n</w:t>
            </w:r>
          </w:p>
        </w:tc>
      </w:tr>
      <w:tr>
        <w:tblPrEx>
          <w:tblCellMar>
            <w:top w:w="0" w:type="dxa"/>
            <w:left w:w="0" w:type="dxa"/>
            <w:bottom w:w="0" w:type="dxa"/>
            <w:right w:w="0" w:type="dxa"/>
          </w:tblCellMar>
        </w:tblPrEx>
        <w:trPr>
          <w:trHeight w:val="285" w:hRule="atLeast"/>
        </w:trPr>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6</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0.07</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-0.64</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0.44</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-2.53</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0.07</w:t>
            </w:r>
          </w:p>
        </w:tc>
        <w:tc>
          <w:tcPr>
            <w:tcW w:w="1198"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-0.95</w:t>
            </w:r>
          </w:p>
        </w:tc>
      </w:tr>
      <w:tr>
        <w:tblPrEx>
          <w:tblCellMar>
            <w:top w:w="0" w:type="dxa"/>
            <w:left w:w="0" w:type="dxa"/>
            <w:bottom w:w="0" w:type="dxa"/>
            <w:right w:w="0" w:type="dxa"/>
          </w:tblCellMar>
        </w:tblPrEx>
        <w:trPr>
          <w:trHeight w:val="285" w:hRule="atLeast"/>
        </w:trPr>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4.8</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-0.07</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-0.68</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0.49</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-2.04</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0.16</w:t>
            </w:r>
          </w:p>
        </w:tc>
        <w:tc>
          <w:tcPr>
            <w:tcW w:w="1198"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-1.15</w:t>
            </w:r>
          </w:p>
        </w:tc>
      </w:tr>
      <w:tr>
        <w:tblPrEx>
          <w:tblCellMar>
            <w:top w:w="0" w:type="dxa"/>
            <w:left w:w="0" w:type="dxa"/>
            <w:bottom w:w="0" w:type="dxa"/>
            <w:right w:w="0" w:type="dxa"/>
          </w:tblCellMar>
        </w:tblPrEx>
        <w:trPr>
          <w:trHeight w:val="285" w:hRule="atLeast"/>
        </w:trPr>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3</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0.06</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-0.53</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0.80</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-2.37</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-0.04</w:t>
            </w:r>
          </w:p>
        </w:tc>
        <w:tc>
          <w:tcPr>
            <w:tcW w:w="1198"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-1.03</w:t>
            </w:r>
          </w:p>
        </w:tc>
      </w:tr>
      <w:tr>
        <w:tblPrEx>
          <w:tblCellMar>
            <w:top w:w="0" w:type="dxa"/>
            <w:left w:w="0" w:type="dxa"/>
            <w:bottom w:w="0" w:type="dxa"/>
            <w:right w:w="0" w:type="dxa"/>
          </w:tblCellMar>
        </w:tblPrEx>
        <w:trPr>
          <w:trHeight w:val="285" w:hRule="atLeast"/>
        </w:trPr>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1.2</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-0.01</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-0.40</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1.23</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-2.45</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0.27</w:t>
            </w:r>
          </w:p>
        </w:tc>
        <w:tc>
          <w:tcPr>
            <w:tcW w:w="1198"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-1.12</w:t>
            </w:r>
          </w:p>
        </w:tc>
      </w:tr>
      <w:tr>
        <w:tblPrEx>
          <w:tblCellMar>
            <w:top w:w="0" w:type="dxa"/>
            <w:left w:w="0" w:type="dxa"/>
            <w:bottom w:w="0" w:type="dxa"/>
            <w:right w:w="0" w:type="dxa"/>
          </w:tblCellMar>
        </w:tblPrEx>
        <w:trPr>
          <w:trHeight w:val="285" w:hRule="atLeast"/>
        </w:trPr>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0.6</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0.34</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-0.04</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1.41</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-2.07</w:t>
            </w:r>
          </w:p>
        </w:tc>
        <w:tc>
          <w:tcPr>
            <w:tcW w:w="1194"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0.81</w:t>
            </w:r>
          </w:p>
        </w:tc>
        <w:tc>
          <w:tcPr>
            <w:tcW w:w="1198" w:type="dxa"/>
            <w:tcBorders>
              <w:top w:val="single" w:color="auto" w:sz="4" w:space="0"/>
              <w:left w:val="single" w:color="auto" w:sz="4" w:space="0"/>
              <w:bottom w:val="single" w:color="auto" w:sz="4" w:space="0"/>
              <w:right w:val="single" w:color="auto" w:sz="4" w:space="0"/>
            </w:tcBorders>
            <w:tcMar>
              <w:top w:w="15" w:type="dxa"/>
              <w:left w:w="15" w:type="dxa"/>
              <w:bottom w:w="0" w:type="dxa"/>
              <w:right w:w="15" w:type="dxa"/>
            </w:tcMar>
            <w:vAlign w:val="bottom"/>
          </w:tcPr>
          <w:p>
            <w:pPr>
              <w:jc w:val="center"/>
              <w:rPr>
                <w:sz w:val="24"/>
              </w:rPr>
            </w:pPr>
            <w:r>
              <w:t>-0.99</w:t>
            </w:r>
          </w:p>
        </w:tc>
      </w:tr>
    </w:tbl>
    <w:p>
      <w:pPr>
        <w:textAlignment w:val="baseline"/>
        <w:rPr>
          <w:sz w:val="24"/>
        </w:rPr>
      </w:pPr>
      <w:r>
        <w:rPr>
          <w:sz w:val="24"/>
        </w:rPr>
        <w:t>注：此表的目的在于描述各实验室的</w:t>
      </w:r>
      <w:r>
        <w:rPr>
          <w:i/>
          <w:kern w:val="0"/>
          <w:sz w:val="24"/>
        </w:rPr>
        <w:t>E</w:t>
      </w:r>
      <w:r>
        <w:rPr>
          <w:kern w:val="0"/>
          <w:sz w:val="24"/>
          <w:vertAlign w:val="subscript"/>
        </w:rPr>
        <w:t>n</w:t>
      </w:r>
      <w:r>
        <w:rPr>
          <w:sz w:val="24"/>
        </w:rPr>
        <w:t>值；第一列为比对实验点，以后各列为各实验室</w:t>
      </w:r>
      <w:r>
        <w:rPr>
          <w:i/>
          <w:kern w:val="0"/>
          <w:sz w:val="24"/>
        </w:rPr>
        <w:t>E</w:t>
      </w:r>
      <w:r>
        <w:rPr>
          <w:kern w:val="0"/>
          <w:sz w:val="24"/>
          <w:vertAlign w:val="subscript"/>
        </w:rPr>
        <w:t>n</w:t>
      </w:r>
      <w:r>
        <w:rPr>
          <w:sz w:val="24"/>
        </w:rPr>
        <w:t>值。</w:t>
      </w:r>
    </w:p>
    <w:p>
      <w:pPr>
        <w:textAlignment w:val="baseline"/>
        <w:rPr>
          <w:sz w:val="24"/>
        </w:rPr>
      </w:pPr>
    </w:p>
    <w:p>
      <w:pPr>
        <w:pStyle w:val="3"/>
        <w:spacing w:before="0" w:after="93" w:afterLines="30" w:line="360" w:lineRule="auto"/>
        <w:rPr>
          <w:rFonts w:ascii="Times New Roman" w:hAnsi="Times New Roman" w:eastAsia="宋体-18030"/>
          <w:b w:val="0"/>
          <w:sz w:val="24"/>
        </w:rPr>
      </w:pPr>
      <w:bookmarkStart w:id="113" w:name="_Toc137854342"/>
      <w:r>
        <w:rPr>
          <w:rFonts w:ascii="Times New Roman" w:hAnsi="Times New Roman" w:eastAsia="宋体-18030"/>
          <w:b w:val="0"/>
          <w:sz w:val="24"/>
        </w:rPr>
        <w:t>D.6 比对总结报告</w:t>
      </w:r>
      <w:bookmarkEnd w:id="113"/>
    </w:p>
    <w:p>
      <w:pPr>
        <w:snapToGrid w:val="0"/>
        <w:spacing w:line="360" w:lineRule="auto"/>
        <w:ind w:firstLine="480" w:firstLineChars="200"/>
        <w:rPr>
          <w:sz w:val="24"/>
        </w:rPr>
      </w:pPr>
      <w:r>
        <w:rPr>
          <w:sz w:val="24"/>
        </w:rPr>
        <w:t>比对总结</w:t>
      </w:r>
      <w:r>
        <w:rPr>
          <w:kern w:val="0"/>
          <w:sz w:val="24"/>
        </w:rPr>
        <w:t>报告</w:t>
      </w:r>
      <w:r>
        <w:rPr>
          <w:sz w:val="24"/>
        </w:rPr>
        <w:t>应包括如下内容：</w:t>
      </w:r>
    </w:p>
    <w:p>
      <w:pPr>
        <w:autoSpaceDE w:val="0"/>
        <w:autoSpaceDN w:val="0"/>
        <w:adjustRightInd w:val="0"/>
        <w:snapToGrid w:val="0"/>
        <w:spacing w:line="360" w:lineRule="auto"/>
        <w:jc w:val="left"/>
        <w:rPr>
          <w:kern w:val="0"/>
          <w:sz w:val="24"/>
        </w:rPr>
      </w:pPr>
      <w:r>
        <w:rPr>
          <w:kern w:val="0"/>
          <w:sz w:val="24"/>
        </w:rPr>
        <w:t>D.6.1 比对概况及相关说明，包含对任何比对计划的偏离，如参比实验室完成情况等。</w:t>
      </w:r>
    </w:p>
    <w:p>
      <w:pPr>
        <w:autoSpaceDE w:val="0"/>
        <w:autoSpaceDN w:val="0"/>
        <w:adjustRightInd w:val="0"/>
        <w:snapToGrid w:val="0"/>
        <w:spacing w:line="360" w:lineRule="auto"/>
        <w:jc w:val="left"/>
        <w:rPr>
          <w:kern w:val="0"/>
          <w:sz w:val="24"/>
        </w:rPr>
      </w:pPr>
      <w:r>
        <w:rPr>
          <w:kern w:val="0"/>
          <w:sz w:val="24"/>
        </w:rPr>
        <w:t>D.6.2  传递标准技术状况描述，如稳定性、均匀性和运输性能等对传递过程有影响的因素；</w:t>
      </w:r>
      <w:r>
        <w:rPr>
          <w:sz w:val="24"/>
        </w:rPr>
        <w:t>应有实验数据作支持。</w:t>
      </w:r>
    </w:p>
    <w:p>
      <w:pPr>
        <w:autoSpaceDE w:val="0"/>
        <w:autoSpaceDN w:val="0"/>
        <w:adjustRightInd w:val="0"/>
        <w:snapToGrid w:val="0"/>
        <w:spacing w:line="360" w:lineRule="auto"/>
        <w:jc w:val="left"/>
        <w:rPr>
          <w:kern w:val="0"/>
          <w:sz w:val="24"/>
        </w:rPr>
      </w:pPr>
      <w:r>
        <w:rPr>
          <w:kern w:val="0"/>
          <w:sz w:val="24"/>
        </w:rPr>
        <w:t>D.6.3 概要描述各实验室所用仪器设备、原理、方法和实验条件等，列出比对数据。</w:t>
      </w:r>
      <w:r>
        <w:rPr>
          <w:rFonts w:hint="eastAsia"/>
          <w:kern w:val="0"/>
          <w:sz w:val="24"/>
        </w:rPr>
        <w:t>主导实验室还应列出测量能力稳定性的证据。</w:t>
      </w:r>
      <w:r>
        <w:rPr>
          <w:kern w:val="0"/>
          <w:sz w:val="24"/>
        </w:rPr>
        <w:t>详细信息和原始记录可在附录中给出。信息的详细程度，应使得参比实验室可以且方便对数据处理方案与计算结果进行独立</w:t>
      </w:r>
      <w:r>
        <w:rPr>
          <w:rFonts w:hint="eastAsia"/>
          <w:kern w:val="0"/>
          <w:sz w:val="24"/>
        </w:rPr>
        <w:t>检</w:t>
      </w:r>
      <w:r>
        <w:rPr>
          <w:kern w:val="0"/>
          <w:sz w:val="24"/>
        </w:rPr>
        <w:t>验。</w:t>
      </w:r>
    </w:p>
    <w:p>
      <w:pPr>
        <w:autoSpaceDE w:val="0"/>
        <w:autoSpaceDN w:val="0"/>
        <w:adjustRightInd w:val="0"/>
        <w:snapToGrid w:val="0"/>
        <w:spacing w:line="360" w:lineRule="auto"/>
        <w:jc w:val="left"/>
        <w:rPr>
          <w:color w:val="000000"/>
          <w:sz w:val="24"/>
        </w:rPr>
      </w:pPr>
      <w:r>
        <w:rPr>
          <w:rFonts w:hint="eastAsia"/>
          <w:kern w:val="0"/>
          <w:sz w:val="24"/>
        </w:rPr>
        <w:t>D.</w:t>
      </w:r>
      <w:r>
        <w:rPr>
          <w:kern w:val="0"/>
          <w:sz w:val="24"/>
        </w:rPr>
        <w:t xml:space="preserve">6.4 </w:t>
      </w:r>
      <w:r>
        <w:rPr>
          <w:color w:val="000000"/>
          <w:sz w:val="24"/>
        </w:rPr>
        <w:t>参考值</w:t>
      </w:r>
    </w:p>
    <w:p>
      <w:pPr>
        <w:autoSpaceDE w:val="0"/>
        <w:autoSpaceDN w:val="0"/>
        <w:adjustRightInd w:val="0"/>
        <w:snapToGrid w:val="0"/>
        <w:spacing w:line="360" w:lineRule="auto"/>
        <w:jc w:val="left"/>
        <w:rPr>
          <w:color w:val="000000"/>
          <w:sz w:val="24"/>
        </w:rPr>
      </w:pPr>
      <w:r>
        <w:rPr>
          <w:color w:val="000000"/>
          <w:sz w:val="24"/>
        </w:rPr>
        <w:t>D.6.4.1 当采用主导实验室的量值作比对参考值时，应给出主导实验室量值来源的详细说明，比对实验原理、仪器装置介绍、实验方法与过程介绍等，并列出包括原始数据、数据计算中间过程的主要结果和最终结果数据，以及不确定度评定的分析、依据和计算结果。</w:t>
      </w:r>
    </w:p>
    <w:p>
      <w:pPr>
        <w:autoSpaceDE w:val="0"/>
        <w:autoSpaceDN w:val="0"/>
        <w:adjustRightInd w:val="0"/>
        <w:snapToGrid w:val="0"/>
        <w:spacing w:line="360" w:lineRule="auto"/>
        <w:jc w:val="left"/>
        <w:rPr>
          <w:sz w:val="24"/>
        </w:rPr>
      </w:pPr>
      <w:r>
        <w:rPr>
          <w:color w:val="000000"/>
          <w:sz w:val="24"/>
        </w:rPr>
        <w:t>D.6.4.2 当采用其他方法确定比对参考值时，应阐述参考值的确定方法，列出计算公式与计算结果，给出相应的不确定度评定。</w:t>
      </w:r>
      <w:r>
        <w:rPr>
          <w:kern w:val="0"/>
          <w:sz w:val="24"/>
        </w:rPr>
        <w:t>对参考值的选取，建议进行不同选取与计算方法的比较分析</w:t>
      </w:r>
      <w:r>
        <w:rPr>
          <w:color w:val="000000"/>
          <w:sz w:val="24"/>
        </w:rPr>
        <w:t>，以检验选定的参考值确定方法的合理性；</w:t>
      </w:r>
      <w:r>
        <w:rPr>
          <w:kern w:val="0"/>
          <w:sz w:val="24"/>
        </w:rPr>
        <w:t>必要时可对参考值的确定方法做出调整，但需充分说明理由。</w:t>
      </w:r>
    </w:p>
    <w:p>
      <w:pPr>
        <w:autoSpaceDE w:val="0"/>
        <w:autoSpaceDN w:val="0"/>
        <w:adjustRightInd w:val="0"/>
        <w:snapToGrid w:val="0"/>
        <w:spacing w:line="360" w:lineRule="auto"/>
        <w:jc w:val="left"/>
        <w:rPr>
          <w:sz w:val="24"/>
        </w:rPr>
      </w:pPr>
      <w:r>
        <w:rPr>
          <w:sz w:val="24"/>
        </w:rPr>
        <w:t>D.6.5 比对结果</w:t>
      </w:r>
    </w:p>
    <w:p>
      <w:pPr>
        <w:autoSpaceDE w:val="0"/>
        <w:autoSpaceDN w:val="0"/>
        <w:adjustRightInd w:val="0"/>
        <w:snapToGrid w:val="0"/>
        <w:spacing w:line="360" w:lineRule="auto"/>
        <w:jc w:val="left"/>
        <w:rPr>
          <w:sz w:val="24"/>
        </w:rPr>
      </w:pPr>
      <w:r>
        <w:rPr>
          <w:sz w:val="24"/>
        </w:rPr>
        <w:t>D.6.5.1 参比实验室的测量结果及测量不确定度、</w:t>
      </w:r>
      <w:bookmarkStart w:id="114" w:name="_Hlk116941144"/>
      <w:r>
        <w:rPr>
          <w:rFonts w:hint="eastAsia"/>
          <w:sz w:val="24"/>
        </w:rPr>
        <w:t>等效度</w:t>
      </w:r>
      <w:r>
        <w:rPr>
          <w:sz w:val="24"/>
        </w:rPr>
        <w:t>及其测量不确定度</w:t>
      </w:r>
      <w:bookmarkEnd w:id="114"/>
      <w:r>
        <w:rPr>
          <w:sz w:val="24"/>
        </w:rPr>
        <w:t>。</w:t>
      </w:r>
    </w:p>
    <w:p>
      <w:pPr>
        <w:autoSpaceDE w:val="0"/>
        <w:autoSpaceDN w:val="0"/>
        <w:adjustRightInd w:val="0"/>
        <w:snapToGrid w:val="0"/>
        <w:spacing w:line="360" w:lineRule="auto"/>
        <w:jc w:val="left"/>
        <w:rPr>
          <w:kern w:val="0"/>
          <w:sz w:val="24"/>
        </w:rPr>
      </w:pPr>
      <w:r>
        <w:rPr>
          <w:sz w:val="24"/>
        </w:rPr>
        <w:t>D.6.5.2 评价参比实验室的测量结果与参考值之差与合理的不确定度范围的符合程度（例如采用归一化偏差</w:t>
      </w:r>
      <w:r>
        <w:rPr>
          <w:i/>
          <w:sz w:val="24"/>
        </w:rPr>
        <w:t>E</w:t>
      </w:r>
      <w:r>
        <w:rPr>
          <w:i/>
          <w:sz w:val="24"/>
          <w:vertAlign w:val="subscript"/>
        </w:rPr>
        <w:t>n</w:t>
      </w:r>
      <w:r>
        <w:rPr>
          <w:sz w:val="24"/>
        </w:rPr>
        <w:t>值、Z比分数或专业认同的方法等）。</w:t>
      </w:r>
    </w:p>
    <w:p>
      <w:pPr>
        <w:snapToGrid w:val="0"/>
        <w:spacing w:line="360" w:lineRule="auto"/>
        <w:rPr>
          <w:sz w:val="24"/>
        </w:rPr>
      </w:pPr>
      <w:r>
        <w:rPr>
          <w:sz w:val="24"/>
        </w:rPr>
        <w:t>D.6.5.3 比对结果一般以简明的图表表示。其示例见附录</w:t>
      </w:r>
      <w:r>
        <w:rPr>
          <w:rFonts w:hint="eastAsia"/>
          <w:sz w:val="24"/>
        </w:rPr>
        <w:t>D</w:t>
      </w:r>
      <w:r>
        <w:rPr>
          <w:sz w:val="24"/>
        </w:rPr>
        <w:t>.</w:t>
      </w:r>
      <w:r>
        <w:rPr>
          <w:rFonts w:hint="eastAsia"/>
          <w:sz w:val="24"/>
        </w:rPr>
        <w:t>5</w:t>
      </w:r>
      <w:r>
        <w:rPr>
          <w:sz w:val="24"/>
        </w:rPr>
        <w:t>。</w:t>
      </w:r>
    </w:p>
    <w:p>
      <w:pPr>
        <w:snapToGrid w:val="0"/>
        <w:spacing w:line="360" w:lineRule="auto"/>
        <w:rPr>
          <w:sz w:val="24"/>
        </w:rPr>
      </w:pPr>
      <w:r>
        <w:rPr>
          <w:sz w:val="24"/>
        </w:rPr>
        <w:t>D.6.6 比对结果分析</w:t>
      </w:r>
    </w:p>
    <w:p>
      <w:pPr>
        <w:snapToGrid w:val="0"/>
        <w:spacing w:line="360" w:lineRule="auto"/>
        <w:ind w:firstLine="496" w:firstLineChars="207"/>
        <w:rPr>
          <w:sz w:val="24"/>
        </w:rPr>
      </w:pPr>
      <w:r>
        <w:rPr>
          <w:sz w:val="24"/>
        </w:rPr>
        <w:t>包括比对结果的统计分布情况，对比对异常结果的原因分析。</w:t>
      </w:r>
      <w:r>
        <w:rPr>
          <w:rFonts w:hint="eastAsia"/>
          <w:sz w:val="24"/>
        </w:rPr>
        <w:t>还应汇总分析参比实验室的测量结果是否满足计量标准授权能力。</w:t>
      </w:r>
    </w:p>
    <w:p>
      <w:pPr>
        <w:snapToGrid w:val="0"/>
        <w:spacing w:line="360" w:lineRule="auto"/>
        <w:rPr>
          <w:sz w:val="24"/>
        </w:rPr>
      </w:pPr>
      <w:r>
        <w:rPr>
          <w:sz w:val="24"/>
        </w:rPr>
        <w:t>D.6.7 比对结论</w:t>
      </w:r>
    </w:p>
    <w:p>
      <w:pPr>
        <w:snapToGrid w:val="0"/>
        <w:spacing w:line="360" w:lineRule="auto"/>
        <w:ind w:firstLine="496" w:firstLineChars="207"/>
        <w:rPr>
          <w:sz w:val="24"/>
        </w:rPr>
      </w:pPr>
      <w:r>
        <w:rPr>
          <w:sz w:val="24"/>
        </w:rPr>
        <w:t>包括对比对结果、分析结论</w:t>
      </w:r>
      <w:r>
        <w:rPr>
          <w:rFonts w:hint="eastAsia"/>
          <w:sz w:val="24"/>
        </w:rPr>
        <w:t>、</w:t>
      </w:r>
      <w:r>
        <w:rPr>
          <w:sz w:val="24"/>
        </w:rPr>
        <w:t>经验教训及改进建议等的总结。</w:t>
      </w:r>
    </w:p>
    <w:p>
      <w:pPr>
        <w:snapToGrid w:val="0"/>
        <w:spacing w:line="360" w:lineRule="auto"/>
        <w:ind w:firstLine="496" w:firstLineChars="207"/>
        <w:rPr>
          <w:sz w:val="24"/>
        </w:rPr>
      </w:pPr>
    </w:p>
    <w:p>
      <w:pPr>
        <w:snapToGrid w:val="0"/>
        <w:spacing w:line="360" w:lineRule="auto"/>
      </w:pPr>
    </w:p>
    <w:p>
      <w:pPr>
        <w:snapToGrid w:val="0"/>
        <w:spacing w:line="360" w:lineRule="auto"/>
        <w:ind w:firstLine="496" w:firstLineChars="207"/>
        <w:rPr>
          <w:sz w:val="24"/>
        </w:rPr>
      </w:pPr>
    </w:p>
    <w:p>
      <w:pPr>
        <w:snapToGrid w:val="0"/>
        <w:spacing w:line="360" w:lineRule="auto"/>
      </w:pPr>
    </w:p>
    <w:p>
      <w:pPr>
        <w:widowControl/>
        <w:jc w:val="left"/>
        <w:rPr>
          <w:color w:val="FFFFFF"/>
          <w:sz w:val="28"/>
        </w:rPr>
      </w:pPr>
      <w:r>
        <w:rPr>
          <w:color w:val="FFFFFF"/>
          <w:sz w:val="28"/>
        </w:rPr>
        <w:br w:type="page"/>
      </w:r>
    </w:p>
    <w:p>
      <w:pPr>
        <w:pStyle w:val="2"/>
        <w:keepNext w:val="0"/>
        <w:keepLines w:val="0"/>
        <w:pageBreakBefore/>
        <w:textAlignment w:val="baseline"/>
        <w:rPr>
          <w:sz w:val="28"/>
        </w:rPr>
      </w:pPr>
      <w:bookmarkStart w:id="115" w:name="_Toc137854343"/>
      <w:r>
        <w:rPr>
          <w:sz w:val="28"/>
        </w:rPr>
        <w:t>附录E</w:t>
      </w:r>
      <w:r>
        <w:rPr>
          <w:rFonts w:hint="eastAsia"/>
          <w:sz w:val="28"/>
        </w:rPr>
        <w:t xml:space="preserve">  参考值函数回归</w:t>
      </w:r>
      <w:bookmarkEnd w:id="115"/>
    </w:p>
    <w:p>
      <w:pPr>
        <w:jc w:val="center"/>
        <w:rPr>
          <w:sz w:val="24"/>
        </w:rPr>
      </w:pPr>
    </w:p>
    <w:p>
      <w:pPr>
        <w:jc w:val="center"/>
        <w:rPr>
          <w:sz w:val="24"/>
        </w:rPr>
      </w:pPr>
    </w:p>
    <w:p>
      <w:pPr>
        <w:spacing w:line="360" w:lineRule="auto"/>
        <w:jc w:val="center"/>
        <w:rPr>
          <w:b/>
          <w:bCs/>
          <w:sz w:val="32"/>
        </w:rPr>
      </w:pPr>
      <w:r>
        <w:rPr>
          <w:rFonts w:hint="eastAsia"/>
          <w:b/>
          <w:bCs/>
          <w:sz w:val="32"/>
        </w:rPr>
        <w:t>参考值函数回归</w:t>
      </w:r>
    </w:p>
    <w:p>
      <w:pPr>
        <w:spacing w:line="360" w:lineRule="auto"/>
        <w:ind w:firstLine="482" w:firstLineChars="200"/>
        <w:jc w:val="left"/>
        <w:rPr>
          <w:b/>
          <w:sz w:val="24"/>
          <w:szCs w:val="24"/>
        </w:rPr>
      </w:pPr>
      <w:r>
        <w:rPr>
          <w:rFonts w:hint="eastAsia"/>
          <w:b/>
          <w:sz w:val="24"/>
          <w:szCs w:val="24"/>
        </w:rPr>
        <w:t>通常讨论的是各各实验室在相同测量点的实验情况下获得该点的参考值。对于参比实验室的测量范围不同，或者在同一范围内只能分别实现不同的测量点的特殊情形，无法采用上述基于各参比实验室在相同测量点的数据直接平均或比较的方法分别确定各测量点的比对参考值。如果传递标准在一个测量范围内，其输出值与测量点之间符合明确物理关系，可考虑采用回归方法利用已知数据确定模型公式待定系数，从而</w:t>
      </w:r>
      <w:bookmarkStart w:id="116" w:name="_Hlk137932718"/>
      <w:r>
        <w:rPr>
          <w:rFonts w:hint="eastAsia"/>
          <w:b/>
          <w:sz w:val="24"/>
          <w:szCs w:val="24"/>
        </w:rPr>
        <w:t>获得参考值在测量范围内的连续分布</w:t>
      </w:r>
      <w:bookmarkEnd w:id="116"/>
      <w:r>
        <w:rPr>
          <w:rFonts w:hint="eastAsia"/>
          <w:b/>
          <w:sz w:val="24"/>
          <w:szCs w:val="24"/>
        </w:rPr>
        <w:t>。</w:t>
      </w:r>
    </w:p>
    <w:p>
      <w:pPr>
        <w:spacing w:line="360" w:lineRule="auto"/>
        <w:ind w:firstLine="480" w:firstLineChars="200"/>
        <w:rPr>
          <w:bCs/>
          <w:sz w:val="24"/>
          <w:szCs w:val="24"/>
        </w:rPr>
      </w:pPr>
      <w:r>
        <w:rPr>
          <w:rFonts w:hint="eastAsia"/>
          <w:bCs/>
          <w:sz w:val="24"/>
          <w:szCs w:val="24"/>
        </w:rPr>
        <w:t>与用单一测量点的多个实验室数据确定参考值不同的是，某一实验室的多个测量点的数据为同一测量方法和同一测量装置获得时，这些测量点数据间会存在强烈的相关性。回归计算必须考虑这种相关性，否则，该实验室数据会不合理地占据过高权重。</w:t>
      </w:r>
    </w:p>
    <w:p>
      <w:pPr>
        <w:spacing w:line="360" w:lineRule="auto"/>
        <w:ind w:firstLine="480" w:firstLineChars="200"/>
        <w:rPr>
          <w:bCs/>
          <w:sz w:val="24"/>
          <w:szCs w:val="24"/>
        </w:rPr>
      </w:pPr>
      <w:r>
        <w:rPr>
          <w:rFonts w:hint="eastAsia"/>
          <w:bCs/>
          <w:sz w:val="24"/>
          <w:szCs w:val="24"/>
        </w:rPr>
        <w:t>这种方法的模型和计算更为复杂，但可获得全组数据范围内参考值的连续分布，因而具有更好的数据平滑性。</w:t>
      </w:r>
    </w:p>
    <w:p>
      <w:pPr>
        <w:pStyle w:val="3"/>
        <w:spacing w:before="0" w:after="93" w:afterLines="30" w:line="360" w:lineRule="auto"/>
        <w:rPr>
          <w:rFonts w:ascii="Times New Roman" w:hAnsi="Times New Roman" w:eastAsia="宋体"/>
          <w:b w:val="0"/>
          <w:sz w:val="24"/>
        </w:rPr>
      </w:pPr>
      <w:bookmarkStart w:id="117" w:name="_Toc137854344"/>
      <w:r>
        <w:rPr>
          <w:rFonts w:ascii="Times New Roman" w:hAnsi="Times New Roman" w:eastAsia="宋体"/>
          <w:b w:val="0"/>
          <w:sz w:val="24"/>
        </w:rPr>
        <w:t>E</w:t>
      </w:r>
      <w:r>
        <w:rPr>
          <w:rFonts w:hint="eastAsia" w:ascii="Times New Roman" w:hAnsi="Times New Roman" w:eastAsia="宋体"/>
          <w:b w:val="0"/>
          <w:sz w:val="24"/>
        </w:rPr>
        <w:t>.</w:t>
      </w:r>
      <w:r>
        <w:rPr>
          <w:rFonts w:ascii="Times New Roman" w:hAnsi="Times New Roman" w:eastAsia="宋体"/>
          <w:b w:val="0"/>
          <w:sz w:val="24"/>
        </w:rPr>
        <w:t>1</w:t>
      </w:r>
      <w:r>
        <w:rPr>
          <w:rFonts w:hint="eastAsia" w:ascii="Times New Roman" w:hAnsi="Times New Roman" w:eastAsia="宋体"/>
          <w:b w:val="0"/>
          <w:sz w:val="24"/>
        </w:rPr>
        <w:t>参考值函数回归模型</w:t>
      </w:r>
      <w:bookmarkEnd w:id="117"/>
    </w:p>
    <w:p>
      <w:pPr>
        <w:spacing w:line="360" w:lineRule="auto"/>
        <w:ind w:firstLine="480" w:firstLineChars="200"/>
        <w:rPr>
          <w:sz w:val="24"/>
          <w:szCs w:val="24"/>
        </w:rPr>
      </w:pPr>
      <w:r>
        <w:rPr>
          <w:rFonts w:hint="eastAsia"/>
          <w:sz w:val="24"/>
          <w:szCs w:val="24"/>
        </w:rPr>
        <w:t>以下方法适用于各实验室间数据完全不相关情况下的参考值函数回归。</w:t>
      </w:r>
    </w:p>
    <w:p>
      <w:pPr>
        <w:spacing w:line="360" w:lineRule="auto"/>
        <w:ind w:firstLine="480" w:firstLineChars="200"/>
        <w:rPr>
          <w:sz w:val="24"/>
          <w:szCs w:val="24"/>
        </w:rPr>
      </w:pPr>
      <w:r>
        <w:rPr>
          <w:rFonts w:hint="eastAsia"/>
          <w:sz w:val="24"/>
          <w:szCs w:val="24"/>
        </w:rPr>
        <w:t>基于一元回归一般模型，或可转化为一元回归模型，即</w:t>
      </w:r>
    </w:p>
    <w:p>
      <w:pPr>
        <w:tabs>
          <w:tab w:val="center" w:pos="4200"/>
          <w:tab w:val="right" w:pos="8400"/>
        </w:tabs>
        <w:spacing w:line="360" w:lineRule="auto"/>
        <w:rPr>
          <w:sz w:val="24"/>
          <w:szCs w:val="24"/>
        </w:rPr>
      </w:pPr>
      <w:r>
        <w:rPr>
          <w:sz w:val="24"/>
          <w:szCs w:val="24"/>
        </w:rPr>
        <w:tab/>
      </w:r>
      <m:oMath>
        <m:r>
          <m:rPr/>
          <w:rPr>
            <w:rFonts w:hint="eastAsia" w:ascii="Cambria Math" w:hAnsi="Cambria Math"/>
            <w:sz w:val="24"/>
            <w:szCs w:val="24"/>
          </w:rPr>
          <m:t>y</m:t>
        </m:r>
        <m:r>
          <m:rPr/>
          <w:rPr>
            <w:rFonts w:ascii="Cambria Math" w:hAnsi="Cambria Math"/>
            <w:sz w:val="24"/>
            <w:szCs w:val="24"/>
          </w:rPr>
          <m:t>=</m:t>
        </m:r>
        <m:r>
          <m:rPr/>
          <w:rPr>
            <w:rFonts w:hint="eastAsia" w:ascii="Cambria Math" w:hAnsi="Cambria Math"/>
            <w:sz w:val="24"/>
            <w:szCs w:val="24"/>
          </w:rPr>
          <m:t>a</m:t>
        </m:r>
        <m:r>
          <m:rPr/>
          <w:rPr>
            <w:rFonts w:ascii="Cambria Math" w:hAnsi="Cambria Math"/>
            <w:sz w:val="24"/>
            <w:szCs w:val="24"/>
          </w:rPr>
          <m:t>+</m:t>
        </m:r>
        <m:r>
          <m:rPr/>
          <w:rPr>
            <w:rFonts w:hint="eastAsia" w:ascii="Cambria Math" w:hAnsi="Cambria Math"/>
            <w:sz w:val="24"/>
            <w:szCs w:val="24"/>
          </w:rPr>
          <m:t>b</m:t>
        </m:r>
        <m:r>
          <m:rPr/>
          <w:rPr>
            <w:rFonts w:ascii="Cambria Math" w:hAnsi="Cambria Math"/>
            <w:sz w:val="24"/>
            <w:szCs w:val="24"/>
          </w:rPr>
          <m:t>∗</m:t>
        </m:r>
        <m:r>
          <m:rPr/>
          <w:rPr>
            <w:rFonts w:hint="eastAsia" w:ascii="Cambria Math" w:hAnsi="Cambria Math"/>
            <w:sz w:val="24"/>
            <w:szCs w:val="24"/>
          </w:rPr>
          <m:t>x</m:t>
        </m:r>
      </m:oMath>
      <w:r>
        <w:rPr>
          <w:sz w:val="24"/>
          <w:szCs w:val="24"/>
        </w:rPr>
        <w:tab/>
      </w:r>
      <w:r>
        <w:rPr>
          <w:rFonts w:hint="eastAsia"/>
          <w:sz w:val="24"/>
          <w:szCs w:val="24"/>
        </w:rPr>
        <w:t>(</w:t>
      </w:r>
      <w:r>
        <w:rPr>
          <w:sz w:val="24"/>
          <w:szCs w:val="24"/>
        </w:rPr>
        <w:t>E.1)</w:t>
      </w:r>
    </w:p>
    <w:p>
      <w:pPr>
        <w:spacing w:line="360" w:lineRule="auto"/>
        <w:ind w:firstLine="480" w:firstLineChars="200"/>
        <w:rPr>
          <w:b/>
          <w:sz w:val="24"/>
          <w:szCs w:val="24"/>
        </w:rPr>
      </w:pPr>
      <w:r>
        <w:rPr>
          <w:rFonts w:hint="eastAsia"/>
          <w:sz w:val="24"/>
          <w:szCs w:val="24"/>
        </w:rPr>
        <w:t>基于各实验室的测量点</w:t>
      </w:r>
      <m:oMath>
        <m:sSub>
          <m:sSubPr>
            <m:ctrlPr>
              <w:rPr>
                <w:rStyle w:val="47"/>
                <w:rFonts w:ascii="Cambria Math" w:hAnsi="Cambria Math"/>
                <w:i/>
                <w:color w:val="auto"/>
                <w:sz w:val="24"/>
                <w:szCs w:val="24"/>
              </w:rPr>
            </m:ctrlPr>
          </m:sSubPr>
          <m:e>
            <m:r>
              <m:rPr/>
              <w:rPr>
                <w:rStyle w:val="47"/>
                <w:rFonts w:hint="eastAsia" w:ascii="Cambria Math" w:hAnsi="Cambria Math"/>
                <w:color w:val="auto"/>
                <w:sz w:val="24"/>
                <w:szCs w:val="24"/>
              </w:rPr>
              <m:t>x</m:t>
            </m:r>
            <m:ctrlPr>
              <w:rPr>
                <w:rStyle w:val="47"/>
                <w:rFonts w:ascii="Cambria Math" w:hAnsi="Cambria Math"/>
                <w:i/>
                <w:color w:val="auto"/>
                <w:sz w:val="24"/>
                <w:szCs w:val="24"/>
              </w:rPr>
            </m:ctrlPr>
          </m:e>
          <m:sub>
            <m:r>
              <m:rPr/>
              <w:rPr>
                <w:rStyle w:val="47"/>
                <w:rFonts w:hint="eastAsia" w:ascii="Cambria Math" w:hAnsi="Cambria Math"/>
                <w:color w:val="auto"/>
                <w:sz w:val="24"/>
                <w:szCs w:val="24"/>
              </w:rPr>
              <m:t>i</m:t>
            </m:r>
            <m:ctrlPr>
              <w:rPr>
                <w:rStyle w:val="47"/>
                <w:rFonts w:ascii="Cambria Math" w:hAnsi="Cambria Math"/>
                <w:i/>
                <w:color w:val="auto"/>
                <w:sz w:val="24"/>
                <w:szCs w:val="24"/>
              </w:rPr>
            </m:ctrlPr>
          </m:sub>
        </m:sSub>
      </m:oMath>
      <w:r>
        <w:rPr>
          <w:rFonts w:hint="eastAsia"/>
          <w:sz w:val="24"/>
          <w:szCs w:val="24"/>
        </w:rPr>
        <w:t>，构造矩阵：</w:t>
      </w:r>
    </w:p>
    <w:p>
      <w:pPr>
        <w:tabs>
          <w:tab w:val="center" w:pos="4200"/>
          <w:tab w:val="right" w:pos="8400"/>
        </w:tabs>
        <w:spacing w:line="360" w:lineRule="auto"/>
        <w:rPr>
          <w:bCs/>
          <w:iCs/>
          <w:sz w:val="24"/>
          <w:szCs w:val="24"/>
        </w:rPr>
      </w:pPr>
      <w:r>
        <w:rPr>
          <w:b/>
          <w:sz w:val="24"/>
          <w:szCs w:val="24"/>
        </w:rPr>
        <w:tab/>
      </w:r>
      <m:oMath>
        <m:r>
          <m:rPr>
            <m:sty m:val="b"/>
          </m:rPr>
          <w:rPr>
            <w:rFonts w:ascii="Cambria Math" w:hAnsi="Cambria Math" w:cs="Arial"/>
            <w:sz w:val="24"/>
            <w:szCs w:val="24"/>
          </w:rPr>
          <m:t>X</m:t>
        </m:r>
        <m:r>
          <m:rPr>
            <m:sty m:val="p"/>
          </m:rPr>
          <w:rPr>
            <w:rFonts w:ascii="Cambria Math" w:hAnsi="Cambria Math" w:cs="Arial"/>
            <w:sz w:val="24"/>
            <w:szCs w:val="24"/>
          </w:rPr>
          <m:t>=</m:t>
        </m:r>
        <m:d>
          <m:dPr>
            <m:ctrlPr>
              <w:rPr>
                <w:rFonts w:ascii="Cambria Math" w:hAnsi="Cambria Math" w:cs="Arial"/>
                <w:bCs/>
                <w:iCs/>
                <w:sz w:val="24"/>
                <w:szCs w:val="24"/>
              </w:rPr>
            </m:ctrlPr>
          </m:dPr>
          <m:e>
            <m:m>
              <m:mPr>
                <m:mcs>
                  <m:mc>
                    <m:mcPr>
                      <m:count m:val="2"/>
                      <m:mcJc m:val="center"/>
                    </m:mcPr>
                  </m:mc>
                </m:mcs>
                <m:ctrlPr>
                  <w:rPr>
                    <w:rFonts w:ascii="Cambria Math" w:hAnsi="Cambria Math" w:cs="Arial"/>
                    <w:i/>
                    <w:sz w:val="24"/>
                    <w:szCs w:val="24"/>
                  </w:rPr>
                </m:ctrlPr>
              </m:mPr>
              <m:mr>
                <m:e>
                  <m:r>
                    <m:rPr/>
                    <w:rPr>
                      <w:rFonts w:ascii="Cambria Math" w:hAnsi="Cambria Math" w:cs="Arial"/>
                      <w:sz w:val="24"/>
                      <w:szCs w:val="24"/>
                    </w:rPr>
                    <m:t>1</m:t>
                  </m:r>
                  <m:ctrlPr>
                    <w:rPr>
                      <w:rFonts w:ascii="Cambria Math" w:hAnsi="Cambria Math" w:cs="Arial"/>
                      <w:i/>
                      <w:sz w:val="24"/>
                      <w:szCs w:val="24"/>
                    </w:rPr>
                  </m:ctrlPr>
                </m:e>
                <m:e>
                  <m:sSub>
                    <m:sSubPr>
                      <m:ctrlPr>
                        <w:rPr>
                          <w:rFonts w:ascii="Cambria Math" w:hAnsi="Cambria Math" w:cs="Arial"/>
                          <w:bCs/>
                          <w:iCs/>
                          <w:sz w:val="24"/>
                          <w:szCs w:val="24"/>
                        </w:rPr>
                      </m:ctrlPr>
                    </m:sSubPr>
                    <m:e>
                      <m:r>
                        <m:rPr/>
                        <w:rPr>
                          <w:rFonts w:ascii="Cambria Math" w:hAnsi="Cambria Math" w:cs="Arial"/>
                          <w:sz w:val="24"/>
                          <w:szCs w:val="24"/>
                        </w:rPr>
                        <m:t>x</m:t>
                      </m:r>
                      <m:ctrlPr>
                        <w:rPr>
                          <w:rFonts w:ascii="Cambria Math" w:hAnsi="Cambria Math" w:cs="Arial"/>
                          <w:bCs/>
                          <w:iCs/>
                          <w:sz w:val="24"/>
                          <w:szCs w:val="24"/>
                        </w:rPr>
                      </m:ctrlPr>
                    </m:e>
                    <m:sub>
                      <m:r>
                        <m:rPr/>
                        <w:rPr>
                          <w:rFonts w:ascii="Cambria Math" w:hAnsi="Cambria Math" w:cs="Arial"/>
                          <w:sz w:val="24"/>
                          <w:szCs w:val="24"/>
                        </w:rPr>
                        <m:t>1</m:t>
                      </m:r>
                      <m:ctrlPr>
                        <w:rPr>
                          <w:rFonts w:ascii="Cambria Math" w:hAnsi="Cambria Math" w:cs="Arial"/>
                          <w:bCs/>
                          <w:iCs/>
                          <w:sz w:val="24"/>
                          <w:szCs w:val="24"/>
                        </w:rPr>
                      </m:ctrlPr>
                    </m:sub>
                  </m:sSub>
                  <m:ctrlPr>
                    <w:rPr>
                      <w:rFonts w:ascii="Cambria Math" w:hAnsi="Cambria Math" w:cs="Arial"/>
                      <w:i/>
                      <w:sz w:val="24"/>
                      <w:szCs w:val="24"/>
                    </w:rPr>
                  </m:ctrlPr>
                </m:e>
              </m:mr>
              <m:mr>
                <m:e>
                  <m:r>
                    <m:rPr/>
                    <w:rPr>
                      <w:rFonts w:ascii="Cambria Math" w:hAnsi="Cambria Math"/>
                      <w:sz w:val="24"/>
                      <w:szCs w:val="24"/>
                      <w:lang w:val="en-GB"/>
                    </w:rPr>
                    <m:t>⋮</m:t>
                  </m:r>
                  <m:ctrlPr>
                    <w:rPr>
                      <w:rFonts w:ascii="Cambria Math" w:hAnsi="Cambria Math" w:cs="Arial"/>
                      <w:i/>
                      <w:sz w:val="24"/>
                      <w:szCs w:val="24"/>
                    </w:rPr>
                  </m:ctrlPr>
                </m:e>
                <m:e>
                  <m:r>
                    <m:rPr/>
                    <w:rPr>
                      <w:rFonts w:ascii="Cambria Math" w:hAnsi="Cambria Math"/>
                      <w:sz w:val="24"/>
                      <w:szCs w:val="24"/>
                      <w:lang w:val="en-GB"/>
                    </w:rPr>
                    <m:t>⋮</m:t>
                  </m:r>
                  <m:ctrlPr>
                    <w:rPr>
                      <w:rFonts w:ascii="Cambria Math" w:hAnsi="Cambria Math" w:cs="Arial"/>
                      <w:i/>
                      <w:sz w:val="24"/>
                      <w:szCs w:val="24"/>
                    </w:rPr>
                  </m:ctrlPr>
                </m:e>
              </m:mr>
              <m:mr>
                <m:e>
                  <m:r>
                    <m:rPr/>
                    <w:rPr>
                      <w:rFonts w:ascii="Cambria Math" w:hAnsi="Cambria Math" w:cs="Arial"/>
                      <w:sz w:val="24"/>
                      <w:szCs w:val="24"/>
                    </w:rPr>
                    <m:t>1</m:t>
                  </m:r>
                  <m:ctrlPr>
                    <w:rPr>
                      <w:rFonts w:ascii="Cambria Math" w:hAnsi="Cambria Math" w:cs="Arial"/>
                      <w:i/>
                      <w:sz w:val="24"/>
                      <w:szCs w:val="24"/>
                    </w:rPr>
                  </m:ctrlPr>
                </m:e>
                <m:e>
                  <m:sSub>
                    <m:sSubPr>
                      <m:ctrlPr>
                        <w:rPr>
                          <w:rFonts w:ascii="Cambria Math" w:hAnsi="Cambria Math" w:cs="Arial"/>
                          <w:bCs/>
                          <w:iCs/>
                          <w:sz w:val="24"/>
                          <w:szCs w:val="24"/>
                        </w:rPr>
                      </m:ctrlPr>
                    </m:sSubPr>
                    <m:e>
                      <m:r>
                        <m:rPr/>
                        <w:rPr>
                          <w:rFonts w:ascii="Cambria Math" w:hAnsi="Cambria Math" w:cs="Arial"/>
                          <w:sz w:val="24"/>
                          <w:szCs w:val="24"/>
                        </w:rPr>
                        <m:t>x</m:t>
                      </m:r>
                      <m:ctrlPr>
                        <w:rPr>
                          <w:rFonts w:ascii="Cambria Math" w:hAnsi="Cambria Math" w:cs="Arial"/>
                          <w:bCs/>
                          <w:iCs/>
                          <w:sz w:val="24"/>
                          <w:szCs w:val="24"/>
                        </w:rPr>
                      </m:ctrlPr>
                    </m:e>
                    <m:sub>
                      <m:r>
                        <m:rPr/>
                        <w:rPr>
                          <w:rFonts w:ascii="Cambria Math" w:hAnsi="Cambria Math" w:cs="Arial"/>
                          <w:sz w:val="24"/>
                          <w:szCs w:val="24"/>
                        </w:rPr>
                        <m:t>N</m:t>
                      </m:r>
                      <m:ctrlPr>
                        <w:rPr>
                          <w:rFonts w:ascii="Cambria Math" w:hAnsi="Cambria Math" w:cs="Arial"/>
                          <w:bCs/>
                          <w:iCs/>
                          <w:sz w:val="24"/>
                          <w:szCs w:val="24"/>
                        </w:rPr>
                      </m:ctrlPr>
                    </m:sub>
                  </m:sSub>
                  <m:ctrlPr>
                    <w:rPr>
                      <w:rFonts w:ascii="Cambria Math" w:hAnsi="Cambria Math" w:cs="Arial"/>
                      <w:i/>
                      <w:sz w:val="24"/>
                      <w:szCs w:val="24"/>
                    </w:rPr>
                  </m:ctrlPr>
                </m:e>
              </m:mr>
            </m:m>
            <m:ctrlPr>
              <w:rPr>
                <w:rFonts w:ascii="Cambria Math" w:hAnsi="Cambria Math" w:cs="Arial"/>
                <w:bCs/>
                <w:iCs/>
                <w:sz w:val="24"/>
                <w:szCs w:val="24"/>
              </w:rPr>
            </m:ctrlPr>
          </m:e>
        </m:d>
      </m:oMath>
      <w:r>
        <w:rPr>
          <w:sz w:val="24"/>
          <w:szCs w:val="24"/>
        </w:rPr>
        <w:tab/>
      </w:r>
      <w:r>
        <w:rPr>
          <w:rFonts w:hint="eastAsia"/>
          <w:sz w:val="24"/>
          <w:szCs w:val="24"/>
        </w:rPr>
        <w:t>(E</w:t>
      </w:r>
      <w:r>
        <w:rPr>
          <w:sz w:val="24"/>
          <w:szCs w:val="24"/>
        </w:rPr>
        <w:t>.2)</w:t>
      </w:r>
    </w:p>
    <w:p>
      <w:pPr>
        <w:autoSpaceDE w:val="0"/>
        <w:autoSpaceDN w:val="0"/>
        <w:snapToGrid w:val="0"/>
        <w:spacing w:line="360" w:lineRule="auto"/>
        <w:ind w:firstLine="480" w:firstLineChars="200"/>
        <w:rPr>
          <w:b/>
          <w:sz w:val="24"/>
          <w:szCs w:val="24"/>
        </w:rPr>
      </w:pPr>
      <w:r>
        <w:rPr>
          <w:rFonts w:hint="eastAsia"/>
          <w:sz w:val="24"/>
          <w:szCs w:val="24"/>
        </w:rPr>
        <w:t>由全部</w:t>
      </w:r>
      <w:r>
        <w:rPr>
          <w:rFonts w:hint="eastAsia" w:ascii="宋体" w:hAnsi="宋体" w:cs="宋体"/>
          <w:sz w:val="24"/>
          <w:szCs w:val="24"/>
        </w:rPr>
        <w:t>实验室的比对量测得值</w:t>
      </w:r>
      <m:oMath>
        <m:sSub>
          <m:sSubPr>
            <m:ctrlPr>
              <w:rPr>
                <w:rFonts w:ascii="Cambria Math" w:hAnsi="Cambria Math" w:cs="Arial"/>
                <w:bCs/>
                <w:iCs/>
                <w:sz w:val="24"/>
                <w:szCs w:val="24"/>
              </w:rPr>
            </m:ctrlPr>
          </m:sSubPr>
          <m:e>
            <m:r>
              <m:rPr/>
              <w:rPr>
                <w:rFonts w:ascii="Cambria Math" w:hAnsi="Cambria Math" w:cs="Arial"/>
                <w:sz w:val="24"/>
                <w:szCs w:val="24"/>
              </w:rPr>
              <m:t>y</m:t>
            </m:r>
            <m:ctrlPr>
              <w:rPr>
                <w:rFonts w:ascii="Cambria Math" w:hAnsi="Cambria Math" w:cs="Arial"/>
                <w:bCs/>
                <w:iCs/>
                <w:sz w:val="24"/>
                <w:szCs w:val="24"/>
              </w:rPr>
            </m:ctrlPr>
          </m:e>
          <m:sub>
            <m:r>
              <m:rPr/>
              <w:rPr>
                <w:rFonts w:ascii="Cambria Math" w:hAnsi="Cambria Math" w:cs="Arial"/>
                <w:sz w:val="24"/>
                <w:szCs w:val="24"/>
              </w:rPr>
              <m:t>i</m:t>
            </m:r>
            <m:ctrlPr>
              <w:rPr>
                <w:rFonts w:ascii="Cambria Math" w:hAnsi="Cambria Math" w:cs="Arial"/>
                <w:bCs/>
                <w:iCs/>
                <w:sz w:val="24"/>
                <w:szCs w:val="24"/>
              </w:rPr>
            </m:ctrlPr>
          </m:sub>
        </m:sSub>
      </m:oMath>
      <w:r>
        <w:rPr>
          <w:rFonts w:hint="eastAsia" w:ascii="宋体" w:hAnsi="宋体" w:cs="宋体"/>
          <w:sz w:val="24"/>
          <w:szCs w:val="24"/>
        </w:rPr>
        <w:t>，构造矩阵：</w:t>
      </w:r>
    </w:p>
    <w:p>
      <w:pPr>
        <w:tabs>
          <w:tab w:val="center" w:pos="4200"/>
          <w:tab w:val="right" w:pos="8400"/>
        </w:tabs>
        <w:autoSpaceDE w:val="0"/>
        <w:autoSpaceDN w:val="0"/>
        <w:snapToGrid w:val="0"/>
        <w:spacing w:line="360" w:lineRule="auto"/>
        <w:rPr>
          <w:b/>
          <w:sz w:val="24"/>
          <w:szCs w:val="24"/>
        </w:rPr>
      </w:pPr>
      <w:r>
        <w:rPr>
          <w:b/>
          <w:sz w:val="24"/>
          <w:szCs w:val="24"/>
          <w:lang w:val="en-GB"/>
        </w:rPr>
        <w:tab/>
      </w:r>
      <m:oMath>
        <m:r>
          <m:rPr>
            <m:sty m:val="b"/>
          </m:rPr>
          <w:rPr>
            <w:rFonts w:hint="eastAsia" w:ascii="Cambria Math" w:hAnsi="Cambria Math"/>
            <w:sz w:val="24"/>
            <w:szCs w:val="24"/>
            <w:lang w:val="en-GB"/>
          </w:rPr>
          <m:t>Y</m:t>
        </m:r>
        <m:r>
          <m:rPr/>
          <w:rPr>
            <w:rFonts w:ascii="Cambria Math" w:hAnsi="Cambria Math"/>
            <w:sz w:val="24"/>
            <w:szCs w:val="24"/>
            <w:lang w:val="en-GB"/>
          </w:rPr>
          <m:t>=</m:t>
        </m:r>
        <m:d>
          <m:dPr>
            <m:ctrlPr>
              <w:rPr>
                <w:rFonts w:ascii="Cambria Math" w:hAnsi="Cambria Math"/>
                <w:i/>
                <w:sz w:val="24"/>
                <w:szCs w:val="24"/>
                <w:lang w:val="en-GB"/>
              </w:rPr>
            </m:ctrlPr>
          </m:dPr>
          <m:e>
            <m:m>
              <m:mPr>
                <m:mcs>
                  <m:mc>
                    <m:mcPr>
                      <m:count m:val="1"/>
                      <m:mcJc m:val="center"/>
                    </m:mcPr>
                  </m:mc>
                </m:mcs>
                <m:ctrlPr>
                  <w:rPr>
                    <w:rFonts w:ascii="Cambria Math" w:hAnsi="Cambria Math"/>
                    <w:i/>
                    <w:sz w:val="24"/>
                    <w:szCs w:val="24"/>
                    <w:lang w:val="en-GB"/>
                  </w:rPr>
                </m:ctrlPr>
              </m:mPr>
              <m:mr>
                <m:e>
                  <m:sSub>
                    <m:sSubPr>
                      <m:ctrlPr>
                        <w:rPr>
                          <w:rFonts w:ascii="Cambria Math" w:hAnsi="Cambria Math"/>
                          <w:i/>
                          <w:sz w:val="24"/>
                          <w:szCs w:val="24"/>
                          <w:lang w:val="en-GB"/>
                        </w:rPr>
                      </m:ctrlPr>
                    </m:sSubPr>
                    <m:e>
                      <m:r>
                        <m:rPr/>
                        <w:rPr>
                          <w:rFonts w:hint="eastAsia" w:ascii="Cambria Math" w:hAnsi="Cambria Math"/>
                          <w:sz w:val="24"/>
                          <w:szCs w:val="24"/>
                          <w:lang w:val="en-GB"/>
                        </w:rPr>
                        <m:t>y</m:t>
                      </m:r>
                      <m:ctrlPr>
                        <w:rPr>
                          <w:rFonts w:ascii="Cambria Math" w:hAnsi="Cambria Math"/>
                          <w:i/>
                          <w:sz w:val="24"/>
                          <w:szCs w:val="24"/>
                          <w:lang w:val="en-GB"/>
                        </w:rPr>
                      </m:ctrlPr>
                    </m:e>
                    <m:sub>
                      <m:r>
                        <m:rPr/>
                        <w:rPr>
                          <w:rFonts w:ascii="Cambria Math" w:hAnsi="Cambria Math"/>
                          <w:sz w:val="24"/>
                          <w:szCs w:val="24"/>
                          <w:lang w:val="en-GB"/>
                        </w:rPr>
                        <m:t>1</m:t>
                      </m:r>
                      <m:ctrlPr>
                        <w:rPr>
                          <w:rFonts w:ascii="Cambria Math" w:hAnsi="Cambria Math"/>
                          <w:i/>
                          <w:sz w:val="24"/>
                          <w:szCs w:val="24"/>
                          <w:lang w:val="en-GB"/>
                        </w:rPr>
                      </m:ctrlPr>
                    </m:sub>
                  </m:sSub>
                  <m:ctrlPr>
                    <w:rPr>
                      <w:rFonts w:ascii="Cambria Math" w:hAnsi="Cambria Math"/>
                      <w:i/>
                      <w:sz w:val="24"/>
                      <w:szCs w:val="24"/>
                      <w:lang w:val="en-GB"/>
                    </w:rPr>
                  </m:ctrlPr>
                </m:e>
              </m:mr>
              <m:mr>
                <m:e>
                  <m:r>
                    <m:rPr/>
                    <w:rPr>
                      <w:rFonts w:ascii="Cambria Math" w:hAnsi="Cambria Math"/>
                      <w:sz w:val="24"/>
                      <w:szCs w:val="24"/>
                      <w:lang w:val="en-GB"/>
                    </w:rPr>
                    <m:t>⋮</m:t>
                  </m:r>
                  <m:ctrlPr>
                    <w:rPr>
                      <w:rFonts w:ascii="Cambria Math" w:hAnsi="Cambria Math"/>
                      <w:i/>
                      <w:sz w:val="24"/>
                      <w:szCs w:val="24"/>
                      <w:lang w:val="en-GB"/>
                    </w:rPr>
                  </m:ctrlPr>
                </m:e>
              </m:mr>
              <m:mr>
                <m:e>
                  <m:sSub>
                    <m:sSubPr>
                      <m:ctrlPr>
                        <w:rPr>
                          <w:rFonts w:ascii="Cambria Math" w:hAnsi="Cambria Math"/>
                          <w:i/>
                          <w:sz w:val="24"/>
                          <w:szCs w:val="24"/>
                          <w:lang w:val="en-GB"/>
                        </w:rPr>
                      </m:ctrlPr>
                    </m:sSubPr>
                    <m:e>
                      <m:r>
                        <m:rPr/>
                        <w:rPr>
                          <w:rFonts w:hint="eastAsia" w:ascii="Cambria Math" w:hAnsi="Cambria Math"/>
                          <w:sz w:val="24"/>
                          <w:szCs w:val="24"/>
                          <w:lang w:val="en-GB"/>
                        </w:rPr>
                        <m:t>y</m:t>
                      </m:r>
                      <m:ctrlPr>
                        <w:rPr>
                          <w:rFonts w:ascii="Cambria Math" w:hAnsi="Cambria Math"/>
                          <w:i/>
                          <w:sz w:val="24"/>
                          <w:szCs w:val="24"/>
                          <w:lang w:val="en-GB"/>
                        </w:rPr>
                      </m:ctrlPr>
                    </m:e>
                    <m:sub>
                      <m:r>
                        <m:rPr/>
                        <w:rPr>
                          <w:rFonts w:ascii="Cambria Math" w:hAnsi="Cambria Math"/>
                          <w:sz w:val="24"/>
                          <w:szCs w:val="24"/>
                          <w:lang w:val="en-GB"/>
                        </w:rPr>
                        <m:t>N</m:t>
                      </m:r>
                      <m:ctrlPr>
                        <w:rPr>
                          <w:rFonts w:ascii="Cambria Math" w:hAnsi="Cambria Math"/>
                          <w:i/>
                          <w:sz w:val="24"/>
                          <w:szCs w:val="24"/>
                          <w:lang w:val="en-GB"/>
                        </w:rPr>
                      </m:ctrlPr>
                    </m:sub>
                  </m:sSub>
                  <m:ctrlPr>
                    <w:rPr>
                      <w:rFonts w:ascii="Cambria Math" w:hAnsi="Cambria Math"/>
                      <w:i/>
                      <w:sz w:val="24"/>
                      <w:szCs w:val="24"/>
                      <w:lang w:val="en-GB"/>
                    </w:rPr>
                  </m:ctrlPr>
                </m:e>
              </m:mr>
            </m:m>
            <m:ctrlPr>
              <w:rPr>
                <w:rFonts w:ascii="Cambria Math" w:hAnsi="Cambria Math"/>
                <w:i/>
                <w:sz w:val="24"/>
                <w:szCs w:val="24"/>
                <w:lang w:val="en-GB"/>
              </w:rPr>
            </m:ctrlPr>
          </m:e>
        </m:d>
      </m:oMath>
      <w:r>
        <w:rPr>
          <w:sz w:val="24"/>
          <w:szCs w:val="24"/>
          <w:lang w:val="en-GB"/>
        </w:rPr>
        <w:tab/>
      </w:r>
      <w:r>
        <w:rPr>
          <w:rFonts w:hint="eastAsia"/>
          <w:sz w:val="24"/>
          <w:szCs w:val="24"/>
        </w:rPr>
        <w:t>(</w:t>
      </w:r>
      <w:r>
        <w:rPr>
          <w:sz w:val="24"/>
          <w:szCs w:val="24"/>
        </w:rPr>
        <w:t>E.3)</w:t>
      </w:r>
    </w:p>
    <w:p>
      <w:pPr>
        <w:spacing w:line="360" w:lineRule="auto"/>
        <w:ind w:firstLine="480" w:firstLineChars="200"/>
        <w:rPr>
          <w:sz w:val="24"/>
          <w:szCs w:val="24"/>
        </w:rPr>
      </w:pPr>
      <w:r>
        <w:rPr>
          <w:rFonts w:hint="eastAsia"/>
          <w:sz w:val="24"/>
          <w:szCs w:val="24"/>
        </w:rPr>
        <w:t>将比对量测得值</w:t>
      </w:r>
      <m:oMath>
        <m:sSub>
          <m:sSubPr>
            <m:ctrlPr>
              <w:rPr>
                <w:rStyle w:val="47"/>
                <w:rFonts w:ascii="Cambria Math" w:hAnsi="Cambria Math"/>
                <w:i/>
                <w:color w:val="auto"/>
                <w:sz w:val="24"/>
                <w:szCs w:val="24"/>
              </w:rPr>
            </m:ctrlPr>
          </m:sSubPr>
          <m:e>
            <m:r>
              <m:rPr/>
              <w:rPr>
                <w:rStyle w:val="47"/>
                <w:rFonts w:hint="eastAsia" w:ascii="Cambria Math" w:hAnsi="Cambria Math"/>
                <w:color w:val="auto"/>
                <w:sz w:val="24"/>
                <w:szCs w:val="24"/>
              </w:rPr>
              <m:t>y</m:t>
            </m:r>
            <m:ctrlPr>
              <w:rPr>
                <w:rStyle w:val="47"/>
                <w:rFonts w:ascii="Cambria Math" w:hAnsi="Cambria Math"/>
                <w:i/>
                <w:color w:val="auto"/>
                <w:sz w:val="24"/>
                <w:szCs w:val="24"/>
              </w:rPr>
            </m:ctrlPr>
          </m:e>
          <m:sub>
            <m:r>
              <m:rPr/>
              <w:rPr>
                <w:rStyle w:val="47"/>
                <w:rFonts w:hint="eastAsia" w:ascii="Cambria Math" w:hAnsi="Cambria Math"/>
                <w:color w:val="auto"/>
                <w:sz w:val="24"/>
                <w:szCs w:val="24"/>
              </w:rPr>
              <m:t>i</m:t>
            </m:r>
            <m:ctrlPr>
              <w:rPr>
                <w:rStyle w:val="47"/>
                <w:rFonts w:ascii="Cambria Math" w:hAnsi="Cambria Math"/>
                <w:i/>
                <w:color w:val="auto"/>
                <w:sz w:val="24"/>
                <w:szCs w:val="24"/>
              </w:rPr>
            </m:ctrlPr>
          </m:sub>
        </m:sSub>
      </m:oMath>
      <w:r>
        <w:rPr>
          <w:rFonts w:hint="eastAsia"/>
          <w:sz w:val="24"/>
          <w:szCs w:val="24"/>
        </w:rPr>
        <w:t>代入回归方程，即</w:t>
      </w:r>
      <m:oMath>
        <m:r>
          <m:rPr/>
          <w:rPr>
            <w:rStyle w:val="47"/>
            <w:rFonts w:ascii="Cambria Math" w:hAnsi="Cambria Math"/>
            <w:color w:val="auto"/>
            <w:sz w:val="24"/>
            <w:szCs w:val="24"/>
          </w:rPr>
          <m:t>y</m:t>
        </m:r>
        <m:d>
          <m:dPr>
            <m:ctrlPr>
              <w:rPr>
                <w:rStyle w:val="47"/>
                <w:rFonts w:ascii="Cambria Math" w:hAnsi="Cambria Math"/>
                <w:i/>
                <w:color w:val="auto"/>
                <w:sz w:val="24"/>
                <w:szCs w:val="24"/>
              </w:rPr>
            </m:ctrlPr>
          </m:dPr>
          <m:e>
            <m:sSub>
              <m:sSubPr>
                <m:ctrlPr>
                  <w:rPr>
                    <w:rStyle w:val="47"/>
                    <w:rFonts w:ascii="Cambria Math" w:hAnsi="Cambria Math"/>
                    <w:i/>
                    <w:color w:val="auto"/>
                    <w:sz w:val="24"/>
                    <w:szCs w:val="24"/>
                  </w:rPr>
                </m:ctrlPr>
              </m:sSubPr>
              <m:e>
                <m:r>
                  <m:rPr/>
                  <w:rPr>
                    <w:rStyle w:val="47"/>
                    <w:rFonts w:ascii="Cambria Math" w:hAnsi="Cambria Math"/>
                    <w:color w:val="auto"/>
                    <w:sz w:val="24"/>
                    <w:szCs w:val="24"/>
                  </w:rPr>
                  <m:t>x</m:t>
                </m:r>
                <m:ctrlPr>
                  <w:rPr>
                    <w:rStyle w:val="47"/>
                    <w:rFonts w:ascii="Cambria Math" w:hAnsi="Cambria Math"/>
                    <w:i/>
                    <w:color w:val="auto"/>
                    <w:sz w:val="24"/>
                    <w:szCs w:val="24"/>
                  </w:rPr>
                </m:ctrlPr>
              </m:e>
              <m:sub>
                <m:r>
                  <m:rPr/>
                  <w:rPr>
                    <w:rStyle w:val="47"/>
                    <w:rFonts w:hint="eastAsia" w:ascii="Cambria Math" w:hAnsi="Cambria Math"/>
                    <w:color w:val="auto"/>
                    <w:sz w:val="24"/>
                    <w:szCs w:val="24"/>
                  </w:rPr>
                  <m:t>i</m:t>
                </m:r>
                <m:ctrlPr>
                  <w:rPr>
                    <w:rStyle w:val="47"/>
                    <w:rFonts w:ascii="Cambria Math" w:hAnsi="Cambria Math"/>
                    <w:i/>
                    <w:color w:val="auto"/>
                    <w:sz w:val="24"/>
                    <w:szCs w:val="24"/>
                  </w:rPr>
                </m:ctrlPr>
              </m:sub>
            </m:sSub>
            <m:ctrlPr>
              <w:rPr>
                <w:rStyle w:val="47"/>
                <w:rFonts w:ascii="Cambria Math" w:hAnsi="Cambria Math"/>
                <w:i/>
                <w:color w:val="auto"/>
                <w:sz w:val="24"/>
                <w:szCs w:val="24"/>
              </w:rPr>
            </m:ctrlPr>
          </m:e>
        </m:d>
        <m:r>
          <m:rPr/>
          <w:rPr>
            <w:rStyle w:val="47"/>
            <w:rFonts w:ascii="Cambria Math" w:hAnsi="Cambria Math"/>
            <w:color w:val="auto"/>
            <w:sz w:val="24"/>
            <w:szCs w:val="24"/>
          </w:rPr>
          <m:t>=a</m:t>
        </m:r>
        <m:r>
          <m:rPr/>
          <w:rPr>
            <w:rFonts w:ascii="Cambria Math" w:hAnsi="Cambria Math"/>
            <w:sz w:val="24"/>
            <w:szCs w:val="24"/>
          </w:rPr>
          <m:t>+b∗</m:t>
        </m:r>
        <m:sSub>
          <m:sSubPr>
            <m:ctrlPr>
              <w:rPr>
                <w:rStyle w:val="47"/>
                <w:rFonts w:ascii="Cambria Math" w:hAnsi="Cambria Math"/>
                <w:i/>
                <w:color w:val="auto"/>
                <w:sz w:val="24"/>
                <w:szCs w:val="24"/>
              </w:rPr>
            </m:ctrlPr>
          </m:sSubPr>
          <m:e>
            <m:r>
              <m:rPr/>
              <w:rPr>
                <w:rStyle w:val="47"/>
                <w:rFonts w:ascii="Cambria Math" w:hAnsi="Cambria Math"/>
                <w:color w:val="auto"/>
                <w:sz w:val="24"/>
                <w:szCs w:val="24"/>
              </w:rPr>
              <m:t>x</m:t>
            </m:r>
            <m:ctrlPr>
              <w:rPr>
                <w:rStyle w:val="47"/>
                <w:rFonts w:ascii="Cambria Math" w:hAnsi="Cambria Math"/>
                <w:i/>
                <w:color w:val="auto"/>
                <w:sz w:val="24"/>
                <w:szCs w:val="24"/>
              </w:rPr>
            </m:ctrlPr>
          </m:e>
          <m:sub>
            <m:r>
              <m:rPr/>
              <w:rPr>
                <w:rStyle w:val="47"/>
                <w:rFonts w:hint="eastAsia" w:ascii="Cambria Math" w:hAnsi="Cambria Math"/>
                <w:color w:val="auto"/>
                <w:sz w:val="24"/>
                <w:szCs w:val="24"/>
              </w:rPr>
              <m:t>i</m:t>
            </m:r>
            <m:ctrlPr>
              <w:rPr>
                <w:rStyle w:val="47"/>
                <w:rFonts w:ascii="Cambria Math" w:hAnsi="Cambria Math"/>
                <w:i/>
                <w:color w:val="auto"/>
                <w:sz w:val="24"/>
                <w:szCs w:val="24"/>
              </w:rPr>
            </m:ctrlPr>
          </m:sub>
        </m:sSub>
      </m:oMath>
      <w:r>
        <w:rPr>
          <w:rStyle w:val="47"/>
          <w:rFonts w:hint="eastAsia"/>
          <w:color w:val="auto"/>
          <w:sz w:val="24"/>
          <w:szCs w:val="24"/>
        </w:rPr>
        <w:t>，可获得</w:t>
      </w:r>
      <w:r>
        <w:rPr>
          <w:i/>
          <w:iCs/>
          <w:sz w:val="24"/>
          <w:szCs w:val="24"/>
        </w:rPr>
        <w:t>N</w:t>
      </w:r>
      <w:r>
        <w:rPr>
          <w:rStyle w:val="47"/>
          <w:rFonts w:hint="eastAsia"/>
          <w:color w:val="auto"/>
          <w:sz w:val="24"/>
          <w:szCs w:val="24"/>
        </w:rPr>
        <w:t>个方程。</w:t>
      </w:r>
      <w:r>
        <w:rPr>
          <w:rFonts w:hint="eastAsia"/>
          <w:sz w:val="24"/>
          <w:szCs w:val="24"/>
        </w:rPr>
        <w:t>根据最小二乘法，</w:t>
      </w:r>
      <w:r>
        <w:rPr>
          <w:rStyle w:val="47"/>
          <w:rFonts w:hint="eastAsia"/>
          <w:color w:val="auto"/>
          <w:sz w:val="24"/>
          <w:szCs w:val="24"/>
        </w:rPr>
        <w:t>回归值、</w:t>
      </w:r>
      <w:r>
        <w:rPr>
          <w:rFonts w:hint="eastAsia"/>
          <w:sz w:val="24"/>
          <w:szCs w:val="24"/>
        </w:rPr>
        <w:t>测量点</w:t>
      </w:r>
      <w:r>
        <w:rPr>
          <w:rStyle w:val="47"/>
          <w:rFonts w:hint="eastAsia"/>
          <w:color w:val="auto"/>
          <w:sz w:val="24"/>
          <w:szCs w:val="24"/>
        </w:rPr>
        <w:t>和待定系数估计值之间的</w:t>
      </w:r>
      <w:r>
        <w:rPr>
          <w:rFonts w:hint="eastAsia"/>
          <w:sz w:val="24"/>
          <w:szCs w:val="24"/>
        </w:rPr>
        <w:t>关系可用矩阵表示为：</w:t>
      </w:r>
    </w:p>
    <w:p>
      <w:pPr>
        <w:tabs>
          <w:tab w:val="center" w:pos="4200"/>
          <w:tab w:val="right" w:pos="8400"/>
        </w:tabs>
        <w:spacing w:line="360" w:lineRule="auto"/>
        <w:rPr>
          <w:sz w:val="24"/>
          <w:szCs w:val="24"/>
        </w:rPr>
      </w:pPr>
      <w:r>
        <w:rPr>
          <w:sz w:val="24"/>
          <w:szCs w:val="24"/>
        </w:rPr>
        <w:tab/>
      </w:r>
      <m:oMath>
        <m:acc>
          <m:accPr>
            <m:ctrlPr>
              <w:rPr>
                <w:rFonts w:ascii="Cambria Math" w:hAnsi="Cambria Math" w:cs="Arial"/>
                <w:b/>
                <w:sz w:val="24"/>
                <w:szCs w:val="24"/>
              </w:rPr>
            </m:ctrlPr>
          </m:accPr>
          <m:e>
            <m:r>
              <m:rPr>
                <m:sty m:val="b"/>
              </m:rPr>
              <w:rPr>
                <w:rFonts w:ascii="Cambria Math" w:hAnsi="Cambria Math" w:cs="Arial"/>
                <w:sz w:val="24"/>
                <w:szCs w:val="24"/>
              </w:rPr>
              <m:t>Y</m:t>
            </m:r>
            <m:ctrlPr>
              <w:rPr>
                <w:rFonts w:ascii="Cambria Math" w:hAnsi="Cambria Math" w:cs="Arial"/>
                <w:b/>
                <w:sz w:val="24"/>
                <w:szCs w:val="24"/>
              </w:rPr>
            </m:ctrlPr>
          </m:e>
        </m:acc>
        <m:r>
          <m:rPr>
            <m:sty m:val="p"/>
          </m:rPr>
          <w:rPr>
            <w:rFonts w:ascii="Cambria Math" w:hAnsi="Cambria Math" w:cs="Arial"/>
            <w:sz w:val="24"/>
            <w:szCs w:val="24"/>
          </w:rPr>
          <m:t>=</m:t>
        </m:r>
        <m:r>
          <m:rPr>
            <m:sty m:val="b"/>
          </m:rPr>
          <w:rPr>
            <w:rFonts w:ascii="Cambria Math" w:hAnsi="Cambria Math" w:cs="Arial"/>
            <w:sz w:val="24"/>
            <w:szCs w:val="24"/>
            <w:lang w:val="en-GB"/>
          </w:rPr>
          <m:t>X</m:t>
        </m:r>
        <m:r>
          <m:rPr>
            <m:sty m:val="p"/>
          </m:rPr>
          <w:rPr>
            <w:rFonts w:ascii="Cambria Math" w:hAnsi="Cambria Math" w:cs="Arial"/>
            <w:sz w:val="24"/>
            <w:szCs w:val="24"/>
            <w:lang w:val="en-GB"/>
          </w:rPr>
          <m:t>∙</m:t>
        </m:r>
        <m:sSup>
          <m:sSupPr>
            <m:ctrlPr>
              <w:rPr>
                <w:rFonts w:ascii="Cambria Math" w:hAnsi="Cambria Math" w:cs="Arial"/>
                <w:i/>
                <w:sz w:val="24"/>
                <w:szCs w:val="24"/>
                <w:lang w:val="en-GB"/>
              </w:rPr>
            </m:ctrlPr>
          </m:sSupPr>
          <m:e>
            <m:d>
              <m:dPr>
                <m:ctrlPr>
                  <w:rPr>
                    <w:rFonts w:ascii="Cambria Math" w:hAnsi="Cambria Math" w:cs="Arial"/>
                    <w:b/>
                    <w:sz w:val="24"/>
                    <w:szCs w:val="24"/>
                  </w:rPr>
                </m:ctrlPr>
              </m:dPr>
              <m:e>
                <m:m>
                  <m:mPr>
                    <m:mcs>
                      <m:mc>
                        <m:mcPr>
                          <m:count m:val="2"/>
                          <m:mcJc m:val="center"/>
                        </m:mcPr>
                      </m:mc>
                    </m:mcs>
                    <m:ctrlPr>
                      <w:rPr>
                        <w:rFonts w:ascii="Cambria Math" w:hAnsi="Cambria Math" w:cs="Arial"/>
                        <w:b/>
                        <w:i/>
                        <w:sz w:val="24"/>
                        <w:szCs w:val="24"/>
                      </w:rPr>
                    </m:ctrlPr>
                  </m:mPr>
                  <m:mr>
                    <m:e>
                      <m:acc>
                        <m:accPr>
                          <m:ctrlPr>
                            <w:rPr>
                              <w:rStyle w:val="47"/>
                              <w:rFonts w:ascii="Cambria Math" w:hAnsi="Cambria Math"/>
                              <w:i/>
                              <w:color w:val="auto"/>
                              <w:sz w:val="24"/>
                              <w:szCs w:val="24"/>
                            </w:rPr>
                          </m:ctrlPr>
                        </m:accPr>
                        <m:e>
                          <m:r>
                            <m:rPr/>
                            <w:rPr>
                              <w:rStyle w:val="47"/>
                              <w:rFonts w:hint="eastAsia" w:ascii="Cambria Math" w:hAnsi="Cambria Math"/>
                              <w:color w:val="auto"/>
                              <w:sz w:val="24"/>
                              <w:szCs w:val="24"/>
                            </w:rPr>
                            <m:t>a</m:t>
                          </m:r>
                          <m:ctrlPr>
                            <w:rPr>
                              <w:rStyle w:val="47"/>
                              <w:rFonts w:ascii="Cambria Math" w:hAnsi="Cambria Math"/>
                              <w:i/>
                              <w:color w:val="auto"/>
                              <w:sz w:val="24"/>
                              <w:szCs w:val="24"/>
                            </w:rPr>
                          </m:ctrlPr>
                        </m:e>
                      </m:acc>
                      <m:ctrlPr>
                        <w:rPr>
                          <w:rFonts w:ascii="Cambria Math" w:hAnsi="Cambria Math" w:cs="Arial"/>
                          <w:b/>
                          <w:i/>
                          <w:sz w:val="24"/>
                          <w:szCs w:val="24"/>
                        </w:rPr>
                      </m:ctrlPr>
                    </m:e>
                    <m:e>
                      <m:acc>
                        <m:accPr>
                          <m:ctrlPr>
                            <w:rPr>
                              <w:rFonts w:ascii="Cambria Math" w:hAnsi="Cambria Math"/>
                              <w:i/>
                              <w:sz w:val="24"/>
                              <w:szCs w:val="24"/>
                            </w:rPr>
                          </m:ctrlPr>
                        </m:accPr>
                        <m:e>
                          <m:r>
                            <m:rPr/>
                            <w:rPr>
                              <w:rFonts w:hint="eastAsia" w:ascii="Cambria Math" w:hAnsi="Cambria Math"/>
                              <w:sz w:val="24"/>
                              <w:szCs w:val="24"/>
                            </w:rPr>
                            <m:t>b</m:t>
                          </m:r>
                          <m:ctrlPr>
                            <w:rPr>
                              <w:rFonts w:ascii="Cambria Math" w:hAnsi="Cambria Math"/>
                              <w:i/>
                              <w:sz w:val="24"/>
                              <w:szCs w:val="24"/>
                            </w:rPr>
                          </m:ctrlPr>
                        </m:e>
                      </m:acc>
                      <m:ctrlPr>
                        <w:rPr>
                          <w:rFonts w:ascii="Cambria Math" w:hAnsi="Cambria Math" w:cs="Arial"/>
                          <w:b/>
                          <w:i/>
                          <w:sz w:val="24"/>
                          <w:szCs w:val="24"/>
                        </w:rPr>
                      </m:ctrlPr>
                    </m:e>
                  </m:mr>
                </m:m>
                <m:ctrlPr>
                  <w:rPr>
                    <w:rFonts w:ascii="Cambria Math" w:hAnsi="Cambria Math" w:cs="Arial"/>
                    <w:b/>
                    <w:sz w:val="24"/>
                    <w:szCs w:val="24"/>
                  </w:rPr>
                </m:ctrlPr>
              </m:e>
            </m:d>
            <m:ctrlPr>
              <w:rPr>
                <w:rFonts w:ascii="Cambria Math" w:hAnsi="Cambria Math" w:cs="Arial"/>
                <w:i/>
                <w:sz w:val="24"/>
                <w:szCs w:val="24"/>
                <w:lang w:val="en-GB"/>
              </w:rPr>
            </m:ctrlPr>
          </m:e>
          <m:sup>
            <m:r>
              <m:rPr>
                <m:sty m:val="p"/>
              </m:rPr>
              <w:rPr>
                <w:rFonts w:ascii="Cambria Math" w:hAnsi="Cambria Math" w:cs="Arial"/>
                <w:sz w:val="24"/>
                <w:szCs w:val="24"/>
                <w:lang w:val="en-GB"/>
              </w:rPr>
              <m:t>T</m:t>
            </m:r>
            <m:ctrlPr>
              <w:rPr>
                <w:rFonts w:ascii="Cambria Math" w:hAnsi="Cambria Math" w:cs="Arial"/>
                <w:i/>
                <w:sz w:val="24"/>
                <w:szCs w:val="24"/>
                <w:lang w:val="en-GB"/>
              </w:rPr>
            </m:ctrlPr>
          </m:sup>
        </m:sSup>
      </m:oMath>
      <w:r>
        <w:rPr>
          <w:sz w:val="24"/>
          <w:szCs w:val="24"/>
          <w:lang w:val="en-GB"/>
        </w:rPr>
        <w:tab/>
      </w:r>
      <w:r>
        <w:rPr>
          <w:rFonts w:hint="eastAsia"/>
          <w:sz w:val="24"/>
          <w:szCs w:val="24"/>
        </w:rPr>
        <w:t>(</w:t>
      </w:r>
      <w:r>
        <w:rPr>
          <w:sz w:val="24"/>
          <w:szCs w:val="24"/>
        </w:rPr>
        <w:t>E.4)</w:t>
      </w:r>
    </w:p>
    <w:p>
      <w:pPr>
        <w:spacing w:line="360" w:lineRule="auto"/>
        <w:rPr>
          <w:bCs/>
          <w:sz w:val="24"/>
          <w:szCs w:val="24"/>
        </w:rPr>
      </w:pPr>
      <w:r>
        <w:rPr>
          <w:rFonts w:hint="eastAsia"/>
          <w:bCs/>
          <w:sz w:val="24"/>
          <w:szCs w:val="24"/>
        </w:rPr>
        <w:t>其中，参考值函数的待定系数</w:t>
      </w:r>
      <w:r>
        <w:rPr>
          <w:rStyle w:val="47"/>
          <w:rFonts w:hint="eastAsia"/>
          <w:sz w:val="24"/>
          <w:szCs w:val="24"/>
        </w:rPr>
        <w:t>估计值</w:t>
      </w:r>
      <w:r>
        <w:rPr>
          <w:rFonts w:hint="eastAsia"/>
          <w:bCs/>
          <w:sz w:val="24"/>
          <w:szCs w:val="24"/>
        </w:rPr>
        <w:t>矩阵可由下式计算：</w:t>
      </w:r>
    </w:p>
    <w:p>
      <w:pPr>
        <w:tabs>
          <w:tab w:val="center" w:pos="4200"/>
          <w:tab w:val="right" w:pos="8400"/>
        </w:tabs>
        <w:spacing w:line="360" w:lineRule="auto"/>
        <w:rPr>
          <w:bCs/>
          <w:sz w:val="24"/>
          <w:szCs w:val="24"/>
        </w:rPr>
      </w:pPr>
      <w:r>
        <w:rPr>
          <w:sz w:val="24"/>
          <w:szCs w:val="24"/>
          <w:lang w:val="en-GB"/>
        </w:rPr>
        <w:tab/>
      </w:r>
      <m:oMath>
        <m:sSup>
          <m:sSupPr>
            <m:ctrlPr>
              <w:rPr>
                <w:rFonts w:ascii="Cambria Math" w:hAnsi="Cambria Math" w:cs="Arial"/>
                <w:sz w:val="24"/>
                <w:szCs w:val="24"/>
                <w:lang w:val="en-GB"/>
              </w:rPr>
            </m:ctrlPr>
          </m:sSupPr>
          <m:e>
            <m:sSup>
              <m:sSupPr>
                <m:ctrlPr>
                  <w:rPr>
                    <w:rFonts w:ascii="Cambria Math" w:hAnsi="Cambria Math" w:cs="Arial"/>
                    <w:i/>
                    <w:sz w:val="24"/>
                    <w:szCs w:val="24"/>
                    <w:lang w:val="en-GB"/>
                  </w:rPr>
                </m:ctrlPr>
              </m:sSupPr>
              <m:e>
                <m:d>
                  <m:dPr>
                    <m:ctrlPr>
                      <w:rPr>
                        <w:rFonts w:ascii="Cambria Math" w:hAnsi="Cambria Math" w:cs="Arial"/>
                        <w:b/>
                        <w:sz w:val="24"/>
                        <w:szCs w:val="24"/>
                      </w:rPr>
                    </m:ctrlPr>
                  </m:dPr>
                  <m:e>
                    <m:m>
                      <m:mPr>
                        <m:mcs>
                          <m:mc>
                            <m:mcPr>
                              <m:count m:val="2"/>
                              <m:mcJc m:val="center"/>
                            </m:mcPr>
                          </m:mc>
                        </m:mcs>
                        <m:ctrlPr>
                          <w:rPr>
                            <w:rFonts w:ascii="Cambria Math" w:hAnsi="Cambria Math" w:cs="Arial"/>
                            <w:b/>
                            <w:i/>
                            <w:sz w:val="24"/>
                            <w:szCs w:val="24"/>
                          </w:rPr>
                        </m:ctrlPr>
                      </m:mPr>
                      <m:mr>
                        <m:e>
                          <m:acc>
                            <m:accPr>
                              <m:ctrlPr>
                                <w:rPr>
                                  <w:rStyle w:val="47"/>
                                  <w:rFonts w:ascii="Cambria Math" w:hAnsi="Cambria Math"/>
                                  <w:i/>
                                  <w:color w:val="auto"/>
                                  <w:sz w:val="24"/>
                                  <w:szCs w:val="24"/>
                                </w:rPr>
                              </m:ctrlPr>
                            </m:accPr>
                            <m:e>
                              <m:r>
                                <m:rPr/>
                                <w:rPr>
                                  <w:rStyle w:val="47"/>
                                  <w:rFonts w:ascii="Cambria Math" w:hAnsi="Cambria Math"/>
                                  <w:sz w:val="24"/>
                                  <w:szCs w:val="24"/>
                                </w:rPr>
                                <m:t>a</m:t>
                              </m:r>
                              <m:ctrlPr>
                                <w:rPr>
                                  <w:rStyle w:val="47"/>
                                  <w:rFonts w:ascii="Cambria Math" w:hAnsi="Cambria Math"/>
                                  <w:i/>
                                  <w:color w:val="auto"/>
                                  <w:sz w:val="24"/>
                                  <w:szCs w:val="24"/>
                                </w:rPr>
                              </m:ctrlPr>
                            </m:e>
                          </m:acc>
                          <m:ctrlPr>
                            <w:rPr>
                              <w:rFonts w:ascii="Cambria Math" w:hAnsi="Cambria Math" w:cs="Arial"/>
                              <w:b/>
                              <w:i/>
                              <w:sz w:val="24"/>
                              <w:szCs w:val="24"/>
                            </w:rPr>
                          </m:ctrlPr>
                        </m:e>
                        <m:e>
                          <m:acc>
                            <m:accPr>
                              <m:ctrlPr>
                                <w:rPr>
                                  <w:rFonts w:ascii="Cambria Math" w:hAnsi="Cambria Math"/>
                                  <w:i/>
                                  <w:sz w:val="24"/>
                                  <w:szCs w:val="24"/>
                                </w:rPr>
                              </m:ctrlPr>
                            </m:accPr>
                            <m:e>
                              <m:r>
                                <m:rPr/>
                                <w:rPr>
                                  <w:rFonts w:ascii="Cambria Math" w:hAnsi="Cambria Math"/>
                                  <w:sz w:val="24"/>
                                  <w:szCs w:val="24"/>
                                </w:rPr>
                                <m:t>b</m:t>
                              </m:r>
                              <m:ctrlPr>
                                <w:rPr>
                                  <w:rFonts w:ascii="Cambria Math" w:hAnsi="Cambria Math"/>
                                  <w:i/>
                                  <w:sz w:val="24"/>
                                  <w:szCs w:val="24"/>
                                </w:rPr>
                              </m:ctrlPr>
                            </m:e>
                          </m:acc>
                          <m:ctrlPr>
                            <w:rPr>
                              <w:rFonts w:ascii="Cambria Math" w:hAnsi="Cambria Math" w:cs="Arial"/>
                              <w:b/>
                              <w:i/>
                              <w:sz w:val="24"/>
                              <w:szCs w:val="24"/>
                            </w:rPr>
                          </m:ctrlPr>
                        </m:e>
                      </m:mr>
                    </m:m>
                    <m:ctrlPr>
                      <w:rPr>
                        <w:rFonts w:ascii="Cambria Math" w:hAnsi="Cambria Math" w:cs="Arial"/>
                        <w:b/>
                        <w:sz w:val="24"/>
                        <w:szCs w:val="24"/>
                      </w:rPr>
                    </m:ctrlPr>
                  </m:e>
                </m:d>
                <m:ctrlPr>
                  <w:rPr>
                    <w:rFonts w:ascii="Cambria Math" w:hAnsi="Cambria Math" w:cs="Arial"/>
                    <w:i/>
                    <w:sz w:val="24"/>
                    <w:szCs w:val="24"/>
                    <w:lang w:val="en-GB"/>
                  </w:rPr>
                </m:ctrlPr>
              </m:e>
              <m:sup>
                <m:r>
                  <m:rPr>
                    <m:sty m:val="p"/>
                  </m:rPr>
                  <w:rPr>
                    <w:rFonts w:ascii="Cambria Math" w:hAnsi="Cambria Math" w:cs="Arial"/>
                    <w:sz w:val="24"/>
                    <w:szCs w:val="24"/>
                    <w:lang w:val="en-GB"/>
                  </w:rPr>
                  <m:t>T</m:t>
                </m:r>
                <m:ctrlPr>
                  <w:rPr>
                    <w:rFonts w:ascii="Cambria Math" w:hAnsi="Cambria Math" w:cs="Arial"/>
                    <w:i/>
                    <w:sz w:val="24"/>
                    <w:szCs w:val="24"/>
                    <w:lang w:val="en-GB"/>
                  </w:rPr>
                </m:ctrlPr>
              </m:sup>
            </m:sSup>
            <m:r>
              <m:rPr/>
              <w:rPr>
                <w:rFonts w:ascii="Cambria Math" w:hAnsi="Cambria Math" w:cs="Arial"/>
                <w:sz w:val="24"/>
                <w:szCs w:val="24"/>
                <w:lang w:val="en-GB"/>
              </w:rPr>
              <m:t>=</m:t>
            </m:r>
            <m:d>
              <m:dPr>
                <m:ctrlPr>
                  <w:rPr>
                    <w:rFonts w:ascii="Cambria Math" w:hAnsi="Cambria Math" w:cs="Arial"/>
                    <w:b/>
                    <w:sz w:val="24"/>
                    <w:szCs w:val="24"/>
                  </w:rPr>
                </m:ctrlPr>
              </m:dPr>
              <m:e>
                <m:sSup>
                  <m:sSupPr>
                    <m:ctrlPr>
                      <w:rPr>
                        <w:rFonts w:ascii="Cambria Math" w:hAnsi="Cambria Math" w:cs="Arial"/>
                        <w:bCs/>
                        <w:iCs/>
                        <w:sz w:val="24"/>
                        <w:szCs w:val="24"/>
                        <w:lang w:val="en-GB"/>
                      </w:rPr>
                    </m:ctrlPr>
                  </m:sSupPr>
                  <m:e>
                    <m:r>
                      <m:rPr>
                        <m:sty m:val="b"/>
                      </m:rPr>
                      <w:rPr>
                        <w:rFonts w:ascii="Cambria Math" w:hAnsi="Cambria Math" w:cs="Arial"/>
                        <w:sz w:val="24"/>
                        <w:szCs w:val="24"/>
                      </w:rPr>
                      <m:t>X</m:t>
                    </m:r>
                    <m:ctrlPr>
                      <w:rPr>
                        <w:rFonts w:ascii="Cambria Math" w:hAnsi="Cambria Math" w:cs="Arial"/>
                        <w:bCs/>
                        <w:iCs/>
                        <w:sz w:val="24"/>
                        <w:szCs w:val="24"/>
                        <w:lang w:val="en-GB"/>
                      </w:rPr>
                    </m:ctrlPr>
                  </m:e>
                  <m:sup>
                    <m:r>
                      <m:rPr>
                        <m:sty m:val="p"/>
                      </m:rPr>
                      <w:rPr>
                        <w:rFonts w:ascii="Cambria Math" w:hAnsi="Cambria Math" w:cs="Arial"/>
                        <w:sz w:val="24"/>
                        <w:szCs w:val="24"/>
                      </w:rPr>
                      <m:t>T</m:t>
                    </m:r>
                    <m:ctrlPr>
                      <w:rPr>
                        <w:rFonts w:ascii="Cambria Math" w:hAnsi="Cambria Math" w:cs="Arial"/>
                        <w:bCs/>
                        <w:iCs/>
                        <w:sz w:val="24"/>
                        <w:szCs w:val="24"/>
                        <w:lang w:val="en-GB"/>
                      </w:rPr>
                    </m:ctrlPr>
                  </m:sup>
                </m:sSup>
                <m:r>
                  <m:rPr>
                    <m:sty m:val="p"/>
                  </m:rPr>
                  <w:rPr>
                    <w:rFonts w:ascii="Cambria Math" w:hAnsi="Cambria Math" w:cs="Arial"/>
                    <w:sz w:val="24"/>
                    <w:szCs w:val="24"/>
                    <w:lang w:val="en-GB"/>
                  </w:rPr>
                  <m:t>∙</m:t>
                </m:r>
                <m:sSup>
                  <m:sSupPr>
                    <m:ctrlPr>
                      <w:rPr>
                        <w:rFonts w:ascii="Cambria Math" w:hAnsi="Cambria Math" w:cs="Arial"/>
                        <w:bCs/>
                        <w:iCs/>
                        <w:sz w:val="24"/>
                        <w:szCs w:val="24"/>
                      </w:rPr>
                    </m:ctrlPr>
                  </m:sSupPr>
                  <m:e>
                    <m:sSub>
                      <m:sSubPr>
                        <m:ctrlPr>
                          <w:rPr>
                            <w:rFonts w:ascii="Cambria Math" w:hAnsi="Cambria Math" w:cs="Arial"/>
                            <w:b/>
                            <w:iCs/>
                            <w:sz w:val="24"/>
                            <w:szCs w:val="24"/>
                          </w:rPr>
                        </m:ctrlPr>
                      </m:sSubPr>
                      <m:e>
                        <m:r>
                          <m:rPr>
                            <m:sty m:val="b"/>
                          </m:rPr>
                          <w:rPr>
                            <w:rFonts w:ascii="Cambria Math" w:hAnsi="Cambria Math" w:cs="Arial"/>
                            <w:sz w:val="24"/>
                            <w:szCs w:val="24"/>
                          </w:rPr>
                          <m:t>V</m:t>
                        </m:r>
                        <m:ctrlPr>
                          <w:rPr>
                            <w:rFonts w:ascii="Cambria Math" w:hAnsi="Cambria Math" w:cs="Arial"/>
                            <w:b/>
                            <w:iCs/>
                            <w:sz w:val="24"/>
                            <w:szCs w:val="24"/>
                          </w:rPr>
                        </m:ctrlPr>
                      </m:e>
                      <m:sub>
                        <m:r>
                          <m:rPr>
                            <m:sty m:val="bi"/>
                          </m:rPr>
                          <w:rPr>
                            <w:rFonts w:ascii="Cambria Math" w:hAnsi="Cambria Math" w:cs="Arial"/>
                            <w:sz w:val="24"/>
                            <w:szCs w:val="24"/>
                          </w:rPr>
                          <m:t>y</m:t>
                        </m:r>
                        <m:ctrlPr>
                          <w:rPr>
                            <w:rFonts w:ascii="Cambria Math" w:hAnsi="Cambria Math" w:cs="Arial"/>
                            <w:b/>
                            <w:iCs/>
                            <w:sz w:val="24"/>
                            <w:szCs w:val="24"/>
                          </w:rPr>
                        </m:ctrlPr>
                      </m:sub>
                    </m:sSub>
                    <m:ctrlPr>
                      <w:rPr>
                        <w:rFonts w:ascii="Cambria Math" w:hAnsi="Cambria Math" w:cs="Arial"/>
                        <w:bCs/>
                        <w:iCs/>
                        <w:sz w:val="24"/>
                        <w:szCs w:val="24"/>
                      </w:rPr>
                    </m:ctrlPr>
                  </m:e>
                  <m:sup>
                    <m:r>
                      <m:rPr>
                        <m:sty m:val="p"/>
                      </m:rPr>
                      <w:rPr>
                        <w:rFonts w:ascii="Cambria Math" w:hAnsi="Cambria Math" w:cs="Arial"/>
                        <w:sz w:val="24"/>
                        <w:szCs w:val="24"/>
                      </w:rPr>
                      <m:t>−1</m:t>
                    </m:r>
                    <m:ctrlPr>
                      <w:rPr>
                        <w:rFonts w:ascii="Cambria Math" w:hAnsi="Cambria Math" w:cs="Arial"/>
                        <w:bCs/>
                        <w:iCs/>
                        <w:sz w:val="24"/>
                        <w:szCs w:val="24"/>
                      </w:rPr>
                    </m:ctrlPr>
                  </m:sup>
                </m:sSup>
                <m:r>
                  <m:rPr>
                    <m:sty m:val="p"/>
                  </m:rPr>
                  <w:rPr>
                    <w:rFonts w:ascii="Cambria Math" w:hAnsi="Cambria Math" w:cs="Arial"/>
                    <w:sz w:val="24"/>
                    <w:szCs w:val="24"/>
                    <w:lang w:val="en-GB"/>
                  </w:rPr>
                  <m:t>∙</m:t>
                </m:r>
                <m:r>
                  <m:rPr>
                    <m:sty m:val="b"/>
                  </m:rPr>
                  <w:rPr>
                    <w:rFonts w:ascii="Cambria Math" w:hAnsi="Cambria Math" w:cs="Arial"/>
                    <w:sz w:val="24"/>
                    <w:szCs w:val="24"/>
                    <w:lang w:val="en-GB"/>
                  </w:rPr>
                  <m:t>X</m:t>
                </m:r>
                <m:ctrlPr>
                  <w:rPr>
                    <w:rFonts w:ascii="Cambria Math" w:hAnsi="Cambria Math" w:cs="Arial"/>
                    <w:b/>
                    <w:sz w:val="24"/>
                    <w:szCs w:val="24"/>
                  </w:rPr>
                </m:ctrlPr>
              </m:e>
            </m:d>
            <m:ctrlPr>
              <w:rPr>
                <w:rFonts w:ascii="Cambria Math" w:hAnsi="Cambria Math" w:cs="Arial"/>
                <w:sz w:val="24"/>
                <w:szCs w:val="24"/>
                <w:lang w:val="en-GB"/>
              </w:rPr>
            </m:ctrlPr>
          </m:e>
          <m:sup>
            <m:r>
              <m:rPr/>
              <w:rPr>
                <w:rFonts w:ascii="Cambria Math" w:hAnsi="Cambria Math" w:cs="Arial"/>
                <w:sz w:val="24"/>
                <w:szCs w:val="24"/>
                <w:lang w:val="en-GB"/>
              </w:rPr>
              <m:t>−1</m:t>
            </m:r>
            <m:ctrlPr>
              <w:rPr>
                <w:rFonts w:ascii="Cambria Math" w:hAnsi="Cambria Math" w:cs="Arial"/>
                <w:sz w:val="24"/>
                <w:szCs w:val="24"/>
                <w:lang w:val="en-GB"/>
              </w:rPr>
            </m:ctrlPr>
          </m:sup>
        </m:sSup>
        <m:r>
          <m:rPr>
            <m:sty m:val="p"/>
          </m:rPr>
          <w:rPr>
            <w:rFonts w:ascii="Cambria Math" w:hAnsi="Cambria Math" w:cs="Arial"/>
            <w:sz w:val="24"/>
            <w:szCs w:val="24"/>
            <w:lang w:val="en-GB"/>
          </w:rPr>
          <m:t>∙</m:t>
        </m:r>
        <m:sSup>
          <m:sSupPr>
            <m:ctrlPr>
              <w:rPr>
                <w:rFonts w:ascii="Cambria Math" w:hAnsi="Cambria Math" w:cs="Arial"/>
                <w:bCs/>
                <w:iCs/>
                <w:sz w:val="24"/>
                <w:szCs w:val="24"/>
                <w:lang w:val="en-GB"/>
              </w:rPr>
            </m:ctrlPr>
          </m:sSupPr>
          <m:e>
            <m:r>
              <m:rPr>
                <m:sty m:val="b"/>
              </m:rPr>
              <w:rPr>
                <w:rFonts w:ascii="Cambria Math" w:hAnsi="Cambria Math" w:cs="Arial"/>
                <w:sz w:val="24"/>
                <w:szCs w:val="24"/>
              </w:rPr>
              <m:t>X</m:t>
            </m:r>
            <m:ctrlPr>
              <w:rPr>
                <w:rFonts w:ascii="Cambria Math" w:hAnsi="Cambria Math" w:cs="Arial"/>
                <w:bCs/>
                <w:iCs/>
                <w:sz w:val="24"/>
                <w:szCs w:val="24"/>
                <w:lang w:val="en-GB"/>
              </w:rPr>
            </m:ctrlPr>
          </m:e>
          <m:sup>
            <m:r>
              <m:rPr>
                <m:sty m:val="p"/>
              </m:rPr>
              <w:rPr>
                <w:rFonts w:ascii="Cambria Math" w:hAnsi="Cambria Math" w:cs="Arial"/>
                <w:sz w:val="24"/>
                <w:szCs w:val="24"/>
              </w:rPr>
              <m:t>T</m:t>
            </m:r>
            <m:ctrlPr>
              <w:rPr>
                <w:rFonts w:ascii="Cambria Math" w:hAnsi="Cambria Math" w:cs="Arial"/>
                <w:bCs/>
                <w:iCs/>
                <w:sz w:val="24"/>
                <w:szCs w:val="24"/>
                <w:lang w:val="en-GB"/>
              </w:rPr>
            </m:ctrlPr>
          </m:sup>
        </m:sSup>
        <m:r>
          <m:rPr>
            <m:sty m:val="p"/>
          </m:rPr>
          <w:rPr>
            <w:rFonts w:ascii="Cambria Math" w:hAnsi="Cambria Math" w:cs="Arial"/>
            <w:sz w:val="24"/>
            <w:szCs w:val="24"/>
            <w:lang w:val="en-GB"/>
          </w:rPr>
          <m:t>∙</m:t>
        </m:r>
        <m:sSup>
          <m:sSupPr>
            <m:ctrlPr>
              <w:rPr>
                <w:rFonts w:ascii="Cambria Math" w:hAnsi="Cambria Math" w:cs="Arial"/>
                <w:bCs/>
                <w:iCs/>
                <w:sz w:val="24"/>
                <w:szCs w:val="24"/>
              </w:rPr>
            </m:ctrlPr>
          </m:sSupPr>
          <m:e>
            <m:sSub>
              <m:sSubPr>
                <m:ctrlPr>
                  <w:rPr>
                    <w:rFonts w:ascii="Cambria Math" w:hAnsi="Cambria Math" w:cs="Arial"/>
                    <w:b/>
                    <w:iCs/>
                    <w:sz w:val="24"/>
                    <w:szCs w:val="24"/>
                  </w:rPr>
                </m:ctrlPr>
              </m:sSubPr>
              <m:e>
                <m:r>
                  <m:rPr>
                    <m:sty m:val="b"/>
                  </m:rPr>
                  <w:rPr>
                    <w:rFonts w:ascii="Cambria Math" w:hAnsi="Cambria Math" w:cs="Arial"/>
                    <w:sz w:val="24"/>
                    <w:szCs w:val="24"/>
                  </w:rPr>
                  <m:t>V</m:t>
                </m:r>
                <m:ctrlPr>
                  <w:rPr>
                    <w:rFonts w:ascii="Cambria Math" w:hAnsi="Cambria Math" w:cs="Arial"/>
                    <w:b/>
                    <w:iCs/>
                    <w:sz w:val="24"/>
                    <w:szCs w:val="24"/>
                  </w:rPr>
                </m:ctrlPr>
              </m:e>
              <m:sub>
                <m:r>
                  <m:rPr>
                    <m:sty m:val="bi"/>
                  </m:rPr>
                  <w:rPr>
                    <w:rFonts w:ascii="Cambria Math" w:hAnsi="Cambria Math" w:cs="Arial"/>
                    <w:sz w:val="24"/>
                    <w:szCs w:val="24"/>
                  </w:rPr>
                  <m:t>y</m:t>
                </m:r>
                <m:ctrlPr>
                  <w:rPr>
                    <w:rFonts w:ascii="Cambria Math" w:hAnsi="Cambria Math" w:cs="Arial"/>
                    <w:b/>
                    <w:iCs/>
                    <w:sz w:val="24"/>
                    <w:szCs w:val="24"/>
                  </w:rPr>
                </m:ctrlPr>
              </m:sub>
            </m:sSub>
            <m:ctrlPr>
              <w:rPr>
                <w:rFonts w:ascii="Cambria Math" w:hAnsi="Cambria Math" w:cs="Arial"/>
                <w:bCs/>
                <w:iCs/>
                <w:sz w:val="24"/>
                <w:szCs w:val="24"/>
              </w:rPr>
            </m:ctrlPr>
          </m:e>
          <m:sup>
            <m:r>
              <m:rPr>
                <m:sty m:val="p"/>
              </m:rPr>
              <w:rPr>
                <w:rFonts w:ascii="Cambria Math" w:hAnsi="Cambria Math" w:cs="Arial"/>
                <w:sz w:val="24"/>
                <w:szCs w:val="24"/>
              </w:rPr>
              <m:t>−1</m:t>
            </m:r>
            <m:ctrlPr>
              <w:rPr>
                <w:rFonts w:ascii="Cambria Math" w:hAnsi="Cambria Math" w:cs="Arial"/>
                <w:bCs/>
                <w:iCs/>
                <w:sz w:val="24"/>
                <w:szCs w:val="24"/>
              </w:rPr>
            </m:ctrlPr>
          </m:sup>
        </m:sSup>
        <m:r>
          <m:rPr>
            <m:sty m:val="p"/>
          </m:rPr>
          <w:rPr>
            <w:rFonts w:ascii="Cambria Math" w:hAnsi="Cambria Math" w:cs="Arial"/>
            <w:sz w:val="24"/>
            <w:szCs w:val="24"/>
            <w:lang w:val="en-GB"/>
          </w:rPr>
          <m:t>∙</m:t>
        </m:r>
        <m:r>
          <m:rPr>
            <m:sty m:val="b"/>
          </m:rPr>
          <w:rPr>
            <w:rFonts w:ascii="Cambria Math" w:hAnsi="Cambria Math" w:cs="Arial"/>
            <w:sz w:val="24"/>
            <w:szCs w:val="24"/>
            <w:lang w:val="en-GB"/>
          </w:rPr>
          <m:t>Y</m:t>
        </m:r>
      </m:oMath>
      <w:r>
        <w:rPr>
          <w:bCs/>
          <w:sz w:val="24"/>
          <w:szCs w:val="24"/>
          <w:lang w:val="en-GB"/>
        </w:rPr>
        <w:tab/>
      </w:r>
      <w:r>
        <w:rPr>
          <w:bCs/>
          <w:sz w:val="24"/>
          <w:szCs w:val="24"/>
          <w:lang w:val="en-GB"/>
        </w:rPr>
        <w:t>(E.5)</w:t>
      </w:r>
    </w:p>
    <w:p>
      <w:pPr>
        <w:spacing w:line="360" w:lineRule="auto"/>
        <w:rPr>
          <w:rFonts w:ascii="宋体" w:hAnsi="宋体" w:cs="宋体"/>
          <w:sz w:val="24"/>
          <w:szCs w:val="24"/>
        </w:rPr>
      </w:pPr>
      <w:r>
        <w:rPr>
          <w:rFonts w:hint="eastAsia"/>
          <w:bCs/>
          <w:sz w:val="24"/>
          <w:szCs w:val="24"/>
        </w:rPr>
        <w:t>其中，</w:t>
      </w:r>
      <m:oMath>
        <m:sSub>
          <m:sSubPr>
            <m:ctrlPr>
              <w:rPr>
                <w:rFonts w:ascii="Cambria Math" w:hAnsi="Cambria Math" w:cs="Arial"/>
                <w:b/>
                <w:iCs/>
                <w:sz w:val="24"/>
                <w:szCs w:val="24"/>
              </w:rPr>
            </m:ctrlPr>
          </m:sSubPr>
          <m:e>
            <m:r>
              <m:rPr>
                <m:sty m:val="b"/>
              </m:rPr>
              <w:rPr>
                <w:rFonts w:ascii="Cambria Math" w:hAnsi="Cambria Math" w:cs="Arial"/>
                <w:sz w:val="24"/>
                <w:szCs w:val="24"/>
              </w:rPr>
              <m:t>V</m:t>
            </m:r>
            <m:ctrlPr>
              <w:rPr>
                <w:rFonts w:ascii="Cambria Math" w:hAnsi="Cambria Math" w:cs="Arial"/>
                <w:b/>
                <w:iCs/>
                <w:sz w:val="24"/>
                <w:szCs w:val="24"/>
              </w:rPr>
            </m:ctrlPr>
          </m:e>
          <m:sub>
            <m:r>
              <m:rPr>
                <m:sty m:val="bi"/>
              </m:rPr>
              <w:rPr>
                <w:rFonts w:ascii="Cambria Math" w:hAnsi="Cambria Math" w:cs="Arial"/>
                <w:sz w:val="24"/>
                <w:szCs w:val="24"/>
              </w:rPr>
              <m:t>y</m:t>
            </m:r>
            <m:ctrlPr>
              <w:rPr>
                <w:rFonts w:ascii="Cambria Math" w:hAnsi="Cambria Math" w:cs="Arial"/>
                <w:b/>
                <w:iCs/>
                <w:sz w:val="24"/>
                <w:szCs w:val="24"/>
              </w:rPr>
            </m:ctrlPr>
          </m:sub>
        </m:sSub>
      </m:oMath>
      <w:r>
        <w:rPr>
          <w:rFonts w:hint="eastAsia"/>
          <w:sz w:val="24"/>
          <w:szCs w:val="24"/>
        </w:rPr>
        <w:t>为</w:t>
      </w:r>
      <w:r>
        <w:rPr>
          <w:rFonts w:hint="eastAsia" w:ascii="宋体" w:hAnsi="宋体" w:cs="宋体"/>
          <w:sz w:val="24"/>
          <w:szCs w:val="24"/>
        </w:rPr>
        <w:t>全部比对量测得值的方差-协方差矩阵：</w:t>
      </w:r>
    </w:p>
    <w:p>
      <w:pPr>
        <w:tabs>
          <w:tab w:val="center" w:pos="4200"/>
          <w:tab w:val="right" w:pos="8400"/>
        </w:tabs>
        <w:spacing w:line="360" w:lineRule="auto"/>
        <w:rPr>
          <w:rFonts w:ascii="宋体" w:hAnsi="宋体" w:cs="宋体"/>
          <w:sz w:val="24"/>
          <w:szCs w:val="24"/>
        </w:rPr>
      </w:pPr>
      <w:r>
        <w:rPr>
          <w:rFonts w:ascii="宋体" w:hAnsi="宋体" w:cs="宋体"/>
          <w:b/>
          <w:iCs/>
          <w:sz w:val="24"/>
          <w:szCs w:val="24"/>
        </w:rPr>
        <w:tab/>
      </w:r>
      <m:oMath>
        <m:sSub>
          <m:sSubPr>
            <m:ctrlPr>
              <w:rPr>
                <w:rFonts w:ascii="Cambria Math" w:hAnsi="Cambria Math" w:cs="Arial"/>
                <w:b/>
                <w:iCs/>
                <w:sz w:val="24"/>
                <w:szCs w:val="24"/>
              </w:rPr>
            </m:ctrlPr>
          </m:sSubPr>
          <m:e>
            <m:r>
              <m:rPr>
                <m:sty m:val="b"/>
              </m:rPr>
              <w:rPr>
                <w:rFonts w:ascii="Cambria Math" w:hAnsi="Cambria Math" w:cs="Arial"/>
                <w:sz w:val="24"/>
                <w:szCs w:val="24"/>
              </w:rPr>
              <m:t>V</m:t>
            </m:r>
            <m:ctrlPr>
              <w:rPr>
                <w:rFonts w:ascii="Cambria Math" w:hAnsi="Cambria Math" w:cs="Arial"/>
                <w:b/>
                <w:iCs/>
                <w:sz w:val="24"/>
                <w:szCs w:val="24"/>
              </w:rPr>
            </m:ctrlPr>
          </m:e>
          <m:sub>
            <m:r>
              <m:rPr>
                <m:sty m:val="bi"/>
              </m:rPr>
              <w:rPr>
                <w:rFonts w:ascii="Cambria Math" w:hAnsi="Cambria Math" w:cs="Arial"/>
                <w:sz w:val="24"/>
                <w:szCs w:val="24"/>
              </w:rPr>
              <m:t>y</m:t>
            </m:r>
            <m:ctrlPr>
              <w:rPr>
                <w:rFonts w:ascii="Cambria Math" w:hAnsi="Cambria Math" w:cs="Arial"/>
                <w:b/>
                <w:iCs/>
                <w:sz w:val="24"/>
                <w:szCs w:val="24"/>
              </w:rPr>
            </m:ctrlPr>
          </m:sub>
        </m:sSub>
        <m:r>
          <m:rPr>
            <m:sty m:val="p"/>
          </m:rPr>
          <w:rPr>
            <w:rFonts w:ascii="Cambria Math" w:hAnsi="Cambria Math"/>
            <w:sz w:val="24"/>
            <w:szCs w:val="24"/>
            <w:lang w:val="en-GB"/>
          </w:rPr>
          <m:t>=</m:t>
        </m:r>
        <m:d>
          <m:dPr>
            <m:ctrlPr>
              <w:rPr>
                <w:rFonts w:ascii="Cambria Math" w:hAnsi="Cambria Math"/>
                <w:i/>
                <w:iCs/>
                <w:sz w:val="24"/>
                <w:szCs w:val="24"/>
                <w:lang w:val="en-GB"/>
              </w:rPr>
            </m:ctrlPr>
          </m:dPr>
          <m:e>
            <m:m>
              <m:mPr>
                <m:mcs>
                  <m:mc>
                    <m:mcPr>
                      <m:count m:val="3"/>
                      <m:mcJc m:val="center"/>
                    </m:mcPr>
                  </m:mc>
                </m:mcs>
                <m:ctrlPr>
                  <w:rPr>
                    <w:rFonts w:ascii="Cambria Math" w:hAnsi="Cambria Math"/>
                    <w:i/>
                    <w:iCs/>
                    <w:sz w:val="24"/>
                    <w:szCs w:val="24"/>
                    <w:lang w:val="en-GB"/>
                  </w:rPr>
                </m:ctrlPr>
              </m:mPr>
              <m:mr>
                <m:e>
                  <m:sSubSup>
                    <m:sSubSupPr>
                      <m:ctrlPr>
                        <w:rPr>
                          <w:rFonts w:ascii="Cambria Math" w:hAnsi="Cambria Math"/>
                          <w:i/>
                          <w:iCs/>
                          <w:sz w:val="24"/>
                          <w:szCs w:val="24"/>
                          <w:lang w:val="en-GB"/>
                        </w:rPr>
                      </m:ctrlPr>
                    </m:sSubSupPr>
                    <m:e>
                      <m:r>
                        <m:rPr/>
                        <w:rPr>
                          <w:rFonts w:hint="eastAsia" w:ascii="Cambria Math" w:hAnsi="Cambria Math"/>
                          <w:sz w:val="24"/>
                          <w:szCs w:val="24"/>
                          <w:lang w:val="en-GB"/>
                        </w:rPr>
                        <m:t>u</m:t>
                      </m:r>
                      <m:ctrlPr>
                        <w:rPr>
                          <w:rFonts w:ascii="Cambria Math" w:hAnsi="Cambria Math"/>
                          <w:i/>
                          <w:iCs/>
                          <w:sz w:val="24"/>
                          <w:szCs w:val="24"/>
                          <w:lang w:val="en-GB"/>
                        </w:rPr>
                      </m:ctrlPr>
                    </m:e>
                    <m:sub>
                      <m:r>
                        <m:rPr/>
                        <w:rPr>
                          <w:rFonts w:ascii="Cambria Math" w:hAnsi="Cambria Math"/>
                          <w:sz w:val="24"/>
                          <w:szCs w:val="24"/>
                          <w:lang w:val="en-GB"/>
                        </w:rPr>
                        <m:t>1</m:t>
                      </m:r>
                      <m:ctrlPr>
                        <w:rPr>
                          <w:rFonts w:ascii="Cambria Math" w:hAnsi="Cambria Math"/>
                          <w:i/>
                          <w:iCs/>
                          <w:sz w:val="24"/>
                          <w:szCs w:val="24"/>
                          <w:lang w:val="en-GB"/>
                        </w:rPr>
                      </m:ctrlPr>
                    </m:sub>
                    <m:sup>
                      <m:r>
                        <m:rPr/>
                        <w:rPr>
                          <w:rFonts w:ascii="Cambria Math" w:hAnsi="Cambria Math"/>
                          <w:sz w:val="24"/>
                          <w:szCs w:val="24"/>
                          <w:lang w:val="en-GB"/>
                        </w:rPr>
                        <m:t>2</m:t>
                      </m:r>
                      <m:ctrlPr>
                        <w:rPr>
                          <w:rFonts w:ascii="Cambria Math" w:hAnsi="Cambria Math"/>
                          <w:i/>
                          <w:iCs/>
                          <w:sz w:val="24"/>
                          <w:szCs w:val="24"/>
                          <w:lang w:val="en-GB"/>
                        </w:rPr>
                      </m:ctrlPr>
                    </m:sup>
                  </m:sSubSup>
                  <m:ctrlPr>
                    <w:rPr>
                      <w:rFonts w:ascii="Cambria Math" w:hAnsi="Cambria Math"/>
                      <w:i/>
                      <w:iCs/>
                      <w:sz w:val="24"/>
                      <w:szCs w:val="24"/>
                      <w:lang w:val="en-GB"/>
                    </w:rPr>
                  </m:ctrlPr>
                </m:e>
                <m:e>
                  <m:r>
                    <m:rPr/>
                    <w:rPr>
                      <w:rFonts w:ascii="Cambria Math" w:hAnsi="Cambria Math"/>
                      <w:sz w:val="24"/>
                      <w:szCs w:val="24"/>
                      <w:lang w:val="en-GB"/>
                    </w:rPr>
                    <m:t>⋯</m:t>
                  </m:r>
                  <m:ctrlPr>
                    <w:rPr>
                      <w:rFonts w:ascii="Cambria Math" w:hAnsi="Cambria Math"/>
                      <w:i/>
                      <w:iCs/>
                      <w:sz w:val="24"/>
                      <w:szCs w:val="24"/>
                      <w:lang w:val="en-GB"/>
                    </w:rPr>
                  </m:ctrlPr>
                </m:e>
                <m:e>
                  <m:sSub>
                    <m:sSubPr>
                      <m:ctrlPr>
                        <w:rPr>
                          <w:rFonts w:ascii="Cambria Math" w:hAnsi="Cambria Math"/>
                          <w:i/>
                          <w:iCs/>
                          <w:sz w:val="24"/>
                          <w:szCs w:val="24"/>
                          <w:lang w:val="en-GB"/>
                        </w:rPr>
                      </m:ctrlPr>
                    </m:sSubPr>
                    <m:e>
                      <m:r>
                        <m:rPr/>
                        <w:rPr>
                          <w:rFonts w:ascii="Cambria Math" w:hAnsi="Cambria Math"/>
                          <w:sz w:val="24"/>
                          <w:szCs w:val="24"/>
                          <w:lang w:val="en-GB"/>
                        </w:rPr>
                        <m:t>cov</m:t>
                      </m:r>
                      <m:ctrlPr>
                        <w:rPr>
                          <w:rFonts w:ascii="Cambria Math" w:hAnsi="Cambria Math"/>
                          <w:i/>
                          <w:iCs/>
                          <w:sz w:val="24"/>
                          <w:szCs w:val="24"/>
                          <w:lang w:val="en-GB"/>
                        </w:rPr>
                      </m:ctrlPr>
                    </m:e>
                    <m:sub>
                      <m:r>
                        <m:rPr/>
                        <w:rPr>
                          <w:rFonts w:ascii="Cambria Math" w:hAnsi="Cambria Math"/>
                          <w:sz w:val="24"/>
                          <w:szCs w:val="24"/>
                          <w:lang w:val="en-GB"/>
                        </w:rPr>
                        <m:t>1,N</m:t>
                      </m:r>
                      <m:ctrlPr>
                        <w:rPr>
                          <w:rFonts w:ascii="Cambria Math" w:hAnsi="Cambria Math"/>
                          <w:i/>
                          <w:iCs/>
                          <w:sz w:val="24"/>
                          <w:szCs w:val="24"/>
                          <w:lang w:val="en-GB"/>
                        </w:rPr>
                      </m:ctrlPr>
                    </m:sub>
                  </m:sSub>
                  <m:ctrlPr>
                    <w:rPr>
                      <w:rFonts w:ascii="Cambria Math" w:hAnsi="Cambria Math"/>
                      <w:i/>
                      <w:iCs/>
                      <w:sz w:val="24"/>
                      <w:szCs w:val="24"/>
                      <w:lang w:val="en-GB"/>
                    </w:rPr>
                  </m:ctrlPr>
                </m:e>
              </m:mr>
              <m:mr>
                <m:e>
                  <m:r>
                    <m:rPr/>
                    <w:rPr>
                      <w:rFonts w:ascii="Cambria Math" w:hAnsi="Cambria Math"/>
                      <w:sz w:val="24"/>
                      <w:szCs w:val="24"/>
                      <w:lang w:val="en-GB"/>
                    </w:rPr>
                    <m:t>⋮</m:t>
                  </m:r>
                  <m:ctrlPr>
                    <w:rPr>
                      <w:rFonts w:ascii="Cambria Math" w:hAnsi="Cambria Math"/>
                      <w:i/>
                      <w:iCs/>
                      <w:sz w:val="24"/>
                      <w:szCs w:val="24"/>
                      <w:lang w:val="en-GB"/>
                    </w:rPr>
                  </m:ctrlPr>
                </m:e>
                <m:e>
                  <m:sSub>
                    <m:sSubPr>
                      <m:ctrlPr>
                        <w:rPr>
                          <w:rFonts w:ascii="Cambria Math" w:hAnsi="Cambria Math"/>
                          <w:i/>
                          <w:iCs/>
                          <w:sz w:val="24"/>
                          <w:szCs w:val="24"/>
                          <w:lang w:val="en-GB"/>
                        </w:rPr>
                      </m:ctrlPr>
                    </m:sSubPr>
                    <m:e>
                      <m:r>
                        <m:rPr/>
                        <w:rPr>
                          <w:rFonts w:ascii="Cambria Math" w:hAnsi="Cambria Math"/>
                          <w:sz w:val="24"/>
                          <w:szCs w:val="24"/>
                          <w:lang w:val="en-GB"/>
                        </w:rPr>
                        <m:t>cov</m:t>
                      </m:r>
                      <m:ctrlPr>
                        <w:rPr>
                          <w:rFonts w:ascii="Cambria Math" w:hAnsi="Cambria Math"/>
                          <w:i/>
                          <w:iCs/>
                          <w:sz w:val="24"/>
                          <w:szCs w:val="24"/>
                          <w:lang w:val="en-GB"/>
                        </w:rPr>
                      </m:ctrlPr>
                    </m:e>
                    <m:sub>
                      <m:r>
                        <m:rPr/>
                        <w:rPr>
                          <w:rFonts w:ascii="Cambria Math" w:hAnsi="Cambria Math"/>
                          <w:sz w:val="24"/>
                          <w:szCs w:val="24"/>
                          <w:lang w:val="en-GB"/>
                        </w:rPr>
                        <m:t>i,j</m:t>
                      </m:r>
                      <m:ctrlPr>
                        <w:rPr>
                          <w:rFonts w:ascii="Cambria Math" w:hAnsi="Cambria Math"/>
                          <w:i/>
                          <w:iCs/>
                          <w:sz w:val="24"/>
                          <w:szCs w:val="24"/>
                          <w:lang w:val="en-GB"/>
                        </w:rPr>
                      </m:ctrlPr>
                    </m:sub>
                  </m:sSub>
                  <m:ctrlPr>
                    <w:rPr>
                      <w:rFonts w:ascii="Cambria Math" w:hAnsi="Cambria Math"/>
                      <w:i/>
                      <w:iCs/>
                      <w:sz w:val="24"/>
                      <w:szCs w:val="24"/>
                      <w:lang w:val="en-GB"/>
                    </w:rPr>
                  </m:ctrlPr>
                </m:e>
                <m:e>
                  <m:r>
                    <m:rPr/>
                    <w:rPr>
                      <w:rFonts w:ascii="Cambria Math" w:hAnsi="Cambria Math"/>
                      <w:sz w:val="24"/>
                      <w:szCs w:val="24"/>
                      <w:lang w:val="en-GB"/>
                    </w:rPr>
                    <m:t>⋮</m:t>
                  </m:r>
                  <m:ctrlPr>
                    <w:rPr>
                      <w:rFonts w:ascii="Cambria Math" w:hAnsi="Cambria Math"/>
                      <w:i/>
                      <w:iCs/>
                      <w:sz w:val="24"/>
                      <w:szCs w:val="24"/>
                      <w:lang w:val="en-GB"/>
                    </w:rPr>
                  </m:ctrlPr>
                </m:e>
              </m:mr>
              <m:mr>
                <m:e>
                  <m:sSub>
                    <m:sSubPr>
                      <m:ctrlPr>
                        <w:rPr>
                          <w:rFonts w:ascii="Cambria Math" w:hAnsi="Cambria Math"/>
                          <w:i/>
                          <w:iCs/>
                          <w:sz w:val="24"/>
                          <w:szCs w:val="24"/>
                          <w:lang w:val="en-GB"/>
                        </w:rPr>
                      </m:ctrlPr>
                    </m:sSubPr>
                    <m:e>
                      <m:r>
                        <m:rPr/>
                        <w:rPr>
                          <w:rFonts w:ascii="Cambria Math" w:hAnsi="Cambria Math"/>
                          <w:sz w:val="24"/>
                          <w:szCs w:val="24"/>
                          <w:lang w:val="en-GB"/>
                        </w:rPr>
                        <m:t>cov</m:t>
                      </m:r>
                      <m:ctrlPr>
                        <w:rPr>
                          <w:rFonts w:ascii="Cambria Math" w:hAnsi="Cambria Math"/>
                          <w:i/>
                          <w:iCs/>
                          <w:sz w:val="24"/>
                          <w:szCs w:val="24"/>
                          <w:lang w:val="en-GB"/>
                        </w:rPr>
                      </m:ctrlPr>
                    </m:e>
                    <m:sub>
                      <m:r>
                        <m:rPr/>
                        <w:rPr>
                          <w:rFonts w:ascii="Cambria Math" w:hAnsi="Cambria Math"/>
                          <w:sz w:val="24"/>
                          <w:szCs w:val="24"/>
                          <w:lang w:val="en-GB"/>
                        </w:rPr>
                        <m:t>N,1</m:t>
                      </m:r>
                      <m:ctrlPr>
                        <w:rPr>
                          <w:rFonts w:ascii="Cambria Math" w:hAnsi="Cambria Math"/>
                          <w:i/>
                          <w:iCs/>
                          <w:sz w:val="24"/>
                          <w:szCs w:val="24"/>
                          <w:lang w:val="en-GB"/>
                        </w:rPr>
                      </m:ctrlPr>
                    </m:sub>
                  </m:sSub>
                  <m:ctrlPr>
                    <w:rPr>
                      <w:rFonts w:ascii="Cambria Math" w:hAnsi="Cambria Math"/>
                      <w:i/>
                      <w:iCs/>
                      <w:sz w:val="24"/>
                      <w:szCs w:val="24"/>
                      <w:lang w:val="en-GB"/>
                    </w:rPr>
                  </m:ctrlPr>
                </m:e>
                <m:e>
                  <m:r>
                    <m:rPr/>
                    <w:rPr>
                      <w:rFonts w:ascii="Cambria Math" w:hAnsi="Cambria Math"/>
                      <w:sz w:val="24"/>
                      <w:szCs w:val="24"/>
                      <w:lang w:val="en-GB"/>
                    </w:rPr>
                    <m:t>⋯</m:t>
                  </m:r>
                  <m:ctrlPr>
                    <w:rPr>
                      <w:rFonts w:ascii="Cambria Math" w:hAnsi="Cambria Math"/>
                      <w:i/>
                      <w:iCs/>
                      <w:sz w:val="24"/>
                      <w:szCs w:val="24"/>
                      <w:lang w:val="en-GB"/>
                    </w:rPr>
                  </m:ctrlPr>
                </m:e>
                <m:e>
                  <m:sSubSup>
                    <m:sSubSupPr>
                      <m:ctrlPr>
                        <w:rPr>
                          <w:rFonts w:ascii="Cambria Math" w:hAnsi="Cambria Math"/>
                          <w:i/>
                          <w:iCs/>
                          <w:sz w:val="24"/>
                          <w:szCs w:val="24"/>
                          <w:lang w:val="en-GB"/>
                        </w:rPr>
                      </m:ctrlPr>
                    </m:sSubSupPr>
                    <m:e>
                      <m:r>
                        <m:rPr/>
                        <w:rPr>
                          <w:rFonts w:hint="eastAsia" w:ascii="Cambria Math" w:hAnsi="Cambria Math"/>
                          <w:sz w:val="24"/>
                          <w:szCs w:val="24"/>
                          <w:lang w:val="en-GB"/>
                        </w:rPr>
                        <m:t>u</m:t>
                      </m:r>
                      <m:ctrlPr>
                        <w:rPr>
                          <w:rFonts w:ascii="Cambria Math" w:hAnsi="Cambria Math"/>
                          <w:i/>
                          <w:iCs/>
                          <w:sz w:val="24"/>
                          <w:szCs w:val="24"/>
                          <w:lang w:val="en-GB"/>
                        </w:rPr>
                      </m:ctrlPr>
                    </m:e>
                    <m:sub>
                      <m:r>
                        <m:rPr/>
                        <w:rPr>
                          <w:rFonts w:ascii="Cambria Math" w:hAnsi="Cambria Math"/>
                          <w:sz w:val="24"/>
                          <w:szCs w:val="24"/>
                          <w:lang w:val="en-GB"/>
                        </w:rPr>
                        <m:t>N</m:t>
                      </m:r>
                      <m:ctrlPr>
                        <w:rPr>
                          <w:rFonts w:ascii="Cambria Math" w:hAnsi="Cambria Math"/>
                          <w:i/>
                          <w:iCs/>
                          <w:sz w:val="24"/>
                          <w:szCs w:val="24"/>
                          <w:lang w:val="en-GB"/>
                        </w:rPr>
                      </m:ctrlPr>
                    </m:sub>
                    <m:sup>
                      <m:r>
                        <m:rPr/>
                        <w:rPr>
                          <w:rFonts w:ascii="Cambria Math" w:hAnsi="Cambria Math"/>
                          <w:sz w:val="24"/>
                          <w:szCs w:val="24"/>
                          <w:lang w:val="en-GB"/>
                        </w:rPr>
                        <m:t>2</m:t>
                      </m:r>
                      <m:ctrlPr>
                        <w:rPr>
                          <w:rFonts w:ascii="Cambria Math" w:hAnsi="Cambria Math"/>
                          <w:i/>
                          <w:iCs/>
                          <w:sz w:val="24"/>
                          <w:szCs w:val="24"/>
                          <w:lang w:val="en-GB"/>
                        </w:rPr>
                      </m:ctrlPr>
                    </m:sup>
                  </m:sSubSup>
                  <m:ctrlPr>
                    <w:rPr>
                      <w:rFonts w:ascii="Cambria Math" w:hAnsi="Cambria Math"/>
                      <w:i/>
                      <w:iCs/>
                      <w:sz w:val="24"/>
                      <w:szCs w:val="24"/>
                      <w:lang w:val="en-GB"/>
                    </w:rPr>
                  </m:ctrlPr>
                </m:e>
              </m:mr>
            </m:m>
            <m:ctrlPr>
              <w:rPr>
                <w:rFonts w:ascii="Cambria Math" w:hAnsi="Cambria Math"/>
                <w:i/>
                <w:iCs/>
                <w:sz w:val="24"/>
                <w:szCs w:val="24"/>
                <w:lang w:val="en-GB"/>
              </w:rPr>
            </m:ctrlPr>
          </m:e>
        </m:d>
      </m:oMath>
      <w:r>
        <w:rPr>
          <w:rFonts w:ascii="宋体" w:hAnsi="宋体" w:cs="宋体"/>
          <w:iCs/>
          <w:sz w:val="24"/>
          <w:szCs w:val="24"/>
          <w:lang w:val="en-GB"/>
        </w:rPr>
        <w:tab/>
      </w:r>
      <w:r>
        <w:rPr>
          <w:iCs/>
          <w:sz w:val="24"/>
          <w:szCs w:val="24"/>
          <w:lang w:val="en-GB"/>
        </w:rPr>
        <w:t>(E.6)</w:t>
      </w:r>
    </w:p>
    <w:p>
      <w:pPr>
        <w:pStyle w:val="50"/>
        <w:spacing w:line="360" w:lineRule="auto"/>
        <w:rPr>
          <w:rFonts w:hAnsi="Cambria Math" w:cs="宋体"/>
          <w:iCs/>
          <w:sz w:val="24"/>
          <w:szCs w:val="24"/>
          <w:lang w:val="en-GB"/>
        </w:rPr>
      </w:pPr>
      <w:r>
        <w:rPr>
          <w:rFonts w:hint="eastAsia" w:ascii="宋体" w:hAnsi="宋体" w:cs="宋体"/>
          <w:sz w:val="24"/>
          <w:szCs w:val="24"/>
        </w:rPr>
        <w:t>式中：</w:t>
      </w:r>
      <m:oMath>
        <m:sSub>
          <m:sSubPr>
            <m:ctrlPr>
              <w:rPr>
                <w:rFonts w:ascii="Cambria Math" w:hAnsi="Cambria Math"/>
                <w:i/>
                <w:iCs/>
                <w:color w:val="000000" w:themeColor="text1"/>
                <w:sz w:val="24"/>
                <w:szCs w:val="24"/>
                <w:lang w:val="en-GB"/>
                <w14:textFill>
                  <w14:solidFill>
                    <w14:schemeClr w14:val="tx1"/>
                  </w14:solidFill>
                </w14:textFill>
              </w:rPr>
            </m:ctrlPr>
          </m:sSubPr>
          <m:e>
            <m:r>
              <m:rPr/>
              <w:rPr>
                <w:rFonts w:hint="eastAsia" w:ascii="Cambria Math" w:hAnsi="Cambria Math"/>
                <w:color w:val="000000" w:themeColor="text1"/>
                <w:sz w:val="24"/>
                <w:szCs w:val="24"/>
                <w:lang w:val="en-GB"/>
                <w14:textFill>
                  <w14:solidFill>
                    <w14:schemeClr w14:val="tx1"/>
                  </w14:solidFill>
                </w14:textFill>
              </w:rPr>
              <m:t>u</m:t>
            </m:r>
            <m:ctrlPr>
              <w:rPr>
                <w:rFonts w:ascii="Cambria Math" w:hAnsi="Cambria Math"/>
                <w:i/>
                <w:iCs/>
                <w:color w:val="000000" w:themeColor="text1"/>
                <w:sz w:val="24"/>
                <w:szCs w:val="24"/>
                <w:lang w:val="en-GB"/>
                <w14:textFill>
                  <w14:solidFill>
                    <w14:schemeClr w14:val="tx1"/>
                  </w14:solidFill>
                </w14:textFill>
              </w:rPr>
            </m:ctrlPr>
          </m:e>
          <m:sub>
            <m:r>
              <m:rPr/>
              <w:rPr>
                <w:rFonts w:hint="eastAsia" w:ascii="Cambria Math" w:hAnsi="Cambria Math"/>
                <w:color w:val="000000" w:themeColor="text1"/>
                <w:sz w:val="24"/>
                <w:szCs w:val="24"/>
                <w:lang w:val="en-GB"/>
                <w14:textFill>
                  <w14:solidFill>
                    <w14:schemeClr w14:val="tx1"/>
                  </w14:solidFill>
                </w14:textFill>
              </w:rPr>
              <m:t>i</m:t>
            </m:r>
            <m:ctrlPr>
              <w:rPr>
                <w:rFonts w:ascii="Cambria Math" w:hAnsi="Cambria Math"/>
                <w:i/>
                <w:iCs/>
                <w:color w:val="000000" w:themeColor="text1"/>
                <w:sz w:val="24"/>
                <w:szCs w:val="24"/>
                <w:lang w:val="en-GB"/>
                <w14:textFill>
                  <w14:solidFill>
                    <w14:schemeClr w14:val="tx1"/>
                  </w14:solidFill>
                </w14:textFill>
              </w:rPr>
            </m:ctrlPr>
          </m:sub>
        </m:sSub>
      </m:oMath>
      <w:r>
        <w:rPr>
          <w:rFonts w:hint="eastAsia" w:hAnsi="Cambria Math" w:cs="宋体"/>
          <w:iCs/>
          <w:sz w:val="24"/>
          <w:szCs w:val="24"/>
          <w:lang w:val="en-GB"/>
        </w:rPr>
        <w:t>—</w:t>
      </w:r>
      <w:r>
        <w:rPr>
          <w:rFonts w:hint="eastAsia" w:ascii="宋体" w:hAnsi="宋体" w:cs="宋体"/>
          <w:sz w:val="24"/>
          <w:szCs w:val="24"/>
        </w:rPr>
        <w:t>第</w:t>
      </w:r>
      <m:oMath>
        <m:r>
          <m:rPr/>
          <w:rPr>
            <w:rFonts w:ascii="Cambria Math" w:hAnsi="Cambria Math"/>
            <w:color w:val="000000" w:themeColor="text1"/>
            <w:sz w:val="24"/>
            <w:szCs w:val="24"/>
            <w14:textFill>
              <w14:solidFill>
                <w14:schemeClr w14:val="tx1"/>
              </w14:solidFill>
            </w14:textFill>
          </w:rPr>
          <m:t>i</m:t>
        </m:r>
      </m:oMath>
      <w:r>
        <w:rPr>
          <w:rFonts w:hint="eastAsia" w:ascii="宋体" w:hAnsi="宋体" w:cs="宋体"/>
          <w:sz w:val="24"/>
          <w:szCs w:val="24"/>
        </w:rPr>
        <w:t>个比对量测得值</w:t>
      </w:r>
      <m:oMath>
        <m:sSub>
          <m:sSubPr>
            <m:ctrlPr>
              <w:rPr>
                <w:rFonts w:ascii="Cambria Math" w:hAnsi="Cambria Math" w:cs="Arial"/>
                <w:bCs/>
                <w:iCs/>
                <w:sz w:val="24"/>
                <w:szCs w:val="24"/>
              </w:rPr>
            </m:ctrlPr>
          </m:sSubPr>
          <m:e>
            <m:r>
              <m:rPr/>
              <w:rPr>
                <w:rFonts w:ascii="Cambria Math" w:hAnsi="Cambria Math" w:cs="Arial"/>
                <w:sz w:val="24"/>
                <w:szCs w:val="24"/>
              </w:rPr>
              <m:t>y</m:t>
            </m:r>
            <m:ctrlPr>
              <w:rPr>
                <w:rFonts w:ascii="Cambria Math" w:hAnsi="Cambria Math" w:cs="Arial"/>
                <w:bCs/>
                <w:iCs/>
                <w:sz w:val="24"/>
                <w:szCs w:val="24"/>
              </w:rPr>
            </m:ctrlPr>
          </m:e>
          <m:sub>
            <m:r>
              <m:rPr/>
              <w:rPr>
                <w:rFonts w:ascii="Cambria Math" w:hAnsi="Cambria Math" w:cs="Arial"/>
                <w:sz w:val="24"/>
                <w:szCs w:val="24"/>
              </w:rPr>
              <m:t>i</m:t>
            </m:r>
            <m:ctrlPr>
              <w:rPr>
                <w:rFonts w:ascii="Cambria Math" w:hAnsi="Cambria Math" w:cs="Arial"/>
                <w:bCs/>
                <w:iCs/>
                <w:sz w:val="24"/>
                <w:szCs w:val="24"/>
              </w:rPr>
            </m:ctrlPr>
          </m:sub>
        </m:sSub>
      </m:oMath>
      <w:r>
        <w:rPr>
          <w:rFonts w:hint="eastAsia" w:ascii="宋体" w:hAnsi="宋体" w:cs="宋体"/>
          <w:sz w:val="24"/>
          <w:szCs w:val="24"/>
        </w:rPr>
        <w:t>的标准不确定度</w:t>
      </w:r>
      <w:r>
        <w:rPr>
          <w:rFonts w:hint="eastAsia" w:hAnsi="Cambria Math" w:cs="宋体"/>
          <w:iCs/>
          <w:sz w:val="24"/>
          <w:szCs w:val="24"/>
          <w:lang w:val="en-GB"/>
        </w:rPr>
        <w:t>；</w:t>
      </w:r>
    </w:p>
    <w:p>
      <w:pPr>
        <w:pStyle w:val="50"/>
        <w:spacing w:line="360" w:lineRule="auto"/>
        <w:ind w:firstLine="720" w:firstLineChars="300"/>
        <w:rPr>
          <w:rFonts w:ascii="宋体" w:hAnsi="宋体" w:cs="宋体"/>
          <w:iCs/>
          <w:sz w:val="24"/>
          <w:szCs w:val="24"/>
          <w:lang w:val="en-GB"/>
        </w:rPr>
      </w:pPr>
      <m:oMath>
        <m:sSub>
          <m:sSubPr>
            <m:ctrlPr>
              <w:rPr>
                <w:rFonts w:hint="eastAsia" w:ascii="Cambria Math" w:hAnsi="Cambria Math" w:cs="宋体"/>
                <w:i/>
                <w:iCs/>
                <w:color w:val="000000" w:themeColor="text1"/>
                <w:sz w:val="24"/>
                <w:szCs w:val="24"/>
                <w:lang w:val="en-GB"/>
                <w14:textFill>
                  <w14:solidFill>
                    <w14:schemeClr w14:val="tx1"/>
                  </w14:solidFill>
                </w14:textFill>
              </w:rPr>
            </m:ctrlPr>
          </m:sSubPr>
          <m:e>
            <m:r>
              <m:rPr/>
              <w:rPr>
                <w:rFonts w:hint="eastAsia" w:ascii="Cambria Math" w:hAnsi="Cambria Math" w:cs="宋体"/>
                <w:color w:val="000000" w:themeColor="text1"/>
                <w:sz w:val="24"/>
                <w:szCs w:val="24"/>
                <w:lang w:val="en-GB"/>
                <w14:textFill>
                  <w14:solidFill>
                    <w14:schemeClr w14:val="tx1"/>
                  </w14:solidFill>
                </w14:textFill>
              </w:rPr>
              <m:t>cov</m:t>
            </m:r>
            <m:ctrlPr>
              <w:rPr>
                <w:rFonts w:hint="eastAsia" w:ascii="Cambria Math" w:hAnsi="Cambria Math" w:cs="宋体"/>
                <w:i/>
                <w:iCs/>
                <w:color w:val="000000" w:themeColor="text1"/>
                <w:sz w:val="24"/>
                <w:szCs w:val="24"/>
                <w:lang w:val="en-GB"/>
                <w14:textFill>
                  <w14:solidFill>
                    <w14:schemeClr w14:val="tx1"/>
                  </w14:solidFill>
                </w14:textFill>
              </w:rPr>
            </m:ctrlPr>
          </m:e>
          <m:sub>
            <m:r>
              <m:rPr/>
              <w:rPr>
                <w:rFonts w:hint="eastAsia" w:ascii="Cambria Math" w:hAnsi="Cambria Math" w:cs="宋体"/>
                <w:color w:val="000000" w:themeColor="text1"/>
                <w:sz w:val="24"/>
                <w:szCs w:val="24"/>
                <w:lang w:val="en-GB"/>
                <w14:textFill>
                  <w14:solidFill>
                    <w14:schemeClr w14:val="tx1"/>
                  </w14:solidFill>
                </w14:textFill>
              </w:rPr>
              <m:t>i,j</m:t>
            </m:r>
            <m:ctrlPr>
              <w:rPr>
                <w:rFonts w:hint="eastAsia" w:ascii="Cambria Math" w:hAnsi="Cambria Math" w:cs="宋体"/>
                <w:i/>
                <w:iCs/>
                <w:color w:val="000000" w:themeColor="text1"/>
                <w:sz w:val="24"/>
                <w:szCs w:val="24"/>
                <w:lang w:val="en-GB"/>
                <w14:textFill>
                  <w14:solidFill>
                    <w14:schemeClr w14:val="tx1"/>
                  </w14:solidFill>
                </w14:textFill>
              </w:rPr>
            </m:ctrlPr>
          </m:sub>
        </m:sSub>
      </m:oMath>
      <w:r>
        <w:rPr>
          <w:rFonts w:hint="eastAsia" w:hAnsi="Cambria Math" w:cs="宋体"/>
          <w:iCs/>
          <w:color w:val="000000" w:themeColor="text1"/>
          <w:sz w:val="24"/>
          <w:szCs w:val="24"/>
          <w:lang w:val="en-GB"/>
          <w14:textFill>
            <w14:solidFill>
              <w14:schemeClr w14:val="tx1"/>
            </w14:solidFill>
          </w14:textFill>
        </w:rPr>
        <w:t>—</w:t>
      </w:r>
      <w:r>
        <w:rPr>
          <w:rFonts w:hint="eastAsia" w:ascii="宋体" w:hAnsi="宋体" w:cs="宋体"/>
          <w:color w:val="000000" w:themeColor="text1"/>
          <w:sz w:val="24"/>
          <w:szCs w:val="24"/>
          <w14:textFill>
            <w14:solidFill>
              <w14:schemeClr w14:val="tx1"/>
            </w14:solidFill>
          </w14:textFill>
        </w:rPr>
        <w:t>第</w:t>
      </w:r>
      <m:oMath>
        <m:r>
          <m:rPr/>
          <w:rPr>
            <w:rFonts w:ascii="Cambria Math" w:hAnsi="Cambria Math"/>
            <w:color w:val="000000" w:themeColor="text1"/>
            <w:sz w:val="24"/>
            <w:szCs w:val="24"/>
            <w14:textFill>
              <w14:solidFill>
                <w14:schemeClr w14:val="tx1"/>
              </w14:solidFill>
            </w14:textFill>
          </w:rPr>
          <m:t>i</m:t>
        </m:r>
      </m:oMath>
      <w:r>
        <w:rPr>
          <w:rFonts w:hint="eastAsia" w:ascii="宋体" w:hAnsi="宋体" w:cs="宋体"/>
          <w:color w:val="000000" w:themeColor="text1"/>
          <w:sz w:val="24"/>
          <w:szCs w:val="24"/>
          <w14:textFill>
            <w14:solidFill>
              <w14:schemeClr w14:val="tx1"/>
            </w14:solidFill>
          </w14:textFill>
        </w:rPr>
        <w:t>个测得值与第</w:t>
      </w:r>
      <m:oMath>
        <m:r>
          <m:rPr/>
          <w:rPr>
            <w:rFonts w:ascii="Cambria Math" w:hAnsi="Cambria Math"/>
            <w:color w:val="000000" w:themeColor="text1"/>
            <w:sz w:val="24"/>
            <w:szCs w:val="24"/>
            <w14:textFill>
              <w14:solidFill>
                <w14:schemeClr w14:val="tx1"/>
              </w14:solidFill>
            </w14:textFill>
          </w:rPr>
          <m:t>j</m:t>
        </m:r>
      </m:oMath>
      <w:r>
        <w:rPr>
          <w:rFonts w:hint="eastAsia" w:ascii="宋体" w:hAnsi="宋体" w:cs="宋体"/>
          <w:color w:val="000000" w:themeColor="text1"/>
          <w:sz w:val="24"/>
          <w:szCs w:val="24"/>
          <w14:textFill>
            <w14:solidFill>
              <w14:schemeClr w14:val="tx1"/>
            </w14:solidFill>
          </w14:textFill>
        </w:rPr>
        <w:t>个测得值间的协方差，</w:t>
      </w:r>
      <m:oMath>
        <m:sSub>
          <m:sSubPr>
            <m:ctrlPr>
              <w:rPr>
                <w:rFonts w:hint="eastAsia" w:ascii="Cambria Math" w:hAnsi="Cambria Math" w:cs="宋体"/>
                <w:i/>
                <w:iCs/>
                <w:color w:val="000000" w:themeColor="text1"/>
                <w:sz w:val="24"/>
                <w:szCs w:val="24"/>
                <w:lang w:val="en-GB"/>
                <w14:textFill>
                  <w14:solidFill>
                    <w14:schemeClr w14:val="tx1"/>
                  </w14:solidFill>
                </w14:textFill>
              </w:rPr>
            </m:ctrlPr>
          </m:sSubPr>
          <m:e>
            <m:r>
              <m:rPr/>
              <w:rPr>
                <w:rFonts w:hint="eastAsia" w:ascii="Cambria Math" w:hAnsi="Cambria Math" w:cs="宋体"/>
                <w:color w:val="000000" w:themeColor="text1"/>
                <w:sz w:val="24"/>
                <w:szCs w:val="24"/>
                <w:lang w:val="en-GB"/>
                <w14:textFill>
                  <w14:solidFill>
                    <w14:schemeClr w14:val="tx1"/>
                  </w14:solidFill>
                </w14:textFill>
              </w:rPr>
              <m:t>cov</m:t>
            </m:r>
            <m:ctrlPr>
              <w:rPr>
                <w:rFonts w:hint="eastAsia" w:ascii="Cambria Math" w:hAnsi="Cambria Math" w:cs="宋体"/>
                <w:i/>
                <w:iCs/>
                <w:color w:val="000000" w:themeColor="text1"/>
                <w:sz w:val="24"/>
                <w:szCs w:val="24"/>
                <w:lang w:val="en-GB"/>
                <w14:textFill>
                  <w14:solidFill>
                    <w14:schemeClr w14:val="tx1"/>
                  </w14:solidFill>
                </w14:textFill>
              </w:rPr>
            </m:ctrlPr>
          </m:e>
          <m:sub>
            <m:r>
              <m:rPr/>
              <w:rPr>
                <w:rFonts w:hint="eastAsia" w:ascii="Cambria Math" w:hAnsi="Cambria Math" w:cs="宋体"/>
                <w:color w:val="000000" w:themeColor="text1"/>
                <w:sz w:val="24"/>
                <w:szCs w:val="24"/>
                <w:lang w:val="en-GB"/>
                <w14:textFill>
                  <w14:solidFill>
                    <w14:schemeClr w14:val="tx1"/>
                  </w14:solidFill>
                </w14:textFill>
              </w:rPr>
              <m:t>i,j</m:t>
            </m:r>
            <m:ctrlPr>
              <w:rPr>
                <w:rFonts w:hint="eastAsia" w:ascii="Cambria Math" w:hAnsi="Cambria Math" w:cs="宋体"/>
                <w:i/>
                <w:iCs/>
                <w:color w:val="000000" w:themeColor="text1"/>
                <w:sz w:val="24"/>
                <w:szCs w:val="24"/>
                <w:lang w:val="en-GB"/>
                <w14:textFill>
                  <w14:solidFill>
                    <w14:schemeClr w14:val="tx1"/>
                  </w14:solidFill>
                </w14:textFill>
              </w:rPr>
            </m:ctrlPr>
          </m:sub>
        </m:sSub>
        <m:r>
          <m:rPr/>
          <w:rPr>
            <w:rFonts w:ascii="Cambria Math" w:hAnsi="Cambria Math" w:cs="宋体"/>
            <w:color w:val="000000" w:themeColor="text1"/>
            <w:sz w:val="24"/>
            <w:szCs w:val="24"/>
            <w:lang w:val="en-GB"/>
            <w14:textFill>
              <w14:solidFill>
                <w14:schemeClr w14:val="tx1"/>
              </w14:solidFill>
            </w14:textFill>
          </w:rPr>
          <m:t>=</m:t>
        </m:r>
        <m:sSub>
          <m:sSubPr>
            <m:ctrlPr>
              <w:rPr>
                <w:rFonts w:ascii="Cambria Math" w:hAnsi="Cambria Math" w:cs="宋体"/>
                <w:i/>
                <w:iCs/>
                <w:color w:val="000000" w:themeColor="text1"/>
                <w:sz w:val="24"/>
                <w:szCs w:val="24"/>
                <w:lang w:val="en-GB"/>
                <w14:textFill>
                  <w14:solidFill>
                    <w14:schemeClr w14:val="tx1"/>
                  </w14:solidFill>
                </w14:textFill>
              </w:rPr>
            </m:ctrlPr>
          </m:sSubPr>
          <m:e>
            <m:r>
              <m:rPr/>
              <w:rPr>
                <w:rFonts w:hint="eastAsia" w:ascii="Cambria Math" w:hAnsi="Cambria Math" w:cs="宋体"/>
                <w:color w:val="000000" w:themeColor="text1"/>
                <w:sz w:val="24"/>
                <w:szCs w:val="24"/>
                <w:lang w:val="en-GB"/>
                <w14:textFill>
                  <w14:solidFill>
                    <w14:schemeClr w14:val="tx1"/>
                  </w14:solidFill>
                </w14:textFill>
              </w:rPr>
              <m:t>r</m:t>
            </m:r>
            <m:ctrlPr>
              <w:rPr>
                <w:rFonts w:ascii="Cambria Math" w:hAnsi="Cambria Math" w:cs="宋体"/>
                <w:i/>
                <w:iCs/>
                <w:color w:val="000000" w:themeColor="text1"/>
                <w:sz w:val="24"/>
                <w:szCs w:val="24"/>
                <w:lang w:val="en-GB"/>
                <w14:textFill>
                  <w14:solidFill>
                    <w14:schemeClr w14:val="tx1"/>
                  </w14:solidFill>
                </w14:textFill>
              </w:rPr>
            </m:ctrlPr>
          </m:e>
          <m:sub>
            <m:r>
              <m:rPr/>
              <w:rPr>
                <w:rFonts w:hint="eastAsia" w:ascii="Cambria Math" w:hAnsi="Cambria Math" w:cs="宋体"/>
                <w:color w:val="000000" w:themeColor="text1"/>
                <w:sz w:val="24"/>
                <w:szCs w:val="24"/>
                <w:lang w:val="en-GB"/>
                <w14:textFill>
                  <w14:solidFill>
                    <w14:schemeClr w14:val="tx1"/>
                  </w14:solidFill>
                </w14:textFill>
              </w:rPr>
              <m:t>i</m:t>
            </m:r>
            <m:r>
              <m:rPr/>
              <w:rPr>
                <w:rFonts w:ascii="Cambria Math" w:hAnsi="Cambria Math" w:cs="宋体"/>
                <w:color w:val="000000" w:themeColor="text1"/>
                <w:sz w:val="24"/>
                <w:szCs w:val="24"/>
                <w:lang w:val="en-GB"/>
                <w14:textFill>
                  <w14:solidFill>
                    <w14:schemeClr w14:val="tx1"/>
                  </w14:solidFill>
                </w14:textFill>
              </w:rPr>
              <m:t>,j</m:t>
            </m:r>
            <m:ctrlPr>
              <w:rPr>
                <w:rFonts w:ascii="Cambria Math" w:hAnsi="Cambria Math" w:cs="宋体"/>
                <w:i/>
                <w:iCs/>
                <w:color w:val="000000" w:themeColor="text1"/>
                <w:sz w:val="24"/>
                <w:szCs w:val="24"/>
                <w:lang w:val="en-GB"/>
                <w14:textFill>
                  <w14:solidFill>
                    <w14:schemeClr w14:val="tx1"/>
                  </w14:solidFill>
                </w14:textFill>
              </w:rPr>
            </m:ctrlPr>
          </m:sub>
        </m:sSub>
        <m:r>
          <m:rPr/>
          <w:rPr>
            <w:rFonts w:ascii="Cambria Math" w:hAnsi="Cambria Math" w:cs="宋体"/>
            <w:color w:val="000000" w:themeColor="text1"/>
            <w:sz w:val="24"/>
            <w:szCs w:val="24"/>
            <w:lang w:val="en-GB"/>
            <w14:textFill>
              <w14:solidFill>
                <w14:schemeClr w14:val="tx1"/>
              </w14:solidFill>
            </w14:textFill>
          </w:rPr>
          <m:t>∙</m:t>
        </m:r>
        <m:sSub>
          <m:sSubPr>
            <m:ctrlPr>
              <w:rPr>
                <w:rFonts w:ascii="Cambria Math" w:hAnsi="Cambria Math" w:cs="宋体"/>
                <w:i/>
                <w:iCs/>
                <w:color w:val="000000" w:themeColor="text1"/>
                <w:sz w:val="24"/>
                <w:szCs w:val="24"/>
                <w:lang w:val="en-GB"/>
                <w14:textFill>
                  <w14:solidFill>
                    <w14:schemeClr w14:val="tx1"/>
                  </w14:solidFill>
                </w14:textFill>
              </w:rPr>
            </m:ctrlPr>
          </m:sSubPr>
          <m:e>
            <m:r>
              <m:rPr/>
              <w:rPr>
                <w:rFonts w:ascii="Cambria Math" w:hAnsi="Cambria Math" w:cs="宋体"/>
                <w:color w:val="000000" w:themeColor="text1"/>
                <w:sz w:val="24"/>
                <w:szCs w:val="24"/>
                <w:lang w:val="en-GB"/>
                <w14:textFill>
                  <w14:solidFill>
                    <w14:schemeClr w14:val="tx1"/>
                  </w14:solidFill>
                </w14:textFill>
              </w:rPr>
              <m:t>u</m:t>
            </m:r>
            <m:ctrlPr>
              <w:rPr>
                <w:rFonts w:ascii="Cambria Math" w:hAnsi="Cambria Math" w:cs="宋体"/>
                <w:i/>
                <w:iCs/>
                <w:color w:val="000000" w:themeColor="text1"/>
                <w:sz w:val="24"/>
                <w:szCs w:val="24"/>
                <w:lang w:val="en-GB"/>
                <w14:textFill>
                  <w14:solidFill>
                    <w14:schemeClr w14:val="tx1"/>
                  </w14:solidFill>
                </w14:textFill>
              </w:rPr>
            </m:ctrlPr>
          </m:e>
          <m:sub>
            <m:r>
              <m:rPr/>
              <w:rPr>
                <w:rFonts w:hint="eastAsia" w:ascii="Cambria Math" w:hAnsi="Cambria Math" w:cs="宋体"/>
                <w:color w:val="000000" w:themeColor="text1"/>
                <w:sz w:val="24"/>
                <w:szCs w:val="24"/>
                <w:lang w:val="en-GB"/>
                <w14:textFill>
                  <w14:solidFill>
                    <w14:schemeClr w14:val="tx1"/>
                  </w14:solidFill>
                </w14:textFill>
              </w:rPr>
              <m:t>i</m:t>
            </m:r>
            <m:ctrlPr>
              <w:rPr>
                <w:rFonts w:ascii="Cambria Math" w:hAnsi="Cambria Math" w:cs="宋体"/>
                <w:i/>
                <w:iCs/>
                <w:color w:val="000000" w:themeColor="text1"/>
                <w:sz w:val="24"/>
                <w:szCs w:val="24"/>
                <w:lang w:val="en-GB"/>
                <w14:textFill>
                  <w14:solidFill>
                    <w14:schemeClr w14:val="tx1"/>
                  </w14:solidFill>
                </w14:textFill>
              </w:rPr>
            </m:ctrlPr>
          </m:sub>
        </m:sSub>
        <m:r>
          <m:rPr/>
          <w:rPr>
            <w:rFonts w:ascii="Cambria Math" w:hAnsi="Cambria Math" w:cs="宋体"/>
            <w:color w:val="000000" w:themeColor="text1"/>
            <w:sz w:val="24"/>
            <w:szCs w:val="24"/>
            <w:lang w:val="en-GB"/>
            <w14:textFill>
              <w14:solidFill>
                <w14:schemeClr w14:val="tx1"/>
              </w14:solidFill>
            </w14:textFill>
          </w:rPr>
          <m:t>∙</m:t>
        </m:r>
        <m:sSub>
          <m:sSubPr>
            <m:ctrlPr>
              <w:rPr>
                <w:rFonts w:ascii="Cambria Math" w:hAnsi="Cambria Math" w:cs="宋体"/>
                <w:i/>
                <w:iCs/>
                <w:color w:val="000000" w:themeColor="text1"/>
                <w:sz w:val="24"/>
                <w:szCs w:val="24"/>
                <w:lang w:val="en-GB"/>
                <w14:textFill>
                  <w14:solidFill>
                    <w14:schemeClr w14:val="tx1"/>
                  </w14:solidFill>
                </w14:textFill>
              </w:rPr>
            </m:ctrlPr>
          </m:sSubPr>
          <m:e>
            <m:r>
              <m:rPr/>
              <w:rPr>
                <w:rFonts w:ascii="Cambria Math" w:hAnsi="Cambria Math" w:cs="宋体"/>
                <w:color w:val="000000" w:themeColor="text1"/>
                <w:sz w:val="24"/>
                <w:szCs w:val="24"/>
                <w:lang w:val="en-GB"/>
                <w14:textFill>
                  <w14:solidFill>
                    <w14:schemeClr w14:val="tx1"/>
                  </w14:solidFill>
                </w14:textFill>
              </w:rPr>
              <m:t>u</m:t>
            </m:r>
            <m:ctrlPr>
              <w:rPr>
                <w:rFonts w:ascii="Cambria Math" w:hAnsi="Cambria Math" w:cs="宋体"/>
                <w:i/>
                <w:iCs/>
                <w:color w:val="000000" w:themeColor="text1"/>
                <w:sz w:val="24"/>
                <w:szCs w:val="24"/>
                <w:lang w:val="en-GB"/>
                <w14:textFill>
                  <w14:solidFill>
                    <w14:schemeClr w14:val="tx1"/>
                  </w14:solidFill>
                </w14:textFill>
              </w:rPr>
            </m:ctrlPr>
          </m:e>
          <m:sub>
            <m:r>
              <m:rPr/>
              <w:rPr>
                <w:rFonts w:ascii="Cambria Math" w:hAnsi="Cambria Math" w:cs="宋体"/>
                <w:color w:val="000000" w:themeColor="text1"/>
                <w:sz w:val="24"/>
                <w:szCs w:val="24"/>
                <w:lang w:val="en-GB"/>
                <w14:textFill>
                  <w14:solidFill>
                    <w14:schemeClr w14:val="tx1"/>
                  </w14:solidFill>
                </w14:textFill>
              </w:rPr>
              <m:t>j</m:t>
            </m:r>
            <m:ctrlPr>
              <w:rPr>
                <w:rFonts w:ascii="Cambria Math" w:hAnsi="Cambria Math" w:cs="宋体"/>
                <w:i/>
                <w:iCs/>
                <w:color w:val="000000" w:themeColor="text1"/>
                <w:sz w:val="24"/>
                <w:szCs w:val="24"/>
                <w:lang w:val="en-GB"/>
                <w14:textFill>
                  <w14:solidFill>
                    <w14:schemeClr w14:val="tx1"/>
                  </w14:solidFill>
                </w14:textFill>
              </w:rPr>
            </m:ctrlPr>
          </m:sub>
        </m:sSub>
      </m:oMath>
      <w:r>
        <w:rPr>
          <w:rFonts w:hint="eastAsia" w:ascii="宋体" w:hAnsi="宋体" w:cs="宋体"/>
          <w:color w:val="000000" w:themeColor="text1"/>
          <w:sz w:val="24"/>
          <w:szCs w:val="24"/>
          <w14:textFill>
            <w14:solidFill>
              <w14:schemeClr w14:val="tx1"/>
            </w14:solidFill>
          </w14:textFill>
        </w:rPr>
        <w:t>，</w:t>
      </w:r>
      <m:oMath>
        <m:r>
          <m:rPr/>
          <w:rPr>
            <w:rFonts w:hint="eastAsia" w:ascii="Cambria Math" w:hAnsi="Cambria Math" w:cs="宋体"/>
            <w:color w:val="000000" w:themeColor="text1"/>
            <w:sz w:val="24"/>
            <w:szCs w:val="24"/>
            <w:lang w:val="en-GB"/>
            <w14:textFill>
              <w14:solidFill>
                <w14:schemeClr w14:val="tx1"/>
              </w14:solidFill>
            </w14:textFill>
          </w:rPr>
          <m:t>r</m:t>
        </m:r>
      </m:oMath>
      <w:r>
        <w:rPr>
          <w:rFonts w:hint="eastAsia" w:ascii="宋体" w:hAnsi="宋体" w:cs="宋体"/>
          <w:color w:val="000000" w:themeColor="text1"/>
          <w:sz w:val="24"/>
          <w:szCs w:val="24"/>
          <w14:textFill>
            <w14:solidFill>
              <w14:schemeClr w14:val="tx1"/>
            </w14:solidFill>
          </w14:textFill>
        </w:rPr>
        <w:t>为相关系数。对任意一对比对量测得值</w:t>
      </w:r>
      <m:oMath>
        <m:sSub>
          <m:sSubPr>
            <m:ctrlPr>
              <w:rPr>
                <w:rStyle w:val="47"/>
                <w:rFonts w:ascii="Cambria Math" w:hAnsi="Cambria Math"/>
                <w:i/>
                <w:color w:val="auto"/>
                <w:sz w:val="24"/>
                <w:szCs w:val="24"/>
              </w:rPr>
            </m:ctrlPr>
          </m:sSubPr>
          <m:e>
            <m:r>
              <m:rPr/>
              <w:rPr>
                <w:rStyle w:val="47"/>
                <w:rFonts w:hint="eastAsia" w:ascii="Cambria Math" w:hAnsi="Cambria Math"/>
                <w:sz w:val="24"/>
                <w:szCs w:val="24"/>
              </w:rPr>
              <m:t>y</m:t>
            </m:r>
            <m:ctrlPr>
              <w:rPr>
                <w:rStyle w:val="47"/>
                <w:rFonts w:ascii="Cambria Math" w:hAnsi="Cambria Math"/>
                <w:i/>
                <w:color w:val="auto"/>
                <w:sz w:val="24"/>
                <w:szCs w:val="24"/>
              </w:rPr>
            </m:ctrlPr>
          </m:e>
          <m:sub>
            <m:r>
              <m:rPr/>
              <w:rPr>
                <w:rStyle w:val="47"/>
                <w:rFonts w:hint="eastAsia" w:ascii="Cambria Math" w:hAnsi="Cambria Math"/>
                <w:sz w:val="24"/>
                <w:szCs w:val="24"/>
              </w:rPr>
              <m:t>i</m:t>
            </m:r>
            <m:ctrlPr>
              <w:rPr>
                <w:rStyle w:val="47"/>
                <w:rFonts w:ascii="Cambria Math" w:hAnsi="Cambria Math"/>
                <w:i/>
                <w:color w:val="auto"/>
                <w:sz w:val="24"/>
                <w:szCs w:val="24"/>
              </w:rPr>
            </m:ctrlPr>
          </m:sub>
        </m:sSub>
      </m:oMath>
      <w:r>
        <w:rPr>
          <w:rStyle w:val="47"/>
          <w:rFonts w:hint="eastAsia" w:ascii="宋体" w:hAnsi="宋体" w:cs="宋体"/>
          <w:sz w:val="24"/>
          <w:szCs w:val="24"/>
        </w:rPr>
        <w:t>和</w:t>
      </w:r>
      <m:oMath>
        <m:sSub>
          <m:sSubPr>
            <m:ctrlPr>
              <w:rPr>
                <w:rStyle w:val="47"/>
                <w:rFonts w:ascii="Cambria Math" w:hAnsi="Cambria Math"/>
                <w:i/>
                <w:color w:val="auto"/>
                <w:sz w:val="24"/>
                <w:szCs w:val="24"/>
              </w:rPr>
            </m:ctrlPr>
          </m:sSubPr>
          <m:e>
            <m:r>
              <m:rPr/>
              <w:rPr>
                <w:rStyle w:val="47"/>
                <w:rFonts w:hint="eastAsia" w:ascii="Cambria Math" w:hAnsi="Cambria Math"/>
                <w:sz w:val="24"/>
                <w:szCs w:val="24"/>
              </w:rPr>
              <m:t>y</m:t>
            </m:r>
            <m:ctrlPr>
              <w:rPr>
                <w:rStyle w:val="47"/>
                <w:rFonts w:ascii="Cambria Math" w:hAnsi="Cambria Math"/>
                <w:i/>
                <w:color w:val="auto"/>
                <w:sz w:val="24"/>
                <w:szCs w:val="24"/>
              </w:rPr>
            </m:ctrlPr>
          </m:e>
          <m:sub>
            <m:r>
              <m:rPr/>
              <w:rPr>
                <w:rStyle w:val="47"/>
                <w:rFonts w:hint="eastAsia" w:ascii="Cambria Math" w:hAnsi="Cambria Math"/>
                <w:sz w:val="24"/>
                <w:szCs w:val="24"/>
              </w:rPr>
              <m:t>j</m:t>
            </m:r>
            <m:ctrlPr>
              <w:rPr>
                <w:rStyle w:val="47"/>
                <w:rFonts w:ascii="Cambria Math" w:hAnsi="Cambria Math"/>
                <w:i/>
                <w:color w:val="auto"/>
                <w:sz w:val="24"/>
                <w:szCs w:val="24"/>
              </w:rPr>
            </m:ctrlPr>
          </m:sub>
        </m:sSub>
      </m:oMath>
      <w:r>
        <w:rPr>
          <w:rFonts w:hint="eastAsia" w:ascii="宋体" w:hAnsi="宋体" w:cs="宋体"/>
          <w:color w:val="000000" w:themeColor="text1"/>
          <w:sz w:val="24"/>
          <w:szCs w:val="24"/>
          <w14:textFill>
            <w14:solidFill>
              <w14:schemeClr w14:val="tx1"/>
            </w14:solidFill>
          </w14:textFill>
        </w:rPr>
        <w:t>，如果两个测得值来自不同实验室，则相关系数</w:t>
      </w:r>
      <m:oMath>
        <m:sSub>
          <m:sSubPr>
            <m:ctrlPr>
              <w:rPr>
                <w:rFonts w:ascii="Cambria Math" w:hAnsi="Cambria Math" w:cs="宋体"/>
                <w:i/>
                <w:iCs/>
                <w:color w:val="000000" w:themeColor="text1"/>
                <w:sz w:val="24"/>
                <w:szCs w:val="24"/>
                <w:lang w:val="en-GB"/>
                <w14:textFill>
                  <w14:solidFill>
                    <w14:schemeClr w14:val="tx1"/>
                  </w14:solidFill>
                </w14:textFill>
              </w:rPr>
            </m:ctrlPr>
          </m:sSubPr>
          <m:e>
            <m:r>
              <m:rPr/>
              <w:rPr>
                <w:rFonts w:hint="eastAsia" w:ascii="Cambria Math" w:hAnsi="Cambria Math" w:cs="宋体"/>
                <w:color w:val="000000" w:themeColor="text1"/>
                <w:sz w:val="24"/>
                <w:szCs w:val="24"/>
                <w:lang w:val="en-GB"/>
                <w14:textFill>
                  <w14:solidFill>
                    <w14:schemeClr w14:val="tx1"/>
                  </w14:solidFill>
                </w14:textFill>
              </w:rPr>
              <m:t>r</m:t>
            </m:r>
            <m:ctrlPr>
              <w:rPr>
                <w:rFonts w:ascii="Cambria Math" w:hAnsi="Cambria Math" w:cs="宋体"/>
                <w:i/>
                <w:iCs/>
                <w:color w:val="000000" w:themeColor="text1"/>
                <w:sz w:val="24"/>
                <w:szCs w:val="24"/>
                <w:lang w:val="en-GB"/>
                <w14:textFill>
                  <w14:solidFill>
                    <w14:schemeClr w14:val="tx1"/>
                  </w14:solidFill>
                </w14:textFill>
              </w:rPr>
            </m:ctrlPr>
          </m:e>
          <m:sub>
            <m:r>
              <m:rPr/>
              <w:rPr>
                <w:rFonts w:hint="eastAsia" w:ascii="Cambria Math" w:hAnsi="Cambria Math" w:cs="宋体"/>
                <w:color w:val="000000" w:themeColor="text1"/>
                <w:sz w:val="24"/>
                <w:szCs w:val="24"/>
                <w:lang w:val="en-GB"/>
                <w14:textFill>
                  <w14:solidFill>
                    <w14:schemeClr w14:val="tx1"/>
                  </w14:solidFill>
                </w14:textFill>
              </w:rPr>
              <m:t>i</m:t>
            </m:r>
            <m:r>
              <m:rPr/>
              <w:rPr>
                <w:rFonts w:ascii="Cambria Math" w:hAnsi="Cambria Math" w:cs="宋体"/>
                <w:color w:val="000000" w:themeColor="text1"/>
                <w:sz w:val="24"/>
                <w:szCs w:val="24"/>
                <w:lang w:val="en-GB"/>
                <w14:textFill>
                  <w14:solidFill>
                    <w14:schemeClr w14:val="tx1"/>
                  </w14:solidFill>
                </w14:textFill>
              </w:rPr>
              <m:t>,j</m:t>
            </m:r>
            <m:ctrlPr>
              <w:rPr>
                <w:rFonts w:ascii="Cambria Math" w:hAnsi="Cambria Math" w:cs="宋体"/>
                <w:i/>
                <w:iCs/>
                <w:color w:val="000000" w:themeColor="text1"/>
                <w:sz w:val="24"/>
                <w:szCs w:val="24"/>
                <w:lang w:val="en-GB"/>
                <w14:textFill>
                  <w14:solidFill>
                    <w14:schemeClr w14:val="tx1"/>
                  </w14:solidFill>
                </w14:textFill>
              </w:rPr>
            </m:ctrlPr>
          </m:sub>
        </m:sSub>
        <m:r>
          <m:rPr/>
          <w:rPr>
            <w:rFonts w:ascii="Cambria Math" w:hAnsi="Cambria Math" w:cs="宋体"/>
            <w:color w:val="000000" w:themeColor="text1"/>
            <w:sz w:val="24"/>
            <w:szCs w:val="24"/>
            <w:lang w:val="en-GB"/>
            <w14:textFill>
              <w14:solidFill>
                <w14:schemeClr w14:val="tx1"/>
              </w14:solidFill>
            </w14:textFill>
          </w:rPr>
          <m:t>=0</m:t>
        </m:r>
      </m:oMath>
      <w:r>
        <w:rPr>
          <w:rFonts w:ascii="宋体" w:hAnsi="宋体" w:cs="宋体"/>
          <w:iCs/>
          <w:color w:val="000000" w:themeColor="text1"/>
          <w:sz w:val="24"/>
          <w:szCs w:val="24"/>
          <w:lang w:val="en-GB"/>
          <w14:textFill>
            <w14:solidFill>
              <w14:schemeClr w14:val="tx1"/>
            </w14:solidFill>
          </w14:textFill>
        </w:rPr>
        <w:t>，</w:t>
      </w:r>
      <m:oMath>
        <m:sSub>
          <m:sSubPr>
            <m:ctrlPr>
              <w:rPr>
                <w:rFonts w:hint="eastAsia" w:ascii="Cambria Math" w:hAnsi="Cambria Math" w:cs="宋体"/>
                <w:i/>
                <w:iCs/>
                <w:color w:val="000000" w:themeColor="text1"/>
                <w:sz w:val="24"/>
                <w:szCs w:val="24"/>
                <w:lang w:val="en-GB"/>
                <w14:textFill>
                  <w14:solidFill>
                    <w14:schemeClr w14:val="tx1"/>
                  </w14:solidFill>
                </w14:textFill>
              </w:rPr>
            </m:ctrlPr>
          </m:sSubPr>
          <m:e>
            <m:r>
              <m:rPr/>
              <w:rPr>
                <w:rFonts w:hint="eastAsia" w:ascii="Cambria Math" w:hAnsi="Cambria Math" w:cs="宋体"/>
                <w:color w:val="000000" w:themeColor="text1"/>
                <w:sz w:val="24"/>
                <w:szCs w:val="24"/>
                <w:lang w:val="en-GB"/>
                <w14:textFill>
                  <w14:solidFill>
                    <w14:schemeClr w14:val="tx1"/>
                  </w14:solidFill>
                </w14:textFill>
              </w:rPr>
              <m:t>cov</m:t>
            </m:r>
            <m:ctrlPr>
              <w:rPr>
                <w:rFonts w:hint="eastAsia" w:ascii="Cambria Math" w:hAnsi="Cambria Math" w:cs="宋体"/>
                <w:i/>
                <w:iCs/>
                <w:color w:val="000000" w:themeColor="text1"/>
                <w:sz w:val="24"/>
                <w:szCs w:val="24"/>
                <w:lang w:val="en-GB"/>
                <w14:textFill>
                  <w14:solidFill>
                    <w14:schemeClr w14:val="tx1"/>
                  </w14:solidFill>
                </w14:textFill>
              </w:rPr>
            </m:ctrlPr>
          </m:e>
          <m:sub>
            <m:r>
              <m:rPr/>
              <w:rPr>
                <w:rFonts w:hint="eastAsia" w:ascii="Cambria Math" w:hAnsi="Cambria Math" w:cs="宋体"/>
                <w:color w:val="000000" w:themeColor="text1"/>
                <w:sz w:val="24"/>
                <w:szCs w:val="24"/>
                <w:lang w:val="en-GB"/>
                <w14:textFill>
                  <w14:solidFill>
                    <w14:schemeClr w14:val="tx1"/>
                  </w14:solidFill>
                </w14:textFill>
              </w:rPr>
              <m:t>i,j</m:t>
            </m:r>
            <m:ctrlPr>
              <w:rPr>
                <w:rFonts w:hint="eastAsia" w:ascii="Cambria Math" w:hAnsi="Cambria Math" w:cs="宋体"/>
                <w:i/>
                <w:iCs/>
                <w:color w:val="000000" w:themeColor="text1"/>
                <w:sz w:val="24"/>
                <w:szCs w:val="24"/>
                <w:lang w:val="en-GB"/>
                <w14:textFill>
                  <w14:solidFill>
                    <w14:schemeClr w14:val="tx1"/>
                  </w14:solidFill>
                </w14:textFill>
              </w:rPr>
            </m:ctrlPr>
          </m:sub>
        </m:sSub>
        <m:r>
          <m:rPr/>
          <w:rPr>
            <w:rFonts w:ascii="Cambria Math" w:hAnsi="Cambria Math" w:cs="宋体"/>
            <w:color w:val="000000" w:themeColor="text1"/>
            <w:sz w:val="24"/>
            <w:szCs w:val="24"/>
            <w:lang w:val="en-GB"/>
            <w14:textFill>
              <w14:solidFill>
                <w14:schemeClr w14:val="tx1"/>
              </w14:solidFill>
            </w14:textFill>
          </w:rPr>
          <m:t>=0</m:t>
        </m:r>
      </m:oMath>
      <w:r>
        <w:rPr>
          <w:rFonts w:ascii="宋体" w:hAnsi="宋体" w:cs="宋体"/>
          <w:color w:val="000000" w:themeColor="text1"/>
          <w:sz w:val="24"/>
          <w:szCs w:val="24"/>
          <w:lang w:val="en-GB"/>
          <w14:textFill>
            <w14:solidFill>
              <w14:schemeClr w14:val="tx1"/>
            </w14:solidFill>
          </w14:textFill>
        </w:rPr>
        <w:t>；</w:t>
      </w:r>
      <w:r>
        <w:rPr>
          <w:rFonts w:hint="eastAsia" w:ascii="宋体" w:hAnsi="宋体" w:cs="宋体"/>
          <w:color w:val="000000" w:themeColor="text1"/>
          <w:sz w:val="24"/>
          <w:szCs w:val="24"/>
          <w14:textFill>
            <w14:solidFill>
              <w14:schemeClr w14:val="tx1"/>
            </w14:solidFill>
          </w14:textFill>
        </w:rPr>
        <w:t>如果两个测得值来自同一实验室，相关系数</w:t>
      </w:r>
      <m:oMath>
        <m:sSub>
          <m:sSubPr>
            <m:ctrlPr>
              <w:rPr>
                <w:rFonts w:ascii="Cambria Math" w:hAnsi="Cambria Math" w:cs="宋体"/>
                <w:i/>
                <w:iCs/>
                <w:color w:val="000000" w:themeColor="text1"/>
                <w:sz w:val="24"/>
                <w:szCs w:val="24"/>
                <w:lang w:val="en-GB"/>
                <w14:textFill>
                  <w14:solidFill>
                    <w14:schemeClr w14:val="tx1"/>
                  </w14:solidFill>
                </w14:textFill>
              </w:rPr>
            </m:ctrlPr>
          </m:sSubPr>
          <m:e>
            <m:r>
              <m:rPr/>
              <w:rPr>
                <w:rFonts w:hint="eastAsia" w:ascii="Cambria Math" w:hAnsi="Cambria Math" w:cs="宋体"/>
                <w:color w:val="000000" w:themeColor="text1"/>
                <w:sz w:val="24"/>
                <w:szCs w:val="24"/>
                <w:lang w:val="en-GB"/>
                <w14:textFill>
                  <w14:solidFill>
                    <w14:schemeClr w14:val="tx1"/>
                  </w14:solidFill>
                </w14:textFill>
              </w:rPr>
              <m:t>r</m:t>
            </m:r>
            <m:ctrlPr>
              <w:rPr>
                <w:rFonts w:ascii="Cambria Math" w:hAnsi="Cambria Math" w:cs="宋体"/>
                <w:i/>
                <w:iCs/>
                <w:color w:val="000000" w:themeColor="text1"/>
                <w:sz w:val="24"/>
                <w:szCs w:val="24"/>
                <w:lang w:val="en-GB"/>
                <w14:textFill>
                  <w14:solidFill>
                    <w14:schemeClr w14:val="tx1"/>
                  </w14:solidFill>
                </w14:textFill>
              </w:rPr>
            </m:ctrlPr>
          </m:e>
          <m:sub>
            <m:r>
              <m:rPr/>
              <w:rPr>
                <w:rFonts w:hint="eastAsia" w:ascii="Cambria Math" w:hAnsi="Cambria Math" w:cs="宋体"/>
                <w:color w:val="000000" w:themeColor="text1"/>
                <w:sz w:val="24"/>
                <w:szCs w:val="24"/>
                <w:lang w:val="en-GB"/>
                <w14:textFill>
                  <w14:solidFill>
                    <w14:schemeClr w14:val="tx1"/>
                  </w14:solidFill>
                </w14:textFill>
              </w:rPr>
              <m:t>i</m:t>
            </m:r>
            <m:r>
              <m:rPr/>
              <w:rPr>
                <w:rFonts w:ascii="Cambria Math" w:hAnsi="Cambria Math" w:cs="宋体"/>
                <w:color w:val="000000" w:themeColor="text1"/>
                <w:sz w:val="24"/>
                <w:szCs w:val="24"/>
                <w:lang w:val="en-GB"/>
                <w14:textFill>
                  <w14:solidFill>
                    <w14:schemeClr w14:val="tx1"/>
                  </w14:solidFill>
                </w14:textFill>
              </w:rPr>
              <m:t>,j</m:t>
            </m:r>
            <m:ctrlPr>
              <w:rPr>
                <w:rFonts w:ascii="Cambria Math" w:hAnsi="Cambria Math" w:cs="宋体"/>
                <w:i/>
                <w:iCs/>
                <w:color w:val="000000" w:themeColor="text1"/>
                <w:sz w:val="24"/>
                <w:szCs w:val="24"/>
                <w:lang w:val="en-GB"/>
                <w14:textFill>
                  <w14:solidFill>
                    <w14:schemeClr w14:val="tx1"/>
                  </w14:solidFill>
                </w14:textFill>
              </w:rPr>
            </m:ctrlPr>
          </m:sub>
        </m:sSub>
        <m:r>
          <m:rPr/>
          <w:rPr>
            <w:rFonts w:ascii="Cambria Math" w:hAnsi="Cambria Math" w:cs="宋体"/>
            <w:color w:val="000000" w:themeColor="text1"/>
            <w:sz w:val="24"/>
            <w:szCs w:val="24"/>
            <w:lang w:val="en-GB"/>
            <w14:textFill>
              <w14:solidFill>
                <w14:schemeClr w14:val="tx1"/>
              </w14:solidFill>
            </w14:textFill>
          </w:rPr>
          <m:t>&gt;0</m:t>
        </m:r>
      </m:oMath>
      <w:r>
        <w:rPr>
          <w:rFonts w:ascii="宋体" w:hAnsi="宋体" w:cs="宋体"/>
          <w:iCs/>
          <w:color w:val="000000" w:themeColor="text1"/>
          <w:sz w:val="24"/>
          <w:szCs w:val="24"/>
          <w:lang w:val="en-GB"/>
          <w14:textFill>
            <w14:solidFill>
              <w14:schemeClr w14:val="tx1"/>
            </w14:solidFill>
          </w14:textFill>
        </w:rPr>
        <w:t>，</w:t>
      </w:r>
      <w:r>
        <w:rPr>
          <w:rFonts w:hint="eastAsia" w:ascii="宋体" w:hAnsi="宋体" w:cs="宋体"/>
          <w:iCs/>
          <w:color w:val="000000" w:themeColor="text1"/>
          <w:sz w:val="24"/>
          <w:szCs w:val="24"/>
          <w:lang w:val="en-GB"/>
          <w14:textFill>
            <w14:solidFill>
              <w14:schemeClr w14:val="tx1"/>
            </w14:solidFill>
          </w14:textFill>
        </w:rPr>
        <w:t>需确定相关系数，以确定</w:t>
      </w:r>
      <m:oMath>
        <m:sSub>
          <m:sSubPr>
            <m:ctrlPr>
              <w:rPr>
                <w:rFonts w:hint="eastAsia" w:ascii="Cambria Math" w:hAnsi="Cambria Math" w:cs="宋体"/>
                <w:i/>
                <w:iCs/>
                <w:color w:val="000000" w:themeColor="text1"/>
                <w:sz w:val="24"/>
                <w:szCs w:val="24"/>
                <w:lang w:val="en-GB"/>
                <w14:textFill>
                  <w14:solidFill>
                    <w14:schemeClr w14:val="tx1"/>
                  </w14:solidFill>
                </w14:textFill>
              </w:rPr>
            </m:ctrlPr>
          </m:sSubPr>
          <m:e>
            <m:r>
              <m:rPr/>
              <w:rPr>
                <w:rFonts w:hint="eastAsia" w:ascii="Cambria Math" w:hAnsi="Cambria Math" w:cs="宋体"/>
                <w:color w:val="000000" w:themeColor="text1"/>
                <w:sz w:val="24"/>
                <w:szCs w:val="24"/>
                <w:lang w:val="en-GB"/>
                <w14:textFill>
                  <w14:solidFill>
                    <w14:schemeClr w14:val="tx1"/>
                  </w14:solidFill>
                </w14:textFill>
              </w:rPr>
              <m:t>cov</m:t>
            </m:r>
            <m:ctrlPr>
              <w:rPr>
                <w:rFonts w:hint="eastAsia" w:ascii="Cambria Math" w:hAnsi="Cambria Math" w:cs="宋体"/>
                <w:i/>
                <w:iCs/>
                <w:color w:val="000000" w:themeColor="text1"/>
                <w:sz w:val="24"/>
                <w:szCs w:val="24"/>
                <w:lang w:val="en-GB"/>
                <w14:textFill>
                  <w14:solidFill>
                    <w14:schemeClr w14:val="tx1"/>
                  </w14:solidFill>
                </w14:textFill>
              </w:rPr>
            </m:ctrlPr>
          </m:e>
          <m:sub>
            <m:r>
              <m:rPr/>
              <w:rPr>
                <w:rFonts w:hint="eastAsia" w:ascii="Cambria Math" w:hAnsi="Cambria Math" w:cs="宋体"/>
                <w:color w:val="000000" w:themeColor="text1"/>
                <w:sz w:val="24"/>
                <w:szCs w:val="24"/>
                <w:lang w:val="en-GB"/>
                <w14:textFill>
                  <w14:solidFill>
                    <w14:schemeClr w14:val="tx1"/>
                  </w14:solidFill>
                </w14:textFill>
              </w:rPr>
              <m:t>i,j</m:t>
            </m:r>
            <m:ctrlPr>
              <w:rPr>
                <w:rFonts w:hint="eastAsia" w:ascii="Cambria Math" w:hAnsi="Cambria Math" w:cs="宋体"/>
                <w:i/>
                <w:iCs/>
                <w:color w:val="000000" w:themeColor="text1"/>
                <w:sz w:val="24"/>
                <w:szCs w:val="24"/>
                <w:lang w:val="en-GB"/>
                <w14:textFill>
                  <w14:solidFill>
                    <w14:schemeClr w14:val="tx1"/>
                  </w14:solidFill>
                </w14:textFill>
              </w:rPr>
            </m:ctrlPr>
          </m:sub>
        </m:sSub>
      </m:oMath>
      <w:r>
        <w:rPr>
          <w:rFonts w:hint="eastAsia" w:ascii="宋体" w:hAnsi="宋体" w:cs="宋体"/>
          <w:iCs/>
          <w:sz w:val="24"/>
          <w:szCs w:val="24"/>
          <w:lang w:val="en-GB"/>
        </w:rPr>
        <w:t>。</w:t>
      </w:r>
    </w:p>
    <w:p>
      <w:pPr>
        <w:pStyle w:val="50"/>
        <w:spacing w:line="360" w:lineRule="auto"/>
        <w:ind w:firstLine="420"/>
        <w:rPr>
          <w:rFonts w:ascii="宋体" w:hAnsi="宋体" w:cs="宋体"/>
          <w:iCs/>
          <w:color w:val="000000" w:themeColor="text1"/>
          <w:sz w:val="24"/>
          <w:szCs w:val="24"/>
          <w:lang w:val="en-GB"/>
          <w14:textFill>
            <w14:solidFill>
              <w14:schemeClr w14:val="tx1"/>
            </w14:solidFill>
          </w14:textFill>
        </w:rPr>
      </w:pPr>
      <w:r>
        <w:rPr>
          <w:rFonts w:hint="eastAsia" w:ascii="宋体" w:hAnsi="宋体" w:cs="宋体"/>
          <w:iCs/>
          <w:color w:val="000000" w:themeColor="text1"/>
          <w:sz w:val="24"/>
          <w:szCs w:val="24"/>
          <w:lang w:val="en-GB"/>
          <w14:textFill>
            <w14:solidFill>
              <w14:schemeClr w14:val="tx1"/>
            </w14:solidFill>
          </w14:textFill>
        </w:rPr>
        <w:t>参比实验室测量结果的不确定度</w:t>
      </w:r>
      <m:oMath>
        <m:r>
          <m:rPr/>
          <w:rPr>
            <w:rFonts w:ascii="Cambria Math" w:hAnsi="Cambria Math" w:cs="宋体"/>
            <w:color w:val="000000" w:themeColor="text1"/>
            <w:sz w:val="24"/>
            <w:szCs w:val="24"/>
            <w:lang w:val="en-GB"/>
            <w14:textFill>
              <w14:solidFill>
                <w14:schemeClr w14:val="tx1"/>
              </w14:solidFill>
            </w14:textFill>
          </w:rPr>
          <m:t>u</m:t>
        </m:r>
      </m:oMath>
      <w:r>
        <w:rPr>
          <w:rFonts w:hint="eastAsia" w:ascii="宋体" w:hAnsi="宋体" w:cs="宋体"/>
          <w:color w:val="000000" w:themeColor="text1"/>
          <w:sz w:val="24"/>
          <w:szCs w:val="24"/>
          <w:lang w:val="en-GB"/>
          <w14:textFill>
            <w14:solidFill>
              <w14:schemeClr w14:val="tx1"/>
            </w14:solidFill>
          </w14:textFill>
        </w:rPr>
        <w:t>，</w:t>
      </w:r>
      <w:r>
        <w:rPr>
          <w:rFonts w:hint="eastAsia" w:ascii="宋体" w:hAnsi="宋体" w:cs="宋体"/>
          <w:iCs/>
          <w:color w:val="000000" w:themeColor="text1"/>
          <w:sz w:val="24"/>
          <w:szCs w:val="24"/>
          <w:lang w:val="en-GB"/>
          <w14:textFill>
            <w14:solidFill>
              <w14:schemeClr w14:val="tx1"/>
            </w14:solidFill>
          </w14:textFill>
        </w:rPr>
        <w:t>可分解为不相关效应</w:t>
      </w:r>
      <m:oMath>
        <m:sSub>
          <m:sSubPr>
            <m:ctrlPr>
              <w:rPr>
                <w:rFonts w:ascii="Cambria Math" w:hAnsi="Cambria Math" w:cs="宋体"/>
                <w:i/>
                <w:iCs/>
                <w:color w:val="000000" w:themeColor="text1"/>
                <w:sz w:val="24"/>
                <w:szCs w:val="24"/>
                <w:lang w:val="en-GB"/>
                <w14:textFill>
                  <w14:solidFill>
                    <w14:schemeClr w14:val="tx1"/>
                  </w14:solidFill>
                </w14:textFill>
              </w:rPr>
            </m:ctrlPr>
          </m:sSubPr>
          <m:e>
            <m:r>
              <m:rPr/>
              <w:rPr>
                <w:rFonts w:ascii="Cambria Math" w:hAnsi="Cambria Math" w:cs="宋体"/>
                <w:color w:val="000000" w:themeColor="text1"/>
                <w:sz w:val="24"/>
                <w:szCs w:val="24"/>
                <w:lang w:val="en-GB"/>
                <w14:textFill>
                  <w14:solidFill>
                    <w14:schemeClr w14:val="tx1"/>
                  </w14:solidFill>
                </w14:textFill>
              </w:rPr>
              <m:t>u</m:t>
            </m:r>
            <m:ctrlPr>
              <w:rPr>
                <w:rFonts w:ascii="Cambria Math" w:hAnsi="Cambria Math" w:cs="宋体"/>
                <w:i/>
                <w:iCs/>
                <w:color w:val="000000" w:themeColor="text1"/>
                <w:sz w:val="24"/>
                <w:szCs w:val="24"/>
                <w:lang w:val="en-GB"/>
                <w14:textFill>
                  <w14:solidFill>
                    <w14:schemeClr w14:val="tx1"/>
                  </w14:solidFill>
                </w14:textFill>
              </w:rPr>
            </m:ctrlPr>
          </m:e>
          <m:sub>
            <m:r>
              <m:rPr>
                <m:sty m:val="p"/>
              </m:rPr>
              <w:rPr>
                <w:rFonts w:ascii="Cambria Math" w:hAnsi="Cambria Math" w:cs="宋体"/>
                <w:color w:val="000000" w:themeColor="text1"/>
                <w:sz w:val="24"/>
                <w:szCs w:val="24"/>
                <w:lang w:val="en-GB"/>
                <w14:textFill>
                  <w14:solidFill>
                    <w14:schemeClr w14:val="tx1"/>
                  </w14:solidFill>
                </w14:textFill>
              </w:rPr>
              <m:t>uncor</m:t>
            </m:r>
            <m:ctrlPr>
              <w:rPr>
                <w:rFonts w:ascii="Cambria Math" w:hAnsi="Cambria Math" w:cs="宋体"/>
                <w:i/>
                <w:iCs/>
                <w:color w:val="000000" w:themeColor="text1"/>
                <w:sz w:val="24"/>
                <w:szCs w:val="24"/>
                <w:lang w:val="en-GB"/>
                <w14:textFill>
                  <w14:solidFill>
                    <w14:schemeClr w14:val="tx1"/>
                  </w14:solidFill>
                </w14:textFill>
              </w:rPr>
            </m:ctrlPr>
          </m:sub>
        </m:sSub>
      </m:oMath>
      <w:r>
        <w:rPr>
          <w:rFonts w:hint="eastAsia" w:ascii="宋体" w:hAnsi="宋体" w:cs="宋体"/>
          <w:iCs/>
          <w:color w:val="000000" w:themeColor="text1"/>
          <w:sz w:val="24"/>
          <w:szCs w:val="24"/>
          <w:lang w:val="en-GB"/>
          <w14:textFill>
            <w14:solidFill>
              <w14:schemeClr w14:val="tx1"/>
            </w14:solidFill>
          </w14:textFill>
        </w:rPr>
        <w:t>，和完全相关效应</w:t>
      </w:r>
      <m:oMath>
        <m:sSub>
          <m:sSubPr>
            <m:ctrlPr>
              <w:rPr>
                <w:rFonts w:ascii="Cambria Math" w:hAnsi="Cambria Math" w:cs="宋体"/>
                <w:i/>
                <w:iCs/>
                <w:color w:val="000000" w:themeColor="text1"/>
                <w:sz w:val="24"/>
                <w:szCs w:val="24"/>
                <w:lang w:val="en-GB"/>
                <w14:textFill>
                  <w14:solidFill>
                    <w14:schemeClr w14:val="tx1"/>
                  </w14:solidFill>
                </w14:textFill>
              </w:rPr>
            </m:ctrlPr>
          </m:sSubPr>
          <m:e>
            <m:r>
              <m:rPr/>
              <w:rPr>
                <w:rFonts w:ascii="Cambria Math" w:hAnsi="Cambria Math" w:cs="宋体"/>
                <w:color w:val="000000" w:themeColor="text1"/>
                <w:sz w:val="24"/>
                <w:szCs w:val="24"/>
                <w:lang w:val="en-GB"/>
                <w14:textFill>
                  <w14:solidFill>
                    <w14:schemeClr w14:val="tx1"/>
                  </w14:solidFill>
                </w14:textFill>
              </w:rPr>
              <m:t>u</m:t>
            </m:r>
            <m:ctrlPr>
              <w:rPr>
                <w:rFonts w:ascii="Cambria Math" w:hAnsi="Cambria Math" w:cs="宋体"/>
                <w:i/>
                <w:iCs/>
                <w:color w:val="000000" w:themeColor="text1"/>
                <w:sz w:val="24"/>
                <w:szCs w:val="24"/>
                <w:lang w:val="en-GB"/>
                <w14:textFill>
                  <w14:solidFill>
                    <w14:schemeClr w14:val="tx1"/>
                  </w14:solidFill>
                </w14:textFill>
              </w:rPr>
            </m:ctrlPr>
          </m:e>
          <m:sub>
            <m:r>
              <m:rPr>
                <m:sty m:val="p"/>
              </m:rPr>
              <w:rPr>
                <w:rFonts w:ascii="Cambria Math" w:hAnsi="Cambria Math" w:cs="宋体"/>
                <w:color w:val="000000" w:themeColor="text1"/>
                <w:sz w:val="24"/>
                <w:szCs w:val="24"/>
                <w:lang w:val="en-GB"/>
                <w14:textFill>
                  <w14:solidFill>
                    <w14:schemeClr w14:val="tx1"/>
                  </w14:solidFill>
                </w14:textFill>
              </w:rPr>
              <m:t>cor</m:t>
            </m:r>
            <m:ctrlPr>
              <w:rPr>
                <w:rFonts w:ascii="Cambria Math" w:hAnsi="Cambria Math" w:cs="宋体"/>
                <w:i/>
                <w:iCs/>
                <w:color w:val="000000" w:themeColor="text1"/>
                <w:sz w:val="24"/>
                <w:szCs w:val="24"/>
                <w:lang w:val="en-GB"/>
                <w14:textFill>
                  <w14:solidFill>
                    <w14:schemeClr w14:val="tx1"/>
                  </w14:solidFill>
                </w14:textFill>
              </w:rPr>
            </m:ctrlPr>
          </m:sub>
        </m:sSub>
      </m:oMath>
      <w:r>
        <w:rPr>
          <w:rFonts w:hint="eastAsia" w:ascii="宋体" w:hAnsi="宋体" w:cs="宋体"/>
          <w:iCs/>
          <w:color w:val="000000" w:themeColor="text1"/>
          <w:sz w:val="24"/>
          <w:szCs w:val="24"/>
          <w:lang w:val="en-GB"/>
          <w14:textFill>
            <w14:solidFill>
              <w14:schemeClr w14:val="tx1"/>
            </w14:solidFill>
          </w14:textFill>
        </w:rPr>
        <w:t>，两个分量的形式，</w:t>
      </w:r>
    </w:p>
    <w:p>
      <w:pPr>
        <w:pStyle w:val="50"/>
        <w:tabs>
          <w:tab w:val="center" w:pos="4200"/>
          <w:tab w:val="right" w:pos="8400"/>
        </w:tabs>
        <w:spacing w:line="360" w:lineRule="auto"/>
        <w:rPr>
          <w:bCs/>
          <w:iCs/>
          <w:color w:val="000000" w:themeColor="text1"/>
          <w:sz w:val="24"/>
          <w:szCs w:val="24"/>
          <w:lang w:val="en-GB"/>
          <w14:textFill>
            <w14:solidFill>
              <w14:schemeClr w14:val="tx1"/>
            </w14:solidFill>
          </w14:textFill>
        </w:rPr>
      </w:pPr>
      <w:r>
        <w:rPr>
          <w:rFonts w:ascii="宋体" w:hAnsi="宋体" w:cs="宋体"/>
          <w:color w:val="000000" w:themeColor="text1"/>
          <w:sz w:val="24"/>
          <w:szCs w:val="24"/>
          <w:lang w:val="en-GB"/>
          <w14:textFill>
            <w14:solidFill>
              <w14:schemeClr w14:val="tx1"/>
            </w14:solidFill>
          </w14:textFill>
        </w:rPr>
        <w:tab/>
      </w:r>
      <m:oMath>
        <m:sSup>
          <m:sSupPr>
            <m:ctrlPr>
              <w:rPr>
                <w:rFonts w:ascii="Cambria Math" w:hAnsi="Cambria Math" w:cs="宋体"/>
                <w:i/>
                <w:color w:val="000000" w:themeColor="text1"/>
                <w:sz w:val="24"/>
                <w:szCs w:val="24"/>
                <w:lang w:val="en-GB"/>
                <w14:textFill>
                  <w14:solidFill>
                    <w14:schemeClr w14:val="tx1"/>
                  </w14:solidFill>
                </w14:textFill>
              </w:rPr>
            </m:ctrlPr>
          </m:sSupPr>
          <m:e>
            <m:r>
              <m:rPr/>
              <w:rPr>
                <w:rFonts w:ascii="Cambria Math" w:hAnsi="Cambria Math" w:cs="宋体"/>
                <w:color w:val="000000" w:themeColor="text1"/>
                <w:sz w:val="24"/>
                <w:szCs w:val="24"/>
                <w:lang w:val="en-GB"/>
                <w14:textFill>
                  <w14:solidFill>
                    <w14:schemeClr w14:val="tx1"/>
                  </w14:solidFill>
                </w14:textFill>
              </w:rPr>
              <m:t>u</m:t>
            </m:r>
            <m:ctrlPr>
              <w:rPr>
                <w:rFonts w:ascii="Cambria Math" w:hAnsi="Cambria Math" w:cs="宋体"/>
                <w:i/>
                <w:color w:val="000000" w:themeColor="text1"/>
                <w:sz w:val="24"/>
                <w:szCs w:val="24"/>
                <w:lang w:val="en-GB"/>
                <w14:textFill>
                  <w14:solidFill>
                    <w14:schemeClr w14:val="tx1"/>
                  </w14:solidFill>
                </w14:textFill>
              </w:rPr>
            </m:ctrlPr>
          </m:e>
          <m:sup>
            <m:r>
              <m:rPr/>
              <w:rPr>
                <w:rFonts w:ascii="Cambria Math" w:hAnsi="Cambria Math" w:cs="宋体"/>
                <w:color w:val="000000" w:themeColor="text1"/>
                <w:sz w:val="24"/>
                <w:szCs w:val="24"/>
                <w:lang w:val="en-GB"/>
                <w14:textFill>
                  <w14:solidFill>
                    <w14:schemeClr w14:val="tx1"/>
                  </w14:solidFill>
                </w14:textFill>
              </w:rPr>
              <m:t>2</m:t>
            </m:r>
            <m:ctrlPr>
              <w:rPr>
                <w:rFonts w:ascii="Cambria Math" w:hAnsi="Cambria Math" w:cs="宋体"/>
                <w:i/>
                <w:color w:val="000000" w:themeColor="text1"/>
                <w:sz w:val="24"/>
                <w:szCs w:val="24"/>
                <w:lang w:val="en-GB"/>
                <w14:textFill>
                  <w14:solidFill>
                    <w14:schemeClr w14:val="tx1"/>
                  </w14:solidFill>
                </w14:textFill>
              </w:rPr>
            </m:ctrlPr>
          </m:sup>
        </m:sSup>
        <m:r>
          <m:rPr/>
          <w:rPr>
            <w:rFonts w:ascii="Cambria Math" w:hAnsi="Cambria Math" w:cs="宋体"/>
            <w:color w:val="000000" w:themeColor="text1"/>
            <w:sz w:val="24"/>
            <w:szCs w:val="24"/>
            <w:lang w:val="en-GB"/>
            <w14:textFill>
              <w14:solidFill>
                <w14:schemeClr w14:val="tx1"/>
              </w14:solidFill>
            </w14:textFill>
          </w:rPr>
          <m:t>=</m:t>
        </m:r>
        <m:sSup>
          <m:sSupPr>
            <m:ctrlPr>
              <w:rPr>
                <w:rFonts w:ascii="Cambria Math" w:hAnsi="Cambria Math" w:cs="宋体"/>
                <w:i/>
                <w:iCs/>
                <w:color w:val="000000" w:themeColor="text1"/>
                <w:sz w:val="24"/>
                <w:szCs w:val="24"/>
                <w:lang w:val="en-GB"/>
                <w14:textFill>
                  <w14:solidFill>
                    <w14:schemeClr w14:val="tx1"/>
                  </w14:solidFill>
                </w14:textFill>
              </w:rPr>
            </m:ctrlPr>
          </m:sSupPr>
          <m:e>
            <m:sSub>
              <m:sSubPr>
                <m:ctrlPr>
                  <w:rPr>
                    <w:rFonts w:ascii="Cambria Math" w:hAnsi="Cambria Math" w:cs="宋体"/>
                    <w:i/>
                    <w:iCs/>
                    <w:color w:val="000000" w:themeColor="text1"/>
                    <w:sz w:val="24"/>
                    <w:szCs w:val="24"/>
                    <w:lang w:val="en-GB"/>
                    <w14:textFill>
                      <w14:solidFill>
                        <w14:schemeClr w14:val="tx1"/>
                      </w14:solidFill>
                    </w14:textFill>
                  </w:rPr>
                </m:ctrlPr>
              </m:sSubPr>
              <m:e>
                <m:r>
                  <m:rPr/>
                  <w:rPr>
                    <w:rFonts w:ascii="Cambria Math" w:hAnsi="Cambria Math" w:cs="宋体"/>
                    <w:color w:val="000000" w:themeColor="text1"/>
                    <w:sz w:val="24"/>
                    <w:szCs w:val="24"/>
                    <w:lang w:val="en-GB"/>
                    <w14:textFill>
                      <w14:solidFill>
                        <w14:schemeClr w14:val="tx1"/>
                      </w14:solidFill>
                    </w14:textFill>
                  </w:rPr>
                  <m:t>u</m:t>
                </m:r>
                <m:ctrlPr>
                  <w:rPr>
                    <w:rFonts w:ascii="Cambria Math" w:hAnsi="Cambria Math" w:cs="宋体"/>
                    <w:i/>
                    <w:iCs/>
                    <w:color w:val="000000" w:themeColor="text1"/>
                    <w:sz w:val="24"/>
                    <w:szCs w:val="24"/>
                    <w:lang w:val="en-GB"/>
                    <w14:textFill>
                      <w14:solidFill>
                        <w14:schemeClr w14:val="tx1"/>
                      </w14:solidFill>
                    </w14:textFill>
                  </w:rPr>
                </m:ctrlPr>
              </m:e>
              <m:sub>
                <m:r>
                  <m:rPr>
                    <m:sty m:val="p"/>
                  </m:rPr>
                  <w:rPr>
                    <w:rFonts w:ascii="Cambria Math" w:hAnsi="Cambria Math" w:cs="宋体"/>
                    <w:color w:val="000000" w:themeColor="text1"/>
                    <w:sz w:val="24"/>
                    <w:szCs w:val="24"/>
                    <w:lang w:val="en-GB"/>
                    <w14:textFill>
                      <w14:solidFill>
                        <w14:schemeClr w14:val="tx1"/>
                      </w14:solidFill>
                    </w14:textFill>
                  </w:rPr>
                  <m:t>cor</m:t>
                </m:r>
                <m:ctrlPr>
                  <w:rPr>
                    <w:rFonts w:ascii="Cambria Math" w:hAnsi="Cambria Math" w:cs="宋体"/>
                    <w:i/>
                    <w:iCs/>
                    <w:color w:val="000000" w:themeColor="text1"/>
                    <w:sz w:val="24"/>
                    <w:szCs w:val="24"/>
                    <w:lang w:val="en-GB"/>
                    <w14:textFill>
                      <w14:solidFill>
                        <w14:schemeClr w14:val="tx1"/>
                      </w14:solidFill>
                    </w14:textFill>
                  </w:rPr>
                </m:ctrlPr>
              </m:sub>
            </m:sSub>
            <m:ctrlPr>
              <w:rPr>
                <w:rFonts w:ascii="Cambria Math" w:hAnsi="Cambria Math" w:cs="宋体"/>
                <w:i/>
                <w:iCs/>
                <w:color w:val="000000" w:themeColor="text1"/>
                <w:sz w:val="24"/>
                <w:szCs w:val="24"/>
                <w:lang w:val="en-GB"/>
                <w14:textFill>
                  <w14:solidFill>
                    <w14:schemeClr w14:val="tx1"/>
                  </w14:solidFill>
                </w14:textFill>
              </w:rPr>
            </m:ctrlPr>
          </m:e>
          <m:sup>
            <m:r>
              <m:rPr/>
              <w:rPr>
                <w:rFonts w:ascii="Cambria Math" w:hAnsi="Cambria Math" w:cs="宋体"/>
                <w:color w:val="000000" w:themeColor="text1"/>
                <w:sz w:val="24"/>
                <w:szCs w:val="24"/>
                <w:lang w:val="en-GB"/>
                <w14:textFill>
                  <w14:solidFill>
                    <w14:schemeClr w14:val="tx1"/>
                  </w14:solidFill>
                </w14:textFill>
              </w:rPr>
              <m:t>2</m:t>
            </m:r>
            <m:ctrlPr>
              <w:rPr>
                <w:rFonts w:ascii="Cambria Math" w:hAnsi="Cambria Math" w:cs="宋体"/>
                <w:i/>
                <w:iCs/>
                <w:color w:val="000000" w:themeColor="text1"/>
                <w:sz w:val="24"/>
                <w:szCs w:val="24"/>
                <w:lang w:val="en-GB"/>
                <w14:textFill>
                  <w14:solidFill>
                    <w14:schemeClr w14:val="tx1"/>
                  </w14:solidFill>
                </w14:textFill>
              </w:rPr>
            </m:ctrlPr>
          </m:sup>
        </m:sSup>
        <m:r>
          <m:rPr/>
          <w:rPr>
            <w:rFonts w:ascii="Cambria Math" w:hAnsi="Cambria Math" w:cs="宋体"/>
            <w:color w:val="000000" w:themeColor="text1"/>
            <w:sz w:val="24"/>
            <w:szCs w:val="24"/>
            <w:lang w:val="en-GB"/>
            <w14:textFill>
              <w14:solidFill>
                <w14:schemeClr w14:val="tx1"/>
              </w14:solidFill>
            </w14:textFill>
          </w:rPr>
          <m:t>+</m:t>
        </m:r>
        <m:sSup>
          <m:sSupPr>
            <m:ctrlPr>
              <w:rPr>
                <w:rFonts w:ascii="Cambria Math" w:hAnsi="Cambria Math" w:cs="宋体"/>
                <w:i/>
                <w:iCs/>
                <w:color w:val="000000" w:themeColor="text1"/>
                <w:sz w:val="24"/>
                <w:szCs w:val="24"/>
                <w:lang w:val="en-GB"/>
                <w14:textFill>
                  <w14:solidFill>
                    <w14:schemeClr w14:val="tx1"/>
                  </w14:solidFill>
                </w14:textFill>
              </w:rPr>
            </m:ctrlPr>
          </m:sSupPr>
          <m:e>
            <m:sSub>
              <m:sSubPr>
                <m:ctrlPr>
                  <w:rPr>
                    <w:rFonts w:ascii="Cambria Math" w:hAnsi="Cambria Math" w:cs="宋体"/>
                    <w:i/>
                    <w:iCs/>
                    <w:color w:val="000000" w:themeColor="text1"/>
                    <w:sz w:val="24"/>
                    <w:szCs w:val="24"/>
                    <w:lang w:val="en-GB"/>
                    <w14:textFill>
                      <w14:solidFill>
                        <w14:schemeClr w14:val="tx1"/>
                      </w14:solidFill>
                    </w14:textFill>
                  </w:rPr>
                </m:ctrlPr>
              </m:sSubPr>
              <m:e>
                <m:r>
                  <m:rPr/>
                  <w:rPr>
                    <w:rFonts w:ascii="Cambria Math" w:hAnsi="Cambria Math" w:cs="宋体"/>
                    <w:color w:val="000000" w:themeColor="text1"/>
                    <w:sz w:val="24"/>
                    <w:szCs w:val="24"/>
                    <w:lang w:val="en-GB"/>
                    <w14:textFill>
                      <w14:solidFill>
                        <w14:schemeClr w14:val="tx1"/>
                      </w14:solidFill>
                    </w14:textFill>
                  </w:rPr>
                  <m:t>u</m:t>
                </m:r>
                <m:ctrlPr>
                  <w:rPr>
                    <w:rFonts w:ascii="Cambria Math" w:hAnsi="Cambria Math" w:cs="宋体"/>
                    <w:i/>
                    <w:iCs/>
                    <w:color w:val="000000" w:themeColor="text1"/>
                    <w:sz w:val="24"/>
                    <w:szCs w:val="24"/>
                    <w:lang w:val="en-GB"/>
                    <w14:textFill>
                      <w14:solidFill>
                        <w14:schemeClr w14:val="tx1"/>
                      </w14:solidFill>
                    </w14:textFill>
                  </w:rPr>
                </m:ctrlPr>
              </m:e>
              <m:sub>
                <m:r>
                  <m:rPr>
                    <m:sty m:val="p"/>
                  </m:rPr>
                  <w:rPr>
                    <w:rFonts w:ascii="Cambria Math" w:hAnsi="Cambria Math" w:cs="宋体"/>
                    <w:color w:val="000000" w:themeColor="text1"/>
                    <w:sz w:val="24"/>
                    <w:szCs w:val="24"/>
                    <w:lang w:val="en-GB"/>
                    <w14:textFill>
                      <w14:solidFill>
                        <w14:schemeClr w14:val="tx1"/>
                      </w14:solidFill>
                    </w14:textFill>
                  </w:rPr>
                  <m:t>uncor</m:t>
                </m:r>
                <m:ctrlPr>
                  <w:rPr>
                    <w:rFonts w:ascii="Cambria Math" w:hAnsi="Cambria Math" w:cs="宋体"/>
                    <w:i/>
                    <w:iCs/>
                    <w:color w:val="000000" w:themeColor="text1"/>
                    <w:sz w:val="24"/>
                    <w:szCs w:val="24"/>
                    <w:lang w:val="en-GB"/>
                    <w14:textFill>
                      <w14:solidFill>
                        <w14:schemeClr w14:val="tx1"/>
                      </w14:solidFill>
                    </w14:textFill>
                  </w:rPr>
                </m:ctrlPr>
              </m:sub>
            </m:sSub>
            <m:ctrlPr>
              <w:rPr>
                <w:rFonts w:ascii="Cambria Math" w:hAnsi="Cambria Math" w:cs="宋体"/>
                <w:i/>
                <w:iCs/>
                <w:color w:val="000000" w:themeColor="text1"/>
                <w:sz w:val="24"/>
                <w:szCs w:val="24"/>
                <w:lang w:val="en-GB"/>
                <w14:textFill>
                  <w14:solidFill>
                    <w14:schemeClr w14:val="tx1"/>
                  </w14:solidFill>
                </w14:textFill>
              </w:rPr>
            </m:ctrlPr>
          </m:e>
          <m:sup>
            <m:r>
              <m:rPr/>
              <w:rPr>
                <w:rFonts w:ascii="Cambria Math" w:hAnsi="Cambria Math" w:cs="宋体"/>
                <w:color w:val="000000" w:themeColor="text1"/>
                <w:sz w:val="24"/>
                <w:szCs w:val="24"/>
                <w:lang w:val="en-GB"/>
                <w14:textFill>
                  <w14:solidFill>
                    <w14:schemeClr w14:val="tx1"/>
                  </w14:solidFill>
                </w14:textFill>
              </w:rPr>
              <m:t>2</m:t>
            </m:r>
            <m:ctrlPr>
              <w:rPr>
                <w:rFonts w:ascii="Cambria Math" w:hAnsi="Cambria Math" w:cs="宋体"/>
                <w:i/>
                <w:iCs/>
                <w:color w:val="000000" w:themeColor="text1"/>
                <w:sz w:val="24"/>
                <w:szCs w:val="24"/>
                <w:lang w:val="en-GB"/>
                <w14:textFill>
                  <w14:solidFill>
                    <w14:schemeClr w14:val="tx1"/>
                  </w14:solidFill>
                </w14:textFill>
              </w:rPr>
            </m:ctrlPr>
          </m:sup>
        </m:sSup>
      </m:oMath>
      <w:r>
        <w:rPr>
          <w:bCs/>
          <w:iCs/>
          <w:color w:val="000000" w:themeColor="text1"/>
          <w:sz w:val="24"/>
          <w:szCs w:val="24"/>
          <w:lang w:val="en-GB"/>
          <w14:textFill>
            <w14:solidFill>
              <w14:schemeClr w14:val="tx1"/>
            </w14:solidFill>
          </w14:textFill>
        </w:rPr>
        <w:tab/>
      </w:r>
      <w:r>
        <w:rPr>
          <w:bCs/>
          <w:iCs/>
          <w:color w:val="000000" w:themeColor="text1"/>
          <w:sz w:val="24"/>
          <w:szCs w:val="24"/>
          <w:lang w:val="en-GB"/>
          <w14:textFill>
            <w14:solidFill>
              <w14:schemeClr w14:val="tx1"/>
            </w14:solidFill>
          </w14:textFill>
        </w:rPr>
        <w:t>(E.7)</w:t>
      </w:r>
    </w:p>
    <w:p>
      <w:pPr>
        <w:pStyle w:val="50"/>
        <w:spacing w:line="360" w:lineRule="auto"/>
        <w:ind w:firstLine="720" w:firstLineChars="300"/>
        <w:rPr>
          <w:bCs/>
          <w:iCs/>
          <w:color w:val="000000" w:themeColor="text1"/>
          <w:sz w:val="24"/>
          <w:szCs w:val="24"/>
          <w:lang w:val="en-GB"/>
          <w14:textFill>
            <w14:solidFill>
              <w14:schemeClr w14:val="tx1"/>
            </w14:solidFill>
          </w14:textFill>
        </w:rPr>
      </w:pPr>
      <m:oMath>
        <m:sSub>
          <m:sSubPr>
            <m:ctrlPr>
              <w:rPr>
                <w:rFonts w:hint="eastAsia" w:ascii="Cambria Math" w:hAnsi="Cambria Math" w:cs="宋体"/>
                <w:i/>
                <w:iCs/>
                <w:color w:val="000000" w:themeColor="text1"/>
                <w:sz w:val="24"/>
                <w:szCs w:val="24"/>
                <w:lang w:val="en-GB"/>
                <w14:textFill>
                  <w14:solidFill>
                    <w14:schemeClr w14:val="tx1"/>
                  </w14:solidFill>
                </w14:textFill>
              </w:rPr>
            </m:ctrlPr>
          </m:sSubPr>
          <m:e>
            <m:r>
              <m:rPr/>
              <w:rPr>
                <w:rFonts w:hint="eastAsia" w:ascii="Cambria Math" w:hAnsi="Cambria Math" w:cs="宋体"/>
                <w:color w:val="000000" w:themeColor="text1"/>
                <w:sz w:val="24"/>
                <w:szCs w:val="24"/>
                <w:lang w:val="en-GB"/>
                <w14:textFill>
                  <w14:solidFill>
                    <w14:schemeClr w14:val="tx1"/>
                  </w14:solidFill>
                </w14:textFill>
              </w:rPr>
              <m:t>cov</m:t>
            </m:r>
            <m:ctrlPr>
              <w:rPr>
                <w:rFonts w:hint="eastAsia" w:ascii="Cambria Math" w:hAnsi="Cambria Math" w:cs="宋体"/>
                <w:i/>
                <w:iCs/>
                <w:color w:val="000000" w:themeColor="text1"/>
                <w:sz w:val="24"/>
                <w:szCs w:val="24"/>
                <w:lang w:val="en-GB"/>
                <w14:textFill>
                  <w14:solidFill>
                    <w14:schemeClr w14:val="tx1"/>
                  </w14:solidFill>
                </w14:textFill>
              </w:rPr>
            </m:ctrlPr>
          </m:e>
          <m:sub>
            <m:r>
              <m:rPr/>
              <w:rPr>
                <w:rFonts w:hint="eastAsia" w:ascii="Cambria Math" w:hAnsi="Cambria Math" w:cs="宋体"/>
                <w:color w:val="000000" w:themeColor="text1"/>
                <w:sz w:val="24"/>
                <w:szCs w:val="24"/>
                <w:lang w:val="en-GB"/>
                <w14:textFill>
                  <w14:solidFill>
                    <w14:schemeClr w14:val="tx1"/>
                  </w14:solidFill>
                </w14:textFill>
              </w:rPr>
              <m:t>i,j</m:t>
            </m:r>
            <m:ctrlPr>
              <w:rPr>
                <w:rFonts w:hint="eastAsia" w:ascii="Cambria Math" w:hAnsi="Cambria Math" w:cs="宋体"/>
                <w:i/>
                <w:iCs/>
                <w:color w:val="000000" w:themeColor="text1"/>
                <w:sz w:val="24"/>
                <w:szCs w:val="24"/>
                <w:lang w:val="en-GB"/>
                <w14:textFill>
                  <w14:solidFill>
                    <w14:schemeClr w14:val="tx1"/>
                  </w14:solidFill>
                </w14:textFill>
              </w:rPr>
            </m:ctrlPr>
          </m:sub>
        </m:sSub>
      </m:oMath>
      <w:r>
        <w:rPr>
          <w:rFonts w:hint="eastAsia" w:ascii="宋体" w:hAnsi="宋体" w:cs="宋体"/>
          <w:iCs/>
          <w:color w:val="000000" w:themeColor="text1"/>
          <w:sz w:val="24"/>
          <w:szCs w:val="24"/>
          <w:lang w:val="en-GB"/>
          <w14:textFill>
            <w14:solidFill>
              <w14:schemeClr w14:val="tx1"/>
            </w14:solidFill>
          </w14:textFill>
        </w:rPr>
        <w:t>由测得值不确定度中完全相关的部分确定，即：</w:t>
      </w:r>
    </w:p>
    <w:p>
      <w:pPr>
        <w:pStyle w:val="50"/>
        <w:tabs>
          <w:tab w:val="center" w:pos="4200"/>
          <w:tab w:val="right" w:pos="8400"/>
        </w:tabs>
        <w:spacing w:line="360" w:lineRule="auto"/>
        <w:rPr>
          <w:rFonts w:ascii="宋体" w:hAnsi="宋体" w:cs="宋体"/>
          <w:iCs/>
          <w:color w:val="000000" w:themeColor="text1"/>
          <w:sz w:val="24"/>
          <w:szCs w:val="24"/>
          <w:lang w:val="en-GB"/>
          <w14:textFill>
            <w14:solidFill>
              <w14:schemeClr w14:val="tx1"/>
            </w14:solidFill>
          </w14:textFill>
        </w:rPr>
      </w:pPr>
      <w:r>
        <w:rPr>
          <w:bCs/>
          <w:iCs/>
          <w:color w:val="000000" w:themeColor="text1"/>
          <w:sz w:val="24"/>
          <w:szCs w:val="24"/>
          <w:lang w:val="en-GB"/>
          <w14:textFill>
            <w14:solidFill>
              <w14:schemeClr w14:val="tx1"/>
            </w14:solidFill>
          </w14:textFill>
        </w:rPr>
        <w:tab/>
      </w:r>
      <m:oMath>
        <m:sSub>
          <m:sSubPr>
            <m:ctrlPr>
              <w:rPr>
                <w:rFonts w:hint="eastAsia" w:ascii="Cambria Math" w:hAnsi="Cambria Math" w:cs="宋体"/>
                <w:i/>
                <w:iCs/>
                <w:color w:val="000000" w:themeColor="text1"/>
                <w:sz w:val="24"/>
                <w:szCs w:val="24"/>
                <w:lang w:val="en-GB"/>
                <w14:textFill>
                  <w14:solidFill>
                    <w14:schemeClr w14:val="tx1"/>
                  </w14:solidFill>
                </w14:textFill>
              </w:rPr>
            </m:ctrlPr>
          </m:sSubPr>
          <m:e>
            <m:r>
              <m:rPr/>
              <w:rPr>
                <w:rFonts w:hint="eastAsia" w:ascii="Cambria Math" w:hAnsi="Cambria Math" w:cs="宋体"/>
                <w:color w:val="000000" w:themeColor="text1"/>
                <w:sz w:val="24"/>
                <w:szCs w:val="24"/>
                <w:lang w:val="en-GB"/>
                <w14:textFill>
                  <w14:solidFill>
                    <w14:schemeClr w14:val="tx1"/>
                  </w14:solidFill>
                </w14:textFill>
              </w:rPr>
              <m:t>cov</m:t>
            </m:r>
            <m:ctrlPr>
              <w:rPr>
                <w:rFonts w:hint="eastAsia" w:ascii="Cambria Math" w:hAnsi="Cambria Math" w:cs="宋体"/>
                <w:i/>
                <w:iCs/>
                <w:color w:val="000000" w:themeColor="text1"/>
                <w:sz w:val="24"/>
                <w:szCs w:val="24"/>
                <w:lang w:val="en-GB"/>
                <w14:textFill>
                  <w14:solidFill>
                    <w14:schemeClr w14:val="tx1"/>
                  </w14:solidFill>
                </w14:textFill>
              </w:rPr>
            </m:ctrlPr>
          </m:e>
          <m:sub>
            <m:r>
              <m:rPr/>
              <w:rPr>
                <w:rFonts w:hint="eastAsia" w:ascii="Cambria Math" w:hAnsi="Cambria Math" w:cs="宋体"/>
                <w:color w:val="000000" w:themeColor="text1"/>
                <w:sz w:val="24"/>
                <w:szCs w:val="24"/>
                <w:lang w:val="en-GB"/>
                <w14:textFill>
                  <w14:solidFill>
                    <w14:schemeClr w14:val="tx1"/>
                  </w14:solidFill>
                </w14:textFill>
              </w:rPr>
              <m:t>i,j</m:t>
            </m:r>
            <m:ctrlPr>
              <w:rPr>
                <w:rFonts w:hint="eastAsia" w:ascii="Cambria Math" w:hAnsi="Cambria Math" w:cs="宋体"/>
                <w:i/>
                <w:iCs/>
                <w:color w:val="000000" w:themeColor="text1"/>
                <w:sz w:val="24"/>
                <w:szCs w:val="24"/>
                <w:lang w:val="en-GB"/>
                <w14:textFill>
                  <w14:solidFill>
                    <w14:schemeClr w14:val="tx1"/>
                  </w14:solidFill>
                </w14:textFill>
              </w:rPr>
            </m:ctrlPr>
          </m:sub>
        </m:sSub>
        <m:r>
          <m:rPr/>
          <w:rPr>
            <w:rFonts w:ascii="Cambria Math" w:hAnsi="Cambria Math" w:cs="宋体"/>
            <w:color w:val="000000" w:themeColor="text1"/>
            <w:sz w:val="24"/>
            <w:szCs w:val="24"/>
            <w:lang w:val="en-GB"/>
            <w14:textFill>
              <w14:solidFill>
                <w14:schemeClr w14:val="tx1"/>
              </w14:solidFill>
            </w14:textFill>
          </w:rPr>
          <m:t>=</m:t>
        </m:r>
        <m:sSup>
          <m:sSupPr>
            <m:ctrlPr>
              <w:rPr>
                <w:rFonts w:ascii="Cambria Math" w:hAnsi="Cambria Math" w:cs="宋体"/>
                <w:i/>
                <w:iCs/>
                <w:color w:val="000000" w:themeColor="text1"/>
                <w:sz w:val="24"/>
                <w:szCs w:val="24"/>
                <w:lang w:val="en-GB"/>
                <w14:textFill>
                  <w14:solidFill>
                    <w14:schemeClr w14:val="tx1"/>
                  </w14:solidFill>
                </w14:textFill>
              </w:rPr>
            </m:ctrlPr>
          </m:sSupPr>
          <m:e>
            <m:sSub>
              <m:sSubPr>
                <m:ctrlPr>
                  <w:rPr>
                    <w:rFonts w:ascii="Cambria Math" w:hAnsi="Cambria Math" w:cs="宋体"/>
                    <w:i/>
                    <w:iCs/>
                    <w:color w:val="000000" w:themeColor="text1"/>
                    <w:sz w:val="24"/>
                    <w:szCs w:val="24"/>
                    <w:lang w:val="en-GB"/>
                    <w14:textFill>
                      <w14:solidFill>
                        <w14:schemeClr w14:val="tx1"/>
                      </w14:solidFill>
                    </w14:textFill>
                  </w:rPr>
                </m:ctrlPr>
              </m:sSubPr>
              <m:e>
                <m:r>
                  <m:rPr/>
                  <w:rPr>
                    <w:rFonts w:ascii="Cambria Math" w:hAnsi="Cambria Math" w:cs="宋体"/>
                    <w:color w:val="000000" w:themeColor="text1"/>
                    <w:sz w:val="24"/>
                    <w:szCs w:val="24"/>
                    <w:lang w:val="en-GB"/>
                    <w14:textFill>
                      <w14:solidFill>
                        <w14:schemeClr w14:val="tx1"/>
                      </w14:solidFill>
                    </w14:textFill>
                  </w:rPr>
                  <m:t>u</m:t>
                </m:r>
                <m:ctrlPr>
                  <w:rPr>
                    <w:rFonts w:ascii="Cambria Math" w:hAnsi="Cambria Math" w:cs="宋体"/>
                    <w:i/>
                    <w:iCs/>
                    <w:color w:val="000000" w:themeColor="text1"/>
                    <w:sz w:val="24"/>
                    <w:szCs w:val="24"/>
                    <w:lang w:val="en-GB"/>
                    <w14:textFill>
                      <w14:solidFill>
                        <w14:schemeClr w14:val="tx1"/>
                      </w14:solidFill>
                    </w14:textFill>
                  </w:rPr>
                </m:ctrlPr>
              </m:e>
              <m:sub>
                <m:r>
                  <m:rPr>
                    <m:sty m:val="p"/>
                  </m:rPr>
                  <w:rPr>
                    <w:rFonts w:ascii="Cambria Math" w:hAnsi="Cambria Math" w:cs="宋体"/>
                    <w:color w:val="000000" w:themeColor="text1"/>
                    <w:sz w:val="24"/>
                    <w:szCs w:val="24"/>
                    <w:lang w:val="en-GB"/>
                    <w14:textFill>
                      <w14:solidFill>
                        <w14:schemeClr w14:val="tx1"/>
                      </w14:solidFill>
                    </w14:textFill>
                  </w:rPr>
                  <m:t>cor</m:t>
                </m:r>
                <m:ctrlPr>
                  <w:rPr>
                    <w:rFonts w:ascii="Cambria Math" w:hAnsi="Cambria Math" w:cs="宋体"/>
                    <w:i/>
                    <w:iCs/>
                    <w:color w:val="000000" w:themeColor="text1"/>
                    <w:sz w:val="24"/>
                    <w:szCs w:val="24"/>
                    <w:lang w:val="en-GB"/>
                    <w14:textFill>
                      <w14:solidFill>
                        <w14:schemeClr w14:val="tx1"/>
                      </w14:solidFill>
                    </w14:textFill>
                  </w:rPr>
                </m:ctrlPr>
              </m:sub>
            </m:sSub>
            <m:ctrlPr>
              <w:rPr>
                <w:rFonts w:ascii="Cambria Math" w:hAnsi="Cambria Math" w:cs="宋体"/>
                <w:i/>
                <w:iCs/>
                <w:color w:val="000000" w:themeColor="text1"/>
                <w:sz w:val="24"/>
                <w:szCs w:val="24"/>
                <w:lang w:val="en-GB"/>
                <w14:textFill>
                  <w14:solidFill>
                    <w14:schemeClr w14:val="tx1"/>
                  </w14:solidFill>
                </w14:textFill>
              </w:rPr>
            </m:ctrlPr>
          </m:e>
          <m:sup>
            <m:r>
              <m:rPr/>
              <w:rPr>
                <w:rFonts w:ascii="Cambria Math" w:hAnsi="Cambria Math" w:cs="宋体"/>
                <w:color w:val="000000" w:themeColor="text1"/>
                <w:sz w:val="24"/>
                <w:szCs w:val="24"/>
                <w:lang w:val="en-GB"/>
                <w14:textFill>
                  <w14:solidFill>
                    <w14:schemeClr w14:val="tx1"/>
                  </w14:solidFill>
                </w14:textFill>
              </w:rPr>
              <m:t>2</m:t>
            </m:r>
            <m:ctrlPr>
              <w:rPr>
                <w:rFonts w:ascii="Cambria Math" w:hAnsi="Cambria Math" w:cs="宋体"/>
                <w:i/>
                <w:iCs/>
                <w:color w:val="000000" w:themeColor="text1"/>
                <w:sz w:val="24"/>
                <w:szCs w:val="24"/>
                <w:lang w:val="en-GB"/>
                <w14:textFill>
                  <w14:solidFill>
                    <w14:schemeClr w14:val="tx1"/>
                  </w14:solidFill>
                </w14:textFill>
              </w:rPr>
            </m:ctrlPr>
          </m:sup>
        </m:sSup>
      </m:oMath>
      <w:r>
        <w:rPr>
          <w:rFonts w:ascii="宋体" w:hAnsi="宋体" w:cs="宋体"/>
          <w:bCs/>
          <w:iCs/>
          <w:color w:val="000000" w:themeColor="text1"/>
          <w:sz w:val="24"/>
          <w:szCs w:val="24"/>
          <w:lang w:val="en-GB"/>
          <w14:textFill>
            <w14:solidFill>
              <w14:schemeClr w14:val="tx1"/>
            </w14:solidFill>
          </w14:textFill>
        </w:rPr>
        <w:tab/>
      </w:r>
      <w:r>
        <w:rPr>
          <w:bCs/>
          <w:iCs/>
          <w:color w:val="000000" w:themeColor="text1"/>
          <w:sz w:val="24"/>
          <w:szCs w:val="24"/>
          <w:lang w:val="en-GB"/>
          <w14:textFill>
            <w14:solidFill>
              <w14:schemeClr w14:val="tx1"/>
            </w14:solidFill>
          </w14:textFill>
        </w:rPr>
        <w:t>(E.8)</w:t>
      </w:r>
    </w:p>
    <w:p>
      <w:pPr>
        <w:spacing w:line="360" w:lineRule="auto"/>
        <w:ind w:firstLine="480" w:firstLineChars="200"/>
        <w:rPr>
          <w:rFonts w:ascii="宋体" w:hAnsi="宋体" w:cs="宋体"/>
          <w:bCs/>
          <w:color w:val="000000" w:themeColor="text1"/>
          <w:sz w:val="24"/>
          <w:szCs w:val="24"/>
          <w14:textFill>
            <w14:solidFill>
              <w14:schemeClr w14:val="tx1"/>
            </w14:solidFill>
          </w14:textFill>
        </w:rPr>
      </w:pPr>
      <w:r>
        <w:rPr>
          <w:rFonts w:hint="eastAsia"/>
          <w:bCs/>
          <w:color w:val="000000" w:themeColor="text1"/>
          <w:sz w:val="24"/>
          <w:szCs w:val="24"/>
          <w14:textFill>
            <w14:solidFill>
              <w14:schemeClr w14:val="tx1"/>
            </w14:solidFill>
          </w14:textFill>
        </w:rPr>
        <w:t>为获得回归参考值</w:t>
      </w:r>
      <w:r>
        <w:rPr>
          <w:rFonts w:hint="eastAsia"/>
          <w:color w:val="000000" w:themeColor="text1"/>
          <w:sz w:val="24"/>
          <w:szCs w:val="24"/>
          <w14:textFill>
            <w14:solidFill>
              <w14:schemeClr w14:val="tx1"/>
            </w14:solidFill>
          </w14:textFill>
        </w:rPr>
        <w:t>函数在各个回归值</w:t>
      </w:r>
      <m:oMath>
        <m:sSub>
          <m:sSubPr>
            <m:ctrlPr>
              <w:rPr>
                <w:rFonts w:ascii="Cambria Math" w:hAnsi="Cambria Math"/>
                <w:bCs/>
                <w:i/>
                <w:color w:val="000000" w:themeColor="text1"/>
                <w:sz w:val="24"/>
                <w:szCs w:val="24"/>
                <w14:textFill>
                  <w14:solidFill>
                    <w14:schemeClr w14:val="tx1"/>
                  </w14:solidFill>
                </w14:textFill>
              </w:rPr>
            </m:ctrlPr>
          </m:sSubPr>
          <m:e>
            <m:acc>
              <m:accPr>
                <m:ctrlPr>
                  <w:rPr>
                    <w:rFonts w:ascii="Cambria Math" w:hAnsi="Cambria Math"/>
                    <w:bCs/>
                    <w:i/>
                    <w:color w:val="000000" w:themeColor="text1"/>
                    <w:sz w:val="24"/>
                    <w:szCs w:val="24"/>
                    <w14:textFill>
                      <w14:solidFill>
                        <w14:schemeClr w14:val="tx1"/>
                      </w14:solidFill>
                    </w14:textFill>
                  </w:rPr>
                </m:ctrlPr>
              </m:accPr>
              <m:e>
                <m:r>
                  <m:rPr/>
                  <w:rPr>
                    <w:rFonts w:ascii="Cambria Math" w:hAnsi="Cambria Math"/>
                    <w:color w:val="000000" w:themeColor="text1"/>
                    <w:sz w:val="24"/>
                    <w:szCs w:val="24"/>
                    <w14:textFill>
                      <w14:solidFill>
                        <w14:schemeClr w14:val="tx1"/>
                      </w14:solidFill>
                    </w14:textFill>
                  </w:rPr>
                  <m:t>y</m:t>
                </m:r>
                <m:ctrlPr>
                  <w:rPr>
                    <w:rFonts w:ascii="Cambria Math" w:hAnsi="Cambria Math"/>
                    <w:bCs/>
                    <w:i/>
                    <w:color w:val="000000" w:themeColor="text1"/>
                    <w:sz w:val="24"/>
                    <w:szCs w:val="24"/>
                    <w14:textFill>
                      <w14:solidFill>
                        <w14:schemeClr w14:val="tx1"/>
                      </w14:solidFill>
                    </w14:textFill>
                  </w:rPr>
                </m:ctrlPr>
              </m:e>
            </m:acc>
            <m:ctrlPr>
              <w:rPr>
                <w:rFonts w:ascii="Cambria Math" w:hAnsi="Cambria Math"/>
                <w:bCs/>
                <w:i/>
                <w:color w:val="000000" w:themeColor="text1"/>
                <w:sz w:val="24"/>
                <w:szCs w:val="24"/>
                <w14:textFill>
                  <w14:solidFill>
                    <w14:schemeClr w14:val="tx1"/>
                  </w14:solidFill>
                </w14:textFill>
              </w:rPr>
            </m:ctrlPr>
          </m:e>
          <m:sub>
            <m:r>
              <m:rPr/>
              <w:rPr>
                <w:rFonts w:ascii="Cambria Math" w:hAnsi="Cambria Math"/>
                <w:color w:val="000000" w:themeColor="text1"/>
                <w:sz w:val="24"/>
                <w:szCs w:val="24"/>
                <w14:textFill>
                  <w14:solidFill>
                    <w14:schemeClr w14:val="tx1"/>
                  </w14:solidFill>
                </w14:textFill>
              </w:rPr>
              <m:t>i</m:t>
            </m:r>
            <m:ctrlPr>
              <w:rPr>
                <w:rFonts w:ascii="Cambria Math" w:hAnsi="Cambria Math"/>
                <w:bCs/>
                <w:i/>
                <w:color w:val="000000" w:themeColor="text1"/>
                <w:sz w:val="24"/>
                <w:szCs w:val="24"/>
                <w14:textFill>
                  <w14:solidFill>
                    <w14:schemeClr w14:val="tx1"/>
                  </w14:solidFill>
                </w14:textFill>
              </w:rPr>
            </m:ctrlPr>
          </m:sub>
        </m:sSub>
      </m:oMath>
      <w:r>
        <w:rPr>
          <w:rFonts w:hint="eastAsia"/>
          <w:bCs/>
          <w:color w:val="000000" w:themeColor="text1"/>
          <w:sz w:val="24"/>
          <w:szCs w:val="24"/>
          <w14:textFill>
            <w14:solidFill>
              <w14:schemeClr w14:val="tx1"/>
            </w14:solidFill>
          </w14:textFill>
        </w:rPr>
        <w:t>标准不确定度，需计算</w:t>
      </w:r>
      <m:oMath>
        <m:sSub>
          <m:sSubPr>
            <m:ctrlPr>
              <w:rPr>
                <w:rFonts w:ascii="Cambria Math" w:hAnsi="Cambria Math"/>
                <w:bCs/>
                <w:i/>
                <w:color w:val="000000" w:themeColor="text1"/>
                <w:sz w:val="24"/>
                <w:szCs w:val="24"/>
                <w14:textFill>
                  <w14:solidFill>
                    <w14:schemeClr w14:val="tx1"/>
                  </w14:solidFill>
                </w14:textFill>
              </w:rPr>
            </m:ctrlPr>
          </m:sSubPr>
          <m:e>
            <m:acc>
              <m:accPr>
                <m:ctrlPr>
                  <w:rPr>
                    <w:rFonts w:ascii="Cambria Math" w:hAnsi="Cambria Math"/>
                    <w:bCs/>
                    <w:i/>
                    <w:color w:val="000000" w:themeColor="text1"/>
                    <w:sz w:val="24"/>
                    <w:szCs w:val="24"/>
                    <w14:textFill>
                      <w14:solidFill>
                        <w14:schemeClr w14:val="tx1"/>
                      </w14:solidFill>
                    </w14:textFill>
                  </w:rPr>
                </m:ctrlPr>
              </m:accPr>
              <m:e>
                <m:r>
                  <m:rPr/>
                  <w:rPr>
                    <w:rFonts w:ascii="Cambria Math" w:hAnsi="Cambria Math"/>
                    <w:color w:val="000000" w:themeColor="text1"/>
                    <w:sz w:val="24"/>
                    <w:szCs w:val="24"/>
                    <w14:textFill>
                      <w14:solidFill>
                        <w14:schemeClr w14:val="tx1"/>
                      </w14:solidFill>
                    </w14:textFill>
                  </w:rPr>
                  <m:t>y</m:t>
                </m:r>
                <m:ctrlPr>
                  <w:rPr>
                    <w:rFonts w:ascii="Cambria Math" w:hAnsi="Cambria Math"/>
                    <w:bCs/>
                    <w:i/>
                    <w:color w:val="000000" w:themeColor="text1"/>
                    <w:sz w:val="24"/>
                    <w:szCs w:val="24"/>
                    <w14:textFill>
                      <w14:solidFill>
                        <w14:schemeClr w14:val="tx1"/>
                      </w14:solidFill>
                    </w14:textFill>
                  </w:rPr>
                </m:ctrlPr>
              </m:e>
            </m:acc>
            <m:ctrlPr>
              <w:rPr>
                <w:rFonts w:ascii="Cambria Math" w:hAnsi="Cambria Math"/>
                <w:bCs/>
                <w:i/>
                <w:color w:val="000000" w:themeColor="text1"/>
                <w:sz w:val="24"/>
                <w:szCs w:val="24"/>
                <w14:textFill>
                  <w14:solidFill>
                    <w14:schemeClr w14:val="tx1"/>
                  </w14:solidFill>
                </w14:textFill>
              </w:rPr>
            </m:ctrlPr>
          </m:e>
          <m:sub>
            <m:r>
              <m:rPr/>
              <w:rPr>
                <w:rFonts w:ascii="Cambria Math" w:hAnsi="Cambria Math"/>
                <w:color w:val="000000" w:themeColor="text1"/>
                <w:sz w:val="24"/>
                <w:szCs w:val="24"/>
                <w14:textFill>
                  <w14:solidFill>
                    <w14:schemeClr w14:val="tx1"/>
                  </w14:solidFill>
                </w14:textFill>
              </w:rPr>
              <m:t>i</m:t>
            </m:r>
            <m:ctrlPr>
              <w:rPr>
                <w:rFonts w:ascii="Cambria Math" w:hAnsi="Cambria Math"/>
                <w:bCs/>
                <w:i/>
                <w:color w:val="000000" w:themeColor="text1"/>
                <w:sz w:val="24"/>
                <w:szCs w:val="24"/>
                <w14:textFill>
                  <w14:solidFill>
                    <w14:schemeClr w14:val="tx1"/>
                  </w14:solidFill>
                </w14:textFill>
              </w:rPr>
            </m:ctrlPr>
          </m:sub>
        </m:sSub>
      </m:oMath>
      <w:r>
        <w:rPr>
          <w:rFonts w:hint="eastAsia"/>
          <w:bCs/>
          <w:color w:val="000000" w:themeColor="text1"/>
          <w:sz w:val="24"/>
          <w:szCs w:val="24"/>
          <w14:textFill>
            <w14:solidFill>
              <w14:schemeClr w14:val="tx1"/>
            </w14:solidFill>
          </w14:textFill>
        </w:rPr>
        <w:t>的</w:t>
      </w:r>
      <w:r>
        <w:rPr>
          <w:rFonts w:hint="eastAsia" w:ascii="宋体" w:hAnsi="宋体" w:cs="宋体"/>
          <w:color w:val="000000" w:themeColor="text1"/>
          <w:sz w:val="24"/>
          <w:szCs w:val="24"/>
          <w14:textFill>
            <w14:solidFill>
              <w14:schemeClr w14:val="tx1"/>
            </w14:solidFill>
          </w14:textFill>
        </w:rPr>
        <w:t>方差-协方差矩阵：</w:t>
      </w:r>
    </w:p>
    <w:p>
      <w:pPr>
        <w:tabs>
          <w:tab w:val="center" w:pos="4200"/>
          <w:tab w:val="right" w:pos="8400"/>
        </w:tabs>
        <w:spacing w:line="360" w:lineRule="auto"/>
        <w:rPr>
          <w:rFonts w:ascii="宋体" w:hAnsi="宋体" w:cs="宋体"/>
          <w:bCs/>
          <w:iCs/>
          <w:color w:val="000000" w:themeColor="text1"/>
          <w:sz w:val="24"/>
          <w:szCs w:val="24"/>
          <w:lang w:val="en-GB"/>
          <w14:textFill>
            <w14:solidFill>
              <w14:schemeClr w14:val="tx1"/>
            </w14:solidFill>
          </w14:textFill>
        </w:rPr>
      </w:pPr>
      <w:r>
        <w:rPr>
          <w:rFonts w:ascii="宋体" w:hAnsi="宋体" w:cs="宋体"/>
          <w:color w:val="000000" w:themeColor="text1"/>
          <w:sz w:val="24"/>
          <w:szCs w:val="24"/>
          <w14:textFill>
            <w14:solidFill>
              <w14:schemeClr w14:val="tx1"/>
            </w14:solidFill>
          </w14:textFill>
        </w:rPr>
        <w:tab/>
      </w:r>
      <m:oMath>
        <m:sSub>
          <m:sSubPr>
            <m:ctrlPr>
              <w:rPr>
                <w:rFonts w:ascii="Cambria Math" w:hAnsi="Cambria Math" w:cs="宋体"/>
                <w:i/>
                <w:color w:val="000000" w:themeColor="text1"/>
                <w:sz w:val="24"/>
                <w:szCs w:val="24"/>
                <w14:textFill>
                  <w14:solidFill>
                    <w14:schemeClr w14:val="tx1"/>
                  </w14:solidFill>
                </w14:textFill>
              </w:rPr>
            </m:ctrlPr>
          </m:sSubPr>
          <m:e>
            <m:r>
              <m:rPr>
                <m:sty m:val="b"/>
              </m:rPr>
              <w:rPr>
                <w:rFonts w:ascii="Cambria Math" w:hAnsi="Cambria Math" w:cs="宋体"/>
                <w:color w:val="000000" w:themeColor="text1"/>
                <w:sz w:val="24"/>
                <w:szCs w:val="24"/>
                <w14:textFill>
                  <w14:solidFill>
                    <w14:schemeClr w14:val="tx1"/>
                  </w14:solidFill>
                </w14:textFill>
              </w:rPr>
              <m:t>V</m:t>
            </m:r>
            <m:ctrlPr>
              <w:rPr>
                <w:rFonts w:ascii="Cambria Math" w:hAnsi="Cambria Math" w:cs="宋体"/>
                <w:i/>
                <w:color w:val="000000" w:themeColor="text1"/>
                <w:sz w:val="24"/>
                <w:szCs w:val="24"/>
                <w14:textFill>
                  <w14:solidFill>
                    <w14:schemeClr w14:val="tx1"/>
                  </w14:solidFill>
                </w14:textFill>
              </w:rPr>
            </m:ctrlPr>
          </m:e>
          <m:sub>
            <m:acc>
              <m:accPr>
                <m:ctrlPr>
                  <w:rPr>
                    <w:rFonts w:ascii="Cambria Math" w:hAnsi="Cambria Math" w:cs="Arial"/>
                    <w:i/>
                    <w:color w:val="000000" w:themeColor="text1"/>
                    <w:sz w:val="24"/>
                    <w:szCs w:val="24"/>
                    <w14:textFill>
                      <w14:solidFill>
                        <w14:schemeClr w14:val="tx1"/>
                      </w14:solidFill>
                    </w14:textFill>
                  </w:rPr>
                </m:ctrlPr>
              </m:accPr>
              <m:e>
                <m:r>
                  <m:rPr/>
                  <w:rPr>
                    <w:rFonts w:ascii="Cambria Math" w:hAnsi="Cambria Math" w:cs="Arial"/>
                    <w:color w:val="000000" w:themeColor="text1"/>
                    <w:sz w:val="24"/>
                    <w:szCs w:val="24"/>
                    <w14:textFill>
                      <w14:solidFill>
                        <w14:schemeClr w14:val="tx1"/>
                      </w14:solidFill>
                    </w14:textFill>
                  </w:rPr>
                  <m:t>y</m:t>
                </m:r>
                <m:ctrlPr>
                  <w:rPr>
                    <w:rFonts w:ascii="Cambria Math" w:hAnsi="Cambria Math" w:cs="Arial"/>
                    <w:i/>
                    <w:color w:val="000000" w:themeColor="text1"/>
                    <w:sz w:val="24"/>
                    <w:szCs w:val="24"/>
                    <w14:textFill>
                      <w14:solidFill>
                        <w14:schemeClr w14:val="tx1"/>
                      </w14:solidFill>
                    </w14:textFill>
                  </w:rPr>
                </m:ctrlPr>
              </m:e>
            </m:acc>
            <m:ctrlPr>
              <w:rPr>
                <w:rFonts w:ascii="Cambria Math" w:hAnsi="Cambria Math" w:cs="宋体"/>
                <w:i/>
                <w:color w:val="000000" w:themeColor="text1"/>
                <w:sz w:val="24"/>
                <w:szCs w:val="24"/>
                <w14:textFill>
                  <w14:solidFill>
                    <w14:schemeClr w14:val="tx1"/>
                  </w14:solidFill>
                </w14:textFill>
              </w:rPr>
            </m:ctrlPr>
          </m:sub>
        </m:sSub>
        <m:r>
          <m:rPr>
            <m:sty m:val="b"/>
          </m:rPr>
          <w:rPr>
            <w:rFonts w:ascii="Cambria Math" w:hAnsi="Cambria Math" w:cs="Arial"/>
            <w:color w:val="000000" w:themeColor="text1"/>
            <w:sz w:val="24"/>
            <w:szCs w:val="24"/>
            <w14:textFill>
              <w14:solidFill>
                <w14:schemeClr w14:val="tx1"/>
              </w14:solidFill>
            </w14:textFill>
          </w:rPr>
          <m:t>=X</m:t>
        </m:r>
        <m:r>
          <m:rPr>
            <m:sty m:val="p"/>
          </m:rPr>
          <w:rPr>
            <w:rFonts w:ascii="Cambria Math" w:hAnsi="Cambria Math" w:cs="Arial"/>
            <w:color w:val="000000" w:themeColor="text1"/>
            <w:sz w:val="24"/>
            <w:szCs w:val="24"/>
            <w:lang w:val="en-GB"/>
            <w14:textFill>
              <w14:solidFill>
                <w14:schemeClr w14:val="tx1"/>
              </w14:solidFill>
            </w14:textFill>
          </w:rPr>
          <m:t>∙</m:t>
        </m:r>
        <m:sSup>
          <m:sSupPr>
            <m:ctrlPr>
              <w:rPr>
                <w:rFonts w:ascii="Cambria Math" w:hAnsi="Cambria Math" w:cs="Arial"/>
                <w:color w:val="000000" w:themeColor="text1"/>
                <w:sz w:val="24"/>
                <w:szCs w:val="24"/>
                <w:lang w:val="en-GB"/>
                <w14:textFill>
                  <w14:solidFill>
                    <w14:schemeClr w14:val="tx1"/>
                  </w14:solidFill>
                </w14:textFill>
              </w:rPr>
            </m:ctrlPr>
          </m:sSupPr>
          <m:e>
            <m:d>
              <m:dPr>
                <m:ctrlPr>
                  <w:rPr>
                    <w:rFonts w:ascii="Cambria Math" w:hAnsi="Cambria Math" w:cs="Arial"/>
                    <w:b/>
                    <w:color w:val="000000" w:themeColor="text1"/>
                    <w:sz w:val="24"/>
                    <w:szCs w:val="24"/>
                    <w14:textFill>
                      <w14:solidFill>
                        <w14:schemeClr w14:val="tx1"/>
                      </w14:solidFill>
                    </w14:textFill>
                  </w:rPr>
                </m:ctrlPr>
              </m:dPr>
              <m:e>
                <m:sSup>
                  <m:sSupPr>
                    <m:ctrlPr>
                      <w:rPr>
                        <w:rFonts w:ascii="Cambria Math" w:hAnsi="Cambria Math" w:cs="Arial"/>
                        <w:bCs/>
                        <w:iCs/>
                        <w:color w:val="000000" w:themeColor="text1"/>
                        <w:sz w:val="24"/>
                        <w:szCs w:val="24"/>
                        <w:lang w:val="en-GB"/>
                        <w14:textFill>
                          <w14:solidFill>
                            <w14:schemeClr w14:val="tx1"/>
                          </w14:solidFill>
                        </w14:textFill>
                      </w:rPr>
                    </m:ctrlPr>
                  </m:sSupPr>
                  <m:e>
                    <m:r>
                      <m:rPr>
                        <m:sty m:val="b"/>
                      </m:rPr>
                      <w:rPr>
                        <w:rFonts w:ascii="Cambria Math" w:hAnsi="Cambria Math" w:cs="Arial"/>
                        <w:color w:val="000000" w:themeColor="text1"/>
                        <w:sz w:val="24"/>
                        <w:szCs w:val="24"/>
                        <w14:textFill>
                          <w14:solidFill>
                            <w14:schemeClr w14:val="tx1"/>
                          </w14:solidFill>
                        </w14:textFill>
                      </w:rPr>
                      <m:t>X</m:t>
                    </m:r>
                    <m:ctrlPr>
                      <w:rPr>
                        <w:rFonts w:ascii="Cambria Math" w:hAnsi="Cambria Math" w:cs="Arial"/>
                        <w:bCs/>
                        <w:iCs/>
                        <w:color w:val="000000" w:themeColor="text1"/>
                        <w:sz w:val="24"/>
                        <w:szCs w:val="24"/>
                        <w:lang w:val="en-GB"/>
                        <w14:textFill>
                          <w14:solidFill>
                            <w14:schemeClr w14:val="tx1"/>
                          </w14:solidFill>
                        </w14:textFill>
                      </w:rPr>
                    </m:ctrlPr>
                  </m:e>
                  <m:sup>
                    <m:r>
                      <m:rPr>
                        <m:sty m:val="p"/>
                      </m:rPr>
                      <w:rPr>
                        <w:rFonts w:ascii="Cambria Math" w:hAnsi="Cambria Math" w:cs="Arial"/>
                        <w:color w:val="000000" w:themeColor="text1"/>
                        <w:sz w:val="24"/>
                        <w:szCs w:val="24"/>
                        <w14:textFill>
                          <w14:solidFill>
                            <w14:schemeClr w14:val="tx1"/>
                          </w14:solidFill>
                        </w14:textFill>
                      </w:rPr>
                      <m:t>T</m:t>
                    </m:r>
                    <m:ctrlPr>
                      <w:rPr>
                        <w:rFonts w:ascii="Cambria Math" w:hAnsi="Cambria Math" w:cs="Arial"/>
                        <w:bCs/>
                        <w:iCs/>
                        <w:color w:val="000000" w:themeColor="text1"/>
                        <w:sz w:val="24"/>
                        <w:szCs w:val="24"/>
                        <w:lang w:val="en-GB"/>
                        <w14:textFill>
                          <w14:solidFill>
                            <w14:schemeClr w14:val="tx1"/>
                          </w14:solidFill>
                        </w14:textFill>
                      </w:rPr>
                    </m:ctrlPr>
                  </m:sup>
                </m:sSup>
                <m:r>
                  <m:rPr>
                    <m:sty m:val="p"/>
                  </m:rPr>
                  <w:rPr>
                    <w:rFonts w:ascii="Cambria Math" w:hAnsi="Cambria Math" w:cs="Arial"/>
                    <w:color w:val="000000" w:themeColor="text1"/>
                    <w:sz w:val="24"/>
                    <w:szCs w:val="24"/>
                    <w:lang w:val="en-GB"/>
                    <w14:textFill>
                      <w14:solidFill>
                        <w14:schemeClr w14:val="tx1"/>
                      </w14:solidFill>
                    </w14:textFill>
                  </w:rPr>
                  <m:t>∙</m:t>
                </m:r>
                <m:sSup>
                  <m:sSupPr>
                    <m:ctrlPr>
                      <w:rPr>
                        <w:rFonts w:ascii="Cambria Math" w:hAnsi="Cambria Math" w:cs="Arial"/>
                        <w:bCs/>
                        <w:iCs/>
                        <w:color w:val="000000" w:themeColor="text1"/>
                        <w:sz w:val="24"/>
                        <w:szCs w:val="24"/>
                        <w14:textFill>
                          <w14:solidFill>
                            <w14:schemeClr w14:val="tx1"/>
                          </w14:solidFill>
                        </w14:textFill>
                      </w:rPr>
                    </m:ctrlPr>
                  </m:sSupPr>
                  <m:e>
                    <m:sSub>
                      <m:sSubPr>
                        <m:ctrlPr>
                          <w:rPr>
                            <w:rFonts w:ascii="Cambria Math" w:hAnsi="Cambria Math" w:cs="Arial"/>
                            <w:b/>
                            <w:iCs/>
                            <w:color w:val="000000" w:themeColor="text1"/>
                            <w:sz w:val="24"/>
                            <w:szCs w:val="24"/>
                            <w14:textFill>
                              <w14:solidFill>
                                <w14:schemeClr w14:val="tx1"/>
                              </w14:solidFill>
                            </w14:textFill>
                          </w:rPr>
                        </m:ctrlPr>
                      </m:sSubPr>
                      <m:e>
                        <m:r>
                          <m:rPr>
                            <m:sty m:val="b"/>
                          </m:rPr>
                          <w:rPr>
                            <w:rFonts w:ascii="Cambria Math" w:hAnsi="Cambria Math" w:cs="Arial"/>
                            <w:color w:val="000000" w:themeColor="text1"/>
                            <w:sz w:val="24"/>
                            <w:szCs w:val="24"/>
                            <w14:textFill>
                              <w14:solidFill>
                                <w14:schemeClr w14:val="tx1"/>
                              </w14:solidFill>
                            </w14:textFill>
                          </w:rPr>
                          <m:t>V</m:t>
                        </m:r>
                        <m:ctrlPr>
                          <w:rPr>
                            <w:rFonts w:ascii="Cambria Math" w:hAnsi="Cambria Math" w:cs="Arial"/>
                            <w:b/>
                            <w:iCs/>
                            <w:color w:val="000000" w:themeColor="text1"/>
                            <w:sz w:val="24"/>
                            <w:szCs w:val="24"/>
                            <w14:textFill>
                              <w14:solidFill>
                                <w14:schemeClr w14:val="tx1"/>
                              </w14:solidFill>
                            </w14:textFill>
                          </w:rPr>
                        </m:ctrlPr>
                      </m:e>
                      <m:sub>
                        <m:r>
                          <m:rPr>
                            <m:sty m:val="bi"/>
                          </m:rPr>
                          <w:rPr>
                            <w:rFonts w:ascii="Cambria Math" w:hAnsi="Cambria Math" w:cs="Arial"/>
                            <w:color w:val="000000" w:themeColor="text1"/>
                            <w:sz w:val="24"/>
                            <w:szCs w:val="24"/>
                            <w14:textFill>
                              <w14:solidFill>
                                <w14:schemeClr w14:val="tx1"/>
                              </w14:solidFill>
                            </w14:textFill>
                          </w:rPr>
                          <m:t>y</m:t>
                        </m:r>
                        <m:ctrlPr>
                          <w:rPr>
                            <w:rFonts w:ascii="Cambria Math" w:hAnsi="Cambria Math" w:cs="Arial"/>
                            <w:b/>
                            <w:iCs/>
                            <w:color w:val="000000" w:themeColor="text1"/>
                            <w:sz w:val="24"/>
                            <w:szCs w:val="24"/>
                            <w14:textFill>
                              <w14:solidFill>
                                <w14:schemeClr w14:val="tx1"/>
                              </w14:solidFill>
                            </w14:textFill>
                          </w:rPr>
                        </m:ctrlPr>
                      </m:sub>
                    </m:sSub>
                    <m:ctrlPr>
                      <w:rPr>
                        <w:rFonts w:ascii="Cambria Math" w:hAnsi="Cambria Math" w:cs="Arial"/>
                        <w:bCs/>
                        <w:iCs/>
                        <w:color w:val="000000" w:themeColor="text1"/>
                        <w:sz w:val="24"/>
                        <w:szCs w:val="24"/>
                        <w14:textFill>
                          <w14:solidFill>
                            <w14:schemeClr w14:val="tx1"/>
                          </w14:solidFill>
                        </w14:textFill>
                      </w:rPr>
                    </m:ctrlPr>
                  </m:e>
                  <m:sup>
                    <m:r>
                      <m:rPr>
                        <m:sty m:val="p"/>
                      </m:rPr>
                      <w:rPr>
                        <w:rFonts w:ascii="Cambria Math" w:hAnsi="Cambria Math" w:cs="Arial"/>
                        <w:color w:val="000000" w:themeColor="text1"/>
                        <w:sz w:val="24"/>
                        <w:szCs w:val="24"/>
                        <w14:textFill>
                          <w14:solidFill>
                            <w14:schemeClr w14:val="tx1"/>
                          </w14:solidFill>
                        </w14:textFill>
                      </w:rPr>
                      <m:t>−1</m:t>
                    </m:r>
                    <m:ctrlPr>
                      <w:rPr>
                        <w:rFonts w:ascii="Cambria Math" w:hAnsi="Cambria Math" w:cs="Arial"/>
                        <w:bCs/>
                        <w:iCs/>
                        <w:color w:val="000000" w:themeColor="text1"/>
                        <w:sz w:val="24"/>
                        <w:szCs w:val="24"/>
                        <w14:textFill>
                          <w14:solidFill>
                            <w14:schemeClr w14:val="tx1"/>
                          </w14:solidFill>
                        </w14:textFill>
                      </w:rPr>
                    </m:ctrlPr>
                  </m:sup>
                </m:sSup>
                <m:r>
                  <m:rPr>
                    <m:sty m:val="p"/>
                  </m:rPr>
                  <w:rPr>
                    <w:rFonts w:ascii="Cambria Math" w:hAnsi="Cambria Math" w:cs="Arial"/>
                    <w:color w:val="000000" w:themeColor="text1"/>
                    <w:sz w:val="24"/>
                    <w:szCs w:val="24"/>
                    <w:lang w:val="en-GB"/>
                    <w14:textFill>
                      <w14:solidFill>
                        <w14:schemeClr w14:val="tx1"/>
                      </w14:solidFill>
                    </w14:textFill>
                  </w:rPr>
                  <m:t>∙</m:t>
                </m:r>
                <m:r>
                  <m:rPr>
                    <m:sty m:val="b"/>
                  </m:rPr>
                  <w:rPr>
                    <w:rFonts w:ascii="Cambria Math" w:hAnsi="Cambria Math" w:cs="Arial"/>
                    <w:color w:val="000000" w:themeColor="text1"/>
                    <w:sz w:val="24"/>
                    <w:szCs w:val="24"/>
                    <w:lang w:val="en-GB"/>
                    <w14:textFill>
                      <w14:solidFill>
                        <w14:schemeClr w14:val="tx1"/>
                      </w14:solidFill>
                    </w14:textFill>
                  </w:rPr>
                  <m:t>X</m:t>
                </m:r>
                <m:ctrlPr>
                  <w:rPr>
                    <w:rFonts w:ascii="Cambria Math" w:hAnsi="Cambria Math" w:cs="Arial"/>
                    <w:b/>
                    <w:color w:val="000000" w:themeColor="text1"/>
                    <w:sz w:val="24"/>
                    <w:szCs w:val="24"/>
                    <w14:textFill>
                      <w14:solidFill>
                        <w14:schemeClr w14:val="tx1"/>
                      </w14:solidFill>
                    </w14:textFill>
                  </w:rPr>
                </m:ctrlPr>
              </m:e>
            </m:d>
            <m:ctrlPr>
              <w:rPr>
                <w:rFonts w:ascii="Cambria Math" w:hAnsi="Cambria Math" w:cs="Arial"/>
                <w:color w:val="000000" w:themeColor="text1"/>
                <w:sz w:val="24"/>
                <w:szCs w:val="24"/>
                <w:lang w:val="en-GB"/>
                <w14:textFill>
                  <w14:solidFill>
                    <w14:schemeClr w14:val="tx1"/>
                  </w14:solidFill>
                </w14:textFill>
              </w:rPr>
            </m:ctrlPr>
          </m:e>
          <m:sup>
            <m:r>
              <m:rPr/>
              <w:rPr>
                <w:rFonts w:ascii="Cambria Math" w:hAnsi="Cambria Math" w:cs="Arial"/>
                <w:color w:val="000000" w:themeColor="text1"/>
                <w:sz w:val="24"/>
                <w:szCs w:val="24"/>
                <w:lang w:val="en-GB"/>
                <w14:textFill>
                  <w14:solidFill>
                    <w14:schemeClr w14:val="tx1"/>
                  </w14:solidFill>
                </w14:textFill>
              </w:rPr>
              <m:t>−1</m:t>
            </m:r>
            <m:ctrlPr>
              <w:rPr>
                <w:rFonts w:ascii="Cambria Math" w:hAnsi="Cambria Math" w:cs="Arial"/>
                <w:color w:val="000000" w:themeColor="text1"/>
                <w:sz w:val="24"/>
                <w:szCs w:val="24"/>
                <w:lang w:val="en-GB"/>
                <w14:textFill>
                  <w14:solidFill>
                    <w14:schemeClr w14:val="tx1"/>
                  </w14:solidFill>
                </w14:textFill>
              </w:rPr>
            </m:ctrlPr>
          </m:sup>
        </m:sSup>
        <m:r>
          <m:rPr>
            <m:sty m:val="p"/>
          </m:rPr>
          <w:rPr>
            <w:rFonts w:ascii="Cambria Math" w:hAnsi="Cambria Math" w:cs="Arial"/>
            <w:color w:val="000000" w:themeColor="text1"/>
            <w:sz w:val="24"/>
            <w:szCs w:val="24"/>
            <w:lang w:val="en-GB"/>
            <w14:textFill>
              <w14:solidFill>
                <w14:schemeClr w14:val="tx1"/>
              </w14:solidFill>
            </w14:textFill>
          </w:rPr>
          <m:t>∙</m:t>
        </m:r>
        <m:sSup>
          <m:sSupPr>
            <m:ctrlPr>
              <w:rPr>
                <w:rFonts w:ascii="Cambria Math" w:hAnsi="Cambria Math" w:cs="Arial"/>
                <w:bCs/>
                <w:iCs/>
                <w:color w:val="000000" w:themeColor="text1"/>
                <w:sz w:val="24"/>
                <w:szCs w:val="24"/>
                <w:lang w:val="en-GB"/>
                <w14:textFill>
                  <w14:solidFill>
                    <w14:schemeClr w14:val="tx1"/>
                  </w14:solidFill>
                </w14:textFill>
              </w:rPr>
            </m:ctrlPr>
          </m:sSupPr>
          <m:e>
            <m:r>
              <m:rPr>
                <m:sty m:val="b"/>
              </m:rPr>
              <w:rPr>
                <w:rFonts w:ascii="Cambria Math" w:hAnsi="Cambria Math" w:cs="Arial"/>
                <w:color w:val="000000" w:themeColor="text1"/>
                <w:sz w:val="24"/>
                <w:szCs w:val="24"/>
                <w14:textFill>
                  <w14:solidFill>
                    <w14:schemeClr w14:val="tx1"/>
                  </w14:solidFill>
                </w14:textFill>
              </w:rPr>
              <m:t>X</m:t>
            </m:r>
            <m:ctrlPr>
              <w:rPr>
                <w:rFonts w:ascii="Cambria Math" w:hAnsi="Cambria Math" w:cs="Arial"/>
                <w:bCs/>
                <w:iCs/>
                <w:color w:val="000000" w:themeColor="text1"/>
                <w:sz w:val="24"/>
                <w:szCs w:val="24"/>
                <w:lang w:val="en-GB"/>
                <w14:textFill>
                  <w14:solidFill>
                    <w14:schemeClr w14:val="tx1"/>
                  </w14:solidFill>
                </w14:textFill>
              </w:rPr>
            </m:ctrlPr>
          </m:e>
          <m:sup>
            <m:r>
              <m:rPr>
                <m:sty m:val="p"/>
              </m:rPr>
              <w:rPr>
                <w:rFonts w:ascii="Cambria Math" w:hAnsi="Cambria Math" w:cs="Arial"/>
                <w:color w:val="000000" w:themeColor="text1"/>
                <w:sz w:val="24"/>
                <w:szCs w:val="24"/>
                <w14:textFill>
                  <w14:solidFill>
                    <w14:schemeClr w14:val="tx1"/>
                  </w14:solidFill>
                </w14:textFill>
              </w:rPr>
              <m:t>T</m:t>
            </m:r>
            <m:ctrlPr>
              <w:rPr>
                <w:rFonts w:ascii="Cambria Math" w:hAnsi="Cambria Math" w:cs="Arial"/>
                <w:bCs/>
                <w:iCs/>
                <w:color w:val="000000" w:themeColor="text1"/>
                <w:sz w:val="24"/>
                <w:szCs w:val="24"/>
                <w:lang w:val="en-GB"/>
                <w14:textFill>
                  <w14:solidFill>
                    <w14:schemeClr w14:val="tx1"/>
                  </w14:solidFill>
                </w14:textFill>
              </w:rPr>
            </m:ctrlPr>
          </m:sup>
        </m:sSup>
      </m:oMath>
      <w:r>
        <w:rPr>
          <w:rFonts w:ascii="宋体" w:hAnsi="宋体" w:cs="宋体"/>
          <w:bCs/>
          <w:iCs/>
          <w:color w:val="000000" w:themeColor="text1"/>
          <w:sz w:val="24"/>
          <w:szCs w:val="24"/>
          <w:lang w:val="en-GB"/>
          <w14:textFill>
            <w14:solidFill>
              <w14:schemeClr w14:val="tx1"/>
            </w14:solidFill>
          </w14:textFill>
        </w:rPr>
        <w:tab/>
      </w:r>
      <w:r>
        <w:rPr>
          <w:bCs/>
          <w:iCs/>
          <w:color w:val="000000" w:themeColor="text1"/>
          <w:sz w:val="24"/>
          <w:szCs w:val="24"/>
          <w:lang w:val="en-GB"/>
          <w14:textFill>
            <w14:solidFill>
              <w14:schemeClr w14:val="tx1"/>
            </w14:solidFill>
          </w14:textFill>
        </w:rPr>
        <w:t>(E.9)</w:t>
      </w:r>
    </w:p>
    <w:p>
      <w:pPr>
        <w:spacing w:line="360" w:lineRule="auto"/>
        <w:rPr>
          <w:bCs/>
          <w:color w:val="000000" w:themeColor="text1"/>
          <w:sz w:val="24"/>
          <w:szCs w:val="24"/>
          <w14:textFill>
            <w14:solidFill>
              <w14:schemeClr w14:val="tx1"/>
            </w14:solidFill>
          </w14:textFill>
        </w:rPr>
      </w:pPr>
      <w:r>
        <w:rPr>
          <w:rFonts w:hint="eastAsia"/>
          <w:bCs/>
          <w:color w:val="000000" w:themeColor="text1"/>
          <w:sz w:val="24"/>
          <w:szCs w:val="24"/>
          <w14:textFill>
            <w14:solidFill>
              <w14:schemeClr w14:val="tx1"/>
            </w14:solidFill>
          </w14:textFill>
        </w:rPr>
        <w:t>矩阵</w:t>
      </w:r>
      <m:oMath>
        <m:sSub>
          <m:sSubPr>
            <m:ctrlPr>
              <w:rPr>
                <w:rFonts w:ascii="Cambria Math" w:hAnsi="Cambria Math" w:cs="宋体"/>
                <w:i/>
                <w:color w:val="000000" w:themeColor="text1"/>
                <w:sz w:val="24"/>
                <w:szCs w:val="24"/>
                <w14:textFill>
                  <w14:solidFill>
                    <w14:schemeClr w14:val="tx1"/>
                  </w14:solidFill>
                </w14:textFill>
              </w:rPr>
            </m:ctrlPr>
          </m:sSubPr>
          <m:e>
            <m:r>
              <m:rPr>
                <m:sty m:val="b"/>
              </m:rPr>
              <w:rPr>
                <w:rFonts w:ascii="Cambria Math" w:hAnsi="Cambria Math" w:cs="宋体"/>
                <w:color w:val="000000" w:themeColor="text1"/>
                <w:sz w:val="24"/>
                <w:szCs w:val="24"/>
                <w14:textFill>
                  <w14:solidFill>
                    <w14:schemeClr w14:val="tx1"/>
                  </w14:solidFill>
                </w14:textFill>
              </w:rPr>
              <m:t>V</m:t>
            </m:r>
            <m:ctrlPr>
              <w:rPr>
                <w:rFonts w:ascii="Cambria Math" w:hAnsi="Cambria Math" w:cs="宋体"/>
                <w:i/>
                <w:color w:val="000000" w:themeColor="text1"/>
                <w:sz w:val="24"/>
                <w:szCs w:val="24"/>
                <w14:textFill>
                  <w14:solidFill>
                    <w14:schemeClr w14:val="tx1"/>
                  </w14:solidFill>
                </w14:textFill>
              </w:rPr>
            </m:ctrlPr>
          </m:e>
          <m:sub>
            <m:acc>
              <m:accPr>
                <m:ctrlPr>
                  <w:rPr>
                    <w:rFonts w:ascii="Cambria Math" w:hAnsi="Cambria Math" w:cs="Arial"/>
                    <w:i/>
                    <w:color w:val="000000" w:themeColor="text1"/>
                    <w:sz w:val="24"/>
                    <w:szCs w:val="24"/>
                    <w14:textFill>
                      <w14:solidFill>
                        <w14:schemeClr w14:val="tx1"/>
                      </w14:solidFill>
                    </w14:textFill>
                  </w:rPr>
                </m:ctrlPr>
              </m:accPr>
              <m:e>
                <m:r>
                  <m:rPr/>
                  <w:rPr>
                    <w:rFonts w:ascii="Cambria Math" w:hAnsi="Cambria Math" w:cs="Arial"/>
                    <w:color w:val="000000" w:themeColor="text1"/>
                    <w:sz w:val="24"/>
                    <w:szCs w:val="24"/>
                    <w14:textFill>
                      <w14:solidFill>
                        <w14:schemeClr w14:val="tx1"/>
                      </w14:solidFill>
                    </w14:textFill>
                  </w:rPr>
                  <m:t>y</m:t>
                </m:r>
                <m:ctrlPr>
                  <w:rPr>
                    <w:rFonts w:ascii="Cambria Math" w:hAnsi="Cambria Math" w:cs="Arial"/>
                    <w:i/>
                    <w:color w:val="000000" w:themeColor="text1"/>
                    <w:sz w:val="24"/>
                    <w:szCs w:val="24"/>
                    <w14:textFill>
                      <w14:solidFill>
                        <w14:schemeClr w14:val="tx1"/>
                      </w14:solidFill>
                    </w14:textFill>
                  </w:rPr>
                </m:ctrlPr>
              </m:e>
            </m:acc>
            <m:ctrlPr>
              <w:rPr>
                <w:rFonts w:ascii="Cambria Math" w:hAnsi="Cambria Math" w:cs="宋体"/>
                <w:i/>
                <w:color w:val="000000" w:themeColor="text1"/>
                <w:sz w:val="24"/>
                <w:szCs w:val="24"/>
                <w14:textFill>
                  <w14:solidFill>
                    <w14:schemeClr w14:val="tx1"/>
                  </w14:solidFill>
                </w14:textFill>
              </w:rPr>
            </m:ctrlPr>
          </m:sub>
        </m:sSub>
      </m:oMath>
      <w:r>
        <w:rPr>
          <w:rFonts w:hint="eastAsia"/>
          <w:bCs/>
          <w:color w:val="000000" w:themeColor="text1"/>
          <w:sz w:val="24"/>
          <w:szCs w:val="24"/>
          <w14:textFill>
            <w14:solidFill>
              <w14:schemeClr w14:val="tx1"/>
            </w14:solidFill>
          </w14:textFill>
        </w:rPr>
        <w:t>的对角线上的元素的算术平方根为回归参考值的标准不确定度</w:t>
      </w:r>
      <m:oMath>
        <m:sSub>
          <m:sSubPr>
            <m:ctrlPr>
              <w:rPr>
                <w:rFonts w:ascii="Cambria Math" w:hAnsi="Cambria Math"/>
                <w:bCs/>
                <w:i/>
                <w:color w:val="000000" w:themeColor="text1"/>
                <w:sz w:val="24"/>
                <w:szCs w:val="24"/>
                <w14:textFill>
                  <w14:solidFill>
                    <w14:schemeClr w14:val="tx1"/>
                  </w14:solidFill>
                </w14:textFill>
              </w:rPr>
            </m:ctrlPr>
          </m:sSubPr>
          <m:e>
            <m:r>
              <m:rPr/>
              <w:rPr>
                <w:rFonts w:hint="eastAsia" w:ascii="Cambria Math" w:hAnsi="Cambria Math"/>
                <w:color w:val="000000" w:themeColor="text1"/>
                <w:sz w:val="24"/>
                <w:szCs w:val="24"/>
                <w14:textFill>
                  <w14:solidFill>
                    <w14:schemeClr w14:val="tx1"/>
                  </w14:solidFill>
                </w14:textFill>
              </w:rPr>
              <m:t>u</m:t>
            </m:r>
            <m:ctrlPr>
              <w:rPr>
                <w:rFonts w:ascii="Cambria Math" w:hAnsi="Cambria Math"/>
                <w:bCs/>
                <w:i/>
                <w:color w:val="000000" w:themeColor="text1"/>
                <w:sz w:val="24"/>
                <w:szCs w:val="24"/>
                <w14:textFill>
                  <w14:solidFill>
                    <w14:schemeClr w14:val="tx1"/>
                  </w14:solidFill>
                </w14:textFill>
              </w:rPr>
            </m:ctrlPr>
          </m:e>
          <m:sub>
            <m:sSub>
              <m:sSubPr>
                <m:ctrlPr>
                  <w:rPr>
                    <w:rFonts w:ascii="Cambria Math" w:hAnsi="Cambria Math"/>
                    <w:bCs/>
                    <w:i/>
                    <w:color w:val="000000" w:themeColor="text1"/>
                    <w:sz w:val="24"/>
                    <w:szCs w:val="24"/>
                    <w14:textFill>
                      <w14:solidFill>
                        <w14:schemeClr w14:val="tx1"/>
                      </w14:solidFill>
                    </w14:textFill>
                  </w:rPr>
                </m:ctrlPr>
              </m:sSubPr>
              <m:e>
                <m:acc>
                  <m:accPr>
                    <m:ctrlPr>
                      <w:rPr>
                        <w:rFonts w:ascii="Cambria Math" w:hAnsi="Cambria Math"/>
                        <w:bCs/>
                        <w:i/>
                        <w:color w:val="000000" w:themeColor="text1"/>
                        <w:sz w:val="24"/>
                        <w:szCs w:val="24"/>
                        <w14:textFill>
                          <w14:solidFill>
                            <w14:schemeClr w14:val="tx1"/>
                          </w14:solidFill>
                        </w14:textFill>
                      </w:rPr>
                    </m:ctrlPr>
                  </m:accPr>
                  <m:e>
                    <m:r>
                      <m:rPr/>
                      <w:rPr>
                        <w:rFonts w:ascii="Cambria Math" w:hAnsi="Cambria Math"/>
                        <w:color w:val="000000" w:themeColor="text1"/>
                        <w:sz w:val="24"/>
                        <w:szCs w:val="24"/>
                        <w14:textFill>
                          <w14:solidFill>
                            <w14:schemeClr w14:val="tx1"/>
                          </w14:solidFill>
                        </w14:textFill>
                      </w:rPr>
                      <m:t>y</m:t>
                    </m:r>
                    <m:ctrlPr>
                      <w:rPr>
                        <w:rFonts w:ascii="Cambria Math" w:hAnsi="Cambria Math"/>
                        <w:bCs/>
                        <w:i/>
                        <w:color w:val="000000" w:themeColor="text1"/>
                        <w:sz w:val="24"/>
                        <w:szCs w:val="24"/>
                        <w14:textFill>
                          <w14:solidFill>
                            <w14:schemeClr w14:val="tx1"/>
                          </w14:solidFill>
                        </w14:textFill>
                      </w:rPr>
                    </m:ctrlPr>
                  </m:e>
                </m:acc>
                <m:ctrlPr>
                  <w:rPr>
                    <w:rFonts w:ascii="Cambria Math" w:hAnsi="Cambria Math"/>
                    <w:bCs/>
                    <w:i/>
                    <w:color w:val="000000" w:themeColor="text1"/>
                    <w:sz w:val="24"/>
                    <w:szCs w:val="24"/>
                    <w14:textFill>
                      <w14:solidFill>
                        <w14:schemeClr w14:val="tx1"/>
                      </w14:solidFill>
                    </w14:textFill>
                  </w:rPr>
                </m:ctrlPr>
              </m:e>
              <m:sub>
                <m:r>
                  <m:rPr/>
                  <w:rPr>
                    <w:rFonts w:ascii="Cambria Math" w:hAnsi="Cambria Math"/>
                    <w:color w:val="000000" w:themeColor="text1"/>
                    <w:sz w:val="24"/>
                    <w:szCs w:val="24"/>
                    <w14:textFill>
                      <w14:solidFill>
                        <w14:schemeClr w14:val="tx1"/>
                      </w14:solidFill>
                    </w14:textFill>
                  </w:rPr>
                  <m:t>i</m:t>
                </m:r>
                <m:ctrlPr>
                  <w:rPr>
                    <w:rFonts w:ascii="Cambria Math" w:hAnsi="Cambria Math"/>
                    <w:bCs/>
                    <w:i/>
                    <w:color w:val="000000" w:themeColor="text1"/>
                    <w:sz w:val="24"/>
                    <w:szCs w:val="24"/>
                    <w14:textFill>
                      <w14:solidFill>
                        <w14:schemeClr w14:val="tx1"/>
                      </w14:solidFill>
                    </w14:textFill>
                  </w:rPr>
                </m:ctrlPr>
              </m:sub>
            </m:sSub>
            <m:ctrlPr>
              <w:rPr>
                <w:rFonts w:ascii="Cambria Math" w:hAnsi="Cambria Math"/>
                <w:bCs/>
                <w:i/>
                <w:color w:val="000000" w:themeColor="text1"/>
                <w:sz w:val="24"/>
                <w:szCs w:val="24"/>
                <w14:textFill>
                  <w14:solidFill>
                    <w14:schemeClr w14:val="tx1"/>
                  </w14:solidFill>
                </w14:textFill>
              </w:rPr>
            </m:ctrlPr>
          </m:sub>
        </m:sSub>
      </m:oMath>
      <w:r>
        <w:rPr>
          <w:rFonts w:hint="eastAsia"/>
          <w:bCs/>
          <w:color w:val="000000" w:themeColor="text1"/>
          <w:sz w:val="24"/>
          <w:szCs w:val="24"/>
          <w14:textFill>
            <w14:solidFill>
              <w14:schemeClr w14:val="tx1"/>
            </w14:solidFill>
          </w14:textFill>
        </w:rPr>
        <w:t>。</w:t>
      </w:r>
    </w:p>
    <w:p>
      <w:pPr>
        <w:spacing w:line="360" w:lineRule="auto"/>
        <w:ind w:firstLine="480" w:firstLineChars="200"/>
        <w:rPr>
          <w:bCs/>
          <w:sz w:val="24"/>
          <w:szCs w:val="24"/>
        </w:rPr>
      </w:pPr>
      <w:r>
        <w:rPr>
          <w:rFonts w:hint="eastAsia"/>
          <w:bCs/>
          <w:sz w:val="24"/>
          <w:szCs w:val="24"/>
        </w:rPr>
        <w:t>在考虑数据相容性时，可根据回归的参考值函数确定比对数据的回归残余偏差，结合各数据的标准不确定度，参照参考值的加权平均法中的数据相容性检验方法，验证全部比对数据的相容性。</w:t>
      </w:r>
    </w:p>
    <w:p>
      <w:pPr>
        <w:pStyle w:val="3"/>
        <w:spacing w:before="0" w:after="93" w:afterLines="30" w:line="360" w:lineRule="auto"/>
        <w:rPr>
          <w:rFonts w:ascii="Times New Roman" w:hAnsi="Times New Roman" w:eastAsia="宋体"/>
          <w:b w:val="0"/>
          <w:sz w:val="24"/>
        </w:rPr>
      </w:pPr>
      <w:bookmarkStart w:id="118" w:name="_Toc137854345"/>
      <w:r>
        <w:rPr>
          <w:rFonts w:ascii="Times New Roman" w:hAnsi="Times New Roman" w:eastAsia="宋体"/>
          <w:b w:val="0"/>
          <w:sz w:val="24"/>
        </w:rPr>
        <w:t>E</w:t>
      </w:r>
      <w:r>
        <w:rPr>
          <w:rFonts w:hint="eastAsia" w:ascii="Times New Roman" w:hAnsi="Times New Roman" w:eastAsia="宋体"/>
          <w:b w:val="0"/>
          <w:sz w:val="24"/>
        </w:rPr>
        <w:t>.</w:t>
      </w:r>
      <w:r>
        <w:rPr>
          <w:rFonts w:ascii="Times New Roman" w:hAnsi="Times New Roman" w:eastAsia="宋体"/>
          <w:b w:val="0"/>
          <w:sz w:val="24"/>
        </w:rPr>
        <w:t>2</w:t>
      </w:r>
      <w:r>
        <w:rPr>
          <w:rFonts w:hint="eastAsia" w:ascii="Times New Roman" w:hAnsi="Times New Roman" w:eastAsia="宋体"/>
          <w:b w:val="0"/>
          <w:sz w:val="24"/>
        </w:rPr>
        <w:t>等效度</w:t>
      </w:r>
      <w:bookmarkEnd w:id="118"/>
    </w:p>
    <w:p>
      <w:pPr>
        <w:spacing w:line="360" w:lineRule="auto"/>
        <w:ind w:firstLine="480" w:firstLineChars="200"/>
        <w:rPr>
          <w:rFonts w:ascii="宋体" w:hAnsi="宋体"/>
          <w:color w:val="000000" w:themeColor="text1"/>
          <w:sz w:val="24"/>
          <w:szCs w:val="24"/>
          <w14:textFill>
            <w14:solidFill>
              <w14:schemeClr w14:val="tx1"/>
            </w14:solidFill>
          </w14:textFill>
        </w:rPr>
      </w:pPr>
      <w:r>
        <w:rPr>
          <w:rStyle w:val="47"/>
          <w:rFonts w:hint="eastAsia" w:ascii="宋体" w:hAnsi="宋体"/>
          <w:color w:val="000000"/>
          <w:sz w:val="24"/>
          <w:szCs w:val="24"/>
        </w:rPr>
        <w:t>当采用</w:t>
      </w:r>
      <w:r>
        <w:rPr>
          <w:rStyle w:val="47"/>
          <w:rFonts w:hint="eastAsia" w:ascii="宋体" w:hAnsi="宋体"/>
          <w:color w:val="000000" w:themeColor="text1"/>
          <w:sz w:val="24"/>
          <w:szCs w:val="24"/>
          <w14:textFill>
            <w14:solidFill>
              <w14:schemeClr w14:val="tx1"/>
            </w14:solidFill>
          </w14:textFill>
        </w:rPr>
        <w:t>参考值函数</w:t>
      </w:r>
      <w:r>
        <w:rPr>
          <w:rStyle w:val="47"/>
          <w:rFonts w:hint="eastAsia" w:ascii="宋体" w:hAnsi="宋体"/>
          <w:color w:val="000000"/>
          <w:sz w:val="24"/>
          <w:szCs w:val="24"/>
        </w:rPr>
        <w:t>回归方法确定比对参考值时，比对量测得值</w:t>
      </w:r>
      <m:oMath>
        <m:sSub>
          <m:sSubPr>
            <m:ctrlPr>
              <w:rPr>
                <w:rStyle w:val="47"/>
                <w:rFonts w:ascii="Cambria Math" w:hAnsi="Cambria Math"/>
                <w:i/>
                <w:color w:val="000000"/>
                <w:sz w:val="24"/>
                <w:szCs w:val="24"/>
              </w:rPr>
            </m:ctrlPr>
          </m:sSubPr>
          <m:e>
            <m:r>
              <m:rPr/>
              <w:rPr>
                <w:rStyle w:val="47"/>
                <w:rFonts w:hint="eastAsia" w:ascii="Cambria Math" w:hAnsi="Cambria Math"/>
                <w:color w:val="000000"/>
                <w:sz w:val="24"/>
                <w:szCs w:val="24"/>
              </w:rPr>
              <m:t>y</m:t>
            </m:r>
            <m:ctrlPr>
              <w:rPr>
                <w:rStyle w:val="47"/>
                <w:rFonts w:ascii="Cambria Math" w:hAnsi="Cambria Math"/>
                <w:i/>
                <w:color w:val="000000"/>
                <w:sz w:val="24"/>
                <w:szCs w:val="24"/>
              </w:rPr>
            </m:ctrlPr>
          </m:e>
          <m:sub>
            <m:r>
              <m:rPr/>
              <w:rPr>
                <w:rStyle w:val="47"/>
                <w:rFonts w:hint="eastAsia" w:ascii="Cambria Math" w:hAnsi="Cambria Math"/>
                <w:color w:val="000000"/>
                <w:sz w:val="24"/>
                <w:szCs w:val="24"/>
              </w:rPr>
              <m:t>i</m:t>
            </m:r>
            <m:ctrlPr>
              <w:rPr>
                <w:rStyle w:val="47"/>
                <w:rFonts w:ascii="Cambria Math" w:hAnsi="Cambria Math"/>
                <w:i/>
                <w:color w:val="000000"/>
                <w:sz w:val="24"/>
                <w:szCs w:val="24"/>
              </w:rPr>
            </m:ctrlPr>
          </m:sub>
        </m:sSub>
      </m:oMath>
      <w:r>
        <w:rPr>
          <w:rStyle w:val="47"/>
          <w:rFonts w:ascii="宋体" w:hAnsi="宋体"/>
          <w:color w:val="000000"/>
          <w:sz w:val="24"/>
          <w:szCs w:val="24"/>
        </w:rPr>
        <w:t>的</w:t>
      </w:r>
      <w:r>
        <w:rPr>
          <w:rStyle w:val="47"/>
          <w:rFonts w:hint="eastAsia" w:ascii="宋体" w:hAnsi="宋体"/>
          <w:color w:val="000000"/>
          <w:sz w:val="24"/>
          <w:szCs w:val="24"/>
        </w:rPr>
        <w:t>等效度</w:t>
      </w:r>
      <m:oMath>
        <m:sSub>
          <m:sSubPr>
            <m:ctrlPr>
              <w:rPr>
                <w:rStyle w:val="47"/>
                <w:rFonts w:ascii="Cambria Math" w:hAnsi="Cambria Math"/>
                <w:i/>
                <w:color w:val="000000"/>
                <w:sz w:val="24"/>
                <w:szCs w:val="24"/>
              </w:rPr>
            </m:ctrlPr>
          </m:sSubPr>
          <m:e>
            <m:r>
              <m:rPr/>
              <w:rPr>
                <w:rStyle w:val="47"/>
                <w:rFonts w:hint="eastAsia" w:ascii="Cambria Math" w:hAnsi="Cambria Math"/>
                <w:color w:val="000000"/>
                <w:sz w:val="24"/>
                <w:szCs w:val="24"/>
              </w:rPr>
              <m:t>d</m:t>
            </m:r>
            <m:ctrlPr>
              <w:rPr>
                <w:rStyle w:val="47"/>
                <w:rFonts w:ascii="Cambria Math" w:hAnsi="Cambria Math"/>
                <w:i/>
                <w:color w:val="000000"/>
                <w:sz w:val="24"/>
                <w:szCs w:val="24"/>
              </w:rPr>
            </m:ctrlPr>
          </m:e>
          <m:sub>
            <m:r>
              <m:rPr/>
              <w:rPr>
                <w:rStyle w:val="47"/>
                <w:rFonts w:hint="eastAsia" w:ascii="Cambria Math" w:hAnsi="Cambria Math"/>
                <w:color w:val="000000"/>
                <w:sz w:val="24"/>
                <w:szCs w:val="24"/>
              </w:rPr>
              <m:t>i</m:t>
            </m:r>
            <m:ctrlPr>
              <w:rPr>
                <w:rStyle w:val="47"/>
                <w:rFonts w:ascii="Cambria Math" w:hAnsi="Cambria Math"/>
                <w:i/>
                <w:color w:val="000000"/>
                <w:sz w:val="24"/>
                <w:szCs w:val="24"/>
              </w:rPr>
            </m:ctrlPr>
          </m:sub>
        </m:sSub>
      </m:oMath>
      <w:r>
        <w:rPr>
          <w:rStyle w:val="47"/>
          <w:rFonts w:ascii="宋体" w:hAnsi="宋体"/>
          <w:color w:val="000000"/>
          <w:sz w:val="24"/>
          <w:szCs w:val="24"/>
        </w:rPr>
        <w:t>如</w:t>
      </w:r>
      <w:r>
        <w:rPr>
          <w:rStyle w:val="47"/>
          <w:rFonts w:hint="eastAsia" w:ascii="宋体" w:hAnsi="宋体"/>
          <w:color w:val="000000"/>
          <w:sz w:val="24"/>
          <w:szCs w:val="24"/>
        </w:rPr>
        <w:t>下</w:t>
      </w:r>
      <w:r>
        <w:rPr>
          <w:rStyle w:val="47"/>
          <w:rFonts w:ascii="宋体" w:hAnsi="宋体"/>
          <w:color w:val="000000"/>
          <w:sz w:val="24"/>
          <w:szCs w:val="24"/>
        </w:rPr>
        <w:t>式</w:t>
      </w:r>
      <w:r>
        <w:rPr>
          <w:rStyle w:val="47"/>
          <w:rFonts w:ascii="宋体" w:hAnsi="宋体"/>
          <w:color w:val="000000" w:themeColor="text1"/>
          <w:sz w:val="24"/>
          <w:szCs w:val="24"/>
          <w14:textFill>
            <w14:solidFill>
              <w14:schemeClr w14:val="tx1"/>
            </w14:solidFill>
          </w14:textFill>
        </w:rPr>
        <w:t>所示：</w:t>
      </w:r>
    </w:p>
    <w:p>
      <w:pPr>
        <w:pStyle w:val="50"/>
        <w:tabs>
          <w:tab w:val="center" w:pos="4200"/>
          <w:tab w:val="right" w:pos="8400"/>
        </w:tabs>
        <w:spacing w:line="360" w:lineRule="auto"/>
        <w:rPr>
          <w:color w:val="000000" w:themeColor="text1"/>
          <w:sz w:val="24"/>
          <w:szCs w:val="24"/>
          <w14:textFill>
            <w14:solidFill>
              <w14:schemeClr w14:val="tx1"/>
            </w14:solidFill>
          </w14:textFill>
        </w:rPr>
      </w:pPr>
      <w:r>
        <w:rPr>
          <w:rStyle w:val="47"/>
          <w:rFonts w:ascii="宋体" w:hAnsi="宋体"/>
          <w:color w:val="000000" w:themeColor="text1"/>
          <w:sz w:val="24"/>
          <w:szCs w:val="24"/>
          <w14:textFill>
            <w14:solidFill>
              <w14:schemeClr w14:val="tx1"/>
            </w14:solidFill>
          </w14:textFill>
        </w:rPr>
        <w:tab/>
      </w:r>
      <m:oMath>
        <m:sSub>
          <m:sSubPr>
            <m:ctrlPr>
              <w:rPr>
                <w:rStyle w:val="47"/>
                <w:rFonts w:ascii="Cambria Math" w:hAnsi="Cambria Math"/>
                <w:i/>
                <w:color w:val="000000" w:themeColor="text1"/>
                <w:sz w:val="24"/>
                <w:szCs w:val="24"/>
                <w14:textFill>
                  <w14:solidFill>
                    <w14:schemeClr w14:val="tx1"/>
                  </w14:solidFill>
                </w14:textFill>
              </w:rPr>
            </m:ctrlPr>
          </m:sSubPr>
          <m:e>
            <m:r>
              <m:rPr/>
              <w:rPr>
                <w:rStyle w:val="47"/>
                <w:rFonts w:hint="eastAsia" w:ascii="Cambria Math" w:hAnsi="Cambria Math"/>
                <w:color w:val="000000" w:themeColor="text1"/>
                <w:sz w:val="24"/>
                <w:szCs w:val="24"/>
                <w14:textFill>
                  <w14:solidFill>
                    <w14:schemeClr w14:val="tx1"/>
                  </w14:solidFill>
                </w14:textFill>
              </w:rPr>
              <m:t>d</m:t>
            </m:r>
            <m:ctrlPr>
              <w:rPr>
                <w:rStyle w:val="47"/>
                <w:rFonts w:ascii="Cambria Math" w:hAnsi="Cambria Math"/>
                <w:i/>
                <w:color w:val="000000" w:themeColor="text1"/>
                <w:sz w:val="24"/>
                <w:szCs w:val="24"/>
                <w14:textFill>
                  <w14:solidFill>
                    <w14:schemeClr w14:val="tx1"/>
                  </w14:solidFill>
                </w14:textFill>
              </w:rPr>
            </m:ctrlPr>
          </m:e>
          <m:sub>
            <m:r>
              <m:rPr/>
              <w:rPr>
                <w:rStyle w:val="47"/>
                <w:rFonts w:hint="eastAsia" w:ascii="Cambria Math" w:hAnsi="Cambria Math"/>
                <w:color w:val="000000" w:themeColor="text1"/>
                <w:sz w:val="24"/>
                <w:szCs w:val="24"/>
                <w14:textFill>
                  <w14:solidFill>
                    <w14:schemeClr w14:val="tx1"/>
                  </w14:solidFill>
                </w14:textFill>
              </w:rPr>
              <m:t>i</m:t>
            </m:r>
            <m:ctrlPr>
              <w:rPr>
                <w:rStyle w:val="47"/>
                <w:rFonts w:ascii="Cambria Math" w:hAnsi="Cambria Math"/>
                <w:i/>
                <w:color w:val="000000" w:themeColor="text1"/>
                <w:sz w:val="24"/>
                <w:szCs w:val="24"/>
                <w14:textFill>
                  <w14:solidFill>
                    <w14:schemeClr w14:val="tx1"/>
                  </w14:solidFill>
                </w14:textFill>
              </w:rPr>
            </m:ctrlPr>
          </m:sub>
        </m:sSub>
        <m:r>
          <m:rPr/>
          <w:rPr>
            <w:rStyle w:val="47"/>
            <w:rFonts w:ascii="Cambria Math" w:hAnsi="Cambria Math"/>
            <w:color w:val="000000" w:themeColor="text1"/>
            <w:sz w:val="24"/>
            <w:szCs w:val="24"/>
            <w14:textFill>
              <w14:solidFill>
                <w14:schemeClr w14:val="tx1"/>
              </w14:solidFill>
            </w14:textFill>
          </w:rPr>
          <m:t>=</m:t>
        </m:r>
        <m:sSub>
          <m:sSubPr>
            <m:ctrlPr>
              <w:rPr>
                <w:rStyle w:val="47"/>
                <w:rFonts w:ascii="Cambria Math" w:hAnsi="Cambria Math"/>
                <w:i/>
                <w:color w:val="000000" w:themeColor="text1"/>
                <w:sz w:val="24"/>
                <w:szCs w:val="24"/>
                <w14:textFill>
                  <w14:solidFill>
                    <w14:schemeClr w14:val="tx1"/>
                  </w14:solidFill>
                </w14:textFill>
              </w:rPr>
            </m:ctrlPr>
          </m:sSubPr>
          <m:e>
            <m:r>
              <m:rPr/>
              <w:rPr>
                <w:rStyle w:val="47"/>
                <w:rFonts w:hint="eastAsia" w:ascii="Cambria Math" w:hAnsi="Cambria Math"/>
                <w:color w:val="000000" w:themeColor="text1"/>
                <w:sz w:val="24"/>
                <w:szCs w:val="24"/>
                <w14:textFill>
                  <w14:solidFill>
                    <w14:schemeClr w14:val="tx1"/>
                  </w14:solidFill>
                </w14:textFill>
              </w:rPr>
              <m:t>y</m:t>
            </m:r>
            <m:ctrlPr>
              <w:rPr>
                <w:rStyle w:val="47"/>
                <w:rFonts w:ascii="Cambria Math" w:hAnsi="Cambria Math"/>
                <w:i/>
                <w:color w:val="000000" w:themeColor="text1"/>
                <w:sz w:val="24"/>
                <w:szCs w:val="24"/>
                <w14:textFill>
                  <w14:solidFill>
                    <w14:schemeClr w14:val="tx1"/>
                  </w14:solidFill>
                </w14:textFill>
              </w:rPr>
            </m:ctrlPr>
          </m:e>
          <m:sub>
            <m:r>
              <m:rPr/>
              <w:rPr>
                <w:rStyle w:val="47"/>
                <w:rFonts w:hint="eastAsia" w:ascii="Cambria Math" w:hAnsi="Cambria Math"/>
                <w:color w:val="000000" w:themeColor="text1"/>
                <w:sz w:val="24"/>
                <w:szCs w:val="24"/>
                <w14:textFill>
                  <w14:solidFill>
                    <w14:schemeClr w14:val="tx1"/>
                  </w14:solidFill>
                </w14:textFill>
              </w:rPr>
              <m:t>i</m:t>
            </m:r>
            <m:ctrlPr>
              <w:rPr>
                <w:rStyle w:val="47"/>
                <w:rFonts w:ascii="Cambria Math" w:hAnsi="Cambria Math"/>
                <w:i/>
                <w:color w:val="000000" w:themeColor="text1"/>
                <w:sz w:val="24"/>
                <w:szCs w:val="24"/>
                <w14:textFill>
                  <w14:solidFill>
                    <w14:schemeClr w14:val="tx1"/>
                  </w14:solidFill>
                </w14:textFill>
              </w:rPr>
            </m:ctrlPr>
          </m:sub>
        </m:sSub>
        <m:r>
          <m:rPr/>
          <w:rPr>
            <w:rStyle w:val="47"/>
            <w:rFonts w:ascii="Cambria Math" w:hAnsi="Cambria Math"/>
            <w:color w:val="000000" w:themeColor="text1"/>
            <w:sz w:val="24"/>
            <w:szCs w:val="24"/>
            <w14:textFill>
              <w14:solidFill>
                <w14:schemeClr w14:val="tx1"/>
              </w14:solidFill>
            </w14:textFill>
          </w:rPr>
          <m:t>−</m:t>
        </m:r>
        <m:sSub>
          <m:sSubPr>
            <m:ctrlPr>
              <w:rPr>
                <w:rFonts w:ascii="Cambria Math" w:hAnsi="Cambria Math"/>
                <w:bCs/>
                <w:i/>
                <w:color w:val="000000" w:themeColor="text1"/>
                <w:sz w:val="24"/>
                <w:szCs w:val="24"/>
                <w14:textFill>
                  <w14:solidFill>
                    <w14:schemeClr w14:val="tx1"/>
                  </w14:solidFill>
                </w14:textFill>
              </w:rPr>
            </m:ctrlPr>
          </m:sSubPr>
          <m:e>
            <m:acc>
              <m:accPr>
                <m:ctrlPr>
                  <w:rPr>
                    <w:rFonts w:ascii="Cambria Math" w:hAnsi="Cambria Math"/>
                    <w:bCs/>
                    <w:i/>
                    <w:color w:val="000000" w:themeColor="text1"/>
                    <w:sz w:val="24"/>
                    <w:szCs w:val="24"/>
                    <w14:textFill>
                      <w14:solidFill>
                        <w14:schemeClr w14:val="tx1"/>
                      </w14:solidFill>
                    </w14:textFill>
                  </w:rPr>
                </m:ctrlPr>
              </m:accPr>
              <m:e>
                <m:r>
                  <m:rPr/>
                  <w:rPr>
                    <w:rFonts w:ascii="Cambria Math" w:hAnsi="Cambria Math"/>
                    <w:color w:val="000000" w:themeColor="text1"/>
                    <w:sz w:val="24"/>
                    <w:szCs w:val="24"/>
                    <w14:textFill>
                      <w14:solidFill>
                        <w14:schemeClr w14:val="tx1"/>
                      </w14:solidFill>
                    </w14:textFill>
                  </w:rPr>
                  <m:t>y</m:t>
                </m:r>
                <m:ctrlPr>
                  <w:rPr>
                    <w:rFonts w:ascii="Cambria Math" w:hAnsi="Cambria Math"/>
                    <w:bCs/>
                    <w:i/>
                    <w:color w:val="000000" w:themeColor="text1"/>
                    <w:sz w:val="24"/>
                    <w:szCs w:val="24"/>
                    <w14:textFill>
                      <w14:solidFill>
                        <w14:schemeClr w14:val="tx1"/>
                      </w14:solidFill>
                    </w14:textFill>
                  </w:rPr>
                </m:ctrlPr>
              </m:e>
            </m:acc>
            <m:ctrlPr>
              <w:rPr>
                <w:rFonts w:ascii="Cambria Math" w:hAnsi="Cambria Math"/>
                <w:bCs/>
                <w:i/>
                <w:color w:val="000000" w:themeColor="text1"/>
                <w:sz w:val="24"/>
                <w:szCs w:val="24"/>
                <w14:textFill>
                  <w14:solidFill>
                    <w14:schemeClr w14:val="tx1"/>
                  </w14:solidFill>
                </w14:textFill>
              </w:rPr>
            </m:ctrlPr>
          </m:e>
          <m:sub>
            <m:r>
              <m:rPr/>
              <w:rPr>
                <w:rFonts w:ascii="Cambria Math" w:hAnsi="Cambria Math"/>
                <w:color w:val="000000" w:themeColor="text1"/>
                <w:sz w:val="24"/>
                <w:szCs w:val="24"/>
                <w14:textFill>
                  <w14:solidFill>
                    <w14:schemeClr w14:val="tx1"/>
                  </w14:solidFill>
                </w14:textFill>
              </w:rPr>
              <m:t>i</m:t>
            </m:r>
            <m:ctrlPr>
              <w:rPr>
                <w:rFonts w:ascii="Cambria Math" w:hAnsi="Cambria Math"/>
                <w:bCs/>
                <w:i/>
                <w:color w:val="000000" w:themeColor="text1"/>
                <w:sz w:val="24"/>
                <w:szCs w:val="24"/>
                <w14:textFill>
                  <w14:solidFill>
                    <w14:schemeClr w14:val="tx1"/>
                  </w14:solidFill>
                </w14:textFill>
              </w:rPr>
            </m:ctrlPr>
          </m:sub>
        </m:sSub>
      </m:oMath>
      <w:r>
        <w:rPr>
          <w:rStyle w:val="47"/>
          <w:rFonts w:ascii="宋体" w:hAnsi="宋体"/>
          <w:color w:val="000000" w:themeColor="text1"/>
          <w:sz w:val="24"/>
          <w:szCs w:val="24"/>
          <w14:textFill>
            <w14:solidFill>
              <w14:schemeClr w14:val="tx1"/>
            </w14:solidFill>
          </w14:textFill>
        </w:rPr>
        <w:tab/>
      </w:r>
      <w:r>
        <w:rPr>
          <w:rStyle w:val="47"/>
          <w:color w:val="000000" w:themeColor="text1"/>
          <w:sz w:val="24"/>
          <w:szCs w:val="24"/>
          <w14:textFill>
            <w14:solidFill>
              <w14:schemeClr w14:val="tx1"/>
            </w14:solidFill>
          </w14:textFill>
        </w:rPr>
        <w:t>(E.10)</w:t>
      </w:r>
    </w:p>
    <w:p>
      <w:pPr>
        <w:spacing w:line="360" w:lineRule="auto"/>
        <w:ind w:firstLine="480" w:firstLineChars="200"/>
        <w:rPr>
          <w:rStyle w:val="47"/>
          <w:rFonts w:ascii="宋体" w:hAnsi="宋体"/>
          <w:color w:val="000000" w:themeColor="text1"/>
          <w:sz w:val="24"/>
          <w:szCs w:val="24"/>
          <w14:textFill>
            <w14:solidFill>
              <w14:schemeClr w14:val="tx1"/>
            </w14:solidFill>
          </w14:textFill>
        </w:rPr>
      </w:pPr>
      <w:r>
        <w:rPr>
          <w:rStyle w:val="47"/>
          <w:rFonts w:hint="eastAsia" w:ascii="宋体" w:hAnsi="宋体"/>
          <w:color w:val="000000" w:themeColor="text1"/>
          <w:sz w:val="24"/>
          <w:szCs w:val="24"/>
          <w14:textFill>
            <w14:solidFill>
              <w14:schemeClr w14:val="tx1"/>
            </w14:solidFill>
          </w14:textFill>
        </w:rPr>
        <w:t>当</w:t>
      </w:r>
      <m:oMath>
        <m:sSub>
          <m:sSubPr>
            <m:ctrlPr>
              <w:rPr>
                <w:rStyle w:val="47"/>
                <w:rFonts w:ascii="Cambria Math" w:hAnsi="Cambria Math"/>
                <w:i/>
                <w:color w:val="000000" w:themeColor="text1"/>
                <w:sz w:val="24"/>
                <w:szCs w:val="24"/>
                <w14:textFill>
                  <w14:solidFill>
                    <w14:schemeClr w14:val="tx1"/>
                  </w14:solidFill>
                </w14:textFill>
              </w:rPr>
            </m:ctrlPr>
          </m:sSubPr>
          <m:e>
            <m:r>
              <m:rPr/>
              <w:rPr>
                <w:rStyle w:val="47"/>
                <w:rFonts w:hint="eastAsia" w:ascii="Cambria Math" w:hAnsi="Cambria Math"/>
                <w:color w:val="000000" w:themeColor="text1"/>
                <w:sz w:val="24"/>
                <w:szCs w:val="24"/>
                <w14:textFill>
                  <w14:solidFill>
                    <w14:schemeClr w14:val="tx1"/>
                  </w14:solidFill>
                </w14:textFill>
              </w:rPr>
              <m:t>y</m:t>
            </m:r>
            <m:ctrlPr>
              <w:rPr>
                <w:rStyle w:val="47"/>
                <w:rFonts w:ascii="Cambria Math" w:hAnsi="Cambria Math"/>
                <w:i/>
                <w:color w:val="000000" w:themeColor="text1"/>
                <w:sz w:val="24"/>
                <w:szCs w:val="24"/>
                <w14:textFill>
                  <w14:solidFill>
                    <w14:schemeClr w14:val="tx1"/>
                  </w14:solidFill>
                </w14:textFill>
              </w:rPr>
            </m:ctrlPr>
          </m:e>
          <m:sub>
            <m:r>
              <m:rPr/>
              <w:rPr>
                <w:rStyle w:val="47"/>
                <w:rFonts w:hint="eastAsia" w:ascii="Cambria Math" w:hAnsi="Cambria Math"/>
                <w:color w:val="000000" w:themeColor="text1"/>
                <w:sz w:val="24"/>
                <w:szCs w:val="24"/>
                <w14:textFill>
                  <w14:solidFill>
                    <w14:schemeClr w14:val="tx1"/>
                  </w14:solidFill>
                </w14:textFill>
              </w:rPr>
              <m:t>i</m:t>
            </m:r>
            <m:ctrlPr>
              <w:rPr>
                <w:rStyle w:val="47"/>
                <w:rFonts w:ascii="Cambria Math" w:hAnsi="Cambria Math"/>
                <w:i/>
                <w:color w:val="000000" w:themeColor="text1"/>
                <w:sz w:val="24"/>
                <w:szCs w:val="24"/>
                <w14:textFill>
                  <w14:solidFill>
                    <w14:schemeClr w14:val="tx1"/>
                  </w14:solidFill>
                </w14:textFill>
              </w:rPr>
            </m:ctrlPr>
          </m:sub>
        </m:sSub>
      </m:oMath>
      <w:r>
        <w:rPr>
          <w:rStyle w:val="47"/>
          <w:rFonts w:hint="eastAsia" w:ascii="宋体" w:hAnsi="宋体"/>
          <w:color w:val="000000" w:themeColor="text1"/>
          <w:sz w:val="24"/>
          <w:szCs w:val="24"/>
          <w14:textFill>
            <w14:solidFill>
              <w14:schemeClr w14:val="tx1"/>
            </w14:solidFill>
          </w14:textFill>
        </w:rPr>
        <w:t>参与比对参考值的计算时，</w:t>
      </w:r>
      <m:oMath>
        <m:sSub>
          <m:sSubPr>
            <m:ctrlPr>
              <w:rPr>
                <w:rStyle w:val="47"/>
                <w:rFonts w:ascii="Cambria Math" w:hAnsi="Cambria Math"/>
                <w:i/>
                <w:color w:val="000000" w:themeColor="text1"/>
                <w:sz w:val="24"/>
                <w:szCs w:val="24"/>
                <w14:textFill>
                  <w14:solidFill>
                    <w14:schemeClr w14:val="tx1"/>
                  </w14:solidFill>
                </w14:textFill>
              </w:rPr>
            </m:ctrlPr>
          </m:sSubPr>
          <m:e>
            <m:r>
              <m:rPr/>
              <w:rPr>
                <w:rStyle w:val="47"/>
                <w:rFonts w:hint="eastAsia" w:ascii="Cambria Math" w:hAnsi="Cambria Math"/>
                <w:color w:val="000000" w:themeColor="text1"/>
                <w:sz w:val="24"/>
                <w:szCs w:val="24"/>
                <w14:textFill>
                  <w14:solidFill>
                    <w14:schemeClr w14:val="tx1"/>
                  </w14:solidFill>
                </w14:textFill>
              </w:rPr>
              <m:t>d</m:t>
            </m:r>
            <m:ctrlPr>
              <w:rPr>
                <w:rStyle w:val="47"/>
                <w:rFonts w:ascii="Cambria Math" w:hAnsi="Cambria Math"/>
                <w:i/>
                <w:color w:val="000000" w:themeColor="text1"/>
                <w:sz w:val="24"/>
                <w:szCs w:val="24"/>
                <w14:textFill>
                  <w14:solidFill>
                    <w14:schemeClr w14:val="tx1"/>
                  </w14:solidFill>
                </w14:textFill>
              </w:rPr>
            </m:ctrlPr>
          </m:e>
          <m:sub>
            <m:r>
              <m:rPr/>
              <w:rPr>
                <w:rStyle w:val="47"/>
                <w:rFonts w:hint="eastAsia" w:ascii="Cambria Math" w:hAnsi="Cambria Math"/>
                <w:color w:val="000000" w:themeColor="text1"/>
                <w:sz w:val="24"/>
                <w:szCs w:val="24"/>
                <w14:textFill>
                  <w14:solidFill>
                    <w14:schemeClr w14:val="tx1"/>
                  </w14:solidFill>
                </w14:textFill>
              </w:rPr>
              <m:t>i</m:t>
            </m:r>
            <m:ctrlPr>
              <w:rPr>
                <w:rStyle w:val="47"/>
                <w:rFonts w:ascii="Cambria Math" w:hAnsi="Cambria Math"/>
                <w:i/>
                <w:color w:val="000000" w:themeColor="text1"/>
                <w:sz w:val="24"/>
                <w:szCs w:val="24"/>
                <w14:textFill>
                  <w14:solidFill>
                    <w14:schemeClr w14:val="tx1"/>
                  </w14:solidFill>
                </w14:textFill>
              </w:rPr>
            </m:ctrlPr>
          </m:sub>
        </m:sSub>
      </m:oMath>
      <w:r>
        <w:rPr>
          <w:rStyle w:val="47"/>
          <w:rFonts w:hint="eastAsia" w:ascii="宋体" w:hAnsi="宋体"/>
          <w:color w:val="000000" w:themeColor="text1"/>
          <w:sz w:val="24"/>
          <w:szCs w:val="24"/>
          <w14:textFill>
            <w14:solidFill>
              <w14:schemeClr w14:val="tx1"/>
            </w14:solidFill>
          </w14:textFill>
        </w:rPr>
        <w:t>的不确定度计算方法如下：</w:t>
      </w:r>
    </w:p>
    <w:p>
      <w:pPr>
        <w:spacing w:line="360" w:lineRule="auto"/>
        <w:ind w:firstLine="480" w:firstLineChars="200"/>
        <w:rPr>
          <w:rFonts w:ascii="宋体" w:hAnsi="宋体" w:cs="宋体"/>
          <w:color w:val="000000" w:themeColor="text1"/>
          <w:sz w:val="24"/>
          <w:szCs w:val="24"/>
          <w14:textFill>
            <w14:solidFill>
              <w14:schemeClr w14:val="tx1"/>
            </w14:solidFill>
          </w14:textFill>
        </w:rPr>
      </w:pPr>
      <w:r>
        <w:rPr>
          <w:rFonts w:hint="eastAsia"/>
          <w:bCs/>
          <w:color w:val="000000" w:themeColor="text1"/>
          <w:sz w:val="24"/>
          <w:szCs w:val="24"/>
          <w14:textFill>
            <w14:solidFill>
              <w14:schemeClr w14:val="tx1"/>
            </w14:solidFill>
          </w14:textFill>
        </w:rPr>
        <w:t>为获得</w:t>
      </w:r>
      <m:oMath>
        <m:sSub>
          <m:sSubPr>
            <m:ctrlPr>
              <w:rPr>
                <w:rStyle w:val="47"/>
                <w:rFonts w:ascii="Cambria Math" w:hAnsi="Cambria Math"/>
                <w:i/>
                <w:color w:val="000000" w:themeColor="text1"/>
                <w:sz w:val="24"/>
                <w:szCs w:val="24"/>
                <w14:textFill>
                  <w14:solidFill>
                    <w14:schemeClr w14:val="tx1"/>
                  </w14:solidFill>
                </w14:textFill>
              </w:rPr>
            </m:ctrlPr>
          </m:sSubPr>
          <m:e>
            <m:r>
              <m:rPr/>
              <w:rPr>
                <w:rStyle w:val="47"/>
                <w:rFonts w:hint="eastAsia" w:ascii="Cambria Math" w:hAnsi="Cambria Math"/>
                <w:color w:val="000000" w:themeColor="text1"/>
                <w:sz w:val="24"/>
                <w:szCs w:val="24"/>
                <w14:textFill>
                  <w14:solidFill>
                    <w14:schemeClr w14:val="tx1"/>
                  </w14:solidFill>
                </w14:textFill>
              </w:rPr>
              <m:t>d</m:t>
            </m:r>
            <m:ctrlPr>
              <w:rPr>
                <w:rStyle w:val="47"/>
                <w:rFonts w:ascii="Cambria Math" w:hAnsi="Cambria Math"/>
                <w:i/>
                <w:color w:val="000000" w:themeColor="text1"/>
                <w:sz w:val="24"/>
                <w:szCs w:val="24"/>
                <w14:textFill>
                  <w14:solidFill>
                    <w14:schemeClr w14:val="tx1"/>
                  </w14:solidFill>
                </w14:textFill>
              </w:rPr>
            </m:ctrlPr>
          </m:e>
          <m:sub>
            <m:r>
              <m:rPr/>
              <w:rPr>
                <w:rStyle w:val="47"/>
                <w:rFonts w:hint="eastAsia" w:ascii="Cambria Math" w:hAnsi="Cambria Math"/>
                <w:color w:val="000000" w:themeColor="text1"/>
                <w:sz w:val="24"/>
                <w:szCs w:val="24"/>
                <w14:textFill>
                  <w14:solidFill>
                    <w14:schemeClr w14:val="tx1"/>
                  </w14:solidFill>
                </w14:textFill>
              </w:rPr>
              <m:t>i</m:t>
            </m:r>
            <m:ctrlPr>
              <w:rPr>
                <w:rStyle w:val="47"/>
                <w:rFonts w:ascii="Cambria Math" w:hAnsi="Cambria Math"/>
                <w:i/>
                <w:color w:val="000000" w:themeColor="text1"/>
                <w:sz w:val="24"/>
                <w:szCs w:val="24"/>
                <w14:textFill>
                  <w14:solidFill>
                    <w14:schemeClr w14:val="tx1"/>
                  </w14:solidFill>
                </w14:textFill>
              </w:rPr>
            </m:ctrlPr>
          </m:sub>
        </m:sSub>
      </m:oMath>
      <w:r>
        <w:rPr>
          <w:rFonts w:hint="eastAsia"/>
          <w:bCs/>
          <w:color w:val="000000" w:themeColor="text1"/>
          <w:sz w:val="24"/>
          <w:szCs w:val="24"/>
          <w14:textFill>
            <w14:solidFill>
              <w14:schemeClr w14:val="tx1"/>
            </w14:solidFill>
          </w14:textFill>
        </w:rPr>
        <w:t>的标准不确定度，需计算</w:t>
      </w:r>
      <m:oMath>
        <m:sSub>
          <m:sSubPr>
            <m:ctrlPr>
              <w:rPr>
                <w:rStyle w:val="47"/>
                <w:rFonts w:ascii="Cambria Math" w:hAnsi="Cambria Math"/>
                <w:i/>
                <w:color w:val="000000" w:themeColor="text1"/>
                <w:sz w:val="24"/>
                <w:szCs w:val="24"/>
                <w14:textFill>
                  <w14:solidFill>
                    <w14:schemeClr w14:val="tx1"/>
                  </w14:solidFill>
                </w14:textFill>
              </w:rPr>
            </m:ctrlPr>
          </m:sSubPr>
          <m:e>
            <m:r>
              <m:rPr/>
              <w:rPr>
                <w:rStyle w:val="47"/>
                <w:rFonts w:hint="eastAsia" w:ascii="Cambria Math" w:hAnsi="Cambria Math"/>
                <w:color w:val="000000" w:themeColor="text1"/>
                <w:sz w:val="24"/>
                <w:szCs w:val="24"/>
                <w14:textFill>
                  <w14:solidFill>
                    <w14:schemeClr w14:val="tx1"/>
                  </w14:solidFill>
                </w14:textFill>
              </w:rPr>
              <m:t>d</m:t>
            </m:r>
            <m:ctrlPr>
              <w:rPr>
                <w:rStyle w:val="47"/>
                <w:rFonts w:ascii="Cambria Math" w:hAnsi="Cambria Math"/>
                <w:i/>
                <w:color w:val="000000" w:themeColor="text1"/>
                <w:sz w:val="24"/>
                <w:szCs w:val="24"/>
                <w14:textFill>
                  <w14:solidFill>
                    <w14:schemeClr w14:val="tx1"/>
                  </w14:solidFill>
                </w14:textFill>
              </w:rPr>
            </m:ctrlPr>
          </m:e>
          <m:sub>
            <m:r>
              <m:rPr/>
              <w:rPr>
                <w:rStyle w:val="47"/>
                <w:rFonts w:hint="eastAsia" w:ascii="Cambria Math" w:hAnsi="Cambria Math"/>
                <w:color w:val="000000" w:themeColor="text1"/>
                <w:sz w:val="24"/>
                <w:szCs w:val="24"/>
                <w14:textFill>
                  <w14:solidFill>
                    <w14:schemeClr w14:val="tx1"/>
                  </w14:solidFill>
                </w14:textFill>
              </w:rPr>
              <m:t>i</m:t>
            </m:r>
            <m:ctrlPr>
              <w:rPr>
                <w:rStyle w:val="47"/>
                <w:rFonts w:ascii="Cambria Math" w:hAnsi="Cambria Math"/>
                <w:i/>
                <w:color w:val="000000" w:themeColor="text1"/>
                <w:sz w:val="24"/>
                <w:szCs w:val="24"/>
                <w14:textFill>
                  <w14:solidFill>
                    <w14:schemeClr w14:val="tx1"/>
                  </w14:solidFill>
                </w14:textFill>
              </w:rPr>
            </m:ctrlPr>
          </m:sub>
        </m:sSub>
      </m:oMath>
      <w:r>
        <w:rPr>
          <w:rFonts w:hint="eastAsia"/>
          <w:bCs/>
          <w:color w:val="000000" w:themeColor="text1"/>
          <w:sz w:val="24"/>
          <w:szCs w:val="24"/>
          <w14:textFill>
            <w14:solidFill>
              <w14:schemeClr w14:val="tx1"/>
            </w14:solidFill>
          </w14:textFill>
        </w:rPr>
        <w:t>的</w:t>
      </w:r>
      <w:r>
        <w:rPr>
          <w:rFonts w:hint="eastAsia" w:ascii="宋体" w:hAnsi="宋体" w:cs="宋体"/>
          <w:color w:val="000000" w:themeColor="text1"/>
          <w:sz w:val="24"/>
          <w:szCs w:val="24"/>
          <w14:textFill>
            <w14:solidFill>
              <w14:schemeClr w14:val="tx1"/>
            </w14:solidFill>
          </w14:textFill>
        </w:rPr>
        <w:t>方差-协方差矩阵。首先构造矩阵</w:t>
      </w:r>
      <w:r>
        <w:rPr>
          <w:b/>
          <w:bCs/>
          <w:color w:val="000000" w:themeColor="text1"/>
          <w:sz w:val="24"/>
          <w:szCs w:val="24"/>
          <w14:textFill>
            <w14:solidFill>
              <w14:schemeClr w14:val="tx1"/>
            </w14:solidFill>
          </w14:textFill>
        </w:rPr>
        <w:t>P</w:t>
      </w:r>
      <w:r>
        <w:rPr>
          <w:rFonts w:hint="eastAsia" w:ascii="宋体" w:hAnsi="宋体" w:cs="宋体"/>
          <w:color w:val="000000" w:themeColor="text1"/>
          <w:sz w:val="24"/>
          <w:szCs w:val="24"/>
          <w14:textFill>
            <w14:solidFill>
              <w14:schemeClr w14:val="tx1"/>
            </w14:solidFill>
          </w14:textFill>
        </w:rPr>
        <w:t>如下：</w:t>
      </w:r>
    </w:p>
    <w:p>
      <w:pPr>
        <w:tabs>
          <w:tab w:val="center" w:pos="4200"/>
          <w:tab w:val="right" w:pos="8400"/>
        </w:tabs>
        <w:spacing w:line="360" w:lineRule="auto"/>
        <w:rPr>
          <w:rFonts w:ascii="宋体" w:hAnsi="宋体" w:cs="宋体"/>
          <w:color w:val="000000" w:themeColor="text1"/>
          <w:sz w:val="24"/>
          <w:szCs w:val="24"/>
          <w14:textFill>
            <w14:solidFill>
              <w14:schemeClr w14:val="tx1"/>
            </w14:solidFill>
          </w14:textFill>
        </w:rPr>
      </w:pPr>
      <w:r>
        <w:rPr>
          <w:rFonts w:ascii="宋体" w:hAnsi="宋体" w:cs="宋体"/>
          <w:b/>
          <w:sz w:val="24"/>
          <w:szCs w:val="24"/>
        </w:rPr>
        <w:tab/>
      </w:r>
      <m:oMath>
        <m:r>
          <m:rPr>
            <m:sty m:val="b"/>
          </m:rPr>
          <w:rPr>
            <w:rFonts w:ascii="Cambria Math" w:hAnsi="Cambria Math" w:cs="Arial"/>
            <w:sz w:val="24"/>
            <w:szCs w:val="24"/>
          </w:rPr>
          <m:t>P</m:t>
        </m:r>
        <m:r>
          <m:rPr>
            <m:sty m:val="p"/>
          </m:rPr>
          <w:rPr>
            <w:rFonts w:ascii="Cambria Math" w:hAnsi="Cambria Math" w:cs="Arial"/>
            <w:sz w:val="24"/>
            <w:szCs w:val="24"/>
          </w:rPr>
          <m:t>=</m:t>
        </m:r>
        <m:r>
          <m:rPr>
            <m:sty m:val="b"/>
          </m:rPr>
          <w:rPr>
            <w:rFonts w:ascii="Cambria Math" w:hAnsi="Cambria Math" w:cs="Arial"/>
            <w:sz w:val="24"/>
            <w:szCs w:val="24"/>
            <w:lang w:val="en-GB"/>
          </w:rPr>
          <m:t>X</m:t>
        </m:r>
        <m:r>
          <m:rPr>
            <m:sty m:val="p"/>
          </m:rPr>
          <w:rPr>
            <w:rFonts w:ascii="Cambria Math" w:hAnsi="Cambria Math" w:cs="Arial"/>
            <w:sz w:val="24"/>
            <w:szCs w:val="24"/>
            <w:lang w:val="en-GB"/>
          </w:rPr>
          <m:t>∙</m:t>
        </m:r>
        <m:sSup>
          <m:sSupPr>
            <m:ctrlPr>
              <w:rPr>
                <w:rFonts w:ascii="Cambria Math" w:hAnsi="Cambria Math" w:cs="Arial"/>
                <w:bCs/>
                <w:iCs/>
                <w:sz w:val="24"/>
                <w:szCs w:val="24"/>
              </w:rPr>
            </m:ctrlPr>
          </m:sSupPr>
          <m:e>
            <m:d>
              <m:dPr>
                <m:ctrlPr>
                  <w:rPr>
                    <w:rFonts w:ascii="Cambria Math" w:hAnsi="Cambria Math" w:cs="Arial"/>
                    <w:bCs/>
                    <w:iCs/>
                    <w:sz w:val="24"/>
                    <w:szCs w:val="24"/>
                  </w:rPr>
                </m:ctrlPr>
              </m:dPr>
              <m:e>
                <m:sSup>
                  <m:sSupPr>
                    <m:ctrlPr>
                      <w:rPr>
                        <w:rFonts w:ascii="Cambria Math" w:hAnsi="Cambria Math" w:cs="Arial"/>
                        <w:bCs/>
                        <w:iCs/>
                        <w:sz w:val="24"/>
                        <w:szCs w:val="24"/>
                      </w:rPr>
                    </m:ctrlPr>
                  </m:sSupPr>
                  <m:e>
                    <m:r>
                      <m:rPr>
                        <m:sty m:val="b"/>
                      </m:rPr>
                      <w:rPr>
                        <w:rFonts w:ascii="Cambria Math" w:hAnsi="Cambria Math" w:cs="Arial"/>
                        <w:sz w:val="24"/>
                        <w:szCs w:val="24"/>
                      </w:rPr>
                      <m:t>X</m:t>
                    </m:r>
                    <m:ctrlPr>
                      <w:rPr>
                        <w:rFonts w:ascii="Cambria Math" w:hAnsi="Cambria Math" w:cs="Arial"/>
                        <w:bCs/>
                        <w:iCs/>
                        <w:sz w:val="24"/>
                        <w:szCs w:val="24"/>
                      </w:rPr>
                    </m:ctrlPr>
                  </m:e>
                  <m:sup>
                    <m:r>
                      <m:rPr>
                        <m:sty m:val="p"/>
                      </m:rPr>
                      <w:rPr>
                        <w:rFonts w:ascii="Cambria Math" w:hAnsi="Cambria Math" w:cs="Arial"/>
                        <w:sz w:val="24"/>
                        <w:szCs w:val="24"/>
                      </w:rPr>
                      <m:t>T</m:t>
                    </m:r>
                    <m:ctrlPr>
                      <w:rPr>
                        <w:rFonts w:ascii="Cambria Math" w:hAnsi="Cambria Math" w:cs="Arial"/>
                        <w:bCs/>
                        <w:iCs/>
                        <w:sz w:val="24"/>
                        <w:szCs w:val="24"/>
                      </w:rPr>
                    </m:ctrlPr>
                  </m:sup>
                </m:sSup>
                <m:r>
                  <m:rPr>
                    <m:sty m:val="p"/>
                  </m:rPr>
                  <w:rPr>
                    <w:rFonts w:ascii="Cambria Math" w:hAnsi="Cambria Math" w:cs="Arial"/>
                    <w:sz w:val="24"/>
                    <w:szCs w:val="24"/>
                  </w:rPr>
                  <m:t>∙</m:t>
                </m:r>
                <m:sSup>
                  <m:sSupPr>
                    <m:ctrlPr>
                      <w:rPr>
                        <w:rFonts w:ascii="Cambria Math" w:hAnsi="Cambria Math" w:cs="Arial"/>
                        <w:bCs/>
                        <w:iCs/>
                        <w:color w:val="000000" w:themeColor="text1"/>
                        <w:sz w:val="24"/>
                        <w:szCs w:val="24"/>
                        <w14:textFill>
                          <w14:solidFill>
                            <w14:schemeClr w14:val="tx1"/>
                          </w14:solidFill>
                        </w14:textFill>
                      </w:rPr>
                    </m:ctrlPr>
                  </m:sSupPr>
                  <m:e>
                    <m:sSub>
                      <m:sSubPr>
                        <m:ctrlPr>
                          <w:rPr>
                            <w:rFonts w:ascii="Cambria Math" w:hAnsi="Cambria Math" w:cs="Arial"/>
                            <w:b/>
                            <w:iCs/>
                            <w:color w:val="000000" w:themeColor="text1"/>
                            <w:sz w:val="24"/>
                            <w:szCs w:val="24"/>
                            <w14:textFill>
                              <w14:solidFill>
                                <w14:schemeClr w14:val="tx1"/>
                              </w14:solidFill>
                            </w14:textFill>
                          </w:rPr>
                        </m:ctrlPr>
                      </m:sSubPr>
                      <m:e>
                        <m:r>
                          <m:rPr>
                            <m:sty m:val="b"/>
                          </m:rPr>
                          <w:rPr>
                            <w:rFonts w:ascii="Cambria Math" w:hAnsi="Cambria Math" w:cs="Arial"/>
                            <w:color w:val="000000" w:themeColor="text1"/>
                            <w:sz w:val="24"/>
                            <w:szCs w:val="24"/>
                            <w14:textFill>
                              <w14:solidFill>
                                <w14:schemeClr w14:val="tx1"/>
                              </w14:solidFill>
                            </w14:textFill>
                          </w:rPr>
                          <m:t>V</m:t>
                        </m:r>
                        <m:ctrlPr>
                          <w:rPr>
                            <w:rFonts w:ascii="Cambria Math" w:hAnsi="Cambria Math" w:cs="Arial"/>
                            <w:b/>
                            <w:iCs/>
                            <w:color w:val="000000" w:themeColor="text1"/>
                            <w:sz w:val="24"/>
                            <w:szCs w:val="24"/>
                            <w14:textFill>
                              <w14:solidFill>
                                <w14:schemeClr w14:val="tx1"/>
                              </w14:solidFill>
                            </w14:textFill>
                          </w:rPr>
                        </m:ctrlPr>
                      </m:e>
                      <m:sub>
                        <m:r>
                          <m:rPr>
                            <m:sty m:val="bi"/>
                          </m:rPr>
                          <w:rPr>
                            <w:rFonts w:ascii="Cambria Math" w:hAnsi="Cambria Math" w:cs="Arial"/>
                            <w:color w:val="000000" w:themeColor="text1"/>
                            <w:sz w:val="24"/>
                            <w:szCs w:val="24"/>
                            <w14:textFill>
                              <w14:solidFill>
                                <w14:schemeClr w14:val="tx1"/>
                              </w14:solidFill>
                            </w14:textFill>
                          </w:rPr>
                          <m:t>y</m:t>
                        </m:r>
                        <m:ctrlPr>
                          <w:rPr>
                            <w:rFonts w:ascii="Cambria Math" w:hAnsi="Cambria Math" w:cs="Arial"/>
                            <w:b/>
                            <w:iCs/>
                            <w:color w:val="000000" w:themeColor="text1"/>
                            <w:sz w:val="24"/>
                            <w:szCs w:val="24"/>
                            <w14:textFill>
                              <w14:solidFill>
                                <w14:schemeClr w14:val="tx1"/>
                              </w14:solidFill>
                            </w14:textFill>
                          </w:rPr>
                        </m:ctrlPr>
                      </m:sub>
                    </m:sSub>
                    <m:ctrlPr>
                      <w:rPr>
                        <w:rFonts w:ascii="Cambria Math" w:hAnsi="Cambria Math" w:cs="Arial"/>
                        <w:bCs/>
                        <w:iCs/>
                        <w:color w:val="000000" w:themeColor="text1"/>
                        <w:sz w:val="24"/>
                        <w:szCs w:val="24"/>
                        <w14:textFill>
                          <w14:solidFill>
                            <w14:schemeClr w14:val="tx1"/>
                          </w14:solidFill>
                        </w14:textFill>
                      </w:rPr>
                    </m:ctrlPr>
                  </m:e>
                  <m:sup>
                    <m:r>
                      <m:rPr>
                        <m:sty m:val="p"/>
                      </m:rPr>
                      <w:rPr>
                        <w:rFonts w:ascii="Cambria Math" w:hAnsi="Cambria Math" w:cs="Arial"/>
                        <w:color w:val="000000" w:themeColor="text1"/>
                        <w:sz w:val="24"/>
                        <w:szCs w:val="24"/>
                        <w14:textFill>
                          <w14:solidFill>
                            <w14:schemeClr w14:val="tx1"/>
                          </w14:solidFill>
                        </w14:textFill>
                      </w:rPr>
                      <m:t>−1</m:t>
                    </m:r>
                    <m:ctrlPr>
                      <w:rPr>
                        <w:rFonts w:ascii="Cambria Math" w:hAnsi="Cambria Math" w:cs="Arial"/>
                        <w:bCs/>
                        <w:iCs/>
                        <w:color w:val="000000" w:themeColor="text1"/>
                        <w:sz w:val="24"/>
                        <w:szCs w:val="24"/>
                        <w14:textFill>
                          <w14:solidFill>
                            <w14:schemeClr w14:val="tx1"/>
                          </w14:solidFill>
                        </w14:textFill>
                      </w:rPr>
                    </m:ctrlPr>
                  </m:sup>
                </m:sSup>
                <m:r>
                  <m:rPr>
                    <m:sty m:val="p"/>
                  </m:rPr>
                  <w:rPr>
                    <w:rFonts w:ascii="Cambria Math" w:hAnsi="Cambria Math" w:cs="Arial"/>
                    <w:sz w:val="24"/>
                    <w:szCs w:val="24"/>
                  </w:rPr>
                  <m:t>∙</m:t>
                </m:r>
                <m:r>
                  <m:rPr>
                    <m:sty m:val="b"/>
                  </m:rPr>
                  <w:rPr>
                    <w:rFonts w:ascii="Cambria Math" w:hAnsi="Cambria Math" w:cs="Arial"/>
                    <w:sz w:val="24"/>
                    <w:szCs w:val="24"/>
                  </w:rPr>
                  <m:t>X</m:t>
                </m:r>
                <m:ctrlPr>
                  <w:rPr>
                    <w:rFonts w:ascii="Cambria Math" w:hAnsi="Cambria Math" w:cs="Arial"/>
                    <w:bCs/>
                    <w:iCs/>
                    <w:sz w:val="24"/>
                    <w:szCs w:val="24"/>
                  </w:rPr>
                </m:ctrlPr>
              </m:e>
            </m:d>
            <m:ctrlPr>
              <w:rPr>
                <w:rFonts w:ascii="Cambria Math" w:hAnsi="Cambria Math" w:cs="Arial"/>
                <w:bCs/>
                <w:iCs/>
                <w:sz w:val="24"/>
                <w:szCs w:val="24"/>
              </w:rPr>
            </m:ctrlPr>
          </m:e>
          <m:sup>
            <m:r>
              <m:rPr>
                <m:sty m:val="p"/>
              </m:rPr>
              <w:rPr>
                <w:rFonts w:ascii="Cambria Math" w:hAnsi="Cambria Math" w:cs="Arial"/>
                <w:sz w:val="24"/>
                <w:szCs w:val="24"/>
              </w:rPr>
              <m:t>−1</m:t>
            </m:r>
            <m:ctrlPr>
              <w:rPr>
                <w:rFonts w:ascii="Cambria Math" w:hAnsi="Cambria Math" w:cs="Arial"/>
                <w:bCs/>
                <w:iCs/>
                <w:sz w:val="24"/>
                <w:szCs w:val="24"/>
              </w:rPr>
            </m:ctrlPr>
          </m:sup>
        </m:sSup>
        <m:r>
          <m:rPr>
            <m:sty m:val="p"/>
          </m:rPr>
          <w:rPr>
            <w:rFonts w:ascii="Cambria Math" w:hAnsi="Cambria Math" w:cs="Arial"/>
            <w:sz w:val="24"/>
            <w:szCs w:val="24"/>
            <w:lang w:val="en-GB"/>
          </w:rPr>
          <m:t>∙</m:t>
        </m:r>
        <m:sSup>
          <m:sSupPr>
            <m:ctrlPr>
              <w:rPr>
                <w:rFonts w:ascii="Cambria Math" w:hAnsi="Cambria Math" w:cs="Arial"/>
                <w:bCs/>
                <w:iCs/>
                <w:sz w:val="24"/>
                <w:szCs w:val="24"/>
                <w:lang w:val="en-GB"/>
              </w:rPr>
            </m:ctrlPr>
          </m:sSupPr>
          <m:e>
            <m:r>
              <m:rPr>
                <m:sty m:val="b"/>
              </m:rPr>
              <w:rPr>
                <w:rFonts w:ascii="Cambria Math" w:hAnsi="Cambria Math" w:cs="Arial"/>
                <w:sz w:val="24"/>
                <w:szCs w:val="24"/>
              </w:rPr>
              <m:t>X</m:t>
            </m:r>
            <m:ctrlPr>
              <w:rPr>
                <w:rFonts w:ascii="Cambria Math" w:hAnsi="Cambria Math" w:cs="Arial"/>
                <w:bCs/>
                <w:iCs/>
                <w:sz w:val="24"/>
                <w:szCs w:val="24"/>
                <w:lang w:val="en-GB"/>
              </w:rPr>
            </m:ctrlPr>
          </m:e>
          <m:sup>
            <m:r>
              <m:rPr>
                <m:sty m:val="p"/>
              </m:rPr>
              <w:rPr>
                <w:rFonts w:ascii="Cambria Math" w:hAnsi="Cambria Math" w:cs="Arial"/>
                <w:sz w:val="24"/>
                <w:szCs w:val="24"/>
              </w:rPr>
              <m:t>T</m:t>
            </m:r>
            <m:ctrlPr>
              <w:rPr>
                <w:rFonts w:ascii="Cambria Math" w:hAnsi="Cambria Math" w:cs="Arial"/>
                <w:bCs/>
                <w:iCs/>
                <w:sz w:val="24"/>
                <w:szCs w:val="24"/>
                <w:lang w:val="en-GB"/>
              </w:rPr>
            </m:ctrlPr>
          </m:sup>
        </m:sSup>
        <m:sSup>
          <m:sSupPr>
            <m:ctrlPr>
              <w:rPr>
                <w:rFonts w:ascii="Cambria Math" w:hAnsi="Cambria Math" w:cs="Arial"/>
                <w:bCs/>
                <w:iCs/>
                <w:color w:val="000000" w:themeColor="text1"/>
                <w:sz w:val="24"/>
                <w:szCs w:val="24"/>
                <w14:textFill>
                  <w14:solidFill>
                    <w14:schemeClr w14:val="tx1"/>
                  </w14:solidFill>
                </w14:textFill>
              </w:rPr>
            </m:ctrlPr>
          </m:sSupPr>
          <m:e>
            <m:sSub>
              <m:sSubPr>
                <m:ctrlPr>
                  <w:rPr>
                    <w:rFonts w:ascii="Cambria Math" w:hAnsi="Cambria Math" w:cs="Arial"/>
                    <w:b/>
                    <w:iCs/>
                    <w:color w:val="000000" w:themeColor="text1"/>
                    <w:sz w:val="24"/>
                    <w:szCs w:val="24"/>
                    <w14:textFill>
                      <w14:solidFill>
                        <w14:schemeClr w14:val="tx1"/>
                      </w14:solidFill>
                    </w14:textFill>
                  </w:rPr>
                </m:ctrlPr>
              </m:sSubPr>
              <m:e>
                <m:r>
                  <m:rPr>
                    <m:sty m:val="p"/>
                  </m:rPr>
                  <w:rPr>
                    <w:rFonts w:ascii="Cambria Math" w:hAnsi="Cambria Math" w:cs="Arial"/>
                    <w:sz w:val="24"/>
                    <w:szCs w:val="24"/>
                  </w:rPr>
                  <m:t>∙</m:t>
                </m:r>
                <m:r>
                  <m:rPr>
                    <m:sty m:val="b"/>
                  </m:rPr>
                  <w:rPr>
                    <w:rFonts w:ascii="Cambria Math" w:hAnsi="Cambria Math" w:cs="Arial"/>
                    <w:color w:val="000000" w:themeColor="text1"/>
                    <w:sz w:val="24"/>
                    <w:szCs w:val="24"/>
                    <w14:textFill>
                      <w14:solidFill>
                        <w14:schemeClr w14:val="tx1"/>
                      </w14:solidFill>
                    </w14:textFill>
                  </w:rPr>
                  <m:t>V</m:t>
                </m:r>
                <m:ctrlPr>
                  <w:rPr>
                    <w:rFonts w:ascii="Cambria Math" w:hAnsi="Cambria Math" w:cs="Arial"/>
                    <w:b/>
                    <w:iCs/>
                    <w:color w:val="000000" w:themeColor="text1"/>
                    <w:sz w:val="24"/>
                    <w:szCs w:val="24"/>
                    <w14:textFill>
                      <w14:solidFill>
                        <w14:schemeClr w14:val="tx1"/>
                      </w14:solidFill>
                    </w14:textFill>
                  </w:rPr>
                </m:ctrlPr>
              </m:e>
              <m:sub>
                <m:r>
                  <m:rPr>
                    <m:sty m:val="bi"/>
                  </m:rPr>
                  <w:rPr>
                    <w:rFonts w:ascii="Cambria Math" w:hAnsi="Cambria Math" w:cs="Arial"/>
                    <w:color w:val="000000" w:themeColor="text1"/>
                    <w:sz w:val="24"/>
                    <w:szCs w:val="24"/>
                    <w14:textFill>
                      <w14:solidFill>
                        <w14:schemeClr w14:val="tx1"/>
                      </w14:solidFill>
                    </w14:textFill>
                  </w:rPr>
                  <m:t>y</m:t>
                </m:r>
                <m:ctrlPr>
                  <w:rPr>
                    <w:rFonts w:ascii="Cambria Math" w:hAnsi="Cambria Math" w:cs="Arial"/>
                    <w:b/>
                    <w:iCs/>
                    <w:color w:val="000000" w:themeColor="text1"/>
                    <w:sz w:val="24"/>
                    <w:szCs w:val="24"/>
                    <w14:textFill>
                      <w14:solidFill>
                        <w14:schemeClr w14:val="tx1"/>
                      </w14:solidFill>
                    </w14:textFill>
                  </w:rPr>
                </m:ctrlPr>
              </m:sub>
            </m:sSub>
            <m:ctrlPr>
              <w:rPr>
                <w:rFonts w:ascii="Cambria Math" w:hAnsi="Cambria Math" w:cs="Arial"/>
                <w:bCs/>
                <w:iCs/>
                <w:color w:val="000000" w:themeColor="text1"/>
                <w:sz w:val="24"/>
                <w:szCs w:val="24"/>
                <w14:textFill>
                  <w14:solidFill>
                    <w14:schemeClr w14:val="tx1"/>
                  </w14:solidFill>
                </w14:textFill>
              </w:rPr>
            </m:ctrlPr>
          </m:e>
          <m:sup>
            <m:r>
              <m:rPr>
                <m:sty m:val="p"/>
              </m:rPr>
              <w:rPr>
                <w:rFonts w:ascii="Cambria Math" w:hAnsi="Cambria Math" w:cs="Arial"/>
                <w:color w:val="000000" w:themeColor="text1"/>
                <w:sz w:val="24"/>
                <w:szCs w:val="24"/>
                <w14:textFill>
                  <w14:solidFill>
                    <w14:schemeClr w14:val="tx1"/>
                  </w14:solidFill>
                </w14:textFill>
              </w:rPr>
              <m:t>−1</m:t>
            </m:r>
            <m:ctrlPr>
              <w:rPr>
                <w:rFonts w:ascii="Cambria Math" w:hAnsi="Cambria Math" w:cs="Arial"/>
                <w:bCs/>
                <w:iCs/>
                <w:color w:val="000000" w:themeColor="text1"/>
                <w:sz w:val="24"/>
                <w:szCs w:val="24"/>
                <w14:textFill>
                  <w14:solidFill>
                    <w14:schemeClr w14:val="tx1"/>
                  </w14:solidFill>
                </w14:textFill>
              </w:rPr>
            </m:ctrlPr>
          </m:sup>
        </m:sSup>
      </m:oMath>
      <w:r>
        <w:rPr>
          <w:rFonts w:ascii="宋体" w:hAnsi="宋体" w:cs="宋体"/>
          <w:bCs/>
          <w:iCs/>
          <w:color w:val="000000" w:themeColor="text1"/>
          <w:sz w:val="24"/>
          <w:szCs w:val="24"/>
          <w14:textFill>
            <w14:solidFill>
              <w14:schemeClr w14:val="tx1"/>
            </w14:solidFill>
          </w14:textFill>
        </w:rPr>
        <w:tab/>
      </w:r>
      <w:r>
        <w:rPr>
          <w:rStyle w:val="47"/>
          <w:color w:val="000000" w:themeColor="text1"/>
          <w:sz w:val="24"/>
          <w:szCs w:val="24"/>
          <w14:textFill>
            <w14:solidFill>
              <w14:schemeClr w14:val="tx1"/>
            </w14:solidFill>
          </w14:textFill>
        </w:rPr>
        <w:t>(E.11)</w:t>
      </w:r>
    </w:p>
    <w:p>
      <w:pPr>
        <w:spacing w:line="360" w:lineRule="auto"/>
        <w:rPr>
          <w:rStyle w:val="47"/>
          <w:bCs/>
          <w:color w:val="000000" w:themeColor="text1"/>
          <w:sz w:val="24"/>
          <w:szCs w:val="24"/>
          <w14:textFill>
            <w14:solidFill>
              <w14:schemeClr w14:val="tx1"/>
            </w14:solidFill>
          </w14:textFill>
        </w:rPr>
      </w:pPr>
      <w:r>
        <w:rPr>
          <w:rStyle w:val="47"/>
          <w:rFonts w:hint="eastAsia"/>
          <w:bCs/>
          <w:color w:val="000000" w:themeColor="text1"/>
          <w:sz w:val="24"/>
          <w:szCs w:val="24"/>
          <w14:textFill>
            <w14:solidFill>
              <w14:schemeClr w14:val="tx1"/>
            </w14:solidFill>
          </w14:textFill>
        </w:rPr>
        <w:t>则：</w:t>
      </w:r>
    </w:p>
    <w:p>
      <w:pPr>
        <w:tabs>
          <w:tab w:val="center" w:pos="4200"/>
          <w:tab w:val="right" w:pos="8400"/>
        </w:tabs>
        <w:spacing w:line="360" w:lineRule="auto"/>
        <w:rPr>
          <w:bCs/>
          <w:color w:val="000000" w:themeColor="text1"/>
          <w:sz w:val="24"/>
          <w:szCs w:val="24"/>
          <w14:textFill>
            <w14:solidFill>
              <w14:schemeClr w14:val="tx1"/>
            </w14:solidFill>
          </w14:textFill>
        </w:rPr>
      </w:pPr>
      <w:r>
        <w:rPr>
          <w:sz w:val="24"/>
          <w:szCs w:val="24"/>
        </w:rPr>
        <w:tab/>
      </w:r>
      <m:oMath>
        <m:acc>
          <m:accPr>
            <m:ctrlPr>
              <w:rPr>
                <w:rFonts w:ascii="Cambria Math" w:hAnsi="Cambria Math"/>
                <w:b/>
                <w:bCs/>
                <w:iCs/>
                <w:sz w:val="24"/>
                <w:szCs w:val="24"/>
              </w:rPr>
            </m:ctrlPr>
          </m:accPr>
          <m:e>
            <m:r>
              <m:rPr>
                <m:sty m:val="b"/>
              </m:rPr>
              <w:rPr>
                <w:rFonts w:ascii="Cambria Math" w:hAnsi="Cambria Math"/>
                <w:sz w:val="24"/>
                <w:szCs w:val="24"/>
              </w:rPr>
              <m:t>Y</m:t>
            </m:r>
            <m:ctrlPr>
              <w:rPr>
                <w:rFonts w:ascii="Cambria Math" w:hAnsi="Cambria Math"/>
                <w:b/>
                <w:bCs/>
                <w:iCs/>
                <w:sz w:val="24"/>
                <w:szCs w:val="24"/>
              </w:rPr>
            </m:ctrlPr>
          </m:e>
        </m:acc>
        <m:r>
          <m:rPr>
            <m:sty m:val="b"/>
          </m:rPr>
          <w:rPr>
            <w:rFonts w:ascii="Cambria Math" w:hAnsi="Cambria Math" w:cs="Arial"/>
            <w:sz w:val="24"/>
            <w:szCs w:val="24"/>
          </w:rPr>
          <m:t>=P∙Y</m:t>
        </m:r>
      </m:oMath>
      <w:r>
        <w:rPr>
          <w:b/>
          <w:sz w:val="24"/>
          <w:szCs w:val="24"/>
        </w:rPr>
        <w:tab/>
      </w:r>
      <w:r>
        <w:rPr>
          <w:rStyle w:val="47"/>
          <w:color w:val="000000" w:themeColor="text1"/>
          <w:sz w:val="24"/>
          <w:szCs w:val="24"/>
          <w14:textFill>
            <w14:solidFill>
              <w14:schemeClr w14:val="tx1"/>
            </w14:solidFill>
          </w14:textFill>
        </w:rPr>
        <w:t>(E.12)</w:t>
      </w:r>
    </w:p>
    <w:p>
      <w:pPr>
        <w:spacing w:line="360" w:lineRule="auto"/>
        <w:ind w:firstLine="420"/>
        <w:rPr>
          <w:rStyle w:val="47"/>
          <w:bCs/>
          <w:color w:val="000000" w:themeColor="text1"/>
          <w:sz w:val="24"/>
          <w:szCs w:val="24"/>
          <w14:textFill>
            <w14:solidFill>
              <w14:schemeClr w14:val="tx1"/>
            </w14:solidFill>
          </w14:textFill>
        </w:rPr>
      </w:pPr>
      <m:oMath>
        <m:sSub>
          <m:sSubPr>
            <m:ctrlPr>
              <w:rPr>
                <w:rStyle w:val="47"/>
                <w:rFonts w:ascii="Cambria Math" w:hAnsi="Cambria Math"/>
                <w:i/>
                <w:color w:val="000000" w:themeColor="text1"/>
                <w:sz w:val="24"/>
                <w:szCs w:val="24"/>
                <w14:textFill>
                  <w14:solidFill>
                    <w14:schemeClr w14:val="tx1"/>
                  </w14:solidFill>
                </w14:textFill>
              </w:rPr>
            </m:ctrlPr>
          </m:sSubPr>
          <m:e>
            <m:r>
              <m:rPr/>
              <w:rPr>
                <w:rStyle w:val="47"/>
                <w:rFonts w:hint="eastAsia" w:ascii="Cambria Math" w:hAnsi="Cambria Math"/>
                <w:color w:val="000000" w:themeColor="text1"/>
                <w:sz w:val="24"/>
                <w:szCs w:val="24"/>
                <w14:textFill>
                  <w14:solidFill>
                    <w14:schemeClr w14:val="tx1"/>
                  </w14:solidFill>
                </w14:textFill>
              </w:rPr>
              <m:t>d</m:t>
            </m:r>
            <m:ctrlPr>
              <w:rPr>
                <w:rStyle w:val="47"/>
                <w:rFonts w:ascii="Cambria Math" w:hAnsi="Cambria Math"/>
                <w:i/>
                <w:color w:val="000000" w:themeColor="text1"/>
                <w:sz w:val="24"/>
                <w:szCs w:val="24"/>
                <w14:textFill>
                  <w14:solidFill>
                    <w14:schemeClr w14:val="tx1"/>
                  </w14:solidFill>
                </w14:textFill>
              </w:rPr>
            </m:ctrlPr>
          </m:e>
          <m:sub>
            <m:r>
              <m:rPr/>
              <w:rPr>
                <w:rStyle w:val="47"/>
                <w:rFonts w:hint="eastAsia" w:ascii="Cambria Math" w:hAnsi="Cambria Math"/>
                <w:color w:val="000000" w:themeColor="text1"/>
                <w:sz w:val="24"/>
                <w:szCs w:val="24"/>
                <w14:textFill>
                  <w14:solidFill>
                    <w14:schemeClr w14:val="tx1"/>
                  </w14:solidFill>
                </w14:textFill>
              </w:rPr>
              <m:t>i</m:t>
            </m:r>
            <m:ctrlPr>
              <w:rPr>
                <w:rStyle w:val="47"/>
                <w:rFonts w:ascii="Cambria Math" w:hAnsi="Cambria Math"/>
                <w:i/>
                <w:color w:val="000000" w:themeColor="text1"/>
                <w:sz w:val="24"/>
                <w:szCs w:val="24"/>
                <w14:textFill>
                  <w14:solidFill>
                    <w14:schemeClr w14:val="tx1"/>
                  </w14:solidFill>
                </w14:textFill>
              </w:rPr>
            </m:ctrlPr>
          </m:sub>
        </m:sSub>
      </m:oMath>
      <w:r>
        <w:rPr>
          <w:rStyle w:val="47"/>
          <w:rFonts w:hint="eastAsia"/>
          <w:bCs/>
          <w:color w:val="000000" w:themeColor="text1"/>
          <w:sz w:val="24"/>
          <w:szCs w:val="24"/>
          <w14:textFill>
            <w14:solidFill>
              <w14:schemeClr w14:val="tx1"/>
            </w14:solidFill>
          </w14:textFill>
        </w:rPr>
        <w:t>构成的矩阵</w:t>
      </w:r>
      <w:r>
        <w:rPr>
          <w:rStyle w:val="47"/>
          <w:rFonts w:hint="eastAsia"/>
          <w:b/>
          <w:color w:val="000000" w:themeColor="text1"/>
          <w:sz w:val="24"/>
          <w:szCs w:val="24"/>
          <w14:textFill>
            <w14:solidFill>
              <w14:schemeClr w14:val="tx1"/>
            </w14:solidFill>
          </w14:textFill>
        </w:rPr>
        <w:t>d</w:t>
      </w:r>
      <w:r>
        <w:rPr>
          <w:rStyle w:val="47"/>
          <w:rFonts w:hint="eastAsia"/>
          <w:bCs/>
          <w:color w:val="000000" w:themeColor="text1"/>
          <w:sz w:val="24"/>
          <w:szCs w:val="24"/>
          <w14:textFill>
            <w14:solidFill>
              <w14:schemeClr w14:val="tx1"/>
            </w14:solidFill>
          </w14:textFill>
        </w:rPr>
        <w:t>可表示为：</w:t>
      </w:r>
    </w:p>
    <w:p>
      <w:pPr>
        <w:tabs>
          <w:tab w:val="center" w:pos="4200"/>
          <w:tab w:val="right" w:pos="8400"/>
        </w:tabs>
        <w:spacing w:line="360" w:lineRule="auto"/>
        <w:rPr>
          <w:bCs/>
          <w:color w:val="000000" w:themeColor="text1"/>
          <w:sz w:val="24"/>
          <w:szCs w:val="24"/>
          <w14:textFill>
            <w14:solidFill>
              <w14:schemeClr w14:val="tx1"/>
            </w14:solidFill>
          </w14:textFill>
        </w:rPr>
      </w:pPr>
      <w:r>
        <w:rPr>
          <w:sz w:val="24"/>
          <w:szCs w:val="24"/>
        </w:rPr>
        <w:tab/>
      </w:r>
      <m:oMath>
        <m:r>
          <m:rPr>
            <m:sty m:val="b"/>
          </m:rPr>
          <w:rPr>
            <w:rFonts w:ascii="Cambria Math" w:hAnsi="Cambria Math" w:cs="Arial"/>
            <w:sz w:val="24"/>
            <w:szCs w:val="24"/>
          </w:rPr>
          <m:t>d=Y</m:t>
        </m:r>
        <m:r>
          <m:rPr>
            <m:sty m:val="p"/>
          </m:rPr>
          <w:rPr>
            <w:rFonts w:ascii="Cambria Math" w:hAnsi="Cambria Math" w:cs="Arial"/>
            <w:sz w:val="24"/>
            <w:szCs w:val="24"/>
          </w:rPr>
          <m:t>−</m:t>
        </m:r>
        <m:acc>
          <m:accPr>
            <m:ctrlPr>
              <w:rPr>
                <w:rFonts w:ascii="Cambria Math" w:hAnsi="Cambria Math"/>
                <w:b/>
                <w:bCs/>
                <w:iCs/>
                <w:sz w:val="24"/>
                <w:szCs w:val="24"/>
              </w:rPr>
            </m:ctrlPr>
          </m:accPr>
          <m:e>
            <m:r>
              <m:rPr>
                <m:sty m:val="b"/>
              </m:rPr>
              <w:rPr>
                <w:rFonts w:ascii="Cambria Math" w:hAnsi="Cambria Math"/>
                <w:sz w:val="24"/>
                <w:szCs w:val="24"/>
              </w:rPr>
              <m:t>Y</m:t>
            </m:r>
            <m:ctrlPr>
              <w:rPr>
                <w:rFonts w:ascii="Cambria Math" w:hAnsi="Cambria Math"/>
                <w:b/>
                <w:bCs/>
                <w:iCs/>
                <w:sz w:val="24"/>
                <w:szCs w:val="24"/>
              </w:rPr>
            </m:ctrlPr>
          </m:e>
        </m:acc>
        <m:r>
          <m:rPr/>
          <w:rPr>
            <w:rFonts w:ascii="Cambria Math" w:hAnsi="Cambria Math" w:cs="Arial"/>
            <w:sz w:val="24"/>
            <w:szCs w:val="24"/>
          </w:rPr>
          <m:t>=</m:t>
        </m:r>
        <m:r>
          <m:rPr>
            <m:sty m:val="b"/>
          </m:rPr>
          <w:rPr>
            <w:rFonts w:ascii="Cambria Math" w:hAnsi="Cambria Math" w:cs="Arial"/>
            <w:sz w:val="24"/>
            <w:szCs w:val="24"/>
          </w:rPr>
          <m:t>Y</m:t>
        </m:r>
        <m:r>
          <m:rPr>
            <m:sty m:val="p"/>
          </m:rPr>
          <w:rPr>
            <w:rFonts w:ascii="Cambria Math" w:hAnsi="Cambria Math" w:cs="Arial"/>
            <w:sz w:val="24"/>
            <w:szCs w:val="24"/>
          </w:rPr>
          <m:t>−</m:t>
        </m:r>
        <m:r>
          <m:rPr>
            <m:sty m:val="b"/>
          </m:rPr>
          <w:rPr>
            <w:rFonts w:ascii="Cambria Math" w:hAnsi="Cambria Math" w:cs="Arial"/>
            <w:sz w:val="24"/>
            <w:szCs w:val="24"/>
          </w:rPr>
          <m:t>P</m:t>
        </m:r>
        <m:r>
          <m:rPr>
            <m:sty m:val="p"/>
          </m:rPr>
          <w:rPr>
            <w:rFonts w:ascii="Cambria Math" w:hAnsi="Cambria Math" w:cs="Arial"/>
            <w:sz w:val="24"/>
            <w:szCs w:val="24"/>
          </w:rPr>
          <m:t>∙</m:t>
        </m:r>
        <m:r>
          <m:rPr>
            <m:sty m:val="b"/>
          </m:rPr>
          <w:rPr>
            <w:rFonts w:ascii="Cambria Math" w:hAnsi="Cambria Math" w:cs="Arial"/>
            <w:sz w:val="24"/>
            <w:szCs w:val="24"/>
          </w:rPr>
          <m:t>Y</m:t>
        </m:r>
        <m:r>
          <m:rPr>
            <m:sty m:val="p"/>
          </m:rPr>
          <w:rPr>
            <w:rFonts w:ascii="Cambria Math" w:hAnsi="Cambria Math" w:cs="Arial"/>
            <w:sz w:val="24"/>
            <w:szCs w:val="24"/>
          </w:rPr>
          <m:t>=(</m:t>
        </m:r>
        <m:r>
          <m:rPr>
            <m:sty m:val="b"/>
          </m:rPr>
          <w:rPr>
            <w:rFonts w:ascii="Cambria Math" w:hAnsi="Cambria Math" w:cs="Arial"/>
            <w:sz w:val="24"/>
            <w:szCs w:val="24"/>
          </w:rPr>
          <m:t>I</m:t>
        </m:r>
        <m:r>
          <m:rPr>
            <m:sty m:val="p"/>
          </m:rPr>
          <w:rPr>
            <w:rFonts w:ascii="Cambria Math" w:hAnsi="Cambria Math" w:cs="Arial"/>
            <w:sz w:val="24"/>
            <w:szCs w:val="24"/>
          </w:rPr>
          <m:t>−</m:t>
        </m:r>
        <m:r>
          <m:rPr>
            <m:sty m:val="b"/>
          </m:rPr>
          <w:rPr>
            <w:rFonts w:ascii="Cambria Math" w:hAnsi="Cambria Math" w:cs="Arial"/>
            <w:sz w:val="24"/>
            <w:szCs w:val="24"/>
          </w:rPr>
          <m:t>P</m:t>
        </m:r>
        <m:r>
          <m:rPr>
            <m:sty m:val="p"/>
          </m:rPr>
          <w:rPr>
            <w:rFonts w:ascii="Cambria Math" w:hAnsi="Cambria Math" w:cs="Arial"/>
            <w:sz w:val="24"/>
            <w:szCs w:val="24"/>
          </w:rPr>
          <m:t>)∙</m:t>
        </m:r>
        <m:r>
          <m:rPr>
            <m:sty m:val="b"/>
          </m:rPr>
          <w:rPr>
            <w:rFonts w:ascii="Cambria Math" w:hAnsi="Cambria Math" w:cs="Arial"/>
            <w:sz w:val="24"/>
            <w:szCs w:val="24"/>
          </w:rPr>
          <m:t>Y</m:t>
        </m:r>
      </m:oMath>
      <w:r>
        <w:rPr>
          <w:b/>
          <w:sz w:val="24"/>
          <w:szCs w:val="24"/>
        </w:rPr>
        <w:tab/>
      </w:r>
      <w:r>
        <w:rPr>
          <w:rStyle w:val="47"/>
          <w:color w:val="000000" w:themeColor="text1"/>
          <w:sz w:val="24"/>
          <w:szCs w:val="24"/>
          <w14:textFill>
            <w14:solidFill>
              <w14:schemeClr w14:val="tx1"/>
            </w14:solidFill>
          </w14:textFill>
        </w:rPr>
        <w:t>(E.13)</w:t>
      </w:r>
    </w:p>
    <w:p>
      <w:pPr>
        <w:pStyle w:val="50"/>
        <w:spacing w:line="360" w:lineRule="auto"/>
        <w:jc w:val="left"/>
        <w:rPr>
          <w:color w:val="000000" w:themeColor="text1"/>
          <w:sz w:val="24"/>
          <w:szCs w:val="24"/>
          <w14:textFill>
            <w14:solidFill>
              <w14:schemeClr w14:val="tx1"/>
            </w14:solidFill>
          </w14:textFill>
        </w:rPr>
      </w:pPr>
      <w:r>
        <w:rPr>
          <w:rStyle w:val="47"/>
          <w:rFonts w:hint="eastAsia"/>
          <w:color w:val="000000" w:themeColor="text1"/>
          <w:sz w:val="24"/>
          <w:szCs w:val="24"/>
          <w14:textFill>
            <w14:solidFill>
              <w14:schemeClr w14:val="tx1"/>
            </w14:solidFill>
          </w14:textFill>
        </w:rPr>
        <w:t>式中：</w:t>
      </w:r>
      <w:r>
        <w:rPr>
          <w:rStyle w:val="47"/>
          <w:rFonts w:hint="eastAsia"/>
          <w:b/>
          <w:bCs/>
          <w:color w:val="000000" w:themeColor="text1"/>
          <w:sz w:val="24"/>
          <w:szCs w:val="24"/>
          <w14:textFill>
            <w14:solidFill>
              <w14:schemeClr w14:val="tx1"/>
            </w14:solidFill>
          </w14:textFill>
        </w:rPr>
        <w:t>I</w:t>
      </w:r>
      <w:r>
        <w:rPr>
          <w:rStyle w:val="47"/>
          <w:rFonts w:hint="eastAsia"/>
          <w:color w:val="000000" w:themeColor="text1"/>
          <w:sz w:val="24"/>
          <w:szCs w:val="24"/>
          <w14:textFill>
            <w14:solidFill>
              <w14:schemeClr w14:val="tx1"/>
            </w14:solidFill>
          </w14:textFill>
        </w:rPr>
        <w:t>为与</w:t>
      </w:r>
      <w:r>
        <w:rPr>
          <w:rStyle w:val="47"/>
          <w:rFonts w:hint="eastAsia"/>
          <w:b/>
          <w:bCs/>
          <w:color w:val="000000" w:themeColor="text1"/>
          <w:sz w:val="24"/>
          <w:szCs w:val="24"/>
          <w14:textFill>
            <w14:solidFill>
              <w14:schemeClr w14:val="tx1"/>
            </w14:solidFill>
          </w14:textFill>
        </w:rPr>
        <w:t>P</w:t>
      </w:r>
      <w:r>
        <w:rPr>
          <w:rStyle w:val="47"/>
          <w:rFonts w:hint="eastAsia"/>
          <w:color w:val="000000" w:themeColor="text1"/>
          <w:sz w:val="24"/>
          <w:szCs w:val="24"/>
          <w14:textFill>
            <w14:solidFill>
              <w14:schemeClr w14:val="tx1"/>
            </w14:solidFill>
          </w14:textFill>
        </w:rPr>
        <w:t>等维度的全部元素为1的矩阵。</w:t>
      </w:r>
    </w:p>
    <w:p>
      <w:pPr>
        <w:tabs>
          <w:tab w:val="left" w:pos="6151"/>
        </w:tabs>
        <w:spacing w:line="360" w:lineRule="auto"/>
        <w:ind w:firstLine="420"/>
        <w:rPr>
          <w:rStyle w:val="47"/>
          <w:color w:val="000000" w:themeColor="text1"/>
          <w:sz w:val="24"/>
          <w:szCs w:val="24"/>
          <w14:textFill>
            <w14:solidFill>
              <w14:schemeClr w14:val="tx1"/>
            </w14:solidFill>
          </w14:textFill>
        </w:rPr>
      </w:pPr>
      <m:oMath>
        <m:sSub>
          <m:sSubPr>
            <m:ctrlPr>
              <w:rPr>
                <w:rStyle w:val="47"/>
                <w:rFonts w:ascii="Cambria Math" w:hAnsi="Cambria Math"/>
                <w:i/>
                <w:color w:val="000000" w:themeColor="text1"/>
                <w:sz w:val="24"/>
                <w:szCs w:val="24"/>
                <w14:textFill>
                  <w14:solidFill>
                    <w14:schemeClr w14:val="tx1"/>
                  </w14:solidFill>
                </w14:textFill>
              </w:rPr>
            </m:ctrlPr>
          </m:sSubPr>
          <m:e>
            <m:r>
              <m:rPr/>
              <w:rPr>
                <w:rStyle w:val="47"/>
                <w:rFonts w:hint="eastAsia" w:ascii="Cambria Math" w:hAnsi="Cambria Math"/>
                <w:color w:val="000000" w:themeColor="text1"/>
                <w:sz w:val="24"/>
                <w:szCs w:val="24"/>
                <w14:textFill>
                  <w14:solidFill>
                    <w14:schemeClr w14:val="tx1"/>
                  </w14:solidFill>
                </w14:textFill>
              </w:rPr>
              <m:t>d</m:t>
            </m:r>
            <m:ctrlPr>
              <w:rPr>
                <w:rStyle w:val="47"/>
                <w:rFonts w:ascii="Cambria Math" w:hAnsi="Cambria Math"/>
                <w:i/>
                <w:color w:val="000000" w:themeColor="text1"/>
                <w:sz w:val="24"/>
                <w:szCs w:val="24"/>
                <w14:textFill>
                  <w14:solidFill>
                    <w14:schemeClr w14:val="tx1"/>
                  </w14:solidFill>
                </w14:textFill>
              </w:rPr>
            </m:ctrlPr>
          </m:e>
          <m:sub>
            <m:r>
              <m:rPr/>
              <w:rPr>
                <w:rStyle w:val="47"/>
                <w:rFonts w:hint="eastAsia" w:ascii="Cambria Math" w:hAnsi="Cambria Math"/>
                <w:color w:val="000000" w:themeColor="text1"/>
                <w:sz w:val="24"/>
                <w:szCs w:val="24"/>
                <w14:textFill>
                  <w14:solidFill>
                    <w14:schemeClr w14:val="tx1"/>
                  </w14:solidFill>
                </w14:textFill>
              </w:rPr>
              <m:t>i</m:t>
            </m:r>
            <m:ctrlPr>
              <w:rPr>
                <w:rStyle w:val="47"/>
                <w:rFonts w:ascii="Cambria Math" w:hAnsi="Cambria Math"/>
                <w:i/>
                <w:color w:val="000000" w:themeColor="text1"/>
                <w:sz w:val="24"/>
                <w:szCs w:val="24"/>
                <w14:textFill>
                  <w14:solidFill>
                    <w14:schemeClr w14:val="tx1"/>
                  </w14:solidFill>
                </w14:textFill>
              </w:rPr>
            </m:ctrlPr>
          </m:sub>
        </m:sSub>
      </m:oMath>
      <w:r>
        <w:rPr>
          <w:rStyle w:val="47"/>
          <w:rFonts w:hint="eastAsia"/>
          <w:color w:val="000000" w:themeColor="text1"/>
          <w:sz w:val="24"/>
          <w:szCs w:val="24"/>
          <w14:textFill>
            <w14:solidFill>
              <w14:schemeClr w14:val="tx1"/>
            </w14:solidFill>
          </w14:textFill>
        </w:rPr>
        <w:t>的方差</w:t>
      </w:r>
      <w:r>
        <w:rPr>
          <w:rStyle w:val="47"/>
          <w:color w:val="000000" w:themeColor="text1"/>
          <w:sz w:val="24"/>
          <w:szCs w:val="24"/>
          <w14:textFill>
            <w14:solidFill>
              <w14:schemeClr w14:val="tx1"/>
            </w14:solidFill>
          </w14:textFill>
        </w:rPr>
        <w:t>-</w:t>
      </w:r>
      <w:r>
        <w:rPr>
          <w:rStyle w:val="47"/>
          <w:rFonts w:hint="eastAsia"/>
          <w:color w:val="000000" w:themeColor="text1"/>
          <w:sz w:val="24"/>
          <w:szCs w:val="24"/>
          <w14:textFill>
            <w14:solidFill>
              <w14:schemeClr w14:val="tx1"/>
            </w14:solidFill>
          </w14:textFill>
        </w:rPr>
        <w:t>协方差矩阵为：</w:t>
      </w:r>
    </w:p>
    <w:p>
      <w:pPr>
        <w:tabs>
          <w:tab w:val="center" w:pos="4200"/>
          <w:tab w:val="right" w:pos="8400"/>
        </w:tabs>
        <w:spacing w:line="360" w:lineRule="auto"/>
        <w:rPr>
          <w:rStyle w:val="47"/>
          <w:color w:val="000000" w:themeColor="text1"/>
          <w:sz w:val="24"/>
          <w:szCs w:val="24"/>
          <w14:textFill>
            <w14:solidFill>
              <w14:schemeClr w14:val="tx1"/>
            </w14:solidFill>
          </w14:textFill>
        </w:rPr>
      </w:pPr>
      <w:r>
        <w:rPr>
          <w:sz w:val="24"/>
          <w:szCs w:val="24"/>
        </w:rPr>
        <w:tab/>
      </w:r>
      <m:oMath>
        <m:sSub>
          <m:sSubPr>
            <m:ctrlPr>
              <w:rPr>
                <w:rFonts w:ascii="Cambria Math" w:hAnsi="Cambria Math" w:cs="Arial"/>
                <w:sz w:val="24"/>
                <w:szCs w:val="24"/>
              </w:rPr>
            </m:ctrlPr>
          </m:sSubPr>
          <m:e>
            <m:r>
              <m:rPr>
                <m:sty m:val="b"/>
              </m:rPr>
              <w:rPr>
                <w:rFonts w:ascii="Cambria Math" w:hAnsi="Cambria Math" w:cs="Arial"/>
                <w:sz w:val="24"/>
                <w:szCs w:val="24"/>
              </w:rPr>
              <m:t>V</m:t>
            </m:r>
            <m:ctrlPr>
              <w:rPr>
                <w:rFonts w:ascii="Cambria Math" w:hAnsi="Cambria Math" w:cs="Arial"/>
                <w:sz w:val="24"/>
                <w:szCs w:val="24"/>
              </w:rPr>
            </m:ctrlPr>
          </m:e>
          <m:sub>
            <m:r>
              <m:rPr/>
              <w:rPr>
                <w:rFonts w:ascii="Cambria Math" w:hAnsi="Cambria Math" w:cs="Arial"/>
                <w:sz w:val="24"/>
                <w:szCs w:val="24"/>
              </w:rPr>
              <m:t>d</m:t>
            </m:r>
            <m:ctrlPr>
              <w:rPr>
                <w:rFonts w:ascii="Cambria Math" w:hAnsi="Cambria Math" w:cs="Arial"/>
                <w:sz w:val="24"/>
                <w:szCs w:val="24"/>
              </w:rPr>
            </m:ctrlPr>
          </m:sub>
        </m:sSub>
        <m:r>
          <m:rPr>
            <m:sty m:val="p"/>
          </m:rPr>
          <w:rPr>
            <w:rFonts w:ascii="Cambria Math" w:hAnsi="Cambria Math" w:cs="Arial"/>
            <w:sz w:val="24"/>
            <w:szCs w:val="24"/>
          </w:rPr>
          <m:t>=(</m:t>
        </m:r>
        <m:r>
          <m:rPr>
            <m:sty m:val="b"/>
          </m:rPr>
          <w:rPr>
            <w:rFonts w:ascii="Cambria Math" w:hAnsi="Cambria Math" w:cs="Arial"/>
            <w:sz w:val="24"/>
            <w:szCs w:val="24"/>
          </w:rPr>
          <m:t>I</m:t>
        </m:r>
        <m:r>
          <m:rPr>
            <m:sty m:val="p"/>
          </m:rPr>
          <w:rPr>
            <w:rFonts w:ascii="Cambria Math" w:hAnsi="Cambria Math" w:cs="Arial"/>
            <w:sz w:val="24"/>
            <w:szCs w:val="24"/>
          </w:rPr>
          <m:t>−</m:t>
        </m:r>
        <m:r>
          <m:rPr>
            <m:sty m:val="b"/>
          </m:rPr>
          <w:rPr>
            <w:rFonts w:ascii="Cambria Math" w:hAnsi="Cambria Math" w:cs="Arial"/>
            <w:sz w:val="24"/>
            <w:szCs w:val="24"/>
          </w:rPr>
          <m:t>P</m:t>
        </m:r>
        <m:r>
          <m:rPr>
            <m:sty m:val="p"/>
          </m:rPr>
          <w:rPr>
            <w:rFonts w:ascii="Cambria Math" w:hAnsi="Cambria Math" w:cs="Arial"/>
            <w:sz w:val="24"/>
            <w:szCs w:val="24"/>
          </w:rPr>
          <m:t>)∙</m:t>
        </m:r>
        <m:sSub>
          <m:sSubPr>
            <m:ctrlPr>
              <w:rPr>
                <w:rFonts w:ascii="Cambria Math" w:hAnsi="Cambria Math" w:cs="Arial"/>
                <w:b/>
                <w:iCs/>
                <w:color w:val="000000" w:themeColor="text1"/>
                <w:sz w:val="24"/>
                <w:szCs w:val="24"/>
                <w14:textFill>
                  <w14:solidFill>
                    <w14:schemeClr w14:val="tx1"/>
                  </w14:solidFill>
                </w14:textFill>
              </w:rPr>
            </m:ctrlPr>
          </m:sSubPr>
          <m:e>
            <m:r>
              <m:rPr>
                <m:sty m:val="b"/>
              </m:rPr>
              <w:rPr>
                <w:rFonts w:ascii="Cambria Math" w:hAnsi="Cambria Math" w:cs="Arial"/>
                <w:color w:val="000000" w:themeColor="text1"/>
                <w:sz w:val="24"/>
                <w:szCs w:val="24"/>
                <w14:textFill>
                  <w14:solidFill>
                    <w14:schemeClr w14:val="tx1"/>
                  </w14:solidFill>
                </w14:textFill>
              </w:rPr>
              <m:t>V</m:t>
            </m:r>
            <m:ctrlPr>
              <w:rPr>
                <w:rFonts w:ascii="Cambria Math" w:hAnsi="Cambria Math" w:cs="Arial"/>
                <w:b/>
                <w:iCs/>
                <w:color w:val="000000" w:themeColor="text1"/>
                <w:sz w:val="24"/>
                <w:szCs w:val="24"/>
                <w14:textFill>
                  <w14:solidFill>
                    <w14:schemeClr w14:val="tx1"/>
                  </w14:solidFill>
                </w14:textFill>
              </w:rPr>
            </m:ctrlPr>
          </m:e>
          <m:sub>
            <m:r>
              <m:rPr>
                <m:sty m:val="bi"/>
              </m:rPr>
              <w:rPr>
                <w:rFonts w:ascii="Cambria Math" w:hAnsi="Cambria Math" w:cs="Arial"/>
                <w:color w:val="000000" w:themeColor="text1"/>
                <w:sz w:val="24"/>
                <w:szCs w:val="24"/>
                <w14:textFill>
                  <w14:solidFill>
                    <w14:schemeClr w14:val="tx1"/>
                  </w14:solidFill>
                </w14:textFill>
              </w:rPr>
              <m:t>y</m:t>
            </m:r>
            <m:ctrlPr>
              <w:rPr>
                <w:rFonts w:ascii="Cambria Math" w:hAnsi="Cambria Math" w:cs="Arial"/>
                <w:b/>
                <w:iCs/>
                <w:color w:val="000000" w:themeColor="text1"/>
                <w:sz w:val="24"/>
                <w:szCs w:val="24"/>
                <w14:textFill>
                  <w14:solidFill>
                    <w14:schemeClr w14:val="tx1"/>
                  </w14:solidFill>
                </w14:textFill>
              </w:rPr>
            </m:ctrlPr>
          </m:sub>
        </m:sSub>
        <m:r>
          <m:rPr>
            <m:sty m:val="p"/>
          </m:rPr>
          <w:rPr>
            <w:rFonts w:ascii="Cambria Math" w:hAnsi="Cambria Math" w:cs="Arial"/>
            <w:sz w:val="24"/>
            <w:szCs w:val="24"/>
          </w:rPr>
          <m:t>∙</m:t>
        </m:r>
        <m:sSup>
          <m:sSupPr>
            <m:ctrlPr>
              <w:rPr>
                <w:rFonts w:ascii="Cambria Math" w:hAnsi="Cambria Math" w:cs="Arial"/>
                <w:sz w:val="24"/>
                <w:szCs w:val="24"/>
              </w:rPr>
            </m:ctrlPr>
          </m:sSupPr>
          <m:e>
            <m:r>
              <m:rPr>
                <m:sty m:val="p"/>
              </m:rPr>
              <w:rPr>
                <w:rFonts w:ascii="Cambria Math" w:hAnsi="Cambria Math" w:cs="Arial"/>
                <w:sz w:val="24"/>
                <w:szCs w:val="24"/>
              </w:rPr>
              <m:t>(</m:t>
            </m:r>
            <m:r>
              <m:rPr>
                <m:sty m:val="b"/>
              </m:rPr>
              <w:rPr>
                <w:rFonts w:ascii="Cambria Math" w:hAnsi="Cambria Math" w:cs="Arial"/>
                <w:sz w:val="24"/>
                <w:szCs w:val="24"/>
              </w:rPr>
              <m:t>I</m:t>
            </m:r>
            <m:r>
              <m:rPr>
                <m:sty m:val="p"/>
              </m:rPr>
              <w:rPr>
                <w:rFonts w:ascii="Cambria Math" w:hAnsi="Cambria Math" w:cs="Arial"/>
                <w:sz w:val="24"/>
                <w:szCs w:val="24"/>
              </w:rPr>
              <m:t>−</m:t>
            </m:r>
            <m:r>
              <m:rPr>
                <m:sty m:val="b"/>
              </m:rPr>
              <w:rPr>
                <w:rFonts w:ascii="Cambria Math" w:hAnsi="Cambria Math" w:cs="Arial"/>
                <w:sz w:val="24"/>
                <w:szCs w:val="24"/>
              </w:rPr>
              <m:t>P</m:t>
            </m:r>
            <m:r>
              <m:rPr>
                <m:sty m:val="p"/>
              </m:rPr>
              <w:rPr>
                <w:rFonts w:ascii="Cambria Math" w:hAnsi="Cambria Math" w:cs="Arial"/>
                <w:sz w:val="24"/>
                <w:szCs w:val="24"/>
              </w:rPr>
              <m:t>)</m:t>
            </m:r>
            <m:ctrlPr>
              <w:rPr>
                <w:rFonts w:ascii="Cambria Math" w:hAnsi="Cambria Math" w:cs="Arial"/>
                <w:sz w:val="24"/>
                <w:szCs w:val="24"/>
              </w:rPr>
            </m:ctrlPr>
          </m:e>
          <m:sup>
            <m:r>
              <m:rPr>
                <m:sty m:val="p"/>
              </m:rPr>
              <w:rPr>
                <w:rFonts w:ascii="Cambria Math" w:hAnsi="Cambria Math" w:cs="Arial"/>
                <w:sz w:val="24"/>
                <w:szCs w:val="24"/>
              </w:rPr>
              <m:t>T</m:t>
            </m:r>
            <m:ctrlPr>
              <w:rPr>
                <w:rFonts w:ascii="Cambria Math" w:hAnsi="Cambria Math" w:cs="Arial"/>
                <w:sz w:val="24"/>
                <w:szCs w:val="24"/>
              </w:rPr>
            </m:ctrlPr>
          </m:sup>
        </m:sSup>
      </m:oMath>
      <w:r>
        <w:rPr>
          <w:sz w:val="24"/>
          <w:szCs w:val="24"/>
        </w:rPr>
        <w:tab/>
      </w:r>
      <w:r>
        <w:rPr>
          <w:rStyle w:val="47"/>
          <w:color w:val="000000" w:themeColor="text1"/>
          <w:sz w:val="24"/>
          <w:szCs w:val="24"/>
          <w14:textFill>
            <w14:solidFill>
              <w14:schemeClr w14:val="tx1"/>
            </w14:solidFill>
          </w14:textFill>
        </w:rPr>
        <w:t>(E.14)</w:t>
      </w:r>
    </w:p>
    <w:p>
      <w:pPr>
        <w:pStyle w:val="8"/>
        <w:spacing w:line="360" w:lineRule="auto"/>
        <w:rPr>
          <w:rStyle w:val="47"/>
          <w:rFonts w:ascii="Arial" w:hAnsi="Arial" w:cs="Arial"/>
          <w:color w:val="000000" w:themeColor="text1"/>
          <w:sz w:val="24"/>
          <w14:textFill>
            <w14:solidFill>
              <w14:schemeClr w14:val="tx1"/>
            </w14:solidFill>
          </w14:textFill>
        </w:rPr>
      </w:pPr>
      <w:r>
        <w:rPr>
          <w:rFonts w:hint="eastAsia"/>
          <w:b w:val="0"/>
          <w:bCs w:val="0"/>
          <w:color w:val="000000" w:themeColor="text1"/>
          <w:sz w:val="24"/>
          <w14:textFill>
            <w14:solidFill>
              <w14:schemeClr w14:val="tx1"/>
            </w14:solidFill>
          </w14:textFill>
        </w:rPr>
        <w:t>矩阵</w:t>
      </w:r>
      <m:oMath>
        <m:sSub>
          <m:sSubPr>
            <m:ctrlPr>
              <w:rPr>
                <w:rFonts w:ascii="Cambria Math" w:hAnsi="Cambria Math" w:cs="Arial"/>
                <w:sz w:val="24"/>
              </w:rPr>
            </m:ctrlPr>
          </m:sSubPr>
          <m:e>
            <m:r>
              <m:rPr>
                <m:sty m:val="b"/>
              </m:rPr>
              <w:rPr>
                <w:rFonts w:ascii="Cambria Math" w:hAnsi="Cambria Math" w:cs="Arial"/>
                <w:sz w:val="24"/>
              </w:rPr>
              <m:t>V</m:t>
            </m:r>
            <m:ctrlPr>
              <w:rPr>
                <w:rFonts w:ascii="Cambria Math" w:hAnsi="Cambria Math" w:cs="Arial"/>
                <w:sz w:val="24"/>
              </w:rPr>
            </m:ctrlPr>
          </m:e>
          <m:sub>
            <m:r>
              <m:rPr>
                <m:sty m:val="bi"/>
              </m:rPr>
              <w:rPr>
                <w:rFonts w:ascii="Cambria Math" w:hAnsi="Cambria Math" w:cs="Arial"/>
                <w:sz w:val="24"/>
              </w:rPr>
              <m:t>d</m:t>
            </m:r>
            <m:ctrlPr>
              <w:rPr>
                <w:rFonts w:ascii="Cambria Math" w:hAnsi="Cambria Math" w:cs="Arial"/>
                <w:sz w:val="24"/>
              </w:rPr>
            </m:ctrlPr>
          </m:sub>
        </m:sSub>
      </m:oMath>
      <w:r>
        <w:rPr>
          <w:rFonts w:hint="eastAsia"/>
          <w:b w:val="0"/>
          <w:bCs w:val="0"/>
          <w:color w:val="000000" w:themeColor="text1"/>
          <w:sz w:val="24"/>
          <w14:textFill>
            <w14:solidFill>
              <w14:schemeClr w14:val="tx1"/>
            </w14:solidFill>
          </w14:textFill>
        </w:rPr>
        <w:t>对角线上的元素的算术平方根</w:t>
      </w:r>
      <w:r>
        <w:rPr>
          <w:rFonts w:hint="eastAsia" w:ascii="Arial" w:hAnsi="Arial" w:cs="Arial"/>
          <w:b w:val="0"/>
          <w:bCs w:val="0"/>
          <w:sz w:val="24"/>
          <w:lang w:val="en-GB"/>
        </w:rPr>
        <w:t>即</w:t>
      </w:r>
      <w:r>
        <w:rPr>
          <w:rFonts w:hint="eastAsia"/>
          <w:b w:val="0"/>
          <w:bCs w:val="0"/>
          <w:color w:val="000000" w:themeColor="text1"/>
          <w:sz w:val="24"/>
          <w14:textFill>
            <w14:solidFill>
              <w14:schemeClr w14:val="tx1"/>
            </w14:solidFill>
          </w14:textFill>
        </w:rPr>
        <w:t>为</w:t>
      </w:r>
      <m:oMath>
        <m:sSub>
          <m:sSubPr>
            <m:ctrlPr>
              <w:rPr>
                <w:rStyle w:val="47"/>
                <w:rFonts w:ascii="Cambria Math" w:hAnsi="Cambria Math"/>
                <w:b w:val="0"/>
                <w:bCs w:val="0"/>
                <w:i/>
                <w:color w:val="000000" w:themeColor="text1"/>
                <w:sz w:val="24"/>
                <w14:textFill>
                  <w14:solidFill>
                    <w14:schemeClr w14:val="tx1"/>
                  </w14:solidFill>
                </w14:textFill>
              </w:rPr>
            </m:ctrlPr>
          </m:sSubPr>
          <m:e>
            <m:r>
              <m:rPr>
                <m:sty m:val="bi"/>
              </m:rPr>
              <w:rPr>
                <w:rStyle w:val="47"/>
                <w:rFonts w:hint="eastAsia" w:ascii="Cambria Math" w:hAnsi="Cambria Math"/>
                <w:color w:val="000000" w:themeColor="text1"/>
                <w:sz w:val="24"/>
                <w14:textFill>
                  <w14:solidFill>
                    <w14:schemeClr w14:val="tx1"/>
                  </w14:solidFill>
                </w14:textFill>
              </w:rPr>
              <m:t>d</m:t>
            </m:r>
            <m:ctrlPr>
              <w:rPr>
                <w:rStyle w:val="47"/>
                <w:rFonts w:ascii="Cambria Math" w:hAnsi="Cambria Math"/>
                <w:b w:val="0"/>
                <w:bCs w:val="0"/>
                <w:i/>
                <w:color w:val="000000" w:themeColor="text1"/>
                <w:sz w:val="24"/>
                <w14:textFill>
                  <w14:solidFill>
                    <w14:schemeClr w14:val="tx1"/>
                  </w14:solidFill>
                </w14:textFill>
              </w:rPr>
            </m:ctrlPr>
          </m:e>
          <m:sub>
            <m:r>
              <m:rPr>
                <m:sty m:val="bi"/>
              </m:rPr>
              <w:rPr>
                <w:rStyle w:val="47"/>
                <w:rFonts w:hint="eastAsia" w:ascii="Cambria Math" w:hAnsi="Cambria Math"/>
                <w:color w:val="000000" w:themeColor="text1"/>
                <w:sz w:val="24"/>
                <w14:textFill>
                  <w14:solidFill>
                    <w14:schemeClr w14:val="tx1"/>
                  </w14:solidFill>
                </w14:textFill>
              </w:rPr>
              <m:t>i</m:t>
            </m:r>
            <m:ctrlPr>
              <w:rPr>
                <w:rStyle w:val="47"/>
                <w:rFonts w:ascii="Cambria Math" w:hAnsi="Cambria Math"/>
                <w:b w:val="0"/>
                <w:bCs w:val="0"/>
                <w:i/>
                <w:color w:val="000000" w:themeColor="text1"/>
                <w:sz w:val="24"/>
                <w14:textFill>
                  <w14:solidFill>
                    <w14:schemeClr w14:val="tx1"/>
                  </w14:solidFill>
                </w14:textFill>
              </w:rPr>
            </m:ctrlPr>
          </m:sub>
        </m:sSub>
      </m:oMath>
      <w:r>
        <w:rPr>
          <w:rStyle w:val="47"/>
          <w:rFonts w:hint="eastAsia"/>
          <w:b w:val="0"/>
          <w:bCs w:val="0"/>
          <w:color w:val="000000" w:themeColor="text1"/>
          <w:sz w:val="24"/>
          <w14:textFill>
            <w14:solidFill>
              <w14:schemeClr w14:val="tx1"/>
            </w14:solidFill>
          </w14:textFill>
        </w:rPr>
        <w:t>的</w:t>
      </w:r>
      <w:r>
        <w:rPr>
          <w:rFonts w:hint="eastAsia"/>
          <w:b w:val="0"/>
          <w:bCs w:val="0"/>
          <w:color w:val="000000" w:themeColor="text1"/>
          <w:sz w:val="24"/>
          <w14:textFill>
            <w14:solidFill>
              <w14:schemeClr w14:val="tx1"/>
            </w14:solidFill>
          </w14:textFill>
        </w:rPr>
        <w:t>标准不确定度</w:t>
      </w:r>
      <w:r>
        <w:rPr>
          <w:rStyle w:val="47"/>
          <w:rFonts w:hint="eastAsia" w:ascii="Arial" w:hAnsi="Arial" w:cs="Arial"/>
          <w:color w:val="000000" w:themeColor="text1"/>
          <w:sz w:val="24"/>
          <w14:textFill>
            <w14:solidFill>
              <w14:schemeClr w14:val="tx1"/>
            </w14:solidFill>
          </w14:textFill>
        </w:rPr>
        <w:t>：</w:t>
      </w:r>
    </w:p>
    <w:p>
      <w:pPr>
        <w:pStyle w:val="8"/>
        <w:tabs>
          <w:tab w:val="center" w:pos="4200"/>
          <w:tab w:val="right" w:pos="8400"/>
        </w:tabs>
        <w:rPr>
          <w:rStyle w:val="47"/>
          <w:b w:val="0"/>
          <w:bCs w:val="0"/>
          <w:color w:val="000000" w:themeColor="text1"/>
          <w:sz w:val="24"/>
          <w14:textFill>
            <w14:solidFill>
              <w14:schemeClr w14:val="tx1"/>
            </w14:solidFill>
          </w14:textFill>
        </w:rPr>
      </w:pPr>
      <w:r>
        <w:rPr>
          <w:rFonts w:ascii="Arial" w:hAnsi="Arial" w:cs="Arial"/>
          <w:sz w:val="24"/>
          <w:lang w:val="en-GB"/>
        </w:rPr>
        <w:tab/>
      </w:r>
      <m:oMath>
        <m:r>
          <m:rPr>
            <m:sty m:val="bi"/>
          </m:rPr>
          <w:rPr>
            <w:rFonts w:ascii="Cambria Math" w:hAnsi="Cambria Math" w:cs="Arial"/>
            <w:sz w:val="24"/>
            <w:lang w:val="en-GB"/>
          </w:rPr>
          <m:t>u</m:t>
        </m:r>
        <m:d>
          <m:dPr>
            <m:ctrlPr>
              <w:rPr>
                <w:rFonts w:ascii="Cambria Math" w:hAnsi="Cambria Math" w:cs="Arial"/>
                <w:i/>
                <w:sz w:val="24"/>
                <w:lang w:val="en-GB"/>
              </w:rPr>
            </m:ctrlPr>
          </m:dPr>
          <m:e>
            <m:sSub>
              <m:sSubPr>
                <m:ctrlPr>
                  <w:rPr>
                    <w:rFonts w:ascii="Cambria Math" w:hAnsi="Cambria Math" w:cs="Arial"/>
                    <w:i/>
                    <w:sz w:val="24"/>
                    <w:lang w:val="en-GB"/>
                  </w:rPr>
                </m:ctrlPr>
              </m:sSubPr>
              <m:e>
                <m:r>
                  <m:rPr>
                    <m:sty m:val="bi"/>
                  </m:rPr>
                  <w:rPr>
                    <w:rFonts w:ascii="Cambria Math" w:hAnsi="Cambria Math" w:cs="Arial"/>
                    <w:sz w:val="24"/>
                    <w:lang w:val="en-GB"/>
                  </w:rPr>
                  <m:t>d</m:t>
                </m:r>
                <m:ctrlPr>
                  <w:rPr>
                    <w:rFonts w:ascii="Cambria Math" w:hAnsi="Cambria Math" w:cs="Arial"/>
                    <w:i/>
                    <w:sz w:val="24"/>
                    <w:lang w:val="en-GB"/>
                  </w:rPr>
                </m:ctrlPr>
              </m:e>
              <m:sub>
                <m:r>
                  <m:rPr>
                    <m:sty m:val="bi"/>
                  </m:rPr>
                  <w:rPr>
                    <w:rFonts w:ascii="Cambria Math" w:hAnsi="Cambria Math" w:cs="Arial"/>
                    <w:sz w:val="24"/>
                    <w:lang w:val="en-GB"/>
                  </w:rPr>
                  <m:t>i</m:t>
                </m:r>
                <m:ctrlPr>
                  <w:rPr>
                    <w:rFonts w:ascii="Cambria Math" w:hAnsi="Cambria Math" w:cs="Arial"/>
                    <w:i/>
                    <w:sz w:val="24"/>
                    <w:lang w:val="en-GB"/>
                  </w:rPr>
                </m:ctrlPr>
              </m:sub>
            </m:sSub>
            <m:ctrlPr>
              <w:rPr>
                <w:rFonts w:ascii="Cambria Math" w:hAnsi="Cambria Math" w:cs="Arial"/>
                <w:i/>
                <w:sz w:val="24"/>
                <w:lang w:val="en-GB"/>
              </w:rPr>
            </m:ctrlPr>
          </m:e>
        </m:d>
        <m:r>
          <m:rPr>
            <m:sty m:val="bi"/>
          </m:rPr>
          <w:rPr>
            <w:rFonts w:ascii="Cambria Math" w:hAnsi="Cambria Math" w:cs="Arial"/>
            <w:sz w:val="24"/>
            <w:lang w:val="en-GB"/>
          </w:rPr>
          <m:t>=</m:t>
        </m:r>
        <m:rad>
          <m:radPr>
            <m:degHide m:val="1"/>
            <m:ctrlPr>
              <w:rPr>
                <w:rFonts w:ascii="Cambria Math" w:hAnsi="Cambria Math" w:cs="Arial"/>
                <w:i/>
                <w:sz w:val="24"/>
                <w:lang w:val="en-GB"/>
              </w:rPr>
            </m:ctrlPr>
          </m:radPr>
          <m:deg>
            <m:ctrlPr>
              <w:rPr>
                <w:rFonts w:ascii="Cambria Math" w:hAnsi="Cambria Math" w:cs="Arial"/>
                <w:i/>
                <w:sz w:val="24"/>
                <w:lang w:val="en-GB"/>
              </w:rPr>
            </m:ctrlPr>
          </m:deg>
          <m:e>
            <m:sSub>
              <m:sSubPr>
                <m:ctrlPr>
                  <w:rPr>
                    <w:rFonts w:ascii="Cambria Math" w:hAnsi="Cambria Math" w:cs="Arial"/>
                    <w:i/>
                    <w:sz w:val="24"/>
                    <w:lang w:val="en-GB"/>
                  </w:rPr>
                </m:ctrlPr>
              </m:sSubPr>
              <m:e>
                <m:r>
                  <m:rPr>
                    <m:sty m:val="bi"/>
                  </m:rPr>
                  <w:rPr>
                    <w:rFonts w:ascii="Cambria Math" w:hAnsi="Cambria Math" w:cs="Arial"/>
                    <w:sz w:val="24"/>
                    <w:lang w:val="en-GB"/>
                  </w:rPr>
                  <m:t>v</m:t>
                </m:r>
                <m:ctrlPr>
                  <w:rPr>
                    <w:rFonts w:ascii="Cambria Math" w:hAnsi="Cambria Math" w:cs="Arial"/>
                    <w:i/>
                    <w:sz w:val="24"/>
                    <w:lang w:val="en-GB"/>
                  </w:rPr>
                </m:ctrlPr>
              </m:e>
              <m:sub>
                <m:sSub>
                  <m:sSubPr>
                    <m:ctrlPr>
                      <w:rPr>
                        <w:rFonts w:ascii="Cambria Math" w:hAnsi="Cambria Math" w:cs="Arial"/>
                        <w:i/>
                        <w:sz w:val="24"/>
                        <w:lang w:val="en-GB"/>
                      </w:rPr>
                    </m:ctrlPr>
                  </m:sSubPr>
                  <m:e>
                    <m:r>
                      <m:rPr>
                        <m:sty m:val="bi"/>
                      </m:rPr>
                      <w:rPr>
                        <w:rFonts w:ascii="Cambria Math" w:hAnsi="Cambria Math" w:cs="Arial"/>
                        <w:sz w:val="24"/>
                        <w:lang w:val="en-GB"/>
                      </w:rPr>
                      <m:t>d</m:t>
                    </m:r>
                    <m:ctrlPr>
                      <w:rPr>
                        <w:rFonts w:ascii="Cambria Math" w:hAnsi="Cambria Math" w:cs="Arial"/>
                        <w:i/>
                        <w:sz w:val="24"/>
                        <w:lang w:val="en-GB"/>
                      </w:rPr>
                    </m:ctrlPr>
                  </m:e>
                  <m:sub>
                    <m:r>
                      <m:rPr>
                        <m:sty m:val="bi"/>
                      </m:rPr>
                      <w:rPr>
                        <w:rFonts w:ascii="Cambria Math" w:hAnsi="Cambria Math" w:cs="Arial"/>
                        <w:sz w:val="24"/>
                        <w:lang w:val="en-GB"/>
                      </w:rPr>
                      <m:t>i,i</m:t>
                    </m:r>
                    <m:ctrlPr>
                      <w:rPr>
                        <w:rFonts w:ascii="Cambria Math" w:hAnsi="Cambria Math" w:cs="Arial"/>
                        <w:i/>
                        <w:sz w:val="24"/>
                        <w:lang w:val="en-GB"/>
                      </w:rPr>
                    </m:ctrlPr>
                  </m:sub>
                </m:sSub>
                <m:ctrlPr>
                  <w:rPr>
                    <w:rFonts w:ascii="Cambria Math" w:hAnsi="Cambria Math" w:cs="Arial"/>
                    <w:i/>
                    <w:sz w:val="24"/>
                    <w:lang w:val="en-GB"/>
                  </w:rPr>
                </m:ctrlPr>
              </m:sub>
            </m:sSub>
            <m:ctrlPr>
              <w:rPr>
                <w:rFonts w:ascii="Cambria Math" w:hAnsi="Cambria Math" w:cs="Arial"/>
                <w:i/>
                <w:sz w:val="24"/>
                <w:lang w:val="en-GB"/>
              </w:rPr>
            </m:ctrlPr>
          </m:e>
        </m:rad>
      </m:oMath>
      <w:r>
        <w:rPr>
          <w:rFonts w:ascii="Arial" w:hAnsi="Arial" w:cs="Arial"/>
          <w:sz w:val="24"/>
          <w:lang w:val="en-GB"/>
        </w:rPr>
        <w:tab/>
      </w:r>
      <w:r>
        <w:rPr>
          <w:rStyle w:val="47"/>
          <w:b w:val="0"/>
          <w:bCs w:val="0"/>
          <w:color w:val="000000" w:themeColor="text1"/>
          <w:sz w:val="24"/>
          <w14:textFill>
            <w14:solidFill>
              <w14:schemeClr w14:val="tx1"/>
            </w14:solidFill>
          </w14:textFill>
        </w:rPr>
        <w:t>(E.15)</w:t>
      </w:r>
    </w:p>
    <w:p>
      <w:pPr>
        <w:pStyle w:val="3"/>
        <w:spacing w:before="0" w:after="93" w:afterLines="30" w:line="360" w:lineRule="auto"/>
        <w:rPr>
          <w:rFonts w:ascii="Times New Roman" w:hAnsi="Times New Roman" w:eastAsia="宋体"/>
          <w:b w:val="0"/>
          <w:sz w:val="24"/>
        </w:rPr>
      </w:pPr>
      <w:bookmarkStart w:id="119" w:name="_Toc137854346"/>
      <w:r>
        <w:rPr>
          <w:rFonts w:ascii="Times New Roman" w:hAnsi="Times New Roman" w:eastAsia="宋体"/>
          <w:b w:val="0"/>
          <w:sz w:val="24"/>
        </w:rPr>
        <w:t>E</w:t>
      </w:r>
      <w:r>
        <w:rPr>
          <w:rFonts w:hint="eastAsia" w:ascii="Times New Roman" w:hAnsi="Times New Roman" w:eastAsia="宋体"/>
          <w:b w:val="0"/>
          <w:sz w:val="24"/>
        </w:rPr>
        <w:t>.</w:t>
      </w:r>
      <w:r>
        <w:rPr>
          <w:rFonts w:ascii="Times New Roman" w:hAnsi="Times New Roman" w:eastAsia="宋体"/>
          <w:b w:val="0"/>
          <w:sz w:val="24"/>
        </w:rPr>
        <w:t>3</w:t>
      </w:r>
      <w:r>
        <w:rPr>
          <w:rFonts w:hint="eastAsia" w:ascii="Times New Roman" w:hAnsi="Times New Roman" w:eastAsia="宋体"/>
          <w:b w:val="0"/>
          <w:sz w:val="24"/>
        </w:rPr>
        <w:t>示例</w:t>
      </w:r>
      <w:bookmarkEnd w:id="119"/>
    </w:p>
    <w:p>
      <w:pPr>
        <w:spacing w:line="360" w:lineRule="auto"/>
        <w:ind w:firstLine="480" w:firstLineChars="200"/>
        <w:rPr>
          <w:sz w:val="24"/>
          <w:szCs w:val="24"/>
        </w:rPr>
      </w:pPr>
      <w:r>
        <w:rPr>
          <w:rFonts w:hint="eastAsia"/>
          <w:bCs/>
          <w:sz w:val="24"/>
          <w:szCs w:val="24"/>
        </w:rPr>
        <w:t>以下以</w:t>
      </w:r>
      <w:r>
        <w:rPr>
          <w:rFonts w:hint="eastAsia"/>
          <w:sz w:val="24"/>
          <w:szCs w:val="24"/>
        </w:rPr>
        <w:t>临界流文丘里音速喷嘴（以下简称，音速喷嘴）为传递标准的气体流量比对</w:t>
      </w:r>
      <w:r>
        <w:rPr>
          <w:rFonts w:hint="eastAsia"/>
          <w:bCs/>
          <w:sz w:val="24"/>
          <w:szCs w:val="24"/>
        </w:rPr>
        <w:t>为例，根据流出系数的参考值函数和比对数据，回归确定参考值函数，</w:t>
      </w:r>
      <w:r>
        <w:rPr>
          <w:rFonts w:hint="eastAsia"/>
          <w:sz w:val="24"/>
          <w:szCs w:val="24"/>
        </w:rPr>
        <w:t>进而计算得到比对量测得值的等效度。</w:t>
      </w:r>
    </w:p>
    <w:p>
      <w:pPr>
        <w:spacing w:line="360" w:lineRule="auto"/>
        <w:ind w:firstLine="420"/>
        <w:rPr>
          <w:bCs/>
          <w:color w:val="FF0000"/>
          <w:sz w:val="24"/>
          <w:szCs w:val="24"/>
        </w:rPr>
      </w:pPr>
      <w:r>
        <w:rPr>
          <w:rFonts w:hint="eastAsia"/>
          <w:sz w:val="24"/>
          <w:szCs w:val="24"/>
        </w:rPr>
        <w:t>该比对分别以各实验室气体流量标准装置校准传递标准音速喷嘴，确定其比对量测得值，即音速喷嘴的</w:t>
      </w:r>
      <w:r>
        <w:rPr>
          <w:rFonts w:hint="eastAsia"/>
          <w:bCs/>
          <w:sz w:val="24"/>
          <w:szCs w:val="24"/>
        </w:rPr>
        <w:t>流出系数。大多数实验室的流量装置不能覆盖完整的比对测量范围，因而只能得到各自测量范围内流出系数的测量结果</w:t>
      </w:r>
      <w:r>
        <w:rPr>
          <w:rFonts w:hint="eastAsia"/>
          <w:bCs/>
          <w:color w:val="000000" w:themeColor="text1"/>
          <w:sz w:val="24"/>
          <w:szCs w:val="24"/>
          <w14:textFill>
            <w14:solidFill>
              <w14:schemeClr w14:val="tx1"/>
            </w14:solidFill>
          </w14:textFill>
        </w:rPr>
        <w:t>。</w:t>
      </w:r>
    </w:p>
    <w:p>
      <w:pPr>
        <w:spacing w:line="360" w:lineRule="auto"/>
        <w:ind w:firstLine="480" w:firstLineChars="200"/>
        <w:rPr>
          <w:sz w:val="24"/>
          <w:szCs w:val="24"/>
        </w:rPr>
      </w:pPr>
      <w:r>
        <w:rPr>
          <w:rFonts w:hint="eastAsia"/>
          <w:sz w:val="24"/>
          <w:szCs w:val="24"/>
        </w:rPr>
        <w:t>根据流体力学原理，音速喷嘴的流出系数的参考值函数可表述为下式：</w:t>
      </w:r>
    </w:p>
    <w:p>
      <w:pPr>
        <w:tabs>
          <w:tab w:val="center" w:pos="4200"/>
          <w:tab w:val="right" w:pos="8400"/>
        </w:tabs>
        <w:spacing w:line="360" w:lineRule="auto"/>
        <w:jc w:val="left"/>
        <w:rPr>
          <w:sz w:val="24"/>
          <w:szCs w:val="24"/>
        </w:rPr>
      </w:pPr>
      <w:r>
        <w:rPr>
          <w:sz w:val="24"/>
          <w:szCs w:val="24"/>
        </w:rPr>
        <w:tab/>
      </w:r>
      <m:oMath>
        <m:sSub>
          <m:sSubPr>
            <m:ctrlPr>
              <w:rPr>
                <w:rFonts w:ascii="Cambria Math" w:hAnsi="Cambria Math"/>
                <w:i/>
                <w:sz w:val="24"/>
                <w:szCs w:val="24"/>
              </w:rPr>
            </m:ctrlPr>
          </m:sSubPr>
          <m:e>
            <m:r>
              <m:rPr/>
              <w:rPr>
                <w:rFonts w:ascii="Cambria Math" w:hAnsi="Cambria Math"/>
                <w:sz w:val="24"/>
                <w:szCs w:val="24"/>
              </w:rPr>
              <m:t>C</m:t>
            </m:r>
            <m:ctrlPr>
              <w:rPr>
                <w:rFonts w:ascii="Cambria Math" w:hAnsi="Cambria Math"/>
                <w:i/>
                <w:sz w:val="24"/>
                <w:szCs w:val="24"/>
              </w:rPr>
            </m:ctrlPr>
          </m:e>
          <m:sub>
            <m:r>
              <m:rPr>
                <m:sty m:val="p"/>
              </m:rPr>
              <w:rPr>
                <w:rFonts w:hint="eastAsia" w:ascii="Cambria Math" w:hAnsi="Cambria Math"/>
                <w:sz w:val="24"/>
                <w:szCs w:val="24"/>
              </w:rPr>
              <m:t>d</m:t>
            </m:r>
            <m:ctrlPr>
              <w:rPr>
                <w:rFonts w:ascii="Cambria Math" w:hAnsi="Cambria Math"/>
                <w:i/>
                <w:sz w:val="24"/>
                <w:szCs w:val="24"/>
              </w:rPr>
            </m:ctrlPr>
          </m:sub>
        </m:sSub>
        <m:r>
          <m:rPr/>
          <w:rPr>
            <w:rFonts w:ascii="Cambria Math" w:hAnsi="Cambria Math"/>
            <w:sz w:val="24"/>
            <w:szCs w:val="24"/>
          </w:rPr>
          <m:t>=</m:t>
        </m:r>
        <m:r>
          <m:rPr/>
          <w:rPr>
            <w:rFonts w:hint="eastAsia" w:ascii="Cambria Math" w:hAnsi="Cambria Math"/>
            <w:sz w:val="24"/>
            <w:szCs w:val="24"/>
          </w:rPr>
          <m:t>a</m:t>
        </m:r>
        <m:r>
          <m:rPr/>
          <w:rPr>
            <w:rFonts w:ascii="Cambria Math" w:hAnsi="Cambria Math"/>
            <w:sz w:val="24"/>
            <w:szCs w:val="24"/>
          </w:rPr>
          <m:t>+</m:t>
        </m:r>
        <m:r>
          <m:rPr/>
          <w:rPr>
            <w:rFonts w:hint="eastAsia" w:ascii="Cambria Math" w:hAnsi="Cambria Math"/>
            <w:sz w:val="24"/>
            <w:szCs w:val="24"/>
          </w:rPr>
          <m:t>b</m:t>
        </m:r>
        <m:r>
          <m:rPr/>
          <w:rPr>
            <w:rFonts w:ascii="Cambria Math" w:hAnsi="Cambria Math"/>
            <w:sz w:val="24"/>
            <w:szCs w:val="24"/>
          </w:rPr>
          <m:t>∗</m:t>
        </m:r>
        <m:sSup>
          <m:sSupPr>
            <m:ctrlPr>
              <w:rPr>
                <w:rFonts w:ascii="Cambria Math" w:hAnsi="Cambria Math"/>
                <w:i/>
                <w:sz w:val="24"/>
                <w:szCs w:val="24"/>
              </w:rPr>
            </m:ctrlPr>
          </m:sSupPr>
          <m:e>
            <m:r>
              <m:rPr/>
              <w:rPr>
                <w:rFonts w:ascii="Cambria Math" w:hAnsi="Cambria Math"/>
                <w:sz w:val="24"/>
                <w:szCs w:val="24"/>
              </w:rPr>
              <m:t>Re</m:t>
            </m:r>
            <m:ctrlPr>
              <w:rPr>
                <w:rFonts w:ascii="Cambria Math" w:hAnsi="Cambria Math"/>
                <w:i/>
                <w:sz w:val="24"/>
                <w:szCs w:val="24"/>
              </w:rPr>
            </m:ctrlPr>
          </m:e>
          <m:sup>
            <m:r>
              <m:rPr/>
              <w:rPr>
                <w:rFonts w:ascii="Cambria Math" w:hAnsi="Cambria Math"/>
                <w:sz w:val="24"/>
                <w:szCs w:val="24"/>
              </w:rPr>
              <m:t>−0.5</m:t>
            </m:r>
            <m:ctrlPr>
              <w:rPr>
                <w:rFonts w:ascii="Cambria Math" w:hAnsi="Cambria Math"/>
                <w:i/>
                <w:sz w:val="24"/>
                <w:szCs w:val="24"/>
              </w:rPr>
            </m:ctrlPr>
          </m:sup>
        </m:sSup>
      </m:oMath>
      <w:r>
        <w:rPr>
          <w:sz w:val="24"/>
          <w:szCs w:val="24"/>
        </w:rPr>
        <w:tab/>
      </w:r>
      <w:r>
        <w:rPr>
          <w:rFonts w:hint="eastAsia"/>
          <w:sz w:val="24"/>
          <w:szCs w:val="24"/>
        </w:rPr>
        <w:t>(</w:t>
      </w:r>
      <w:r>
        <w:rPr>
          <w:sz w:val="24"/>
          <w:szCs w:val="24"/>
        </w:rPr>
        <w:t>E.16</w:t>
      </w:r>
      <w:r>
        <w:rPr>
          <w:rFonts w:hint="eastAsia"/>
          <w:sz w:val="24"/>
          <w:szCs w:val="24"/>
        </w:rPr>
        <w:t>)</w:t>
      </w:r>
    </w:p>
    <w:p>
      <w:pPr>
        <w:spacing w:line="360" w:lineRule="auto"/>
        <w:rPr>
          <w:sz w:val="24"/>
          <w:szCs w:val="24"/>
        </w:rPr>
      </w:pPr>
      <w:r>
        <w:rPr>
          <w:rFonts w:hint="eastAsia"/>
          <w:sz w:val="24"/>
          <w:szCs w:val="24"/>
        </w:rPr>
        <w:t>式中：</w:t>
      </w:r>
      <w:r>
        <w:rPr>
          <w:rFonts w:hint="eastAsia"/>
          <w:i/>
          <w:iCs/>
          <w:sz w:val="24"/>
          <w:szCs w:val="24"/>
        </w:rPr>
        <w:t>C</w:t>
      </w:r>
      <w:r>
        <w:rPr>
          <w:rFonts w:hint="eastAsia"/>
          <w:sz w:val="24"/>
          <w:szCs w:val="24"/>
          <w:vertAlign w:val="subscript"/>
        </w:rPr>
        <w:t>d</w:t>
      </w:r>
      <w:r>
        <w:rPr>
          <w:rFonts w:hint="eastAsia" w:hAnsi="Cambria Math" w:cs="宋体"/>
          <w:iCs/>
          <w:sz w:val="24"/>
          <w:szCs w:val="24"/>
          <w:lang w:val="en-GB"/>
        </w:rPr>
        <w:t>—</w:t>
      </w:r>
      <w:r>
        <w:rPr>
          <w:rFonts w:hint="eastAsia"/>
          <w:sz w:val="24"/>
          <w:szCs w:val="24"/>
        </w:rPr>
        <w:t>流出系数；</w:t>
      </w:r>
    </w:p>
    <w:p>
      <w:pPr>
        <w:spacing w:line="360" w:lineRule="auto"/>
        <w:ind w:firstLine="720" w:firstLineChars="300"/>
        <w:rPr>
          <w:sz w:val="24"/>
          <w:szCs w:val="24"/>
        </w:rPr>
      </w:pPr>
      <w:r>
        <w:rPr>
          <w:rFonts w:hint="eastAsia"/>
          <w:i/>
          <w:iCs/>
          <w:sz w:val="24"/>
          <w:szCs w:val="24"/>
        </w:rPr>
        <w:t>Re</w:t>
      </w:r>
      <w:r>
        <w:rPr>
          <w:rFonts w:hint="eastAsia" w:hAnsi="Cambria Math" w:cs="宋体"/>
          <w:iCs/>
          <w:sz w:val="24"/>
          <w:szCs w:val="24"/>
          <w:lang w:val="en-GB"/>
        </w:rPr>
        <w:t>—</w:t>
      </w:r>
      <w:r>
        <w:rPr>
          <w:rFonts w:hint="eastAsia"/>
          <w:sz w:val="24"/>
          <w:szCs w:val="24"/>
        </w:rPr>
        <w:t>雷诺数。</w:t>
      </w:r>
    </w:p>
    <w:p>
      <w:pPr>
        <w:spacing w:line="360" w:lineRule="auto"/>
        <w:ind w:firstLine="480" w:firstLineChars="200"/>
        <w:rPr>
          <w:sz w:val="24"/>
          <w:szCs w:val="24"/>
        </w:rPr>
      </w:pPr>
      <w:r>
        <w:rPr>
          <w:rFonts w:hint="eastAsia"/>
          <w:sz w:val="24"/>
          <w:szCs w:val="24"/>
        </w:rPr>
        <w:t>每个实验室提交的比对数据数量大于等于1，全部实验室比对数据数量的总和为</w:t>
      </w:r>
      <w:r>
        <w:rPr>
          <w:i/>
          <w:iCs/>
          <w:sz w:val="24"/>
          <w:szCs w:val="24"/>
        </w:rPr>
        <w:t>N</w:t>
      </w:r>
      <w:r>
        <w:rPr>
          <w:sz w:val="24"/>
          <w:szCs w:val="24"/>
        </w:rPr>
        <w:t>，</w:t>
      </w:r>
      <w:r>
        <w:rPr>
          <w:rFonts w:hint="eastAsia"/>
          <w:sz w:val="24"/>
          <w:szCs w:val="24"/>
        </w:rPr>
        <w:t>即比对数据（</w:t>
      </w:r>
      <m:oMath>
        <m:sSub>
          <m:sSubPr>
            <m:ctrlPr>
              <w:rPr>
                <w:rFonts w:ascii="Cambria Math" w:hAnsi="Cambria Math"/>
                <w:i/>
                <w:sz w:val="24"/>
                <w:szCs w:val="24"/>
              </w:rPr>
            </m:ctrlPr>
          </m:sSubPr>
          <m:e>
            <m:r>
              <m:rPr/>
              <w:rPr>
                <w:rFonts w:hint="eastAsia" w:ascii="Cambria Math" w:hAnsi="Cambria Math"/>
                <w:sz w:val="24"/>
                <w:szCs w:val="24"/>
              </w:rPr>
              <m:t>x</m:t>
            </m:r>
            <m:ctrlPr>
              <w:rPr>
                <w:rFonts w:ascii="Cambria Math" w:hAnsi="Cambria Math"/>
                <w:i/>
                <w:sz w:val="24"/>
                <w:szCs w:val="24"/>
              </w:rPr>
            </m:ctrlPr>
          </m:e>
          <m:sub>
            <m:r>
              <m:rPr/>
              <w:rPr>
                <w:rFonts w:ascii="Cambria Math" w:hAnsi="Cambria Math"/>
                <w:sz w:val="24"/>
                <w:szCs w:val="24"/>
              </w:rPr>
              <m:t>i</m:t>
            </m:r>
            <m:ctrlPr>
              <w:rPr>
                <w:rFonts w:ascii="Cambria Math" w:hAnsi="Cambria Math"/>
                <w:i/>
                <w:sz w:val="24"/>
                <w:szCs w:val="24"/>
              </w:rPr>
            </m:ctrlPr>
          </m:sub>
        </m:sSub>
      </m:oMath>
      <w:r>
        <w:rPr>
          <w:sz w:val="24"/>
          <w:szCs w:val="24"/>
        </w:rPr>
        <w:t>，</w:t>
      </w:r>
      <m:oMath>
        <m:sSub>
          <m:sSubPr>
            <m:ctrlPr>
              <w:rPr>
                <w:rFonts w:ascii="Cambria Math" w:hAnsi="Cambria Math"/>
                <w:i/>
                <w:sz w:val="24"/>
                <w:szCs w:val="24"/>
              </w:rPr>
            </m:ctrlPr>
          </m:sSubPr>
          <m:e>
            <m:r>
              <m:rPr/>
              <w:rPr>
                <w:rFonts w:hint="eastAsia" w:ascii="Cambria Math" w:hAnsi="Cambria Math"/>
                <w:sz w:val="24"/>
                <w:szCs w:val="24"/>
              </w:rPr>
              <m:t>y</m:t>
            </m:r>
            <m:ctrlPr>
              <w:rPr>
                <w:rFonts w:ascii="Cambria Math" w:hAnsi="Cambria Math"/>
                <w:i/>
                <w:sz w:val="24"/>
                <w:szCs w:val="24"/>
              </w:rPr>
            </m:ctrlPr>
          </m:e>
          <m:sub>
            <m:r>
              <m:rPr/>
              <w:rPr>
                <w:rFonts w:ascii="Cambria Math" w:hAnsi="Cambria Math"/>
                <w:sz w:val="24"/>
                <w:szCs w:val="24"/>
              </w:rPr>
              <m:t>i</m:t>
            </m:r>
            <m:ctrlPr>
              <w:rPr>
                <w:rFonts w:ascii="Cambria Math" w:hAnsi="Cambria Math"/>
                <w:i/>
                <w:sz w:val="24"/>
                <w:szCs w:val="24"/>
              </w:rPr>
            </m:ctrlPr>
          </m:sub>
        </m:sSub>
      </m:oMath>
      <w:r>
        <w:rPr>
          <w:sz w:val="24"/>
          <w:szCs w:val="24"/>
        </w:rPr>
        <w:t>，</w:t>
      </w:r>
      <m:oMath>
        <m:sSub>
          <m:sSubPr>
            <m:ctrlPr>
              <w:rPr>
                <w:rFonts w:ascii="Cambria Math" w:hAnsi="Cambria Math"/>
                <w:i/>
                <w:sz w:val="24"/>
                <w:szCs w:val="24"/>
              </w:rPr>
            </m:ctrlPr>
          </m:sSubPr>
          <m:e>
            <m:r>
              <m:rPr/>
              <w:rPr>
                <w:rFonts w:ascii="Cambria Math" w:hAnsi="Cambria Math"/>
                <w:sz w:val="24"/>
                <w:szCs w:val="24"/>
              </w:rPr>
              <m:t>u</m:t>
            </m:r>
            <m:ctrlPr>
              <w:rPr>
                <w:rFonts w:ascii="Cambria Math" w:hAnsi="Cambria Math"/>
                <w:i/>
                <w:sz w:val="24"/>
                <w:szCs w:val="24"/>
              </w:rPr>
            </m:ctrlPr>
          </m:e>
          <m:sub>
            <m:r>
              <m:rPr/>
              <w:rPr>
                <w:rFonts w:ascii="Cambria Math" w:hAnsi="Cambria Math"/>
                <w:sz w:val="24"/>
                <w:szCs w:val="24"/>
              </w:rPr>
              <m:t>i</m:t>
            </m:r>
            <m:ctrlPr>
              <w:rPr>
                <w:rFonts w:ascii="Cambria Math" w:hAnsi="Cambria Math"/>
                <w:i/>
                <w:sz w:val="24"/>
                <w:szCs w:val="24"/>
              </w:rPr>
            </m:ctrlPr>
          </m:sub>
        </m:sSub>
      </m:oMath>
      <w:r>
        <w:rPr>
          <w:sz w:val="24"/>
          <w:szCs w:val="24"/>
        </w:rPr>
        <w:t>），</w:t>
      </w:r>
      <w:r>
        <w:rPr>
          <w:rFonts w:hint="eastAsia"/>
          <w:i/>
          <w:iCs/>
          <w:sz w:val="24"/>
          <w:szCs w:val="24"/>
        </w:rPr>
        <w:t>i</w:t>
      </w:r>
      <w:r>
        <w:rPr>
          <w:rFonts w:hint="eastAsia"/>
          <w:sz w:val="24"/>
          <w:szCs w:val="24"/>
        </w:rPr>
        <w:t xml:space="preserve">=1, </w:t>
      </w:r>
      <w:r>
        <w:rPr>
          <w:sz w:val="24"/>
          <w:szCs w:val="24"/>
        </w:rPr>
        <w:t>…</w:t>
      </w:r>
      <w:r>
        <w:rPr>
          <w:rFonts w:hint="eastAsia"/>
          <w:sz w:val="24"/>
          <w:szCs w:val="24"/>
        </w:rPr>
        <w:t xml:space="preserve"> , </w:t>
      </w:r>
      <w:r>
        <w:rPr>
          <w:i/>
          <w:iCs/>
          <w:sz w:val="24"/>
          <w:szCs w:val="24"/>
        </w:rPr>
        <w:t>N</w:t>
      </w:r>
      <w:r>
        <w:rPr>
          <w:rFonts w:hint="eastAsia"/>
          <w:sz w:val="24"/>
          <w:szCs w:val="24"/>
        </w:rPr>
        <w:t>。这些量值均</w:t>
      </w:r>
      <w:r>
        <w:rPr>
          <w:sz w:val="24"/>
          <w:szCs w:val="24"/>
        </w:rPr>
        <w:t>参与参考值</w:t>
      </w:r>
      <w:r>
        <w:rPr>
          <w:rFonts w:hint="eastAsia"/>
          <w:sz w:val="24"/>
          <w:szCs w:val="24"/>
        </w:rPr>
        <w:t>的确定。</w:t>
      </w:r>
    </w:p>
    <w:p>
      <w:pPr>
        <w:spacing w:line="360" w:lineRule="auto"/>
        <w:ind w:firstLine="480" w:firstLineChars="200"/>
        <w:rPr>
          <w:sz w:val="24"/>
          <w:szCs w:val="24"/>
        </w:rPr>
      </w:pPr>
      <w:r>
        <w:rPr>
          <w:rFonts w:hint="eastAsia"/>
          <w:sz w:val="24"/>
          <w:szCs w:val="24"/>
        </w:rPr>
        <w:t>各</w:t>
      </w:r>
      <w:r>
        <w:rPr>
          <w:rFonts w:hint="eastAsia"/>
          <w:bCs/>
          <w:sz w:val="24"/>
          <w:szCs w:val="24"/>
        </w:rPr>
        <w:t>实验室提交的每个流量点的测量结果数据，测量点为</w:t>
      </w:r>
      <w:r>
        <w:rPr>
          <w:rFonts w:hint="eastAsia"/>
          <w:sz w:val="24"/>
          <w:szCs w:val="24"/>
        </w:rPr>
        <w:t>雷诺数</w:t>
      </w:r>
      <w:r>
        <w:rPr>
          <w:rFonts w:hint="eastAsia"/>
          <w:i/>
          <w:iCs/>
          <w:sz w:val="24"/>
          <w:szCs w:val="24"/>
        </w:rPr>
        <w:t>Re</w:t>
      </w:r>
      <w:r>
        <w:rPr>
          <w:rFonts w:hint="eastAsia"/>
          <w:sz w:val="24"/>
          <w:szCs w:val="24"/>
        </w:rPr>
        <w:t>，比对量测得值为流出系数</w:t>
      </w:r>
      <w:r>
        <w:rPr>
          <w:rFonts w:hint="eastAsia"/>
          <w:i/>
          <w:iCs/>
          <w:sz w:val="24"/>
          <w:szCs w:val="24"/>
        </w:rPr>
        <w:t>C</w:t>
      </w:r>
      <w:r>
        <w:rPr>
          <w:rFonts w:hint="eastAsia"/>
          <w:sz w:val="24"/>
          <w:szCs w:val="24"/>
          <w:vertAlign w:val="subscript"/>
        </w:rPr>
        <w:t>d</w:t>
      </w:r>
      <w:r>
        <w:rPr>
          <w:rFonts w:hint="eastAsia"/>
          <w:sz w:val="24"/>
          <w:szCs w:val="24"/>
        </w:rPr>
        <w:t>，比对量测得值的扩展</w:t>
      </w:r>
      <w:r>
        <w:rPr>
          <w:sz w:val="24"/>
          <w:szCs w:val="24"/>
        </w:rPr>
        <w:t>不确定度</w:t>
      </w:r>
      <w:r>
        <w:rPr>
          <w:rFonts w:hint="eastAsia"/>
          <w:sz w:val="24"/>
          <w:szCs w:val="24"/>
        </w:rPr>
        <w:t>为</w:t>
      </w:r>
      <w:r>
        <w:rPr>
          <w:i/>
          <w:sz w:val="24"/>
          <w:szCs w:val="24"/>
        </w:rPr>
        <w:t xml:space="preserve">U </w:t>
      </w:r>
      <w:r>
        <w:rPr>
          <w:iCs/>
          <w:sz w:val="24"/>
          <w:szCs w:val="24"/>
        </w:rPr>
        <w:t>(</w:t>
      </w:r>
      <w:r>
        <w:rPr>
          <w:rFonts w:hint="eastAsia"/>
          <w:i/>
          <w:sz w:val="24"/>
          <w:szCs w:val="24"/>
        </w:rPr>
        <w:t>k</w:t>
      </w:r>
      <w:r>
        <w:rPr>
          <w:i/>
          <w:sz w:val="24"/>
          <w:szCs w:val="24"/>
        </w:rPr>
        <w:t>=2</w:t>
      </w:r>
      <w:r>
        <w:rPr>
          <w:iCs/>
          <w:sz w:val="24"/>
          <w:szCs w:val="24"/>
        </w:rPr>
        <w:t>)</w:t>
      </w:r>
      <w:r>
        <w:rPr>
          <w:rFonts w:hint="eastAsia"/>
          <w:bCs/>
          <w:sz w:val="24"/>
          <w:szCs w:val="24"/>
        </w:rPr>
        <w:t>。令</w:t>
      </w:r>
      <m:oMath>
        <m:r>
          <m:rPr/>
          <w:rPr>
            <w:rFonts w:ascii="Cambria Math" w:hAnsi="Cambria Math"/>
            <w:sz w:val="24"/>
            <w:szCs w:val="24"/>
          </w:rPr>
          <m:t>x</m:t>
        </m:r>
        <m:r>
          <m:rPr>
            <m:sty m:val="p"/>
          </m:rPr>
          <w:rPr>
            <w:rFonts w:ascii="Cambria Math" w:hAnsi="Cambria Math"/>
            <w:sz w:val="24"/>
            <w:szCs w:val="24"/>
          </w:rPr>
          <m:t>=</m:t>
        </m:r>
        <m:sSup>
          <m:sSupPr>
            <m:ctrlPr>
              <w:rPr>
                <w:rFonts w:ascii="Cambria Math" w:hAnsi="Cambria Math"/>
                <w:i/>
                <w:sz w:val="24"/>
                <w:szCs w:val="24"/>
              </w:rPr>
            </m:ctrlPr>
          </m:sSupPr>
          <m:e>
            <m:r>
              <m:rPr/>
              <w:rPr>
                <w:rFonts w:ascii="Cambria Math" w:hAnsi="Cambria Math"/>
                <w:sz w:val="24"/>
                <w:szCs w:val="24"/>
              </w:rPr>
              <m:t>R</m:t>
            </m:r>
            <m:r>
              <m:rPr/>
              <w:rPr>
                <w:rFonts w:hint="eastAsia" w:ascii="Cambria Math" w:hAnsi="Cambria Math"/>
                <w:sz w:val="24"/>
                <w:szCs w:val="24"/>
              </w:rPr>
              <m:t>e</m:t>
            </m:r>
            <m:ctrlPr>
              <w:rPr>
                <w:rFonts w:ascii="Cambria Math" w:hAnsi="Cambria Math"/>
                <w:i/>
                <w:sz w:val="24"/>
                <w:szCs w:val="24"/>
              </w:rPr>
            </m:ctrlPr>
          </m:e>
          <m:sup>
            <m:r>
              <m:rPr/>
              <w:rPr>
                <w:rFonts w:ascii="Cambria Math" w:hAnsi="Cambria Math"/>
                <w:sz w:val="24"/>
                <w:szCs w:val="24"/>
              </w:rPr>
              <m:t>−0.5</m:t>
            </m:r>
            <m:ctrlPr>
              <w:rPr>
                <w:rFonts w:ascii="Cambria Math" w:hAnsi="Cambria Math"/>
                <w:i/>
                <w:sz w:val="24"/>
                <w:szCs w:val="24"/>
              </w:rPr>
            </m:ctrlPr>
          </m:sup>
        </m:sSup>
      </m:oMath>
      <w:r>
        <w:rPr>
          <w:rFonts w:hint="eastAsia"/>
          <w:sz w:val="24"/>
          <w:szCs w:val="24"/>
        </w:rPr>
        <w:t>，</w:t>
      </w:r>
      <m:oMath>
        <m:r>
          <m:rPr/>
          <w:rPr>
            <w:rFonts w:hint="eastAsia" w:ascii="Cambria Math" w:hAnsi="Cambria Math"/>
            <w:sz w:val="24"/>
            <w:szCs w:val="24"/>
          </w:rPr>
          <m:t>y</m:t>
        </m:r>
        <m:r>
          <m:rPr>
            <m:sty m:val="p"/>
          </m:rPr>
          <w:rPr>
            <w:rFonts w:ascii="Cambria Math" w:hAnsi="Cambria Math"/>
            <w:sz w:val="24"/>
            <w:szCs w:val="24"/>
          </w:rPr>
          <m:t>=</m:t>
        </m:r>
        <m:sSub>
          <m:sSubPr>
            <m:ctrlPr>
              <w:rPr>
                <w:rFonts w:ascii="Cambria Math" w:hAnsi="Cambria Math"/>
                <w:sz w:val="24"/>
                <w:szCs w:val="24"/>
                <w:vertAlign w:val="subscript"/>
              </w:rPr>
            </m:ctrlPr>
          </m:sSubPr>
          <m:e>
            <m:r>
              <m:rPr/>
              <w:rPr>
                <w:rFonts w:hint="eastAsia" w:ascii="Cambria Math" w:hAnsi="Cambria Math"/>
                <w:sz w:val="24"/>
                <w:szCs w:val="24"/>
              </w:rPr>
              <m:t>C</m:t>
            </m:r>
            <m:ctrlPr>
              <w:rPr>
                <w:rFonts w:ascii="Cambria Math" w:hAnsi="Cambria Math"/>
                <w:sz w:val="24"/>
                <w:szCs w:val="24"/>
                <w:vertAlign w:val="subscript"/>
              </w:rPr>
            </m:ctrlPr>
          </m:e>
          <m:sub>
            <m:r>
              <m:rPr>
                <m:sty m:val="p"/>
              </m:rPr>
              <w:rPr>
                <w:rFonts w:hint="eastAsia" w:ascii="Cambria Math" w:hAnsi="Cambria Math"/>
                <w:sz w:val="24"/>
                <w:szCs w:val="24"/>
                <w:vertAlign w:val="subscript"/>
              </w:rPr>
              <m:t>d</m:t>
            </m:r>
            <m:ctrlPr>
              <w:rPr>
                <w:rFonts w:ascii="Cambria Math" w:hAnsi="Cambria Math"/>
                <w:sz w:val="24"/>
                <w:szCs w:val="24"/>
                <w:vertAlign w:val="subscript"/>
              </w:rPr>
            </m:ctrlPr>
          </m:sub>
        </m:sSub>
      </m:oMath>
      <w:r>
        <w:rPr>
          <w:rFonts w:hint="eastAsia"/>
          <w:sz w:val="24"/>
          <w:szCs w:val="24"/>
        </w:rPr>
        <w:t>，则式（</w:t>
      </w:r>
      <w:r>
        <w:rPr>
          <w:sz w:val="24"/>
          <w:szCs w:val="24"/>
        </w:rPr>
        <w:t>E.16</w:t>
      </w:r>
      <w:r>
        <w:rPr>
          <w:rFonts w:hint="eastAsia"/>
          <w:sz w:val="24"/>
          <w:szCs w:val="24"/>
        </w:rPr>
        <w:t>）可转化为式（</w:t>
      </w:r>
      <w:r>
        <w:rPr>
          <w:sz w:val="24"/>
          <w:szCs w:val="24"/>
        </w:rPr>
        <w:t>E.1</w:t>
      </w:r>
      <w:r>
        <w:rPr>
          <w:rFonts w:hint="eastAsia"/>
          <w:sz w:val="24"/>
          <w:szCs w:val="24"/>
        </w:rPr>
        <w:t>）所示的参考值回归模型:</w:t>
      </w:r>
    </w:p>
    <w:p>
      <w:pPr>
        <w:spacing w:line="360" w:lineRule="auto"/>
        <w:ind w:firstLine="480" w:firstLineChars="200"/>
        <w:rPr>
          <w:bCs/>
          <w:sz w:val="24"/>
          <w:szCs w:val="24"/>
        </w:rPr>
      </w:pPr>
      <m:oMathPara>
        <m:oMath>
          <m:r>
            <m:rPr/>
            <w:rPr>
              <w:rFonts w:hint="eastAsia" w:ascii="Cambria Math" w:hAnsi="Cambria Math"/>
              <w:sz w:val="24"/>
              <w:szCs w:val="24"/>
            </w:rPr>
            <m:t>y</m:t>
          </m:r>
          <m:r>
            <m:rPr/>
            <w:rPr>
              <w:rFonts w:ascii="Cambria Math" w:hAnsi="Cambria Math"/>
              <w:sz w:val="24"/>
              <w:szCs w:val="24"/>
            </w:rPr>
            <m:t>=</m:t>
          </m:r>
          <m:r>
            <m:rPr/>
            <w:rPr>
              <w:rFonts w:hint="eastAsia" w:ascii="Cambria Math" w:hAnsi="Cambria Math"/>
              <w:sz w:val="24"/>
              <w:szCs w:val="24"/>
            </w:rPr>
            <m:t>a</m:t>
          </m:r>
          <m:r>
            <m:rPr/>
            <w:rPr>
              <w:rFonts w:ascii="Cambria Math" w:hAnsi="Cambria Math"/>
              <w:sz w:val="24"/>
              <w:szCs w:val="24"/>
            </w:rPr>
            <m:t>+</m:t>
          </m:r>
          <m:r>
            <m:rPr/>
            <w:rPr>
              <w:rFonts w:hint="eastAsia" w:ascii="Cambria Math" w:hAnsi="Cambria Math"/>
              <w:sz w:val="24"/>
              <w:szCs w:val="24"/>
            </w:rPr>
            <m:t>b</m:t>
          </m:r>
          <m:r>
            <m:rPr/>
            <w:rPr>
              <w:rFonts w:ascii="Cambria Math" w:hAnsi="Cambria Math"/>
              <w:sz w:val="24"/>
              <w:szCs w:val="24"/>
            </w:rPr>
            <m:t>∗</m:t>
          </m:r>
          <m:r>
            <m:rPr/>
            <w:rPr>
              <w:rFonts w:hint="eastAsia" w:ascii="Cambria Math" w:hAnsi="Cambria Math"/>
              <w:sz w:val="24"/>
              <w:szCs w:val="24"/>
            </w:rPr>
            <m:t>x</m:t>
          </m:r>
        </m:oMath>
      </m:oMathPara>
    </w:p>
    <w:p>
      <w:pPr>
        <w:pStyle w:val="50"/>
        <w:spacing w:line="360" w:lineRule="auto"/>
        <w:ind w:firstLine="480" w:firstLineChars="200"/>
        <w:jc w:val="left"/>
        <w:rPr>
          <w:rFonts w:hAnsi="Cambria Math"/>
          <w:color w:val="000000" w:themeColor="text1"/>
          <w:kern w:val="0"/>
          <w:sz w:val="24"/>
          <w:szCs w:val="24"/>
          <w14:textFill>
            <w14:solidFill>
              <w14:schemeClr w14:val="tx1"/>
            </w14:solidFill>
          </w14:textFill>
        </w:rPr>
      </w:pPr>
      <w:r>
        <w:rPr>
          <w:rFonts w:hint="eastAsia" w:hAnsi="Cambria Math"/>
          <w:color w:val="000000" w:themeColor="text1"/>
          <w:kern w:val="0"/>
          <w:sz w:val="24"/>
          <w:szCs w:val="24"/>
          <w14:textFill>
            <w14:solidFill>
              <w14:schemeClr w14:val="tx1"/>
            </w14:solidFill>
          </w14:textFill>
        </w:rPr>
        <w:t>假设此次比对有A、B、C共计3个实验室，其中</w:t>
      </w:r>
      <w:r>
        <w:rPr>
          <w:rFonts w:hAnsi="Cambria Math"/>
          <w:color w:val="000000" w:themeColor="text1"/>
          <w:kern w:val="0"/>
          <w:sz w:val="24"/>
          <w:szCs w:val="24"/>
          <w14:textFill>
            <w14:solidFill>
              <w14:schemeClr w14:val="tx1"/>
            </w14:solidFill>
          </w14:textFill>
        </w:rPr>
        <w:t>A</w:t>
      </w:r>
      <w:r>
        <w:rPr>
          <w:rFonts w:hint="eastAsia" w:hAnsi="Cambria Math"/>
          <w:color w:val="000000" w:themeColor="text1"/>
          <w:kern w:val="0"/>
          <w:sz w:val="24"/>
          <w:szCs w:val="24"/>
          <w14:textFill>
            <w14:solidFill>
              <w14:schemeClr w14:val="tx1"/>
            </w14:solidFill>
          </w14:textFill>
        </w:rPr>
        <w:t>为主导实验室，B、</w:t>
      </w:r>
      <w:r>
        <w:rPr>
          <w:rFonts w:hAnsi="Cambria Math"/>
          <w:color w:val="000000" w:themeColor="text1"/>
          <w:kern w:val="0"/>
          <w:sz w:val="24"/>
          <w:szCs w:val="24"/>
          <w14:textFill>
            <w14:solidFill>
              <w14:schemeClr w14:val="tx1"/>
            </w14:solidFill>
          </w14:textFill>
        </w:rPr>
        <w:t>C</w:t>
      </w:r>
      <w:r>
        <w:rPr>
          <w:rFonts w:hint="eastAsia" w:hAnsi="Cambria Math"/>
          <w:color w:val="000000" w:themeColor="text1"/>
          <w:kern w:val="0"/>
          <w:sz w:val="24"/>
          <w:szCs w:val="24"/>
          <w14:textFill>
            <w14:solidFill>
              <w14:schemeClr w14:val="tx1"/>
            </w14:solidFill>
          </w14:textFill>
        </w:rPr>
        <w:t>为参比实验室。A、B、</w:t>
      </w:r>
      <w:r>
        <w:rPr>
          <w:rFonts w:hAnsi="Cambria Math"/>
          <w:color w:val="000000" w:themeColor="text1"/>
          <w:kern w:val="0"/>
          <w:sz w:val="24"/>
          <w:szCs w:val="24"/>
          <w14:textFill>
            <w14:solidFill>
              <w14:schemeClr w14:val="tx1"/>
            </w14:solidFill>
          </w14:textFill>
        </w:rPr>
        <w:t>C</w:t>
      </w:r>
      <w:r>
        <w:rPr>
          <w:rFonts w:hint="eastAsia" w:hAnsi="Cambria Math"/>
          <w:color w:val="000000" w:themeColor="text1"/>
          <w:kern w:val="0"/>
          <w:sz w:val="24"/>
          <w:szCs w:val="24"/>
          <w14:textFill>
            <w14:solidFill>
              <w14:schemeClr w14:val="tx1"/>
            </w14:solidFill>
          </w14:textFill>
        </w:rPr>
        <w:t>实验室的比对测得值数量分别为</w:t>
      </w:r>
      <w:r>
        <w:rPr>
          <w:rFonts w:hAnsi="Cambria Math"/>
          <w:color w:val="000000" w:themeColor="text1"/>
          <w:kern w:val="0"/>
          <w:sz w:val="24"/>
          <w:szCs w:val="24"/>
          <w14:textFill>
            <w14:solidFill>
              <w14:schemeClr w14:val="tx1"/>
            </w14:solidFill>
          </w14:textFill>
        </w:rPr>
        <w:t>6</w:t>
      </w:r>
      <w:r>
        <w:rPr>
          <w:rFonts w:hint="eastAsia" w:hAnsi="Cambria Math"/>
          <w:color w:val="000000" w:themeColor="text1"/>
          <w:kern w:val="0"/>
          <w:sz w:val="24"/>
          <w:szCs w:val="24"/>
          <w14:textFill>
            <w14:solidFill>
              <w14:schemeClr w14:val="tx1"/>
            </w14:solidFill>
          </w14:textFill>
        </w:rPr>
        <w:t>个、3个和3个，测量数据如表1所示：</w:t>
      </w:r>
    </w:p>
    <w:p>
      <w:pPr>
        <w:pStyle w:val="50"/>
        <w:spacing w:line="360" w:lineRule="auto"/>
        <w:ind w:firstLine="480" w:firstLineChars="200"/>
        <w:jc w:val="center"/>
        <w:rPr>
          <w:rFonts w:hAnsi="Cambria Math"/>
          <w:color w:val="000000" w:themeColor="text1"/>
          <w:kern w:val="0"/>
          <w:sz w:val="24"/>
          <w:szCs w:val="24"/>
          <w14:textFill>
            <w14:solidFill>
              <w14:schemeClr w14:val="tx1"/>
            </w14:solidFill>
          </w14:textFill>
        </w:rPr>
      </w:pPr>
      <w:r>
        <w:rPr>
          <w:rFonts w:hint="eastAsia" w:hAnsi="Cambria Math"/>
          <w:color w:val="000000" w:themeColor="text1"/>
          <w:kern w:val="0"/>
          <w:sz w:val="24"/>
          <w:szCs w:val="24"/>
          <w14:textFill>
            <w14:solidFill>
              <w14:schemeClr w14:val="tx1"/>
            </w14:solidFill>
          </w14:textFill>
        </w:rPr>
        <w:t>表E</w:t>
      </w:r>
      <w:r>
        <w:rPr>
          <w:rFonts w:hAnsi="Cambria Math"/>
          <w:color w:val="000000" w:themeColor="text1"/>
          <w:kern w:val="0"/>
          <w:sz w:val="24"/>
          <w:szCs w:val="24"/>
          <w14:textFill>
            <w14:solidFill>
              <w14:schemeClr w14:val="tx1"/>
            </w14:solidFill>
          </w14:textFill>
        </w:rPr>
        <w:t>.</w:t>
      </w:r>
      <w:r>
        <w:rPr>
          <w:rFonts w:hint="eastAsia" w:hAnsi="Cambria Math"/>
          <w:color w:val="000000" w:themeColor="text1"/>
          <w:kern w:val="0"/>
          <w:sz w:val="24"/>
          <w:szCs w:val="24"/>
          <w14:textFill>
            <w14:solidFill>
              <w14:schemeClr w14:val="tx1"/>
            </w14:solidFill>
          </w14:textFill>
        </w:rPr>
        <w:t>1</w:t>
      </w:r>
      <w:r>
        <w:rPr>
          <w:rFonts w:hAnsi="Cambria Math"/>
          <w:color w:val="000000" w:themeColor="text1"/>
          <w:kern w:val="0"/>
          <w:sz w:val="24"/>
          <w:szCs w:val="24"/>
          <w14:textFill>
            <w14:solidFill>
              <w14:schemeClr w14:val="tx1"/>
            </w14:solidFill>
          </w14:textFill>
        </w:rPr>
        <w:t xml:space="preserve"> </w:t>
      </w:r>
      <w:r>
        <w:rPr>
          <w:rFonts w:hint="eastAsia" w:hAnsi="Cambria Math"/>
          <w:color w:val="000000" w:themeColor="text1"/>
          <w:kern w:val="0"/>
          <w:sz w:val="24"/>
          <w:szCs w:val="24"/>
          <w14:textFill>
            <w14:solidFill>
              <w14:schemeClr w14:val="tx1"/>
            </w14:solidFill>
          </w14:textFill>
        </w:rPr>
        <w:t>比对数据</w:t>
      </w:r>
    </w:p>
    <w:tbl>
      <w:tblPr>
        <w:tblStyle w:val="20"/>
        <w:tblW w:w="7366" w:type="dxa"/>
        <w:jc w:val="center"/>
        <w:tblLayout w:type="autofit"/>
        <w:tblCellMar>
          <w:top w:w="0" w:type="dxa"/>
          <w:left w:w="108" w:type="dxa"/>
          <w:bottom w:w="0" w:type="dxa"/>
          <w:right w:w="108" w:type="dxa"/>
        </w:tblCellMar>
      </w:tblPr>
      <w:tblGrid>
        <w:gridCol w:w="1855"/>
        <w:gridCol w:w="1314"/>
        <w:gridCol w:w="1314"/>
        <w:gridCol w:w="1314"/>
        <w:gridCol w:w="1569"/>
      </w:tblGrid>
      <w:tr>
        <w:trPr>
          <w:trHeight w:val="555" w:hRule="atLeast"/>
          <w:jc w:val="center"/>
        </w:trPr>
        <w:tc>
          <w:tcPr>
            <w:tcW w:w="185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left"/>
              <w:rPr>
                <w:color w:val="000000"/>
                <w:kern w:val="0"/>
                <w:szCs w:val="21"/>
              </w:rPr>
            </w:pPr>
            <w:r>
              <w:rPr>
                <w:rFonts w:hint="eastAsia"/>
                <w:color w:val="000000"/>
                <w:kern w:val="0"/>
                <w:szCs w:val="21"/>
              </w:rPr>
              <w:t>实验室</w:t>
            </w:r>
          </w:p>
        </w:tc>
        <w:tc>
          <w:tcPr>
            <w:tcW w:w="1314" w:type="dxa"/>
            <w:tcBorders>
              <w:top w:val="single" w:color="auto" w:sz="4" w:space="0"/>
              <w:left w:val="nil"/>
              <w:bottom w:val="single" w:color="auto" w:sz="4" w:space="0"/>
              <w:right w:val="single" w:color="auto" w:sz="4" w:space="0"/>
            </w:tcBorders>
            <w:shd w:val="clear" w:color="auto" w:fill="auto"/>
            <w:vAlign w:val="center"/>
          </w:tcPr>
          <w:p>
            <w:pPr>
              <w:widowControl/>
              <w:jc w:val="center"/>
              <w:rPr>
                <w:color w:val="000000"/>
                <w:kern w:val="0"/>
                <w:szCs w:val="21"/>
              </w:rPr>
            </w:pPr>
            <w:r>
              <w:rPr>
                <w:rFonts w:hint="eastAsia"/>
                <w:color w:val="000000"/>
                <w:kern w:val="0"/>
                <w:szCs w:val="21"/>
              </w:rPr>
              <w:t>序号</w:t>
            </w:r>
          </w:p>
        </w:tc>
        <w:tc>
          <w:tcPr>
            <w:tcW w:w="1314" w:type="dxa"/>
            <w:tcBorders>
              <w:top w:val="single" w:color="auto" w:sz="4" w:space="0"/>
              <w:left w:val="nil"/>
              <w:bottom w:val="single" w:color="auto" w:sz="4" w:space="0"/>
              <w:right w:val="single" w:color="auto" w:sz="4" w:space="0"/>
            </w:tcBorders>
            <w:shd w:val="clear" w:color="auto" w:fill="auto"/>
            <w:vAlign w:val="center"/>
          </w:tcPr>
          <w:p>
            <w:pPr>
              <w:widowControl/>
              <w:jc w:val="left"/>
              <w:rPr>
                <w:color w:val="000000"/>
                <w:kern w:val="0"/>
                <w:szCs w:val="21"/>
              </w:rPr>
            </w:pPr>
            <m:oMathPara>
              <m:oMath>
                <m:sSub>
                  <m:sSubPr>
                    <m:ctrlPr>
                      <w:rPr>
                        <w:rFonts w:ascii="Cambria Math" w:hAnsi="Cambria Math"/>
                        <w:i/>
                        <w:iCs/>
                        <w:color w:val="000000"/>
                        <w:kern w:val="0"/>
                        <w:szCs w:val="21"/>
                      </w:rPr>
                    </m:ctrlPr>
                  </m:sSubPr>
                  <m:e>
                    <m:r>
                      <m:rPr/>
                      <w:rPr>
                        <w:rFonts w:ascii="Cambria Math" w:hAnsi="Cambria Math"/>
                        <w:color w:val="000000"/>
                        <w:kern w:val="0"/>
                        <w:szCs w:val="21"/>
                      </w:rPr>
                      <m:t>x</m:t>
                    </m:r>
                    <m:ctrlPr>
                      <w:rPr>
                        <w:rFonts w:ascii="Cambria Math" w:hAnsi="Cambria Math"/>
                        <w:i/>
                        <w:iCs/>
                        <w:color w:val="000000"/>
                        <w:kern w:val="0"/>
                        <w:szCs w:val="21"/>
                      </w:rPr>
                    </m:ctrlPr>
                  </m:e>
                  <m:sub>
                    <m:r>
                      <m:rPr/>
                      <w:rPr>
                        <w:rFonts w:hint="eastAsia" w:ascii="Cambria Math" w:hAnsi="Cambria Math"/>
                        <w:color w:val="000000"/>
                        <w:kern w:val="0"/>
                        <w:szCs w:val="21"/>
                      </w:rPr>
                      <m:t>i</m:t>
                    </m:r>
                    <m:ctrlPr>
                      <w:rPr>
                        <w:rFonts w:ascii="Cambria Math" w:hAnsi="Cambria Math"/>
                        <w:i/>
                        <w:iCs/>
                        <w:color w:val="000000"/>
                        <w:kern w:val="0"/>
                        <w:szCs w:val="21"/>
                      </w:rPr>
                    </m:ctrlPr>
                  </m:sub>
                </m:sSub>
              </m:oMath>
            </m:oMathPara>
          </w:p>
        </w:tc>
        <w:tc>
          <w:tcPr>
            <w:tcW w:w="1314" w:type="dxa"/>
            <w:tcBorders>
              <w:top w:val="single" w:color="auto" w:sz="4" w:space="0"/>
              <w:left w:val="nil"/>
              <w:bottom w:val="single" w:color="auto" w:sz="4" w:space="0"/>
              <w:right w:val="single" w:color="auto" w:sz="4" w:space="0"/>
            </w:tcBorders>
            <w:shd w:val="clear" w:color="auto" w:fill="auto"/>
            <w:vAlign w:val="center"/>
          </w:tcPr>
          <w:p>
            <w:pPr>
              <w:widowControl/>
              <w:jc w:val="center"/>
              <w:rPr>
                <w:color w:val="000000"/>
                <w:kern w:val="0"/>
                <w:szCs w:val="21"/>
              </w:rPr>
            </w:pPr>
            <m:oMathPara>
              <m:oMath>
                <m:sSub>
                  <m:sSubPr>
                    <m:ctrlPr>
                      <w:rPr>
                        <w:rFonts w:ascii="Cambria Math" w:hAnsi="Cambria Math"/>
                        <w:i/>
                        <w:iCs/>
                        <w:color w:val="000000"/>
                        <w:kern w:val="0"/>
                        <w:szCs w:val="21"/>
                      </w:rPr>
                    </m:ctrlPr>
                  </m:sSubPr>
                  <m:e>
                    <m:r>
                      <m:rPr/>
                      <w:rPr>
                        <w:rFonts w:hint="eastAsia" w:ascii="Cambria Math" w:hAnsi="Cambria Math"/>
                        <w:color w:val="000000"/>
                        <w:kern w:val="0"/>
                        <w:szCs w:val="21"/>
                      </w:rPr>
                      <m:t>y</m:t>
                    </m:r>
                    <m:ctrlPr>
                      <w:rPr>
                        <w:rFonts w:ascii="Cambria Math" w:hAnsi="Cambria Math"/>
                        <w:i/>
                        <w:iCs/>
                        <w:color w:val="000000"/>
                        <w:kern w:val="0"/>
                        <w:szCs w:val="21"/>
                      </w:rPr>
                    </m:ctrlPr>
                  </m:e>
                  <m:sub>
                    <m:r>
                      <m:rPr/>
                      <w:rPr>
                        <w:rFonts w:hint="eastAsia" w:ascii="Cambria Math" w:hAnsi="Cambria Math"/>
                        <w:color w:val="000000"/>
                        <w:kern w:val="0"/>
                        <w:szCs w:val="21"/>
                      </w:rPr>
                      <m:t>i</m:t>
                    </m:r>
                    <m:ctrlPr>
                      <w:rPr>
                        <w:rFonts w:ascii="Cambria Math" w:hAnsi="Cambria Math"/>
                        <w:i/>
                        <w:iCs/>
                        <w:color w:val="000000"/>
                        <w:kern w:val="0"/>
                        <w:szCs w:val="21"/>
                      </w:rPr>
                    </m:ctrlPr>
                  </m:sub>
                </m:sSub>
              </m:oMath>
            </m:oMathPara>
          </w:p>
        </w:tc>
        <w:tc>
          <w:tcPr>
            <w:tcW w:w="1569" w:type="dxa"/>
            <w:tcBorders>
              <w:top w:val="single" w:color="auto" w:sz="4" w:space="0"/>
              <w:left w:val="nil"/>
              <w:bottom w:val="single" w:color="auto" w:sz="4" w:space="0"/>
              <w:right w:val="single" w:color="auto" w:sz="4" w:space="0"/>
            </w:tcBorders>
            <w:shd w:val="clear" w:color="auto" w:fill="auto"/>
            <w:vAlign w:val="center"/>
          </w:tcPr>
          <w:p>
            <w:pPr>
              <w:widowControl/>
              <w:jc w:val="left"/>
              <w:rPr>
                <w:i/>
                <w:iCs/>
                <w:color w:val="000000"/>
                <w:kern w:val="0"/>
                <w:szCs w:val="21"/>
              </w:rPr>
            </w:pPr>
            <w:r>
              <w:rPr>
                <w:i/>
                <w:iCs/>
                <w:color w:val="000000"/>
                <w:kern w:val="0"/>
                <w:szCs w:val="21"/>
              </w:rPr>
              <w:t>U</w:t>
            </w:r>
            <w:r>
              <w:rPr>
                <w:rFonts w:hint="eastAsia"/>
                <w:color w:val="000000"/>
                <w:kern w:val="0"/>
                <w:szCs w:val="21"/>
              </w:rPr>
              <w:t>(</w:t>
            </w:r>
            <m:oMath>
              <m:sSub>
                <m:sSubPr>
                  <m:ctrlPr>
                    <w:rPr>
                      <w:rFonts w:ascii="Cambria Math" w:hAnsi="Cambria Math"/>
                      <w:i/>
                      <w:iCs/>
                      <w:color w:val="000000"/>
                      <w:kern w:val="0"/>
                      <w:szCs w:val="21"/>
                    </w:rPr>
                  </m:ctrlPr>
                </m:sSubPr>
                <m:e>
                  <m:r>
                    <m:rPr/>
                    <w:rPr>
                      <w:rFonts w:hint="eastAsia" w:ascii="Cambria Math" w:hAnsi="Cambria Math"/>
                      <w:color w:val="000000"/>
                      <w:kern w:val="0"/>
                      <w:szCs w:val="21"/>
                    </w:rPr>
                    <m:t>y</m:t>
                  </m:r>
                  <m:ctrlPr>
                    <w:rPr>
                      <w:rFonts w:ascii="Cambria Math" w:hAnsi="Cambria Math"/>
                      <w:i/>
                      <w:iCs/>
                      <w:color w:val="000000"/>
                      <w:kern w:val="0"/>
                      <w:szCs w:val="21"/>
                    </w:rPr>
                  </m:ctrlPr>
                </m:e>
                <m:sub>
                  <m:r>
                    <m:rPr/>
                    <w:rPr>
                      <w:rFonts w:hint="eastAsia" w:ascii="Cambria Math" w:hAnsi="Cambria Math"/>
                      <w:color w:val="000000"/>
                      <w:kern w:val="0"/>
                      <w:szCs w:val="21"/>
                    </w:rPr>
                    <m:t>i</m:t>
                  </m:r>
                  <m:ctrlPr>
                    <w:rPr>
                      <w:rFonts w:ascii="Cambria Math" w:hAnsi="Cambria Math"/>
                      <w:i/>
                      <w:iCs/>
                      <w:color w:val="000000"/>
                      <w:kern w:val="0"/>
                      <w:szCs w:val="21"/>
                    </w:rPr>
                  </m:ctrlPr>
                </m:sub>
              </m:sSub>
            </m:oMath>
            <w:r>
              <w:rPr>
                <w:rFonts w:hint="eastAsia"/>
                <w:color w:val="000000"/>
                <w:kern w:val="0"/>
                <w:szCs w:val="21"/>
              </w:rPr>
              <w:t>)</w:t>
            </w:r>
            <w:r>
              <w:rPr>
                <w:i/>
                <w:iCs/>
                <w:color w:val="000000"/>
                <w:kern w:val="0"/>
                <w:szCs w:val="21"/>
              </w:rPr>
              <w:t xml:space="preserve"> </w:t>
            </w:r>
            <w:r>
              <w:rPr>
                <w:color w:val="000000"/>
                <w:kern w:val="0"/>
                <w:szCs w:val="21"/>
              </w:rPr>
              <w:t>(</w:t>
            </w:r>
            <w:r>
              <w:rPr>
                <w:i/>
                <w:iCs/>
                <w:color w:val="000000"/>
                <w:kern w:val="0"/>
                <w:szCs w:val="21"/>
              </w:rPr>
              <w:t>k</w:t>
            </w:r>
            <w:r>
              <w:rPr>
                <w:color w:val="000000"/>
                <w:kern w:val="0"/>
                <w:szCs w:val="21"/>
              </w:rPr>
              <w:t>=2)</w:t>
            </w:r>
          </w:p>
        </w:tc>
      </w:tr>
      <w:tr>
        <w:tblPrEx>
          <w:tblCellMar>
            <w:top w:w="0" w:type="dxa"/>
            <w:left w:w="108" w:type="dxa"/>
            <w:bottom w:w="0" w:type="dxa"/>
            <w:right w:w="108" w:type="dxa"/>
          </w:tblCellMar>
        </w:tblPrEx>
        <w:trPr>
          <w:trHeight w:val="270" w:hRule="atLeast"/>
          <w:jc w:val="center"/>
        </w:trPr>
        <w:tc>
          <w:tcPr>
            <w:tcW w:w="1855" w:type="dxa"/>
            <w:vMerge w:val="restart"/>
            <w:tcBorders>
              <w:top w:val="single" w:color="auto" w:sz="4" w:space="0"/>
              <w:left w:val="single" w:color="auto" w:sz="4" w:space="0"/>
              <w:right w:val="single" w:color="auto" w:sz="4" w:space="0"/>
            </w:tcBorders>
            <w:shd w:val="clear" w:color="000000" w:fill="FFFFFF" w:themeFill="background1"/>
            <w:vAlign w:val="center"/>
          </w:tcPr>
          <w:p>
            <w:pPr>
              <w:widowControl/>
              <w:jc w:val="left"/>
              <w:rPr>
                <w:color w:val="000000"/>
                <w:kern w:val="0"/>
                <w:szCs w:val="21"/>
              </w:rPr>
            </w:pPr>
            <w:r>
              <w:rPr>
                <w:color w:val="000000"/>
                <w:kern w:val="0"/>
                <w:szCs w:val="21"/>
              </w:rPr>
              <w:t>A</w:t>
            </w:r>
          </w:p>
        </w:tc>
        <w:tc>
          <w:tcPr>
            <w:tcW w:w="1314" w:type="dxa"/>
            <w:tcBorders>
              <w:top w:val="single" w:color="auto" w:sz="4" w:space="0"/>
              <w:left w:val="nil"/>
              <w:bottom w:val="single" w:color="auto" w:sz="4" w:space="0"/>
              <w:right w:val="single" w:color="auto" w:sz="4" w:space="0"/>
            </w:tcBorders>
            <w:shd w:val="clear" w:color="000000" w:fill="FFFFFF" w:themeFill="background1"/>
            <w:vAlign w:val="center"/>
          </w:tcPr>
          <w:p>
            <w:pPr>
              <w:widowControl/>
              <w:jc w:val="left"/>
              <w:rPr>
                <w:color w:val="000000"/>
                <w:kern w:val="0"/>
                <w:szCs w:val="21"/>
              </w:rPr>
            </w:pPr>
            <w:r>
              <w:rPr>
                <w:color w:val="000000"/>
                <w:kern w:val="0"/>
                <w:szCs w:val="21"/>
              </w:rPr>
              <w:t>1</w:t>
            </w:r>
          </w:p>
        </w:tc>
        <w:tc>
          <w:tcPr>
            <w:tcW w:w="1314" w:type="dxa"/>
            <w:tcBorders>
              <w:top w:val="single" w:color="auto" w:sz="4" w:space="0"/>
              <w:left w:val="nil"/>
              <w:bottom w:val="single" w:color="auto" w:sz="4" w:space="0"/>
              <w:right w:val="single" w:color="auto" w:sz="4" w:space="0"/>
            </w:tcBorders>
            <w:shd w:val="clear" w:color="000000" w:fill="FFFFFF" w:themeFill="background1"/>
          </w:tcPr>
          <w:p>
            <w:pPr>
              <w:widowControl/>
              <w:rPr>
                <w:color w:val="000000"/>
                <w:kern w:val="0"/>
                <w:szCs w:val="21"/>
              </w:rPr>
            </w:pPr>
            <m:oMathPara>
              <m:oMath>
                <m:r>
                  <m:rPr/>
                  <w:rPr>
                    <w:rFonts w:ascii="Cambria Math" w:hAnsi="Cambria Math"/>
                    <w:szCs w:val="21"/>
                  </w:rPr>
                  <m:t>3.59×</m:t>
                </m:r>
                <m:sSup>
                  <m:sSupPr>
                    <m:ctrlPr>
                      <w:rPr>
                        <w:rFonts w:ascii="Cambria Math" w:hAnsi="Cambria Math"/>
                        <w:i/>
                        <w:szCs w:val="21"/>
                      </w:rPr>
                    </m:ctrlPr>
                  </m:sSupPr>
                  <m:e>
                    <m:r>
                      <m:rPr/>
                      <w:rPr>
                        <w:rFonts w:ascii="Cambria Math" w:hAnsi="Cambria Math"/>
                        <w:szCs w:val="21"/>
                      </w:rPr>
                      <m:t>10</m:t>
                    </m:r>
                    <m:ctrlPr>
                      <w:rPr>
                        <w:rFonts w:ascii="Cambria Math" w:hAnsi="Cambria Math"/>
                        <w:i/>
                        <w:szCs w:val="21"/>
                      </w:rPr>
                    </m:ctrlPr>
                  </m:e>
                  <m:sup>
                    <m:r>
                      <m:rPr/>
                      <w:rPr>
                        <w:rFonts w:ascii="Cambria Math" w:hAnsi="Cambria Math"/>
                        <w:szCs w:val="21"/>
                      </w:rPr>
                      <m:t>−3</m:t>
                    </m:r>
                    <m:ctrlPr>
                      <w:rPr>
                        <w:rFonts w:ascii="Cambria Math" w:hAnsi="Cambria Math"/>
                        <w:i/>
                        <w:szCs w:val="21"/>
                      </w:rPr>
                    </m:ctrlPr>
                  </m:sup>
                </m:sSup>
              </m:oMath>
            </m:oMathPara>
          </w:p>
        </w:tc>
        <w:tc>
          <w:tcPr>
            <w:tcW w:w="1314" w:type="dxa"/>
            <w:tcBorders>
              <w:top w:val="single" w:color="auto" w:sz="4" w:space="0"/>
              <w:left w:val="nil"/>
              <w:bottom w:val="single" w:color="auto" w:sz="4" w:space="0"/>
              <w:right w:val="single" w:color="auto" w:sz="4" w:space="0"/>
            </w:tcBorders>
            <w:shd w:val="clear" w:color="000000" w:fill="FFFFFF" w:themeFill="background1"/>
          </w:tcPr>
          <w:p>
            <w:pPr>
              <w:widowControl/>
              <w:jc w:val="left"/>
              <w:rPr>
                <w:color w:val="000000"/>
                <w:kern w:val="0"/>
                <w:szCs w:val="21"/>
              </w:rPr>
            </w:pPr>
            <w:r>
              <w:rPr>
                <w:szCs w:val="21"/>
              </w:rPr>
              <w:t xml:space="preserve">0.9810 </w:t>
            </w:r>
          </w:p>
        </w:tc>
        <w:tc>
          <w:tcPr>
            <w:tcW w:w="1569" w:type="dxa"/>
            <w:tcBorders>
              <w:top w:val="single" w:color="auto" w:sz="4" w:space="0"/>
              <w:left w:val="nil"/>
              <w:bottom w:val="single" w:color="auto" w:sz="4" w:space="0"/>
              <w:right w:val="single" w:color="auto" w:sz="4" w:space="0"/>
            </w:tcBorders>
            <w:shd w:val="clear" w:color="000000" w:fill="FFFFFF" w:themeFill="background1"/>
          </w:tcPr>
          <w:p>
            <w:pPr>
              <w:widowControl/>
              <w:jc w:val="left"/>
              <w:rPr>
                <w:color w:val="000000"/>
                <w:kern w:val="0"/>
                <w:szCs w:val="21"/>
              </w:rPr>
            </w:pPr>
            <w:r>
              <w:rPr>
                <w:szCs w:val="21"/>
              </w:rPr>
              <w:t>0.0008</w:t>
            </w:r>
          </w:p>
        </w:tc>
      </w:tr>
      <w:tr>
        <w:tblPrEx>
          <w:tblCellMar>
            <w:top w:w="0" w:type="dxa"/>
            <w:left w:w="108" w:type="dxa"/>
            <w:bottom w:w="0" w:type="dxa"/>
            <w:right w:w="108" w:type="dxa"/>
          </w:tblCellMar>
        </w:tblPrEx>
        <w:trPr>
          <w:trHeight w:val="270" w:hRule="atLeast"/>
          <w:jc w:val="center"/>
        </w:trPr>
        <w:tc>
          <w:tcPr>
            <w:tcW w:w="1855" w:type="dxa"/>
            <w:vMerge w:val="continue"/>
            <w:tcBorders>
              <w:left w:val="single" w:color="auto" w:sz="4" w:space="0"/>
              <w:right w:val="single" w:color="auto" w:sz="4" w:space="0"/>
            </w:tcBorders>
            <w:shd w:val="clear" w:color="000000" w:fill="FFFFFF" w:themeFill="background1"/>
            <w:vAlign w:val="center"/>
          </w:tcPr>
          <w:p>
            <w:pPr>
              <w:widowControl/>
              <w:jc w:val="left"/>
              <w:rPr>
                <w:color w:val="000000"/>
                <w:kern w:val="0"/>
                <w:szCs w:val="21"/>
              </w:rPr>
            </w:pPr>
          </w:p>
        </w:tc>
        <w:tc>
          <w:tcPr>
            <w:tcW w:w="1314" w:type="dxa"/>
            <w:tcBorders>
              <w:top w:val="nil"/>
              <w:left w:val="nil"/>
              <w:bottom w:val="single" w:color="auto" w:sz="4" w:space="0"/>
              <w:right w:val="single" w:color="auto" w:sz="4" w:space="0"/>
            </w:tcBorders>
            <w:shd w:val="clear" w:color="000000" w:fill="FFFFFF" w:themeFill="background1"/>
            <w:vAlign w:val="center"/>
          </w:tcPr>
          <w:p>
            <w:pPr>
              <w:widowControl/>
              <w:jc w:val="left"/>
              <w:rPr>
                <w:color w:val="000000"/>
                <w:kern w:val="0"/>
                <w:szCs w:val="21"/>
              </w:rPr>
            </w:pPr>
            <w:r>
              <w:rPr>
                <w:rFonts w:hint="eastAsia"/>
                <w:color w:val="000000"/>
                <w:kern w:val="0"/>
                <w:szCs w:val="21"/>
              </w:rPr>
              <w:t>2</w:t>
            </w:r>
          </w:p>
        </w:tc>
        <w:tc>
          <w:tcPr>
            <w:tcW w:w="1314" w:type="dxa"/>
            <w:tcBorders>
              <w:top w:val="nil"/>
              <w:left w:val="nil"/>
              <w:bottom w:val="single" w:color="auto" w:sz="4" w:space="0"/>
              <w:right w:val="single" w:color="auto" w:sz="4" w:space="0"/>
            </w:tcBorders>
            <w:shd w:val="clear" w:color="000000" w:fill="FFFFFF" w:themeFill="background1"/>
          </w:tcPr>
          <w:p>
            <w:pPr>
              <w:widowControl/>
              <w:rPr>
                <w:color w:val="000000"/>
                <w:kern w:val="0"/>
                <w:szCs w:val="21"/>
              </w:rPr>
            </w:pPr>
            <m:oMathPara>
              <m:oMath>
                <m:r>
                  <m:rPr/>
                  <w:rPr>
                    <w:rFonts w:ascii="Cambria Math" w:hAnsi="Cambria Math"/>
                    <w:szCs w:val="21"/>
                  </w:rPr>
                  <m:t>2.88×</m:t>
                </m:r>
                <m:sSup>
                  <m:sSupPr>
                    <m:ctrlPr>
                      <w:rPr>
                        <w:rFonts w:ascii="Cambria Math" w:hAnsi="Cambria Math"/>
                        <w:i/>
                        <w:szCs w:val="21"/>
                      </w:rPr>
                    </m:ctrlPr>
                  </m:sSupPr>
                  <m:e>
                    <m:r>
                      <m:rPr/>
                      <w:rPr>
                        <w:rFonts w:ascii="Cambria Math" w:hAnsi="Cambria Math"/>
                        <w:szCs w:val="21"/>
                      </w:rPr>
                      <m:t>10</m:t>
                    </m:r>
                    <m:ctrlPr>
                      <w:rPr>
                        <w:rFonts w:ascii="Cambria Math" w:hAnsi="Cambria Math"/>
                        <w:i/>
                        <w:szCs w:val="21"/>
                      </w:rPr>
                    </m:ctrlPr>
                  </m:e>
                  <m:sup>
                    <m:r>
                      <m:rPr/>
                      <w:rPr>
                        <w:rFonts w:ascii="Cambria Math" w:hAnsi="Cambria Math"/>
                        <w:szCs w:val="21"/>
                      </w:rPr>
                      <m:t>−3</m:t>
                    </m:r>
                    <m:ctrlPr>
                      <w:rPr>
                        <w:rFonts w:ascii="Cambria Math" w:hAnsi="Cambria Math"/>
                        <w:i/>
                        <w:szCs w:val="21"/>
                      </w:rPr>
                    </m:ctrlPr>
                  </m:sup>
                </m:sSup>
              </m:oMath>
            </m:oMathPara>
          </w:p>
        </w:tc>
        <w:tc>
          <w:tcPr>
            <w:tcW w:w="1314" w:type="dxa"/>
            <w:tcBorders>
              <w:top w:val="nil"/>
              <w:left w:val="nil"/>
              <w:bottom w:val="single" w:color="auto" w:sz="4" w:space="0"/>
              <w:right w:val="single" w:color="auto" w:sz="4" w:space="0"/>
            </w:tcBorders>
            <w:shd w:val="clear" w:color="000000" w:fill="FFFFFF" w:themeFill="background1"/>
          </w:tcPr>
          <w:p>
            <w:pPr>
              <w:widowControl/>
              <w:jc w:val="left"/>
              <w:rPr>
                <w:color w:val="000000"/>
                <w:kern w:val="0"/>
                <w:szCs w:val="21"/>
              </w:rPr>
            </w:pPr>
            <w:r>
              <w:rPr>
                <w:szCs w:val="21"/>
              </w:rPr>
              <w:t xml:space="preserve">0.9839 </w:t>
            </w:r>
          </w:p>
        </w:tc>
        <w:tc>
          <w:tcPr>
            <w:tcW w:w="1569" w:type="dxa"/>
            <w:tcBorders>
              <w:top w:val="nil"/>
              <w:left w:val="nil"/>
              <w:bottom w:val="single" w:color="auto" w:sz="4" w:space="0"/>
              <w:right w:val="single" w:color="auto" w:sz="4" w:space="0"/>
            </w:tcBorders>
            <w:shd w:val="clear" w:color="000000" w:fill="FFFFFF" w:themeFill="background1"/>
          </w:tcPr>
          <w:p>
            <w:pPr>
              <w:widowControl/>
              <w:jc w:val="left"/>
              <w:rPr>
                <w:color w:val="000000"/>
                <w:kern w:val="0"/>
                <w:szCs w:val="21"/>
              </w:rPr>
            </w:pPr>
            <w:r>
              <w:rPr>
                <w:szCs w:val="21"/>
              </w:rPr>
              <w:t>0.0008</w:t>
            </w:r>
          </w:p>
        </w:tc>
      </w:tr>
      <w:tr>
        <w:tblPrEx>
          <w:tblCellMar>
            <w:top w:w="0" w:type="dxa"/>
            <w:left w:w="108" w:type="dxa"/>
            <w:bottom w:w="0" w:type="dxa"/>
            <w:right w:w="108" w:type="dxa"/>
          </w:tblCellMar>
        </w:tblPrEx>
        <w:trPr>
          <w:trHeight w:val="270" w:hRule="atLeast"/>
          <w:jc w:val="center"/>
        </w:trPr>
        <w:tc>
          <w:tcPr>
            <w:tcW w:w="1855" w:type="dxa"/>
            <w:vMerge w:val="continue"/>
            <w:tcBorders>
              <w:left w:val="single" w:color="auto" w:sz="4" w:space="0"/>
              <w:right w:val="single" w:color="auto" w:sz="4" w:space="0"/>
            </w:tcBorders>
            <w:shd w:val="clear" w:color="000000" w:fill="FFFFFF" w:themeFill="background1"/>
            <w:vAlign w:val="center"/>
          </w:tcPr>
          <w:p>
            <w:pPr>
              <w:widowControl/>
              <w:jc w:val="left"/>
              <w:rPr>
                <w:color w:val="000000"/>
                <w:kern w:val="0"/>
                <w:szCs w:val="21"/>
              </w:rPr>
            </w:pPr>
          </w:p>
        </w:tc>
        <w:tc>
          <w:tcPr>
            <w:tcW w:w="1314" w:type="dxa"/>
            <w:tcBorders>
              <w:top w:val="nil"/>
              <w:left w:val="nil"/>
              <w:bottom w:val="single" w:color="auto" w:sz="4" w:space="0"/>
              <w:right w:val="single" w:color="auto" w:sz="4" w:space="0"/>
            </w:tcBorders>
            <w:shd w:val="clear" w:color="000000" w:fill="FFFFFF" w:themeFill="background1"/>
            <w:vAlign w:val="center"/>
          </w:tcPr>
          <w:p>
            <w:pPr>
              <w:widowControl/>
              <w:jc w:val="left"/>
              <w:rPr>
                <w:color w:val="000000"/>
                <w:kern w:val="0"/>
                <w:szCs w:val="21"/>
              </w:rPr>
            </w:pPr>
            <w:r>
              <w:rPr>
                <w:rFonts w:hint="eastAsia"/>
                <w:color w:val="000000"/>
                <w:kern w:val="0"/>
                <w:szCs w:val="21"/>
              </w:rPr>
              <w:t>3</w:t>
            </w:r>
          </w:p>
        </w:tc>
        <w:tc>
          <w:tcPr>
            <w:tcW w:w="1314" w:type="dxa"/>
            <w:tcBorders>
              <w:top w:val="nil"/>
              <w:left w:val="nil"/>
              <w:bottom w:val="single" w:color="auto" w:sz="4" w:space="0"/>
              <w:right w:val="single" w:color="auto" w:sz="4" w:space="0"/>
            </w:tcBorders>
            <w:shd w:val="clear" w:color="000000" w:fill="FFFFFF" w:themeFill="background1"/>
          </w:tcPr>
          <w:p>
            <w:pPr>
              <w:widowControl/>
              <w:rPr>
                <w:color w:val="000000"/>
                <w:kern w:val="0"/>
                <w:szCs w:val="21"/>
              </w:rPr>
            </w:pPr>
            <m:oMathPara>
              <m:oMath>
                <m:r>
                  <m:rPr/>
                  <w:rPr>
                    <w:rFonts w:ascii="Cambria Math" w:hAnsi="Cambria Math"/>
                    <w:szCs w:val="21"/>
                  </w:rPr>
                  <m:t>1.97×</m:t>
                </m:r>
                <m:sSup>
                  <m:sSupPr>
                    <m:ctrlPr>
                      <w:rPr>
                        <w:rFonts w:ascii="Cambria Math" w:hAnsi="Cambria Math"/>
                        <w:i/>
                        <w:szCs w:val="21"/>
                      </w:rPr>
                    </m:ctrlPr>
                  </m:sSupPr>
                  <m:e>
                    <m:r>
                      <m:rPr/>
                      <w:rPr>
                        <w:rFonts w:ascii="Cambria Math" w:hAnsi="Cambria Math"/>
                        <w:szCs w:val="21"/>
                      </w:rPr>
                      <m:t>10</m:t>
                    </m:r>
                    <m:ctrlPr>
                      <w:rPr>
                        <w:rFonts w:ascii="Cambria Math" w:hAnsi="Cambria Math"/>
                        <w:i/>
                        <w:szCs w:val="21"/>
                      </w:rPr>
                    </m:ctrlPr>
                  </m:e>
                  <m:sup>
                    <m:r>
                      <m:rPr/>
                      <w:rPr>
                        <w:rFonts w:ascii="Cambria Math" w:hAnsi="Cambria Math"/>
                        <w:szCs w:val="21"/>
                      </w:rPr>
                      <m:t>−3</m:t>
                    </m:r>
                    <m:ctrlPr>
                      <w:rPr>
                        <w:rFonts w:ascii="Cambria Math" w:hAnsi="Cambria Math"/>
                        <w:i/>
                        <w:szCs w:val="21"/>
                      </w:rPr>
                    </m:ctrlPr>
                  </m:sup>
                </m:sSup>
              </m:oMath>
            </m:oMathPara>
          </w:p>
        </w:tc>
        <w:tc>
          <w:tcPr>
            <w:tcW w:w="1314" w:type="dxa"/>
            <w:tcBorders>
              <w:top w:val="nil"/>
              <w:left w:val="nil"/>
              <w:bottom w:val="single" w:color="auto" w:sz="4" w:space="0"/>
              <w:right w:val="single" w:color="auto" w:sz="4" w:space="0"/>
            </w:tcBorders>
            <w:shd w:val="clear" w:color="000000" w:fill="FFFFFF" w:themeFill="background1"/>
          </w:tcPr>
          <w:p>
            <w:pPr>
              <w:widowControl/>
              <w:jc w:val="left"/>
              <w:rPr>
                <w:color w:val="000000"/>
                <w:kern w:val="0"/>
                <w:szCs w:val="21"/>
              </w:rPr>
            </w:pPr>
            <w:r>
              <w:rPr>
                <w:szCs w:val="21"/>
              </w:rPr>
              <w:t xml:space="preserve">0.9870 </w:t>
            </w:r>
          </w:p>
        </w:tc>
        <w:tc>
          <w:tcPr>
            <w:tcW w:w="1569" w:type="dxa"/>
            <w:tcBorders>
              <w:top w:val="nil"/>
              <w:left w:val="nil"/>
              <w:bottom w:val="single" w:color="auto" w:sz="4" w:space="0"/>
              <w:right w:val="single" w:color="auto" w:sz="4" w:space="0"/>
            </w:tcBorders>
            <w:shd w:val="clear" w:color="000000" w:fill="FFFFFF" w:themeFill="background1"/>
          </w:tcPr>
          <w:p>
            <w:pPr>
              <w:widowControl/>
              <w:jc w:val="left"/>
              <w:rPr>
                <w:color w:val="000000"/>
                <w:kern w:val="0"/>
                <w:szCs w:val="21"/>
              </w:rPr>
            </w:pPr>
            <w:r>
              <w:rPr>
                <w:szCs w:val="21"/>
              </w:rPr>
              <w:t>0.0008</w:t>
            </w:r>
          </w:p>
        </w:tc>
      </w:tr>
      <w:tr>
        <w:tblPrEx>
          <w:tblCellMar>
            <w:top w:w="0" w:type="dxa"/>
            <w:left w:w="108" w:type="dxa"/>
            <w:bottom w:w="0" w:type="dxa"/>
            <w:right w:w="108" w:type="dxa"/>
          </w:tblCellMar>
        </w:tblPrEx>
        <w:trPr>
          <w:trHeight w:val="270" w:hRule="atLeast"/>
          <w:jc w:val="center"/>
        </w:trPr>
        <w:tc>
          <w:tcPr>
            <w:tcW w:w="1855" w:type="dxa"/>
            <w:vMerge w:val="continue"/>
            <w:tcBorders>
              <w:left w:val="single" w:color="auto" w:sz="4" w:space="0"/>
              <w:right w:val="single" w:color="auto" w:sz="4" w:space="0"/>
            </w:tcBorders>
            <w:shd w:val="clear" w:color="000000" w:fill="FFFFFF" w:themeFill="background1"/>
            <w:vAlign w:val="center"/>
          </w:tcPr>
          <w:p>
            <w:pPr>
              <w:widowControl/>
              <w:jc w:val="left"/>
              <w:rPr>
                <w:color w:val="000000"/>
                <w:kern w:val="0"/>
                <w:szCs w:val="21"/>
              </w:rPr>
            </w:pPr>
          </w:p>
        </w:tc>
        <w:tc>
          <w:tcPr>
            <w:tcW w:w="1314" w:type="dxa"/>
            <w:tcBorders>
              <w:top w:val="nil"/>
              <w:left w:val="nil"/>
              <w:bottom w:val="single" w:color="auto" w:sz="4" w:space="0"/>
              <w:right w:val="single" w:color="auto" w:sz="4" w:space="0"/>
            </w:tcBorders>
            <w:shd w:val="clear" w:color="000000" w:fill="FFFFFF" w:themeFill="background1"/>
            <w:vAlign w:val="center"/>
          </w:tcPr>
          <w:p>
            <w:pPr>
              <w:widowControl/>
              <w:jc w:val="left"/>
              <w:rPr>
                <w:color w:val="000000"/>
                <w:kern w:val="0"/>
                <w:szCs w:val="21"/>
              </w:rPr>
            </w:pPr>
            <w:r>
              <w:rPr>
                <w:rFonts w:hint="eastAsia"/>
                <w:color w:val="000000"/>
                <w:kern w:val="0"/>
                <w:szCs w:val="21"/>
              </w:rPr>
              <w:t>4</w:t>
            </w:r>
          </w:p>
        </w:tc>
        <w:tc>
          <w:tcPr>
            <w:tcW w:w="1314" w:type="dxa"/>
            <w:tcBorders>
              <w:top w:val="nil"/>
              <w:left w:val="nil"/>
              <w:bottom w:val="single" w:color="auto" w:sz="4" w:space="0"/>
              <w:right w:val="single" w:color="auto" w:sz="4" w:space="0"/>
            </w:tcBorders>
            <w:shd w:val="clear" w:color="000000" w:fill="FFFFFF" w:themeFill="background1"/>
          </w:tcPr>
          <w:p>
            <w:pPr>
              <w:widowControl/>
              <w:rPr>
                <w:color w:val="000000"/>
                <w:kern w:val="0"/>
                <w:szCs w:val="21"/>
              </w:rPr>
            </w:pPr>
            <m:oMathPara>
              <m:oMath>
                <m:r>
                  <m:rPr/>
                  <w:rPr>
                    <w:rFonts w:ascii="Cambria Math" w:hAnsi="Cambria Math"/>
                    <w:szCs w:val="21"/>
                  </w:rPr>
                  <m:t>1.66×</m:t>
                </m:r>
                <m:sSup>
                  <m:sSupPr>
                    <m:ctrlPr>
                      <w:rPr>
                        <w:rFonts w:ascii="Cambria Math" w:hAnsi="Cambria Math"/>
                        <w:i/>
                        <w:szCs w:val="21"/>
                      </w:rPr>
                    </m:ctrlPr>
                  </m:sSupPr>
                  <m:e>
                    <m:r>
                      <m:rPr/>
                      <w:rPr>
                        <w:rFonts w:ascii="Cambria Math" w:hAnsi="Cambria Math"/>
                        <w:szCs w:val="21"/>
                      </w:rPr>
                      <m:t>10</m:t>
                    </m:r>
                    <m:ctrlPr>
                      <w:rPr>
                        <w:rFonts w:ascii="Cambria Math" w:hAnsi="Cambria Math"/>
                        <w:i/>
                        <w:szCs w:val="21"/>
                      </w:rPr>
                    </m:ctrlPr>
                  </m:e>
                  <m:sup>
                    <m:r>
                      <m:rPr/>
                      <w:rPr>
                        <w:rFonts w:ascii="Cambria Math" w:hAnsi="Cambria Math"/>
                        <w:szCs w:val="21"/>
                      </w:rPr>
                      <m:t>−3</m:t>
                    </m:r>
                    <m:ctrlPr>
                      <w:rPr>
                        <w:rFonts w:ascii="Cambria Math" w:hAnsi="Cambria Math"/>
                        <w:i/>
                        <w:szCs w:val="21"/>
                      </w:rPr>
                    </m:ctrlPr>
                  </m:sup>
                </m:sSup>
              </m:oMath>
            </m:oMathPara>
          </w:p>
        </w:tc>
        <w:tc>
          <w:tcPr>
            <w:tcW w:w="1314" w:type="dxa"/>
            <w:tcBorders>
              <w:top w:val="nil"/>
              <w:left w:val="nil"/>
              <w:bottom w:val="single" w:color="auto" w:sz="4" w:space="0"/>
              <w:right w:val="single" w:color="auto" w:sz="4" w:space="0"/>
            </w:tcBorders>
            <w:shd w:val="clear" w:color="000000" w:fill="FFFFFF" w:themeFill="background1"/>
          </w:tcPr>
          <w:p>
            <w:pPr>
              <w:widowControl/>
              <w:jc w:val="left"/>
              <w:rPr>
                <w:color w:val="000000"/>
                <w:kern w:val="0"/>
                <w:szCs w:val="21"/>
              </w:rPr>
            </w:pPr>
            <w:r>
              <w:rPr>
                <w:szCs w:val="21"/>
              </w:rPr>
              <w:t xml:space="preserve">0.9880 </w:t>
            </w:r>
          </w:p>
        </w:tc>
        <w:tc>
          <w:tcPr>
            <w:tcW w:w="1569" w:type="dxa"/>
            <w:tcBorders>
              <w:top w:val="nil"/>
              <w:left w:val="nil"/>
              <w:bottom w:val="single" w:color="auto" w:sz="4" w:space="0"/>
              <w:right w:val="single" w:color="auto" w:sz="4" w:space="0"/>
            </w:tcBorders>
            <w:shd w:val="clear" w:color="000000" w:fill="FFFFFF" w:themeFill="background1"/>
          </w:tcPr>
          <w:p>
            <w:pPr>
              <w:widowControl/>
              <w:jc w:val="left"/>
              <w:rPr>
                <w:color w:val="000000"/>
                <w:kern w:val="0"/>
                <w:szCs w:val="21"/>
              </w:rPr>
            </w:pPr>
            <w:r>
              <w:rPr>
                <w:szCs w:val="21"/>
              </w:rPr>
              <w:t>0.0008</w:t>
            </w:r>
          </w:p>
        </w:tc>
      </w:tr>
      <w:tr>
        <w:tblPrEx>
          <w:tblCellMar>
            <w:top w:w="0" w:type="dxa"/>
            <w:left w:w="108" w:type="dxa"/>
            <w:bottom w:w="0" w:type="dxa"/>
            <w:right w:w="108" w:type="dxa"/>
          </w:tblCellMar>
        </w:tblPrEx>
        <w:trPr>
          <w:trHeight w:val="270" w:hRule="atLeast"/>
          <w:jc w:val="center"/>
        </w:trPr>
        <w:tc>
          <w:tcPr>
            <w:tcW w:w="1855" w:type="dxa"/>
            <w:vMerge w:val="continue"/>
            <w:tcBorders>
              <w:left w:val="single" w:color="auto" w:sz="4" w:space="0"/>
              <w:right w:val="single" w:color="auto" w:sz="4" w:space="0"/>
            </w:tcBorders>
            <w:shd w:val="clear" w:color="000000" w:fill="FFFFFF" w:themeFill="background1"/>
            <w:vAlign w:val="center"/>
          </w:tcPr>
          <w:p>
            <w:pPr>
              <w:widowControl/>
              <w:jc w:val="left"/>
              <w:rPr>
                <w:color w:val="000000"/>
                <w:kern w:val="0"/>
                <w:szCs w:val="21"/>
              </w:rPr>
            </w:pPr>
          </w:p>
        </w:tc>
        <w:tc>
          <w:tcPr>
            <w:tcW w:w="1314" w:type="dxa"/>
            <w:tcBorders>
              <w:top w:val="nil"/>
              <w:left w:val="nil"/>
              <w:bottom w:val="single" w:color="auto" w:sz="4" w:space="0"/>
              <w:right w:val="single" w:color="auto" w:sz="4" w:space="0"/>
            </w:tcBorders>
            <w:shd w:val="clear" w:color="000000" w:fill="FFFFFF" w:themeFill="background1"/>
            <w:vAlign w:val="center"/>
          </w:tcPr>
          <w:p>
            <w:pPr>
              <w:widowControl/>
              <w:jc w:val="left"/>
              <w:rPr>
                <w:color w:val="000000"/>
                <w:kern w:val="0"/>
                <w:szCs w:val="21"/>
              </w:rPr>
            </w:pPr>
            <w:r>
              <w:rPr>
                <w:rFonts w:hint="eastAsia"/>
                <w:color w:val="000000"/>
                <w:kern w:val="0"/>
                <w:szCs w:val="21"/>
              </w:rPr>
              <w:t>5</w:t>
            </w:r>
          </w:p>
        </w:tc>
        <w:tc>
          <w:tcPr>
            <w:tcW w:w="1314" w:type="dxa"/>
            <w:tcBorders>
              <w:top w:val="nil"/>
              <w:left w:val="nil"/>
              <w:bottom w:val="single" w:color="auto" w:sz="4" w:space="0"/>
              <w:right w:val="single" w:color="auto" w:sz="4" w:space="0"/>
            </w:tcBorders>
            <w:shd w:val="clear" w:color="000000" w:fill="FFFFFF" w:themeFill="background1"/>
          </w:tcPr>
          <w:p>
            <w:pPr>
              <w:widowControl/>
              <w:rPr>
                <w:color w:val="000000"/>
                <w:kern w:val="0"/>
                <w:szCs w:val="21"/>
              </w:rPr>
            </w:pPr>
            <m:oMathPara>
              <m:oMath>
                <m:r>
                  <m:rPr/>
                  <w:rPr>
                    <w:rFonts w:ascii="Cambria Math" w:hAnsi="Cambria Math"/>
                    <w:szCs w:val="21"/>
                  </w:rPr>
                  <m:t>1.36×</m:t>
                </m:r>
                <m:sSup>
                  <m:sSupPr>
                    <m:ctrlPr>
                      <w:rPr>
                        <w:rFonts w:ascii="Cambria Math" w:hAnsi="Cambria Math"/>
                        <w:i/>
                        <w:szCs w:val="21"/>
                      </w:rPr>
                    </m:ctrlPr>
                  </m:sSupPr>
                  <m:e>
                    <m:r>
                      <m:rPr/>
                      <w:rPr>
                        <w:rFonts w:ascii="Cambria Math" w:hAnsi="Cambria Math"/>
                        <w:szCs w:val="21"/>
                      </w:rPr>
                      <m:t>10</m:t>
                    </m:r>
                    <m:ctrlPr>
                      <w:rPr>
                        <w:rFonts w:ascii="Cambria Math" w:hAnsi="Cambria Math"/>
                        <w:i/>
                        <w:szCs w:val="21"/>
                      </w:rPr>
                    </m:ctrlPr>
                  </m:e>
                  <m:sup>
                    <m:r>
                      <m:rPr/>
                      <w:rPr>
                        <w:rFonts w:ascii="Cambria Math" w:hAnsi="Cambria Math"/>
                        <w:szCs w:val="21"/>
                      </w:rPr>
                      <m:t>−3</m:t>
                    </m:r>
                    <m:ctrlPr>
                      <w:rPr>
                        <w:rFonts w:ascii="Cambria Math" w:hAnsi="Cambria Math"/>
                        <w:i/>
                        <w:szCs w:val="21"/>
                      </w:rPr>
                    </m:ctrlPr>
                  </m:sup>
                </m:sSup>
              </m:oMath>
            </m:oMathPara>
          </w:p>
        </w:tc>
        <w:tc>
          <w:tcPr>
            <w:tcW w:w="1314" w:type="dxa"/>
            <w:tcBorders>
              <w:top w:val="nil"/>
              <w:left w:val="nil"/>
              <w:bottom w:val="single" w:color="auto" w:sz="4" w:space="0"/>
              <w:right w:val="single" w:color="auto" w:sz="4" w:space="0"/>
            </w:tcBorders>
            <w:shd w:val="clear" w:color="000000" w:fill="FFFFFF" w:themeFill="background1"/>
          </w:tcPr>
          <w:p>
            <w:pPr>
              <w:widowControl/>
              <w:jc w:val="left"/>
              <w:rPr>
                <w:color w:val="000000"/>
                <w:kern w:val="0"/>
                <w:szCs w:val="21"/>
              </w:rPr>
            </w:pPr>
            <w:r>
              <w:rPr>
                <w:szCs w:val="21"/>
              </w:rPr>
              <w:t xml:space="preserve">0.9891 </w:t>
            </w:r>
          </w:p>
        </w:tc>
        <w:tc>
          <w:tcPr>
            <w:tcW w:w="1569" w:type="dxa"/>
            <w:tcBorders>
              <w:top w:val="nil"/>
              <w:left w:val="nil"/>
              <w:bottom w:val="single" w:color="auto" w:sz="4" w:space="0"/>
              <w:right w:val="single" w:color="auto" w:sz="4" w:space="0"/>
            </w:tcBorders>
            <w:shd w:val="clear" w:color="000000" w:fill="FFFFFF" w:themeFill="background1"/>
          </w:tcPr>
          <w:p>
            <w:pPr>
              <w:widowControl/>
              <w:jc w:val="left"/>
              <w:rPr>
                <w:color w:val="000000"/>
                <w:kern w:val="0"/>
                <w:szCs w:val="21"/>
              </w:rPr>
            </w:pPr>
            <w:r>
              <w:rPr>
                <w:szCs w:val="21"/>
              </w:rPr>
              <w:t>0.0008</w:t>
            </w:r>
          </w:p>
        </w:tc>
      </w:tr>
      <w:tr>
        <w:tblPrEx>
          <w:tblCellMar>
            <w:top w:w="0" w:type="dxa"/>
            <w:left w:w="108" w:type="dxa"/>
            <w:bottom w:w="0" w:type="dxa"/>
            <w:right w:w="108" w:type="dxa"/>
          </w:tblCellMar>
        </w:tblPrEx>
        <w:trPr>
          <w:trHeight w:val="270" w:hRule="atLeast"/>
          <w:jc w:val="center"/>
        </w:trPr>
        <w:tc>
          <w:tcPr>
            <w:tcW w:w="1855" w:type="dxa"/>
            <w:vMerge w:val="continue"/>
            <w:tcBorders>
              <w:left w:val="single" w:color="auto" w:sz="4" w:space="0"/>
              <w:bottom w:val="single" w:color="auto" w:sz="4" w:space="0"/>
              <w:right w:val="single" w:color="auto" w:sz="4" w:space="0"/>
            </w:tcBorders>
            <w:shd w:val="clear" w:color="000000" w:fill="FFFFFF" w:themeFill="background1"/>
            <w:vAlign w:val="center"/>
          </w:tcPr>
          <w:p>
            <w:pPr>
              <w:widowControl/>
              <w:jc w:val="left"/>
              <w:rPr>
                <w:color w:val="000000"/>
                <w:kern w:val="0"/>
                <w:szCs w:val="21"/>
              </w:rPr>
            </w:pPr>
          </w:p>
        </w:tc>
        <w:tc>
          <w:tcPr>
            <w:tcW w:w="1314" w:type="dxa"/>
            <w:tcBorders>
              <w:top w:val="nil"/>
              <w:left w:val="nil"/>
              <w:bottom w:val="single" w:color="auto" w:sz="4" w:space="0"/>
              <w:right w:val="single" w:color="auto" w:sz="4" w:space="0"/>
            </w:tcBorders>
            <w:shd w:val="clear" w:color="000000" w:fill="FFFFFF" w:themeFill="background1"/>
            <w:vAlign w:val="center"/>
          </w:tcPr>
          <w:p>
            <w:pPr>
              <w:widowControl/>
              <w:jc w:val="left"/>
              <w:rPr>
                <w:color w:val="000000"/>
                <w:kern w:val="0"/>
                <w:szCs w:val="21"/>
              </w:rPr>
            </w:pPr>
            <w:r>
              <w:rPr>
                <w:rFonts w:hint="eastAsia"/>
                <w:color w:val="000000"/>
                <w:kern w:val="0"/>
                <w:szCs w:val="21"/>
              </w:rPr>
              <w:t>6</w:t>
            </w:r>
          </w:p>
        </w:tc>
        <w:tc>
          <w:tcPr>
            <w:tcW w:w="1314" w:type="dxa"/>
            <w:tcBorders>
              <w:top w:val="nil"/>
              <w:left w:val="nil"/>
              <w:bottom w:val="single" w:color="auto" w:sz="4" w:space="0"/>
              <w:right w:val="single" w:color="auto" w:sz="4" w:space="0"/>
            </w:tcBorders>
            <w:shd w:val="clear" w:color="000000" w:fill="FFFFFF" w:themeFill="background1"/>
          </w:tcPr>
          <w:p>
            <w:pPr>
              <w:widowControl/>
              <w:rPr>
                <w:color w:val="000000"/>
                <w:kern w:val="0"/>
                <w:szCs w:val="21"/>
              </w:rPr>
            </w:pPr>
            <m:oMathPara>
              <m:oMath>
                <m:r>
                  <m:rPr/>
                  <w:rPr>
                    <w:rFonts w:ascii="Cambria Math" w:hAnsi="Cambria Math"/>
                    <w:szCs w:val="21"/>
                  </w:rPr>
                  <m:t>1.19×</m:t>
                </m:r>
                <m:sSup>
                  <m:sSupPr>
                    <m:ctrlPr>
                      <w:rPr>
                        <w:rFonts w:ascii="Cambria Math" w:hAnsi="Cambria Math"/>
                        <w:i/>
                        <w:szCs w:val="21"/>
                      </w:rPr>
                    </m:ctrlPr>
                  </m:sSupPr>
                  <m:e>
                    <m:r>
                      <m:rPr/>
                      <w:rPr>
                        <w:rFonts w:ascii="Cambria Math" w:hAnsi="Cambria Math"/>
                        <w:szCs w:val="21"/>
                      </w:rPr>
                      <m:t>10</m:t>
                    </m:r>
                    <m:ctrlPr>
                      <w:rPr>
                        <w:rFonts w:ascii="Cambria Math" w:hAnsi="Cambria Math"/>
                        <w:i/>
                        <w:szCs w:val="21"/>
                      </w:rPr>
                    </m:ctrlPr>
                  </m:e>
                  <m:sup>
                    <m:r>
                      <m:rPr/>
                      <w:rPr>
                        <w:rFonts w:ascii="Cambria Math" w:hAnsi="Cambria Math"/>
                        <w:szCs w:val="21"/>
                      </w:rPr>
                      <m:t>−3</m:t>
                    </m:r>
                    <m:ctrlPr>
                      <w:rPr>
                        <w:rFonts w:ascii="Cambria Math" w:hAnsi="Cambria Math"/>
                        <w:i/>
                        <w:szCs w:val="21"/>
                      </w:rPr>
                    </m:ctrlPr>
                  </m:sup>
                </m:sSup>
              </m:oMath>
            </m:oMathPara>
          </w:p>
        </w:tc>
        <w:tc>
          <w:tcPr>
            <w:tcW w:w="1314" w:type="dxa"/>
            <w:tcBorders>
              <w:top w:val="nil"/>
              <w:left w:val="nil"/>
              <w:bottom w:val="single" w:color="auto" w:sz="4" w:space="0"/>
              <w:right w:val="single" w:color="auto" w:sz="4" w:space="0"/>
            </w:tcBorders>
            <w:shd w:val="clear" w:color="000000" w:fill="FFFFFF" w:themeFill="background1"/>
          </w:tcPr>
          <w:p>
            <w:pPr>
              <w:widowControl/>
              <w:jc w:val="left"/>
              <w:rPr>
                <w:color w:val="000000"/>
                <w:kern w:val="0"/>
                <w:szCs w:val="21"/>
              </w:rPr>
            </w:pPr>
            <w:r>
              <w:rPr>
                <w:szCs w:val="21"/>
              </w:rPr>
              <w:t xml:space="preserve">0.9895 </w:t>
            </w:r>
          </w:p>
        </w:tc>
        <w:tc>
          <w:tcPr>
            <w:tcW w:w="1569" w:type="dxa"/>
            <w:tcBorders>
              <w:top w:val="nil"/>
              <w:left w:val="nil"/>
              <w:bottom w:val="single" w:color="auto" w:sz="4" w:space="0"/>
              <w:right w:val="single" w:color="auto" w:sz="4" w:space="0"/>
            </w:tcBorders>
            <w:shd w:val="clear" w:color="000000" w:fill="FFFFFF" w:themeFill="background1"/>
          </w:tcPr>
          <w:p>
            <w:pPr>
              <w:widowControl/>
              <w:jc w:val="left"/>
              <w:rPr>
                <w:color w:val="000000"/>
                <w:kern w:val="0"/>
                <w:szCs w:val="21"/>
              </w:rPr>
            </w:pPr>
            <w:r>
              <w:rPr>
                <w:szCs w:val="21"/>
              </w:rPr>
              <w:t>0.0008</w:t>
            </w:r>
          </w:p>
        </w:tc>
      </w:tr>
      <w:tr>
        <w:tblPrEx>
          <w:tblCellMar>
            <w:top w:w="0" w:type="dxa"/>
            <w:left w:w="108" w:type="dxa"/>
            <w:bottom w:w="0" w:type="dxa"/>
            <w:right w:w="108" w:type="dxa"/>
          </w:tblCellMar>
        </w:tblPrEx>
        <w:trPr>
          <w:trHeight w:val="270" w:hRule="atLeast"/>
          <w:jc w:val="center"/>
        </w:trPr>
        <w:tc>
          <w:tcPr>
            <w:tcW w:w="1855" w:type="dxa"/>
            <w:vMerge w:val="restart"/>
            <w:tcBorders>
              <w:top w:val="nil"/>
              <w:left w:val="single" w:color="auto" w:sz="4" w:space="0"/>
              <w:right w:val="single" w:color="auto" w:sz="4" w:space="0"/>
            </w:tcBorders>
            <w:shd w:val="clear" w:color="000000" w:fill="FFFFFF" w:themeFill="background1"/>
            <w:vAlign w:val="center"/>
          </w:tcPr>
          <w:p>
            <w:pPr>
              <w:widowControl/>
              <w:jc w:val="left"/>
              <w:rPr>
                <w:color w:val="000000"/>
                <w:kern w:val="0"/>
                <w:szCs w:val="21"/>
              </w:rPr>
            </w:pPr>
            <w:r>
              <w:rPr>
                <w:rFonts w:hint="eastAsia"/>
                <w:color w:val="000000"/>
                <w:kern w:val="0"/>
                <w:szCs w:val="21"/>
              </w:rPr>
              <w:t>B</w:t>
            </w:r>
          </w:p>
        </w:tc>
        <w:tc>
          <w:tcPr>
            <w:tcW w:w="1314" w:type="dxa"/>
            <w:tcBorders>
              <w:top w:val="nil"/>
              <w:left w:val="nil"/>
              <w:bottom w:val="single" w:color="auto" w:sz="4" w:space="0"/>
              <w:right w:val="single" w:color="auto" w:sz="4" w:space="0"/>
            </w:tcBorders>
            <w:shd w:val="clear" w:color="000000" w:fill="FFFFFF" w:themeFill="background1"/>
            <w:vAlign w:val="center"/>
          </w:tcPr>
          <w:p>
            <w:pPr>
              <w:widowControl/>
              <w:jc w:val="left"/>
              <w:rPr>
                <w:color w:val="000000"/>
                <w:kern w:val="0"/>
                <w:szCs w:val="21"/>
              </w:rPr>
            </w:pPr>
            <w:r>
              <w:rPr>
                <w:color w:val="000000"/>
                <w:kern w:val="0"/>
                <w:szCs w:val="21"/>
              </w:rPr>
              <w:t>7</w:t>
            </w:r>
          </w:p>
        </w:tc>
        <w:tc>
          <w:tcPr>
            <w:tcW w:w="1314" w:type="dxa"/>
            <w:tcBorders>
              <w:top w:val="nil"/>
              <w:left w:val="nil"/>
              <w:bottom w:val="single" w:color="auto" w:sz="4" w:space="0"/>
              <w:right w:val="single" w:color="auto" w:sz="4" w:space="0"/>
            </w:tcBorders>
            <w:shd w:val="clear" w:color="000000" w:fill="FFFFFF" w:themeFill="background1"/>
          </w:tcPr>
          <w:p>
            <w:pPr>
              <w:widowControl/>
              <w:rPr>
                <w:color w:val="000000"/>
                <w:kern w:val="0"/>
                <w:szCs w:val="21"/>
              </w:rPr>
            </w:pPr>
            <m:oMathPara>
              <m:oMath>
                <m:r>
                  <m:rPr/>
                  <w:rPr>
                    <w:rFonts w:ascii="Cambria Math" w:hAnsi="Cambria Math"/>
                    <w:szCs w:val="21"/>
                  </w:rPr>
                  <m:t>1.05×</m:t>
                </m:r>
                <m:sSup>
                  <m:sSupPr>
                    <m:ctrlPr>
                      <w:rPr>
                        <w:rFonts w:ascii="Cambria Math" w:hAnsi="Cambria Math"/>
                        <w:i/>
                        <w:szCs w:val="21"/>
                      </w:rPr>
                    </m:ctrlPr>
                  </m:sSupPr>
                  <m:e>
                    <m:r>
                      <m:rPr/>
                      <w:rPr>
                        <w:rFonts w:ascii="Cambria Math" w:hAnsi="Cambria Math"/>
                        <w:szCs w:val="21"/>
                      </w:rPr>
                      <m:t>10</m:t>
                    </m:r>
                    <m:ctrlPr>
                      <w:rPr>
                        <w:rFonts w:ascii="Cambria Math" w:hAnsi="Cambria Math"/>
                        <w:i/>
                        <w:szCs w:val="21"/>
                      </w:rPr>
                    </m:ctrlPr>
                  </m:e>
                  <m:sup>
                    <m:r>
                      <m:rPr/>
                      <w:rPr>
                        <w:rFonts w:ascii="Cambria Math" w:hAnsi="Cambria Math"/>
                        <w:szCs w:val="21"/>
                      </w:rPr>
                      <m:t>−3</m:t>
                    </m:r>
                    <m:ctrlPr>
                      <w:rPr>
                        <w:rFonts w:ascii="Cambria Math" w:hAnsi="Cambria Math"/>
                        <w:i/>
                        <w:szCs w:val="21"/>
                      </w:rPr>
                    </m:ctrlPr>
                  </m:sup>
                </m:sSup>
              </m:oMath>
            </m:oMathPara>
          </w:p>
        </w:tc>
        <w:tc>
          <w:tcPr>
            <w:tcW w:w="1314" w:type="dxa"/>
            <w:tcBorders>
              <w:top w:val="nil"/>
              <w:left w:val="nil"/>
              <w:bottom w:val="single" w:color="auto" w:sz="4" w:space="0"/>
              <w:right w:val="single" w:color="auto" w:sz="4" w:space="0"/>
            </w:tcBorders>
            <w:shd w:val="clear" w:color="000000" w:fill="FFFFFF" w:themeFill="background1"/>
          </w:tcPr>
          <w:p>
            <w:pPr>
              <w:widowControl/>
              <w:jc w:val="left"/>
              <w:rPr>
                <w:color w:val="000000"/>
                <w:kern w:val="0"/>
                <w:szCs w:val="21"/>
              </w:rPr>
            </w:pPr>
            <w:r>
              <w:rPr>
                <w:szCs w:val="21"/>
              </w:rPr>
              <w:t xml:space="preserve">0.9910 </w:t>
            </w:r>
          </w:p>
        </w:tc>
        <w:tc>
          <w:tcPr>
            <w:tcW w:w="1569" w:type="dxa"/>
            <w:tcBorders>
              <w:top w:val="nil"/>
              <w:left w:val="nil"/>
              <w:bottom w:val="single" w:color="auto" w:sz="4" w:space="0"/>
              <w:right w:val="single" w:color="auto" w:sz="4" w:space="0"/>
            </w:tcBorders>
            <w:shd w:val="clear" w:color="000000" w:fill="FFFFFF" w:themeFill="background1"/>
          </w:tcPr>
          <w:p>
            <w:pPr>
              <w:widowControl/>
              <w:jc w:val="left"/>
              <w:rPr>
                <w:color w:val="000000"/>
                <w:kern w:val="0"/>
                <w:szCs w:val="21"/>
              </w:rPr>
            </w:pPr>
            <w:r>
              <w:rPr>
                <w:szCs w:val="21"/>
              </w:rPr>
              <w:t>0.0012</w:t>
            </w:r>
          </w:p>
        </w:tc>
      </w:tr>
      <w:tr>
        <w:tblPrEx>
          <w:tblCellMar>
            <w:top w:w="0" w:type="dxa"/>
            <w:left w:w="108" w:type="dxa"/>
            <w:bottom w:w="0" w:type="dxa"/>
            <w:right w:w="108" w:type="dxa"/>
          </w:tblCellMar>
        </w:tblPrEx>
        <w:trPr>
          <w:trHeight w:val="270" w:hRule="atLeast"/>
          <w:jc w:val="center"/>
        </w:trPr>
        <w:tc>
          <w:tcPr>
            <w:tcW w:w="1855" w:type="dxa"/>
            <w:vMerge w:val="continue"/>
            <w:tcBorders>
              <w:left w:val="single" w:color="auto" w:sz="4" w:space="0"/>
              <w:right w:val="single" w:color="auto" w:sz="4" w:space="0"/>
            </w:tcBorders>
            <w:shd w:val="clear" w:color="000000" w:fill="FFFFFF" w:themeFill="background1"/>
            <w:vAlign w:val="center"/>
          </w:tcPr>
          <w:p>
            <w:pPr>
              <w:widowControl/>
              <w:jc w:val="left"/>
              <w:rPr>
                <w:color w:val="000000"/>
                <w:kern w:val="0"/>
                <w:szCs w:val="21"/>
              </w:rPr>
            </w:pPr>
          </w:p>
        </w:tc>
        <w:tc>
          <w:tcPr>
            <w:tcW w:w="1314" w:type="dxa"/>
            <w:tcBorders>
              <w:top w:val="nil"/>
              <w:left w:val="nil"/>
              <w:bottom w:val="single" w:color="auto" w:sz="4" w:space="0"/>
              <w:right w:val="single" w:color="auto" w:sz="4" w:space="0"/>
            </w:tcBorders>
            <w:shd w:val="clear" w:color="000000" w:fill="FFFFFF" w:themeFill="background1"/>
            <w:vAlign w:val="center"/>
          </w:tcPr>
          <w:p>
            <w:pPr>
              <w:widowControl/>
              <w:jc w:val="left"/>
              <w:rPr>
                <w:color w:val="000000"/>
                <w:kern w:val="0"/>
                <w:szCs w:val="21"/>
              </w:rPr>
            </w:pPr>
            <w:r>
              <w:rPr>
                <w:color w:val="000000"/>
                <w:kern w:val="0"/>
                <w:szCs w:val="21"/>
              </w:rPr>
              <w:t>8</w:t>
            </w:r>
          </w:p>
        </w:tc>
        <w:tc>
          <w:tcPr>
            <w:tcW w:w="1314" w:type="dxa"/>
            <w:tcBorders>
              <w:top w:val="nil"/>
              <w:left w:val="nil"/>
              <w:bottom w:val="single" w:color="auto" w:sz="4" w:space="0"/>
              <w:right w:val="single" w:color="auto" w:sz="4" w:space="0"/>
            </w:tcBorders>
            <w:shd w:val="clear" w:color="000000" w:fill="FFFFFF" w:themeFill="background1"/>
          </w:tcPr>
          <w:p>
            <w:pPr>
              <w:widowControl/>
              <w:rPr>
                <w:color w:val="000000"/>
                <w:kern w:val="0"/>
                <w:szCs w:val="21"/>
              </w:rPr>
            </w:pPr>
            <m:oMathPara>
              <m:oMath>
                <m:r>
                  <m:rPr/>
                  <w:rPr>
                    <w:rFonts w:ascii="Cambria Math" w:hAnsi="Cambria Math"/>
                    <w:szCs w:val="21"/>
                  </w:rPr>
                  <m:t>9.61×</m:t>
                </m:r>
                <m:sSup>
                  <m:sSupPr>
                    <m:ctrlPr>
                      <w:rPr>
                        <w:rFonts w:ascii="Cambria Math" w:hAnsi="Cambria Math"/>
                        <w:i/>
                        <w:szCs w:val="21"/>
                      </w:rPr>
                    </m:ctrlPr>
                  </m:sSupPr>
                  <m:e>
                    <m:r>
                      <m:rPr/>
                      <w:rPr>
                        <w:rFonts w:ascii="Cambria Math" w:hAnsi="Cambria Math"/>
                        <w:szCs w:val="21"/>
                      </w:rPr>
                      <m:t>10</m:t>
                    </m:r>
                    <m:ctrlPr>
                      <w:rPr>
                        <w:rFonts w:ascii="Cambria Math" w:hAnsi="Cambria Math"/>
                        <w:i/>
                        <w:szCs w:val="21"/>
                      </w:rPr>
                    </m:ctrlPr>
                  </m:e>
                  <m:sup>
                    <m:r>
                      <m:rPr/>
                      <w:rPr>
                        <w:rFonts w:ascii="Cambria Math" w:hAnsi="Cambria Math"/>
                        <w:szCs w:val="21"/>
                      </w:rPr>
                      <m:t>−4</m:t>
                    </m:r>
                    <m:ctrlPr>
                      <w:rPr>
                        <w:rFonts w:ascii="Cambria Math" w:hAnsi="Cambria Math"/>
                        <w:i/>
                        <w:szCs w:val="21"/>
                      </w:rPr>
                    </m:ctrlPr>
                  </m:sup>
                </m:sSup>
              </m:oMath>
            </m:oMathPara>
          </w:p>
        </w:tc>
        <w:tc>
          <w:tcPr>
            <w:tcW w:w="1314" w:type="dxa"/>
            <w:tcBorders>
              <w:top w:val="nil"/>
              <w:left w:val="nil"/>
              <w:bottom w:val="single" w:color="auto" w:sz="4" w:space="0"/>
              <w:right w:val="single" w:color="auto" w:sz="4" w:space="0"/>
            </w:tcBorders>
            <w:shd w:val="clear" w:color="000000" w:fill="FFFFFF" w:themeFill="background1"/>
          </w:tcPr>
          <w:p>
            <w:pPr>
              <w:widowControl/>
              <w:jc w:val="left"/>
              <w:rPr>
                <w:color w:val="000000"/>
                <w:kern w:val="0"/>
                <w:szCs w:val="21"/>
              </w:rPr>
            </w:pPr>
            <w:r>
              <w:rPr>
                <w:szCs w:val="21"/>
              </w:rPr>
              <w:t xml:space="preserve">0.9905 </w:t>
            </w:r>
          </w:p>
        </w:tc>
        <w:tc>
          <w:tcPr>
            <w:tcW w:w="1569" w:type="dxa"/>
            <w:tcBorders>
              <w:top w:val="nil"/>
              <w:left w:val="nil"/>
              <w:bottom w:val="single" w:color="auto" w:sz="4" w:space="0"/>
              <w:right w:val="single" w:color="auto" w:sz="4" w:space="0"/>
            </w:tcBorders>
            <w:shd w:val="clear" w:color="000000" w:fill="FFFFFF" w:themeFill="background1"/>
          </w:tcPr>
          <w:p>
            <w:pPr>
              <w:widowControl/>
              <w:jc w:val="left"/>
              <w:rPr>
                <w:color w:val="000000"/>
                <w:kern w:val="0"/>
                <w:szCs w:val="21"/>
              </w:rPr>
            </w:pPr>
            <w:r>
              <w:rPr>
                <w:szCs w:val="21"/>
              </w:rPr>
              <w:t>0.0009</w:t>
            </w:r>
          </w:p>
        </w:tc>
      </w:tr>
      <w:tr>
        <w:tblPrEx>
          <w:tblCellMar>
            <w:top w:w="0" w:type="dxa"/>
            <w:left w:w="108" w:type="dxa"/>
            <w:bottom w:w="0" w:type="dxa"/>
            <w:right w:w="108" w:type="dxa"/>
          </w:tblCellMar>
        </w:tblPrEx>
        <w:trPr>
          <w:trHeight w:val="270" w:hRule="atLeast"/>
          <w:jc w:val="center"/>
        </w:trPr>
        <w:tc>
          <w:tcPr>
            <w:tcW w:w="1855" w:type="dxa"/>
            <w:vMerge w:val="continue"/>
            <w:tcBorders>
              <w:left w:val="single" w:color="auto" w:sz="4" w:space="0"/>
              <w:bottom w:val="single" w:color="auto" w:sz="4" w:space="0"/>
              <w:right w:val="single" w:color="auto" w:sz="4" w:space="0"/>
            </w:tcBorders>
            <w:shd w:val="clear" w:color="000000" w:fill="FFFFFF" w:themeFill="background1"/>
            <w:vAlign w:val="center"/>
          </w:tcPr>
          <w:p>
            <w:pPr>
              <w:widowControl/>
              <w:jc w:val="left"/>
              <w:rPr>
                <w:color w:val="000000"/>
                <w:kern w:val="0"/>
                <w:szCs w:val="21"/>
              </w:rPr>
            </w:pPr>
          </w:p>
        </w:tc>
        <w:tc>
          <w:tcPr>
            <w:tcW w:w="1314" w:type="dxa"/>
            <w:tcBorders>
              <w:top w:val="nil"/>
              <w:left w:val="nil"/>
              <w:bottom w:val="single" w:color="auto" w:sz="4" w:space="0"/>
              <w:right w:val="single" w:color="auto" w:sz="4" w:space="0"/>
            </w:tcBorders>
            <w:shd w:val="clear" w:color="000000" w:fill="FFFFFF" w:themeFill="background1"/>
            <w:vAlign w:val="center"/>
          </w:tcPr>
          <w:p>
            <w:pPr>
              <w:widowControl/>
              <w:jc w:val="left"/>
              <w:rPr>
                <w:color w:val="000000"/>
                <w:kern w:val="0"/>
                <w:szCs w:val="21"/>
              </w:rPr>
            </w:pPr>
            <w:r>
              <w:rPr>
                <w:color w:val="000000"/>
                <w:kern w:val="0"/>
                <w:szCs w:val="21"/>
              </w:rPr>
              <w:t>9</w:t>
            </w:r>
          </w:p>
        </w:tc>
        <w:tc>
          <w:tcPr>
            <w:tcW w:w="1314" w:type="dxa"/>
            <w:tcBorders>
              <w:top w:val="nil"/>
              <w:left w:val="nil"/>
              <w:bottom w:val="single" w:color="auto" w:sz="4" w:space="0"/>
              <w:right w:val="single" w:color="auto" w:sz="4" w:space="0"/>
            </w:tcBorders>
            <w:shd w:val="clear" w:color="000000" w:fill="FFFFFF" w:themeFill="background1"/>
          </w:tcPr>
          <w:p>
            <w:pPr>
              <w:widowControl/>
              <w:rPr>
                <w:color w:val="000000"/>
                <w:kern w:val="0"/>
                <w:szCs w:val="21"/>
              </w:rPr>
            </w:pPr>
            <m:oMathPara>
              <m:oMath>
                <m:r>
                  <m:rPr/>
                  <w:rPr>
                    <w:rFonts w:ascii="Cambria Math" w:hAnsi="Cambria Math"/>
                    <w:szCs w:val="21"/>
                  </w:rPr>
                  <m:t>5.46×</m:t>
                </m:r>
                <m:sSup>
                  <m:sSupPr>
                    <m:ctrlPr>
                      <w:rPr>
                        <w:rFonts w:ascii="Cambria Math" w:hAnsi="Cambria Math"/>
                        <w:i/>
                        <w:szCs w:val="21"/>
                      </w:rPr>
                    </m:ctrlPr>
                  </m:sSupPr>
                  <m:e>
                    <m:r>
                      <m:rPr/>
                      <w:rPr>
                        <w:rFonts w:ascii="Cambria Math" w:hAnsi="Cambria Math"/>
                        <w:szCs w:val="21"/>
                      </w:rPr>
                      <m:t>10</m:t>
                    </m:r>
                    <m:ctrlPr>
                      <w:rPr>
                        <w:rFonts w:ascii="Cambria Math" w:hAnsi="Cambria Math"/>
                        <w:i/>
                        <w:szCs w:val="21"/>
                      </w:rPr>
                    </m:ctrlPr>
                  </m:e>
                  <m:sup>
                    <m:r>
                      <m:rPr/>
                      <w:rPr>
                        <w:rFonts w:ascii="Cambria Math" w:hAnsi="Cambria Math"/>
                        <w:szCs w:val="21"/>
                      </w:rPr>
                      <m:t>−4</m:t>
                    </m:r>
                    <m:ctrlPr>
                      <w:rPr>
                        <w:rFonts w:ascii="Cambria Math" w:hAnsi="Cambria Math"/>
                        <w:i/>
                        <w:szCs w:val="21"/>
                      </w:rPr>
                    </m:ctrlPr>
                  </m:sup>
                </m:sSup>
              </m:oMath>
            </m:oMathPara>
          </w:p>
        </w:tc>
        <w:tc>
          <w:tcPr>
            <w:tcW w:w="1314" w:type="dxa"/>
            <w:tcBorders>
              <w:top w:val="nil"/>
              <w:left w:val="nil"/>
              <w:bottom w:val="single" w:color="auto" w:sz="4" w:space="0"/>
              <w:right w:val="single" w:color="auto" w:sz="4" w:space="0"/>
            </w:tcBorders>
            <w:shd w:val="clear" w:color="000000" w:fill="FFFFFF" w:themeFill="background1"/>
          </w:tcPr>
          <w:p>
            <w:pPr>
              <w:widowControl/>
              <w:jc w:val="left"/>
              <w:rPr>
                <w:color w:val="000000"/>
                <w:kern w:val="0"/>
                <w:szCs w:val="21"/>
              </w:rPr>
            </w:pPr>
            <w:r>
              <w:rPr>
                <w:szCs w:val="21"/>
              </w:rPr>
              <w:t xml:space="preserve">0.9905 </w:t>
            </w:r>
          </w:p>
        </w:tc>
        <w:tc>
          <w:tcPr>
            <w:tcW w:w="1569" w:type="dxa"/>
            <w:tcBorders>
              <w:top w:val="nil"/>
              <w:left w:val="nil"/>
              <w:bottom w:val="single" w:color="auto" w:sz="4" w:space="0"/>
              <w:right w:val="single" w:color="auto" w:sz="4" w:space="0"/>
            </w:tcBorders>
            <w:shd w:val="clear" w:color="000000" w:fill="FFFFFF" w:themeFill="background1"/>
          </w:tcPr>
          <w:p>
            <w:pPr>
              <w:widowControl/>
              <w:jc w:val="left"/>
              <w:rPr>
                <w:color w:val="000000"/>
                <w:kern w:val="0"/>
                <w:szCs w:val="21"/>
              </w:rPr>
            </w:pPr>
            <w:r>
              <w:rPr>
                <w:szCs w:val="21"/>
              </w:rPr>
              <w:t>0.0009</w:t>
            </w:r>
          </w:p>
        </w:tc>
      </w:tr>
      <w:tr>
        <w:tblPrEx>
          <w:tblCellMar>
            <w:top w:w="0" w:type="dxa"/>
            <w:left w:w="108" w:type="dxa"/>
            <w:bottom w:w="0" w:type="dxa"/>
            <w:right w:w="108" w:type="dxa"/>
          </w:tblCellMar>
        </w:tblPrEx>
        <w:trPr>
          <w:trHeight w:val="270" w:hRule="atLeast"/>
          <w:jc w:val="center"/>
        </w:trPr>
        <w:tc>
          <w:tcPr>
            <w:tcW w:w="1855" w:type="dxa"/>
            <w:vMerge w:val="restart"/>
            <w:tcBorders>
              <w:top w:val="nil"/>
              <w:left w:val="single" w:color="auto" w:sz="4" w:space="0"/>
              <w:right w:val="single" w:color="auto" w:sz="4" w:space="0"/>
            </w:tcBorders>
            <w:shd w:val="clear" w:color="000000" w:fill="FFFFFF" w:themeFill="background1"/>
            <w:vAlign w:val="center"/>
          </w:tcPr>
          <w:p>
            <w:pPr>
              <w:widowControl/>
              <w:jc w:val="left"/>
              <w:rPr>
                <w:color w:val="000000"/>
                <w:kern w:val="0"/>
                <w:szCs w:val="21"/>
              </w:rPr>
            </w:pPr>
            <w:r>
              <w:rPr>
                <w:color w:val="000000"/>
                <w:kern w:val="0"/>
                <w:szCs w:val="21"/>
              </w:rPr>
              <w:t>C</w:t>
            </w:r>
          </w:p>
        </w:tc>
        <w:tc>
          <w:tcPr>
            <w:tcW w:w="1314" w:type="dxa"/>
            <w:tcBorders>
              <w:top w:val="nil"/>
              <w:left w:val="nil"/>
              <w:bottom w:val="single" w:color="auto" w:sz="4" w:space="0"/>
              <w:right w:val="single" w:color="auto" w:sz="4" w:space="0"/>
            </w:tcBorders>
            <w:shd w:val="clear" w:color="000000" w:fill="FFFFFF" w:themeFill="background1"/>
            <w:vAlign w:val="center"/>
          </w:tcPr>
          <w:p>
            <w:pPr>
              <w:widowControl/>
              <w:jc w:val="left"/>
              <w:rPr>
                <w:color w:val="000000"/>
                <w:kern w:val="0"/>
                <w:szCs w:val="21"/>
              </w:rPr>
            </w:pPr>
            <w:r>
              <w:rPr>
                <w:rFonts w:hint="eastAsia"/>
                <w:color w:val="000000"/>
                <w:kern w:val="0"/>
                <w:szCs w:val="21"/>
              </w:rPr>
              <w:t>1</w:t>
            </w:r>
            <w:r>
              <w:rPr>
                <w:color w:val="000000"/>
                <w:kern w:val="0"/>
                <w:szCs w:val="21"/>
              </w:rPr>
              <w:t>0</w:t>
            </w:r>
          </w:p>
        </w:tc>
        <w:tc>
          <w:tcPr>
            <w:tcW w:w="1314" w:type="dxa"/>
            <w:tcBorders>
              <w:top w:val="nil"/>
              <w:left w:val="nil"/>
              <w:bottom w:val="single" w:color="auto" w:sz="4" w:space="0"/>
              <w:right w:val="single" w:color="auto" w:sz="4" w:space="0"/>
            </w:tcBorders>
            <w:shd w:val="clear" w:color="000000" w:fill="FFFFFF" w:themeFill="background1"/>
          </w:tcPr>
          <w:p>
            <w:pPr>
              <w:widowControl/>
              <w:rPr>
                <w:color w:val="000000"/>
                <w:kern w:val="0"/>
                <w:szCs w:val="21"/>
              </w:rPr>
            </w:pPr>
            <m:oMathPara>
              <m:oMath>
                <m:r>
                  <m:rPr/>
                  <w:rPr>
                    <w:rFonts w:ascii="Cambria Math" w:hAnsi="Cambria Math"/>
                    <w:szCs w:val="21"/>
                  </w:rPr>
                  <m:t>5.49×</m:t>
                </m:r>
                <m:sSup>
                  <m:sSupPr>
                    <m:ctrlPr>
                      <w:rPr>
                        <w:rFonts w:ascii="Cambria Math" w:hAnsi="Cambria Math"/>
                        <w:i/>
                        <w:szCs w:val="21"/>
                      </w:rPr>
                    </m:ctrlPr>
                  </m:sSupPr>
                  <m:e>
                    <m:r>
                      <m:rPr/>
                      <w:rPr>
                        <w:rFonts w:ascii="Cambria Math" w:hAnsi="Cambria Math"/>
                        <w:szCs w:val="21"/>
                      </w:rPr>
                      <m:t>10</m:t>
                    </m:r>
                    <m:ctrlPr>
                      <w:rPr>
                        <w:rFonts w:ascii="Cambria Math" w:hAnsi="Cambria Math"/>
                        <w:i/>
                        <w:szCs w:val="21"/>
                      </w:rPr>
                    </m:ctrlPr>
                  </m:e>
                  <m:sup>
                    <m:r>
                      <m:rPr/>
                      <w:rPr>
                        <w:rFonts w:ascii="Cambria Math" w:hAnsi="Cambria Math"/>
                        <w:szCs w:val="21"/>
                      </w:rPr>
                      <m:t>−4</m:t>
                    </m:r>
                    <m:ctrlPr>
                      <w:rPr>
                        <w:rFonts w:ascii="Cambria Math" w:hAnsi="Cambria Math"/>
                        <w:i/>
                        <w:szCs w:val="21"/>
                      </w:rPr>
                    </m:ctrlPr>
                  </m:sup>
                </m:sSup>
              </m:oMath>
            </m:oMathPara>
          </w:p>
        </w:tc>
        <w:tc>
          <w:tcPr>
            <w:tcW w:w="1314" w:type="dxa"/>
            <w:tcBorders>
              <w:top w:val="nil"/>
              <w:left w:val="nil"/>
              <w:bottom w:val="single" w:color="auto" w:sz="4" w:space="0"/>
              <w:right w:val="single" w:color="auto" w:sz="4" w:space="0"/>
            </w:tcBorders>
            <w:shd w:val="clear" w:color="000000" w:fill="FFFFFF" w:themeFill="background1"/>
          </w:tcPr>
          <w:p>
            <w:pPr>
              <w:widowControl/>
              <w:jc w:val="left"/>
              <w:rPr>
                <w:color w:val="000000"/>
                <w:kern w:val="0"/>
                <w:szCs w:val="21"/>
              </w:rPr>
            </w:pPr>
            <w:r>
              <w:rPr>
                <w:szCs w:val="21"/>
              </w:rPr>
              <w:t xml:space="preserve">0.9910 </w:t>
            </w:r>
          </w:p>
        </w:tc>
        <w:tc>
          <w:tcPr>
            <w:tcW w:w="1569" w:type="dxa"/>
            <w:tcBorders>
              <w:top w:val="nil"/>
              <w:left w:val="nil"/>
              <w:bottom w:val="single" w:color="auto" w:sz="4" w:space="0"/>
              <w:right w:val="single" w:color="auto" w:sz="4" w:space="0"/>
            </w:tcBorders>
            <w:shd w:val="clear" w:color="000000" w:fill="FFFFFF" w:themeFill="background1"/>
          </w:tcPr>
          <w:p>
            <w:pPr>
              <w:widowControl/>
              <w:jc w:val="left"/>
              <w:rPr>
                <w:color w:val="000000"/>
                <w:kern w:val="0"/>
                <w:szCs w:val="21"/>
              </w:rPr>
            </w:pPr>
            <w:r>
              <w:rPr>
                <w:szCs w:val="21"/>
              </w:rPr>
              <w:t>0.0014</w:t>
            </w:r>
          </w:p>
        </w:tc>
      </w:tr>
      <w:tr>
        <w:tblPrEx>
          <w:tblCellMar>
            <w:top w:w="0" w:type="dxa"/>
            <w:left w:w="108" w:type="dxa"/>
            <w:bottom w:w="0" w:type="dxa"/>
            <w:right w:w="108" w:type="dxa"/>
          </w:tblCellMar>
        </w:tblPrEx>
        <w:trPr>
          <w:trHeight w:val="270" w:hRule="atLeast"/>
          <w:jc w:val="center"/>
        </w:trPr>
        <w:tc>
          <w:tcPr>
            <w:tcW w:w="1855" w:type="dxa"/>
            <w:vMerge w:val="continue"/>
            <w:tcBorders>
              <w:left w:val="single" w:color="auto" w:sz="4" w:space="0"/>
              <w:right w:val="single" w:color="auto" w:sz="4" w:space="0"/>
            </w:tcBorders>
            <w:shd w:val="clear" w:color="000000" w:fill="FFFFFF" w:themeFill="background1"/>
            <w:vAlign w:val="center"/>
          </w:tcPr>
          <w:p>
            <w:pPr>
              <w:widowControl/>
              <w:jc w:val="left"/>
              <w:rPr>
                <w:color w:val="000000"/>
                <w:kern w:val="0"/>
                <w:szCs w:val="21"/>
              </w:rPr>
            </w:pPr>
          </w:p>
        </w:tc>
        <w:tc>
          <w:tcPr>
            <w:tcW w:w="1314" w:type="dxa"/>
            <w:tcBorders>
              <w:top w:val="nil"/>
              <w:left w:val="nil"/>
              <w:bottom w:val="single" w:color="auto" w:sz="4" w:space="0"/>
              <w:right w:val="single" w:color="auto" w:sz="4" w:space="0"/>
            </w:tcBorders>
            <w:shd w:val="clear" w:color="000000" w:fill="FFFFFF" w:themeFill="background1"/>
            <w:vAlign w:val="center"/>
          </w:tcPr>
          <w:p>
            <w:pPr>
              <w:widowControl/>
              <w:jc w:val="left"/>
              <w:rPr>
                <w:color w:val="000000"/>
                <w:kern w:val="0"/>
                <w:szCs w:val="21"/>
              </w:rPr>
            </w:pPr>
            <w:r>
              <w:rPr>
                <w:color w:val="000000"/>
                <w:kern w:val="0"/>
                <w:szCs w:val="21"/>
              </w:rPr>
              <w:t>11</w:t>
            </w:r>
          </w:p>
        </w:tc>
        <w:tc>
          <w:tcPr>
            <w:tcW w:w="1314" w:type="dxa"/>
            <w:tcBorders>
              <w:top w:val="nil"/>
              <w:left w:val="nil"/>
              <w:bottom w:val="single" w:color="auto" w:sz="4" w:space="0"/>
              <w:right w:val="single" w:color="auto" w:sz="4" w:space="0"/>
            </w:tcBorders>
            <w:shd w:val="clear" w:color="000000" w:fill="FFFFFF" w:themeFill="background1"/>
          </w:tcPr>
          <w:p>
            <w:pPr>
              <w:widowControl/>
              <w:rPr>
                <w:color w:val="000000"/>
                <w:kern w:val="0"/>
                <w:szCs w:val="21"/>
              </w:rPr>
            </w:pPr>
            <m:oMathPara>
              <m:oMath>
                <m:r>
                  <m:rPr/>
                  <w:rPr>
                    <w:rFonts w:ascii="Cambria Math" w:hAnsi="Cambria Math"/>
                    <w:szCs w:val="21"/>
                  </w:rPr>
                  <m:t>5.75×</m:t>
                </m:r>
                <m:sSup>
                  <m:sSupPr>
                    <m:ctrlPr>
                      <w:rPr>
                        <w:rFonts w:ascii="Cambria Math" w:hAnsi="Cambria Math"/>
                        <w:i/>
                        <w:szCs w:val="21"/>
                      </w:rPr>
                    </m:ctrlPr>
                  </m:sSupPr>
                  <m:e>
                    <m:r>
                      <m:rPr/>
                      <w:rPr>
                        <w:rFonts w:ascii="Cambria Math" w:hAnsi="Cambria Math"/>
                        <w:szCs w:val="21"/>
                      </w:rPr>
                      <m:t>10</m:t>
                    </m:r>
                    <m:ctrlPr>
                      <w:rPr>
                        <w:rFonts w:ascii="Cambria Math" w:hAnsi="Cambria Math"/>
                        <w:i/>
                        <w:szCs w:val="21"/>
                      </w:rPr>
                    </m:ctrlPr>
                  </m:e>
                  <m:sup>
                    <m:r>
                      <m:rPr/>
                      <w:rPr>
                        <w:rFonts w:ascii="Cambria Math" w:hAnsi="Cambria Math"/>
                        <w:szCs w:val="21"/>
                      </w:rPr>
                      <m:t>−4</m:t>
                    </m:r>
                    <m:ctrlPr>
                      <w:rPr>
                        <w:rFonts w:ascii="Cambria Math" w:hAnsi="Cambria Math"/>
                        <w:i/>
                        <w:szCs w:val="21"/>
                      </w:rPr>
                    </m:ctrlPr>
                  </m:sup>
                </m:sSup>
              </m:oMath>
            </m:oMathPara>
          </w:p>
        </w:tc>
        <w:tc>
          <w:tcPr>
            <w:tcW w:w="1314" w:type="dxa"/>
            <w:tcBorders>
              <w:top w:val="nil"/>
              <w:left w:val="nil"/>
              <w:bottom w:val="single" w:color="auto" w:sz="4" w:space="0"/>
              <w:right w:val="single" w:color="auto" w:sz="4" w:space="0"/>
            </w:tcBorders>
            <w:shd w:val="clear" w:color="000000" w:fill="FFFFFF" w:themeFill="background1"/>
          </w:tcPr>
          <w:p>
            <w:pPr>
              <w:widowControl/>
              <w:jc w:val="left"/>
              <w:rPr>
                <w:color w:val="000000"/>
                <w:kern w:val="0"/>
                <w:szCs w:val="21"/>
              </w:rPr>
            </w:pPr>
            <w:r>
              <w:rPr>
                <w:szCs w:val="21"/>
              </w:rPr>
              <w:t xml:space="preserve">0.9910 </w:t>
            </w:r>
          </w:p>
        </w:tc>
        <w:tc>
          <w:tcPr>
            <w:tcW w:w="1569" w:type="dxa"/>
            <w:tcBorders>
              <w:top w:val="nil"/>
              <w:left w:val="nil"/>
              <w:bottom w:val="single" w:color="auto" w:sz="4" w:space="0"/>
              <w:right w:val="single" w:color="auto" w:sz="4" w:space="0"/>
            </w:tcBorders>
            <w:shd w:val="clear" w:color="000000" w:fill="FFFFFF" w:themeFill="background1"/>
          </w:tcPr>
          <w:p>
            <w:pPr>
              <w:widowControl/>
              <w:jc w:val="left"/>
              <w:rPr>
                <w:color w:val="000000"/>
                <w:kern w:val="0"/>
                <w:szCs w:val="21"/>
              </w:rPr>
            </w:pPr>
            <w:r>
              <w:rPr>
                <w:szCs w:val="21"/>
              </w:rPr>
              <w:t>0.0014</w:t>
            </w:r>
          </w:p>
        </w:tc>
      </w:tr>
      <w:tr>
        <w:tblPrEx>
          <w:tblCellMar>
            <w:top w:w="0" w:type="dxa"/>
            <w:left w:w="108" w:type="dxa"/>
            <w:bottom w:w="0" w:type="dxa"/>
            <w:right w:w="108" w:type="dxa"/>
          </w:tblCellMar>
        </w:tblPrEx>
        <w:trPr>
          <w:trHeight w:val="270" w:hRule="atLeast"/>
          <w:jc w:val="center"/>
        </w:trPr>
        <w:tc>
          <w:tcPr>
            <w:tcW w:w="1855" w:type="dxa"/>
            <w:vMerge w:val="continue"/>
            <w:tcBorders>
              <w:left w:val="single" w:color="auto" w:sz="4" w:space="0"/>
              <w:bottom w:val="single" w:color="auto" w:sz="4" w:space="0"/>
              <w:right w:val="single" w:color="auto" w:sz="4" w:space="0"/>
            </w:tcBorders>
            <w:shd w:val="clear" w:color="000000" w:fill="FFFFFF" w:themeFill="background1"/>
            <w:vAlign w:val="center"/>
          </w:tcPr>
          <w:p>
            <w:pPr>
              <w:widowControl/>
              <w:jc w:val="left"/>
              <w:rPr>
                <w:color w:val="000000"/>
                <w:kern w:val="0"/>
                <w:szCs w:val="21"/>
              </w:rPr>
            </w:pPr>
          </w:p>
        </w:tc>
        <w:tc>
          <w:tcPr>
            <w:tcW w:w="1314" w:type="dxa"/>
            <w:tcBorders>
              <w:top w:val="nil"/>
              <w:left w:val="nil"/>
              <w:bottom w:val="single" w:color="auto" w:sz="4" w:space="0"/>
              <w:right w:val="single" w:color="auto" w:sz="4" w:space="0"/>
            </w:tcBorders>
            <w:shd w:val="clear" w:color="000000" w:fill="FFFFFF" w:themeFill="background1"/>
            <w:vAlign w:val="center"/>
          </w:tcPr>
          <w:p>
            <w:pPr>
              <w:widowControl/>
              <w:jc w:val="left"/>
              <w:rPr>
                <w:color w:val="000000"/>
                <w:kern w:val="0"/>
                <w:szCs w:val="21"/>
              </w:rPr>
            </w:pPr>
            <w:r>
              <w:rPr>
                <w:color w:val="000000"/>
                <w:kern w:val="0"/>
                <w:szCs w:val="21"/>
              </w:rPr>
              <w:t>12</w:t>
            </w:r>
          </w:p>
        </w:tc>
        <w:tc>
          <w:tcPr>
            <w:tcW w:w="1314" w:type="dxa"/>
            <w:tcBorders>
              <w:top w:val="nil"/>
              <w:left w:val="nil"/>
              <w:bottom w:val="single" w:color="auto" w:sz="4" w:space="0"/>
              <w:right w:val="single" w:color="auto" w:sz="4" w:space="0"/>
            </w:tcBorders>
            <w:shd w:val="clear" w:color="000000" w:fill="FFFFFF" w:themeFill="background1"/>
          </w:tcPr>
          <w:p>
            <w:pPr>
              <w:widowControl/>
              <w:rPr>
                <w:color w:val="000000"/>
                <w:kern w:val="0"/>
                <w:szCs w:val="21"/>
              </w:rPr>
            </w:pPr>
            <m:oMathPara>
              <m:oMath>
                <m:r>
                  <m:rPr/>
                  <w:rPr>
                    <w:rFonts w:ascii="Cambria Math" w:hAnsi="Cambria Math"/>
                    <w:szCs w:val="21"/>
                  </w:rPr>
                  <m:t>8.96×</m:t>
                </m:r>
                <m:sSup>
                  <m:sSupPr>
                    <m:ctrlPr>
                      <w:rPr>
                        <w:rFonts w:ascii="Cambria Math" w:hAnsi="Cambria Math"/>
                        <w:i/>
                        <w:szCs w:val="21"/>
                      </w:rPr>
                    </m:ctrlPr>
                  </m:sSupPr>
                  <m:e>
                    <m:r>
                      <m:rPr/>
                      <w:rPr>
                        <w:rFonts w:ascii="Cambria Math" w:hAnsi="Cambria Math"/>
                        <w:szCs w:val="21"/>
                      </w:rPr>
                      <m:t>10</m:t>
                    </m:r>
                    <m:ctrlPr>
                      <w:rPr>
                        <w:rFonts w:ascii="Cambria Math" w:hAnsi="Cambria Math"/>
                        <w:i/>
                        <w:szCs w:val="21"/>
                      </w:rPr>
                    </m:ctrlPr>
                  </m:e>
                  <m:sup>
                    <m:r>
                      <m:rPr/>
                      <w:rPr>
                        <w:rFonts w:ascii="Cambria Math" w:hAnsi="Cambria Math"/>
                        <w:szCs w:val="21"/>
                      </w:rPr>
                      <m:t>−4</m:t>
                    </m:r>
                    <m:ctrlPr>
                      <w:rPr>
                        <w:rFonts w:ascii="Cambria Math" w:hAnsi="Cambria Math"/>
                        <w:i/>
                        <w:szCs w:val="21"/>
                      </w:rPr>
                    </m:ctrlPr>
                  </m:sup>
                </m:sSup>
              </m:oMath>
            </m:oMathPara>
          </w:p>
        </w:tc>
        <w:tc>
          <w:tcPr>
            <w:tcW w:w="1314" w:type="dxa"/>
            <w:tcBorders>
              <w:top w:val="nil"/>
              <w:left w:val="nil"/>
              <w:bottom w:val="single" w:color="auto" w:sz="4" w:space="0"/>
              <w:right w:val="single" w:color="auto" w:sz="4" w:space="0"/>
            </w:tcBorders>
            <w:shd w:val="clear" w:color="000000" w:fill="FFFFFF" w:themeFill="background1"/>
          </w:tcPr>
          <w:p>
            <w:pPr>
              <w:widowControl/>
              <w:jc w:val="left"/>
              <w:rPr>
                <w:color w:val="000000"/>
                <w:kern w:val="0"/>
                <w:szCs w:val="21"/>
              </w:rPr>
            </w:pPr>
            <w:r>
              <w:rPr>
                <w:szCs w:val="21"/>
              </w:rPr>
              <w:t xml:space="preserve">0.9894 </w:t>
            </w:r>
          </w:p>
        </w:tc>
        <w:tc>
          <w:tcPr>
            <w:tcW w:w="1569" w:type="dxa"/>
            <w:tcBorders>
              <w:top w:val="nil"/>
              <w:left w:val="nil"/>
              <w:bottom w:val="single" w:color="auto" w:sz="4" w:space="0"/>
              <w:right w:val="single" w:color="auto" w:sz="4" w:space="0"/>
            </w:tcBorders>
            <w:shd w:val="clear" w:color="000000" w:fill="FFFFFF" w:themeFill="background1"/>
          </w:tcPr>
          <w:p>
            <w:pPr>
              <w:widowControl/>
              <w:jc w:val="left"/>
              <w:rPr>
                <w:color w:val="000000"/>
                <w:kern w:val="0"/>
                <w:szCs w:val="21"/>
              </w:rPr>
            </w:pPr>
            <w:r>
              <w:rPr>
                <w:szCs w:val="21"/>
              </w:rPr>
              <w:t>0.0024</w:t>
            </w:r>
          </w:p>
        </w:tc>
      </w:tr>
    </w:tbl>
    <w:p>
      <w:pPr>
        <w:pStyle w:val="50"/>
        <w:spacing w:line="360" w:lineRule="auto"/>
        <w:jc w:val="left"/>
        <w:rPr>
          <w:rFonts w:hAnsi="Cambria Math"/>
          <w:color w:val="000000" w:themeColor="text1"/>
          <w:kern w:val="0"/>
          <w:sz w:val="24"/>
          <w:szCs w:val="24"/>
          <w14:textFill>
            <w14:solidFill>
              <w14:schemeClr w14:val="tx1"/>
            </w14:solidFill>
          </w14:textFill>
        </w:rPr>
      </w:pPr>
    </w:p>
    <w:p>
      <w:pPr>
        <w:pStyle w:val="50"/>
        <w:spacing w:line="360" w:lineRule="auto"/>
        <w:ind w:firstLine="480" w:firstLineChars="200"/>
        <w:rPr>
          <w:rFonts w:ascii="宋体" w:hAnsi="宋体" w:cs="宋体"/>
          <w:b/>
          <w:iCs/>
          <w:sz w:val="24"/>
          <w:szCs w:val="24"/>
        </w:rPr>
      </w:pPr>
      <w:r>
        <w:rPr>
          <w:rFonts w:hint="eastAsia" w:ascii="宋体" w:hAnsi="宋体" w:cs="宋体"/>
          <w:sz w:val="24"/>
          <w:szCs w:val="24"/>
        </w:rPr>
        <w:t>比对量全部测得值不确定度组成方差-协方差矩阵中</w:t>
      </w:r>
      <w:r>
        <w:rPr>
          <w:rFonts w:hint="eastAsia" w:ascii="宋体" w:hAnsi="宋体" w:cs="宋体"/>
          <w:iCs/>
          <w:color w:val="000000" w:themeColor="text1"/>
          <w:sz w:val="24"/>
          <w:szCs w:val="24"/>
          <w:lang w:val="en-GB"/>
          <w14:textFill>
            <w14:solidFill>
              <w14:schemeClr w14:val="tx1"/>
            </w14:solidFill>
          </w14:textFill>
        </w:rPr>
        <w:t>，</w:t>
      </w:r>
      <m:oMath>
        <m:sSub>
          <m:sSubPr>
            <m:ctrlPr>
              <w:rPr>
                <w:rFonts w:ascii="Cambria Math" w:hAnsi="Cambria Math"/>
                <w:i/>
                <w:iCs/>
                <w:color w:val="000000" w:themeColor="text1"/>
                <w:sz w:val="24"/>
                <w:szCs w:val="24"/>
                <w:lang w:val="en-GB"/>
                <w14:textFill>
                  <w14:solidFill>
                    <w14:schemeClr w14:val="tx1"/>
                  </w14:solidFill>
                </w14:textFill>
              </w:rPr>
            </m:ctrlPr>
          </m:sSubPr>
          <m:e>
            <m:r>
              <m:rPr/>
              <w:rPr>
                <w:rFonts w:hint="eastAsia" w:ascii="Cambria Math" w:hAnsi="Cambria Math"/>
                <w:color w:val="000000" w:themeColor="text1"/>
                <w:sz w:val="24"/>
                <w:szCs w:val="24"/>
                <w:lang w:val="en-GB"/>
                <w14:textFill>
                  <w14:solidFill>
                    <w14:schemeClr w14:val="tx1"/>
                  </w14:solidFill>
                </w14:textFill>
              </w:rPr>
              <m:t>u</m:t>
            </m:r>
            <m:ctrlPr>
              <w:rPr>
                <w:rFonts w:ascii="Cambria Math" w:hAnsi="Cambria Math"/>
                <w:i/>
                <w:iCs/>
                <w:color w:val="000000" w:themeColor="text1"/>
                <w:sz w:val="24"/>
                <w:szCs w:val="24"/>
                <w:lang w:val="en-GB"/>
                <w14:textFill>
                  <w14:solidFill>
                    <w14:schemeClr w14:val="tx1"/>
                  </w14:solidFill>
                </w14:textFill>
              </w:rPr>
            </m:ctrlPr>
          </m:e>
          <m:sub>
            <m:r>
              <m:rPr/>
              <w:rPr>
                <w:rFonts w:hint="eastAsia" w:ascii="Cambria Math" w:hAnsi="Cambria Math"/>
                <w:color w:val="000000" w:themeColor="text1"/>
                <w:sz w:val="24"/>
                <w:szCs w:val="24"/>
                <w:lang w:val="en-GB"/>
                <w14:textFill>
                  <w14:solidFill>
                    <w14:schemeClr w14:val="tx1"/>
                  </w14:solidFill>
                </w14:textFill>
              </w:rPr>
              <m:t>i</m:t>
            </m:r>
            <m:ctrlPr>
              <w:rPr>
                <w:rFonts w:ascii="Cambria Math" w:hAnsi="Cambria Math"/>
                <w:i/>
                <w:iCs/>
                <w:color w:val="000000" w:themeColor="text1"/>
                <w:sz w:val="24"/>
                <w:szCs w:val="24"/>
                <w:lang w:val="en-GB"/>
                <w14:textFill>
                  <w14:solidFill>
                    <w14:schemeClr w14:val="tx1"/>
                  </w14:solidFill>
                </w14:textFill>
              </w:rPr>
            </m:ctrlPr>
          </m:sub>
        </m:sSub>
      </m:oMath>
      <w:r>
        <w:rPr>
          <w:rFonts w:hint="eastAsia" w:ascii="宋体" w:hAnsi="宋体" w:cs="宋体"/>
          <w:iCs/>
          <w:color w:val="000000" w:themeColor="text1"/>
          <w:sz w:val="24"/>
          <w:szCs w:val="24"/>
          <w:lang w:val="en-GB"/>
          <w14:textFill>
            <w14:solidFill>
              <w14:schemeClr w14:val="tx1"/>
            </w14:solidFill>
          </w14:textFill>
        </w:rPr>
        <w:t>为比对量测得值的标准不确定度，可由表</w:t>
      </w:r>
      <w:r>
        <w:rPr>
          <w:iCs/>
          <w:color w:val="000000" w:themeColor="text1"/>
          <w:sz w:val="24"/>
          <w:szCs w:val="24"/>
          <w:lang w:val="en-GB"/>
          <w14:textFill>
            <w14:solidFill>
              <w14:schemeClr w14:val="tx1"/>
            </w14:solidFill>
          </w14:textFill>
        </w:rPr>
        <w:t>E.</w:t>
      </w:r>
      <w:r>
        <w:rPr>
          <w:rFonts w:hint="eastAsia" w:ascii="宋体" w:hAnsi="宋体" w:cs="宋体"/>
          <w:iCs/>
          <w:color w:val="000000" w:themeColor="text1"/>
          <w:sz w:val="24"/>
          <w:szCs w:val="24"/>
          <w:lang w:val="en-GB"/>
          <w14:textFill>
            <w14:solidFill>
              <w14:schemeClr w14:val="tx1"/>
            </w14:solidFill>
          </w14:textFill>
        </w:rPr>
        <w:t>1获得。</w:t>
      </w:r>
      <w:r>
        <w:rPr>
          <w:rFonts w:hint="eastAsia" w:ascii="宋体" w:hAnsi="宋体" w:cs="宋体"/>
          <w:color w:val="000000" w:themeColor="text1"/>
          <w:sz w:val="24"/>
          <w:szCs w:val="24"/>
          <w14:textFill>
            <w14:solidFill>
              <w14:schemeClr w14:val="tx1"/>
            </w14:solidFill>
          </w14:textFill>
        </w:rPr>
        <w:t>第</w:t>
      </w:r>
      <m:oMath>
        <m:r>
          <m:rPr/>
          <w:rPr>
            <w:rFonts w:ascii="Cambria Math" w:hAnsi="Cambria Math"/>
            <w:color w:val="000000" w:themeColor="text1"/>
            <w:sz w:val="24"/>
            <w:szCs w:val="24"/>
            <w14:textFill>
              <w14:solidFill>
                <w14:schemeClr w14:val="tx1"/>
              </w14:solidFill>
            </w14:textFill>
          </w:rPr>
          <m:t>i</m:t>
        </m:r>
      </m:oMath>
      <w:r>
        <w:rPr>
          <w:rFonts w:hint="eastAsia" w:ascii="宋体" w:hAnsi="宋体" w:cs="宋体"/>
          <w:color w:val="000000" w:themeColor="text1"/>
          <w:sz w:val="24"/>
          <w:szCs w:val="24"/>
          <w14:textFill>
            <w14:solidFill>
              <w14:schemeClr w14:val="tx1"/>
            </w14:solidFill>
          </w14:textFill>
        </w:rPr>
        <w:t>个测得值与第</w:t>
      </w:r>
      <m:oMath>
        <m:r>
          <m:rPr/>
          <w:rPr>
            <w:rFonts w:ascii="Cambria Math" w:hAnsi="Cambria Math"/>
            <w:color w:val="000000" w:themeColor="text1"/>
            <w:sz w:val="24"/>
            <w:szCs w:val="24"/>
            <w14:textFill>
              <w14:solidFill>
                <w14:schemeClr w14:val="tx1"/>
              </w14:solidFill>
            </w14:textFill>
          </w:rPr>
          <m:t>j</m:t>
        </m:r>
      </m:oMath>
      <w:r>
        <w:rPr>
          <w:rFonts w:hint="eastAsia" w:ascii="宋体" w:hAnsi="宋体" w:cs="宋体"/>
          <w:color w:val="000000" w:themeColor="text1"/>
          <w:sz w:val="24"/>
          <w:szCs w:val="24"/>
          <w14:textFill>
            <w14:solidFill>
              <w14:schemeClr w14:val="tx1"/>
            </w14:solidFill>
          </w14:textFill>
        </w:rPr>
        <w:t>个测得值间的协方差为完全相关效应引入的不确定度，包括实验装置完全相关效应引入的不确定度，</w:t>
      </w:r>
      <w:r>
        <w:rPr>
          <w:rFonts w:hint="eastAsia" w:ascii="宋体" w:hAnsi="宋体" w:cs="宋体"/>
          <w:sz w:val="24"/>
          <w:szCs w:val="24"/>
        </w:rPr>
        <w:t>以及</w:t>
      </w:r>
      <w:r>
        <w:rPr>
          <w:rFonts w:hint="eastAsia" w:ascii="宋体" w:hAnsi="宋体" w:cs="宋体"/>
          <w:color w:val="000000" w:themeColor="text1"/>
          <w:sz w:val="24"/>
          <w:szCs w:val="24"/>
          <w14:textFill>
            <w14:solidFill>
              <w14:schemeClr w14:val="tx1"/>
            </w14:solidFill>
          </w14:textFill>
        </w:rPr>
        <w:t>传递标准</w:t>
      </w:r>
      <w:r>
        <w:rPr>
          <w:rFonts w:hint="eastAsia" w:ascii="宋体" w:hAnsi="宋体" w:cs="宋体"/>
          <w:color w:val="FF0000"/>
          <w:sz w:val="24"/>
          <w:szCs w:val="24"/>
        </w:rPr>
        <w:t>安装等</w:t>
      </w:r>
      <w:r>
        <w:rPr>
          <w:rFonts w:hint="eastAsia" w:ascii="宋体" w:hAnsi="宋体" w:cs="宋体"/>
          <w:color w:val="000000" w:themeColor="text1"/>
          <w:sz w:val="24"/>
          <w:szCs w:val="24"/>
          <w14:textFill>
            <w14:solidFill>
              <w14:schemeClr w14:val="tx1"/>
            </w14:solidFill>
          </w14:textFill>
        </w:rPr>
        <w:t>完全相关效应引入的不确定度。</w:t>
      </w:r>
      <w:r>
        <w:rPr>
          <w:rFonts w:hint="eastAsia"/>
          <w:sz w:val="24"/>
          <w:szCs w:val="24"/>
        </w:rPr>
        <w:t>此次比对中</w:t>
      </w:r>
      <m:oMath>
        <m:sSub>
          <m:sSubPr>
            <m:ctrlPr>
              <w:rPr>
                <w:rFonts w:ascii="Cambria Math" w:hAnsi="Cambria Math"/>
                <w:i/>
                <w:iCs/>
                <w:sz w:val="24"/>
                <w:szCs w:val="24"/>
                <w:lang w:val="en-GB"/>
              </w:rPr>
            </m:ctrlPr>
          </m:sSubPr>
          <m:e>
            <m:r>
              <m:rPr/>
              <w:rPr>
                <w:rFonts w:ascii="Cambria Math" w:hAnsi="Cambria Math"/>
                <w:sz w:val="24"/>
                <w:szCs w:val="24"/>
                <w:lang w:val="en-GB"/>
              </w:rPr>
              <m:t>cov</m:t>
            </m:r>
            <m:ctrlPr>
              <w:rPr>
                <w:rFonts w:ascii="Cambria Math" w:hAnsi="Cambria Math"/>
                <w:i/>
                <w:iCs/>
                <w:sz w:val="24"/>
                <w:szCs w:val="24"/>
                <w:lang w:val="en-GB"/>
              </w:rPr>
            </m:ctrlPr>
          </m:e>
          <m:sub>
            <m:r>
              <m:rPr/>
              <w:rPr>
                <w:rFonts w:ascii="Cambria Math" w:hAnsi="Cambria Math"/>
                <w:sz w:val="24"/>
                <w:szCs w:val="24"/>
                <w:vertAlign w:val="subscript"/>
                <w:lang w:val="en-GB"/>
              </w:rPr>
              <m:t>i</m:t>
            </m:r>
            <m:r>
              <m:rPr>
                <m:sty m:val="p"/>
              </m:rPr>
              <w:rPr>
                <w:rFonts w:ascii="Cambria Math" w:hAnsi="Cambria Math"/>
                <w:sz w:val="24"/>
                <w:szCs w:val="24"/>
                <w:vertAlign w:val="subscript"/>
                <w:lang w:val="en-GB"/>
              </w:rPr>
              <m:t>,</m:t>
            </m:r>
            <m:r>
              <m:rPr/>
              <w:rPr>
                <w:rFonts w:ascii="Cambria Math" w:hAnsi="Cambria Math"/>
                <w:sz w:val="24"/>
                <w:szCs w:val="24"/>
                <w:vertAlign w:val="subscript"/>
                <w:lang w:val="en-GB"/>
              </w:rPr>
              <m:t>j</m:t>
            </m:r>
            <m:ctrlPr>
              <w:rPr>
                <w:rFonts w:ascii="Cambria Math" w:hAnsi="Cambria Math"/>
                <w:i/>
                <w:iCs/>
                <w:sz w:val="24"/>
                <w:szCs w:val="24"/>
                <w:lang w:val="en-GB"/>
              </w:rPr>
            </m:ctrlPr>
          </m:sub>
        </m:sSub>
        <m:r>
          <m:rPr/>
          <w:rPr>
            <w:rFonts w:ascii="Cambria Math" w:hAnsi="Cambria Math"/>
            <w:sz w:val="24"/>
            <w:szCs w:val="24"/>
            <w:lang w:val="en-GB"/>
          </w:rPr>
          <m:t>=0.00045</m:t>
        </m:r>
      </m:oMath>
      <w:r>
        <w:rPr>
          <w:rFonts w:hint="eastAsia"/>
          <w:sz w:val="24"/>
          <w:szCs w:val="24"/>
        </w:rPr>
        <w:t>，由此计算出</w:t>
      </w:r>
      <w:r>
        <w:rPr>
          <w:rFonts w:hint="eastAsia" w:ascii="宋体" w:hAnsi="宋体" w:cs="宋体"/>
          <w:sz w:val="24"/>
          <w:szCs w:val="24"/>
        </w:rPr>
        <w:t>比对量测得值的方差-协方差矩阵</w:t>
      </w:r>
      <m:oMath>
        <m:sSub>
          <m:sSubPr>
            <m:ctrlPr>
              <w:rPr>
                <w:rFonts w:ascii="Cambria Math" w:hAnsi="Cambria Math" w:cs="Arial"/>
                <w:b/>
                <w:iCs/>
                <w:sz w:val="24"/>
                <w:szCs w:val="24"/>
              </w:rPr>
            </m:ctrlPr>
          </m:sSubPr>
          <m:e>
            <m:r>
              <m:rPr>
                <m:sty m:val="b"/>
              </m:rPr>
              <w:rPr>
                <w:rFonts w:ascii="Cambria Math" w:hAnsi="Cambria Math" w:cs="Arial"/>
                <w:sz w:val="24"/>
                <w:szCs w:val="24"/>
              </w:rPr>
              <m:t>V</m:t>
            </m:r>
            <m:ctrlPr>
              <w:rPr>
                <w:rFonts w:ascii="Cambria Math" w:hAnsi="Cambria Math" w:cs="Arial"/>
                <w:b/>
                <w:iCs/>
                <w:sz w:val="24"/>
                <w:szCs w:val="24"/>
              </w:rPr>
            </m:ctrlPr>
          </m:e>
          <m:sub>
            <m:r>
              <m:rPr>
                <m:sty m:val="bi"/>
              </m:rPr>
              <w:rPr>
                <w:rFonts w:ascii="Cambria Math" w:hAnsi="Cambria Math" w:cs="Arial"/>
                <w:sz w:val="24"/>
                <w:szCs w:val="24"/>
              </w:rPr>
              <m:t>y</m:t>
            </m:r>
            <m:ctrlPr>
              <w:rPr>
                <w:rFonts w:ascii="Cambria Math" w:hAnsi="Cambria Math" w:cs="Arial"/>
                <w:b/>
                <w:iCs/>
                <w:sz w:val="24"/>
                <w:szCs w:val="24"/>
              </w:rPr>
            </m:ctrlPr>
          </m:sub>
        </m:sSub>
      </m:oMath>
      <w:r>
        <w:rPr>
          <w:rFonts w:hint="eastAsia" w:ascii="宋体" w:hAnsi="宋体" w:cs="宋体"/>
          <w:b/>
          <w:iCs/>
          <w:sz w:val="24"/>
          <w:szCs w:val="24"/>
        </w:rPr>
        <w:t>。</w:t>
      </w:r>
    </w:p>
    <w:p>
      <w:pPr>
        <w:pStyle w:val="50"/>
        <w:spacing w:line="360" w:lineRule="auto"/>
        <w:ind w:firstLine="420"/>
        <w:jc w:val="left"/>
        <w:rPr>
          <w:sz w:val="24"/>
          <w:szCs w:val="24"/>
        </w:rPr>
      </w:pPr>
      <w:r>
        <w:rPr>
          <w:rFonts w:hint="eastAsia"/>
          <w:sz w:val="24"/>
          <w:szCs w:val="24"/>
        </w:rPr>
        <w:t>参照式（</w:t>
      </w:r>
      <w:r>
        <w:rPr>
          <w:sz w:val="24"/>
          <w:szCs w:val="24"/>
        </w:rPr>
        <w:t>E.</w:t>
      </w:r>
      <w:r>
        <w:rPr>
          <w:rFonts w:hint="eastAsia"/>
          <w:sz w:val="24"/>
          <w:szCs w:val="24"/>
        </w:rPr>
        <w:t>4）、（</w:t>
      </w:r>
      <w:r>
        <w:rPr>
          <w:sz w:val="24"/>
          <w:szCs w:val="24"/>
        </w:rPr>
        <w:t>E.</w:t>
      </w:r>
      <w:r>
        <w:rPr>
          <w:rFonts w:hint="eastAsia"/>
          <w:sz w:val="24"/>
          <w:szCs w:val="24"/>
        </w:rPr>
        <w:t>5），得到系数的估计值</w:t>
      </w:r>
      <m:oMath>
        <m:acc>
          <m:accPr>
            <m:ctrlPr>
              <w:rPr>
                <w:rFonts w:ascii="Cambria Math" w:hAnsi="Cambria Math"/>
                <w:i/>
                <w:sz w:val="24"/>
                <w:szCs w:val="24"/>
              </w:rPr>
            </m:ctrlPr>
          </m:accPr>
          <m:e>
            <m:r>
              <m:rPr/>
              <w:rPr>
                <w:rFonts w:hint="eastAsia" w:ascii="Cambria Math" w:hAnsi="Cambria Math"/>
                <w:sz w:val="24"/>
                <w:szCs w:val="24"/>
              </w:rPr>
              <m:t>a</m:t>
            </m:r>
            <m:ctrlPr>
              <w:rPr>
                <w:rFonts w:ascii="Cambria Math" w:hAnsi="Cambria Math"/>
                <w:i/>
                <w:sz w:val="24"/>
                <w:szCs w:val="24"/>
              </w:rPr>
            </m:ctrlPr>
          </m:e>
        </m:acc>
      </m:oMath>
      <w:r>
        <w:rPr>
          <w:sz w:val="24"/>
          <w:szCs w:val="24"/>
        </w:rPr>
        <w:t>=0.9933</w:t>
      </w:r>
      <w:r>
        <w:rPr>
          <w:rFonts w:hint="eastAsia"/>
          <w:sz w:val="24"/>
          <w:szCs w:val="24"/>
        </w:rPr>
        <w:t>，</w:t>
      </w:r>
      <m:oMath>
        <m:acc>
          <m:accPr>
            <m:ctrlPr>
              <w:rPr>
                <w:rFonts w:ascii="Cambria Math" w:hAnsi="Cambria Math"/>
                <w:i/>
                <w:sz w:val="24"/>
                <w:szCs w:val="24"/>
              </w:rPr>
            </m:ctrlPr>
          </m:accPr>
          <m:e>
            <m:r>
              <m:rPr/>
              <w:rPr>
                <w:rFonts w:hint="eastAsia" w:ascii="Cambria Math" w:hAnsi="Cambria Math"/>
                <w:sz w:val="24"/>
                <w:szCs w:val="24"/>
              </w:rPr>
              <m:t>b</m:t>
            </m:r>
            <m:ctrlPr>
              <w:rPr>
                <w:rFonts w:ascii="Cambria Math" w:hAnsi="Cambria Math"/>
                <w:i/>
                <w:sz w:val="24"/>
                <w:szCs w:val="24"/>
              </w:rPr>
            </m:ctrlPr>
          </m:e>
        </m:acc>
      </m:oMath>
      <w:r>
        <w:rPr>
          <w:rFonts w:hint="eastAsia"/>
          <w:sz w:val="24"/>
          <w:szCs w:val="24"/>
        </w:rPr>
        <w:t>=</w:t>
      </w:r>
      <w:r>
        <w:rPr>
          <w:sz w:val="24"/>
          <w:szCs w:val="24"/>
        </w:rPr>
        <w:t>-3</w:t>
      </w:r>
      <w:r>
        <w:rPr>
          <w:rFonts w:hint="eastAsia"/>
          <w:sz w:val="24"/>
          <w:szCs w:val="24"/>
        </w:rPr>
        <w:t>.3</w:t>
      </w:r>
      <w:r>
        <w:rPr>
          <w:sz w:val="24"/>
          <w:szCs w:val="24"/>
        </w:rPr>
        <w:t>873</w:t>
      </w:r>
      <w:r>
        <w:rPr>
          <w:rFonts w:hint="eastAsia"/>
          <w:sz w:val="24"/>
          <w:szCs w:val="24"/>
        </w:rPr>
        <w:t>，进而得到比对量的估计值及其不确定度；参照等效度的计算方法，得到等效度及其不确定度。比对结果如表E</w:t>
      </w:r>
      <w:r>
        <w:rPr>
          <w:sz w:val="24"/>
          <w:szCs w:val="24"/>
        </w:rPr>
        <w:t>.</w:t>
      </w:r>
      <w:r>
        <w:rPr>
          <w:rFonts w:hint="eastAsia"/>
          <w:sz w:val="24"/>
          <w:szCs w:val="24"/>
        </w:rPr>
        <w:t>2所示。</w:t>
      </w:r>
    </w:p>
    <w:p>
      <w:pPr>
        <w:pStyle w:val="50"/>
        <w:spacing w:line="360" w:lineRule="auto"/>
        <w:ind w:left="210" w:leftChars="100" w:firstLine="240" w:firstLineChars="100"/>
        <w:jc w:val="center"/>
        <w:rPr>
          <w:sz w:val="24"/>
          <w:szCs w:val="24"/>
        </w:rPr>
      </w:pPr>
      <w:r>
        <w:rPr>
          <w:rFonts w:hint="eastAsia"/>
          <w:sz w:val="24"/>
          <w:szCs w:val="24"/>
        </w:rPr>
        <w:t>表E</w:t>
      </w:r>
      <w:r>
        <w:rPr>
          <w:sz w:val="24"/>
          <w:szCs w:val="24"/>
        </w:rPr>
        <w:t>.</w:t>
      </w:r>
      <w:r>
        <w:rPr>
          <w:rFonts w:hint="eastAsia"/>
          <w:sz w:val="24"/>
          <w:szCs w:val="24"/>
        </w:rPr>
        <w:t>2</w:t>
      </w:r>
      <w:r>
        <w:rPr>
          <w:sz w:val="24"/>
          <w:szCs w:val="24"/>
        </w:rPr>
        <w:t xml:space="preserve"> </w:t>
      </w:r>
      <w:r>
        <w:rPr>
          <w:rFonts w:hint="eastAsia"/>
          <w:sz w:val="24"/>
          <w:szCs w:val="24"/>
        </w:rPr>
        <w:t>比对结果</w:t>
      </w:r>
    </w:p>
    <w:tbl>
      <w:tblPr>
        <w:tblStyle w:val="20"/>
        <w:tblW w:w="9109" w:type="dxa"/>
        <w:tblInd w:w="5" w:type="dxa"/>
        <w:tblLayout w:type="fixed"/>
        <w:tblCellMar>
          <w:top w:w="0" w:type="dxa"/>
          <w:left w:w="108" w:type="dxa"/>
          <w:bottom w:w="0" w:type="dxa"/>
          <w:right w:w="108" w:type="dxa"/>
        </w:tblCellMar>
      </w:tblPr>
      <w:tblGrid>
        <w:gridCol w:w="1301"/>
        <w:gridCol w:w="1301"/>
        <w:gridCol w:w="1301"/>
        <w:gridCol w:w="1302"/>
        <w:gridCol w:w="1301"/>
        <w:gridCol w:w="1301"/>
        <w:gridCol w:w="1302"/>
      </w:tblGrid>
      <w:tr>
        <w:tblPrEx>
          <w:tblCellMar>
            <w:top w:w="0" w:type="dxa"/>
            <w:left w:w="108" w:type="dxa"/>
            <w:bottom w:w="0" w:type="dxa"/>
            <w:right w:w="108" w:type="dxa"/>
          </w:tblCellMar>
        </w:tblPrEx>
        <w:trPr>
          <w:trHeight w:val="230" w:hRule="atLeast"/>
        </w:trPr>
        <w:tc>
          <w:tcPr>
            <w:tcW w:w="1301" w:type="dxa"/>
            <w:tcBorders>
              <w:top w:val="single" w:color="auto" w:sz="4" w:space="0"/>
              <w:left w:val="single" w:color="auto" w:sz="4" w:space="0"/>
              <w:bottom w:val="single" w:color="auto" w:sz="4" w:space="0"/>
              <w:right w:val="single" w:color="auto" w:sz="4" w:space="0"/>
            </w:tcBorders>
            <w:vAlign w:val="center"/>
          </w:tcPr>
          <w:p>
            <w:pPr>
              <w:widowControl/>
              <w:jc w:val="left"/>
              <w:rPr>
                <w:rFonts w:eastAsia="黑体"/>
                <w:color w:val="FF0000"/>
                <w:szCs w:val="21"/>
              </w:rPr>
            </w:pPr>
            <w:r>
              <w:rPr>
                <w:rFonts w:hint="eastAsia"/>
                <w:color w:val="000000"/>
                <w:kern w:val="0"/>
                <w:szCs w:val="21"/>
              </w:rPr>
              <w:t>序号</w:t>
            </w:r>
          </w:p>
        </w:tc>
        <w:tc>
          <w:tcPr>
            <w:tcW w:w="1301" w:type="dxa"/>
            <w:tcBorders>
              <w:top w:val="single" w:color="auto" w:sz="4" w:space="0"/>
              <w:left w:val="single" w:color="auto" w:sz="4" w:space="0"/>
              <w:bottom w:val="single" w:color="auto" w:sz="4" w:space="0"/>
              <w:right w:val="single" w:color="auto" w:sz="4" w:space="0"/>
            </w:tcBorders>
            <w:vAlign w:val="center"/>
          </w:tcPr>
          <w:p>
            <w:pPr>
              <w:widowControl/>
              <w:jc w:val="left"/>
              <w:rPr>
                <w:rFonts w:eastAsia="黑体"/>
                <w:color w:val="FF0000"/>
                <w:szCs w:val="21"/>
              </w:rPr>
            </w:pPr>
            <m:oMathPara>
              <m:oMath>
                <m:sSub>
                  <m:sSubPr>
                    <m:ctrlPr>
                      <w:rPr>
                        <w:rFonts w:ascii="Cambria Math" w:hAnsi="Cambria Math"/>
                        <w:i/>
                        <w:color w:val="FF0000"/>
                        <w:szCs w:val="21"/>
                      </w:rPr>
                    </m:ctrlPr>
                  </m:sSubPr>
                  <m:e>
                    <m:r>
                      <m:rPr/>
                      <w:rPr>
                        <w:rFonts w:hint="eastAsia" w:ascii="Cambria Math" w:hAnsi="Cambria Math"/>
                        <w:color w:val="FF0000"/>
                        <w:szCs w:val="21"/>
                      </w:rPr>
                      <m:t>x</m:t>
                    </m:r>
                    <m:ctrlPr>
                      <w:rPr>
                        <w:rFonts w:ascii="Cambria Math" w:hAnsi="Cambria Math"/>
                        <w:i/>
                        <w:color w:val="FF0000"/>
                        <w:szCs w:val="21"/>
                      </w:rPr>
                    </m:ctrlPr>
                  </m:e>
                  <m:sub>
                    <m:r>
                      <m:rPr/>
                      <w:rPr>
                        <w:rFonts w:ascii="Cambria Math" w:hAnsi="Cambria Math"/>
                        <w:color w:val="FF0000"/>
                        <w:szCs w:val="21"/>
                      </w:rPr>
                      <m:t>i</m:t>
                    </m:r>
                    <m:ctrlPr>
                      <w:rPr>
                        <w:rFonts w:ascii="Cambria Math" w:hAnsi="Cambria Math"/>
                        <w:i/>
                        <w:color w:val="FF0000"/>
                        <w:szCs w:val="21"/>
                      </w:rPr>
                    </m:ctrlPr>
                  </m:sub>
                </m:sSub>
              </m:oMath>
            </m:oMathPara>
          </w:p>
        </w:tc>
        <w:tc>
          <w:tcPr>
            <w:tcW w:w="1301" w:type="dxa"/>
            <w:tcBorders>
              <w:top w:val="single" w:color="auto" w:sz="4" w:space="0"/>
              <w:left w:val="single" w:color="auto" w:sz="4" w:space="0"/>
              <w:bottom w:val="single" w:color="auto" w:sz="4" w:space="0"/>
              <w:right w:val="single" w:color="auto" w:sz="4" w:space="0"/>
            </w:tcBorders>
            <w:shd w:val="clear" w:color="auto" w:fill="auto"/>
            <w:noWrap/>
            <w:vAlign w:val="center"/>
          </w:tcPr>
          <w:p>
            <w:pPr>
              <w:widowControl/>
              <w:jc w:val="left"/>
              <w:rPr>
                <w:i/>
                <w:iCs/>
                <w:color w:val="000000"/>
                <w:kern w:val="0"/>
                <w:szCs w:val="21"/>
              </w:rPr>
            </w:pPr>
            <m:oMathPara>
              <m:oMath>
                <m:sSub>
                  <m:sSubPr>
                    <m:ctrlPr>
                      <w:rPr>
                        <w:rFonts w:ascii="Cambria Math" w:hAnsi="Cambria Math"/>
                        <w:i/>
                        <w:color w:val="FF0000"/>
                        <w:szCs w:val="21"/>
                      </w:rPr>
                    </m:ctrlPr>
                  </m:sSubPr>
                  <m:e>
                    <m:r>
                      <m:rPr/>
                      <w:rPr>
                        <w:rFonts w:hint="eastAsia" w:ascii="Cambria Math" w:hAnsi="Cambria Math"/>
                        <w:color w:val="FF0000"/>
                        <w:szCs w:val="21"/>
                      </w:rPr>
                      <m:t>y</m:t>
                    </m:r>
                    <m:ctrlPr>
                      <w:rPr>
                        <w:rFonts w:ascii="Cambria Math" w:hAnsi="Cambria Math"/>
                        <w:i/>
                        <w:color w:val="FF0000"/>
                        <w:szCs w:val="21"/>
                      </w:rPr>
                    </m:ctrlPr>
                  </m:e>
                  <m:sub>
                    <m:r>
                      <m:rPr/>
                      <w:rPr>
                        <w:rFonts w:ascii="Cambria Math" w:hAnsi="Cambria Math"/>
                        <w:color w:val="FF0000"/>
                        <w:szCs w:val="21"/>
                      </w:rPr>
                      <m:t>i</m:t>
                    </m:r>
                    <m:ctrlPr>
                      <w:rPr>
                        <w:rFonts w:ascii="Cambria Math" w:hAnsi="Cambria Math"/>
                        <w:i/>
                        <w:color w:val="FF0000"/>
                        <w:szCs w:val="21"/>
                      </w:rPr>
                    </m:ctrlPr>
                  </m:sub>
                </m:sSub>
              </m:oMath>
            </m:oMathPara>
          </w:p>
        </w:tc>
        <w:tc>
          <w:tcPr>
            <w:tcW w:w="1302" w:type="dxa"/>
            <w:tcBorders>
              <w:top w:val="single" w:color="auto" w:sz="4" w:space="0"/>
              <w:left w:val="nil"/>
              <w:bottom w:val="single" w:color="auto" w:sz="4" w:space="0"/>
              <w:right w:val="single" w:color="auto" w:sz="4" w:space="0"/>
            </w:tcBorders>
            <w:shd w:val="clear" w:color="auto" w:fill="auto"/>
            <w:noWrap/>
            <w:vAlign w:val="center"/>
          </w:tcPr>
          <w:p>
            <w:pPr>
              <w:widowControl/>
              <w:jc w:val="left"/>
              <w:rPr>
                <w:b/>
                <w:bCs/>
                <w:color w:val="000000"/>
                <w:kern w:val="0"/>
                <w:szCs w:val="21"/>
              </w:rPr>
            </w:pPr>
            <m:oMathPara>
              <m:oMath>
                <m:sSub>
                  <m:sSubPr>
                    <m:ctrlPr>
                      <w:rPr>
                        <w:rFonts w:ascii="Cambria Math" w:hAnsi="Cambria Math"/>
                        <w:bCs/>
                        <w:i/>
                        <w:color w:val="000000" w:themeColor="text1"/>
                        <w:szCs w:val="21"/>
                        <w14:textFill>
                          <w14:solidFill>
                            <w14:schemeClr w14:val="tx1"/>
                          </w14:solidFill>
                        </w14:textFill>
                      </w:rPr>
                    </m:ctrlPr>
                  </m:sSubPr>
                  <m:e>
                    <m:acc>
                      <m:accPr>
                        <m:ctrlPr>
                          <w:rPr>
                            <w:rFonts w:ascii="Cambria Math" w:hAnsi="Cambria Math"/>
                            <w:bCs/>
                            <w:i/>
                            <w:color w:val="000000" w:themeColor="text1"/>
                            <w:szCs w:val="21"/>
                            <w14:textFill>
                              <w14:solidFill>
                                <w14:schemeClr w14:val="tx1"/>
                              </w14:solidFill>
                            </w14:textFill>
                          </w:rPr>
                        </m:ctrlPr>
                      </m:accPr>
                      <m:e>
                        <m:r>
                          <m:rPr/>
                          <w:rPr>
                            <w:rFonts w:ascii="Cambria Math" w:hAnsi="Cambria Math"/>
                            <w:color w:val="000000" w:themeColor="text1"/>
                            <w:szCs w:val="21"/>
                            <w14:textFill>
                              <w14:solidFill>
                                <w14:schemeClr w14:val="tx1"/>
                              </w14:solidFill>
                            </w14:textFill>
                          </w:rPr>
                          <m:t>y</m:t>
                        </m:r>
                        <m:ctrlPr>
                          <w:rPr>
                            <w:rFonts w:ascii="Cambria Math" w:hAnsi="Cambria Math"/>
                            <w:bCs/>
                            <w:i/>
                            <w:color w:val="000000" w:themeColor="text1"/>
                            <w:szCs w:val="21"/>
                            <w14:textFill>
                              <w14:solidFill>
                                <w14:schemeClr w14:val="tx1"/>
                              </w14:solidFill>
                            </w14:textFill>
                          </w:rPr>
                        </m:ctrlPr>
                      </m:e>
                    </m:acc>
                    <m:ctrlPr>
                      <w:rPr>
                        <w:rFonts w:ascii="Cambria Math" w:hAnsi="Cambria Math"/>
                        <w:bCs/>
                        <w:i/>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i</m:t>
                    </m:r>
                    <m:ctrlPr>
                      <w:rPr>
                        <w:rFonts w:ascii="Cambria Math" w:hAnsi="Cambria Math"/>
                        <w:bCs/>
                        <w:i/>
                        <w:color w:val="000000" w:themeColor="text1"/>
                        <w:szCs w:val="21"/>
                        <w14:textFill>
                          <w14:solidFill>
                            <w14:schemeClr w14:val="tx1"/>
                          </w14:solidFill>
                        </w14:textFill>
                      </w:rPr>
                    </m:ctrlPr>
                  </m:sub>
                </m:sSub>
              </m:oMath>
            </m:oMathPara>
          </w:p>
        </w:tc>
        <w:tc>
          <w:tcPr>
            <w:tcW w:w="1301" w:type="dxa"/>
            <w:tcBorders>
              <w:top w:val="single" w:color="auto" w:sz="4" w:space="0"/>
              <w:left w:val="nil"/>
              <w:bottom w:val="single" w:color="auto" w:sz="4" w:space="0"/>
              <w:right w:val="single" w:color="auto" w:sz="4" w:space="0"/>
            </w:tcBorders>
            <w:shd w:val="clear" w:color="auto" w:fill="auto"/>
            <w:noWrap/>
          </w:tcPr>
          <w:p>
            <w:pPr>
              <w:widowControl/>
              <w:jc w:val="left"/>
              <w:rPr>
                <w:i/>
                <w:iCs/>
                <w:color w:val="000000"/>
                <w:kern w:val="0"/>
                <w:szCs w:val="21"/>
              </w:rPr>
            </w:pPr>
            <m:oMathPara>
              <m:oMath>
                <m:sSub>
                  <m:sSubPr>
                    <m:ctrlPr>
                      <w:rPr>
                        <w:rFonts w:ascii="Cambria Math" w:hAnsi="Cambria Math"/>
                        <w:i/>
                        <w:iCs/>
                        <w:color w:val="000000"/>
                        <w:kern w:val="0"/>
                        <w:szCs w:val="21"/>
                      </w:rPr>
                    </m:ctrlPr>
                  </m:sSubPr>
                  <m:e>
                    <m:r>
                      <m:rPr/>
                      <w:rPr>
                        <w:rFonts w:hint="eastAsia" w:ascii="Cambria Math" w:hAnsi="Cambria Math"/>
                        <w:color w:val="000000"/>
                        <w:kern w:val="0"/>
                        <w:szCs w:val="21"/>
                      </w:rPr>
                      <m:t>u</m:t>
                    </m:r>
                    <m:ctrlPr>
                      <w:rPr>
                        <w:rFonts w:ascii="Cambria Math" w:hAnsi="Cambria Math"/>
                        <w:i/>
                        <w:iCs/>
                        <w:color w:val="000000"/>
                        <w:kern w:val="0"/>
                        <w:szCs w:val="21"/>
                      </w:rPr>
                    </m:ctrlPr>
                  </m:e>
                  <m:sub>
                    <m:sSub>
                      <m:sSubPr>
                        <m:ctrlPr>
                          <w:rPr>
                            <w:rFonts w:ascii="Cambria Math" w:hAnsi="Cambria Math"/>
                            <w:i/>
                            <w:color w:val="000000" w:themeColor="text1"/>
                            <w:szCs w:val="21"/>
                            <w14:textFill>
                              <w14:solidFill>
                                <w14:schemeClr w14:val="tx1"/>
                              </w14:solidFill>
                            </w14:textFill>
                          </w:rPr>
                        </m:ctrlPr>
                      </m:sSubPr>
                      <m:e>
                        <m:acc>
                          <m:accPr>
                            <m:ctrlPr>
                              <w:rPr>
                                <w:rFonts w:ascii="Cambria Math" w:hAnsi="Cambria Math"/>
                                <w:i/>
                                <w:color w:val="000000" w:themeColor="text1"/>
                                <w:szCs w:val="21"/>
                                <w14:textFill>
                                  <w14:solidFill>
                                    <w14:schemeClr w14:val="tx1"/>
                                  </w14:solidFill>
                                </w14:textFill>
                              </w:rPr>
                            </m:ctrlPr>
                          </m:accPr>
                          <m:e>
                            <m:r>
                              <m:rPr/>
                              <w:rPr>
                                <w:rFonts w:ascii="Cambria Math" w:hAnsi="Cambria Math"/>
                                <w:color w:val="000000" w:themeColor="text1"/>
                                <w:szCs w:val="21"/>
                                <w14:textFill>
                                  <w14:solidFill>
                                    <w14:schemeClr w14:val="tx1"/>
                                  </w14:solidFill>
                                </w14:textFill>
                              </w:rPr>
                              <m:t>y</m:t>
                            </m:r>
                            <m:ctrlPr>
                              <w:rPr>
                                <w:rFonts w:ascii="Cambria Math" w:hAnsi="Cambria Math"/>
                                <w:i/>
                                <w:color w:val="000000" w:themeColor="text1"/>
                                <w:szCs w:val="21"/>
                                <w14:textFill>
                                  <w14:solidFill>
                                    <w14:schemeClr w14:val="tx1"/>
                                  </w14:solidFill>
                                </w14:textFill>
                              </w:rPr>
                            </m:ctrlPr>
                          </m:e>
                        </m:acc>
                        <m:ctrlPr>
                          <w:rPr>
                            <w:rFonts w:ascii="Cambria Math" w:hAnsi="Cambria Math"/>
                            <w:i/>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i</m:t>
                        </m:r>
                        <m:ctrlPr>
                          <w:rPr>
                            <w:rFonts w:ascii="Cambria Math" w:hAnsi="Cambria Math"/>
                            <w:i/>
                            <w:color w:val="000000" w:themeColor="text1"/>
                            <w:szCs w:val="21"/>
                            <w14:textFill>
                              <w14:solidFill>
                                <w14:schemeClr w14:val="tx1"/>
                              </w14:solidFill>
                            </w14:textFill>
                          </w:rPr>
                        </m:ctrlPr>
                      </m:sub>
                    </m:sSub>
                    <m:ctrlPr>
                      <w:rPr>
                        <w:rFonts w:ascii="Cambria Math" w:hAnsi="Cambria Math"/>
                        <w:i/>
                        <w:iCs/>
                        <w:color w:val="000000"/>
                        <w:kern w:val="0"/>
                        <w:szCs w:val="21"/>
                      </w:rPr>
                    </m:ctrlPr>
                  </m:sub>
                </m:sSub>
              </m:oMath>
            </m:oMathPara>
          </w:p>
        </w:tc>
        <w:tc>
          <w:tcPr>
            <w:tcW w:w="1301" w:type="dxa"/>
            <w:tcBorders>
              <w:top w:val="single" w:color="auto" w:sz="4" w:space="0"/>
              <w:left w:val="nil"/>
              <w:bottom w:val="single" w:color="auto" w:sz="4" w:space="0"/>
              <w:right w:val="single" w:color="auto" w:sz="4" w:space="0"/>
            </w:tcBorders>
            <w:shd w:val="clear" w:color="auto" w:fill="auto"/>
            <w:noWrap/>
          </w:tcPr>
          <w:p>
            <w:pPr>
              <w:widowControl/>
              <w:jc w:val="left"/>
              <w:rPr>
                <w:b/>
                <w:bCs/>
                <w:i/>
                <w:iCs/>
                <w:color w:val="000000"/>
                <w:kern w:val="0"/>
                <w:szCs w:val="21"/>
              </w:rPr>
            </w:pPr>
            <m:oMathPara>
              <m:oMath>
                <m:sSub>
                  <m:sSubPr>
                    <m:ctrlPr>
                      <w:rPr>
                        <w:rFonts w:ascii="Cambria Math" w:hAnsi="Cambria Math"/>
                        <w:i/>
                        <w:color w:val="FF0000"/>
                        <w:szCs w:val="21"/>
                      </w:rPr>
                    </m:ctrlPr>
                  </m:sSubPr>
                  <m:e>
                    <m:r>
                      <m:rPr/>
                      <w:rPr>
                        <w:rFonts w:ascii="Cambria Math" w:hAnsi="Cambria Math"/>
                        <w:color w:val="FF0000"/>
                        <w:szCs w:val="21"/>
                      </w:rPr>
                      <m:t>d</m:t>
                    </m:r>
                    <m:ctrlPr>
                      <w:rPr>
                        <w:rFonts w:ascii="Cambria Math" w:hAnsi="Cambria Math"/>
                        <w:i/>
                        <w:color w:val="FF0000"/>
                        <w:szCs w:val="21"/>
                      </w:rPr>
                    </m:ctrlPr>
                  </m:e>
                  <m:sub>
                    <m:r>
                      <m:rPr/>
                      <w:rPr>
                        <w:rFonts w:ascii="Cambria Math" w:hAnsi="Cambria Math"/>
                        <w:color w:val="FF0000"/>
                        <w:szCs w:val="21"/>
                      </w:rPr>
                      <m:t>i</m:t>
                    </m:r>
                    <m:ctrlPr>
                      <w:rPr>
                        <w:rFonts w:ascii="Cambria Math" w:hAnsi="Cambria Math"/>
                        <w:i/>
                        <w:color w:val="FF0000"/>
                        <w:szCs w:val="21"/>
                      </w:rPr>
                    </m:ctrlPr>
                  </m:sub>
                </m:sSub>
              </m:oMath>
            </m:oMathPara>
          </w:p>
        </w:tc>
        <w:tc>
          <w:tcPr>
            <w:tcW w:w="1302" w:type="dxa"/>
            <w:tcBorders>
              <w:top w:val="single" w:color="auto" w:sz="4" w:space="0"/>
              <w:left w:val="nil"/>
              <w:bottom w:val="single" w:color="auto" w:sz="4" w:space="0"/>
              <w:right w:val="single" w:color="auto" w:sz="4" w:space="0"/>
            </w:tcBorders>
            <w:shd w:val="clear" w:color="auto" w:fill="auto"/>
            <w:noWrap/>
          </w:tcPr>
          <w:p>
            <w:pPr>
              <w:widowControl/>
              <w:jc w:val="left"/>
              <w:rPr>
                <w:b/>
                <w:bCs/>
                <w:i/>
                <w:iCs/>
                <w:color w:val="000000"/>
                <w:kern w:val="0"/>
                <w:szCs w:val="21"/>
              </w:rPr>
            </w:pPr>
            <m:oMathPara>
              <m:oMath>
                <m:sSub>
                  <m:sSubPr>
                    <m:ctrlPr>
                      <w:rPr>
                        <w:rFonts w:ascii="Cambria Math" w:hAnsi="Cambria Math"/>
                        <w:b/>
                        <w:bCs/>
                        <w:i/>
                        <w:iCs/>
                        <w:color w:val="000000"/>
                        <w:kern w:val="0"/>
                        <w:szCs w:val="21"/>
                      </w:rPr>
                    </m:ctrlPr>
                  </m:sSubPr>
                  <m:e>
                    <m:r>
                      <m:rPr/>
                      <w:rPr>
                        <w:rFonts w:ascii="Cambria Math" w:hAnsi="Cambria Math"/>
                        <w:color w:val="000000"/>
                        <w:kern w:val="0"/>
                        <w:szCs w:val="21"/>
                      </w:rPr>
                      <m:t>u</m:t>
                    </m:r>
                    <m:ctrlPr>
                      <w:rPr>
                        <w:rFonts w:ascii="Cambria Math" w:hAnsi="Cambria Math"/>
                        <w:b/>
                        <w:bCs/>
                        <w:i/>
                        <w:iCs/>
                        <w:color w:val="000000"/>
                        <w:kern w:val="0"/>
                        <w:szCs w:val="21"/>
                      </w:rPr>
                    </m:ctrlPr>
                  </m:e>
                  <m:sub>
                    <m:sSub>
                      <m:sSubPr>
                        <m:ctrlPr>
                          <w:rPr>
                            <w:rFonts w:ascii="Cambria Math" w:hAnsi="Cambria Math"/>
                            <w:i/>
                            <w:color w:val="FF0000"/>
                            <w:szCs w:val="21"/>
                          </w:rPr>
                        </m:ctrlPr>
                      </m:sSubPr>
                      <m:e>
                        <m:r>
                          <m:rPr/>
                          <w:rPr>
                            <w:rFonts w:ascii="Cambria Math" w:hAnsi="Cambria Math"/>
                            <w:color w:val="FF0000"/>
                            <w:szCs w:val="21"/>
                          </w:rPr>
                          <m:t>d</m:t>
                        </m:r>
                        <m:ctrlPr>
                          <w:rPr>
                            <w:rFonts w:ascii="Cambria Math" w:hAnsi="Cambria Math"/>
                            <w:i/>
                            <w:color w:val="FF0000"/>
                            <w:szCs w:val="21"/>
                          </w:rPr>
                        </m:ctrlPr>
                      </m:e>
                      <m:sub>
                        <m:r>
                          <m:rPr/>
                          <w:rPr>
                            <w:rFonts w:ascii="Cambria Math" w:hAnsi="Cambria Math"/>
                            <w:color w:val="FF0000"/>
                            <w:szCs w:val="21"/>
                          </w:rPr>
                          <m:t>i</m:t>
                        </m:r>
                        <m:ctrlPr>
                          <w:rPr>
                            <w:rFonts w:ascii="Cambria Math" w:hAnsi="Cambria Math"/>
                            <w:i/>
                            <w:color w:val="FF0000"/>
                            <w:szCs w:val="21"/>
                          </w:rPr>
                        </m:ctrlPr>
                      </m:sub>
                    </m:sSub>
                    <m:ctrlPr>
                      <w:rPr>
                        <w:rFonts w:ascii="Cambria Math" w:hAnsi="Cambria Math"/>
                        <w:b/>
                        <w:bCs/>
                        <w:i/>
                        <w:iCs/>
                        <w:color w:val="000000"/>
                        <w:kern w:val="0"/>
                        <w:szCs w:val="21"/>
                      </w:rPr>
                    </m:ctrlPr>
                  </m:sub>
                </m:sSub>
              </m:oMath>
            </m:oMathPara>
          </w:p>
        </w:tc>
      </w:tr>
      <w:tr>
        <w:tblPrEx>
          <w:tblCellMar>
            <w:top w:w="0" w:type="dxa"/>
            <w:left w:w="108" w:type="dxa"/>
            <w:bottom w:w="0" w:type="dxa"/>
            <w:right w:w="108" w:type="dxa"/>
          </w:tblCellMar>
        </w:tblPrEx>
        <w:trPr>
          <w:trHeight w:val="230" w:hRule="atLeast"/>
        </w:trPr>
        <w:tc>
          <w:tcPr>
            <w:tcW w:w="1301" w:type="dxa"/>
            <w:tcBorders>
              <w:top w:val="nil"/>
              <w:left w:val="single" w:color="auto" w:sz="4" w:space="0"/>
              <w:bottom w:val="single" w:color="auto" w:sz="4" w:space="0"/>
              <w:right w:val="single" w:color="auto" w:sz="4" w:space="0"/>
            </w:tcBorders>
            <w:vAlign w:val="center"/>
          </w:tcPr>
          <w:p>
            <w:pPr>
              <w:widowControl/>
              <w:jc w:val="left"/>
              <w:rPr>
                <w:kern w:val="0"/>
                <w:szCs w:val="21"/>
              </w:rPr>
            </w:pPr>
            <w:r>
              <w:rPr>
                <w:color w:val="000000"/>
                <w:kern w:val="0"/>
                <w:szCs w:val="21"/>
              </w:rPr>
              <w:t>1</w:t>
            </w:r>
          </w:p>
        </w:tc>
        <w:tc>
          <w:tcPr>
            <w:tcW w:w="1301" w:type="dxa"/>
            <w:tcBorders>
              <w:top w:val="nil"/>
              <w:left w:val="single" w:color="auto" w:sz="4" w:space="0"/>
              <w:bottom w:val="single" w:color="auto" w:sz="4" w:space="0"/>
              <w:right w:val="single" w:color="auto" w:sz="4" w:space="0"/>
            </w:tcBorders>
          </w:tcPr>
          <w:p>
            <w:pPr>
              <w:widowControl/>
              <w:jc w:val="left"/>
              <w:rPr>
                <w:kern w:val="0"/>
                <w:szCs w:val="21"/>
              </w:rPr>
            </w:pPr>
            <m:oMathPara>
              <m:oMath>
                <m:r>
                  <m:rPr/>
                  <w:rPr>
                    <w:rFonts w:ascii="Cambria Math" w:hAnsi="Cambria Math"/>
                    <w:szCs w:val="21"/>
                  </w:rPr>
                  <m:t>3.59×</m:t>
                </m:r>
                <m:sSup>
                  <m:sSupPr>
                    <m:ctrlPr>
                      <w:rPr>
                        <w:rFonts w:ascii="Cambria Math" w:hAnsi="Cambria Math"/>
                        <w:i/>
                        <w:szCs w:val="21"/>
                      </w:rPr>
                    </m:ctrlPr>
                  </m:sSupPr>
                  <m:e>
                    <m:r>
                      <m:rPr/>
                      <w:rPr>
                        <w:rFonts w:ascii="Cambria Math" w:hAnsi="Cambria Math"/>
                        <w:szCs w:val="21"/>
                      </w:rPr>
                      <m:t>10</m:t>
                    </m:r>
                    <m:ctrlPr>
                      <w:rPr>
                        <w:rFonts w:ascii="Cambria Math" w:hAnsi="Cambria Math"/>
                        <w:i/>
                        <w:szCs w:val="21"/>
                      </w:rPr>
                    </m:ctrlPr>
                  </m:e>
                  <m:sup>
                    <m:r>
                      <m:rPr/>
                      <w:rPr>
                        <w:rFonts w:ascii="Cambria Math" w:hAnsi="Cambria Math"/>
                        <w:szCs w:val="21"/>
                      </w:rPr>
                      <m:t>−3</m:t>
                    </m:r>
                    <m:ctrlPr>
                      <w:rPr>
                        <w:rFonts w:ascii="Cambria Math" w:hAnsi="Cambria Math"/>
                        <w:i/>
                        <w:szCs w:val="21"/>
                      </w:rPr>
                    </m:ctrlPr>
                  </m:sup>
                </m:sSup>
              </m:oMath>
            </m:oMathPara>
          </w:p>
        </w:tc>
        <w:tc>
          <w:tcPr>
            <w:tcW w:w="1301" w:type="dxa"/>
            <w:tcBorders>
              <w:top w:val="nil"/>
              <w:left w:val="single" w:color="auto" w:sz="4" w:space="0"/>
              <w:bottom w:val="single" w:color="auto" w:sz="4" w:space="0"/>
              <w:right w:val="single" w:color="auto" w:sz="4" w:space="0"/>
            </w:tcBorders>
            <w:shd w:val="clear" w:color="auto" w:fill="auto"/>
            <w:vAlign w:val="center"/>
          </w:tcPr>
          <w:p>
            <w:pPr>
              <w:widowControl/>
              <w:jc w:val="left"/>
              <w:rPr>
                <w:kern w:val="0"/>
                <w:szCs w:val="21"/>
              </w:rPr>
            </w:pPr>
            <w:r>
              <w:rPr>
                <w:kern w:val="0"/>
                <w:szCs w:val="21"/>
              </w:rPr>
              <w:t xml:space="preserve">0.9810 </w:t>
            </w:r>
          </w:p>
        </w:tc>
        <w:tc>
          <w:tcPr>
            <w:tcW w:w="1302"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 xml:space="preserve">0.9811 </w:t>
            </w:r>
          </w:p>
        </w:tc>
        <w:tc>
          <w:tcPr>
            <w:tcW w:w="1301"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 xml:space="preserve">0.00040 </w:t>
            </w:r>
          </w:p>
        </w:tc>
        <w:tc>
          <w:tcPr>
            <w:tcW w:w="1301"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-0.00017</w:t>
            </w:r>
          </w:p>
        </w:tc>
        <w:tc>
          <w:tcPr>
            <w:tcW w:w="1302"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0.00024</w:t>
            </w:r>
          </w:p>
        </w:tc>
      </w:tr>
      <w:tr>
        <w:tblPrEx>
          <w:tblCellMar>
            <w:top w:w="0" w:type="dxa"/>
            <w:left w:w="108" w:type="dxa"/>
            <w:bottom w:w="0" w:type="dxa"/>
            <w:right w:w="108" w:type="dxa"/>
          </w:tblCellMar>
        </w:tblPrEx>
        <w:trPr>
          <w:trHeight w:val="230" w:hRule="atLeast"/>
        </w:trPr>
        <w:tc>
          <w:tcPr>
            <w:tcW w:w="1301" w:type="dxa"/>
            <w:tcBorders>
              <w:top w:val="nil"/>
              <w:left w:val="single" w:color="auto" w:sz="4" w:space="0"/>
              <w:bottom w:val="single" w:color="auto" w:sz="4" w:space="0"/>
              <w:right w:val="single" w:color="auto" w:sz="4" w:space="0"/>
            </w:tcBorders>
            <w:vAlign w:val="center"/>
          </w:tcPr>
          <w:p>
            <w:pPr>
              <w:widowControl/>
              <w:jc w:val="left"/>
              <w:rPr>
                <w:kern w:val="0"/>
                <w:szCs w:val="21"/>
              </w:rPr>
            </w:pPr>
            <w:r>
              <w:rPr>
                <w:rFonts w:hint="eastAsia"/>
                <w:color w:val="000000"/>
                <w:kern w:val="0"/>
                <w:szCs w:val="21"/>
              </w:rPr>
              <w:t>2</w:t>
            </w:r>
          </w:p>
        </w:tc>
        <w:tc>
          <w:tcPr>
            <w:tcW w:w="1301" w:type="dxa"/>
            <w:tcBorders>
              <w:top w:val="nil"/>
              <w:left w:val="single" w:color="auto" w:sz="4" w:space="0"/>
              <w:bottom w:val="single" w:color="auto" w:sz="4" w:space="0"/>
              <w:right w:val="single" w:color="auto" w:sz="4" w:space="0"/>
            </w:tcBorders>
          </w:tcPr>
          <w:p>
            <w:pPr>
              <w:widowControl/>
              <w:jc w:val="left"/>
              <w:rPr>
                <w:kern w:val="0"/>
                <w:szCs w:val="21"/>
              </w:rPr>
            </w:pPr>
            <m:oMathPara>
              <m:oMath>
                <m:r>
                  <m:rPr/>
                  <w:rPr>
                    <w:rFonts w:ascii="Cambria Math" w:hAnsi="Cambria Math"/>
                    <w:szCs w:val="21"/>
                  </w:rPr>
                  <m:t>2.88×</m:t>
                </m:r>
                <m:sSup>
                  <m:sSupPr>
                    <m:ctrlPr>
                      <w:rPr>
                        <w:rFonts w:ascii="Cambria Math" w:hAnsi="Cambria Math"/>
                        <w:i/>
                        <w:szCs w:val="21"/>
                      </w:rPr>
                    </m:ctrlPr>
                  </m:sSupPr>
                  <m:e>
                    <m:r>
                      <m:rPr/>
                      <w:rPr>
                        <w:rFonts w:ascii="Cambria Math" w:hAnsi="Cambria Math"/>
                        <w:szCs w:val="21"/>
                      </w:rPr>
                      <m:t>10</m:t>
                    </m:r>
                    <m:ctrlPr>
                      <w:rPr>
                        <w:rFonts w:ascii="Cambria Math" w:hAnsi="Cambria Math"/>
                        <w:i/>
                        <w:szCs w:val="21"/>
                      </w:rPr>
                    </m:ctrlPr>
                  </m:e>
                  <m:sup>
                    <m:r>
                      <m:rPr/>
                      <w:rPr>
                        <w:rFonts w:ascii="Cambria Math" w:hAnsi="Cambria Math"/>
                        <w:szCs w:val="21"/>
                      </w:rPr>
                      <m:t>−3</m:t>
                    </m:r>
                    <m:ctrlPr>
                      <w:rPr>
                        <w:rFonts w:ascii="Cambria Math" w:hAnsi="Cambria Math"/>
                        <w:i/>
                        <w:szCs w:val="21"/>
                      </w:rPr>
                    </m:ctrlPr>
                  </m:sup>
                </m:sSup>
              </m:oMath>
            </m:oMathPara>
          </w:p>
        </w:tc>
        <w:tc>
          <w:tcPr>
            <w:tcW w:w="1301" w:type="dxa"/>
            <w:tcBorders>
              <w:top w:val="nil"/>
              <w:left w:val="single" w:color="auto" w:sz="4" w:space="0"/>
              <w:bottom w:val="single" w:color="auto" w:sz="4" w:space="0"/>
              <w:right w:val="single" w:color="auto" w:sz="4" w:space="0"/>
            </w:tcBorders>
            <w:shd w:val="clear" w:color="auto" w:fill="auto"/>
            <w:vAlign w:val="center"/>
          </w:tcPr>
          <w:p>
            <w:pPr>
              <w:widowControl/>
              <w:jc w:val="left"/>
              <w:rPr>
                <w:kern w:val="0"/>
                <w:szCs w:val="21"/>
              </w:rPr>
            </w:pPr>
            <w:r>
              <w:rPr>
                <w:kern w:val="0"/>
                <w:szCs w:val="21"/>
              </w:rPr>
              <w:t xml:space="preserve">0.9839 </w:t>
            </w:r>
          </w:p>
        </w:tc>
        <w:tc>
          <w:tcPr>
            <w:tcW w:w="1302"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 xml:space="preserve">0.9835 </w:t>
            </w:r>
          </w:p>
        </w:tc>
        <w:tc>
          <w:tcPr>
            <w:tcW w:w="1301"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 xml:space="preserve">0.00033 </w:t>
            </w:r>
          </w:p>
        </w:tc>
        <w:tc>
          <w:tcPr>
            <w:tcW w:w="1301"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0.00033</w:t>
            </w:r>
          </w:p>
        </w:tc>
        <w:tc>
          <w:tcPr>
            <w:tcW w:w="1302"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0.00034</w:t>
            </w:r>
          </w:p>
        </w:tc>
      </w:tr>
      <w:tr>
        <w:tblPrEx>
          <w:tblCellMar>
            <w:top w:w="0" w:type="dxa"/>
            <w:left w:w="108" w:type="dxa"/>
            <w:bottom w:w="0" w:type="dxa"/>
            <w:right w:w="108" w:type="dxa"/>
          </w:tblCellMar>
        </w:tblPrEx>
        <w:trPr>
          <w:trHeight w:val="230" w:hRule="atLeast"/>
        </w:trPr>
        <w:tc>
          <w:tcPr>
            <w:tcW w:w="1301" w:type="dxa"/>
            <w:tcBorders>
              <w:top w:val="nil"/>
              <w:left w:val="single" w:color="auto" w:sz="4" w:space="0"/>
              <w:bottom w:val="single" w:color="auto" w:sz="4" w:space="0"/>
              <w:right w:val="single" w:color="auto" w:sz="4" w:space="0"/>
            </w:tcBorders>
            <w:vAlign w:val="center"/>
          </w:tcPr>
          <w:p>
            <w:pPr>
              <w:widowControl/>
              <w:jc w:val="left"/>
              <w:rPr>
                <w:kern w:val="0"/>
                <w:szCs w:val="21"/>
              </w:rPr>
            </w:pPr>
            <w:r>
              <w:rPr>
                <w:rFonts w:hint="eastAsia"/>
                <w:color w:val="000000"/>
                <w:kern w:val="0"/>
                <w:szCs w:val="21"/>
              </w:rPr>
              <w:t>3</w:t>
            </w:r>
          </w:p>
        </w:tc>
        <w:tc>
          <w:tcPr>
            <w:tcW w:w="1301" w:type="dxa"/>
            <w:tcBorders>
              <w:top w:val="nil"/>
              <w:left w:val="single" w:color="auto" w:sz="4" w:space="0"/>
              <w:bottom w:val="single" w:color="auto" w:sz="4" w:space="0"/>
              <w:right w:val="single" w:color="auto" w:sz="4" w:space="0"/>
            </w:tcBorders>
          </w:tcPr>
          <w:p>
            <w:pPr>
              <w:widowControl/>
              <w:jc w:val="left"/>
              <w:rPr>
                <w:kern w:val="0"/>
                <w:szCs w:val="21"/>
              </w:rPr>
            </w:pPr>
            <m:oMathPara>
              <m:oMath>
                <m:r>
                  <m:rPr/>
                  <w:rPr>
                    <w:rFonts w:ascii="Cambria Math" w:hAnsi="Cambria Math"/>
                    <w:szCs w:val="21"/>
                  </w:rPr>
                  <m:t>1.97×</m:t>
                </m:r>
                <m:sSup>
                  <m:sSupPr>
                    <m:ctrlPr>
                      <w:rPr>
                        <w:rFonts w:ascii="Cambria Math" w:hAnsi="Cambria Math"/>
                        <w:i/>
                        <w:szCs w:val="21"/>
                      </w:rPr>
                    </m:ctrlPr>
                  </m:sSupPr>
                  <m:e>
                    <m:r>
                      <m:rPr/>
                      <w:rPr>
                        <w:rFonts w:ascii="Cambria Math" w:hAnsi="Cambria Math"/>
                        <w:szCs w:val="21"/>
                      </w:rPr>
                      <m:t>10</m:t>
                    </m:r>
                    <m:ctrlPr>
                      <w:rPr>
                        <w:rFonts w:ascii="Cambria Math" w:hAnsi="Cambria Math"/>
                        <w:i/>
                        <w:szCs w:val="21"/>
                      </w:rPr>
                    </m:ctrlPr>
                  </m:e>
                  <m:sup>
                    <m:r>
                      <m:rPr/>
                      <w:rPr>
                        <w:rFonts w:ascii="Cambria Math" w:hAnsi="Cambria Math"/>
                        <w:szCs w:val="21"/>
                      </w:rPr>
                      <m:t>−3</m:t>
                    </m:r>
                    <m:ctrlPr>
                      <w:rPr>
                        <w:rFonts w:ascii="Cambria Math" w:hAnsi="Cambria Math"/>
                        <w:i/>
                        <w:szCs w:val="21"/>
                      </w:rPr>
                    </m:ctrlPr>
                  </m:sup>
                </m:sSup>
              </m:oMath>
            </m:oMathPara>
          </w:p>
        </w:tc>
        <w:tc>
          <w:tcPr>
            <w:tcW w:w="1301" w:type="dxa"/>
            <w:tcBorders>
              <w:top w:val="nil"/>
              <w:left w:val="single" w:color="auto" w:sz="4" w:space="0"/>
              <w:bottom w:val="single" w:color="auto" w:sz="4" w:space="0"/>
              <w:right w:val="single" w:color="auto" w:sz="4" w:space="0"/>
            </w:tcBorders>
            <w:shd w:val="clear" w:color="auto" w:fill="auto"/>
            <w:vAlign w:val="center"/>
          </w:tcPr>
          <w:p>
            <w:pPr>
              <w:widowControl/>
              <w:jc w:val="left"/>
              <w:rPr>
                <w:kern w:val="0"/>
                <w:szCs w:val="21"/>
              </w:rPr>
            </w:pPr>
            <w:r>
              <w:rPr>
                <w:kern w:val="0"/>
                <w:szCs w:val="21"/>
              </w:rPr>
              <w:t xml:space="preserve">0.9870 </w:t>
            </w:r>
          </w:p>
        </w:tc>
        <w:tc>
          <w:tcPr>
            <w:tcW w:w="1302"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 xml:space="preserve">0.9866 </w:t>
            </w:r>
          </w:p>
        </w:tc>
        <w:tc>
          <w:tcPr>
            <w:tcW w:w="1301"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 xml:space="preserve">0.00025 </w:t>
            </w:r>
          </w:p>
        </w:tc>
        <w:tc>
          <w:tcPr>
            <w:tcW w:w="1301"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0.00033</w:t>
            </w:r>
          </w:p>
        </w:tc>
        <w:tc>
          <w:tcPr>
            <w:tcW w:w="1302"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0.00039</w:t>
            </w:r>
          </w:p>
        </w:tc>
      </w:tr>
      <w:tr>
        <w:tblPrEx>
          <w:tblCellMar>
            <w:top w:w="0" w:type="dxa"/>
            <w:left w:w="108" w:type="dxa"/>
            <w:bottom w:w="0" w:type="dxa"/>
            <w:right w:w="108" w:type="dxa"/>
          </w:tblCellMar>
        </w:tblPrEx>
        <w:trPr>
          <w:trHeight w:val="230" w:hRule="atLeast"/>
        </w:trPr>
        <w:tc>
          <w:tcPr>
            <w:tcW w:w="1301" w:type="dxa"/>
            <w:tcBorders>
              <w:top w:val="nil"/>
              <w:left w:val="single" w:color="auto" w:sz="4" w:space="0"/>
              <w:bottom w:val="single" w:color="auto" w:sz="4" w:space="0"/>
              <w:right w:val="single" w:color="auto" w:sz="4" w:space="0"/>
            </w:tcBorders>
            <w:vAlign w:val="center"/>
          </w:tcPr>
          <w:p>
            <w:pPr>
              <w:widowControl/>
              <w:jc w:val="left"/>
              <w:rPr>
                <w:kern w:val="0"/>
                <w:szCs w:val="21"/>
              </w:rPr>
            </w:pPr>
            <w:r>
              <w:rPr>
                <w:rFonts w:hint="eastAsia"/>
                <w:color w:val="000000"/>
                <w:kern w:val="0"/>
                <w:szCs w:val="21"/>
              </w:rPr>
              <w:t>4</w:t>
            </w:r>
          </w:p>
        </w:tc>
        <w:tc>
          <w:tcPr>
            <w:tcW w:w="1301" w:type="dxa"/>
            <w:tcBorders>
              <w:top w:val="nil"/>
              <w:left w:val="single" w:color="auto" w:sz="4" w:space="0"/>
              <w:bottom w:val="single" w:color="auto" w:sz="4" w:space="0"/>
              <w:right w:val="single" w:color="auto" w:sz="4" w:space="0"/>
            </w:tcBorders>
          </w:tcPr>
          <w:p>
            <w:pPr>
              <w:widowControl/>
              <w:jc w:val="left"/>
              <w:rPr>
                <w:kern w:val="0"/>
                <w:szCs w:val="21"/>
              </w:rPr>
            </w:pPr>
            <m:oMathPara>
              <m:oMath>
                <m:r>
                  <m:rPr/>
                  <w:rPr>
                    <w:rFonts w:ascii="Cambria Math" w:hAnsi="Cambria Math"/>
                    <w:szCs w:val="21"/>
                  </w:rPr>
                  <m:t>1.66×</m:t>
                </m:r>
                <m:sSup>
                  <m:sSupPr>
                    <m:ctrlPr>
                      <w:rPr>
                        <w:rFonts w:ascii="Cambria Math" w:hAnsi="Cambria Math"/>
                        <w:i/>
                        <w:szCs w:val="21"/>
                      </w:rPr>
                    </m:ctrlPr>
                  </m:sSupPr>
                  <m:e>
                    <m:r>
                      <m:rPr/>
                      <w:rPr>
                        <w:rFonts w:ascii="Cambria Math" w:hAnsi="Cambria Math"/>
                        <w:szCs w:val="21"/>
                      </w:rPr>
                      <m:t>10</m:t>
                    </m:r>
                    <m:ctrlPr>
                      <w:rPr>
                        <w:rFonts w:ascii="Cambria Math" w:hAnsi="Cambria Math"/>
                        <w:i/>
                        <w:szCs w:val="21"/>
                      </w:rPr>
                    </m:ctrlPr>
                  </m:e>
                  <m:sup>
                    <m:r>
                      <m:rPr/>
                      <w:rPr>
                        <w:rFonts w:ascii="Cambria Math" w:hAnsi="Cambria Math"/>
                        <w:szCs w:val="21"/>
                      </w:rPr>
                      <m:t>−3</m:t>
                    </m:r>
                    <m:ctrlPr>
                      <w:rPr>
                        <w:rFonts w:ascii="Cambria Math" w:hAnsi="Cambria Math"/>
                        <w:i/>
                        <w:szCs w:val="21"/>
                      </w:rPr>
                    </m:ctrlPr>
                  </m:sup>
                </m:sSup>
              </m:oMath>
            </m:oMathPara>
          </w:p>
        </w:tc>
        <w:tc>
          <w:tcPr>
            <w:tcW w:w="1301" w:type="dxa"/>
            <w:tcBorders>
              <w:top w:val="nil"/>
              <w:left w:val="single" w:color="auto" w:sz="4" w:space="0"/>
              <w:bottom w:val="single" w:color="auto" w:sz="4" w:space="0"/>
              <w:right w:val="single" w:color="auto" w:sz="4" w:space="0"/>
            </w:tcBorders>
            <w:shd w:val="clear" w:color="auto" w:fill="auto"/>
            <w:vAlign w:val="center"/>
          </w:tcPr>
          <w:p>
            <w:pPr>
              <w:widowControl/>
              <w:jc w:val="left"/>
              <w:rPr>
                <w:kern w:val="0"/>
                <w:szCs w:val="21"/>
              </w:rPr>
            </w:pPr>
            <w:r>
              <w:rPr>
                <w:kern w:val="0"/>
                <w:szCs w:val="21"/>
              </w:rPr>
              <w:t xml:space="preserve">0.9880 </w:t>
            </w:r>
          </w:p>
        </w:tc>
        <w:tc>
          <w:tcPr>
            <w:tcW w:w="1302"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 xml:space="preserve">0.9877 </w:t>
            </w:r>
          </w:p>
        </w:tc>
        <w:tc>
          <w:tcPr>
            <w:tcW w:w="1301"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 xml:space="preserve">0.00024 </w:t>
            </w:r>
          </w:p>
        </w:tc>
        <w:tc>
          <w:tcPr>
            <w:tcW w:w="1301"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0.00028</w:t>
            </w:r>
          </w:p>
        </w:tc>
        <w:tc>
          <w:tcPr>
            <w:tcW w:w="1302"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0.00040</w:t>
            </w:r>
          </w:p>
        </w:tc>
      </w:tr>
      <w:tr>
        <w:tblPrEx>
          <w:tblCellMar>
            <w:top w:w="0" w:type="dxa"/>
            <w:left w:w="108" w:type="dxa"/>
            <w:bottom w:w="0" w:type="dxa"/>
            <w:right w:w="108" w:type="dxa"/>
          </w:tblCellMar>
        </w:tblPrEx>
        <w:trPr>
          <w:trHeight w:val="230" w:hRule="atLeast"/>
        </w:trPr>
        <w:tc>
          <w:tcPr>
            <w:tcW w:w="1301" w:type="dxa"/>
            <w:tcBorders>
              <w:top w:val="nil"/>
              <w:left w:val="single" w:color="auto" w:sz="4" w:space="0"/>
              <w:bottom w:val="single" w:color="auto" w:sz="4" w:space="0"/>
              <w:right w:val="single" w:color="auto" w:sz="4" w:space="0"/>
            </w:tcBorders>
            <w:vAlign w:val="center"/>
          </w:tcPr>
          <w:p>
            <w:pPr>
              <w:widowControl/>
              <w:jc w:val="left"/>
              <w:rPr>
                <w:kern w:val="0"/>
                <w:szCs w:val="21"/>
              </w:rPr>
            </w:pPr>
            <w:r>
              <w:rPr>
                <w:rFonts w:hint="eastAsia"/>
                <w:color w:val="000000"/>
                <w:kern w:val="0"/>
                <w:szCs w:val="21"/>
              </w:rPr>
              <w:t>5</w:t>
            </w:r>
          </w:p>
        </w:tc>
        <w:tc>
          <w:tcPr>
            <w:tcW w:w="1301" w:type="dxa"/>
            <w:tcBorders>
              <w:top w:val="nil"/>
              <w:left w:val="single" w:color="auto" w:sz="4" w:space="0"/>
              <w:bottom w:val="single" w:color="auto" w:sz="4" w:space="0"/>
              <w:right w:val="single" w:color="auto" w:sz="4" w:space="0"/>
            </w:tcBorders>
          </w:tcPr>
          <w:p>
            <w:pPr>
              <w:widowControl/>
              <w:jc w:val="left"/>
              <w:rPr>
                <w:kern w:val="0"/>
                <w:szCs w:val="21"/>
              </w:rPr>
            </w:pPr>
            <m:oMathPara>
              <m:oMath>
                <m:r>
                  <m:rPr/>
                  <w:rPr>
                    <w:rFonts w:ascii="Cambria Math" w:hAnsi="Cambria Math"/>
                    <w:szCs w:val="21"/>
                  </w:rPr>
                  <m:t>1.36×</m:t>
                </m:r>
                <m:sSup>
                  <m:sSupPr>
                    <m:ctrlPr>
                      <w:rPr>
                        <w:rFonts w:ascii="Cambria Math" w:hAnsi="Cambria Math"/>
                        <w:i/>
                        <w:szCs w:val="21"/>
                      </w:rPr>
                    </m:ctrlPr>
                  </m:sSupPr>
                  <m:e>
                    <m:r>
                      <m:rPr/>
                      <w:rPr>
                        <w:rFonts w:ascii="Cambria Math" w:hAnsi="Cambria Math"/>
                        <w:szCs w:val="21"/>
                      </w:rPr>
                      <m:t>10</m:t>
                    </m:r>
                    <m:ctrlPr>
                      <w:rPr>
                        <w:rFonts w:ascii="Cambria Math" w:hAnsi="Cambria Math"/>
                        <w:i/>
                        <w:szCs w:val="21"/>
                      </w:rPr>
                    </m:ctrlPr>
                  </m:e>
                  <m:sup>
                    <m:r>
                      <m:rPr/>
                      <w:rPr>
                        <w:rFonts w:ascii="Cambria Math" w:hAnsi="Cambria Math"/>
                        <w:szCs w:val="21"/>
                      </w:rPr>
                      <m:t>−3</m:t>
                    </m:r>
                    <m:ctrlPr>
                      <w:rPr>
                        <w:rFonts w:ascii="Cambria Math" w:hAnsi="Cambria Math"/>
                        <w:i/>
                        <w:szCs w:val="21"/>
                      </w:rPr>
                    </m:ctrlPr>
                  </m:sup>
                </m:sSup>
              </m:oMath>
            </m:oMathPara>
          </w:p>
        </w:tc>
        <w:tc>
          <w:tcPr>
            <w:tcW w:w="1301" w:type="dxa"/>
            <w:tcBorders>
              <w:top w:val="nil"/>
              <w:left w:val="single" w:color="auto" w:sz="4" w:space="0"/>
              <w:bottom w:val="single" w:color="auto" w:sz="4" w:space="0"/>
              <w:right w:val="single" w:color="auto" w:sz="4" w:space="0"/>
            </w:tcBorders>
            <w:shd w:val="clear" w:color="auto" w:fill="auto"/>
            <w:vAlign w:val="center"/>
          </w:tcPr>
          <w:p>
            <w:pPr>
              <w:widowControl/>
              <w:jc w:val="left"/>
              <w:rPr>
                <w:kern w:val="0"/>
                <w:szCs w:val="21"/>
              </w:rPr>
            </w:pPr>
            <w:r>
              <w:rPr>
                <w:kern w:val="0"/>
                <w:szCs w:val="21"/>
              </w:rPr>
              <w:t xml:space="preserve">0.9891 </w:t>
            </w:r>
          </w:p>
        </w:tc>
        <w:tc>
          <w:tcPr>
            <w:tcW w:w="1302"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 xml:space="preserve">0.9887 </w:t>
            </w:r>
          </w:p>
        </w:tc>
        <w:tc>
          <w:tcPr>
            <w:tcW w:w="1301"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 xml:space="preserve">0.00024 </w:t>
            </w:r>
          </w:p>
        </w:tc>
        <w:tc>
          <w:tcPr>
            <w:tcW w:w="1301"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0.00038</w:t>
            </w:r>
          </w:p>
        </w:tc>
        <w:tc>
          <w:tcPr>
            <w:tcW w:w="1302"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0.00041</w:t>
            </w:r>
          </w:p>
        </w:tc>
      </w:tr>
      <w:tr>
        <w:tblPrEx>
          <w:tblCellMar>
            <w:top w:w="0" w:type="dxa"/>
            <w:left w:w="108" w:type="dxa"/>
            <w:bottom w:w="0" w:type="dxa"/>
            <w:right w:w="108" w:type="dxa"/>
          </w:tblCellMar>
        </w:tblPrEx>
        <w:trPr>
          <w:trHeight w:val="230" w:hRule="atLeast"/>
        </w:trPr>
        <w:tc>
          <w:tcPr>
            <w:tcW w:w="1301" w:type="dxa"/>
            <w:tcBorders>
              <w:top w:val="nil"/>
              <w:left w:val="single" w:color="auto" w:sz="4" w:space="0"/>
              <w:bottom w:val="single" w:color="auto" w:sz="4" w:space="0"/>
              <w:right w:val="single" w:color="auto" w:sz="4" w:space="0"/>
            </w:tcBorders>
            <w:vAlign w:val="center"/>
          </w:tcPr>
          <w:p>
            <w:pPr>
              <w:widowControl/>
              <w:jc w:val="left"/>
              <w:rPr>
                <w:kern w:val="0"/>
                <w:szCs w:val="21"/>
              </w:rPr>
            </w:pPr>
            <w:r>
              <w:rPr>
                <w:rFonts w:hint="eastAsia"/>
                <w:color w:val="000000"/>
                <w:kern w:val="0"/>
                <w:szCs w:val="21"/>
              </w:rPr>
              <w:t>6</w:t>
            </w:r>
          </w:p>
        </w:tc>
        <w:tc>
          <w:tcPr>
            <w:tcW w:w="1301" w:type="dxa"/>
            <w:tcBorders>
              <w:top w:val="nil"/>
              <w:left w:val="single" w:color="auto" w:sz="4" w:space="0"/>
              <w:bottom w:val="single" w:color="auto" w:sz="4" w:space="0"/>
              <w:right w:val="single" w:color="auto" w:sz="4" w:space="0"/>
            </w:tcBorders>
          </w:tcPr>
          <w:p>
            <w:pPr>
              <w:widowControl/>
              <w:jc w:val="left"/>
              <w:rPr>
                <w:kern w:val="0"/>
                <w:szCs w:val="21"/>
              </w:rPr>
            </w:pPr>
            <m:oMathPara>
              <m:oMath>
                <m:r>
                  <m:rPr/>
                  <w:rPr>
                    <w:rFonts w:ascii="Cambria Math" w:hAnsi="Cambria Math"/>
                    <w:szCs w:val="21"/>
                  </w:rPr>
                  <m:t>1.19×</m:t>
                </m:r>
                <m:sSup>
                  <m:sSupPr>
                    <m:ctrlPr>
                      <w:rPr>
                        <w:rFonts w:ascii="Cambria Math" w:hAnsi="Cambria Math"/>
                        <w:i/>
                        <w:szCs w:val="21"/>
                      </w:rPr>
                    </m:ctrlPr>
                  </m:sSupPr>
                  <m:e>
                    <m:r>
                      <m:rPr/>
                      <w:rPr>
                        <w:rFonts w:ascii="Cambria Math" w:hAnsi="Cambria Math"/>
                        <w:szCs w:val="21"/>
                      </w:rPr>
                      <m:t>10</m:t>
                    </m:r>
                    <m:ctrlPr>
                      <w:rPr>
                        <w:rFonts w:ascii="Cambria Math" w:hAnsi="Cambria Math"/>
                        <w:i/>
                        <w:szCs w:val="21"/>
                      </w:rPr>
                    </m:ctrlPr>
                  </m:e>
                  <m:sup>
                    <m:r>
                      <m:rPr/>
                      <w:rPr>
                        <w:rFonts w:ascii="Cambria Math" w:hAnsi="Cambria Math"/>
                        <w:szCs w:val="21"/>
                      </w:rPr>
                      <m:t>−3</m:t>
                    </m:r>
                    <m:ctrlPr>
                      <w:rPr>
                        <w:rFonts w:ascii="Cambria Math" w:hAnsi="Cambria Math"/>
                        <w:i/>
                        <w:szCs w:val="21"/>
                      </w:rPr>
                    </m:ctrlPr>
                  </m:sup>
                </m:sSup>
              </m:oMath>
            </m:oMathPara>
          </w:p>
        </w:tc>
        <w:tc>
          <w:tcPr>
            <w:tcW w:w="1301" w:type="dxa"/>
            <w:tcBorders>
              <w:top w:val="nil"/>
              <w:left w:val="single" w:color="auto" w:sz="4" w:space="0"/>
              <w:bottom w:val="single" w:color="auto" w:sz="4" w:space="0"/>
              <w:right w:val="single" w:color="auto" w:sz="4" w:space="0"/>
            </w:tcBorders>
            <w:shd w:val="clear" w:color="auto" w:fill="auto"/>
            <w:vAlign w:val="center"/>
          </w:tcPr>
          <w:p>
            <w:pPr>
              <w:widowControl/>
              <w:jc w:val="left"/>
              <w:rPr>
                <w:kern w:val="0"/>
                <w:szCs w:val="21"/>
              </w:rPr>
            </w:pPr>
            <w:r>
              <w:rPr>
                <w:kern w:val="0"/>
                <w:szCs w:val="21"/>
              </w:rPr>
              <w:t xml:space="preserve">0.9895 </w:t>
            </w:r>
          </w:p>
        </w:tc>
        <w:tc>
          <w:tcPr>
            <w:tcW w:w="1302"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 xml:space="preserve">0.9892 </w:t>
            </w:r>
          </w:p>
        </w:tc>
        <w:tc>
          <w:tcPr>
            <w:tcW w:w="1301"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 xml:space="preserve">0.00024 </w:t>
            </w:r>
          </w:p>
        </w:tc>
        <w:tc>
          <w:tcPr>
            <w:tcW w:w="1301"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0.00020</w:t>
            </w:r>
          </w:p>
        </w:tc>
        <w:tc>
          <w:tcPr>
            <w:tcW w:w="1302"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0.00040</w:t>
            </w:r>
          </w:p>
        </w:tc>
      </w:tr>
      <w:tr>
        <w:tblPrEx>
          <w:tblCellMar>
            <w:top w:w="0" w:type="dxa"/>
            <w:left w:w="108" w:type="dxa"/>
            <w:bottom w:w="0" w:type="dxa"/>
            <w:right w:w="108" w:type="dxa"/>
          </w:tblCellMar>
        </w:tblPrEx>
        <w:trPr>
          <w:trHeight w:val="230" w:hRule="atLeast"/>
        </w:trPr>
        <w:tc>
          <w:tcPr>
            <w:tcW w:w="1301" w:type="dxa"/>
            <w:tcBorders>
              <w:top w:val="nil"/>
              <w:left w:val="single" w:color="auto" w:sz="4" w:space="0"/>
              <w:bottom w:val="single" w:color="auto" w:sz="4" w:space="0"/>
              <w:right w:val="single" w:color="auto" w:sz="4" w:space="0"/>
            </w:tcBorders>
            <w:vAlign w:val="center"/>
          </w:tcPr>
          <w:p>
            <w:pPr>
              <w:widowControl/>
              <w:jc w:val="left"/>
              <w:rPr>
                <w:kern w:val="0"/>
                <w:szCs w:val="21"/>
              </w:rPr>
            </w:pPr>
            <w:r>
              <w:rPr>
                <w:color w:val="000000"/>
                <w:kern w:val="0"/>
                <w:szCs w:val="21"/>
              </w:rPr>
              <w:t>7</w:t>
            </w:r>
          </w:p>
        </w:tc>
        <w:tc>
          <w:tcPr>
            <w:tcW w:w="1301" w:type="dxa"/>
            <w:tcBorders>
              <w:top w:val="nil"/>
              <w:left w:val="single" w:color="auto" w:sz="4" w:space="0"/>
              <w:bottom w:val="single" w:color="auto" w:sz="4" w:space="0"/>
              <w:right w:val="single" w:color="auto" w:sz="4" w:space="0"/>
            </w:tcBorders>
          </w:tcPr>
          <w:p>
            <w:pPr>
              <w:widowControl/>
              <w:jc w:val="left"/>
              <w:rPr>
                <w:kern w:val="0"/>
                <w:szCs w:val="21"/>
              </w:rPr>
            </w:pPr>
            <m:oMathPara>
              <m:oMath>
                <m:r>
                  <m:rPr/>
                  <w:rPr>
                    <w:rFonts w:ascii="Cambria Math" w:hAnsi="Cambria Math"/>
                    <w:szCs w:val="21"/>
                  </w:rPr>
                  <m:t>1.05×</m:t>
                </m:r>
                <m:sSup>
                  <m:sSupPr>
                    <m:ctrlPr>
                      <w:rPr>
                        <w:rFonts w:ascii="Cambria Math" w:hAnsi="Cambria Math"/>
                        <w:i/>
                        <w:szCs w:val="21"/>
                      </w:rPr>
                    </m:ctrlPr>
                  </m:sSupPr>
                  <m:e>
                    <m:r>
                      <m:rPr/>
                      <w:rPr>
                        <w:rFonts w:ascii="Cambria Math" w:hAnsi="Cambria Math"/>
                        <w:szCs w:val="21"/>
                      </w:rPr>
                      <m:t>10</m:t>
                    </m:r>
                    <m:ctrlPr>
                      <w:rPr>
                        <w:rFonts w:ascii="Cambria Math" w:hAnsi="Cambria Math"/>
                        <w:i/>
                        <w:szCs w:val="21"/>
                      </w:rPr>
                    </m:ctrlPr>
                  </m:e>
                  <m:sup>
                    <m:r>
                      <m:rPr/>
                      <w:rPr>
                        <w:rFonts w:ascii="Cambria Math" w:hAnsi="Cambria Math"/>
                        <w:szCs w:val="21"/>
                      </w:rPr>
                      <m:t>−3</m:t>
                    </m:r>
                    <m:ctrlPr>
                      <w:rPr>
                        <w:rFonts w:ascii="Cambria Math" w:hAnsi="Cambria Math"/>
                        <w:i/>
                        <w:szCs w:val="21"/>
                      </w:rPr>
                    </m:ctrlPr>
                  </m:sup>
                </m:sSup>
              </m:oMath>
            </m:oMathPara>
          </w:p>
        </w:tc>
        <w:tc>
          <w:tcPr>
            <w:tcW w:w="1301" w:type="dxa"/>
            <w:tcBorders>
              <w:top w:val="nil"/>
              <w:left w:val="single" w:color="auto" w:sz="4" w:space="0"/>
              <w:bottom w:val="single" w:color="auto" w:sz="4" w:space="0"/>
              <w:right w:val="single" w:color="auto" w:sz="4" w:space="0"/>
            </w:tcBorders>
            <w:shd w:val="clear" w:color="auto" w:fill="auto"/>
            <w:vAlign w:val="center"/>
          </w:tcPr>
          <w:p>
            <w:pPr>
              <w:widowControl/>
              <w:jc w:val="left"/>
              <w:rPr>
                <w:kern w:val="0"/>
                <w:szCs w:val="21"/>
              </w:rPr>
            </w:pPr>
            <w:r>
              <w:rPr>
                <w:kern w:val="0"/>
                <w:szCs w:val="21"/>
              </w:rPr>
              <w:t xml:space="preserve">0.9910 </w:t>
            </w:r>
          </w:p>
        </w:tc>
        <w:tc>
          <w:tcPr>
            <w:tcW w:w="1302"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 xml:space="preserve">0.9897 </w:t>
            </w:r>
          </w:p>
        </w:tc>
        <w:tc>
          <w:tcPr>
            <w:tcW w:w="1301"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 xml:space="preserve">0.00024 </w:t>
            </w:r>
          </w:p>
        </w:tc>
        <w:tc>
          <w:tcPr>
            <w:tcW w:w="1301"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0.0012</w:t>
            </w:r>
          </w:p>
        </w:tc>
        <w:tc>
          <w:tcPr>
            <w:tcW w:w="1302"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0.00060</w:t>
            </w:r>
          </w:p>
        </w:tc>
      </w:tr>
      <w:tr>
        <w:tblPrEx>
          <w:tblCellMar>
            <w:top w:w="0" w:type="dxa"/>
            <w:left w:w="108" w:type="dxa"/>
            <w:bottom w:w="0" w:type="dxa"/>
            <w:right w:w="108" w:type="dxa"/>
          </w:tblCellMar>
        </w:tblPrEx>
        <w:trPr>
          <w:trHeight w:val="230" w:hRule="atLeast"/>
        </w:trPr>
        <w:tc>
          <w:tcPr>
            <w:tcW w:w="1301" w:type="dxa"/>
            <w:tcBorders>
              <w:top w:val="nil"/>
              <w:left w:val="single" w:color="auto" w:sz="4" w:space="0"/>
              <w:bottom w:val="single" w:color="auto" w:sz="4" w:space="0"/>
              <w:right w:val="single" w:color="auto" w:sz="4" w:space="0"/>
            </w:tcBorders>
            <w:vAlign w:val="center"/>
          </w:tcPr>
          <w:p>
            <w:pPr>
              <w:widowControl/>
              <w:jc w:val="left"/>
              <w:rPr>
                <w:kern w:val="0"/>
                <w:szCs w:val="21"/>
              </w:rPr>
            </w:pPr>
            <w:r>
              <w:rPr>
                <w:color w:val="000000"/>
                <w:kern w:val="0"/>
                <w:szCs w:val="21"/>
              </w:rPr>
              <w:t>8</w:t>
            </w:r>
          </w:p>
        </w:tc>
        <w:tc>
          <w:tcPr>
            <w:tcW w:w="1301" w:type="dxa"/>
            <w:tcBorders>
              <w:top w:val="nil"/>
              <w:left w:val="single" w:color="auto" w:sz="4" w:space="0"/>
              <w:bottom w:val="single" w:color="auto" w:sz="4" w:space="0"/>
              <w:right w:val="single" w:color="auto" w:sz="4" w:space="0"/>
            </w:tcBorders>
          </w:tcPr>
          <w:p>
            <w:pPr>
              <w:widowControl/>
              <w:jc w:val="left"/>
              <w:rPr>
                <w:kern w:val="0"/>
                <w:szCs w:val="21"/>
              </w:rPr>
            </w:pPr>
            <m:oMathPara>
              <m:oMath>
                <m:r>
                  <m:rPr/>
                  <w:rPr>
                    <w:rFonts w:ascii="Cambria Math" w:hAnsi="Cambria Math"/>
                    <w:szCs w:val="21"/>
                  </w:rPr>
                  <m:t>9.61×</m:t>
                </m:r>
                <m:sSup>
                  <m:sSupPr>
                    <m:ctrlPr>
                      <w:rPr>
                        <w:rFonts w:ascii="Cambria Math" w:hAnsi="Cambria Math"/>
                        <w:i/>
                        <w:szCs w:val="21"/>
                      </w:rPr>
                    </m:ctrlPr>
                  </m:sSupPr>
                  <m:e>
                    <m:r>
                      <m:rPr/>
                      <w:rPr>
                        <w:rFonts w:ascii="Cambria Math" w:hAnsi="Cambria Math"/>
                        <w:szCs w:val="21"/>
                      </w:rPr>
                      <m:t>10</m:t>
                    </m:r>
                    <m:ctrlPr>
                      <w:rPr>
                        <w:rFonts w:ascii="Cambria Math" w:hAnsi="Cambria Math"/>
                        <w:i/>
                        <w:szCs w:val="21"/>
                      </w:rPr>
                    </m:ctrlPr>
                  </m:e>
                  <m:sup>
                    <m:r>
                      <m:rPr/>
                      <w:rPr>
                        <w:rFonts w:ascii="Cambria Math" w:hAnsi="Cambria Math"/>
                        <w:szCs w:val="21"/>
                      </w:rPr>
                      <m:t>−4</m:t>
                    </m:r>
                    <m:ctrlPr>
                      <w:rPr>
                        <w:rFonts w:ascii="Cambria Math" w:hAnsi="Cambria Math"/>
                        <w:i/>
                        <w:szCs w:val="21"/>
                      </w:rPr>
                    </m:ctrlPr>
                  </m:sup>
                </m:sSup>
              </m:oMath>
            </m:oMathPara>
          </w:p>
        </w:tc>
        <w:tc>
          <w:tcPr>
            <w:tcW w:w="1301" w:type="dxa"/>
            <w:tcBorders>
              <w:top w:val="nil"/>
              <w:left w:val="single" w:color="auto" w:sz="4" w:space="0"/>
              <w:bottom w:val="single" w:color="auto" w:sz="4" w:space="0"/>
              <w:right w:val="single" w:color="auto" w:sz="4" w:space="0"/>
            </w:tcBorders>
            <w:shd w:val="clear" w:color="auto" w:fill="auto"/>
            <w:vAlign w:val="center"/>
          </w:tcPr>
          <w:p>
            <w:pPr>
              <w:widowControl/>
              <w:jc w:val="left"/>
              <w:rPr>
                <w:kern w:val="0"/>
                <w:szCs w:val="21"/>
              </w:rPr>
            </w:pPr>
            <w:r>
              <w:rPr>
                <w:kern w:val="0"/>
                <w:szCs w:val="21"/>
              </w:rPr>
              <w:t xml:space="preserve">0.9905 </w:t>
            </w:r>
          </w:p>
        </w:tc>
        <w:tc>
          <w:tcPr>
            <w:tcW w:w="1302"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 xml:space="preserve">0.9902 </w:t>
            </w:r>
          </w:p>
        </w:tc>
        <w:tc>
          <w:tcPr>
            <w:tcW w:w="1301"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0.00025</w:t>
            </w:r>
          </w:p>
        </w:tc>
        <w:tc>
          <w:tcPr>
            <w:tcW w:w="1301"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0.00027</w:t>
            </w:r>
          </w:p>
        </w:tc>
        <w:tc>
          <w:tcPr>
            <w:tcW w:w="1302"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0.00045</w:t>
            </w:r>
          </w:p>
        </w:tc>
      </w:tr>
      <w:tr>
        <w:tblPrEx>
          <w:tblCellMar>
            <w:top w:w="0" w:type="dxa"/>
            <w:left w:w="108" w:type="dxa"/>
            <w:bottom w:w="0" w:type="dxa"/>
            <w:right w:w="108" w:type="dxa"/>
          </w:tblCellMar>
        </w:tblPrEx>
        <w:trPr>
          <w:trHeight w:val="230" w:hRule="atLeast"/>
        </w:trPr>
        <w:tc>
          <w:tcPr>
            <w:tcW w:w="1301" w:type="dxa"/>
            <w:tcBorders>
              <w:top w:val="nil"/>
              <w:left w:val="single" w:color="auto" w:sz="4" w:space="0"/>
              <w:bottom w:val="nil"/>
              <w:right w:val="single" w:color="auto" w:sz="4" w:space="0"/>
            </w:tcBorders>
            <w:vAlign w:val="center"/>
          </w:tcPr>
          <w:p>
            <w:pPr>
              <w:widowControl/>
              <w:jc w:val="left"/>
              <w:rPr>
                <w:kern w:val="0"/>
                <w:szCs w:val="21"/>
              </w:rPr>
            </w:pPr>
            <w:r>
              <w:rPr>
                <w:color w:val="000000"/>
                <w:kern w:val="0"/>
                <w:szCs w:val="21"/>
              </w:rPr>
              <w:t>9</w:t>
            </w:r>
          </w:p>
        </w:tc>
        <w:tc>
          <w:tcPr>
            <w:tcW w:w="1301" w:type="dxa"/>
            <w:tcBorders>
              <w:top w:val="nil"/>
              <w:left w:val="single" w:color="auto" w:sz="4" w:space="0"/>
              <w:bottom w:val="nil"/>
              <w:right w:val="single" w:color="auto" w:sz="4" w:space="0"/>
            </w:tcBorders>
          </w:tcPr>
          <w:p>
            <w:pPr>
              <w:widowControl/>
              <w:jc w:val="left"/>
              <w:rPr>
                <w:kern w:val="0"/>
                <w:szCs w:val="21"/>
              </w:rPr>
            </w:pPr>
            <m:oMathPara>
              <m:oMath>
                <m:r>
                  <m:rPr/>
                  <w:rPr>
                    <w:rFonts w:ascii="Cambria Math" w:hAnsi="Cambria Math"/>
                    <w:szCs w:val="21"/>
                  </w:rPr>
                  <m:t>5.46×</m:t>
                </m:r>
                <m:sSup>
                  <m:sSupPr>
                    <m:ctrlPr>
                      <w:rPr>
                        <w:rFonts w:ascii="Cambria Math" w:hAnsi="Cambria Math"/>
                        <w:i/>
                        <w:szCs w:val="21"/>
                      </w:rPr>
                    </m:ctrlPr>
                  </m:sSupPr>
                  <m:e>
                    <m:r>
                      <m:rPr/>
                      <w:rPr>
                        <w:rFonts w:ascii="Cambria Math" w:hAnsi="Cambria Math"/>
                        <w:szCs w:val="21"/>
                      </w:rPr>
                      <m:t>10</m:t>
                    </m:r>
                    <m:ctrlPr>
                      <w:rPr>
                        <w:rFonts w:ascii="Cambria Math" w:hAnsi="Cambria Math"/>
                        <w:i/>
                        <w:szCs w:val="21"/>
                      </w:rPr>
                    </m:ctrlPr>
                  </m:e>
                  <m:sup>
                    <m:r>
                      <m:rPr/>
                      <w:rPr>
                        <w:rFonts w:ascii="Cambria Math" w:hAnsi="Cambria Math"/>
                        <w:szCs w:val="21"/>
                      </w:rPr>
                      <m:t>−4</m:t>
                    </m:r>
                    <m:ctrlPr>
                      <w:rPr>
                        <w:rFonts w:ascii="Cambria Math" w:hAnsi="Cambria Math"/>
                        <w:i/>
                        <w:szCs w:val="21"/>
                      </w:rPr>
                    </m:ctrlPr>
                  </m:sup>
                </m:sSup>
              </m:oMath>
            </m:oMathPara>
          </w:p>
        </w:tc>
        <w:tc>
          <w:tcPr>
            <w:tcW w:w="1301" w:type="dxa"/>
            <w:tcBorders>
              <w:top w:val="nil"/>
              <w:left w:val="single" w:color="auto" w:sz="4" w:space="0"/>
              <w:bottom w:val="nil"/>
              <w:right w:val="single" w:color="auto" w:sz="4" w:space="0"/>
            </w:tcBorders>
            <w:shd w:val="clear" w:color="auto" w:fill="auto"/>
            <w:vAlign w:val="center"/>
          </w:tcPr>
          <w:p>
            <w:pPr>
              <w:widowControl/>
              <w:jc w:val="left"/>
              <w:rPr>
                <w:kern w:val="0"/>
                <w:szCs w:val="21"/>
              </w:rPr>
            </w:pPr>
            <w:r>
              <w:rPr>
                <w:kern w:val="0"/>
                <w:szCs w:val="21"/>
              </w:rPr>
              <w:t xml:space="preserve">0.9905 </w:t>
            </w:r>
          </w:p>
        </w:tc>
        <w:tc>
          <w:tcPr>
            <w:tcW w:w="1302"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 xml:space="preserve">0.9914 </w:t>
            </w:r>
          </w:p>
        </w:tc>
        <w:tc>
          <w:tcPr>
            <w:tcW w:w="1301"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 xml:space="preserve">0.00027 </w:t>
            </w:r>
          </w:p>
        </w:tc>
        <w:tc>
          <w:tcPr>
            <w:tcW w:w="1301"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-0.00098</w:t>
            </w:r>
          </w:p>
        </w:tc>
        <w:tc>
          <w:tcPr>
            <w:tcW w:w="1302"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0.00044</w:t>
            </w:r>
          </w:p>
        </w:tc>
      </w:tr>
      <w:tr>
        <w:tblPrEx>
          <w:tblCellMar>
            <w:top w:w="0" w:type="dxa"/>
            <w:left w:w="108" w:type="dxa"/>
            <w:bottom w:w="0" w:type="dxa"/>
            <w:right w:w="108" w:type="dxa"/>
          </w:tblCellMar>
        </w:tblPrEx>
        <w:trPr>
          <w:trHeight w:val="230" w:hRule="atLeast"/>
        </w:trPr>
        <w:tc>
          <w:tcPr>
            <w:tcW w:w="1301" w:type="dxa"/>
            <w:tcBorders>
              <w:top w:val="single" w:color="000000" w:sz="4" w:space="0"/>
              <w:left w:val="single" w:color="auto" w:sz="4" w:space="0"/>
              <w:bottom w:val="single" w:color="auto" w:sz="4" w:space="0"/>
              <w:right w:val="single" w:color="auto" w:sz="4" w:space="0"/>
            </w:tcBorders>
            <w:vAlign w:val="center"/>
          </w:tcPr>
          <w:p>
            <w:pPr>
              <w:widowControl/>
              <w:jc w:val="left"/>
              <w:rPr>
                <w:kern w:val="0"/>
                <w:szCs w:val="21"/>
              </w:rPr>
            </w:pPr>
            <w:r>
              <w:rPr>
                <w:rFonts w:hint="eastAsia"/>
                <w:color w:val="000000"/>
                <w:kern w:val="0"/>
                <w:szCs w:val="21"/>
              </w:rPr>
              <w:t>1</w:t>
            </w:r>
            <w:r>
              <w:rPr>
                <w:color w:val="000000"/>
                <w:kern w:val="0"/>
                <w:szCs w:val="21"/>
              </w:rPr>
              <w:t>0</w:t>
            </w:r>
          </w:p>
        </w:tc>
        <w:tc>
          <w:tcPr>
            <w:tcW w:w="1301" w:type="dxa"/>
            <w:tcBorders>
              <w:top w:val="single" w:color="000000" w:sz="4" w:space="0"/>
              <w:left w:val="single" w:color="auto" w:sz="4" w:space="0"/>
              <w:bottom w:val="single" w:color="auto" w:sz="4" w:space="0"/>
              <w:right w:val="single" w:color="auto" w:sz="4" w:space="0"/>
            </w:tcBorders>
          </w:tcPr>
          <w:p>
            <w:pPr>
              <w:widowControl/>
              <w:jc w:val="left"/>
              <w:rPr>
                <w:kern w:val="0"/>
                <w:szCs w:val="21"/>
              </w:rPr>
            </w:pPr>
            <m:oMathPara>
              <m:oMath>
                <m:r>
                  <m:rPr/>
                  <w:rPr>
                    <w:rFonts w:ascii="Cambria Math" w:hAnsi="Cambria Math"/>
                    <w:szCs w:val="21"/>
                  </w:rPr>
                  <m:t>5.49×</m:t>
                </m:r>
                <m:sSup>
                  <m:sSupPr>
                    <m:ctrlPr>
                      <w:rPr>
                        <w:rFonts w:ascii="Cambria Math" w:hAnsi="Cambria Math"/>
                        <w:i/>
                        <w:szCs w:val="21"/>
                      </w:rPr>
                    </m:ctrlPr>
                  </m:sSupPr>
                  <m:e>
                    <m:r>
                      <m:rPr/>
                      <w:rPr>
                        <w:rFonts w:ascii="Cambria Math" w:hAnsi="Cambria Math"/>
                        <w:szCs w:val="21"/>
                      </w:rPr>
                      <m:t>10</m:t>
                    </m:r>
                    <m:ctrlPr>
                      <w:rPr>
                        <w:rFonts w:ascii="Cambria Math" w:hAnsi="Cambria Math"/>
                        <w:i/>
                        <w:szCs w:val="21"/>
                      </w:rPr>
                    </m:ctrlPr>
                  </m:e>
                  <m:sup>
                    <m:r>
                      <m:rPr/>
                      <w:rPr>
                        <w:rFonts w:ascii="Cambria Math" w:hAnsi="Cambria Math"/>
                        <w:szCs w:val="21"/>
                      </w:rPr>
                      <m:t>−4</m:t>
                    </m:r>
                    <m:ctrlPr>
                      <w:rPr>
                        <w:rFonts w:ascii="Cambria Math" w:hAnsi="Cambria Math"/>
                        <w:i/>
                        <w:szCs w:val="21"/>
                      </w:rPr>
                    </m:ctrlPr>
                  </m:sup>
                </m:sSup>
              </m:oMath>
            </m:oMathPara>
          </w:p>
        </w:tc>
        <w:tc>
          <w:tcPr>
            <w:tcW w:w="1301" w:type="dxa"/>
            <w:tcBorders>
              <w:top w:val="single" w:color="000000" w:sz="4" w:space="0"/>
              <w:left w:val="single" w:color="auto" w:sz="4" w:space="0"/>
              <w:bottom w:val="single" w:color="auto" w:sz="4" w:space="0"/>
              <w:right w:val="single" w:color="auto" w:sz="4" w:space="0"/>
            </w:tcBorders>
            <w:shd w:val="clear" w:color="auto" w:fill="auto"/>
            <w:vAlign w:val="center"/>
          </w:tcPr>
          <w:p>
            <w:pPr>
              <w:widowControl/>
              <w:jc w:val="left"/>
              <w:rPr>
                <w:kern w:val="0"/>
                <w:szCs w:val="21"/>
              </w:rPr>
            </w:pPr>
            <w:r>
              <w:rPr>
                <w:kern w:val="0"/>
                <w:szCs w:val="21"/>
              </w:rPr>
              <w:t xml:space="preserve">0.9910 </w:t>
            </w:r>
          </w:p>
        </w:tc>
        <w:tc>
          <w:tcPr>
            <w:tcW w:w="1302"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 xml:space="preserve">0.9914 </w:t>
            </w:r>
          </w:p>
        </w:tc>
        <w:tc>
          <w:tcPr>
            <w:tcW w:w="1301"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 xml:space="preserve">0.00027 </w:t>
            </w:r>
          </w:p>
        </w:tc>
        <w:tc>
          <w:tcPr>
            <w:tcW w:w="1301"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-0.00046</w:t>
            </w:r>
          </w:p>
        </w:tc>
        <w:tc>
          <w:tcPr>
            <w:tcW w:w="1302"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0.00069</w:t>
            </w:r>
          </w:p>
        </w:tc>
      </w:tr>
      <w:tr>
        <w:tblPrEx>
          <w:tblCellMar>
            <w:top w:w="0" w:type="dxa"/>
            <w:left w:w="108" w:type="dxa"/>
            <w:bottom w:w="0" w:type="dxa"/>
            <w:right w:w="108" w:type="dxa"/>
          </w:tblCellMar>
        </w:tblPrEx>
        <w:trPr>
          <w:trHeight w:val="230" w:hRule="atLeast"/>
        </w:trPr>
        <w:tc>
          <w:tcPr>
            <w:tcW w:w="1301" w:type="dxa"/>
            <w:tcBorders>
              <w:top w:val="nil"/>
              <w:left w:val="single" w:color="auto" w:sz="4" w:space="0"/>
              <w:bottom w:val="single" w:color="auto" w:sz="4" w:space="0"/>
              <w:right w:val="single" w:color="auto" w:sz="4" w:space="0"/>
            </w:tcBorders>
            <w:vAlign w:val="center"/>
          </w:tcPr>
          <w:p>
            <w:pPr>
              <w:widowControl/>
              <w:jc w:val="left"/>
              <w:rPr>
                <w:kern w:val="0"/>
                <w:szCs w:val="21"/>
              </w:rPr>
            </w:pPr>
            <w:r>
              <w:rPr>
                <w:color w:val="000000"/>
                <w:kern w:val="0"/>
                <w:szCs w:val="21"/>
              </w:rPr>
              <w:t>11</w:t>
            </w:r>
          </w:p>
        </w:tc>
        <w:tc>
          <w:tcPr>
            <w:tcW w:w="1301" w:type="dxa"/>
            <w:tcBorders>
              <w:top w:val="nil"/>
              <w:left w:val="single" w:color="auto" w:sz="4" w:space="0"/>
              <w:bottom w:val="single" w:color="auto" w:sz="4" w:space="0"/>
              <w:right w:val="single" w:color="auto" w:sz="4" w:space="0"/>
            </w:tcBorders>
          </w:tcPr>
          <w:p>
            <w:pPr>
              <w:widowControl/>
              <w:jc w:val="left"/>
              <w:rPr>
                <w:kern w:val="0"/>
                <w:szCs w:val="21"/>
              </w:rPr>
            </w:pPr>
            <m:oMathPara>
              <m:oMath>
                <m:r>
                  <m:rPr/>
                  <w:rPr>
                    <w:rFonts w:ascii="Cambria Math" w:hAnsi="Cambria Math"/>
                    <w:szCs w:val="21"/>
                  </w:rPr>
                  <m:t>5.75×</m:t>
                </m:r>
                <m:sSup>
                  <m:sSupPr>
                    <m:ctrlPr>
                      <w:rPr>
                        <w:rFonts w:ascii="Cambria Math" w:hAnsi="Cambria Math"/>
                        <w:i/>
                        <w:szCs w:val="21"/>
                      </w:rPr>
                    </m:ctrlPr>
                  </m:sSupPr>
                  <m:e>
                    <m:r>
                      <m:rPr/>
                      <w:rPr>
                        <w:rFonts w:ascii="Cambria Math" w:hAnsi="Cambria Math"/>
                        <w:szCs w:val="21"/>
                      </w:rPr>
                      <m:t>10</m:t>
                    </m:r>
                    <m:ctrlPr>
                      <w:rPr>
                        <w:rFonts w:ascii="Cambria Math" w:hAnsi="Cambria Math"/>
                        <w:i/>
                        <w:szCs w:val="21"/>
                      </w:rPr>
                    </m:ctrlPr>
                  </m:e>
                  <m:sup>
                    <m:r>
                      <m:rPr/>
                      <w:rPr>
                        <w:rFonts w:ascii="Cambria Math" w:hAnsi="Cambria Math"/>
                        <w:szCs w:val="21"/>
                      </w:rPr>
                      <m:t>−4</m:t>
                    </m:r>
                    <m:ctrlPr>
                      <w:rPr>
                        <w:rFonts w:ascii="Cambria Math" w:hAnsi="Cambria Math"/>
                        <w:i/>
                        <w:szCs w:val="21"/>
                      </w:rPr>
                    </m:ctrlPr>
                  </m:sup>
                </m:sSup>
              </m:oMath>
            </m:oMathPara>
          </w:p>
        </w:tc>
        <w:tc>
          <w:tcPr>
            <w:tcW w:w="1301" w:type="dxa"/>
            <w:tcBorders>
              <w:top w:val="nil"/>
              <w:left w:val="single" w:color="auto" w:sz="4" w:space="0"/>
              <w:bottom w:val="single" w:color="auto" w:sz="4" w:space="0"/>
              <w:right w:val="single" w:color="auto" w:sz="4" w:space="0"/>
            </w:tcBorders>
            <w:shd w:val="clear" w:color="auto" w:fill="auto"/>
            <w:vAlign w:val="center"/>
          </w:tcPr>
          <w:p>
            <w:pPr>
              <w:widowControl/>
              <w:jc w:val="left"/>
              <w:rPr>
                <w:kern w:val="0"/>
                <w:szCs w:val="21"/>
              </w:rPr>
            </w:pPr>
            <w:r>
              <w:rPr>
                <w:kern w:val="0"/>
                <w:szCs w:val="21"/>
              </w:rPr>
              <w:t xml:space="preserve">0.9910 </w:t>
            </w:r>
          </w:p>
        </w:tc>
        <w:tc>
          <w:tcPr>
            <w:tcW w:w="1302"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 xml:space="preserve">0.9913 </w:t>
            </w:r>
          </w:p>
        </w:tc>
        <w:tc>
          <w:tcPr>
            <w:tcW w:w="1301"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0.00027</w:t>
            </w:r>
          </w:p>
        </w:tc>
        <w:tc>
          <w:tcPr>
            <w:tcW w:w="1301"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-0.00038</w:t>
            </w:r>
          </w:p>
        </w:tc>
        <w:tc>
          <w:tcPr>
            <w:tcW w:w="1302"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0.00069</w:t>
            </w:r>
          </w:p>
        </w:tc>
      </w:tr>
      <w:tr>
        <w:tblPrEx>
          <w:tblCellMar>
            <w:top w:w="0" w:type="dxa"/>
            <w:left w:w="108" w:type="dxa"/>
            <w:bottom w:w="0" w:type="dxa"/>
            <w:right w:w="108" w:type="dxa"/>
          </w:tblCellMar>
        </w:tblPrEx>
        <w:trPr>
          <w:trHeight w:val="230" w:hRule="atLeast"/>
        </w:trPr>
        <w:tc>
          <w:tcPr>
            <w:tcW w:w="1301" w:type="dxa"/>
            <w:tcBorders>
              <w:top w:val="nil"/>
              <w:left w:val="single" w:color="auto" w:sz="4" w:space="0"/>
              <w:bottom w:val="single" w:color="auto" w:sz="4" w:space="0"/>
              <w:right w:val="single" w:color="auto" w:sz="4" w:space="0"/>
            </w:tcBorders>
            <w:vAlign w:val="center"/>
          </w:tcPr>
          <w:p>
            <w:pPr>
              <w:widowControl/>
              <w:jc w:val="left"/>
              <w:rPr>
                <w:kern w:val="0"/>
                <w:szCs w:val="21"/>
              </w:rPr>
            </w:pPr>
            <w:r>
              <w:rPr>
                <w:color w:val="000000"/>
                <w:kern w:val="0"/>
                <w:szCs w:val="21"/>
              </w:rPr>
              <w:t>12</w:t>
            </w:r>
          </w:p>
        </w:tc>
        <w:tc>
          <w:tcPr>
            <w:tcW w:w="1301" w:type="dxa"/>
            <w:tcBorders>
              <w:top w:val="nil"/>
              <w:left w:val="single" w:color="auto" w:sz="4" w:space="0"/>
              <w:bottom w:val="single" w:color="auto" w:sz="4" w:space="0"/>
              <w:right w:val="single" w:color="auto" w:sz="4" w:space="0"/>
            </w:tcBorders>
          </w:tcPr>
          <w:p>
            <w:pPr>
              <w:widowControl/>
              <w:jc w:val="left"/>
              <w:rPr>
                <w:kern w:val="0"/>
                <w:szCs w:val="21"/>
              </w:rPr>
            </w:pPr>
            <m:oMathPara>
              <m:oMath>
                <m:r>
                  <m:rPr/>
                  <w:rPr>
                    <w:rFonts w:ascii="Cambria Math" w:hAnsi="Cambria Math"/>
                    <w:szCs w:val="21"/>
                  </w:rPr>
                  <m:t>8.96×</m:t>
                </m:r>
                <m:sSup>
                  <m:sSupPr>
                    <m:ctrlPr>
                      <w:rPr>
                        <w:rFonts w:ascii="Cambria Math" w:hAnsi="Cambria Math"/>
                        <w:i/>
                        <w:szCs w:val="21"/>
                      </w:rPr>
                    </m:ctrlPr>
                  </m:sSupPr>
                  <m:e>
                    <m:r>
                      <m:rPr/>
                      <w:rPr>
                        <w:rFonts w:ascii="Cambria Math" w:hAnsi="Cambria Math"/>
                        <w:szCs w:val="21"/>
                      </w:rPr>
                      <m:t>10</m:t>
                    </m:r>
                    <m:ctrlPr>
                      <w:rPr>
                        <w:rFonts w:ascii="Cambria Math" w:hAnsi="Cambria Math"/>
                        <w:i/>
                        <w:szCs w:val="21"/>
                      </w:rPr>
                    </m:ctrlPr>
                  </m:e>
                  <m:sup>
                    <m:r>
                      <m:rPr/>
                      <w:rPr>
                        <w:rFonts w:ascii="Cambria Math" w:hAnsi="Cambria Math"/>
                        <w:szCs w:val="21"/>
                      </w:rPr>
                      <m:t>−4</m:t>
                    </m:r>
                    <m:ctrlPr>
                      <w:rPr>
                        <w:rFonts w:ascii="Cambria Math" w:hAnsi="Cambria Math"/>
                        <w:i/>
                        <w:szCs w:val="21"/>
                      </w:rPr>
                    </m:ctrlPr>
                  </m:sup>
                </m:sSup>
              </m:oMath>
            </m:oMathPara>
          </w:p>
        </w:tc>
        <w:tc>
          <w:tcPr>
            <w:tcW w:w="1301" w:type="dxa"/>
            <w:tcBorders>
              <w:top w:val="nil"/>
              <w:left w:val="single" w:color="auto" w:sz="4" w:space="0"/>
              <w:bottom w:val="single" w:color="000000" w:sz="4" w:space="0"/>
              <w:right w:val="single" w:color="auto" w:sz="4" w:space="0"/>
            </w:tcBorders>
            <w:shd w:val="clear" w:color="auto" w:fill="auto"/>
            <w:vAlign w:val="center"/>
          </w:tcPr>
          <w:p>
            <w:pPr>
              <w:widowControl/>
              <w:jc w:val="left"/>
              <w:rPr>
                <w:kern w:val="0"/>
                <w:szCs w:val="21"/>
              </w:rPr>
            </w:pPr>
            <w:r>
              <w:rPr>
                <w:kern w:val="0"/>
                <w:szCs w:val="21"/>
              </w:rPr>
              <w:t xml:space="preserve">0.9894 </w:t>
            </w:r>
          </w:p>
        </w:tc>
        <w:tc>
          <w:tcPr>
            <w:tcW w:w="1302"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 xml:space="preserve">0.9902 </w:t>
            </w:r>
          </w:p>
        </w:tc>
        <w:tc>
          <w:tcPr>
            <w:tcW w:w="1301"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 xml:space="preserve">0.00025 </w:t>
            </w:r>
          </w:p>
        </w:tc>
        <w:tc>
          <w:tcPr>
            <w:tcW w:w="1301"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-0.00089</w:t>
            </w:r>
          </w:p>
        </w:tc>
        <w:tc>
          <w:tcPr>
            <w:tcW w:w="1302" w:type="dxa"/>
            <w:tcBorders>
              <w:top w:val="nil"/>
              <w:left w:val="nil"/>
              <w:bottom w:val="single" w:color="auto" w:sz="4" w:space="0"/>
              <w:right w:val="single" w:color="auto" w:sz="4" w:space="0"/>
            </w:tcBorders>
            <w:shd w:val="clear" w:color="auto" w:fill="auto"/>
            <w:noWrap/>
            <w:vAlign w:val="center"/>
          </w:tcPr>
          <w:p>
            <w:pPr>
              <w:widowControl/>
              <w:jc w:val="left"/>
              <w:rPr>
                <w:color w:val="000000"/>
                <w:kern w:val="0"/>
                <w:szCs w:val="21"/>
              </w:rPr>
            </w:pPr>
            <w:r>
              <w:rPr>
                <w:color w:val="000000"/>
                <w:kern w:val="0"/>
                <w:szCs w:val="21"/>
              </w:rPr>
              <w:t>0.0012</w:t>
            </w:r>
          </w:p>
        </w:tc>
      </w:tr>
    </w:tbl>
    <w:p>
      <w:pPr>
        <w:pStyle w:val="50"/>
        <w:spacing w:line="360" w:lineRule="auto"/>
        <w:ind w:firstLine="420"/>
        <w:jc w:val="left"/>
        <w:rPr>
          <w:sz w:val="24"/>
          <w:szCs w:val="24"/>
        </w:rPr>
      </w:pPr>
      <w:r>
        <w:rPr>
          <w:rFonts w:hint="eastAsia"/>
          <w:sz w:val="24"/>
          <w:szCs w:val="24"/>
        </w:rPr>
        <w:t>比对量测得值及其回归值如图E</w:t>
      </w:r>
      <w:r>
        <w:rPr>
          <w:sz w:val="24"/>
          <w:szCs w:val="24"/>
        </w:rPr>
        <w:t>.</w:t>
      </w:r>
      <w:r>
        <w:rPr>
          <w:rFonts w:hint="eastAsia"/>
          <w:sz w:val="24"/>
          <w:szCs w:val="24"/>
        </w:rPr>
        <w:t>1所示。</w:t>
      </w:r>
    </w:p>
    <w:p>
      <w:pPr>
        <w:pStyle w:val="50"/>
        <w:spacing w:line="360" w:lineRule="auto"/>
        <w:jc w:val="center"/>
        <w:rPr>
          <w:sz w:val="24"/>
          <w:szCs w:val="24"/>
        </w:rPr>
      </w:pPr>
      <w:r>
        <w:rPr>
          <w:sz w:val="24"/>
          <w:szCs w:val="24"/>
        </w:rPr>
        <w:drawing>
          <wp:inline distT="0" distB="0" distL="0" distR="0">
            <wp:extent cx="4378325" cy="2382520"/>
            <wp:effectExtent l="0" t="0" r="3175" b="0"/>
            <wp:docPr id="7730944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094445" name="图片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384708" cy="2386083"/>
                    </a:xfrm>
                    <a:prstGeom prst="rect">
                      <a:avLst/>
                    </a:prstGeom>
                    <a:noFill/>
                  </pic:spPr>
                </pic:pic>
              </a:graphicData>
            </a:graphic>
          </wp:inline>
        </w:drawing>
      </w:r>
    </w:p>
    <w:p>
      <w:pPr>
        <w:pStyle w:val="50"/>
        <w:spacing w:line="360" w:lineRule="auto"/>
        <w:jc w:val="center"/>
        <w:rPr>
          <w:sz w:val="24"/>
          <w:szCs w:val="24"/>
        </w:rPr>
      </w:pPr>
      <w:r>
        <w:rPr>
          <w:rFonts w:hint="eastAsia"/>
          <w:sz w:val="24"/>
          <w:szCs w:val="24"/>
        </w:rPr>
        <w:t>图E</w:t>
      </w:r>
      <w:r>
        <w:rPr>
          <w:sz w:val="24"/>
          <w:szCs w:val="24"/>
        </w:rPr>
        <w:t>.</w:t>
      </w:r>
      <w:r>
        <w:rPr>
          <w:rFonts w:hint="eastAsia"/>
          <w:sz w:val="24"/>
          <w:szCs w:val="24"/>
        </w:rPr>
        <w:t>1</w:t>
      </w:r>
      <w:r>
        <w:rPr>
          <w:sz w:val="24"/>
          <w:szCs w:val="24"/>
        </w:rPr>
        <w:t xml:space="preserve"> </w:t>
      </w:r>
      <w:r>
        <w:rPr>
          <w:rFonts w:hint="eastAsia"/>
          <w:sz w:val="24"/>
          <w:szCs w:val="24"/>
        </w:rPr>
        <w:t>比对结果图</w:t>
      </w:r>
    </w:p>
    <w:p>
      <w:pPr>
        <w:pStyle w:val="50"/>
        <w:spacing w:line="360" w:lineRule="auto"/>
        <w:jc w:val="center"/>
        <w:rPr>
          <w:sz w:val="24"/>
          <w:szCs w:val="24"/>
        </w:rPr>
      </w:pPr>
    </w:p>
    <w:p>
      <w:pPr>
        <w:snapToGrid w:val="0"/>
        <w:spacing w:line="360" w:lineRule="auto"/>
        <w:jc w:val="center"/>
      </w:pPr>
      <w:r>
        <w:rPr>
          <w:rFonts w:hint="eastAsia"/>
        </w:rPr>
        <w:t>符号对照表（按照字母排序）</w:t>
      </w:r>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0"/>
        <w:gridCol w:w="65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snapToGrid w:val="0"/>
              <w:spacing w:line="360" w:lineRule="auto"/>
              <w:jc w:val="center"/>
            </w:pPr>
            <w:r>
              <w:rPr>
                <w:rFonts w:hint="eastAsia"/>
                <w:i/>
                <w:iCs/>
                <w:sz w:val="24"/>
                <w:szCs w:val="24"/>
              </w:rPr>
              <w:t>c</w:t>
            </w:r>
            <w:r>
              <w:rPr>
                <w:rFonts w:hint="eastAsia"/>
                <w:i/>
                <w:iCs/>
                <w:sz w:val="24"/>
                <w:szCs w:val="24"/>
                <w:vertAlign w:val="subscript"/>
              </w:rPr>
              <w:t>k</w:t>
            </w:r>
          </w:p>
        </w:tc>
        <w:tc>
          <w:tcPr>
            <w:tcW w:w="6503" w:type="dxa"/>
            <w:vAlign w:val="center"/>
          </w:tcPr>
          <w:p>
            <w:pPr>
              <w:snapToGrid w:val="0"/>
              <w:spacing w:line="360" w:lineRule="auto"/>
              <w:jc w:val="center"/>
              <w:rPr>
                <w:szCs w:val="21"/>
              </w:rPr>
            </w:pPr>
            <w:r>
              <w:rPr>
                <w:rFonts w:hint="eastAsia"/>
                <w:color w:val="000000"/>
                <w:szCs w:val="21"/>
              </w:rPr>
              <w:t>传递标准第</w:t>
            </w:r>
            <w:r>
              <w:rPr>
                <w:i/>
                <w:iCs/>
                <w:color w:val="000000"/>
                <w:szCs w:val="21"/>
              </w:rPr>
              <w:t>k</w:t>
            </w:r>
            <w:r>
              <w:rPr>
                <w:rFonts w:hint="eastAsia"/>
                <w:color w:val="000000"/>
                <w:szCs w:val="21"/>
              </w:rPr>
              <w:t>个</w:t>
            </w:r>
            <w:r>
              <w:rPr>
                <w:rFonts w:hint="eastAsia"/>
                <w:szCs w:val="21"/>
              </w:rPr>
              <w:t>修正量引入不确定度的灵敏系数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snapToGrid w:val="0"/>
              <w:spacing w:line="360" w:lineRule="auto"/>
              <w:jc w:val="center"/>
              <w:rPr>
                <w:color w:val="000000"/>
                <w:sz w:val="24"/>
                <w:szCs w:val="24"/>
              </w:rPr>
            </w:pPr>
            <m:oMathPara>
              <m:oMath>
                <m:sSub>
                  <m:sSubPr>
                    <m:ctrlPr>
                      <w:rPr>
                        <w:rFonts w:ascii="Cambria Math" w:hAnsi="Cambria Math"/>
                        <w:i/>
                        <w:color w:val="000000"/>
                        <w:sz w:val="24"/>
                        <w:szCs w:val="24"/>
                      </w:rPr>
                    </m:ctrlPr>
                  </m:sSubPr>
                  <m:e>
                    <m:r>
                      <m:rPr/>
                      <w:rPr>
                        <w:rFonts w:hint="eastAsia" w:ascii="Cambria Math" w:hAnsi="Cambria Math"/>
                        <w:color w:val="000000"/>
                        <w:sz w:val="24"/>
                        <w:szCs w:val="24"/>
                      </w:rPr>
                      <m:t>d</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oMath>
            </m:oMathPara>
          </w:p>
        </w:tc>
        <w:tc>
          <w:tcPr>
            <w:tcW w:w="6503" w:type="dxa"/>
            <w:vAlign w:val="center"/>
          </w:tcPr>
          <w:p>
            <w:pPr>
              <w:snapToGrid w:val="0"/>
              <w:spacing w:line="360" w:lineRule="auto"/>
              <w:jc w:val="center"/>
            </w:pPr>
            <w:r>
              <w:rPr>
                <w:rFonts w:hint="eastAsia"/>
              </w:rPr>
              <w:t>第</w:t>
            </w:r>
            <w:r>
              <w:rPr>
                <w:rFonts w:hint="eastAsia"/>
                <w:i/>
                <w:iCs/>
              </w:rPr>
              <w:t>i</w:t>
            </w:r>
            <w:r>
              <w:rPr>
                <w:rFonts w:hint="eastAsia"/>
              </w:rPr>
              <w:t>个参比实验室结果的等效度，为测量结果与参考值的差值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snapToGrid w:val="0"/>
              <w:spacing w:line="360" w:lineRule="auto"/>
              <w:jc w:val="center"/>
            </w:pPr>
            <w:r>
              <w:rPr>
                <w:i/>
                <w:sz w:val="24"/>
              </w:rPr>
              <w:t>E</w:t>
            </w:r>
            <w:r>
              <w:rPr>
                <w:sz w:val="24"/>
                <w:vertAlign w:val="subscript"/>
              </w:rPr>
              <w:t>n</w:t>
            </w:r>
          </w:p>
        </w:tc>
        <w:tc>
          <w:tcPr>
            <w:tcW w:w="6503" w:type="dxa"/>
            <w:vAlign w:val="center"/>
          </w:tcPr>
          <w:p>
            <w:pPr>
              <w:snapToGrid w:val="0"/>
              <w:spacing w:line="360" w:lineRule="auto"/>
              <w:jc w:val="center"/>
            </w:pPr>
            <w:r>
              <w:rPr>
                <w:rFonts w:hint="eastAsia"/>
              </w:rPr>
              <w:t>归一化偏差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snapToGrid w:val="0"/>
              <w:spacing w:line="360" w:lineRule="auto"/>
              <w:jc w:val="center"/>
            </w:pPr>
            <m:oMathPara>
              <m:oMath>
                <m:r>
                  <m:rPr/>
                  <w:rPr>
                    <w:rFonts w:hint="eastAsia" w:ascii="Cambria Math" w:hAnsi="Cambria Math"/>
                    <w:color w:val="000000"/>
                    <w:sz w:val="24"/>
                    <w:szCs w:val="24"/>
                  </w:rPr>
                  <m:t>IQR</m:t>
                </m:r>
              </m:oMath>
            </m:oMathPara>
          </w:p>
        </w:tc>
        <w:tc>
          <w:tcPr>
            <w:tcW w:w="6503" w:type="dxa"/>
            <w:vAlign w:val="center"/>
          </w:tcPr>
          <w:p>
            <w:pPr>
              <w:snapToGrid w:val="0"/>
              <w:spacing w:line="360" w:lineRule="auto"/>
              <w:jc w:val="center"/>
            </w:pPr>
            <w:r>
              <w:rPr>
                <w:rFonts w:hint="eastAsia"/>
              </w:rPr>
              <w:t>四分位距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snapToGrid w:val="0"/>
              <w:spacing w:line="360" w:lineRule="auto"/>
              <w:jc w:val="center"/>
              <w:rPr>
                <w:color w:val="000000"/>
                <w:sz w:val="24"/>
                <w:szCs w:val="24"/>
              </w:rPr>
            </w:pPr>
            <m:oMathPara>
              <m:oMath>
                <m:r>
                  <m:rPr/>
                  <w:rPr>
                    <w:rFonts w:hint="eastAsia" w:ascii="Cambria Math" w:hAnsi="Cambria Math"/>
                    <w:color w:val="000000"/>
                    <w:sz w:val="24"/>
                    <w:szCs w:val="24"/>
                  </w:rPr>
                  <m:t>NIQR</m:t>
                </m:r>
              </m:oMath>
            </m:oMathPara>
          </w:p>
        </w:tc>
        <w:tc>
          <w:tcPr>
            <w:tcW w:w="6503" w:type="dxa"/>
            <w:vAlign w:val="center"/>
          </w:tcPr>
          <w:p>
            <w:pPr>
              <w:snapToGrid w:val="0"/>
              <w:spacing w:line="360" w:lineRule="auto"/>
              <w:jc w:val="center"/>
            </w:pPr>
            <w:r>
              <w:rPr>
                <w:rFonts w:hint="eastAsia"/>
              </w:rPr>
              <w:t>标准化四分位距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snapToGrid w:val="0"/>
              <w:spacing w:line="360" w:lineRule="auto"/>
              <w:jc w:val="center"/>
              <w:rPr>
                <w:color w:val="000000"/>
                <w:sz w:val="24"/>
                <w:szCs w:val="24"/>
              </w:rPr>
            </w:pPr>
            <m:oMathPara>
              <m:oMath>
                <m:sSub>
                  <m:sSubPr>
                    <m:ctrlPr>
                      <w:rPr>
                        <w:rFonts w:ascii="Cambria Math" w:hAnsi="Cambria Math"/>
                        <w:i/>
                        <w:color w:val="000000"/>
                        <w:sz w:val="24"/>
                        <w:szCs w:val="24"/>
                      </w:rPr>
                    </m:ctrlPr>
                  </m:sSubPr>
                  <m:e>
                    <m:r>
                      <m:rPr/>
                      <w:rPr>
                        <w:rFonts w:hint="eastAsia" w:ascii="Cambria Math" w:hAnsi="Cambria Math"/>
                        <w:color w:val="000000"/>
                        <w:sz w:val="24"/>
                        <w:szCs w:val="24"/>
                      </w:rPr>
                      <m:t>Q</m:t>
                    </m:r>
                    <m:ctrlPr>
                      <w:rPr>
                        <w:rFonts w:ascii="Cambria Math" w:hAnsi="Cambria Math"/>
                        <w:i/>
                        <w:color w:val="000000"/>
                        <w:sz w:val="24"/>
                        <w:szCs w:val="24"/>
                      </w:rPr>
                    </m:ctrlPr>
                  </m:e>
                  <m:sub>
                    <m:r>
                      <m:rPr/>
                      <w:rPr>
                        <w:rFonts w:ascii="Cambria Math" w:hAnsi="Cambria Math"/>
                        <w:color w:val="000000"/>
                        <w:sz w:val="24"/>
                        <w:szCs w:val="24"/>
                      </w:rPr>
                      <m:t>1</m:t>
                    </m:r>
                    <m:ctrlPr>
                      <w:rPr>
                        <w:rFonts w:ascii="Cambria Math" w:hAnsi="Cambria Math"/>
                        <w:i/>
                        <w:color w:val="000000"/>
                        <w:sz w:val="24"/>
                        <w:szCs w:val="24"/>
                      </w:rPr>
                    </m:ctrlPr>
                  </m:sub>
                </m:sSub>
              </m:oMath>
            </m:oMathPara>
          </w:p>
        </w:tc>
        <w:tc>
          <w:tcPr>
            <w:tcW w:w="6503" w:type="dxa"/>
            <w:vAlign w:val="center"/>
          </w:tcPr>
          <w:p>
            <w:pPr>
              <w:snapToGrid w:val="0"/>
              <w:spacing w:line="360" w:lineRule="auto"/>
              <w:jc w:val="center"/>
            </w:pPr>
            <w:r>
              <w:rPr>
                <w:rFonts w:hint="eastAsia"/>
              </w:rPr>
              <w:t>下四分位点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snapToGrid w:val="0"/>
              <w:spacing w:line="360" w:lineRule="auto"/>
              <w:jc w:val="center"/>
              <w:rPr>
                <w:color w:val="000000"/>
                <w:sz w:val="24"/>
                <w:szCs w:val="24"/>
              </w:rPr>
            </w:pPr>
            <m:oMathPara>
              <m:oMath>
                <m:sSub>
                  <m:sSubPr>
                    <m:ctrlPr>
                      <w:rPr>
                        <w:rFonts w:ascii="Cambria Math" w:hAnsi="Cambria Math"/>
                        <w:i/>
                        <w:color w:val="000000"/>
                        <w:sz w:val="24"/>
                        <w:szCs w:val="24"/>
                      </w:rPr>
                    </m:ctrlPr>
                  </m:sSubPr>
                  <m:e>
                    <m:r>
                      <m:rPr/>
                      <w:rPr>
                        <w:rFonts w:hint="eastAsia" w:ascii="Cambria Math" w:hAnsi="Cambria Math"/>
                        <w:color w:val="000000"/>
                        <w:sz w:val="24"/>
                        <w:szCs w:val="24"/>
                      </w:rPr>
                      <m:t>Q</m:t>
                    </m:r>
                    <m:ctrlPr>
                      <w:rPr>
                        <w:rFonts w:ascii="Cambria Math" w:hAnsi="Cambria Math"/>
                        <w:i/>
                        <w:color w:val="000000"/>
                        <w:sz w:val="24"/>
                        <w:szCs w:val="24"/>
                      </w:rPr>
                    </m:ctrlPr>
                  </m:e>
                  <m:sub>
                    <m:r>
                      <m:rPr/>
                      <w:rPr>
                        <w:rFonts w:ascii="Cambria Math" w:hAnsi="Cambria Math"/>
                        <w:color w:val="000000"/>
                        <w:sz w:val="24"/>
                        <w:szCs w:val="24"/>
                      </w:rPr>
                      <m:t>3</m:t>
                    </m:r>
                    <m:ctrlPr>
                      <w:rPr>
                        <w:rFonts w:ascii="Cambria Math" w:hAnsi="Cambria Math"/>
                        <w:i/>
                        <w:color w:val="000000"/>
                        <w:sz w:val="24"/>
                        <w:szCs w:val="24"/>
                      </w:rPr>
                    </m:ctrlPr>
                  </m:sub>
                </m:sSub>
              </m:oMath>
            </m:oMathPara>
          </w:p>
        </w:tc>
        <w:tc>
          <w:tcPr>
            <w:tcW w:w="6503" w:type="dxa"/>
            <w:vAlign w:val="center"/>
          </w:tcPr>
          <w:p>
            <w:pPr>
              <w:snapToGrid w:val="0"/>
              <w:spacing w:line="360" w:lineRule="auto"/>
              <w:jc w:val="center"/>
            </w:pPr>
            <w:r>
              <w:rPr>
                <w:rFonts w:hint="eastAsia"/>
              </w:rPr>
              <w:t>上四分位点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snapToGrid w:val="0"/>
              <w:spacing w:line="360" w:lineRule="auto"/>
              <w:jc w:val="center"/>
              <w:rPr>
                <w:color w:val="000000"/>
                <w:sz w:val="24"/>
                <w:szCs w:val="24"/>
              </w:rPr>
            </w:pPr>
            <m:oMathPara>
              <m:oMath>
                <m:sSub>
                  <m:sSubPr>
                    <m:ctrlPr>
                      <w:rPr>
                        <w:rFonts w:ascii="Cambria Math" w:hAnsi="Cambria Math"/>
                        <w:i/>
                        <w:color w:val="000000"/>
                        <w:sz w:val="24"/>
                        <w:szCs w:val="24"/>
                      </w:rPr>
                    </m:ctrlPr>
                  </m:sSubPr>
                  <m:e>
                    <m:r>
                      <m:rPr/>
                      <w:rPr>
                        <w:rFonts w:ascii="Cambria Math" w:hAnsi="Cambria Math"/>
                        <w:color w:val="000000"/>
                        <w:sz w:val="24"/>
                        <w:szCs w:val="24"/>
                      </w:rPr>
                      <m:t>u</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oMath>
            </m:oMathPara>
          </w:p>
        </w:tc>
        <w:tc>
          <w:tcPr>
            <w:tcW w:w="6503" w:type="dxa"/>
            <w:vAlign w:val="center"/>
          </w:tcPr>
          <w:p>
            <w:pPr>
              <w:snapToGrid w:val="0"/>
              <w:spacing w:line="360" w:lineRule="auto"/>
              <w:jc w:val="center"/>
            </w:pPr>
            <w:r>
              <w:rPr>
                <w:rFonts w:hint="eastAsia"/>
              </w:rPr>
              <w:t>第</w:t>
            </w:r>
            <w:r>
              <w:rPr>
                <w:rFonts w:hint="eastAsia"/>
                <w:i/>
                <w:iCs/>
              </w:rPr>
              <w:t>i</w:t>
            </w:r>
            <w:r>
              <w:rPr>
                <w:rFonts w:hint="eastAsia"/>
              </w:rPr>
              <w:t>个参比实验室结果的标准不确定度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snapToGrid w:val="0"/>
              <w:spacing w:line="360" w:lineRule="auto"/>
              <w:jc w:val="center"/>
              <w:rPr>
                <w:color w:val="000000"/>
                <w:sz w:val="24"/>
                <w:szCs w:val="24"/>
              </w:rPr>
            </w:pPr>
            <m:oMathPara>
              <m:oMath>
                <m:sSub>
                  <m:sSubPr>
                    <m:ctrlPr>
                      <w:rPr>
                        <w:rFonts w:ascii="Cambria Math" w:hAnsi="Cambria Math" w:eastAsia="等线"/>
                        <w:i/>
                        <w:szCs w:val="22"/>
                      </w:rPr>
                    </m:ctrlPr>
                  </m:sSubPr>
                  <m:e>
                    <m:r>
                      <m:rPr/>
                      <w:rPr>
                        <w:rFonts w:ascii="Cambria Math" w:hAnsi="Cambria Math"/>
                      </w:rPr>
                      <m:t>u</m:t>
                    </m:r>
                    <m:ctrlPr>
                      <w:rPr>
                        <w:rFonts w:ascii="Cambria Math" w:hAnsi="Cambria Math" w:eastAsia="等线"/>
                        <w:i/>
                        <w:szCs w:val="22"/>
                      </w:rPr>
                    </m:ctrlPr>
                  </m:e>
                  <m:sub>
                    <m:r>
                      <m:rPr>
                        <m:sty m:val="p"/>
                      </m:rPr>
                      <w:rPr>
                        <w:rFonts w:ascii="Cambria Math" w:hAnsi="Cambria Math"/>
                      </w:rPr>
                      <m:t>c</m:t>
                    </m:r>
                    <m:r>
                      <m:rPr/>
                      <w:rPr>
                        <w:rFonts w:ascii="Cambria Math" w:hAnsi="Cambria Math"/>
                      </w:rPr>
                      <m:t>k</m:t>
                    </m:r>
                    <m:ctrlPr>
                      <w:rPr>
                        <w:rFonts w:ascii="Cambria Math" w:hAnsi="Cambria Math" w:eastAsia="等线"/>
                        <w:i/>
                        <w:szCs w:val="22"/>
                      </w:rPr>
                    </m:ctrlPr>
                  </m:sub>
                </m:sSub>
              </m:oMath>
            </m:oMathPara>
          </w:p>
        </w:tc>
        <w:tc>
          <w:tcPr>
            <w:tcW w:w="6503" w:type="dxa"/>
            <w:vAlign w:val="center"/>
          </w:tcPr>
          <w:p>
            <w:pPr>
              <w:snapToGrid w:val="0"/>
              <w:spacing w:line="360" w:lineRule="auto"/>
              <w:jc w:val="center"/>
            </w:pPr>
            <w:r>
              <w:rPr>
                <w:rFonts w:hint="eastAsia"/>
                <w:color w:val="000000"/>
                <w:szCs w:val="21"/>
              </w:rPr>
              <w:t>传递标准第</w:t>
            </w:r>
            <w:r>
              <w:rPr>
                <w:rFonts w:hint="eastAsia"/>
                <w:i/>
                <w:iCs/>
                <w:color w:val="000000"/>
                <w:szCs w:val="21"/>
              </w:rPr>
              <w:t>k</w:t>
            </w:r>
            <w:r>
              <w:rPr>
                <w:rFonts w:hint="eastAsia"/>
                <w:color w:val="000000"/>
                <w:szCs w:val="21"/>
              </w:rPr>
              <w:t>个</w:t>
            </w:r>
            <w:r>
              <w:rPr>
                <w:rFonts w:hint="eastAsia"/>
                <w:szCs w:val="21"/>
              </w:rPr>
              <w:t>修正量引入的不确定度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snapToGrid w:val="0"/>
              <w:spacing w:line="360" w:lineRule="auto"/>
              <w:jc w:val="center"/>
              <w:rPr>
                <w:color w:val="000000"/>
                <w:sz w:val="24"/>
                <w:szCs w:val="24"/>
              </w:rPr>
            </w:pPr>
            <m:oMathPara>
              <m:oMath>
                <m:sSub>
                  <m:sSubPr>
                    <m:ctrlPr>
                      <w:rPr>
                        <w:rFonts w:ascii="Cambria Math" w:hAnsi="Cambria Math" w:eastAsia="等线"/>
                        <w:i/>
                        <w:szCs w:val="22"/>
                      </w:rPr>
                    </m:ctrlPr>
                  </m:sSubPr>
                  <m:e>
                    <m:r>
                      <m:rPr/>
                      <w:rPr>
                        <w:rFonts w:ascii="Cambria Math" w:hAnsi="Cambria Math"/>
                      </w:rPr>
                      <m:t>u</m:t>
                    </m:r>
                    <m:ctrlPr>
                      <w:rPr>
                        <w:rFonts w:ascii="Cambria Math" w:hAnsi="Cambria Math" w:eastAsia="等线"/>
                        <w:i/>
                        <w:szCs w:val="22"/>
                      </w:rPr>
                    </m:ctrlPr>
                  </m:e>
                  <m:sub>
                    <m:r>
                      <m:rPr>
                        <m:sty m:val="p"/>
                      </m:rPr>
                      <w:rPr>
                        <w:rFonts w:ascii="Cambria Math" w:hAnsi="Cambria Math"/>
                      </w:rPr>
                      <m:t>cor</m:t>
                    </m:r>
                    <m:ctrlPr>
                      <w:rPr>
                        <w:rFonts w:ascii="Cambria Math" w:hAnsi="Cambria Math" w:eastAsia="等线"/>
                        <w:i/>
                        <w:szCs w:val="22"/>
                      </w:rPr>
                    </m:ctrlPr>
                  </m:sub>
                </m:sSub>
              </m:oMath>
            </m:oMathPara>
          </w:p>
        </w:tc>
        <w:tc>
          <w:tcPr>
            <w:tcW w:w="6503" w:type="dxa"/>
            <w:vAlign w:val="center"/>
          </w:tcPr>
          <w:p>
            <w:pPr>
              <w:snapToGrid w:val="0"/>
              <w:spacing w:line="360" w:lineRule="auto"/>
              <w:jc w:val="center"/>
            </w:pPr>
            <w:r>
              <w:rPr>
                <w:rFonts w:hint="eastAsia"/>
              </w:rPr>
              <w:t>传递标准修正引入的不确定度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snapToGrid w:val="0"/>
              <w:spacing w:line="360" w:lineRule="auto"/>
              <w:jc w:val="center"/>
              <w:rPr>
                <w:szCs w:val="22"/>
              </w:rPr>
            </w:pPr>
            <m:oMathPara>
              <m:oMath>
                <m:sSub>
                  <m:sSubPr>
                    <m:ctrlPr>
                      <w:rPr>
                        <w:rFonts w:ascii="Cambria Math" w:hAnsi="Cambria Math" w:eastAsia="等线"/>
                        <w:i/>
                        <w:szCs w:val="22"/>
                      </w:rPr>
                    </m:ctrlPr>
                  </m:sSubPr>
                  <m:e>
                    <m:r>
                      <m:rPr/>
                      <w:rPr>
                        <w:rFonts w:ascii="Cambria Math" w:hAnsi="Cambria Math"/>
                      </w:rPr>
                      <m:t>u</m:t>
                    </m:r>
                    <m:ctrlPr>
                      <w:rPr>
                        <w:rFonts w:ascii="Cambria Math" w:hAnsi="Cambria Math" w:eastAsia="等线"/>
                        <w:i/>
                        <w:szCs w:val="22"/>
                      </w:rPr>
                    </m:ctrlPr>
                  </m:e>
                  <m:sub>
                    <m:r>
                      <m:rPr>
                        <m:sty m:val="p"/>
                      </m:rPr>
                      <w:rPr>
                        <w:rFonts w:hint="eastAsia" w:ascii="Cambria Math" w:hAnsi="Cambria Math"/>
                      </w:rPr>
                      <m:t>sta</m:t>
                    </m:r>
                    <m:ctrlPr>
                      <w:rPr>
                        <w:rFonts w:ascii="Cambria Math" w:hAnsi="Cambria Math" w:eastAsia="等线"/>
                        <w:i/>
                        <w:szCs w:val="22"/>
                      </w:rPr>
                    </m:ctrlPr>
                  </m:sub>
                </m:sSub>
              </m:oMath>
            </m:oMathPara>
          </w:p>
        </w:tc>
        <w:tc>
          <w:tcPr>
            <w:tcW w:w="6503" w:type="dxa"/>
            <w:vAlign w:val="center"/>
          </w:tcPr>
          <w:p>
            <w:pPr>
              <w:snapToGrid w:val="0"/>
              <w:spacing w:line="360" w:lineRule="auto"/>
              <w:jc w:val="center"/>
            </w:pPr>
            <w:r>
              <w:rPr>
                <w:rFonts w:hint="eastAsia"/>
              </w:rPr>
              <w:t>传递标准稳定性引入的不确定度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snapToGrid w:val="0"/>
              <w:spacing w:line="360" w:lineRule="auto"/>
              <w:jc w:val="center"/>
              <w:rPr>
                <w:szCs w:val="22"/>
              </w:rPr>
            </w:pPr>
            <m:oMathPara>
              <m:oMath>
                <m:sSub>
                  <m:sSubPr>
                    <m:ctrlPr>
                      <w:rPr>
                        <w:rFonts w:ascii="Cambria Math" w:hAnsi="Cambria Math"/>
                        <w:i/>
                      </w:rPr>
                    </m:ctrlPr>
                  </m:sSubPr>
                  <m:e>
                    <m:r>
                      <m:rPr/>
                      <w:rPr>
                        <w:rFonts w:ascii="Cambria Math" w:hAnsi="Cambria Math"/>
                      </w:rPr>
                      <m:t>u</m:t>
                    </m:r>
                    <m:ctrlPr>
                      <w:rPr>
                        <w:rFonts w:ascii="Cambria Math" w:hAnsi="Cambria Math"/>
                        <w:i/>
                      </w:rPr>
                    </m:ctrlPr>
                  </m:e>
                  <m:sub>
                    <m:r>
                      <m:rPr>
                        <m:sty m:val="p"/>
                      </m:rPr>
                      <w:rPr>
                        <w:rFonts w:ascii="Cambria Math" w:hAnsi="Cambria Math"/>
                      </w:rPr>
                      <m:t>uni</m:t>
                    </m:r>
                    <m:ctrlPr>
                      <w:rPr>
                        <w:rFonts w:ascii="Cambria Math" w:hAnsi="Cambria Math"/>
                        <w:i/>
                      </w:rPr>
                    </m:ctrlPr>
                  </m:sub>
                </m:sSub>
              </m:oMath>
            </m:oMathPara>
          </w:p>
        </w:tc>
        <w:tc>
          <w:tcPr>
            <w:tcW w:w="6503" w:type="dxa"/>
            <w:vAlign w:val="center"/>
          </w:tcPr>
          <w:p>
            <w:pPr>
              <w:snapToGrid w:val="0"/>
              <w:spacing w:line="360" w:lineRule="auto"/>
              <w:jc w:val="center"/>
              <w:rPr>
                <w:color w:val="000000"/>
                <w:sz w:val="24"/>
              </w:rPr>
            </w:pPr>
            <w:r>
              <w:rPr>
                <w:rFonts w:hint="eastAsia"/>
              </w:rPr>
              <w:t>传递标准一致性性引入的不确定度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snapToGrid w:val="0"/>
              <w:spacing w:line="360" w:lineRule="auto"/>
              <w:jc w:val="center"/>
              <w:rPr>
                <w:color w:val="000000"/>
                <w:sz w:val="24"/>
                <w:szCs w:val="24"/>
              </w:rPr>
            </w:pPr>
            <m:oMathPara>
              <m:oMath>
                <m:r>
                  <m:rPr/>
                  <w:rPr>
                    <w:rFonts w:ascii="Cambria Math" w:hAnsi="Cambria Math"/>
                    <w:color w:val="000000"/>
                    <w:sz w:val="24"/>
                    <w:szCs w:val="24"/>
                  </w:rPr>
                  <m:t>u</m:t>
                </m:r>
                <m:d>
                  <m:dPr>
                    <m:ctrlPr>
                      <w:rPr>
                        <w:rFonts w:ascii="Cambria Math" w:hAnsi="Cambria Math"/>
                        <w:i/>
                        <w:color w:val="000000"/>
                        <w:sz w:val="24"/>
                        <w:szCs w:val="24"/>
                      </w:rPr>
                    </m:ctrlPr>
                  </m:dPr>
                  <m:e>
                    <m:ctrlPr>
                      <w:rPr>
                        <w:rFonts w:ascii="Cambria Math" w:hAnsi="Cambria Math"/>
                        <w:i/>
                        <w:color w:val="000000"/>
                        <w:sz w:val="24"/>
                        <w:szCs w:val="24"/>
                      </w:rPr>
                    </m:ctrlPr>
                  </m:e>
                </m:d>
              </m:oMath>
            </m:oMathPara>
          </w:p>
        </w:tc>
        <w:tc>
          <w:tcPr>
            <w:tcW w:w="6503" w:type="dxa"/>
            <w:vAlign w:val="center"/>
          </w:tcPr>
          <w:p>
            <w:pPr>
              <w:snapToGrid w:val="0"/>
              <w:spacing w:line="360" w:lineRule="auto"/>
              <w:jc w:val="center"/>
            </w:pPr>
            <w:r>
              <w:rPr>
                <w:rFonts w:hint="eastAsia"/>
              </w:rPr>
              <w:t>某量值的标准不确定度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snapToGrid w:val="0"/>
              <w:spacing w:line="360" w:lineRule="auto"/>
              <w:jc w:val="center"/>
              <w:rPr>
                <w:color w:val="000000"/>
                <w:sz w:val="24"/>
                <w:szCs w:val="24"/>
              </w:rPr>
            </w:pPr>
            <m:oMathPara>
              <m:oMath>
                <m:sSub>
                  <m:sSubPr>
                    <m:ctrlPr>
                      <w:rPr>
                        <w:rFonts w:ascii="Cambria Math" w:hAnsi="Cambria Math"/>
                        <w:color w:val="000000"/>
                        <w:sz w:val="24"/>
                        <w:szCs w:val="24"/>
                      </w:rPr>
                    </m:ctrlPr>
                  </m:sSubPr>
                  <m:e>
                    <m:r>
                      <m:rPr/>
                      <w:rPr>
                        <w:rFonts w:ascii="Cambria Math" w:hAnsi="Cambria Math"/>
                        <w:color w:val="000000"/>
                        <w:sz w:val="24"/>
                        <w:szCs w:val="24"/>
                      </w:rPr>
                      <m:t>w</m:t>
                    </m:r>
                    <m:ctrlPr>
                      <w:rPr>
                        <w:rFonts w:ascii="Cambria Math" w:hAnsi="Cambria Math"/>
                        <w:color w:val="000000"/>
                        <w:sz w:val="24"/>
                        <w:szCs w:val="24"/>
                      </w:rPr>
                    </m:ctrlPr>
                  </m:e>
                  <m:sub>
                    <m:r>
                      <m:rPr/>
                      <w:rPr>
                        <w:rFonts w:ascii="Cambria Math" w:hAnsi="Cambria Math"/>
                        <w:color w:val="000000"/>
                        <w:sz w:val="24"/>
                        <w:szCs w:val="24"/>
                      </w:rPr>
                      <m:t>i</m:t>
                    </m:r>
                    <m:ctrlPr>
                      <w:rPr>
                        <w:rFonts w:ascii="Cambria Math" w:hAnsi="Cambria Math"/>
                        <w:color w:val="000000"/>
                        <w:sz w:val="24"/>
                        <w:szCs w:val="24"/>
                      </w:rPr>
                    </m:ctrlPr>
                  </m:sub>
                </m:sSub>
              </m:oMath>
            </m:oMathPara>
          </w:p>
        </w:tc>
        <w:tc>
          <w:tcPr>
            <w:tcW w:w="6503" w:type="dxa"/>
            <w:vAlign w:val="center"/>
          </w:tcPr>
          <w:p>
            <w:pPr>
              <w:snapToGrid w:val="0"/>
              <w:spacing w:line="360" w:lineRule="auto"/>
              <w:jc w:val="center"/>
            </w:pPr>
            <w:r>
              <w:rPr>
                <w:rFonts w:hint="eastAsia"/>
              </w:rPr>
              <w:t>加权平均值中第</w:t>
            </w:r>
            <w:r>
              <w:rPr>
                <w:rFonts w:hint="eastAsia"/>
                <w:i/>
                <w:iCs/>
              </w:rPr>
              <w:t>i</w:t>
            </w:r>
            <w:r>
              <w:rPr>
                <w:rFonts w:hint="eastAsia"/>
              </w:rPr>
              <w:t>个参比实验室结果的权重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snapToGrid w:val="0"/>
              <w:spacing w:line="360" w:lineRule="auto"/>
              <w:jc w:val="center"/>
              <w:rPr>
                <w:color w:val="000000"/>
                <w:sz w:val="24"/>
                <w:szCs w:val="24"/>
              </w:rPr>
            </w:pPr>
            <m:oMathPara>
              <m:oMath>
                <m:r>
                  <m:rPr/>
                  <w:rPr>
                    <w:rFonts w:hint="eastAsia" w:ascii="Cambria Math" w:hAnsi="Cambria Math"/>
                    <w:color w:val="000000"/>
                    <w:sz w:val="24"/>
                    <w:szCs w:val="24"/>
                  </w:rPr>
                  <m:t>y</m:t>
                </m:r>
              </m:oMath>
            </m:oMathPara>
          </w:p>
        </w:tc>
        <w:tc>
          <w:tcPr>
            <w:tcW w:w="6503" w:type="dxa"/>
            <w:vAlign w:val="center"/>
          </w:tcPr>
          <w:p>
            <w:pPr>
              <w:snapToGrid w:val="0"/>
              <w:spacing w:line="360" w:lineRule="auto"/>
              <w:jc w:val="center"/>
            </w:pPr>
            <w:r>
              <w:rPr>
                <w:rFonts w:hint="eastAsia"/>
              </w:rPr>
              <w:t>计量比对结果测量值（通用）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snapToGrid w:val="0"/>
              <w:spacing w:line="360" w:lineRule="auto"/>
              <w:jc w:val="center"/>
              <w:rPr>
                <w:color w:val="000000"/>
                <w:sz w:val="24"/>
                <w:szCs w:val="24"/>
              </w:rPr>
            </w:pPr>
            <m:oMathPara>
              <m:oMath>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oMath>
            </m:oMathPara>
          </w:p>
        </w:tc>
        <w:tc>
          <w:tcPr>
            <w:tcW w:w="6503" w:type="dxa"/>
            <w:vAlign w:val="center"/>
          </w:tcPr>
          <w:p>
            <w:pPr>
              <w:snapToGrid w:val="0"/>
              <w:spacing w:line="360" w:lineRule="auto"/>
              <w:jc w:val="center"/>
            </w:pPr>
            <w:r>
              <w:rPr>
                <w:rFonts w:hint="eastAsia"/>
              </w:rPr>
              <w:t>第</w:t>
            </w:r>
            <w:r>
              <w:rPr>
                <w:rFonts w:hint="eastAsia"/>
                <w:i/>
                <w:iCs/>
              </w:rPr>
              <w:t>i</w:t>
            </w:r>
            <w:r>
              <w:rPr>
                <w:rFonts w:hint="eastAsia"/>
              </w:rPr>
              <w:t>个参比实验室结果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snapToGrid w:val="0"/>
              <w:spacing w:line="360" w:lineRule="auto"/>
              <w:jc w:val="center"/>
              <w:rPr>
                <w:color w:val="000000"/>
                <w:sz w:val="24"/>
                <w:szCs w:val="24"/>
              </w:rPr>
            </w:pPr>
            <m:oMathPara>
              <m:oMath>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d>
                      <m:dPr>
                        <m:ctrlPr>
                          <w:rPr>
                            <w:rFonts w:ascii="Cambria Math" w:hAnsi="Cambria Math"/>
                            <w:i/>
                            <w:color w:val="000000"/>
                            <w:sz w:val="24"/>
                            <w:szCs w:val="24"/>
                          </w:rPr>
                        </m:ctrlPr>
                      </m:dPr>
                      <m:e>
                        <m:r>
                          <m:rPr/>
                          <w:rPr>
                            <w:rFonts w:hint="eastAsia" w:ascii="Cambria Math" w:hAnsi="Cambria Math"/>
                            <w:color w:val="000000"/>
                            <w:sz w:val="24"/>
                            <w:szCs w:val="24"/>
                          </w:rPr>
                          <m:t>i</m:t>
                        </m:r>
                        <m:ctrlPr>
                          <w:rPr>
                            <w:rFonts w:ascii="Cambria Math" w:hAnsi="Cambria Math"/>
                            <w:i/>
                            <w:color w:val="000000"/>
                            <w:sz w:val="24"/>
                            <w:szCs w:val="24"/>
                          </w:rPr>
                        </m:ctrlPr>
                      </m:e>
                    </m:d>
                    <m:ctrlPr>
                      <w:rPr>
                        <w:rFonts w:ascii="Cambria Math" w:hAnsi="Cambria Math"/>
                        <w:i/>
                        <w:color w:val="000000"/>
                        <w:sz w:val="24"/>
                        <w:szCs w:val="24"/>
                      </w:rPr>
                    </m:ctrlPr>
                  </m:sub>
                </m:sSub>
              </m:oMath>
            </m:oMathPara>
          </w:p>
        </w:tc>
        <w:tc>
          <w:tcPr>
            <w:tcW w:w="6503" w:type="dxa"/>
            <w:vAlign w:val="center"/>
          </w:tcPr>
          <w:p>
            <w:pPr>
              <w:snapToGrid w:val="0"/>
              <w:spacing w:line="360" w:lineRule="auto"/>
              <w:jc w:val="center"/>
            </w:pPr>
            <w:r>
              <w:rPr>
                <w:rFonts w:hint="eastAsia"/>
              </w:rPr>
              <w:t>参比实验室结果由小到大排序后，顺序为</w:t>
            </w:r>
            <w:r>
              <w:rPr>
                <w:rFonts w:hint="eastAsia"/>
                <w:i/>
                <w:iCs/>
              </w:rPr>
              <w:t>i</w:t>
            </w:r>
            <w:r>
              <w:rPr>
                <w:rFonts w:hint="eastAsia"/>
              </w:rPr>
              <w:t>的比对结果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snapToGrid w:val="0"/>
              <w:spacing w:line="360" w:lineRule="auto"/>
              <w:jc w:val="center"/>
              <w:rPr>
                <w:color w:val="000000"/>
                <w:sz w:val="24"/>
                <w:szCs w:val="24"/>
              </w:rPr>
            </w:pPr>
            <m:oMathPara>
              <m:oMath>
                <m:sSub>
                  <m:sSubPr>
                    <m:ctrlPr>
                      <w:rPr>
                        <w:rFonts w:ascii="Cambria Math" w:hAnsi="Cambria Math"/>
                        <w:color w:val="000000"/>
                        <w:sz w:val="24"/>
                        <w:szCs w:val="24"/>
                      </w:rPr>
                    </m:ctrlPr>
                  </m:sSubPr>
                  <m:e>
                    <m:r>
                      <m:rPr/>
                      <w:rPr>
                        <w:rFonts w:hint="eastAsia" w:ascii="Cambria Math" w:hAnsi="Cambria Math"/>
                        <w:color w:val="000000"/>
                        <w:sz w:val="24"/>
                        <w:szCs w:val="24"/>
                      </w:rPr>
                      <m:t>y</m:t>
                    </m:r>
                    <m:ctrlPr>
                      <w:rPr>
                        <w:rFonts w:ascii="Cambria Math" w:hAnsi="Cambria Math"/>
                        <w:color w:val="000000"/>
                        <w:sz w:val="24"/>
                        <w:szCs w:val="24"/>
                      </w:rPr>
                    </m:ctrlPr>
                  </m:e>
                  <m:sub>
                    <m:r>
                      <m:rPr/>
                      <w:rPr>
                        <w:rFonts w:hint="eastAsia" w:ascii="Cambria Math" w:hAnsi="Cambria Math"/>
                        <w:color w:val="000000"/>
                        <w:sz w:val="24"/>
                        <w:szCs w:val="24"/>
                      </w:rPr>
                      <m:t>med</m:t>
                    </m:r>
                    <m:ctrlPr>
                      <w:rPr>
                        <w:rFonts w:ascii="Cambria Math" w:hAnsi="Cambria Math"/>
                        <w:color w:val="000000"/>
                        <w:sz w:val="24"/>
                        <w:szCs w:val="24"/>
                      </w:rPr>
                    </m:ctrlPr>
                  </m:sub>
                </m:sSub>
              </m:oMath>
            </m:oMathPara>
          </w:p>
        </w:tc>
        <w:tc>
          <w:tcPr>
            <w:tcW w:w="6503" w:type="dxa"/>
            <w:vAlign w:val="center"/>
          </w:tcPr>
          <w:p>
            <w:pPr>
              <w:snapToGrid w:val="0"/>
              <w:spacing w:line="360" w:lineRule="auto"/>
              <w:jc w:val="center"/>
            </w:pPr>
            <w:r>
              <w:rPr>
                <w:rFonts w:hint="eastAsia"/>
              </w:rPr>
              <w:t>中位值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snapToGrid w:val="0"/>
              <w:spacing w:line="360" w:lineRule="auto"/>
              <w:jc w:val="center"/>
              <w:rPr>
                <w:color w:val="000000"/>
                <w:sz w:val="24"/>
                <w:szCs w:val="24"/>
              </w:rPr>
            </w:pPr>
            <m:oMathPara>
              <m:oMath>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r>
                      <m:rPr/>
                      <w:rPr>
                        <w:rFonts w:ascii="Cambria Math" w:hAnsi="Cambria Math"/>
                        <w:color w:val="000000"/>
                        <w:sz w:val="24"/>
                        <w:szCs w:val="24"/>
                      </w:rPr>
                      <m:t>R</m:t>
                    </m:r>
                    <m:ctrlPr>
                      <w:rPr>
                        <w:rFonts w:ascii="Cambria Math" w:hAnsi="Cambria Math"/>
                        <w:i/>
                        <w:color w:val="000000"/>
                        <w:sz w:val="24"/>
                        <w:szCs w:val="24"/>
                      </w:rPr>
                    </m:ctrlPr>
                  </m:sub>
                </m:sSub>
              </m:oMath>
            </m:oMathPara>
          </w:p>
        </w:tc>
        <w:tc>
          <w:tcPr>
            <w:tcW w:w="6503" w:type="dxa"/>
            <w:vAlign w:val="center"/>
          </w:tcPr>
          <w:p>
            <w:pPr>
              <w:snapToGrid w:val="0"/>
              <w:spacing w:line="360" w:lineRule="auto"/>
              <w:jc w:val="center"/>
            </w:pPr>
            <w:r>
              <w:rPr>
                <w:rFonts w:hint="eastAsia"/>
              </w:rPr>
              <w:t>计量比对参考值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snapToGrid w:val="0"/>
              <w:spacing w:line="360" w:lineRule="auto"/>
              <w:jc w:val="center"/>
              <w:rPr>
                <w:color w:val="000000"/>
                <w:sz w:val="24"/>
                <w:szCs w:val="24"/>
              </w:rPr>
            </w:pPr>
            <m:oMathPara>
              <m:oMath>
                <m:sSub>
                  <m:sSubPr>
                    <m:ctrlPr>
                      <w:rPr>
                        <w:rFonts w:ascii="Cambria Math" w:hAnsi="Cambria Math"/>
                        <w:color w:val="000000"/>
                        <w:sz w:val="24"/>
                        <w:szCs w:val="24"/>
                      </w:rPr>
                    </m:ctrlPr>
                  </m:sSubPr>
                  <m:e>
                    <m:r>
                      <m:rPr/>
                      <w:rPr>
                        <w:rFonts w:hint="eastAsia" w:ascii="Cambria Math" w:hAnsi="Cambria Math"/>
                        <w:color w:val="000000"/>
                        <w:sz w:val="24"/>
                        <w:szCs w:val="24"/>
                      </w:rPr>
                      <m:t>y</m:t>
                    </m:r>
                    <m:ctrlPr>
                      <w:rPr>
                        <w:rFonts w:ascii="Cambria Math" w:hAnsi="Cambria Math"/>
                        <w:color w:val="000000"/>
                        <w:sz w:val="24"/>
                        <w:szCs w:val="24"/>
                      </w:rPr>
                    </m:ctrlPr>
                  </m:e>
                  <m:sub>
                    <m:r>
                      <m:rPr/>
                      <w:rPr>
                        <w:rFonts w:ascii="Cambria Math" w:hAnsi="Cambria Math"/>
                        <w:color w:val="000000"/>
                        <w:sz w:val="24"/>
                        <w:szCs w:val="24"/>
                      </w:rPr>
                      <m:t>w</m:t>
                    </m:r>
                    <m:ctrlPr>
                      <w:rPr>
                        <w:rFonts w:ascii="Cambria Math" w:hAnsi="Cambria Math"/>
                        <w:color w:val="000000"/>
                        <w:sz w:val="24"/>
                        <w:szCs w:val="24"/>
                      </w:rPr>
                    </m:ctrlPr>
                  </m:sub>
                </m:sSub>
              </m:oMath>
            </m:oMathPara>
          </w:p>
        </w:tc>
        <w:tc>
          <w:tcPr>
            <w:tcW w:w="6503" w:type="dxa"/>
            <w:vAlign w:val="center"/>
          </w:tcPr>
          <w:p>
            <w:pPr>
              <w:snapToGrid w:val="0"/>
              <w:spacing w:line="360" w:lineRule="auto"/>
              <w:jc w:val="center"/>
            </w:pPr>
            <w:r>
              <w:rPr>
                <w:rFonts w:hint="eastAsia"/>
              </w:rPr>
              <w:t>加权平均值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snapToGrid w:val="0"/>
              <w:spacing w:line="360" w:lineRule="auto"/>
              <w:jc w:val="center"/>
              <w:rPr>
                <w:color w:val="000000"/>
                <w:sz w:val="24"/>
                <w:szCs w:val="24"/>
              </w:rPr>
            </w:pPr>
            <m:oMathPara>
              <m:oMath>
                <m:acc>
                  <m:accPr>
                    <m:chr m:val="̅"/>
                    <m:ctrlPr>
                      <w:rPr>
                        <w:rFonts w:ascii="Cambria Math" w:hAnsi="Cambria Math"/>
                        <w:i/>
                        <w:color w:val="000000"/>
                        <w:sz w:val="24"/>
                        <w:szCs w:val="24"/>
                      </w:rPr>
                    </m:ctrlPr>
                  </m:accPr>
                  <m:e>
                    <m:r>
                      <m:rPr/>
                      <w:rPr>
                        <w:rFonts w:hint="eastAsia" w:ascii="Cambria Math" w:hAnsi="Cambria Math"/>
                        <w:color w:val="000000"/>
                        <w:sz w:val="24"/>
                        <w:szCs w:val="24"/>
                      </w:rPr>
                      <m:t>y</m:t>
                    </m:r>
                    <m:ctrlPr>
                      <w:rPr>
                        <w:rFonts w:ascii="Cambria Math" w:hAnsi="Cambria Math"/>
                        <w:i/>
                        <w:color w:val="000000"/>
                        <w:sz w:val="24"/>
                        <w:szCs w:val="24"/>
                      </w:rPr>
                    </m:ctrlPr>
                  </m:e>
                </m:acc>
              </m:oMath>
            </m:oMathPara>
          </w:p>
        </w:tc>
        <w:tc>
          <w:tcPr>
            <w:tcW w:w="6503" w:type="dxa"/>
            <w:vAlign w:val="center"/>
          </w:tcPr>
          <w:p>
            <w:pPr>
              <w:snapToGrid w:val="0"/>
              <w:spacing w:line="360" w:lineRule="auto"/>
              <w:jc w:val="center"/>
            </w:pPr>
            <w:r>
              <w:rPr>
                <w:rFonts w:hint="eastAsia"/>
              </w:rPr>
              <w:t>算术平均值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snapToGrid w:val="0"/>
              <w:spacing w:line="360" w:lineRule="auto"/>
              <w:jc w:val="center"/>
              <w:rPr>
                <w:color w:val="000000"/>
                <w:sz w:val="24"/>
                <w:szCs w:val="24"/>
              </w:rPr>
            </w:pPr>
            <w:r>
              <w:rPr>
                <w:rFonts w:hint="eastAsia"/>
                <w:i/>
                <w:iCs/>
                <w:sz w:val="24"/>
                <w:szCs w:val="24"/>
              </w:rPr>
              <w:t>Y</w:t>
            </w:r>
            <w:r>
              <w:rPr>
                <w:sz w:val="24"/>
                <w:szCs w:val="24"/>
                <w:vertAlign w:val="subscript"/>
              </w:rPr>
              <w:t>0</w:t>
            </w:r>
            <w:r>
              <w:rPr>
                <w:rFonts w:hint="eastAsia"/>
                <w:i/>
                <w:iCs/>
                <w:sz w:val="24"/>
                <w:szCs w:val="24"/>
                <w:vertAlign w:val="subscript"/>
              </w:rPr>
              <w:t>i</w:t>
            </w:r>
            <w:r>
              <w:rPr>
                <w:sz w:val="24"/>
                <w:szCs w:val="24"/>
                <w:vertAlign w:val="subscript"/>
              </w:rPr>
              <w:t>-1</w:t>
            </w:r>
          </w:p>
        </w:tc>
        <w:tc>
          <w:tcPr>
            <w:tcW w:w="6503" w:type="dxa"/>
            <w:vAlign w:val="center"/>
          </w:tcPr>
          <w:p>
            <w:pPr>
              <w:snapToGrid w:val="0"/>
              <w:spacing w:line="360" w:lineRule="auto"/>
              <w:jc w:val="center"/>
            </w:pPr>
            <w:r>
              <w:rPr>
                <w:rFonts w:hint="eastAsia"/>
                <w:szCs w:val="21"/>
              </w:rPr>
              <w:t>主导实验室对第</w:t>
            </w:r>
            <w:r>
              <w:rPr>
                <w:i/>
                <w:iCs/>
                <w:szCs w:val="21"/>
              </w:rPr>
              <w:t>i</w:t>
            </w:r>
            <w:r>
              <w:rPr>
                <w:rFonts w:hint="eastAsia"/>
                <w:szCs w:val="21"/>
              </w:rPr>
              <w:t>个测量点在</w:t>
            </w:r>
            <w:r>
              <w:rPr>
                <w:rFonts w:hint="eastAsia"/>
              </w:rPr>
              <w:t>比对</w:t>
            </w:r>
            <w:r>
              <w:rPr>
                <w:rFonts w:hint="eastAsia"/>
                <w:szCs w:val="21"/>
              </w:rPr>
              <w:t>前的测量结果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snapToGrid w:val="0"/>
              <w:spacing w:line="360" w:lineRule="auto"/>
              <w:jc w:val="center"/>
              <w:rPr>
                <w:color w:val="000000"/>
                <w:sz w:val="24"/>
                <w:szCs w:val="24"/>
              </w:rPr>
            </w:pPr>
            <w:r>
              <w:rPr>
                <w:rFonts w:hint="eastAsia"/>
                <w:i/>
                <w:iCs/>
                <w:sz w:val="24"/>
                <w:szCs w:val="24"/>
              </w:rPr>
              <w:t>Y</w:t>
            </w:r>
            <w:r>
              <w:rPr>
                <w:sz w:val="24"/>
                <w:szCs w:val="24"/>
                <w:vertAlign w:val="subscript"/>
              </w:rPr>
              <w:t>0</w:t>
            </w:r>
            <w:r>
              <w:rPr>
                <w:rFonts w:hint="eastAsia"/>
                <w:i/>
                <w:iCs/>
                <w:sz w:val="24"/>
                <w:szCs w:val="24"/>
                <w:vertAlign w:val="subscript"/>
              </w:rPr>
              <w:t>i</w:t>
            </w:r>
            <w:r>
              <w:rPr>
                <w:sz w:val="24"/>
                <w:szCs w:val="24"/>
                <w:vertAlign w:val="subscript"/>
              </w:rPr>
              <w:t>-2</w:t>
            </w:r>
          </w:p>
        </w:tc>
        <w:tc>
          <w:tcPr>
            <w:tcW w:w="6503" w:type="dxa"/>
            <w:vAlign w:val="center"/>
          </w:tcPr>
          <w:p>
            <w:pPr>
              <w:snapToGrid w:val="0"/>
              <w:spacing w:line="360" w:lineRule="auto"/>
              <w:jc w:val="center"/>
            </w:pPr>
            <w:r>
              <w:rPr>
                <w:rFonts w:hint="eastAsia"/>
              </w:rPr>
              <w:t>主导实验室对第</w:t>
            </w:r>
            <w:r>
              <w:rPr>
                <w:i/>
                <w:iCs/>
              </w:rPr>
              <w:t>i</w:t>
            </w:r>
            <w:r>
              <w:rPr>
                <w:rFonts w:hint="eastAsia"/>
              </w:rPr>
              <w:t>个测量点在比对后的测量结果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snapToGrid w:val="0"/>
              <w:spacing w:line="360" w:lineRule="auto"/>
              <w:jc w:val="center"/>
              <w:rPr>
                <w:iCs/>
                <w:color w:val="000000"/>
                <w:sz w:val="24"/>
                <w:szCs w:val="24"/>
              </w:rPr>
            </w:pPr>
            <w:r>
              <w:rPr>
                <w:iCs/>
                <w:sz w:val="24"/>
              </w:rPr>
              <w:t>Z</w:t>
            </w:r>
          </w:p>
        </w:tc>
        <w:tc>
          <w:tcPr>
            <w:tcW w:w="6503" w:type="dxa"/>
            <w:vAlign w:val="center"/>
          </w:tcPr>
          <w:p>
            <w:pPr>
              <w:snapToGrid w:val="0"/>
              <w:spacing w:line="360" w:lineRule="auto"/>
              <w:jc w:val="center"/>
            </w:pPr>
            <w:r>
              <w:rPr>
                <w:rFonts w:hint="eastAsia"/>
              </w:rPr>
              <w:t>Z比分数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snapToGrid w:val="0"/>
              <w:spacing w:line="360" w:lineRule="auto"/>
              <w:jc w:val="center"/>
              <w:rPr>
                <w:color w:val="000000"/>
                <w:sz w:val="24"/>
                <w:szCs w:val="24"/>
              </w:rPr>
            </w:pPr>
            <m:oMathPara>
              <m:oMath>
                <m:sSubSup>
                  <m:sSubSupPr>
                    <m:ctrlPr>
                      <w:rPr>
                        <w:rFonts w:ascii="Cambria Math" w:hAnsi="Cambria Math"/>
                        <w:i/>
                        <w:color w:val="000000"/>
                        <w:sz w:val="24"/>
                        <w:szCs w:val="24"/>
                      </w:rPr>
                    </m:ctrlPr>
                  </m:sSubSupPr>
                  <m:e>
                    <m:r>
                      <m:rPr/>
                      <w:rPr>
                        <w:rFonts w:ascii="Cambria Math" w:hAnsi="Cambria Math"/>
                        <w:color w:val="000000"/>
                        <w:sz w:val="24"/>
                        <w:szCs w:val="24"/>
                      </w:rPr>
                      <m:t>χ</m:t>
                    </m:r>
                    <m:ctrlPr>
                      <w:rPr>
                        <w:rFonts w:ascii="Cambria Math" w:hAnsi="Cambria Math"/>
                        <w:i/>
                        <w:color w:val="000000"/>
                        <w:sz w:val="24"/>
                        <w:szCs w:val="24"/>
                      </w:rPr>
                    </m:ctrlPr>
                  </m:e>
                  <m:sub>
                    <m:r>
                      <m:rPr/>
                      <w:rPr>
                        <w:rFonts w:hint="eastAsia" w:ascii="Cambria Math" w:hAnsi="Cambria Math"/>
                        <w:color w:val="000000"/>
                        <w:sz w:val="24"/>
                        <w:szCs w:val="24"/>
                      </w:rPr>
                      <m:t>A</m:t>
                    </m:r>
                    <m:ctrlPr>
                      <w:rPr>
                        <w:rFonts w:ascii="Cambria Math" w:hAnsi="Cambria Math"/>
                        <w:i/>
                        <w:color w:val="000000"/>
                        <w:sz w:val="24"/>
                        <w:szCs w:val="24"/>
                      </w:rPr>
                    </m:ctrlPr>
                  </m:sub>
                  <m:sup>
                    <m:r>
                      <m:rPr/>
                      <w:rPr>
                        <w:rFonts w:ascii="Cambria Math" w:hAnsi="Cambria Math"/>
                        <w:color w:val="000000"/>
                        <w:sz w:val="24"/>
                        <w:szCs w:val="24"/>
                      </w:rPr>
                      <m:t>2</m:t>
                    </m:r>
                    <m:ctrlPr>
                      <w:rPr>
                        <w:rFonts w:ascii="Cambria Math" w:hAnsi="Cambria Math"/>
                        <w:i/>
                        <w:color w:val="000000"/>
                        <w:sz w:val="24"/>
                        <w:szCs w:val="24"/>
                      </w:rPr>
                    </m:ctrlPr>
                  </m:sup>
                </m:sSubSup>
              </m:oMath>
            </m:oMathPara>
          </w:p>
        </w:tc>
        <w:tc>
          <w:tcPr>
            <w:tcW w:w="6503" w:type="dxa"/>
            <w:vAlign w:val="center"/>
          </w:tcPr>
          <w:p>
            <w:pPr>
              <w:snapToGrid w:val="0"/>
              <w:spacing w:line="360" w:lineRule="auto"/>
              <w:jc w:val="center"/>
            </w:pPr>
            <w:r>
              <w:rPr>
                <w:rFonts w:hint="eastAsia"/>
              </w:rPr>
              <w:t>算术平均值的卡方统计量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snapToGrid w:val="0"/>
              <w:spacing w:line="360" w:lineRule="auto"/>
              <w:jc w:val="center"/>
              <w:rPr>
                <w:color w:val="000000"/>
                <w:sz w:val="24"/>
                <w:szCs w:val="24"/>
              </w:rPr>
            </w:pPr>
            <m:oMathPara>
              <m:oMath>
                <m:sSubSup>
                  <m:sSubSupPr>
                    <m:ctrlPr>
                      <w:rPr>
                        <w:rFonts w:ascii="Cambria Math" w:hAnsi="Cambria Math"/>
                        <w:i/>
                        <w:color w:val="000000"/>
                        <w:sz w:val="24"/>
                        <w:szCs w:val="24"/>
                      </w:rPr>
                    </m:ctrlPr>
                  </m:sSubSupPr>
                  <m:e>
                    <m:r>
                      <m:rPr/>
                      <w:rPr>
                        <w:rFonts w:ascii="Cambria Math" w:hAnsi="Cambria Math"/>
                        <w:color w:val="000000"/>
                        <w:sz w:val="24"/>
                        <w:szCs w:val="24"/>
                      </w:rPr>
                      <m:t>χ</m:t>
                    </m:r>
                    <m:ctrlPr>
                      <w:rPr>
                        <w:rFonts w:ascii="Cambria Math" w:hAnsi="Cambria Math"/>
                        <w:i/>
                        <w:color w:val="000000"/>
                        <w:sz w:val="24"/>
                        <w:szCs w:val="24"/>
                      </w:rPr>
                    </m:ctrlPr>
                  </m:e>
                  <m:sub>
                    <m:r>
                      <m:rPr/>
                      <w:rPr>
                        <w:rFonts w:hint="eastAsia" w:ascii="Cambria Math" w:hAnsi="Cambria Math"/>
                        <w:color w:val="000000"/>
                        <w:sz w:val="24"/>
                        <w:szCs w:val="24"/>
                      </w:rPr>
                      <m:t>n</m:t>
                    </m:r>
                    <m:r>
                      <m:rPr/>
                      <w:rPr>
                        <w:rFonts w:hint="eastAsia" w:ascii="Cambria Math" w:hAnsi="Cambria Math" w:eastAsia="微软雅黑" w:cs="微软雅黑"/>
                        <w:color w:val="000000"/>
                        <w:sz w:val="24"/>
                        <w:szCs w:val="24"/>
                      </w:rPr>
                      <m:t>−</m:t>
                    </m:r>
                    <m:r>
                      <m:rPr/>
                      <w:rPr>
                        <w:rFonts w:hint="eastAsia" w:ascii="Cambria Math" w:hAnsi="Cambria Math"/>
                        <w:color w:val="000000"/>
                        <w:sz w:val="24"/>
                        <w:szCs w:val="24"/>
                      </w:rPr>
                      <m:t>1，</m:t>
                    </m:r>
                    <m:r>
                      <m:rPr/>
                      <w:rPr>
                        <w:rFonts w:ascii="Cambria Math" w:hAnsi="Cambria Math"/>
                        <w:color w:val="000000"/>
                        <w:sz w:val="24"/>
                        <w:szCs w:val="24"/>
                      </w:rPr>
                      <m:t>0.95</m:t>
                    </m:r>
                    <m:ctrlPr>
                      <w:rPr>
                        <w:rFonts w:ascii="Cambria Math" w:hAnsi="Cambria Math"/>
                        <w:i/>
                        <w:color w:val="000000"/>
                        <w:sz w:val="24"/>
                        <w:szCs w:val="24"/>
                      </w:rPr>
                    </m:ctrlPr>
                  </m:sub>
                  <m:sup>
                    <m:r>
                      <m:rPr/>
                      <w:rPr>
                        <w:rFonts w:ascii="Cambria Math" w:hAnsi="Cambria Math"/>
                        <w:color w:val="000000"/>
                        <w:sz w:val="24"/>
                        <w:szCs w:val="24"/>
                      </w:rPr>
                      <m:t>2</m:t>
                    </m:r>
                    <m:ctrlPr>
                      <w:rPr>
                        <w:rFonts w:ascii="Cambria Math" w:hAnsi="Cambria Math"/>
                        <w:i/>
                        <w:color w:val="000000"/>
                        <w:sz w:val="24"/>
                        <w:szCs w:val="24"/>
                      </w:rPr>
                    </m:ctrlPr>
                  </m:sup>
                </m:sSubSup>
              </m:oMath>
            </m:oMathPara>
          </w:p>
        </w:tc>
        <w:tc>
          <w:tcPr>
            <w:tcW w:w="6503" w:type="dxa"/>
            <w:vAlign w:val="center"/>
          </w:tcPr>
          <w:p>
            <w:pPr>
              <w:snapToGrid w:val="0"/>
              <w:spacing w:line="360" w:lineRule="auto"/>
              <w:jc w:val="center"/>
            </w:pPr>
            <w:r>
              <w:rPr>
                <w:rFonts w:hint="eastAsia"/>
              </w:rPr>
              <w:t>自由度为</w:t>
            </w:r>
            <w:r>
              <w:rPr>
                <w:rFonts w:hint="eastAsia"/>
                <w:i/>
              </w:rPr>
              <w:t>n</w:t>
            </w:r>
            <w:r>
              <w:rPr>
                <w:rFonts w:hint="eastAsia"/>
              </w:rPr>
              <w:t>-1的卡方分布0</w:t>
            </w:r>
            <w:r>
              <w:t>.95</w:t>
            </w:r>
            <w:r>
              <w:rPr>
                <w:rFonts w:hint="eastAsia"/>
              </w:rPr>
              <w:t>分位点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0" w:type="dxa"/>
            <w:vAlign w:val="center"/>
          </w:tcPr>
          <w:p>
            <w:pPr>
              <w:snapToGrid w:val="0"/>
              <w:spacing w:line="360" w:lineRule="auto"/>
              <w:jc w:val="center"/>
              <w:rPr>
                <w:color w:val="000000"/>
                <w:sz w:val="24"/>
                <w:szCs w:val="24"/>
              </w:rPr>
            </w:pPr>
            <m:oMathPara>
              <m:oMath>
                <m:sSubSup>
                  <m:sSubSupPr>
                    <m:ctrlPr>
                      <w:rPr>
                        <w:rFonts w:ascii="Cambria Math" w:hAnsi="Cambria Math"/>
                        <w:i/>
                        <w:color w:val="000000"/>
                        <w:sz w:val="24"/>
                        <w:szCs w:val="24"/>
                      </w:rPr>
                    </m:ctrlPr>
                  </m:sSubSupPr>
                  <m:e>
                    <m:r>
                      <m:rPr/>
                      <w:rPr>
                        <w:rFonts w:ascii="Cambria Math" w:hAnsi="Cambria Math"/>
                        <w:color w:val="000000"/>
                        <w:sz w:val="24"/>
                        <w:szCs w:val="24"/>
                      </w:rPr>
                      <m:t>χ</m:t>
                    </m:r>
                    <m:ctrlPr>
                      <w:rPr>
                        <w:rFonts w:ascii="Cambria Math" w:hAnsi="Cambria Math"/>
                        <w:i/>
                        <w:color w:val="000000"/>
                        <w:sz w:val="24"/>
                        <w:szCs w:val="24"/>
                      </w:rPr>
                    </m:ctrlPr>
                  </m:e>
                  <m:sub>
                    <m:r>
                      <m:rPr/>
                      <w:rPr>
                        <w:rFonts w:hint="eastAsia" w:ascii="Cambria Math" w:hAnsi="Cambria Math"/>
                        <w:color w:val="000000"/>
                        <w:sz w:val="24"/>
                        <w:szCs w:val="24"/>
                      </w:rPr>
                      <m:t>w</m:t>
                    </m:r>
                    <m:ctrlPr>
                      <w:rPr>
                        <w:rFonts w:ascii="Cambria Math" w:hAnsi="Cambria Math"/>
                        <w:i/>
                        <w:color w:val="000000"/>
                        <w:sz w:val="24"/>
                        <w:szCs w:val="24"/>
                      </w:rPr>
                    </m:ctrlPr>
                  </m:sub>
                  <m:sup>
                    <m:r>
                      <m:rPr/>
                      <w:rPr>
                        <w:rFonts w:ascii="Cambria Math" w:hAnsi="Cambria Math"/>
                        <w:color w:val="000000"/>
                        <w:sz w:val="24"/>
                        <w:szCs w:val="24"/>
                      </w:rPr>
                      <m:t>2</m:t>
                    </m:r>
                    <m:ctrlPr>
                      <w:rPr>
                        <w:rFonts w:ascii="Cambria Math" w:hAnsi="Cambria Math"/>
                        <w:i/>
                        <w:color w:val="000000"/>
                        <w:sz w:val="24"/>
                        <w:szCs w:val="24"/>
                      </w:rPr>
                    </m:ctrlPr>
                  </m:sup>
                </m:sSubSup>
              </m:oMath>
            </m:oMathPara>
          </w:p>
        </w:tc>
        <w:tc>
          <w:tcPr>
            <w:tcW w:w="6503" w:type="dxa"/>
            <w:vAlign w:val="center"/>
          </w:tcPr>
          <w:p>
            <w:pPr>
              <w:snapToGrid w:val="0"/>
              <w:spacing w:line="360" w:lineRule="auto"/>
              <w:jc w:val="center"/>
            </w:pPr>
            <w:r>
              <w:rPr>
                <w:rFonts w:hint="eastAsia"/>
              </w:rPr>
              <w:t>加权平均值的卡方统计量</w:t>
            </w:r>
          </w:p>
        </w:tc>
      </w:tr>
    </w:tbl>
    <w:p>
      <w:pPr>
        <w:snapToGrid w:val="0"/>
        <w:spacing w:line="360" w:lineRule="auto"/>
      </w:pPr>
    </w:p>
    <w:p>
      <w:pPr>
        <w:snapToGrid w:val="0"/>
        <w:spacing w:line="360" w:lineRule="auto"/>
        <w:jc w:val="center"/>
      </w:pPr>
      <w:r>
        <w:rPr>
          <w:rFonts w:hint="eastAsia"/>
        </w:rPr>
        <w:t>符号对照表（按照理解排序）</w:t>
      </w:r>
      <w:bookmarkStart w:id="120" w:name="_GoBack"/>
      <w:bookmarkEnd w:id="120"/>
    </w:p>
    <w:tbl>
      <w:tblPr>
        <w:tblStyle w:val="2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6"/>
        <w:gridCol w:w="1795"/>
        <w:gridCol w:w="51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vMerge w:val="restart"/>
          </w:tcPr>
          <w:p>
            <w:pPr>
              <w:snapToGrid w:val="0"/>
              <w:spacing w:line="360" w:lineRule="auto"/>
              <w:jc w:val="center"/>
              <w:rPr>
                <w:color w:val="000000"/>
                <w:sz w:val="24"/>
                <w:szCs w:val="24"/>
              </w:rPr>
            </w:pPr>
            <w:r>
              <w:rPr>
                <w:rFonts w:hint="eastAsia"/>
                <w:color w:val="000000"/>
                <w:sz w:val="24"/>
                <w:szCs w:val="24"/>
              </w:rPr>
              <w:t>量值类</w:t>
            </w:r>
          </w:p>
        </w:tc>
        <w:tc>
          <w:tcPr>
            <w:tcW w:w="1795" w:type="dxa"/>
            <w:vAlign w:val="center"/>
          </w:tcPr>
          <w:p>
            <w:pPr>
              <w:snapToGrid w:val="0"/>
              <w:spacing w:line="360" w:lineRule="auto"/>
              <w:jc w:val="center"/>
            </w:pPr>
            <m:oMathPara>
              <m:oMath>
                <m:r>
                  <m:rPr/>
                  <w:rPr>
                    <w:rFonts w:hint="eastAsia" w:ascii="Cambria Math" w:hAnsi="Cambria Math"/>
                    <w:color w:val="000000"/>
                    <w:sz w:val="24"/>
                    <w:szCs w:val="24"/>
                  </w:rPr>
                  <m:t>y</m:t>
                </m:r>
              </m:oMath>
            </m:oMathPara>
          </w:p>
        </w:tc>
        <w:tc>
          <w:tcPr>
            <w:tcW w:w="5122" w:type="dxa"/>
            <w:vAlign w:val="center"/>
          </w:tcPr>
          <w:p>
            <w:pPr>
              <w:snapToGrid w:val="0"/>
              <w:spacing w:line="360" w:lineRule="auto"/>
              <w:jc w:val="center"/>
            </w:pPr>
            <w:r>
              <w:rPr>
                <w:rFonts w:hint="eastAsia"/>
              </w:rPr>
              <w:t>计量比对结果测量值（通用）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vMerge w:val="continue"/>
          </w:tcPr>
          <w:p>
            <w:pPr>
              <w:snapToGrid w:val="0"/>
              <w:spacing w:line="360" w:lineRule="auto"/>
              <w:jc w:val="center"/>
              <w:rPr>
                <w:color w:val="000000"/>
                <w:sz w:val="24"/>
                <w:szCs w:val="24"/>
              </w:rPr>
            </w:pPr>
          </w:p>
        </w:tc>
        <w:tc>
          <w:tcPr>
            <w:tcW w:w="1795" w:type="dxa"/>
            <w:vAlign w:val="center"/>
          </w:tcPr>
          <w:p>
            <w:pPr>
              <w:snapToGrid w:val="0"/>
              <w:spacing w:line="360" w:lineRule="auto"/>
              <w:jc w:val="center"/>
            </w:pPr>
            <m:oMathPara>
              <m:oMath>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oMath>
            </m:oMathPara>
          </w:p>
        </w:tc>
        <w:tc>
          <w:tcPr>
            <w:tcW w:w="5122" w:type="dxa"/>
            <w:vAlign w:val="center"/>
          </w:tcPr>
          <w:p>
            <w:pPr>
              <w:snapToGrid w:val="0"/>
              <w:spacing w:line="360" w:lineRule="auto"/>
              <w:jc w:val="center"/>
            </w:pPr>
            <w:r>
              <w:rPr>
                <w:rFonts w:hint="eastAsia"/>
              </w:rPr>
              <w:t>第</w:t>
            </w:r>
            <w:r>
              <w:rPr>
                <w:rFonts w:hint="eastAsia"/>
                <w:i/>
                <w:iCs/>
              </w:rPr>
              <w:t>i</w:t>
            </w:r>
            <w:r>
              <w:rPr>
                <w:rFonts w:hint="eastAsia"/>
              </w:rPr>
              <w:t>个参比实验室结果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vMerge w:val="continue"/>
          </w:tcPr>
          <w:p>
            <w:pPr>
              <w:snapToGrid w:val="0"/>
              <w:spacing w:line="360" w:lineRule="auto"/>
              <w:jc w:val="center"/>
              <w:rPr>
                <w:color w:val="000000"/>
                <w:sz w:val="24"/>
                <w:szCs w:val="24"/>
              </w:rPr>
            </w:pPr>
          </w:p>
        </w:tc>
        <w:tc>
          <w:tcPr>
            <w:tcW w:w="1795" w:type="dxa"/>
            <w:vAlign w:val="center"/>
          </w:tcPr>
          <w:p>
            <w:pPr>
              <w:snapToGrid w:val="0"/>
              <w:spacing w:line="360" w:lineRule="auto"/>
              <w:jc w:val="center"/>
            </w:pPr>
            <m:oMathPara>
              <m:oMath>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d>
                      <m:dPr>
                        <m:ctrlPr>
                          <w:rPr>
                            <w:rFonts w:ascii="Cambria Math" w:hAnsi="Cambria Math"/>
                            <w:i/>
                            <w:color w:val="000000"/>
                            <w:sz w:val="24"/>
                            <w:szCs w:val="24"/>
                          </w:rPr>
                        </m:ctrlPr>
                      </m:dPr>
                      <m:e>
                        <m:r>
                          <m:rPr/>
                          <w:rPr>
                            <w:rFonts w:hint="eastAsia" w:ascii="Cambria Math" w:hAnsi="Cambria Math"/>
                            <w:color w:val="000000"/>
                            <w:sz w:val="24"/>
                            <w:szCs w:val="24"/>
                          </w:rPr>
                          <m:t>i</m:t>
                        </m:r>
                        <m:ctrlPr>
                          <w:rPr>
                            <w:rFonts w:ascii="Cambria Math" w:hAnsi="Cambria Math"/>
                            <w:i/>
                            <w:color w:val="000000"/>
                            <w:sz w:val="24"/>
                            <w:szCs w:val="24"/>
                          </w:rPr>
                        </m:ctrlPr>
                      </m:e>
                    </m:d>
                    <m:ctrlPr>
                      <w:rPr>
                        <w:rFonts w:ascii="Cambria Math" w:hAnsi="Cambria Math"/>
                        <w:i/>
                        <w:color w:val="000000"/>
                        <w:sz w:val="24"/>
                        <w:szCs w:val="24"/>
                      </w:rPr>
                    </m:ctrlPr>
                  </m:sub>
                </m:sSub>
              </m:oMath>
            </m:oMathPara>
          </w:p>
        </w:tc>
        <w:tc>
          <w:tcPr>
            <w:tcW w:w="5122" w:type="dxa"/>
            <w:vAlign w:val="center"/>
          </w:tcPr>
          <w:p>
            <w:pPr>
              <w:snapToGrid w:val="0"/>
              <w:spacing w:line="360" w:lineRule="auto"/>
              <w:jc w:val="center"/>
            </w:pPr>
            <w:r>
              <w:rPr>
                <w:rFonts w:hint="eastAsia"/>
              </w:rPr>
              <w:t>参比实验室结果由小到大排序后，顺序为</w:t>
            </w:r>
            <w:r>
              <w:rPr>
                <w:rFonts w:hint="eastAsia"/>
                <w:i/>
                <w:iCs/>
              </w:rPr>
              <w:t>i</w:t>
            </w:r>
            <w:r>
              <w:rPr>
                <w:rFonts w:hint="eastAsia"/>
              </w:rPr>
              <w:t>的比对结果</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vMerge w:val="continue"/>
          </w:tcPr>
          <w:p>
            <w:pPr>
              <w:snapToGrid w:val="0"/>
              <w:spacing w:line="360" w:lineRule="auto"/>
              <w:jc w:val="center"/>
              <w:rPr>
                <w:rFonts w:eastAsia="黑体"/>
                <w:color w:val="000000"/>
                <w:sz w:val="24"/>
                <w:szCs w:val="24"/>
              </w:rPr>
            </w:pPr>
          </w:p>
        </w:tc>
        <w:tc>
          <w:tcPr>
            <w:tcW w:w="1795" w:type="dxa"/>
            <w:vAlign w:val="center"/>
          </w:tcPr>
          <w:p>
            <w:pPr>
              <w:snapToGrid w:val="0"/>
              <w:spacing w:line="360" w:lineRule="auto"/>
              <w:jc w:val="center"/>
              <w:rPr>
                <w:color w:val="000000"/>
                <w:sz w:val="24"/>
                <w:szCs w:val="24"/>
              </w:rPr>
            </w:pPr>
            <m:oMathPara>
              <m:oMath>
                <m:sSub>
                  <m:sSubPr>
                    <m:ctrlPr>
                      <w:rPr>
                        <w:rFonts w:ascii="Cambria Math" w:hAnsi="Cambria Math"/>
                        <w:color w:val="000000"/>
                        <w:sz w:val="24"/>
                        <w:szCs w:val="24"/>
                      </w:rPr>
                    </m:ctrlPr>
                  </m:sSubPr>
                  <m:e>
                    <m:r>
                      <m:rPr/>
                      <w:rPr>
                        <w:rFonts w:hint="eastAsia" w:ascii="Cambria Math" w:hAnsi="Cambria Math"/>
                        <w:color w:val="000000"/>
                        <w:sz w:val="24"/>
                        <w:szCs w:val="24"/>
                      </w:rPr>
                      <m:t>y</m:t>
                    </m:r>
                    <m:ctrlPr>
                      <w:rPr>
                        <w:rFonts w:ascii="Cambria Math" w:hAnsi="Cambria Math"/>
                        <w:color w:val="000000"/>
                        <w:sz w:val="24"/>
                        <w:szCs w:val="24"/>
                      </w:rPr>
                    </m:ctrlPr>
                  </m:e>
                  <m:sub>
                    <m:r>
                      <m:rPr/>
                      <w:rPr>
                        <w:rFonts w:ascii="Cambria Math" w:hAnsi="Cambria Math"/>
                        <w:color w:val="000000"/>
                        <w:sz w:val="24"/>
                        <w:szCs w:val="24"/>
                      </w:rPr>
                      <m:t>w</m:t>
                    </m:r>
                    <m:ctrlPr>
                      <w:rPr>
                        <w:rFonts w:ascii="Cambria Math" w:hAnsi="Cambria Math"/>
                        <w:color w:val="000000"/>
                        <w:sz w:val="24"/>
                        <w:szCs w:val="24"/>
                      </w:rPr>
                    </m:ctrlPr>
                  </m:sub>
                </m:sSub>
              </m:oMath>
            </m:oMathPara>
          </w:p>
        </w:tc>
        <w:tc>
          <w:tcPr>
            <w:tcW w:w="5122" w:type="dxa"/>
            <w:vAlign w:val="center"/>
          </w:tcPr>
          <w:p>
            <w:pPr>
              <w:snapToGrid w:val="0"/>
              <w:spacing w:line="360" w:lineRule="auto"/>
              <w:jc w:val="center"/>
            </w:pPr>
            <w:r>
              <w:rPr>
                <w:rFonts w:hint="eastAsia"/>
              </w:rPr>
              <w:t>加权平均值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vMerge w:val="continue"/>
          </w:tcPr>
          <w:p>
            <w:pPr>
              <w:snapToGrid w:val="0"/>
              <w:spacing w:line="360" w:lineRule="auto"/>
              <w:jc w:val="center"/>
              <w:rPr>
                <w:rFonts w:eastAsia="黑体"/>
                <w:color w:val="000000"/>
                <w:sz w:val="24"/>
                <w:szCs w:val="24"/>
              </w:rPr>
            </w:pPr>
          </w:p>
        </w:tc>
        <w:tc>
          <w:tcPr>
            <w:tcW w:w="1795" w:type="dxa"/>
            <w:vAlign w:val="center"/>
          </w:tcPr>
          <w:p>
            <w:pPr>
              <w:snapToGrid w:val="0"/>
              <w:spacing w:line="360" w:lineRule="auto"/>
              <w:jc w:val="center"/>
              <w:rPr>
                <w:color w:val="000000"/>
                <w:sz w:val="24"/>
                <w:szCs w:val="24"/>
              </w:rPr>
            </w:pPr>
            <m:oMathPara>
              <m:oMath>
                <m:sSub>
                  <m:sSubPr>
                    <m:ctrlPr>
                      <w:rPr>
                        <w:rFonts w:ascii="Cambria Math" w:hAnsi="Cambria Math"/>
                        <w:color w:val="000000"/>
                        <w:sz w:val="24"/>
                        <w:szCs w:val="24"/>
                      </w:rPr>
                    </m:ctrlPr>
                  </m:sSubPr>
                  <m:e>
                    <m:r>
                      <m:rPr/>
                      <w:rPr>
                        <w:rFonts w:ascii="Cambria Math" w:hAnsi="Cambria Math"/>
                        <w:color w:val="000000"/>
                        <w:sz w:val="24"/>
                        <w:szCs w:val="24"/>
                      </w:rPr>
                      <m:t>w</m:t>
                    </m:r>
                    <m:ctrlPr>
                      <w:rPr>
                        <w:rFonts w:ascii="Cambria Math" w:hAnsi="Cambria Math"/>
                        <w:color w:val="000000"/>
                        <w:sz w:val="24"/>
                        <w:szCs w:val="24"/>
                      </w:rPr>
                    </m:ctrlPr>
                  </m:e>
                  <m:sub>
                    <m:r>
                      <m:rPr/>
                      <w:rPr>
                        <w:rFonts w:ascii="Cambria Math" w:hAnsi="Cambria Math"/>
                        <w:color w:val="000000"/>
                        <w:sz w:val="24"/>
                        <w:szCs w:val="24"/>
                      </w:rPr>
                      <m:t>i</m:t>
                    </m:r>
                    <m:ctrlPr>
                      <w:rPr>
                        <w:rFonts w:ascii="Cambria Math" w:hAnsi="Cambria Math"/>
                        <w:color w:val="000000"/>
                        <w:sz w:val="24"/>
                        <w:szCs w:val="24"/>
                      </w:rPr>
                    </m:ctrlPr>
                  </m:sub>
                </m:sSub>
              </m:oMath>
            </m:oMathPara>
          </w:p>
        </w:tc>
        <w:tc>
          <w:tcPr>
            <w:tcW w:w="5122" w:type="dxa"/>
            <w:vAlign w:val="center"/>
          </w:tcPr>
          <w:p>
            <w:pPr>
              <w:snapToGrid w:val="0"/>
              <w:spacing w:line="360" w:lineRule="auto"/>
              <w:jc w:val="center"/>
            </w:pPr>
            <w:r>
              <w:rPr>
                <w:rFonts w:hint="eastAsia"/>
              </w:rPr>
              <w:t>加权平均值中第</w:t>
            </w:r>
            <w:r>
              <w:rPr>
                <w:rFonts w:hint="eastAsia"/>
                <w:i/>
                <w:iCs/>
              </w:rPr>
              <w:t>i</w:t>
            </w:r>
            <w:r>
              <w:rPr>
                <w:rFonts w:hint="eastAsia"/>
              </w:rPr>
              <w:t>个参比实验室结果的权重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vMerge w:val="continue"/>
          </w:tcPr>
          <w:p>
            <w:pPr>
              <w:snapToGrid w:val="0"/>
              <w:spacing w:line="360" w:lineRule="auto"/>
              <w:jc w:val="center"/>
              <w:rPr>
                <w:rFonts w:eastAsia="黑体"/>
                <w:color w:val="000000"/>
                <w:sz w:val="24"/>
                <w:szCs w:val="24"/>
              </w:rPr>
            </w:pPr>
          </w:p>
        </w:tc>
        <w:tc>
          <w:tcPr>
            <w:tcW w:w="1795" w:type="dxa"/>
            <w:vAlign w:val="center"/>
          </w:tcPr>
          <w:p>
            <w:pPr>
              <w:snapToGrid w:val="0"/>
              <w:spacing w:line="360" w:lineRule="auto"/>
              <w:jc w:val="center"/>
              <w:rPr>
                <w:color w:val="000000"/>
                <w:sz w:val="24"/>
                <w:szCs w:val="24"/>
              </w:rPr>
            </w:pPr>
            <m:oMathPara>
              <m:oMath>
                <m:acc>
                  <m:accPr>
                    <m:chr m:val="̅"/>
                    <m:ctrlPr>
                      <w:rPr>
                        <w:rFonts w:ascii="Cambria Math" w:hAnsi="Cambria Math"/>
                        <w:i/>
                        <w:color w:val="000000"/>
                        <w:sz w:val="24"/>
                        <w:szCs w:val="24"/>
                      </w:rPr>
                    </m:ctrlPr>
                  </m:accPr>
                  <m:e>
                    <m:r>
                      <m:rPr/>
                      <w:rPr>
                        <w:rFonts w:hint="eastAsia" w:ascii="Cambria Math" w:hAnsi="Cambria Math"/>
                        <w:color w:val="000000"/>
                        <w:sz w:val="24"/>
                        <w:szCs w:val="24"/>
                      </w:rPr>
                      <m:t>y</m:t>
                    </m:r>
                    <m:ctrlPr>
                      <w:rPr>
                        <w:rFonts w:ascii="Cambria Math" w:hAnsi="Cambria Math"/>
                        <w:i/>
                        <w:color w:val="000000"/>
                        <w:sz w:val="24"/>
                        <w:szCs w:val="24"/>
                      </w:rPr>
                    </m:ctrlPr>
                  </m:e>
                </m:acc>
              </m:oMath>
            </m:oMathPara>
          </w:p>
        </w:tc>
        <w:tc>
          <w:tcPr>
            <w:tcW w:w="5122" w:type="dxa"/>
            <w:vAlign w:val="center"/>
          </w:tcPr>
          <w:p>
            <w:pPr>
              <w:snapToGrid w:val="0"/>
              <w:spacing w:line="360" w:lineRule="auto"/>
              <w:jc w:val="center"/>
            </w:pPr>
            <w:r>
              <w:rPr>
                <w:rFonts w:hint="eastAsia"/>
              </w:rPr>
              <w:t>算术平均值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vMerge w:val="continue"/>
          </w:tcPr>
          <w:p>
            <w:pPr>
              <w:snapToGrid w:val="0"/>
              <w:spacing w:line="360" w:lineRule="auto"/>
              <w:jc w:val="center"/>
              <w:rPr>
                <w:color w:val="000000"/>
                <w:sz w:val="24"/>
                <w:szCs w:val="24"/>
              </w:rPr>
            </w:pPr>
          </w:p>
        </w:tc>
        <w:tc>
          <w:tcPr>
            <w:tcW w:w="1795" w:type="dxa"/>
            <w:vAlign w:val="center"/>
          </w:tcPr>
          <w:p>
            <w:pPr>
              <w:snapToGrid w:val="0"/>
              <w:spacing w:line="360" w:lineRule="auto"/>
              <w:jc w:val="center"/>
              <w:rPr>
                <w:color w:val="000000"/>
                <w:sz w:val="24"/>
                <w:szCs w:val="24"/>
              </w:rPr>
            </w:pPr>
            <m:oMathPara>
              <m:oMath>
                <m:sSub>
                  <m:sSubPr>
                    <m:ctrlPr>
                      <w:rPr>
                        <w:rFonts w:ascii="Cambria Math" w:hAnsi="Cambria Math"/>
                        <w:color w:val="000000"/>
                        <w:sz w:val="24"/>
                        <w:szCs w:val="24"/>
                      </w:rPr>
                    </m:ctrlPr>
                  </m:sSubPr>
                  <m:e>
                    <m:r>
                      <m:rPr/>
                      <w:rPr>
                        <w:rFonts w:hint="eastAsia" w:ascii="Cambria Math" w:hAnsi="Cambria Math"/>
                        <w:color w:val="000000"/>
                        <w:sz w:val="24"/>
                        <w:szCs w:val="24"/>
                      </w:rPr>
                      <m:t>y</m:t>
                    </m:r>
                    <m:ctrlPr>
                      <w:rPr>
                        <w:rFonts w:ascii="Cambria Math" w:hAnsi="Cambria Math"/>
                        <w:color w:val="000000"/>
                        <w:sz w:val="24"/>
                        <w:szCs w:val="24"/>
                      </w:rPr>
                    </m:ctrlPr>
                  </m:e>
                  <m:sub>
                    <m:r>
                      <m:rPr/>
                      <w:rPr>
                        <w:rFonts w:hint="eastAsia" w:ascii="Cambria Math" w:hAnsi="Cambria Math"/>
                        <w:color w:val="000000"/>
                        <w:sz w:val="24"/>
                        <w:szCs w:val="24"/>
                      </w:rPr>
                      <m:t>med</m:t>
                    </m:r>
                    <m:ctrlPr>
                      <w:rPr>
                        <w:rFonts w:ascii="Cambria Math" w:hAnsi="Cambria Math"/>
                        <w:color w:val="000000"/>
                        <w:sz w:val="24"/>
                        <w:szCs w:val="24"/>
                      </w:rPr>
                    </m:ctrlPr>
                  </m:sub>
                </m:sSub>
              </m:oMath>
            </m:oMathPara>
          </w:p>
        </w:tc>
        <w:tc>
          <w:tcPr>
            <w:tcW w:w="5122" w:type="dxa"/>
            <w:vAlign w:val="center"/>
          </w:tcPr>
          <w:p>
            <w:pPr>
              <w:snapToGrid w:val="0"/>
              <w:spacing w:line="360" w:lineRule="auto"/>
              <w:jc w:val="center"/>
            </w:pPr>
            <w:r>
              <w:rPr>
                <w:rFonts w:hint="eastAsia"/>
              </w:rPr>
              <w:t>中位值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vMerge w:val="continue"/>
          </w:tcPr>
          <w:p>
            <w:pPr>
              <w:snapToGrid w:val="0"/>
              <w:spacing w:line="360" w:lineRule="auto"/>
              <w:jc w:val="center"/>
              <w:rPr>
                <w:color w:val="000000"/>
                <w:sz w:val="24"/>
                <w:szCs w:val="24"/>
              </w:rPr>
            </w:pPr>
          </w:p>
        </w:tc>
        <w:tc>
          <w:tcPr>
            <w:tcW w:w="1795" w:type="dxa"/>
            <w:vAlign w:val="center"/>
          </w:tcPr>
          <w:p>
            <w:pPr>
              <w:snapToGrid w:val="0"/>
              <w:spacing w:line="360" w:lineRule="auto"/>
              <w:jc w:val="center"/>
              <w:rPr>
                <w:color w:val="000000"/>
                <w:sz w:val="24"/>
                <w:szCs w:val="24"/>
              </w:rPr>
            </w:pPr>
            <m:oMathPara>
              <m:oMath>
                <m:sSub>
                  <m:sSubPr>
                    <m:ctrlPr>
                      <w:rPr>
                        <w:rFonts w:ascii="Cambria Math" w:hAnsi="Cambria Math"/>
                        <w:i/>
                        <w:color w:val="000000"/>
                        <w:sz w:val="24"/>
                        <w:szCs w:val="24"/>
                      </w:rPr>
                    </m:ctrlPr>
                  </m:sSubPr>
                  <m:e>
                    <m:r>
                      <m:rPr/>
                      <w:rPr>
                        <w:rFonts w:hint="eastAsia" w:ascii="Cambria Math" w:hAnsi="Cambria Math"/>
                        <w:color w:val="000000"/>
                        <w:sz w:val="24"/>
                        <w:szCs w:val="24"/>
                      </w:rPr>
                      <m:t>y</m:t>
                    </m:r>
                    <m:ctrlPr>
                      <w:rPr>
                        <w:rFonts w:ascii="Cambria Math" w:hAnsi="Cambria Math"/>
                        <w:i/>
                        <w:color w:val="000000"/>
                        <w:sz w:val="24"/>
                        <w:szCs w:val="24"/>
                      </w:rPr>
                    </m:ctrlPr>
                  </m:e>
                  <m:sub>
                    <m:r>
                      <m:rPr/>
                      <w:rPr>
                        <w:rFonts w:ascii="Cambria Math" w:hAnsi="Cambria Math"/>
                        <w:color w:val="000000"/>
                        <w:sz w:val="24"/>
                        <w:szCs w:val="24"/>
                      </w:rPr>
                      <m:t>R</m:t>
                    </m:r>
                    <m:ctrlPr>
                      <w:rPr>
                        <w:rFonts w:ascii="Cambria Math" w:hAnsi="Cambria Math"/>
                        <w:i/>
                        <w:color w:val="000000"/>
                        <w:sz w:val="24"/>
                        <w:szCs w:val="24"/>
                      </w:rPr>
                    </m:ctrlPr>
                  </m:sub>
                </m:sSub>
              </m:oMath>
            </m:oMathPara>
          </w:p>
        </w:tc>
        <w:tc>
          <w:tcPr>
            <w:tcW w:w="5122" w:type="dxa"/>
            <w:vAlign w:val="center"/>
          </w:tcPr>
          <w:p>
            <w:pPr>
              <w:snapToGrid w:val="0"/>
              <w:spacing w:line="360" w:lineRule="auto"/>
              <w:jc w:val="center"/>
            </w:pPr>
            <w:r>
              <w:rPr>
                <w:rFonts w:hint="eastAsia"/>
              </w:rPr>
              <w:t>计量比对参考值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vMerge w:val="restart"/>
          </w:tcPr>
          <w:p>
            <w:pPr>
              <w:snapToGrid w:val="0"/>
              <w:spacing w:line="360" w:lineRule="auto"/>
              <w:jc w:val="center"/>
              <w:rPr>
                <w:color w:val="000000"/>
                <w:sz w:val="24"/>
                <w:szCs w:val="24"/>
              </w:rPr>
            </w:pPr>
            <w:r>
              <w:rPr>
                <w:rFonts w:hint="eastAsia"/>
                <w:color w:val="000000"/>
                <w:sz w:val="24"/>
                <w:szCs w:val="24"/>
              </w:rPr>
              <w:t>不确定度类</w:t>
            </w:r>
          </w:p>
        </w:tc>
        <w:tc>
          <w:tcPr>
            <w:tcW w:w="1795" w:type="dxa"/>
            <w:vAlign w:val="center"/>
          </w:tcPr>
          <w:p>
            <w:pPr>
              <w:snapToGrid w:val="0"/>
              <w:spacing w:line="360" w:lineRule="auto"/>
              <w:jc w:val="center"/>
              <w:rPr>
                <w:color w:val="000000"/>
                <w:sz w:val="24"/>
                <w:szCs w:val="24"/>
              </w:rPr>
            </w:pPr>
            <w:r>
              <w:rPr>
                <w:rFonts w:hint="eastAsia"/>
                <w:i/>
                <w:iCs/>
                <w:sz w:val="24"/>
                <w:szCs w:val="24"/>
              </w:rPr>
              <w:t>c</w:t>
            </w:r>
            <w:r>
              <w:rPr>
                <w:rFonts w:hint="eastAsia"/>
                <w:i/>
                <w:iCs/>
                <w:sz w:val="24"/>
                <w:szCs w:val="24"/>
                <w:vertAlign w:val="subscript"/>
              </w:rPr>
              <w:t>k</w:t>
            </w:r>
          </w:p>
        </w:tc>
        <w:tc>
          <w:tcPr>
            <w:tcW w:w="5122" w:type="dxa"/>
            <w:vAlign w:val="center"/>
          </w:tcPr>
          <w:p>
            <w:pPr>
              <w:snapToGrid w:val="0"/>
              <w:spacing w:line="360" w:lineRule="auto"/>
              <w:jc w:val="center"/>
            </w:pPr>
            <w:r>
              <w:rPr>
                <w:rFonts w:hint="eastAsia"/>
                <w:color w:val="000000"/>
                <w:szCs w:val="21"/>
              </w:rPr>
              <w:t>传递标准第</w:t>
            </w:r>
            <w:r>
              <w:rPr>
                <w:rFonts w:hint="eastAsia"/>
                <w:i/>
                <w:iCs/>
                <w:color w:val="000000"/>
                <w:szCs w:val="21"/>
              </w:rPr>
              <w:t>k</w:t>
            </w:r>
            <w:r>
              <w:rPr>
                <w:rFonts w:hint="eastAsia"/>
                <w:color w:val="000000"/>
                <w:szCs w:val="21"/>
              </w:rPr>
              <w:t>个</w:t>
            </w:r>
            <w:r>
              <w:rPr>
                <w:rFonts w:hint="eastAsia"/>
                <w:szCs w:val="21"/>
              </w:rPr>
              <w:t>修正量引入不确定度的灵敏系数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vMerge w:val="continue"/>
          </w:tcPr>
          <w:p>
            <w:pPr>
              <w:snapToGrid w:val="0"/>
              <w:spacing w:line="360" w:lineRule="auto"/>
              <w:jc w:val="center"/>
              <w:rPr>
                <w:color w:val="000000"/>
                <w:sz w:val="24"/>
                <w:szCs w:val="24"/>
              </w:rPr>
            </w:pPr>
          </w:p>
        </w:tc>
        <w:tc>
          <w:tcPr>
            <w:tcW w:w="1795" w:type="dxa"/>
            <w:vAlign w:val="center"/>
          </w:tcPr>
          <w:p>
            <w:pPr>
              <w:snapToGrid w:val="0"/>
              <w:spacing w:line="360" w:lineRule="auto"/>
              <w:jc w:val="center"/>
              <w:rPr>
                <w:color w:val="000000"/>
                <w:sz w:val="24"/>
                <w:szCs w:val="24"/>
              </w:rPr>
            </w:pPr>
            <m:oMathPara>
              <m:oMath>
                <m:sSub>
                  <m:sSubPr>
                    <m:ctrlPr>
                      <w:rPr>
                        <w:rFonts w:ascii="Cambria Math" w:hAnsi="Cambria Math"/>
                        <w:color w:val="000000"/>
                        <w:sz w:val="24"/>
                        <w:szCs w:val="24"/>
                      </w:rPr>
                    </m:ctrlPr>
                  </m:sSubPr>
                  <m:e>
                    <m:r>
                      <m:rPr/>
                      <w:rPr>
                        <w:rFonts w:ascii="Cambria Math" w:hAnsi="Cambria Math"/>
                        <w:color w:val="000000"/>
                        <w:sz w:val="24"/>
                        <w:szCs w:val="24"/>
                      </w:rPr>
                      <m:t>u</m:t>
                    </m:r>
                    <m:ctrlPr>
                      <w:rPr>
                        <w:rFonts w:ascii="Cambria Math" w:hAnsi="Cambria Math"/>
                        <w:color w:val="000000"/>
                        <w:sz w:val="24"/>
                        <w:szCs w:val="24"/>
                      </w:rPr>
                    </m:ctrlPr>
                  </m:e>
                  <m:sub>
                    <m:r>
                      <m:rPr/>
                      <w:rPr>
                        <w:rFonts w:ascii="Cambria Math" w:hAnsi="Cambria Math"/>
                        <w:color w:val="000000"/>
                        <w:sz w:val="24"/>
                        <w:szCs w:val="24"/>
                      </w:rPr>
                      <m:t>i</m:t>
                    </m:r>
                    <m:ctrlPr>
                      <w:rPr>
                        <w:rFonts w:ascii="Cambria Math" w:hAnsi="Cambria Math"/>
                        <w:color w:val="000000"/>
                        <w:sz w:val="24"/>
                        <w:szCs w:val="24"/>
                      </w:rPr>
                    </m:ctrlPr>
                  </m:sub>
                </m:sSub>
              </m:oMath>
            </m:oMathPara>
          </w:p>
        </w:tc>
        <w:tc>
          <w:tcPr>
            <w:tcW w:w="5122" w:type="dxa"/>
            <w:vAlign w:val="center"/>
          </w:tcPr>
          <w:p>
            <w:pPr>
              <w:snapToGrid w:val="0"/>
              <w:spacing w:line="360" w:lineRule="auto"/>
              <w:jc w:val="center"/>
            </w:pPr>
            <w:r>
              <w:rPr>
                <w:rFonts w:hint="eastAsia"/>
              </w:rPr>
              <w:t>第</w:t>
            </w:r>
            <w:r>
              <w:rPr>
                <w:rFonts w:hint="eastAsia"/>
                <w:i/>
                <w:iCs/>
              </w:rPr>
              <w:t>i</w:t>
            </w:r>
            <w:r>
              <w:rPr>
                <w:rFonts w:hint="eastAsia"/>
              </w:rPr>
              <w:t>个参比实验室结果的标准不确定度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vMerge w:val="continue"/>
          </w:tcPr>
          <w:p>
            <w:pPr>
              <w:snapToGrid w:val="0"/>
              <w:spacing w:line="360" w:lineRule="auto"/>
              <w:jc w:val="center"/>
              <w:rPr>
                <w:color w:val="000000"/>
                <w:sz w:val="24"/>
                <w:szCs w:val="24"/>
              </w:rPr>
            </w:pPr>
          </w:p>
        </w:tc>
        <w:tc>
          <w:tcPr>
            <w:tcW w:w="1795" w:type="dxa"/>
            <w:vAlign w:val="center"/>
          </w:tcPr>
          <w:p>
            <w:pPr>
              <w:snapToGrid w:val="0"/>
              <w:spacing w:line="360" w:lineRule="auto"/>
              <w:jc w:val="center"/>
              <w:rPr>
                <w:color w:val="000000"/>
                <w:sz w:val="24"/>
                <w:szCs w:val="24"/>
              </w:rPr>
            </w:pPr>
            <m:oMathPara>
              <m:oMath>
                <m:sSub>
                  <m:sSubPr>
                    <m:ctrlPr>
                      <w:rPr>
                        <w:rFonts w:ascii="Cambria Math" w:hAnsi="Cambria Math" w:eastAsia="等线"/>
                        <w:i/>
                        <w:szCs w:val="22"/>
                      </w:rPr>
                    </m:ctrlPr>
                  </m:sSubPr>
                  <m:e>
                    <m:r>
                      <m:rPr/>
                      <w:rPr>
                        <w:rFonts w:ascii="Cambria Math" w:hAnsi="Cambria Math"/>
                      </w:rPr>
                      <m:t>u</m:t>
                    </m:r>
                    <m:ctrlPr>
                      <w:rPr>
                        <w:rFonts w:ascii="Cambria Math" w:hAnsi="Cambria Math" w:eastAsia="等线"/>
                        <w:i/>
                        <w:szCs w:val="22"/>
                      </w:rPr>
                    </m:ctrlPr>
                  </m:e>
                  <m:sub>
                    <m:r>
                      <m:rPr>
                        <m:sty m:val="p"/>
                      </m:rPr>
                      <w:rPr>
                        <w:rFonts w:ascii="Cambria Math" w:hAnsi="Cambria Math"/>
                      </w:rPr>
                      <m:t>c</m:t>
                    </m:r>
                    <m:r>
                      <m:rPr/>
                      <w:rPr>
                        <w:rFonts w:ascii="Cambria Math" w:hAnsi="Cambria Math"/>
                      </w:rPr>
                      <m:t>k</m:t>
                    </m:r>
                    <m:ctrlPr>
                      <w:rPr>
                        <w:rFonts w:ascii="Cambria Math" w:hAnsi="Cambria Math" w:eastAsia="等线"/>
                        <w:i/>
                        <w:szCs w:val="22"/>
                      </w:rPr>
                    </m:ctrlPr>
                  </m:sub>
                </m:sSub>
              </m:oMath>
            </m:oMathPara>
          </w:p>
        </w:tc>
        <w:tc>
          <w:tcPr>
            <w:tcW w:w="5122" w:type="dxa"/>
            <w:vAlign w:val="center"/>
          </w:tcPr>
          <w:p>
            <w:pPr>
              <w:snapToGrid w:val="0"/>
              <w:spacing w:line="360" w:lineRule="auto"/>
              <w:jc w:val="center"/>
            </w:pPr>
            <w:r>
              <w:rPr>
                <w:rFonts w:hint="eastAsia"/>
                <w:color w:val="000000"/>
                <w:szCs w:val="21"/>
              </w:rPr>
              <w:t>传递标准第</w:t>
            </w:r>
            <w:r>
              <w:rPr>
                <w:rFonts w:hint="eastAsia"/>
                <w:i/>
                <w:iCs/>
                <w:color w:val="000000"/>
                <w:szCs w:val="21"/>
              </w:rPr>
              <w:t>k</w:t>
            </w:r>
            <w:r>
              <w:rPr>
                <w:rFonts w:hint="eastAsia"/>
                <w:color w:val="000000"/>
                <w:szCs w:val="21"/>
              </w:rPr>
              <w:t>个</w:t>
            </w:r>
            <w:r>
              <w:rPr>
                <w:rFonts w:hint="eastAsia"/>
                <w:szCs w:val="21"/>
              </w:rPr>
              <w:t>修正量引入的不确定度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vMerge w:val="continue"/>
          </w:tcPr>
          <w:p>
            <w:pPr>
              <w:snapToGrid w:val="0"/>
              <w:spacing w:line="360" w:lineRule="auto"/>
              <w:jc w:val="center"/>
              <w:rPr>
                <w:color w:val="000000"/>
                <w:sz w:val="24"/>
                <w:szCs w:val="24"/>
              </w:rPr>
            </w:pPr>
          </w:p>
        </w:tc>
        <w:tc>
          <w:tcPr>
            <w:tcW w:w="1795" w:type="dxa"/>
            <w:vAlign w:val="center"/>
          </w:tcPr>
          <w:p>
            <w:pPr>
              <w:snapToGrid w:val="0"/>
              <w:spacing w:line="360" w:lineRule="auto"/>
              <w:jc w:val="center"/>
              <w:rPr>
                <w:color w:val="000000"/>
                <w:sz w:val="24"/>
                <w:szCs w:val="24"/>
              </w:rPr>
            </w:pPr>
            <m:oMathPara>
              <m:oMath>
                <m:sSub>
                  <m:sSubPr>
                    <m:ctrlPr>
                      <w:rPr>
                        <w:rFonts w:ascii="Cambria Math" w:hAnsi="Cambria Math" w:eastAsia="等线"/>
                        <w:i/>
                        <w:szCs w:val="22"/>
                      </w:rPr>
                    </m:ctrlPr>
                  </m:sSubPr>
                  <m:e>
                    <m:r>
                      <m:rPr/>
                      <w:rPr>
                        <w:rFonts w:ascii="Cambria Math" w:hAnsi="Cambria Math"/>
                      </w:rPr>
                      <m:t>u</m:t>
                    </m:r>
                    <m:ctrlPr>
                      <w:rPr>
                        <w:rFonts w:ascii="Cambria Math" w:hAnsi="Cambria Math" w:eastAsia="等线"/>
                        <w:i/>
                        <w:szCs w:val="22"/>
                      </w:rPr>
                    </m:ctrlPr>
                  </m:e>
                  <m:sub>
                    <m:r>
                      <m:rPr>
                        <m:sty m:val="p"/>
                      </m:rPr>
                      <w:rPr>
                        <w:rFonts w:ascii="Cambria Math" w:hAnsi="Cambria Math"/>
                      </w:rPr>
                      <m:t>cor</m:t>
                    </m:r>
                    <m:ctrlPr>
                      <w:rPr>
                        <w:rFonts w:ascii="Cambria Math" w:hAnsi="Cambria Math" w:eastAsia="等线"/>
                        <w:i/>
                        <w:szCs w:val="22"/>
                      </w:rPr>
                    </m:ctrlPr>
                  </m:sub>
                </m:sSub>
              </m:oMath>
            </m:oMathPara>
          </w:p>
        </w:tc>
        <w:tc>
          <w:tcPr>
            <w:tcW w:w="5122" w:type="dxa"/>
            <w:vAlign w:val="center"/>
          </w:tcPr>
          <w:p>
            <w:pPr>
              <w:snapToGrid w:val="0"/>
              <w:spacing w:line="360" w:lineRule="auto"/>
              <w:jc w:val="center"/>
            </w:pPr>
            <w:r>
              <w:rPr>
                <w:rFonts w:hint="eastAsia"/>
              </w:rPr>
              <w:t>传递标准修正引入的不确定度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vMerge w:val="continue"/>
          </w:tcPr>
          <w:p>
            <w:pPr>
              <w:snapToGrid w:val="0"/>
              <w:spacing w:line="360" w:lineRule="auto"/>
              <w:jc w:val="center"/>
              <w:rPr>
                <w:color w:val="000000"/>
                <w:sz w:val="24"/>
                <w:szCs w:val="24"/>
              </w:rPr>
            </w:pPr>
          </w:p>
        </w:tc>
        <w:tc>
          <w:tcPr>
            <w:tcW w:w="1795" w:type="dxa"/>
            <w:vAlign w:val="center"/>
          </w:tcPr>
          <w:p>
            <w:pPr>
              <w:snapToGrid w:val="0"/>
              <w:spacing w:line="360" w:lineRule="auto"/>
              <w:jc w:val="center"/>
              <w:rPr>
                <w:color w:val="000000"/>
                <w:sz w:val="24"/>
                <w:szCs w:val="24"/>
              </w:rPr>
            </w:pPr>
            <m:oMathPara>
              <m:oMath>
                <m:sSub>
                  <m:sSubPr>
                    <m:ctrlPr>
                      <w:rPr>
                        <w:rFonts w:ascii="Cambria Math" w:hAnsi="Cambria Math" w:eastAsia="等线"/>
                        <w:i/>
                        <w:szCs w:val="22"/>
                      </w:rPr>
                    </m:ctrlPr>
                  </m:sSubPr>
                  <m:e>
                    <m:r>
                      <m:rPr/>
                      <w:rPr>
                        <w:rFonts w:ascii="Cambria Math" w:hAnsi="Cambria Math"/>
                      </w:rPr>
                      <m:t>u</m:t>
                    </m:r>
                    <m:ctrlPr>
                      <w:rPr>
                        <w:rFonts w:ascii="Cambria Math" w:hAnsi="Cambria Math" w:eastAsia="等线"/>
                        <w:i/>
                        <w:szCs w:val="22"/>
                      </w:rPr>
                    </m:ctrlPr>
                  </m:e>
                  <m:sub>
                    <m:r>
                      <m:rPr>
                        <m:sty m:val="p"/>
                      </m:rPr>
                      <w:rPr>
                        <w:rFonts w:hint="eastAsia" w:ascii="Cambria Math" w:hAnsi="Cambria Math"/>
                      </w:rPr>
                      <m:t>sta</m:t>
                    </m:r>
                    <m:ctrlPr>
                      <w:rPr>
                        <w:rFonts w:ascii="Cambria Math" w:hAnsi="Cambria Math" w:eastAsia="等线"/>
                        <w:i/>
                        <w:szCs w:val="22"/>
                      </w:rPr>
                    </m:ctrlPr>
                  </m:sub>
                </m:sSub>
              </m:oMath>
            </m:oMathPara>
          </w:p>
        </w:tc>
        <w:tc>
          <w:tcPr>
            <w:tcW w:w="5122" w:type="dxa"/>
            <w:vAlign w:val="center"/>
          </w:tcPr>
          <w:p>
            <w:pPr>
              <w:snapToGrid w:val="0"/>
              <w:spacing w:line="360" w:lineRule="auto"/>
              <w:jc w:val="center"/>
            </w:pPr>
            <w:r>
              <w:rPr>
                <w:rFonts w:hint="eastAsia"/>
              </w:rPr>
              <w:t>传递标准稳定性引入的不确定度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vMerge w:val="continue"/>
          </w:tcPr>
          <w:p>
            <w:pPr>
              <w:snapToGrid w:val="0"/>
              <w:spacing w:line="360" w:lineRule="auto"/>
              <w:jc w:val="center"/>
              <w:rPr>
                <w:color w:val="000000"/>
                <w:sz w:val="24"/>
                <w:szCs w:val="24"/>
              </w:rPr>
            </w:pPr>
          </w:p>
        </w:tc>
        <w:tc>
          <w:tcPr>
            <w:tcW w:w="1795" w:type="dxa"/>
            <w:vAlign w:val="center"/>
          </w:tcPr>
          <w:p>
            <w:pPr>
              <w:snapToGrid w:val="0"/>
              <w:spacing w:line="360" w:lineRule="auto"/>
              <w:jc w:val="center"/>
              <w:rPr>
                <w:color w:val="000000"/>
                <w:sz w:val="24"/>
                <w:szCs w:val="24"/>
              </w:rPr>
            </w:pPr>
            <m:oMathPara>
              <m:oMath>
                <m:sSub>
                  <m:sSubPr>
                    <m:ctrlPr>
                      <w:rPr>
                        <w:rFonts w:ascii="Cambria Math" w:hAnsi="Cambria Math"/>
                        <w:i/>
                      </w:rPr>
                    </m:ctrlPr>
                  </m:sSubPr>
                  <m:e>
                    <m:r>
                      <m:rPr/>
                      <w:rPr>
                        <w:rFonts w:ascii="Cambria Math" w:hAnsi="Cambria Math"/>
                      </w:rPr>
                      <m:t>u</m:t>
                    </m:r>
                    <m:ctrlPr>
                      <w:rPr>
                        <w:rFonts w:ascii="Cambria Math" w:hAnsi="Cambria Math"/>
                        <w:i/>
                      </w:rPr>
                    </m:ctrlPr>
                  </m:e>
                  <m:sub>
                    <m:r>
                      <m:rPr>
                        <m:sty m:val="p"/>
                      </m:rPr>
                      <w:rPr>
                        <w:rFonts w:ascii="Cambria Math" w:hAnsi="Cambria Math"/>
                      </w:rPr>
                      <m:t>uni</m:t>
                    </m:r>
                    <m:ctrlPr>
                      <w:rPr>
                        <w:rFonts w:ascii="Cambria Math" w:hAnsi="Cambria Math"/>
                        <w:i/>
                      </w:rPr>
                    </m:ctrlPr>
                  </m:sub>
                </m:sSub>
              </m:oMath>
            </m:oMathPara>
          </w:p>
        </w:tc>
        <w:tc>
          <w:tcPr>
            <w:tcW w:w="5122" w:type="dxa"/>
            <w:vAlign w:val="center"/>
          </w:tcPr>
          <w:p>
            <w:pPr>
              <w:snapToGrid w:val="0"/>
              <w:spacing w:line="360" w:lineRule="auto"/>
              <w:jc w:val="center"/>
            </w:pPr>
            <w:r>
              <w:rPr>
                <w:rFonts w:hint="eastAsia"/>
              </w:rPr>
              <w:t>传递标准一致性性引入的不确定度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vMerge w:val="continue"/>
          </w:tcPr>
          <w:p>
            <w:pPr>
              <w:snapToGrid w:val="0"/>
              <w:spacing w:line="360" w:lineRule="auto"/>
              <w:jc w:val="center"/>
              <w:rPr>
                <w:rFonts w:eastAsia="黑体"/>
                <w:color w:val="000000"/>
                <w:sz w:val="24"/>
                <w:szCs w:val="24"/>
              </w:rPr>
            </w:pPr>
          </w:p>
        </w:tc>
        <w:tc>
          <w:tcPr>
            <w:tcW w:w="1795" w:type="dxa"/>
            <w:vAlign w:val="center"/>
          </w:tcPr>
          <w:p>
            <w:pPr>
              <w:snapToGrid w:val="0"/>
              <w:spacing w:line="360" w:lineRule="auto"/>
              <w:jc w:val="center"/>
              <w:rPr>
                <w:color w:val="000000"/>
                <w:sz w:val="24"/>
                <w:szCs w:val="24"/>
              </w:rPr>
            </w:pPr>
            <m:oMathPara>
              <m:oMath>
                <m:r>
                  <m:rPr/>
                  <w:rPr>
                    <w:rFonts w:ascii="Cambria Math" w:hAnsi="Cambria Math"/>
                    <w:color w:val="000000"/>
                    <w:sz w:val="24"/>
                    <w:szCs w:val="24"/>
                  </w:rPr>
                  <m:t>u</m:t>
                </m:r>
                <m:d>
                  <m:dPr>
                    <m:ctrlPr>
                      <w:rPr>
                        <w:rFonts w:ascii="Cambria Math" w:hAnsi="Cambria Math"/>
                        <w:i/>
                        <w:color w:val="000000"/>
                        <w:sz w:val="24"/>
                        <w:szCs w:val="24"/>
                      </w:rPr>
                    </m:ctrlPr>
                  </m:dPr>
                  <m:e>
                    <m:ctrlPr>
                      <w:rPr>
                        <w:rFonts w:ascii="Cambria Math" w:hAnsi="Cambria Math"/>
                        <w:i/>
                        <w:color w:val="000000"/>
                        <w:sz w:val="24"/>
                        <w:szCs w:val="24"/>
                      </w:rPr>
                    </m:ctrlPr>
                  </m:e>
                </m:d>
              </m:oMath>
            </m:oMathPara>
          </w:p>
        </w:tc>
        <w:tc>
          <w:tcPr>
            <w:tcW w:w="5122" w:type="dxa"/>
            <w:vAlign w:val="center"/>
          </w:tcPr>
          <w:p>
            <w:pPr>
              <w:snapToGrid w:val="0"/>
              <w:spacing w:line="360" w:lineRule="auto"/>
              <w:jc w:val="center"/>
            </w:pPr>
            <w:r>
              <w:rPr>
                <w:rFonts w:hint="eastAsia"/>
              </w:rPr>
              <w:t>某量值的标准不确定度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vMerge w:val="continue"/>
          </w:tcPr>
          <w:p>
            <w:pPr>
              <w:snapToGrid w:val="0"/>
              <w:spacing w:line="360" w:lineRule="auto"/>
              <w:jc w:val="center"/>
              <w:rPr>
                <w:rFonts w:eastAsia="方正小标宋简体"/>
                <w:color w:val="000000"/>
                <w:sz w:val="24"/>
                <w:szCs w:val="24"/>
              </w:rPr>
            </w:pPr>
          </w:p>
        </w:tc>
        <w:tc>
          <w:tcPr>
            <w:tcW w:w="1795" w:type="dxa"/>
            <w:vAlign w:val="center"/>
          </w:tcPr>
          <w:p>
            <w:pPr>
              <w:snapToGrid w:val="0"/>
              <w:spacing w:line="360" w:lineRule="auto"/>
              <w:jc w:val="center"/>
              <w:rPr>
                <w:color w:val="000000"/>
                <w:sz w:val="24"/>
                <w:szCs w:val="24"/>
              </w:rPr>
            </w:pPr>
            <m:oMathPara>
              <m:oMath>
                <m:r>
                  <m:rPr/>
                  <w:rPr>
                    <w:rFonts w:hint="eastAsia" w:ascii="Cambria Math" w:hAnsi="Cambria Math"/>
                    <w:color w:val="000000"/>
                    <w:sz w:val="24"/>
                    <w:szCs w:val="24"/>
                  </w:rPr>
                  <m:t>NIQR</m:t>
                </m:r>
              </m:oMath>
            </m:oMathPara>
          </w:p>
        </w:tc>
        <w:tc>
          <w:tcPr>
            <w:tcW w:w="5122" w:type="dxa"/>
            <w:vAlign w:val="center"/>
          </w:tcPr>
          <w:p>
            <w:pPr>
              <w:snapToGrid w:val="0"/>
              <w:spacing w:line="360" w:lineRule="auto"/>
              <w:jc w:val="center"/>
            </w:pPr>
            <w:r>
              <w:rPr>
                <w:rFonts w:hint="eastAsia"/>
              </w:rPr>
              <w:t>标准化四分位距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vMerge w:val="continue"/>
          </w:tcPr>
          <w:p>
            <w:pPr>
              <w:snapToGrid w:val="0"/>
              <w:spacing w:line="360" w:lineRule="auto"/>
              <w:jc w:val="center"/>
              <w:rPr>
                <w:rFonts w:eastAsia="黑体"/>
                <w:color w:val="000000"/>
                <w:sz w:val="24"/>
                <w:szCs w:val="24"/>
              </w:rPr>
            </w:pPr>
          </w:p>
        </w:tc>
        <w:tc>
          <w:tcPr>
            <w:tcW w:w="1795" w:type="dxa"/>
            <w:vAlign w:val="center"/>
          </w:tcPr>
          <w:p>
            <w:pPr>
              <w:snapToGrid w:val="0"/>
              <w:spacing w:line="360" w:lineRule="auto"/>
              <w:jc w:val="center"/>
              <w:rPr>
                <w:color w:val="000000"/>
                <w:sz w:val="24"/>
                <w:szCs w:val="24"/>
              </w:rPr>
            </w:pPr>
            <m:oMathPara>
              <m:oMath>
                <m:r>
                  <m:rPr/>
                  <w:rPr>
                    <w:rFonts w:hint="eastAsia" w:ascii="Cambria Math" w:hAnsi="Cambria Math"/>
                    <w:color w:val="000000"/>
                    <w:sz w:val="24"/>
                    <w:szCs w:val="24"/>
                  </w:rPr>
                  <m:t>IQR</m:t>
                </m:r>
              </m:oMath>
            </m:oMathPara>
          </w:p>
        </w:tc>
        <w:tc>
          <w:tcPr>
            <w:tcW w:w="5122" w:type="dxa"/>
            <w:vAlign w:val="center"/>
          </w:tcPr>
          <w:p>
            <w:pPr>
              <w:snapToGrid w:val="0"/>
              <w:spacing w:line="360" w:lineRule="auto"/>
              <w:jc w:val="center"/>
            </w:pPr>
            <w:r>
              <w:rPr>
                <w:rFonts w:hint="eastAsia"/>
              </w:rPr>
              <w:t>四分位距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vMerge w:val="continue"/>
          </w:tcPr>
          <w:p>
            <w:pPr>
              <w:snapToGrid w:val="0"/>
              <w:spacing w:line="360" w:lineRule="auto"/>
              <w:jc w:val="center"/>
              <w:rPr>
                <w:rFonts w:eastAsia="仿宋_GB2312"/>
                <w:color w:val="000000"/>
                <w:sz w:val="24"/>
                <w:szCs w:val="24"/>
              </w:rPr>
            </w:pPr>
          </w:p>
        </w:tc>
        <w:tc>
          <w:tcPr>
            <w:tcW w:w="1795" w:type="dxa"/>
            <w:vAlign w:val="center"/>
          </w:tcPr>
          <w:p>
            <w:pPr>
              <w:snapToGrid w:val="0"/>
              <w:spacing w:line="360" w:lineRule="auto"/>
              <w:jc w:val="center"/>
              <w:rPr>
                <w:color w:val="000000"/>
                <w:sz w:val="24"/>
                <w:szCs w:val="24"/>
              </w:rPr>
            </w:pPr>
            <m:oMathPara>
              <m:oMath>
                <m:sSub>
                  <m:sSubPr>
                    <m:ctrlPr>
                      <w:rPr>
                        <w:rFonts w:ascii="Cambria Math" w:hAnsi="Cambria Math"/>
                        <w:i/>
                        <w:color w:val="000000"/>
                        <w:sz w:val="24"/>
                        <w:szCs w:val="24"/>
                      </w:rPr>
                    </m:ctrlPr>
                  </m:sSubPr>
                  <m:e>
                    <m:r>
                      <m:rPr/>
                      <w:rPr>
                        <w:rFonts w:hint="eastAsia" w:ascii="Cambria Math" w:hAnsi="Cambria Math"/>
                        <w:color w:val="000000"/>
                        <w:sz w:val="24"/>
                        <w:szCs w:val="24"/>
                      </w:rPr>
                      <m:t>Q</m:t>
                    </m:r>
                    <m:ctrlPr>
                      <w:rPr>
                        <w:rFonts w:ascii="Cambria Math" w:hAnsi="Cambria Math"/>
                        <w:i/>
                        <w:color w:val="000000"/>
                        <w:sz w:val="24"/>
                        <w:szCs w:val="24"/>
                      </w:rPr>
                    </m:ctrlPr>
                  </m:e>
                  <m:sub>
                    <m:r>
                      <m:rPr/>
                      <w:rPr>
                        <w:rFonts w:ascii="Cambria Math" w:hAnsi="Cambria Math"/>
                        <w:color w:val="000000"/>
                        <w:sz w:val="24"/>
                        <w:szCs w:val="24"/>
                      </w:rPr>
                      <m:t>3</m:t>
                    </m:r>
                    <m:ctrlPr>
                      <w:rPr>
                        <w:rFonts w:ascii="Cambria Math" w:hAnsi="Cambria Math"/>
                        <w:i/>
                        <w:color w:val="000000"/>
                        <w:sz w:val="24"/>
                        <w:szCs w:val="24"/>
                      </w:rPr>
                    </m:ctrlPr>
                  </m:sub>
                </m:sSub>
              </m:oMath>
            </m:oMathPara>
          </w:p>
        </w:tc>
        <w:tc>
          <w:tcPr>
            <w:tcW w:w="5122" w:type="dxa"/>
            <w:vAlign w:val="center"/>
          </w:tcPr>
          <w:p>
            <w:pPr>
              <w:snapToGrid w:val="0"/>
              <w:spacing w:line="360" w:lineRule="auto"/>
              <w:jc w:val="center"/>
            </w:pPr>
            <w:r>
              <w:rPr>
                <w:rFonts w:hint="eastAsia"/>
              </w:rPr>
              <w:t>上四分位点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vMerge w:val="continue"/>
          </w:tcPr>
          <w:p>
            <w:pPr>
              <w:snapToGrid w:val="0"/>
              <w:spacing w:line="360" w:lineRule="auto"/>
              <w:jc w:val="center"/>
              <w:rPr>
                <w:color w:val="000000"/>
                <w:sz w:val="24"/>
                <w:szCs w:val="24"/>
              </w:rPr>
            </w:pPr>
          </w:p>
        </w:tc>
        <w:tc>
          <w:tcPr>
            <w:tcW w:w="1795" w:type="dxa"/>
            <w:vAlign w:val="center"/>
          </w:tcPr>
          <w:p>
            <w:pPr>
              <w:snapToGrid w:val="0"/>
              <w:spacing w:line="360" w:lineRule="auto"/>
              <w:jc w:val="center"/>
              <w:rPr>
                <w:color w:val="000000"/>
                <w:sz w:val="24"/>
                <w:szCs w:val="24"/>
              </w:rPr>
            </w:pPr>
            <m:oMathPara>
              <m:oMath>
                <m:sSub>
                  <m:sSubPr>
                    <m:ctrlPr>
                      <w:rPr>
                        <w:rFonts w:ascii="Cambria Math" w:hAnsi="Cambria Math"/>
                        <w:i/>
                        <w:color w:val="000000"/>
                        <w:sz w:val="24"/>
                        <w:szCs w:val="24"/>
                      </w:rPr>
                    </m:ctrlPr>
                  </m:sSubPr>
                  <m:e>
                    <m:r>
                      <m:rPr/>
                      <w:rPr>
                        <w:rFonts w:hint="eastAsia" w:ascii="Cambria Math" w:hAnsi="Cambria Math"/>
                        <w:color w:val="000000"/>
                        <w:sz w:val="24"/>
                        <w:szCs w:val="24"/>
                      </w:rPr>
                      <m:t>Q</m:t>
                    </m:r>
                    <m:ctrlPr>
                      <w:rPr>
                        <w:rFonts w:ascii="Cambria Math" w:hAnsi="Cambria Math"/>
                        <w:i/>
                        <w:color w:val="000000"/>
                        <w:sz w:val="24"/>
                        <w:szCs w:val="24"/>
                      </w:rPr>
                    </m:ctrlPr>
                  </m:e>
                  <m:sub>
                    <m:r>
                      <m:rPr/>
                      <w:rPr>
                        <w:rFonts w:ascii="Cambria Math" w:hAnsi="Cambria Math"/>
                        <w:color w:val="000000"/>
                        <w:sz w:val="24"/>
                        <w:szCs w:val="24"/>
                      </w:rPr>
                      <m:t>1</m:t>
                    </m:r>
                    <m:ctrlPr>
                      <w:rPr>
                        <w:rFonts w:ascii="Cambria Math" w:hAnsi="Cambria Math"/>
                        <w:i/>
                        <w:color w:val="000000"/>
                        <w:sz w:val="24"/>
                        <w:szCs w:val="24"/>
                      </w:rPr>
                    </m:ctrlPr>
                  </m:sub>
                </m:sSub>
              </m:oMath>
            </m:oMathPara>
          </w:p>
        </w:tc>
        <w:tc>
          <w:tcPr>
            <w:tcW w:w="5122" w:type="dxa"/>
            <w:vAlign w:val="center"/>
          </w:tcPr>
          <w:p>
            <w:pPr>
              <w:snapToGrid w:val="0"/>
              <w:spacing w:line="360" w:lineRule="auto"/>
              <w:jc w:val="center"/>
            </w:pPr>
            <w:r>
              <w:rPr>
                <w:rFonts w:hint="eastAsia"/>
              </w:rPr>
              <w:t>下四分位点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vMerge w:val="restart"/>
          </w:tcPr>
          <w:p>
            <w:pPr>
              <w:snapToGrid w:val="0"/>
              <w:spacing w:line="360" w:lineRule="auto"/>
              <w:jc w:val="center"/>
              <w:rPr>
                <w:color w:val="000000"/>
                <w:sz w:val="24"/>
                <w:szCs w:val="24"/>
              </w:rPr>
            </w:pPr>
            <w:r>
              <w:rPr>
                <w:rFonts w:hint="eastAsia"/>
                <w:color w:val="000000"/>
                <w:sz w:val="24"/>
                <w:szCs w:val="24"/>
              </w:rPr>
              <w:t>相容性检验类</w:t>
            </w:r>
          </w:p>
        </w:tc>
        <w:tc>
          <w:tcPr>
            <w:tcW w:w="1795" w:type="dxa"/>
            <w:vAlign w:val="center"/>
          </w:tcPr>
          <w:p>
            <w:pPr>
              <w:snapToGrid w:val="0"/>
              <w:spacing w:line="360" w:lineRule="auto"/>
              <w:jc w:val="center"/>
              <w:rPr>
                <w:color w:val="000000"/>
                <w:sz w:val="24"/>
                <w:szCs w:val="24"/>
              </w:rPr>
            </w:pPr>
            <m:oMathPara>
              <m:oMath>
                <m:sSubSup>
                  <m:sSubSupPr>
                    <m:ctrlPr>
                      <w:rPr>
                        <w:rFonts w:ascii="Cambria Math" w:hAnsi="Cambria Math"/>
                        <w:i/>
                        <w:color w:val="000000"/>
                        <w:sz w:val="24"/>
                        <w:szCs w:val="24"/>
                      </w:rPr>
                    </m:ctrlPr>
                  </m:sSubSupPr>
                  <m:e>
                    <m:r>
                      <m:rPr/>
                      <w:rPr>
                        <w:rFonts w:ascii="Cambria Math" w:hAnsi="Cambria Math"/>
                        <w:color w:val="000000"/>
                        <w:sz w:val="24"/>
                        <w:szCs w:val="24"/>
                      </w:rPr>
                      <m:t>χ</m:t>
                    </m:r>
                    <m:ctrlPr>
                      <w:rPr>
                        <w:rFonts w:ascii="Cambria Math" w:hAnsi="Cambria Math"/>
                        <w:i/>
                        <w:color w:val="000000"/>
                        <w:sz w:val="24"/>
                        <w:szCs w:val="24"/>
                      </w:rPr>
                    </m:ctrlPr>
                  </m:e>
                  <m:sub>
                    <m:r>
                      <m:rPr/>
                      <w:rPr>
                        <w:rFonts w:hint="eastAsia" w:ascii="Cambria Math" w:hAnsi="Cambria Math"/>
                        <w:color w:val="000000"/>
                        <w:sz w:val="24"/>
                        <w:szCs w:val="24"/>
                      </w:rPr>
                      <m:t>w</m:t>
                    </m:r>
                    <m:ctrlPr>
                      <w:rPr>
                        <w:rFonts w:ascii="Cambria Math" w:hAnsi="Cambria Math"/>
                        <w:i/>
                        <w:color w:val="000000"/>
                        <w:sz w:val="24"/>
                        <w:szCs w:val="24"/>
                      </w:rPr>
                    </m:ctrlPr>
                  </m:sub>
                  <m:sup>
                    <m:r>
                      <m:rPr/>
                      <w:rPr>
                        <w:rFonts w:ascii="Cambria Math" w:hAnsi="Cambria Math"/>
                        <w:color w:val="000000"/>
                        <w:sz w:val="24"/>
                        <w:szCs w:val="24"/>
                      </w:rPr>
                      <m:t>2</m:t>
                    </m:r>
                    <m:ctrlPr>
                      <w:rPr>
                        <w:rFonts w:ascii="Cambria Math" w:hAnsi="Cambria Math"/>
                        <w:i/>
                        <w:color w:val="000000"/>
                        <w:sz w:val="24"/>
                        <w:szCs w:val="24"/>
                      </w:rPr>
                    </m:ctrlPr>
                  </m:sup>
                </m:sSubSup>
              </m:oMath>
            </m:oMathPara>
          </w:p>
        </w:tc>
        <w:tc>
          <w:tcPr>
            <w:tcW w:w="5122" w:type="dxa"/>
            <w:vAlign w:val="center"/>
          </w:tcPr>
          <w:p>
            <w:pPr>
              <w:snapToGrid w:val="0"/>
              <w:spacing w:line="360" w:lineRule="auto"/>
              <w:jc w:val="center"/>
            </w:pPr>
            <w:r>
              <w:rPr>
                <w:rFonts w:hint="eastAsia"/>
              </w:rPr>
              <w:t>加权平均值的卡方统计量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vMerge w:val="continue"/>
          </w:tcPr>
          <w:p>
            <w:pPr>
              <w:snapToGrid w:val="0"/>
              <w:spacing w:line="360" w:lineRule="auto"/>
              <w:jc w:val="center"/>
              <w:rPr>
                <w:color w:val="000000"/>
                <w:sz w:val="24"/>
                <w:szCs w:val="24"/>
              </w:rPr>
            </w:pPr>
          </w:p>
        </w:tc>
        <w:tc>
          <w:tcPr>
            <w:tcW w:w="1795" w:type="dxa"/>
            <w:vAlign w:val="center"/>
          </w:tcPr>
          <w:p>
            <w:pPr>
              <w:snapToGrid w:val="0"/>
              <w:spacing w:line="360" w:lineRule="auto"/>
              <w:jc w:val="center"/>
              <w:rPr>
                <w:color w:val="000000"/>
                <w:sz w:val="24"/>
                <w:szCs w:val="24"/>
              </w:rPr>
            </w:pPr>
            <m:oMathPara>
              <m:oMath>
                <m:sSubSup>
                  <m:sSubSupPr>
                    <m:ctrlPr>
                      <w:rPr>
                        <w:rFonts w:ascii="Cambria Math" w:hAnsi="Cambria Math"/>
                        <w:i/>
                        <w:color w:val="000000"/>
                        <w:sz w:val="24"/>
                        <w:szCs w:val="24"/>
                      </w:rPr>
                    </m:ctrlPr>
                  </m:sSubSupPr>
                  <m:e>
                    <m:r>
                      <m:rPr/>
                      <w:rPr>
                        <w:rFonts w:ascii="Cambria Math" w:hAnsi="Cambria Math"/>
                        <w:color w:val="000000"/>
                        <w:sz w:val="24"/>
                        <w:szCs w:val="24"/>
                      </w:rPr>
                      <m:t>χ</m:t>
                    </m:r>
                    <m:ctrlPr>
                      <w:rPr>
                        <w:rFonts w:ascii="Cambria Math" w:hAnsi="Cambria Math"/>
                        <w:i/>
                        <w:color w:val="000000"/>
                        <w:sz w:val="24"/>
                        <w:szCs w:val="24"/>
                      </w:rPr>
                    </m:ctrlPr>
                  </m:e>
                  <m:sub>
                    <m:r>
                      <m:rPr/>
                      <w:rPr>
                        <w:rFonts w:hint="eastAsia" w:ascii="Cambria Math" w:hAnsi="Cambria Math"/>
                        <w:color w:val="000000"/>
                        <w:sz w:val="24"/>
                        <w:szCs w:val="24"/>
                      </w:rPr>
                      <m:t>A</m:t>
                    </m:r>
                    <m:ctrlPr>
                      <w:rPr>
                        <w:rFonts w:ascii="Cambria Math" w:hAnsi="Cambria Math"/>
                        <w:i/>
                        <w:color w:val="000000"/>
                        <w:sz w:val="24"/>
                        <w:szCs w:val="24"/>
                      </w:rPr>
                    </m:ctrlPr>
                  </m:sub>
                  <m:sup>
                    <m:r>
                      <m:rPr/>
                      <w:rPr>
                        <w:rFonts w:ascii="Cambria Math" w:hAnsi="Cambria Math"/>
                        <w:color w:val="000000"/>
                        <w:sz w:val="24"/>
                        <w:szCs w:val="24"/>
                      </w:rPr>
                      <m:t>2</m:t>
                    </m:r>
                    <m:ctrlPr>
                      <w:rPr>
                        <w:rFonts w:ascii="Cambria Math" w:hAnsi="Cambria Math"/>
                        <w:i/>
                        <w:color w:val="000000"/>
                        <w:sz w:val="24"/>
                        <w:szCs w:val="24"/>
                      </w:rPr>
                    </m:ctrlPr>
                  </m:sup>
                </m:sSubSup>
              </m:oMath>
            </m:oMathPara>
          </w:p>
        </w:tc>
        <w:tc>
          <w:tcPr>
            <w:tcW w:w="5122" w:type="dxa"/>
            <w:vAlign w:val="center"/>
          </w:tcPr>
          <w:p>
            <w:pPr>
              <w:snapToGrid w:val="0"/>
              <w:spacing w:line="360" w:lineRule="auto"/>
              <w:jc w:val="center"/>
            </w:pPr>
            <w:r>
              <w:rPr>
                <w:rFonts w:hint="eastAsia"/>
              </w:rPr>
              <w:t>算术平均值的卡方统计量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vMerge w:val="continue"/>
          </w:tcPr>
          <w:p>
            <w:pPr>
              <w:snapToGrid w:val="0"/>
              <w:spacing w:line="360" w:lineRule="auto"/>
              <w:jc w:val="center"/>
              <w:rPr>
                <w:color w:val="000000"/>
                <w:sz w:val="24"/>
                <w:szCs w:val="24"/>
              </w:rPr>
            </w:pPr>
          </w:p>
        </w:tc>
        <w:tc>
          <w:tcPr>
            <w:tcW w:w="1795" w:type="dxa"/>
            <w:vAlign w:val="center"/>
          </w:tcPr>
          <w:p>
            <w:pPr>
              <w:snapToGrid w:val="0"/>
              <w:spacing w:line="360" w:lineRule="auto"/>
              <w:jc w:val="center"/>
              <w:rPr>
                <w:color w:val="000000"/>
                <w:sz w:val="24"/>
                <w:szCs w:val="24"/>
              </w:rPr>
            </w:pPr>
            <m:oMathPara>
              <m:oMath>
                <m:sSubSup>
                  <m:sSubSupPr>
                    <m:ctrlPr>
                      <w:rPr>
                        <w:rFonts w:ascii="Cambria Math" w:hAnsi="Cambria Math"/>
                        <w:i/>
                        <w:color w:val="000000"/>
                        <w:sz w:val="24"/>
                        <w:szCs w:val="24"/>
                      </w:rPr>
                    </m:ctrlPr>
                  </m:sSubSupPr>
                  <m:e>
                    <m:r>
                      <m:rPr/>
                      <w:rPr>
                        <w:rFonts w:ascii="Cambria Math" w:hAnsi="Cambria Math"/>
                        <w:color w:val="000000"/>
                        <w:sz w:val="24"/>
                        <w:szCs w:val="24"/>
                      </w:rPr>
                      <m:t>χ</m:t>
                    </m:r>
                    <m:ctrlPr>
                      <w:rPr>
                        <w:rFonts w:ascii="Cambria Math" w:hAnsi="Cambria Math"/>
                        <w:i/>
                        <w:color w:val="000000"/>
                        <w:sz w:val="24"/>
                        <w:szCs w:val="24"/>
                      </w:rPr>
                    </m:ctrlPr>
                  </m:e>
                  <m:sub>
                    <m:r>
                      <m:rPr/>
                      <w:rPr>
                        <w:rFonts w:hint="eastAsia" w:ascii="Cambria Math" w:hAnsi="Cambria Math"/>
                        <w:color w:val="000000"/>
                        <w:sz w:val="24"/>
                        <w:szCs w:val="24"/>
                      </w:rPr>
                      <m:t>n</m:t>
                    </m:r>
                    <m:r>
                      <m:rPr/>
                      <w:rPr>
                        <w:rFonts w:hint="eastAsia" w:ascii="Cambria Math" w:hAnsi="Cambria Math" w:eastAsia="微软雅黑" w:cs="微软雅黑"/>
                        <w:color w:val="000000"/>
                        <w:sz w:val="24"/>
                        <w:szCs w:val="24"/>
                      </w:rPr>
                      <m:t>−</m:t>
                    </m:r>
                    <m:r>
                      <m:rPr/>
                      <w:rPr>
                        <w:rFonts w:hint="eastAsia" w:ascii="Cambria Math" w:hAnsi="Cambria Math"/>
                        <w:color w:val="000000"/>
                        <w:sz w:val="24"/>
                        <w:szCs w:val="24"/>
                      </w:rPr>
                      <m:t>1，</m:t>
                    </m:r>
                    <m:r>
                      <m:rPr/>
                      <w:rPr>
                        <w:rFonts w:ascii="Cambria Math" w:hAnsi="Cambria Math"/>
                        <w:color w:val="000000"/>
                        <w:sz w:val="24"/>
                        <w:szCs w:val="24"/>
                      </w:rPr>
                      <m:t>0.95</m:t>
                    </m:r>
                    <m:ctrlPr>
                      <w:rPr>
                        <w:rFonts w:ascii="Cambria Math" w:hAnsi="Cambria Math"/>
                        <w:i/>
                        <w:color w:val="000000"/>
                        <w:sz w:val="24"/>
                        <w:szCs w:val="24"/>
                      </w:rPr>
                    </m:ctrlPr>
                  </m:sub>
                  <m:sup>
                    <m:r>
                      <m:rPr/>
                      <w:rPr>
                        <w:rFonts w:ascii="Cambria Math" w:hAnsi="Cambria Math"/>
                        <w:color w:val="000000"/>
                        <w:sz w:val="24"/>
                        <w:szCs w:val="24"/>
                      </w:rPr>
                      <m:t>2</m:t>
                    </m:r>
                    <m:ctrlPr>
                      <w:rPr>
                        <w:rFonts w:ascii="Cambria Math" w:hAnsi="Cambria Math"/>
                        <w:i/>
                        <w:color w:val="000000"/>
                        <w:sz w:val="24"/>
                        <w:szCs w:val="24"/>
                      </w:rPr>
                    </m:ctrlPr>
                  </m:sup>
                </m:sSubSup>
              </m:oMath>
            </m:oMathPara>
          </w:p>
        </w:tc>
        <w:tc>
          <w:tcPr>
            <w:tcW w:w="5122" w:type="dxa"/>
            <w:vAlign w:val="center"/>
          </w:tcPr>
          <w:p>
            <w:pPr>
              <w:snapToGrid w:val="0"/>
              <w:spacing w:line="360" w:lineRule="auto"/>
              <w:jc w:val="center"/>
            </w:pPr>
            <w:r>
              <w:rPr>
                <w:rFonts w:hint="eastAsia"/>
              </w:rPr>
              <w:t>自由度为</w:t>
            </w:r>
            <w:r>
              <w:rPr>
                <w:rFonts w:hint="eastAsia"/>
                <w:i/>
              </w:rPr>
              <w:t>n</w:t>
            </w:r>
            <w:r>
              <w:rPr>
                <w:rFonts w:hint="eastAsia"/>
              </w:rPr>
              <w:t>-1的卡方分布0</w:t>
            </w:r>
            <w:r>
              <w:t>.95</w:t>
            </w:r>
            <w:r>
              <w:rPr>
                <w:rFonts w:hint="eastAsia"/>
              </w:rPr>
              <w:t>分位点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vMerge w:val="restart"/>
          </w:tcPr>
          <w:p>
            <w:pPr>
              <w:snapToGrid w:val="0"/>
              <w:spacing w:line="360" w:lineRule="auto"/>
              <w:jc w:val="center"/>
              <w:rPr>
                <w:color w:val="000000"/>
                <w:sz w:val="24"/>
                <w:szCs w:val="24"/>
              </w:rPr>
            </w:pPr>
            <w:r>
              <w:rPr>
                <w:rFonts w:hint="eastAsia"/>
                <w:color w:val="000000"/>
                <w:sz w:val="24"/>
                <w:szCs w:val="24"/>
              </w:rPr>
              <w:t>结果评价类</w:t>
            </w:r>
          </w:p>
        </w:tc>
        <w:tc>
          <w:tcPr>
            <w:tcW w:w="1795" w:type="dxa"/>
            <w:vAlign w:val="center"/>
          </w:tcPr>
          <w:p>
            <w:pPr>
              <w:snapToGrid w:val="0"/>
              <w:spacing w:line="360" w:lineRule="auto"/>
              <w:jc w:val="center"/>
              <w:rPr>
                <w:color w:val="000000"/>
                <w:sz w:val="24"/>
                <w:szCs w:val="24"/>
              </w:rPr>
            </w:pPr>
            <m:oMathPara>
              <m:oMath>
                <m:sSub>
                  <m:sSubPr>
                    <m:ctrlPr>
                      <w:rPr>
                        <w:rFonts w:ascii="Cambria Math" w:hAnsi="Cambria Math"/>
                        <w:i/>
                        <w:color w:val="000000"/>
                        <w:sz w:val="24"/>
                        <w:szCs w:val="24"/>
                      </w:rPr>
                    </m:ctrlPr>
                  </m:sSubPr>
                  <m:e>
                    <m:r>
                      <m:rPr/>
                      <w:rPr>
                        <w:rFonts w:hint="eastAsia" w:ascii="Cambria Math" w:hAnsi="Cambria Math"/>
                        <w:color w:val="000000"/>
                        <w:sz w:val="24"/>
                        <w:szCs w:val="24"/>
                      </w:rPr>
                      <m:t>d</m:t>
                    </m:r>
                    <m:ctrlPr>
                      <w:rPr>
                        <w:rFonts w:ascii="Cambria Math" w:hAnsi="Cambria Math"/>
                        <w:i/>
                        <w:color w:val="000000"/>
                        <w:sz w:val="24"/>
                        <w:szCs w:val="24"/>
                      </w:rPr>
                    </m:ctrlPr>
                  </m:e>
                  <m:sub>
                    <m:r>
                      <m:rPr/>
                      <w:rPr>
                        <w:rFonts w:ascii="Cambria Math" w:hAnsi="Cambria Math"/>
                        <w:color w:val="000000"/>
                        <w:sz w:val="24"/>
                        <w:szCs w:val="24"/>
                      </w:rPr>
                      <m:t>i</m:t>
                    </m:r>
                    <m:ctrlPr>
                      <w:rPr>
                        <w:rFonts w:ascii="Cambria Math" w:hAnsi="Cambria Math"/>
                        <w:i/>
                        <w:color w:val="000000"/>
                        <w:sz w:val="24"/>
                        <w:szCs w:val="24"/>
                      </w:rPr>
                    </m:ctrlPr>
                  </m:sub>
                </m:sSub>
              </m:oMath>
            </m:oMathPara>
          </w:p>
        </w:tc>
        <w:tc>
          <w:tcPr>
            <w:tcW w:w="5122" w:type="dxa"/>
            <w:vAlign w:val="center"/>
          </w:tcPr>
          <w:p>
            <w:pPr>
              <w:snapToGrid w:val="0"/>
              <w:spacing w:line="360" w:lineRule="auto"/>
              <w:jc w:val="center"/>
            </w:pPr>
            <w:r>
              <w:rPr>
                <w:rFonts w:hint="eastAsia"/>
              </w:rPr>
              <w:t>第</w:t>
            </w:r>
            <w:r>
              <w:rPr>
                <w:rFonts w:hint="eastAsia"/>
                <w:i/>
                <w:iCs/>
              </w:rPr>
              <w:t>i</w:t>
            </w:r>
            <w:r>
              <w:rPr>
                <w:rFonts w:hint="eastAsia"/>
              </w:rPr>
              <w:t>个参比实验室结果的等效度，为测量结果与参考值的差值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vMerge w:val="continue"/>
          </w:tcPr>
          <w:p>
            <w:pPr>
              <w:snapToGrid w:val="0"/>
              <w:spacing w:line="360" w:lineRule="auto"/>
              <w:jc w:val="center"/>
              <w:rPr>
                <w:i/>
                <w:sz w:val="24"/>
              </w:rPr>
            </w:pPr>
          </w:p>
        </w:tc>
        <w:tc>
          <w:tcPr>
            <w:tcW w:w="1795" w:type="dxa"/>
            <w:vAlign w:val="center"/>
          </w:tcPr>
          <w:p>
            <w:pPr>
              <w:snapToGrid w:val="0"/>
              <w:spacing w:line="360" w:lineRule="auto"/>
              <w:jc w:val="center"/>
              <w:rPr>
                <w:color w:val="000000"/>
                <w:sz w:val="24"/>
                <w:szCs w:val="24"/>
              </w:rPr>
            </w:pPr>
            <w:r>
              <w:rPr>
                <w:i/>
                <w:sz w:val="24"/>
              </w:rPr>
              <w:t>E</w:t>
            </w:r>
            <w:r>
              <w:rPr>
                <w:sz w:val="24"/>
                <w:vertAlign w:val="subscript"/>
              </w:rPr>
              <w:t>n</w:t>
            </w:r>
          </w:p>
        </w:tc>
        <w:tc>
          <w:tcPr>
            <w:tcW w:w="5122" w:type="dxa"/>
            <w:vAlign w:val="center"/>
          </w:tcPr>
          <w:p>
            <w:pPr>
              <w:snapToGrid w:val="0"/>
              <w:spacing w:line="360" w:lineRule="auto"/>
              <w:jc w:val="center"/>
            </w:pPr>
            <w:r>
              <w:rPr>
                <w:rFonts w:hint="eastAsia"/>
              </w:rPr>
              <w:t>归一化偏差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6" w:type="dxa"/>
            <w:vMerge w:val="continue"/>
          </w:tcPr>
          <w:p>
            <w:pPr>
              <w:snapToGrid w:val="0"/>
              <w:spacing w:line="360" w:lineRule="auto"/>
              <w:jc w:val="center"/>
              <w:rPr>
                <w:i/>
                <w:sz w:val="24"/>
              </w:rPr>
            </w:pPr>
          </w:p>
        </w:tc>
        <w:tc>
          <w:tcPr>
            <w:tcW w:w="1795" w:type="dxa"/>
            <w:vAlign w:val="center"/>
          </w:tcPr>
          <w:p>
            <w:pPr>
              <w:snapToGrid w:val="0"/>
              <w:spacing w:line="360" w:lineRule="auto"/>
              <w:jc w:val="center"/>
              <w:rPr>
                <w:iCs/>
                <w:color w:val="000000"/>
                <w:sz w:val="24"/>
                <w:szCs w:val="24"/>
              </w:rPr>
            </w:pPr>
            <w:r>
              <w:rPr>
                <w:iCs/>
                <w:sz w:val="24"/>
              </w:rPr>
              <w:t>Z</w:t>
            </w:r>
          </w:p>
        </w:tc>
        <w:tc>
          <w:tcPr>
            <w:tcW w:w="5122" w:type="dxa"/>
            <w:vAlign w:val="center"/>
          </w:tcPr>
          <w:p>
            <w:pPr>
              <w:snapToGrid w:val="0"/>
              <w:spacing w:line="360" w:lineRule="auto"/>
              <w:jc w:val="center"/>
            </w:pPr>
            <w:r>
              <w:rPr>
                <w:rFonts w:hint="eastAsia"/>
                <w:i/>
              </w:rPr>
              <w:t>Z</w:t>
            </w:r>
            <w:r>
              <w:rPr>
                <w:rFonts w:hint="eastAsia"/>
              </w:rPr>
              <w:t>比分数</w:t>
            </w:r>
          </w:p>
        </w:tc>
      </w:tr>
    </w:tbl>
    <w:p>
      <w:pPr>
        <w:pStyle w:val="50"/>
        <w:spacing w:line="360" w:lineRule="auto"/>
        <w:jc w:val="center"/>
        <w:rPr>
          <w:rFonts w:hint="eastAsia"/>
          <w:sz w:val="24"/>
          <w:szCs w:val="24"/>
        </w:rPr>
      </w:pPr>
    </w:p>
    <w:sectPr>
      <w:pgSz w:w="11906" w:h="16838"/>
      <w:pgMar w:top="1440" w:right="1616" w:bottom="1440" w:left="1797"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ECACFI+Arial,Bold">
    <w:altName w:val="宋体"/>
    <w:panose1 w:val="00000000000000000000"/>
    <w:charset w:val="86"/>
    <w:family w:val="swiss"/>
    <w:pitch w:val="default"/>
    <w:sig w:usb0="00000000" w:usb1="00000000" w:usb2="00000010" w:usb3="00000000" w:csb0="00040000" w:csb1="00000000"/>
  </w:font>
  <w:font w:name="楷体_GB2312">
    <w:altName w:val="楷体"/>
    <w:panose1 w:val="00000000000000000000"/>
    <w:charset w:val="86"/>
    <w:family w:val="modern"/>
    <w:pitch w:val="default"/>
    <w:sig w:usb0="00000000" w:usb1="00000000" w:usb2="00000010" w:usb3="00000000" w:csb0="00040000" w:csb1="00000000"/>
  </w:font>
  <w:font w:name="仿宋_GB2312">
    <w:altName w:val="仿宋"/>
    <w:panose1 w:val="00000000000000000000"/>
    <w:charset w:val="86"/>
    <w:family w:val="modern"/>
    <w:pitch w:val="default"/>
    <w:sig w:usb0="00000000" w:usb1="00000000" w:usb2="00000010" w:usb3="00000000" w:csb0="00040000" w:csb1="00000000"/>
  </w:font>
  <w:font w:name="宋体-18030">
    <w:altName w:val="宋体"/>
    <w:panose1 w:val="00000000000000000000"/>
    <w:charset w:val="86"/>
    <w:family w:val="modern"/>
    <w:pitch w:val="default"/>
    <w:sig w:usb0="00000000" w:usb1="00000000" w:usb2="000A005E" w:usb3="00000000" w:csb0="00040001" w:csb1="00000000"/>
  </w:font>
  <w:font w:name="Cambria Math">
    <w:panose1 w:val="02040503050406030204"/>
    <w:charset w:val="00"/>
    <w:family w:val="roman"/>
    <w:pitch w:val="default"/>
    <w:sig w:usb0="E00006FF" w:usb1="420024FF" w:usb2="02000000" w:usb3="00000000" w:csb0="2000019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Yu Gothic UI Semilight">
    <w:panose1 w:val="020B0400000000000000"/>
    <w:charset w:val="80"/>
    <w:family w:val="swiss"/>
    <w:pitch w:val="default"/>
    <w:sig w:usb0="E00002FF" w:usb1="2AC7FDFF" w:usb2="00000016" w:usb3="00000000" w:csb0="2002009F" w:csb1="00000000"/>
  </w:font>
  <w:font w:name="方正小标宋简体">
    <w:altName w:val="方正舒体"/>
    <w:panose1 w:val="00000000000000000000"/>
    <w:charset w:val="86"/>
    <w:family w:val="script"/>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方正舒体">
    <w:panose1 w:val="02010601030101010101"/>
    <w:charset w:val="86"/>
    <w:family w:val="auto"/>
    <w:pitch w:val="default"/>
    <w:sig w:usb0="00000003"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jc w:val="center"/>
    </w:pPr>
    <w:r>
      <w:fldChar w:fldCharType="begin"/>
    </w:r>
    <w:r>
      <w:rPr>
        <w:rStyle w:val="23"/>
      </w:rPr>
      <w:instrText xml:space="preserve"> PAGE </w:instrText>
    </w:r>
    <w:r>
      <w:fldChar w:fldCharType="separate"/>
    </w:r>
    <w:r>
      <w:rPr>
        <w:rStyle w:val="23"/>
      </w:rPr>
      <w:t>20</w:t>
    </w:r>
    <w: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49751F0"/>
    <w:multiLevelType w:val="multilevel"/>
    <w:tmpl w:val="049751F0"/>
    <w:lvl w:ilvl="0" w:tentative="0">
      <w:start w:val="6"/>
      <w:numFmt w:val="decimal"/>
      <w:lvlText w:val="%1"/>
      <w:lvlJc w:val="left"/>
      <w:pPr>
        <w:ind w:left="480" w:hanging="480"/>
      </w:pPr>
      <w:rPr>
        <w:rFonts w:hint="default"/>
      </w:rPr>
    </w:lvl>
    <w:lvl w:ilvl="1" w:tentative="0">
      <w:start w:val="5"/>
      <w:numFmt w:val="decimal"/>
      <w:lvlText w:val="%1.%2"/>
      <w:lvlJc w:val="left"/>
      <w:pPr>
        <w:ind w:left="690" w:hanging="480"/>
      </w:pPr>
      <w:rPr>
        <w:rFonts w:hint="default"/>
      </w:rPr>
    </w:lvl>
    <w:lvl w:ilvl="2" w:tentative="0">
      <w:start w:val="4"/>
      <w:numFmt w:val="decimal"/>
      <w:lvlText w:val="%1.%2.%3"/>
      <w:lvlJc w:val="left"/>
      <w:pPr>
        <w:ind w:left="1140" w:hanging="720"/>
      </w:pPr>
      <w:rPr>
        <w:rFonts w:hint="default"/>
      </w:rPr>
    </w:lvl>
    <w:lvl w:ilvl="3" w:tentative="0">
      <w:start w:val="1"/>
      <w:numFmt w:val="decimal"/>
      <w:lvlText w:val="%1.%2.%3.%4"/>
      <w:lvlJc w:val="left"/>
      <w:pPr>
        <w:ind w:left="1350" w:hanging="720"/>
      </w:pPr>
      <w:rPr>
        <w:rFonts w:hint="default"/>
      </w:rPr>
    </w:lvl>
    <w:lvl w:ilvl="4" w:tentative="0">
      <w:start w:val="1"/>
      <w:numFmt w:val="decimal"/>
      <w:lvlText w:val="%1.%2.%3.%4.%5"/>
      <w:lvlJc w:val="left"/>
      <w:pPr>
        <w:ind w:left="1920" w:hanging="1080"/>
      </w:pPr>
      <w:rPr>
        <w:rFonts w:hint="default"/>
      </w:rPr>
    </w:lvl>
    <w:lvl w:ilvl="5" w:tentative="0">
      <w:start w:val="1"/>
      <w:numFmt w:val="decimal"/>
      <w:lvlText w:val="%1.%2.%3.%4.%5.%6"/>
      <w:lvlJc w:val="left"/>
      <w:pPr>
        <w:ind w:left="2130" w:hanging="1080"/>
      </w:pPr>
      <w:rPr>
        <w:rFonts w:hint="default"/>
      </w:rPr>
    </w:lvl>
    <w:lvl w:ilvl="6" w:tentative="0">
      <w:start w:val="1"/>
      <w:numFmt w:val="decimal"/>
      <w:lvlText w:val="%1.%2.%3.%4.%5.%6.%7"/>
      <w:lvlJc w:val="left"/>
      <w:pPr>
        <w:ind w:left="2700" w:hanging="1440"/>
      </w:pPr>
      <w:rPr>
        <w:rFonts w:hint="default"/>
      </w:rPr>
    </w:lvl>
    <w:lvl w:ilvl="7" w:tentative="0">
      <w:start w:val="1"/>
      <w:numFmt w:val="decimal"/>
      <w:lvlText w:val="%1.%2.%3.%4.%5.%6.%7.%8"/>
      <w:lvlJc w:val="left"/>
      <w:pPr>
        <w:ind w:left="2910" w:hanging="1440"/>
      </w:pPr>
      <w:rPr>
        <w:rFonts w:hint="default"/>
      </w:rPr>
    </w:lvl>
    <w:lvl w:ilvl="8" w:tentative="0">
      <w:start w:val="1"/>
      <w:numFmt w:val="decimal"/>
      <w:lvlText w:val="%1.%2.%3.%4.%5.%6.%7.%8.%9"/>
      <w:lvlJc w:val="left"/>
      <w:pPr>
        <w:ind w:left="3480" w:hanging="1800"/>
      </w:pPr>
      <w:rPr>
        <w:rFonts w:hint="default"/>
      </w:rPr>
    </w:lvl>
  </w:abstractNum>
  <w:abstractNum w:abstractNumId="1">
    <w:nsid w:val="68B118DB"/>
    <w:multiLevelType w:val="multilevel"/>
    <w:tmpl w:val="68B118DB"/>
    <w:lvl w:ilvl="0" w:tentative="0">
      <w:start w:val="4"/>
      <w:numFmt w:val="decimal"/>
      <w:lvlText w:val="%1"/>
      <w:lvlJc w:val="left"/>
      <w:pPr>
        <w:ind w:left="360" w:hanging="360"/>
      </w:pPr>
      <w:rPr>
        <w:rFonts w:hint="default"/>
      </w:rPr>
    </w:lvl>
    <w:lvl w:ilvl="1" w:tentative="0">
      <w:start w:val="1"/>
      <w:numFmt w:val="decimal"/>
      <w:lvlText w:val="%1.%2"/>
      <w:lvlJc w:val="left"/>
      <w:pPr>
        <w:ind w:left="360" w:hanging="360"/>
      </w:pPr>
      <w:rPr>
        <w:rFonts w:hint="default"/>
      </w:rPr>
    </w:lvl>
    <w:lvl w:ilvl="2" w:tentative="0">
      <w:start w:val="1"/>
      <w:numFmt w:val="decimal"/>
      <w:lvlText w:val="%1.%2.%3"/>
      <w:lvlJc w:val="left"/>
      <w:pPr>
        <w:ind w:left="720" w:hanging="720"/>
      </w:pPr>
      <w:rPr>
        <w:rFonts w:hint="default"/>
      </w:rPr>
    </w:lvl>
    <w:lvl w:ilvl="3" w:tentative="0">
      <w:start w:val="1"/>
      <w:numFmt w:val="decimal"/>
      <w:lvlText w:val="%1.%2.%3.%4"/>
      <w:lvlJc w:val="left"/>
      <w:pPr>
        <w:ind w:left="720" w:hanging="720"/>
      </w:pPr>
      <w:rPr>
        <w:rFonts w:hint="default"/>
      </w:rPr>
    </w:lvl>
    <w:lvl w:ilvl="4" w:tentative="0">
      <w:start w:val="1"/>
      <w:numFmt w:val="decimal"/>
      <w:lvlText w:val="%1.%2.%3.%4.%5"/>
      <w:lvlJc w:val="left"/>
      <w:pPr>
        <w:ind w:left="1080" w:hanging="1080"/>
      </w:pPr>
      <w:rPr>
        <w:rFonts w:hint="default"/>
      </w:rPr>
    </w:lvl>
    <w:lvl w:ilvl="5" w:tentative="0">
      <w:start w:val="1"/>
      <w:numFmt w:val="decimal"/>
      <w:lvlText w:val="%1.%2.%3.%4.%5.%6"/>
      <w:lvlJc w:val="left"/>
      <w:pPr>
        <w:ind w:left="1080" w:hanging="1080"/>
      </w:pPr>
      <w:rPr>
        <w:rFonts w:hint="default"/>
      </w:rPr>
    </w:lvl>
    <w:lvl w:ilvl="6" w:tentative="0">
      <w:start w:val="1"/>
      <w:numFmt w:val="decimal"/>
      <w:lvlText w:val="%1.%2.%3.%4.%5.%6.%7"/>
      <w:lvlJc w:val="left"/>
      <w:pPr>
        <w:ind w:left="1440" w:hanging="1440"/>
      </w:pPr>
      <w:rPr>
        <w:rFonts w:hint="default"/>
      </w:rPr>
    </w:lvl>
    <w:lvl w:ilvl="7" w:tentative="0">
      <w:start w:val="1"/>
      <w:numFmt w:val="decimal"/>
      <w:lvlText w:val="%1.%2.%3.%4.%5.%6.%7.%8"/>
      <w:lvlJc w:val="left"/>
      <w:pPr>
        <w:ind w:left="1440" w:hanging="1440"/>
      </w:pPr>
      <w:rPr>
        <w:rFonts w:hint="default"/>
      </w:rPr>
    </w:lvl>
    <w:lvl w:ilvl="8" w:tentative="0">
      <w:start w:val="1"/>
      <w:numFmt w:val="decimal"/>
      <w:lvlText w:val="%1.%2.%3.%4.%5.%6.%7.%8.%9"/>
      <w:lvlJc w:val="left"/>
      <w:pPr>
        <w:ind w:left="1800" w:hanging="1800"/>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90"/>
  <w:bordersDoNotSurroundHeader w:val="1"/>
  <w:bordersDoNotSurroundFooter w:val="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1"/>
  <w:documentProtection w:enforcement="0"/>
  <w:defaultTabStop w:val="420"/>
  <w:drawingGridHorizontalSpacing w:val="2"/>
  <w:drawingGridVerticalSpacing w:val="3"/>
  <w:noPunctuationKerning w:val="1"/>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g0Y2NiOWIyYjFiNmE2ZDY3ZDc0N2M2ZTIxNTg2NGQifQ=="/>
  </w:docVars>
  <w:rsids>
    <w:rsidRoot w:val="00172A27"/>
    <w:rsid w:val="000001FB"/>
    <w:rsid w:val="0000055C"/>
    <w:rsid w:val="000027BB"/>
    <w:rsid w:val="000042C1"/>
    <w:rsid w:val="00005BD3"/>
    <w:rsid w:val="0000614C"/>
    <w:rsid w:val="0000649D"/>
    <w:rsid w:val="00006854"/>
    <w:rsid w:val="00007B52"/>
    <w:rsid w:val="000135FE"/>
    <w:rsid w:val="00021DAC"/>
    <w:rsid w:val="00031B90"/>
    <w:rsid w:val="00033788"/>
    <w:rsid w:val="00034065"/>
    <w:rsid w:val="000359A5"/>
    <w:rsid w:val="00036ABE"/>
    <w:rsid w:val="000370DC"/>
    <w:rsid w:val="00040EEF"/>
    <w:rsid w:val="000472A0"/>
    <w:rsid w:val="00050EB0"/>
    <w:rsid w:val="0005257E"/>
    <w:rsid w:val="00055C1A"/>
    <w:rsid w:val="0006104A"/>
    <w:rsid w:val="000613A0"/>
    <w:rsid w:val="000619BF"/>
    <w:rsid w:val="000643C1"/>
    <w:rsid w:val="000643D4"/>
    <w:rsid w:val="000649C1"/>
    <w:rsid w:val="000650D6"/>
    <w:rsid w:val="000714C9"/>
    <w:rsid w:val="00072DFF"/>
    <w:rsid w:val="00076178"/>
    <w:rsid w:val="000806B5"/>
    <w:rsid w:val="0008128C"/>
    <w:rsid w:val="00085C58"/>
    <w:rsid w:val="0009315D"/>
    <w:rsid w:val="0009340B"/>
    <w:rsid w:val="000947AE"/>
    <w:rsid w:val="000956FF"/>
    <w:rsid w:val="00096223"/>
    <w:rsid w:val="000A07F9"/>
    <w:rsid w:val="000A227B"/>
    <w:rsid w:val="000A272D"/>
    <w:rsid w:val="000A7F97"/>
    <w:rsid w:val="000C3644"/>
    <w:rsid w:val="000C506F"/>
    <w:rsid w:val="000C5712"/>
    <w:rsid w:val="000C76C1"/>
    <w:rsid w:val="000E02D2"/>
    <w:rsid w:val="000E2D23"/>
    <w:rsid w:val="000E3327"/>
    <w:rsid w:val="000E49CB"/>
    <w:rsid w:val="000E5257"/>
    <w:rsid w:val="000F2CF6"/>
    <w:rsid w:val="000F491B"/>
    <w:rsid w:val="001010ED"/>
    <w:rsid w:val="00103F5E"/>
    <w:rsid w:val="001073F0"/>
    <w:rsid w:val="00110843"/>
    <w:rsid w:val="00112A8C"/>
    <w:rsid w:val="001175F2"/>
    <w:rsid w:val="00121EB0"/>
    <w:rsid w:val="00130FAB"/>
    <w:rsid w:val="00131843"/>
    <w:rsid w:val="00135DDA"/>
    <w:rsid w:val="001505EB"/>
    <w:rsid w:val="0015095C"/>
    <w:rsid w:val="00150AE8"/>
    <w:rsid w:val="00151929"/>
    <w:rsid w:val="001531B8"/>
    <w:rsid w:val="00153C49"/>
    <w:rsid w:val="00157D46"/>
    <w:rsid w:val="00160C9B"/>
    <w:rsid w:val="00163DE8"/>
    <w:rsid w:val="001647B6"/>
    <w:rsid w:val="00164AE5"/>
    <w:rsid w:val="00172A27"/>
    <w:rsid w:val="0017796E"/>
    <w:rsid w:val="00177A07"/>
    <w:rsid w:val="00182D7C"/>
    <w:rsid w:val="00183EC1"/>
    <w:rsid w:val="00187A2C"/>
    <w:rsid w:val="00191226"/>
    <w:rsid w:val="00192F85"/>
    <w:rsid w:val="001971FE"/>
    <w:rsid w:val="001A11BD"/>
    <w:rsid w:val="001A2569"/>
    <w:rsid w:val="001A3023"/>
    <w:rsid w:val="001A4226"/>
    <w:rsid w:val="001B01D2"/>
    <w:rsid w:val="001B0698"/>
    <w:rsid w:val="001B14A5"/>
    <w:rsid w:val="001B3C4A"/>
    <w:rsid w:val="001B4A84"/>
    <w:rsid w:val="001B5023"/>
    <w:rsid w:val="001C2548"/>
    <w:rsid w:val="001C2563"/>
    <w:rsid w:val="001C409D"/>
    <w:rsid w:val="001C6259"/>
    <w:rsid w:val="001D0796"/>
    <w:rsid w:val="001D2DC5"/>
    <w:rsid w:val="001D75B2"/>
    <w:rsid w:val="001D7B9E"/>
    <w:rsid w:val="001E3BEA"/>
    <w:rsid w:val="001E4D54"/>
    <w:rsid w:val="001F1E59"/>
    <w:rsid w:val="001F4197"/>
    <w:rsid w:val="001F628E"/>
    <w:rsid w:val="0021268B"/>
    <w:rsid w:val="00215EB0"/>
    <w:rsid w:val="00222056"/>
    <w:rsid w:val="00227F7F"/>
    <w:rsid w:val="00233C8F"/>
    <w:rsid w:val="00234704"/>
    <w:rsid w:val="00236EA6"/>
    <w:rsid w:val="00240EE3"/>
    <w:rsid w:val="00244298"/>
    <w:rsid w:val="002447E3"/>
    <w:rsid w:val="00252C48"/>
    <w:rsid w:val="00264369"/>
    <w:rsid w:val="00264694"/>
    <w:rsid w:val="00272413"/>
    <w:rsid w:val="00272AEC"/>
    <w:rsid w:val="00272F87"/>
    <w:rsid w:val="0027331D"/>
    <w:rsid w:val="00275430"/>
    <w:rsid w:val="00282478"/>
    <w:rsid w:val="00283F55"/>
    <w:rsid w:val="00286441"/>
    <w:rsid w:val="00290818"/>
    <w:rsid w:val="00290D6C"/>
    <w:rsid w:val="00290E30"/>
    <w:rsid w:val="002912C4"/>
    <w:rsid w:val="002923BA"/>
    <w:rsid w:val="002A26A2"/>
    <w:rsid w:val="002A3DA4"/>
    <w:rsid w:val="002B32E2"/>
    <w:rsid w:val="002B71C2"/>
    <w:rsid w:val="002B7F7E"/>
    <w:rsid w:val="002C13E3"/>
    <w:rsid w:val="002C2225"/>
    <w:rsid w:val="002D0BB1"/>
    <w:rsid w:val="002F0199"/>
    <w:rsid w:val="002F172C"/>
    <w:rsid w:val="0030115D"/>
    <w:rsid w:val="0030478B"/>
    <w:rsid w:val="00306449"/>
    <w:rsid w:val="00306AC9"/>
    <w:rsid w:val="00307A2F"/>
    <w:rsid w:val="003107C0"/>
    <w:rsid w:val="00311F39"/>
    <w:rsid w:val="00313F70"/>
    <w:rsid w:val="00324AC4"/>
    <w:rsid w:val="00326D84"/>
    <w:rsid w:val="003305F7"/>
    <w:rsid w:val="00343AE4"/>
    <w:rsid w:val="00356298"/>
    <w:rsid w:val="0037522E"/>
    <w:rsid w:val="00376F9C"/>
    <w:rsid w:val="00377CF9"/>
    <w:rsid w:val="003806F1"/>
    <w:rsid w:val="00380AA6"/>
    <w:rsid w:val="00384D18"/>
    <w:rsid w:val="00387397"/>
    <w:rsid w:val="003878F5"/>
    <w:rsid w:val="00395D66"/>
    <w:rsid w:val="00396689"/>
    <w:rsid w:val="00397922"/>
    <w:rsid w:val="003A0778"/>
    <w:rsid w:val="003A25F1"/>
    <w:rsid w:val="003A5F56"/>
    <w:rsid w:val="003B321A"/>
    <w:rsid w:val="003B38FD"/>
    <w:rsid w:val="003B5748"/>
    <w:rsid w:val="003C0418"/>
    <w:rsid w:val="003C2A47"/>
    <w:rsid w:val="003C4817"/>
    <w:rsid w:val="003C6060"/>
    <w:rsid w:val="003C6323"/>
    <w:rsid w:val="003E0488"/>
    <w:rsid w:val="003E281B"/>
    <w:rsid w:val="003E5AF4"/>
    <w:rsid w:val="003E65F6"/>
    <w:rsid w:val="003F1EDE"/>
    <w:rsid w:val="003F2AD5"/>
    <w:rsid w:val="003F3061"/>
    <w:rsid w:val="00400938"/>
    <w:rsid w:val="00401EF7"/>
    <w:rsid w:val="0041247F"/>
    <w:rsid w:val="00413481"/>
    <w:rsid w:val="004134E4"/>
    <w:rsid w:val="00414073"/>
    <w:rsid w:val="0041451E"/>
    <w:rsid w:val="004222D4"/>
    <w:rsid w:val="00426827"/>
    <w:rsid w:val="00430AD2"/>
    <w:rsid w:val="00431F4E"/>
    <w:rsid w:val="0043558E"/>
    <w:rsid w:val="004412B7"/>
    <w:rsid w:val="00446E6C"/>
    <w:rsid w:val="00446EDC"/>
    <w:rsid w:val="0045331D"/>
    <w:rsid w:val="00466E19"/>
    <w:rsid w:val="00473F8D"/>
    <w:rsid w:val="00474C55"/>
    <w:rsid w:val="004762A8"/>
    <w:rsid w:val="00476FBF"/>
    <w:rsid w:val="00480153"/>
    <w:rsid w:val="00484061"/>
    <w:rsid w:val="0048470D"/>
    <w:rsid w:val="0048552A"/>
    <w:rsid w:val="004911AE"/>
    <w:rsid w:val="00492AA3"/>
    <w:rsid w:val="00495AB2"/>
    <w:rsid w:val="00496151"/>
    <w:rsid w:val="00496DED"/>
    <w:rsid w:val="00497FBF"/>
    <w:rsid w:val="004A0FC9"/>
    <w:rsid w:val="004A17AE"/>
    <w:rsid w:val="004A2096"/>
    <w:rsid w:val="004A270F"/>
    <w:rsid w:val="004A2C65"/>
    <w:rsid w:val="004A333A"/>
    <w:rsid w:val="004A6B48"/>
    <w:rsid w:val="004A6FBA"/>
    <w:rsid w:val="004B1457"/>
    <w:rsid w:val="004B1E6A"/>
    <w:rsid w:val="004B32EB"/>
    <w:rsid w:val="004B585C"/>
    <w:rsid w:val="004C0BD9"/>
    <w:rsid w:val="004C24A8"/>
    <w:rsid w:val="004C4C95"/>
    <w:rsid w:val="004C5ED6"/>
    <w:rsid w:val="004C6672"/>
    <w:rsid w:val="004D086A"/>
    <w:rsid w:val="004D1ECA"/>
    <w:rsid w:val="004D342A"/>
    <w:rsid w:val="004D4F71"/>
    <w:rsid w:val="004E0FBC"/>
    <w:rsid w:val="004E6C43"/>
    <w:rsid w:val="004E70DD"/>
    <w:rsid w:val="004F03F4"/>
    <w:rsid w:val="004F0446"/>
    <w:rsid w:val="004F0F78"/>
    <w:rsid w:val="004F184E"/>
    <w:rsid w:val="004F5CEA"/>
    <w:rsid w:val="004F622F"/>
    <w:rsid w:val="00501000"/>
    <w:rsid w:val="00502613"/>
    <w:rsid w:val="00507F79"/>
    <w:rsid w:val="005104B1"/>
    <w:rsid w:val="00510596"/>
    <w:rsid w:val="00511A23"/>
    <w:rsid w:val="00515789"/>
    <w:rsid w:val="00522A86"/>
    <w:rsid w:val="00525509"/>
    <w:rsid w:val="00525FD0"/>
    <w:rsid w:val="00526648"/>
    <w:rsid w:val="0052788D"/>
    <w:rsid w:val="005355B6"/>
    <w:rsid w:val="00536AF0"/>
    <w:rsid w:val="00536D46"/>
    <w:rsid w:val="005507B8"/>
    <w:rsid w:val="00561D99"/>
    <w:rsid w:val="00564E65"/>
    <w:rsid w:val="00564F8E"/>
    <w:rsid w:val="00567059"/>
    <w:rsid w:val="00571252"/>
    <w:rsid w:val="00572AC6"/>
    <w:rsid w:val="00574F9C"/>
    <w:rsid w:val="005768BC"/>
    <w:rsid w:val="00577C27"/>
    <w:rsid w:val="005822ED"/>
    <w:rsid w:val="0059581B"/>
    <w:rsid w:val="005A3A20"/>
    <w:rsid w:val="005A69CD"/>
    <w:rsid w:val="005B13E6"/>
    <w:rsid w:val="005B5F66"/>
    <w:rsid w:val="005B664A"/>
    <w:rsid w:val="005B7313"/>
    <w:rsid w:val="005C3CF3"/>
    <w:rsid w:val="005C644A"/>
    <w:rsid w:val="005C678F"/>
    <w:rsid w:val="005D0AF9"/>
    <w:rsid w:val="005D6993"/>
    <w:rsid w:val="005E2672"/>
    <w:rsid w:val="005E76C0"/>
    <w:rsid w:val="005E78FF"/>
    <w:rsid w:val="005F1E61"/>
    <w:rsid w:val="005F6A58"/>
    <w:rsid w:val="00606281"/>
    <w:rsid w:val="006109CB"/>
    <w:rsid w:val="00610C36"/>
    <w:rsid w:val="00610F13"/>
    <w:rsid w:val="00612580"/>
    <w:rsid w:val="00620E52"/>
    <w:rsid w:val="0062256A"/>
    <w:rsid w:val="00623B33"/>
    <w:rsid w:val="006248F5"/>
    <w:rsid w:val="00625CEC"/>
    <w:rsid w:val="0063335B"/>
    <w:rsid w:val="006337C1"/>
    <w:rsid w:val="00633AA4"/>
    <w:rsid w:val="0063726B"/>
    <w:rsid w:val="0064199C"/>
    <w:rsid w:val="0064254D"/>
    <w:rsid w:val="00642F47"/>
    <w:rsid w:val="00646533"/>
    <w:rsid w:val="00650079"/>
    <w:rsid w:val="00651028"/>
    <w:rsid w:val="0065646D"/>
    <w:rsid w:val="006616CD"/>
    <w:rsid w:val="0066184C"/>
    <w:rsid w:val="00662BC6"/>
    <w:rsid w:val="00664919"/>
    <w:rsid w:val="00666458"/>
    <w:rsid w:val="00673D35"/>
    <w:rsid w:val="006864F3"/>
    <w:rsid w:val="00687576"/>
    <w:rsid w:val="00690299"/>
    <w:rsid w:val="006908FA"/>
    <w:rsid w:val="0069345C"/>
    <w:rsid w:val="00695D16"/>
    <w:rsid w:val="006A022D"/>
    <w:rsid w:val="006B2521"/>
    <w:rsid w:val="006B642C"/>
    <w:rsid w:val="006C2EF7"/>
    <w:rsid w:val="006C3936"/>
    <w:rsid w:val="006C6E7A"/>
    <w:rsid w:val="006E1430"/>
    <w:rsid w:val="006E4BB9"/>
    <w:rsid w:val="006E79D8"/>
    <w:rsid w:val="006F41FE"/>
    <w:rsid w:val="006F56CA"/>
    <w:rsid w:val="006F65F0"/>
    <w:rsid w:val="0070358A"/>
    <w:rsid w:val="007066C5"/>
    <w:rsid w:val="007071A0"/>
    <w:rsid w:val="00712079"/>
    <w:rsid w:val="00715244"/>
    <w:rsid w:val="00717C59"/>
    <w:rsid w:val="00720FB2"/>
    <w:rsid w:val="007229D2"/>
    <w:rsid w:val="00723510"/>
    <w:rsid w:val="00723EFC"/>
    <w:rsid w:val="00726B3D"/>
    <w:rsid w:val="00727423"/>
    <w:rsid w:val="00736D80"/>
    <w:rsid w:val="007415A6"/>
    <w:rsid w:val="00750233"/>
    <w:rsid w:val="00750653"/>
    <w:rsid w:val="007511F5"/>
    <w:rsid w:val="00755D5D"/>
    <w:rsid w:val="0075658F"/>
    <w:rsid w:val="0075709E"/>
    <w:rsid w:val="007572E8"/>
    <w:rsid w:val="00765B6C"/>
    <w:rsid w:val="0076640A"/>
    <w:rsid w:val="00773C75"/>
    <w:rsid w:val="00776468"/>
    <w:rsid w:val="007811AA"/>
    <w:rsid w:val="00782083"/>
    <w:rsid w:val="00783058"/>
    <w:rsid w:val="00786FBF"/>
    <w:rsid w:val="0078705C"/>
    <w:rsid w:val="00791334"/>
    <w:rsid w:val="00791F36"/>
    <w:rsid w:val="00792890"/>
    <w:rsid w:val="007A2A6D"/>
    <w:rsid w:val="007A41F8"/>
    <w:rsid w:val="007B341B"/>
    <w:rsid w:val="007B6C3D"/>
    <w:rsid w:val="007C2C08"/>
    <w:rsid w:val="007C5369"/>
    <w:rsid w:val="007D1611"/>
    <w:rsid w:val="007D4275"/>
    <w:rsid w:val="007D5B6F"/>
    <w:rsid w:val="007D6060"/>
    <w:rsid w:val="007D6977"/>
    <w:rsid w:val="007D709D"/>
    <w:rsid w:val="007E34DF"/>
    <w:rsid w:val="00802B08"/>
    <w:rsid w:val="00816ED6"/>
    <w:rsid w:val="00817F50"/>
    <w:rsid w:val="008201DE"/>
    <w:rsid w:val="0083536F"/>
    <w:rsid w:val="0084142F"/>
    <w:rsid w:val="008427EE"/>
    <w:rsid w:val="00853632"/>
    <w:rsid w:val="00853CA8"/>
    <w:rsid w:val="00853FFA"/>
    <w:rsid w:val="0086317F"/>
    <w:rsid w:val="008647F8"/>
    <w:rsid w:val="00873461"/>
    <w:rsid w:val="008773CD"/>
    <w:rsid w:val="008903B8"/>
    <w:rsid w:val="0089602C"/>
    <w:rsid w:val="008A188F"/>
    <w:rsid w:val="008A5933"/>
    <w:rsid w:val="008A69E6"/>
    <w:rsid w:val="008B2019"/>
    <w:rsid w:val="008B25FD"/>
    <w:rsid w:val="008B4087"/>
    <w:rsid w:val="008B50BC"/>
    <w:rsid w:val="008C2CC2"/>
    <w:rsid w:val="008D2DA6"/>
    <w:rsid w:val="008D4540"/>
    <w:rsid w:val="008D5C9B"/>
    <w:rsid w:val="008D5CAE"/>
    <w:rsid w:val="008D7912"/>
    <w:rsid w:val="008E01A6"/>
    <w:rsid w:val="008E222E"/>
    <w:rsid w:val="008E298F"/>
    <w:rsid w:val="008E56C0"/>
    <w:rsid w:val="008E5FA4"/>
    <w:rsid w:val="008E6BB3"/>
    <w:rsid w:val="008F31B6"/>
    <w:rsid w:val="008F49BB"/>
    <w:rsid w:val="008F508F"/>
    <w:rsid w:val="008F7099"/>
    <w:rsid w:val="009008F6"/>
    <w:rsid w:val="009020B9"/>
    <w:rsid w:val="0090377B"/>
    <w:rsid w:val="00905095"/>
    <w:rsid w:val="00907253"/>
    <w:rsid w:val="00912F21"/>
    <w:rsid w:val="009156FF"/>
    <w:rsid w:val="00916450"/>
    <w:rsid w:val="00921059"/>
    <w:rsid w:val="0092211A"/>
    <w:rsid w:val="00925AD8"/>
    <w:rsid w:val="009309CF"/>
    <w:rsid w:val="00931860"/>
    <w:rsid w:val="009338AF"/>
    <w:rsid w:val="009414E0"/>
    <w:rsid w:val="00942D7F"/>
    <w:rsid w:val="009430E9"/>
    <w:rsid w:val="009473CD"/>
    <w:rsid w:val="009577A0"/>
    <w:rsid w:val="009633C1"/>
    <w:rsid w:val="00966AAA"/>
    <w:rsid w:val="009701FD"/>
    <w:rsid w:val="00972E08"/>
    <w:rsid w:val="00982750"/>
    <w:rsid w:val="009861D3"/>
    <w:rsid w:val="00993657"/>
    <w:rsid w:val="0099466D"/>
    <w:rsid w:val="00994F5D"/>
    <w:rsid w:val="009A0D71"/>
    <w:rsid w:val="009A305B"/>
    <w:rsid w:val="009B3692"/>
    <w:rsid w:val="009B392B"/>
    <w:rsid w:val="009B6CBA"/>
    <w:rsid w:val="009B7345"/>
    <w:rsid w:val="009C2B4C"/>
    <w:rsid w:val="009D23D1"/>
    <w:rsid w:val="009D5E93"/>
    <w:rsid w:val="009E3355"/>
    <w:rsid w:val="009F3E00"/>
    <w:rsid w:val="009F6E01"/>
    <w:rsid w:val="009F7BA5"/>
    <w:rsid w:val="009F7ED8"/>
    <w:rsid w:val="00A00B46"/>
    <w:rsid w:val="00A015CB"/>
    <w:rsid w:val="00A02EF4"/>
    <w:rsid w:val="00A039B2"/>
    <w:rsid w:val="00A118CC"/>
    <w:rsid w:val="00A1302D"/>
    <w:rsid w:val="00A146F9"/>
    <w:rsid w:val="00A1602B"/>
    <w:rsid w:val="00A271FC"/>
    <w:rsid w:val="00A32276"/>
    <w:rsid w:val="00A362C0"/>
    <w:rsid w:val="00A52C9C"/>
    <w:rsid w:val="00A54A22"/>
    <w:rsid w:val="00A5517D"/>
    <w:rsid w:val="00A563B5"/>
    <w:rsid w:val="00A57194"/>
    <w:rsid w:val="00A604AB"/>
    <w:rsid w:val="00A61836"/>
    <w:rsid w:val="00A63FC2"/>
    <w:rsid w:val="00A67B05"/>
    <w:rsid w:val="00A72663"/>
    <w:rsid w:val="00A73E06"/>
    <w:rsid w:val="00A76C78"/>
    <w:rsid w:val="00A82747"/>
    <w:rsid w:val="00A868ED"/>
    <w:rsid w:val="00A92876"/>
    <w:rsid w:val="00A93D6E"/>
    <w:rsid w:val="00AA002B"/>
    <w:rsid w:val="00AA1473"/>
    <w:rsid w:val="00AA22C9"/>
    <w:rsid w:val="00AA2374"/>
    <w:rsid w:val="00AA27AE"/>
    <w:rsid w:val="00AA44A1"/>
    <w:rsid w:val="00AA6F62"/>
    <w:rsid w:val="00AB048E"/>
    <w:rsid w:val="00AB2F75"/>
    <w:rsid w:val="00AB3076"/>
    <w:rsid w:val="00AC176F"/>
    <w:rsid w:val="00AC2027"/>
    <w:rsid w:val="00AC55B9"/>
    <w:rsid w:val="00AC5F27"/>
    <w:rsid w:val="00AC5F3C"/>
    <w:rsid w:val="00AD36D6"/>
    <w:rsid w:val="00AD4B1F"/>
    <w:rsid w:val="00AD4E5B"/>
    <w:rsid w:val="00AE25BD"/>
    <w:rsid w:val="00AE44B4"/>
    <w:rsid w:val="00AE53A7"/>
    <w:rsid w:val="00AF32D6"/>
    <w:rsid w:val="00AF388A"/>
    <w:rsid w:val="00B02F57"/>
    <w:rsid w:val="00B03723"/>
    <w:rsid w:val="00B06A70"/>
    <w:rsid w:val="00B11F16"/>
    <w:rsid w:val="00B121F7"/>
    <w:rsid w:val="00B1687E"/>
    <w:rsid w:val="00B20EE6"/>
    <w:rsid w:val="00B23F04"/>
    <w:rsid w:val="00B25378"/>
    <w:rsid w:val="00B30AB1"/>
    <w:rsid w:val="00B316C9"/>
    <w:rsid w:val="00B333EB"/>
    <w:rsid w:val="00B3384C"/>
    <w:rsid w:val="00B3415F"/>
    <w:rsid w:val="00B37DD0"/>
    <w:rsid w:val="00B404B6"/>
    <w:rsid w:val="00B501D6"/>
    <w:rsid w:val="00B51CF0"/>
    <w:rsid w:val="00B54AA7"/>
    <w:rsid w:val="00B600B0"/>
    <w:rsid w:val="00B65ACF"/>
    <w:rsid w:val="00B70755"/>
    <w:rsid w:val="00B70F2A"/>
    <w:rsid w:val="00B7198E"/>
    <w:rsid w:val="00B72673"/>
    <w:rsid w:val="00B81220"/>
    <w:rsid w:val="00B9352A"/>
    <w:rsid w:val="00B958AC"/>
    <w:rsid w:val="00B97899"/>
    <w:rsid w:val="00BA4C2A"/>
    <w:rsid w:val="00BA5A44"/>
    <w:rsid w:val="00BA6C1A"/>
    <w:rsid w:val="00BC037E"/>
    <w:rsid w:val="00BC1B5D"/>
    <w:rsid w:val="00BC2770"/>
    <w:rsid w:val="00BD0629"/>
    <w:rsid w:val="00BD1ED7"/>
    <w:rsid w:val="00BD320B"/>
    <w:rsid w:val="00BD380C"/>
    <w:rsid w:val="00BD56AF"/>
    <w:rsid w:val="00BD750A"/>
    <w:rsid w:val="00BF28A9"/>
    <w:rsid w:val="00BF56CE"/>
    <w:rsid w:val="00C008DE"/>
    <w:rsid w:val="00C01724"/>
    <w:rsid w:val="00C044FE"/>
    <w:rsid w:val="00C05214"/>
    <w:rsid w:val="00C06CB8"/>
    <w:rsid w:val="00C1318E"/>
    <w:rsid w:val="00C1385D"/>
    <w:rsid w:val="00C13C5A"/>
    <w:rsid w:val="00C15FBF"/>
    <w:rsid w:val="00C23602"/>
    <w:rsid w:val="00C27542"/>
    <w:rsid w:val="00C30813"/>
    <w:rsid w:val="00C313B0"/>
    <w:rsid w:val="00C4572D"/>
    <w:rsid w:val="00C45C0B"/>
    <w:rsid w:val="00C46E9F"/>
    <w:rsid w:val="00C47BE9"/>
    <w:rsid w:val="00C504A3"/>
    <w:rsid w:val="00C54D59"/>
    <w:rsid w:val="00C55A8E"/>
    <w:rsid w:val="00C726B5"/>
    <w:rsid w:val="00C74716"/>
    <w:rsid w:val="00C75DF2"/>
    <w:rsid w:val="00C84C25"/>
    <w:rsid w:val="00C861C8"/>
    <w:rsid w:val="00C90C99"/>
    <w:rsid w:val="00C93C42"/>
    <w:rsid w:val="00C95DC4"/>
    <w:rsid w:val="00CA293A"/>
    <w:rsid w:val="00CA4CBE"/>
    <w:rsid w:val="00CA7A86"/>
    <w:rsid w:val="00CB4277"/>
    <w:rsid w:val="00CB757A"/>
    <w:rsid w:val="00CC0194"/>
    <w:rsid w:val="00CC15B0"/>
    <w:rsid w:val="00CC2E72"/>
    <w:rsid w:val="00CC2F2C"/>
    <w:rsid w:val="00CC6568"/>
    <w:rsid w:val="00CD249A"/>
    <w:rsid w:val="00CD7B0A"/>
    <w:rsid w:val="00CD7E26"/>
    <w:rsid w:val="00CE2851"/>
    <w:rsid w:val="00CE6550"/>
    <w:rsid w:val="00CF1514"/>
    <w:rsid w:val="00D02ACB"/>
    <w:rsid w:val="00D126F9"/>
    <w:rsid w:val="00D205F1"/>
    <w:rsid w:val="00D24BD4"/>
    <w:rsid w:val="00D263BF"/>
    <w:rsid w:val="00D3753D"/>
    <w:rsid w:val="00D42A78"/>
    <w:rsid w:val="00D44446"/>
    <w:rsid w:val="00D52DB0"/>
    <w:rsid w:val="00D55041"/>
    <w:rsid w:val="00D57A6E"/>
    <w:rsid w:val="00D64680"/>
    <w:rsid w:val="00D70A23"/>
    <w:rsid w:val="00D74F14"/>
    <w:rsid w:val="00D764BF"/>
    <w:rsid w:val="00D76C4C"/>
    <w:rsid w:val="00D7715D"/>
    <w:rsid w:val="00D805AF"/>
    <w:rsid w:val="00D83016"/>
    <w:rsid w:val="00D835C2"/>
    <w:rsid w:val="00D85B48"/>
    <w:rsid w:val="00D95D5F"/>
    <w:rsid w:val="00D97616"/>
    <w:rsid w:val="00DA5712"/>
    <w:rsid w:val="00DA6A45"/>
    <w:rsid w:val="00DA70EB"/>
    <w:rsid w:val="00DB186B"/>
    <w:rsid w:val="00DB7AD4"/>
    <w:rsid w:val="00DD0D65"/>
    <w:rsid w:val="00DD1497"/>
    <w:rsid w:val="00DD185E"/>
    <w:rsid w:val="00DD49F8"/>
    <w:rsid w:val="00DD5CB8"/>
    <w:rsid w:val="00DD70B3"/>
    <w:rsid w:val="00DE0274"/>
    <w:rsid w:val="00DE2561"/>
    <w:rsid w:val="00DE321C"/>
    <w:rsid w:val="00DE590B"/>
    <w:rsid w:val="00DF1D70"/>
    <w:rsid w:val="00DF22BD"/>
    <w:rsid w:val="00E01B27"/>
    <w:rsid w:val="00E01E5F"/>
    <w:rsid w:val="00E038C4"/>
    <w:rsid w:val="00E03DE9"/>
    <w:rsid w:val="00E04715"/>
    <w:rsid w:val="00E10E6A"/>
    <w:rsid w:val="00E11951"/>
    <w:rsid w:val="00E14B3C"/>
    <w:rsid w:val="00E21C60"/>
    <w:rsid w:val="00E26416"/>
    <w:rsid w:val="00E26F3A"/>
    <w:rsid w:val="00E3296E"/>
    <w:rsid w:val="00E332B2"/>
    <w:rsid w:val="00E3746D"/>
    <w:rsid w:val="00E45791"/>
    <w:rsid w:val="00E479CE"/>
    <w:rsid w:val="00E522CD"/>
    <w:rsid w:val="00E525A5"/>
    <w:rsid w:val="00E55634"/>
    <w:rsid w:val="00E56399"/>
    <w:rsid w:val="00E57AD4"/>
    <w:rsid w:val="00E57DBF"/>
    <w:rsid w:val="00E62931"/>
    <w:rsid w:val="00E62EC9"/>
    <w:rsid w:val="00E65A4A"/>
    <w:rsid w:val="00E71965"/>
    <w:rsid w:val="00E80786"/>
    <w:rsid w:val="00E81812"/>
    <w:rsid w:val="00E833E9"/>
    <w:rsid w:val="00E83B5B"/>
    <w:rsid w:val="00E900C0"/>
    <w:rsid w:val="00E90A40"/>
    <w:rsid w:val="00E94044"/>
    <w:rsid w:val="00EA16CC"/>
    <w:rsid w:val="00EA4DDB"/>
    <w:rsid w:val="00EB727B"/>
    <w:rsid w:val="00EC1B68"/>
    <w:rsid w:val="00EC272D"/>
    <w:rsid w:val="00EC6A0C"/>
    <w:rsid w:val="00EC6A0E"/>
    <w:rsid w:val="00ED34B3"/>
    <w:rsid w:val="00ED653A"/>
    <w:rsid w:val="00EE2F84"/>
    <w:rsid w:val="00EF3EE2"/>
    <w:rsid w:val="00EF64C3"/>
    <w:rsid w:val="00F04D7B"/>
    <w:rsid w:val="00F118E6"/>
    <w:rsid w:val="00F12982"/>
    <w:rsid w:val="00F13F8C"/>
    <w:rsid w:val="00F179D6"/>
    <w:rsid w:val="00F2258C"/>
    <w:rsid w:val="00F242AC"/>
    <w:rsid w:val="00F30CB1"/>
    <w:rsid w:val="00F3239B"/>
    <w:rsid w:val="00F32701"/>
    <w:rsid w:val="00F32C19"/>
    <w:rsid w:val="00F36950"/>
    <w:rsid w:val="00F3722B"/>
    <w:rsid w:val="00F43843"/>
    <w:rsid w:val="00F4388C"/>
    <w:rsid w:val="00F471AA"/>
    <w:rsid w:val="00F5451A"/>
    <w:rsid w:val="00F571CA"/>
    <w:rsid w:val="00F57344"/>
    <w:rsid w:val="00F62470"/>
    <w:rsid w:val="00F67F84"/>
    <w:rsid w:val="00F709AC"/>
    <w:rsid w:val="00F71D5D"/>
    <w:rsid w:val="00F7343E"/>
    <w:rsid w:val="00F74081"/>
    <w:rsid w:val="00F76607"/>
    <w:rsid w:val="00F76D58"/>
    <w:rsid w:val="00F77263"/>
    <w:rsid w:val="00F77884"/>
    <w:rsid w:val="00F85357"/>
    <w:rsid w:val="00F8589E"/>
    <w:rsid w:val="00F8656E"/>
    <w:rsid w:val="00F903E3"/>
    <w:rsid w:val="00F92503"/>
    <w:rsid w:val="00F9352E"/>
    <w:rsid w:val="00F93C82"/>
    <w:rsid w:val="00F96429"/>
    <w:rsid w:val="00FA20CB"/>
    <w:rsid w:val="00FA45AB"/>
    <w:rsid w:val="00FA4BEF"/>
    <w:rsid w:val="00FA5F6B"/>
    <w:rsid w:val="00FB2F99"/>
    <w:rsid w:val="00FB3778"/>
    <w:rsid w:val="00FB756C"/>
    <w:rsid w:val="00FB785C"/>
    <w:rsid w:val="00FB7B1B"/>
    <w:rsid w:val="00FC43B8"/>
    <w:rsid w:val="00FC485D"/>
    <w:rsid w:val="00FC79A7"/>
    <w:rsid w:val="00FD68F7"/>
    <w:rsid w:val="00FD6D41"/>
    <w:rsid w:val="00FE263E"/>
    <w:rsid w:val="00FF7802"/>
    <w:rsid w:val="01401F5A"/>
    <w:rsid w:val="06005C70"/>
    <w:rsid w:val="105C3E76"/>
    <w:rsid w:val="14E436D1"/>
    <w:rsid w:val="14FE07B5"/>
    <w:rsid w:val="155362A8"/>
    <w:rsid w:val="1D347B55"/>
    <w:rsid w:val="1F3802BD"/>
    <w:rsid w:val="28F90ABD"/>
    <w:rsid w:val="2A097C79"/>
    <w:rsid w:val="2A2D4EC2"/>
    <w:rsid w:val="2D4C17D8"/>
    <w:rsid w:val="397821F9"/>
    <w:rsid w:val="41C81C02"/>
    <w:rsid w:val="48717C94"/>
    <w:rsid w:val="4B610BEA"/>
    <w:rsid w:val="4DF67F4C"/>
    <w:rsid w:val="533B7DA0"/>
    <w:rsid w:val="5711724B"/>
    <w:rsid w:val="5A132E82"/>
    <w:rsid w:val="5B376516"/>
    <w:rsid w:val="5CA14E9D"/>
    <w:rsid w:val="6282505E"/>
    <w:rsid w:val="6589499B"/>
    <w:rsid w:val="66705C12"/>
    <w:rsid w:val="68197265"/>
    <w:rsid w:val="6FE6777B"/>
    <w:rsid w:val="71C64881"/>
    <w:rsid w:val="71F70C45"/>
    <w:rsid w:val="76452218"/>
    <w:rsid w:val="7BE75B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0" w:semiHidden="0" w:name="heading 3"/>
    <w:lsdException w:qFormat="1" w:uiPriority="0" w:name="heading 4"/>
    <w:lsdException w:qFormat="1" w:unhideWhenUsed="0"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99"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99"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99" w:semiHidden="0" w:name="Balloon Text"/>
    <w:lsdException w:qFormat="1" w:unhideWhenUsed="0" w:uiPriority="0" w:semiHidden="0" w:name="Table Grid"/>
    <w:lsdException w:uiPriority="0"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27"/>
    <w:qFormat/>
    <w:uiPriority w:val="0"/>
    <w:pPr>
      <w:keepNext/>
      <w:keepLines/>
      <w:spacing w:before="120" w:after="120" w:line="360" w:lineRule="auto"/>
      <w:outlineLvl w:val="0"/>
    </w:pPr>
    <w:rPr>
      <w:rFonts w:eastAsia="黑体"/>
      <w:b/>
      <w:kern w:val="44"/>
      <w:sz w:val="24"/>
    </w:rPr>
  </w:style>
  <w:style w:type="paragraph" w:styleId="3">
    <w:name w:val="heading 2"/>
    <w:basedOn w:val="1"/>
    <w:next w:val="1"/>
    <w:link w:val="28"/>
    <w:qFormat/>
    <w:uiPriority w:val="9"/>
    <w:pPr>
      <w:keepNext/>
      <w:keepLines/>
      <w:spacing w:before="260" w:after="260" w:line="413" w:lineRule="auto"/>
      <w:outlineLvl w:val="1"/>
    </w:pPr>
    <w:rPr>
      <w:rFonts w:ascii="Arial" w:hAnsi="Arial" w:eastAsia="黑体"/>
      <w:b/>
      <w:sz w:val="32"/>
    </w:rPr>
  </w:style>
  <w:style w:type="paragraph" w:styleId="4">
    <w:name w:val="heading 3"/>
    <w:basedOn w:val="1"/>
    <w:next w:val="1"/>
    <w:qFormat/>
    <w:uiPriority w:val="0"/>
    <w:pPr>
      <w:keepNext/>
      <w:keepLines/>
      <w:spacing w:before="260" w:after="260" w:line="413" w:lineRule="auto"/>
      <w:outlineLvl w:val="2"/>
    </w:pPr>
    <w:rPr>
      <w:b/>
      <w:sz w:val="32"/>
    </w:rPr>
  </w:style>
  <w:style w:type="paragraph" w:styleId="5">
    <w:name w:val="heading 5"/>
    <w:basedOn w:val="1"/>
    <w:next w:val="1"/>
    <w:qFormat/>
    <w:uiPriority w:val="0"/>
    <w:pPr>
      <w:keepNext/>
      <w:ind w:firstLine="3360" w:firstLineChars="400"/>
      <w:outlineLvl w:val="4"/>
    </w:pPr>
    <w:rPr>
      <w:rFonts w:ascii="宋体" w:hAnsi="宋体"/>
      <w:color w:val="000000"/>
      <w:sz w:val="84"/>
    </w:rPr>
  </w:style>
  <w:style w:type="character" w:default="1" w:styleId="22">
    <w:name w:val="Default Paragraph Font"/>
    <w:semiHidden/>
    <w:unhideWhenUsed/>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6">
    <w:name w:val="Document Map"/>
    <w:basedOn w:val="1"/>
    <w:semiHidden/>
    <w:qFormat/>
    <w:uiPriority w:val="0"/>
    <w:pPr>
      <w:shd w:val="clear" w:color="auto" w:fill="000080"/>
    </w:pPr>
  </w:style>
  <w:style w:type="paragraph" w:styleId="7">
    <w:name w:val="annotation text"/>
    <w:basedOn w:val="1"/>
    <w:link w:val="29"/>
    <w:qFormat/>
    <w:uiPriority w:val="99"/>
    <w:pPr>
      <w:jc w:val="left"/>
    </w:pPr>
  </w:style>
  <w:style w:type="paragraph" w:styleId="8">
    <w:name w:val="Body Text"/>
    <w:basedOn w:val="1"/>
    <w:link w:val="56"/>
    <w:qFormat/>
    <w:uiPriority w:val="0"/>
    <w:rPr>
      <w:b/>
      <w:bCs/>
      <w:sz w:val="30"/>
      <w:szCs w:val="24"/>
    </w:rPr>
  </w:style>
  <w:style w:type="paragraph" w:styleId="9">
    <w:name w:val="Body Text Indent"/>
    <w:basedOn w:val="1"/>
    <w:qFormat/>
    <w:uiPriority w:val="0"/>
    <w:pPr>
      <w:spacing w:line="360" w:lineRule="auto"/>
      <w:ind w:firstLine="480"/>
    </w:pPr>
    <w:rPr>
      <w:sz w:val="24"/>
    </w:rPr>
  </w:style>
  <w:style w:type="paragraph" w:styleId="10">
    <w:name w:val="toc 3"/>
    <w:basedOn w:val="1"/>
    <w:next w:val="1"/>
    <w:qFormat/>
    <w:uiPriority w:val="0"/>
    <w:pPr>
      <w:ind w:left="840" w:leftChars="400"/>
    </w:pPr>
  </w:style>
  <w:style w:type="paragraph" w:styleId="11">
    <w:name w:val="Plain Text"/>
    <w:basedOn w:val="1"/>
    <w:qFormat/>
    <w:uiPriority w:val="0"/>
    <w:rPr>
      <w:rFonts w:ascii="宋体" w:hAnsi="Courier New"/>
    </w:rPr>
  </w:style>
  <w:style w:type="paragraph" w:styleId="12">
    <w:name w:val="Date"/>
    <w:basedOn w:val="1"/>
    <w:next w:val="1"/>
    <w:qFormat/>
    <w:uiPriority w:val="0"/>
    <w:pPr>
      <w:ind w:left="100" w:leftChars="2500"/>
    </w:pPr>
  </w:style>
  <w:style w:type="paragraph" w:styleId="13">
    <w:name w:val="Balloon Text"/>
    <w:basedOn w:val="1"/>
    <w:link w:val="52"/>
    <w:qFormat/>
    <w:uiPriority w:val="99"/>
    <w:rPr>
      <w:sz w:val="18"/>
    </w:rPr>
  </w:style>
  <w:style w:type="paragraph" w:styleId="14">
    <w:name w:val="footer"/>
    <w:basedOn w:val="1"/>
    <w:link w:val="54"/>
    <w:qFormat/>
    <w:uiPriority w:val="99"/>
    <w:pPr>
      <w:tabs>
        <w:tab w:val="center" w:pos="4153"/>
        <w:tab w:val="right" w:pos="8306"/>
      </w:tabs>
      <w:snapToGrid w:val="0"/>
      <w:jc w:val="left"/>
    </w:pPr>
    <w:rPr>
      <w:sz w:val="18"/>
    </w:rPr>
  </w:style>
  <w:style w:type="paragraph" w:styleId="15">
    <w:name w:val="header"/>
    <w:basedOn w:val="1"/>
    <w:link w:val="53"/>
    <w:qFormat/>
    <w:uiPriority w:val="99"/>
    <w:pPr>
      <w:pBdr>
        <w:bottom w:val="single" w:color="auto" w:sz="6" w:space="1"/>
      </w:pBdr>
      <w:tabs>
        <w:tab w:val="center" w:pos="4153"/>
        <w:tab w:val="right" w:pos="8306"/>
      </w:tabs>
      <w:snapToGrid w:val="0"/>
      <w:jc w:val="center"/>
    </w:pPr>
    <w:rPr>
      <w:sz w:val="18"/>
    </w:rPr>
  </w:style>
  <w:style w:type="paragraph" w:styleId="16">
    <w:name w:val="toc 1"/>
    <w:basedOn w:val="1"/>
    <w:next w:val="1"/>
    <w:qFormat/>
    <w:uiPriority w:val="39"/>
  </w:style>
  <w:style w:type="paragraph" w:styleId="17">
    <w:name w:val="toc 2"/>
    <w:basedOn w:val="1"/>
    <w:next w:val="1"/>
    <w:qFormat/>
    <w:uiPriority w:val="39"/>
    <w:pPr>
      <w:ind w:left="420" w:leftChars="200"/>
    </w:pPr>
  </w:style>
  <w:style w:type="paragraph" w:styleId="18">
    <w:name w:val="Normal (Web)"/>
    <w:basedOn w:val="1"/>
    <w:qFormat/>
    <w:uiPriority w:val="0"/>
    <w:pPr>
      <w:widowControl/>
      <w:spacing w:before="100" w:beforeAutospacing="1" w:after="100" w:afterAutospacing="1"/>
      <w:jc w:val="left"/>
    </w:pPr>
    <w:rPr>
      <w:rFonts w:ascii="宋体" w:hAnsi="宋体"/>
      <w:kern w:val="0"/>
      <w:sz w:val="24"/>
    </w:rPr>
  </w:style>
  <w:style w:type="paragraph" w:styleId="19">
    <w:name w:val="annotation subject"/>
    <w:basedOn w:val="7"/>
    <w:next w:val="7"/>
    <w:link w:val="55"/>
    <w:qFormat/>
    <w:uiPriority w:val="99"/>
    <w:rPr>
      <w:b/>
    </w:rPr>
  </w:style>
  <w:style w:type="table" w:styleId="21">
    <w:name w:val="Table Grid"/>
    <w:basedOn w:val="2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Emphasis"/>
    <w:qFormat/>
    <w:uiPriority w:val="0"/>
    <w:rPr>
      <w:color w:val="CC0033"/>
    </w:rPr>
  </w:style>
  <w:style w:type="character" w:styleId="25">
    <w:name w:val="Hyperlink"/>
    <w:qFormat/>
    <w:uiPriority w:val="99"/>
    <w:rPr>
      <w:color w:val="0000FF"/>
      <w:u w:val="single"/>
    </w:rPr>
  </w:style>
  <w:style w:type="character" w:styleId="26">
    <w:name w:val="annotation reference"/>
    <w:qFormat/>
    <w:uiPriority w:val="99"/>
    <w:rPr>
      <w:sz w:val="21"/>
    </w:rPr>
  </w:style>
  <w:style w:type="character" w:customStyle="1" w:styleId="27">
    <w:name w:val="标题 1 字符"/>
    <w:link w:val="2"/>
    <w:qFormat/>
    <w:uiPriority w:val="0"/>
    <w:rPr>
      <w:rFonts w:eastAsia="黑体"/>
      <w:b/>
      <w:kern w:val="44"/>
      <w:sz w:val="24"/>
    </w:rPr>
  </w:style>
  <w:style w:type="character" w:customStyle="1" w:styleId="28">
    <w:name w:val="标题 2 字符"/>
    <w:link w:val="3"/>
    <w:qFormat/>
    <w:uiPriority w:val="9"/>
    <w:rPr>
      <w:rFonts w:ascii="Arial" w:hAnsi="Arial" w:eastAsia="黑体"/>
      <w:b/>
      <w:kern w:val="2"/>
      <w:sz w:val="32"/>
    </w:rPr>
  </w:style>
  <w:style w:type="character" w:customStyle="1" w:styleId="29">
    <w:name w:val="批注文字 字符"/>
    <w:link w:val="7"/>
    <w:qFormat/>
    <w:uiPriority w:val="99"/>
    <w:rPr>
      <w:kern w:val="2"/>
      <w:sz w:val="21"/>
    </w:rPr>
  </w:style>
  <w:style w:type="paragraph" w:customStyle="1" w:styleId="30">
    <w:name w:val="章标题"/>
    <w:next w:val="1"/>
    <w:qFormat/>
    <w:uiPriority w:val="0"/>
    <w:pPr>
      <w:spacing w:before="156" w:beforeLines="50" w:after="156" w:afterLines="50"/>
      <w:ind w:left="360"/>
      <w:jc w:val="both"/>
      <w:outlineLvl w:val="1"/>
    </w:pPr>
    <w:rPr>
      <w:rFonts w:ascii="黑体" w:hAnsi="Times New Roman" w:eastAsia="黑体" w:cs="Times New Roman"/>
      <w:sz w:val="21"/>
      <w:lang w:val="en-US" w:eastAsia="zh-CN" w:bidi="ar-SA"/>
    </w:rPr>
  </w:style>
  <w:style w:type="paragraph" w:customStyle="1" w:styleId="31">
    <w:name w:val="Default"/>
    <w:qFormat/>
    <w:uiPriority w:val="0"/>
    <w:pPr>
      <w:widowControl w:val="0"/>
      <w:autoSpaceDE w:val="0"/>
      <w:autoSpaceDN w:val="0"/>
      <w:adjustRightInd w:val="0"/>
    </w:pPr>
    <w:rPr>
      <w:rFonts w:ascii="ECACFI+Arial,Bold" w:hAnsi="Times New Roman" w:eastAsia="ECACFI+Arial,Bold" w:cs="Times New Roman"/>
      <w:color w:val="000000"/>
      <w:sz w:val="24"/>
      <w:lang w:val="en-US" w:eastAsia="zh-CN" w:bidi="ar-SA"/>
    </w:rPr>
  </w:style>
  <w:style w:type="paragraph" w:customStyle="1" w:styleId="32">
    <w:name w:val="三级条标题"/>
    <w:basedOn w:val="33"/>
    <w:next w:val="1"/>
    <w:qFormat/>
    <w:uiPriority w:val="0"/>
    <w:pPr>
      <w:outlineLvl w:val="4"/>
    </w:pPr>
  </w:style>
  <w:style w:type="paragraph" w:customStyle="1" w:styleId="33">
    <w:name w:val="二级条标题"/>
    <w:basedOn w:val="34"/>
    <w:next w:val="1"/>
    <w:qFormat/>
    <w:uiPriority w:val="0"/>
    <w:pPr>
      <w:ind w:left="0"/>
      <w:outlineLvl w:val="3"/>
    </w:pPr>
  </w:style>
  <w:style w:type="paragraph" w:customStyle="1" w:styleId="34">
    <w:name w:val="一级条标题"/>
    <w:basedOn w:val="30"/>
    <w:next w:val="1"/>
    <w:qFormat/>
    <w:uiPriority w:val="0"/>
    <w:pPr>
      <w:spacing w:before="0" w:beforeLines="0" w:after="0" w:afterLines="0"/>
      <w:ind w:left="540"/>
      <w:outlineLvl w:val="2"/>
    </w:pPr>
  </w:style>
  <w:style w:type="paragraph" w:customStyle="1" w:styleId="35">
    <w:name w:val="CM13"/>
    <w:basedOn w:val="31"/>
    <w:next w:val="31"/>
    <w:qFormat/>
    <w:uiPriority w:val="0"/>
    <w:pPr>
      <w:spacing w:line="238" w:lineRule="atLeast"/>
    </w:pPr>
    <w:rPr>
      <w:color w:val="auto"/>
    </w:rPr>
  </w:style>
  <w:style w:type="paragraph" w:customStyle="1" w:styleId="36">
    <w:name w:val="五级条标题"/>
    <w:basedOn w:val="37"/>
    <w:next w:val="1"/>
    <w:qFormat/>
    <w:uiPriority w:val="0"/>
    <w:pPr>
      <w:outlineLvl w:val="6"/>
    </w:pPr>
  </w:style>
  <w:style w:type="paragraph" w:customStyle="1" w:styleId="37">
    <w:name w:val="四级条标题"/>
    <w:basedOn w:val="32"/>
    <w:next w:val="1"/>
    <w:qFormat/>
    <w:uiPriority w:val="0"/>
    <w:pPr>
      <w:outlineLvl w:val="5"/>
    </w:pPr>
  </w:style>
  <w:style w:type="paragraph" w:customStyle="1" w:styleId="38">
    <w:name w:val="CM5"/>
    <w:basedOn w:val="31"/>
    <w:next w:val="31"/>
    <w:qFormat/>
    <w:uiPriority w:val="0"/>
    <w:pPr>
      <w:spacing w:line="238" w:lineRule="atLeast"/>
    </w:pPr>
    <w:rPr>
      <w:color w:val="auto"/>
    </w:rPr>
  </w:style>
  <w:style w:type="paragraph" w:customStyle="1" w:styleId="39">
    <w:name w:val="前言、引言标题"/>
    <w:next w:val="1"/>
    <w:qFormat/>
    <w:uiPriority w:val="0"/>
    <w:pPr>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40">
    <w:name w:val="CM2"/>
    <w:basedOn w:val="31"/>
    <w:next w:val="31"/>
    <w:qFormat/>
    <w:uiPriority w:val="0"/>
    <w:pPr>
      <w:spacing w:line="238" w:lineRule="atLeast"/>
    </w:pPr>
    <w:rPr>
      <w:color w:val="auto"/>
    </w:rPr>
  </w:style>
  <w:style w:type="paragraph" w:customStyle="1" w:styleId="41">
    <w:name w:val="CM15"/>
    <w:basedOn w:val="31"/>
    <w:next w:val="31"/>
    <w:qFormat/>
    <w:uiPriority w:val="0"/>
    <w:pPr>
      <w:spacing w:after="480"/>
    </w:pPr>
    <w:rPr>
      <w:color w:val="auto"/>
    </w:rPr>
  </w:style>
  <w:style w:type="paragraph" w:customStyle="1" w:styleId="42">
    <w:name w:val="CM1"/>
    <w:basedOn w:val="31"/>
    <w:next w:val="31"/>
    <w:qFormat/>
    <w:uiPriority w:val="0"/>
    <w:rPr>
      <w:color w:val="auto"/>
    </w:rPr>
  </w:style>
  <w:style w:type="paragraph" w:customStyle="1" w:styleId="43">
    <w:name w:val="CM14"/>
    <w:basedOn w:val="31"/>
    <w:next w:val="31"/>
    <w:qFormat/>
    <w:uiPriority w:val="0"/>
    <w:pPr>
      <w:spacing w:after="238"/>
    </w:pPr>
    <w:rPr>
      <w:color w:val="auto"/>
    </w:rPr>
  </w:style>
  <w:style w:type="paragraph" w:customStyle="1" w:styleId="44">
    <w:name w:val="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styleId="45">
    <w:name w:val="Placeholder Text"/>
    <w:semiHidden/>
    <w:qFormat/>
    <w:uiPriority w:val="99"/>
    <w:rPr>
      <w:color w:val="808080"/>
    </w:rPr>
  </w:style>
  <w:style w:type="paragraph" w:styleId="46">
    <w:name w:val="List Paragraph"/>
    <w:basedOn w:val="1"/>
    <w:qFormat/>
    <w:uiPriority w:val="34"/>
    <w:pPr>
      <w:ind w:firstLine="420" w:firstLineChars="200"/>
    </w:pPr>
    <w:rPr>
      <w:rFonts w:ascii="Calibri" w:hAnsi="Calibri"/>
      <w:szCs w:val="22"/>
    </w:rPr>
  </w:style>
  <w:style w:type="character" w:customStyle="1" w:styleId="47">
    <w:name w:val="15"/>
    <w:qFormat/>
    <w:uiPriority w:val="0"/>
    <w:rPr>
      <w:rFonts w:hint="default" w:ascii="Times New Roman" w:hAnsi="Times New Roman" w:cs="Times New Roman"/>
      <w:color w:val="808080"/>
    </w:rPr>
  </w:style>
  <w:style w:type="paragraph" w:customStyle="1" w:styleId="48">
    <w:name w:val="正文1"/>
    <w:qFormat/>
    <w:uiPriority w:val="0"/>
    <w:pPr>
      <w:jc w:val="both"/>
    </w:pPr>
    <w:rPr>
      <w:rFonts w:ascii="Times New Roman" w:hAnsi="Times New Roman" w:eastAsia="宋体" w:cs="Times New Roman"/>
      <w:kern w:val="2"/>
      <w:sz w:val="21"/>
      <w:szCs w:val="21"/>
      <w:lang w:val="en-US" w:eastAsia="zh-CN" w:bidi="ar-SA"/>
    </w:rPr>
  </w:style>
  <w:style w:type="paragraph" w:customStyle="1" w:styleId="49">
    <w:name w:val="修订1"/>
    <w:semiHidden/>
    <w:qFormat/>
    <w:uiPriority w:val="99"/>
    <w:rPr>
      <w:rFonts w:ascii="Times New Roman" w:hAnsi="Times New Roman" w:eastAsia="宋体" w:cs="Times New Roman"/>
      <w:kern w:val="2"/>
      <w:sz w:val="21"/>
      <w:lang w:val="en-US" w:eastAsia="zh-CN" w:bidi="ar-SA"/>
    </w:rPr>
  </w:style>
  <w:style w:type="paragraph" w:customStyle="1" w:styleId="50">
    <w:name w:val="正文11"/>
    <w:qFormat/>
    <w:uiPriority w:val="0"/>
    <w:pPr>
      <w:jc w:val="both"/>
    </w:pPr>
    <w:rPr>
      <w:rFonts w:ascii="Times New Roman" w:hAnsi="Times New Roman" w:eastAsia="宋体" w:cs="Times New Roman"/>
      <w:kern w:val="2"/>
      <w:sz w:val="21"/>
      <w:szCs w:val="21"/>
      <w:lang w:val="en-US" w:eastAsia="zh-CN" w:bidi="ar-SA"/>
    </w:rPr>
  </w:style>
  <w:style w:type="paragraph" w:customStyle="1" w:styleId="51">
    <w:name w:val="修订2"/>
    <w:hidden/>
    <w:unhideWhenUsed/>
    <w:qFormat/>
    <w:uiPriority w:val="99"/>
    <w:rPr>
      <w:rFonts w:ascii="Times New Roman" w:hAnsi="Times New Roman" w:eastAsia="宋体" w:cs="Times New Roman"/>
      <w:kern w:val="2"/>
      <w:sz w:val="21"/>
      <w:lang w:val="en-US" w:eastAsia="zh-CN" w:bidi="ar-SA"/>
    </w:rPr>
  </w:style>
  <w:style w:type="character" w:customStyle="1" w:styleId="52">
    <w:name w:val="批注框文本 字符"/>
    <w:basedOn w:val="22"/>
    <w:link w:val="13"/>
    <w:qFormat/>
    <w:uiPriority w:val="99"/>
    <w:rPr>
      <w:kern w:val="2"/>
      <w:sz w:val="18"/>
    </w:rPr>
  </w:style>
  <w:style w:type="character" w:customStyle="1" w:styleId="53">
    <w:name w:val="页眉 字符"/>
    <w:basedOn w:val="22"/>
    <w:link w:val="15"/>
    <w:qFormat/>
    <w:uiPriority w:val="99"/>
    <w:rPr>
      <w:kern w:val="2"/>
      <w:sz w:val="18"/>
    </w:rPr>
  </w:style>
  <w:style w:type="character" w:customStyle="1" w:styleId="54">
    <w:name w:val="页脚 字符"/>
    <w:basedOn w:val="22"/>
    <w:link w:val="14"/>
    <w:qFormat/>
    <w:uiPriority w:val="99"/>
    <w:rPr>
      <w:kern w:val="2"/>
      <w:sz w:val="18"/>
    </w:rPr>
  </w:style>
  <w:style w:type="character" w:customStyle="1" w:styleId="55">
    <w:name w:val="批注主题 字符"/>
    <w:basedOn w:val="29"/>
    <w:link w:val="19"/>
    <w:qFormat/>
    <w:uiPriority w:val="99"/>
    <w:rPr>
      <w:b/>
      <w:kern w:val="2"/>
      <w:sz w:val="21"/>
    </w:rPr>
  </w:style>
  <w:style w:type="character" w:customStyle="1" w:styleId="56">
    <w:name w:val="正文文本 字符"/>
    <w:basedOn w:val="22"/>
    <w:link w:val="8"/>
    <w:qFormat/>
    <w:uiPriority w:val="0"/>
    <w:rPr>
      <w:b/>
      <w:bCs/>
      <w:kern w:val="2"/>
      <w:sz w:val="30"/>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header" Target="header1.xml"/><Relationship Id="rId3" Type="http://schemas.openxmlformats.org/officeDocument/2006/relationships/footer" Target="foot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2.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9.png"/><Relationship Id="rId14" Type="http://schemas.openxmlformats.org/officeDocument/2006/relationships/image" Target="media/image8.emf"/><Relationship Id="rId13" Type="http://schemas.openxmlformats.org/officeDocument/2006/relationships/package" Target="embeddings/Microsoft_Visio___1.vsdx"/><Relationship Id="rId12" Type="http://schemas.openxmlformats.org/officeDocument/2006/relationships/image" Target="media/image7.png"/><Relationship Id="rId11" Type="http://schemas.openxmlformats.org/officeDocument/2006/relationships/image" Target="media/image6.jpe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C66BB02-0D69-42FD-A1C0-3C7C3E4CFB05}">
  <ds:schemaRefs/>
</ds:datastoreItem>
</file>

<file path=docProps/app.xml><?xml version="1.0" encoding="utf-8"?>
<Properties xmlns="http://schemas.openxmlformats.org/officeDocument/2006/extended-properties" xmlns:vt="http://schemas.openxmlformats.org/officeDocument/2006/docPropsVTypes">
  <Template>Normal</Template>
  <Company>heat</Company>
  <Pages>44</Pages>
  <Words>21484</Words>
  <Characters>24297</Characters>
  <Lines>215</Lines>
  <Paragraphs>60</Paragraphs>
  <TotalTime>2463</TotalTime>
  <ScaleCrop>false</ScaleCrop>
  <LinksUpToDate>false</LinksUpToDate>
  <CharactersWithSpaces>25339</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2023-06-08T06:23:00Z</dcterms:created>
  <dc:creator>wang chi</dc:creator>
  <cp:lastModifiedBy>王池</cp:lastModifiedBy>
  <cp:lastPrinted>2009-11-02T08:09:00Z</cp:lastPrinted>
  <dcterms:modified xsi:type="dcterms:W3CDTF">2023-06-24T15:22:14Z</dcterms:modified>
  <dc:title>液体流量计量器具检定系统表</dc:title>
  <cp:revision>47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DC442AB8A2FA4A1BA304CD6713F450A8_13</vt:lpwstr>
  </property>
</Properties>
</file>