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before="120" w:line="300" w:lineRule="auto"/>
        <w:jc w:val="center"/>
        <w:rPr>
          <w:spacing w:val="20"/>
          <w:sz w:val="24"/>
        </w:rPr>
      </w:pPr>
    </w:p>
    <w:p>
      <w:pPr>
        <w:spacing w:before="120" w:line="300" w:lineRule="auto"/>
        <w:jc w:val="center"/>
        <w:rPr>
          <w:spacing w:val="20"/>
          <w:sz w:val="24"/>
        </w:rPr>
      </w:pPr>
    </w:p>
    <w:p>
      <w:pPr>
        <w:spacing w:line="480" w:lineRule="auto"/>
        <w:ind w:left="-4" w:leftChars="-2" w:firstLine="6"/>
        <w:jc w:val="center"/>
        <w:rPr>
          <w:rFonts w:ascii="黑体" w:hAnsi="黑体" w:eastAsia="黑体"/>
          <w:b/>
          <w:spacing w:val="20"/>
          <w:sz w:val="52"/>
          <w:szCs w:val="52"/>
        </w:rPr>
      </w:pPr>
      <w:r>
        <w:rPr>
          <w:rFonts w:hint="eastAsia" w:ascii="黑体" w:hAnsi="黑体" w:eastAsia="黑体"/>
          <w:b/>
          <w:spacing w:val="20"/>
          <w:sz w:val="52"/>
          <w:szCs w:val="52"/>
        </w:rPr>
        <w:t>乳腺诊断X射线剂量计校准规范</w:t>
      </w:r>
    </w:p>
    <w:p>
      <w:pPr>
        <w:ind w:left="658" w:leftChars="-233" w:hanging="1147" w:hangingChars="204"/>
        <w:jc w:val="center"/>
        <w:rPr>
          <w:rFonts w:ascii="黑体" w:hAnsi="黑体" w:eastAsia="黑体"/>
          <w:b/>
          <w:spacing w:val="20"/>
          <w:sz w:val="52"/>
          <w:szCs w:val="52"/>
        </w:rPr>
      </w:pPr>
      <w:r>
        <w:rPr>
          <w:rFonts w:hint="eastAsia" w:ascii="黑体" w:hAnsi="黑体" w:eastAsia="黑体"/>
          <w:b/>
          <w:spacing w:val="20"/>
          <w:sz w:val="52"/>
          <w:szCs w:val="52"/>
        </w:rPr>
        <w:t>编写说明</w:t>
      </w:r>
    </w:p>
    <w:p>
      <w:pPr>
        <w:spacing w:before="120" w:line="300" w:lineRule="auto"/>
        <w:jc w:val="center"/>
        <w:rPr>
          <w:spacing w:val="20"/>
          <w:sz w:val="52"/>
          <w:szCs w:val="52"/>
        </w:rPr>
      </w:pPr>
    </w:p>
    <w:p>
      <w:pPr>
        <w:pStyle w:val="25"/>
        <w:snapToGrid w:val="0"/>
        <w:spacing w:line="360" w:lineRule="auto"/>
        <w:ind w:left="136" w:leftChars="65" w:firstLine="0"/>
        <w:jc w:val="center"/>
        <w:rPr>
          <w:rFonts w:ascii="Times New Roman"/>
          <w:b/>
          <w:color w:val="000000"/>
          <w:sz w:val="52"/>
          <w:szCs w:val="52"/>
          <w:lang w:eastAsia="zh-CN"/>
        </w:rPr>
      </w:pPr>
      <w:r>
        <w:rPr>
          <w:rFonts w:hint="eastAsia" w:ascii="Times New Roman"/>
          <w:b/>
          <w:color w:val="000000"/>
          <w:sz w:val="52"/>
          <w:szCs w:val="52"/>
          <w:lang w:eastAsia="zh-CN"/>
        </w:rPr>
        <w:t>编写组</w:t>
      </w:r>
    </w:p>
    <w:p>
      <w:pPr>
        <w:spacing w:before="120" w:line="360" w:lineRule="auto"/>
        <w:jc w:val="center"/>
        <w:rPr>
          <w:b/>
          <w:color w:val="000000"/>
          <w:sz w:val="28"/>
          <w:szCs w:val="28"/>
        </w:rPr>
      </w:pPr>
      <w:r>
        <w:rPr>
          <w:b/>
          <w:color w:val="000000"/>
          <w:sz w:val="28"/>
          <w:szCs w:val="28"/>
        </w:rPr>
        <w:t>20</w:t>
      </w:r>
      <w:r>
        <w:rPr>
          <w:rFonts w:hint="eastAsia"/>
          <w:b/>
          <w:color w:val="000000"/>
          <w:sz w:val="28"/>
          <w:szCs w:val="28"/>
          <w:lang w:val="en-US" w:eastAsia="zh-CN"/>
        </w:rPr>
        <w:t>23</w:t>
      </w:r>
      <w:r>
        <w:rPr>
          <w:b/>
          <w:color w:val="000000"/>
          <w:sz w:val="28"/>
          <w:szCs w:val="28"/>
        </w:rPr>
        <w:t>-</w:t>
      </w:r>
      <w:r>
        <w:rPr>
          <w:rFonts w:hint="eastAsia"/>
          <w:b/>
          <w:color w:val="000000"/>
          <w:sz w:val="28"/>
          <w:szCs w:val="28"/>
          <w:lang w:val="en-US" w:eastAsia="zh-CN"/>
        </w:rPr>
        <w:t>6</w:t>
      </w:r>
      <w:r>
        <w:rPr>
          <w:b/>
          <w:color w:val="000000"/>
          <w:sz w:val="28"/>
          <w:szCs w:val="28"/>
        </w:rPr>
        <w:t>-</w:t>
      </w:r>
      <w:r>
        <w:rPr>
          <w:rFonts w:hint="eastAsia"/>
          <w:b/>
          <w:color w:val="000000"/>
          <w:sz w:val="28"/>
          <w:szCs w:val="28"/>
        </w:rPr>
        <w:t>20</w:t>
      </w:r>
    </w:p>
    <w:p>
      <w:pPr>
        <w:spacing w:line="360" w:lineRule="auto"/>
        <w:rPr>
          <w:rFonts w:hAnsi="宋体"/>
          <w:b/>
          <w:sz w:val="28"/>
          <w:szCs w:val="28"/>
        </w:rPr>
      </w:pPr>
      <w:r>
        <w:rPr>
          <w:rFonts w:hAnsi="宋体"/>
          <w:b/>
          <w:sz w:val="28"/>
          <w:szCs w:val="28"/>
        </w:rPr>
        <w:br w:type="page"/>
      </w:r>
    </w:p>
    <w:p>
      <w:pPr>
        <w:spacing w:beforeLines="50" w:afterLines="50" w:line="360" w:lineRule="auto"/>
        <w:rPr>
          <w:b/>
          <w:sz w:val="28"/>
          <w:szCs w:val="28"/>
        </w:rPr>
      </w:pPr>
      <w:r>
        <w:rPr>
          <w:rFonts w:hAnsi="宋体"/>
          <w:b/>
          <w:sz w:val="28"/>
          <w:szCs w:val="28"/>
        </w:rPr>
        <w:t>一、必要性</w:t>
      </w:r>
    </w:p>
    <w:p>
      <w:pPr>
        <w:spacing w:line="360" w:lineRule="auto"/>
        <w:ind w:firstLine="560" w:firstLineChars="200"/>
        <w:rPr>
          <w:rFonts w:hint="eastAsia"/>
          <w:sz w:val="28"/>
          <w:szCs w:val="28"/>
        </w:rPr>
      </w:pPr>
      <w:r>
        <w:rPr>
          <w:rFonts w:hint="eastAsia"/>
          <w:sz w:val="28"/>
          <w:szCs w:val="28"/>
        </w:rPr>
        <w:t>2020年，全球乳腺癌新增人数226万，是全球发病率第一大癌症。乳腺X射线检查是国际公认的乳腺病变诊断的“金标准”。全国医疗机构持有乳腺诊断设备上万台，而且逐年在快速增长，乳腺X射线空气比释动能基准是乳腺诊断设备的溯源源头，是全国量值准确与统一的保障。我国的全国肿瘤登记中心收集的数据显示，在2013年，女性发病率第1位的是乳腺癌。乳腺X射线摄影能够对乳腺癌进行有效的筛查，并且也是乳腺癌筛查的常规方法。由于乳腺X射线摄影会产生电离辐射，因此在检查过程中应尽量减少电离辐射的剂量。开展乳腺X射线剂量计的校准有利于确保受检者在接受诊断的同时尽可能的减少受照量。</w:t>
      </w:r>
    </w:p>
    <w:p>
      <w:pPr>
        <w:spacing w:beforeLines="50" w:afterLines="50" w:line="360" w:lineRule="auto"/>
        <w:rPr>
          <w:rFonts w:hAnsi="宋体"/>
          <w:b/>
          <w:sz w:val="28"/>
          <w:szCs w:val="28"/>
        </w:rPr>
      </w:pPr>
      <w:r>
        <w:rPr>
          <w:rFonts w:hAnsi="宋体"/>
          <w:b/>
          <w:sz w:val="28"/>
          <w:szCs w:val="28"/>
        </w:rPr>
        <w:t>二、编写过程</w:t>
      </w:r>
    </w:p>
    <w:p>
      <w:pPr>
        <w:spacing w:line="360" w:lineRule="auto"/>
        <w:ind w:firstLine="560" w:firstLineChars="200"/>
        <w:rPr>
          <w:rFonts w:hint="eastAsia"/>
          <w:sz w:val="28"/>
          <w:szCs w:val="28"/>
        </w:rPr>
      </w:pPr>
      <w:r>
        <w:rPr>
          <w:rFonts w:hint="eastAsia"/>
          <w:sz w:val="28"/>
          <w:szCs w:val="28"/>
        </w:rPr>
        <w:t>本</w:t>
      </w:r>
      <w:r>
        <w:rPr>
          <w:rFonts w:hint="eastAsia"/>
          <w:sz w:val="28"/>
          <w:szCs w:val="28"/>
          <w:lang w:val="en-US" w:eastAsia="zh-CN"/>
        </w:rPr>
        <w:t>校准规范的主要起草单位包括：深圳市计量质量检测研究院、中国测试技术研究院、</w:t>
      </w:r>
      <w:r>
        <w:rPr>
          <w:rFonts w:hint="eastAsia"/>
          <w:sz w:val="28"/>
          <w:szCs w:val="28"/>
        </w:rPr>
        <w:t>中国计量科学研究院</w:t>
      </w:r>
      <w:r>
        <w:rPr>
          <w:rFonts w:hint="eastAsia"/>
          <w:sz w:val="28"/>
          <w:szCs w:val="28"/>
          <w:lang w:val="en-US" w:eastAsia="zh-CN"/>
        </w:rPr>
        <w:t>和</w:t>
      </w:r>
      <w:r>
        <w:rPr>
          <w:rFonts w:hint="eastAsia"/>
          <w:sz w:val="28"/>
          <w:szCs w:val="28"/>
        </w:rPr>
        <w:t>广东省计量科学研究院。依托乳腺X射线空气比释动能基准</w:t>
      </w:r>
      <w:r>
        <w:rPr>
          <w:rFonts w:hint="eastAsia"/>
          <w:sz w:val="28"/>
          <w:szCs w:val="28"/>
          <w:lang w:val="en-US" w:eastAsia="zh-CN"/>
        </w:rPr>
        <w:t>研究基础和</w:t>
      </w:r>
      <w:r>
        <w:rPr>
          <w:rFonts w:hint="eastAsia"/>
          <w:sz w:val="28"/>
          <w:szCs w:val="28"/>
        </w:rPr>
        <w:t>国际比对，以及省计量院在量值溯源和量值传递方面的实践经验，起草小组于202</w:t>
      </w:r>
      <w:r>
        <w:rPr>
          <w:rFonts w:hint="eastAsia"/>
          <w:sz w:val="28"/>
          <w:szCs w:val="28"/>
          <w:lang w:val="en-US" w:eastAsia="zh-CN"/>
        </w:rPr>
        <w:t>3</w:t>
      </w:r>
      <w:r>
        <w:rPr>
          <w:rFonts w:hint="eastAsia"/>
          <w:sz w:val="28"/>
          <w:szCs w:val="28"/>
        </w:rPr>
        <w:t>年</w:t>
      </w:r>
      <w:r>
        <w:rPr>
          <w:rFonts w:hint="eastAsia"/>
          <w:sz w:val="28"/>
          <w:szCs w:val="28"/>
          <w:lang w:val="en-US" w:eastAsia="zh-CN"/>
        </w:rPr>
        <w:t>3</w:t>
      </w:r>
      <w:r>
        <w:rPr>
          <w:rFonts w:hint="eastAsia"/>
          <w:sz w:val="28"/>
          <w:szCs w:val="28"/>
        </w:rPr>
        <w:t>月形成</w:t>
      </w:r>
      <w:r>
        <w:rPr>
          <w:rFonts w:hint="eastAsia"/>
          <w:sz w:val="28"/>
          <w:szCs w:val="28"/>
          <w:lang w:val="en-US" w:eastAsia="zh-CN"/>
        </w:rPr>
        <w:t>校准规范</w:t>
      </w:r>
      <w:r>
        <w:rPr>
          <w:rFonts w:hint="eastAsia"/>
          <w:sz w:val="28"/>
          <w:szCs w:val="28"/>
        </w:rPr>
        <w:t>的初稿，在此基础上，经过多方调研和修改，于202</w:t>
      </w:r>
      <w:r>
        <w:rPr>
          <w:rFonts w:hint="eastAsia"/>
          <w:sz w:val="28"/>
          <w:szCs w:val="28"/>
          <w:lang w:val="en-US" w:eastAsia="zh-CN"/>
        </w:rPr>
        <w:t>3</w:t>
      </w:r>
      <w:r>
        <w:rPr>
          <w:rFonts w:hint="eastAsia"/>
          <w:sz w:val="28"/>
          <w:szCs w:val="28"/>
        </w:rPr>
        <w:t>年</w:t>
      </w:r>
      <w:r>
        <w:rPr>
          <w:rFonts w:hint="eastAsia"/>
          <w:sz w:val="28"/>
          <w:szCs w:val="28"/>
          <w:lang w:val="en-US" w:eastAsia="zh-CN"/>
        </w:rPr>
        <w:t>6</w:t>
      </w:r>
      <w:r>
        <w:rPr>
          <w:rFonts w:hint="eastAsia"/>
          <w:sz w:val="28"/>
          <w:szCs w:val="28"/>
        </w:rPr>
        <w:t>月完成了</w:t>
      </w:r>
      <w:r>
        <w:rPr>
          <w:rFonts w:hint="eastAsia"/>
          <w:sz w:val="28"/>
          <w:szCs w:val="28"/>
          <w:lang w:val="en-US" w:eastAsia="zh-CN"/>
        </w:rPr>
        <w:t>校准规范</w:t>
      </w:r>
      <w:r>
        <w:rPr>
          <w:rFonts w:hint="eastAsia"/>
          <w:sz w:val="28"/>
          <w:szCs w:val="28"/>
        </w:rPr>
        <w:t>的征求意见稿，向全国电离辐射计量技术委员会委员和相关单位的专家征求意见。</w:t>
      </w:r>
    </w:p>
    <w:p>
      <w:pPr>
        <w:spacing w:beforeLines="50" w:afterLines="50" w:line="360" w:lineRule="auto"/>
        <w:rPr>
          <w:b/>
          <w:sz w:val="28"/>
          <w:szCs w:val="28"/>
        </w:rPr>
      </w:pPr>
      <w:r>
        <w:rPr>
          <w:rFonts w:hint="eastAsia" w:hAnsi="宋体"/>
          <w:b/>
          <w:sz w:val="28"/>
          <w:szCs w:val="28"/>
        </w:rPr>
        <w:t>三</w:t>
      </w:r>
      <w:r>
        <w:rPr>
          <w:rFonts w:hAnsi="宋体"/>
          <w:b/>
          <w:sz w:val="28"/>
          <w:szCs w:val="28"/>
        </w:rPr>
        <w:t>、</w:t>
      </w:r>
      <w:r>
        <w:rPr>
          <w:rFonts w:hint="eastAsia" w:hAnsi="宋体"/>
          <w:b/>
          <w:sz w:val="28"/>
          <w:szCs w:val="28"/>
          <w:lang w:val="en-US" w:eastAsia="zh-CN"/>
        </w:rPr>
        <w:t>编写</w:t>
      </w:r>
      <w:r>
        <w:rPr>
          <w:rFonts w:hAnsi="宋体"/>
          <w:b/>
          <w:sz w:val="28"/>
          <w:szCs w:val="28"/>
        </w:rPr>
        <w:t>依据</w:t>
      </w:r>
    </w:p>
    <w:p>
      <w:pPr>
        <w:pStyle w:val="4"/>
        <w:tabs>
          <w:tab w:val="left" w:pos="0"/>
        </w:tabs>
        <w:snapToGrid w:val="0"/>
        <w:spacing w:after="0" w:line="360" w:lineRule="auto"/>
        <w:ind w:left="0" w:leftChars="0"/>
        <w:rPr>
          <w:rFonts w:hint="eastAsia" w:eastAsia="宋体"/>
          <w:color w:val="000000"/>
          <w:sz w:val="28"/>
          <w:szCs w:val="28"/>
          <w:lang w:eastAsia="zh-CN"/>
        </w:rPr>
      </w:pPr>
      <w:r>
        <w:rPr>
          <w:rFonts w:hint="eastAsia" w:hAnsi="宋体"/>
          <w:color w:val="000000"/>
          <w:sz w:val="28"/>
          <w:szCs w:val="28"/>
        </w:rPr>
        <w:t xml:space="preserve">   </w:t>
      </w:r>
      <w:r>
        <w:rPr>
          <w:rFonts w:ascii="宋体" w:hAnsi="宋体"/>
          <w:color w:val="000000"/>
          <w:sz w:val="28"/>
          <w:szCs w:val="28"/>
        </w:rPr>
        <w:t>《</w:t>
      </w:r>
      <w:r>
        <w:rPr>
          <w:rFonts w:hint="eastAsia"/>
          <w:color w:val="000000"/>
          <w:sz w:val="28"/>
          <w:szCs w:val="28"/>
        </w:rPr>
        <w:t>乳腺</w:t>
      </w:r>
      <w:r>
        <w:rPr>
          <w:rFonts w:hint="eastAsia"/>
          <w:color w:val="000000"/>
          <w:sz w:val="28"/>
          <w:szCs w:val="28"/>
          <w:lang w:val="en-US" w:eastAsia="zh-CN"/>
        </w:rPr>
        <w:t>诊断</w:t>
      </w:r>
      <w:r>
        <w:rPr>
          <w:rFonts w:hint="eastAsia"/>
          <w:color w:val="000000"/>
          <w:sz w:val="28"/>
          <w:szCs w:val="28"/>
        </w:rPr>
        <w:t>X射线剂量计校准规范</w:t>
      </w:r>
      <w:r>
        <w:rPr>
          <w:rFonts w:ascii="宋体" w:hAnsi="宋体"/>
          <w:color w:val="000000"/>
          <w:sz w:val="28"/>
          <w:szCs w:val="28"/>
        </w:rPr>
        <w:t>》</w:t>
      </w:r>
      <w:r>
        <w:rPr>
          <w:rFonts w:hint="eastAsia" w:ascii="宋体" w:hAnsi="宋体"/>
          <w:color w:val="000000"/>
          <w:sz w:val="28"/>
          <w:szCs w:val="28"/>
        </w:rPr>
        <w:t>的编制</w:t>
      </w:r>
      <w:r>
        <w:rPr>
          <w:rFonts w:ascii="宋体" w:hAnsi="宋体"/>
          <w:color w:val="000000"/>
          <w:sz w:val="28"/>
          <w:szCs w:val="28"/>
        </w:rPr>
        <w:t>的主要参考资料和依据</w:t>
      </w:r>
      <w:r>
        <w:rPr>
          <w:rFonts w:hint="eastAsia" w:ascii="宋体" w:hAnsi="宋体"/>
          <w:color w:val="000000"/>
          <w:sz w:val="28"/>
          <w:szCs w:val="28"/>
          <w:lang w:val="en-US" w:eastAsia="zh-CN"/>
        </w:rPr>
        <w:t>包括</w:t>
      </w:r>
      <w:r>
        <w:rPr>
          <w:rFonts w:ascii="宋体" w:hAnsi="宋体"/>
          <w:color w:val="000000"/>
          <w:sz w:val="28"/>
          <w:szCs w:val="28"/>
        </w:rPr>
        <w:t>：</w:t>
      </w:r>
      <w:r>
        <w:rPr>
          <w:color w:val="000000"/>
          <w:sz w:val="28"/>
          <w:szCs w:val="28"/>
        </w:rPr>
        <w:t>JJF 1001-2011</w:t>
      </w:r>
      <w:r>
        <w:rPr>
          <w:rFonts w:hint="eastAsia" w:ascii="宋体" w:hAnsi="Courier New"/>
          <w:color w:val="000000"/>
          <w:sz w:val="28"/>
          <w:szCs w:val="28"/>
        </w:rPr>
        <w:t xml:space="preserve"> 《通用计量术语及定义》</w:t>
      </w:r>
      <w:r>
        <w:rPr>
          <w:rFonts w:hint="eastAsia" w:ascii="宋体" w:hAnsi="Courier New"/>
          <w:color w:val="000000"/>
          <w:sz w:val="28"/>
          <w:szCs w:val="28"/>
          <w:lang w:eastAsia="zh-CN"/>
        </w:rPr>
        <w:t>；</w:t>
      </w:r>
      <w:r>
        <w:rPr>
          <w:sz w:val="28"/>
          <w:szCs w:val="28"/>
        </w:rPr>
        <w:t>JJF 1059.1-2012</w:t>
      </w:r>
      <w:r>
        <w:rPr>
          <w:rFonts w:hAnsi="宋体"/>
          <w:sz w:val="28"/>
          <w:szCs w:val="28"/>
        </w:rPr>
        <w:t>《测量不确定度评定与表示》</w:t>
      </w:r>
      <w:r>
        <w:rPr>
          <w:rFonts w:hint="eastAsia" w:hAnsi="宋体"/>
          <w:sz w:val="28"/>
          <w:szCs w:val="28"/>
          <w:lang w:eastAsia="zh-CN"/>
        </w:rPr>
        <w:t>；</w:t>
      </w:r>
      <w:r>
        <w:rPr>
          <w:sz w:val="28"/>
          <w:szCs w:val="28"/>
        </w:rPr>
        <w:t>JJF 10</w:t>
      </w:r>
      <w:r>
        <w:rPr>
          <w:rFonts w:hint="eastAsia"/>
          <w:sz w:val="28"/>
          <w:szCs w:val="28"/>
        </w:rPr>
        <w:t>71</w:t>
      </w:r>
      <w:r>
        <w:rPr>
          <w:sz w:val="28"/>
          <w:szCs w:val="28"/>
        </w:rPr>
        <w:t>-2010</w:t>
      </w:r>
      <w:r>
        <w:rPr>
          <w:rFonts w:hAnsi="宋体"/>
          <w:sz w:val="28"/>
          <w:szCs w:val="28"/>
        </w:rPr>
        <w:t>《国家计量</w:t>
      </w:r>
      <w:r>
        <w:rPr>
          <w:rFonts w:hint="eastAsia" w:hAnsi="宋体"/>
          <w:sz w:val="28"/>
          <w:szCs w:val="28"/>
        </w:rPr>
        <w:t>校准规范</w:t>
      </w:r>
      <w:r>
        <w:rPr>
          <w:rFonts w:hAnsi="宋体"/>
          <w:sz w:val="28"/>
          <w:szCs w:val="28"/>
        </w:rPr>
        <w:t>编写规则》</w:t>
      </w:r>
      <w:r>
        <w:rPr>
          <w:rFonts w:hint="eastAsia" w:hAnsi="宋体"/>
          <w:sz w:val="28"/>
          <w:szCs w:val="28"/>
          <w:lang w:eastAsia="zh-CN"/>
        </w:rPr>
        <w:t>；</w:t>
      </w:r>
      <w:r>
        <w:rPr>
          <w:color w:val="000000"/>
          <w:sz w:val="28"/>
          <w:szCs w:val="28"/>
        </w:rPr>
        <w:t>GB/T 4960.6-2008</w:t>
      </w:r>
      <w:r>
        <w:rPr>
          <w:rFonts w:hint="eastAsia" w:ascii="宋体" w:hAnsi="Courier New"/>
          <w:color w:val="000000"/>
          <w:sz w:val="28"/>
          <w:szCs w:val="28"/>
        </w:rPr>
        <w:t xml:space="preserve"> 《核科学技术术语》第</w:t>
      </w:r>
      <w:r>
        <w:rPr>
          <w:color w:val="000000"/>
          <w:sz w:val="28"/>
          <w:szCs w:val="28"/>
        </w:rPr>
        <w:t>6</w:t>
      </w:r>
      <w:r>
        <w:rPr>
          <w:rFonts w:hint="eastAsia" w:ascii="宋体" w:hAnsi="Courier New"/>
          <w:color w:val="000000"/>
          <w:sz w:val="28"/>
          <w:szCs w:val="28"/>
        </w:rPr>
        <w:t>部分：核仪器仪表</w:t>
      </w:r>
      <w:r>
        <w:rPr>
          <w:rFonts w:hint="eastAsia" w:ascii="宋体" w:hAnsi="Courier New"/>
          <w:color w:val="000000"/>
          <w:sz w:val="28"/>
          <w:szCs w:val="28"/>
          <w:lang w:eastAsia="zh-CN"/>
        </w:rPr>
        <w:t>；</w:t>
      </w:r>
      <w:r>
        <w:rPr>
          <w:rFonts w:hint="eastAsia"/>
          <w:color w:val="000000"/>
          <w:sz w:val="28"/>
          <w:szCs w:val="28"/>
        </w:rPr>
        <w:t xml:space="preserve">IEC 61267:2005 《医用诊断X射线设备—测定特性用辐射条件》(Medical diagnostic X-ray equipment </w:t>
      </w:r>
      <w:r>
        <w:rPr>
          <w:color w:val="000000"/>
          <w:sz w:val="28"/>
          <w:szCs w:val="28"/>
        </w:rPr>
        <w:t>–</w:t>
      </w:r>
      <w:r>
        <w:rPr>
          <w:rFonts w:hint="eastAsia"/>
          <w:color w:val="000000"/>
          <w:sz w:val="28"/>
          <w:szCs w:val="28"/>
        </w:rPr>
        <w:t xml:space="preserve"> Radiation conditions for use in the determination of characteristics)</w:t>
      </w:r>
      <w:r>
        <w:rPr>
          <w:rFonts w:hint="eastAsia"/>
          <w:color w:val="000000"/>
          <w:sz w:val="28"/>
          <w:szCs w:val="28"/>
          <w:lang w:eastAsia="zh-CN"/>
        </w:rPr>
        <w:t>；</w:t>
      </w:r>
      <w:r>
        <w:rPr>
          <w:rFonts w:hint="eastAsia"/>
          <w:color w:val="000000"/>
          <w:sz w:val="28"/>
          <w:szCs w:val="28"/>
        </w:rPr>
        <w:t>IEC 61674-2012 《医用电气设备— X射线诊断影像中使用的电离室和/或半导体探测器剂量计》（Medical electrical equipment-Dosimeters with ionization chambers and/or semiconductor detectors as used in X-ray diagnostic imaging）</w:t>
      </w:r>
      <w:r>
        <w:rPr>
          <w:rFonts w:hint="eastAsia"/>
          <w:color w:val="000000"/>
          <w:sz w:val="28"/>
          <w:szCs w:val="28"/>
          <w:lang w:eastAsia="zh-CN"/>
        </w:rPr>
        <w:t>；</w:t>
      </w:r>
      <w:r>
        <w:rPr>
          <w:rFonts w:hint="eastAsia"/>
          <w:color w:val="000000"/>
          <w:sz w:val="28"/>
          <w:szCs w:val="28"/>
        </w:rPr>
        <w:t>IAEA TRS 457 《放射诊断剂量学：实施指南》（Dosimeter in Diagnostic Radiology：An International Code of Practice）</w:t>
      </w:r>
      <w:r>
        <w:rPr>
          <w:rFonts w:hint="eastAsia"/>
          <w:color w:val="000000"/>
          <w:sz w:val="28"/>
          <w:szCs w:val="28"/>
          <w:lang w:eastAsia="zh-CN"/>
        </w:rPr>
        <w:t>。</w:t>
      </w:r>
    </w:p>
    <w:p>
      <w:pPr>
        <w:spacing w:beforeLines="50" w:afterLines="50" w:line="360" w:lineRule="auto"/>
        <w:rPr>
          <w:rFonts w:hAnsi="宋体"/>
          <w:b/>
          <w:sz w:val="28"/>
          <w:szCs w:val="28"/>
        </w:rPr>
      </w:pPr>
      <w:r>
        <w:rPr>
          <w:rFonts w:hint="eastAsia" w:hAnsi="宋体"/>
          <w:b/>
          <w:sz w:val="28"/>
          <w:szCs w:val="28"/>
        </w:rPr>
        <w:t>四、适用范围</w:t>
      </w:r>
    </w:p>
    <w:p>
      <w:pPr>
        <w:spacing w:line="360" w:lineRule="auto"/>
        <w:ind w:firstLine="560" w:firstLineChars="200"/>
        <w:rPr>
          <w:rFonts w:hint="eastAsia"/>
          <w:color w:val="000000"/>
          <w:sz w:val="28"/>
          <w:szCs w:val="28"/>
        </w:rPr>
      </w:pPr>
      <w:r>
        <w:rPr>
          <w:rFonts w:hint="eastAsia"/>
          <w:color w:val="000000"/>
          <w:sz w:val="28"/>
          <w:szCs w:val="28"/>
        </w:rPr>
        <w:t>本规范适用于（20~40）kV 乳腺诊断X射线剂量计的校准，被校乳腺剂量计可根据测量射线源的靶材料/附加过滤设置相对应的测量程序。</w:t>
      </w:r>
    </w:p>
    <w:p>
      <w:pPr>
        <w:spacing w:beforeLines="50" w:afterLines="50" w:line="360" w:lineRule="auto"/>
        <w:rPr>
          <w:b/>
          <w:sz w:val="28"/>
          <w:szCs w:val="28"/>
        </w:rPr>
      </w:pPr>
      <w:r>
        <w:rPr>
          <w:rFonts w:hAnsi="宋体"/>
          <w:b/>
          <w:sz w:val="28"/>
          <w:szCs w:val="28"/>
        </w:rPr>
        <w:t>五、</w:t>
      </w:r>
      <w:r>
        <w:rPr>
          <w:rFonts w:hint="eastAsia" w:hAnsi="宋体"/>
          <w:b/>
          <w:sz w:val="28"/>
          <w:szCs w:val="28"/>
        </w:rPr>
        <w:t>规范</w:t>
      </w:r>
      <w:r>
        <w:rPr>
          <w:rFonts w:hAnsi="宋体"/>
          <w:b/>
          <w:sz w:val="28"/>
          <w:szCs w:val="28"/>
        </w:rPr>
        <w:t>的主要内容及主要技术关键</w:t>
      </w:r>
    </w:p>
    <w:p>
      <w:pPr>
        <w:spacing w:line="360" w:lineRule="auto"/>
        <w:rPr>
          <w:sz w:val="28"/>
          <w:szCs w:val="28"/>
        </w:rPr>
      </w:pPr>
      <w:r>
        <w:rPr>
          <w:rFonts w:hint="eastAsia"/>
          <w:sz w:val="28"/>
          <w:szCs w:val="28"/>
        </w:rPr>
        <w:t xml:space="preserve">1. </w:t>
      </w:r>
      <w:r>
        <w:rPr>
          <w:sz w:val="28"/>
          <w:szCs w:val="28"/>
        </w:rPr>
        <w:t>关于适用范围</w:t>
      </w:r>
    </w:p>
    <w:p>
      <w:pPr>
        <w:spacing w:line="360" w:lineRule="auto"/>
        <w:ind w:firstLine="560" w:firstLineChars="200"/>
        <w:rPr>
          <w:color w:val="000000"/>
          <w:sz w:val="28"/>
          <w:szCs w:val="28"/>
        </w:rPr>
      </w:pPr>
      <w:r>
        <w:rPr>
          <w:rFonts w:hint="eastAsia"/>
          <w:color w:val="000000"/>
          <w:sz w:val="28"/>
          <w:szCs w:val="28"/>
        </w:rPr>
        <w:t>乳腺X射线剂量计根据探测器类型可分为电离室型剂量计和半导体型剂量计，测量范围大部分在（20~</w:t>
      </w:r>
      <w:r>
        <w:rPr>
          <w:rFonts w:hint="eastAsia"/>
          <w:color w:val="000000"/>
          <w:sz w:val="28"/>
          <w:szCs w:val="28"/>
          <w:lang w:val="en-US" w:eastAsia="zh-CN"/>
        </w:rPr>
        <w:t>4</w:t>
      </w:r>
      <w:r>
        <w:rPr>
          <w:rFonts w:hint="eastAsia"/>
          <w:color w:val="000000"/>
          <w:sz w:val="28"/>
          <w:szCs w:val="28"/>
        </w:rPr>
        <w:t>0）kV。乳腺X射线源常用管电压在（20~40）kV范围内。常用的乳腺X射线摄影采用的是钼靶钼过滤，除此之外还有钼靶铝过滤、钼靶铑过滤、钨靶铝过滤、钨靶银过滤、钨靶钼过滤等等。剂量计应根据测量对象的靶材料和过滤来设定测量模式。</w:t>
      </w:r>
    </w:p>
    <w:p>
      <w:pPr>
        <w:spacing w:line="360" w:lineRule="auto"/>
        <w:rPr>
          <w:color w:val="000000"/>
          <w:sz w:val="28"/>
          <w:szCs w:val="28"/>
        </w:rPr>
      </w:pPr>
      <w:r>
        <w:rPr>
          <w:color w:val="000000"/>
          <w:sz w:val="28"/>
          <w:szCs w:val="28"/>
        </w:rPr>
        <w:t xml:space="preserve">2. </w:t>
      </w:r>
      <w:r>
        <w:rPr>
          <w:rFonts w:hAnsi="宋体"/>
          <w:color w:val="000000"/>
          <w:sz w:val="28"/>
          <w:szCs w:val="28"/>
        </w:rPr>
        <w:t>关于引用文件</w:t>
      </w:r>
    </w:p>
    <w:p>
      <w:pPr>
        <w:spacing w:line="360" w:lineRule="auto"/>
        <w:ind w:firstLine="512" w:firstLineChars="183"/>
        <w:rPr>
          <w:rFonts w:hint="eastAsia" w:eastAsia="宋体"/>
          <w:color w:val="000000"/>
          <w:sz w:val="28"/>
          <w:szCs w:val="28"/>
          <w:lang w:eastAsia="zh-CN"/>
        </w:rPr>
      </w:pPr>
      <w:r>
        <w:rPr>
          <w:rFonts w:hAnsi="宋体"/>
          <w:sz w:val="28"/>
          <w:szCs w:val="28"/>
        </w:rPr>
        <w:t>本规范的制定</w:t>
      </w:r>
      <w:r>
        <w:rPr>
          <w:rFonts w:hint="eastAsia" w:hAnsi="宋体"/>
          <w:sz w:val="28"/>
          <w:szCs w:val="28"/>
        </w:rPr>
        <w:t>，在专业术语、不确定表示、格式规范方面主要参照</w:t>
      </w:r>
      <w:r>
        <w:rPr>
          <w:rFonts w:hint="eastAsia" w:hAnsi="宋体"/>
          <w:sz w:val="28"/>
          <w:szCs w:val="28"/>
          <w:lang w:eastAsia="zh-CN"/>
        </w:rPr>
        <w:t>了</w:t>
      </w:r>
      <w:r>
        <w:rPr>
          <w:rFonts w:hint="eastAsia" w:hAnsi="宋体"/>
          <w:sz w:val="28"/>
          <w:szCs w:val="28"/>
          <w:lang w:val="en-US" w:eastAsia="zh-CN"/>
        </w:rPr>
        <w:t>7个引用文件</w:t>
      </w:r>
      <w:bookmarkStart w:id="2" w:name="_GoBack"/>
      <w:bookmarkEnd w:id="2"/>
      <w:r>
        <w:rPr>
          <w:rFonts w:hint="eastAsia"/>
          <w:color w:val="000000"/>
          <w:sz w:val="28"/>
          <w:szCs w:val="28"/>
          <w:lang w:eastAsia="zh-CN"/>
        </w:rPr>
        <w:t>。</w:t>
      </w:r>
    </w:p>
    <w:p>
      <w:pPr>
        <w:spacing w:line="360" w:lineRule="auto"/>
        <w:rPr>
          <w:color w:val="000000"/>
          <w:sz w:val="28"/>
          <w:szCs w:val="28"/>
        </w:rPr>
      </w:pPr>
      <w:r>
        <w:rPr>
          <w:color w:val="000000"/>
          <w:sz w:val="28"/>
          <w:szCs w:val="28"/>
        </w:rPr>
        <w:t xml:space="preserve">3. </w:t>
      </w:r>
      <w:r>
        <w:rPr>
          <w:rFonts w:hAnsi="宋体"/>
          <w:color w:val="000000"/>
          <w:sz w:val="28"/>
          <w:szCs w:val="28"/>
        </w:rPr>
        <w:t>关于术语、计量单位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color w:val="000000"/>
          <w:sz w:val="28"/>
          <w:szCs w:val="28"/>
        </w:rPr>
      </w:pPr>
      <w:r>
        <w:rPr>
          <w:rFonts w:hint="eastAsia" w:ascii="宋体" w:hAnsi="宋体"/>
          <w:color w:val="000000"/>
          <w:sz w:val="28"/>
          <w:szCs w:val="28"/>
        </w:rPr>
        <w:t>规范中</w:t>
      </w:r>
      <w:r>
        <w:rPr>
          <w:rFonts w:ascii="宋体" w:hAnsi="宋体"/>
          <w:color w:val="000000"/>
          <w:sz w:val="28"/>
          <w:szCs w:val="28"/>
        </w:rPr>
        <w:t>定</w:t>
      </w:r>
      <w:r>
        <w:rPr>
          <w:rFonts w:ascii="宋体" w:hAnsi="宋体"/>
          <w:color w:val="auto"/>
          <w:sz w:val="28"/>
          <w:szCs w:val="28"/>
        </w:rPr>
        <w:t>义了</w:t>
      </w:r>
      <w:r>
        <w:rPr>
          <w:rFonts w:hint="eastAsia" w:ascii="宋体" w:hAnsi="宋体"/>
          <w:color w:val="auto"/>
          <w:sz w:val="28"/>
          <w:szCs w:val="28"/>
          <w:lang w:val="en-US" w:eastAsia="zh-CN"/>
        </w:rPr>
        <w:t>8</w:t>
      </w:r>
      <w:r>
        <w:rPr>
          <w:rFonts w:ascii="宋体" w:hAnsi="宋体"/>
          <w:color w:val="auto"/>
          <w:sz w:val="28"/>
          <w:szCs w:val="28"/>
        </w:rPr>
        <w:t>个</w:t>
      </w:r>
      <w:r>
        <w:rPr>
          <w:rFonts w:ascii="宋体" w:hAnsi="宋体"/>
          <w:color w:val="000000"/>
          <w:sz w:val="28"/>
          <w:szCs w:val="28"/>
        </w:rPr>
        <w:t>术语</w:t>
      </w:r>
      <w:r>
        <w:rPr>
          <w:rFonts w:hint="eastAsia" w:ascii="宋体" w:hAnsi="宋体"/>
          <w:color w:val="000000"/>
          <w:sz w:val="28"/>
          <w:szCs w:val="28"/>
        </w:rPr>
        <w:t>和</w:t>
      </w:r>
      <w:r>
        <w:rPr>
          <w:rFonts w:hint="eastAsia" w:ascii="宋体" w:hAnsi="宋体"/>
          <w:color w:val="000000"/>
          <w:sz w:val="28"/>
          <w:szCs w:val="28"/>
          <w:lang w:val="en-US" w:eastAsia="zh-CN"/>
        </w:rPr>
        <w:t>3</w:t>
      </w:r>
      <w:r>
        <w:rPr>
          <w:rFonts w:hint="eastAsia" w:ascii="宋体" w:hAnsi="宋体"/>
          <w:color w:val="000000"/>
          <w:sz w:val="28"/>
          <w:szCs w:val="28"/>
        </w:rPr>
        <w:t>个计量单位</w:t>
      </w:r>
      <w:r>
        <w:rPr>
          <w:rFonts w:ascii="宋体" w:hAnsi="宋体"/>
          <w:color w:val="000000"/>
          <w:sz w:val="28"/>
          <w:szCs w:val="28"/>
        </w:rPr>
        <w:t>。</w:t>
      </w:r>
    </w:p>
    <w:p>
      <w:pPr>
        <w:spacing w:line="360" w:lineRule="auto"/>
        <w:rPr>
          <w:color w:val="000000"/>
          <w:sz w:val="28"/>
          <w:szCs w:val="28"/>
        </w:rPr>
      </w:pPr>
      <w:r>
        <w:rPr>
          <w:color w:val="000000"/>
          <w:sz w:val="28"/>
          <w:szCs w:val="28"/>
        </w:rPr>
        <w:t xml:space="preserve">4. </w:t>
      </w:r>
      <w:r>
        <w:rPr>
          <w:rFonts w:hAnsi="宋体"/>
          <w:color w:val="000000"/>
          <w:sz w:val="28"/>
          <w:szCs w:val="28"/>
        </w:rPr>
        <w:t>关于概述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sz w:val="28"/>
          <w:szCs w:val="28"/>
        </w:rPr>
      </w:pPr>
      <w:r>
        <w:rPr>
          <w:rFonts w:hint="eastAsia"/>
          <w:color w:val="000000"/>
          <w:sz w:val="28"/>
          <w:szCs w:val="28"/>
          <w:lang w:val="en-US" w:eastAsia="zh-CN"/>
        </w:rPr>
        <w:t>乳腺诊断X射线剂量计（以下简称剂量计）用于辐射计量学的量值传递以及乳腺诊断X射线辐射剂量的测量。</w:t>
      </w:r>
      <w:r>
        <w:rPr>
          <w:rFonts w:hint="eastAsia"/>
          <w:sz w:val="28"/>
          <w:szCs w:val="28"/>
        </w:rPr>
        <w:t>它由探测器和测量单元（或静电计）两大部分组成</w:t>
      </w:r>
      <w:r>
        <w:rPr>
          <w:sz w:val="28"/>
          <w:szCs w:val="28"/>
        </w:rPr>
        <w:t>。</w:t>
      </w:r>
      <w:r>
        <w:rPr>
          <w:rFonts w:hint="eastAsia"/>
          <w:sz w:val="28"/>
          <w:szCs w:val="28"/>
        </w:rPr>
        <w:t>探测器由电离室和（或）半导体探测器组成。</w:t>
      </w:r>
    </w:p>
    <w:p>
      <w:pPr>
        <w:spacing w:line="360" w:lineRule="auto"/>
        <w:rPr>
          <w:rFonts w:hAnsi="宋体"/>
          <w:color w:val="000000"/>
          <w:sz w:val="28"/>
          <w:szCs w:val="28"/>
        </w:rPr>
      </w:pPr>
      <w:r>
        <w:rPr>
          <w:color w:val="000000"/>
          <w:sz w:val="28"/>
          <w:szCs w:val="28"/>
        </w:rPr>
        <w:t xml:space="preserve">5. </w:t>
      </w:r>
      <w:r>
        <w:rPr>
          <w:rFonts w:hAnsi="宋体"/>
          <w:color w:val="000000"/>
          <w:sz w:val="28"/>
          <w:szCs w:val="28"/>
        </w:rPr>
        <w:t>关于计量</w:t>
      </w:r>
      <w:r>
        <w:rPr>
          <w:rFonts w:hint="eastAsia" w:hAnsi="宋体"/>
          <w:color w:val="000000"/>
          <w:sz w:val="28"/>
          <w:szCs w:val="28"/>
        </w:rPr>
        <w:t>特性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olor w:val="000000"/>
          <w:sz w:val="28"/>
          <w:szCs w:val="28"/>
          <w:lang w:val="en-US" w:eastAsia="zh-CN"/>
        </w:rPr>
      </w:pPr>
      <w:r>
        <w:rPr>
          <w:rFonts w:hint="eastAsia"/>
          <w:color w:val="000000"/>
          <w:sz w:val="28"/>
          <w:szCs w:val="28"/>
          <w:lang w:val="en-US" w:eastAsia="zh-CN"/>
        </w:rPr>
        <w:t>对于乳腺诊断X射线剂量计来说，比较重要的项目包括：重复性、校准因子和能量响应。</w:t>
      </w:r>
    </w:p>
    <w:p>
      <w:pPr>
        <w:spacing w:line="360" w:lineRule="auto"/>
        <w:rPr>
          <w:rFonts w:hAnsi="宋体"/>
          <w:color w:val="000000"/>
          <w:sz w:val="28"/>
          <w:szCs w:val="28"/>
        </w:rPr>
      </w:pPr>
      <w:r>
        <w:rPr>
          <w:rFonts w:hint="eastAsia" w:hAnsi="宋体"/>
          <w:color w:val="000000"/>
          <w:sz w:val="28"/>
          <w:szCs w:val="28"/>
        </w:rPr>
        <w:t>5.1 重复性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olor w:val="000000"/>
          <w:sz w:val="28"/>
          <w:szCs w:val="28"/>
          <w:lang w:val="en-US" w:eastAsia="zh-CN"/>
        </w:rPr>
      </w:pPr>
      <w:r>
        <w:rPr>
          <w:rFonts w:hint="eastAsia"/>
          <w:color w:val="000000"/>
          <w:sz w:val="28"/>
          <w:szCs w:val="28"/>
          <w:lang w:val="en-US" w:eastAsia="zh-CN"/>
        </w:rPr>
        <w:t>参考IEC 61674-2012要求剂量仪在非减弱束条件下，当累积剂量大于1000μGy时的重复性为1%，小于1000μGy时的重复性可适当放宽，详见表1。</w:t>
      </w:r>
    </w:p>
    <w:p>
      <w:pPr>
        <w:spacing w:line="360" w:lineRule="auto"/>
        <w:ind w:firstLine="495" w:firstLineChars="177"/>
        <w:jc w:val="center"/>
        <w:rPr>
          <w:rFonts w:hAnsi="宋体"/>
          <w:color w:val="000000"/>
          <w:sz w:val="28"/>
          <w:szCs w:val="28"/>
        </w:rPr>
      </w:pPr>
      <w:r>
        <w:rPr>
          <w:rFonts w:hint="eastAsia" w:hAnsi="宋体"/>
          <w:color w:val="000000"/>
          <w:sz w:val="28"/>
          <w:szCs w:val="28"/>
        </w:rPr>
        <w:t>表1非减弱束条件下测量重复性要求</w:t>
      </w:r>
    </w:p>
    <w:p>
      <w:pPr>
        <w:spacing w:line="360" w:lineRule="auto"/>
        <w:ind w:firstLine="495" w:firstLineChars="177"/>
        <w:jc w:val="center"/>
        <w:rPr>
          <w:rFonts w:hAnsi="宋体"/>
          <w:color w:val="000000"/>
          <w:sz w:val="28"/>
          <w:szCs w:val="28"/>
        </w:rPr>
      </w:pPr>
      <w:r>
        <w:rPr>
          <w:rFonts w:hint="eastAsia" w:hAnsi="宋体"/>
          <w:color w:val="000000"/>
          <w:sz w:val="28"/>
          <w:szCs w:val="28"/>
        </w:rPr>
        <w:drawing>
          <wp:inline distT="0" distB="0" distL="0" distR="0">
            <wp:extent cx="5274310" cy="2155190"/>
            <wp:effectExtent l="1905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a:srcRect/>
                    <a:stretch>
                      <a:fillRect/>
                    </a:stretch>
                  </pic:blipFill>
                  <pic:spPr>
                    <a:xfrm>
                      <a:off x="0" y="0"/>
                      <a:ext cx="5274310" cy="2155258"/>
                    </a:xfrm>
                    <a:prstGeom prst="rect">
                      <a:avLst/>
                    </a:prstGeom>
                    <a:noFill/>
                    <a:ln w="9525">
                      <a:noFill/>
                      <a:miter lim="800000"/>
                      <a:headEnd/>
                      <a:tailEnd/>
                    </a:ln>
                  </pic:spPr>
                </pic:pic>
              </a:graphicData>
            </a:graphic>
          </wp:inline>
        </w:drawing>
      </w:r>
    </w:p>
    <w:p>
      <w:pPr>
        <w:spacing w:line="360" w:lineRule="auto"/>
        <w:rPr>
          <w:color w:val="000000"/>
          <w:sz w:val="28"/>
          <w:szCs w:val="28"/>
        </w:rPr>
      </w:pPr>
      <w:r>
        <w:rPr>
          <w:rFonts w:hint="eastAsia"/>
          <w:color w:val="000000"/>
          <w:sz w:val="28"/>
          <w:szCs w:val="28"/>
        </w:rPr>
        <w:t>5.2 校准因子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olor w:val="000000"/>
          <w:sz w:val="28"/>
          <w:szCs w:val="28"/>
          <w:lang w:val="en-US" w:eastAsia="zh-CN"/>
        </w:rPr>
      </w:pPr>
      <w:r>
        <w:rPr>
          <w:rFonts w:hint="eastAsia"/>
          <w:color w:val="000000"/>
          <w:sz w:val="28"/>
          <w:szCs w:val="28"/>
          <w:lang w:val="en-US" w:eastAsia="zh-CN"/>
        </w:rPr>
        <w:t>剂量计的校准因子在0.800~1.200（20 kV~40 kV）之间。</w:t>
      </w:r>
    </w:p>
    <w:p>
      <w:pPr>
        <w:spacing w:line="360" w:lineRule="auto"/>
        <w:rPr>
          <w:color w:val="000000"/>
          <w:sz w:val="28"/>
          <w:szCs w:val="28"/>
        </w:rPr>
      </w:pPr>
      <w:r>
        <w:rPr>
          <w:rFonts w:hint="eastAsia"/>
          <w:color w:val="000000"/>
          <w:sz w:val="28"/>
          <w:szCs w:val="28"/>
        </w:rPr>
        <w:t>5.3 能量响应</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olor w:val="000000"/>
          <w:sz w:val="28"/>
          <w:szCs w:val="28"/>
          <w:lang w:val="en-US" w:eastAsia="zh-CN"/>
        </w:rPr>
      </w:pPr>
      <w:r>
        <w:rPr>
          <w:rFonts w:hint="eastAsia"/>
          <w:color w:val="000000"/>
          <w:sz w:val="28"/>
          <w:szCs w:val="28"/>
          <w:lang w:val="en-US" w:eastAsia="zh-CN"/>
        </w:rPr>
        <w:t>参考IEC 61674-2012要求剂量仪在任何靶/过滤组合条件下，相对于28 kV的能量响应在±5%范围内。</w:t>
      </w:r>
    </w:p>
    <w:p>
      <w:pPr>
        <w:spacing w:line="360" w:lineRule="auto"/>
        <w:rPr>
          <w:rFonts w:hint="default" w:hAnsi="宋体" w:eastAsia="宋体"/>
          <w:bCs/>
          <w:kern w:val="28"/>
          <w:sz w:val="28"/>
          <w:szCs w:val="28"/>
          <w:lang w:val="en-US" w:eastAsia="zh-CN"/>
        </w:rPr>
      </w:pPr>
      <w:r>
        <w:rPr>
          <w:color w:val="000000"/>
          <w:sz w:val="28"/>
          <w:szCs w:val="28"/>
        </w:rPr>
        <w:t xml:space="preserve">6. </w:t>
      </w:r>
      <w:r>
        <w:rPr>
          <w:rFonts w:hAnsi="宋体"/>
          <w:bCs/>
          <w:kern w:val="28"/>
          <w:sz w:val="28"/>
          <w:szCs w:val="28"/>
        </w:rPr>
        <w:t>关于计量标准</w:t>
      </w:r>
      <w:r>
        <w:rPr>
          <w:rFonts w:hint="eastAsia" w:hAnsi="宋体"/>
          <w:bCs/>
          <w:kern w:val="28"/>
          <w:sz w:val="28"/>
          <w:szCs w:val="28"/>
          <w:lang w:val="en-US" w:eastAsia="zh-CN"/>
        </w:rPr>
        <w:t>或基准</w:t>
      </w:r>
    </w:p>
    <w:p>
      <w:pPr>
        <w:spacing w:line="360" w:lineRule="auto"/>
        <w:ind w:firstLine="560" w:firstLineChars="200"/>
        <w:rPr>
          <w:rFonts w:hint="eastAsia" w:hAnsi="宋体"/>
          <w:bCs/>
          <w:kern w:val="28"/>
          <w:sz w:val="28"/>
          <w:szCs w:val="28"/>
        </w:rPr>
      </w:pPr>
      <w:r>
        <w:rPr>
          <w:rFonts w:hint="eastAsia" w:hAnsi="宋体"/>
          <w:bCs/>
          <w:kern w:val="28"/>
          <w:sz w:val="28"/>
          <w:szCs w:val="28"/>
        </w:rPr>
        <w:t>乳腺X射线计量标准由乳腺X射线标准剂量计和乳腺X射线参考辐射组成。标准剂量计通过参考辐射用替代法向工作级剂量计传递量值。</w:t>
      </w:r>
    </w:p>
    <w:p>
      <w:pPr>
        <w:spacing w:line="360" w:lineRule="auto"/>
        <w:ind w:firstLine="560" w:firstLineChars="200"/>
        <w:rPr>
          <w:rFonts w:hint="eastAsia" w:hAnsi="宋体"/>
          <w:bCs/>
          <w:kern w:val="28"/>
          <w:sz w:val="28"/>
          <w:szCs w:val="28"/>
        </w:rPr>
      </w:pPr>
      <w:r>
        <w:rPr>
          <w:rFonts w:hint="eastAsia" w:hAnsi="宋体"/>
          <w:bCs/>
          <w:kern w:val="28"/>
          <w:sz w:val="28"/>
          <w:szCs w:val="28"/>
        </w:rPr>
        <w:t>乳腺X射线空气比释动能基准计量器具由乳腺X射线空气比释动能基准和乳腺X射线参考辐射组成。乳腺X射线空气比释动能基准通过参考辐射用替代法向乳腺X射线标准装置传递量值。</w:t>
      </w:r>
    </w:p>
    <w:p>
      <w:pPr>
        <w:spacing w:line="360" w:lineRule="auto"/>
        <w:rPr>
          <w:color w:val="000000"/>
          <w:sz w:val="28"/>
          <w:szCs w:val="28"/>
        </w:rPr>
      </w:pPr>
      <w:r>
        <w:rPr>
          <w:rFonts w:hint="eastAsia"/>
          <w:color w:val="000000"/>
          <w:sz w:val="28"/>
          <w:szCs w:val="28"/>
        </w:rPr>
        <w:t>7.</w:t>
      </w:r>
      <w:r>
        <w:rPr>
          <w:rFonts w:hint="eastAsia"/>
          <w:color w:val="000000"/>
          <w:sz w:val="28"/>
          <w:szCs w:val="28"/>
          <w:lang w:val="en-US" w:eastAsia="zh-CN"/>
        </w:rPr>
        <w:t>关于</w:t>
      </w:r>
      <w:r>
        <w:rPr>
          <w:rFonts w:hint="eastAsia"/>
          <w:color w:val="000000"/>
          <w:sz w:val="28"/>
          <w:szCs w:val="28"/>
        </w:rPr>
        <w:t>校准项目和校准方法</w:t>
      </w:r>
      <w:bookmarkStart w:id="0" w:name="_Toc154495157"/>
      <w:bookmarkStart w:id="1" w:name="_Toc385001028"/>
    </w:p>
    <w:bookmarkEnd w:id="0"/>
    <w:bookmarkEnd w:id="1"/>
    <w:p>
      <w:pPr>
        <w:autoSpaceDE w:val="0"/>
        <w:autoSpaceDN w:val="0"/>
        <w:adjustRightInd w:val="0"/>
        <w:spacing w:line="360" w:lineRule="auto"/>
        <w:ind w:firstLine="560" w:firstLineChars="200"/>
        <w:rPr>
          <w:rFonts w:hint="default" w:eastAsia="宋体"/>
          <w:color w:val="000000"/>
          <w:sz w:val="28"/>
          <w:szCs w:val="28"/>
          <w:lang w:val="en-US" w:eastAsia="zh-CN"/>
        </w:rPr>
      </w:pPr>
      <w:r>
        <w:rPr>
          <w:rFonts w:hint="eastAsia"/>
          <w:color w:val="000000"/>
          <w:sz w:val="28"/>
          <w:szCs w:val="28"/>
          <w:lang w:val="en-US" w:eastAsia="zh-CN"/>
        </w:rPr>
        <w:t>参照IEC 61674推荐的校准项目和校准方法开展校准。</w:t>
      </w:r>
    </w:p>
    <w:p>
      <w:pPr>
        <w:spacing w:beforeLines="50" w:afterLines="50" w:line="360" w:lineRule="auto"/>
        <w:rPr>
          <w:rFonts w:hint="eastAsia" w:hAnsi="宋体"/>
          <w:b/>
          <w:sz w:val="28"/>
          <w:szCs w:val="28"/>
        </w:rPr>
      </w:pPr>
      <w:r>
        <w:rPr>
          <w:rFonts w:hint="eastAsia" w:hAnsi="宋体"/>
          <w:b/>
          <w:sz w:val="28"/>
          <w:szCs w:val="28"/>
        </w:rPr>
        <w:t>五、可行性</w:t>
      </w:r>
    </w:p>
    <w:p>
      <w:pPr>
        <w:spacing w:line="360" w:lineRule="auto"/>
        <w:ind w:firstLine="560" w:firstLineChars="200"/>
        <w:rPr>
          <w:rFonts w:hint="eastAsia"/>
          <w:color w:val="000000"/>
          <w:sz w:val="28"/>
          <w:szCs w:val="28"/>
        </w:rPr>
      </w:pPr>
      <w:r>
        <w:rPr>
          <w:rFonts w:hint="eastAsia"/>
          <w:color w:val="000000"/>
          <w:sz w:val="28"/>
          <w:szCs w:val="28"/>
          <w:lang w:val="en-US" w:eastAsia="zh-CN"/>
        </w:rPr>
        <w:t>校准规范</w:t>
      </w:r>
      <w:r>
        <w:rPr>
          <w:rFonts w:hint="eastAsia"/>
          <w:color w:val="000000"/>
          <w:sz w:val="28"/>
          <w:szCs w:val="28"/>
        </w:rPr>
        <w:t>的技术关键是对量传方法和技术要求的选择，以及指标的确定是本项法规制订的技术关键，既要科学合理，准确反映</w:t>
      </w:r>
      <w:r>
        <w:rPr>
          <w:rFonts w:hint="eastAsia"/>
          <w:color w:val="000000"/>
          <w:sz w:val="28"/>
          <w:szCs w:val="28"/>
          <w:lang w:val="en-US" w:eastAsia="zh-CN"/>
        </w:rPr>
        <w:t>诊断</w:t>
      </w:r>
      <w:r>
        <w:rPr>
          <w:rFonts w:hint="eastAsia"/>
          <w:color w:val="000000"/>
          <w:sz w:val="28"/>
          <w:szCs w:val="28"/>
        </w:rPr>
        <w:t>水平电离室剂量计各项性能，又要切实可行，符合当前国内现有的技术能力。</w:t>
      </w:r>
    </w:p>
    <w:p>
      <w:pPr>
        <w:spacing w:line="360" w:lineRule="auto"/>
        <w:ind w:firstLine="560" w:firstLineChars="200"/>
        <w:rPr>
          <w:rFonts w:hint="eastAsia"/>
          <w:color w:val="000000"/>
          <w:sz w:val="28"/>
          <w:szCs w:val="28"/>
        </w:rPr>
      </w:pPr>
      <w:r>
        <w:rPr>
          <w:rFonts w:hint="eastAsia"/>
          <w:color w:val="000000"/>
          <w:sz w:val="28"/>
          <w:szCs w:val="28"/>
        </w:rPr>
        <w:t>我国已参加了国际计量局、亚太国际比对和原子能机构国际比对，比对过程相当于严格条件下的量传过程，在技术上已经验证了量传体系的可靠性。空气比释动能的检定体系已执行多年，为本</w:t>
      </w:r>
      <w:r>
        <w:rPr>
          <w:rFonts w:hint="eastAsia"/>
          <w:color w:val="000000"/>
          <w:sz w:val="28"/>
          <w:szCs w:val="28"/>
          <w:lang w:val="en-US" w:eastAsia="zh-CN"/>
        </w:rPr>
        <w:t>规范</w:t>
      </w:r>
      <w:r>
        <w:rPr>
          <w:rFonts w:hint="eastAsia"/>
          <w:color w:val="000000"/>
          <w:sz w:val="28"/>
          <w:szCs w:val="28"/>
        </w:rPr>
        <w:t>的制定提供了经验指导。</w:t>
      </w:r>
    </w:p>
    <w:p>
      <w:pPr>
        <w:spacing w:line="360" w:lineRule="auto"/>
        <w:ind w:firstLine="560" w:firstLineChars="200"/>
        <w:rPr>
          <w:rFonts w:hint="eastAsia"/>
          <w:color w:val="000000"/>
          <w:sz w:val="28"/>
          <w:szCs w:val="28"/>
          <w:lang w:val="zh-CN"/>
        </w:rPr>
      </w:pPr>
      <w:r>
        <w:rPr>
          <w:rFonts w:hint="eastAsia"/>
          <w:color w:val="000000"/>
          <w:sz w:val="28"/>
          <w:szCs w:val="28"/>
        </w:rPr>
        <w:t>国内省级及以上计量技术机构在技术能力和人员水平上具备开展本项检定的条件，也普遍配备的标准级电离室剂量计，经宣贯和培训后可完全胜任本项校准工作。</w:t>
      </w:r>
      <w:r>
        <w:rPr>
          <w:rFonts w:hint="eastAsia"/>
          <w:color w:val="000000"/>
          <w:sz w:val="28"/>
          <w:szCs w:val="28"/>
          <w:lang w:val="en-US" w:eastAsia="zh-CN"/>
        </w:rPr>
        <w:t>校准</w:t>
      </w:r>
      <w:r>
        <w:rPr>
          <w:rFonts w:hint="eastAsia"/>
          <w:color w:val="000000"/>
          <w:sz w:val="28"/>
          <w:szCs w:val="28"/>
        </w:rPr>
        <w:t>剂量计所需的射线辐射场装置只有部分省级技术机构配备，需根据将来发展情况，考虑标准辐射场的建设工作。</w:t>
      </w:r>
    </w:p>
    <w:p>
      <w:pPr>
        <w:autoSpaceDE w:val="0"/>
        <w:autoSpaceDN w:val="0"/>
        <w:adjustRightInd w:val="0"/>
        <w:spacing w:line="360" w:lineRule="auto"/>
        <w:ind w:firstLine="560" w:firstLineChars="200"/>
        <w:rPr>
          <w:color w:val="000000"/>
          <w:sz w:val="28"/>
          <w:szCs w:val="28"/>
        </w:rPr>
      </w:pPr>
    </w:p>
    <w:p>
      <w:pPr>
        <w:autoSpaceDE w:val="0"/>
        <w:autoSpaceDN w:val="0"/>
        <w:adjustRightInd w:val="0"/>
        <w:spacing w:line="360" w:lineRule="auto"/>
        <w:ind w:firstLine="560" w:firstLineChars="200"/>
        <w:rPr>
          <w:color w:val="000000"/>
          <w:sz w:val="28"/>
          <w:szCs w:val="28"/>
        </w:rPr>
      </w:pPr>
    </w:p>
    <w:p>
      <w:pPr>
        <w:pStyle w:val="25"/>
        <w:snapToGrid w:val="0"/>
        <w:spacing w:line="360" w:lineRule="auto"/>
        <w:ind w:left="136" w:leftChars="65" w:firstLine="562" w:firstLineChars="200"/>
        <w:jc w:val="right"/>
        <w:rPr>
          <w:rFonts w:hint="eastAsia" w:ascii="Times New Roman"/>
          <w:b/>
          <w:color w:val="000000"/>
          <w:sz w:val="28"/>
          <w:szCs w:val="28"/>
          <w:lang w:val="en-US" w:eastAsia="zh-CN"/>
        </w:rPr>
      </w:pPr>
      <w:r>
        <w:rPr>
          <w:rFonts w:hint="eastAsia" w:ascii="Times New Roman"/>
          <w:b/>
          <w:color w:val="000000"/>
          <w:sz w:val="28"/>
          <w:szCs w:val="28"/>
          <w:lang w:eastAsia="zh-CN"/>
        </w:rPr>
        <w:t>乳腺诊断X射线剂量计校准规范</w:t>
      </w:r>
      <w:r>
        <w:rPr>
          <w:rFonts w:hint="eastAsia" w:ascii="Times New Roman"/>
          <w:b/>
          <w:color w:val="000000"/>
          <w:sz w:val="28"/>
          <w:szCs w:val="28"/>
          <w:lang w:val="en-US" w:eastAsia="zh-CN"/>
        </w:rPr>
        <w:t>编写组</w:t>
      </w:r>
    </w:p>
    <w:p>
      <w:pPr>
        <w:pStyle w:val="25"/>
        <w:snapToGrid w:val="0"/>
        <w:spacing w:line="360" w:lineRule="auto"/>
        <w:ind w:left="136" w:leftChars="65" w:firstLine="562" w:firstLineChars="200"/>
        <w:jc w:val="right"/>
        <w:rPr>
          <w:b/>
          <w:color w:val="000000"/>
          <w:sz w:val="28"/>
          <w:szCs w:val="28"/>
        </w:rPr>
      </w:pPr>
      <w:r>
        <w:rPr>
          <w:b/>
          <w:color w:val="000000"/>
          <w:sz w:val="28"/>
          <w:szCs w:val="28"/>
        </w:rPr>
        <w:t>20</w:t>
      </w:r>
      <w:r>
        <w:rPr>
          <w:rFonts w:hint="eastAsia"/>
          <w:b/>
          <w:color w:val="000000"/>
          <w:sz w:val="28"/>
          <w:szCs w:val="28"/>
          <w:lang w:val="en-US" w:eastAsia="zh-CN"/>
        </w:rPr>
        <w:t>23</w:t>
      </w:r>
      <w:r>
        <w:rPr>
          <w:b/>
          <w:color w:val="000000"/>
          <w:sz w:val="28"/>
          <w:szCs w:val="28"/>
        </w:rPr>
        <w:t>-</w:t>
      </w:r>
      <w:r>
        <w:rPr>
          <w:rFonts w:hint="eastAsia"/>
          <w:b/>
          <w:color w:val="000000"/>
          <w:sz w:val="28"/>
          <w:szCs w:val="28"/>
          <w:lang w:val="en-US" w:eastAsia="zh-CN"/>
        </w:rPr>
        <w:t>06</w:t>
      </w:r>
      <w:r>
        <w:rPr>
          <w:b/>
          <w:color w:val="000000"/>
          <w:sz w:val="28"/>
          <w:szCs w:val="28"/>
        </w:rPr>
        <w:t>-</w:t>
      </w:r>
      <w:r>
        <w:rPr>
          <w:rFonts w:hint="eastAsia"/>
          <w:b/>
          <w:color w:val="000000"/>
          <w:sz w:val="28"/>
          <w:szCs w:val="28"/>
        </w:rPr>
        <w:t>20</w:t>
      </w:r>
    </w:p>
    <w:p>
      <w:pPr>
        <w:autoSpaceDE w:val="0"/>
        <w:autoSpaceDN w:val="0"/>
        <w:adjustRightInd w:val="0"/>
        <w:spacing w:line="360" w:lineRule="auto"/>
        <w:ind w:right="480" w:firstLine="562" w:firstLineChars="200"/>
        <w:rPr>
          <w:b/>
          <w:color w:val="000000"/>
          <w:sz w:val="28"/>
          <w:szCs w:val="28"/>
        </w:rPr>
      </w:pPr>
    </w:p>
    <w:p>
      <w:pPr>
        <w:autoSpaceDE w:val="0"/>
        <w:autoSpaceDN w:val="0"/>
        <w:adjustRightInd w:val="0"/>
        <w:spacing w:line="360" w:lineRule="auto"/>
        <w:ind w:right="480" w:firstLine="562" w:firstLineChars="200"/>
        <w:rPr>
          <w:b/>
          <w:color w:val="000000"/>
          <w:sz w:val="28"/>
          <w:szCs w:val="28"/>
        </w:rPr>
      </w:pPr>
    </w:p>
    <w:p>
      <w:pPr>
        <w:autoSpaceDE w:val="0"/>
        <w:autoSpaceDN w:val="0"/>
        <w:adjustRightInd w:val="0"/>
        <w:spacing w:line="360" w:lineRule="auto"/>
        <w:ind w:right="480" w:firstLine="562" w:firstLineChars="200"/>
        <w:rPr>
          <w:b/>
          <w:color w:val="000000"/>
          <w:sz w:val="28"/>
          <w:szCs w:val="28"/>
        </w:rPr>
      </w:pPr>
    </w:p>
    <w:p>
      <w:pPr>
        <w:autoSpaceDE w:val="0"/>
        <w:autoSpaceDN w:val="0"/>
        <w:adjustRightInd w:val="0"/>
        <w:spacing w:line="360" w:lineRule="auto"/>
        <w:ind w:right="480" w:firstLine="560" w:firstLineChars="200"/>
        <w:rPr>
          <w:color w:val="000000"/>
          <w:sz w:val="28"/>
          <w:szCs w:val="28"/>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numPr>
        <w:ilvl w:val="0"/>
        <w:numId w:val="0"/>
      </w:numPr>
      <w:tabs>
        <w:tab w:val="left" w:pos="8364"/>
      </w:tabs>
      <w:snapToGrid w:val="0"/>
      <w:spacing w:before="0" w:after="0" w:line="240" w:lineRule="auto"/>
      <w:ind w:left="142" w:right="240"/>
      <w:rPr>
        <w:b w:val="0"/>
        <w:sz w:val="21"/>
        <w:szCs w:val="21"/>
      </w:rPr>
    </w:pPr>
    <w:r>
      <w:rPr>
        <w:rFonts w:hint="eastAsia"/>
        <w:b w:val="0"/>
        <w:kern w:val="2"/>
        <w:sz w:val="21"/>
        <w:szCs w:val="21"/>
      </w:rPr>
      <w:t>《乳腺诊断X射线剂量计校准规范》</w:t>
    </w:r>
    <w:r>
      <w:rPr>
        <w:rFonts w:hint="eastAsia"/>
        <w:b w:val="0"/>
        <w:sz w:val="21"/>
        <w:szCs w:val="21"/>
      </w:rPr>
      <w:t>编写说明</w:t>
    </w:r>
  </w:p>
  <w:p>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3175</wp:posOffset>
              </wp:positionV>
              <wp:extent cx="5257800" cy="0"/>
              <wp:effectExtent l="0" t="0" r="0" b="0"/>
              <wp:wrapNone/>
              <wp:docPr id="1" name="直线 3"/>
              <wp:cNvGraphicFramePr/>
              <a:graphic xmlns:a="http://schemas.openxmlformats.org/drawingml/2006/main">
                <a:graphicData uri="http://schemas.microsoft.com/office/word/2010/wordprocessingShape">
                  <wps:wsp>
                    <wps:cNvSp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25pt;height:0pt;width:414pt;z-index:251659264;mso-width-relative:page;mso-height-relative:page;" filled="f" stroked="t" coordsize="21600,21600" o:gfxdata="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XflWddAAAAACAQAADwAA&#10;AAAAAAABACAAAAAiAAAAZHJzL2Rvd25yZXYueG1sUEsBAhQAFAAAAAgAh07iQDfWhg/lAQAA2wMA&#10;AA4AAAAAAAAAAQAgAAAAHwEAAGRycy9lMm9Eb2MueG1sUEsFBgAAAAAGAAYAWQEAAHYFAAAAAA==&#10;">
              <v:fill on="f" focussize="0,0"/>
              <v:stroke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2"/>
      <w:lvlText w:val="%1"/>
      <w:lvlJc w:val="left"/>
      <w:pPr>
        <w:ind w:left="432" w:hanging="432"/>
      </w:pPr>
      <w:rPr>
        <w:rFonts w:hint="eastAsia"/>
      </w:rPr>
    </w:lvl>
    <w:lvl w:ilvl="1" w:tentative="0">
      <w:start w:val="1"/>
      <w:numFmt w:val="decimal"/>
      <w:lvlRestart w:val="0"/>
      <w:pStyle w:val="3"/>
      <w:lvlText w:val="3.%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7.3.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SystemFonts/>
  <w:bordersDoNotSurroundHeader w:val="1"/>
  <w:bordersDoNotSurroundFooter w:val="1"/>
  <w:documentProtection w:enforcement="0"/>
  <w:defaultTabStop w:val="420"/>
  <w:drawingGridHorizontalSpacing w:val="21"/>
  <w:drawingGridVerticalSpacing w:val="31"/>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YWUyYzFmMDNkZDQ3MjQ0ZWZlNjQzMzAyMDIxM2QifQ=="/>
  </w:docVars>
  <w:rsids>
    <w:rsidRoot w:val="00E34560"/>
    <w:rsid w:val="0000048C"/>
    <w:rsid w:val="00000D3E"/>
    <w:rsid w:val="00001790"/>
    <w:rsid w:val="00004C9B"/>
    <w:rsid w:val="0000541E"/>
    <w:rsid w:val="00027479"/>
    <w:rsid w:val="000319D6"/>
    <w:rsid w:val="00036127"/>
    <w:rsid w:val="00036666"/>
    <w:rsid w:val="00037352"/>
    <w:rsid w:val="00041757"/>
    <w:rsid w:val="000421FC"/>
    <w:rsid w:val="00042C40"/>
    <w:rsid w:val="00044DCB"/>
    <w:rsid w:val="0004561B"/>
    <w:rsid w:val="0004726A"/>
    <w:rsid w:val="00047A9A"/>
    <w:rsid w:val="00060F35"/>
    <w:rsid w:val="0006211D"/>
    <w:rsid w:val="00071404"/>
    <w:rsid w:val="000719E7"/>
    <w:rsid w:val="00071A70"/>
    <w:rsid w:val="00072955"/>
    <w:rsid w:val="000733FE"/>
    <w:rsid w:val="00076FBF"/>
    <w:rsid w:val="00080C0B"/>
    <w:rsid w:val="00081E96"/>
    <w:rsid w:val="00084171"/>
    <w:rsid w:val="00087B59"/>
    <w:rsid w:val="00087CFD"/>
    <w:rsid w:val="00091DE8"/>
    <w:rsid w:val="00093058"/>
    <w:rsid w:val="00094C17"/>
    <w:rsid w:val="000A0FE0"/>
    <w:rsid w:val="000A1438"/>
    <w:rsid w:val="000A15F5"/>
    <w:rsid w:val="000A2D77"/>
    <w:rsid w:val="000B0DDC"/>
    <w:rsid w:val="000B21D3"/>
    <w:rsid w:val="000C066D"/>
    <w:rsid w:val="000C08AC"/>
    <w:rsid w:val="000D04B2"/>
    <w:rsid w:val="000D1372"/>
    <w:rsid w:val="000D4783"/>
    <w:rsid w:val="000D4EC5"/>
    <w:rsid w:val="000D4ED8"/>
    <w:rsid w:val="000D6289"/>
    <w:rsid w:val="000D7BE6"/>
    <w:rsid w:val="000E05FC"/>
    <w:rsid w:val="000F06E1"/>
    <w:rsid w:val="000F3743"/>
    <w:rsid w:val="000F6481"/>
    <w:rsid w:val="000F6B9A"/>
    <w:rsid w:val="000F7E3C"/>
    <w:rsid w:val="0010179C"/>
    <w:rsid w:val="00102EC4"/>
    <w:rsid w:val="001045E9"/>
    <w:rsid w:val="001057D3"/>
    <w:rsid w:val="0010696E"/>
    <w:rsid w:val="0010706B"/>
    <w:rsid w:val="00112362"/>
    <w:rsid w:val="00132F9E"/>
    <w:rsid w:val="001349A2"/>
    <w:rsid w:val="0013728C"/>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3674"/>
    <w:rsid w:val="0019702B"/>
    <w:rsid w:val="0019753D"/>
    <w:rsid w:val="001A1D6E"/>
    <w:rsid w:val="001A260E"/>
    <w:rsid w:val="001A2E84"/>
    <w:rsid w:val="001A3B11"/>
    <w:rsid w:val="001A583F"/>
    <w:rsid w:val="001B48A6"/>
    <w:rsid w:val="001B6249"/>
    <w:rsid w:val="001B6E11"/>
    <w:rsid w:val="001B7CAF"/>
    <w:rsid w:val="001B7E65"/>
    <w:rsid w:val="001C175A"/>
    <w:rsid w:val="001D235D"/>
    <w:rsid w:val="001D28BC"/>
    <w:rsid w:val="001D3F41"/>
    <w:rsid w:val="001D5654"/>
    <w:rsid w:val="001D61C1"/>
    <w:rsid w:val="001D6906"/>
    <w:rsid w:val="001D7671"/>
    <w:rsid w:val="001E2D51"/>
    <w:rsid w:val="001E57EC"/>
    <w:rsid w:val="001F0676"/>
    <w:rsid w:val="001F0B6F"/>
    <w:rsid w:val="001F5049"/>
    <w:rsid w:val="00202C63"/>
    <w:rsid w:val="00204863"/>
    <w:rsid w:val="00213336"/>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7406"/>
    <w:rsid w:val="00280573"/>
    <w:rsid w:val="00283C9F"/>
    <w:rsid w:val="00285B6A"/>
    <w:rsid w:val="0028715F"/>
    <w:rsid w:val="002951A4"/>
    <w:rsid w:val="002A5DC3"/>
    <w:rsid w:val="002B6875"/>
    <w:rsid w:val="002B6BC6"/>
    <w:rsid w:val="002C047A"/>
    <w:rsid w:val="002C2CF7"/>
    <w:rsid w:val="002C5447"/>
    <w:rsid w:val="002C6039"/>
    <w:rsid w:val="002C70C7"/>
    <w:rsid w:val="002C799F"/>
    <w:rsid w:val="002D0A2E"/>
    <w:rsid w:val="002D0FF5"/>
    <w:rsid w:val="002D4973"/>
    <w:rsid w:val="002D78D2"/>
    <w:rsid w:val="002E1F9B"/>
    <w:rsid w:val="002E38BF"/>
    <w:rsid w:val="002F3E88"/>
    <w:rsid w:val="002F52F8"/>
    <w:rsid w:val="002F7F81"/>
    <w:rsid w:val="003026EB"/>
    <w:rsid w:val="00305AAF"/>
    <w:rsid w:val="0030627D"/>
    <w:rsid w:val="0031041C"/>
    <w:rsid w:val="0031635A"/>
    <w:rsid w:val="003174DE"/>
    <w:rsid w:val="00317603"/>
    <w:rsid w:val="003218C6"/>
    <w:rsid w:val="00322343"/>
    <w:rsid w:val="0032488E"/>
    <w:rsid w:val="00326EF0"/>
    <w:rsid w:val="00333C55"/>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8494F"/>
    <w:rsid w:val="00390D94"/>
    <w:rsid w:val="00391AF4"/>
    <w:rsid w:val="00391E1C"/>
    <w:rsid w:val="00392F85"/>
    <w:rsid w:val="00393DF8"/>
    <w:rsid w:val="0039414E"/>
    <w:rsid w:val="003A0B72"/>
    <w:rsid w:val="003A1C05"/>
    <w:rsid w:val="003A258F"/>
    <w:rsid w:val="003A6FE4"/>
    <w:rsid w:val="003B1C9D"/>
    <w:rsid w:val="003B27F1"/>
    <w:rsid w:val="003B6F1A"/>
    <w:rsid w:val="003C0D2A"/>
    <w:rsid w:val="003C28D0"/>
    <w:rsid w:val="003C2EB8"/>
    <w:rsid w:val="003C4024"/>
    <w:rsid w:val="003C71E7"/>
    <w:rsid w:val="003D5605"/>
    <w:rsid w:val="003D7ED0"/>
    <w:rsid w:val="003E12BF"/>
    <w:rsid w:val="003E1DB2"/>
    <w:rsid w:val="003E28D4"/>
    <w:rsid w:val="003F18A3"/>
    <w:rsid w:val="003F2B4C"/>
    <w:rsid w:val="003F529E"/>
    <w:rsid w:val="00401B08"/>
    <w:rsid w:val="00402FC0"/>
    <w:rsid w:val="00404C74"/>
    <w:rsid w:val="00413EF5"/>
    <w:rsid w:val="004316DE"/>
    <w:rsid w:val="0043188D"/>
    <w:rsid w:val="00436083"/>
    <w:rsid w:val="00436D5D"/>
    <w:rsid w:val="00443F38"/>
    <w:rsid w:val="00463204"/>
    <w:rsid w:val="00464C6B"/>
    <w:rsid w:val="0046555F"/>
    <w:rsid w:val="00467F61"/>
    <w:rsid w:val="00471E4C"/>
    <w:rsid w:val="00477367"/>
    <w:rsid w:val="00480A2F"/>
    <w:rsid w:val="004817C9"/>
    <w:rsid w:val="004832C2"/>
    <w:rsid w:val="00485259"/>
    <w:rsid w:val="00485C1F"/>
    <w:rsid w:val="00485EEC"/>
    <w:rsid w:val="004909FE"/>
    <w:rsid w:val="0049294F"/>
    <w:rsid w:val="00495421"/>
    <w:rsid w:val="004A07A6"/>
    <w:rsid w:val="004A0928"/>
    <w:rsid w:val="004A1924"/>
    <w:rsid w:val="004A5D2E"/>
    <w:rsid w:val="004A6EC7"/>
    <w:rsid w:val="004B0013"/>
    <w:rsid w:val="004B25CE"/>
    <w:rsid w:val="004B28AA"/>
    <w:rsid w:val="004B369D"/>
    <w:rsid w:val="004B5667"/>
    <w:rsid w:val="004C19F8"/>
    <w:rsid w:val="004C6592"/>
    <w:rsid w:val="004C6C60"/>
    <w:rsid w:val="004D03F4"/>
    <w:rsid w:val="004D156D"/>
    <w:rsid w:val="004D22C3"/>
    <w:rsid w:val="004D7CB4"/>
    <w:rsid w:val="004E2A42"/>
    <w:rsid w:val="004E2E10"/>
    <w:rsid w:val="004E4405"/>
    <w:rsid w:val="004E4637"/>
    <w:rsid w:val="004E5DD4"/>
    <w:rsid w:val="004E5FFC"/>
    <w:rsid w:val="004E6565"/>
    <w:rsid w:val="004F2957"/>
    <w:rsid w:val="004F2DD3"/>
    <w:rsid w:val="004F3BB6"/>
    <w:rsid w:val="004F4733"/>
    <w:rsid w:val="004F6882"/>
    <w:rsid w:val="00501A88"/>
    <w:rsid w:val="00504343"/>
    <w:rsid w:val="00505B38"/>
    <w:rsid w:val="00506797"/>
    <w:rsid w:val="00507364"/>
    <w:rsid w:val="005108B7"/>
    <w:rsid w:val="0051783C"/>
    <w:rsid w:val="00521E76"/>
    <w:rsid w:val="00523279"/>
    <w:rsid w:val="00527FFB"/>
    <w:rsid w:val="00531611"/>
    <w:rsid w:val="00533858"/>
    <w:rsid w:val="0054221F"/>
    <w:rsid w:val="005442C2"/>
    <w:rsid w:val="005469D6"/>
    <w:rsid w:val="00550298"/>
    <w:rsid w:val="00552671"/>
    <w:rsid w:val="00553414"/>
    <w:rsid w:val="00557B6B"/>
    <w:rsid w:val="005661A4"/>
    <w:rsid w:val="005700BC"/>
    <w:rsid w:val="00571D83"/>
    <w:rsid w:val="005721A3"/>
    <w:rsid w:val="00574C88"/>
    <w:rsid w:val="00576443"/>
    <w:rsid w:val="00581BF6"/>
    <w:rsid w:val="00581E6B"/>
    <w:rsid w:val="00584DB0"/>
    <w:rsid w:val="00592945"/>
    <w:rsid w:val="00596276"/>
    <w:rsid w:val="005A0391"/>
    <w:rsid w:val="005A0BBA"/>
    <w:rsid w:val="005A2979"/>
    <w:rsid w:val="005A3005"/>
    <w:rsid w:val="005A633F"/>
    <w:rsid w:val="005B5DD9"/>
    <w:rsid w:val="005B7112"/>
    <w:rsid w:val="005C0032"/>
    <w:rsid w:val="005C033A"/>
    <w:rsid w:val="005C1674"/>
    <w:rsid w:val="005C215E"/>
    <w:rsid w:val="005C3201"/>
    <w:rsid w:val="005C324F"/>
    <w:rsid w:val="005C3F2A"/>
    <w:rsid w:val="005C7B25"/>
    <w:rsid w:val="005C7ECC"/>
    <w:rsid w:val="005D1BBF"/>
    <w:rsid w:val="005D4671"/>
    <w:rsid w:val="005D492A"/>
    <w:rsid w:val="005D4DAB"/>
    <w:rsid w:val="005D7532"/>
    <w:rsid w:val="005E48B0"/>
    <w:rsid w:val="006015C5"/>
    <w:rsid w:val="00605402"/>
    <w:rsid w:val="006059D7"/>
    <w:rsid w:val="00605F26"/>
    <w:rsid w:val="00612632"/>
    <w:rsid w:val="00613314"/>
    <w:rsid w:val="00615859"/>
    <w:rsid w:val="00616DFB"/>
    <w:rsid w:val="00617293"/>
    <w:rsid w:val="006200A9"/>
    <w:rsid w:val="00645146"/>
    <w:rsid w:val="006470A5"/>
    <w:rsid w:val="0065011D"/>
    <w:rsid w:val="00657F1E"/>
    <w:rsid w:val="00664F97"/>
    <w:rsid w:val="00671208"/>
    <w:rsid w:val="006721FD"/>
    <w:rsid w:val="00674959"/>
    <w:rsid w:val="0067585A"/>
    <w:rsid w:val="00675F8B"/>
    <w:rsid w:val="00684AE0"/>
    <w:rsid w:val="00684B92"/>
    <w:rsid w:val="00685239"/>
    <w:rsid w:val="0068610A"/>
    <w:rsid w:val="00693636"/>
    <w:rsid w:val="006947F2"/>
    <w:rsid w:val="0069592D"/>
    <w:rsid w:val="006A408E"/>
    <w:rsid w:val="006B1408"/>
    <w:rsid w:val="006B1AE5"/>
    <w:rsid w:val="006B1BB0"/>
    <w:rsid w:val="006B2472"/>
    <w:rsid w:val="006B38D5"/>
    <w:rsid w:val="006B78D7"/>
    <w:rsid w:val="006C4D64"/>
    <w:rsid w:val="006D0E2B"/>
    <w:rsid w:val="006E6A7F"/>
    <w:rsid w:val="006E7DCF"/>
    <w:rsid w:val="006F37D5"/>
    <w:rsid w:val="006F506E"/>
    <w:rsid w:val="00703260"/>
    <w:rsid w:val="007066F7"/>
    <w:rsid w:val="00710770"/>
    <w:rsid w:val="0071193E"/>
    <w:rsid w:val="0071368E"/>
    <w:rsid w:val="00722F49"/>
    <w:rsid w:val="00723710"/>
    <w:rsid w:val="0073513F"/>
    <w:rsid w:val="007371E9"/>
    <w:rsid w:val="00737961"/>
    <w:rsid w:val="00740951"/>
    <w:rsid w:val="00742E1A"/>
    <w:rsid w:val="007576C0"/>
    <w:rsid w:val="00765538"/>
    <w:rsid w:val="0076624D"/>
    <w:rsid w:val="00767641"/>
    <w:rsid w:val="00767984"/>
    <w:rsid w:val="00770983"/>
    <w:rsid w:val="00774656"/>
    <w:rsid w:val="00775E9B"/>
    <w:rsid w:val="00782DA2"/>
    <w:rsid w:val="007842F0"/>
    <w:rsid w:val="0079306E"/>
    <w:rsid w:val="00796071"/>
    <w:rsid w:val="007A087C"/>
    <w:rsid w:val="007A0A48"/>
    <w:rsid w:val="007A57ED"/>
    <w:rsid w:val="007B1937"/>
    <w:rsid w:val="007B36AB"/>
    <w:rsid w:val="007B7134"/>
    <w:rsid w:val="007C3BFF"/>
    <w:rsid w:val="007C48F7"/>
    <w:rsid w:val="007C5737"/>
    <w:rsid w:val="007C7878"/>
    <w:rsid w:val="007D0AE8"/>
    <w:rsid w:val="007D449B"/>
    <w:rsid w:val="007D4A7F"/>
    <w:rsid w:val="007E0228"/>
    <w:rsid w:val="007E1CEF"/>
    <w:rsid w:val="007E5367"/>
    <w:rsid w:val="007E5753"/>
    <w:rsid w:val="007E59CA"/>
    <w:rsid w:val="007E761B"/>
    <w:rsid w:val="007F0604"/>
    <w:rsid w:val="007F1588"/>
    <w:rsid w:val="007F1766"/>
    <w:rsid w:val="007F31B0"/>
    <w:rsid w:val="00800FC9"/>
    <w:rsid w:val="00802B47"/>
    <w:rsid w:val="00802CE7"/>
    <w:rsid w:val="00802DF5"/>
    <w:rsid w:val="008063F8"/>
    <w:rsid w:val="008079BE"/>
    <w:rsid w:val="00807BF5"/>
    <w:rsid w:val="00811964"/>
    <w:rsid w:val="0081799B"/>
    <w:rsid w:val="0082308A"/>
    <w:rsid w:val="00823245"/>
    <w:rsid w:val="00830469"/>
    <w:rsid w:val="00831C53"/>
    <w:rsid w:val="00832A20"/>
    <w:rsid w:val="00834F2B"/>
    <w:rsid w:val="00835233"/>
    <w:rsid w:val="00836896"/>
    <w:rsid w:val="0083726F"/>
    <w:rsid w:val="00841BF8"/>
    <w:rsid w:val="0084654D"/>
    <w:rsid w:val="00854E20"/>
    <w:rsid w:val="00855398"/>
    <w:rsid w:val="008555D0"/>
    <w:rsid w:val="00860117"/>
    <w:rsid w:val="00863731"/>
    <w:rsid w:val="00863E9F"/>
    <w:rsid w:val="00866C91"/>
    <w:rsid w:val="00873B72"/>
    <w:rsid w:val="00874939"/>
    <w:rsid w:val="00875940"/>
    <w:rsid w:val="008763E9"/>
    <w:rsid w:val="00881DAD"/>
    <w:rsid w:val="0088244B"/>
    <w:rsid w:val="00882C31"/>
    <w:rsid w:val="00882D89"/>
    <w:rsid w:val="0088374F"/>
    <w:rsid w:val="00886786"/>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E028B"/>
    <w:rsid w:val="008E0F83"/>
    <w:rsid w:val="008E1312"/>
    <w:rsid w:val="008E20F2"/>
    <w:rsid w:val="008E3E82"/>
    <w:rsid w:val="008F21E8"/>
    <w:rsid w:val="008F3EC3"/>
    <w:rsid w:val="008F5164"/>
    <w:rsid w:val="008F66FE"/>
    <w:rsid w:val="008F6C3C"/>
    <w:rsid w:val="008F6C60"/>
    <w:rsid w:val="008F7B51"/>
    <w:rsid w:val="009040AA"/>
    <w:rsid w:val="009062B0"/>
    <w:rsid w:val="00911077"/>
    <w:rsid w:val="009117B9"/>
    <w:rsid w:val="009154CF"/>
    <w:rsid w:val="00917595"/>
    <w:rsid w:val="00917A20"/>
    <w:rsid w:val="00926BEA"/>
    <w:rsid w:val="00927CB5"/>
    <w:rsid w:val="00931231"/>
    <w:rsid w:val="00932493"/>
    <w:rsid w:val="009330CC"/>
    <w:rsid w:val="00935245"/>
    <w:rsid w:val="009356D5"/>
    <w:rsid w:val="00941909"/>
    <w:rsid w:val="00947991"/>
    <w:rsid w:val="009545A2"/>
    <w:rsid w:val="009601A9"/>
    <w:rsid w:val="009601EA"/>
    <w:rsid w:val="00961C9F"/>
    <w:rsid w:val="0097290B"/>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6A4"/>
    <w:rsid w:val="009D178B"/>
    <w:rsid w:val="009D2997"/>
    <w:rsid w:val="009D4207"/>
    <w:rsid w:val="009E0340"/>
    <w:rsid w:val="009E113D"/>
    <w:rsid w:val="009E2C7E"/>
    <w:rsid w:val="009E451C"/>
    <w:rsid w:val="009E54CB"/>
    <w:rsid w:val="009E58C3"/>
    <w:rsid w:val="009E6ED9"/>
    <w:rsid w:val="009F0071"/>
    <w:rsid w:val="009F3095"/>
    <w:rsid w:val="009F3EEE"/>
    <w:rsid w:val="009F509B"/>
    <w:rsid w:val="009F6FBF"/>
    <w:rsid w:val="009F7C1A"/>
    <w:rsid w:val="00A01223"/>
    <w:rsid w:val="00A03542"/>
    <w:rsid w:val="00A04382"/>
    <w:rsid w:val="00A05588"/>
    <w:rsid w:val="00A13B79"/>
    <w:rsid w:val="00A16BD7"/>
    <w:rsid w:val="00A173A8"/>
    <w:rsid w:val="00A237B3"/>
    <w:rsid w:val="00A24BD4"/>
    <w:rsid w:val="00A26600"/>
    <w:rsid w:val="00A267DA"/>
    <w:rsid w:val="00A2767C"/>
    <w:rsid w:val="00A27B69"/>
    <w:rsid w:val="00A3161D"/>
    <w:rsid w:val="00A3219D"/>
    <w:rsid w:val="00A35A51"/>
    <w:rsid w:val="00A35FBA"/>
    <w:rsid w:val="00A4106E"/>
    <w:rsid w:val="00A52BF3"/>
    <w:rsid w:val="00A53306"/>
    <w:rsid w:val="00A55573"/>
    <w:rsid w:val="00A60AC2"/>
    <w:rsid w:val="00A73BC8"/>
    <w:rsid w:val="00A742AE"/>
    <w:rsid w:val="00A771BE"/>
    <w:rsid w:val="00A771CF"/>
    <w:rsid w:val="00A81CFC"/>
    <w:rsid w:val="00A83DEA"/>
    <w:rsid w:val="00A9398C"/>
    <w:rsid w:val="00A9503B"/>
    <w:rsid w:val="00A97AA2"/>
    <w:rsid w:val="00AA0164"/>
    <w:rsid w:val="00AA1A91"/>
    <w:rsid w:val="00AA25DF"/>
    <w:rsid w:val="00AB2224"/>
    <w:rsid w:val="00AC019D"/>
    <w:rsid w:val="00AC0542"/>
    <w:rsid w:val="00AC41EC"/>
    <w:rsid w:val="00AC5AF9"/>
    <w:rsid w:val="00AC5B79"/>
    <w:rsid w:val="00AC7902"/>
    <w:rsid w:val="00AD172D"/>
    <w:rsid w:val="00AD52D1"/>
    <w:rsid w:val="00AD6DF0"/>
    <w:rsid w:val="00AE0244"/>
    <w:rsid w:val="00AE1AE2"/>
    <w:rsid w:val="00AE3106"/>
    <w:rsid w:val="00AE7C67"/>
    <w:rsid w:val="00AF5E62"/>
    <w:rsid w:val="00AF62C1"/>
    <w:rsid w:val="00AF70EC"/>
    <w:rsid w:val="00AF7E92"/>
    <w:rsid w:val="00B01071"/>
    <w:rsid w:val="00B0343E"/>
    <w:rsid w:val="00B045D2"/>
    <w:rsid w:val="00B12EAA"/>
    <w:rsid w:val="00B133D6"/>
    <w:rsid w:val="00B14CF8"/>
    <w:rsid w:val="00B21E44"/>
    <w:rsid w:val="00B23B06"/>
    <w:rsid w:val="00B24FAA"/>
    <w:rsid w:val="00B26D40"/>
    <w:rsid w:val="00B33A5F"/>
    <w:rsid w:val="00B35FF2"/>
    <w:rsid w:val="00B41F9D"/>
    <w:rsid w:val="00B424BF"/>
    <w:rsid w:val="00B42BFE"/>
    <w:rsid w:val="00B4320B"/>
    <w:rsid w:val="00B437BA"/>
    <w:rsid w:val="00B454F9"/>
    <w:rsid w:val="00B5088C"/>
    <w:rsid w:val="00B51EA2"/>
    <w:rsid w:val="00B54678"/>
    <w:rsid w:val="00B5555F"/>
    <w:rsid w:val="00B55CE2"/>
    <w:rsid w:val="00B61E41"/>
    <w:rsid w:val="00B63EB0"/>
    <w:rsid w:val="00B70B7A"/>
    <w:rsid w:val="00B75D37"/>
    <w:rsid w:val="00B84472"/>
    <w:rsid w:val="00B84D9F"/>
    <w:rsid w:val="00B855B6"/>
    <w:rsid w:val="00B936EC"/>
    <w:rsid w:val="00BA27FC"/>
    <w:rsid w:val="00BA3189"/>
    <w:rsid w:val="00BA434E"/>
    <w:rsid w:val="00BA5F43"/>
    <w:rsid w:val="00BA6EFA"/>
    <w:rsid w:val="00BA7037"/>
    <w:rsid w:val="00BB2081"/>
    <w:rsid w:val="00BB4F5A"/>
    <w:rsid w:val="00BB634C"/>
    <w:rsid w:val="00BC257C"/>
    <w:rsid w:val="00BC6677"/>
    <w:rsid w:val="00BD12D2"/>
    <w:rsid w:val="00BD5C6D"/>
    <w:rsid w:val="00BD781D"/>
    <w:rsid w:val="00BE05DF"/>
    <w:rsid w:val="00BE1CF6"/>
    <w:rsid w:val="00BE3DC5"/>
    <w:rsid w:val="00BE7F1A"/>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521E"/>
    <w:rsid w:val="00C61EA5"/>
    <w:rsid w:val="00C6402B"/>
    <w:rsid w:val="00C7093A"/>
    <w:rsid w:val="00C746E6"/>
    <w:rsid w:val="00C755D3"/>
    <w:rsid w:val="00C75DEE"/>
    <w:rsid w:val="00C8110D"/>
    <w:rsid w:val="00C82A8B"/>
    <w:rsid w:val="00C92148"/>
    <w:rsid w:val="00C9273F"/>
    <w:rsid w:val="00C9437F"/>
    <w:rsid w:val="00C95C75"/>
    <w:rsid w:val="00C965C8"/>
    <w:rsid w:val="00CA64A4"/>
    <w:rsid w:val="00CB1A68"/>
    <w:rsid w:val="00CB1D78"/>
    <w:rsid w:val="00CB5245"/>
    <w:rsid w:val="00CB5737"/>
    <w:rsid w:val="00CB701D"/>
    <w:rsid w:val="00CB7C1B"/>
    <w:rsid w:val="00CB7F44"/>
    <w:rsid w:val="00CC06B2"/>
    <w:rsid w:val="00CC3616"/>
    <w:rsid w:val="00CC4169"/>
    <w:rsid w:val="00CC41EE"/>
    <w:rsid w:val="00CC4526"/>
    <w:rsid w:val="00CC668B"/>
    <w:rsid w:val="00CD1F4C"/>
    <w:rsid w:val="00CD2C9B"/>
    <w:rsid w:val="00CD3B5E"/>
    <w:rsid w:val="00CE4AFC"/>
    <w:rsid w:val="00CF4C14"/>
    <w:rsid w:val="00CF57C8"/>
    <w:rsid w:val="00D01E81"/>
    <w:rsid w:val="00D044C6"/>
    <w:rsid w:val="00D04827"/>
    <w:rsid w:val="00D04C24"/>
    <w:rsid w:val="00D057B9"/>
    <w:rsid w:val="00D102DD"/>
    <w:rsid w:val="00D11F9F"/>
    <w:rsid w:val="00D12B19"/>
    <w:rsid w:val="00D16210"/>
    <w:rsid w:val="00D168A5"/>
    <w:rsid w:val="00D31AE8"/>
    <w:rsid w:val="00D354F6"/>
    <w:rsid w:val="00D36FAC"/>
    <w:rsid w:val="00D37405"/>
    <w:rsid w:val="00D401DC"/>
    <w:rsid w:val="00D421AA"/>
    <w:rsid w:val="00D5340B"/>
    <w:rsid w:val="00D5602E"/>
    <w:rsid w:val="00D56AA8"/>
    <w:rsid w:val="00D57D1B"/>
    <w:rsid w:val="00D649E7"/>
    <w:rsid w:val="00D704DC"/>
    <w:rsid w:val="00D73C17"/>
    <w:rsid w:val="00D824DC"/>
    <w:rsid w:val="00D83480"/>
    <w:rsid w:val="00D83FD3"/>
    <w:rsid w:val="00D842A3"/>
    <w:rsid w:val="00D84E78"/>
    <w:rsid w:val="00D86D3C"/>
    <w:rsid w:val="00D9205F"/>
    <w:rsid w:val="00D9465D"/>
    <w:rsid w:val="00D96584"/>
    <w:rsid w:val="00DA13E7"/>
    <w:rsid w:val="00DA1B80"/>
    <w:rsid w:val="00DA3568"/>
    <w:rsid w:val="00DA68C1"/>
    <w:rsid w:val="00DA6914"/>
    <w:rsid w:val="00DA720A"/>
    <w:rsid w:val="00DA77F9"/>
    <w:rsid w:val="00DA7883"/>
    <w:rsid w:val="00DB088F"/>
    <w:rsid w:val="00DB3817"/>
    <w:rsid w:val="00DB473A"/>
    <w:rsid w:val="00DB64F3"/>
    <w:rsid w:val="00DB7D69"/>
    <w:rsid w:val="00DC0E9B"/>
    <w:rsid w:val="00DC3690"/>
    <w:rsid w:val="00DC5BD2"/>
    <w:rsid w:val="00DC7506"/>
    <w:rsid w:val="00DD01B4"/>
    <w:rsid w:val="00DD3CB7"/>
    <w:rsid w:val="00DE2331"/>
    <w:rsid w:val="00DE247B"/>
    <w:rsid w:val="00DE3B2A"/>
    <w:rsid w:val="00DE5D91"/>
    <w:rsid w:val="00DE743A"/>
    <w:rsid w:val="00DF1FB0"/>
    <w:rsid w:val="00DF65DD"/>
    <w:rsid w:val="00E002F8"/>
    <w:rsid w:val="00E01892"/>
    <w:rsid w:val="00E02B64"/>
    <w:rsid w:val="00E03B00"/>
    <w:rsid w:val="00E03E2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205D"/>
    <w:rsid w:val="00E45BDB"/>
    <w:rsid w:val="00E5028A"/>
    <w:rsid w:val="00E60B27"/>
    <w:rsid w:val="00E6412D"/>
    <w:rsid w:val="00E6697B"/>
    <w:rsid w:val="00E71283"/>
    <w:rsid w:val="00E72FC0"/>
    <w:rsid w:val="00E800E0"/>
    <w:rsid w:val="00E821B5"/>
    <w:rsid w:val="00E8387E"/>
    <w:rsid w:val="00E864B0"/>
    <w:rsid w:val="00E92C88"/>
    <w:rsid w:val="00EA0456"/>
    <w:rsid w:val="00EA1409"/>
    <w:rsid w:val="00EA152A"/>
    <w:rsid w:val="00EA1AD1"/>
    <w:rsid w:val="00EA1FD7"/>
    <w:rsid w:val="00EA2299"/>
    <w:rsid w:val="00EA324B"/>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4CED"/>
    <w:rsid w:val="00F0206C"/>
    <w:rsid w:val="00F02CB9"/>
    <w:rsid w:val="00F03322"/>
    <w:rsid w:val="00F03AB9"/>
    <w:rsid w:val="00F041BE"/>
    <w:rsid w:val="00F064F8"/>
    <w:rsid w:val="00F10CF4"/>
    <w:rsid w:val="00F1167D"/>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409B"/>
    <w:rsid w:val="00F44DD9"/>
    <w:rsid w:val="00F4565A"/>
    <w:rsid w:val="00F5245A"/>
    <w:rsid w:val="00F53756"/>
    <w:rsid w:val="00F54F61"/>
    <w:rsid w:val="00F62704"/>
    <w:rsid w:val="00F65840"/>
    <w:rsid w:val="00F71CA7"/>
    <w:rsid w:val="00F71FFD"/>
    <w:rsid w:val="00F73B3F"/>
    <w:rsid w:val="00F746AC"/>
    <w:rsid w:val="00F770E3"/>
    <w:rsid w:val="00F7733C"/>
    <w:rsid w:val="00F802B8"/>
    <w:rsid w:val="00F84D0A"/>
    <w:rsid w:val="00F85AE6"/>
    <w:rsid w:val="00F86689"/>
    <w:rsid w:val="00F920A2"/>
    <w:rsid w:val="00F92A63"/>
    <w:rsid w:val="00F9364C"/>
    <w:rsid w:val="00F937FC"/>
    <w:rsid w:val="00F9682A"/>
    <w:rsid w:val="00F97AC3"/>
    <w:rsid w:val="00FA4CD0"/>
    <w:rsid w:val="00FA684F"/>
    <w:rsid w:val="00FB10F7"/>
    <w:rsid w:val="00FB265E"/>
    <w:rsid w:val="00FB3B4E"/>
    <w:rsid w:val="00FC0EBB"/>
    <w:rsid w:val="00FC3596"/>
    <w:rsid w:val="00FC5711"/>
    <w:rsid w:val="00FC734E"/>
    <w:rsid w:val="00FC75AA"/>
    <w:rsid w:val="00FD119A"/>
    <w:rsid w:val="00FD6559"/>
    <w:rsid w:val="00FD7B35"/>
    <w:rsid w:val="00FE0F48"/>
    <w:rsid w:val="00FE2E0E"/>
    <w:rsid w:val="00FE5106"/>
    <w:rsid w:val="00FE6B4D"/>
    <w:rsid w:val="00FE70EB"/>
    <w:rsid w:val="00FE78CC"/>
    <w:rsid w:val="00FF45E6"/>
    <w:rsid w:val="00FF5D63"/>
    <w:rsid w:val="1D7646E9"/>
    <w:rsid w:val="444630A4"/>
    <w:rsid w:val="4E2F2707"/>
    <w:rsid w:val="690F1369"/>
    <w:rsid w:val="6F2E492E"/>
    <w:rsid w:val="752761A6"/>
    <w:rsid w:val="79E41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qFormat="1"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bCs/>
      <w:color w:val="000000"/>
      <w:kern w:val="44"/>
      <w:sz w:val="44"/>
      <w:szCs w:val="44"/>
    </w:rPr>
  </w:style>
  <w:style w:type="paragraph" w:styleId="3">
    <w:name w:val="heading 2"/>
    <w:basedOn w:val="1"/>
    <w:next w:val="1"/>
    <w:link w:val="20"/>
    <w:qFormat/>
    <w:uiPriority w:val="0"/>
    <w:pPr>
      <w:keepNext/>
      <w:keepLines/>
      <w:numPr>
        <w:ilvl w:val="1"/>
        <w:numId w:val="1"/>
      </w:numPr>
      <w:spacing w:before="260" w:after="260" w:line="413" w:lineRule="auto"/>
      <w:outlineLvl w:val="1"/>
    </w:pPr>
    <w:rPr>
      <w:rFonts w:ascii="Arial" w:hAnsi="Arial"/>
      <w:b/>
      <w:bCs/>
      <w:sz w:val="24"/>
      <w:szCs w:val="32"/>
    </w:rPr>
  </w:style>
  <w:style w:type="character" w:default="1" w:styleId="16">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27"/>
    <w:qFormat/>
    <w:uiPriority w:val="0"/>
    <w:pPr>
      <w:spacing w:after="120"/>
      <w:ind w:left="420" w:leftChars="200"/>
    </w:pPr>
    <w:rPr>
      <w:szCs w:val="20"/>
    </w:rPr>
  </w:style>
  <w:style w:type="paragraph" w:styleId="5">
    <w:name w:val="Plain Text"/>
    <w:basedOn w:val="1"/>
    <w:link w:val="26"/>
    <w:qFormat/>
    <w:uiPriority w:val="0"/>
    <w:rPr>
      <w:rFonts w:ascii="宋体" w:hAnsi="Courier New"/>
      <w:szCs w:val="20"/>
    </w:rPr>
  </w:style>
  <w:style w:type="paragraph" w:styleId="6">
    <w:name w:val="Date"/>
    <w:basedOn w:val="1"/>
    <w:next w:val="1"/>
    <w:link w:val="30"/>
    <w:qFormat/>
    <w:uiPriority w:val="0"/>
    <w:pPr>
      <w:ind w:left="100" w:leftChars="2500"/>
    </w:pPr>
  </w:style>
  <w:style w:type="paragraph" w:styleId="7">
    <w:name w:val="Balloon Text"/>
    <w:basedOn w:val="1"/>
    <w:link w:val="33"/>
    <w:qFormat/>
    <w:uiPriority w:val="0"/>
    <w:rPr>
      <w:sz w:val="18"/>
      <w:szCs w:val="18"/>
    </w:rPr>
  </w:style>
  <w:style w:type="paragraph" w:styleId="8">
    <w:name w:val="footer"/>
    <w:basedOn w:val="1"/>
    <w:link w:val="29"/>
    <w:uiPriority w:val="99"/>
    <w:pPr>
      <w:tabs>
        <w:tab w:val="center" w:pos="4153"/>
        <w:tab w:val="right" w:pos="8306"/>
      </w:tabs>
      <w:snapToGrid w:val="0"/>
      <w:jc w:val="left"/>
    </w:pPr>
    <w:rPr>
      <w:sz w:val="18"/>
      <w:szCs w:val="18"/>
    </w:rPr>
  </w:style>
  <w:style w:type="paragraph" w:styleId="9">
    <w:name w:val="header"/>
    <w:basedOn w:val="1"/>
    <w:link w:val="28"/>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24"/>
    <w:qFormat/>
    <w:uiPriority w:val="0"/>
    <w:pPr>
      <w:spacing w:line="312" w:lineRule="auto"/>
      <w:ind w:left="240" w:leftChars="100" w:right="100" w:rightChars="100"/>
      <w:jc w:val="left"/>
      <w:outlineLvl w:val="1"/>
    </w:pPr>
    <w:rPr>
      <w:rFonts w:ascii="Cambria" w:hAnsi="Cambria"/>
      <w:bCs/>
      <w:kern w:val="28"/>
      <w:sz w:val="24"/>
      <w:szCs w:val="32"/>
    </w:rPr>
  </w:style>
  <w:style w:type="paragraph" w:styleId="11">
    <w:name w:val="HTML Preformatted"/>
    <w:basedOn w:val="1"/>
    <w:qFormat/>
    <w:uiPriority w:val="0"/>
    <w:pPr>
      <w:spacing w:line="312" w:lineRule="auto"/>
    </w:pPr>
    <w:rPr>
      <w:rFonts w:ascii="Courier New" w:hAnsi="Courier New" w:cs="Courier New"/>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4">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5">
    <w:name w:val="Table Classic 1"/>
    <w:basedOn w:val="12"/>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17">
    <w:name w:val="page number"/>
    <w:basedOn w:val="16"/>
    <w:uiPriority w:val="0"/>
  </w:style>
  <w:style w:type="character" w:styleId="18">
    <w:name w:val="Emphasis"/>
    <w:qFormat/>
    <w:uiPriority w:val="0"/>
    <w:rPr>
      <w:color w:val="CC0033"/>
    </w:rPr>
  </w:style>
  <w:style w:type="character" w:styleId="19">
    <w:name w:val="Hyperlink"/>
    <w:unhideWhenUsed/>
    <w:qFormat/>
    <w:uiPriority w:val="0"/>
    <w:rPr>
      <w:color w:val="0000FF"/>
      <w:u w:val="single"/>
    </w:rPr>
  </w:style>
  <w:style w:type="character" w:customStyle="1" w:styleId="20">
    <w:name w:val="标题 2 Char"/>
    <w:link w:val="3"/>
    <w:uiPriority w:val="0"/>
    <w:rPr>
      <w:rFonts w:ascii="Arial" w:hAnsi="Arial" w:eastAsia="宋体"/>
      <w:b/>
      <w:bCs/>
      <w:kern w:val="2"/>
      <w:sz w:val="24"/>
      <w:szCs w:val="32"/>
      <w:lang w:bidi="ar-SA"/>
    </w:rPr>
  </w:style>
  <w:style w:type="paragraph" w:customStyle="1" w:styleId="21">
    <w:name w:val="Char Char Char Char Char Char Char Char Char Char Char Char Char Char Char Char Char Char Char Char Char"/>
    <w:basedOn w:val="1"/>
    <w:uiPriority w:val="0"/>
    <w:pPr>
      <w:spacing w:line="360" w:lineRule="auto"/>
      <w:ind w:left="420"/>
    </w:pPr>
  </w:style>
  <w:style w:type="character" w:customStyle="1" w:styleId="22">
    <w:name w:val="style111"/>
    <w:uiPriority w:val="0"/>
    <w:rPr>
      <w:sz w:val="24"/>
      <w:szCs w:val="24"/>
    </w:rPr>
  </w:style>
  <w:style w:type="character" w:customStyle="1" w:styleId="23">
    <w:name w:val="apple-style-span"/>
    <w:basedOn w:val="16"/>
    <w:uiPriority w:val="0"/>
  </w:style>
  <w:style w:type="character" w:customStyle="1" w:styleId="24">
    <w:name w:val="副标题 Char"/>
    <w:link w:val="10"/>
    <w:uiPriority w:val="0"/>
    <w:rPr>
      <w:rFonts w:ascii="Cambria" w:hAnsi="Cambria" w:eastAsia="宋体"/>
      <w:bCs/>
      <w:kern w:val="28"/>
      <w:sz w:val="24"/>
      <w:szCs w:val="32"/>
      <w:lang w:val="en-US" w:eastAsia="zh-CN" w:bidi="ar-SA"/>
    </w:rPr>
  </w:style>
  <w:style w:type="paragraph" w:styleId="25">
    <w:name w:val="List Paragraph"/>
    <w:basedOn w:val="1"/>
    <w:qFormat/>
    <w:uiPriority w:val="34"/>
    <w:pPr>
      <w:widowControl/>
      <w:ind w:left="720" w:firstLine="360"/>
      <w:contextualSpacing/>
      <w:jc w:val="left"/>
    </w:pPr>
    <w:rPr>
      <w:rFonts w:ascii="Calibri" w:hAnsi="Calibri"/>
      <w:kern w:val="0"/>
      <w:sz w:val="22"/>
      <w:szCs w:val="22"/>
      <w:lang w:eastAsia="en-US" w:bidi="en-US"/>
    </w:rPr>
  </w:style>
  <w:style w:type="character" w:customStyle="1" w:styleId="26">
    <w:name w:val="纯文本 Char"/>
    <w:link w:val="5"/>
    <w:qFormat/>
    <w:uiPriority w:val="0"/>
    <w:rPr>
      <w:rFonts w:ascii="宋体" w:hAnsi="Courier New"/>
      <w:kern w:val="2"/>
      <w:sz w:val="21"/>
    </w:rPr>
  </w:style>
  <w:style w:type="character" w:customStyle="1" w:styleId="27">
    <w:name w:val="正文文本缩进 Char"/>
    <w:link w:val="4"/>
    <w:qFormat/>
    <w:uiPriority w:val="0"/>
    <w:rPr>
      <w:kern w:val="2"/>
      <w:sz w:val="21"/>
    </w:rPr>
  </w:style>
  <w:style w:type="character" w:customStyle="1" w:styleId="28">
    <w:name w:val="页眉 Char"/>
    <w:link w:val="9"/>
    <w:qFormat/>
    <w:uiPriority w:val="99"/>
    <w:rPr>
      <w:kern w:val="2"/>
      <w:sz w:val="18"/>
      <w:szCs w:val="18"/>
    </w:rPr>
  </w:style>
  <w:style w:type="character" w:customStyle="1" w:styleId="29">
    <w:name w:val="页脚 Char"/>
    <w:link w:val="8"/>
    <w:qFormat/>
    <w:uiPriority w:val="99"/>
    <w:rPr>
      <w:kern w:val="2"/>
      <w:sz w:val="18"/>
      <w:szCs w:val="18"/>
    </w:rPr>
  </w:style>
  <w:style w:type="character" w:customStyle="1" w:styleId="30">
    <w:name w:val="日期 Char"/>
    <w:link w:val="6"/>
    <w:qFormat/>
    <w:uiPriority w:val="0"/>
    <w:rPr>
      <w:kern w:val="2"/>
      <w:sz w:val="21"/>
      <w:szCs w:val="24"/>
    </w:rPr>
  </w:style>
  <w:style w:type="paragraph" w:customStyle="1" w:styleId="31">
    <w:name w:val="标准文件_段"/>
    <w:qFormat/>
    <w:uiPriority w:val="0"/>
    <w:pPr>
      <w:autoSpaceDE w:val="0"/>
      <w:autoSpaceDN w:val="0"/>
      <w:adjustRightInd w:val="0"/>
      <w:snapToGrid w:val="0"/>
      <w:spacing w:line="360" w:lineRule="auto"/>
    </w:pPr>
    <w:rPr>
      <w:rFonts w:ascii="Times New Roman" w:hAnsi="Times New Roman" w:eastAsia="宋体" w:cs="Times New Roman"/>
      <w:spacing w:val="2"/>
      <w:sz w:val="24"/>
      <w:szCs w:val="24"/>
      <w:lang w:val="en-US" w:eastAsia="zh-CN" w:bidi="ar-SA"/>
    </w:rPr>
  </w:style>
  <w:style w:type="paragraph" w:customStyle="1" w:styleId="32">
    <w:name w:val="标准文件_正文公式"/>
    <w:basedOn w:val="1"/>
    <w:next w:val="1"/>
    <w:qFormat/>
    <w:uiPriority w:val="0"/>
    <w:pPr>
      <w:tabs>
        <w:tab w:val="right" w:leader="middleDot" w:pos="0"/>
      </w:tabs>
      <w:adjustRightInd w:val="0"/>
      <w:spacing w:line="276" w:lineRule="auto"/>
      <w:jc w:val="right"/>
    </w:pPr>
    <w:rPr>
      <w:rFonts w:ascii="宋体"/>
      <w:szCs w:val="20"/>
    </w:rPr>
  </w:style>
  <w:style w:type="character" w:customStyle="1" w:styleId="33">
    <w:name w:val="批注框文本 Char"/>
    <w:basedOn w:val="16"/>
    <w:link w:val="7"/>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freeman</Company>
  <Pages>6</Pages>
  <Words>1534</Words>
  <Characters>2259</Characters>
  <Lines>16</Lines>
  <Paragraphs>4</Paragraphs>
  <TotalTime>5</TotalTime>
  <ScaleCrop>false</ScaleCrop>
  <LinksUpToDate>false</LinksUpToDate>
  <CharactersWithSpaces>2467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2012-07-09T10:04:00Z</dcterms:created>
  <dc:creator>freeman</dc:creator>
  <cp:lastModifiedBy>ECHOsss</cp:lastModifiedBy>
  <dcterms:modified xsi:type="dcterms:W3CDTF">2023-06-21T03:29:46Z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3B4CC8A8AEFA4014B5871D1D52B4C2C1_13</vt:lpwstr>
  </property>
</Properties>
</file>