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/>
        </w:rPr>
      </w:pPr>
    </w:p>
    <w:p>
      <w:pPr>
        <w:pStyle w:val="2"/>
        <w:jc w:val="center"/>
        <w:rPr>
          <w:rFonts w:ascii="Times New Roman" w:hAnsi="Times New Roman"/>
        </w:rPr>
      </w:pPr>
    </w:p>
    <w:p>
      <w:pPr>
        <w:pStyle w:val="2"/>
        <w:jc w:val="center"/>
        <w:rPr>
          <w:rFonts w:ascii="Times New Roman" w:hAnsi="Times New Roman"/>
        </w:rPr>
      </w:pPr>
      <w:bookmarkStart w:id="0" w:name="_Toc494575042"/>
      <w:bookmarkStart w:id="1" w:name="_Toc53677802"/>
      <w:bookmarkStart w:id="2" w:name="_Toc19569"/>
      <w:bookmarkStart w:id="3" w:name="_Toc22862"/>
      <w:bookmarkStart w:id="4" w:name="_Toc458670659"/>
      <w:bookmarkStart w:id="5" w:name="_Toc472684120"/>
      <w:bookmarkStart w:id="6" w:name="_Toc29785"/>
      <w:bookmarkStart w:id="7" w:name="_Toc8203"/>
      <w:r>
        <w:rPr>
          <w:rFonts w:ascii="Times New Roman" w:hAnsi="Times New Roman"/>
        </w:rPr>
        <w:t>《</w:t>
      </w:r>
      <w:r>
        <w:rPr>
          <w:rFonts w:hint="eastAsia" w:ascii="Times New Roman" w:hAnsi="Times New Roman"/>
          <w:lang w:val="en-US" w:eastAsia="zh-CN"/>
        </w:rPr>
        <w:t>传声器风罩校准规范</w:t>
      </w:r>
      <w:r>
        <w:rPr>
          <w:rFonts w:ascii="Times New Roman" w:hAnsi="Times New Roman"/>
        </w:rPr>
        <w:t>》</w:t>
      </w:r>
      <w:bookmarkEnd w:id="0"/>
      <w:bookmarkStart w:id="8" w:name="_Toc494575043"/>
      <w:r>
        <w:rPr>
          <w:rFonts w:hint="eastAsia" w:ascii="Times New Roman" w:hAnsi="Times New Roman"/>
        </w:rPr>
        <w:t>不确定度评定报告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pStyle w:val="13"/>
        <w:rPr>
          <w:rFonts w:ascii="Times New Roman" w:hAnsi="Times New Roman"/>
        </w:rPr>
      </w:pPr>
      <w:r>
        <w:rPr>
          <w:rFonts w:ascii="Times New Roman" w:hAnsi="Times New Roman"/>
        </w:rPr>
        <w:t>《</w:t>
      </w:r>
      <w:r>
        <w:rPr>
          <w:rFonts w:hint="eastAsia" w:ascii="Times New Roman" w:hAnsi="Times New Roman"/>
          <w:lang w:val="en-US" w:eastAsia="zh-CN"/>
        </w:rPr>
        <w:t>传声器风罩校准规范</w:t>
      </w:r>
      <w:r>
        <w:rPr>
          <w:rFonts w:ascii="Times New Roman" w:hAnsi="Times New Roman"/>
        </w:rPr>
        <w:t>》</w:t>
      </w:r>
      <w:r>
        <w:rPr>
          <w:rFonts w:hint="eastAsia" w:ascii="Times New Roman" w:hAnsi="Times New Roman"/>
        </w:rPr>
        <w:t>起草小组</w:t>
      </w:r>
    </w:p>
    <w:p>
      <w:pPr>
        <w:pStyle w:val="13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2</w:t>
      </w:r>
      <w:r>
        <w:rPr>
          <w:rFonts w:hint="eastAsia"/>
          <w:lang w:val="en-US" w:eastAsia="zh-CN"/>
        </w:rPr>
        <w:t>3</w:t>
      </w:r>
      <w:r>
        <w:rPr>
          <w:rFonts w:hint="eastAsia"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>06</w:t>
      </w:r>
    </w:p>
    <w:p>
      <w:pPr>
        <w:pStyle w:val="13"/>
        <w:rPr>
          <w:rFonts w:ascii="Times New Roman" w:hAnsi="Times New Roman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kern w:val="2"/>
          <w:sz w:val="21"/>
          <w:szCs w:val="28"/>
          <w:lang w:val="en-US" w:eastAsia="zh-CN" w:bidi="ar-SA"/>
        </w:rPr>
      </w:pPr>
      <w:r>
        <w:rPr>
          <w:rFonts w:hint="eastAsia"/>
          <w:sz w:val="32"/>
          <w:szCs w:val="32"/>
          <w:lang w:eastAsia="zh-CN"/>
        </w:rPr>
        <w:t>目录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</w:rPr>
        <w:instrText xml:space="preserve"> TOC \o "1-3" \h \z \u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p>
      <w:pPr>
        <w:pStyle w:val="13"/>
        <w:tabs>
          <w:tab w:val="right" w:leader="dot" w:pos="8306"/>
          <w:tab w:val="clear" w:pos="8302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_Toc2007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8"/>
          <w:lang w:val="en-US" w:eastAsia="zh-CN"/>
        </w:rPr>
        <w:t>1</w:t>
      </w:r>
      <w:r>
        <w:rPr>
          <w:rFonts w:hint="eastAsia" w:ascii="Times New Roman" w:hAnsi="Times New Roman"/>
          <w:szCs w:val="28"/>
        </w:rPr>
        <w:t>、实验验证结果的测量不确定度评定</w:t>
      </w:r>
      <w:r>
        <w:tab/>
      </w:r>
      <w:r>
        <w:fldChar w:fldCharType="begin"/>
      </w:r>
      <w:r>
        <w:instrText xml:space="preserve"> PAGEREF _Toc2007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_Toc19357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/>
          <w:szCs w:val="24"/>
          <w:lang w:val="en-US" w:eastAsia="zh-CN"/>
        </w:rPr>
        <w:t>1</w:t>
      </w:r>
      <w:r>
        <w:rPr>
          <w:rFonts w:hint="eastAsia" w:ascii="Times New Roman" w:hAnsi="Times New Roman"/>
          <w:szCs w:val="24"/>
        </w:rPr>
        <w:t>.1</w:t>
      </w:r>
      <w:r>
        <w:rPr>
          <w:rFonts w:hint="eastAsia"/>
          <w:szCs w:val="24"/>
          <w:lang w:val="en-US" w:eastAsia="zh-CN"/>
        </w:rPr>
        <w:t>频率响应修正</w:t>
      </w:r>
      <w:r>
        <w:rPr>
          <w:rFonts w:ascii="Times New Roman" w:hAnsi="Times New Roman"/>
          <w:szCs w:val="24"/>
        </w:rPr>
        <w:t>的不确定度评定</w:t>
      </w:r>
      <w:r>
        <w:tab/>
      </w:r>
      <w:r>
        <w:fldChar w:fldCharType="begin"/>
      </w:r>
      <w:r>
        <w:instrText xml:space="preserve"> PAGEREF _Toc19357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_Toc14123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/>
          <w:szCs w:val="24"/>
          <w:lang w:val="en-US" w:eastAsia="zh-CN"/>
        </w:rPr>
        <w:t>1</w:t>
      </w:r>
      <w:r>
        <w:rPr>
          <w:rFonts w:hint="eastAsia"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2</w:t>
      </w:r>
      <w:r>
        <w:rPr>
          <w:rFonts w:hint="eastAsia"/>
          <w:szCs w:val="24"/>
          <w:lang w:val="en-US" w:eastAsia="zh-CN"/>
        </w:rPr>
        <w:t>防风性能</w:t>
      </w:r>
      <w:r>
        <w:rPr>
          <w:rFonts w:ascii="Times New Roman" w:hAnsi="Times New Roman"/>
          <w:szCs w:val="24"/>
        </w:rPr>
        <w:t>的不确定度评定</w:t>
      </w:r>
      <w:r>
        <w:tab/>
      </w:r>
      <w:r>
        <w:fldChar w:fldCharType="begin"/>
      </w:r>
      <w:r>
        <w:instrText xml:space="preserve"> PAGEREF _Toc14123 \h </w:instrText>
      </w:r>
      <w:r>
        <w:fldChar w:fldCharType="separate"/>
      </w:r>
      <w:r>
        <w:t>4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13"/>
        <w:tabs>
          <w:tab w:val="right" w:leader="dot" w:pos="8306"/>
          <w:tab w:val="clear" w:pos="8302"/>
        </w:tabs>
        <w:rPr>
          <w:rFonts w:ascii="Times New Roman" w:hAnsi="Times New Roman"/>
          <w:sz w:val="28"/>
          <w:szCs w:val="28"/>
        </w:rPr>
        <w:sectPr>
          <w:footerReference r:id="rId5" w:type="first"/>
          <w:pgSz w:w="11906" w:h="16838"/>
          <w:pgMar w:top="1440" w:right="1800" w:bottom="1440" w:left="1800" w:header="851" w:footer="992" w:gutter="0"/>
          <w:pgNumType w:fmt="lowerRoman" w:start="1"/>
          <w:cols w:space="425" w:num="1"/>
          <w:titlePg/>
          <w:docGrid w:type="lines" w:linePitch="312" w:charSpace="0"/>
        </w:sectPr>
      </w:pPr>
      <w:r>
        <w:rPr>
          <w:rFonts w:ascii="Times New Roman" w:hAnsi="Times New Roman"/>
          <w:szCs w:val="28"/>
        </w:rPr>
        <w:fldChar w:fldCharType="end"/>
      </w:r>
      <w:bookmarkStart w:id="23" w:name="_GoBack"/>
      <w:bookmarkEnd w:id="23"/>
    </w:p>
    <w:p>
      <w:pPr>
        <w:pStyle w:val="3"/>
        <w:pageBreakBefore/>
        <w:spacing w:line="415" w:lineRule="auto"/>
        <w:jc w:val="center"/>
        <w:rPr>
          <w:rFonts w:hint="eastAsia" w:ascii="Times New Roman" w:hAnsi="Times New Roman" w:eastAsia="黑体"/>
          <w:lang w:val="en-US" w:eastAsia="zh-CN"/>
        </w:rPr>
      </w:pPr>
      <w:bookmarkStart w:id="9" w:name="_Toc6386"/>
      <w:bookmarkStart w:id="10" w:name="_Toc458670660"/>
      <w:bookmarkStart w:id="11" w:name="_Toc494575044"/>
      <w:bookmarkStart w:id="12" w:name="_Toc53677803"/>
      <w:bookmarkStart w:id="13" w:name="_Toc30972"/>
      <w:bookmarkStart w:id="14" w:name="_Toc271705955"/>
      <w:bookmarkStart w:id="15" w:name="_Toc472684121"/>
      <w:bookmarkStart w:id="16" w:name="_Toc3627"/>
      <w:bookmarkStart w:id="17" w:name="_Toc12012"/>
      <w:r>
        <w:rPr>
          <w:rFonts w:ascii="Times New Roman" w:hAnsi="Times New Roman"/>
        </w:rPr>
        <w:t>《</w:t>
      </w:r>
      <w:r>
        <w:rPr>
          <w:rFonts w:hint="eastAsia" w:ascii="Times New Roman" w:hAnsi="Times New Roman"/>
          <w:lang w:val="en-US" w:eastAsia="zh-CN"/>
        </w:rPr>
        <w:t>传声器风罩校准规范</w:t>
      </w:r>
      <w:r>
        <w:rPr>
          <w:rFonts w:ascii="Times New Roman" w:hAnsi="Times New Roman"/>
        </w:rPr>
        <w:t>》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hint="eastAsia" w:ascii="Times New Roman" w:hAnsi="Times New Roman"/>
          <w:lang w:eastAsia="zh-CN"/>
        </w:rPr>
        <w:t>不确定度评定报告</w:t>
      </w:r>
      <w:bookmarkEnd w:id="17"/>
    </w:p>
    <w:p>
      <w:pPr>
        <w:pStyle w:val="3"/>
        <w:spacing w:beforeLines="50" w:afterLines="50" w:line="360" w:lineRule="auto"/>
        <w:rPr>
          <w:rFonts w:ascii="Times New Roman" w:hAnsi="Times New Roman"/>
          <w:sz w:val="28"/>
          <w:szCs w:val="28"/>
        </w:rPr>
      </w:pPr>
      <w:bookmarkStart w:id="18" w:name="_Toc2007"/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/>
          <w:sz w:val="28"/>
          <w:szCs w:val="28"/>
        </w:rPr>
        <w:t>、实验验证结果的测量不确定度评定</w:t>
      </w:r>
      <w:bookmarkEnd w:id="18"/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/>
          <w:sz w:val="24"/>
          <w:lang w:eastAsia="zh-CN"/>
        </w:rPr>
        <w:t>本节</w:t>
      </w:r>
      <w:r>
        <w:rPr>
          <w:rFonts w:ascii="Times New Roman" w:hAnsi="Times New Roman"/>
          <w:sz w:val="24"/>
        </w:rPr>
        <w:t>说明</w:t>
      </w:r>
      <w:r>
        <w:rPr>
          <w:rFonts w:hint="eastAsia"/>
          <w:sz w:val="24"/>
          <w:lang w:val="en-US" w:eastAsia="zh-CN"/>
        </w:rPr>
        <w:t>频率响应修正和防风性能</w:t>
      </w:r>
      <w:r>
        <w:rPr>
          <w:rFonts w:ascii="Times New Roman" w:hAnsi="Times New Roman"/>
          <w:sz w:val="24"/>
        </w:rPr>
        <w:t>的测量不确定度评定方法。</w:t>
      </w:r>
    </w:p>
    <w:p>
      <w:pPr>
        <w:pStyle w:val="4"/>
        <w:spacing w:before="0" w:after="0" w:line="360" w:lineRule="auto"/>
        <w:rPr>
          <w:rFonts w:hint="eastAsia" w:ascii="Times New Roman" w:hAnsi="Times New Roman"/>
          <w:sz w:val="24"/>
          <w:szCs w:val="24"/>
        </w:rPr>
      </w:pPr>
      <w:bookmarkStart w:id="19" w:name="_Toc19357"/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sz w:val="24"/>
          <w:szCs w:val="24"/>
        </w:rPr>
        <w:t>.1</w:t>
      </w:r>
      <w:r>
        <w:rPr>
          <w:rFonts w:hint="eastAsia"/>
          <w:sz w:val="24"/>
          <w:szCs w:val="24"/>
          <w:lang w:val="en-US" w:eastAsia="zh-CN"/>
        </w:rPr>
        <w:t>频率响应修正</w:t>
      </w:r>
      <w:r>
        <w:rPr>
          <w:rFonts w:ascii="Times New Roman" w:hAnsi="Times New Roman"/>
          <w:sz w:val="24"/>
          <w:szCs w:val="24"/>
        </w:rPr>
        <w:t>的不确定度评定</w:t>
      </w:r>
      <w:bookmarkEnd w:id="19"/>
    </w:p>
    <w:p>
      <w:pPr>
        <w:pStyle w:val="28"/>
        <w:spacing w:line="360" w:lineRule="auto"/>
        <w:ind w:left="0" w:leftChars="0"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cs="Times New Roman"/>
          <w:kern w:val="2"/>
          <w:sz w:val="24"/>
          <w:szCs w:val="24"/>
          <w:lang w:val="en-US" w:eastAsia="zh-CN" w:bidi="ar-SA"/>
        </w:rPr>
        <w:t>频率响应修正是通过测试1/3倍频程声压级给出，因此有效频率范围的不确定度与测试1/3倍频程声压级的不确定度一致。</w:t>
      </w:r>
    </w:p>
    <w:p>
      <w:pPr>
        <w:pStyle w:val="28"/>
        <w:spacing w:line="360" w:lineRule="auto"/>
        <w:ind w:left="0" w:leftChars="0" w:firstLine="482" w:firstLineChars="200"/>
        <w:rPr>
          <w:rFonts w:hint="default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cs="Times New Roman"/>
          <w:b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  <w:t>.1.1</w:t>
      </w:r>
      <w:r>
        <w:rPr>
          <w:rFonts w:hint="eastAsia" w:ascii="Times New Roman" w:cs="Times New Roman"/>
          <w:b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  <w:t>标准不确定度分量的评定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测量重复性引入的不确定度分量</w:t>
      </w: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</w:rPr>
        <w:t xml:space="preserve">    在相同的测量条件下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以10次</w:t>
      </w:r>
      <w:r>
        <w:rPr>
          <w:sz w:val="24"/>
          <w:szCs w:val="24"/>
        </w:rPr>
        <w:t>测量的</w:t>
      </w:r>
      <w:r>
        <w:rPr>
          <w:rFonts w:hint="eastAsia"/>
          <w:sz w:val="24"/>
          <w:szCs w:val="24"/>
          <w:lang w:eastAsia="zh-CN"/>
        </w:rPr>
        <w:t>实验室</w:t>
      </w:r>
      <w:r>
        <w:rPr>
          <w:rFonts w:hint="eastAsia"/>
          <w:sz w:val="24"/>
          <w:szCs w:val="24"/>
        </w:rPr>
        <w:t>标准</w:t>
      </w:r>
      <w:r>
        <w:rPr>
          <w:sz w:val="24"/>
          <w:szCs w:val="24"/>
        </w:rPr>
        <w:t>偏差作为测量重复性引入的不确定度分</w:t>
      </w:r>
      <w:r>
        <w:rPr>
          <w:sz w:val="24"/>
          <w:szCs w:val="24"/>
          <w:highlight w:val="none"/>
        </w:rPr>
        <w:t>量</w:t>
      </w:r>
      <w:r>
        <w:rPr>
          <w:rFonts w:hint="eastAsia" w:ascii="Times New Roman" w:hAnsi="Times New Roman"/>
          <w:i/>
          <w:iCs/>
          <w:sz w:val="24"/>
          <w:szCs w:val="24"/>
          <w:highlight w:val="none"/>
          <w:shd w:val="clear"/>
        </w:rPr>
        <w:t>u</w:t>
      </w:r>
      <w:r>
        <w:rPr>
          <w:rFonts w:hint="eastAsia"/>
          <w:i w:val="0"/>
          <w:iCs w:val="0"/>
          <w:sz w:val="24"/>
          <w:szCs w:val="24"/>
          <w:highlight w:val="none"/>
          <w:shd w:val="clear"/>
          <w:vertAlign w:val="subscript"/>
          <w:lang w:val="en-US" w:eastAsia="zh-CN"/>
        </w:rPr>
        <w:t>1</w:t>
      </w:r>
      <w:r>
        <w:rPr>
          <w:rFonts w:hint="eastAsia" w:ascii="Times New Roman" w:hAnsi="Times New Roman"/>
          <w:sz w:val="24"/>
          <w:szCs w:val="24"/>
          <w:highlight w:val="none"/>
          <w:shd w:val="clear"/>
        </w:rPr>
        <w:t>=0.</w:t>
      </w:r>
      <w:r>
        <w:rPr>
          <w:rFonts w:hint="eastAsia"/>
          <w:sz w:val="24"/>
          <w:szCs w:val="24"/>
          <w:highlight w:val="none"/>
          <w:shd w:val="clear"/>
          <w:lang w:val="en-US" w:eastAsia="zh-CN"/>
        </w:rPr>
        <w:t>76</w:t>
      </w:r>
      <w:r>
        <w:rPr>
          <w:rFonts w:hint="eastAsia" w:ascii="Times New Roman" w:hAnsi="Times New Roman"/>
          <w:sz w:val="24"/>
          <w:szCs w:val="24"/>
          <w:highlight w:val="none"/>
          <w:shd w:val="clear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highlight w:val="none"/>
          <w:shd w:val="clear"/>
        </w:rPr>
        <w:t>dB</w:t>
      </w:r>
      <w:r>
        <w:rPr>
          <w:rFonts w:hint="eastAsia"/>
          <w:sz w:val="24"/>
          <w:szCs w:val="24"/>
          <w:highlight w:val="none"/>
          <w:shd w:val="clear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信号发生器幅值稳定性引入的不确定度分量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信号发生器幅值稳定</w:t>
      </w:r>
      <w:r>
        <w:rPr>
          <w:rFonts w:hint="eastAsia"/>
          <w:sz w:val="24"/>
          <w:szCs w:val="24"/>
          <w:lang w:eastAsia="zh-CN"/>
        </w:rPr>
        <w:t>性</w:t>
      </w:r>
      <w:r>
        <w:rPr>
          <w:rFonts w:hint="eastAsia" w:ascii="Times New Roman" w:hAnsi="Times New Roman"/>
          <w:sz w:val="24"/>
          <w:szCs w:val="24"/>
        </w:rPr>
        <w:t>优于</w:t>
      </w:r>
      <w:r>
        <w:rPr>
          <w:rFonts w:ascii="Times New Roman" w:hAnsi="Times New Roman"/>
          <w:sz w:val="24"/>
          <w:szCs w:val="24"/>
          <w:highlight w:val="none"/>
          <w:shd w:val="clear" w:color="auto" w:fill="auto"/>
        </w:rPr>
        <w:t>±0.</w:t>
      </w:r>
      <w:r>
        <w:rPr>
          <w:rFonts w:hint="eastAsia"/>
          <w:sz w:val="24"/>
          <w:szCs w:val="24"/>
          <w:highlight w:val="none"/>
          <w:shd w:val="clear" w:color="auto" w:fill="auto"/>
          <w:lang w:val="en-US" w:eastAsia="zh-CN"/>
        </w:rPr>
        <w:t>1</w:t>
      </w:r>
      <w:r>
        <w:rPr>
          <w:rFonts w:ascii="Times New Roman" w:hAnsi="Times New Roman"/>
          <w:sz w:val="24"/>
          <w:szCs w:val="24"/>
          <w:highlight w:val="none"/>
          <w:shd w:val="clear" w:color="auto" w:fill="auto"/>
        </w:rPr>
        <w:t xml:space="preserve"> dB</w:t>
      </w:r>
      <w:r>
        <w:rPr>
          <w:rFonts w:hint="eastAsia" w:ascii="Times New Roman" w:hAnsi="Times New Roman"/>
          <w:sz w:val="24"/>
          <w:szCs w:val="24"/>
          <w:highlight w:val="none"/>
          <w:shd w:val="clear" w:color="auto" w:fill="auto"/>
        </w:rPr>
        <w:t>，</w:t>
      </w:r>
      <w:r>
        <w:rPr>
          <w:rFonts w:hint="eastAsia" w:ascii="Times New Roman" w:hAnsi="Times New Roman"/>
          <w:sz w:val="24"/>
          <w:szCs w:val="24"/>
        </w:rPr>
        <w:t>其引入的不确定度按均匀分布估计，取包含因子</w:t>
      </w:r>
      <w:r>
        <w:rPr>
          <w:position w:val="-8"/>
          <w:sz w:val="24"/>
          <w:szCs w:val="24"/>
        </w:rPr>
        <w:object>
          <v:shape id="_x0000_i1025" o:spt="75" type="#_x0000_t75" style="height:18pt;width:3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，故正弦信号发生器稳定性引入的不确定度分量</w:t>
      </w:r>
      <w:bookmarkStart w:id="20" w:name="OLE_LINK6"/>
      <w:bookmarkStart w:id="21" w:name="OLE_LINK7"/>
      <w:r>
        <w:rPr>
          <w:rFonts w:ascii="Times New Roman" w:hAnsi="Times New Roman"/>
          <w:i/>
          <w:sz w:val="24"/>
          <w:szCs w:val="24"/>
        </w:rPr>
        <w:t>u</w:t>
      </w:r>
      <w:r>
        <w:rPr>
          <w:rFonts w:hint="eastAsia"/>
          <w:i w:val="0"/>
          <w:iCs/>
          <w:sz w:val="24"/>
          <w:szCs w:val="24"/>
          <w:vertAlign w:val="subscript"/>
          <w:lang w:val="en-US" w:eastAsia="zh-CN"/>
        </w:rPr>
        <w:t>2</w:t>
      </w:r>
      <w:bookmarkEnd w:id="20"/>
      <w:bookmarkEnd w:id="21"/>
      <w:r>
        <w:rPr>
          <w:rFonts w:hint="eastAsia"/>
          <w:sz w:val="24"/>
          <w:szCs w:val="24"/>
          <w:lang w:val="en-US" w:eastAsia="zh-CN"/>
        </w:rPr>
        <w:t>=0.06</w:t>
      </w:r>
      <w:r>
        <w:rPr>
          <w:rFonts w:hint="eastAsia" w:ascii="Times New Roman" w:hAnsi="Times New Roman"/>
          <w:sz w:val="24"/>
          <w:szCs w:val="24"/>
        </w:rPr>
        <w:t xml:space="preserve"> dB。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声源的短时稳定性引入的标准不确定度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声源在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10 min内的声压级稳定性小于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±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0.1 dB，考虑为均匀分布，</w:t>
      </w:r>
      <w:r>
        <w:rPr>
          <w:rFonts w:hint="eastAsia" w:ascii="Times New Roman" w:hAnsi="Times New Roman"/>
          <w:sz w:val="24"/>
          <w:szCs w:val="24"/>
        </w:rPr>
        <w:t>取包含因子</w:t>
      </w:r>
      <w:r>
        <w:rPr>
          <w:position w:val="-8"/>
          <w:sz w:val="24"/>
          <w:szCs w:val="24"/>
        </w:rPr>
        <w:object>
          <v:shape id="_x0000_i1026" o:spt="75" type="#_x0000_t75" style="height:18pt;width:3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由此引入的标准不确定度分量为</w:t>
      </w:r>
      <w:r>
        <w:rPr>
          <w:rFonts w:ascii="Times New Roman" w:hAnsi="Times New Roman"/>
          <w:i/>
          <w:color w:val="auto"/>
          <w:sz w:val="24"/>
          <w:szCs w:val="24"/>
        </w:rPr>
        <w:t>u</w:t>
      </w:r>
      <w:r>
        <w:rPr>
          <w:rFonts w:hint="eastAsia" w:ascii="Times New Roman" w:hAnsi="Times New Roman"/>
          <w:i w:val="0"/>
          <w:iCs/>
          <w:color w:val="auto"/>
          <w:sz w:val="24"/>
          <w:szCs w:val="24"/>
          <w:vertAlign w:val="subscript"/>
          <w:lang w:val="en-US" w:eastAsia="zh-CN"/>
        </w:rPr>
        <w:t>3</w:t>
      </w:r>
      <w:r>
        <w:rPr>
          <w:rFonts w:hint="eastAsia"/>
          <w:color w:val="auto"/>
          <w:sz w:val="24"/>
          <w:szCs w:val="24"/>
          <w:lang w:val="en-US" w:eastAsia="zh-CN"/>
        </w:rPr>
        <w:t>=0.06</w:t>
      </w:r>
      <w:r>
        <w:rPr>
          <w:rFonts w:hint="eastAsia" w:ascii="Times New Roman" w:hAnsi="Times New Roman"/>
          <w:color w:val="auto"/>
          <w:sz w:val="24"/>
          <w:szCs w:val="24"/>
        </w:rPr>
        <w:t xml:space="preserve"> dB</w:t>
      </w:r>
    </w:p>
    <w:p>
      <w:pPr>
        <w:spacing w:line="360" w:lineRule="auto"/>
        <w:jc w:val="both"/>
        <w:rPr>
          <w:rFonts w:hint="eastAsia"/>
          <w:color w:val="FF0000"/>
          <w:sz w:val="24"/>
          <w:szCs w:val="24"/>
        </w:rPr>
      </w:pPr>
      <w:r>
        <w:rPr>
          <w:rFonts w:hint="eastAsia" w:eastAsia="黑体"/>
          <w:sz w:val="24"/>
          <w:lang w:val="en-US" w:eastAsia="zh-CN"/>
        </w:rPr>
        <w:t>（4</w:t>
      </w:r>
      <w:r>
        <w:rPr>
          <w:rFonts w:hint="eastAsia" w:eastAsia="黑体"/>
          <w:sz w:val="24"/>
          <w:lang w:eastAsia="zh-CN"/>
        </w:rPr>
        <w:t>）</w:t>
      </w:r>
      <w:r>
        <w:rPr>
          <w:rFonts w:hint="eastAsia"/>
          <w:color w:val="auto"/>
          <w:sz w:val="24"/>
          <w:szCs w:val="24"/>
          <w:lang w:eastAsia="zh-CN"/>
        </w:rPr>
        <w:t>自由场型</w:t>
      </w:r>
      <w:r>
        <w:rPr>
          <w:rFonts w:hint="eastAsia"/>
          <w:color w:val="auto"/>
          <w:sz w:val="24"/>
          <w:szCs w:val="24"/>
        </w:rPr>
        <w:t>传声器引入的不确定度分量</w:t>
      </w:r>
    </w:p>
    <w:p>
      <w:pPr>
        <w:spacing w:line="360" w:lineRule="auto"/>
        <w:ind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自由场型传声器引入的不确定度分量包含以下两方面：</w:t>
      </w:r>
    </w:p>
    <w:p>
      <w:pPr>
        <w:spacing w:line="360" w:lineRule="auto"/>
        <w:ind w:firstLine="420" w:firstLineChars="175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声校准器声压级校准的不确定度为</w:t>
      </w:r>
      <w:r>
        <w:rPr>
          <w:rFonts w:hint="eastAsia"/>
          <w:sz w:val="24"/>
          <w:szCs w:val="24"/>
          <w:lang w:val="en-US" w:eastAsia="zh-CN"/>
        </w:rPr>
        <w:t>0.07 dB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i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，按正态分布评估，声校准器声压级引入的不确定度分量</w:t>
      </w:r>
      <w:r>
        <w:rPr>
          <w:i/>
          <w:sz w:val="24"/>
          <w:szCs w:val="24"/>
        </w:rPr>
        <w:t>u</w:t>
      </w:r>
      <w:r>
        <w:rPr>
          <w:rFonts w:hint="eastAsia"/>
          <w:i w:val="0"/>
          <w:iCs/>
          <w:sz w:val="24"/>
          <w:szCs w:val="24"/>
          <w:vertAlign w:val="subscript"/>
          <w:lang w:val="en-US" w:eastAsia="zh-CN"/>
        </w:rPr>
        <w:t>4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a</w:t>
      </w:r>
      <w:r>
        <w:rPr>
          <w:rFonts w:hint="eastAsia"/>
          <w:i w:val="0"/>
          <w:iCs w:val="0"/>
          <w:sz w:val="24"/>
          <w:szCs w:val="24"/>
          <w:vertAlign w:val="baseline"/>
          <w:lang w:val="en-US" w:eastAsia="zh-CN"/>
        </w:rPr>
        <w:t>为</w:t>
      </w:r>
      <w:r>
        <w:rPr>
          <w:rFonts w:hint="eastAsia"/>
          <w:sz w:val="24"/>
          <w:szCs w:val="24"/>
          <w:lang w:val="en-US" w:eastAsia="zh-CN"/>
        </w:rPr>
        <w:t>0.035 dB</w:t>
      </w:r>
    </w:p>
    <w:p>
      <w:pPr>
        <w:spacing w:line="360" w:lineRule="auto"/>
        <w:ind w:firstLine="420"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自由场型传声器</w:t>
      </w:r>
      <w:r>
        <w:rPr>
          <w:rFonts w:hint="eastAsia"/>
          <w:sz w:val="24"/>
          <w:szCs w:val="24"/>
        </w:rPr>
        <w:t>声压灵敏度</w:t>
      </w:r>
      <w:r>
        <w:rPr>
          <w:rFonts w:hint="eastAsia"/>
          <w:sz w:val="24"/>
          <w:szCs w:val="24"/>
          <w:lang w:eastAsia="zh-CN"/>
        </w:rPr>
        <w:t>级</w:t>
      </w:r>
      <w:r>
        <w:rPr>
          <w:rFonts w:hint="eastAsia"/>
          <w:sz w:val="24"/>
          <w:szCs w:val="24"/>
        </w:rPr>
        <w:t>校准的不确定</w:t>
      </w:r>
      <w:r>
        <w:rPr>
          <w:rFonts w:hint="eastAsia"/>
          <w:sz w:val="24"/>
          <w:szCs w:val="24"/>
          <w:lang w:eastAsia="zh-CN"/>
        </w:rPr>
        <w:t>度为</w:t>
      </w:r>
      <w:r>
        <w:rPr>
          <w:rFonts w:hint="eastAsia"/>
          <w:sz w:val="24"/>
          <w:szCs w:val="24"/>
        </w:rPr>
        <w:t>0.3 dB（</w:t>
      </w:r>
      <w:r>
        <w:rPr>
          <w:rFonts w:hint="eastAsia"/>
          <w:i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，按</w:t>
      </w:r>
      <w:r>
        <w:rPr>
          <w:rFonts w:hint="eastAsia"/>
          <w:sz w:val="24"/>
          <w:szCs w:val="24"/>
        </w:rPr>
        <w:t>正态分布</w:t>
      </w:r>
      <w:r>
        <w:rPr>
          <w:rFonts w:hint="eastAsia"/>
          <w:sz w:val="24"/>
          <w:szCs w:val="24"/>
          <w:lang w:eastAsia="zh-CN"/>
        </w:rPr>
        <w:t>评估</w:t>
      </w:r>
      <w:r>
        <w:rPr>
          <w:rFonts w:hint="eastAsia"/>
          <w:sz w:val="24"/>
          <w:szCs w:val="24"/>
        </w:rPr>
        <w:t>，传声器</w:t>
      </w:r>
      <w:r>
        <w:rPr>
          <w:rFonts w:hint="eastAsia"/>
          <w:sz w:val="24"/>
          <w:szCs w:val="24"/>
          <w:lang w:eastAsia="zh-CN"/>
        </w:rPr>
        <w:t>单元</w:t>
      </w:r>
      <w:r>
        <w:rPr>
          <w:rFonts w:hint="eastAsia"/>
          <w:sz w:val="24"/>
          <w:szCs w:val="24"/>
        </w:rPr>
        <w:t>的声压灵敏度引入的不确定度分量</w:t>
      </w:r>
      <w:r>
        <w:rPr>
          <w:i/>
          <w:sz w:val="24"/>
          <w:szCs w:val="24"/>
        </w:rPr>
        <w:t>u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4b</w:t>
      </w:r>
      <w:r>
        <w:rPr>
          <w:rFonts w:hint="eastAsia"/>
          <w:sz w:val="24"/>
          <w:szCs w:val="24"/>
        </w:rPr>
        <w:t>为0.15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 xml:space="preserve"> dB。</w:t>
      </w:r>
    </w:p>
    <w:p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两项合成即</w:t>
      </w:r>
      <w:r>
        <w:rPr>
          <w:rFonts w:hint="eastAsia"/>
          <w:position w:val="-14"/>
          <w:sz w:val="24"/>
          <w:szCs w:val="24"/>
        </w:rPr>
        <w:object>
          <v:shape id="_x0000_i1027" o:spt="75" type="#_x0000_t75" style="height:24pt;width:11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（5）</w:t>
      </w:r>
      <w:r>
        <w:rPr>
          <w:sz w:val="24"/>
          <w:szCs w:val="24"/>
        </w:rPr>
        <w:t>前置放大器插入损失</w:t>
      </w:r>
      <w:r>
        <w:rPr>
          <w:rFonts w:hint="eastAsia"/>
          <w:sz w:val="24"/>
          <w:szCs w:val="24"/>
          <w:lang w:eastAsia="zh-CN"/>
        </w:rPr>
        <w:t>校准</w:t>
      </w:r>
      <w:r>
        <w:rPr>
          <w:sz w:val="24"/>
          <w:szCs w:val="24"/>
        </w:rPr>
        <w:t>引入的不确定度</w:t>
      </w:r>
      <w:r>
        <w:rPr>
          <w:rFonts w:hint="eastAsia"/>
          <w:sz w:val="24"/>
          <w:szCs w:val="24"/>
          <w:lang w:eastAsia="zh-CN"/>
        </w:rPr>
        <w:t>分量</w:t>
      </w:r>
    </w:p>
    <w:p>
      <w:pPr>
        <w:spacing w:line="360" w:lineRule="auto"/>
        <w:ind w:firstLine="420" w:firstLineChars="175"/>
        <w:rPr>
          <w:rFonts w:hint="eastAsia"/>
          <w:sz w:val="24"/>
          <w:szCs w:val="24"/>
        </w:rPr>
      </w:pPr>
      <w:r>
        <w:rPr>
          <w:sz w:val="24"/>
          <w:szCs w:val="24"/>
        </w:rPr>
        <w:t>前置放大器插入损失</w:t>
      </w:r>
      <w:r>
        <w:rPr>
          <w:rFonts w:hint="eastAsia"/>
          <w:sz w:val="24"/>
          <w:szCs w:val="24"/>
          <w:lang w:eastAsia="zh-CN"/>
        </w:rPr>
        <w:t>校准的不确定度为</w:t>
      </w:r>
      <w:r>
        <w:rPr>
          <w:sz w:val="24"/>
          <w:szCs w:val="24"/>
        </w:rPr>
        <w:t>0.0</w:t>
      </w:r>
      <w:r>
        <w:rPr>
          <w:rFonts w:hint="eastAsia"/>
          <w:sz w:val="24"/>
          <w:szCs w:val="24"/>
        </w:rPr>
        <w:t xml:space="preserve">9 </w:t>
      </w:r>
      <w:r>
        <w:rPr>
          <w:sz w:val="24"/>
          <w:szCs w:val="24"/>
        </w:rPr>
        <w:t>dB，按均匀分布评估，取</w:t>
      </w:r>
      <w:r>
        <w:rPr>
          <w:position w:val="-8"/>
          <w:sz w:val="24"/>
          <w:szCs w:val="24"/>
        </w:rPr>
        <w:object>
          <v:shape id="_x0000_i1028" o:spt="75" type="#_x0000_t75" style="height:18pt;width:3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sz w:val="24"/>
          <w:szCs w:val="24"/>
        </w:rPr>
        <w:t>，则</w:t>
      </w:r>
      <w:r>
        <w:rPr>
          <w:rFonts w:hint="eastAsia"/>
          <w:position w:val="-12"/>
          <w:sz w:val="24"/>
          <w:szCs w:val="24"/>
        </w:rPr>
        <w:object>
          <v:shape id="_x0000_i1029" o:spt="75" type="#_x0000_t75" style="height:20pt;width:10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sz w:val="24"/>
          <w:szCs w:val="24"/>
        </w:rPr>
        <w:t>。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6）</w:t>
      </w:r>
      <w:r>
        <w:rPr>
          <w:rFonts w:hint="eastAsia" w:ascii="Times New Roman" w:hAnsi="Times New Roman"/>
          <w:sz w:val="24"/>
          <w:szCs w:val="24"/>
        </w:rPr>
        <w:t>声分析仪引入的不确定度分量</w:t>
      </w:r>
    </w:p>
    <w:p>
      <w:pPr>
        <w:spacing w:line="360" w:lineRule="auto"/>
        <w:ind w:firstLine="420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由测量方法可知，声分析仪引入的不确定度分量包含以下两方面：</w:t>
      </w:r>
    </w:p>
    <w:p>
      <w:pPr>
        <w:spacing w:line="360" w:lineRule="auto"/>
        <w:ind w:firstLine="420"/>
        <w:jc w:val="left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1）声分析仪输入通道频率响应校准的不确定度分量为0.1 dB，</w:t>
      </w:r>
      <w:r>
        <w:rPr>
          <w:rFonts w:hint="eastAsia"/>
          <w:sz w:val="24"/>
          <w:szCs w:val="24"/>
        </w:rPr>
        <w:t>按均匀分布评估，取</w:t>
      </w:r>
      <w:r>
        <w:rPr>
          <w:rFonts w:hint="eastAsia"/>
          <w:position w:val="-8"/>
          <w:sz w:val="24"/>
          <w:szCs w:val="24"/>
        </w:rPr>
        <w:object>
          <v:shape id="_x0000_i1030" o:spt="75" type="#_x0000_t75" style="height:18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sz w:val="24"/>
          <w:szCs w:val="24"/>
        </w:rPr>
        <w:t>，则</w:t>
      </w:r>
      <w:r>
        <w:rPr>
          <w:rFonts w:hint="eastAsia"/>
          <w:position w:val="-12"/>
          <w:sz w:val="24"/>
          <w:szCs w:val="24"/>
        </w:rPr>
        <w:object>
          <v:shape id="_x0000_i1031" o:spt="75" type="#_x0000_t75" style="height:20pt;width:10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ind w:firstLine="42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2）输入通道</w:t>
      </w:r>
      <w:r>
        <w:rPr>
          <w:rFonts w:hint="eastAsia"/>
          <w:sz w:val="24"/>
          <w:szCs w:val="24"/>
          <w:lang w:eastAsia="zh-CN"/>
        </w:rPr>
        <w:t>示值误差不超过</w:t>
      </w:r>
      <w:r>
        <w:rPr>
          <w:sz w:val="24"/>
          <w:szCs w:val="24"/>
        </w:rPr>
        <w:t>±</w:t>
      </w:r>
      <w:r>
        <w:rPr>
          <w:rFonts w:hint="eastAsia"/>
          <w:sz w:val="24"/>
          <w:szCs w:val="24"/>
        </w:rPr>
        <w:t>0.0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 xml:space="preserve"> dB，半宽为</w:t>
      </w:r>
      <w:r>
        <w:rPr>
          <w:sz w:val="24"/>
          <w:szCs w:val="24"/>
        </w:rPr>
        <w:t>0.0</w:t>
      </w:r>
      <w:r>
        <w:rPr>
          <w:rFonts w:hint="eastAsia"/>
          <w:sz w:val="24"/>
          <w:szCs w:val="24"/>
          <w:lang w:val="en-US" w:eastAsia="zh-CN"/>
        </w:rPr>
        <w:t>05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dB</w:t>
      </w:r>
      <w:r>
        <w:rPr>
          <w:rFonts w:hint="eastAsia"/>
          <w:sz w:val="24"/>
          <w:szCs w:val="24"/>
        </w:rPr>
        <w:t>，按均匀分布评估，取</w:t>
      </w:r>
      <w:r>
        <w:rPr>
          <w:rFonts w:hint="eastAsia"/>
          <w:position w:val="-8"/>
          <w:sz w:val="24"/>
          <w:szCs w:val="24"/>
        </w:rPr>
        <w:object>
          <v:shape id="_x0000_i1032" o:spt="75" type="#_x0000_t75" style="height:18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  <w:sz w:val="24"/>
          <w:szCs w:val="24"/>
        </w:rPr>
        <w:t>，则</w:t>
      </w:r>
      <w:r>
        <w:rPr>
          <w:rFonts w:hint="eastAsia"/>
          <w:position w:val="-12"/>
          <w:sz w:val="24"/>
          <w:szCs w:val="24"/>
        </w:rPr>
        <w:object>
          <v:shape id="_x0000_i1033" o:spt="75" type="#_x0000_t75" style="height:20pt;width:95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两项合成即</w:t>
      </w:r>
      <w:r>
        <w:rPr>
          <w:rFonts w:hint="eastAsia"/>
          <w:position w:val="-14"/>
          <w:sz w:val="24"/>
          <w:szCs w:val="24"/>
        </w:rPr>
        <w:object>
          <v:shape id="_x0000_i1034" o:spt="75" type="#_x0000_t75" style="height:24pt;width:1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sz w:val="24"/>
          <w:szCs w:val="24"/>
        </w:rPr>
        <w:t>数值修约引入的不确定度分量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报告的</w:t>
      </w:r>
      <w:r>
        <w:rPr>
          <w:rFonts w:hint="eastAsia"/>
          <w:sz w:val="24"/>
          <w:szCs w:val="24"/>
          <w:lang w:eastAsia="zh-CN"/>
        </w:rPr>
        <w:t>频率响应</w:t>
      </w:r>
      <w:r>
        <w:rPr>
          <w:rFonts w:hint="eastAsia" w:ascii="Times New Roman" w:hAnsi="Times New Roman"/>
          <w:sz w:val="24"/>
          <w:szCs w:val="24"/>
        </w:rPr>
        <w:t>的修约间隔为0.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sz w:val="24"/>
          <w:szCs w:val="24"/>
        </w:rPr>
        <w:t xml:space="preserve"> dB，矩形分布的半区间宽为0.05 dB，其引入的不确定度按均匀分布估计，取包含因子</w:t>
      </w:r>
      <w:r>
        <w:rPr>
          <w:position w:val="-8"/>
          <w:sz w:val="24"/>
          <w:szCs w:val="24"/>
        </w:rPr>
        <w:object>
          <v:shape id="_x0000_i1035" o:spt="75" type="#_x0000_t75" style="height:18pt;width:3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/>
          <w:sz w:val="24"/>
          <w:szCs w:val="24"/>
        </w:rPr>
        <w:t>，故数值修约引入的标准不确定度分量</w:t>
      </w: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7</w:t>
      </w:r>
      <w:r>
        <w:rPr>
          <w:rFonts w:hint="eastAsia" w:ascii="Times New Roman" w:hAnsi="Times New Roman"/>
          <w:sz w:val="24"/>
          <w:szCs w:val="24"/>
        </w:rPr>
        <w:t>＝0.0</w:t>
      </w:r>
      <w:r>
        <w:rPr>
          <w:rFonts w:hint="eastAsia"/>
          <w:sz w:val="24"/>
          <w:szCs w:val="24"/>
          <w:lang w:val="en-US" w:eastAsia="zh-CN"/>
        </w:rPr>
        <w:t xml:space="preserve">3 </w:t>
      </w:r>
      <w:r>
        <w:rPr>
          <w:rFonts w:hint="eastAsia" w:ascii="Times New Roman" w:hAnsi="Times New Roman"/>
          <w:sz w:val="24"/>
          <w:szCs w:val="24"/>
        </w:rPr>
        <w:t>dB。</w:t>
      </w:r>
    </w:p>
    <w:p>
      <w:pPr>
        <w:spacing w:before="156" w:beforeLines="50" w:after="156" w:afterLines="50" w:line="240" w:lineRule="auto"/>
        <w:ind w:firstLine="482" w:firstLineChars="200"/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  <w:t>.1.2 合成标准不确定度</w:t>
      </w:r>
    </w:p>
    <w:tbl>
      <w:tblPr>
        <w:tblStyle w:val="14"/>
        <w:tblW w:w="814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3465"/>
        <w:gridCol w:w="1772"/>
        <w:gridCol w:w="14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61" w:type="dxa"/>
            <w:tcBorders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序号</w:t>
            </w:r>
          </w:p>
        </w:tc>
        <w:tc>
          <w:tcPr>
            <w:tcW w:w="3465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不确定度的来源</w:t>
            </w:r>
          </w:p>
        </w:tc>
        <w:tc>
          <w:tcPr>
            <w:tcW w:w="1772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符号</w:t>
            </w:r>
          </w:p>
        </w:tc>
        <w:tc>
          <w:tcPr>
            <w:tcW w:w="1446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left="-105" w:leftChars="-50" w:right="-105" w:rightChars="-5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数值</w:t>
            </w:r>
            <w:r>
              <w:rPr>
                <w:rFonts w:hint="eastAsia" w:ascii="Times New Roman" w:hAnsi="Times New Roman"/>
                <w:i/>
              </w:rPr>
              <w:t>/</w:t>
            </w:r>
            <w:r>
              <w:rPr>
                <w:rFonts w:hint="eastAsia" w:ascii="Times New Roman" w:hAnsi="Times New Roman"/>
              </w:rPr>
              <w:t>dB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46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测量重复性</w:t>
            </w:r>
          </w:p>
        </w:tc>
        <w:tc>
          <w:tcPr>
            <w:tcW w:w="1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i/>
                <w:szCs w:val="21"/>
              </w:rPr>
              <w:t>u</w:t>
            </w:r>
            <w:r>
              <w:rPr>
                <w:rFonts w:hint="eastAsia" w:ascii="Times New Roman" w:hAnsi="Times New Roman"/>
                <w:szCs w:val="21"/>
                <w:vertAlign w:val="subscript"/>
              </w:rPr>
              <w:t>1</w:t>
            </w:r>
          </w:p>
        </w:tc>
        <w:tc>
          <w:tcPr>
            <w:tcW w:w="14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0.</w:t>
            </w:r>
            <w:r>
              <w:rPr>
                <w:rFonts w:hint="eastAsia"/>
                <w:szCs w:val="21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信号发生器</w:t>
            </w:r>
            <w:r>
              <w:rPr>
                <w:rFonts w:hint="eastAsia"/>
                <w:sz w:val="24"/>
                <w:szCs w:val="24"/>
                <w:lang w:eastAsia="zh-CN"/>
              </w:rPr>
              <w:t>幅值</w:t>
            </w:r>
            <w:r>
              <w:rPr>
                <w:rFonts w:hint="eastAsia" w:ascii="Times New Roman" w:hAnsi="Times New Roman"/>
                <w:sz w:val="24"/>
                <w:szCs w:val="24"/>
              </w:rPr>
              <w:t>稳定度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i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i/>
                <w:iCs/>
                <w:szCs w:val="21"/>
                <w:vertAlign w:val="baseline"/>
                <w:lang w:val="en-US" w:eastAsia="zh-CN"/>
              </w:rPr>
              <w:t>u</w:t>
            </w:r>
            <w:r>
              <w:rPr>
                <w:rFonts w:hint="eastAsia" w:ascii="Times New Roman" w:hAnsi="Times New Roman"/>
                <w:szCs w:val="21"/>
                <w:vertAlign w:val="subscript"/>
                <w:lang w:val="en-US" w:eastAsia="zh-CN"/>
              </w:rPr>
              <w:t>2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声源的短时稳定性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i/>
                <w:iCs/>
                <w:szCs w:val="21"/>
                <w:vertAlign w:val="baseline"/>
                <w:lang w:val="en-US" w:eastAsia="zh-CN"/>
              </w:rPr>
              <w:t>u</w:t>
            </w:r>
            <w:r>
              <w:rPr>
                <w:rFonts w:hint="eastAsia" w:ascii="Times New Roman" w:hAnsi="Times New Roman"/>
                <w:szCs w:val="21"/>
                <w:vertAlign w:val="subscript"/>
                <w:lang w:val="en-US" w:eastAsia="zh-CN"/>
              </w:rPr>
              <w:t>3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自由场型传声器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i/>
                <w:iCs/>
                <w:szCs w:val="21"/>
                <w:vertAlign w:val="baseline"/>
                <w:lang w:val="en-US" w:eastAsia="zh-CN"/>
              </w:rPr>
              <w:t>u</w:t>
            </w:r>
            <w:r>
              <w:rPr>
                <w:rFonts w:hint="eastAsia" w:ascii="Times New Roman" w:hAnsi="Times New Roman"/>
                <w:szCs w:val="21"/>
                <w:vertAlign w:val="subscript"/>
                <w:lang w:val="en-US" w:eastAsia="zh-CN"/>
              </w:rPr>
              <w:t>4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0.</w:t>
            </w: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前置放大器插入损失修正误差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i/>
                <w:iCs/>
                <w:szCs w:val="21"/>
                <w:vertAlign w:val="baseline"/>
                <w:lang w:val="en-US" w:eastAsia="zh-CN"/>
              </w:rPr>
              <w:t>u</w:t>
            </w:r>
            <w:r>
              <w:rPr>
                <w:rFonts w:hint="eastAsia" w:ascii="Times New Roman" w:hAnsi="Times New Roman"/>
                <w:szCs w:val="21"/>
                <w:vertAlign w:val="subscript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0.0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声分析仪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i/>
                <w:iCs/>
                <w:szCs w:val="21"/>
                <w:vertAlign w:val="baseline"/>
                <w:lang w:val="en-US" w:eastAsia="zh-CN"/>
              </w:rPr>
              <w:t>u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6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0.0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80" w:leftChars="0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数值修约误差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i/>
                <w:iCs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i/>
                <w:iCs/>
                <w:szCs w:val="21"/>
                <w:vertAlign w:val="baseline"/>
                <w:lang w:val="en-US" w:eastAsia="zh-CN"/>
              </w:rPr>
              <w:t>u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0.0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</w:tbl>
    <w:p>
      <w:pPr>
        <w:spacing w:line="240" w:lineRule="auto"/>
        <w:rPr>
          <w:rFonts w:hint="eastAsia" w:ascii="Times New Roman" w:hAnsi="Times New Roman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 w:val="24"/>
          <w:szCs w:val="24"/>
        </w:rPr>
        <w:t>因上述标准不确定度分量各自独立、互不相干，故</w:t>
      </w:r>
      <w:r>
        <w:rPr>
          <w:rFonts w:hint="eastAsia"/>
          <w:sz w:val="24"/>
          <w:szCs w:val="24"/>
          <w:lang w:val="en-US" w:eastAsia="zh-CN"/>
        </w:rPr>
        <w:t>幅频响应</w:t>
      </w:r>
      <w:r>
        <w:rPr>
          <w:rFonts w:hint="eastAsia" w:ascii="Times New Roman" w:hAnsi="Times New Roman"/>
          <w:sz w:val="24"/>
          <w:szCs w:val="24"/>
        </w:rPr>
        <w:t>的合成标准不确定度为0.</w:t>
      </w:r>
      <w:r>
        <w:rPr>
          <w:rFonts w:hint="eastAsia"/>
          <w:sz w:val="24"/>
          <w:szCs w:val="24"/>
          <w:lang w:val="en-US" w:eastAsia="zh-CN"/>
        </w:rPr>
        <w:t xml:space="preserve">79 </w:t>
      </w:r>
      <w:r>
        <w:rPr>
          <w:rFonts w:hint="eastAsia" w:ascii="Times New Roman" w:hAnsi="Times New Roman"/>
          <w:sz w:val="24"/>
          <w:szCs w:val="24"/>
        </w:rPr>
        <w:t>dB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ascii="Times New Roman" w:hAnsi="Times New Roman"/>
          <w:szCs w:val="21"/>
        </w:rPr>
        <w:t xml:space="preserve"> </w:t>
      </w:r>
    </w:p>
    <w:p>
      <w:pPr>
        <w:spacing w:before="156" w:beforeLines="50" w:after="156" w:afterLines="50" w:line="240" w:lineRule="auto"/>
        <w:ind w:firstLine="482" w:firstLineChars="200"/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  <w:lang w:val="en-US" w:eastAsia="zh-CN" w:bidi="ar-SA"/>
        </w:rPr>
        <w:t>.1.3 扩展不确定度</w:t>
      </w:r>
    </w:p>
    <w:p>
      <w:pPr>
        <w:spacing w:line="360" w:lineRule="auto"/>
        <w:ind w:firstLine="480"/>
        <w:jc w:val="lef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合成后的总的标准不确定度按近似正态分布考虑，当取包含因子</w:t>
      </w:r>
      <w:r>
        <w:rPr>
          <w:rFonts w:ascii="Times New Roman" w:hAnsi="Times New Roman"/>
          <w:i/>
          <w:iCs/>
          <w:sz w:val="24"/>
          <w:szCs w:val="24"/>
        </w:rPr>
        <w:t xml:space="preserve">k </w:t>
      </w:r>
      <w:r>
        <w:rPr>
          <w:rFonts w:ascii="Times New Roman" w:hAnsi="Times New Roman"/>
          <w:sz w:val="24"/>
          <w:szCs w:val="24"/>
        </w:rPr>
        <w:t>= 2</w:t>
      </w:r>
      <w:r>
        <w:rPr>
          <w:rFonts w:hint="eastAsia" w:ascii="Times New Roman" w:hAnsi="Times New Roman"/>
          <w:sz w:val="24"/>
          <w:szCs w:val="24"/>
        </w:rPr>
        <w:t>时，对应</w:t>
      </w:r>
      <w:r>
        <w:rPr>
          <w:rFonts w:ascii="Times New Roman" w:hAnsi="Times New Roman"/>
          <w:i/>
          <w:sz w:val="24"/>
          <w:szCs w:val="24"/>
        </w:rPr>
        <w:t>t</w:t>
      </w:r>
      <w:r>
        <w:rPr>
          <w:rFonts w:hint="eastAsia" w:ascii="Times New Roman" w:hAnsi="Times New Roman"/>
          <w:sz w:val="24"/>
          <w:szCs w:val="24"/>
        </w:rPr>
        <w:t>分布的包含概率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=95%</w:t>
      </w:r>
      <w:r>
        <w:rPr>
          <w:rFonts w:hint="eastAsia" w:ascii="Times New Roman" w:hAnsi="Times New Roman"/>
          <w:sz w:val="24"/>
          <w:szCs w:val="24"/>
        </w:rPr>
        <w:t>，其扩展不确定度为：</w:t>
      </w:r>
    </w:p>
    <w:p>
      <w:pPr>
        <w:spacing w:line="360" w:lineRule="auto"/>
        <w:ind w:firstLine="480"/>
        <w:jc w:val="center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position w:val="-12"/>
          <w:sz w:val="24"/>
          <w:szCs w:val="24"/>
          <w:lang w:eastAsia="zh-CN"/>
        </w:rPr>
        <w:object>
          <v:shape id="_x0000_i1036" o:spt="75" type="#_x0000_t75" style="height:18pt;width:130.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</w:p>
    <w:p>
      <w:pPr>
        <w:spacing w:line="400" w:lineRule="exact"/>
        <w:ind w:firstLine="480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</w:rPr>
        <w:t>报告的不确定度修约间隔为0.1 dB，所以，</w:t>
      </w:r>
      <w:r>
        <w:rPr>
          <w:rFonts w:hint="eastAsia"/>
          <w:sz w:val="24"/>
          <w:szCs w:val="24"/>
          <w:lang w:val="en-US" w:eastAsia="zh-CN"/>
        </w:rPr>
        <w:t>幅频响应</w:t>
      </w:r>
      <w:r>
        <w:rPr>
          <w:rFonts w:hint="eastAsia" w:ascii="Times New Roman" w:hAnsi="Times New Roman"/>
          <w:sz w:val="24"/>
          <w:szCs w:val="24"/>
        </w:rPr>
        <w:t>的扩展不确定取</w:t>
      </w:r>
      <w:r>
        <w:rPr>
          <w:rFonts w:hint="eastAsia" w:ascii="Times New Roman" w:hAnsi="Times New Roman"/>
          <w:i/>
          <w:sz w:val="24"/>
          <w:szCs w:val="24"/>
        </w:rPr>
        <w:t>U</w:t>
      </w:r>
      <w:r>
        <w:rPr>
          <w:rFonts w:hint="eastAsia" w:ascii="Times New Roman" w:hAnsi="Times New Roman"/>
          <w:sz w:val="24"/>
          <w:szCs w:val="24"/>
        </w:rPr>
        <w:t>＝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 xml:space="preserve">6 </w:t>
      </w:r>
      <w:r>
        <w:rPr>
          <w:rFonts w:hint="eastAsia" w:ascii="Times New Roman" w:hAnsi="Times New Roman"/>
          <w:sz w:val="24"/>
          <w:szCs w:val="24"/>
        </w:rPr>
        <w:t>dB，</w:t>
      </w:r>
      <w:r>
        <w:rPr>
          <w:rFonts w:hint="eastAsia" w:ascii="Times New Roman" w:hAnsi="Times New Roman"/>
          <w:i/>
          <w:sz w:val="24"/>
          <w:szCs w:val="24"/>
        </w:rPr>
        <w:t>k</w:t>
      </w:r>
      <w:r>
        <w:rPr>
          <w:rFonts w:hint="eastAsia" w:ascii="Times New Roman" w:hAnsi="Times New Roman"/>
          <w:sz w:val="24"/>
          <w:szCs w:val="24"/>
        </w:rPr>
        <w:t>＝2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pStyle w:val="4"/>
        <w:spacing w:before="0" w:after="0" w:line="360" w:lineRule="auto"/>
        <w:rPr>
          <w:rFonts w:ascii="Times New Roman" w:hAnsi="Times New Roman"/>
          <w:sz w:val="24"/>
          <w:szCs w:val="24"/>
        </w:rPr>
      </w:pPr>
      <w:bookmarkStart w:id="22" w:name="_Toc14123"/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防风性能</w:t>
      </w:r>
      <w:r>
        <w:rPr>
          <w:rFonts w:ascii="Times New Roman" w:hAnsi="Times New Roman"/>
          <w:sz w:val="24"/>
          <w:szCs w:val="24"/>
        </w:rPr>
        <w:t>的不确定度评定</w:t>
      </w:r>
      <w:bookmarkEnd w:id="22"/>
    </w:p>
    <w:p>
      <w:pPr>
        <w:spacing w:line="360" w:lineRule="auto"/>
        <w:ind w:firstLine="48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防风性能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的测量方法可描述为：</w:t>
      </w:r>
      <w:r>
        <w:rPr>
          <w:rFonts w:hint="eastAsia" w:cs="Times New Roman"/>
          <w:sz w:val="24"/>
          <w:szCs w:val="24"/>
          <w:lang w:val="en-US" w:eastAsia="zh-CN"/>
        </w:rPr>
        <w:t>在风洞中，测试插入风罩前后的1/3倍频带声压级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根据测量方法，</w:t>
      </w:r>
      <w:r>
        <w:rPr>
          <w:rFonts w:hint="eastAsia" w:cs="Times New Roman"/>
          <w:sz w:val="24"/>
          <w:szCs w:val="24"/>
          <w:lang w:val="en-US" w:eastAsia="zh-CN"/>
        </w:rPr>
        <w:t>防风性能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的不确定度由自由场型传声器、前置放大器插入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损失及声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分析仪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引入的不确定度分量合成。</w:t>
      </w:r>
    </w:p>
    <w:p>
      <w:pPr>
        <w:ind w:firstLine="482" w:firstLineChars="200"/>
        <w:jc w:val="left"/>
        <w:rPr>
          <w:rFonts w:hint="eastAsia" w:ascii="Times New Roman" w:hAnsi="Times New Roman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 w:ascii="Times New Roman" w:hAnsi="Times New Roman"/>
          <w:b/>
          <w:sz w:val="24"/>
          <w:lang w:val="en-US" w:eastAsia="zh-CN"/>
        </w:rPr>
        <w:t>.2.1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hint="eastAsia" w:ascii="Times New Roman" w:hAnsi="Times New Roman"/>
          <w:b/>
          <w:sz w:val="24"/>
          <w:lang w:eastAsia="zh-CN"/>
        </w:rPr>
        <w:t>标准不确定度分量的评定</w:t>
      </w:r>
    </w:p>
    <w:p>
      <w:pPr>
        <w:spacing w:line="360" w:lineRule="auto"/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1）测量重复性引入的不确定度分量</w:t>
      </w:r>
    </w:p>
    <w:p>
      <w:pPr>
        <w:spacing w:line="360" w:lineRule="auto"/>
        <w:ind w:left="0" w:leftChars="0" w:firstLine="480" w:firstLineChars="200"/>
        <w:jc w:val="left"/>
        <w:rPr>
          <w:rFonts w:hint="eastAsia" w:ascii="Times New Roman" w:hAnsi="Times New Roman" w:eastAsia="宋体"/>
          <w:b/>
          <w:sz w:val="24"/>
          <w:lang w:eastAsia="zh-CN"/>
        </w:rPr>
      </w:pPr>
      <w:r>
        <w:rPr>
          <w:rFonts w:hint="eastAsia"/>
          <w:sz w:val="24"/>
          <w:szCs w:val="24"/>
        </w:rPr>
        <w:t>在相同的测量条件下，以10次</w:t>
      </w:r>
      <w:r>
        <w:rPr>
          <w:sz w:val="24"/>
          <w:szCs w:val="24"/>
        </w:rPr>
        <w:t>测量的</w:t>
      </w:r>
      <w:r>
        <w:rPr>
          <w:rFonts w:hint="eastAsia" w:eastAsia="宋体"/>
          <w:sz w:val="24"/>
          <w:szCs w:val="24"/>
          <w:lang w:eastAsia="zh-CN"/>
        </w:rPr>
        <w:t>实验室</w:t>
      </w:r>
      <w:r>
        <w:rPr>
          <w:rFonts w:hint="eastAsia"/>
          <w:sz w:val="24"/>
          <w:szCs w:val="24"/>
        </w:rPr>
        <w:t>标准</w:t>
      </w:r>
      <w:r>
        <w:rPr>
          <w:sz w:val="24"/>
          <w:szCs w:val="24"/>
        </w:rPr>
        <w:t>偏差作为测量重复性引入的</w:t>
      </w:r>
      <w:r>
        <w:rPr>
          <w:color w:val="auto"/>
          <w:sz w:val="24"/>
          <w:szCs w:val="24"/>
        </w:rPr>
        <w:t>不确定度分量</w:t>
      </w:r>
      <w:r>
        <w:rPr>
          <w:rFonts w:hint="eastAsia" w:eastAsia="宋体"/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  <w:lang w:eastAsia="zh-CN"/>
        </w:rPr>
        <w:t>最大时间计权声级</w:t>
      </w:r>
      <w:r>
        <w:rPr>
          <w:rFonts w:hint="eastAsia" w:eastAsia="宋体"/>
          <w:color w:val="auto"/>
          <w:sz w:val="24"/>
          <w:szCs w:val="24"/>
          <w:lang w:eastAsia="zh-CN"/>
        </w:rPr>
        <w:t>由测量重复性引入的不确定度分量</w:t>
      </w:r>
      <w:r>
        <w:rPr>
          <w:rFonts w:hint="eastAsia"/>
          <w:i/>
          <w:iCs/>
          <w:color w:val="auto"/>
          <w:sz w:val="24"/>
          <w:szCs w:val="24"/>
        </w:rPr>
        <w:t>u</w:t>
      </w:r>
      <w:r>
        <w:rPr>
          <w:rFonts w:hint="eastAsia" w:ascii="Times New Roman" w:eastAsia="宋体"/>
          <w:i w:val="0"/>
          <w:iCs w:val="0"/>
          <w:color w:val="auto"/>
          <w:sz w:val="24"/>
          <w:szCs w:val="24"/>
          <w:vertAlign w:val="subscript"/>
          <w:lang w:val="en-US" w:eastAsia="zh-CN"/>
        </w:rPr>
        <w:t>1</w:t>
      </w:r>
      <w:r>
        <w:rPr>
          <w:rFonts w:hint="eastAsia"/>
          <w:i/>
          <w:iCs/>
          <w:color w:val="auto"/>
          <w:sz w:val="24"/>
          <w:szCs w:val="24"/>
        </w:rPr>
        <w:t>=</w:t>
      </w:r>
      <w:r>
        <w:rPr>
          <w:rFonts w:hint="eastAsia"/>
          <w:color w:val="auto"/>
          <w:sz w:val="24"/>
          <w:szCs w:val="24"/>
          <w:lang w:val="en-US" w:eastAsia="zh-CN"/>
        </w:rPr>
        <w:t>3.09</w:t>
      </w:r>
      <w:r>
        <w:rPr>
          <w:rFonts w:hint="eastAsia"/>
          <w:color w:val="auto"/>
          <w:sz w:val="24"/>
          <w:szCs w:val="24"/>
        </w:rPr>
        <w:t xml:space="preserve"> dB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spacing w:line="360" w:lineRule="auto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（</w:t>
      </w:r>
      <w:r>
        <w:rPr>
          <w:rFonts w:hint="eastAsia" w:eastAsia="黑体"/>
          <w:sz w:val="24"/>
          <w:lang w:val="en-US" w:eastAsia="zh-CN"/>
        </w:rPr>
        <w:t>2）</w:t>
      </w:r>
      <w:r>
        <w:rPr>
          <w:rFonts w:hint="eastAsia"/>
          <w:sz w:val="24"/>
          <w:szCs w:val="24"/>
          <w:lang w:eastAsia="zh-CN"/>
        </w:rPr>
        <w:t>自由场型</w:t>
      </w:r>
      <w:r>
        <w:rPr>
          <w:rFonts w:hint="eastAsia"/>
          <w:sz w:val="24"/>
          <w:szCs w:val="24"/>
        </w:rPr>
        <w:t>传声器引入的不确定度分量</w:t>
      </w:r>
    </w:p>
    <w:p>
      <w:pPr>
        <w:spacing w:line="360" w:lineRule="auto"/>
        <w:ind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自由场型传声器引入的不确定度分量包含以下两方面：</w:t>
      </w:r>
    </w:p>
    <w:p>
      <w:pPr>
        <w:spacing w:line="360" w:lineRule="auto"/>
        <w:ind w:firstLine="420" w:firstLineChars="175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声校准器声压级校准的不确定度为</w:t>
      </w:r>
      <w:r>
        <w:rPr>
          <w:rFonts w:hint="eastAsia"/>
          <w:sz w:val="24"/>
          <w:szCs w:val="24"/>
          <w:lang w:val="en-US" w:eastAsia="zh-CN"/>
        </w:rPr>
        <w:t>0.07 dB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i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，按正态分布评估，声校准器声压级引入的不确定度分量</w:t>
      </w:r>
      <w:r>
        <w:rPr>
          <w:i/>
          <w:sz w:val="24"/>
          <w:szCs w:val="24"/>
        </w:rPr>
        <w:t>u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2a</w:t>
      </w:r>
      <w:r>
        <w:rPr>
          <w:rFonts w:hint="eastAsia"/>
          <w:i w:val="0"/>
          <w:iCs w:val="0"/>
          <w:sz w:val="24"/>
          <w:szCs w:val="24"/>
          <w:vertAlign w:val="baseline"/>
          <w:lang w:val="en-US" w:eastAsia="zh-CN"/>
        </w:rPr>
        <w:t>为</w:t>
      </w:r>
      <w:r>
        <w:rPr>
          <w:rFonts w:hint="eastAsia"/>
          <w:sz w:val="24"/>
          <w:szCs w:val="24"/>
          <w:lang w:val="en-US" w:eastAsia="zh-CN"/>
        </w:rPr>
        <w:t>0.035 dB</w:t>
      </w:r>
    </w:p>
    <w:p>
      <w:pPr>
        <w:spacing w:line="360" w:lineRule="auto"/>
        <w:ind w:firstLine="420"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自由场型传声器</w:t>
      </w:r>
      <w:r>
        <w:rPr>
          <w:rFonts w:hint="eastAsia"/>
          <w:sz w:val="24"/>
          <w:szCs w:val="24"/>
        </w:rPr>
        <w:t>声压灵敏度</w:t>
      </w:r>
      <w:r>
        <w:rPr>
          <w:rFonts w:hint="eastAsia"/>
          <w:sz w:val="24"/>
          <w:szCs w:val="24"/>
          <w:lang w:eastAsia="zh-CN"/>
        </w:rPr>
        <w:t>级</w:t>
      </w:r>
      <w:r>
        <w:rPr>
          <w:rFonts w:hint="eastAsia"/>
          <w:sz w:val="24"/>
          <w:szCs w:val="24"/>
        </w:rPr>
        <w:t>校准的不确定</w:t>
      </w:r>
      <w:r>
        <w:rPr>
          <w:rFonts w:hint="eastAsia"/>
          <w:sz w:val="24"/>
          <w:szCs w:val="24"/>
          <w:lang w:eastAsia="zh-CN"/>
        </w:rPr>
        <w:t>度为</w:t>
      </w:r>
      <w:r>
        <w:rPr>
          <w:rFonts w:hint="eastAsia"/>
          <w:sz w:val="24"/>
          <w:szCs w:val="24"/>
        </w:rPr>
        <w:t>0.3 dB（</w:t>
      </w:r>
      <w:r>
        <w:rPr>
          <w:rFonts w:hint="eastAsia"/>
          <w:i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，按</w:t>
      </w:r>
      <w:r>
        <w:rPr>
          <w:rFonts w:hint="eastAsia"/>
          <w:sz w:val="24"/>
          <w:szCs w:val="24"/>
        </w:rPr>
        <w:t>正态分布</w:t>
      </w:r>
      <w:r>
        <w:rPr>
          <w:rFonts w:hint="eastAsia"/>
          <w:sz w:val="24"/>
          <w:szCs w:val="24"/>
          <w:lang w:eastAsia="zh-CN"/>
        </w:rPr>
        <w:t>评估</w:t>
      </w:r>
      <w:r>
        <w:rPr>
          <w:rFonts w:hint="eastAsia"/>
          <w:sz w:val="24"/>
          <w:szCs w:val="24"/>
        </w:rPr>
        <w:t>，传声器</w:t>
      </w:r>
      <w:r>
        <w:rPr>
          <w:rFonts w:hint="eastAsia"/>
          <w:sz w:val="24"/>
          <w:szCs w:val="24"/>
          <w:lang w:eastAsia="zh-CN"/>
        </w:rPr>
        <w:t>单元</w:t>
      </w:r>
      <w:r>
        <w:rPr>
          <w:rFonts w:hint="eastAsia"/>
          <w:sz w:val="24"/>
          <w:szCs w:val="24"/>
        </w:rPr>
        <w:t>声压灵敏度引入的不确定度分量</w:t>
      </w:r>
      <w:r>
        <w:rPr>
          <w:i/>
          <w:sz w:val="24"/>
          <w:szCs w:val="24"/>
        </w:rPr>
        <w:t>u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2b</w:t>
      </w:r>
      <w:r>
        <w:rPr>
          <w:rFonts w:hint="eastAsia"/>
          <w:sz w:val="24"/>
          <w:szCs w:val="24"/>
        </w:rPr>
        <w:t>为0.15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 xml:space="preserve"> dB。</w:t>
      </w:r>
    </w:p>
    <w:p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两项合成即</w:t>
      </w:r>
      <w:r>
        <w:rPr>
          <w:rFonts w:hint="eastAsia"/>
          <w:position w:val="-14"/>
          <w:sz w:val="24"/>
          <w:szCs w:val="24"/>
        </w:rPr>
        <w:object>
          <v:shape id="_x0000_i1037" o:spt="75" type="#_x0000_t75" style="height:24pt;width:1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</w:t>
      </w:r>
      <w:r>
        <w:rPr>
          <w:sz w:val="24"/>
          <w:szCs w:val="24"/>
        </w:rPr>
        <w:t>前置放大器插入损失</w:t>
      </w:r>
      <w:r>
        <w:rPr>
          <w:rFonts w:hint="eastAsia"/>
          <w:sz w:val="24"/>
          <w:szCs w:val="24"/>
          <w:lang w:eastAsia="zh-CN"/>
        </w:rPr>
        <w:t>校准</w:t>
      </w:r>
      <w:r>
        <w:rPr>
          <w:sz w:val="24"/>
          <w:szCs w:val="24"/>
        </w:rPr>
        <w:t>引入的不确定度</w:t>
      </w:r>
      <w:r>
        <w:rPr>
          <w:rFonts w:hint="eastAsia"/>
          <w:sz w:val="24"/>
          <w:szCs w:val="24"/>
          <w:lang w:eastAsia="zh-CN"/>
        </w:rPr>
        <w:t>分量</w:t>
      </w:r>
    </w:p>
    <w:p>
      <w:pPr>
        <w:spacing w:line="360" w:lineRule="auto"/>
        <w:ind w:firstLine="420" w:firstLineChars="175"/>
        <w:rPr>
          <w:rFonts w:hint="eastAsia"/>
          <w:sz w:val="24"/>
          <w:szCs w:val="24"/>
        </w:rPr>
      </w:pPr>
      <w:r>
        <w:rPr>
          <w:sz w:val="24"/>
          <w:szCs w:val="24"/>
        </w:rPr>
        <w:t>前置放大器插入损失</w:t>
      </w:r>
      <w:r>
        <w:rPr>
          <w:rFonts w:hint="eastAsia"/>
          <w:sz w:val="24"/>
          <w:szCs w:val="24"/>
          <w:lang w:eastAsia="zh-CN"/>
        </w:rPr>
        <w:t>校准的不确定度为</w:t>
      </w:r>
      <w:r>
        <w:rPr>
          <w:sz w:val="24"/>
          <w:szCs w:val="24"/>
        </w:rPr>
        <w:t>0.0</w:t>
      </w:r>
      <w:r>
        <w:rPr>
          <w:rFonts w:hint="eastAsia"/>
          <w:sz w:val="24"/>
          <w:szCs w:val="24"/>
        </w:rPr>
        <w:t xml:space="preserve">9 </w:t>
      </w:r>
      <w:r>
        <w:rPr>
          <w:sz w:val="24"/>
          <w:szCs w:val="24"/>
        </w:rPr>
        <w:t>dB，按均匀分布评估，取</w:t>
      </w:r>
      <w:r>
        <w:rPr>
          <w:position w:val="-8"/>
          <w:sz w:val="24"/>
          <w:szCs w:val="24"/>
        </w:rPr>
        <w:object>
          <v:shape id="_x0000_i1038" o:spt="75" type="#_x0000_t75" style="height:18pt;width:3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sz w:val="24"/>
          <w:szCs w:val="24"/>
        </w:rPr>
        <w:t>，则</w:t>
      </w:r>
      <w:r>
        <w:rPr>
          <w:rFonts w:hint="eastAsia"/>
          <w:position w:val="-12"/>
          <w:sz w:val="24"/>
          <w:szCs w:val="24"/>
        </w:rPr>
        <w:object>
          <v:shape id="_x0000_i1039" o:spt="75" type="#_x0000_t75" style="height:20pt;width:10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sz w:val="24"/>
          <w:szCs w:val="24"/>
        </w:rPr>
        <w:t>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（4）</w:t>
      </w:r>
      <w:r>
        <w:rPr>
          <w:rFonts w:hint="eastAsia"/>
          <w:sz w:val="24"/>
          <w:szCs w:val="24"/>
        </w:rPr>
        <w:t>声分析仪引入的不确定度分量</w:t>
      </w:r>
    </w:p>
    <w:p>
      <w:pPr>
        <w:spacing w:line="360" w:lineRule="auto"/>
        <w:ind w:firstLine="420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由测量方法可知，声分析仪引入的不确定度分量包含以下两方面：</w:t>
      </w:r>
    </w:p>
    <w:p>
      <w:pPr>
        <w:spacing w:line="360" w:lineRule="auto"/>
        <w:ind w:firstLine="42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1）声分析仪输入通道频率响应校准的不确定度分量为0.1 dB，</w:t>
      </w:r>
      <w:r>
        <w:rPr>
          <w:rFonts w:hint="eastAsia"/>
          <w:sz w:val="24"/>
          <w:szCs w:val="24"/>
        </w:rPr>
        <w:t>按均匀分布评估，取</w:t>
      </w:r>
      <w:r>
        <w:rPr>
          <w:rFonts w:hint="eastAsia"/>
          <w:position w:val="-8"/>
          <w:sz w:val="24"/>
          <w:szCs w:val="24"/>
        </w:rPr>
        <w:object>
          <v:shape id="_x0000_i1040" o:spt="75" type="#_x0000_t75" style="height:18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  <w:sz w:val="24"/>
          <w:szCs w:val="24"/>
        </w:rPr>
        <w:t>，则</w:t>
      </w:r>
      <w:r>
        <w:rPr>
          <w:rFonts w:hint="eastAsia"/>
          <w:position w:val="-12"/>
          <w:sz w:val="24"/>
          <w:szCs w:val="24"/>
        </w:rPr>
        <w:object>
          <v:shape id="_x0000_i1041" o:spt="75" type="#_x0000_t75" style="height:20pt;width:10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</w:p>
    <w:p>
      <w:pPr>
        <w:spacing w:line="360" w:lineRule="auto"/>
        <w:ind w:firstLine="42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2）输入通道</w:t>
      </w:r>
      <w:r>
        <w:rPr>
          <w:rFonts w:hint="eastAsia"/>
          <w:sz w:val="24"/>
          <w:szCs w:val="24"/>
          <w:lang w:eastAsia="zh-CN"/>
        </w:rPr>
        <w:t>示值误差不超过</w:t>
      </w:r>
      <w:r>
        <w:rPr>
          <w:sz w:val="24"/>
          <w:szCs w:val="24"/>
        </w:rPr>
        <w:t>±</w:t>
      </w:r>
      <w:r>
        <w:rPr>
          <w:rFonts w:hint="eastAsia"/>
          <w:sz w:val="24"/>
          <w:szCs w:val="24"/>
        </w:rPr>
        <w:t>0.0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 xml:space="preserve"> dB，半宽为</w:t>
      </w:r>
      <w:r>
        <w:rPr>
          <w:sz w:val="24"/>
          <w:szCs w:val="24"/>
        </w:rPr>
        <w:t>0.0</w:t>
      </w:r>
      <w:r>
        <w:rPr>
          <w:rFonts w:hint="eastAsia"/>
          <w:sz w:val="24"/>
          <w:szCs w:val="24"/>
          <w:lang w:val="en-US" w:eastAsia="zh-CN"/>
        </w:rPr>
        <w:t>05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dB</w:t>
      </w:r>
      <w:r>
        <w:rPr>
          <w:rFonts w:hint="eastAsia"/>
          <w:sz w:val="24"/>
          <w:szCs w:val="24"/>
        </w:rPr>
        <w:t>，按均匀分布评估，取</w:t>
      </w:r>
      <w:r>
        <w:rPr>
          <w:rFonts w:hint="eastAsia"/>
          <w:position w:val="-8"/>
          <w:sz w:val="24"/>
          <w:szCs w:val="24"/>
        </w:rPr>
        <w:object>
          <v:shape id="_x0000_i1042" o:spt="75" type="#_x0000_t75" style="height:18pt;width:3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  <w:sz w:val="24"/>
          <w:szCs w:val="24"/>
        </w:rPr>
        <w:t>，则</w:t>
      </w:r>
      <w:r>
        <w:rPr>
          <w:rFonts w:hint="eastAsia"/>
          <w:position w:val="-12"/>
          <w:sz w:val="24"/>
          <w:szCs w:val="24"/>
        </w:rPr>
        <w:object>
          <v:shape id="_x0000_i1043" o:spt="75" type="#_x0000_t75" style="height:20pt;width:96.7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两项合成即</w:t>
      </w:r>
      <w:r>
        <w:rPr>
          <w:rFonts w:hint="eastAsia"/>
          <w:position w:val="-14"/>
          <w:sz w:val="24"/>
          <w:szCs w:val="24"/>
        </w:rPr>
        <w:object>
          <v:shape id="_x0000_i1044" o:spt="75" type="#_x0000_t75" style="height:24pt;width:11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（5）</w:t>
      </w:r>
      <w:r>
        <w:rPr>
          <w:rFonts w:hint="eastAsia"/>
          <w:sz w:val="24"/>
          <w:szCs w:val="24"/>
        </w:rPr>
        <w:t>数值修约引入的标准不确定度分量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最大时间计权声级及峰值声级</w:t>
      </w:r>
      <w:r>
        <w:rPr>
          <w:rFonts w:hint="eastAsia"/>
          <w:sz w:val="24"/>
          <w:szCs w:val="24"/>
        </w:rPr>
        <w:t>的修约间隔为0.1 dB，半区间宽为0.05 dB，其引入的标准不确定度按均匀分布估计，取包含因子</w:t>
      </w:r>
      <w:r>
        <w:rPr>
          <w:rFonts w:hint="eastAsia"/>
          <w:position w:val="-8"/>
          <w:sz w:val="24"/>
          <w:szCs w:val="24"/>
        </w:rPr>
        <w:object>
          <v:shape id="_x0000_i1045" o:spt="75" type="#_x0000_t75" style="height:18pt;width:3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  <w:sz w:val="24"/>
          <w:szCs w:val="24"/>
        </w:rPr>
        <w:t>，故数值修约引入的不确定度分量</w:t>
      </w:r>
      <w:r>
        <w:rPr>
          <w:i/>
          <w:iCs/>
          <w:sz w:val="24"/>
          <w:szCs w:val="24"/>
        </w:rPr>
        <w:t>u</w:t>
      </w:r>
      <w:r>
        <w:rPr>
          <w:rFonts w:hint="eastAsia"/>
          <w:i/>
          <w:iCs/>
          <w:sz w:val="24"/>
          <w:szCs w:val="24"/>
          <w:vertAlign w:val="subscript"/>
        </w:rPr>
        <w:t>5</w:t>
      </w:r>
      <w:r>
        <w:rPr>
          <w:rFonts w:hint="eastAsia"/>
          <w:sz w:val="24"/>
          <w:szCs w:val="24"/>
        </w:rPr>
        <w:t>＝0.0</w:t>
      </w:r>
      <w:r>
        <w:rPr>
          <w:rFonts w:hint="eastAsia"/>
          <w:sz w:val="24"/>
          <w:szCs w:val="24"/>
          <w:lang w:val="en-US" w:eastAsia="zh-CN"/>
        </w:rPr>
        <w:t xml:space="preserve">3 </w:t>
      </w:r>
      <w:r>
        <w:rPr>
          <w:rFonts w:hint="eastAsia"/>
          <w:sz w:val="24"/>
          <w:szCs w:val="24"/>
        </w:rPr>
        <w:t>dB。</w:t>
      </w:r>
    </w:p>
    <w:p>
      <w:pPr>
        <w:ind w:firstLine="482" w:firstLineChars="200"/>
        <w:jc w:val="left"/>
        <w:rPr>
          <w:rFonts w:hint="eastAsia" w:ascii="Times New Roman" w:hAnsi="Times New Roman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 w:ascii="Times New Roman" w:hAnsi="Times New Roman"/>
          <w:b/>
          <w:sz w:val="24"/>
          <w:lang w:val="en-US" w:eastAsia="zh-CN"/>
        </w:rPr>
        <w:t>.2.2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b/>
          <w:sz w:val="24"/>
          <w:lang w:eastAsia="zh-CN"/>
        </w:rPr>
        <w:t>合成标准不确定度</w:t>
      </w:r>
    </w:p>
    <w:tbl>
      <w:tblPr>
        <w:tblStyle w:val="14"/>
        <w:tblW w:w="499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4094"/>
        <w:gridCol w:w="2032"/>
        <w:gridCol w:w="18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不确定度的来源</w:t>
            </w:r>
          </w:p>
        </w:tc>
        <w:tc>
          <w:tcPr>
            <w:tcW w:w="1068" w:type="pct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符号</w:t>
            </w:r>
          </w:p>
        </w:tc>
        <w:tc>
          <w:tcPr>
            <w:tcW w:w="988" w:type="pct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数值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9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1</w:t>
            </w:r>
          </w:p>
        </w:tc>
        <w:tc>
          <w:tcPr>
            <w:tcW w:w="2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10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i/>
                <w:szCs w:val="21"/>
                <w:lang w:val="en-US"/>
              </w:rPr>
            </w:pPr>
            <w:r>
              <w:rPr>
                <w:rFonts w:hint="eastAsia"/>
                <w:i/>
                <w:iCs/>
                <w:sz w:val="24"/>
                <w:szCs w:val="24"/>
              </w:rPr>
              <w:t>u</w:t>
            </w:r>
            <w:r>
              <w:rPr>
                <w:rFonts w:hint="eastAsia"/>
                <w:i w:val="0"/>
                <w:iCs w:val="0"/>
                <w:sz w:val="24"/>
                <w:szCs w:val="24"/>
                <w:vertAlign w:val="subscript"/>
                <w:lang w:val="en-US" w:eastAsia="zh-CN"/>
              </w:rPr>
              <w:t>1</w:t>
            </w:r>
          </w:p>
        </w:tc>
        <w:tc>
          <w:tcPr>
            <w:tcW w:w="98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3.09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90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2</w:t>
            </w:r>
          </w:p>
        </w:tc>
        <w:tc>
          <w:tcPr>
            <w:tcW w:w="215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自由场型传声器</w:t>
            </w:r>
          </w:p>
        </w:tc>
        <w:tc>
          <w:tcPr>
            <w:tcW w:w="10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i/>
                <w:sz w:val="24"/>
                <w:szCs w:val="24"/>
              </w:rPr>
              <w:t>u</w:t>
            </w:r>
            <w:r>
              <w:rPr>
                <w:rFonts w:hint="eastAsia"/>
                <w:i w:val="0"/>
                <w:iCs w:val="0"/>
                <w:sz w:val="24"/>
                <w:szCs w:val="24"/>
                <w:vertAlign w:val="subscript"/>
                <w:lang w:val="en-US" w:eastAsia="zh-CN"/>
              </w:rPr>
              <w:t>2</w:t>
            </w:r>
          </w:p>
        </w:tc>
        <w:tc>
          <w:tcPr>
            <w:tcW w:w="98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0.1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3</w:t>
            </w:r>
          </w:p>
        </w:tc>
        <w:tc>
          <w:tcPr>
            <w:tcW w:w="2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 w:val="24"/>
                <w:szCs w:val="24"/>
              </w:rPr>
              <w:t>前置放大器插入损失</w:t>
            </w:r>
          </w:p>
        </w:tc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i/>
                <w:sz w:val="24"/>
                <w:szCs w:val="24"/>
              </w:rPr>
              <w:t>u</w:t>
            </w:r>
            <w:r>
              <w:rPr>
                <w:rFonts w:hint="eastAsia"/>
                <w:i w:val="0"/>
                <w:iCs/>
                <w:sz w:val="24"/>
                <w:szCs w:val="24"/>
                <w:vertAlign w:val="subscript"/>
                <w:lang w:val="en-US" w:eastAsia="zh-CN"/>
              </w:rPr>
              <w:t>3</w:t>
            </w: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79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4</w:t>
            </w:r>
          </w:p>
        </w:tc>
        <w:tc>
          <w:tcPr>
            <w:tcW w:w="2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声分析仪</w:t>
            </w:r>
          </w:p>
        </w:tc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i/>
                <w:sz w:val="24"/>
                <w:szCs w:val="24"/>
              </w:rPr>
              <w:t>u</w:t>
            </w:r>
            <w:r>
              <w:rPr>
                <w:rFonts w:hint="eastAsia"/>
                <w:i w:val="0"/>
                <w:iCs/>
                <w:sz w:val="24"/>
                <w:szCs w:val="24"/>
                <w:vertAlign w:val="subscript"/>
                <w:lang w:val="en-US" w:eastAsia="zh-CN"/>
              </w:rPr>
              <w:t>4</w:t>
            </w: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79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5</w:t>
            </w:r>
          </w:p>
        </w:tc>
        <w:tc>
          <w:tcPr>
            <w:tcW w:w="21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数值修约误差</w:t>
            </w:r>
          </w:p>
        </w:tc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i/>
                <w:sz w:val="24"/>
                <w:szCs w:val="24"/>
              </w:rPr>
              <w:t>u</w:t>
            </w:r>
            <w:r>
              <w:rPr>
                <w:rFonts w:hint="eastAsia"/>
                <w:i w:val="0"/>
                <w:iCs w:val="0"/>
                <w:sz w:val="24"/>
                <w:szCs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0.03</w:t>
            </w:r>
          </w:p>
        </w:tc>
      </w:tr>
    </w:tbl>
    <w:p>
      <w:pPr>
        <w:spacing w:line="360" w:lineRule="auto"/>
        <w:rPr>
          <w:rFonts w:hint="eastAsia" w:eastAsia="宋体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</w:rPr>
        <w:t xml:space="preserve">    由于</w:t>
      </w:r>
      <w:r>
        <w:rPr>
          <w:rFonts w:hint="eastAsia"/>
          <w:sz w:val="24"/>
          <w:szCs w:val="24"/>
          <w:lang w:val="en-US" w:eastAsia="zh-CN"/>
        </w:rPr>
        <w:t>上述</w:t>
      </w:r>
      <w:r>
        <w:rPr>
          <w:rFonts w:hint="eastAsia"/>
          <w:sz w:val="24"/>
          <w:szCs w:val="24"/>
        </w:rPr>
        <w:t>各分量独立无关，故</w:t>
      </w:r>
      <w:r>
        <w:rPr>
          <w:rFonts w:hint="eastAsia"/>
          <w:sz w:val="24"/>
          <w:szCs w:val="24"/>
          <w:lang w:eastAsia="zh-CN"/>
        </w:rPr>
        <w:t>最大时间计权声级</w:t>
      </w:r>
      <w:r>
        <w:rPr>
          <w:rFonts w:hint="eastAsia"/>
          <w:sz w:val="24"/>
          <w:szCs w:val="24"/>
        </w:rPr>
        <w:t>的合成标准不确定</w:t>
      </w:r>
      <w:r>
        <w:rPr>
          <w:rFonts w:hint="eastAsia"/>
          <w:sz w:val="24"/>
          <w:szCs w:val="24"/>
          <w:highlight w:val="none"/>
        </w:rPr>
        <w:t>度为</w:t>
      </w:r>
      <w:r>
        <w:rPr>
          <w:rFonts w:hint="eastAsia"/>
          <w:sz w:val="24"/>
          <w:szCs w:val="24"/>
          <w:highlight w:val="none"/>
          <w:lang w:val="en-US" w:eastAsia="zh-CN"/>
        </w:rPr>
        <w:t>3.10</w:t>
      </w:r>
      <w:r>
        <w:rPr>
          <w:rFonts w:hint="eastAsia"/>
          <w:sz w:val="24"/>
          <w:szCs w:val="24"/>
          <w:highlight w:val="none"/>
        </w:rPr>
        <w:t xml:space="preserve"> dB。</w:t>
      </w:r>
    </w:p>
    <w:p>
      <w:pPr>
        <w:ind w:firstLine="482" w:firstLineChars="200"/>
        <w:jc w:val="left"/>
        <w:rPr>
          <w:rFonts w:hint="eastAsia" w:ascii="Times New Roman" w:hAnsi="Times New Roman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1</w:t>
      </w:r>
      <w:r>
        <w:rPr>
          <w:rFonts w:hint="eastAsia" w:ascii="Times New Roman" w:hAnsi="Times New Roman"/>
          <w:b/>
          <w:sz w:val="24"/>
          <w:highlight w:val="none"/>
          <w:lang w:val="en-US" w:eastAsia="zh-CN"/>
        </w:rPr>
        <w:t>.2.3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b/>
          <w:sz w:val="24"/>
          <w:highlight w:val="none"/>
          <w:lang w:eastAsia="zh-CN"/>
        </w:rPr>
        <w:t>扩展不确定度</w:t>
      </w:r>
    </w:p>
    <w:p>
      <w:pPr>
        <w:spacing w:line="360" w:lineRule="auto"/>
        <w:ind w:firstLine="480"/>
        <w:jc w:val="left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 xml:space="preserve">   合成标准不确定度按近似正态分布考虑，</w:t>
      </w:r>
      <w:r>
        <w:rPr>
          <w:rFonts w:hint="eastAsia" w:hAnsi="宋体"/>
          <w:sz w:val="24"/>
          <w:szCs w:val="24"/>
          <w:highlight w:val="none"/>
        </w:rPr>
        <w:t>取包含因子</w:t>
      </w:r>
      <w:r>
        <w:rPr>
          <w:i/>
          <w:iCs/>
          <w:sz w:val="24"/>
          <w:szCs w:val="24"/>
          <w:highlight w:val="none"/>
        </w:rPr>
        <w:t xml:space="preserve">k </w:t>
      </w:r>
      <w:r>
        <w:rPr>
          <w:sz w:val="24"/>
          <w:szCs w:val="24"/>
          <w:highlight w:val="none"/>
        </w:rPr>
        <w:t>= 2</w:t>
      </w:r>
      <w:r>
        <w:rPr>
          <w:rFonts w:hint="eastAsia" w:hAnsi="宋体"/>
          <w:sz w:val="24"/>
          <w:szCs w:val="24"/>
          <w:highlight w:val="none"/>
        </w:rPr>
        <w:t>时，对应</w:t>
      </w:r>
      <w:r>
        <w:rPr>
          <w:i/>
          <w:sz w:val="24"/>
          <w:szCs w:val="24"/>
          <w:highlight w:val="none"/>
        </w:rPr>
        <w:t>t</w:t>
      </w:r>
      <w:r>
        <w:rPr>
          <w:rFonts w:hint="eastAsia" w:hAnsi="宋体"/>
          <w:sz w:val="24"/>
          <w:szCs w:val="24"/>
          <w:highlight w:val="none"/>
        </w:rPr>
        <w:t>分布的包含概率</w:t>
      </w:r>
      <w:r>
        <w:rPr>
          <w:i/>
          <w:sz w:val="24"/>
          <w:szCs w:val="24"/>
          <w:highlight w:val="none"/>
        </w:rPr>
        <w:t>p</w:t>
      </w:r>
      <w:r>
        <w:rPr>
          <w:sz w:val="24"/>
          <w:szCs w:val="24"/>
          <w:highlight w:val="none"/>
        </w:rPr>
        <w:t>=95%</w:t>
      </w:r>
      <w:r>
        <w:rPr>
          <w:rFonts w:hint="eastAsia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  <w:highlight w:val="none"/>
          <w:lang w:eastAsia="zh-CN"/>
        </w:rPr>
        <w:t>则最大时间计权声级的</w:t>
      </w:r>
      <w:r>
        <w:rPr>
          <w:rFonts w:hint="eastAsia"/>
          <w:sz w:val="24"/>
          <w:szCs w:val="24"/>
          <w:highlight w:val="none"/>
        </w:rPr>
        <w:t>扩展不确定度为：</w:t>
      </w:r>
    </w:p>
    <w:p>
      <w:pPr>
        <w:spacing w:line="360" w:lineRule="auto"/>
        <w:ind w:firstLine="480"/>
        <w:jc w:val="center"/>
        <w:rPr>
          <w:rFonts w:hint="eastAsia"/>
          <w:position w:val="-12"/>
          <w:sz w:val="24"/>
          <w:szCs w:val="24"/>
          <w:lang w:eastAsia="zh-CN"/>
        </w:rPr>
      </w:pPr>
      <w:r>
        <w:rPr>
          <w:rFonts w:hint="eastAsia"/>
          <w:position w:val="-14"/>
          <w:sz w:val="24"/>
          <w:szCs w:val="24"/>
        </w:rPr>
        <w:object>
          <v:shape id="_x0000_i1046" o:spt="75" type="#_x0000_t75" style="height:19pt;width:12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</w:p>
    <w:p>
      <w:pPr>
        <w:spacing w:line="360" w:lineRule="auto"/>
        <w:ind w:firstLine="48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报告的不确定度修约间隔为0.1 dB，所以扩展不确定取</w:t>
      </w:r>
      <w:r>
        <w:rPr>
          <w:rFonts w:hint="eastAsia"/>
          <w:i/>
          <w:sz w:val="24"/>
          <w:szCs w:val="24"/>
        </w:rPr>
        <w:t>U</w:t>
      </w:r>
      <w:r>
        <w:rPr>
          <w:rFonts w:hint="eastAsia"/>
          <w:sz w:val="24"/>
          <w:szCs w:val="24"/>
        </w:rPr>
        <w:t>＝</w:t>
      </w:r>
      <w:r>
        <w:rPr>
          <w:rFonts w:hint="eastAsia"/>
          <w:sz w:val="24"/>
          <w:szCs w:val="24"/>
          <w:lang w:val="en-US" w:eastAsia="zh-CN"/>
        </w:rPr>
        <w:t>6.2</w:t>
      </w:r>
      <w:r>
        <w:rPr>
          <w:rFonts w:hint="eastAsia"/>
          <w:sz w:val="24"/>
          <w:szCs w:val="24"/>
        </w:rPr>
        <w:t xml:space="preserve"> dB，</w:t>
      </w:r>
      <w:r>
        <w:rPr>
          <w:rFonts w:hint="eastAsia"/>
          <w:i/>
          <w:sz w:val="24"/>
          <w:szCs w:val="24"/>
        </w:rPr>
        <w:t>k</w:t>
      </w:r>
      <w:r>
        <w:rPr>
          <w:rFonts w:hint="eastAsia"/>
          <w:sz w:val="24"/>
          <w:szCs w:val="24"/>
        </w:rPr>
        <w:t>＝2。</w:t>
      </w:r>
    </w:p>
    <w:sectPr>
      <w:footerReference r:id="rId6" w:type="default"/>
      <w:pgSz w:w="11906" w:h="16838"/>
      <w:pgMar w:top="1474" w:right="1474" w:bottom="147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2899"/>
      <w:docPartObj>
        <w:docPartGallery w:val="autotext"/>
      </w:docPartObj>
    </w:sdtPr>
    <w:sdtContent>
      <w:p>
        <w:pPr>
          <w:pStyle w:val="1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2900"/>
      <w:docPartObj>
        <w:docPartGallery w:val="autotext"/>
      </w:docPartObj>
    </w:sdtPr>
    <w:sdtContent>
      <w:p>
        <w:pPr>
          <w:pStyle w:val="10"/>
          <w:jc w:val="center"/>
        </w:pPr>
      </w:p>
    </w:sdtContent>
  </w:sdt>
  <w:p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5512367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10"/>
                                <w:jc w:val="center"/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15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45512367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10"/>
                          <w:jc w:val="center"/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 PAGE   \* MERGEFORMAT 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15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C8C0CB"/>
    <w:multiLevelType w:val="singleLevel"/>
    <w:tmpl w:val="60C8C0C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zExNzAyYjg3NTBjNTNjMGU4YmJkMTgxMjA0MmEifQ=="/>
  </w:docVars>
  <w:rsids>
    <w:rsidRoot w:val="00F76D57"/>
    <w:rsid w:val="000027EC"/>
    <w:rsid w:val="00044CE4"/>
    <w:rsid w:val="00061402"/>
    <w:rsid w:val="00066241"/>
    <w:rsid w:val="00086474"/>
    <w:rsid w:val="000A3935"/>
    <w:rsid w:val="000A3BAC"/>
    <w:rsid w:val="000A6ED4"/>
    <w:rsid w:val="000B32B3"/>
    <w:rsid w:val="000B3774"/>
    <w:rsid w:val="000D0B03"/>
    <w:rsid w:val="000D5DF7"/>
    <w:rsid w:val="000D767F"/>
    <w:rsid w:val="000E2480"/>
    <w:rsid w:val="000E4938"/>
    <w:rsid w:val="000F0A36"/>
    <w:rsid w:val="000F4EBE"/>
    <w:rsid w:val="00101B66"/>
    <w:rsid w:val="00102219"/>
    <w:rsid w:val="001225D3"/>
    <w:rsid w:val="00127E39"/>
    <w:rsid w:val="00130A1C"/>
    <w:rsid w:val="00137D57"/>
    <w:rsid w:val="00140383"/>
    <w:rsid w:val="00147738"/>
    <w:rsid w:val="0015219E"/>
    <w:rsid w:val="00152534"/>
    <w:rsid w:val="00161CCD"/>
    <w:rsid w:val="001736C5"/>
    <w:rsid w:val="001A6EE6"/>
    <w:rsid w:val="001B4707"/>
    <w:rsid w:val="001C39C1"/>
    <w:rsid w:val="001C579B"/>
    <w:rsid w:val="001D259A"/>
    <w:rsid w:val="001E3B7D"/>
    <w:rsid w:val="001E5575"/>
    <w:rsid w:val="001F6600"/>
    <w:rsid w:val="00202EB2"/>
    <w:rsid w:val="00206521"/>
    <w:rsid w:val="00206541"/>
    <w:rsid w:val="002138CC"/>
    <w:rsid w:val="00217361"/>
    <w:rsid w:val="0022701A"/>
    <w:rsid w:val="00230043"/>
    <w:rsid w:val="00235458"/>
    <w:rsid w:val="00236B04"/>
    <w:rsid w:val="00243C71"/>
    <w:rsid w:val="00262286"/>
    <w:rsid w:val="00266B8D"/>
    <w:rsid w:val="002731EF"/>
    <w:rsid w:val="00274653"/>
    <w:rsid w:val="00284112"/>
    <w:rsid w:val="00291300"/>
    <w:rsid w:val="002A6794"/>
    <w:rsid w:val="002A7932"/>
    <w:rsid w:val="002B03C2"/>
    <w:rsid w:val="002B4584"/>
    <w:rsid w:val="002C45B7"/>
    <w:rsid w:val="002C77C8"/>
    <w:rsid w:val="002D161E"/>
    <w:rsid w:val="002D7A12"/>
    <w:rsid w:val="002E2D18"/>
    <w:rsid w:val="0030609F"/>
    <w:rsid w:val="0031449C"/>
    <w:rsid w:val="00316C50"/>
    <w:rsid w:val="003221E7"/>
    <w:rsid w:val="003246FE"/>
    <w:rsid w:val="00354E36"/>
    <w:rsid w:val="00356C4B"/>
    <w:rsid w:val="00363251"/>
    <w:rsid w:val="003932A7"/>
    <w:rsid w:val="0039568B"/>
    <w:rsid w:val="003A44B7"/>
    <w:rsid w:val="003A6E63"/>
    <w:rsid w:val="003C7111"/>
    <w:rsid w:val="003D4E69"/>
    <w:rsid w:val="003D5C59"/>
    <w:rsid w:val="003F07CA"/>
    <w:rsid w:val="00420CD1"/>
    <w:rsid w:val="00421F8D"/>
    <w:rsid w:val="00426F38"/>
    <w:rsid w:val="00427BAB"/>
    <w:rsid w:val="00440127"/>
    <w:rsid w:val="004409C1"/>
    <w:rsid w:val="00446696"/>
    <w:rsid w:val="00473EBE"/>
    <w:rsid w:val="004842E3"/>
    <w:rsid w:val="00487003"/>
    <w:rsid w:val="004A2620"/>
    <w:rsid w:val="004A4B87"/>
    <w:rsid w:val="004B33D0"/>
    <w:rsid w:val="004C1A69"/>
    <w:rsid w:val="004C21C8"/>
    <w:rsid w:val="004D5FF6"/>
    <w:rsid w:val="004E03F3"/>
    <w:rsid w:val="004E245B"/>
    <w:rsid w:val="004F73C2"/>
    <w:rsid w:val="00503600"/>
    <w:rsid w:val="00506590"/>
    <w:rsid w:val="00516D98"/>
    <w:rsid w:val="0052090D"/>
    <w:rsid w:val="00536009"/>
    <w:rsid w:val="00536ABF"/>
    <w:rsid w:val="00540A89"/>
    <w:rsid w:val="0054265A"/>
    <w:rsid w:val="00542D26"/>
    <w:rsid w:val="005634D9"/>
    <w:rsid w:val="00567750"/>
    <w:rsid w:val="005720B6"/>
    <w:rsid w:val="0058188A"/>
    <w:rsid w:val="005B75E1"/>
    <w:rsid w:val="005C0033"/>
    <w:rsid w:val="005C4939"/>
    <w:rsid w:val="005D0D5B"/>
    <w:rsid w:val="005D685F"/>
    <w:rsid w:val="005E084F"/>
    <w:rsid w:val="005E502D"/>
    <w:rsid w:val="005F2281"/>
    <w:rsid w:val="005F7518"/>
    <w:rsid w:val="00600BC2"/>
    <w:rsid w:val="00603C58"/>
    <w:rsid w:val="006055D5"/>
    <w:rsid w:val="00624AEF"/>
    <w:rsid w:val="00624C0D"/>
    <w:rsid w:val="006265C1"/>
    <w:rsid w:val="00626BDD"/>
    <w:rsid w:val="00627897"/>
    <w:rsid w:val="006605A5"/>
    <w:rsid w:val="00665774"/>
    <w:rsid w:val="00675867"/>
    <w:rsid w:val="006A1FA1"/>
    <w:rsid w:val="006B4DA8"/>
    <w:rsid w:val="006E435E"/>
    <w:rsid w:val="006F0110"/>
    <w:rsid w:val="006F50B6"/>
    <w:rsid w:val="006F626F"/>
    <w:rsid w:val="00700956"/>
    <w:rsid w:val="00704312"/>
    <w:rsid w:val="007176C5"/>
    <w:rsid w:val="00766439"/>
    <w:rsid w:val="00776C82"/>
    <w:rsid w:val="007868A9"/>
    <w:rsid w:val="00791799"/>
    <w:rsid w:val="007A6AD9"/>
    <w:rsid w:val="007B2F00"/>
    <w:rsid w:val="007C00B9"/>
    <w:rsid w:val="007C2726"/>
    <w:rsid w:val="007E6250"/>
    <w:rsid w:val="007F7F24"/>
    <w:rsid w:val="008256B2"/>
    <w:rsid w:val="008328AB"/>
    <w:rsid w:val="008345A4"/>
    <w:rsid w:val="008372B5"/>
    <w:rsid w:val="00842552"/>
    <w:rsid w:val="008478ED"/>
    <w:rsid w:val="00853F3D"/>
    <w:rsid w:val="00855F93"/>
    <w:rsid w:val="00866B83"/>
    <w:rsid w:val="0087149F"/>
    <w:rsid w:val="008748EA"/>
    <w:rsid w:val="008811B8"/>
    <w:rsid w:val="0088563C"/>
    <w:rsid w:val="00892F57"/>
    <w:rsid w:val="0089579B"/>
    <w:rsid w:val="008A3E91"/>
    <w:rsid w:val="008A7E0F"/>
    <w:rsid w:val="008B2850"/>
    <w:rsid w:val="008C4FCA"/>
    <w:rsid w:val="008C73C6"/>
    <w:rsid w:val="008F5F2F"/>
    <w:rsid w:val="00907247"/>
    <w:rsid w:val="00915FEC"/>
    <w:rsid w:val="00941C0B"/>
    <w:rsid w:val="00961B5A"/>
    <w:rsid w:val="009714F4"/>
    <w:rsid w:val="00986530"/>
    <w:rsid w:val="009916DF"/>
    <w:rsid w:val="009A69E6"/>
    <w:rsid w:val="009B6F27"/>
    <w:rsid w:val="009C0AAE"/>
    <w:rsid w:val="009D7578"/>
    <w:rsid w:val="009E4A76"/>
    <w:rsid w:val="009F6E07"/>
    <w:rsid w:val="00A11493"/>
    <w:rsid w:val="00A242A8"/>
    <w:rsid w:val="00A31891"/>
    <w:rsid w:val="00A36003"/>
    <w:rsid w:val="00A37FAA"/>
    <w:rsid w:val="00A47C2B"/>
    <w:rsid w:val="00A51C7A"/>
    <w:rsid w:val="00A57E74"/>
    <w:rsid w:val="00A67A7C"/>
    <w:rsid w:val="00A74586"/>
    <w:rsid w:val="00A74D74"/>
    <w:rsid w:val="00A962BA"/>
    <w:rsid w:val="00AC1778"/>
    <w:rsid w:val="00AD16B5"/>
    <w:rsid w:val="00AD3908"/>
    <w:rsid w:val="00AD652C"/>
    <w:rsid w:val="00AD781D"/>
    <w:rsid w:val="00AE60C7"/>
    <w:rsid w:val="00B1188D"/>
    <w:rsid w:val="00B20ECB"/>
    <w:rsid w:val="00B24695"/>
    <w:rsid w:val="00B262EA"/>
    <w:rsid w:val="00B26F9A"/>
    <w:rsid w:val="00B32CE0"/>
    <w:rsid w:val="00B50F3F"/>
    <w:rsid w:val="00B54053"/>
    <w:rsid w:val="00B5492C"/>
    <w:rsid w:val="00B579EE"/>
    <w:rsid w:val="00B67408"/>
    <w:rsid w:val="00B72D31"/>
    <w:rsid w:val="00B806F8"/>
    <w:rsid w:val="00BA4B91"/>
    <w:rsid w:val="00BA5111"/>
    <w:rsid w:val="00BB0DF3"/>
    <w:rsid w:val="00BB409E"/>
    <w:rsid w:val="00BD3F05"/>
    <w:rsid w:val="00BD7533"/>
    <w:rsid w:val="00C02F39"/>
    <w:rsid w:val="00C20EF6"/>
    <w:rsid w:val="00C2449A"/>
    <w:rsid w:val="00C25BEE"/>
    <w:rsid w:val="00C36F49"/>
    <w:rsid w:val="00C656C8"/>
    <w:rsid w:val="00C66B72"/>
    <w:rsid w:val="00C742D5"/>
    <w:rsid w:val="00C74CB1"/>
    <w:rsid w:val="00C83C8B"/>
    <w:rsid w:val="00C863D0"/>
    <w:rsid w:val="00C945DA"/>
    <w:rsid w:val="00CA5F07"/>
    <w:rsid w:val="00CD4107"/>
    <w:rsid w:val="00CD52D0"/>
    <w:rsid w:val="00CD59E6"/>
    <w:rsid w:val="00CF1A4D"/>
    <w:rsid w:val="00CF7BB0"/>
    <w:rsid w:val="00D0186F"/>
    <w:rsid w:val="00D04851"/>
    <w:rsid w:val="00D12EA8"/>
    <w:rsid w:val="00D17FFC"/>
    <w:rsid w:val="00D23508"/>
    <w:rsid w:val="00D27A78"/>
    <w:rsid w:val="00D303D7"/>
    <w:rsid w:val="00D310D2"/>
    <w:rsid w:val="00D331D7"/>
    <w:rsid w:val="00D42BDB"/>
    <w:rsid w:val="00D44272"/>
    <w:rsid w:val="00D52995"/>
    <w:rsid w:val="00D52B77"/>
    <w:rsid w:val="00D52BE5"/>
    <w:rsid w:val="00D53290"/>
    <w:rsid w:val="00D62BE8"/>
    <w:rsid w:val="00D764D7"/>
    <w:rsid w:val="00D82C57"/>
    <w:rsid w:val="00D835E3"/>
    <w:rsid w:val="00D84BE6"/>
    <w:rsid w:val="00D8758B"/>
    <w:rsid w:val="00DA451A"/>
    <w:rsid w:val="00DA5AF6"/>
    <w:rsid w:val="00DB17D9"/>
    <w:rsid w:val="00DB4229"/>
    <w:rsid w:val="00DB5A25"/>
    <w:rsid w:val="00DB6F52"/>
    <w:rsid w:val="00DC1189"/>
    <w:rsid w:val="00DC2123"/>
    <w:rsid w:val="00DC4F1A"/>
    <w:rsid w:val="00DE484F"/>
    <w:rsid w:val="00DF635C"/>
    <w:rsid w:val="00E02169"/>
    <w:rsid w:val="00E073EF"/>
    <w:rsid w:val="00E17CB7"/>
    <w:rsid w:val="00E33BF5"/>
    <w:rsid w:val="00E3490B"/>
    <w:rsid w:val="00E34DA6"/>
    <w:rsid w:val="00E4532F"/>
    <w:rsid w:val="00E51943"/>
    <w:rsid w:val="00E631C0"/>
    <w:rsid w:val="00E717D9"/>
    <w:rsid w:val="00E727B1"/>
    <w:rsid w:val="00E87614"/>
    <w:rsid w:val="00E963DB"/>
    <w:rsid w:val="00ED286E"/>
    <w:rsid w:val="00ED6EE3"/>
    <w:rsid w:val="00EE0BCB"/>
    <w:rsid w:val="00EE1426"/>
    <w:rsid w:val="00EE79D4"/>
    <w:rsid w:val="00EF0473"/>
    <w:rsid w:val="00EF2C04"/>
    <w:rsid w:val="00F01601"/>
    <w:rsid w:val="00F03749"/>
    <w:rsid w:val="00F24487"/>
    <w:rsid w:val="00F24B98"/>
    <w:rsid w:val="00F30D1C"/>
    <w:rsid w:val="00F732ED"/>
    <w:rsid w:val="00F73B32"/>
    <w:rsid w:val="00F765EE"/>
    <w:rsid w:val="00F76D57"/>
    <w:rsid w:val="00F77095"/>
    <w:rsid w:val="00F8625A"/>
    <w:rsid w:val="00F87D0D"/>
    <w:rsid w:val="00F9422A"/>
    <w:rsid w:val="00FA17E8"/>
    <w:rsid w:val="00FC1A57"/>
    <w:rsid w:val="00FD4100"/>
    <w:rsid w:val="00FD64D6"/>
    <w:rsid w:val="00FE56C3"/>
    <w:rsid w:val="036342B6"/>
    <w:rsid w:val="05D76D9F"/>
    <w:rsid w:val="06E62A34"/>
    <w:rsid w:val="0753650B"/>
    <w:rsid w:val="088958CA"/>
    <w:rsid w:val="0CDA7D73"/>
    <w:rsid w:val="0F8C5331"/>
    <w:rsid w:val="0FD03043"/>
    <w:rsid w:val="0FDE772A"/>
    <w:rsid w:val="124778AF"/>
    <w:rsid w:val="13B1765B"/>
    <w:rsid w:val="15775929"/>
    <w:rsid w:val="166E7F5B"/>
    <w:rsid w:val="18EE1DF8"/>
    <w:rsid w:val="1CB66AD9"/>
    <w:rsid w:val="1CC91866"/>
    <w:rsid w:val="1DA04055"/>
    <w:rsid w:val="1EC61C1C"/>
    <w:rsid w:val="1F6E49FA"/>
    <w:rsid w:val="21F97A95"/>
    <w:rsid w:val="221C5C74"/>
    <w:rsid w:val="238532CD"/>
    <w:rsid w:val="24627405"/>
    <w:rsid w:val="2CEC0393"/>
    <w:rsid w:val="2D0C3D07"/>
    <w:rsid w:val="2F3350E5"/>
    <w:rsid w:val="33A20B17"/>
    <w:rsid w:val="37E5143C"/>
    <w:rsid w:val="39B421C7"/>
    <w:rsid w:val="3D346800"/>
    <w:rsid w:val="3DE413E0"/>
    <w:rsid w:val="3ED05DE1"/>
    <w:rsid w:val="44471AB7"/>
    <w:rsid w:val="445516FD"/>
    <w:rsid w:val="45CD6F07"/>
    <w:rsid w:val="46AE0617"/>
    <w:rsid w:val="475A4993"/>
    <w:rsid w:val="49D0518A"/>
    <w:rsid w:val="4DE76B55"/>
    <w:rsid w:val="50882169"/>
    <w:rsid w:val="523104E2"/>
    <w:rsid w:val="545B4233"/>
    <w:rsid w:val="55EC3ECF"/>
    <w:rsid w:val="573D0D13"/>
    <w:rsid w:val="5B4A6F13"/>
    <w:rsid w:val="5E024993"/>
    <w:rsid w:val="609F58EB"/>
    <w:rsid w:val="60E80073"/>
    <w:rsid w:val="63415F1A"/>
    <w:rsid w:val="63CB2429"/>
    <w:rsid w:val="67EC01C4"/>
    <w:rsid w:val="68CD45AF"/>
    <w:rsid w:val="68E55BE8"/>
    <w:rsid w:val="6911120F"/>
    <w:rsid w:val="692A3F80"/>
    <w:rsid w:val="6BD821D8"/>
    <w:rsid w:val="6C6351A5"/>
    <w:rsid w:val="6E5F11F1"/>
    <w:rsid w:val="706A52E7"/>
    <w:rsid w:val="71436C87"/>
    <w:rsid w:val="72CF6858"/>
    <w:rsid w:val="730B1CCA"/>
    <w:rsid w:val="736D1237"/>
    <w:rsid w:val="76D90BB3"/>
    <w:rsid w:val="7F99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23"/>
    <w:qFormat/>
    <w:uiPriority w:val="0"/>
    <w:pPr>
      <w:ind w:firstLine="600"/>
    </w:pPr>
    <w:rPr>
      <w:rFonts w:ascii="宋体"/>
      <w:sz w:val="24"/>
      <w:szCs w:val="20"/>
    </w:rPr>
  </w:style>
  <w:style w:type="paragraph" w:styleId="6">
    <w:name w:val="toc 3"/>
    <w:basedOn w:val="1"/>
    <w:next w:val="1"/>
    <w:qFormat/>
    <w:uiPriority w:val="39"/>
    <w:pPr>
      <w:tabs>
        <w:tab w:val="right" w:leader="dot" w:pos="8296"/>
      </w:tabs>
      <w:ind w:firstLine="480" w:firstLineChars="200"/>
      <w:jc w:val="center"/>
    </w:pPr>
    <w:rPr>
      <w:rFonts w:eastAsiaTheme="minorEastAsia"/>
      <w:sz w:val="24"/>
    </w:rPr>
  </w:style>
  <w:style w:type="paragraph" w:styleId="7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8">
    <w:name w:val="Body Text Indent 2"/>
    <w:basedOn w:val="1"/>
    <w:link w:val="2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9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eastAsiaTheme="minorEastAsia"/>
      <w:b/>
      <w:sz w:val="28"/>
      <w:szCs w:val="28"/>
    </w:rPr>
  </w:style>
  <w:style w:type="paragraph" w:styleId="13">
    <w:name w:val="toc 2"/>
    <w:basedOn w:val="1"/>
    <w:next w:val="1"/>
    <w:qFormat/>
    <w:uiPriority w:val="39"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qFormat/>
    <w:uiPriority w:val="99"/>
    <w:rPr>
      <w:color w:val="0000FF"/>
      <w:u w:val="single"/>
    </w:rPr>
  </w:style>
  <w:style w:type="character" w:customStyle="1" w:styleId="18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19">
    <w:name w:val="页脚 Char"/>
    <w:basedOn w:val="16"/>
    <w:link w:val="10"/>
    <w:qFormat/>
    <w:uiPriority w:val="99"/>
    <w:rPr>
      <w:sz w:val="18"/>
      <w:szCs w:val="18"/>
    </w:rPr>
  </w:style>
  <w:style w:type="character" w:customStyle="1" w:styleId="20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6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正文文本缩进 Char"/>
    <w:basedOn w:val="16"/>
    <w:link w:val="5"/>
    <w:qFormat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24">
    <w:name w:val="批注框文本 Char"/>
    <w:basedOn w:val="16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日期 Char"/>
    <w:basedOn w:val="16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2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7">
    <w:name w:val="正文文本缩进 2 Char"/>
    <w:basedOn w:val="16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9">
    <w:name w:val="font3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0">
    <w:name w:val="font4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1">
    <w:name w:val="font51"/>
    <w:basedOn w:val="1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32">
    <w:name w:val="font2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7" Type="http://schemas.openxmlformats.org/officeDocument/2006/relationships/fontTable" Target="fontTable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15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4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3.wmf"/><Relationship Id="rId4" Type="http://schemas.openxmlformats.org/officeDocument/2006/relationships/footer" Target="foot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2.wmf"/><Relationship Id="rId37" Type="http://schemas.openxmlformats.org/officeDocument/2006/relationships/oleObject" Target="embeddings/oleObject19.bin"/><Relationship Id="rId36" Type="http://schemas.openxmlformats.org/officeDocument/2006/relationships/oleObject" Target="embeddings/oleObject18.bin"/><Relationship Id="rId35" Type="http://schemas.openxmlformats.org/officeDocument/2006/relationships/image" Target="media/image11.wmf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5.bin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9.wmf"/><Relationship Id="rId28" Type="http://schemas.openxmlformats.org/officeDocument/2006/relationships/oleObject" Target="embeddings/oleObject13.bin"/><Relationship Id="rId27" Type="http://schemas.openxmlformats.org/officeDocument/2006/relationships/image" Target="media/image8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7.wmf"/><Relationship Id="rId23" Type="http://schemas.openxmlformats.org/officeDocument/2006/relationships/oleObject" Target="embeddings/oleObject10.bin"/><Relationship Id="rId22" Type="http://schemas.openxmlformats.org/officeDocument/2006/relationships/image" Target="media/image6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7.bin"/><Relationship Id="rId17" Type="http://schemas.openxmlformats.org/officeDocument/2006/relationships/image" Target="media/image4.wmf"/><Relationship Id="rId16" Type="http://schemas.openxmlformats.org/officeDocument/2006/relationships/oleObject" Target="embeddings/oleObject6.bin"/><Relationship Id="rId15" Type="http://schemas.openxmlformats.org/officeDocument/2006/relationships/image" Target="media/image3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1967</Words>
  <Characters>2250</Characters>
  <Lines>134</Lines>
  <Paragraphs>37</Paragraphs>
  <TotalTime>1</TotalTime>
  <ScaleCrop>false</ScaleCrop>
  <LinksUpToDate>false</LinksUpToDate>
  <CharactersWithSpaces>2319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2017-09-22T09:25:00Z</dcterms:created>
  <dc:creator>fengxiujuan</dc:creator>
  <cp:lastModifiedBy>元官</cp:lastModifiedBy>
  <cp:lastPrinted>2020-11-17T07:00:00Z</cp:lastPrinted>
  <dcterms:modified xsi:type="dcterms:W3CDTF">2023-07-04T03:17:14Z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4844A18EAF304C7A9DD29E3CFD93F0F5</vt:lpwstr>
  </property>
</Properties>
</file>