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93D" w:rsidRDefault="00B4793D">
      <w:pPr>
        <w:spacing w:before="5" w:line="170" w:lineRule="exact"/>
        <w:rPr>
          <w:rFonts w:hint="eastAsia"/>
          <w:sz w:val="17"/>
          <w:szCs w:val="17"/>
          <w:lang w:eastAsia="zh-CN"/>
        </w:rPr>
      </w:pPr>
    </w:p>
    <w:p w:rsidR="00B4793D" w:rsidRDefault="00B4793D">
      <w:pPr>
        <w:spacing w:line="200" w:lineRule="exact"/>
        <w:rPr>
          <w:sz w:val="20"/>
          <w:szCs w:val="20"/>
        </w:rPr>
      </w:pPr>
    </w:p>
    <w:p w:rsidR="00B4793D" w:rsidRDefault="00B4793D">
      <w:pPr>
        <w:spacing w:line="200" w:lineRule="exact"/>
        <w:rPr>
          <w:sz w:val="20"/>
          <w:szCs w:val="20"/>
        </w:rPr>
      </w:pPr>
    </w:p>
    <w:p w:rsidR="00B4793D" w:rsidRDefault="00B4793D">
      <w:pPr>
        <w:spacing w:line="200" w:lineRule="exact"/>
        <w:rPr>
          <w:sz w:val="20"/>
          <w:szCs w:val="20"/>
        </w:rPr>
      </w:pPr>
    </w:p>
    <w:p w:rsidR="00B4793D" w:rsidRDefault="00B4793D">
      <w:pPr>
        <w:spacing w:line="200" w:lineRule="exact"/>
        <w:rPr>
          <w:sz w:val="20"/>
          <w:szCs w:val="20"/>
        </w:rPr>
      </w:pPr>
    </w:p>
    <w:p w:rsidR="00B4793D" w:rsidRDefault="00B4793D">
      <w:pPr>
        <w:spacing w:line="200" w:lineRule="exact"/>
        <w:rPr>
          <w:sz w:val="20"/>
          <w:szCs w:val="20"/>
        </w:rPr>
      </w:pPr>
    </w:p>
    <w:p w:rsidR="00B4793D" w:rsidRDefault="00B4793D">
      <w:pPr>
        <w:spacing w:line="200" w:lineRule="exact"/>
        <w:rPr>
          <w:sz w:val="20"/>
          <w:szCs w:val="20"/>
        </w:rPr>
      </w:pPr>
    </w:p>
    <w:p w:rsidR="00B4793D" w:rsidRDefault="00B4793D">
      <w:pPr>
        <w:spacing w:line="200" w:lineRule="exact"/>
        <w:rPr>
          <w:sz w:val="20"/>
          <w:szCs w:val="20"/>
        </w:rPr>
      </w:pPr>
    </w:p>
    <w:p w:rsidR="00B4793D" w:rsidRDefault="00B4793D">
      <w:pPr>
        <w:spacing w:line="200" w:lineRule="exact"/>
        <w:rPr>
          <w:sz w:val="20"/>
          <w:szCs w:val="20"/>
        </w:rPr>
      </w:pPr>
    </w:p>
    <w:p w:rsidR="00B4793D" w:rsidRDefault="00B4793D">
      <w:pPr>
        <w:spacing w:line="200" w:lineRule="exact"/>
        <w:rPr>
          <w:sz w:val="20"/>
          <w:szCs w:val="20"/>
        </w:rPr>
      </w:pPr>
    </w:p>
    <w:p w:rsidR="00B4793D" w:rsidRDefault="00FA3F4B">
      <w:pPr>
        <w:pStyle w:val="1"/>
        <w:spacing w:line="541" w:lineRule="exact"/>
        <w:ind w:right="951"/>
        <w:jc w:val="center"/>
        <w:rPr>
          <w:lang w:eastAsia="zh-CN"/>
        </w:rPr>
      </w:pPr>
      <w:r>
        <w:rPr>
          <w:lang w:eastAsia="zh-CN"/>
        </w:rPr>
        <w:t>《</w:t>
      </w:r>
      <w:r>
        <w:rPr>
          <w:rFonts w:hint="eastAsia"/>
          <w:lang w:eastAsia="zh-CN"/>
        </w:rPr>
        <w:t>球板</w:t>
      </w:r>
      <w:r w:rsidR="0068070E">
        <w:rPr>
          <w:lang w:eastAsia="zh-CN"/>
        </w:rPr>
        <w:t>校准规范》</w:t>
      </w:r>
    </w:p>
    <w:p w:rsidR="00B4793D" w:rsidRDefault="00B4793D">
      <w:pPr>
        <w:spacing w:before="1" w:line="130" w:lineRule="exact"/>
        <w:rPr>
          <w:sz w:val="13"/>
          <w:szCs w:val="13"/>
          <w:lang w:eastAsia="zh-CN"/>
        </w:rPr>
      </w:pPr>
    </w:p>
    <w:p w:rsidR="00B4793D" w:rsidRDefault="0068070E">
      <w:pPr>
        <w:ind w:left="2"/>
        <w:jc w:val="center"/>
        <w:rPr>
          <w:rFonts w:ascii="宋体" w:eastAsia="宋体" w:hAnsi="宋体" w:cs="宋体"/>
          <w:sz w:val="28"/>
          <w:szCs w:val="28"/>
          <w:lang w:eastAsia="zh-CN"/>
        </w:rPr>
      </w:pPr>
      <w:r>
        <w:rPr>
          <w:rFonts w:ascii="宋体" w:eastAsia="宋体" w:hAnsi="宋体" w:cs="宋体"/>
          <w:spacing w:val="4"/>
          <w:sz w:val="28"/>
          <w:szCs w:val="28"/>
          <w:lang w:eastAsia="zh-CN"/>
        </w:rPr>
        <w:t>（征</w:t>
      </w:r>
      <w:r>
        <w:rPr>
          <w:rFonts w:ascii="宋体" w:eastAsia="宋体" w:hAnsi="宋体" w:cs="宋体"/>
          <w:sz w:val="28"/>
          <w:szCs w:val="28"/>
          <w:lang w:eastAsia="zh-CN"/>
        </w:rPr>
        <w:t>求</w:t>
      </w:r>
      <w:r>
        <w:rPr>
          <w:rFonts w:ascii="宋体" w:eastAsia="宋体" w:hAnsi="宋体" w:cs="宋体"/>
          <w:spacing w:val="4"/>
          <w:sz w:val="28"/>
          <w:szCs w:val="28"/>
          <w:lang w:eastAsia="zh-CN"/>
        </w:rPr>
        <w:t>意</w:t>
      </w:r>
      <w:r>
        <w:rPr>
          <w:rFonts w:ascii="宋体" w:eastAsia="宋体" w:hAnsi="宋体" w:cs="宋体"/>
          <w:sz w:val="28"/>
          <w:szCs w:val="28"/>
          <w:lang w:eastAsia="zh-CN"/>
        </w:rPr>
        <w:t>见</w:t>
      </w:r>
      <w:r>
        <w:rPr>
          <w:rFonts w:ascii="宋体" w:eastAsia="宋体" w:hAnsi="宋体" w:cs="宋体"/>
          <w:spacing w:val="4"/>
          <w:sz w:val="28"/>
          <w:szCs w:val="28"/>
          <w:lang w:eastAsia="zh-CN"/>
        </w:rPr>
        <w:t>稿</w:t>
      </w:r>
      <w:r>
        <w:rPr>
          <w:rFonts w:ascii="宋体" w:eastAsia="宋体" w:hAnsi="宋体" w:cs="宋体"/>
          <w:sz w:val="28"/>
          <w:szCs w:val="28"/>
          <w:lang w:eastAsia="zh-CN"/>
        </w:rPr>
        <w:t>）</w:t>
      </w: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before="4" w:line="200" w:lineRule="exact"/>
        <w:rPr>
          <w:sz w:val="20"/>
          <w:szCs w:val="20"/>
          <w:lang w:eastAsia="zh-CN"/>
        </w:rPr>
      </w:pPr>
    </w:p>
    <w:p w:rsidR="00B4793D" w:rsidRDefault="0068070E">
      <w:pPr>
        <w:ind w:left="953" w:right="949"/>
        <w:jc w:val="center"/>
        <w:rPr>
          <w:rFonts w:ascii="宋体" w:eastAsia="宋体" w:hAnsi="宋体" w:cs="宋体"/>
          <w:sz w:val="44"/>
          <w:szCs w:val="44"/>
          <w:lang w:eastAsia="zh-CN"/>
        </w:rPr>
      </w:pPr>
      <w:r>
        <w:rPr>
          <w:rFonts w:ascii="宋体" w:eastAsia="宋体" w:hAnsi="宋体" w:cs="宋体"/>
          <w:sz w:val="44"/>
          <w:szCs w:val="44"/>
          <w:lang w:eastAsia="zh-CN"/>
        </w:rPr>
        <w:t>编制说明</w:t>
      </w: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line="200" w:lineRule="exact"/>
        <w:rPr>
          <w:sz w:val="20"/>
          <w:szCs w:val="20"/>
          <w:lang w:eastAsia="zh-CN"/>
        </w:rPr>
      </w:pPr>
    </w:p>
    <w:p w:rsidR="00B4793D" w:rsidRDefault="00B4793D">
      <w:pPr>
        <w:spacing w:before="19" w:line="200" w:lineRule="exact"/>
        <w:rPr>
          <w:sz w:val="20"/>
          <w:szCs w:val="20"/>
          <w:lang w:eastAsia="zh-CN"/>
        </w:rPr>
      </w:pPr>
    </w:p>
    <w:p w:rsidR="00B4793D" w:rsidRDefault="00725339" w:rsidP="00725339">
      <w:pPr>
        <w:jc w:val="center"/>
        <w:rPr>
          <w:rFonts w:ascii="宋体" w:eastAsia="宋体" w:hAnsi="宋体" w:cs="宋体"/>
          <w:sz w:val="28"/>
          <w:szCs w:val="28"/>
          <w:lang w:eastAsia="zh-CN"/>
        </w:rPr>
      </w:pPr>
      <w:r>
        <w:rPr>
          <w:rFonts w:ascii="宋体" w:eastAsia="宋体" w:hAnsi="宋体" w:cs="宋体"/>
          <w:spacing w:val="4"/>
          <w:sz w:val="28"/>
          <w:szCs w:val="28"/>
          <w:lang w:eastAsia="zh-CN"/>
        </w:rPr>
        <w:t>《</w:t>
      </w:r>
      <w:r>
        <w:rPr>
          <w:rFonts w:ascii="宋体" w:eastAsia="宋体" w:hAnsi="宋体" w:cs="宋体" w:hint="eastAsia"/>
          <w:spacing w:val="4"/>
          <w:sz w:val="28"/>
          <w:szCs w:val="28"/>
          <w:lang w:eastAsia="zh-CN"/>
        </w:rPr>
        <w:t>球板</w:t>
      </w:r>
      <w:r w:rsidR="0068070E">
        <w:rPr>
          <w:rFonts w:ascii="宋体" w:eastAsia="宋体" w:hAnsi="宋体" w:cs="宋体"/>
          <w:spacing w:val="4"/>
          <w:sz w:val="28"/>
          <w:szCs w:val="28"/>
          <w:lang w:eastAsia="zh-CN"/>
        </w:rPr>
        <w:t>校</w:t>
      </w:r>
      <w:r w:rsidR="0068070E">
        <w:rPr>
          <w:rFonts w:ascii="宋体" w:eastAsia="宋体" w:hAnsi="宋体" w:cs="宋体"/>
          <w:sz w:val="28"/>
          <w:szCs w:val="28"/>
          <w:lang w:eastAsia="zh-CN"/>
        </w:rPr>
        <w:t>准</w:t>
      </w:r>
      <w:r w:rsidR="0068070E">
        <w:rPr>
          <w:rFonts w:ascii="宋体" w:eastAsia="宋体" w:hAnsi="宋体" w:cs="宋体"/>
          <w:spacing w:val="4"/>
          <w:sz w:val="28"/>
          <w:szCs w:val="28"/>
          <w:lang w:eastAsia="zh-CN"/>
        </w:rPr>
        <w:t>规</w:t>
      </w:r>
      <w:r w:rsidR="0068070E">
        <w:rPr>
          <w:rFonts w:ascii="宋体" w:eastAsia="宋体" w:hAnsi="宋体" w:cs="宋体"/>
          <w:sz w:val="28"/>
          <w:szCs w:val="28"/>
          <w:lang w:eastAsia="zh-CN"/>
        </w:rPr>
        <w:t>范</w:t>
      </w:r>
      <w:r w:rsidR="0068070E">
        <w:rPr>
          <w:rFonts w:ascii="宋体" w:eastAsia="宋体" w:hAnsi="宋体" w:cs="宋体"/>
          <w:spacing w:val="4"/>
          <w:sz w:val="28"/>
          <w:szCs w:val="28"/>
          <w:lang w:eastAsia="zh-CN"/>
        </w:rPr>
        <w:t>》</w:t>
      </w:r>
      <w:r w:rsidR="0068070E">
        <w:rPr>
          <w:rFonts w:ascii="宋体" w:eastAsia="宋体" w:hAnsi="宋体" w:cs="宋体"/>
          <w:sz w:val="28"/>
          <w:szCs w:val="28"/>
          <w:lang w:eastAsia="zh-CN"/>
        </w:rPr>
        <w:t>编写组</w:t>
      </w:r>
    </w:p>
    <w:p w:rsidR="00B4793D" w:rsidRPr="00725339" w:rsidRDefault="00B4793D">
      <w:pPr>
        <w:rPr>
          <w:rFonts w:ascii="宋体" w:eastAsia="宋体" w:hAnsi="宋体" w:cs="宋体"/>
          <w:sz w:val="28"/>
          <w:szCs w:val="28"/>
          <w:lang w:eastAsia="zh-CN"/>
        </w:rPr>
        <w:sectPr w:rsidR="00B4793D" w:rsidRPr="00725339">
          <w:type w:val="continuous"/>
          <w:pgSz w:w="11904" w:h="16840"/>
          <w:pgMar w:top="1560" w:right="1680" w:bottom="280" w:left="1680" w:header="720" w:footer="720" w:gutter="0"/>
          <w:cols w:space="720"/>
        </w:sectPr>
      </w:pPr>
    </w:p>
    <w:p w:rsidR="00B4793D" w:rsidRDefault="006E2B80">
      <w:pPr>
        <w:spacing w:line="414" w:lineRule="exact"/>
        <w:ind w:left="6"/>
        <w:jc w:val="center"/>
        <w:rPr>
          <w:rFonts w:ascii="黑体" w:eastAsia="黑体" w:hAnsi="黑体" w:cs="黑体"/>
          <w:sz w:val="32"/>
          <w:szCs w:val="32"/>
          <w:lang w:eastAsia="zh-CN"/>
        </w:rPr>
      </w:pPr>
      <w:r>
        <w:rPr>
          <w:rFonts w:ascii="黑体" w:eastAsia="黑体" w:hAnsi="黑体" w:cs="黑体"/>
          <w:sz w:val="32"/>
          <w:szCs w:val="32"/>
          <w:lang w:eastAsia="zh-CN"/>
        </w:rPr>
        <w:lastRenderedPageBreak/>
        <w:t>《</w:t>
      </w:r>
      <w:r>
        <w:rPr>
          <w:rFonts w:ascii="黑体" w:eastAsia="黑体" w:hAnsi="黑体" w:cs="黑体" w:hint="eastAsia"/>
          <w:sz w:val="32"/>
          <w:szCs w:val="32"/>
          <w:lang w:eastAsia="zh-CN"/>
        </w:rPr>
        <w:t>球板</w:t>
      </w:r>
      <w:r w:rsidR="0068070E">
        <w:rPr>
          <w:rFonts w:ascii="黑体" w:eastAsia="黑体" w:hAnsi="黑体" w:cs="黑体"/>
          <w:sz w:val="32"/>
          <w:szCs w:val="32"/>
          <w:lang w:eastAsia="zh-CN"/>
        </w:rPr>
        <w:t>校准</w:t>
      </w:r>
      <w:r w:rsidR="0068070E">
        <w:rPr>
          <w:rFonts w:ascii="黑体" w:eastAsia="黑体" w:hAnsi="黑体" w:cs="黑体"/>
          <w:spacing w:val="-5"/>
          <w:sz w:val="32"/>
          <w:szCs w:val="32"/>
          <w:lang w:eastAsia="zh-CN"/>
        </w:rPr>
        <w:t>规</w:t>
      </w:r>
      <w:r w:rsidR="0068070E">
        <w:rPr>
          <w:rFonts w:ascii="黑体" w:eastAsia="黑体" w:hAnsi="黑体" w:cs="黑体"/>
          <w:sz w:val="32"/>
          <w:szCs w:val="32"/>
          <w:lang w:eastAsia="zh-CN"/>
        </w:rPr>
        <w:t>范</w:t>
      </w:r>
      <w:r w:rsidR="0068070E">
        <w:rPr>
          <w:rFonts w:ascii="黑体" w:eastAsia="黑体" w:hAnsi="黑体" w:cs="黑体"/>
          <w:spacing w:val="-5"/>
          <w:sz w:val="32"/>
          <w:szCs w:val="32"/>
          <w:lang w:eastAsia="zh-CN"/>
        </w:rPr>
        <w:t>》</w:t>
      </w:r>
      <w:r w:rsidR="0068070E">
        <w:rPr>
          <w:rFonts w:ascii="黑体" w:eastAsia="黑体" w:hAnsi="黑体" w:cs="黑体"/>
          <w:sz w:val="32"/>
          <w:szCs w:val="32"/>
          <w:lang w:eastAsia="zh-CN"/>
        </w:rPr>
        <w:t>编</w:t>
      </w:r>
      <w:r w:rsidR="0068070E">
        <w:rPr>
          <w:rFonts w:ascii="黑体" w:eastAsia="黑体" w:hAnsi="黑体" w:cs="黑体"/>
          <w:spacing w:val="-5"/>
          <w:sz w:val="32"/>
          <w:szCs w:val="32"/>
          <w:lang w:eastAsia="zh-CN"/>
        </w:rPr>
        <w:t>制</w:t>
      </w:r>
      <w:r w:rsidR="0068070E">
        <w:rPr>
          <w:rFonts w:ascii="黑体" w:eastAsia="黑体" w:hAnsi="黑体" w:cs="黑体"/>
          <w:sz w:val="32"/>
          <w:szCs w:val="32"/>
          <w:lang w:eastAsia="zh-CN"/>
        </w:rPr>
        <w:t>说明</w:t>
      </w:r>
    </w:p>
    <w:p w:rsidR="00B4793D" w:rsidRDefault="00B4793D">
      <w:pPr>
        <w:spacing w:line="200" w:lineRule="exact"/>
        <w:rPr>
          <w:sz w:val="20"/>
          <w:szCs w:val="20"/>
          <w:lang w:eastAsia="zh-CN"/>
        </w:rPr>
      </w:pPr>
    </w:p>
    <w:p w:rsidR="00B4793D" w:rsidRDefault="00B4793D">
      <w:pPr>
        <w:spacing w:before="1" w:line="260" w:lineRule="exact"/>
        <w:rPr>
          <w:sz w:val="26"/>
          <w:szCs w:val="26"/>
          <w:lang w:eastAsia="zh-CN"/>
        </w:rPr>
      </w:pPr>
    </w:p>
    <w:p w:rsidR="00B4793D" w:rsidRPr="00373732" w:rsidRDefault="0068070E">
      <w:pPr>
        <w:pStyle w:val="a3"/>
        <w:rPr>
          <w:b/>
          <w:lang w:eastAsia="zh-CN"/>
        </w:rPr>
      </w:pPr>
      <w:r w:rsidRPr="00373732">
        <w:rPr>
          <w:b/>
          <w:lang w:eastAsia="zh-CN"/>
        </w:rPr>
        <w:t>一</w:t>
      </w:r>
      <w:r w:rsidRPr="00373732">
        <w:rPr>
          <w:b/>
          <w:spacing w:val="4"/>
          <w:lang w:eastAsia="zh-CN"/>
        </w:rPr>
        <w:t>、</w:t>
      </w:r>
      <w:r w:rsidRPr="00373732">
        <w:rPr>
          <w:b/>
          <w:lang w:eastAsia="zh-CN"/>
        </w:rPr>
        <w:t>任务来源</w:t>
      </w:r>
    </w:p>
    <w:p w:rsidR="00B4793D" w:rsidRDefault="00B4793D">
      <w:pPr>
        <w:spacing w:before="15" w:line="260" w:lineRule="exact"/>
        <w:rPr>
          <w:sz w:val="26"/>
          <w:szCs w:val="26"/>
          <w:lang w:eastAsia="zh-CN"/>
        </w:rPr>
      </w:pPr>
    </w:p>
    <w:p w:rsidR="00B4793D" w:rsidRDefault="0068070E">
      <w:pPr>
        <w:pStyle w:val="a3"/>
        <w:spacing w:line="301" w:lineRule="auto"/>
        <w:ind w:right="112" w:firstLine="480"/>
        <w:jc w:val="both"/>
        <w:rPr>
          <w:lang w:eastAsia="zh-CN"/>
        </w:rPr>
      </w:pPr>
      <w:r>
        <w:rPr>
          <w:lang w:eastAsia="zh-CN"/>
        </w:rPr>
        <w:t>依据市场监</w:t>
      </w:r>
      <w:r>
        <w:rPr>
          <w:spacing w:val="4"/>
          <w:lang w:eastAsia="zh-CN"/>
        </w:rPr>
        <w:t>管</w:t>
      </w:r>
      <w:r>
        <w:rPr>
          <w:lang w:eastAsia="zh-CN"/>
        </w:rPr>
        <w:t>总局办公</w:t>
      </w:r>
      <w:r>
        <w:rPr>
          <w:spacing w:val="4"/>
          <w:lang w:eastAsia="zh-CN"/>
        </w:rPr>
        <w:t>厅</w:t>
      </w:r>
      <w:r>
        <w:rPr>
          <w:lang w:eastAsia="zh-CN"/>
        </w:rPr>
        <w:t>关</w:t>
      </w:r>
      <w:r>
        <w:rPr>
          <w:spacing w:val="1"/>
          <w:lang w:eastAsia="zh-CN"/>
        </w:rPr>
        <w:t>于</w:t>
      </w:r>
      <w:r>
        <w:rPr>
          <w:lang w:eastAsia="zh-CN"/>
        </w:rPr>
        <w:t>下达《</w:t>
      </w:r>
      <w:r>
        <w:rPr>
          <w:rFonts w:ascii="Times New Roman" w:eastAsia="Times New Roman" w:hAnsi="Times New Roman" w:cs="Times New Roman"/>
          <w:lang w:eastAsia="zh-CN"/>
        </w:rPr>
        <w:t>20</w:t>
      </w:r>
      <w:r>
        <w:rPr>
          <w:rFonts w:ascii="Times New Roman" w:eastAsia="Times New Roman" w:hAnsi="Times New Roman" w:cs="Times New Roman"/>
          <w:spacing w:val="4"/>
          <w:lang w:eastAsia="zh-CN"/>
        </w:rPr>
        <w:t>2</w:t>
      </w:r>
      <w:r w:rsidR="008E506D">
        <w:rPr>
          <w:rFonts w:ascii="Times New Roman" w:eastAsia="Times New Roman" w:hAnsi="Times New Roman" w:cs="Times New Roman"/>
          <w:lang w:eastAsia="zh-CN"/>
        </w:rPr>
        <w:t>2</w:t>
      </w:r>
      <w:r>
        <w:rPr>
          <w:spacing w:val="4"/>
          <w:lang w:eastAsia="zh-CN"/>
        </w:rPr>
        <w:t>年</w:t>
      </w:r>
      <w:r>
        <w:rPr>
          <w:lang w:eastAsia="zh-CN"/>
        </w:rPr>
        <w:t>国家计量技术</w:t>
      </w:r>
      <w:r>
        <w:rPr>
          <w:spacing w:val="4"/>
          <w:lang w:eastAsia="zh-CN"/>
        </w:rPr>
        <w:t>规</w:t>
      </w:r>
      <w:r>
        <w:rPr>
          <w:lang w:eastAsia="zh-CN"/>
        </w:rPr>
        <w:t>范制定</w:t>
      </w:r>
      <w:r>
        <w:rPr>
          <w:spacing w:val="4"/>
          <w:lang w:eastAsia="zh-CN"/>
        </w:rPr>
        <w:t>、</w:t>
      </w:r>
      <w:r>
        <w:rPr>
          <w:lang w:eastAsia="zh-CN"/>
        </w:rPr>
        <w:t>修订 及宣贯计划</w:t>
      </w:r>
      <w:r>
        <w:rPr>
          <w:spacing w:val="-5"/>
          <w:lang w:eastAsia="zh-CN"/>
        </w:rPr>
        <w:t>》</w:t>
      </w:r>
      <w:r>
        <w:rPr>
          <w:lang w:eastAsia="zh-CN"/>
        </w:rPr>
        <w:t>的通</w:t>
      </w:r>
      <w:r>
        <w:rPr>
          <w:spacing w:val="-5"/>
          <w:lang w:eastAsia="zh-CN"/>
        </w:rPr>
        <w:t>知</w:t>
      </w:r>
      <w:r>
        <w:rPr>
          <w:lang w:eastAsia="zh-CN"/>
        </w:rPr>
        <w:t>（市监计量</w:t>
      </w:r>
      <w:r>
        <w:rPr>
          <w:spacing w:val="-5"/>
          <w:lang w:eastAsia="zh-CN"/>
        </w:rPr>
        <w:t>发</w:t>
      </w:r>
      <w:r>
        <w:rPr>
          <w:lang w:eastAsia="zh-CN"/>
        </w:rPr>
        <w:t>【</w:t>
      </w:r>
      <w:r>
        <w:rPr>
          <w:rFonts w:ascii="Times New Roman" w:eastAsia="Times New Roman" w:hAnsi="Times New Roman" w:cs="Times New Roman"/>
          <w:lang w:eastAsia="zh-CN"/>
        </w:rPr>
        <w:t>202</w:t>
      </w:r>
      <w:r w:rsidR="00DE638D">
        <w:rPr>
          <w:rFonts w:ascii="Times New Roman" w:eastAsia="Times New Roman" w:hAnsi="Times New Roman" w:cs="Times New Roman"/>
          <w:lang w:eastAsia="zh-CN"/>
        </w:rPr>
        <w:t>2</w:t>
      </w:r>
      <w:r>
        <w:rPr>
          <w:spacing w:val="-5"/>
          <w:lang w:eastAsia="zh-CN"/>
        </w:rPr>
        <w:t>】</w:t>
      </w:r>
      <w:r w:rsidR="00DE638D" w:rsidRPr="00E20536">
        <w:rPr>
          <w:rFonts w:ascii="Times New Roman" w:eastAsia="Times New Roman" w:hAnsi="Times New Roman" w:cs="Times New Roman"/>
          <w:lang w:eastAsia="zh-CN"/>
        </w:rPr>
        <w:t>XX</w:t>
      </w:r>
      <w:r>
        <w:rPr>
          <w:lang w:eastAsia="zh-CN"/>
        </w:rPr>
        <w:t>号</w:t>
      </w:r>
      <w:r>
        <w:rPr>
          <w:spacing w:val="-120"/>
          <w:lang w:eastAsia="zh-CN"/>
        </w:rPr>
        <w:t>）</w:t>
      </w:r>
      <w:r>
        <w:rPr>
          <w:spacing w:val="-5"/>
          <w:lang w:eastAsia="zh-CN"/>
        </w:rPr>
        <w:t>，</w:t>
      </w:r>
      <w:r>
        <w:rPr>
          <w:lang w:eastAsia="zh-CN"/>
        </w:rPr>
        <w:t>受全国几何量长度计量技术委员会委托</w:t>
      </w:r>
      <w:r>
        <w:rPr>
          <w:spacing w:val="-34"/>
          <w:lang w:eastAsia="zh-CN"/>
        </w:rPr>
        <w:t>，</w:t>
      </w:r>
      <w:r w:rsidR="005D5294">
        <w:rPr>
          <w:lang w:eastAsia="zh-CN"/>
        </w:rPr>
        <w:t>由中国计量科学研究院负责</w:t>
      </w:r>
      <w:r w:rsidR="005D5294">
        <w:rPr>
          <w:rFonts w:hint="eastAsia"/>
          <w:lang w:eastAsia="zh-CN"/>
        </w:rPr>
        <w:t>制定</w:t>
      </w:r>
      <w:r>
        <w:rPr>
          <w:lang w:eastAsia="zh-CN"/>
        </w:rPr>
        <w:t>《</w:t>
      </w:r>
      <w:r w:rsidR="005D5294">
        <w:rPr>
          <w:rFonts w:hint="eastAsia"/>
          <w:lang w:eastAsia="zh-CN"/>
        </w:rPr>
        <w:t>球板</w:t>
      </w:r>
      <w:r>
        <w:rPr>
          <w:lang w:eastAsia="zh-CN"/>
        </w:rPr>
        <w:t>校准规范</w:t>
      </w:r>
      <w:r>
        <w:rPr>
          <w:spacing w:val="-120"/>
          <w:lang w:eastAsia="zh-CN"/>
        </w:rPr>
        <w:t>》</w:t>
      </w:r>
      <w:r>
        <w:rPr>
          <w:lang w:eastAsia="zh-CN"/>
        </w:rPr>
        <w:t>。</w:t>
      </w:r>
    </w:p>
    <w:p w:rsidR="00B4793D" w:rsidRDefault="00B4793D">
      <w:pPr>
        <w:spacing w:before="9" w:line="200" w:lineRule="exact"/>
        <w:rPr>
          <w:sz w:val="20"/>
          <w:szCs w:val="20"/>
          <w:lang w:eastAsia="zh-CN"/>
        </w:rPr>
      </w:pPr>
    </w:p>
    <w:p w:rsidR="001D48B2" w:rsidRPr="00373732" w:rsidRDefault="0068070E">
      <w:pPr>
        <w:pStyle w:val="a3"/>
        <w:spacing w:line="423" w:lineRule="auto"/>
        <w:ind w:left="658" w:right="5485" w:hanging="543"/>
        <w:rPr>
          <w:b/>
          <w:lang w:eastAsia="zh-CN"/>
        </w:rPr>
      </w:pPr>
      <w:r w:rsidRPr="00373732">
        <w:rPr>
          <w:b/>
          <w:lang w:eastAsia="zh-CN"/>
        </w:rPr>
        <w:t>二</w:t>
      </w:r>
      <w:r w:rsidRPr="00373732">
        <w:rPr>
          <w:b/>
          <w:spacing w:val="4"/>
          <w:lang w:eastAsia="zh-CN"/>
        </w:rPr>
        <w:t>、</w:t>
      </w:r>
      <w:r w:rsidR="00DE5EC0" w:rsidRPr="00373732">
        <w:rPr>
          <w:b/>
          <w:lang w:eastAsia="zh-CN"/>
        </w:rPr>
        <w:t>规范</w:t>
      </w:r>
      <w:r w:rsidR="00DE5EC0" w:rsidRPr="00373732">
        <w:rPr>
          <w:rFonts w:hint="eastAsia"/>
          <w:b/>
          <w:lang w:eastAsia="zh-CN"/>
        </w:rPr>
        <w:t>制</w:t>
      </w:r>
      <w:r w:rsidRPr="00373732">
        <w:rPr>
          <w:b/>
          <w:lang w:eastAsia="zh-CN"/>
        </w:rPr>
        <w:t>订技</w:t>
      </w:r>
      <w:r w:rsidRPr="00373732">
        <w:rPr>
          <w:b/>
          <w:spacing w:val="4"/>
          <w:lang w:eastAsia="zh-CN"/>
        </w:rPr>
        <w:t>术</w:t>
      </w:r>
      <w:r w:rsidRPr="00373732">
        <w:rPr>
          <w:b/>
          <w:lang w:eastAsia="zh-CN"/>
        </w:rPr>
        <w:t>依据</w:t>
      </w:r>
    </w:p>
    <w:p w:rsidR="007D44EF" w:rsidRDefault="007D44EF" w:rsidP="007D44EF">
      <w:pPr>
        <w:autoSpaceDE w:val="0"/>
        <w:autoSpaceDN w:val="0"/>
        <w:adjustRightInd w:val="0"/>
        <w:spacing w:line="360" w:lineRule="auto"/>
        <w:ind w:firstLineChars="200" w:firstLine="480"/>
        <w:rPr>
          <w:sz w:val="24"/>
          <w:lang w:eastAsia="zh-CN"/>
        </w:rPr>
      </w:pPr>
      <w:r>
        <w:rPr>
          <w:rFonts w:hint="eastAsia"/>
          <w:sz w:val="24"/>
          <w:lang w:eastAsia="zh-CN"/>
        </w:rPr>
        <w:t>在本规范编制过程中，重点参照了以下计量技术规范及标准：</w:t>
      </w:r>
    </w:p>
    <w:p w:rsidR="007D44EF" w:rsidRDefault="007D44EF" w:rsidP="007D44EF">
      <w:pPr>
        <w:tabs>
          <w:tab w:val="left" w:pos="540"/>
        </w:tabs>
        <w:autoSpaceDE w:val="0"/>
        <w:autoSpaceDN w:val="0"/>
        <w:adjustRightInd w:val="0"/>
        <w:spacing w:line="360" w:lineRule="auto"/>
        <w:ind w:firstLineChars="200" w:firstLine="480"/>
        <w:rPr>
          <w:sz w:val="24"/>
          <w:lang w:val="zh-CN" w:eastAsia="zh-CN"/>
        </w:rPr>
      </w:pPr>
      <w:r>
        <w:rPr>
          <w:rFonts w:ascii="Times New Roman" w:hAnsi="Times New Roman" w:cs="Times New Roman"/>
          <w:sz w:val="24"/>
          <w:lang w:val="zh-CN" w:eastAsia="zh-CN"/>
        </w:rPr>
        <w:t>JF1001</w:t>
      </w:r>
      <w:r>
        <w:rPr>
          <w:rFonts w:ascii="Times New Roman" w:hAnsi="Times New Roman" w:cs="Times New Roman"/>
          <w:sz w:val="24"/>
          <w:lang w:eastAsia="zh-CN"/>
        </w:rPr>
        <w:t xml:space="preserve">-2011 </w:t>
      </w:r>
      <w:r>
        <w:rPr>
          <w:rFonts w:ascii="Times New Roman" w:hAnsi="Times New Roman" w:cs="Times New Roman"/>
          <w:sz w:val="24"/>
          <w:lang w:val="zh-CN" w:eastAsia="zh-CN"/>
        </w:rPr>
        <w:t>通用计量术语及定义</w:t>
      </w:r>
    </w:p>
    <w:p w:rsidR="007D44EF" w:rsidRDefault="007D44EF" w:rsidP="007D44EF">
      <w:pPr>
        <w:tabs>
          <w:tab w:val="left" w:pos="540"/>
        </w:tabs>
        <w:autoSpaceDE w:val="0"/>
        <w:autoSpaceDN w:val="0"/>
        <w:adjustRightInd w:val="0"/>
        <w:spacing w:line="360" w:lineRule="auto"/>
        <w:ind w:firstLineChars="200" w:firstLine="480"/>
        <w:rPr>
          <w:sz w:val="24"/>
          <w:lang w:val="zh-CN" w:eastAsia="zh-CN"/>
        </w:rPr>
      </w:pPr>
      <w:r>
        <w:rPr>
          <w:rFonts w:ascii="Times New Roman" w:hAnsi="Times New Roman" w:cs="Times New Roman"/>
          <w:sz w:val="24"/>
          <w:lang w:val="zh-CN" w:eastAsia="zh-CN"/>
        </w:rPr>
        <w:t>JJF1059</w:t>
      </w:r>
      <w:r>
        <w:rPr>
          <w:rFonts w:ascii="Times New Roman" w:hAnsi="Times New Roman" w:cs="Times New Roman"/>
          <w:sz w:val="24"/>
          <w:lang w:eastAsia="zh-CN"/>
        </w:rPr>
        <w:t xml:space="preserve">.1-2012 </w:t>
      </w:r>
      <w:r>
        <w:rPr>
          <w:rFonts w:ascii="Times New Roman" w:hAnsi="Times New Roman" w:cs="Times New Roman"/>
          <w:sz w:val="24"/>
          <w:lang w:val="zh-CN" w:eastAsia="zh-CN"/>
        </w:rPr>
        <w:t>测量不确定度评定与表示</w:t>
      </w:r>
    </w:p>
    <w:p w:rsidR="007D44EF" w:rsidRDefault="007D44EF" w:rsidP="007D44EF">
      <w:pPr>
        <w:tabs>
          <w:tab w:val="left" w:pos="540"/>
        </w:tabs>
        <w:autoSpaceDE w:val="0"/>
        <w:autoSpaceDN w:val="0"/>
        <w:adjustRightInd w:val="0"/>
        <w:spacing w:line="360" w:lineRule="auto"/>
        <w:ind w:firstLineChars="200" w:firstLine="480"/>
        <w:rPr>
          <w:sz w:val="24"/>
          <w:lang w:val="zh-CN" w:eastAsia="zh-CN"/>
        </w:rPr>
      </w:pPr>
      <w:r>
        <w:rPr>
          <w:rFonts w:ascii="Times New Roman" w:hAnsi="Times New Roman" w:cs="Times New Roman"/>
          <w:sz w:val="24"/>
          <w:lang w:val="zh-CN" w:eastAsia="zh-CN"/>
        </w:rPr>
        <w:t>JJF1071</w:t>
      </w:r>
      <w:r>
        <w:rPr>
          <w:rFonts w:ascii="Times New Roman" w:hAnsi="Times New Roman" w:cs="Times New Roman"/>
          <w:sz w:val="24"/>
          <w:lang w:eastAsia="zh-CN"/>
        </w:rPr>
        <w:t xml:space="preserve">-2010 </w:t>
      </w:r>
      <w:r>
        <w:rPr>
          <w:rFonts w:ascii="Times New Roman" w:hAnsi="Times New Roman" w:cs="Times New Roman"/>
          <w:sz w:val="24"/>
          <w:lang w:val="zh-CN" w:eastAsia="zh-CN"/>
        </w:rPr>
        <w:t>国家计量校准规范编写规</w:t>
      </w:r>
      <w:r>
        <w:rPr>
          <w:rFonts w:ascii="Times New Roman" w:hAnsi="Times New Roman" w:cs="Times New Roman"/>
          <w:sz w:val="24"/>
          <w:lang w:eastAsia="zh-CN"/>
        </w:rPr>
        <w:t>则</w:t>
      </w:r>
    </w:p>
    <w:p w:rsidR="00B4793D" w:rsidRDefault="00B4793D">
      <w:pPr>
        <w:spacing w:before="12" w:line="240" w:lineRule="exact"/>
        <w:rPr>
          <w:sz w:val="24"/>
          <w:szCs w:val="24"/>
          <w:lang w:eastAsia="zh-CN"/>
        </w:rPr>
      </w:pPr>
    </w:p>
    <w:p w:rsidR="00090F4B" w:rsidRPr="00373732" w:rsidRDefault="0068070E">
      <w:pPr>
        <w:pStyle w:val="a3"/>
        <w:spacing w:line="423" w:lineRule="auto"/>
        <w:ind w:left="596" w:right="111" w:hanging="481"/>
        <w:rPr>
          <w:b/>
          <w:lang w:eastAsia="zh-CN"/>
        </w:rPr>
      </w:pPr>
      <w:r w:rsidRPr="00373732">
        <w:rPr>
          <w:b/>
          <w:lang w:eastAsia="zh-CN"/>
        </w:rPr>
        <w:t>三</w:t>
      </w:r>
      <w:r w:rsidRPr="00373732">
        <w:rPr>
          <w:b/>
          <w:spacing w:val="4"/>
          <w:lang w:eastAsia="zh-CN"/>
        </w:rPr>
        <w:t>、</w:t>
      </w:r>
      <w:r w:rsidR="00E56E3F" w:rsidRPr="00373732">
        <w:rPr>
          <w:b/>
          <w:lang w:eastAsia="zh-CN"/>
        </w:rPr>
        <w:t>规范</w:t>
      </w:r>
      <w:r w:rsidR="00E56E3F" w:rsidRPr="00373732">
        <w:rPr>
          <w:rFonts w:hint="eastAsia"/>
          <w:b/>
          <w:lang w:eastAsia="zh-CN"/>
        </w:rPr>
        <w:t>制定</w:t>
      </w:r>
      <w:r w:rsidR="00955601" w:rsidRPr="00373732">
        <w:rPr>
          <w:rFonts w:hint="eastAsia"/>
          <w:b/>
          <w:lang w:eastAsia="zh-CN"/>
        </w:rPr>
        <w:t>的</w:t>
      </w:r>
      <w:r w:rsidR="00955601" w:rsidRPr="00373732">
        <w:rPr>
          <w:b/>
          <w:lang w:eastAsia="zh-CN"/>
        </w:rPr>
        <w:t>目的</w:t>
      </w:r>
    </w:p>
    <w:p w:rsidR="00955601" w:rsidRDefault="00955601" w:rsidP="002C1EA3">
      <w:pPr>
        <w:pStyle w:val="a3"/>
        <w:spacing w:line="309" w:lineRule="auto"/>
        <w:ind w:right="111" w:firstLine="480"/>
        <w:jc w:val="both"/>
        <w:rPr>
          <w:lang w:eastAsia="zh-CN"/>
        </w:rPr>
      </w:pPr>
      <w:r>
        <w:rPr>
          <w:rFonts w:hint="eastAsia"/>
          <w:lang w:eastAsia="zh-CN"/>
        </w:rPr>
        <w:t>球板是一种多尺寸标准器，由多个标准球镶嵌在平板上构成。利用球形要素构成的各种尺寸，可用于坐标测量机的期间核查和误差参数分析。光学三维扫描仪在工业制造领域应用日益广泛，其示值误差通常也采用球板进行评价。</w:t>
      </w:r>
    </w:p>
    <w:p w:rsidR="00955601" w:rsidRDefault="00955601" w:rsidP="002C1EA3">
      <w:pPr>
        <w:pStyle w:val="a3"/>
        <w:spacing w:line="309" w:lineRule="auto"/>
        <w:ind w:right="111" w:firstLine="480"/>
        <w:jc w:val="both"/>
        <w:rPr>
          <w:lang w:eastAsia="zh-CN"/>
        </w:rPr>
      </w:pPr>
      <w:r>
        <w:rPr>
          <w:rFonts w:hint="eastAsia"/>
          <w:lang w:eastAsia="zh-CN"/>
        </w:rPr>
        <w:t>中国计量科学研究院建立的一维二维多尺寸标准器校准装置（[ 2012 ]国量标证字第254号），多年来开展步距规、球棒和球板的校准工作，为用户开展溯源服务，其中步距规和球棒已发布了正式的校准规范，球板的校准依据仍是自编校准规范，有待立项完成。</w:t>
      </w:r>
    </w:p>
    <w:p w:rsidR="00B4793D" w:rsidRDefault="00955601" w:rsidP="002C1EA3">
      <w:pPr>
        <w:pStyle w:val="a3"/>
        <w:spacing w:line="309" w:lineRule="auto"/>
        <w:ind w:right="111" w:firstLine="480"/>
        <w:jc w:val="both"/>
        <w:rPr>
          <w:lang w:eastAsia="zh-CN"/>
        </w:rPr>
      </w:pPr>
      <w:r>
        <w:rPr>
          <w:rFonts w:hint="eastAsia"/>
          <w:lang w:eastAsia="zh-CN"/>
        </w:rPr>
        <w:t>目前国内外还没有球板相关的规程规范，通过本规范的制定，可以规范球板的计量特性，为用户提供规范化的使用方法，促进先进制造业的发展。</w:t>
      </w:r>
    </w:p>
    <w:p w:rsidR="00EA62E2" w:rsidRDefault="00EA62E2" w:rsidP="002C1EA3">
      <w:pPr>
        <w:pStyle w:val="a3"/>
        <w:spacing w:line="309" w:lineRule="auto"/>
        <w:ind w:right="111" w:firstLine="480"/>
        <w:jc w:val="both"/>
        <w:rPr>
          <w:sz w:val="19"/>
          <w:szCs w:val="19"/>
          <w:lang w:eastAsia="zh-CN"/>
        </w:rPr>
      </w:pPr>
    </w:p>
    <w:p w:rsidR="00B4793D" w:rsidRPr="00373732" w:rsidRDefault="0068070E">
      <w:pPr>
        <w:pStyle w:val="a3"/>
        <w:rPr>
          <w:b/>
          <w:lang w:eastAsia="zh-CN"/>
        </w:rPr>
      </w:pPr>
      <w:r w:rsidRPr="00373732">
        <w:rPr>
          <w:b/>
          <w:lang w:eastAsia="zh-CN"/>
        </w:rPr>
        <w:t>四</w:t>
      </w:r>
      <w:r w:rsidRPr="00373732">
        <w:rPr>
          <w:b/>
          <w:spacing w:val="4"/>
          <w:lang w:eastAsia="zh-CN"/>
        </w:rPr>
        <w:t>、</w:t>
      </w:r>
      <w:r w:rsidR="00DC35E2" w:rsidRPr="00373732">
        <w:rPr>
          <w:rFonts w:hint="eastAsia"/>
          <w:b/>
          <w:lang w:eastAsia="zh-CN"/>
        </w:rPr>
        <w:t>规范的主要内容及主要技术关键</w:t>
      </w:r>
      <w:r w:rsidR="00DC35E2" w:rsidRPr="00373732">
        <w:rPr>
          <w:b/>
          <w:lang w:eastAsia="zh-CN"/>
        </w:rPr>
        <w:cr/>
      </w:r>
    </w:p>
    <w:p w:rsidR="001915E9" w:rsidRPr="00F5332F" w:rsidRDefault="008A68B2" w:rsidP="001915E9">
      <w:pPr>
        <w:pStyle w:val="a3"/>
        <w:spacing w:line="309" w:lineRule="auto"/>
        <w:ind w:right="111" w:firstLine="480"/>
        <w:jc w:val="both"/>
        <w:rPr>
          <w:lang w:eastAsia="zh-CN"/>
        </w:rPr>
      </w:pPr>
      <w:r w:rsidRPr="00F5332F">
        <w:rPr>
          <w:rFonts w:hint="eastAsia"/>
          <w:lang w:eastAsia="zh-CN"/>
        </w:rPr>
        <w:t>球板的计量特性</w:t>
      </w:r>
      <w:r>
        <w:rPr>
          <w:rFonts w:hint="eastAsia"/>
          <w:lang w:eastAsia="zh-CN"/>
        </w:rPr>
        <w:t>主要</w:t>
      </w:r>
      <w:r>
        <w:rPr>
          <w:lang w:eastAsia="zh-CN"/>
        </w:rPr>
        <w:t>包括：</w:t>
      </w:r>
      <w:r w:rsidRPr="00F5332F">
        <w:rPr>
          <w:rFonts w:hint="eastAsia"/>
          <w:lang w:eastAsia="zh-CN"/>
        </w:rPr>
        <w:t>球的直径和圆度</w:t>
      </w:r>
      <w:r>
        <w:rPr>
          <w:rFonts w:hint="eastAsia"/>
          <w:lang w:eastAsia="zh-CN"/>
        </w:rPr>
        <w:t>、球心坐标。根据校准仪器和</w:t>
      </w:r>
      <w:r w:rsidR="008317AE">
        <w:rPr>
          <w:rFonts w:hint="eastAsia"/>
          <w:lang w:eastAsia="zh-CN"/>
        </w:rPr>
        <w:t>用途</w:t>
      </w:r>
      <w:bookmarkStart w:id="0" w:name="_GoBack"/>
      <w:bookmarkEnd w:id="0"/>
      <w:r>
        <w:rPr>
          <w:rFonts w:hint="eastAsia"/>
          <w:lang w:eastAsia="zh-CN"/>
        </w:rPr>
        <w:t>不同，球板</w:t>
      </w:r>
      <w:r>
        <w:rPr>
          <w:lang w:eastAsia="zh-CN"/>
        </w:rPr>
        <w:t>上球</w:t>
      </w:r>
      <w:r>
        <w:rPr>
          <w:rFonts w:hint="eastAsia"/>
          <w:lang w:eastAsia="zh-CN"/>
        </w:rPr>
        <w:t>的直径可互不相同，球的位置可以任意布置</w:t>
      </w:r>
      <w:r w:rsidR="004F230E" w:rsidRPr="00F5332F">
        <w:rPr>
          <w:rFonts w:hint="eastAsia"/>
          <w:lang w:eastAsia="zh-CN"/>
        </w:rPr>
        <w:t>，为新型球板的研发提供可能空间。</w:t>
      </w:r>
    </w:p>
    <w:p w:rsidR="00155E51" w:rsidRPr="00F5332F" w:rsidRDefault="00056B20" w:rsidP="00F5332F">
      <w:pPr>
        <w:pStyle w:val="a3"/>
        <w:spacing w:line="309" w:lineRule="auto"/>
        <w:ind w:right="111" w:firstLine="480"/>
        <w:jc w:val="both"/>
        <w:rPr>
          <w:lang w:eastAsia="zh-CN"/>
        </w:rPr>
      </w:pPr>
      <w:r>
        <w:rPr>
          <w:rFonts w:hint="eastAsia"/>
          <w:lang w:eastAsia="zh-CN"/>
        </w:rPr>
        <w:t>球板</w:t>
      </w:r>
      <w:r>
        <w:rPr>
          <w:lang w:eastAsia="zh-CN"/>
        </w:rPr>
        <w:t>校准的</w:t>
      </w:r>
      <w:r w:rsidR="00155E51" w:rsidRPr="00F5332F">
        <w:rPr>
          <w:rFonts w:hint="eastAsia"/>
          <w:lang w:eastAsia="zh-CN"/>
        </w:rPr>
        <w:t>技术关键在于如何准确测量球板的球心坐标值</w:t>
      </w:r>
      <w:r w:rsidR="001915E9">
        <w:rPr>
          <w:rFonts w:hint="eastAsia"/>
          <w:lang w:eastAsia="zh-CN"/>
        </w:rPr>
        <w:t>，通过</w:t>
      </w:r>
      <w:r w:rsidR="001915E9">
        <w:rPr>
          <w:lang w:eastAsia="zh-CN"/>
        </w:rPr>
        <w:t>球心坐标</w:t>
      </w:r>
      <w:r w:rsidR="001915E9">
        <w:rPr>
          <w:rFonts w:hint="eastAsia"/>
          <w:lang w:eastAsia="zh-CN"/>
        </w:rPr>
        <w:t>可以</w:t>
      </w:r>
      <w:r w:rsidR="001915E9">
        <w:rPr>
          <w:lang w:eastAsia="zh-CN"/>
        </w:rPr>
        <w:t>计算任意位置的球心</w:t>
      </w:r>
      <w:r w:rsidR="001915E9">
        <w:rPr>
          <w:rFonts w:hint="eastAsia"/>
          <w:lang w:eastAsia="zh-CN"/>
        </w:rPr>
        <w:t>距离</w:t>
      </w:r>
      <w:r w:rsidR="001915E9">
        <w:rPr>
          <w:lang w:eastAsia="zh-CN"/>
        </w:rPr>
        <w:t>。</w:t>
      </w:r>
    </w:p>
    <w:p w:rsidR="00155E51" w:rsidRPr="00F5332F" w:rsidRDefault="00155E51" w:rsidP="00F5332F">
      <w:pPr>
        <w:pStyle w:val="a3"/>
        <w:spacing w:line="309" w:lineRule="auto"/>
        <w:ind w:right="111" w:firstLine="480"/>
        <w:jc w:val="both"/>
        <w:rPr>
          <w:lang w:eastAsia="zh-CN"/>
        </w:rPr>
      </w:pPr>
      <w:r w:rsidRPr="00F5332F">
        <w:rPr>
          <w:rFonts w:hint="eastAsia"/>
          <w:lang w:eastAsia="zh-CN"/>
        </w:rPr>
        <w:t>目前中国计量科学研究院的球板准能力列国际先进水平，为国内外球板生产商和用户提供校准服务。</w:t>
      </w:r>
    </w:p>
    <w:p w:rsidR="00B4793D" w:rsidRPr="00F5332F" w:rsidRDefault="00155E51" w:rsidP="00F5332F">
      <w:pPr>
        <w:pStyle w:val="a3"/>
        <w:spacing w:line="309" w:lineRule="auto"/>
        <w:ind w:right="111" w:firstLine="480"/>
        <w:jc w:val="both"/>
        <w:rPr>
          <w:lang w:eastAsia="zh-CN"/>
        </w:rPr>
      </w:pPr>
      <w:r w:rsidRPr="00F5332F">
        <w:rPr>
          <w:rFonts w:hint="eastAsia"/>
          <w:lang w:eastAsia="zh-CN"/>
        </w:rPr>
        <w:t>本规范的起草吸收国内球板生产商和应用部门的建议，在中国计量科学研究院校准技术研究和实践的基础上，共同研究确定相关的技术细节，使技术规</w:t>
      </w:r>
      <w:r w:rsidRPr="00F5332F">
        <w:rPr>
          <w:rFonts w:hint="eastAsia"/>
          <w:lang w:eastAsia="zh-CN"/>
        </w:rPr>
        <w:lastRenderedPageBreak/>
        <w:t>范的实施切实可行。</w:t>
      </w:r>
    </w:p>
    <w:p w:rsidR="00B4793D" w:rsidRPr="006343C7" w:rsidRDefault="00B4793D">
      <w:pPr>
        <w:spacing w:before="7" w:line="170" w:lineRule="exact"/>
        <w:rPr>
          <w:color w:val="FF0000"/>
          <w:sz w:val="17"/>
          <w:szCs w:val="17"/>
          <w:lang w:eastAsia="zh-CN"/>
        </w:rPr>
      </w:pPr>
    </w:p>
    <w:p w:rsidR="00B4793D" w:rsidRPr="00373732" w:rsidRDefault="0068070E">
      <w:pPr>
        <w:pStyle w:val="a3"/>
        <w:rPr>
          <w:b/>
          <w:lang w:eastAsia="zh-CN"/>
        </w:rPr>
      </w:pPr>
      <w:r w:rsidRPr="00373732">
        <w:rPr>
          <w:b/>
          <w:lang w:eastAsia="zh-CN"/>
        </w:rPr>
        <w:t>五</w:t>
      </w:r>
      <w:r w:rsidRPr="00373732">
        <w:rPr>
          <w:b/>
          <w:spacing w:val="4"/>
          <w:lang w:eastAsia="zh-CN"/>
        </w:rPr>
        <w:t>、</w:t>
      </w:r>
      <w:r w:rsidRPr="00373732">
        <w:rPr>
          <w:b/>
          <w:lang w:eastAsia="zh-CN"/>
        </w:rPr>
        <w:t>总结</w:t>
      </w:r>
    </w:p>
    <w:p w:rsidR="00B4793D" w:rsidRPr="006F4C21" w:rsidRDefault="00B4793D">
      <w:pPr>
        <w:spacing w:before="15" w:line="260" w:lineRule="exact"/>
        <w:rPr>
          <w:sz w:val="26"/>
          <w:szCs w:val="26"/>
          <w:lang w:eastAsia="zh-CN"/>
        </w:rPr>
      </w:pPr>
    </w:p>
    <w:p w:rsidR="008E6BFD" w:rsidRPr="006F4C21" w:rsidRDefault="00FC6E93" w:rsidP="002D1B0E">
      <w:pPr>
        <w:pStyle w:val="a3"/>
        <w:spacing w:line="317" w:lineRule="auto"/>
        <w:ind w:right="114" w:firstLine="480"/>
        <w:jc w:val="both"/>
        <w:rPr>
          <w:lang w:eastAsia="zh-CN"/>
        </w:rPr>
      </w:pPr>
      <w:r w:rsidRPr="006F4C21">
        <w:rPr>
          <w:rFonts w:hint="eastAsia"/>
          <w:lang w:eastAsia="zh-CN"/>
        </w:rPr>
        <w:t>本</w:t>
      </w:r>
      <w:r w:rsidRPr="006F4C21">
        <w:rPr>
          <w:lang w:eastAsia="zh-CN"/>
        </w:rPr>
        <w:t>规范</w:t>
      </w:r>
      <w:r w:rsidR="00372FFD" w:rsidRPr="006F4C21">
        <w:rPr>
          <w:rFonts w:hint="eastAsia"/>
          <w:lang w:eastAsia="zh-CN"/>
        </w:rPr>
        <w:t>主要对</w:t>
      </w:r>
      <w:r w:rsidR="00372FFD" w:rsidRPr="006F4C21">
        <w:rPr>
          <w:lang w:eastAsia="zh-CN"/>
        </w:rPr>
        <w:t>不同用途的球板</w:t>
      </w:r>
      <w:r w:rsidR="00372FFD" w:rsidRPr="006F4C21">
        <w:rPr>
          <w:rFonts w:hint="eastAsia"/>
          <w:lang w:eastAsia="zh-CN"/>
        </w:rPr>
        <w:t>进行</w:t>
      </w:r>
      <w:r w:rsidR="00372FFD" w:rsidRPr="006F4C21">
        <w:rPr>
          <w:lang w:eastAsia="zh-CN"/>
        </w:rPr>
        <w:t>了计量特性</w:t>
      </w:r>
      <w:r w:rsidR="00372FFD" w:rsidRPr="006F4C21">
        <w:rPr>
          <w:rFonts w:hint="eastAsia"/>
          <w:lang w:eastAsia="zh-CN"/>
        </w:rPr>
        <w:t>的</w:t>
      </w:r>
      <w:r w:rsidR="008E6BFD" w:rsidRPr="006F4C21">
        <w:rPr>
          <w:rFonts w:hint="eastAsia"/>
          <w:lang w:eastAsia="zh-CN"/>
        </w:rPr>
        <w:t>描述。在本规范的制定过程中，</w:t>
      </w:r>
      <w:r w:rsidR="00BB1F40" w:rsidRPr="006F4C21">
        <w:rPr>
          <w:rFonts w:hint="eastAsia"/>
          <w:lang w:eastAsia="zh-CN"/>
        </w:rPr>
        <w:t>本着科学合理、易于操作的原则，</w:t>
      </w:r>
      <w:r w:rsidR="008E6BFD" w:rsidRPr="006F4C21">
        <w:rPr>
          <w:rFonts w:hint="eastAsia"/>
          <w:lang w:eastAsia="zh-CN"/>
        </w:rPr>
        <w:t>并结合全国长度几何计量技术委员会专家意见和建议，</w:t>
      </w:r>
      <w:r w:rsidR="00BB1F40" w:rsidRPr="006F4C21">
        <w:rPr>
          <w:rFonts w:hint="eastAsia"/>
          <w:lang w:eastAsia="zh-CN"/>
        </w:rPr>
        <w:t>制定了</w:t>
      </w:r>
      <w:r w:rsidR="008E6BFD" w:rsidRPr="006F4C21">
        <w:rPr>
          <w:rFonts w:hint="eastAsia"/>
          <w:lang w:eastAsia="zh-CN"/>
        </w:rPr>
        <w:t>球板</w:t>
      </w:r>
      <w:r w:rsidR="00BB1F40" w:rsidRPr="006F4C21">
        <w:rPr>
          <w:rFonts w:hint="eastAsia"/>
          <w:lang w:eastAsia="zh-CN"/>
        </w:rPr>
        <w:t>校准规范（征求意见稿）。</w:t>
      </w:r>
      <w:r w:rsidR="008E6BFD" w:rsidRPr="006F4C21">
        <w:rPr>
          <w:lang w:eastAsia="zh-CN"/>
        </w:rPr>
        <w:t>同时也感谢其它兄弟计量机构和研发制造企业在规范修订过程中给予的帮助和支持。</w:t>
      </w:r>
    </w:p>
    <w:p w:rsidR="008E6BFD" w:rsidRPr="00A72039" w:rsidRDefault="008E6BFD" w:rsidP="00BB1F40">
      <w:pPr>
        <w:pStyle w:val="a3"/>
        <w:spacing w:line="317" w:lineRule="auto"/>
        <w:ind w:right="114" w:firstLine="480"/>
        <w:jc w:val="both"/>
        <w:rPr>
          <w:color w:val="FF0000"/>
          <w:lang w:eastAsia="zh-CN"/>
        </w:rPr>
      </w:pPr>
    </w:p>
    <w:p w:rsidR="00266F3C" w:rsidRDefault="00266F3C" w:rsidP="00266F3C">
      <w:pPr>
        <w:pStyle w:val="a3"/>
        <w:spacing w:before="40"/>
        <w:ind w:left="4183" w:firstLineChars="600" w:firstLine="1440"/>
        <w:rPr>
          <w:lang w:eastAsia="zh-CN"/>
        </w:rPr>
      </w:pPr>
    </w:p>
    <w:p w:rsidR="00B4793D" w:rsidRDefault="008C0169" w:rsidP="00266F3C">
      <w:pPr>
        <w:pStyle w:val="a3"/>
        <w:spacing w:before="40"/>
        <w:ind w:left="4183" w:firstLineChars="700" w:firstLine="1680"/>
        <w:rPr>
          <w:lang w:eastAsia="zh-CN"/>
        </w:rPr>
      </w:pPr>
      <w:r>
        <w:rPr>
          <w:lang w:eastAsia="zh-CN"/>
        </w:rPr>
        <w:t>《</w:t>
      </w:r>
      <w:r>
        <w:rPr>
          <w:rFonts w:hint="eastAsia"/>
          <w:lang w:eastAsia="zh-CN"/>
        </w:rPr>
        <w:t>球板</w:t>
      </w:r>
      <w:r w:rsidR="0068070E">
        <w:rPr>
          <w:lang w:eastAsia="zh-CN"/>
        </w:rPr>
        <w:t>校准规范</w:t>
      </w:r>
      <w:r w:rsidR="0068070E">
        <w:rPr>
          <w:spacing w:val="-68"/>
          <w:lang w:eastAsia="zh-CN"/>
        </w:rPr>
        <w:t>》</w:t>
      </w:r>
      <w:r w:rsidR="0068070E">
        <w:rPr>
          <w:lang w:eastAsia="zh-CN"/>
        </w:rPr>
        <w:t>编写组</w:t>
      </w:r>
    </w:p>
    <w:sectPr w:rsidR="00B4793D">
      <w:footerReference w:type="default" r:id="rId7"/>
      <w:pgSz w:w="11904" w:h="16840"/>
      <w:pgMar w:top="1440" w:right="1680" w:bottom="1160" w:left="1680" w:header="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A37" w:rsidRDefault="00F55A37">
      <w:r>
        <w:separator/>
      </w:r>
    </w:p>
  </w:endnote>
  <w:endnote w:type="continuationSeparator" w:id="0">
    <w:p w:rsidR="00F55A37" w:rsidRDefault="00F5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3D" w:rsidRDefault="00F55A37">
    <w:pPr>
      <w:spacing w:line="200" w:lineRule="exact"/>
      <w:rPr>
        <w:sz w:val="20"/>
        <w:szCs w:val="20"/>
      </w:rPr>
    </w:pPr>
    <w:r>
      <w:pict>
        <v:shapetype id="_x0000_t202" coordsize="21600,21600" o:spt="202" path="m,l,21600r21600,l21600,xe">
          <v:stroke joinstyle="miter"/>
          <v:path gradientshapeok="t" o:connecttype="rect"/>
        </v:shapetype>
        <v:shape id="_x0000_s2049" type="#_x0000_t202" style="position:absolute;margin-left:499.1pt;margin-top:781.95pt;width:8.55pt;height:11.1pt;z-index:-251658752;mso-position-horizontal-relative:page;mso-position-vertical-relative:page" filled="f" stroked="f">
          <v:textbox inset="0,0,0,0">
            <w:txbxContent>
              <w:p w:rsidR="00B4793D" w:rsidRDefault="0068070E">
                <w:pPr>
                  <w:spacing w:line="206" w:lineRule="exact"/>
                  <w:ind w:left="40"/>
                  <w:rPr>
                    <w:rFonts w:ascii="Times New Roman" w:eastAsia="Times New Roman" w:hAnsi="Times New Roman" w:cs="Times New Roman"/>
                    <w:sz w:val="18"/>
                    <w:szCs w:val="18"/>
                  </w:rPr>
                </w:pPr>
                <w:r>
                  <w:fldChar w:fldCharType="begin"/>
                </w:r>
                <w:r>
                  <w:rPr>
                    <w:rFonts w:ascii="Times New Roman" w:eastAsia="Times New Roman" w:hAnsi="Times New Roman" w:cs="Times New Roman"/>
                    <w:sz w:val="18"/>
                    <w:szCs w:val="18"/>
                  </w:rPr>
                  <w:instrText xml:space="preserve"> PAGE </w:instrText>
                </w:r>
                <w:r>
                  <w:fldChar w:fldCharType="separate"/>
                </w:r>
                <w:r w:rsidR="008317AE">
                  <w:rPr>
                    <w:rFonts w:ascii="Times New Roman" w:eastAsia="Times New Roman" w:hAnsi="Times New Roman" w:cs="Times New Roman"/>
                    <w:noProof/>
                    <w:sz w:val="18"/>
                    <w:szCs w:val="18"/>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A37" w:rsidRDefault="00F55A37">
      <w:r>
        <w:separator/>
      </w:r>
    </w:p>
  </w:footnote>
  <w:footnote w:type="continuationSeparator" w:id="0">
    <w:p w:rsidR="00F55A37" w:rsidRDefault="00F55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73429"/>
    <w:multiLevelType w:val="hybridMultilevel"/>
    <w:tmpl w:val="6EAE9EE6"/>
    <w:lvl w:ilvl="0" w:tplc="885242DA">
      <w:start w:val="1"/>
      <w:numFmt w:val="bullet"/>
      <w:lvlText w:val="•"/>
      <w:lvlJc w:val="left"/>
      <w:pPr>
        <w:tabs>
          <w:tab w:val="num" w:pos="720"/>
        </w:tabs>
        <w:ind w:left="720" w:hanging="360"/>
      </w:pPr>
      <w:rPr>
        <w:rFonts w:ascii="宋体" w:hAnsi="宋体" w:hint="default"/>
      </w:rPr>
    </w:lvl>
    <w:lvl w:ilvl="1" w:tplc="0D70C8C6">
      <w:start w:val="52"/>
      <w:numFmt w:val="bullet"/>
      <w:lvlText w:val="–"/>
      <w:lvlJc w:val="left"/>
      <w:pPr>
        <w:tabs>
          <w:tab w:val="num" w:pos="1440"/>
        </w:tabs>
        <w:ind w:left="1440" w:hanging="360"/>
      </w:pPr>
      <w:rPr>
        <w:rFonts w:ascii="宋体" w:hAnsi="宋体" w:hint="default"/>
      </w:rPr>
    </w:lvl>
    <w:lvl w:ilvl="2" w:tplc="D070D8D4" w:tentative="1">
      <w:start w:val="1"/>
      <w:numFmt w:val="bullet"/>
      <w:lvlText w:val="•"/>
      <w:lvlJc w:val="left"/>
      <w:pPr>
        <w:tabs>
          <w:tab w:val="num" w:pos="2160"/>
        </w:tabs>
        <w:ind w:left="2160" w:hanging="360"/>
      </w:pPr>
      <w:rPr>
        <w:rFonts w:ascii="宋体" w:hAnsi="宋体" w:hint="default"/>
      </w:rPr>
    </w:lvl>
    <w:lvl w:ilvl="3" w:tplc="CB86729C" w:tentative="1">
      <w:start w:val="1"/>
      <w:numFmt w:val="bullet"/>
      <w:lvlText w:val="•"/>
      <w:lvlJc w:val="left"/>
      <w:pPr>
        <w:tabs>
          <w:tab w:val="num" w:pos="2880"/>
        </w:tabs>
        <w:ind w:left="2880" w:hanging="360"/>
      </w:pPr>
      <w:rPr>
        <w:rFonts w:ascii="宋体" w:hAnsi="宋体" w:hint="default"/>
      </w:rPr>
    </w:lvl>
    <w:lvl w:ilvl="4" w:tplc="28745EC4" w:tentative="1">
      <w:start w:val="1"/>
      <w:numFmt w:val="bullet"/>
      <w:lvlText w:val="•"/>
      <w:lvlJc w:val="left"/>
      <w:pPr>
        <w:tabs>
          <w:tab w:val="num" w:pos="3600"/>
        </w:tabs>
        <w:ind w:left="3600" w:hanging="360"/>
      </w:pPr>
      <w:rPr>
        <w:rFonts w:ascii="宋体" w:hAnsi="宋体" w:hint="default"/>
      </w:rPr>
    </w:lvl>
    <w:lvl w:ilvl="5" w:tplc="081A4FDA" w:tentative="1">
      <w:start w:val="1"/>
      <w:numFmt w:val="bullet"/>
      <w:lvlText w:val="•"/>
      <w:lvlJc w:val="left"/>
      <w:pPr>
        <w:tabs>
          <w:tab w:val="num" w:pos="4320"/>
        </w:tabs>
        <w:ind w:left="4320" w:hanging="360"/>
      </w:pPr>
      <w:rPr>
        <w:rFonts w:ascii="宋体" w:hAnsi="宋体" w:hint="default"/>
      </w:rPr>
    </w:lvl>
    <w:lvl w:ilvl="6" w:tplc="F33615B6" w:tentative="1">
      <w:start w:val="1"/>
      <w:numFmt w:val="bullet"/>
      <w:lvlText w:val="•"/>
      <w:lvlJc w:val="left"/>
      <w:pPr>
        <w:tabs>
          <w:tab w:val="num" w:pos="5040"/>
        </w:tabs>
        <w:ind w:left="5040" w:hanging="360"/>
      </w:pPr>
      <w:rPr>
        <w:rFonts w:ascii="宋体" w:hAnsi="宋体" w:hint="default"/>
      </w:rPr>
    </w:lvl>
    <w:lvl w:ilvl="7" w:tplc="2E04D824" w:tentative="1">
      <w:start w:val="1"/>
      <w:numFmt w:val="bullet"/>
      <w:lvlText w:val="•"/>
      <w:lvlJc w:val="left"/>
      <w:pPr>
        <w:tabs>
          <w:tab w:val="num" w:pos="5760"/>
        </w:tabs>
        <w:ind w:left="5760" w:hanging="360"/>
      </w:pPr>
      <w:rPr>
        <w:rFonts w:ascii="宋体" w:hAnsi="宋体" w:hint="default"/>
      </w:rPr>
    </w:lvl>
    <w:lvl w:ilvl="8" w:tplc="68B8E2CC" w:tentative="1">
      <w:start w:val="1"/>
      <w:numFmt w:val="bullet"/>
      <w:lvlText w:val="•"/>
      <w:lvlJc w:val="left"/>
      <w:pPr>
        <w:tabs>
          <w:tab w:val="num" w:pos="6480"/>
        </w:tabs>
        <w:ind w:left="6480" w:hanging="360"/>
      </w:pPr>
      <w:rPr>
        <w:rFonts w:ascii="宋体" w:hAnsi="宋体"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B4793D"/>
    <w:rsid w:val="00023CC9"/>
    <w:rsid w:val="00032C22"/>
    <w:rsid w:val="00036BF1"/>
    <w:rsid w:val="000502C1"/>
    <w:rsid w:val="00056B20"/>
    <w:rsid w:val="00090F4B"/>
    <w:rsid w:val="000929C5"/>
    <w:rsid w:val="000F7617"/>
    <w:rsid w:val="0011203A"/>
    <w:rsid w:val="00134C5A"/>
    <w:rsid w:val="00155E51"/>
    <w:rsid w:val="001915E9"/>
    <w:rsid w:val="001D48B2"/>
    <w:rsid w:val="00252072"/>
    <w:rsid w:val="00266F3C"/>
    <w:rsid w:val="002A68B3"/>
    <w:rsid w:val="002A7DDA"/>
    <w:rsid w:val="002C1EA3"/>
    <w:rsid w:val="002D1B0E"/>
    <w:rsid w:val="0030333A"/>
    <w:rsid w:val="003072D6"/>
    <w:rsid w:val="00322A8E"/>
    <w:rsid w:val="003367A3"/>
    <w:rsid w:val="00372FFD"/>
    <w:rsid w:val="00373732"/>
    <w:rsid w:val="003954D2"/>
    <w:rsid w:val="003A4ACF"/>
    <w:rsid w:val="003A588B"/>
    <w:rsid w:val="004017E4"/>
    <w:rsid w:val="00441C35"/>
    <w:rsid w:val="00466787"/>
    <w:rsid w:val="00466F8A"/>
    <w:rsid w:val="004870AB"/>
    <w:rsid w:val="004D5DB4"/>
    <w:rsid w:val="004F230E"/>
    <w:rsid w:val="005279D5"/>
    <w:rsid w:val="005A7FAD"/>
    <w:rsid w:val="005C7D9A"/>
    <w:rsid w:val="005D5294"/>
    <w:rsid w:val="00601EF6"/>
    <w:rsid w:val="006343C7"/>
    <w:rsid w:val="00651DB1"/>
    <w:rsid w:val="0068070E"/>
    <w:rsid w:val="00690CEB"/>
    <w:rsid w:val="006E2B80"/>
    <w:rsid w:val="006F4C21"/>
    <w:rsid w:val="00717152"/>
    <w:rsid w:val="00725339"/>
    <w:rsid w:val="00737D83"/>
    <w:rsid w:val="007765DE"/>
    <w:rsid w:val="00797831"/>
    <w:rsid w:val="007A434E"/>
    <w:rsid w:val="007B0C7E"/>
    <w:rsid w:val="007D44EF"/>
    <w:rsid w:val="007E4E7D"/>
    <w:rsid w:val="007F363D"/>
    <w:rsid w:val="00804A5E"/>
    <w:rsid w:val="008317AE"/>
    <w:rsid w:val="0084011D"/>
    <w:rsid w:val="0084059D"/>
    <w:rsid w:val="00857974"/>
    <w:rsid w:val="008A68B2"/>
    <w:rsid w:val="008C0169"/>
    <w:rsid w:val="008C42A0"/>
    <w:rsid w:val="008D4EFD"/>
    <w:rsid w:val="008E506D"/>
    <w:rsid w:val="008E6BFD"/>
    <w:rsid w:val="009148FE"/>
    <w:rsid w:val="00940480"/>
    <w:rsid w:val="00947027"/>
    <w:rsid w:val="00955601"/>
    <w:rsid w:val="009D4F97"/>
    <w:rsid w:val="00A37F64"/>
    <w:rsid w:val="00A6678A"/>
    <w:rsid w:val="00A67FA2"/>
    <w:rsid w:val="00A70841"/>
    <w:rsid w:val="00A72039"/>
    <w:rsid w:val="00AC41D5"/>
    <w:rsid w:val="00AE642A"/>
    <w:rsid w:val="00AF4BDC"/>
    <w:rsid w:val="00B04CB9"/>
    <w:rsid w:val="00B245DB"/>
    <w:rsid w:val="00B4793D"/>
    <w:rsid w:val="00B83AB4"/>
    <w:rsid w:val="00BB1F40"/>
    <w:rsid w:val="00BD37CD"/>
    <w:rsid w:val="00BE0E1E"/>
    <w:rsid w:val="00BE46D9"/>
    <w:rsid w:val="00C07BBA"/>
    <w:rsid w:val="00C07D3E"/>
    <w:rsid w:val="00C42E6E"/>
    <w:rsid w:val="00C96715"/>
    <w:rsid w:val="00CA246C"/>
    <w:rsid w:val="00CC1B6C"/>
    <w:rsid w:val="00DC35E2"/>
    <w:rsid w:val="00DE5EC0"/>
    <w:rsid w:val="00DE638D"/>
    <w:rsid w:val="00E20536"/>
    <w:rsid w:val="00E4268C"/>
    <w:rsid w:val="00E50F8C"/>
    <w:rsid w:val="00E56E3F"/>
    <w:rsid w:val="00E64362"/>
    <w:rsid w:val="00E85FE4"/>
    <w:rsid w:val="00E86021"/>
    <w:rsid w:val="00EA5991"/>
    <w:rsid w:val="00EA62E2"/>
    <w:rsid w:val="00ED5F9E"/>
    <w:rsid w:val="00F17F2F"/>
    <w:rsid w:val="00F23252"/>
    <w:rsid w:val="00F27490"/>
    <w:rsid w:val="00F5332F"/>
    <w:rsid w:val="00F55A37"/>
    <w:rsid w:val="00FA3F4B"/>
    <w:rsid w:val="00FC6E93"/>
    <w:rsid w:val="00FF2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D087C9"/>
  <w15:docId w15:val="{1B0700F7-8FD8-4ACD-A5B6-FC7CA1D6B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953"/>
      <w:outlineLvl w:val="0"/>
    </w:pPr>
    <w:rPr>
      <w:rFonts w:ascii="宋体" w:eastAsia="宋体" w:hAnsi="宋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6"/>
    </w:pPr>
    <w:rPr>
      <w:rFonts w:ascii="宋体" w:eastAsia="宋体" w:hAnsi="宋体"/>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335453">
      <w:bodyDiv w:val="1"/>
      <w:marLeft w:val="0"/>
      <w:marRight w:val="0"/>
      <w:marTop w:val="0"/>
      <w:marBottom w:val="0"/>
      <w:divBdr>
        <w:top w:val="none" w:sz="0" w:space="0" w:color="auto"/>
        <w:left w:val="none" w:sz="0" w:space="0" w:color="auto"/>
        <w:bottom w:val="none" w:sz="0" w:space="0" w:color="auto"/>
        <w:right w:val="none" w:sz="0" w:space="0" w:color="auto"/>
      </w:divBdr>
      <w:divsChild>
        <w:div w:id="1994866660">
          <w:marLeft w:val="547"/>
          <w:marRight w:val="0"/>
          <w:marTop w:val="115"/>
          <w:marBottom w:val="0"/>
          <w:divBdr>
            <w:top w:val="none" w:sz="0" w:space="0" w:color="auto"/>
            <w:left w:val="none" w:sz="0" w:space="0" w:color="auto"/>
            <w:bottom w:val="none" w:sz="0" w:space="0" w:color="auto"/>
            <w:right w:val="none" w:sz="0" w:space="0" w:color="auto"/>
          </w:divBdr>
        </w:div>
        <w:div w:id="1941134744">
          <w:marLeft w:val="1166"/>
          <w:marRight w:val="0"/>
          <w:marTop w:val="115"/>
          <w:marBottom w:val="0"/>
          <w:divBdr>
            <w:top w:val="none" w:sz="0" w:space="0" w:color="auto"/>
            <w:left w:val="none" w:sz="0" w:space="0" w:color="auto"/>
            <w:bottom w:val="none" w:sz="0" w:space="0" w:color="auto"/>
            <w:right w:val="none" w:sz="0" w:space="0" w:color="auto"/>
          </w:divBdr>
        </w:div>
        <w:div w:id="1280919212">
          <w:marLeft w:val="1166"/>
          <w:marRight w:val="0"/>
          <w:marTop w:val="115"/>
          <w:marBottom w:val="0"/>
          <w:divBdr>
            <w:top w:val="none" w:sz="0" w:space="0" w:color="auto"/>
            <w:left w:val="none" w:sz="0" w:space="0" w:color="auto"/>
            <w:bottom w:val="none" w:sz="0" w:space="0" w:color="auto"/>
            <w:right w:val="none" w:sz="0" w:space="0" w:color="auto"/>
          </w:divBdr>
        </w:div>
        <w:div w:id="780027793">
          <w:marLeft w:val="547"/>
          <w:marRight w:val="0"/>
          <w:marTop w:val="115"/>
          <w:marBottom w:val="0"/>
          <w:divBdr>
            <w:top w:val="none" w:sz="0" w:space="0" w:color="auto"/>
            <w:left w:val="none" w:sz="0" w:space="0" w:color="auto"/>
            <w:bottom w:val="none" w:sz="0" w:space="0" w:color="auto"/>
            <w:right w:val="none" w:sz="0" w:space="0" w:color="auto"/>
          </w:divBdr>
        </w:div>
        <w:div w:id="688333448">
          <w:marLeft w:val="1166"/>
          <w:marRight w:val="0"/>
          <w:marTop w:val="11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2_关节臂式坐标测量机校准规范（编制说明）</dc:title>
  <dc:creator>chongcheng1</dc:creator>
  <cp:lastModifiedBy>位恒政</cp:lastModifiedBy>
  <cp:revision>325</cp:revision>
  <dcterms:created xsi:type="dcterms:W3CDTF">2022-12-29T16:36:00Z</dcterms:created>
  <dcterms:modified xsi:type="dcterms:W3CDTF">2023-05-07T12:47:00Z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LastSaved">
    <vt:filetime>2022-12-29T00:00:00Z</vt:filetime>
  </property>
</Properties>
</file>