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color w:val="auto"/>
          <w:sz w:val="44"/>
          <w:szCs w:val="44"/>
        </w:rPr>
      </w:pPr>
      <w:bookmarkStart w:id="0" w:name="OLE_LINK4"/>
      <w:bookmarkStart w:id="1" w:name="OLE_LINK3"/>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r>
        <w:rPr>
          <w:rFonts w:hint="default" w:ascii="Times New Roman" w:hAnsi="Times New Roman" w:cs="Times New Roman"/>
          <w:b/>
          <w:color w:val="auto"/>
          <w:sz w:val="44"/>
          <w:szCs w:val="44"/>
        </w:rPr>
        <w:t>熏蒸气体检测仪</w:t>
      </w:r>
      <w:r>
        <w:rPr>
          <w:rFonts w:ascii="Times New Roman" w:hAnsi="Times New Roman" w:cs="Times New Roman"/>
          <w:b/>
          <w:color w:val="auto"/>
          <w:sz w:val="44"/>
          <w:szCs w:val="44"/>
        </w:rPr>
        <w:t>校准规范</w:t>
      </w:r>
    </w:p>
    <w:p>
      <w:pPr>
        <w:jc w:val="center"/>
        <w:rPr>
          <w:rFonts w:ascii="Times New Roman" w:hAnsi="Times New Roman" w:cs="Times New Roman"/>
          <w:b/>
          <w:color w:val="auto"/>
          <w:sz w:val="44"/>
          <w:szCs w:val="44"/>
        </w:rPr>
      </w:pPr>
      <w:r>
        <w:rPr>
          <w:rFonts w:ascii="Times New Roman" w:hAnsi="Times New Roman" w:cs="Times New Roman"/>
          <w:b/>
          <w:color w:val="auto"/>
          <w:sz w:val="44"/>
          <w:szCs w:val="44"/>
        </w:rPr>
        <w:t>编制说明</w:t>
      </w: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202</w:t>
      </w:r>
      <w:r>
        <w:rPr>
          <w:rFonts w:hint="eastAsia" w:ascii="Times New Roman" w:hAnsi="Times New Roman" w:cs="Times New Roman"/>
          <w:b/>
          <w:color w:val="auto"/>
          <w:sz w:val="28"/>
          <w:szCs w:val="28"/>
        </w:rPr>
        <w:t>3</w:t>
      </w:r>
      <w:r>
        <w:rPr>
          <w:rFonts w:ascii="Times New Roman" w:hAnsi="Times New Roman" w:cs="Times New Roman"/>
          <w:b/>
          <w:color w:val="auto"/>
          <w:sz w:val="28"/>
          <w:szCs w:val="28"/>
        </w:rPr>
        <w:t>年</w:t>
      </w:r>
      <w:r>
        <w:rPr>
          <w:rFonts w:ascii="Times New Roman" w:hAnsi="Times New Roman" w:cs="Times New Roman"/>
          <w:b/>
          <w:color w:val="auto"/>
          <w:sz w:val="28"/>
          <w:szCs w:val="28"/>
        </w:rPr>
        <w:t>9</w:t>
      </w:r>
      <w:r>
        <w:rPr>
          <w:rFonts w:ascii="Times New Roman" w:hAnsi="Times New Roman" w:cs="Times New Roman"/>
          <w:b/>
          <w:color w:val="auto"/>
          <w:sz w:val="28"/>
          <w:szCs w:val="28"/>
        </w:rPr>
        <w:t>月</w:t>
      </w:r>
    </w:p>
    <w:p>
      <w:pPr>
        <w:jc w:val="center"/>
        <w:rPr>
          <w:rFonts w:ascii="Times New Roman" w:hAnsi="Times New Roman" w:cs="Times New Roman"/>
          <w:b/>
          <w:color w:val="auto"/>
          <w:sz w:val="28"/>
          <w:szCs w:val="28"/>
        </w:rPr>
      </w:pPr>
      <w:bookmarkStart w:id="6" w:name="_GoBack"/>
      <w:bookmarkEnd w:id="6"/>
    </w:p>
    <w:p>
      <w:pPr>
        <w:jc w:val="center"/>
        <w:rPr>
          <w:rFonts w:ascii="Times New Roman" w:hAnsi="Times New Roman" w:cs="Times New Roman"/>
          <w:b/>
          <w:color w:val="auto"/>
          <w:sz w:val="32"/>
          <w:szCs w:val="32"/>
        </w:rPr>
      </w:pPr>
    </w:p>
    <w:bookmarkEnd w:id="0"/>
    <w:bookmarkEnd w:id="1"/>
    <w:p>
      <w:pPr>
        <w:spacing w:line="720" w:lineRule="auto"/>
        <w:rPr>
          <w:rFonts w:ascii="Times New Roman" w:hAnsi="Times New Roman" w:cs="Times New Roman"/>
          <w:b/>
          <w:color w:val="auto"/>
          <w:sz w:val="24"/>
        </w:rPr>
      </w:pPr>
      <w:r>
        <w:rPr>
          <w:rFonts w:ascii="Times New Roman" w:hAnsi="Times New Roman" w:cs="Times New Roman"/>
          <w:b/>
          <w:color w:val="auto"/>
          <w:sz w:val="24"/>
        </w:rPr>
        <w:t>一、任务来源</w:t>
      </w:r>
    </w:p>
    <w:p>
      <w:pPr>
        <w:spacing w:line="360" w:lineRule="auto"/>
        <w:ind w:firstLine="480" w:firstLineChars="200"/>
        <w:rPr>
          <w:rFonts w:ascii="Times New Roman" w:hAnsi="Times New Roman" w:cs="Times New Roman"/>
          <w:color w:val="auto"/>
          <w:sz w:val="24"/>
          <w:szCs w:val="24"/>
        </w:rPr>
      </w:pP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校准规范制定任务</w:t>
      </w:r>
      <w:r>
        <w:rPr>
          <w:rFonts w:ascii="Times New Roman" w:hAnsi="Times New Roman" w:cs="Times New Roman"/>
          <w:color w:val="auto"/>
          <w:sz w:val="24"/>
          <w:szCs w:val="24"/>
        </w:rPr>
        <w:t>20</w:t>
      </w:r>
      <w:r>
        <w:rPr>
          <w:rFonts w:hint="eastAsia" w:ascii="Times New Roman" w:hAnsi="Times New Roman" w:cs="Times New Roman"/>
          <w:color w:val="auto"/>
          <w:sz w:val="24"/>
          <w:szCs w:val="24"/>
        </w:rPr>
        <w:t>2</w:t>
      </w:r>
      <w:r>
        <w:rPr>
          <w:rFonts w:ascii="Times New Roman" w:hAnsi="Times New Roman" w:cs="Times New Roman"/>
          <w:color w:val="auto"/>
          <w:sz w:val="24"/>
          <w:szCs w:val="24"/>
        </w:rPr>
        <w:t>3</w:t>
      </w:r>
      <w:r>
        <w:rPr>
          <w:rFonts w:ascii="Times New Roman" w:hAnsi="Times New Roman" w:cs="Times New Roman"/>
          <w:color w:val="auto"/>
          <w:sz w:val="24"/>
          <w:szCs w:val="24"/>
        </w:rPr>
        <w:t>年由全国环境化学计量技术委员会下达。根据</w:t>
      </w:r>
      <w:r>
        <w:rPr>
          <w:rFonts w:ascii="Times New Roman" w:hAnsi="Times New Roman" w:cs="Times New Roman"/>
          <w:color w:val="auto"/>
          <w:sz w:val="24"/>
          <w:szCs w:val="24"/>
          <w:highlight w:val="yellow"/>
        </w:rPr>
        <w:t>环化委</w:t>
      </w:r>
      <w:r>
        <w:rPr>
          <w:rFonts w:ascii="Times New Roman" w:hAnsi="Times New Roman" w:cs="Times New Roman"/>
          <w:color w:val="auto"/>
          <w:sz w:val="24"/>
          <w:szCs w:val="24"/>
          <w:highlight w:val="yellow"/>
        </w:rPr>
        <w:t>员会【</w:t>
      </w:r>
      <w:r>
        <w:rPr>
          <w:rFonts w:hint="eastAsia" w:ascii="Times New Roman" w:hAnsi="Times New Roman" w:cs="Times New Roman"/>
          <w:color w:val="auto"/>
          <w:sz w:val="24"/>
          <w:szCs w:val="24"/>
          <w:highlight w:val="yellow"/>
        </w:rPr>
        <w:t>202</w:t>
      </w:r>
      <w:r>
        <w:rPr>
          <w:rFonts w:ascii="Times New Roman" w:hAnsi="Times New Roman" w:cs="Times New Roman"/>
          <w:color w:val="auto"/>
          <w:sz w:val="24"/>
          <w:szCs w:val="24"/>
          <w:highlight w:val="yellow"/>
        </w:rPr>
        <w:t>3】</w:t>
      </w:r>
      <w:r>
        <w:rPr>
          <w:rFonts w:hint="eastAsia" w:ascii="Times New Roman" w:hAnsi="Times New Roman" w:cs="Times New Roman"/>
          <w:color w:val="auto"/>
          <w:sz w:val="24"/>
          <w:szCs w:val="24"/>
          <w:highlight w:val="yellow"/>
        </w:rPr>
        <w:t>XXX号</w:t>
      </w:r>
      <w:r>
        <w:rPr>
          <w:rFonts w:ascii="Times New Roman" w:hAnsi="Times New Roman" w:cs="Times New Roman"/>
          <w:color w:val="auto"/>
          <w:sz w:val="24"/>
          <w:szCs w:val="24"/>
          <w:highlight w:val="yellow"/>
        </w:rPr>
        <w:t>《关于落实20</w:t>
      </w:r>
      <w:r>
        <w:rPr>
          <w:rFonts w:hint="eastAsia" w:ascii="Times New Roman" w:hAnsi="Times New Roman" w:cs="Times New Roman"/>
          <w:color w:val="auto"/>
          <w:sz w:val="24"/>
          <w:szCs w:val="24"/>
          <w:highlight w:val="yellow"/>
        </w:rPr>
        <w:t>2</w:t>
      </w:r>
      <w:r>
        <w:rPr>
          <w:rFonts w:ascii="Times New Roman" w:hAnsi="Times New Roman" w:cs="Times New Roman"/>
          <w:color w:val="auto"/>
          <w:sz w:val="24"/>
          <w:szCs w:val="24"/>
          <w:highlight w:val="yellow"/>
        </w:rPr>
        <w:t>3年国家计量技术规范制定、修订计划的函》</w:t>
      </w:r>
      <w:r>
        <w:rPr>
          <w:rFonts w:ascii="Times New Roman" w:hAnsi="Times New Roman" w:cs="Times New Roman"/>
          <w:color w:val="auto"/>
          <w:sz w:val="24"/>
          <w:szCs w:val="24"/>
        </w:rPr>
        <w:t>，由中国计量科学研究院</w:t>
      </w:r>
      <w:r>
        <w:rPr>
          <w:rFonts w:hint="eastAsia" w:ascii="Times New Roman" w:hAnsi="Times New Roman" w:cs="Times New Roman"/>
          <w:color w:val="auto"/>
          <w:sz w:val="24"/>
          <w:szCs w:val="24"/>
        </w:rPr>
        <w:t>、</w:t>
      </w:r>
      <w:r>
        <w:rPr>
          <w:rFonts w:ascii="Times New Roman" w:hAnsi="Times New Roman" w:cs="Times New Roman"/>
          <w:color w:val="auto"/>
          <w:sz w:val="24"/>
          <w:szCs w:val="24"/>
        </w:rPr>
        <w:t>广州计量检测技术研究院、</w:t>
      </w:r>
      <w:r>
        <w:rPr>
          <w:rFonts w:hint="eastAsia" w:ascii="Times New Roman" w:hAnsi="Times New Roman" w:cs="Times New Roman"/>
          <w:color w:val="auto"/>
          <w:sz w:val="24"/>
          <w:szCs w:val="24"/>
        </w:rPr>
        <w:t>河北省计量监督检测研究院、烟台市标准计量检验检测中心</w:t>
      </w:r>
      <w:r>
        <w:rPr>
          <w:rFonts w:ascii="Times New Roman" w:hAnsi="Times New Roman" w:cs="Times New Roman"/>
          <w:color w:val="auto"/>
          <w:sz w:val="24"/>
          <w:szCs w:val="24"/>
        </w:rPr>
        <w:t>等共同承担制定工作。</w:t>
      </w:r>
    </w:p>
    <w:p>
      <w:pPr>
        <w:spacing w:line="720" w:lineRule="auto"/>
        <w:rPr>
          <w:rFonts w:ascii="Times New Roman" w:hAnsi="Times New Roman" w:eastAsia="Times New Roman" w:cs="Times New Roman"/>
          <w:b/>
          <w:color w:val="auto"/>
          <w:sz w:val="24"/>
        </w:rPr>
      </w:pPr>
      <w:r>
        <w:rPr>
          <w:rFonts w:hint="default" w:ascii="Times New Roman" w:hAnsi="Times New Roman" w:cs="Times New Roman"/>
          <w:b/>
          <w:color w:val="auto"/>
          <w:sz w:val="24"/>
        </w:rPr>
        <w:t>二</w:t>
      </w:r>
      <w:r>
        <w:rPr>
          <w:rFonts w:ascii="Times New Roman" w:hAnsi="Times New Roman" w:eastAsia="Times New Roman" w:cs="Times New Roman"/>
          <w:b/>
          <w:color w:val="auto"/>
          <w:sz w:val="24"/>
        </w:rPr>
        <w:t>、 规范起草目的与意义</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目前，在我国和世界各大海关、进出口口岸、货物大宗储存和运输、海关检疫、生物制药、卫生保健、粮食储存等领域，熏蒸消毒法作为一种快速、彻底、且实有效的消毒方法已被广泛使用。优良的熏蒸剂，具有渗透力强、毒性低、不腐蚀、不变色、电绝缘性能好、使用温度广、用量小、吸附量少、解吸快等特点。常见气体熏蒸剂有硫酰氟、溴甲烷、磷化氢等。另一方面，各种熏蒸药剂，对人畜都是有害的，如果使用或过程控制不当，都可能危及人畜安全，引起意外事故，造成更大的污染。</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硫酰氟，是一种无机化合物，化学式为SO</w:t>
      </w:r>
      <w:r>
        <w:rPr>
          <w:rFonts w:ascii="Times New Roman" w:hAnsi="Times New Roman" w:cs="Times New Roman"/>
          <w:color w:val="auto"/>
          <w:sz w:val="24"/>
          <w:szCs w:val="24"/>
          <w:vertAlign w:val="subscript"/>
        </w:rPr>
        <w:t>2</w:t>
      </w:r>
      <w:r>
        <w:rPr>
          <w:rFonts w:ascii="Times New Roman" w:hAnsi="Times New Roman" w:cs="Times New Roman"/>
          <w:color w:val="auto"/>
          <w:sz w:val="24"/>
          <w:szCs w:val="24"/>
        </w:rPr>
        <w:t>F</w:t>
      </w:r>
      <w:r>
        <w:rPr>
          <w:rFonts w:ascii="Times New Roman" w:hAnsi="Times New Roman" w:cs="Times New Roman"/>
          <w:color w:val="auto"/>
          <w:sz w:val="24"/>
          <w:szCs w:val="24"/>
          <w:vertAlign w:val="subscript"/>
        </w:rPr>
        <w:t>2</w:t>
      </w:r>
      <w:r>
        <w:rPr>
          <w:rFonts w:ascii="Times New Roman" w:hAnsi="Times New Roman" w:cs="Times New Roman"/>
          <w:color w:val="auto"/>
          <w:sz w:val="24"/>
          <w:szCs w:val="24"/>
        </w:rPr>
        <w:t>。常温常压下为无色无味有毒气体。稍溶于水，溶于乙醇、苯、四氯化碳。化学惰性，高温时不分解，在400℃时仍是稳定的，反应性不太强。在苛性碱水溶液中缓慢水解，在氢氧化钾乙醇溶液中迅速作用，得硫酸与氟化钾。氨解得硫酰胺。在二氧化硫中燃烧氟或由氟磺酸钡热分解而得。用作杀虫剂。</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溴甲烷，是一种有机化合物，分子式为CH</w:t>
      </w:r>
      <w:r>
        <w:rPr>
          <w:rFonts w:ascii="Times New Roman" w:hAnsi="Times New Roman" w:cs="Times New Roman"/>
          <w:color w:val="auto"/>
          <w:sz w:val="24"/>
          <w:szCs w:val="24"/>
          <w:vertAlign w:val="subscript"/>
        </w:rPr>
        <w:t>3</w:t>
      </w:r>
      <w:r>
        <w:rPr>
          <w:rFonts w:ascii="Times New Roman" w:hAnsi="Times New Roman" w:cs="Times New Roman"/>
          <w:color w:val="auto"/>
          <w:sz w:val="24"/>
          <w:szCs w:val="24"/>
        </w:rPr>
        <w:t>Br，常用于植物保护作为杀虫剂、杀菌剂、土壤熏蒸剂和谷物熏蒸剂。也用作木材防腐剂、低沸点溶剂、有机合成原料和致冷剂等。</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磷化氢，是一种无机化合物，化学式为PH</w:t>
      </w:r>
      <w:r>
        <w:rPr>
          <w:rFonts w:ascii="Times New Roman" w:hAnsi="Times New Roman" w:cs="Times New Roman"/>
          <w:color w:val="auto"/>
          <w:sz w:val="24"/>
          <w:szCs w:val="24"/>
          <w:vertAlign w:val="subscript"/>
        </w:rPr>
        <w:t>3</w:t>
      </w:r>
      <w:r>
        <w:rPr>
          <w:rFonts w:ascii="Times New Roman" w:hAnsi="Times New Roman" w:cs="Times New Roman"/>
          <w:color w:val="auto"/>
          <w:sz w:val="24"/>
          <w:szCs w:val="24"/>
        </w:rPr>
        <w:t>，是一种无色、剧毒、易燃的储存于钢瓶内的液化压缩气体。纯净的磷化氢气体是无色无味的，但在金属磷化物产生磷化氢气体时常带有乙炔味或者大蒜味或者腐鱼味。如果遇到痕量其他磷的氢化物如乙磷化氢，会引起自燃。吸入磷化氢会对心脏、呼吸系统、肾、肠胃、神经系统和肝脏造成影响。</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这3种熏蒸剂的毒性比较大，例如磷化氢作用于细胞酶，影响细胞代谢，发生内窒息。其主要损害神经系统、呼吸系统、心脏、肾脏及肝脏。10 mg/m3接触6小时，有中毒症状；409~846 mg/m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时，半至１小时发生死亡。</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1990年，国家建立了粮食专项储备制度，截至2018年底，我国拥有的各类粮食仓储设施超过6亿吨，仓储企业超过17228家。近年来随着国家粮食安全问题的凸显，国家不断增加粮食战略储备，新建粮食储备设施数量不断增加。鉴于硫酰氟、溴甲烷、磷化氢的毒性，国内粮储企业均配备硫酰氟、溴甲烷、磷化氢气体检测仪（报警器）对生产过程中的硫酰氟、溴甲烷、磷化氢气体泄露隐患进行实时监测，从而保障作业场所生产安全和工作人员人身安全，避免各类事故的发生。由于各种有毒有害气体性质差别大，其气体检测报警器工作原理不同，计量性能技术指标也不尽相同，亟需相应的计量技术法规规范计量检测技术和方法。由于硫酰氟、溴甲烷、磷化氢气体事关人员健康和安全生产，其检测报警器的量值准确性极为重要</w:t>
      </w:r>
      <w:r>
        <w:rPr>
          <w:rFonts w:hint="eastAsia" w:ascii="Times New Roman" w:hAnsi="Times New Roman" w:cs="Times New Roman"/>
          <w:color w:val="auto"/>
          <w:sz w:val="24"/>
          <w:szCs w:val="24"/>
        </w:rPr>
        <w:t>。</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目前，国标GB/T 31752-2015 《溴甲烷检疫熏蒸库技术规范》、GB/T_36854-2018《集装箱熏蒸操作规程》、美国标准ANSI/NFPA 560-2006《Standard for the Storage, Handling, and Use of Ethylene Oxide for Sterilization and Fumigation》、澳大利亚标准</w:t>
      </w:r>
      <w:r>
        <w:rPr>
          <w:rFonts w:hint="eastAsia" w:ascii="Times New Roman" w:hAnsi="Times New Roman" w:cs="Times New Roman"/>
          <w:color w:val="auto"/>
          <w:sz w:val="24"/>
          <w:szCs w:val="24"/>
        </w:rPr>
        <w:fldChar w:fldCharType="begin"/>
      </w:r>
      <w:r>
        <w:rPr>
          <w:rFonts w:hint="eastAsia" w:ascii="Times New Roman" w:hAnsi="Times New Roman" w:cs="Times New Roman"/>
          <w:color w:val="auto"/>
          <w:sz w:val="24"/>
          <w:szCs w:val="24"/>
        </w:rPr>
        <w:instrText xml:space="preserve">HYPERLINK "https://www.antpedia.com/standard/5976382.html" \t "https://www.antpedia.com/standard/sp/_blank"</w:instrText>
      </w:r>
      <w:r>
        <w:rPr>
          <w:rFonts w:hint="eastAsia" w:ascii="Times New Roman" w:hAnsi="Times New Roman" w:cs="Times New Roman"/>
          <w:color w:val="auto"/>
          <w:sz w:val="24"/>
          <w:szCs w:val="24"/>
        </w:rPr>
        <w:fldChar w:fldCharType="separate"/>
      </w:r>
      <w:r>
        <w:rPr>
          <w:rFonts w:hint="eastAsia" w:ascii="Times New Roman" w:hAnsi="Times New Roman" w:cs="Times New Roman"/>
          <w:color w:val="auto"/>
          <w:sz w:val="24"/>
          <w:szCs w:val="24"/>
        </w:rPr>
        <w:t>AS 2476-2008</w:t>
      </w:r>
      <w:r>
        <w:rPr>
          <w:rFonts w:hint="eastAsia" w:ascii="Times New Roman" w:hAnsi="Times New Roman" w:cs="Times New Roman"/>
          <w:color w:val="auto"/>
          <w:sz w:val="24"/>
          <w:szCs w:val="24"/>
        </w:rPr>
        <w:fldChar w:fldCharType="end"/>
      </w:r>
      <w:r>
        <w:rPr>
          <w:rFonts w:hint="eastAsia" w:ascii="Times New Roman" w:hAnsi="Times New Roman" w:cs="Times New Roman"/>
          <w:color w:val="auto"/>
          <w:sz w:val="24"/>
          <w:szCs w:val="24"/>
        </w:rPr>
        <w:t>《General fumigation procedures》等国内外标准涉及了熏蒸气体检测仪的要求。但迄今为止，国内尚无硫酰氟、溴甲烷、磷化氢气体检测仪量值溯源的相应计量技术法规。经查询，OIML国际建议、国际标准和国际文件里没有专门针对硫酰氟、磷化氢气体检测仪的相关标准。</w:t>
      </w:r>
    </w:p>
    <w:p>
      <w:pPr>
        <w:spacing w:line="720" w:lineRule="auto"/>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三、技术依据</w:t>
      </w:r>
    </w:p>
    <w:p>
      <w:pPr>
        <w:autoSpaceDE w:val="0"/>
        <w:autoSpaceDN w:val="0"/>
        <w:adjustRightInd w:val="0"/>
        <w:spacing w:line="360" w:lineRule="auto"/>
        <w:ind w:firstLine="480" w:firstLineChars="200"/>
        <w:jc w:val="left"/>
        <w:rPr>
          <w:rFonts w:ascii="Times New Roman" w:hAnsi="Times New Roman" w:cs="Times New Roman"/>
          <w:color w:val="auto"/>
          <w:sz w:val="24"/>
        </w:rPr>
      </w:pPr>
      <w:r>
        <w:rPr>
          <w:rFonts w:ascii="Times New Roman" w:hAnsi="Times New Roman" w:cs="Times New Roman"/>
          <w:color w:val="auto"/>
          <w:sz w:val="24"/>
        </w:rPr>
        <w:t>本规范制定以国内实际情况为出发点，体现科学性、合理性、先进性、实用性。努力使规范校准项目、技术要求及校准方法与国际建议和国家（行业）标准、技术规范相符合。</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本规范制定主要依据及参考了以下文件：</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JJF 1071-2010 国家计量校准规范编写规则</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JJF 1001-2011 通用计量术语及定义</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JJF 1059.1-2012 测量不确定度评定与表示</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JJF 1094-2002 测量仪器特性评定</w:t>
      </w:r>
    </w:p>
    <w:p>
      <w:pPr>
        <w:spacing w:line="360" w:lineRule="auto"/>
        <w:ind w:firstLine="480" w:firstLineChars="200"/>
        <w:rPr>
          <w:rFonts w:ascii="Times New Roman" w:hAnsi="Times New Roman" w:cs="Times New Roman"/>
          <w:color w:val="auto"/>
          <w:sz w:val="24"/>
        </w:rPr>
      </w:pPr>
      <w:r>
        <w:rPr>
          <w:rFonts w:hint="eastAsia" w:ascii="Times New Roman" w:hAnsi="Times New Roman" w:cs="Times New Roman"/>
          <w:color w:val="auto"/>
          <w:sz w:val="24"/>
        </w:rPr>
        <w:t>GB 12358-2006作业场所环境气体检测报警仪通用技术要求</w:t>
      </w:r>
    </w:p>
    <w:p>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GB/T 31752-2015溴甲烷检疫熏蒸库技术规范</w:t>
      </w:r>
    </w:p>
    <w:p>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GB/T</w:t>
      </w:r>
      <w:r>
        <w:rPr>
          <w:rFonts w:ascii="Times New Roman" w:hAnsi="Times New Roman" w:cs="Times New Roman"/>
          <w:color w:val="auto"/>
          <w:sz w:val="24"/>
          <w:szCs w:val="24"/>
        </w:rPr>
        <w:t xml:space="preserve"> </w:t>
      </w:r>
      <w:r>
        <w:rPr>
          <w:rFonts w:hint="eastAsia" w:ascii="Times New Roman" w:hAnsi="Times New Roman" w:cs="Times New Roman"/>
          <w:color w:val="auto"/>
          <w:sz w:val="24"/>
          <w:szCs w:val="24"/>
        </w:rPr>
        <w:t>36854-2018集装箱熏蒸操作规程</w:t>
      </w:r>
    </w:p>
    <w:p>
      <w:pPr>
        <w:spacing w:line="360" w:lineRule="auto"/>
        <w:ind w:firstLine="480" w:firstLineChars="200"/>
        <w:rPr>
          <w:rFonts w:ascii="Times New Roman" w:hAnsi="Times New Roman" w:cs="Times New Roman"/>
          <w:color w:val="auto"/>
          <w:sz w:val="24"/>
        </w:rPr>
      </w:pPr>
      <w:r>
        <w:rPr>
          <w:rFonts w:hint="eastAsia" w:ascii="Times New Roman" w:hAnsi="Times New Roman" w:cs="Times New Roman"/>
          <w:color w:val="auto"/>
          <w:sz w:val="24"/>
        </w:rPr>
        <w:t>GB/T 50493-2019石油化工可燃气体和有毒气体检测报警设计标准</w:t>
      </w:r>
    </w:p>
    <w:p>
      <w:pPr>
        <w:spacing w:line="360" w:lineRule="auto"/>
        <w:ind w:firstLine="480" w:firstLineChars="200"/>
        <w:rPr>
          <w:rFonts w:ascii="Times New Roman" w:hAnsi="Times New Roman" w:cs="Times New Roman"/>
          <w:color w:val="auto"/>
          <w:sz w:val="24"/>
        </w:rPr>
      </w:pPr>
      <w:r>
        <w:rPr>
          <w:rFonts w:hint="eastAsia" w:ascii="Times New Roman" w:hAnsi="Times New Roman" w:cs="Times New Roman"/>
          <w:color w:val="auto"/>
          <w:sz w:val="24"/>
        </w:rPr>
        <w:t>GBZ 2.1-2019工作场所有害因素职业接触限值第一部分：化学有害因素</w:t>
      </w:r>
    </w:p>
    <w:p>
      <w:pPr>
        <w:spacing w:line="360" w:lineRule="auto"/>
        <w:rPr>
          <w:rFonts w:ascii="Times New Roman" w:hAnsi="Times New Roman" w:eastAsia="Times New Roman" w:cs="Times New Roman"/>
          <w:b/>
          <w:color w:val="auto"/>
          <w:sz w:val="24"/>
        </w:rPr>
      </w:pPr>
      <w:r>
        <w:rPr>
          <w:rFonts w:ascii="Times New Roman" w:hAnsi="Times New Roman" w:cs="Times New Roman" w:eastAsiaTheme="minorEastAsia"/>
          <w:b/>
          <w:color w:val="auto"/>
          <w:sz w:val="24"/>
        </w:rPr>
        <w:t>四</w:t>
      </w:r>
      <w:r>
        <w:rPr>
          <w:rFonts w:ascii="Times New Roman" w:hAnsi="Times New Roman" w:eastAsia="Times New Roman" w:cs="Times New Roman"/>
          <w:b/>
          <w:color w:val="auto"/>
          <w:sz w:val="24"/>
        </w:rPr>
        <w:t>、制定过程</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rPr>
        <w:t>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1</w:t>
      </w:r>
      <w:r>
        <w:rPr>
          <w:rFonts w:ascii="Times New Roman" w:hAnsi="Times New Roman" w:cs="Times New Roman"/>
          <w:color w:val="auto"/>
          <w:sz w:val="24"/>
        </w:rPr>
        <w:t>月至20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5</w:t>
      </w:r>
      <w:r>
        <w:rPr>
          <w:rFonts w:ascii="Times New Roman" w:hAnsi="Times New Roman" w:cs="Times New Roman"/>
          <w:color w:val="auto"/>
          <w:sz w:val="24"/>
        </w:rPr>
        <w:t>月，</w:t>
      </w:r>
      <w:r>
        <w:rPr>
          <w:rFonts w:ascii="Times New Roman" w:hAnsi="Times New Roman" w:cs="Times New Roman"/>
          <w:color w:val="auto"/>
          <w:sz w:val="24"/>
          <w:szCs w:val="24"/>
        </w:rPr>
        <w:t>开始进行前期文献检索与市场调研，</w:t>
      </w:r>
      <w:r>
        <w:rPr>
          <w:rFonts w:ascii="Times New Roman" w:hAnsi="Times New Roman" w:cs="Times New Roman"/>
          <w:color w:val="auto"/>
          <w:sz w:val="24"/>
        </w:rPr>
        <w:t>查阅国内外文献资料、国家标准、生产厂家技术资料等，</w:t>
      </w:r>
      <w:r>
        <w:rPr>
          <w:rFonts w:ascii="Times New Roman" w:hAnsi="Times New Roman" w:cs="Times New Roman"/>
          <w:color w:val="auto"/>
          <w:sz w:val="24"/>
          <w:szCs w:val="24"/>
        </w:rPr>
        <w:t>完成用于</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校准用标准物质及相关试验设备的购置并着手进行</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校准方法研究，并初步拟定校准项目。</w:t>
      </w:r>
    </w:p>
    <w:p>
      <w:pPr>
        <w:spacing w:before="156" w:beforeLines="50" w:after="156" w:afterLines="50"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rPr>
        <w:t>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6</w:t>
      </w:r>
      <w:r>
        <w:rPr>
          <w:rFonts w:ascii="Times New Roman" w:hAnsi="Times New Roman" w:cs="Times New Roman"/>
          <w:color w:val="auto"/>
          <w:sz w:val="24"/>
        </w:rPr>
        <w:t>月至20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8</w:t>
      </w:r>
      <w:r>
        <w:rPr>
          <w:rFonts w:ascii="Times New Roman" w:hAnsi="Times New Roman" w:cs="Times New Roman"/>
          <w:color w:val="auto"/>
          <w:sz w:val="24"/>
        </w:rPr>
        <w:t>月，在实际校准中应用该方法，以文字方式总结出该方法使用中存在的实际操作问题，在使用中验证该方法的可行性。</w:t>
      </w:r>
      <w:r>
        <w:rPr>
          <w:rFonts w:ascii="Times New Roman" w:hAnsi="Times New Roman" w:cs="Times New Roman"/>
          <w:color w:val="auto"/>
          <w:sz w:val="24"/>
          <w:szCs w:val="24"/>
        </w:rPr>
        <w:t>对影响</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测量结果准确、可靠的测量重复性及稳定性等项目进行试验方法研究，研究建立能满足</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校准要求的计量校准方法与校准项目的制订，并进行</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校准规范初稿的编写。</w:t>
      </w:r>
    </w:p>
    <w:p>
      <w:pPr>
        <w:spacing w:before="156" w:beforeLines="50" w:after="156" w:afterLines="50"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8</w:t>
      </w:r>
      <w:r>
        <w:rPr>
          <w:rFonts w:ascii="Times New Roman" w:hAnsi="Times New Roman" w:cs="Times New Roman"/>
          <w:color w:val="auto"/>
          <w:sz w:val="24"/>
        </w:rPr>
        <w:t>月至20</w:t>
      </w:r>
      <w:r>
        <w:rPr>
          <w:rFonts w:hint="eastAsia" w:ascii="Times New Roman" w:hAnsi="Times New Roman" w:cs="Times New Roman"/>
          <w:color w:val="auto"/>
          <w:sz w:val="24"/>
        </w:rPr>
        <w:t>23</w:t>
      </w:r>
      <w:r>
        <w:rPr>
          <w:rFonts w:ascii="Times New Roman" w:hAnsi="Times New Roman" w:cs="Times New Roman"/>
          <w:color w:val="auto"/>
          <w:sz w:val="24"/>
        </w:rPr>
        <w:t>年</w:t>
      </w:r>
      <w:r>
        <w:rPr>
          <w:rFonts w:hint="eastAsia" w:ascii="Times New Roman" w:hAnsi="Times New Roman" w:cs="Times New Roman"/>
          <w:color w:val="auto"/>
          <w:sz w:val="24"/>
        </w:rPr>
        <w:t>9</w:t>
      </w:r>
      <w:r>
        <w:rPr>
          <w:rFonts w:ascii="Times New Roman" w:hAnsi="Times New Roman" w:cs="Times New Roman"/>
          <w:color w:val="auto"/>
          <w:sz w:val="24"/>
        </w:rPr>
        <w:t>月</w:t>
      </w:r>
      <w:r>
        <w:rPr>
          <w:rFonts w:ascii="Times New Roman" w:hAnsi="Times New Roman" w:cs="Times New Roman"/>
          <w:color w:val="auto"/>
          <w:sz w:val="24"/>
          <w:szCs w:val="24"/>
        </w:rPr>
        <w:t>，将项目试验数据进行整理与分析，确定</w:t>
      </w:r>
      <w:r>
        <w:rPr>
          <w:rFonts w:hint="default" w:ascii="Times New Roman" w:hAnsi="Times New Roman" w:cs="Times New Roman"/>
          <w:color w:val="auto"/>
          <w:kern w:val="0"/>
          <w:sz w:val="24"/>
        </w:rPr>
        <w:t>熏蒸气体检测仪</w:t>
      </w:r>
      <w:r>
        <w:rPr>
          <w:rFonts w:ascii="Times New Roman" w:hAnsi="Times New Roman" w:cs="Times New Roman"/>
          <w:color w:val="auto"/>
          <w:sz w:val="24"/>
          <w:szCs w:val="24"/>
        </w:rPr>
        <w:t>的校准项目、校准条件、校准方法及计量特性参数，</w:t>
      </w:r>
      <w:r>
        <w:rPr>
          <w:rFonts w:ascii="Times New Roman" w:hAnsi="Times New Roman" w:cs="Times New Roman"/>
          <w:color w:val="auto"/>
          <w:sz w:val="24"/>
        </w:rPr>
        <w:t>根据实际应用中发现的问题，对方法初稿进行修改和完善，形成征求意见稿。</w:t>
      </w:r>
    </w:p>
    <w:p>
      <w:pPr>
        <w:spacing w:line="360" w:lineRule="auto"/>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五、规范制订的原则</w:t>
      </w:r>
    </w:p>
    <w:p>
      <w:pPr>
        <w:spacing w:line="360" w:lineRule="auto"/>
        <w:rPr>
          <w:rFonts w:ascii="Times New Roman" w:hAnsi="Times New Roman" w:cs="Times New Roman"/>
          <w:color w:val="auto"/>
          <w:sz w:val="24"/>
        </w:rPr>
      </w:pPr>
      <w:r>
        <w:rPr>
          <w:rFonts w:ascii="Times New Roman" w:hAnsi="Times New Roman" w:cs="Times New Roman"/>
          <w:color w:val="auto"/>
          <w:sz w:val="24"/>
        </w:rPr>
        <w:t>1、规范结构</w:t>
      </w:r>
    </w:p>
    <w:p>
      <w:pPr>
        <w:spacing w:line="360" w:lineRule="auto"/>
        <w:rPr>
          <w:rFonts w:ascii="Times New Roman" w:hAnsi="Times New Roman" w:cs="Times New Roman"/>
          <w:color w:val="auto"/>
          <w:sz w:val="24"/>
        </w:rPr>
      </w:pPr>
      <w:r>
        <w:rPr>
          <w:rFonts w:ascii="Times New Roman" w:hAnsi="Times New Roman" w:cs="Times New Roman"/>
          <w:color w:val="auto"/>
          <w:sz w:val="24"/>
        </w:rPr>
        <w:t xml:space="preserve">    按照JJF 1002-2010《国家计量校准规范编写规则》的要求，本规范的主体内容由以下几个部分构成：范围、概述、计量特性、校准项目和校准方法、校准结果表达、复校时间间隔以及附录。</w:t>
      </w:r>
    </w:p>
    <w:p>
      <w:pPr>
        <w:spacing w:line="360" w:lineRule="auto"/>
        <w:rPr>
          <w:rFonts w:ascii="Times New Roman" w:hAnsi="Times New Roman" w:cs="Times New Roman"/>
          <w:color w:val="auto"/>
          <w:sz w:val="24"/>
        </w:rPr>
      </w:pPr>
      <w:r>
        <w:rPr>
          <w:rFonts w:ascii="Times New Roman" w:hAnsi="Times New Roman" w:cs="Times New Roman"/>
          <w:color w:val="auto"/>
          <w:sz w:val="24"/>
        </w:rPr>
        <w:t>2、计量性能的确定</w:t>
      </w:r>
    </w:p>
    <w:p>
      <w:pPr>
        <w:pStyle w:val="6"/>
        <w:spacing w:line="360" w:lineRule="auto"/>
        <w:ind w:left="0" w:firstLine="480" w:firstLineChars="200"/>
        <w:rPr>
          <w:rFonts w:ascii="Times New Roman"/>
          <w:color w:val="auto"/>
          <w:sz w:val="24"/>
          <w:szCs w:val="24"/>
        </w:rPr>
      </w:pPr>
      <w:r>
        <w:rPr>
          <w:rFonts w:ascii="Times New Roman" w:hAnsi="Times New Roman"/>
          <w:color w:val="auto"/>
          <w:sz w:val="24"/>
          <w:szCs w:val="24"/>
        </w:rPr>
        <w:t>仪器的计量性能的要求主要是</w:t>
      </w:r>
      <w:r>
        <w:rPr>
          <w:rFonts w:hint="default" w:ascii="Times New Roman" w:hAnsi="Times New Roman"/>
          <w:color w:val="auto"/>
          <w:sz w:val="24"/>
          <w:szCs w:val="24"/>
        </w:rPr>
        <w:t>参考</w:t>
      </w:r>
      <w:r>
        <w:rPr>
          <w:rFonts w:hint="default" w:ascii="Times New Roman" w:hAnsi="Times New Roman"/>
          <w:color w:val="auto"/>
          <w:sz w:val="24"/>
        </w:rPr>
        <w:t>熏蒸气体检测仪</w:t>
      </w:r>
      <w:r>
        <w:rPr>
          <w:rFonts w:ascii="Times New Roman" w:hAnsi="Times New Roman"/>
          <w:color w:val="auto"/>
          <w:sz w:val="24"/>
          <w:szCs w:val="24"/>
        </w:rPr>
        <w:t>的生产出厂指标</w:t>
      </w:r>
      <w:r>
        <w:rPr>
          <w:rFonts w:hint="default" w:ascii="Times New Roman" w:hAnsi="Times New Roman"/>
          <w:color w:val="auto"/>
          <w:sz w:val="24"/>
          <w:szCs w:val="24"/>
        </w:rPr>
        <w:t>、</w:t>
      </w:r>
      <w:r>
        <w:rPr>
          <w:rFonts w:ascii="Times New Roman" w:hAnsi="Times New Roman"/>
          <w:color w:val="auto"/>
          <w:sz w:val="24"/>
          <w:szCs w:val="24"/>
        </w:rPr>
        <w:t>客户对</w:t>
      </w:r>
      <w:r>
        <w:rPr>
          <w:rFonts w:hint="default" w:ascii="Times New Roman" w:hAnsi="Times New Roman"/>
          <w:color w:val="auto"/>
          <w:sz w:val="24"/>
          <w:szCs w:val="24"/>
        </w:rPr>
        <w:t>熏蒸气体检测仪的使用要求</w:t>
      </w:r>
      <w:r>
        <w:rPr>
          <w:rFonts w:ascii="Times New Roman" w:hAnsi="Times New Roman"/>
          <w:color w:val="auto"/>
          <w:sz w:val="24"/>
          <w:szCs w:val="24"/>
        </w:rPr>
        <w:t>，通过</w:t>
      </w:r>
      <w:r>
        <w:rPr>
          <w:rFonts w:hint="default" w:ascii="Times New Roman" w:hAnsi="Times New Roman"/>
          <w:color w:val="auto"/>
          <w:sz w:val="24"/>
          <w:szCs w:val="24"/>
        </w:rPr>
        <w:t>对近几年来做的大量的实验数据</w:t>
      </w:r>
      <w:r>
        <w:rPr>
          <w:rFonts w:ascii="Times New Roman" w:hAnsi="Times New Roman"/>
          <w:color w:val="auto"/>
          <w:sz w:val="24"/>
          <w:szCs w:val="24"/>
        </w:rPr>
        <w:t>进行总结，并参考</w:t>
      </w:r>
      <w:r>
        <w:rPr>
          <w:rFonts w:hint="default" w:ascii="Times New Roman" w:hAnsi="Times New Roman"/>
          <w:color w:val="auto"/>
          <w:sz w:val="24"/>
          <w:szCs w:val="24"/>
        </w:rPr>
        <w:t>熏蒸行业的部分操作规程</w:t>
      </w:r>
      <w:r>
        <w:rPr>
          <w:rFonts w:ascii="Times New Roman" w:hAnsi="Times New Roman"/>
          <w:color w:val="auto"/>
          <w:sz w:val="24"/>
          <w:szCs w:val="24"/>
        </w:rPr>
        <w:t>而制定的。</w:t>
      </w:r>
    </w:p>
    <w:p>
      <w:pPr>
        <w:spacing w:line="360" w:lineRule="auto"/>
        <w:rPr>
          <w:rFonts w:ascii="Times New Roman" w:hAnsi="Times New Roman" w:cs="Times New Roman"/>
          <w:color w:val="auto"/>
          <w:sz w:val="24"/>
        </w:rPr>
      </w:pPr>
      <w:r>
        <w:rPr>
          <w:rFonts w:ascii="Times New Roman" w:hAnsi="Times New Roman" w:cs="Times New Roman"/>
          <w:color w:val="auto"/>
          <w:sz w:val="24"/>
        </w:rPr>
        <w:t>3、计量标准器的选择</w:t>
      </w:r>
    </w:p>
    <w:p>
      <w:pPr>
        <w:pStyle w:val="6"/>
        <w:spacing w:line="360" w:lineRule="auto"/>
        <w:ind w:left="0" w:firstLine="480" w:firstLineChars="200"/>
        <w:rPr>
          <w:rFonts w:ascii="Times New Roman"/>
          <w:color w:val="auto"/>
          <w:sz w:val="24"/>
        </w:rPr>
      </w:pPr>
      <w:r>
        <w:rPr>
          <w:rFonts w:ascii="Times New Roman" w:hAnsi="Times New Roman"/>
          <w:color w:val="auto"/>
          <w:sz w:val="24"/>
        </w:rPr>
        <w:t>现已有经国家质量监督检验检疫总局批准的国家</w:t>
      </w:r>
      <w:r>
        <w:rPr>
          <w:rFonts w:hint="default" w:ascii="Times New Roman" w:hAnsi="Times New Roman"/>
          <w:color w:val="auto"/>
          <w:sz w:val="24"/>
        </w:rPr>
        <w:t>一、</w:t>
      </w:r>
      <w:r>
        <w:rPr>
          <w:rFonts w:ascii="Times New Roman" w:hAnsi="Times New Roman"/>
          <w:color w:val="auto"/>
          <w:sz w:val="24"/>
        </w:rPr>
        <w:t>二级标准物质，</w:t>
      </w:r>
      <w:r>
        <w:rPr>
          <w:rFonts w:hint="default" w:ascii="Times New Roman" w:hAnsi="Times New Roman"/>
          <w:color w:val="auto"/>
          <w:sz w:val="24"/>
        </w:rPr>
        <w:t>硫酰氟、溴甲烷、磷化氢气体</w:t>
      </w:r>
      <w:r>
        <w:rPr>
          <w:rFonts w:ascii="Times New Roman" w:hAnsi="Times New Roman"/>
          <w:color w:val="auto"/>
          <w:sz w:val="24"/>
        </w:rPr>
        <w:t>标准物质，定值扩展不确定度不大于</w:t>
      </w:r>
      <w:r>
        <w:rPr>
          <w:rFonts w:hint="eastAsia" w:ascii="Times New Roman"/>
          <w:color w:val="auto"/>
          <w:sz w:val="24"/>
        </w:rPr>
        <w:t>3</w:t>
      </w:r>
      <w:r>
        <w:rPr>
          <w:rFonts w:ascii="Times New Roman"/>
          <w:color w:val="auto"/>
          <w:sz w:val="24"/>
        </w:rPr>
        <w:t>%</w:t>
      </w:r>
      <w:r>
        <w:rPr>
          <w:rFonts w:ascii="Times New Roman" w:hAnsi="Times New Roman"/>
          <w:color w:val="auto"/>
          <w:sz w:val="24"/>
        </w:rPr>
        <w:t>（</w:t>
      </w:r>
      <w:r>
        <w:rPr>
          <w:rFonts w:ascii="Times New Roman"/>
          <w:i/>
          <w:color w:val="auto"/>
          <w:sz w:val="24"/>
        </w:rPr>
        <w:t>k</w:t>
      </w:r>
      <w:r>
        <w:rPr>
          <w:rFonts w:ascii="Times New Roman"/>
          <w:color w:val="auto"/>
          <w:sz w:val="24"/>
        </w:rPr>
        <w:t>=2</w:t>
      </w:r>
      <w:r>
        <w:rPr>
          <w:rFonts w:ascii="Times New Roman" w:hAnsi="Times New Roman"/>
          <w:color w:val="auto"/>
          <w:sz w:val="24"/>
        </w:rPr>
        <w:t>），易于获得并有溯源性，详见下表。</w:t>
      </w:r>
    </w:p>
    <w:tbl>
      <w:tblPr>
        <w:tblStyle w:val="12"/>
        <w:tblW w:w="8268" w:type="dxa"/>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1464"/>
        <w:gridCol w:w="2126"/>
        <w:gridCol w:w="1559"/>
        <w:gridCol w:w="127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556" w:hRule="atLeast"/>
          <w:tblHeader/>
        </w:trPr>
        <w:tc>
          <w:tcPr>
            <w:tcW w:w="1464" w:type="dxa"/>
            <w:shd w:val="clear" w:color="auto" w:fill="DCE9FF"/>
            <w:noWrap/>
            <w:vAlign w:val="center"/>
          </w:tcPr>
          <w:p>
            <w:pPr>
              <w:jc w:val="center"/>
              <w:rPr>
                <w:rFonts w:ascii="Times New Roman" w:hAnsi="Times New Roman" w:cs="Times New Roman"/>
                <w:b/>
                <w:bCs/>
                <w:color w:val="auto"/>
                <w:kern w:val="0"/>
              </w:rPr>
            </w:pPr>
            <w:r>
              <w:rPr>
                <w:rFonts w:ascii="Times New Roman" w:hAnsi="Times New Roman" w:cs="Times New Roman"/>
                <w:color w:val="auto"/>
              </w:rPr>
              <w:t>标物编号</w:t>
            </w:r>
          </w:p>
        </w:tc>
        <w:tc>
          <w:tcPr>
            <w:tcW w:w="2126" w:type="dxa"/>
            <w:shd w:val="clear" w:color="auto" w:fill="DCE9FF"/>
            <w:noWrap/>
            <w:vAlign w:val="center"/>
          </w:tcPr>
          <w:p>
            <w:pPr>
              <w:jc w:val="center"/>
              <w:rPr>
                <w:rFonts w:ascii="Times New Roman" w:hAnsi="Times New Roman" w:cs="Times New Roman"/>
                <w:b/>
                <w:bCs/>
                <w:color w:val="auto"/>
                <w:kern w:val="0"/>
              </w:rPr>
            </w:pPr>
            <w:r>
              <w:rPr>
                <w:rFonts w:ascii="Times New Roman" w:hAnsi="Times New Roman" w:cs="Times New Roman"/>
                <w:color w:val="auto"/>
              </w:rPr>
              <w:t>名称</w:t>
            </w:r>
          </w:p>
        </w:tc>
        <w:tc>
          <w:tcPr>
            <w:tcW w:w="1559" w:type="dxa"/>
            <w:shd w:val="clear" w:color="auto" w:fill="DCE9FF"/>
            <w:vAlign w:val="center"/>
          </w:tcPr>
          <w:p>
            <w:pPr>
              <w:jc w:val="center"/>
              <w:rPr>
                <w:rFonts w:ascii="Times New Roman" w:hAnsi="Times New Roman" w:cs="Times New Roman"/>
                <w:b/>
                <w:bCs/>
                <w:color w:val="auto"/>
                <w:kern w:val="0"/>
              </w:rPr>
            </w:pPr>
            <w:r>
              <w:rPr>
                <w:rFonts w:ascii="Times New Roman" w:hAnsi="Times New Roman" w:cs="Times New Roman"/>
                <w:color w:val="auto"/>
              </w:rPr>
              <w:t>规格</w:t>
            </w:r>
          </w:p>
        </w:tc>
        <w:tc>
          <w:tcPr>
            <w:tcW w:w="1276" w:type="dxa"/>
            <w:shd w:val="clear" w:color="auto" w:fill="DCE9FF"/>
            <w:noWrap/>
            <w:vAlign w:val="center"/>
          </w:tcPr>
          <w:p>
            <w:pPr>
              <w:jc w:val="center"/>
              <w:rPr>
                <w:rFonts w:ascii="Times New Roman" w:hAnsi="Times New Roman" w:cs="Times New Roman"/>
                <w:b/>
                <w:bCs/>
                <w:color w:val="auto"/>
                <w:kern w:val="0"/>
              </w:rPr>
            </w:pPr>
            <w:r>
              <w:rPr>
                <w:rFonts w:ascii="Times New Roman" w:hAnsi="Times New Roman" w:cs="Times New Roman"/>
                <w:color w:val="auto"/>
              </w:rPr>
              <w:t>不确定度</w:t>
            </w:r>
          </w:p>
        </w:tc>
        <w:tc>
          <w:tcPr>
            <w:tcW w:w="1843" w:type="dxa"/>
            <w:shd w:val="clear" w:color="auto" w:fill="DCE9FF"/>
            <w:noWrap/>
            <w:vAlign w:val="center"/>
          </w:tcPr>
          <w:p>
            <w:pPr>
              <w:jc w:val="center"/>
              <w:rPr>
                <w:rFonts w:ascii="Times New Roman" w:hAnsi="Times New Roman" w:cs="Times New Roman"/>
                <w:b/>
                <w:bCs/>
                <w:color w:val="auto"/>
                <w:kern w:val="0"/>
              </w:rPr>
            </w:pPr>
            <w:r>
              <w:rPr>
                <w:rFonts w:ascii="Times New Roman" w:hAnsi="Times New Roman" w:cs="Times New Roman"/>
                <w:color w:val="auto"/>
              </w:rPr>
              <w:t>研制单位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GBW06348</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氮中硫酰氟气体标准物质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20.0~100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=1.5%</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GBW06349</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氮中硫酰氟气体标准物质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100~20000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=1.0%</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GBW(E)062436</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氮中硫酰氟气体标准物质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20.0~50.0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=2.0%</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GBW(E)062437</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氮中硫酰氟气体标准物质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50.0~500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=1.5%</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GBW(E)062438</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氮中硫酰氟气体标准物质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500~20000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=1.0%</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hint="default" w:ascii="Times New Roman" w:hAnsi="Times New Roman" w:cs="Times New Roman"/>
                <w:color w:val="auto"/>
              </w:rPr>
            </w:pPr>
            <w:r>
              <w:rPr>
                <w:rFonts w:hint="default" w:ascii="Times New Roman" w:hAnsi="Times New Roman" w:cs="Times New Roman"/>
                <w:b w:val="0"/>
                <w:bCs w:val="0"/>
                <w:color w:val="auto"/>
              </w:rPr>
              <w:t>GBW(E)0</w:t>
            </w:r>
            <w:r>
              <w:rPr>
                <w:rFonts w:hint="default" w:ascii="Times New Roman" w:hAnsi="Times New Roman" w:cs="Times New Roman"/>
                <w:b w:val="0"/>
                <w:bCs w:val="0"/>
                <w:color w:val="auto"/>
                <w:lang w:val="en-US" w:eastAsia="zh-CN"/>
              </w:rPr>
              <w:t>xxxx</w:t>
            </w:r>
            <w:r>
              <w:rPr>
                <w:rFonts w:hint="default" w:ascii="Times New Roman" w:hAnsi="Times New Roman" w:cs="Times New Roman"/>
                <w:b w:val="0"/>
                <w:bCs w:val="0"/>
                <w:color w:val="auto"/>
              </w:rPr>
              <w:t>正在取证中</w:t>
            </w:r>
          </w:p>
        </w:tc>
        <w:tc>
          <w:tcPr>
            <w:tcW w:w="2126" w:type="dxa"/>
            <w:shd w:val="clear" w:color="auto" w:fill="FFFFFF"/>
            <w:noWrap/>
            <w:vAlign w:val="center"/>
          </w:tcPr>
          <w:p>
            <w:pPr>
              <w:jc w:val="center"/>
              <w:rPr>
                <w:rFonts w:ascii="Times New Roman" w:hAnsi="Times New Roman" w:cs="Times New Roman"/>
                <w:color w:val="auto"/>
              </w:rPr>
            </w:pPr>
            <w:r>
              <w:rPr>
                <w:rFonts w:hint="default" w:ascii="Times New Roman" w:hAnsi="Times New Roman" w:cs="Times New Roman"/>
                <w:b w:val="0"/>
                <w:bCs w:val="0"/>
                <w:color w:val="auto"/>
              </w:rPr>
              <w:t>氮中溴甲烷气体标准物质</w:t>
            </w:r>
          </w:p>
        </w:tc>
        <w:tc>
          <w:tcPr>
            <w:tcW w:w="1559" w:type="dxa"/>
            <w:shd w:val="clear" w:color="auto" w:fill="FFFFFF"/>
            <w:vAlign w:val="center"/>
          </w:tcPr>
          <w:p>
            <w:pPr>
              <w:jc w:val="center"/>
              <w:rPr>
                <w:rFonts w:hint="default" w:ascii="Times New Roman" w:hAnsi="Times New Roman" w:cs="Times New Roman"/>
                <w:b w:val="0"/>
                <w:bCs w:val="0"/>
                <w:color w:val="auto"/>
              </w:rPr>
            </w:pPr>
            <w:r>
              <w:rPr>
                <w:rFonts w:hint="default" w:ascii="Times New Roman" w:hAnsi="Times New Roman" w:cs="Times New Roman"/>
                <w:b w:val="0"/>
                <w:bCs w:val="0"/>
                <w:color w:val="auto"/>
              </w:rPr>
              <w:t>（50.0~</w:t>
            </w:r>
            <w:r>
              <w:rPr>
                <w:rFonts w:hint="default" w:ascii="Times New Roman" w:hAnsi="Times New Roman" w:cs="Times New Roman"/>
                <w:b w:val="0"/>
                <w:bCs w:val="0"/>
                <w:color w:val="auto"/>
                <w:lang w:val="en-US" w:eastAsia="zh-CN"/>
              </w:rPr>
              <w:t>2</w:t>
            </w:r>
            <w:r>
              <w:rPr>
                <w:rFonts w:hint="default" w:ascii="Times New Roman" w:hAnsi="Times New Roman" w:cs="Times New Roman"/>
                <w:b w:val="0"/>
                <w:bCs w:val="0"/>
                <w:color w:val="auto"/>
              </w:rPr>
              <w:t>00）</w:t>
            </w:r>
          </w:p>
          <w:p>
            <w:pPr>
              <w:jc w:val="center"/>
              <w:rPr>
                <w:rFonts w:hint="default" w:ascii="Times New Roman" w:hAnsi="Times New Roman" w:cs="Times New Roman"/>
                <w:color w:val="auto"/>
              </w:rPr>
            </w:pPr>
            <w:r>
              <w:rPr>
                <w:rFonts w:hint="default" w:ascii="Times New Roman" w:hAnsi="Times New Roman" w:cs="Times New Roman"/>
                <w:b w:val="0"/>
                <w:bCs w:val="0"/>
                <w:color w:val="auto"/>
              </w:rPr>
              <w:t>μmol/mol</w:t>
            </w:r>
          </w:p>
        </w:tc>
        <w:tc>
          <w:tcPr>
            <w:tcW w:w="1276" w:type="dxa"/>
            <w:shd w:val="clear" w:color="auto" w:fill="FFFFFF"/>
            <w:noWrap/>
            <w:vAlign w:val="center"/>
          </w:tcPr>
          <w:p>
            <w:pPr>
              <w:jc w:val="center"/>
              <w:rPr>
                <w:rFonts w:ascii="Times New Roman" w:hAnsi="Times New Roman" w:cs="Times New Roman"/>
                <w:i/>
                <w:iCs/>
                <w:color w:val="auto"/>
              </w:rPr>
            </w:pPr>
            <w:r>
              <w:rPr>
                <w:rFonts w:hint="default" w:ascii="Times New Roman" w:hAnsi="Times New Roman" w:cs="Times New Roman"/>
                <w:b w:val="0"/>
                <w:bCs w:val="0"/>
                <w:i/>
                <w:iCs/>
                <w:color w:val="auto"/>
              </w:rPr>
              <w:t>U</w:t>
            </w:r>
            <w:r>
              <w:rPr>
                <w:rFonts w:hint="default" w:ascii="Times New Roman" w:hAnsi="Times New Roman" w:cs="Times New Roman"/>
                <w:b w:val="0"/>
                <w:bCs w:val="0"/>
                <w:color w:val="auto"/>
                <w:vertAlign w:val="subscript"/>
              </w:rPr>
              <w:t>rel</w:t>
            </w:r>
            <w:r>
              <w:rPr>
                <w:rFonts w:hint="default" w:ascii="Times New Roman" w:hAnsi="Times New Roman" w:cs="Times New Roman"/>
                <w:b w:val="0"/>
                <w:bCs w:val="0"/>
                <w:color w:val="auto"/>
              </w:rPr>
              <w:t>=</w:t>
            </w:r>
            <w:r>
              <w:rPr>
                <w:rFonts w:hint="default" w:ascii="Times New Roman" w:hAnsi="Times New Roman" w:cs="Times New Roman"/>
                <w:b w:val="0"/>
                <w:bCs w:val="0"/>
                <w:color w:val="auto"/>
                <w:lang w:val="en-US" w:eastAsia="zh-CN"/>
              </w:rPr>
              <w:t>1.5</w:t>
            </w:r>
            <w:r>
              <w:rPr>
                <w:rFonts w:hint="default" w:ascii="Times New Roman" w:hAnsi="Times New Roman" w:cs="Times New Roman"/>
                <w:b w:val="0"/>
                <w:bCs w:val="0"/>
                <w:color w:val="auto"/>
              </w:rPr>
              <w:t>%</w:t>
            </w:r>
          </w:p>
        </w:tc>
        <w:tc>
          <w:tcPr>
            <w:tcW w:w="1843" w:type="dxa"/>
            <w:shd w:val="clear" w:color="auto" w:fill="FFFFFF"/>
            <w:noWrap/>
            <w:vAlign w:val="center"/>
          </w:tcPr>
          <w:p>
            <w:pPr>
              <w:jc w:val="center"/>
              <w:rPr>
                <w:rFonts w:hint="default" w:ascii="Times New Roman" w:hAnsi="Times New Roman" w:cs="Times New Roman"/>
                <w:color w:val="auto"/>
              </w:rPr>
            </w:pPr>
            <w:r>
              <w:rPr>
                <w:rFonts w:hint="default" w:ascii="Times New Roman" w:hAnsi="Times New Roman" w:cs="Times New Roman"/>
                <w:b w:val="0"/>
                <w:bCs w:val="0"/>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hint="default" w:ascii="Times New Roman" w:hAnsi="Times New Roman" w:cs="Times New Roman"/>
                <w:color w:val="auto"/>
              </w:rPr>
            </w:pPr>
            <w:r>
              <w:rPr>
                <w:rFonts w:hint="default" w:ascii="Times New Roman" w:hAnsi="Times New Roman" w:cs="Times New Roman"/>
                <w:b w:val="0"/>
                <w:bCs w:val="0"/>
                <w:color w:val="auto"/>
              </w:rPr>
              <w:t>GBW(E)0</w:t>
            </w:r>
            <w:r>
              <w:rPr>
                <w:rFonts w:hint="default" w:ascii="Times New Roman" w:hAnsi="Times New Roman" w:cs="Times New Roman"/>
                <w:b w:val="0"/>
                <w:bCs w:val="0"/>
                <w:color w:val="auto"/>
                <w:lang w:val="en-US" w:eastAsia="zh-CN"/>
              </w:rPr>
              <w:t>xxxx</w:t>
            </w:r>
            <w:r>
              <w:rPr>
                <w:rFonts w:hint="default" w:ascii="Times New Roman" w:hAnsi="Times New Roman" w:cs="Times New Roman"/>
                <w:b w:val="0"/>
                <w:bCs w:val="0"/>
                <w:color w:val="auto"/>
              </w:rPr>
              <w:t>正在取证中</w:t>
            </w:r>
          </w:p>
        </w:tc>
        <w:tc>
          <w:tcPr>
            <w:tcW w:w="2126" w:type="dxa"/>
            <w:shd w:val="clear" w:color="auto" w:fill="FFFFFF"/>
            <w:noWrap/>
            <w:vAlign w:val="center"/>
          </w:tcPr>
          <w:p>
            <w:pPr>
              <w:jc w:val="center"/>
              <w:rPr>
                <w:rFonts w:ascii="Times New Roman" w:hAnsi="Times New Roman" w:cs="Times New Roman"/>
                <w:color w:val="auto"/>
              </w:rPr>
            </w:pPr>
            <w:r>
              <w:rPr>
                <w:rFonts w:hint="default" w:ascii="Times New Roman" w:hAnsi="Times New Roman" w:cs="Times New Roman"/>
                <w:b w:val="0"/>
                <w:bCs w:val="0"/>
                <w:color w:val="auto"/>
              </w:rPr>
              <w:t>氮中溴甲烷气体标准物质</w:t>
            </w:r>
          </w:p>
        </w:tc>
        <w:tc>
          <w:tcPr>
            <w:tcW w:w="1559" w:type="dxa"/>
            <w:shd w:val="clear" w:color="auto" w:fill="FFFFFF"/>
            <w:vAlign w:val="center"/>
          </w:tcPr>
          <w:p>
            <w:pPr>
              <w:jc w:val="center"/>
              <w:rPr>
                <w:rFonts w:hint="default" w:ascii="Times New Roman" w:hAnsi="Times New Roman" w:cs="Times New Roman"/>
                <w:color w:val="auto"/>
              </w:rPr>
            </w:pPr>
            <w:r>
              <w:rPr>
                <w:rFonts w:hint="default" w:ascii="Times New Roman" w:hAnsi="Times New Roman" w:cs="Times New Roman"/>
                <w:b w:val="0"/>
                <w:bCs w:val="0"/>
                <w:color w:val="auto"/>
              </w:rPr>
              <w:t>（0.</w:t>
            </w:r>
            <w:r>
              <w:rPr>
                <w:rFonts w:hint="default" w:ascii="Times New Roman" w:hAnsi="Times New Roman" w:cs="Times New Roman"/>
                <w:b w:val="0"/>
                <w:bCs w:val="0"/>
                <w:color w:val="auto"/>
                <w:lang w:val="en-US" w:eastAsia="zh-CN"/>
              </w:rPr>
              <w:t>5</w:t>
            </w:r>
            <w:r>
              <w:rPr>
                <w:rFonts w:hint="default" w:ascii="Times New Roman" w:hAnsi="Times New Roman" w:cs="Times New Roman"/>
                <w:b w:val="0"/>
                <w:bCs w:val="0"/>
                <w:color w:val="auto"/>
              </w:rPr>
              <w:t>～</w:t>
            </w:r>
            <w:r>
              <w:rPr>
                <w:rFonts w:hint="default" w:ascii="Times New Roman" w:hAnsi="Times New Roman" w:cs="Times New Roman"/>
                <w:b w:val="0"/>
                <w:bCs w:val="0"/>
                <w:color w:val="auto"/>
                <w:lang w:val="en-US" w:eastAsia="zh-CN"/>
              </w:rPr>
              <w:t>1.8</w:t>
            </w:r>
            <w:r>
              <w:rPr>
                <w:rFonts w:hint="default" w:ascii="Times New Roman" w:hAnsi="Times New Roman" w:cs="Times New Roman"/>
                <w:b w:val="0"/>
                <w:bCs w:val="0"/>
                <w:color w:val="auto"/>
              </w:rPr>
              <w:t>）%mol/mol</w:t>
            </w:r>
          </w:p>
        </w:tc>
        <w:tc>
          <w:tcPr>
            <w:tcW w:w="1276" w:type="dxa"/>
            <w:shd w:val="clear" w:color="auto" w:fill="FFFFFF"/>
            <w:noWrap/>
            <w:vAlign w:val="center"/>
          </w:tcPr>
          <w:p>
            <w:pPr>
              <w:jc w:val="center"/>
              <w:rPr>
                <w:rFonts w:ascii="Times New Roman" w:hAnsi="Times New Roman" w:cs="Times New Roman"/>
                <w:i/>
                <w:iCs/>
                <w:color w:val="auto"/>
              </w:rPr>
            </w:pPr>
            <w:r>
              <w:rPr>
                <w:rFonts w:hint="default" w:ascii="Times New Roman" w:hAnsi="Times New Roman" w:cs="Times New Roman"/>
                <w:b w:val="0"/>
                <w:bCs w:val="0"/>
                <w:i/>
                <w:iCs/>
                <w:color w:val="auto"/>
              </w:rPr>
              <w:t>U</w:t>
            </w:r>
            <w:r>
              <w:rPr>
                <w:rFonts w:hint="default" w:ascii="Times New Roman" w:hAnsi="Times New Roman" w:cs="Times New Roman"/>
                <w:b w:val="0"/>
                <w:bCs w:val="0"/>
                <w:color w:val="auto"/>
                <w:vertAlign w:val="subscript"/>
              </w:rPr>
              <w:t>rel</w:t>
            </w:r>
            <w:r>
              <w:rPr>
                <w:rFonts w:hint="default" w:ascii="Times New Roman" w:hAnsi="Times New Roman" w:cs="Times New Roman"/>
                <w:b w:val="0"/>
                <w:bCs w:val="0"/>
                <w:color w:val="auto"/>
              </w:rPr>
              <w:t>=</w:t>
            </w:r>
            <w:r>
              <w:rPr>
                <w:rFonts w:hint="default" w:ascii="Times New Roman" w:hAnsi="Times New Roman" w:cs="Times New Roman"/>
                <w:b w:val="0"/>
                <w:bCs w:val="0"/>
                <w:color w:val="auto"/>
                <w:lang w:val="en-US" w:eastAsia="zh-CN"/>
              </w:rPr>
              <w:t>1.0</w:t>
            </w:r>
            <w:r>
              <w:rPr>
                <w:rFonts w:hint="default" w:ascii="Times New Roman" w:hAnsi="Times New Roman" w:cs="Times New Roman"/>
                <w:b w:val="0"/>
                <w:bCs w:val="0"/>
                <w:color w:val="auto"/>
              </w:rPr>
              <w:t>%</w:t>
            </w:r>
          </w:p>
        </w:tc>
        <w:tc>
          <w:tcPr>
            <w:tcW w:w="1843" w:type="dxa"/>
            <w:shd w:val="clear" w:color="auto" w:fill="FFFFFF"/>
            <w:noWrap/>
            <w:vAlign w:val="center"/>
          </w:tcPr>
          <w:p>
            <w:pPr>
              <w:jc w:val="center"/>
              <w:rPr>
                <w:rFonts w:hint="default" w:ascii="Times New Roman" w:hAnsi="Times New Roman" w:cs="Times New Roman"/>
                <w:color w:val="auto"/>
              </w:rPr>
            </w:pPr>
            <w:r>
              <w:rPr>
                <w:rFonts w:hint="default" w:ascii="Times New Roman" w:hAnsi="Times New Roman" w:cs="Times New Roman"/>
                <w:b w:val="0"/>
                <w:bCs w:val="0"/>
                <w:color w:val="auto"/>
              </w:rPr>
              <w:t>中国计量科学研究院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hint="default" w:ascii="Times New Roman" w:hAnsi="Times New Roman" w:cs="Times New Roman"/>
                <w:color w:val="auto"/>
              </w:rPr>
              <w:t>GBW(E)060478</w:t>
            </w:r>
          </w:p>
        </w:tc>
        <w:tc>
          <w:tcPr>
            <w:tcW w:w="2126" w:type="dxa"/>
            <w:shd w:val="clear" w:color="auto" w:fill="FFFFFF"/>
            <w:noWrap/>
            <w:vAlign w:val="center"/>
          </w:tcPr>
          <w:p>
            <w:pPr>
              <w:jc w:val="center"/>
              <w:rPr>
                <w:rFonts w:ascii="Times New Roman" w:hAnsi="Times New Roman" w:cs="Times New Roman"/>
                <w:color w:val="auto"/>
              </w:rPr>
            </w:pPr>
            <w:r>
              <w:rPr>
                <w:rFonts w:hint="default" w:ascii="Times New Roman" w:hAnsi="Times New Roman" w:cs="Times New Roman"/>
                <w:color w:val="auto"/>
              </w:rPr>
              <w:t>氩中溴甲烷气体标准物质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（0.1～2）%</w:t>
            </w:r>
          </w:p>
        </w:tc>
        <w:tc>
          <w:tcPr>
            <w:tcW w:w="1276" w:type="dxa"/>
            <w:shd w:val="clear" w:color="auto" w:fill="FFFFFF"/>
            <w:noWrap/>
            <w:vAlign w:val="center"/>
          </w:tcPr>
          <w:p>
            <w:pPr>
              <w:jc w:val="center"/>
              <w:rPr>
                <w:rFonts w:ascii="Times New Roman" w:hAnsi="Times New Roman" w:cs="Times New Roman"/>
                <w:color w:val="auto"/>
              </w:rPr>
            </w:pPr>
            <w:r>
              <w:rPr>
                <w:rFonts w:hint="default" w:ascii="Times New Roman" w:hAnsi="Times New Roman" w:cs="Times New Roman"/>
                <w:i/>
                <w:iCs/>
                <w:color w:val="auto"/>
              </w:rPr>
              <w:t>U</w:t>
            </w:r>
            <w:r>
              <w:rPr>
                <w:rFonts w:hint="default" w:ascii="Times New Roman" w:hAnsi="Times New Roman" w:cs="Times New Roman"/>
                <w:color w:val="auto"/>
                <w:vertAlign w:val="subscript"/>
              </w:rPr>
              <w:t>rel</w:t>
            </w:r>
            <w:r>
              <w:rPr>
                <w:rFonts w:hint="default" w:ascii="Times New Roman" w:hAnsi="Times New Roman" w:cs="Times New Roman"/>
                <w:color w:val="auto"/>
              </w:rPr>
              <w:t>=1.5%</w:t>
            </w:r>
          </w:p>
        </w:tc>
        <w:tc>
          <w:tcPr>
            <w:tcW w:w="1843" w:type="dxa"/>
            <w:shd w:val="clear" w:color="auto" w:fill="FFFFFF"/>
            <w:noWrap/>
            <w:vAlign w:val="center"/>
          </w:tcPr>
          <w:p>
            <w:pPr>
              <w:jc w:val="center"/>
              <w:rPr>
                <w:rFonts w:ascii="Times New Roman" w:hAnsi="Times New Roman" w:cs="Times New Roman"/>
                <w:color w:val="auto"/>
              </w:rPr>
            </w:pPr>
            <w:r>
              <w:rPr>
                <w:rFonts w:hint="default" w:ascii="Times New Roman" w:hAnsi="Times New Roman" w:cs="Times New Roman"/>
                <w:color w:val="auto"/>
              </w:rPr>
              <w:t>杭州新世纪混合气体有限公司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GBW(E)084016</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氮中磷化氢气体标准物质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2.00~10.0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=3.0%</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p>
            <w:pPr>
              <w:jc w:val="center"/>
              <w:rPr>
                <w:rFonts w:ascii="Times New Roman" w:hAnsi="Times New Roman" w:cs="Times New Roman"/>
                <w:color w:val="auto"/>
              </w:rPr>
            </w:pPr>
            <w:r>
              <w:rPr>
                <w:rFonts w:ascii="Times New Roman" w:hAnsi="Times New Roman" w:cs="Times New Roman"/>
                <w:color w:val="auto"/>
              </w:rPr>
              <w:t>云南省计量测试技术研究院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GBW(E)084017</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氮中磷化氢气体标准物质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10.0~50.0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=2.0%</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p>
            <w:pPr>
              <w:jc w:val="center"/>
              <w:rPr>
                <w:rFonts w:ascii="Times New Roman" w:hAnsi="Times New Roman" w:cs="Times New Roman"/>
                <w:color w:val="auto"/>
              </w:rPr>
            </w:pPr>
            <w:r>
              <w:rPr>
                <w:rFonts w:ascii="Times New Roman" w:hAnsi="Times New Roman" w:cs="Times New Roman"/>
                <w:color w:val="auto"/>
              </w:rPr>
              <w:t>云南省计量测试技术研究院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6" w:hRule="atLeast"/>
        </w:trPr>
        <w:tc>
          <w:tcPr>
            <w:tcW w:w="1464" w:type="dxa"/>
            <w:shd w:val="clear" w:color="auto" w:fill="FFFFFF"/>
            <w:noWrap/>
            <w:vAlign w:val="center"/>
          </w:tcPr>
          <w:p>
            <w:pPr>
              <w:rPr>
                <w:rFonts w:ascii="Times New Roman" w:hAnsi="Times New Roman" w:cs="Times New Roman"/>
                <w:color w:val="auto"/>
              </w:rPr>
            </w:pPr>
            <w:r>
              <w:rPr>
                <w:rFonts w:ascii="Times New Roman" w:hAnsi="Times New Roman" w:cs="Times New Roman"/>
                <w:color w:val="auto"/>
              </w:rPr>
              <w:t>GBW(E)084018</w:t>
            </w:r>
          </w:p>
        </w:tc>
        <w:tc>
          <w:tcPr>
            <w:tcW w:w="212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氮中磷化氢气体标准物质</w:t>
            </w:r>
          </w:p>
        </w:tc>
        <w:tc>
          <w:tcPr>
            <w:tcW w:w="1559" w:type="dxa"/>
            <w:shd w:val="clear" w:color="auto" w:fill="FFFFFF"/>
            <w:vAlign w:val="center"/>
          </w:tcPr>
          <w:p>
            <w:pPr>
              <w:jc w:val="center"/>
              <w:rPr>
                <w:rFonts w:ascii="Times New Roman" w:hAnsi="Times New Roman" w:cs="Times New Roman"/>
                <w:color w:val="auto"/>
              </w:rPr>
            </w:pPr>
            <w:r>
              <w:rPr>
                <w:rFonts w:hint="default" w:ascii="Times New Roman" w:hAnsi="Times New Roman" w:cs="Times New Roman"/>
                <w:color w:val="auto"/>
              </w:rPr>
              <w:t>（</w:t>
            </w:r>
            <w:r>
              <w:rPr>
                <w:rFonts w:ascii="Times New Roman" w:hAnsi="Times New Roman" w:cs="Times New Roman"/>
                <w:color w:val="auto"/>
              </w:rPr>
              <w:t>50.0~100</w:t>
            </w:r>
            <w:r>
              <w:rPr>
                <w:rFonts w:hint="default" w:ascii="Times New Roman" w:hAnsi="Times New Roman" w:cs="Times New Roman"/>
                <w:color w:val="auto"/>
              </w:rPr>
              <w:t>）</w:t>
            </w:r>
          </w:p>
          <w:p>
            <w:pPr>
              <w:jc w:val="center"/>
              <w:rPr>
                <w:rFonts w:ascii="Times New Roman" w:hAnsi="Times New Roman" w:cs="Times New Roman"/>
                <w:color w:val="auto"/>
              </w:rPr>
            </w:pPr>
            <w:r>
              <w:rPr>
                <w:rFonts w:ascii="Times New Roman" w:hAnsi="Times New Roman" w:cs="Times New Roman"/>
                <w:color w:val="auto"/>
              </w:rPr>
              <w:t>μmol/mol</w:t>
            </w:r>
          </w:p>
        </w:tc>
        <w:tc>
          <w:tcPr>
            <w:tcW w:w="1276"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i/>
                <w:iCs/>
                <w:color w:val="auto"/>
              </w:rPr>
              <w:t>U</w:t>
            </w:r>
            <w:r>
              <w:rPr>
                <w:rFonts w:ascii="Times New Roman" w:hAnsi="Times New Roman" w:cs="Times New Roman"/>
                <w:color w:val="auto"/>
                <w:vertAlign w:val="subscript"/>
              </w:rPr>
              <w:t>rel</w:t>
            </w:r>
            <w:r>
              <w:rPr>
                <w:rFonts w:ascii="Times New Roman" w:hAnsi="Times New Roman" w:cs="Times New Roman"/>
                <w:color w:val="auto"/>
              </w:rPr>
              <w:t>=1.5%</w:t>
            </w:r>
          </w:p>
        </w:tc>
        <w:tc>
          <w:tcPr>
            <w:tcW w:w="1843" w:type="dxa"/>
            <w:shd w:val="clear" w:color="auto" w:fill="FFFFFF"/>
            <w:noWrap/>
            <w:vAlign w:val="center"/>
          </w:tcPr>
          <w:p>
            <w:pPr>
              <w:jc w:val="center"/>
              <w:rPr>
                <w:rFonts w:ascii="Times New Roman" w:hAnsi="Times New Roman" w:cs="Times New Roman"/>
                <w:color w:val="auto"/>
              </w:rPr>
            </w:pPr>
            <w:r>
              <w:rPr>
                <w:rFonts w:ascii="Times New Roman" w:hAnsi="Times New Roman" w:cs="Times New Roman"/>
                <w:color w:val="auto"/>
              </w:rPr>
              <w:t>中国计量科学研究院</w:t>
            </w:r>
          </w:p>
          <w:p>
            <w:pPr>
              <w:jc w:val="center"/>
              <w:rPr>
                <w:rFonts w:ascii="Times New Roman" w:hAnsi="Times New Roman" w:cs="Times New Roman"/>
                <w:color w:val="auto"/>
              </w:rPr>
            </w:pPr>
            <w:r>
              <w:rPr>
                <w:rFonts w:ascii="Times New Roman" w:hAnsi="Times New Roman" w:cs="Times New Roman"/>
                <w:color w:val="auto"/>
              </w:rPr>
              <w:t>云南省计量测试技术研究院</w:t>
            </w:r>
          </w:p>
        </w:tc>
      </w:tr>
    </w:tbl>
    <w:p>
      <w:pPr>
        <w:spacing w:line="360" w:lineRule="auto"/>
        <w:rPr>
          <w:rFonts w:ascii="Times New Roman" w:hAnsi="Times New Roman" w:cs="Times New Roman"/>
          <w:color w:val="auto"/>
          <w:sz w:val="24"/>
        </w:rPr>
      </w:pPr>
    </w:p>
    <w:p>
      <w:pPr>
        <w:spacing w:line="360" w:lineRule="auto"/>
        <w:rPr>
          <w:rFonts w:ascii="Times New Roman" w:hAnsi="Times New Roman" w:cs="Times New Roman"/>
          <w:color w:val="auto"/>
          <w:sz w:val="24"/>
        </w:rPr>
      </w:pPr>
      <w:r>
        <w:rPr>
          <w:rFonts w:ascii="Times New Roman" w:hAnsi="Times New Roman" w:cs="Times New Roman"/>
          <w:color w:val="auto"/>
          <w:sz w:val="24"/>
        </w:rPr>
        <w:t>4、仪器情况</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目前生产硫酰氟、溴甲烷、磷化氢气体检测仪的厂家，国外主要有美国华瑞RAE（霍尼韦尔）、SPECTROS、加拿大BW、德国德尔格Drager、梅思安MSA、日本理研RIKEN KEIKI等，国内主要有深圳元特、万安迪、科尔诺、鹏雷、济南长清、河南汉威、保时安等。硫酰氟、溴甲烷、磷化氢气体检测仪目前广泛应用于粮食储备、食品检验、环境监测、化工、医药等领域。各种常见的硫酰氟、溴甲烷、磷化氢气体检测仪的基本信息情况可以参见附录A。</w:t>
      </w:r>
    </w:p>
    <w:p>
      <w:pPr>
        <w:spacing w:line="720" w:lineRule="auto"/>
        <w:rPr>
          <w:rFonts w:ascii="Times New Roman" w:hAnsi="Times New Roman" w:cs="Times New Roman"/>
          <w:b/>
          <w:color w:val="auto"/>
          <w:sz w:val="24"/>
        </w:rPr>
      </w:pPr>
      <w:r>
        <w:rPr>
          <w:rFonts w:ascii="Times New Roman" w:hAnsi="Times New Roman" w:cs="Times New Roman"/>
          <w:b/>
          <w:color w:val="auto"/>
          <w:sz w:val="24"/>
        </w:rPr>
        <w:t>六、制定内容说明</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依据对不同型号厂家的</w:t>
      </w:r>
      <w:r>
        <w:rPr>
          <w:rFonts w:hint="default" w:ascii="Times New Roman" w:hAnsi="Times New Roman" w:cs="Times New Roman"/>
          <w:color w:val="auto"/>
          <w:sz w:val="24"/>
        </w:rPr>
        <w:t>熏蒸气体检测仪</w:t>
      </w:r>
      <w:r>
        <w:rPr>
          <w:rFonts w:ascii="Times New Roman" w:hAnsi="Times New Roman" w:cs="Times New Roman"/>
          <w:color w:val="auto"/>
          <w:sz w:val="24"/>
        </w:rPr>
        <w:t>的调研情况，结合大多数生产厂家的生产能力和现有技术水平，在调研数据和试验数据的基础上，综合仪器和标准器具的现有的性能水平，确定仪器的计量性能要求。</w:t>
      </w:r>
    </w:p>
    <w:p>
      <w:pPr>
        <w:spacing w:line="360" w:lineRule="auto"/>
        <w:rPr>
          <w:rFonts w:hint="default" w:ascii="Times New Roman" w:hAnsi="Times New Roman" w:eastAsia="宋体" w:cs="Times New Roman"/>
          <w:color w:val="auto"/>
          <w:sz w:val="24"/>
          <w:lang w:val="en-US" w:eastAsia="zh-CN"/>
        </w:rPr>
      </w:pPr>
      <w:r>
        <w:rPr>
          <w:rFonts w:ascii="Times New Roman" w:hAnsi="Times New Roman" w:cs="Times New Roman"/>
          <w:color w:val="auto"/>
          <w:sz w:val="24"/>
        </w:rPr>
        <w:t>1、</w:t>
      </w:r>
      <w:r>
        <w:rPr>
          <w:rFonts w:hint="default" w:ascii="Times New Roman" w:hAnsi="Times New Roman" w:cs="Times New Roman"/>
          <w:color w:val="auto"/>
          <w:sz w:val="24"/>
          <w:lang w:val="en-US" w:eastAsia="zh-CN"/>
        </w:rPr>
        <w:t>范围</w:t>
      </w:r>
    </w:p>
    <w:p>
      <w:pPr>
        <w:spacing w:line="360" w:lineRule="auto"/>
        <w:ind w:firstLine="480" w:firstLineChars="200"/>
        <w:outlineLvl w:val="1"/>
        <w:rPr>
          <w:rFonts w:hint="eastAsia" w:ascii="Times New Roman" w:hAnsi="Times New Roman" w:cs="Times New Roman"/>
          <w:color w:val="auto"/>
          <w:sz w:val="24"/>
          <w:szCs w:val="24"/>
        </w:rPr>
      </w:pPr>
      <w:r>
        <w:rPr>
          <w:rFonts w:ascii="Times New Roman" w:hAnsi="Times New Roman" w:cs="Times New Roman"/>
          <w:color w:val="auto"/>
          <w:sz w:val="24"/>
          <w:szCs w:val="24"/>
          <w:lang w:val="zh-CN"/>
        </w:rPr>
        <w:t>市面上现有的</w:t>
      </w:r>
      <w:r>
        <w:rPr>
          <w:rFonts w:hint="eastAsia" w:ascii="Times New Roman" w:hAnsi="Times New Roman" w:cs="Times New Roman"/>
          <w:color w:val="auto"/>
          <w:sz w:val="24"/>
          <w:szCs w:val="24"/>
          <w:lang w:val="zh-CN"/>
        </w:rPr>
        <w:t>熏蒸气体检测仪</w:t>
      </w:r>
      <w:r>
        <w:rPr>
          <w:rFonts w:hint="eastAsia" w:ascii="Times New Roman" w:hAnsi="Times New Roman" w:cs="Times New Roman"/>
          <w:color w:val="auto"/>
          <w:sz w:val="24"/>
          <w:szCs w:val="24"/>
        </w:rPr>
        <w:t>的量程主要是</w:t>
      </w:r>
      <w:r>
        <w:rPr>
          <w:rFonts w:hint="eastAsia" w:ascii="Times New Roman" w:hAnsi="Times New Roman" w:cs="Times New Roman"/>
          <w:color w:val="auto"/>
          <w:sz w:val="24"/>
          <w:szCs w:val="24"/>
        </w:rPr>
        <w:t>100ppm、200ppm</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2%vol、6%vol</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磷化氢的量程主要是</w:t>
      </w:r>
      <w:r>
        <w:rPr>
          <w:rFonts w:hint="eastAsia" w:ascii="Times New Roman" w:hAnsi="Times New Roman" w:cs="Times New Roman"/>
          <w:color w:val="auto"/>
          <w:sz w:val="24"/>
          <w:szCs w:val="24"/>
        </w:rPr>
        <w:t>5ppm、10ppm</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rPr>
        <w:t>00ppm。</w:t>
      </w:r>
    </w:p>
    <w:p>
      <w:pPr>
        <w:spacing w:line="360" w:lineRule="auto"/>
        <w:ind w:firstLine="480" w:firstLineChars="200"/>
        <w:outlineLvl w:val="1"/>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在熏蒸气体标准物质方面，基于气体毒性和沸点、饱和蒸气压等的限制，及气瓶最终充装压力和存储运输因素的影响，为确保气体标准物质量值的稳定性，硫酰氟/溴甲烷标气最高浓度到2%mol/mol，磷化氢标气最高浓度到100μmol/mol。</w:t>
      </w:r>
    </w:p>
    <w:p>
      <w:pPr>
        <w:spacing w:line="360" w:lineRule="auto"/>
        <w:ind w:firstLine="480" w:firstLineChars="200"/>
        <w:outlineLvl w:val="1"/>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高浓度的熏蒸气体检测仪主要用于熏蒸结束后残留药效的评估，根据GB/T31752-2015，熏蒸24或48h结束后，残留药效约为20%~30%，因此，2%mol/mol硫酰氟/溴甲烷标气和100μmol/mol磷化氢标气已经能覆盖仪器残留药效评估的使用范围。</w:t>
      </w:r>
    </w:p>
    <w:p>
      <w:pPr>
        <w:numPr>
          <w:ilvl w:val="0"/>
          <w:numId w:val="1"/>
        </w:numPr>
        <w:spacing w:line="360" w:lineRule="auto"/>
        <w:ind w:firstLine="0" w:firstLineChars="0"/>
        <w:outlineLvl w:val="1"/>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环境温度</w:t>
      </w:r>
    </w:p>
    <w:p>
      <w:pPr>
        <w:numPr>
          <w:ilvl w:val="-1"/>
          <w:numId w:val="0"/>
        </w:numPr>
        <w:spacing w:line="360" w:lineRule="auto"/>
        <w:ind w:firstLine="0" w:firstLineChars="0"/>
        <w:outlineLvl w:val="1"/>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根据</w:t>
      </w:r>
      <w:r>
        <w:rPr>
          <w:rFonts w:hint="default" w:ascii="Times New Roman" w:hAnsi="Times New Roman" w:cs="Times New Roman"/>
          <w:color w:val="auto"/>
          <w:sz w:val="24"/>
        </w:rPr>
        <w:t>GB/T 31752-2015</w:t>
      </w:r>
      <w:r>
        <w:rPr>
          <w:rFonts w:hint="default" w:ascii="Times New Roman" w:hAnsi="Times New Roman" w:cs="Times New Roman"/>
          <w:color w:val="auto"/>
          <w:sz w:val="24"/>
          <w:lang w:val="en-US" w:eastAsia="zh-CN"/>
        </w:rPr>
        <w:t>熏蒸作业温度不得低于10°C，因此环境温度为（10～40）℃</w:t>
      </w:r>
    </w:p>
    <w:p>
      <w:pPr>
        <w:numPr>
          <w:ilvl w:val="-1"/>
          <w:numId w:val="0"/>
        </w:numPr>
        <w:spacing w:line="360" w:lineRule="auto"/>
        <w:ind w:firstLine="0" w:firstLineChars="0"/>
        <w:outlineLvl w:val="1"/>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3、示值误差</w:t>
      </w:r>
    </w:p>
    <w:p>
      <w:pPr>
        <w:spacing w:line="360" w:lineRule="auto"/>
        <w:ind w:firstLine="480" w:firstLineChars="200"/>
        <w:outlineLvl w:val="1"/>
        <w:rPr>
          <w:rFonts w:hint="default" w:ascii="Times New Roman" w:hAnsi="Times New Roman" w:cs="Times New Roman"/>
          <w:color w:val="auto"/>
          <w:sz w:val="24"/>
          <w:szCs w:val="24"/>
        </w:rPr>
      </w:pPr>
      <w:r>
        <w:rPr>
          <w:rFonts w:ascii="Times New Roman" w:hAnsi="Times New Roman" w:cs="Times New Roman"/>
          <w:color w:val="auto"/>
          <w:sz w:val="24"/>
          <w:szCs w:val="24"/>
          <w:lang w:val="zh-CN"/>
        </w:rPr>
        <w:t>示值误差选择的计量浓度点为各个测量范围的20%、50%、80%</w:t>
      </w:r>
      <w:r>
        <w:rPr>
          <w:rFonts w:hint="eastAsia" w:ascii="Times New Roman" w:hAnsi="Times New Roman" w:cs="Times New Roman"/>
          <w:color w:val="auto"/>
          <w:sz w:val="24"/>
          <w:szCs w:val="24"/>
          <w:lang w:val="zh-CN"/>
        </w:rPr>
        <w:t>，</w:t>
      </w:r>
      <w:r>
        <w:rPr>
          <w:rFonts w:ascii="Times New Roman" w:hAnsi="Times New Roman" w:cs="Times New Roman"/>
          <w:color w:val="auto"/>
          <w:sz w:val="24"/>
          <w:szCs w:val="24"/>
          <w:lang w:val="zh-CN"/>
        </w:rPr>
        <w:t>参考</w:t>
      </w:r>
      <w:r>
        <w:rPr>
          <w:rFonts w:ascii="Times New Roman" w:hAnsi="Times New Roman" w:cs="Times New Roman"/>
          <w:color w:val="auto"/>
          <w:sz w:val="24"/>
          <w:szCs w:val="24"/>
        </w:rPr>
        <w:t>GB 12358-2006《</w:t>
      </w:r>
      <w:r>
        <w:rPr>
          <w:rFonts w:hint="default" w:ascii="Times New Roman" w:hAnsi="Times New Roman" w:cs="Times New Roman"/>
          <w:color w:val="auto"/>
          <w:sz w:val="24"/>
          <w:szCs w:val="24"/>
        </w:rPr>
        <w:t>作业场所环境气体检测报警仪通用技术要求》，</w:t>
      </w:r>
      <w:r>
        <w:rPr>
          <w:rFonts w:ascii="Times New Roman" w:hAnsi="Times New Roman" w:cs="Times New Roman"/>
          <w:color w:val="auto"/>
          <w:sz w:val="24"/>
          <w:szCs w:val="24"/>
          <w:highlight w:val="none"/>
          <w:lang w:val="zh-CN"/>
        </w:rPr>
        <w:t>允许误差定为±</w:t>
      </w:r>
      <w:r>
        <w:rPr>
          <w:rFonts w:hint="eastAsia" w:ascii="Times New Roman" w:hAnsi="Times New Roman" w:cs="Times New Roman"/>
          <w:color w:val="auto"/>
          <w:sz w:val="24"/>
          <w:szCs w:val="24"/>
          <w:highlight w:val="none"/>
          <w:lang w:val="en-US" w:eastAsia="zh-CN"/>
        </w:rPr>
        <w:t>10</w:t>
      </w:r>
      <w:r>
        <w:rPr>
          <w:rFonts w:ascii="Times New Roman" w:hAnsi="Times New Roman" w:cs="Times New Roman"/>
          <w:color w:val="auto"/>
          <w:sz w:val="24"/>
          <w:szCs w:val="24"/>
          <w:highlight w:val="none"/>
          <w:lang w:val="zh-CN"/>
        </w:rPr>
        <w:t>％</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参加实验的30台仪器，只有一台仪器的20%FS检测点示值误差不符合要求（见实验报告），因此将最大</w:t>
      </w:r>
      <w:r>
        <w:rPr>
          <w:rFonts w:ascii="Times New Roman" w:hAnsi="Times New Roman" w:cs="Times New Roman"/>
          <w:color w:val="auto"/>
          <w:sz w:val="24"/>
          <w:szCs w:val="24"/>
          <w:highlight w:val="none"/>
          <w:lang w:val="zh-CN"/>
        </w:rPr>
        <w:t>允许误差定为±</w:t>
      </w:r>
      <w:r>
        <w:rPr>
          <w:rFonts w:hint="eastAsia" w:ascii="Times New Roman" w:hAnsi="Times New Roman" w:cs="Times New Roman"/>
          <w:color w:val="auto"/>
          <w:sz w:val="24"/>
          <w:szCs w:val="24"/>
          <w:highlight w:val="none"/>
          <w:lang w:val="en-US" w:eastAsia="zh-CN"/>
        </w:rPr>
        <w:t>10</w:t>
      </w:r>
      <w:r>
        <w:rPr>
          <w:rFonts w:ascii="Times New Roman" w:hAnsi="Times New Roman" w:cs="Times New Roman"/>
          <w:color w:val="auto"/>
          <w:sz w:val="24"/>
          <w:szCs w:val="24"/>
          <w:highlight w:val="none"/>
          <w:lang w:val="zh-CN"/>
        </w:rPr>
        <w:t>％</w:t>
      </w:r>
      <w:r>
        <w:rPr>
          <w:rFonts w:hint="eastAsia" w:ascii="Times New Roman" w:hAnsi="Times New Roman" w:cs="Times New Roman"/>
          <w:color w:val="auto"/>
          <w:sz w:val="24"/>
          <w:szCs w:val="24"/>
          <w:lang w:val="en-US" w:eastAsia="zh-CN"/>
        </w:rPr>
        <w:t>。</w:t>
      </w:r>
    </w:p>
    <w:p>
      <w:pPr>
        <w:spacing w:line="360" w:lineRule="auto"/>
        <w:outlineLvl w:val="1"/>
        <w:rPr>
          <w:rFonts w:ascii="Times New Roman" w:hAnsi="Times New Roman" w:cs="Times New Roman"/>
          <w:color w:val="auto"/>
          <w:sz w:val="24"/>
        </w:rPr>
      </w:pPr>
      <w:bookmarkStart w:id="2" w:name="_Toc357935286"/>
      <w:bookmarkStart w:id="3" w:name="_Toc357936479"/>
      <w:bookmarkStart w:id="4" w:name="_Toc357936540"/>
      <w:r>
        <w:rPr>
          <w:rFonts w:hint="eastAsia" w:ascii="Times New Roman" w:hAnsi="Times New Roman" w:cs="Times New Roman"/>
          <w:color w:val="auto"/>
          <w:sz w:val="24"/>
          <w:lang w:val="en-US" w:eastAsia="zh-CN"/>
        </w:rPr>
        <w:t>4</w:t>
      </w:r>
      <w:r>
        <w:rPr>
          <w:rFonts w:ascii="Times New Roman" w:hAnsi="Times New Roman" w:cs="Times New Roman"/>
          <w:color w:val="auto"/>
          <w:sz w:val="24"/>
        </w:rPr>
        <w:t>、重复性</w:t>
      </w:r>
      <w:bookmarkEnd w:id="2"/>
      <w:bookmarkEnd w:id="3"/>
      <w:bookmarkEnd w:id="4"/>
    </w:p>
    <w:p>
      <w:pPr>
        <w:spacing w:line="360" w:lineRule="auto"/>
        <w:ind w:firstLine="480" w:firstLineChars="200"/>
        <w:outlineLvl w:val="1"/>
        <w:rPr>
          <w:rFonts w:hint="default" w:ascii="Times New Roman" w:hAnsi="Times New Roman" w:eastAsia="宋体" w:cs="Times New Roman"/>
          <w:color w:val="auto"/>
          <w:sz w:val="24"/>
          <w:szCs w:val="24"/>
          <w:lang w:val="en-US" w:eastAsia="zh-CN"/>
        </w:rPr>
      </w:pPr>
      <w:r>
        <w:rPr>
          <w:rFonts w:ascii="Times New Roman" w:hAnsi="Times New Roman" w:cs="Times New Roman"/>
          <w:color w:val="auto"/>
          <w:sz w:val="24"/>
          <w:lang w:val="zh-CN"/>
        </w:rPr>
        <w:t>重复性的计量选用的测量点为50%</w:t>
      </w:r>
      <w:r>
        <w:rPr>
          <w:rFonts w:hint="eastAsia" w:ascii="Times New Roman" w:hAnsi="Times New Roman" w:cs="Times New Roman"/>
          <w:color w:val="auto"/>
          <w:sz w:val="24"/>
          <w:lang w:val="zh-CN"/>
        </w:rPr>
        <w:t xml:space="preserve"> </w:t>
      </w:r>
      <w:r>
        <w:rPr>
          <w:rFonts w:ascii="Times New Roman" w:hAnsi="Times New Roman" w:cs="Times New Roman"/>
          <w:color w:val="auto"/>
          <w:sz w:val="24"/>
          <w:lang w:val="zh-CN"/>
        </w:rPr>
        <w:t>量程标准</w:t>
      </w:r>
      <w:r>
        <w:rPr>
          <w:rFonts w:hint="eastAsia" w:ascii="Times New Roman" w:hAnsi="Times New Roman" w:cs="Times New Roman"/>
          <w:color w:val="auto"/>
          <w:sz w:val="24"/>
        </w:rPr>
        <w:t>气体</w:t>
      </w:r>
      <w:r>
        <w:rPr>
          <w:rFonts w:ascii="Times New Roman" w:hAnsi="Times New Roman" w:cs="Times New Roman"/>
          <w:color w:val="auto"/>
          <w:sz w:val="24"/>
          <w:lang w:val="zh-CN"/>
        </w:rPr>
        <w:t>，重复</w:t>
      </w:r>
      <w:r>
        <w:rPr>
          <w:rFonts w:ascii="Times New Roman" w:hAnsi="Times New Roman" w:cs="Times New Roman"/>
          <w:color w:val="auto"/>
          <w:sz w:val="24"/>
        </w:rPr>
        <w:t>测量</w:t>
      </w:r>
      <w:r>
        <w:rPr>
          <w:rFonts w:hint="eastAsia" w:ascii="Times New Roman" w:hAnsi="Times New Roman" w:cs="Times New Roman"/>
          <w:color w:val="auto"/>
          <w:sz w:val="24"/>
        </w:rPr>
        <w:t>6</w:t>
      </w:r>
      <w:r>
        <w:rPr>
          <w:rFonts w:ascii="Times New Roman" w:hAnsi="Times New Roman" w:cs="Times New Roman"/>
          <w:color w:val="auto"/>
          <w:sz w:val="24"/>
        </w:rPr>
        <w:t>次。</w:t>
      </w:r>
      <w:r>
        <w:rPr>
          <w:rFonts w:hint="default" w:ascii="Times New Roman" w:hAnsi="Times New Roman" w:cs="Times New Roman"/>
          <w:color w:val="auto"/>
          <w:sz w:val="24"/>
          <w:lang w:val="en-US" w:eastAsia="zh-CN"/>
        </w:rPr>
        <w:t>根据</w:t>
      </w:r>
      <w:r>
        <w:rPr>
          <w:rFonts w:hint="eastAsia" w:ascii="Times New Roman" w:hAnsi="Times New Roman" w:cs="Times New Roman"/>
          <w:color w:val="auto"/>
          <w:sz w:val="24"/>
          <w:lang w:val="en-US" w:eastAsia="zh-CN"/>
        </w:rPr>
        <w:t>实验</w:t>
      </w:r>
      <w:r>
        <w:rPr>
          <w:rFonts w:hint="default" w:ascii="Times New Roman" w:hAnsi="Times New Roman" w:cs="Times New Roman"/>
          <w:color w:val="auto"/>
          <w:sz w:val="24"/>
          <w:lang w:val="en-US" w:eastAsia="zh-CN"/>
        </w:rPr>
        <w:t>结果，9</w:t>
      </w:r>
      <w:r>
        <w:rPr>
          <w:rFonts w:hint="default" w:ascii="Times New Roman" w:hAnsi="Times New Roman" w:cs="Times New Roman"/>
          <w:color w:val="auto"/>
          <w:sz w:val="24"/>
          <w:lang w:val="en-US" w:eastAsia="zh-CN"/>
        </w:rPr>
        <w:t>0%以上的熏蒸气体检测仪重复性都在2%以内，</w:t>
      </w:r>
      <w:r>
        <w:rPr>
          <w:rFonts w:ascii="Times New Roman" w:hAnsi="Times New Roman" w:cs="Times New Roman"/>
          <w:color w:val="auto"/>
          <w:sz w:val="24"/>
          <w:szCs w:val="24"/>
        </w:rPr>
        <w:t>结合仪器厂家的</w:t>
      </w:r>
      <w:r>
        <w:rPr>
          <w:rFonts w:hint="default" w:ascii="Times New Roman" w:hAnsi="Times New Roman" w:cs="Times New Roman"/>
          <w:color w:val="auto"/>
          <w:sz w:val="24"/>
          <w:lang w:val="en-US" w:eastAsia="zh-CN"/>
        </w:rPr>
        <w:t>实际情况</w:t>
      </w:r>
      <w:r>
        <w:rPr>
          <w:rFonts w:ascii="Times New Roman" w:hAnsi="Times New Roman" w:cs="Times New Roman"/>
          <w:color w:val="auto"/>
          <w:sz w:val="24"/>
        </w:rPr>
        <w:t>和实验数据</w:t>
      </w:r>
      <w:r>
        <w:rPr>
          <w:rFonts w:hint="default" w:ascii="Times New Roman" w:hAnsi="Times New Roman" w:cs="Times New Roman"/>
          <w:color w:val="auto"/>
          <w:sz w:val="24"/>
          <w:lang w:val="en-US" w:eastAsia="zh-CN"/>
        </w:rPr>
        <w:t>将重复性</w:t>
      </w:r>
      <w:r>
        <w:rPr>
          <w:rFonts w:ascii="Times New Roman" w:hAnsi="Times New Roman" w:cs="Times New Roman"/>
          <w:color w:val="auto"/>
          <w:sz w:val="24"/>
        </w:rPr>
        <w:t>定为不大于</w:t>
      </w:r>
      <w:r>
        <w:rPr>
          <w:rFonts w:hint="eastAsia" w:ascii="Times New Roman" w:hAnsi="Times New Roman" w:cs="Times New Roman"/>
          <w:color w:val="auto"/>
          <w:sz w:val="24"/>
        </w:rPr>
        <w:t>3</w:t>
      </w:r>
      <w:r>
        <w:rPr>
          <w:rFonts w:ascii="Times New Roman" w:hAnsi="Times New Roman" w:cs="Times New Roman"/>
          <w:color w:val="auto"/>
          <w:sz w:val="24"/>
        </w:rPr>
        <w:t>%</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符合低量程检测仪的实际情况。</w:t>
      </w:r>
    </w:p>
    <w:p>
      <w:pPr>
        <w:pStyle w:val="6"/>
        <w:tabs>
          <w:tab w:val="left" w:pos="1785"/>
        </w:tabs>
        <w:spacing w:line="360" w:lineRule="auto"/>
        <w:ind w:left="0" w:right="544" w:firstLine="0" w:firstLineChars="0"/>
        <w:rPr>
          <w:rFonts w:ascii="Times New Roman"/>
          <w:color w:val="auto"/>
          <w:sz w:val="24"/>
          <w:szCs w:val="24"/>
        </w:rPr>
      </w:pPr>
      <w:r>
        <w:rPr>
          <w:rFonts w:hint="eastAsia" w:ascii="Times New Roman"/>
          <w:color w:val="auto"/>
          <w:sz w:val="24"/>
          <w:szCs w:val="24"/>
          <w:lang w:val="en-US" w:eastAsia="zh-CN"/>
        </w:rPr>
        <w:t>5</w:t>
      </w:r>
      <w:r>
        <w:rPr>
          <w:rFonts w:ascii="Times New Roman"/>
          <w:color w:val="auto"/>
          <w:sz w:val="24"/>
          <w:szCs w:val="24"/>
        </w:rPr>
        <w:t>、 响应时间</w:t>
      </w:r>
    </w:p>
    <w:p>
      <w:pPr>
        <w:pStyle w:val="6"/>
        <w:spacing w:line="360" w:lineRule="auto"/>
        <w:ind w:left="0" w:firstLine="480" w:firstLineChars="0"/>
        <w:rPr>
          <w:rFonts w:ascii="Times New Roman"/>
          <w:color w:val="auto"/>
          <w:sz w:val="24"/>
          <w:szCs w:val="24"/>
        </w:rPr>
      </w:pPr>
      <w:r>
        <w:rPr>
          <w:rFonts w:ascii="Times New Roman"/>
          <w:color w:val="auto"/>
          <w:sz w:val="24"/>
          <w:szCs w:val="24"/>
        </w:rPr>
        <w:t>仪器响应时间反应的是</w:t>
      </w:r>
      <w:r>
        <w:rPr>
          <w:rFonts w:hint="eastAsia" w:ascii="Times New Roman"/>
          <w:color w:val="auto"/>
          <w:sz w:val="24"/>
          <w:szCs w:val="24"/>
        </w:rPr>
        <w:t>仪器</w:t>
      </w:r>
      <w:r>
        <w:rPr>
          <w:rFonts w:ascii="Times New Roman"/>
          <w:color w:val="auto"/>
          <w:sz w:val="24"/>
          <w:szCs w:val="24"/>
        </w:rPr>
        <w:t>测量</w:t>
      </w:r>
      <w:r>
        <w:rPr>
          <w:rFonts w:hint="eastAsia" w:ascii="Times New Roman"/>
          <w:color w:val="auto"/>
          <w:sz w:val="24"/>
          <w:szCs w:val="24"/>
        </w:rPr>
        <w:t>熏蒸气体</w:t>
      </w:r>
      <w:r>
        <w:rPr>
          <w:rFonts w:ascii="Times New Roman"/>
          <w:color w:val="auto"/>
          <w:sz w:val="24"/>
          <w:szCs w:val="24"/>
        </w:rPr>
        <w:t>时的反应速度，</w:t>
      </w:r>
      <w:r>
        <w:rPr>
          <w:rFonts w:hint="eastAsia" w:ascii="Times New Roman"/>
          <w:color w:val="auto"/>
          <w:sz w:val="24"/>
          <w:szCs w:val="24"/>
          <w:lang w:val="en-US" w:eastAsia="zh-CN"/>
        </w:rPr>
        <w:t>溴甲烷、硫酰氟</w:t>
      </w:r>
      <w:r>
        <w:rPr>
          <w:rFonts w:hint="eastAsia" w:ascii="Times New Roman"/>
          <w:color w:val="auto"/>
          <w:sz w:val="24"/>
          <w:szCs w:val="24"/>
        </w:rPr>
        <w:t>以</w:t>
      </w:r>
      <w:r>
        <w:rPr>
          <w:rFonts w:hint="eastAsia" w:ascii="Times New Roman"/>
          <w:color w:val="auto"/>
          <w:sz w:val="24"/>
          <w:szCs w:val="24"/>
          <w:lang w:val="en-US" w:eastAsia="zh-CN"/>
        </w:rPr>
        <w:t>非散射</w:t>
      </w:r>
      <w:r>
        <w:rPr>
          <w:rFonts w:hint="eastAsia" w:ascii="Times New Roman"/>
          <w:color w:val="auto"/>
          <w:sz w:val="24"/>
          <w:szCs w:val="24"/>
        </w:rPr>
        <w:t>红外及热导式传感器为主，此类仪器响应时间较快，一般在30s内</w:t>
      </w:r>
      <w:r>
        <w:rPr>
          <w:rFonts w:hint="eastAsia" w:ascii="Times New Roman"/>
          <w:color w:val="auto"/>
          <w:sz w:val="24"/>
          <w:szCs w:val="24"/>
          <w:lang w:eastAsia="zh-CN"/>
        </w:rPr>
        <w:t>，</w:t>
      </w:r>
      <w:r>
        <w:rPr>
          <w:rFonts w:hint="eastAsia" w:ascii="Times New Roman"/>
          <w:color w:val="auto"/>
          <w:sz w:val="24"/>
          <w:szCs w:val="24"/>
        </w:rPr>
        <w:t>但是考虑到部分</w:t>
      </w:r>
      <w:r>
        <w:rPr>
          <w:rFonts w:hint="eastAsia" w:ascii="Times New Roman"/>
          <w:color w:val="auto"/>
          <w:sz w:val="24"/>
          <w:szCs w:val="24"/>
          <w:lang w:val="en-US" w:eastAsia="zh-CN"/>
        </w:rPr>
        <w:t>硫酰氟检测仪会采用</w:t>
      </w:r>
      <w:r>
        <w:rPr>
          <w:rFonts w:hint="eastAsia" w:ascii="Times New Roman"/>
          <w:color w:val="auto"/>
          <w:sz w:val="24"/>
          <w:szCs w:val="24"/>
        </w:rPr>
        <w:t>电化学传感器及新出现的光谱类传感器响应时间较慢，结合厂家及实验数据，</w:t>
      </w:r>
      <w:r>
        <w:rPr>
          <w:rFonts w:hint="default" w:ascii="Times New Roman"/>
          <w:color w:val="auto"/>
          <w:sz w:val="24"/>
        </w:rPr>
        <w:t>响应时间</w:t>
      </w:r>
      <w:r>
        <w:rPr>
          <w:rFonts w:hint="default" w:ascii="Times New Roman"/>
          <w:color w:val="auto"/>
          <w:sz w:val="24"/>
          <w:lang w:val="en-US" w:eastAsia="zh-CN"/>
        </w:rPr>
        <w:t>定为吸入式</w:t>
      </w:r>
      <w:r>
        <w:rPr>
          <w:rFonts w:hint="default" w:ascii="Times New Roman"/>
          <w:color w:val="auto"/>
          <w:sz w:val="24"/>
        </w:rPr>
        <w:t>不大于</w:t>
      </w:r>
      <w:r>
        <w:rPr>
          <w:rFonts w:hint="eastAsia" w:ascii="Times New Roman"/>
          <w:color w:val="auto"/>
          <w:sz w:val="24"/>
          <w:szCs w:val="24"/>
          <w:lang w:val="en-US" w:eastAsia="zh-CN"/>
        </w:rPr>
        <w:t>3</w:t>
      </w:r>
      <w:r>
        <w:rPr>
          <w:rFonts w:hint="eastAsia" w:ascii="Times New Roman"/>
          <w:color w:val="auto"/>
          <w:kern w:val="0"/>
          <w:sz w:val="24"/>
          <w:szCs w:val="24"/>
        </w:rPr>
        <w:t xml:space="preserve">0 </w:t>
      </w:r>
      <w:r>
        <w:rPr>
          <w:rFonts w:hint="eastAsia" w:ascii="Times New Roman"/>
          <w:color w:val="auto"/>
          <w:kern w:val="0"/>
          <w:sz w:val="24"/>
          <w:szCs w:val="24"/>
          <w:lang w:val="en-US" w:eastAsia="zh-CN"/>
        </w:rPr>
        <w:t>s</w:t>
      </w:r>
      <w:r>
        <w:rPr>
          <w:rFonts w:hint="default" w:ascii="Times New Roman"/>
          <w:color w:val="auto"/>
          <w:kern w:val="0"/>
          <w:sz w:val="24"/>
          <w:lang w:val="en-US" w:eastAsia="zh-CN"/>
        </w:rPr>
        <w:t>，扩散式不大于60s。</w:t>
      </w:r>
      <w:r>
        <w:rPr>
          <w:rFonts w:hint="eastAsia" w:ascii="Times New Roman" w:hAnsi="Times New Roman" w:cs="Times New Roman"/>
          <w:color w:val="auto"/>
          <w:sz w:val="24"/>
          <w:szCs w:val="24"/>
          <w:lang w:val="en-US" w:eastAsia="zh-CN"/>
        </w:rPr>
        <w:t>参加实验的30台仪器，只有一台仪器的</w:t>
      </w:r>
      <w:r>
        <w:rPr>
          <w:rFonts w:hint="eastAsia" w:ascii="Times New Roman" w:cs="Times New Roman"/>
          <w:color w:val="auto"/>
          <w:sz w:val="24"/>
          <w:szCs w:val="24"/>
          <w:lang w:val="en-US" w:eastAsia="zh-CN"/>
        </w:rPr>
        <w:t>响应时间不符合要求</w:t>
      </w:r>
      <w:r>
        <w:rPr>
          <w:rFonts w:hint="eastAsia" w:ascii="Times New Roman" w:hAnsi="Times New Roman" w:cs="Times New Roman"/>
          <w:color w:val="auto"/>
          <w:sz w:val="24"/>
          <w:szCs w:val="24"/>
          <w:lang w:val="en-US" w:eastAsia="zh-CN"/>
        </w:rPr>
        <w:t>。</w:t>
      </w:r>
    </w:p>
    <w:p>
      <w:pPr>
        <w:pStyle w:val="6"/>
        <w:spacing w:line="360" w:lineRule="auto"/>
        <w:ind w:left="0" w:firstLine="0" w:firstLineChars="0"/>
        <w:rPr>
          <w:rFonts w:ascii="Times New Roman"/>
          <w:color w:val="auto"/>
          <w:sz w:val="24"/>
          <w:szCs w:val="24"/>
        </w:rPr>
      </w:pPr>
      <w:r>
        <w:rPr>
          <w:rFonts w:hint="eastAsia" w:ascii="Times New Roman"/>
          <w:color w:val="auto"/>
          <w:sz w:val="24"/>
          <w:szCs w:val="24"/>
          <w:lang w:val="en-US" w:eastAsia="zh-CN"/>
        </w:rPr>
        <w:t>6</w:t>
      </w:r>
      <w:r>
        <w:rPr>
          <w:rFonts w:ascii="Times New Roman"/>
          <w:color w:val="auto"/>
          <w:sz w:val="24"/>
          <w:szCs w:val="24"/>
        </w:rPr>
        <w:t>、</w:t>
      </w:r>
      <w:r>
        <w:rPr>
          <w:rFonts w:hint="eastAsia" w:ascii="Times New Roman"/>
          <w:color w:val="auto"/>
          <w:sz w:val="24"/>
          <w:szCs w:val="24"/>
        </w:rPr>
        <w:t>漂移</w:t>
      </w:r>
    </w:p>
    <w:p>
      <w:pPr>
        <w:spacing w:line="360" w:lineRule="auto"/>
        <w:ind w:firstLine="480" w:firstLineChars="200"/>
        <w:rPr>
          <w:rFonts w:hint="eastAsia" w:ascii="Times New Roman" w:hAnsi="Times New Roman" w:eastAsia="宋体" w:cs="Times New Roman"/>
          <w:color w:val="auto"/>
          <w:sz w:val="24"/>
          <w:lang w:val="en-US" w:eastAsia="zh-CN"/>
        </w:rPr>
      </w:pPr>
      <w:r>
        <w:rPr>
          <w:rFonts w:hint="eastAsia" w:ascii="Times New Roman" w:hAnsi="Times New Roman" w:cs="Times New Roman"/>
          <w:color w:val="auto"/>
          <w:sz w:val="24"/>
          <w:szCs w:val="24"/>
        </w:rPr>
        <w:t>熏蒸</w:t>
      </w:r>
      <w:r>
        <w:rPr>
          <w:rFonts w:hint="eastAsia" w:ascii="Times New Roman" w:hAnsi="Times New Roman" w:cs="Times New Roman"/>
          <w:color w:val="auto"/>
          <w:sz w:val="24"/>
          <w:szCs w:val="24"/>
          <w:lang w:val="en-US" w:eastAsia="zh-CN"/>
        </w:rPr>
        <w:t>作业</w:t>
      </w:r>
      <w:r>
        <w:rPr>
          <w:rFonts w:hint="eastAsia" w:ascii="Times New Roman" w:hAnsi="Times New Roman" w:cs="Times New Roman"/>
          <w:color w:val="auto"/>
          <w:sz w:val="24"/>
          <w:szCs w:val="24"/>
        </w:rPr>
        <w:t>时间绝大多数小于24小时，其次使用场景多为集装箱，使用时间多为熏蒸开始时和熏蒸结束后，仪器种类以便携式为主，比较少连续使用超过4小时，因此</w:t>
      </w:r>
      <w:r>
        <w:rPr>
          <w:rFonts w:hint="eastAsia" w:ascii="Times New Roman" w:hAnsi="Times New Roman" w:cs="Times New Roman"/>
          <w:color w:val="auto"/>
          <w:sz w:val="24"/>
        </w:rPr>
        <w:t>将技术指标定为零点漂移</w:t>
      </w:r>
      <w:r>
        <w:rPr>
          <w:rFonts w:hint="eastAsia" w:ascii="Times New Roman" w:hAnsi="Times New Roman" w:cs="Times New Roman"/>
          <w:color w:val="auto"/>
          <w:sz w:val="24"/>
          <w:lang w:val="en-US" w:eastAsia="zh-CN"/>
        </w:rPr>
        <w:t>2</w:t>
      </w:r>
      <w:r>
        <w:rPr>
          <w:rFonts w:hint="eastAsia" w:ascii="Times New Roman" w:hAnsi="Times New Roman" w:cs="Times New Roman"/>
          <w:color w:val="auto"/>
          <w:sz w:val="24"/>
        </w:rPr>
        <w:t>%FS，量程漂移3%FS</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参与漂移实验的仪器，</w:t>
      </w:r>
      <w:r>
        <w:rPr>
          <w:rFonts w:hint="eastAsia" w:ascii="Times New Roman" w:hAnsi="Times New Roman" w:cs="Times New Roman"/>
          <w:color w:val="auto"/>
          <w:sz w:val="24"/>
        </w:rPr>
        <w:t>零点漂移</w:t>
      </w:r>
      <w:r>
        <w:rPr>
          <w:rFonts w:hint="eastAsia" w:ascii="Times New Roman" w:hAnsi="Times New Roman" w:cs="Times New Roman"/>
          <w:color w:val="auto"/>
          <w:sz w:val="24"/>
          <w:lang w:val="en-US" w:eastAsia="zh-CN"/>
        </w:rPr>
        <w:t>和</w:t>
      </w:r>
      <w:r>
        <w:rPr>
          <w:rFonts w:hint="eastAsia" w:ascii="Times New Roman" w:hAnsi="Times New Roman" w:cs="Times New Roman"/>
          <w:color w:val="auto"/>
          <w:sz w:val="24"/>
        </w:rPr>
        <w:t>量程漂移</w:t>
      </w:r>
      <w:r>
        <w:rPr>
          <w:rFonts w:hint="eastAsia" w:ascii="Times New Roman" w:hAnsi="Times New Roman" w:cs="Times New Roman"/>
          <w:color w:val="auto"/>
          <w:sz w:val="24"/>
          <w:lang w:val="en-US" w:eastAsia="zh-CN"/>
        </w:rPr>
        <w:t>均满足该要求。</w:t>
      </w:r>
    </w:p>
    <w:p>
      <w:pPr>
        <w:pStyle w:val="6"/>
        <w:numPr>
          <w:ilvl w:val="-1"/>
          <w:numId w:val="0"/>
        </w:numPr>
        <w:spacing w:line="360" w:lineRule="auto"/>
        <w:ind w:left="0" w:firstLine="0" w:firstLineChars="0"/>
        <w:jc w:val="left"/>
        <w:rPr>
          <w:rFonts w:ascii="Times New Roman"/>
          <w:color w:val="auto"/>
          <w:sz w:val="24"/>
          <w:szCs w:val="24"/>
        </w:rPr>
      </w:pPr>
      <w:r>
        <w:rPr>
          <w:rFonts w:hint="eastAsia" w:ascii="Times New Roman"/>
          <w:color w:val="auto"/>
          <w:sz w:val="24"/>
          <w:szCs w:val="24"/>
          <w:lang w:val="en-US" w:eastAsia="zh-CN"/>
        </w:rPr>
        <w:t>7、</w:t>
      </w:r>
      <w:r>
        <w:rPr>
          <w:rFonts w:hint="eastAsia" w:ascii="Times New Roman"/>
          <w:color w:val="auto"/>
          <w:sz w:val="24"/>
          <w:szCs w:val="24"/>
        </w:rPr>
        <w:t>报警功能和报警动作值</w:t>
      </w:r>
    </w:p>
    <w:p>
      <w:pPr>
        <w:spacing w:line="360" w:lineRule="auto"/>
        <w:ind w:firstLine="360" w:firstLineChars="150"/>
        <w:rPr>
          <w:rFonts w:ascii="Times New Roman" w:hAnsi="Times New Roman" w:cs="Times New Roman"/>
          <w:color w:val="auto"/>
        </w:rPr>
      </w:pPr>
      <w:r>
        <w:rPr>
          <w:rFonts w:hint="default" w:ascii="Times New Roman" w:hAnsi="Times New Roman" w:cs="Times New Roman"/>
          <w:color w:val="auto"/>
          <w:sz w:val="24"/>
          <w:lang w:val="zh-CN"/>
        </w:rPr>
        <w:t>报警功能和报警动作值，</w:t>
      </w:r>
      <w:r>
        <w:rPr>
          <w:rFonts w:hint="default" w:ascii="Times New Roman" w:hAnsi="Times New Roman" w:cs="Times New Roman"/>
          <w:color w:val="auto"/>
          <w:sz w:val="24"/>
        </w:rPr>
        <w:t>仅对</w:t>
      </w:r>
      <w:r>
        <w:rPr>
          <w:rFonts w:hint="default" w:ascii="Times New Roman" w:hAnsi="Times New Roman" w:cs="Times New Roman"/>
          <w:color w:val="auto"/>
          <w:sz w:val="24"/>
          <w:lang w:val="en-US" w:eastAsia="zh-CN"/>
        </w:rPr>
        <w:t>有报警功能的气体检测仪</w:t>
      </w:r>
      <w:r>
        <w:rPr>
          <w:rFonts w:hint="default" w:ascii="Times New Roman" w:hAnsi="Times New Roman" w:cs="Times New Roman"/>
          <w:color w:val="auto"/>
          <w:sz w:val="24"/>
        </w:rPr>
        <w:t>有要求，</w:t>
      </w:r>
      <w:r>
        <w:rPr>
          <w:rFonts w:hint="default" w:ascii="Times New Roman" w:hAnsi="Times New Roman" w:cs="Times New Roman"/>
          <w:color w:val="auto"/>
          <w:sz w:val="24"/>
          <w:lang w:val="en-US" w:eastAsia="zh-CN"/>
        </w:rPr>
        <w:t>没有此功能的</w:t>
      </w:r>
      <w:r>
        <w:rPr>
          <w:rFonts w:hint="default" w:ascii="Times New Roman" w:hAnsi="Times New Roman" w:cs="Times New Roman"/>
          <w:color w:val="auto"/>
          <w:sz w:val="24"/>
        </w:rPr>
        <w:t>不作要求。</w:t>
      </w:r>
      <w:r>
        <w:rPr>
          <w:rFonts w:hint="default" w:ascii="Times New Roman" w:hAnsi="Times New Roman" w:cs="Times New Roman"/>
          <w:color w:val="auto"/>
          <w:sz w:val="24"/>
          <w:szCs w:val="24"/>
        </w:rPr>
        <w:t>参</w:t>
      </w:r>
      <w:r>
        <w:rPr>
          <w:rFonts w:ascii="Times New Roman" w:hAnsi="Times New Roman" w:cs="Times New Roman"/>
          <w:color w:val="auto"/>
          <w:sz w:val="24"/>
          <w:szCs w:val="24"/>
        </w:rPr>
        <w:t>考</w:t>
      </w:r>
      <w:r>
        <w:rPr>
          <w:rFonts w:ascii="Times New Roman" w:hAnsi="Times New Roman" w:cs="Times New Roman"/>
          <w:color w:val="auto"/>
          <w:sz w:val="24"/>
        </w:rPr>
        <w:t>GB 12358-2006《</w:t>
      </w:r>
      <w:r>
        <w:rPr>
          <w:rFonts w:hint="default" w:ascii="Times New Roman" w:hAnsi="Times New Roman" w:cs="Times New Roman"/>
          <w:color w:val="auto"/>
          <w:sz w:val="24"/>
        </w:rPr>
        <w:t>作业场所环境气体检测报警仪通用技术要求》、GB/T 50493-2019《石油化工可燃气体和有毒气体检测报警设计标准》和JJG 659-2019《硫化氢气体检测仪检定规程》。定为在其测量范围内应具有报警设定值，当仪器示值达到报警设定值时，应有声、光或振动报警。</w:t>
      </w:r>
    </w:p>
    <w:p>
      <w:pPr>
        <w:spacing w:line="720" w:lineRule="auto"/>
        <w:rPr>
          <w:rFonts w:ascii="Times New Roman" w:hAnsi="Times New Roman" w:cs="Times New Roman"/>
          <w:b/>
          <w:color w:val="auto"/>
          <w:sz w:val="24"/>
        </w:rPr>
      </w:pPr>
      <w:r>
        <w:rPr>
          <w:rFonts w:ascii="Times New Roman" w:hAnsi="Times New Roman" w:cs="Times New Roman"/>
          <w:b/>
          <w:color w:val="auto"/>
          <w:sz w:val="24"/>
        </w:rPr>
        <w:t>七、不确定度评定</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按照JJF 1071-2010《国家计量校准规范编写规则》和JJF1059.1-2012《测量不确定度评定与表示》相关要求，编写了校准结果的不确定度评定实</w:t>
      </w:r>
      <w:bookmarkStart w:id="5" w:name="_Toc413319172"/>
      <w:r>
        <w:rPr>
          <w:rFonts w:ascii="Times New Roman" w:hAnsi="Times New Roman" w:cs="Times New Roman"/>
          <w:color w:val="auto"/>
          <w:sz w:val="24"/>
        </w:rPr>
        <w:t>例</w:t>
      </w:r>
      <w:bookmarkEnd w:id="5"/>
      <w:r>
        <w:rPr>
          <w:rFonts w:ascii="Times New Roman" w:hAnsi="Times New Roman" w:cs="Times New Roman"/>
          <w:color w:val="auto"/>
          <w:sz w:val="24"/>
        </w:rPr>
        <w:t>（详见校准规范）。</w:t>
      </w:r>
      <w:r>
        <w:rPr>
          <w:rFonts w:hint="eastAsia" w:ascii="Times New Roman" w:hAnsi="Times New Roman" w:cs="Times New Roman"/>
          <w:color w:val="auto"/>
          <w:sz w:val="24"/>
        </w:rPr>
        <w:t>不确定度评定报告</w:t>
      </w:r>
      <w:r>
        <w:rPr>
          <w:rFonts w:ascii="Times New Roman" w:hAnsi="Times New Roman" w:cs="Times New Roman"/>
          <w:color w:val="auto"/>
          <w:sz w:val="24"/>
        </w:rPr>
        <w:t>中对于不同测量原理、不同测量范围的仪器进行了不确定分析验证，</w:t>
      </w:r>
      <w:r>
        <w:rPr>
          <w:rFonts w:hint="eastAsia" w:ascii="Times New Roman" w:hAnsi="Times New Roman" w:cs="Times New Roman"/>
          <w:color w:val="auto"/>
          <w:sz w:val="24"/>
        </w:rPr>
        <w:t>扩展不确定度≈1/3MPE</w:t>
      </w:r>
      <w:r>
        <w:rPr>
          <w:rFonts w:ascii="Times New Roman" w:hAnsi="Times New Roman" w:cs="Times New Roman"/>
          <w:color w:val="auto"/>
          <w:sz w:val="24"/>
        </w:rPr>
        <w:t>。</w:t>
      </w:r>
    </w:p>
    <w:p>
      <w:pPr>
        <w:spacing w:line="720" w:lineRule="auto"/>
        <w:rPr>
          <w:rFonts w:ascii="Times New Roman" w:hAnsi="Times New Roman" w:cs="Times New Roman"/>
          <w:b/>
          <w:color w:val="auto"/>
          <w:sz w:val="24"/>
        </w:rPr>
      </w:pPr>
      <w:r>
        <w:rPr>
          <w:rFonts w:hint="default" w:ascii="Times New Roman" w:hAnsi="Times New Roman" w:cs="Times New Roman"/>
          <w:b/>
          <w:color w:val="auto"/>
          <w:sz w:val="24"/>
        </w:rPr>
        <w:t>八、</w:t>
      </w:r>
      <w:r>
        <w:rPr>
          <w:rFonts w:ascii="Times New Roman" w:hAnsi="Times New Roman" w:cs="Times New Roman"/>
          <w:b/>
          <w:color w:val="auto"/>
          <w:sz w:val="24"/>
        </w:rPr>
        <w:t>总结</w:t>
      </w:r>
    </w:p>
    <w:p>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在本规范的制定过程中，起草小组以大量技术资料及相关标准、实验数据为技术依据，本着科学合理、易于操作和普遍适用的原则，制定完成了</w:t>
      </w:r>
      <w:r>
        <w:rPr>
          <w:rFonts w:hint="default" w:ascii="Times New Roman" w:hAnsi="Times New Roman" w:cs="Times New Roman"/>
          <w:color w:val="auto"/>
          <w:kern w:val="0"/>
          <w:sz w:val="24"/>
        </w:rPr>
        <w:t>熏蒸气体检测仪</w:t>
      </w:r>
      <w:r>
        <w:rPr>
          <w:rFonts w:ascii="Times New Roman" w:hAnsi="Times New Roman" w:cs="Times New Roman"/>
          <w:color w:val="auto"/>
          <w:sz w:val="24"/>
        </w:rPr>
        <w:t>校准规范。</w:t>
      </w:r>
    </w:p>
    <w:p>
      <w:pPr>
        <w:widowControl/>
        <w:jc w:val="left"/>
        <w:rPr>
          <w:rFonts w:ascii="Times New Roman" w:hAnsi="Times New Roman" w:cs="Times New Roman"/>
          <w:b/>
          <w:color w:val="auto"/>
          <w:sz w:val="24"/>
        </w:rPr>
        <w:sectPr>
          <w:footerReference r:id="rId3" w:type="default"/>
          <w:pgSz w:w="11906" w:h="16838"/>
          <w:pgMar w:top="1134" w:right="1800" w:bottom="1134" w:left="1800" w:header="851" w:footer="992" w:gutter="0"/>
          <w:cols w:space="720" w:num="1"/>
          <w:docGrid w:type="lines" w:linePitch="312" w:charSpace="0"/>
        </w:sectPr>
      </w:pPr>
      <w:r>
        <w:rPr>
          <w:rFonts w:ascii="Times New Roman" w:hAnsi="Times New Roman" w:cs="Times New Roman"/>
          <w:color w:val="auto"/>
          <w:sz w:val="24"/>
        </w:rPr>
        <w:br w:type="page"/>
      </w:r>
    </w:p>
    <w:p>
      <w:pPr>
        <w:widowControl/>
        <w:jc w:val="left"/>
        <w:rPr>
          <w:rFonts w:ascii="Times New Roman" w:hAnsi="Times New Roman" w:cs="Times New Roman"/>
          <w:b/>
          <w:color w:val="auto"/>
          <w:sz w:val="24"/>
        </w:rPr>
      </w:pPr>
      <w:r>
        <w:rPr>
          <w:rFonts w:ascii="Times New Roman" w:hAnsi="Times New Roman" w:cs="Times New Roman"/>
          <w:b/>
          <w:color w:val="auto"/>
          <w:sz w:val="24"/>
        </w:rPr>
        <w:t>附录A  各型号</w:t>
      </w:r>
      <w:r>
        <w:rPr>
          <w:rFonts w:hint="default" w:ascii="Times New Roman" w:hAnsi="Times New Roman" w:cs="Times New Roman"/>
          <w:b/>
          <w:color w:val="auto"/>
          <w:sz w:val="24"/>
        </w:rPr>
        <w:t>熏蒸气体检测仪</w:t>
      </w:r>
      <w:r>
        <w:rPr>
          <w:rFonts w:ascii="Times New Roman" w:hAnsi="Times New Roman" w:cs="Times New Roman"/>
          <w:b/>
          <w:color w:val="auto"/>
          <w:sz w:val="24"/>
        </w:rPr>
        <w:t>出厂技术参数汇总</w:t>
      </w:r>
    </w:p>
    <w:tbl>
      <w:tblPr>
        <w:tblStyle w:val="12"/>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842"/>
        <w:gridCol w:w="2127"/>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tcPr>
          <w:p>
            <w:pPr>
              <w:jc w:val="center"/>
              <w:rPr>
                <w:rFonts w:ascii="Times New Roman" w:hAnsi="Times New Roman" w:cs="Times New Roman"/>
                <w:color w:val="auto"/>
              </w:rPr>
            </w:pPr>
            <w:r>
              <w:rPr>
                <w:rFonts w:ascii="Times New Roman" w:hAnsi="Times New Roman" w:cs="Times New Roman"/>
                <w:color w:val="auto"/>
              </w:rPr>
              <w:t>生产厂家</w:t>
            </w:r>
          </w:p>
        </w:tc>
        <w:tc>
          <w:tcPr>
            <w:tcW w:w="1842" w:type="dxa"/>
          </w:tcPr>
          <w:p>
            <w:pPr>
              <w:jc w:val="center"/>
              <w:rPr>
                <w:rFonts w:ascii="Times New Roman" w:hAnsi="Times New Roman" w:cs="Times New Roman"/>
                <w:color w:val="auto"/>
              </w:rPr>
            </w:pPr>
            <w:r>
              <w:rPr>
                <w:rFonts w:ascii="Times New Roman" w:hAnsi="Times New Roman" w:cs="Times New Roman"/>
                <w:color w:val="auto"/>
              </w:rPr>
              <w:t>型号</w:t>
            </w:r>
          </w:p>
        </w:tc>
        <w:tc>
          <w:tcPr>
            <w:tcW w:w="2127" w:type="dxa"/>
          </w:tcPr>
          <w:p>
            <w:pPr>
              <w:jc w:val="center"/>
              <w:rPr>
                <w:rFonts w:ascii="Times New Roman" w:hAnsi="Times New Roman" w:cs="Times New Roman"/>
                <w:color w:val="auto"/>
              </w:rPr>
            </w:pPr>
            <w:r>
              <w:rPr>
                <w:rFonts w:ascii="Times New Roman" w:hAnsi="Times New Roman" w:cs="Times New Roman"/>
                <w:color w:val="auto"/>
              </w:rPr>
              <w:t>测量范围</w:t>
            </w:r>
          </w:p>
        </w:tc>
        <w:tc>
          <w:tcPr>
            <w:tcW w:w="1417" w:type="dxa"/>
          </w:tcPr>
          <w:p>
            <w:pPr>
              <w:jc w:val="center"/>
              <w:rPr>
                <w:rFonts w:hint="eastAsia" w:ascii="Times New Roman" w:hAnsi="Times New Roman" w:eastAsia="宋体" w:cs="Times New Roman"/>
                <w:color w:val="auto"/>
                <w:lang w:eastAsia="zh-CN"/>
              </w:rPr>
            </w:pPr>
            <w:r>
              <w:rPr>
                <w:rFonts w:ascii="Times New Roman" w:hAnsi="Times New Roman" w:cs="Times New Roman"/>
                <w:color w:val="auto"/>
              </w:rPr>
              <w:t>分辨</w:t>
            </w:r>
            <w:r>
              <w:rPr>
                <w:rFonts w:hint="eastAsia" w:ascii="Times New Roman" w:hAnsi="Times New Roman" w:cs="Times New Roman"/>
                <w:color w:val="auto"/>
                <w:lang w:val="en-US" w:eastAsia="zh-CN"/>
              </w:rPr>
              <w:t>力</w:t>
            </w:r>
          </w:p>
        </w:tc>
        <w:tc>
          <w:tcPr>
            <w:tcW w:w="1418" w:type="dxa"/>
          </w:tcPr>
          <w:p>
            <w:pPr>
              <w:jc w:val="center"/>
              <w:rPr>
                <w:rFonts w:ascii="Times New Roman" w:hAnsi="Times New Roman" w:cs="Times New Roman"/>
                <w:color w:val="auto"/>
              </w:rPr>
            </w:pPr>
            <w:r>
              <w:rPr>
                <w:rFonts w:ascii="Times New Roman" w:hAnsi="Times New Roman" w:cs="Times New Roman"/>
                <w:color w:val="auto"/>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SPECTROS</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MB-ContainIR</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溴甲烷0～20000ppm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SF-ContainIR</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硫酰氟0～20000ppm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SF-ExplorIR</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硫酰氟0～100ppm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MB-ExplorID</w:t>
            </w:r>
          </w:p>
        </w:tc>
        <w:tc>
          <w:tcPr>
            <w:tcW w:w="2127" w:type="dxa"/>
            <w:tcBorders>
              <w:bottom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溴甲烷0～100ppm</w:t>
            </w:r>
          </w:p>
        </w:tc>
        <w:tc>
          <w:tcPr>
            <w:tcW w:w="1417" w:type="dxa"/>
            <w:tcBorders>
              <w:bottom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tcBorders>
              <w:bottom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continue"/>
            <w:vAlign w:val="center"/>
          </w:tcPr>
          <w:p>
            <w:pPr>
              <w:jc w:val="center"/>
              <w:rPr>
                <w:rFonts w:ascii="Times New Roman" w:hAnsi="Times New Roman" w:cs="Times New Roman"/>
                <w:color w:val="auto"/>
              </w:rPr>
            </w:pPr>
          </w:p>
        </w:tc>
        <w:tc>
          <w:tcPr>
            <w:tcW w:w="2127" w:type="dxa"/>
            <w:tcBorders>
              <w:top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磷化氢0～5ppm</w:t>
            </w:r>
          </w:p>
        </w:tc>
        <w:tc>
          <w:tcPr>
            <w:tcW w:w="1417" w:type="dxa"/>
            <w:tcBorders>
              <w:top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tcBorders>
              <w:top w:val="single" w:color="auto" w:sz="6" w:space="0"/>
            </w:tcBorders>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江苏舒茨</w:t>
            </w:r>
          </w:p>
        </w:tc>
        <w:tc>
          <w:tcPr>
            <w:tcW w:w="1842" w:type="dxa"/>
            <w:vMerge w:val="restart"/>
            <w:vAlign w:val="center"/>
          </w:tcPr>
          <w:p>
            <w:pPr>
              <w:jc w:val="center"/>
              <w:rPr>
                <w:rFonts w:ascii="Times New Roman" w:hAnsi="Times New Roman" w:cs="Times New Roman"/>
                <w:color w:val="auto"/>
              </w:rPr>
            </w:pPr>
            <w:r>
              <w:rPr>
                <w:rFonts w:ascii="Times New Roman" w:hAnsi="Times New Roman" w:cs="Times New Roman"/>
                <w:bCs/>
                <w:color w:val="auto"/>
              </w:rPr>
              <w:t>SPTr-GAS</w:t>
            </w:r>
            <w:r>
              <w:rPr>
                <w:rFonts w:ascii="Times New Roman" w:hAnsi="Times New Roman" w:cs="Times New Roman"/>
                <w:color w:val="auto"/>
                <w:shd w:val="clear" w:color="auto" w:fill="FFFFFF"/>
              </w:rPr>
              <w:t xml:space="preserve">® </w:t>
            </w:r>
            <w:r>
              <w:rPr>
                <w:rFonts w:ascii="Times New Roman" w:hAnsi="Times New Roman" w:cs="Times New Roman"/>
                <w:bCs/>
                <w:color w:val="auto"/>
              </w:rPr>
              <w:t>PORT200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磷化氢0～100ppm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continue"/>
            <w:vAlign w:val="center"/>
          </w:tcPr>
          <w:p>
            <w:pPr>
              <w:jc w:val="center"/>
              <w:rPr>
                <w:rFonts w:ascii="Times New Roman" w:hAnsi="Times New Roman" w:cs="Times New Roman"/>
                <w:color w:val="auto"/>
              </w:rPr>
            </w:pP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硫酰氟0～200ppm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continue"/>
            <w:vAlign w:val="center"/>
          </w:tcPr>
          <w:p>
            <w:pPr>
              <w:jc w:val="center"/>
              <w:rPr>
                <w:rFonts w:ascii="Times New Roman" w:hAnsi="Times New Roman" w:cs="Times New Roman"/>
                <w:color w:val="auto"/>
              </w:rPr>
            </w:pP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硫酰氟0～20000ppm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continue"/>
            <w:vAlign w:val="center"/>
          </w:tcPr>
          <w:p>
            <w:pPr>
              <w:jc w:val="center"/>
              <w:rPr>
                <w:rFonts w:ascii="Times New Roman" w:hAnsi="Times New Roman" w:cs="Times New Roman"/>
                <w:color w:val="auto"/>
              </w:rPr>
            </w:pP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溴甲烷0～200ppm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Merge w:val="continue"/>
            <w:vAlign w:val="center"/>
          </w:tcPr>
          <w:p>
            <w:pPr>
              <w:jc w:val="center"/>
              <w:rPr>
                <w:rFonts w:ascii="Times New Roman" w:hAnsi="Times New Roman" w:cs="Times New Roman"/>
                <w:color w:val="auto"/>
              </w:rPr>
            </w:pP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溴甲烷0～20000ppm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英思科</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PH3</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磷化氢0～2ppm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北京卓实源</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MB2020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溴甲烷0～20000ppm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±2%FS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Merge w:val="continue"/>
            <w:vAlign w:val="center"/>
          </w:tcPr>
          <w:p>
            <w:pPr>
              <w:jc w:val="center"/>
              <w:rPr>
                <w:rFonts w:ascii="Times New Roman" w:hAnsi="Times New Roman" w:cs="Times New Roman"/>
                <w:color w:val="auto"/>
              </w:rPr>
            </w:pP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SF2020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硫酰氟0～20000ppm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0.1g/m3</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±2%FS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RAE</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PM100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w:t>
            </w:r>
            <w:r>
              <w:rPr>
                <w:rFonts w:ascii="Times New Roman" w:hAnsi="Times New Roman" w:cs="Times New Roman"/>
                <w:color w:val="auto"/>
              </w:rPr>
              <w:t>0～5ppm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BW</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GAXT-P-DL</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w:t>
            </w:r>
            <w:r>
              <w:rPr>
                <w:rFonts w:ascii="Times New Roman" w:hAnsi="Times New Roman" w:cs="Times New Roman"/>
                <w:color w:val="auto"/>
              </w:rPr>
              <w:t>0～5ppm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Drager</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Pac 8000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w:t>
            </w:r>
            <w:r>
              <w:rPr>
                <w:rFonts w:ascii="Times New Roman" w:hAnsi="Times New Roman" w:cs="Times New Roman"/>
                <w:color w:val="auto"/>
              </w:rPr>
              <w:t>0～20ppm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MSA</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Altair Pro</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磷化氢</w:t>
            </w:r>
            <w:r>
              <w:rPr>
                <w:rFonts w:ascii="Times New Roman" w:hAnsi="Times New Roman" w:cs="Times New Roman"/>
                <w:color w:val="auto"/>
              </w:rPr>
              <w:t>0～5ppm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0.05ppm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RIKEN KEIKI</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SP-220</w:t>
            </w:r>
          </w:p>
        </w:tc>
        <w:tc>
          <w:tcPr>
            <w:tcW w:w="2127" w:type="dxa"/>
            <w:vAlign w:val="center"/>
          </w:tcPr>
          <w:p>
            <w:pPr>
              <w:jc w:val="center"/>
              <w:rPr>
                <w:rFonts w:ascii="Times New Roman" w:hAnsi="Times New Roman" w:cs="Times New Roman"/>
                <w:color w:val="auto"/>
              </w:rPr>
            </w:pPr>
            <w:r>
              <w:rPr>
                <w:rFonts w:hint="eastAsia" w:ascii="Times New Roman" w:hAnsi="Times New Roman" w:cs="Times New Roman"/>
                <w:color w:val="auto"/>
                <w:lang w:val="en-US" w:eastAsia="zh-CN"/>
              </w:rPr>
              <w:t>溴甲烷</w:t>
            </w:r>
            <w:r>
              <w:rPr>
                <w:rFonts w:ascii="Times New Roman" w:hAnsi="Times New Roman" w:cs="Times New Roman"/>
                <w:color w:val="auto"/>
              </w:rPr>
              <w:t>0～10、0～5000ppm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0.01ppm</w:t>
            </w:r>
          </w:p>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±2%FS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深圳元特</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SKY2000、NBC1200</w:t>
            </w:r>
          </w:p>
          <w:p>
            <w:pPr>
              <w:jc w:val="center"/>
              <w:rPr>
                <w:rFonts w:ascii="Times New Roman" w:hAnsi="Times New Roman" w:cs="Times New Roman"/>
                <w:color w:val="auto"/>
              </w:rPr>
            </w:pPr>
            <w:r>
              <w:rPr>
                <w:rFonts w:ascii="Times New Roman" w:hAnsi="Times New Roman" w:cs="Times New Roman"/>
                <w:color w:val="auto"/>
              </w:rPr>
              <w:t>NBC2000、NBC6000</w:t>
            </w:r>
          </w:p>
        </w:tc>
        <w:tc>
          <w:tcPr>
            <w:tcW w:w="2127" w:type="dxa"/>
            <w:vAlign w:val="center"/>
          </w:tcPr>
          <w:p>
            <w:pPr>
              <w:jc w:val="center"/>
              <w:rPr>
                <w:rFonts w:hint="eastAsia" w:ascii="Times New Roman" w:hAnsi="Times New Roman" w:cs="Times New Roman"/>
                <w:color w:val="auto"/>
                <w:lang w:val="en-US" w:eastAsia="zh-CN"/>
              </w:rPr>
            </w:pPr>
            <w:r>
              <w:rPr>
                <w:rFonts w:ascii="Times New Roman" w:hAnsi="Times New Roman" w:cs="Times New Roman"/>
                <w:color w:val="auto"/>
              </w:rPr>
              <w:t>磷化氢</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溴甲烷</w:t>
            </w:r>
          </w:p>
          <w:p>
            <w:pPr>
              <w:jc w:val="center"/>
              <w:rPr>
                <w:rFonts w:ascii="Times New Roman" w:hAnsi="Times New Roman" w:cs="Times New Roman"/>
                <w:color w:val="auto"/>
              </w:rPr>
            </w:pPr>
            <w:r>
              <w:rPr>
                <w:rFonts w:ascii="Times New Roman" w:hAnsi="Times New Roman" w:cs="Times New Roman"/>
                <w:color w:val="auto"/>
              </w:rPr>
              <w:t>0～10、20、50、100、200、500、1000、2000、3000、5000ppm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0.01ppm</w:t>
            </w:r>
          </w:p>
          <w:p>
            <w:pPr>
              <w:jc w:val="center"/>
              <w:rPr>
                <w:rFonts w:ascii="Times New Roman" w:hAnsi="Times New Roman" w:cs="Times New Roman"/>
                <w:color w:val="auto"/>
              </w:rPr>
            </w:pPr>
            <w:r>
              <w:rPr>
                <w:rFonts w:ascii="Times New Roman" w:hAnsi="Times New Roman" w:cs="Times New Roman"/>
                <w:color w:val="auto"/>
              </w:rPr>
              <w:t>0.1ppm</w:t>
            </w:r>
          </w:p>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±2%FS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深圳万安迪</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FIX800、FIX550</w:t>
            </w:r>
          </w:p>
          <w:p>
            <w:pPr>
              <w:jc w:val="center"/>
              <w:rPr>
                <w:rFonts w:ascii="Times New Roman" w:hAnsi="Times New Roman" w:cs="Times New Roman"/>
                <w:color w:val="auto"/>
              </w:rPr>
            </w:pPr>
            <w:r>
              <w:rPr>
                <w:rFonts w:ascii="Times New Roman" w:hAnsi="Times New Roman" w:cs="Times New Roman"/>
                <w:color w:val="auto"/>
              </w:rPr>
              <w:t>GASTiger2000</w:t>
            </w:r>
          </w:p>
          <w:p>
            <w:pPr>
              <w:jc w:val="center"/>
              <w:rPr>
                <w:rFonts w:ascii="Times New Roman" w:hAnsi="Times New Roman" w:cs="Times New Roman"/>
                <w:color w:val="auto"/>
              </w:rPr>
            </w:pPr>
            <w:r>
              <w:rPr>
                <w:rFonts w:ascii="Times New Roman" w:hAnsi="Times New Roman" w:cs="Times New Roman"/>
                <w:color w:val="auto"/>
              </w:rPr>
              <w:t>GASTiger3000</w:t>
            </w:r>
          </w:p>
          <w:p>
            <w:pPr>
              <w:jc w:val="center"/>
              <w:rPr>
                <w:rFonts w:ascii="Times New Roman" w:hAnsi="Times New Roman" w:cs="Times New Roman"/>
                <w:color w:val="auto"/>
              </w:rPr>
            </w:pPr>
            <w:r>
              <w:rPr>
                <w:rFonts w:ascii="Times New Roman" w:hAnsi="Times New Roman" w:cs="Times New Roman"/>
                <w:color w:val="auto"/>
              </w:rPr>
              <w:t>GASTiger6000</w:t>
            </w:r>
          </w:p>
        </w:tc>
        <w:tc>
          <w:tcPr>
            <w:tcW w:w="2127" w:type="dxa"/>
            <w:vAlign w:val="center"/>
          </w:tcPr>
          <w:p>
            <w:pPr>
              <w:jc w:val="center"/>
              <w:rPr>
                <w:rFonts w:hint="eastAsia" w:ascii="Times New Roman" w:hAnsi="Times New Roman" w:cs="Times New Roman"/>
                <w:color w:val="auto"/>
                <w:lang w:val="en-US" w:eastAsia="zh-CN"/>
              </w:rPr>
            </w:pPr>
            <w:r>
              <w:rPr>
                <w:rFonts w:ascii="Times New Roman" w:hAnsi="Times New Roman" w:cs="Times New Roman"/>
                <w:color w:val="auto"/>
              </w:rPr>
              <w:t>磷化氢</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溴甲烷</w:t>
            </w:r>
          </w:p>
          <w:p>
            <w:pPr>
              <w:jc w:val="center"/>
              <w:rPr>
                <w:rFonts w:ascii="Times New Roman" w:hAnsi="Times New Roman" w:cs="Times New Roman"/>
                <w:color w:val="auto"/>
              </w:rPr>
            </w:pPr>
            <w:r>
              <w:rPr>
                <w:rFonts w:ascii="Times New Roman" w:hAnsi="Times New Roman" w:cs="Times New Roman"/>
                <w:color w:val="auto"/>
              </w:rPr>
              <w:t>0～1、5、20、100、1000、2000ppm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0.01ppm</w:t>
            </w:r>
          </w:p>
          <w:p>
            <w:pPr>
              <w:jc w:val="center"/>
              <w:rPr>
                <w:rFonts w:ascii="Times New Roman" w:hAnsi="Times New Roman" w:cs="Times New Roman"/>
                <w:color w:val="auto"/>
              </w:rPr>
            </w:pPr>
            <w:r>
              <w:rPr>
                <w:rFonts w:ascii="Times New Roman" w:hAnsi="Times New Roman" w:cs="Times New Roman"/>
                <w:color w:val="auto"/>
              </w:rPr>
              <w:t>0.1ppm</w:t>
            </w:r>
          </w:p>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深圳科尔诺</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MOT100、MOT300、</w:t>
            </w:r>
          </w:p>
          <w:p>
            <w:pPr>
              <w:jc w:val="center"/>
              <w:rPr>
                <w:rFonts w:ascii="Times New Roman" w:hAnsi="Times New Roman" w:cs="Times New Roman"/>
                <w:color w:val="auto"/>
              </w:rPr>
            </w:pPr>
            <w:r>
              <w:rPr>
                <w:rFonts w:ascii="Times New Roman" w:hAnsi="Times New Roman" w:cs="Times New Roman"/>
                <w:color w:val="auto"/>
              </w:rPr>
              <w:t>MOT200、MOT500、</w:t>
            </w:r>
          </w:p>
          <w:p>
            <w:pPr>
              <w:jc w:val="center"/>
              <w:rPr>
                <w:rFonts w:ascii="Times New Roman" w:hAnsi="Times New Roman" w:cs="Times New Roman"/>
                <w:color w:val="auto"/>
              </w:rPr>
            </w:pPr>
            <w:r>
              <w:rPr>
                <w:rFonts w:ascii="Times New Roman" w:hAnsi="Times New Roman" w:cs="Times New Roman"/>
                <w:color w:val="auto"/>
              </w:rPr>
              <w:t>GT-903、GT-1000、</w:t>
            </w:r>
          </w:p>
          <w:p>
            <w:pPr>
              <w:jc w:val="center"/>
              <w:rPr>
                <w:rFonts w:ascii="Times New Roman" w:hAnsi="Times New Roman" w:cs="Times New Roman"/>
                <w:color w:val="auto"/>
              </w:rPr>
            </w:pPr>
            <w:r>
              <w:rPr>
                <w:rFonts w:ascii="Times New Roman" w:hAnsi="Times New Roman" w:cs="Times New Roman"/>
                <w:color w:val="auto"/>
              </w:rPr>
              <w:t>GT-2000</w:t>
            </w:r>
          </w:p>
        </w:tc>
        <w:tc>
          <w:tcPr>
            <w:tcW w:w="2127" w:type="dxa"/>
            <w:vAlign w:val="center"/>
          </w:tcPr>
          <w:p>
            <w:pPr>
              <w:jc w:val="center"/>
              <w:rPr>
                <w:rFonts w:hint="eastAsia" w:ascii="Times New Roman" w:hAnsi="Times New Roman" w:cs="Times New Roman"/>
                <w:color w:val="auto"/>
                <w:lang w:val="en-US" w:eastAsia="zh-CN"/>
              </w:rPr>
            </w:pPr>
            <w:r>
              <w:rPr>
                <w:rFonts w:ascii="Times New Roman" w:hAnsi="Times New Roman" w:cs="Times New Roman"/>
                <w:color w:val="auto"/>
              </w:rPr>
              <w:t>磷化氢</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溴甲烷</w:t>
            </w:r>
          </w:p>
          <w:p>
            <w:pPr>
              <w:jc w:val="center"/>
              <w:rPr>
                <w:rFonts w:ascii="Times New Roman" w:hAnsi="Times New Roman" w:cs="Times New Roman"/>
                <w:color w:val="auto"/>
              </w:rPr>
            </w:pPr>
            <w:r>
              <w:rPr>
                <w:rFonts w:ascii="Times New Roman" w:hAnsi="Times New Roman" w:cs="Times New Roman"/>
                <w:color w:val="auto"/>
              </w:rPr>
              <w:t>0～5、10、20、100、500、1000、2000、4000ppm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0.001ppm 0.01ppm</w:t>
            </w:r>
          </w:p>
          <w:p>
            <w:pPr>
              <w:jc w:val="center"/>
              <w:rPr>
                <w:rFonts w:ascii="Times New Roman" w:hAnsi="Times New Roman" w:cs="Times New Roman"/>
                <w:color w:val="auto"/>
              </w:rPr>
            </w:pPr>
            <w:r>
              <w:rPr>
                <w:rFonts w:ascii="Times New Roman" w:hAnsi="Times New Roman" w:cs="Times New Roman"/>
                <w:color w:val="auto"/>
              </w:rPr>
              <w:t>0.1ppm</w:t>
            </w:r>
          </w:p>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5" w:type="dxa"/>
            <w:vAlign w:val="center"/>
          </w:tcPr>
          <w:p>
            <w:pPr>
              <w:jc w:val="center"/>
              <w:rPr>
                <w:rFonts w:ascii="Times New Roman" w:hAnsi="Times New Roman" w:cs="Times New Roman"/>
                <w:color w:val="auto"/>
              </w:rPr>
            </w:pPr>
            <w:r>
              <w:rPr>
                <w:rFonts w:ascii="Times New Roman" w:hAnsi="Times New Roman" w:cs="Times New Roman"/>
                <w:color w:val="auto"/>
              </w:rPr>
              <w:t>深圳鹏雷</w:t>
            </w:r>
          </w:p>
        </w:tc>
        <w:tc>
          <w:tcPr>
            <w:tcW w:w="1842" w:type="dxa"/>
            <w:vAlign w:val="center"/>
          </w:tcPr>
          <w:p>
            <w:pPr>
              <w:jc w:val="center"/>
              <w:rPr>
                <w:rFonts w:ascii="Times New Roman" w:hAnsi="Times New Roman" w:cs="Times New Roman"/>
                <w:color w:val="auto"/>
              </w:rPr>
            </w:pPr>
            <w:r>
              <w:rPr>
                <w:rFonts w:ascii="Times New Roman" w:hAnsi="Times New Roman" w:cs="Times New Roman"/>
                <w:color w:val="auto"/>
              </w:rPr>
              <w:t>PN-50、PN-60、</w:t>
            </w:r>
          </w:p>
          <w:p>
            <w:pPr>
              <w:jc w:val="center"/>
              <w:rPr>
                <w:rFonts w:ascii="Times New Roman" w:hAnsi="Times New Roman" w:cs="Times New Roman"/>
                <w:color w:val="auto"/>
              </w:rPr>
            </w:pPr>
            <w:r>
              <w:rPr>
                <w:rFonts w:ascii="Times New Roman" w:hAnsi="Times New Roman" w:cs="Times New Roman"/>
                <w:color w:val="auto"/>
              </w:rPr>
              <w:t>PN-1000、PN-2000</w:t>
            </w:r>
          </w:p>
        </w:tc>
        <w:tc>
          <w:tcPr>
            <w:tcW w:w="2127" w:type="dxa"/>
            <w:vAlign w:val="center"/>
          </w:tcPr>
          <w:p>
            <w:pPr>
              <w:jc w:val="center"/>
              <w:rPr>
                <w:rFonts w:ascii="Times New Roman" w:hAnsi="Times New Roman" w:cs="Times New Roman"/>
                <w:color w:val="auto"/>
              </w:rPr>
            </w:pPr>
            <w:r>
              <w:rPr>
                <w:rFonts w:ascii="Times New Roman" w:hAnsi="Times New Roman" w:cs="Times New Roman"/>
                <w:color w:val="auto"/>
              </w:rPr>
              <w:t>0～5、20、25、100、1000、2000ppm</w:t>
            </w:r>
          </w:p>
        </w:tc>
        <w:tc>
          <w:tcPr>
            <w:tcW w:w="1417" w:type="dxa"/>
            <w:vAlign w:val="center"/>
          </w:tcPr>
          <w:p>
            <w:pPr>
              <w:jc w:val="center"/>
              <w:rPr>
                <w:rFonts w:ascii="Times New Roman" w:hAnsi="Times New Roman" w:cs="Times New Roman"/>
                <w:color w:val="auto"/>
              </w:rPr>
            </w:pPr>
            <w:r>
              <w:rPr>
                <w:rFonts w:ascii="Times New Roman" w:hAnsi="Times New Roman" w:cs="Times New Roman"/>
                <w:color w:val="auto"/>
              </w:rPr>
              <w:t>0.001ppm 0.01ppm</w:t>
            </w:r>
          </w:p>
          <w:p>
            <w:pPr>
              <w:jc w:val="center"/>
              <w:rPr>
                <w:rFonts w:ascii="Times New Roman" w:hAnsi="Times New Roman" w:cs="Times New Roman"/>
                <w:color w:val="auto"/>
              </w:rPr>
            </w:pPr>
            <w:r>
              <w:rPr>
                <w:rFonts w:ascii="Times New Roman" w:hAnsi="Times New Roman" w:cs="Times New Roman"/>
                <w:color w:val="auto"/>
              </w:rPr>
              <w:t>0.1ppm</w:t>
            </w:r>
          </w:p>
          <w:p>
            <w:pPr>
              <w:jc w:val="center"/>
              <w:rPr>
                <w:rFonts w:ascii="Times New Roman" w:hAnsi="Times New Roman" w:cs="Times New Roman"/>
                <w:color w:val="auto"/>
              </w:rPr>
            </w:pPr>
            <w:r>
              <w:rPr>
                <w:rFonts w:ascii="Times New Roman" w:hAnsi="Times New Roman" w:cs="Times New Roman"/>
                <w:color w:val="auto"/>
              </w:rPr>
              <w:t>1ppm</w:t>
            </w:r>
          </w:p>
        </w:tc>
        <w:tc>
          <w:tcPr>
            <w:tcW w:w="1418" w:type="dxa"/>
            <w:vAlign w:val="center"/>
          </w:tcPr>
          <w:p>
            <w:pPr>
              <w:jc w:val="center"/>
              <w:rPr>
                <w:rFonts w:ascii="Times New Roman" w:hAnsi="Times New Roman" w:cs="Times New Roman"/>
                <w:color w:val="auto"/>
              </w:rPr>
            </w:pPr>
            <w:r>
              <w:rPr>
                <w:rFonts w:ascii="Times New Roman" w:hAnsi="Times New Roman" w:cs="Times New Roman"/>
                <w:color w:val="auto"/>
              </w:rPr>
              <w:t>±3%FS</w:t>
            </w:r>
          </w:p>
        </w:tc>
      </w:tr>
    </w:tbl>
    <w:p>
      <w:pPr>
        <w:widowControl/>
        <w:jc w:val="left"/>
        <w:rPr>
          <w:rFonts w:ascii="Times New Roman" w:hAnsi="Times New Roman" w:cs="Times New Roman"/>
          <w:b/>
          <w:color w:val="auto"/>
          <w:sz w:val="24"/>
        </w:rPr>
      </w:pPr>
    </w:p>
    <w:sectPr>
      <w:pgSz w:w="11906" w:h="16838"/>
      <w:pgMar w:top="1134" w:right="1800"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r>
      <w:fldChar w:fldCharType="begin"/>
    </w:r>
    <w:r>
      <w:instrText xml:space="preserve"> PAGE   \* MERGEFORMAT </w:instrText>
    </w:r>
    <w:r>
      <w:fldChar w:fldCharType="separate"/>
    </w:r>
    <w:r>
      <w:rPr>
        <w:lang w:val="zh-CN"/>
      </w:rPr>
      <w:t>7</w:t>
    </w:r>
    <w:r>
      <w:rPr>
        <w:lang w:val="zh-CN"/>
      </w:rPr>
      <w:fldChar w:fldCharType="end"/>
    </w:r>
  </w:p>
  <w:p>
    <w:pPr>
      <w:pStyle w:val="8"/>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C4DF8"/>
    <w:multiLevelType w:val="singleLevel"/>
    <w:tmpl w:val="9ABC4DF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NWUwMzM4NWY0OTk0NWQwZTM3ZGZhZmEwOTQ4YjYifQ=="/>
  </w:docVars>
  <w:rsids>
    <w:rsidRoot w:val="009B6C4A"/>
    <w:rsid w:val="00001571"/>
    <w:rsid w:val="0000411A"/>
    <w:rsid w:val="00004CBA"/>
    <w:rsid w:val="0002073D"/>
    <w:rsid w:val="000244C9"/>
    <w:rsid w:val="000246FD"/>
    <w:rsid w:val="0003383B"/>
    <w:rsid w:val="000367A7"/>
    <w:rsid w:val="00037E51"/>
    <w:rsid w:val="00041F1D"/>
    <w:rsid w:val="000433AE"/>
    <w:rsid w:val="00047D54"/>
    <w:rsid w:val="00054F04"/>
    <w:rsid w:val="000557BA"/>
    <w:rsid w:val="00056102"/>
    <w:rsid w:val="0005613F"/>
    <w:rsid w:val="00062EA5"/>
    <w:rsid w:val="000727B1"/>
    <w:rsid w:val="00072886"/>
    <w:rsid w:val="00073D95"/>
    <w:rsid w:val="00080A68"/>
    <w:rsid w:val="000836F0"/>
    <w:rsid w:val="00094CD5"/>
    <w:rsid w:val="00095392"/>
    <w:rsid w:val="000972F9"/>
    <w:rsid w:val="000A14EE"/>
    <w:rsid w:val="000A258B"/>
    <w:rsid w:val="000B0C04"/>
    <w:rsid w:val="000B37BB"/>
    <w:rsid w:val="000D5104"/>
    <w:rsid w:val="000E1E24"/>
    <w:rsid w:val="000F0A3C"/>
    <w:rsid w:val="000F19FC"/>
    <w:rsid w:val="000F73BA"/>
    <w:rsid w:val="000F7FEF"/>
    <w:rsid w:val="00102FFC"/>
    <w:rsid w:val="001054A3"/>
    <w:rsid w:val="001225EA"/>
    <w:rsid w:val="001239A2"/>
    <w:rsid w:val="00124D1A"/>
    <w:rsid w:val="00130D79"/>
    <w:rsid w:val="001429F9"/>
    <w:rsid w:val="001502C6"/>
    <w:rsid w:val="00150A04"/>
    <w:rsid w:val="00152042"/>
    <w:rsid w:val="0015498D"/>
    <w:rsid w:val="001774E5"/>
    <w:rsid w:val="001848B3"/>
    <w:rsid w:val="00184E81"/>
    <w:rsid w:val="00194800"/>
    <w:rsid w:val="001A3180"/>
    <w:rsid w:val="001A37DE"/>
    <w:rsid w:val="001B096F"/>
    <w:rsid w:val="001C0FC3"/>
    <w:rsid w:val="001C2767"/>
    <w:rsid w:val="001D07AF"/>
    <w:rsid w:val="001D52BF"/>
    <w:rsid w:val="001E48BC"/>
    <w:rsid w:val="00201BF5"/>
    <w:rsid w:val="002040CC"/>
    <w:rsid w:val="0020723C"/>
    <w:rsid w:val="00211839"/>
    <w:rsid w:val="002128D7"/>
    <w:rsid w:val="00212A38"/>
    <w:rsid w:val="00212E0B"/>
    <w:rsid w:val="002178CB"/>
    <w:rsid w:val="00221C66"/>
    <w:rsid w:val="00246771"/>
    <w:rsid w:val="00253347"/>
    <w:rsid w:val="002544A6"/>
    <w:rsid w:val="0025637E"/>
    <w:rsid w:val="00256ACE"/>
    <w:rsid w:val="0026288B"/>
    <w:rsid w:val="00275587"/>
    <w:rsid w:val="00291216"/>
    <w:rsid w:val="002934BF"/>
    <w:rsid w:val="00295A1A"/>
    <w:rsid w:val="0029680A"/>
    <w:rsid w:val="002A06FB"/>
    <w:rsid w:val="002A4045"/>
    <w:rsid w:val="002B1443"/>
    <w:rsid w:val="002B1764"/>
    <w:rsid w:val="002B3017"/>
    <w:rsid w:val="002C1BC2"/>
    <w:rsid w:val="002C34FA"/>
    <w:rsid w:val="002D0ABD"/>
    <w:rsid w:val="002D621B"/>
    <w:rsid w:val="002E0021"/>
    <w:rsid w:val="002E3D33"/>
    <w:rsid w:val="002F3423"/>
    <w:rsid w:val="00300C16"/>
    <w:rsid w:val="00305F1E"/>
    <w:rsid w:val="00313DE7"/>
    <w:rsid w:val="0032185F"/>
    <w:rsid w:val="003251C9"/>
    <w:rsid w:val="00326ECD"/>
    <w:rsid w:val="00330198"/>
    <w:rsid w:val="003344FC"/>
    <w:rsid w:val="0033614B"/>
    <w:rsid w:val="00345965"/>
    <w:rsid w:val="00347E97"/>
    <w:rsid w:val="00351B37"/>
    <w:rsid w:val="00361F0B"/>
    <w:rsid w:val="0036383A"/>
    <w:rsid w:val="0036544B"/>
    <w:rsid w:val="0036551C"/>
    <w:rsid w:val="00367670"/>
    <w:rsid w:val="00375012"/>
    <w:rsid w:val="00386908"/>
    <w:rsid w:val="003A34D4"/>
    <w:rsid w:val="003A6473"/>
    <w:rsid w:val="003B385C"/>
    <w:rsid w:val="003C0B4F"/>
    <w:rsid w:val="003D6D03"/>
    <w:rsid w:val="003E4A49"/>
    <w:rsid w:val="003F2C31"/>
    <w:rsid w:val="00402119"/>
    <w:rsid w:val="00405307"/>
    <w:rsid w:val="00423E68"/>
    <w:rsid w:val="0043054A"/>
    <w:rsid w:val="0043229E"/>
    <w:rsid w:val="004465D9"/>
    <w:rsid w:val="00447DB2"/>
    <w:rsid w:val="00463DD6"/>
    <w:rsid w:val="004658AC"/>
    <w:rsid w:val="00471313"/>
    <w:rsid w:val="00484CBA"/>
    <w:rsid w:val="004851E3"/>
    <w:rsid w:val="00490532"/>
    <w:rsid w:val="00493C76"/>
    <w:rsid w:val="00494354"/>
    <w:rsid w:val="00495BA2"/>
    <w:rsid w:val="00496BFE"/>
    <w:rsid w:val="004A7D93"/>
    <w:rsid w:val="004B68FE"/>
    <w:rsid w:val="004B7AD7"/>
    <w:rsid w:val="004D6B44"/>
    <w:rsid w:val="004E352B"/>
    <w:rsid w:val="004F21BE"/>
    <w:rsid w:val="004F46FA"/>
    <w:rsid w:val="00517459"/>
    <w:rsid w:val="005223A0"/>
    <w:rsid w:val="00522DA4"/>
    <w:rsid w:val="00537F37"/>
    <w:rsid w:val="00540AFC"/>
    <w:rsid w:val="00553E48"/>
    <w:rsid w:val="00554C65"/>
    <w:rsid w:val="00556F5D"/>
    <w:rsid w:val="0056178A"/>
    <w:rsid w:val="0058051F"/>
    <w:rsid w:val="00582B8C"/>
    <w:rsid w:val="00584D24"/>
    <w:rsid w:val="00593471"/>
    <w:rsid w:val="005A14F0"/>
    <w:rsid w:val="005A510B"/>
    <w:rsid w:val="005B1652"/>
    <w:rsid w:val="005B24FC"/>
    <w:rsid w:val="005B68E1"/>
    <w:rsid w:val="005C0984"/>
    <w:rsid w:val="005C4309"/>
    <w:rsid w:val="005D53B7"/>
    <w:rsid w:val="005E3EF4"/>
    <w:rsid w:val="005E5189"/>
    <w:rsid w:val="005F6424"/>
    <w:rsid w:val="00604187"/>
    <w:rsid w:val="00605C2B"/>
    <w:rsid w:val="00617089"/>
    <w:rsid w:val="00620F07"/>
    <w:rsid w:val="00623089"/>
    <w:rsid w:val="00633E3C"/>
    <w:rsid w:val="006341FA"/>
    <w:rsid w:val="0063440F"/>
    <w:rsid w:val="00654FD3"/>
    <w:rsid w:val="0066060F"/>
    <w:rsid w:val="00662E4B"/>
    <w:rsid w:val="006643B4"/>
    <w:rsid w:val="00665586"/>
    <w:rsid w:val="00666F35"/>
    <w:rsid w:val="00673D55"/>
    <w:rsid w:val="00673F07"/>
    <w:rsid w:val="00674B72"/>
    <w:rsid w:val="00674EB1"/>
    <w:rsid w:val="006826B4"/>
    <w:rsid w:val="00695C52"/>
    <w:rsid w:val="00697B64"/>
    <w:rsid w:val="006A13F0"/>
    <w:rsid w:val="006A203E"/>
    <w:rsid w:val="006B2A40"/>
    <w:rsid w:val="006B3E73"/>
    <w:rsid w:val="006B4D81"/>
    <w:rsid w:val="006B6413"/>
    <w:rsid w:val="006C277A"/>
    <w:rsid w:val="006D1F3A"/>
    <w:rsid w:val="006E52E6"/>
    <w:rsid w:val="006F7CB2"/>
    <w:rsid w:val="007022BD"/>
    <w:rsid w:val="00710A0B"/>
    <w:rsid w:val="0072577D"/>
    <w:rsid w:val="00726435"/>
    <w:rsid w:val="0074086B"/>
    <w:rsid w:val="00740FFA"/>
    <w:rsid w:val="00746868"/>
    <w:rsid w:val="007502CC"/>
    <w:rsid w:val="00753F4A"/>
    <w:rsid w:val="00755602"/>
    <w:rsid w:val="007561E9"/>
    <w:rsid w:val="007624E4"/>
    <w:rsid w:val="00763982"/>
    <w:rsid w:val="00764169"/>
    <w:rsid w:val="00770AF5"/>
    <w:rsid w:val="00780E0B"/>
    <w:rsid w:val="00791FC2"/>
    <w:rsid w:val="00793107"/>
    <w:rsid w:val="0079348B"/>
    <w:rsid w:val="007B4EF6"/>
    <w:rsid w:val="007B5044"/>
    <w:rsid w:val="007C5C04"/>
    <w:rsid w:val="007C7AB9"/>
    <w:rsid w:val="007D0382"/>
    <w:rsid w:val="007D38EF"/>
    <w:rsid w:val="007D757A"/>
    <w:rsid w:val="008247BC"/>
    <w:rsid w:val="008319D7"/>
    <w:rsid w:val="00845E1D"/>
    <w:rsid w:val="00847575"/>
    <w:rsid w:val="008500FD"/>
    <w:rsid w:val="00857338"/>
    <w:rsid w:val="0086298B"/>
    <w:rsid w:val="008649C9"/>
    <w:rsid w:val="008673F9"/>
    <w:rsid w:val="0088042B"/>
    <w:rsid w:val="008823EA"/>
    <w:rsid w:val="00886721"/>
    <w:rsid w:val="00893F08"/>
    <w:rsid w:val="008A2911"/>
    <w:rsid w:val="008A2A8E"/>
    <w:rsid w:val="008A38F5"/>
    <w:rsid w:val="008A6F03"/>
    <w:rsid w:val="008D057E"/>
    <w:rsid w:val="008F44D9"/>
    <w:rsid w:val="008F60B4"/>
    <w:rsid w:val="00901416"/>
    <w:rsid w:val="00901BBF"/>
    <w:rsid w:val="0090225E"/>
    <w:rsid w:val="00902A98"/>
    <w:rsid w:val="0091260E"/>
    <w:rsid w:val="00914874"/>
    <w:rsid w:val="00915BA5"/>
    <w:rsid w:val="00917094"/>
    <w:rsid w:val="00922BB3"/>
    <w:rsid w:val="00924A3F"/>
    <w:rsid w:val="00942230"/>
    <w:rsid w:val="00942CE5"/>
    <w:rsid w:val="0094728E"/>
    <w:rsid w:val="00947705"/>
    <w:rsid w:val="00973AB4"/>
    <w:rsid w:val="00974F50"/>
    <w:rsid w:val="00980E6F"/>
    <w:rsid w:val="00986FD3"/>
    <w:rsid w:val="00992B74"/>
    <w:rsid w:val="00996D09"/>
    <w:rsid w:val="009A4C0F"/>
    <w:rsid w:val="009A65DF"/>
    <w:rsid w:val="009A7FF9"/>
    <w:rsid w:val="009B3ED6"/>
    <w:rsid w:val="009B5B1E"/>
    <w:rsid w:val="009B6C4A"/>
    <w:rsid w:val="009B7A18"/>
    <w:rsid w:val="009C4DB4"/>
    <w:rsid w:val="009C5041"/>
    <w:rsid w:val="009C555E"/>
    <w:rsid w:val="009D2CEE"/>
    <w:rsid w:val="009E218A"/>
    <w:rsid w:val="009E49F3"/>
    <w:rsid w:val="009F50F1"/>
    <w:rsid w:val="00A03319"/>
    <w:rsid w:val="00A13132"/>
    <w:rsid w:val="00A1442F"/>
    <w:rsid w:val="00A206BB"/>
    <w:rsid w:val="00A246A8"/>
    <w:rsid w:val="00A35650"/>
    <w:rsid w:val="00A35ECA"/>
    <w:rsid w:val="00A37FD5"/>
    <w:rsid w:val="00A40568"/>
    <w:rsid w:val="00A50154"/>
    <w:rsid w:val="00A71F7F"/>
    <w:rsid w:val="00A75C9B"/>
    <w:rsid w:val="00A7616F"/>
    <w:rsid w:val="00A77178"/>
    <w:rsid w:val="00A82D52"/>
    <w:rsid w:val="00A92EC2"/>
    <w:rsid w:val="00A93280"/>
    <w:rsid w:val="00AB214B"/>
    <w:rsid w:val="00AC3251"/>
    <w:rsid w:val="00AD3135"/>
    <w:rsid w:val="00AD32A7"/>
    <w:rsid w:val="00AE08AE"/>
    <w:rsid w:val="00AE09E3"/>
    <w:rsid w:val="00AE1598"/>
    <w:rsid w:val="00AE2314"/>
    <w:rsid w:val="00B0298C"/>
    <w:rsid w:val="00B2106B"/>
    <w:rsid w:val="00B33F61"/>
    <w:rsid w:val="00B34E0F"/>
    <w:rsid w:val="00B40EBA"/>
    <w:rsid w:val="00B47B50"/>
    <w:rsid w:val="00B5502E"/>
    <w:rsid w:val="00B61EDA"/>
    <w:rsid w:val="00B665D4"/>
    <w:rsid w:val="00B70D7B"/>
    <w:rsid w:val="00B72F52"/>
    <w:rsid w:val="00B87ED6"/>
    <w:rsid w:val="00B91E24"/>
    <w:rsid w:val="00BC0671"/>
    <w:rsid w:val="00BC0DFF"/>
    <w:rsid w:val="00BC1E9D"/>
    <w:rsid w:val="00BC39B2"/>
    <w:rsid w:val="00BD5ACE"/>
    <w:rsid w:val="00BE1640"/>
    <w:rsid w:val="00BE25C0"/>
    <w:rsid w:val="00BE5785"/>
    <w:rsid w:val="00BE7508"/>
    <w:rsid w:val="00BF78FC"/>
    <w:rsid w:val="00C019C8"/>
    <w:rsid w:val="00C153B9"/>
    <w:rsid w:val="00C1723D"/>
    <w:rsid w:val="00C23261"/>
    <w:rsid w:val="00C351FE"/>
    <w:rsid w:val="00C36B2A"/>
    <w:rsid w:val="00C44F60"/>
    <w:rsid w:val="00C50B4E"/>
    <w:rsid w:val="00C519E7"/>
    <w:rsid w:val="00C544B3"/>
    <w:rsid w:val="00C608D9"/>
    <w:rsid w:val="00C667A0"/>
    <w:rsid w:val="00C7220D"/>
    <w:rsid w:val="00C82316"/>
    <w:rsid w:val="00C85B96"/>
    <w:rsid w:val="00C9670F"/>
    <w:rsid w:val="00CA0CC4"/>
    <w:rsid w:val="00CA3812"/>
    <w:rsid w:val="00CA417B"/>
    <w:rsid w:val="00CB3A90"/>
    <w:rsid w:val="00CB4014"/>
    <w:rsid w:val="00CC01CE"/>
    <w:rsid w:val="00CC1028"/>
    <w:rsid w:val="00CC138A"/>
    <w:rsid w:val="00CD4127"/>
    <w:rsid w:val="00CD5F5D"/>
    <w:rsid w:val="00CD7175"/>
    <w:rsid w:val="00CD7B21"/>
    <w:rsid w:val="00CE56F6"/>
    <w:rsid w:val="00CE6804"/>
    <w:rsid w:val="00D20BBB"/>
    <w:rsid w:val="00D26573"/>
    <w:rsid w:val="00D465B4"/>
    <w:rsid w:val="00D51895"/>
    <w:rsid w:val="00D54064"/>
    <w:rsid w:val="00D548A4"/>
    <w:rsid w:val="00D618FA"/>
    <w:rsid w:val="00D803B4"/>
    <w:rsid w:val="00D823E6"/>
    <w:rsid w:val="00DA2AC0"/>
    <w:rsid w:val="00DA4CC5"/>
    <w:rsid w:val="00DB3680"/>
    <w:rsid w:val="00DB5F88"/>
    <w:rsid w:val="00DC0FAE"/>
    <w:rsid w:val="00DC1D2F"/>
    <w:rsid w:val="00DC42A3"/>
    <w:rsid w:val="00DC48C4"/>
    <w:rsid w:val="00DD0525"/>
    <w:rsid w:val="00DD2DA6"/>
    <w:rsid w:val="00DD3BF9"/>
    <w:rsid w:val="00DD6F1B"/>
    <w:rsid w:val="00DD750D"/>
    <w:rsid w:val="00DE7F90"/>
    <w:rsid w:val="00DF2839"/>
    <w:rsid w:val="00DF5A76"/>
    <w:rsid w:val="00E00294"/>
    <w:rsid w:val="00E00C00"/>
    <w:rsid w:val="00E13EB7"/>
    <w:rsid w:val="00E14D38"/>
    <w:rsid w:val="00E15966"/>
    <w:rsid w:val="00E22D42"/>
    <w:rsid w:val="00E23FC3"/>
    <w:rsid w:val="00E25D22"/>
    <w:rsid w:val="00E2606B"/>
    <w:rsid w:val="00E271CC"/>
    <w:rsid w:val="00E329E4"/>
    <w:rsid w:val="00E742EA"/>
    <w:rsid w:val="00E841F5"/>
    <w:rsid w:val="00E85F31"/>
    <w:rsid w:val="00E864FB"/>
    <w:rsid w:val="00E91544"/>
    <w:rsid w:val="00E92741"/>
    <w:rsid w:val="00EA7DEC"/>
    <w:rsid w:val="00EB1DEC"/>
    <w:rsid w:val="00EB1FCA"/>
    <w:rsid w:val="00EC49F4"/>
    <w:rsid w:val="00EE3768"/>
    <w:rsid w:val="00EE3B95"/>
    <w:rsid w:val="00EE7B8D"/>
    <w:rsid w:val="00EF4CF7"/>
    <w:rsid w:val="00F01B8E"/>
    <w:rsid w:val="00F06D82"/>
    <w:rsid w:val="00F11AC1"/>
    <w:rsid w:val="00F1290D"/>
    <w:rsid w:val="00F12E26"/>
    <w:rsid w:val="00F138BC"/>
    <w:rsid w:val="00F23412"/>
    <w:rsid w:val="00F30991"/>
    <w:rsid w:val="00F33F89"/>
    <w:rsid w:val="00F35625"/>
    <w:rsid w:val="00F41DB4"/>
    <w:rsid w:val="00F44B48"/>
    <w:rsid w:val="00F51E85"/>
    <w:rsid w:val="00F61061"/>
    <w:rsid w:val="00F73182"/>
    <w:rsid w:val="00F738BA"/>
    <w:rsid w:val="00F7754B"/>
    <w:rsid w:val="00F83175"/>
    <w:rsid w:val="00F86BD7"/>
    <w:rsid w:val="00F9572C"/>
    <w:rsid w:val="00FA1DB1"/>
    <w:rsid w:val="00FA71F9"/>
    <w:rsid w:val="00FB0D19"/>
    <w:rsid w:val="00FB15F3"/>
    <w:rsid w:val="00FB1D8E"/>
    <w:rsid w:val="00FB4D88"/>
    <w:rsid w:val="00FB7FF0"/>
    <w:rsid w:val="00FC7224"/>
    <w:rsid w:val="00FD164F"/>
    <w:rsid w:val="00FD613F"/>
    <w:rsid w:val="00FF044E"/>
    <w:rsid w:val="00FF29B4"/>
    <w:rsid w:val="00FF3FB3"/>
    <w:rsid w:val="02A837E9"/>
    <w:rsid w:val="031E1079"/>
    <w:rsid w:val="03F47F88"/>
    <w:rsid w:val="04D56E5D"/>
    <w:rsid w:val="0603356B"/>
    <w:rsid w:val="06914346"/>
    <w:rsid w:val="0A0B1606"/>
    <w:rsid w:val="0EF5261A"/>
    <w:rsid w:val="0FE60171"/>
    <w:rsid w:val="14434C96"/>
    <w:rsid w:val="147A7A30"/>
    <w:rsid w:val="14C447F8"/>
    <w:rsid w:val="15B75429"/>
    <w:rsid w:val="15F55695"/>
    <w:rsid w:val="163D4862"/>
    <w:rsid w:val="16907A92"/>
    <w:rsid w:val="17AE4C72"/>
    <w:rsid w:val="19DB686C"/>
    <w:rsid w:val="1EF31336"/>
    <w:rsid w:val="1F111D05"/>
    <w:rsid w:val="20B736BA"/>
    <w:rsid w:val="210439A9"/>
    <w:rsid w:val="235F10A0"/>
    <w:rsid w:val="258430F3"/>
    <w:rsid w:val="270E3D1E"/>
    <w:rsid w:val="28481571"/>
    <w:rsid w:val="28D404DE"/>
    <w:rsid w:val="2BAD486E"/>
    <w:rsid w:val="2E393461"/>
    <w:rsid w:val="2F302D5E"/>
    <w:rsid w:val="2FBE480E"/>
    <w:rsid w:val="2FE83639"/>
    <w:rsid w:val="31B71515"/>
    <w:rsid w:val="331A17C8"/>
    <w:rsid w:val="34107960"/>
    <w:rsid w:val="36323AEC"/>
    <w:rsid w:val="38E30E42"/>
    <w:rsid w:val="3B233415"/>
    <w:rsid w:val="3BEB0EE6"/>
    <w:rsid w:val="3F32613E"/>
    <w:rsid w:val="40305792"/>
    <w:rsid w:val="4175677D"/>
    <w:rsid w:val="41C060BB"/>
    <w:rsid w:val="42065E82"/>
    <w:rsid w:val="42077498"/>
    <w:rsid w:val="44770EE3"/>
    <w:rsid w:val="485324B9"/>
    <w:rsid w:val="49DF3268"/>
    <w:rsid w:val="4BFE1C3A"/>
    <w:rsid w:val="4C0A4C0B"/>
    <w:rsid w:val="4C88631A"/>
    <w:rsid w:val="4D0478AD"/>
    <w:rsid w:val="4E065892"/>
    <w:rsid w:val="555D0216"/>
    <w:rsid w:val="566540CD"/>
    <w:rsid w:val="56B860D6"/>
    <w:rsid w:val="56DB3D0C"/>
    <w:rsid w:val="589A2E73"/>
    <w:rsid w:val="59E272DC"/>
    <w:rsid w:val="5D4A74D4"/>
    <w:rsid w:val="647140A2"/>
    <w:rsid w:val="65E336A2"/>
    <w:rsid w:val="665E257D"/>
    <w:rsid w:val="675F680C"/>
    <w:rsid w:val="67AE2497"/>
    <w:rsid w:val="68523A33"/>
    <w:rsid w:val="68F77E6E"/>
    <w:rsid w:val="6B9145AA"/>
    <w:rsid w:val="6E4A407E"/>
    <w:rsid w:val="6ED8429D"/>
    <w:rsid w:val="706525EA"/>
    <w:rsid w:val="715F4991"/>
    <w:rsid w:val="7169654D"/>
    <w:rsid w:val="72491197"/>
    <w:rsid w:val="73AB1F81"/>
    <w:rsid w:val="74192D1B"/>
    <w:rsid w:val="74BE23CB"/>
    <w:rsid w:val="779A56C5"/>
    <w:rsid w:val="77E0567D"/>
    <w:rsid w:val="7875412E"/>
    <w:rsid w:val="78C80335"/>
    <w:rsid w:val="7A68455E"/>
    <w:rsid w:val="7D8F09A6"/>
    <w:rsid w:val="7EB03F69"/>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ocked="1"/>
    <w:lsdException w:qFormat="1" w:unhideWhenUsed="0" w:uiPriority="2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locked/>
    <w:uiPriority w:val="0"/>
    <w:pPr>
      <w:keepNext/>
      <w:keepLines/>
      <w:spacing w:before="340" w:after="330" w:line="576" w:lineRule="auto"/>
      <w:outlineLvl w:val="0"/>
    </w:pPr>
    <w:rPr>
      <w:b/>
      <w:kern w:val="44"/>
      <w:sz w:val="44"/>
    </w:rPr>
  </w:style>
  <w:style w:type="paragraph" w:styleId="3">
    <w:name w:val="heading 2"/>
    <w:basedOn w:val="1"/>
    <w:next w:val="1"/>
    <w:qFormat/>
    <w:locked/>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qFormat/>
    <w:uiPriority w:val="99"/>
    <w:pPr>
      <w:jc w:val="left"/>
    </w:pPr>
    <w:rPr>
      <w:rFonts w:ascii="Times New Roman" w:hAnsi="Times New Roman" w:cs="Times New Roman"/>
    </w:rPr>
  </w:style>
  <w:style w:type="paragraph" w:styleId="5">
    <w:name w:val="Body Text Indent"/>
    <w:basedOn w:val="1"/>
    <w:link w:val="27"/>
    <w:semiHidden/>
    <w:unhideWhenUsed/>
    <w:qFormat/>
    <w:uiPriority w:val="99"/>
    <w:pPr>
      <w:spacing w:after="120"/>
      <w:ind w:left="420" w:leftChars="200"/>
    </w:pPr>
  </w:style>
  <w:style w:type="paragraph" w:styleId="6">
    <w:name w:val="Body Text Indent 2"/>
    <w:basedOn w:val="1"/>
    <w:link w:val="24"/>
    <w:qFormat/>
    <w:uiPriority w:val="0"/>
    <w:pPr>
      <w:spacing w:line="500" w:lineRule="exact"/>
      <w:ind w:left="220" w:firstLine="499" w:firstLineChars="217"/>
    </w:pPr>
    <w:rPr>
      <w:rFonts w:ascii="宋体" w:hAnsi="Times New Roman" w:cs="Times New Roman"/>
      <w:color w:val="000000"/>
      <w:kern w:val="0"/>
      <w:sz w:val="23"/>
      <w:szCs w:val="23"/>
    </w:rPr>
  </w:style>
  <w:style w:type="paragraph" w:styleId="7">
    <w:name w:val="Balloon Text"/>
    <w:basedOn w:val="1"/>
    <w:link w:val="22"/>
    <w:semiHidden/>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1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4"/>
    <w:next w:val="4"/>
    <w:link w:val="31"/>
    <w:semiHidden/>
    <w:unhideWhenUsed/>
    <w:qFormat/>
    <w:uiPriority w:val="99"/>
    <w:rPr>
      <w:rFonts w:ascii="Calibri" w:hAnsi="Calibri" w:cs="Calibri"/>
      <w:b/>
      <w:bCs/>
    </w:rPr>
  </w:style>
  <w:style w:type="table" w:styleId="13">
    <w:name w:val="Table Grid"/>
    <w:basedOn w:val="12"/>
    <w:qFormat/>
    <w:locked/>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locked/>
    <w:uiPriority w:val="22"/>
    <w:rPr>
      <w:b/>
      <w:bCs/>
    </w:rPr>
  </w:style>
  <w:style w:type="character" w:styleId="16">
    <w:name w:val="Emphasis"/>
    <w:basedOn w:val="14"/>
    <w:qFormat/>
    <w:locked/>
    <w:uiPriority w:val="20"/>
    <w:rPr>
      <w:i/>
      <w:iCs/>
    </w:rPr>
  </w:style>
  <w:style w:type="character" w:styleId="17">
    <w:name w:val="Hyperlink"/>
    <w:basedOn w:val="14"/>
    <w:unhideWhenUsed/>
    <w:qFormat/>
    <w:uiPriority w:val="99"/>
    <w:rPr>
      <w:color w:val="0000FF"/>
      <w:u w:val="single"/>
    </w:rPr>
  </w:style>
  <w:style w:type="character" w:styleId="18">
    <w:name w:val="annotation reference"/>
    <w:basedOn w:val="14"/>
    <w:semiHidden/>
    <w:qFormat/>
    <w:uiPriority w:val="99"/>
    <w:rPr>
      <w:sz w:val="21"/>
      <w:szCs w:val="21"/>
    </w:rPr>
  </w:style>
  <w:style w:type="character" w:customStyle="1" w:styleId="19">
    <w:name w:val="页眉 字符"/>
    <w:basedOn w:val="14"/>
    <w:link w:val="9"/>
    <w:semiHidden/>
    <w:qFormat/>
    <w:locked/>
    <w:uiPriority w:val="99"/>
    <w:rPr>
      <w:sz w:val="18"/>
      <w:szCs w:val="18"/>
    </w:rPr>
  </w:style>
  <w:style w:type="character" w:customStyle="1" w:styleId="20">
    <w:name w:val="批注文字 字符"/>
    <w:basedOn w:val="14"/>
    <w:link w:val="4"/>
    <w:qFormat/>
    <w:locked/>
    <w:uiPriority w:val="99"/>
    <w:rPr>
      <w:rFonts w:ascii="Times New Roman" w:hAnsi="Times New Roman" w:eastAsia="宋体" w:cs="Times New Roman"/>
      <w:sz w:val="24"/>
      <w:szCs w:val="24"/>
    </w:rPr>
  </w:style>
  <w:style w:type="character" w:customStyle="1" w:styleId="21">
    <w:name w:val="页脚 字符"/>
    <w:basedOn w:val="14"/>
    <w:link w:val="8"/>
    <w:qFormat/>
    <w:locked/>
    <w:uiPriority w:val="99"/>
    <w:rPr>
      <w:sz w:val="18"/>
      <w:szCs w:val="18"/>
    </w:rPr>
  </w:style>
  <w:style w:type="character" w:customStyle="1" w:styleId="22">
    <w:name w:val="批注框文本 字符"/>
    <w:basedOn w:val="14"/>
    <w:link w:val="7"/>
    <w:semiHidden/>
    <w:qFormat/>
    <w:locked/>
    <w:uiPriority w:val="99"/>
    <w:rPr>
      <w:sz w:val="18"/>
      <w:szCs w:val="18"/>
    </w:rPr>
  </w:style>
  <w:style w:type="paragraph" w:customStyle="1" w:styleId="2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24">
    <w:name w:val="正文文本缩进 2 字符"/>
    <w:basedOn w:val="14"/>
    <w:link w:val="6"/>
    <w:qFormat/>
    <w:uiPriority w:val="0"/>
    <w:rPr>
      <w:rFonts w:ascii="宋体" w:hAnsi="Times New Roman"/>
      <w:color w:val="000000"/>
      <w:sz w:val="23"/>
      <w:szCs w:val="23"/>
    </w:rPr>
  </w:style>
  <w:style w:type="character" w:customStyle="1" w:styleId="25">
    <w:name w:val="apple-converted-space"/>
    <w:basedOn w:val="14"/>
    <w:qFormat/>
    <w:uiPriority w:val="0"/>
  </w:style>
  <w:style w:type="paragraph" w:customStyle="1" w:styleId="26">
    <w:name w:val="sm_titt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7">
    <w:name w:val="正文文本缩进 字符"/>
    <w:basedOn w:val="14"/>
    <w:link w:val="5"/>
    <w:semiHidden/>
    <w:qFormat/>
    <w:uiPriority w:val="99"/>
    <w:rPr>
      <w:rFonts w:cs="Calibri"/>
      <w:kern w:val="2"/>
      <w:sz w:val="21"/>
      <w:szCs w:val="21"/>
    </w:rPr>
  </w:style>
  <w:style w:type="paragraph" w:styleId="28">
    <w:name w:val="List Paragraph"/>
    <w:basedOn w:val="1"/>
    <w:qFormat/>
    <w:uiPriority w:val="99"/>
    <w:pPr>
      <w:ind w:firstLine="420" w:firstLineChars="200"/>
    </w:pPr>
  </w:style>
  <w:style w:type="character" w:customStyle="1" w:styleId="29">
    <w:name w:val="style6"/>
    <w:basedOn w:val="14"/>
    <w:qFormat/>
    <w:uiPriority w:val="0"/>
  </w:style>
  <w:style w:type="paragraph" w:customStyle="1" w:styleId="30">
    <w:name w:val="style6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31">
    <w:name w:val="批注主题 字符"/>
    <w:basedOn w:val="20"/>
    <w:link w:val="11"/>
    <w:semiHidden/>
    <w:qFormat/>
    <w:uiPriority w:val="99"/>
    <w:rPr>
      <w:rFonts w:ascii="Times New Roman" w:hAnsi="Times New Roman" w:eastAsia="宋体" w:cs="Calibri"/>
      <w:b/>
      <w:bCs/>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D37A2-8277-4140-B019-0C840AD4097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1024</Words>
  <Characters>5842</Characters>
  <Lines>48</Lines>
  <Paragraphs>13</Paragraphs>
  <TotalTime>2</TotalTime>
  <ScaleCrop>false</ScaleCrop>
  <LinksUpToDate>false</LinksUpToDate>
  <CharactersWithSpaces>6853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2023-07-19T11:14:00Z</dcterms:created>
  <dc:creator>韦洋</dc:creator>
  <cp:lastModifiedBy>李士良</cp:lastModifiedBy>
  <cp:lastPrinted>2023-10-10T01:53:00Z</cp:lastPrinted>
  <dcterms:modified xsi:type="dcterms:W3CDTF">2023-10-10T10:24:22Z</dcterms:modified>
  <dc:title>《加油站油气回收装置》检定规程（征求意见稿）</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B76C1E69BDC34F939681F78414C35513_13</vt:lpwstr>
  </property>
</Properties>
</file>