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sz w:val="36"/>
          <w:szCs w:val="36"/>
        </w:rPr>
      </w:pPr>
      <w:r>
        <w:rPr>
          <w:rFonts w:hint="default" w:ascii="Times New Roman" w:hAnsi="Times New Roman" w:eastAsia="宋体" w:cs="Times New Roman"/>
          <w:sz w:val="36"/>
          <w:szCs w:val="36"/>
        </w:rPr>
        <w:t>大气采样器流量示值误差不确定度分析</w:t>
      </w:r>
    </w:p>
    <w:p>
      <w:pPr>
        <w:spacing w:before="180" w:beforeLines="50" w:after="0"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一、简要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说明</w:t>
      </w:r>
    </w:p>
    <w:p>
      <w:pPr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1、环境条件</w:t>
      </w:r>
      <w:r>
        <w:rPr>
          <w:rFonts w:hint="default" w:ascii="Times New Roman" w:hAnsi="Times New Roman" w:eastAsia="宋体" w:cs="Times New Roman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</w:rPr>
        <w:t>环境温度为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(10~35) </w:t>
      </w:r>
      <w:r>
        <w:rPr>
          <w:rFonts w:hint="default" w:ascii="Times New Roman" w:hAnsi="Times New Roman" w:eastAsia="宋体" w:cs="Times New Roman"/>
          <w:sz w:val="24"/>
          <w:szCs w:val="24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</w:rPr>
        <w:t>，温度波动不超过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±2 </w:t>
      </w:r>
      <w:r>
        <w:rPr>
          <w:rFonts w:hint="default" w:ascii="Times New Roman" w:hAnsi="Times New Roman" w:eastAsia="宋体" w:cs="Times New Roman"/>
          <w:sz w:val="24"/>
          <w:szCs w:val="24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</w:rPr>
        <w:t>/h</w:t>
      </w:r>
      <w:r>
        <w:rPr>
          <w:rFonts w:hint="default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360" w:lineRule="auto"/>
        <w:ind w:left="0" w:leftChars="0" w:firstLine="1538" w:firstLineChars="64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环境湿度：不大于</w:t>
      </w:r>
      <w:r>
        <w:rPr>
          <w:rFonts w:hint="default" w:ascii="Times New Roman" w:hAnsi="Times New Roman" w:eastAsia="宋体" w:cs="Times New Roman"/>
          <w:sz w:val="24"/>
          <w:szCs w:val="24"/>
        </w:rPr>
        <w:t>85％RH</w:t>
      </w:r>
      <w:r>
        <w:rPr>
          <w:rFonts w:hint="default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360" w:lineRule="auto"/>
        <w:ind w:left="0" w:leftChars="0" w:firstLine="1538" w:firstLineChars="64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交流电源电压</w:t>
      </w:r>
      <w:r>
        <w:rPr>
          <w:rFonts w:hint="default" w:ascii="Times New Roman" w:hAnsi="Times New Roman" w:eastAsia="宋体" w:cs="Times New Roman"/>
          <w:sz w:val="24"/>
          <w:szCs w:val="24"/>
        </w:rPr>
        <w:t>(220±22) V</w:t>
      </w:r>
      <w:r>
        <w:rPr>
          <w:rFonts w:hint="default" w:ascii="Times New Roman" w:hAnsi="Times New Roman" w:eastAsia="宋体" w:cs="Times New Roman"/>
          <w:sz w:val="24"/>
          <w:szCs w:val="24"/>
        </w:rPr>
        <w:t>，电源频率</w:t>
      </w:r>
      <w:r>
        <w:rPr>
          <w:rFonts w:hint="default" w:ascii="Times New Roman" w:hAnsi="Times New Roman" w:eastAsia="宋体" w:cs="Times New Roman"/>
          <w:sz w:val="24"/>
          <w:szCs w:val="24"/>
        </w:rPr>
        <w:t>(50±1) Hz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numPr>
          <w:ilvl w:val="0"/>
          <w:numId w:val="1"/>
        </w:numPr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11"/>
          <w:rFonts w:hint="default" w:ascii="Times New Roman" w:hAnsi="Times New Roman" w:eastAsia="宋体" w:cs="Times New Roman"/>
          <w:bCs w:val="0"/>
          <w:sz w:val="24"/>
          <w:szCs w:val="24"/>
        </w:rPr>
        <w:t>测量标准</w:t>
      </w:r>
      <w:r>
        <w:rPr>
          <w:rFonts w:hint="default" w:ascii="Times New Roman" w:hAnsi="Times New Roman" w:eastAsia="宋体" w:cs="Times New Roman"/>
          <w:sz w:val="24"/>
          <w:szCs w:val="24"/>
        </w:rPr>
        <w:t>：皂膜流量计（0～6）L/min，1.0级；</w:t>
      </w:r>
    </w:p>
    <w:p>
      <w:pPr>
        <w:spacing w:after="0" w:line="360" w:lineRule="auto"/>
        <w:ind w:left="0" w:leftChars="0" w:firstLine="1538" w:firstLineChars="64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温度计：测量范围(0~50)℃，最大允许误差不超过±0.3 ℃；</w:t>
      </w:r>
    </w:p>
    <w:p>
      <w:pPr>
        <w:spacing w:after="0" w:line="360" w:lineRule="auto"/>
        <w:ind w:left="0" w:leftChars="0" w:firstLine="1538" w:firstLineChars="64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大气压力</w:t>
      </w:r>
      <w:r>
        <w:rPr>
          <w:rFonts w:hint="default" w:ascii="Times New Roman" w:hAnsi="Times New Roman" w:eastAsia="宋体" w:cs="Times New Roman"/>
          <w:sz w:val="24"/>
          <w:szCs w:val="24"/>
        </w:rPr>
        <w:t>表：量程范围(800~1060) hPa，</w:t>
      </w:r>
      <w:r>
        <w:rPr>
          <w:rFonts w:hint="default" w:ascii="Times New Roman" w:hAnsi="Times New Roman" w:eastAsia="宋体" w:cs="Times New Roman"/>
          <w:sz w:val="24"/>
          <w:szCs w:val="24"/>
        </w:rPr>
        <w:t>最大允许误差</w:t>
      </w:r>
      <w:r>
        <w:rPr>
          <w:rFonts w:hint="default" w:ascii="Times New Roman" w:hAnsi="Times New Roman" w:eastAsia="宋体" w:cs="Times New Roman"/>
          <w:sz w:val="24"/>
          <w:szCs w:val="24"/>
        </w:rPr>
        <w:t>±2.5 hPa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autoSpaceDE w:val="0"/>
        <w:autoSpaceDN w:val="0"/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3、被测对象</w:t>
      </w:r>
      <w:r>
        <w:rPr>
          <w:rFonts w:hint="default" w:ascii="Times New Roman" w:hAnsi="Times New Roman" w:eastAsia="宋体" w:cs="Times New Roman"/>
          <w:sz w:val="24"/>
          <w:szCs w:val="24"/>
        </w:rPr>
        <w:t>：只</w:t>
      </w:r>
      <w:r>
        <w:rPr>
          <w:rFonts w:hint="default" w:ascii="Times New Roman" w:hAnsi="Times New Roman" w:eastAsia="宋体" w:cs="Times New Roman"/>
          <w:sz w:val="24"/>
          <w:szCs w:val="24"/>
        </w:rPr>
        <w:t>显示标况流量的</w:t>
      </w:r>
      <w:r>
        <w:rPr>
          <w:rFonts w:hint="default" w:ascii="Times New Roman" w:hAnsi="Times New Roman" w:eastAsia="宋体" w:cs="Times New Roman"/>
          <w:sz w:val="24"/>
          <w:szCs w:val="24"/>
        </w:rPr>
        <w:t>大气采样器，测量范围（0.1～1.0）L/min。</w:t>
      </w:r>
    </w:p>
    <w:p>
      <w:pPr>
        <w:autoSpaceDE w:val="0"/>
        <w:autoSpaceDN w:val="0"/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4、测量过程：</w:t>
      </w:r>
      <w:r>
        <w:rPr>
          <w:rFonts w:hint="default" w:ascii="Times New Roman" w:hAnsi="Times New Roman" w:eastAsia="宋体" w:cs="Times New Roman"/>
          <w:sz w:val="24"/>
          <w:szCs w:val="24"/>
        </w:rPr>
        <w:t>将被检仪器的入气口与皂膜流量计相连。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分别调节采样流量到相应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检测</w:t>
      </w:r>
      <w:r>
        <w:rPr>
          <w:rFonts w:hint="default" w:ascii="Times New Roman" w:hAnsi="Times New Roman" w:eastAsia="宋体" w:cs="Times New Roman"/>
          <w:sz w:val="24"/>
          <w:szCs w:val="24"/>
        </w:rPr>
        <w:t>点，仪器稳定后进行流量测定，读取仪器</w:t>
      </w:r>
      <w:r>
        <w:rPr>
          <w:rFonts w:hint="default" w:ascii="Times New Roman" w:hAnsi="Times New Roman" w:eastAsia="宋体" w:cs="Times New Roman"/>
          <w:sz w:val="24"/>
          <w:szCs w:val="24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</w:rPr>
        <w:t>皂膜流量计的测量值，每个流量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检测</w:t>
      </w:r>
      <w:r>
        <w:rPr>
          <w:rFonts w:hint="default" w:ascii="Times New Roman" w:hAnsi="Times New Roman" w:eastAsia="宋体" w:cs="Times New Roman"/>
          <w:sz w:val="24"/>
          <w:szCs w:val="24"/>
        </w:rPr>
        <w:t>点重复测量</w:t>
      </w:r>
      <w:r>
        <w:rPr>
          <w:rFonts w:hint="default" w:ascii="Times New Roman" w:hAnsi="Times New Roman" w:eastAsia="宋体" w:cs="Times New Roman"/>
          <w:sz w:val="24"/>
          <w:szCs w:val="24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次，分别取算术平均值作为该点测量结果。对于只显示标况流量的仪器，需先按公式(2)将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25" o:spt="75" type="#_x0000_t75" style="height:18.55pt;width:11.4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换算为标况流量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Q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</w:rPr>
        <w:t>，再进行示值误差计算。</w:t>
      </w:r>
    </w:p>
    <w:p>
      <w:pPr>
        <w:spacing w:after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二、数学模型：</w:t>
      </w:r>
    </w:p>
    <w:p>
      <w:pPr>
        <w:wordWrap w:val="0"/>
        <w:spacing w:after="0"/>
        <w:jc w:val="right"/>
        <w:rPr>
          <w:rFonts w:hint="default" w:ascii="Times New Roman" w:hAnsi="Times New Roman" w:eastAsia="宋体" w:cs="Times New Roman"/>
          <w:position w:val="-28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28"/>
          <w:sz w:val="24"/>
          <w:szCs w:val="24"/>
        </w:rPr>
        <w:object>
          <v:shape id="_x0000_i1026" o:spt="75" type="#_x0000_t75" style="height:39.25pt;width:115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>（1）</w:t>
      </w:r>
    </w:p>
    <w:p>
      <w:pPr>
        <w:wordWrap w:val="0"/>
        <w:spacing w:after="0"/>
        <w:jc w:val="righ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30"/>
          <w:sz w:val="24"/>
          <w:szCs w:val="24"/>
        </w:rPr>
        <w:object>
          <v:shape id="_x0000_i1027" o:spt="75" type="#_x0000_t75" style="height:39.25pt;width:80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>（2）</w:t>
      </w:r>
    </w:p>
    <w:p>
      <w:pPr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式中：</w:t>
      </w:r>
      <w:r>
        <w:rPr>
          <w:rFonts w:hint="default" w:ascii="Times New Roman" w:hAnsi="Times New Roman" w:eastAsia="宋体" w:cs="Times New Roman"/>
          <w:position w:val="-14"/>
          <w:sz w:val="24"/>
          <w:szCs w:val="24"/>
        </w:rPr>
        <w:object>
          <v:shape id="_x0000_i1028" o:spt="75" type="#_x0000_t75" style="height:18.55pt;width:15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—流量示值误差，%；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14"/>
          <w:sz w:val="24"/>
          <w:szCs w:val="24"/>
        </w:rPr>
        <w:object>
          <v:shape id="_x0000_i1029" o:spt="75" type="#_x0000_t75" style="height:18.55pt;width:15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—被检仪器显示的标况流量</w:t>
      </w:r>
      <w:r>
        <w:rPr>
          <w:rFonts w:hint="default" w:ascii="Times New Roman" w:hAnsi="Times New Roman" w:eastAsia="宋体" w:cs="Times New Roman"/>
          <w:sz w:val="24"/>
          <w:szCs w:val="24"/>
        </w:rPr>
        <w:t>平均值</w:t>
      </w:r>
      <w:r>
        <w:rPr>
          <w:rFonts w:hint="default" w:ascii="Times New Roman" w:hAnsi="Times New Roman" w:eastAsia="宋体" w:cs="Times New Roman"/>
          <w:sz w:val="24"/>
          <w:szCs w:val="24"/>
        </w:rPr>
        <w:t>，L/min；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30" o:spt="75" type="#_x0000_t75" style="height:18.55pt;width:15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—测得值换算为标况的流量，L/min；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31" o:spt="75" type="#_x0000_t75" style="height:18.55pt;width:14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sz w:val="24"/>
          <w:szCs w:val="24"/>
        </w:rPr>
        <w:t>皂膜流量计</w:t>
      </w:r>
      <w:r>
        <w:rPr>
          <w:rFonts w:hint="default" w:ascii="Times New Roman" w:hAnsi="Times New Roman" w:eastAsia="宋体" w:cs="Times New Roman"/>
          <w:sz w:val="24"/>
          <w:szCs w:val="24"/>
        </w:rPr>
        <w:t>三次测量结果的平均值，L/min；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i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i/>
          <w:sz w:val="24"/>
          <w:szCs w:val="24"/>
          <w:vertAlign w:val="subscript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</w:rPr>
        <w:t>—标况环境温度，273.15K；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i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i/>
          <w:sz w:val="24"/>
          <w:szCs w:val="24"/>
          <w:vertAlign w:val="subscript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</w:rPr>
        <w:t>—标况环境大气压，101.325kPa；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i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sz w:val="24"/>
          <w:szCs w:val="24"/>
        </w:rPr>
        <w:t>—环境温度，K；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i/>
          <w:sz w:val="24"/>
          <w:szCs w:val="24"/>
        </w:rPr>
      </w:pPr>
      <w:r>
        <w:rPr>
          <w:rFonts w:hint="default" w:ascii="Times New Roman" w:hAnsi="Times New Roman" w:eastAsia="宋体" w:cs="Times New Roman"/>
          <w:i/>
          <w:sz w:val="24"/>
          <w:szCs w:val="24"/>
        </w:rPr>
        <w:t>p</w:t>
      </w:r>
      <w:r>
        <w:rPr>
          <w:rFonts w:hint="default" w:ascii="Times New Roman" w:hAnsi="Times New Roman" w:eastAsia="宋体" w:cs="Times New Roman"/>
          <w:sz w:val="24"/>
          <w:szCs w:val="24"/>
        </w:rPr>
        <w:t>—环境大气压，kPa。</w:t>
      </w:r>
    </w:p>
    <w:p>
      <w:pPr>
        <w:spacing w:after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</w:p>
    <w:p>
      <w:pPr>
        <w:spacing w:after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三、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标准状态下流量标准值的不确定度的评定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根据式（2）求方差和传播系数，以20 ℃、101.325 kPa为例，则：</w:t>
      </w:r>
    </w:p>
    <w:p>
      <w:pPr>
        <w:tabs>
          <w:tab w:val="left" w:pos="720"/>
        </w:tabs>
        <w:spacing w:after="0" w:line="360" w:lineRule="auto"/>
        <w:jc w:val="righ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</w:rPr>
        <w:object>
          <v:shape id="_x0000_i1032" o:spt="75" type="#_x0000_t75" style="height:19.1pt;width:229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         （3）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</w:rPr>
        <w:object>
          <v:shape id="_x0000_i1033" o:spt="75" type="#_x0000_t75" style="height:36pt;width:148.3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；</w:t>
      </w:r>
      <w:r>
        <w:rPr>
          <w:rFonts w:hint="default" w:ascii="Times New Roman" w:hAnsi="Times New Roman" w:cs="Times New Roman"/>
        </w:rPr>
        <w:object>
          <v:shape id="_x0000_i1034" o:spt="75" type="#_x0000_t75" style="height:36pt;width:127.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；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</w:rPr>
        <w:object>
          <v:shape id="_x0000_i1035" o:spt="75" type="#_x0000_t75" style="height:34.35pt;width:116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；</w:t>
      </w:r>
      <w:r>
        <w:rPr>
          <w:rFonts w:hint="default" w:ascii="Times New Roman" w:hAnsi="Times New Roman" w:cs="Times New Roman"/>
        </w:rPr>
        <w:object>
          <v:shape id="_x0000_i1036" o:spt="75" type="#_x0000_t75" style="height:19.1pt;width:39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。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则有： 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</w:rPr>
        <w:object>
          <v:shape id="_x0000_i1037" o:spt="75" type="#_x0000_t75" style="height:21.8pt;width:234.5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</w:t>
      </w:r>
      <w:r>
        <w:rPr>
          <w:rFonts w:hint="default" w:ascii="Times New Roman" w:hAnsi="Times New Roman" w:cs="Times New Roman"/>
        </w:rPr>
        <w:object>
          <v:shape id="_x0000_i1038" o:spt="75" type="#_x0000_t75" style="height:39.25pt;width:189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两边同时除以</w:t>
      </w:r>
      <w:r>
        <w:rPr>
          <w:rFonts w:hint="default" w:ascii="Times New Roman" w:hAnsi="Times New Roman" w:cs="Times New Roman"/>
        </w:rPr>
        <w:object>
          <v:shape id="_x0000_i1039" o:spt="75" type="#_x0000_t75" style="height:18.55pt;width:15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</w:rPr>
        <w:object>
          <v:shape id="_x0000_i1040" o:spt="75" type="#_x0000_t75" style="height:18.55pt;width:14.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），取相对标准不确定度，则：  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</w:rPr>
        <w:object>
          <v:shape id="_x0000_i1041" o:spt="75" type="#_x0000_t75" style="height:37.65pt;width:258.5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，即</w:t>
      </w:r>
    </w:p>
    <w:p>
      <w:pPr>
        <w:tabs>
          <w:tab w:val="left" w:pos="720"/>
        </w:tabs>
        <w:spacing w:after="0" w:line="360" w:lineRule="auto"/>
        <w:jc w:val="righ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hint="default" w:ascii="Times New Roman" w:hAnsi="Times New Roman" w:cs="Times New Roman"/>
        </w:rPr>
        <w:object>
          <v:shape id="_x0000_i1042" o:spt="75" type="#_x0000_t75" style="height:26.75pt;width:220.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 xml:space="preserve">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（4）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1、环境温度引入的不确定度</w:t>
      </w:r>
    </w:p>
    <w:p>
      <w:pPr>
        <w:tabs>
          <w:tab w:val="left" w:pos="720"/>
        </w:tabs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温度计最大允许误差不超过±0.3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℃</w: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检测</w:t>
      </w:r>
      <w:r>
        <w:rPr>
          <w:rFonts w:hint="default" w:ascii="Times New Roman" w:hAnsi="Times New Roman" w:eastAsia="宋体" w:cs="Times New Roman"/>
          <w:sz w:val="24"/>
          <w:szCs w:val="24"/>
        </w:rPr>
        <w:t>过程中，环境温度的波动小于    ±2 ℃。因此，以20 ℃为例，温度测量引起的不确定度为 ：</w:t>
      </w:r>
    </w:p>
    <w:p>
      <w:pPr>
        <w:tabs>
          <w:tab w:val="left" w:pos="720"/>
        </w:tabs>
        <w:spacing w:after="0" w:line="360" w:lineRule="auto"/>
        <w:ind w:firstLine="480" w:firstLineChars="200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position w:val="-24"/>
          <w:sz w:val="24"/>
        </w:rPr>
        <w:object>
          <v:shape id="_x0000_i1043" o:spt="75" type="#_x0000_t75" style="height:51.25pt;width:13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=0.40%。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2、 环境大气压引入的不确定度</w:t>
      </w:r>
    </w:p>
    <w:p>
      <w:pPr>
        <w:tabs>
          <w:tab w:val="left" w:pos="720"/>
        </w:tabs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根据规程中要求，测量大气压力的空盒气压计的最大允许误差为±2</w:t>
      </w:r>
      <w:r>
        <w:rPr>
          <w:rFonts w:hint="default" w:ascii="Times New Roman" w:hAnsi="Times New Roman" w:eastAsia="宋体" w:cs="Times New Roman"/>
          <w:sz w:val="24"/>
          <w:szCs w:val="24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>0 Pa，因此压力测量的最大误差可认为是±2</w:t>
      </w:r>
      <w:r>
        <w:rPr>
          <w:rFonts w:hint="default" w:ascii="Times New Roman" w:hAnsi="Times New Roman" w:eastAsia="宋体" w:cs="Times New Roman"/>
          <w:sz w:val="24"/>
          <w:szCs w:val="24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Pa，以101325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Pa为例，则相对标准不确定度为：</w:t>
      </w:r>
    </w:p>
    <w:p>
      <w:pPr>
        <w:tabs>
          <w:tab w:val="left" w:pos="720"/>
        </w:tabs>
        <w:spacing w:after="0" w:line="360" w:lineRule="auto"/>
        <w:ind w:firstLine="480" w:firstLineChars="200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position w:val="-22"/>
          <w:sz w:val="24"/>
        </w:rPr>
        <w:object>
          <v:shape id="_x0000_i1044" o:spt="75" type="#_x0000_t75" style="height:46.9pt;width:87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=0.14%</w:t>
      </w:r>
    </w:p>
    <w:p>
      <w:pPr>
        <w:tabs>
          <w:tab w:val="left" w:pos="720"/>
        </w:tabs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3、 皂膜流量计引入的不确定度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皂膜流量计为1.0级仪器，示值最大允许误差±1.0%</w: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均匀分布，则：</w:t>
      </w:r>
    </w:p>
    <w:p>
      <w:pPr>
        <w:spacing w:after="0"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i/>
          <w:sz w:val="24"/>
          <w:szCs w:val="24"/>
        </w:rPr>
        <w:t>u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rel</w:t>
      </w: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  <w:position w:val="-10"/>
        </w:rPr>
        <w:object>
          <v:shape id="_x0000_i1045" o:spt="75" type="#_x0000_t75" style="height:18.55pt;width:13.6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position w:val="-26"/>
          <w:sz w:val="24"/>
        </w:rPr>
        <w:object>
          <v:shape id="_x0000_i1046" o:spt="75" type="#_x0000_t75" style="height:32.75pt;width:43.6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=0.58%</w:t>
      </w:r>
    </w:p>
    <w:p>
      <w:pPr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4、合成</w:t>
      </w:r>
      <w:r>
        <w:rPr>
          <w:rFonts w:hint="default" w:ascii="Times New Roman" w:hAnsi="Times New Roman" w:eastAsia="宋体" w:cs="Times New Roman"/>
          <w:sz w:val="24"/>
          <w:szCs w:val="24"/>
        </w:rPr>
        <w:t>标准不确定度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由公式（4）可求出流量标准值的相对标准不确定度：</w:t>
      </w:r>
    </w:p>
    <w:p>
      <w:pPr>
        <w:spacing w:after="0" w:line="360" w:lineRule="auto"/>
        <w:jc w:val="center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position w:val="-12"/>
          <w:sz w:val="24"/>
        </w:rPr>
        <w:object>
          <v:shape id="_x0000_i1047" o:spt="75" type="#_x0000_t75" style="height:22.35pt;width:193.6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</w:p>
    <w:p>
      <w:pPr>
        <w:spacing w:after="0" w:line="360" w:lineRule="auto"/>
        <w:jc w:val="center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</w:rPr>
        <w:t xml:space="preserve">             </w:t>
      </w:r>
      <w:r>
        <w:rPr>
          <w:rFonts w:hint="default" w:ascii="Times New Roman" w:hAnsi="Times New Roman" w:cs="Times New Roman"/>
          <w:color w:val="000000"/>
          <w:position w:val="-12"/>
          <w:sz w:val="24"/>
        </w:rPr>
        <w:object>
          <v:shape id="_x0000_i1048" o:spt="75" type="#_x0000_t75" style="height:22.35pt;width:168.5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3">
            <o:LockedField>false</o:LockedField>
          </o:OLEObject>
        </w:object>
      </w:r>
    </w:p>
    <w:p>
      <w:pPr>
        <w:spacing w:after="0" w:line="360" w:lineRule="auto"/>
        <w:ind w:firstLine="3120" w:firstLineChars="13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</w:rPr>
        <w:t>0.72%</w:t>
      </w:r>
    </w:p>
    <w:p>
      <w:pPr>
        <w:spacing w:after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四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流量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示值误差的不确定度</w:t>
      </w:r>
    </w:p>
    <w:p>
      <w:pPr>
        <w:spacing w:after="0"/>
        <w:ind w:firstLine="480" w:firstLineChars="200"/>
        <w:rPr>
          <w:rStyle w:val="11"/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式（</w:t>
      </w: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可变形为</w:t>
      </w:r>
      <w:r>
        <w:rPr>
          <w:rStyle w:val="11"/>
          <w:rFonts w:hint="default" w:ascii="Times New Roman" w:hAnsi="Times New Roman" w:eastAsia="宋体" w:cs="Times New Roman"/>
          <w:sz w:val="24"/>
          <w:szCs w:val="24"/>
        </w:rPr>
        <w:t>：</w:t>
      </w:r>
    </w:p>
    <w:p>
      <w:pPr>
        <w:spacing w:after="0"/>
        <w:ind w:firstLine="440" w:firstLineChars="200"/>
        <w:rPr>
          <w:rStyle w:val="11"/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</w:rPr>
        <w:object>
          <v:shape id="_x0000_i1049" o:spt="75" type="#_x0000_t75" style="height:40.35pt;width:69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，即：</w:t>
      </w:r>
    </w:p>
    <w:p>
      <w:pPr>
        <w:spacing w:after="0"/>
        <w:ind w:firstLine="480" w:firstLineChars="200"/>
        <w:rPr>
          <w:rStyle w:val="11"/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position w:val="-14"/>
          <w:sz w:val="24"/>
        </w:rPr>
        <w:object>
          <v:shape id="_x0000_i1050" o:spt="75" type="#_x0000_t75" style="height:24.55pt;width:37.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7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4"/>
        </w:rPr>
        <w:t>=</w:t>
      </w:r>
      <w:r>
        <w:rPr>
          <w:rFonts w:hint="default" w:ascii="Times New Roman" w:hAnsi="Times New Roman" w:cs="Times New Roman"/>
          <w:color w:val="000000"/>
          <w:position w:val="-14"/>
          <w:sz w:val="24"/>
        </w:rPr>
        <w:object>
          <v:shape id="_x0000_i1051" o:spt="75" type="#_x0000_t75" style="height:27.8pt;width:145.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9">
            <o:LockedField>false</o:LockedField>
          </o:OLEObject>
        </w:object>
      </w:r>
    </w:p>
    <w:p>
      <w:pPr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  <w:vertAlign w:val="subscrip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被检仪器分辨率引入的不确定度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u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1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大气采样器分辨率一般为0.01 L/min或0.001 L/min，按0.01 L/min计算，则：</w:t>
      </w:r>
    </w:p>
    <w:p>
      <w:pPr>
        <w:spacing w:after="0"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24"/>
          <w:sz w:val="24"/>
          <w:szCs w:val="24"/>
        </w:rPr>
        <w:object>
          <v:shape id="_x0000_i1052" o:spt="75" type="#_x0000_t75" style="height:34.35pt;width:139.6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1">
            <o:LockedField>false</o:LockedField>
          </o:OLEObject>
        </w:object>
      </w:r>
    </w:p>
    <w:p>
      <w:pPr>
        <w:spacing w:after="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2 </w:t>
      </w:r>
      <w:r>
        <w:rPr>
          <w:rFonts w:hint="default" w:ascii="Times New Roman" w:hAnsi="Times New Roman" w:eastAsia="宋体" w:cs="Times New Roman"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被检仪器重复性引入的不确定度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u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2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仪器测量重复性数据(L/min)：0.560，0.560，0.559，0.560，0.560，0.564。平均值：0.560 L/min，试验标准偏差：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</w:rPr>
        <w:t>0.0017</w:t>
      </w:r>
      <w:r>
        <w:rPr>
          <w:rFonts w:hint="default" w:ascii="Times New Roman" w:hAnsi="Times New Roman" w:eastAsia="宋体" w:cs="Times New Roman"/>
          <w:sz w:val="24"/>
          <w:szCs w:val="24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L/min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实际取3次测量值的平均值，所以有：</w:t>
      </w:r>
    </w:p>
    <w:p>
      <w:pPr>
        <w:spacing w:after="0" w:line="360" w:lineRule="auto"/>
        <w:ind w:firstLine="1200" w:firstLineChars="5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24"/>
          <w:sz w:val="24"/>
          <w:szCs w:val="24"/>
        </w:rPr>
        <w:object>
          <v:shape id="_x0000_i1053" o:spt="75" type="#_x0000_t75" style="height:34.35pt;width:160.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3">
            <o:LockedField>false</o:LockedField>
          </o:OLEObject>
        </w:objec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由于仪器的重复性和分辨率引入的不确定度重复，所以选择较大的一个作为被检仪器引入的标准不确定度：</w:t>
      </w:r>
    </w:p>
    <w:p>
      <w:pPr>
        <w:spacing w:after="0" w:line="360" w:lineRule="auto"/>
        <w:ind w:firstLine="1200" w:firstLineChars="5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i/>
          <w:sz w:val="24"/>
          <w:szCs w:val="24"/>
        </w:rPr>
        <w:t>u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bscript"/>
        </w:rPr>
        <w:t>rel</w:t>
      </w:r>
      <w:r>
        <w:rPr>
          <w:rFonts w:hint="default" w:ascii="Times New Roman" w:hAnsi="Times New Roman" w:eastAsia="宋体" w:cs="Times New Roman"/>
          <w:sz w:val="24"/>
          <w:szCs w:val="24"/>
        </w:rPr>
        <w:t>(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Q</w:t>
      </w:r>
      <w:r>
        <w:rPr>
          <w:rFonts w:hint="default" w:ascii="Times New Roman" w:hAnsi="Times New Roman" w:eastAsia="宋体" w:cs="Times New Roman"/>
          <w:i/>
          <w:sz w:val="24"/>
          <w:szCs w:val="24"/>
          <w:vertAlign w:val="subscript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)= </w:t>
      </w:r>
      <w:r>
        <w:rPr>
          <w:rFonts w:hint="default" w:ascii="Times New Roman" w:hAnsi="Times New Roman" w:eastAsia="宋体" w:cs="Times New Roman"/>
          <w:position w:val="-22"/>
          <w:sz w:val="24"/>
          <w:szCs w:val="24"/>
        </w:rPr>
        <w:object>
          <v:shape id="_x0000_i1054" o:spt="75" type="#_x0000_t75" style="height:32.75pt;width:94.3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5">
            <o:LockedField>false</o:LockedField>
          </o:OLEObject>
        </w:object>
      </w:r>
    </w:p>
    <w:p>
      <w:pPr>
        <w:autoSpaceDE w:val="0"/>
        <w:autoSpaceDN w:val="0"/>
        <w:spacing w:after="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五、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合成标准不确定度及扩展不确定度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position w:val="-14"/>
          <w:sz w:val="24"/>
        </w:rPr>
        <w:object>
          <v:shape id="_x0000_i1055" o:spt="75" type="#_x0000_t75" style="height:24.55pt;width:37.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7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4"/>
        </w:rPr>
        <w:t>=</w:t>
      </w:r>
      <w:r>
        <w:rPr>
          <w:rFonts w:hint="default" w:ascii="Times New Roman" w:hAnsi="Times New Roman" w:cs="Times New Roman"/>
          <w:color w:val="000000"/>
          <w:position w:val="-14"/>
          <w:sz w:val="24"/>
        </w:rPr>
        <w:object>
          <v:shape id="_x0000_i1056" o:spt="75" type="#_x0000_t75" style="height:26.2pt;width:134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8">
            <o:LockedField>false</o:LockedField>
          </o:OLEObject>
        </w:object>
      </w:r>
    </w:p>
    <w:p>
      <w:pPr>
        <w:spacing w:line="360" w:lineRule="auto"/>
        <w:ind w:firstLine="1200" w:firstLineChars="5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</w:rPr>
        <w:t>=</w:t>
      </w:r>
      <w:r>
        <w:rPr>
          <w:rFonts w:hint="default" w:ascii="Times New Roman" w:hAnsi="Times New Roman" w:cs="Times New Roman"/>
          <w:color w:val="000000"/>
          <w:position w:val="-12"/>
          <w:sz w:val="24"/>
        </w:rPr>
        <w:object>
          <v:shape id="_x0000_i1057" o:spt="75" type="#_x0000_t75" style="height:23.45pt;width:134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9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4"/>
        </w:rPr>
        <w:t>=0.89%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取包含因子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=2，则扩展不确定度</w:t>
      </w:r>
    </w:p>
    <w:p>
      <w:pPr>
        <w:spacing w:after="0" w:line="360" w:lineRule="auto"/>
        <w:jc w:val="center"/>
        <w:rPr>
          <w:rFonts w:hint="default" w:ascii="Times New Roman" w:hAnsi="Times New Roman" w:eastAsia="宋体" w:cs="Times New Roman"/>
          <w:position w:val="-14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14"/>
          <w:sz w:val="24"/>
          <w:szCs w:val="24"/>
        </w:rPr>
        <w:object>
          <v:shape id="_x0000_i1058" o:spt="75" type="#_x0000_t75" style="height:22.35pt;width:22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1">
            <o:LockedField>false</o:LockedField>
          </o:OLEObject>
        </w:object>
      </w:r>
    </w:p>
    <w:p>
      <w:pPr>
        <w:spacing w:after="0"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即      </w:t>
      </w:r>
      <w:r>
        <w:rPr>
          <w:rFonts w:hint="default" w:ascii="Times New Roman" w:hAnsi="Times New Roman" w:eastAsia="宋体" w:cs="Times New Roman"/>
          <w:position w:val="-14"/>
          <w:sz w:val="24"/>
          <w:szCs w:val="24"/>
        </w:rPr>
        <w:object>
          <v:shape id="_x0000_i1059" o:spt="75" type="#_x0000_t75" style="height:20.75pt;width:76.3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</w:t>
      </w:r>
    </w:p>
    <w:p>
      <w:pPr>
        <w:autoSpaceDE w:val="0"/>
        <w:autoSpaceDN w:val="0"/>
        <w:spacing w:after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六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结论</w:t>
      </w:r>
    </w:p>
    <w:p>
      <w:pPr>
        <w:spacing w:after="0"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采用规程中规定的方法及标准器，只显示</w:t>
      </w:r>
      <w:r>
        <w:rPr>
          <w:rFonts w:hint="default" w:ascii="Times New Roman" w:hAnsi="Times New Roman" w:eastAsia="宋体" w:cs="Times New Roman"/>
          <w:sz w:val="24"/>
          <w:szCs w:val="24"/>
        </w:rPr>
        <w:t>标况流量的大气采样器</w:t>
      </w:r>
      <w:r>
        <w:rPr>
          <w:rFonts w:hint="default" w:ascii="Times New Roman" w:hAnsi="Times New Roman" w:eastAsia="宋体" w:cs="Times New Roman"/>
          <w:sz w:val="24"/>
          <w:szCs w:val="24"/>
        </w:rPr>
        <w:t>流量示值误差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检测</w:t>
      </w:r>
      <w:r>
        <w:rPr>
          <w:rFonts w:hint="default" w:ascii="Times New Roman" w:hAnsi="Times New Roman" w:eastAsia="宋体" w:cs="Times New Roman"/>
          <w:sz w:val="24"/>
          <w:szCs w:val="24"/>
        </w:rPr>
        <w:t>结果的不确定度为：</w:t>
      </w:r>
    </w:p>
    <w:p>
      <w:pPr>
        <w:spacing w:after="0" w:line="360" w:lineRule="auto"/>
        <w:ind w:firstLine="480" w:firstLineChars="200"/>
        <w:jc w:val="center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position w:val="-14"/>
          <w:sz w:val="24"/>
          <w:szCs w:val="24"/>
        </w:rPr>
        <w:object>
          <v:shape id="_x0000_i1060" o:spt="75" type="#_x0000_t75" style="height:20.75pt;width:76.3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708" w:footer="708" w:gutter="0"/>
      <w:pgNumType w:start="1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740675"/>
    </w:sdtPr>
    <w:sdtEndPr>
      <w:rPr>
        <w:rFonts w:ascii="Times New Roman" w:hAnsi="Times New Roman" w:cs="Times New Roman"/>
      </w:rPr>
    </w:sdtEndPr>
    <w:sdtContent>
      <w:p>
        <w:pPr>
          <w:pStyle w:val="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  <w:lang w:val="zh-CN"/>
          </w:rP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80773"/>
    <w:multiLevelType w:val="singleLevel"/>
    <w:tmpl w:val="5A08077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DM4NWQyMzBhMTRiMTUxMmI3OGZjMDE5OGM0M2UxZTUifQ=="/>
  </w:docVars>
  <w:rsids>
    <w:rsidRoot w:val="00D31D50"/>
    <w:rsid w:val="000C6ED6"/>
    <w:rsid w:val="00166A24"/>
    <w:rsid w:val="0021173E"/>
    <w:rsid w:val="0021716A"/>
    <w:rsid w:val="00281317"/>
    <w:rsid w:val="00285535"/>
    <w:rsid w:val="002A3270"/>
    <w:rsid w:val="002B4F53"/>
    <w:rsid w:val="002E74CD"/>
    <w:rsid w:val="002F7161"/>
    <w:rsid w:val="00323B43"/>
    <w:rsid w:val="003572CA"/>
    <w:rsid w:val="003B2C1D"/>
    <w:rsid w:val="003D37D8"/>
    <w:rsid w:val="00426133"/>
    <w:rsid w:val="004358AB"/>
    <w:rsid w:val="004E4183"/>
    <w:rsid w:val="00501AA3"/>
    <w:rsid w:val="00580FB3"/>
    <w:rsid w:val="005D6957"/>
    <w:rsid w:val="00635E45"/>
    <w:rsid w:val="006D5B88"/>
    <w:rsid w:val="008B7726"/>
    <w:rsid w:val="008D0FD2"/>
    <w:rsid w:val="00942631"/>
    <w:rsid w:val="00A317D6"/>
    <w:rsid w:val="00A77821"/>
    <w:rsid w:val="00AA3D1A"/>
    <w:rsid w:val="00AB6330"/>
    <w:rsid w:val="00BB1F2C"/>
    <w:rsid w:val="00BC5576"/>
    <w:rsid w:val="00C1476D"/>
    <w:rsid w:val="00C74D36"/>
    <w:rsid w:val="00D31D50"/>
    <w:rsid w:val="00E401C2"/>
    <w:rsid w:val="00F1147B"/>
    <w:rsid w:val="00F825A0"/>
    <w:rsid w:val="04A71F64"/>
    <w:rsid w:val="0E0669AA"/>
    <w:rsid w:val="15B55353"/>
    <w:rsid w:val="242B402D"/>
    <w:rsid w:val="335A3E37"/>
    <w:rsid w:val="3F061220"/>
    <w:rsid w:val="41AB222A"/>
    <w:rsid w:val="47F47FB1"/>
    <w:rsid w:val="4F747898"/>
    <w:rsid w:val="4FCA42C1"/>
    <w:rsid w:val="618E24C8"/>
    <w:rsid w:val="782A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outlineLvl w:val="2"/>
    </w:pPr>
    <w:rPr>
      <w:rFonts w:eastAsia="黑体"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1">
    <w:name w:val="标题 3 字符"/>
    <w:basedOn w:val="8"/>
    <w:link w:val="3"/>
    <w:qFormat/>
    <w:uiPriority w:val="0"/>
    <w:rPr>
      <w:rFonts w:eastAsia="黑体"/>
      <w:bCs/>
      <w:sz w:val="28"/>
      <w:szCs w:val="2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image" Target="media/image34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1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7.wmf"/><Relationship Id="rId6" Type="http://schemas.openxmlformats.org/officeDocument/2006/relationships/theme" Target="theme/theme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" Type="http://schemas.openxmlformats.org/officeDocument/2006/relationships/header" Target="head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346</Words>
  <Characters>1978</Characters>
  <Lines>16</Lines>
  <Paragraphs>4</Paragraphs>
  <TotalTime>14</TotalTime>
  <ScaleCrop>false</ScaleCrop>
  <LinksUpToDate>false</LinksUpToDate>
  <CharactersWithSpaces>2320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2023-04-10T17:21:00Z</dcterms:created>
  <dc:creator>Administrator</dc:creator>
  <cp:lastModifiedBy>张易农</cp:lastModifiedBy>
  <cp:lastPrinted>2017-11-15T06:45:00Z</cp:lastPrinted>
  <dcterms:modified xsi:type="dcterms:W3CDTF">2023-10-09T00:56:49Z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82B2EC6C44AE429A88616EF82FD211D1</vt:lpwstr>
  </property>
</Properties>
</file>