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593E6" w14:textId="77777777" w:rsidR="001F5DF2" w:rsidRDefault="001F5DF2">
      <w:pPr>
        <w:spacing w:line="560" w:lineRule="exact"/>
        <w:rPr>
          <w:rFonts w:eastAsia="黑体"/>
          <w:sz w:val="28"/>
          <w:szCs w:val="28"/>
        </w:rPr>
      </w:pPr>
    </w:p>
    <w:p w14:paraId="2977A36A" w14:textId="77777777" w:rsidR="001F5DF2" w:rsidRDefault="001F5DF2">
      <w:pPr>
        <w:spacing w:line="560" w:lineRule="exact"/>
        <w:rPr>
          <w:rFonts w:eastAsia="黑体"/>
          <w:sz w:val="28"/>
          <w:szCs w:val="28"/>
        </w:rPr>
      </w:pPr>
    </w:p>
    <w:p w14:paraId="6DC4F092" w14:textId="77777777" w:rsidR="001F5DF2" w:rsidRDefault="001F5DF2">
      <w:pPr>
        <w:spacing w:line="560" w:lineRule="exact"/>
        <w:rPr>
          <w:rFonts w:eastAsia="黑体"/>
          <w:sz w:val="28"/>
          <w:szCs w:val="28"/>
        </w:rPr>
      </w:pPr>
    </w:p>
    <w:p w14:paraId="374E13CA" w14:textId="77777777" w:rsidR="001F5DF2" w:rsidRDefault="001F5DF2">
      <w:pPr>
        <w:spacing w:line="560" w:lineRule="exact"/>
        <w:rPr>
          <w:rFonts w:eastAsia="黑体"/>
          <w:sz w:val="28"/>
          <w:szCs w:val="28"/>
        </w:rPr>
      </w:pPr>
    </w:p>
    <w:p w14:paraId="495A04DF" w14:textId="77777777" w:rsidR="001F5DF2" w:rsidRDefault="001F5DF2">
      <w:pPr>
        <w:spacing w:line="560" w:lineRule="exact"/>
        <w:rPr>
          <w:rFonts w:eastAsia="黑体"/>
          <w:sz w:val="28"/>
          <w:szCs w:val="28"/>
        </w:rPr>
      </w:pPr>
    </w:p>
    <w:p w14:paraId="1D79CCB6" w14:textId="77777777" w:rsidR="001F5DF2" w:rsidRDefault="001F5DF2">
      <w:pPr>
        <w:spacing w:line="560" w:lineRule="exact"/>
        <w:rPr>
          <w:rFonts w:eastAsia="黑体"/>
          <w:sz w:val="28"/>
          <w:szCs w:val="28"/>
        </w:rPr>
      </w:pPr>
    </w:p>
    <w:p w14:paraId="64AF1298" w14:textId="77777777" w:rsidR="001F5DF2" w:rsidRPr="00AB1754" w:rsidRDefault="00000000" w:rsidP="00AB1754">
      <w:pPr>
        <w:spacing w:line="480" w:lineRule="auto"/>
        <w:jc w:val="center"/>
        <w:rPr>
          <w:b/>
          <w:sz w:val="32"/>
          <w:szCs w:val="32"/>
        </w:rPr>
      </w:pPr>
      <w:r w:rsidRPr="00AB1754">
        <w:rPr>
          <w:b/>
          <w:sz w:val="32"/>
          <w:szCs w:val="32"/>
        </w:rPr>
        <w:t>JJG</w:t>
      </w:r>
      <w:r w:rsidRPr="00AB1754">
        <w:rPr>
          <w:rFonts w:hint="eastAsia"/>
          <w:b/>
          <w:sz w:val="32"/>
          <w:szCs w:val="32"/>
        </w:rPr>
        <w:t>443</w:t>
      </w:r>
      <w:r w:rsidRPr="00AB1754">
        <w:rPr>
          <w:b/>
          <w:sz w:val="32"/>
          <w:szCs w:val="32"/>
        </w:rPr>
        <w:t>-202X</w:t>
      </w:r>
      <w:r w:rsidRPr="00AB1754">
        <w:rPr>
          <w:b/>
          <w:sz w:val="32"/>
          <w:szCs w:val="32"/>
        </w:rPr>
        <w:t>《</w:t>
      </w:r>
      <w:r w:rsidRPr="00AB1754">
        <w:rPr>
          <w:rFonts w:hint="eastAsia"/>
          <w:b/>
          <w:sz w:val="32"/>
          <w:szCs w:val="32"/>
        </w:rPr>
        <w:t>燃油加油机</w:t>
      </w:r>
      <w:r w:rsidRPr="00AB1754">
        <w:rPr>
          <w:b/>
          <w:sz w:val="32"/>
          <w:szCs w:val="32"/>
        </w:rPr>
        <w:t>》</w:t>
      </w:r>
    </w:p>
    <w:p w14:paraId="2B693F11" w14:textId="77777777" w:rsidR="001F5DF2" w:rsidRPr="00AB1754" w:rsidRDefault="00000000" w:rsidP="00AB1754">
      <w:pPr>
        <w:spacing w:line="480" w:lineRule="auto"/>
        <w:jc w:val="center"/>
        <w:rPr>
          <w:b/>
          <w:sz w:val="32"/>
          <w:szCs w:val="32"/>
        </w:rPr>
      </w:pPr>
      <w:r w:rsidRPr="00AB1754">
        <w:rPr>
          <w:b/>
          <w:sz w:val="32"/>
          <w:szCs w:val="32"/>
        </w:rPr>
        <w:t>国家计量检定规程</w:t>
      </w:r>
    </w:p>
    <w:p w14:paraId="7FA52D96" w14:textId="77777777" w:rsidR="001F5DF2" w:rsidRDefault="001F5DF2">
      <w:pPr>
        <w:spacing w:line="560" w:lineRule="exact"/>
        <w:ind w:left="1399" w:hanging="280"/>
        <w:rPr>
          <w:rFonts w:ascii="黑体" w:eastAsia="黑体"/>
          <w:sz w:val="30"/>
          <w:szCs w:val="30"/>
        </w:rPr>
      </w:pPr>
    </w:p>
    <w:p w14:paraId="7ED2DF74" w14:textId="77777777" w:rsidR="001F5DF2" w:rsidRPr="00AB1754" w:rsidRDefault="00000000">
      <w:pPr>
        <w:spacing w:line="560" w:lineRule="exact"/>
        <w:jc w:val="center"/>
        <w:rPr>
          <w:rFonts w:ascii="黑体" w:eastAsia="黑体"/>
          <w:sz w:val="44"/>
          <w:szCs w:val="44"/>
        </w:rPr>
      </w:pPr>
      <w:r w:rsidRPr="00AB1754">
        <w:rPr>
          <w:rFonts w:ascii="黑体" w:eastAsia="黑体" w:hint="eastAsia"/>
          <w:sz w:val="44"/>
          <w:szCs w:val="44"/>
        </w:rPr>
        <w:t>编写说明</w:t>
      </w:r>
    </w:p>
    <w:p w14:paraId="7AD37107" w14:textId="2EACF690" w:rsidR="001F5DF2" w:rsidRDefault="00000000">
      <w:pPr>
        <w:spacing w:line="560" w:lineRule="exact"/>
        <w:jc w:val="center"/>
        <w:rPr>
          <w:rFonts w:ascii="黑体" w:eastAsia="黑体"/>
          <w:sz w:val="28"/>
          <w:szCs w:val="28"/>
        </w:rPr>
      </w:pPr>
      <w:r>
        <w:rPr>
          <w:rFonts w:ascii="黑体" w:eastAsia="黑体" w:hint="eastAsia"/>
          <w:sz w:val="28"/>
          <w:szCs w:val="28"/>
        </w:rPr>
        <w:t>（</w:t>
      </w:r>
      <w:r w:rsidR="00AB1754">
        <w:rPr>
          <w:rFonts w:ascii="黑体" w:eastAsia="黑体" w:hint="eastAsia"/>
          <w:sz w:val="28"/>
          <w:szCs w:val="28"/>
        </w:rPr>
        <w:t>征求意见</w:t>
      </w:r>
      <w:r>
        <w:rPr>
          <w:rFonts w:ascii="黑体" w:eastAsia="黑体" w:hint="eastAsia"/>
          <w:sz w:val="28"/>
          <w:szCs w:val="28"/>
        </w:rPr>
        <w:t>稿）</w:t>
      </w:r>
    </w:p>
    <w:p w14:paraId="1CA41E8B" w14:textId="77777777" w:rsidR="001F5DF2" w:rsidRDefault="001F5DF2">
      <w:pPr>
        <w:spacing w:line="560" w:lineRule="exact"/>
        <w:ind w:left="1399" w:hanging="280"/>
        <w:rPr>
          <w:rFonts w:ascii="黑体" w:eastAsia="黑体"/>
          <w:sz w:val="28"/>
          <w:szCs w:val="28"/>
        </w:rPr>
      </w:pPr>
    </w:p>
    <w:p w14:paraId="5F347DDB" w14:textId="77777777" w:rsidR="001F5DF2" w:rsidRDefault="001F5DF2">
      <w:pPr>
        <w:spacing w:line="560" w:lineRule="exact"/>
        <w:ind w:left="1399" w:hanging="280"/>
        <w:rPr>
          <w:rFonts w:ascii="黑体" w:eastAsia="黑体"/>
          <w:sz w:val="28"/>
          <w:szCs w:val="28"/>
        </w:rPr>
      </w:pPr>
    </w:p>
    <w:p w14:paraId="7BCD1FB5" w14:textId="77777777" w:rsidR="001F5DF2" w:rsidRDefault="001F5DF2">
      <w:pPr>
        <w:spacing w:line="560" w:lineRule="exact"/>
        <w:ind w:left="1399" w:hanging="280"/>
        <w:rPr>
          <w:rFonts w:ascii="黑体" w:eastAsia="黑体"/>
          <w:sz w:val="28"/>
          <w:szCs w:val="28"/>
        </w:rPr>
      </w:pPr>
    </w:p>
    <w:p w14:paraId="07466B34" w14:textId="77777777" w:rsidR="001F5DF2" w:rsidRDefault="001F5DF2">
      <w:pPr>
        <w:spacing w:line="560" w:lineRule="exact"/>
        <w:ind w:left="1399" w:hanging="280"/>
        <w:rPr>
          <w:rFonts w:ascii="黑体" w:eastAsia="黑体"/>
          <w:sz w:val="28"/>
          <w:szCs w:val="28"/>
        </w:rPr>
      </w:pPr>
    </w:p>
    <w:p w14:paraId="338B5487" w14:textId="77777777" w:rsidR="001F5DF2" w:rsidRDefault="00000000">
      <w:pPr>
        <w:spacing w:line="560" w:lineRule="exact"/>
        <w:ind w:firstLine="1120"/>
        <w:rPr>
          <w:rFonts w:eastAsia="黑体"/>
          <w:sz w:val="28"/>
          <w:szCs w:val="28"/>
        </w:rPr>
      </w:pPr>
      <w:r>
        <w:rPr>
          <w:rFonts w:eastAsia="黑体" w:hint="eastAsia"/>
          <w:sz w:val="28"/>
          <w:szCs w:val="28"/>
        </w:rPr>
        <w:t xml:space="preserve">               </w:t>
      </w:r>
    </w:p>
    <w:p w14:paraId="03368016" w14:textId="77777777" w:rsidR="001F5DF2" w:rsidRDefault="001F5DF2">
      <w:pPr>
        <w:spacing w:line="560" w:lineRule="exact"/>
        <w:ind w:firstLineChars="1250" w:firstLine="4000"/>
        <w:rPr>
          <w:rFonts w:eastAsia="黑体"/>
          <w:sz w:val="32"/>
          <w:szCs w:val="32"/>
        </w:rPr>
      </w:pPr>
    </w:p>
    <w:p w14:paraId="5CDC7294" w14:textId="77777777" w:rsidR="001F5DF2" w:rsidRDefault="00000000">
      <w:pPr>
        <w:spacing w:line="560" w:lineRule="exact"/>
        <w:jc w:val="center"/>
        <w:rPr>
          <w:rFonts w:eastAsia="黑体"/>
          <w:b/>
          <w:sz w:val="28"/>
          <w:szCs w:val="28"/>
        </w:rPr>
      </w:pPr>
      <w:r>
        <w:rPr>
          <w:rFonts w:ascii="宋体" w:hAnsi="宋体" w:hint="eastAsia"/>
          <w:b/>
          <w:sz w:val="28"/>
          <w:szCs w:val="28"/>
        </w:rPr>
        <w:t>规程起草小组</w:t>
      </w:r>
    </w:p>
    <w:p w14:paraId="10248684" w14:textId="77777777" w:rsidR="001F5DF2" w:rsidRDefault="00000000">
      <w:pPr>
        <w:spacing w:line="560" w:lineRule="exact"/>
        <w:jc w:val="center"/>
        <w:rPr>
          <w:rFonts w:ascii="宋体" w:hAnsi="宋体"/>
          <w:b/>
          <w:sz w:val="28"/>
          <w:szCs w:val="28"/>
        </w:rPr>
      </w:pPr>
      <w:r>
        <w:rPr>
          <w:rFonts w:ascii="宋体" w:hAnsi="宋体"/>
          <w:b/>
          <w:sz w:val="28"/>
          <w:szCs w:val="28"/>
        </w:rPr>
        <w:t>202</w:t>
      </w:r>
      <w:r>
        <w:rPr>
          <w:rFonts w:ascii="宋体" w:hAnsi="宋体" w:hint="eastAsia"/>
          <w:b/>
          <w:sz w:val="28"/>
          <w:szCs w:val="28"/>
        </w:rPr>
        <w:t>3</w:t>
      </w:r>
      <w:r>
        <w:rPr>
          <w:rFonts w:ascii="宋体" w:hAnsi="宋体"/>
          <w:b/>
          <w:sz w:val="28"/>
          <w:szCs w:val="28"/>
        </w:rPr>
        <w:t>年</w:t>
      </w:r>
      <w:r>
        <w:rPr>
          <w:rFonts w:ascii="宋体" w:hAnsi="宋体" w:hint="eastAsia"/>
          <w:b/>
          <w:sz w:val="28"/>
          <w:szCs w:val="28"/>
        </w:rPr>
        <w:t>10</w:t>
      </w:r>
      <w:r>
        <w:rPr>
          <w:rFonts w:ascii="宋体" w:hAnsi="宋体"/>
          <w:b/>
          <w:sz w:val="28"/>
          <w:szCs w:val="28"/>
        </w:rPr>
        <w:t>月</w:t>
      </w:r>
    </w:p>
    <w:p w14:paraId="64492BE6" w14:textId="77777777" w:rsidR="001F5DF2" w:rsidRDefault="001F5DF2">
      <w:pPr>
        <w:spacing w:line="560" w:lineRule="exact"/>
        <w:rPr>
          <w:rFonts w:ascii="宋体" w:hAnsi="宋体"/>
          <w:sz w:val="28"/>
          <w:szCs w:val="28"/>
        </w:rPr>
        <w:sectPr w:rsidR="001F5DF2">
          <w:headerReference w:type="default" r:id="rId8"/>
          <w:footerReference w:type="even" r:id="rId9"/>
          <w:footerReference w:type="default" r:id="rId10"/>
          <w:footerReference w:type="first" r:id="rId11"/>
          <w:pgSz w:w="11906" w:h="16838"/>
          <w:pgMar w:top="1134" w:right="1077" w:bottom="1077" w:left="1191" w:header="851" w:footer="992" w:gutter="0"/>
          <w:pgNumType w:start="1" w:chapStyle="1"/>
          <w:cols w:space="425"/>
          <w:titlePg/>
          <w:docGrid w:type="linesAndChars" w:linePitch="468"/>
        </w:sectPr>
      </w:pPr>
    </w:p>
    <w:p w14:paraId="66260E5D" w14:textId="77777777" w:rsidR="001F5DF2" w:rsidRDefault="00000000">
      <w:pPr>
        <w:jc w:val="center"/>
        <w:rPr>
          <w:rFonts w:ascii="宋体" w:hAnsi="宋体"/>
          <w:b/>
          <w:sz w:val="28"/>
          <w:szCs w:val="28"/>
        </w:rPr>
      </w:pPr>
      <w:r>
        <w:rPr>
          <w:rFonts w:ascii="宋体" w:hAnsi="宋体" w:hint="eastAsia"/>
          <w:b/>
          <w:sz w:val="28"/>
          <w:szCs w:val="28"/>
        </w:rPr>
        <w:lastRenderedPageBreak/>
        <w:t>《燃油加油机》国家计量检定规程起草编写说明</w:t>
      </w:r>
    </w:p>
    <w:p w14:paraId="5D01F0A2" w14:textId="77777777" w:rsidR="001F5DF2" w:rsidRDefault="001F5DF2">
      <w:pPr>
        <w:jc w:val="center"/>
        <w:rPr>
          <w:rFonts w:ascii="宋体" w:hAnsi="宋体"/>
          <w:b/>
          <w:sz w:val="24"/>
        </w:rPr>
      </w:pPr>
    </w:p>
    <w:p w14:paraId="2E795171" w14:textId="77777777" w:rsidR="001F5DF2" w:rsidRDefault="00000000">
      <w:pPr>
        <w:numPr>
          <w:ilvl w:val="0"/>
          <w:numId w:val="1"/>
        </w:numPr>
        <w:spacing w:line="276" w:lineRule="auto"/>
        <w:rPr>
          <w:b/>
          <w:sz w:val="24"/>
        </w:rPr>
      </w:pPr>
      <w:r>
        <w:rPr>
          <w:rFonts w:hint="eastAsia"/>
          <w:b/>
          <w:sz w:val="24"/>
        </w:rPr>
        <w:t>任务来源</w:t>
      </w:r>
    </w:p>
    <w:p w14:paraId="7F3626AD" w14:textId="6C3E1D96" w:rsidR="001F5DF2" w:rsidRDefault="00000000">
      <w:pPr>
        <w:ind w:firstLineChars="200" w:firstLine="480"/>
        <w:rPr>
          <w:rFonts w:ascii="宋体" w:hAnsi="宋体"/>
          <w:sz w:val="24"/>
        </w:rPr>
      </w:pPr>
      <w:r>
        <w:rPr>
          <w:rFonts w:ascii="宋体" w:hAnsi="宋体" w:hint="eastAsia"/>
          <w:sz w:val="24"/>
        </w:rPr>
        <w:t>为坚决遏制加油机作弊，严厉打击计量作弊、偷逃税等违法行为，保护消费者合法权益，防范国家税收流失，促进成品油零售行业高质量发展，国家市场监督管理总局、公安部、商务部、国家税务总局等四部委联合制定了《综合治理加油机作弊专项行动方案》。根据该方案，2023年8月北京市计量检测科学研究院向全国流量计量技术委员会液体流量分技术委员会（MTC 3/SC1）申请燃油加油机国家计量检定规程</w:t>
      </w:r>
      <w:proofErr w:type="gramStart"/>
      <w:r>
        <w:rPr>
          <w:rFonts w:ascii="宋体" w:hAnsi="宋体" w:hint="eastAsia"/>
          <w:sz w:val="24"/>
        </w:rPr>
        <w:t>和型评大纲</w:t>
      </w:r>
      <w:proofErr w:type="gramEnd"/>
      <w:r>
        <w:rPr>
          <w:rFonts w:ascii="宋体" w:hAnsi="宋体" w:hint="eastAsia"/>
          <w:sz w:val="24"/>
        </w:rPr>
        <w:t>修订</w:t>
      </w:r>
      <w:r w:rsidR="00AB1754">
        <w:rPr>
          <w:rFonts w:ascii="宋体" w:hAnsi="宋体" w:hint="eastAsia"/>
          <w:sz w:val="24"/>
        </w:rPr>
        <w:t>申请</w:t>
      </w:r>
      <w:r>
        <w:rPr>
          <w:rFonts w:ascii="宋体" w:hAnsi="宋体" w:hint="eastAsia"/>
          <w:sz w:val="24"/>
        </w:rPr>
        <w:t>立项。</w:t>
      </w:r>
    </w:p>
    <w:p w14:paraId="74743928" w14:textId="77777777" w:rsidR="001F5DF2" w:rsidRDefault="00000000">
      <w:pPr>
        <w:ind w:firstLineChars="200" w:firstLine="480"/>
        <w:rPr>
          <w:rFonts w:ascii="宋体" w:hAnsi="宋体"/>
          <w:sz w:val="24"/>
        </w:rPr>
      </w:pPr>
      <w:bookmarkStart w:id="0" w:name="_Hlk149420180"/>
      <w:r>
        <w:rPr>
          <w:rFonts w:ascii="宋体" w:hAnsi="宋体" w:hint="eastAsia"/>
          <w:sz w:val="24"/>
        </w:rPr>
        <w:t>2023年8月MTC 3/SC1在武汉召开了燃油加油机专项工作会，对加油机规程和大纲修订工作进行了研讨，与会代表充分讨论了燃油加油机检定规程和型式评价大纲的修订内容。</w:t>
      </w:r>
    </w:p>
    <w:bookmarkEnd w:id="0"/>
    <w:p w14:paraId="29C1AFC4" w14:textId="77777777" w:rsidR="001F5DF2" w:rsidRDefault="00000000">
      <w:pPr>
        <w:ind w:firstLineChars="200" w:firstLine="480"/>
        <w:rPr>
          <w:rFonts w:ascii="宋体" w:hAnsi="宋体"/>
          <w:sz w:val="24"/>
        </w:rPr>
      </w:pPr>
      <w:r>
        <w:rPr>
          <w:rFonts w:ascii="宋体" w:hAnsi="宋体" w:hint="eastAsia"/>
          <w:sz w:val="24"/>
        </w:rPr>
        <w:t>起草组于2023年8月开始启动JJG443《燃油加油机计量检定规程》国家计量技术规范修订工作，编写严格按照2002年原质检总局36号令《国家计量检定规程管理办法》，严格按照JJF 10</w:t>
      </w:r>
      <w:r>
        <w:rPr>
          <w:rFonts w:ascii="宋体" w:hAnsi="宋体"/>
          <w:sz w:val="24"/>
        </w:rPr>
        <w:t>02</w:t>
      </w:r>
      <w:r>
        <w:rPr>
          <w:rFonts w:ascii="宋体" w:hAnsi="宋体" w:hint="eastAsia"/>
          <w:sz w:val="24"/>
        </w:rPr>
        <w:t>《国家计量检定规程编写规则》、JJF1001《通用计量术语及定义》技术规范、JJF1059.1《测量不确定度评定与表示》等文件的要求，确保技术规范修订项目按时保质完成。</w:t>
      </w:r>
    </w:p>
    <w:p w14:paraId="0680ABFA" w14:textId="77777777" w:rsidR="001F5DF2" w:rsidRDefault="00000000">
      <w:pPr>
        <w:ind w:firstLineChars="200" w:firstLine="480"/>
        <w:rPr>
          <w:rFonts w:ascii="宋体" w:hAnsi="宋体"/>
          <w:sz w:val="24"/>
        </w:rPr>
      </w:pPr>
      <w:r>
        <w:rPr>
          <w:rFonts w:ascii="宋体" w:hAnsi="宋体" w:hint="eastAsia"/>
          <w:sz w:val="24"/>
        </w:rPr>
        <w:t>本规程适用于燃油加油机的首次检定、后续检定和使用中检查。</w:t>
      </w:r>
    </w:p>
    <w:p w14:paraId="11524B06" w14:textId="77777777" w:rsidR="001F5DF2" w:rsidRDefault="00000000">
      <w:pPr>
        <w:numPr>
          <w:ilvl w:val="0"/>
          <w:numId w:val="1"/>
        </w:numPr>
        <w:spacing w:line="276" w:lineRule="auto"/>
        <w:rPr>
          <w:b/>
          <w:sz w:val="24"/>
        </w:rPr>
      </w:pPr>
      <w:r>
        <w:rPr>
          <w:b/>
          <w:sz w:val="24"/>
        </w:rPr>
        <w:t>立项必要性</w:t>
      </w:r>
    </w:p>
    <w:p w14:paraId="1D14D74F" w14:textId="77777777" w:rsidR="001F5DF2" w:rsidRDefault="00000000">
      <w:pPr>
        <w:ind w:firstLineChars="200" w:firstLine="480"/>
        <w:rPr>
          <w:rFonts w:ascii="宋体" w:hAnsi="宋体"/>
          <w:sz w:val="24"/>
        </w:rPr>
      </w:pPr>
      <w:bookmarkStart w:id="1" w:name="_Hlk149420259"/>
      <w:r>
        <w:rPr>
          <w:rFonts w:ascii="宋体" w:hAnsi="宋体" w:hint="eastAsia"/>
          <w:sz w:val="24"/>
        </w:rPr>
        <w:t>燃油加油机是用来给车辆添加液体燃料的一种液体体积测量系统，从1971年生产第一台加油机后，经过我国加油机技术人员近百年的不懈努力，中国的加油机从无到有，已从落后的技术发展到今天领先世界的水平，产品远销世界。随着科技的发展，尤其是第四次工业革命的到来，高速通信技术的发展、新能源以及材料科学的进步、人工智能的突破、互联网+技术等新技术的发展，在加油机方面又涌现出大量的新技术。</w:t>
      </w:r>
    </w:p>
    <w:p w14:paraId="4394B908" w14:textId="77777777" w:rsidR="001F5DF2" w:rsidRDefault="00000000">
      <w:pPr>
        <w:ind w:firstLineChars="200" w:firstLine="480"/>
        <w:rPr>
          <w:rFonts w:ascii="宋体" w:hAnsi="宋体"/>
          <w:sz w:val="24"/>
        </w:rPr>
      </w:pPr>
      <w:r>
        <w:rPr>
          <w:rFonts w:ascii="宋体" w:hAnsi="宋体" w:hint="eastAsia"/>
          <w:sz w:val="24"/>
        </w:rPr>
        <w:t>燃油加油机作为燃油贸易计算的计量器具，主要用于机动车燃油的添加、结算，其计量准确性直接影响到我国燃油交易的精准性，关系到国计民生、安全生产等多个方面，是经济社会平稳运行的重要基础。为此，国家市场监管总局将一直燃油加油机列入《实施强制管理的计量器具目录》，对其实施强制管理，由法定计量检定机构依法对燃油加油机实施强制检定。我国的加油机从生产、使用、检定、管理都已经形成了一套较完善的制度。</w:t>
      </w:r>
    </w:p>
    <w:bookmarkEnd w:id="1"/>
    <w:p w14:paraId="3B8B3EC0" w14:textId="58D54B3D" w:rsidR="001F5DF2" w:rsidRDefault="00AB1754">
      <w:pPr>
        <w:ind w:firstLineChars="200" w:firstLine="480"/>
        <w:rPr>
          <w:rFonts w:ascii="宋体" w:hAnsi="宋体"/>
          <w:sz w:val="24"/>
        </w:rPr>
      </w:pPr>
      <w:r w:rsidRPr="00AB1754">
        <w:rPr>
          <w:rFonts w:ascii="宋体" w:hAnsi="宋体" w:hint="eastAsia"/>
          <w:sz w:val="24"/>
        </w:rPr>
        <w:t>JJG 443-2015版本</w:t>
      </w:r>
      <w:r w:rsidR="00000000">
        <w:rPr>
          <w:rFonts w:ascii="宋体" w:hAnsi="宋体" w:hint="eastAsia"/>
          <w:sz w:val="24"/>
        </w:rPr>
        <w:t>从2015年实施到现在已历经8年，随着国际建议R117的修订、加油机技术的发展，加油机及其部件的定义、技术要求已经有了新变化。随着新技术发展和客户对加油机的要求的增加，加油机功能不断出新，例如自锁功能、流量控制、油气回收</w:t>
      </w:r>
      <w:r w:rsidR="00000000">
        <w:rPr>
          <w:rFonts w:ascii="宋体" w:hAnsi="宋体" w:hint="eastAsia"/>
          <w:sz w:val="24"/>
        </w:rPr>
        <w:lastRenderedPageBreak/>
        <w:t>功能、媒体交互功能、支付功能等。随着加油机新技术的发展，计量性能的提升，现有规程需要进行修订以适用其发展。</w:t>
      </w:r>
    </w:p>
    <w:p w14:paraId="67F3133B" w14:textId="77777777" w:rsidR="001F5DF2" w:rsidRDefault="00000000">
      <w:pPr>
        <w:ind w:firstLineChars="200" w:firstLine="480"/>
        <w:rPr>
          <w:rFonts w:ascii="宋体" w:hAnsi="宋体"/>
          <w:sz w:val="24"/>
        </w:rPr>
      </w:pPr>
      <w:r>
        <w:rPr>
          <w:rFonts w:ascii="宋体" w:hAnsi="宋体" w:hint="eastAsia"/>
          <w:sz w:val="24"/>
        </w:rPr>
        <w:t>近期对加油站的执法检查结果显示，部分加油站存在计量作弊、偷逃税等违法行为，JJG443-2015《燃油加油机》检定规程中对加油机自锁功能的检查方法已经不适用当前防作弊检查的形势。</w:t>
      </w:r>
    </w:p>
    <w:p w14:paraId="7335A336" w14:textId="23BAD19F" w:rsidR="001F5DF2" w:rsidRDefault="00000000">
      <w:pPr>
        <w:ind w:firstLineChars="200" w:firstLine="480"/>
        <w:rPr>
          <w:rFonts w:ascii="宋体" w:hAnsi="宋体"/>
          <w:sz w:val="24"/>
        </w:rPr>
      </w:pPr>
      <w:r>
        <w:rPr>
          <w:rFonts w:ascii="宋体" w:hAnsi="宋体" w:hint="eastAsia"/>
          <w:sz w:val="24"/>
        </w:rPr>
        <w:t>综上所述，急需修订《燃油加油机》检定规程，完善检定手段，增加自锁功能检查方法，达到溯源一致，保证量值准确可靠，为燃油公平交易提供技术保证，保护消费者合法权益，防范国家税收流失，促进成品油零售行业高质量发展，所以燃油加油机计量检定规程</w:t>
      </w:r>
      <w:r w:rsidR="00AB1754">
        <w:rPr>
          <w:rFonts w:ascii="宋体" w:hAnsi="宋体" w:hint="eastAsia"/>
          <w:sz w:val="24"/>
        </w:rPr>
        <w:t>修订</w:t>
      </w:r>
      <w:r>
        <w:rPr>
          <w:rFonts w:ascii="宋体" w:hAnsi="宋体" w:hint="eastAsia"/>
          <w:sz w:val="24"/>
        </w:rPr>
        <w:t>非常必要和及时。</w:t>
      </w:r>
    </w:p>
    <w:p w14:paraId="6BC33438" w14:textId="77777777" w:rsidR="001F5DF2" w:rsidRDefault="00000000">
      <w:pPr>
        <w:numPr>
          <w:ilvl w:val="0"/>
          <w:numId w:val="1"/>
        </w:numPr>
        <w:spacing w:line="276" w:lineRule="auto"/>
        <w:rPr>
          <w:b/>
          <w:sz w:val="24"/>
        </w:rPr>
      </w:pPr>
      <w:r>
        <w:rPr>
          <w:rFonts w:hint="eastAsia"/>
          <w:b/>
          <w:sz w:val="24"/>
        </w:rPr>
        <w:t>规程编制的依据和原则</w:t>
      </w:r>
    </w:p>
    <w:p w14:paraId="3AB72DDF" w14:textId="77777777" w:rsidR="001F5DF2" w:rsidRDefault="00000000">
      <w:pPr>
        <w:numPr>
          <w:ilvl w:val="0"/>
          <w:numId w:val="2"/>
        </w:numPr>
        <w:rPr>
          <w:sz w:val="24"/>
        </w:rPr>
      </w:pPr>
      <w:r>
        <w:rPr>
          <w:rFonts w:hint="eastAsia"/>
          <w:sz w:val="24"/>
        </w:rPr>
        <w:t>编制依据</w:t>
      </w:r>
    </w:p>
    <w:p w14:paraId="2067A2A6" w14:textId="77777777" w:rsidR="001F5DF2" w:rsidRDefault="00000000">
      <w:pPr>
        <w:ind w:firstLineChars="200" w:firstLine="480"/>
        <w:rPr>
          <w:sz w:val="24"/>
        </w:rPr>
      </w:pPr>
      <w:r>
        <w:rPr>
          <w:rFonts w:hAnsi="宋体"/>
          <w:sz w:val="24"/>
        </w:rPr>
        <w:t>本</w:t>
      </w:r>
      <w:r>
        <w:rPr>
          <w:rFonts w:hAnsi="宋体" w:hint="eastAsia"/>
          <w:sz w:val="24"/>
        </w:rPr>
        <w:t>规程</w:t>
      </w:r>
      <w:r>
        <w:rPr>
          <w:rFonts w:hAnsi="宋体"/>
          <w:sz w:val="24"/>
        </w:rPr>
        <w:t>根据</w:t>
      </w:r>
      <w:r>
        <w:rPr>
          <w:sz w:val="24"/>
        </w:rPr>
        <w:t>JJF10</w:t>
      </w:r>
      <w:r>
        <w:rPr>
          <w:rFonts w:hint="eastAsia"/>
          <w:sz w:val="24"/>
        </w:rPr>
        <w:t>02</w:t>
      </w:r>
      <w:r>
        <w:rPr>
          <w:sz w:val="24"/>
        </w:rPr>
        <w:t>-2010</w:t>
      </w:r>
      <w:r>
        <w:rPr>
          <w:rFonts w:hAnsi="宋体"/>
          <w:sz w:val="24"/>
        </w:rPr>
        <w:t>《国家计量</w:t>
      </w:r>
      <w:r>
        <w:rPr>
          <w:rFonts w:hAnsi="宋体" w:hint="eastAsia"/>
          <w:sz w:val="24"/>
        </w:rPr>
        <w:t>检定规程</w:t>
      </w:r>
      <w:r>
        <w:rPr>
          <w:rFonts w:hAnsi="宋体"/>
          <w:sz w:val="24"/>
        </w:rPr>
        <w:t>编写规则》进行编制。本</w:t>
      </w:r>
      <w:r>
        <w:rPr>
          <w:rFonts w:hAnsi="宋体" w:hint="eastAsia"/>
          <w:sz w:val="24"/>
        </w:rPr>
        <w:t>规程</w:t>
      </w:r>
      <w:r>
        <w:rPr>
          <w:rFonts w:hAnsi="宋体"/>
          <w:sz w:val="24"/>
        </w:rPr>
        <w:t>所用术语，除在</w:t>
      </w:r>
      <w:r>
        <w:rPr>
          <w:rFonts w:hAnsi="宋体" w:hint="eastAsia"/>
          <w:sz w:val="24"/>
        </w:rPr>
        <w:t>规程</w:t>
      </w:r>
      <w:r>
        <w:rPr>
          <w:rFonts w:hAnsi="宋体"/>
          <w:sz w:val="24"/>
        </w:rPr>
        <w:t>中专门定义外，均采用</w:t>
      </w:r>
      <w:r>
        <w:rPr>
          <w:sz w:val="24"/>
        </w:rPr>
        <w:t>JJF1001</w:t>
      </w:r>
      <w:r>
        <w:rPr>
          <w:rFonts w:hAnsi="宋体"/>
          <w:sz w:val="24"/>
        </w:rPr>
        <w:t>《通用计量术语及定义》和</w:t>
      </w:r>
      <w:r>
        <w:rPr>
          <w:sz w:val="24"/>
        </w:rPr>
        <w:t>JJF1004</w:t>
      </w:r>
      <w:r>
        <w:rPr>
          <w:rFonts w:hAnsi="宋体"/>
          <w:sz w:val="24"/>
        </w:rPr>
        <w:t>《流量计量名词术语及定义》。本</w:t>
      </w:r>
      <w:r>
        <w:rPr>
          <w:rFonts w:hAnsi="宋体" w:hint="eastAsia"/>
          <w:sz w:val="24"/>
        </w:rPr>
        <w:t>规程</w:t>
      </w:r>
      <w:r>
        <w:rPr>
          <w:rFonts w:hAnsi="宋体"/>
          <w:sz w:val="24"/>
        </w:rPr>
        <w:t>依据的主要技术文件有：</w:t>
      </w:r>
    </w:p>
    <w:p w14:paraId="5FF9E80A" w14:textId="2F14D45C" w:rsidR="001F5DF2" w:rsidRDefault="00000000">
      <w:pPr>
        <w:ind w:leftChars="-1" w:left="-2" w:rightChars="-51" w:right="-107" w:firstLineChars="236" w:firstLine="566"/>
        <w:rPr>
          <w:sz w:val="24"/>
        </w:rPr>
      </w:pPr>
      <w:r>
        <w:rPr>
          <w:rFonts w:hint="eastAsia"/>
          <w:sz w:val="24"/>
        </w:rPr>
        <w:t>OIML R 117-1</w:t>
      </w:r>
      <w:r w:rsidR="00AB1754">
        <w:rPr>
          <w:rFonts w:hint="eastAsia"/>
          <w:sz w:val="24"/>
        </w:rPr>
        <w:t>：</w:t>
      </w:r>
      <w:r w:rsidR="00AB1754">
        <w:rPr>
          <w:rFonts w:hint="eastAsia"/>
          <w:sz w:val="24"/>
        </w:rPr>
        <w:t>2</w:t>
      </w:r>
      <w:r w:rsidR="00AB1754">
        <w:rPr>
          <w:sz w:val="24"/>
        </w:rPr>
        <w:t>019</w:t>
      </w:r>
      <w:r>
        <w:rPr>
          <w:rFonts w:hint="eastAsia"/>
          <w:sz w:val="24"/>
        </w:rPr>
        <w:t xml:space="preserve"> </w:t>
      </w:r>
      <w:r>
        <w:rPr>
          <w:rFonts w:hint="eastAsia"/>
          <w:sz w:val="24"/>
        </w:rPr>
        <w:t>非水液体动态测量系统</w:t>
      </w:r>
      <w:r>
        <w:rPr>
          <w:rFonts w:hint="eastAsia"/>
          <w:sz w:val="24"/>
        </w:rPr>
        <w:t xml:space="preserve"> </w:t>
      </w:r>
      <w:r>
        <w:rPr>
          <w:rFonts w:hint="eastAsia"/>
          <w:sz w:val="24"/>
        </w:rPr>
        <w:t>第一部分</w:t>
      </w:r>
      <w:r>
        <w:rPr>
          <w:rFonts w:hint="eastAsia"/>
          <w:sz w:val="24"/>
        </w:rPr>
        <w:t xml:space="preserve">: </w:t>
      </w:r>
      <w:r>
        <w:rPr>
          <w:rFonts w:hint="eastAsia"/>
          <w:sz w:val="24"/>
        </w:rPr>
        <w:t>计量与技术要求</w:t>
      </w:r>
      <w:bookmarkStart w:id="2" w:name="_Hlk149420391"/>
      <w:r>
        <w:rPr>
          <w:rFonts w:hint="eastAsia"/>
          <w:sz w:val="24"/>
        </w:rPr>
        <w:t>（</w:t>
      </w:r>
      <w:r>
        <w:rPr>
          <w:rFonts w:hint="eastAsia"/>
          <w:sz w:val="24"/>
        </w:rPr>
        <w:t>Dynamic measuring systems for liquids other than water  Part 1: Metrological and technical requirements</w:t>
      </w:r>
      <w:r>
        <w:rPr>
          <w:rFonts w:hint="eastAsia"/>
          <w:sz w:val="24"/>
        </w:rPr>
        <w:t>）</w:t>
      </w:r>
      <w:bookmarkEnd w:id="2"/>
    </w:p>
    <w:p w14:paraId="1147ADD7" w14:textId="77777777" w:rsidR="001F5DF2" w:rsidRDefault="00000000">
      <w:pPr>
        <w:ind w:leftChars="-1" w:left="-2" w:rightChars="-51" w:right="-107" w:firstLineChars="236" w:firstLine="566"/>
        <w:rPr>
          <w:sz w:val="24"/>
        </w:rPr>
      </w:pPr>
      <w:r>
        <w:rPr>
          <w:rFonts w:hint="eastAsia"/>
          <w:sz w:val="24"/>
        </w:rPr>
        <w:t xml:space="preserve">GB/T 9081  </w:t>
      </w:r>
      <w:r>
        <w:rPr>
          <w:rFonts w:hint="eastAsia"/>
          <w:sz w:val="24"/>
        </w:rPr>
        <w:t>机动车燃油加油机</w:t>
      </w:r>
    </w:p>
    <w:p w14:paraId="05E4BB4B" w14:textId="77777777" w:rsidR="001F5DF2" w:rsidRDefault="00000000">
      <w:pPr>
        <w:numPr>
          <w:ilvl w:val="0"/>
          <w:numId w:val="2"/>
        </w:numPr>
        <w:rPr>
          <w:sz w:val="24"/>
        </w:rPr>
      </w:pPr>
      <w:r>
        <w:rPr>
          <w:rFonts w:hint="eastAsia"/>
          <w:sz w:val="24"/>
        </w:rPr>
        <w:t>编写原则</w:t>
      </w:r>
    </w:p>
    <w:p w14:paraId="32F1E9D7" w14:textId="77777777" w:rsidR="001F5DF2" w:rsidRDefault="00000000">
      <w:pPr>
        <w:ind w:firstLineChars="200" w:firstLine="480"/>
        <w:rPr>
          <w:bCs/>
          <w:sz w:val="24"/>
        </w:rPr>
      </w:pPr>
      <w:r>
        <w:rPr>
          <w:rFonts w:hint="eastAsia"/>
          <w:bCs/>
          <w:sz w:val="24"/>
        </w:rPr>
        <w:t>JJF 1001</w:t>
      </w:r>
      <w:r>
        <w:rPr>
          <w:rFonts w:hint="eastAsia"/>
          <w:bCs/>
          <w:sz w:val="24"/>
        </w:rPr>
        <w:t>—</w:t>
      </w:r>
      <w:r>
        <w:rPr>
          <w:rFonts w:hint="eastAsia"/>
          <w:bCs/>
          <w:sz w:val="24"/>
        </w:rPr>
        <w:t>2011</w:t>
      </w:r>
      <w:r>
        <w:rPr>
          <w:rFonts w:hint="eastAsia"/>
          <w:bCs/>
          <w:sz w:val="24"/>
        </w:rPr>
        <w:t>《通用计量术语及定义》、</w:t>
      </w:r>
      <w:r>
        <w:rPr>
          <w:rFonts w:hint="eastAsia"/>
          <w:bCs/>
          <w:sz w:val="24"/>
        </w:rPr>
        <w:t>JJF 1002</w:t>
      </w:r>
      <w:r>
        <w:rPr>
          <w:rFonts w:hint="eastAsia"/>
          <w:bCs/>
          <w:sz w:val="24"/>
        </w:rPr>
        <w:t>—</w:t>
      </w:r>
      <w:r>
        <w:rPr>
          <w:rFonts w:hint="eastAsia"/>
          <w:bCs/>
          <w:sz w:val="24"/>
        </w:rPr>
        <w:t>2010</w:t>
      </w:r>
      <w:r>
        <w:rPr>
          <w:rFonts w:hint="eastAsia"/>
          <w:bCs/>
          <w:sz w:val="24"/>
        </w:rPr>
        <w:t>《国家计量检定规程编写规则》、</w:t>
      </w:r>
      <w:r>
        <w:rPr>
          <w:rFonts w:hint="eastAsia"/>
          <w:bCs/>
          <w:sz w:val="24"/>
        </w:rPr>
        <w:t>JJF 1059.1</w:t>
      </w:r>
      <w:r>
        <w:rPr>
          <w:rFonts w:hint="eastAsia"/>
          <w:bCs/>
          <w:sz w:val="24"/>
        </w:rPr>
        <w:t>—</w:t>
      </w:r>
      <w:r>
        <w:rPr>
          <w:rFonts w:hint="eastAsia"/>
          <w:bCs/>
          <w:sz w:val="24"/>
        </w:rPr>
        <w:t>2012</w:t>
      </w:r>
      <w:r>
        <w:rPr>
          <w:rFonts w:hint="eastAsia"/>
          <w:bCs/>
          <w:sz w:val="24"/>
        </w:rPr>
        <w:t>《测量不确定度评定与表示》共同构成制定本规程的基础性系列规范。本规程参考了国际法制计量组织（</w:t>
      </w:r>
      <w:r>
        <w:rPr>
          <w:rFonts w:hint="eastAsia"/>
          <w:bCs/>
          <w:sz w:val="24"/>
        </w:rPr>
        <w:t>OIML</w:t>
      </w:r>
      <w:r>
        <w:rPr>
          <w:rFonts w:hint="eastAsia"/>
          <w:bCs/>
          <w:sz w:val="24"/>
        </w:rPr>
        <w:t>）发布的国际建议</w:t>
      </w:r>
      <w:r>
        <w:rPr>
          <w:rFonts w:hint="eastAsia"/>
          <w:bCs/>
          <w:sz w:val="24"/>
        </w:rPr>
        <w:t xml:space="preserve">R 117 </w:t>
      </w:r>
      <w:r>
        <w:rPr>
          <w:rFonts w:hint="eastAsia"/>
          <w:bCs/>
          <w:sz w:val="24"/>
        </w:rPr>
        <w:t>《非水液体动态测量系统》（</w:t>
      </w:r>
      <w:r>
        <w:rPr>
          <w:rFonts w:hint="eastAsia"/>
          <w:bCs/>
          <w:sz w:val="24"/>
        </w:rPr>
        <w:t>Dynamic measuring systems for liquids other than water</w:t>
      </w:r>
      <w:r>
        <w:rPr>
          <w:rFonts w:hint="eastAsia"/>
          <w:bCs/>
          <w:sz w:val="24"/>
        </w:rPr>
        <w:t>）关于检定的相关内容，结合我国燃油加油机的实际使用情况和行业现状，对</w:t>
      </w:r>
      <w:r>
        <w:rPr>
          <w:rFonts w:hint="eastAsia"/>
          <w:bCs/>
          <w:sz w:val="24"/>
        </w:rPr>
        <w:t>JJG 443-2015</w:t>
      </w:r>
      <w:r>
        <w:rPr>
          <w:rFonts w:hint="eastAsia"/>
          <w:bCs/>
          <w:sz w:val="24"/>
        </w:rPr>
        <w:t>版本进行修订的，在主要指标上与国际建议部分等效。</w:t>
      </w:r>
    </w:p>
    <w:p w14:paraId="05A49C6C" w14:textId="77777777" w:rsidR="001F5DF2" w:rsidRDefault="00000000">
      <w:pPr>
        <w:ind w:firstLineChars="200" w:firstLine="480"/>
        <w:rPr>
          <w:bCs/>
          <w:sz w:val="24"/>
        </w:rPr>
      </w:pPr>
      <w:r>
        <w:rPr>
          <w:rFonts w:hint="eastAsia"/>
          <w:bCs/>
          <w:sz w:val="24"/>
        </w:rPr>
        <w:t>在编制过程中起草小组掌握以下几个原则：</w:t>
      </w:r>
    </w:p>
    <w:p w14:paraId="1711A15F" w14:textId="77777777" w:rsidR="001F5DF2" w:rsidRDefault="00000000">
      <w:pPr>
        <w:ind w:firstLineChars="200" w:firstLine="480"/>
        <w:rPr>
          <w:bCs/>
          <w:sz w:val="24"/>
        </w:rPr>
      </w:pPr>
      <w:r>
        <w:rPr>
          <w:rFonts w:hint="eastAsia"/>
          <w:bCs/>
          <w:sz w:val="24"/>
        </w:rPr>
        <w:t>(1)</w:t>
      </w:r>
      <w:r>
        <w:rPr>
          <w:rFonts w:hint="eastAsia"/>
          <w:bCs/>
          <w:sz w:val="24"/>
        </w:rPr>
        <w:t>应与现行国际建议指标一致，结合实际实验来决定指标；</w:t>
      </w:r>
    </w:p>
    <w:p w14:paraId="1A686D97" w14:textId="77777777" w:rsidR="001F5DF2" w:rsidRDefault="00000000">
      <w:pPr>
        <w:ind w:firstLineChars="200" w:firstLine="480"/>
        <w:rPr>
          <w:bCs/>
          <w:sz w:val="24"/>
        </w:rPr>
      </w:pPr>
      <w:r>
        <w:rPr>
          <w:rFonts w:hint="eastAsia"/>
          <w:bCs/>
          <w:sz w:val="24"/>
        </w:rPr>
        <w:t>(2)</w:t>
      </w:r>
      <w:r>
        <w:rPr>
          <w:rFonts w:hint="eastAsia"/>
          <w:bCs/>
          <w:sz w:val="24"/>
        </w:rPr>
        <w:t>要体现目前企业生产技术的共性；</w:t>
      </w:r>
    </w:p>
    <w:p w14:paraId="3340F68C" w14:textId="77777777" w:rsidR="001F5DF2" w:rsidRDefault="00000000">
      <w:pPr>
        <w:ind w:firstLineChars="200" w:firstLine="480"/>
        <w:rPr>
          <w:bCs/>
          <w:sz w:val="24"/>
        </w:rPr>
      </w:pPr>
      <w:r>
        <w:rPr>
          <w:rFonts w:hint="eastAsia"/>
          <w:bCs/>
          <w:sz w:val="24"/>
        </w:rPr>
        <w:t>(3)</w:t>
      </w:r>
      <w:r>
        <w:rPr>
          <w:rFonts w:hint="eastAsia"/>
          <w:bCs/>
          <w:sz w:val="24"/>
        </w:rPr>
        <w:t>要体现目前防作弊检查技术；</w:t>
      </w:r>
    </w:p>
    <w:p w14:paraId="5E3F37A4" w14:textId="77777777" w:rsidR="001F5DF2" w:rsidRDefault="00000000">
      <w:pPr>
        <w:ind w:firstLineChars="200" w:firstLine="480"/>
        <w:rPr>
          <w:bCs/>
          <w:sz w:val="24"/>
        </w:rPr>
      </w:pPr>
      <w:r>
        <w:rPr>
          <w:rFonts w:hint="eastAsia"/>
          <w:bCs/>
          <w:sz w:val="24"/>
        </w:rPr>
        <w:t>⑷本着先进性、科学性、合理性和可操作性的原则编制。</w:t>
      </w:r>
    </w:p>
    <w:p w14:paraId="3A46862A" w14:textId="77777777" w:rsidR="001F5DF2" w:rsidRDefault="00000000">
      <w:pPr>
        <w:ind w:firstLineChars="200" w:firstLine="480"/>
        <w:rPr>
          <w:bCs/>
          <w:sz w:val="24"/>
        </w:rPr>
      </w:pPr>
      <w:r>
        <w:rPr>
          <w:rFonts w:hint="eastAsia"/>
          <w:bCs/>
          <w:sz w:val="24"/>
        </w:rPr>
        <w:t>燃油加油机是量大面广的计量器具，是与百姓生活密切相关的国家依法管理的计量器</w:t>
      </w:r>
      <w:r>
        <w:rPr>
          <w:rFonts w:hint="eastAsia"/>
          <w:bCs/>
          <w:sz w:val="24"/>
        </w:rPr>
        <w:lastRenderedPageBreak/>
        <w:t>具之一。大纲、规程需从国内实际情况出发，使型式评价和日常检定工作能够顺利进行。</w:t>
      </w:r>
    </w:p>
    <w:p w14:paraId="3E95CF33" w14:textId="77777777" w:rsidR="001F5DF2" w:rsidRDefault="00000000">
      <w:pPr>
        <w:ind w:firstLineChars="200" w:firstLine="480"/>
        <w:rPr>
          <w:sz w:val="24"/>
        </w:rPr>
      </w:pPr>
      <w:r>
        <w:rPr>
          <w:rFonts w:hint="eastAsia"/>
          <w:bCs/>
          <w:sz w:val="24"/>
        </w:rPr>
        <w:t>燃油加油机检定规程既要体现与国际接轨，又要符合中国目前的加油机现状和国情，要求具有高度可操作性、可执行性和实用性，实验室在原有的燃油加油机检定装置的基础上不需要投入多的资金即可满足燃油加油机检定的需要</w:t>
      </w:r>
      <w:r>
        <w:rPr>
          <w:rFonts w:hint="eastAsia"/>
          <w:sz w:val="24"/>
        </w:rPr>
        <w:t>。</w:t>
      </w:r>
    </w:p>
    <w:p w14:paraId="143ABE7B" w14:textId="77777777" w:rsidR="001F5DF2" w:rsidRDefault="00000000">
      <w:pPr>
        <w:numPr>
          <w:ilvl w:val="0"/>
          <w:numId w:val="1"/>
        </w:numPr>
        <w:spacing w:line="276" w:lineRule="auto"/>
        <w:rPr>
          <w:b/>
          <w:sz w:val="24"/>
        </w:rPr>
      </w:pPr>
      <w:r>
        <w:rPr>
          <w:rFonts w:hint="eastAsia"/>
          <w:b/>
          <w:sz w:val="24"/>
        </w:rPr>
        <w:t>编制过程和工作简况</w:t>
      </w:r>
    </w:p>
    <w:p w14:paraId="2CAA3E31" w14:textId="77777777" w:rsidR="001F5DF2" w:rsidRDefault="00000000">
      <w:pPr>
        <w:pStyle w:val="ad"/>
        <w:ind w:left="480" w:firstLineChars="0" w:firstLine="0"/>
        <w:rPr>
          <w:rFonts w:ascii="黑体" w:eastAsia="黑体" w:hAnsi="黑体"/>
          <w:sz w:val="24"/>
        </w:rPr>
      </w:pPr>
      <w:r>
        <w:rPr>
          <w:rFonts w:ascii="黑体" w:eastAsia="黑体" w:hAnsi="黑体" w:hint="eastAsia"/>
          <w:sz w:val="24"/>
        </w:rPr>
        <w:t>第一阶段：起草工作和试验验证阶段</w:t>
      </w:r>
      <w:r>
        <w:rPr>
          <w:rFonts w:ascii="黑体" w:eastAsia="黑体" w:hAnsi="黑体"/>
          <w:sz w:val="24"/>
        </w:rPr>
        <w:t xml:space="preserve"> </w:t>
      </w:r>
    </w:p>
    <w:p w14:paraId="1A20988C" w14:textId="77777777" w:rsidR="001F5DF2" w:rsidRDefault="00000000">
      <w:pPr>
        <w:ind w:firstLineChars="175" w:firstLine="420"/>
        <w:rPr>
          <w:rFonts w:ascii="宋体" w:hAnsi="宋体"/>
          <w:sz w:val="24"/>
        </w:rPr>
      </w:pPr>
      <w:r>
        <w:rPr>
          <w:rFonts w:ascii="宋体" w:hAnsi="宋体" w:hint="eastAsia"/>
          <w:sz w:val="24"/>
        </w:rPr>
        <w:t>2023年8月开始筹备规程起草小组，起草小组筹备考虑参编单位组成应由计量技术机构和加油机生产单位，起草单位主要由多年从事加油机检定的计量技术机构以及国内知名的加油机生产单位等组成。检定规程修订任务批准立项后，起草小组在技术上、资料上作了充分的准备工作。</w:t>
      </w:r>
    </w:p>
    <w:p w14:paraId="6F88F5EB" w14:textId="77777777" w:rsidR="001F5DF2" w:rsidRDefault="00000000">
      <w:pPr>
        <w:ind w:firstLineChars="335" w:firstLine="804"/>
        <w:rPr>
          <w:rFonts w:ascii="宋体" w:hAnsi="宋体"/>
          <w:sz w:val="24"/>
        </w:rPr>
      </w:pPr>
      <w:r>
        <w:rPr>
          <w:rFonts w:ascii="宋体" w:hAnsi="宋体" w:hint="eastAsia"/>
          <w:sz w:val="24"/>
        </w:rPr>
        <w:t>编制计划和过程：</w:t>
      </w:r>
    </w:p>
    <w:p w14:paraId="744F2803" w14:textId="77777777" w:rsidR="001F5DF2" w:rsidRDefault="00000000">
      <w:pPr>
        <w:ind w:firstLineChars="175" w:firstLine="420"/>
        <w:rPr>
          <w:rFonts w:ascii="宋体" w:hAnsi="宋体"/>
          <w:sz w:val="24"/>
        </w:rPr>
      </w:pPr>
      <w:r>
        <w:rPr>
          <w:rFonts w:ascii="宋体" w:hAnsi="宋体" w:hint="eastAsia"/>
          <w:sz w:val="24"/>
        </w:rPr>
        <w:t>1、</w:t>
      </w:r>
      <w:r>
        <w:rPr>
          <w:rFonts w:ascii="宋体" w:hAnsi="宋体" w:hint="eastAsia"/>
          <w:sz w:val="24"/>
        </w:rPr>
        <w:tab/>
        <w:t xml:space="preserve">调研、初步探讨阶段。 </w:t>
      </w:r>
    </w:p>
    <w:p w14:paraId="1BBEEDCF" w14:textId="77777777" w:rsidR="001F5DF2" w:rsidRDefault="00000000">
      <w:pPr>
        <w:ind w:firstLineChars="335" w:firstLine="804"/>
        <w:rPr>
          <w:rFonts w:ascii="宋体" w:hAnsi="宋体"/>
          <w:sz w:val="24"/>
        </w:rPr>
      </w:pPr>
      <w:r>
        <w:rPr>
          <w:rFonts w:ascii="宋体" w:hAnsi="宋体" w:hint="eastAsia"/>
          <w:sz w:val="24"/>
        </w:rPr>
        <w:t>2023年8月～10月：起草组商讨内容,完成草稿</w:t>
      </w:r>
    </w:p>
    <w:p w14:paraId="06B5D546" w14:textId="77777777" w:rsidR="001F5DF2" w:rsidRDefault="00000000">
      <w:pPr>
        <w:ind w:firstLineChars="335" w:firstLine="804"/>
        <w:rPr>
          <w:rFonts w:ascii="宋体" w:hAnsi="宋体"/>
          <w:sz w:val="24"/>
        </w:rPr>
      </w:pPr>
      <w:r>
        <w:rPr>
          <w:rFonts w:ascii="宋体" w:hAnsi="宋体" w:hint="eastAsia"/>
          <w:sz w:val="24"/>
        </w:rPr>
        <w:t>2023年8月～10月：规范草稿的研讨；</w:t>
      </w:r>
    </w:p>
    <w:p w14:paraId="08C3A551" w14:textId="52B50D8C" w:rsidR="001F5DF2" w:rsidRDefault="00000000">
      <w:pPr>
        <w:ind w:firstLineChars="335" w:firstLine="804"/>
        <w:rPr>
          <w:rFonts w:ascii="宋体" w:hAnsi="宋体"/>
          <w:sz w:val="24"/>
        </w:rPr>
      </w:pPr>
      <w:r>
        <w:rPr>
          <w:rFonts w:ascii="宋体" w:hAnsi="宋体" w:hint="eastAsia"/>
          <w:sz w:val="24"/>
        </w:rPr>
        <w:t>2023年11月：</w:t>
      </w:r>
      <w:r w:rsidR="00C076CE">
        <w:rPr>
          <w:rFonts w:ascii="宋体" w:hAnsi="宋体" w:hint="eastAsia"/>
          <w:sz w:val="24"/>
        </w:rPr>
        <w:t>报审稿</w:t>
      </w:r>
      <w:r>
        <w:rPr>
          <w:rFonts w:ascii="宋体" w:hAnsi="宋体" w:hint="eastAsia"/>
          <w:sz w:val="24"/>
        </w:rPr>
        <w:t>。</w:t>
      </w:r>
    </w:p>
    <w:p w14:paraId="54A9C175" w14:textId="77777777" w:rsidR="001F5DF2" w:rsidRDefault="00000000">
      <w:pPr>
        <w:ind w:firstLineChars="200" w:firstLine="480"/>
        <w:rPr>
          <w:rFonts w:ascii="宋体" w:hAnsi="宋体"/>
          <w:sz w:val="24"/>
        </w:rPr>
      </w:pPr>
      <w:r>
        <w:rPr>
          <w:rFonts w:ascii="宋体" w:hAnsi="宋体" w:hint="eastAsia"/>
          <w:sz w:val="24"/>
        </w:rPr>
        <w:t>2、根据MTC 3/SC1的工作计划安排，起草组召开了首次会议。首次会议于2023年9月</w:t>
      </w:r>
      <w:proofErr w:type="gramStart"/>
      <w:r>
        <w:rPr>
          <w:rFonts w:ascii="宋体" w:hAnsi="宋体" w:hint="eastAsia"/>
          <w:sz w:val="24"/>
        </w:rPr>
        <w:t>通过腾讯会议</w:t>
      </w:r>
      <w:proofErr w:type="gramEnd"/>
      <w:r>
        <w:rPr>
          <w:rFonts w:ascii="宋体" w:hAnsi="宋体" w:hint="eastAsia"/>
          <w:sz w:val="24"/>
        </w:rPr>
        <w:t>线上召开。规程修订小组根据燃油加油机专项工作会的意见和建议，修订</w:t>
      </w:r>
      <w:proofErr w:type="gramStart"/>
      <w:r>
        <w:rPr>
          <w:rFonts w:ascii="宋体" w:hAnsi="宋体" w:hint="eastAsia"/>
          <w:sz w:val="24"/>
        </w:rPr>
        <w:t>了草</w:t>
      </w:r>
      <w:proofErr w:type="gramEnd"/>
      <w:r>
        <w:rPr>
          <w:rFonts w:ascii="宋体" w:hAnsi="宋体" w:hint="eastAsia"/>
          <w:sz w:val="24"/>
        </w:rPr>
        <w:t>案，形成了初稿。</w:t>
      </w:r>
    </w:p>
    <w:p w14:paraId="0F6F85B7" w14:textId="06D5992B" w:rsidR="001F5DF2" w:rsidRDefault="00000000">
      <w:pPr>
        <w:ind w:firstLineChars="175" w:firstLine="420"/>
        <w:rPr>
          <w:rFonts w:ascii="宋体" w:hAnsi="宋体"/>
          <w:sz w:val="24"/>
        </w:rPr>
      </w:pPr>
      <w:r>
        <w:rPr>
          <w:rFonts w:ascii="宋体" w:hAnsi="宋体" w:hint="eastAsia"/>
          <w:sz w:val="24"/>
        </w:rPr>
        <w:t>3、</w:t>
      </w:r>
      <w:bookmarkStart w:id="3" w:name="_Hlk149420561"/>
      <w:r>
        <w:rPr>
          <w:rFonts w:ascii="宋体" w:hAnsi="宋体" w:hint="eastAsia"/>
          <w:sz w:val="24"/>
        </w:rPr>
        <w:t>2023年10月20日，计量司组织召开了加油机相关工作推进会，明确了规程</w:t>
      </w:r>
      <w:r w:rsidR="00C076CE">
        <w:rPr>
          <w:rFonts w:ascii="宋体" w:hAnsi="宋体" w:hint="eastAsia"/>
          <w:sz w:val="24"/>
        </w:rPr>
        <w:t>大纲</w:t>
      </w:r>
      <w:r>
        <w:rPr>
          <w:rFonts w:ascii="宋体" w:hAnsi="宋体" w:hint="eastAsia"/>
          <w:sz w:val="24"/>
        </w:rPr>
        <w:t>修订的具体要求和进度安排，按照四部委行动方案的要求，要求修订组</w:t>
      </w:r>
      <w:proofErr w:type="gramStart"/>
      <w:r>
        <w:rPr>
          <w:rFonts w:ascii="宋体" w:hAnsi="宋体" w:hint="eastAsia"/>
          <w:sz w:val="24"/>
        </w:rPr>
        <w:t>特</w:t>
      </w:r>
      <w:proofErr w:type="gramEnd"/>
      <w:r>
        <w:rPr>
          <w:rFonts w:ascii="宋体" w:hAnsi="宋体" w:hint="eastAsia"/>
          <w:sz w:val="24"/>
        </w:rPr>
        <w:t>事特办，加快修订工作，争取在2023年年底保质保量完成规程的修订。</w:t>
      </w:r>
    </w:p>
    <w:bookmarkEnd w:id="3"/>
    <w:p w14:paraId="446979A6" w14:textId="77777777" w:rsidR="001F5DF2" w:rsidRDefault="00000000">
      <w:pPr>
        <w:ind w:firstLineChars="175" w:firstLine="420"/>
        <w:rPr>
          <w:rFonts w:ascii="宋体" w:hAnsi="宋体"/>
          <w:sz w:val="24"/>
        </w:rPr>
      </w:pPr>
      <w:r>
        <w:rPr>
          <w:rFonts w:ascii="宋体" w:hAnsi="宋体" w:hint="eastAsia"/>
          <w:sz w:val="24"/>
        </w:rPr>
        <w:t>4、2023年10月26日，根据工作计划，MTC 3/SC1在北京召开了加油机检定规程和型式评价大纲修订技术交流会，与会代表对加油机检定规程和评价大纲初稿进行了充分的讨论，提出了修改意见。</w:t>
      </w:r>
    </w:p>
    <w:p w14:paraId="1D6CA9AD" w14:textId="77777777" w:rsidR="001F5DF2" w:rsidRDefault="00000000">
      <w:pPr>
        <w:ind w:firstLineChars="175" w:firstLine="420"/>
        <w:rPr>
          <w:rFonts w:ascii="宋体" w:hAnsi="宋体"/>
          <w:sz w:val="24"/>
        </w:rPr>
      </w:pPr>
      <w:r>
        <w:rPr>
          <w:rFonts w:ascii="宋体" w:hAnsi="宋体" w:hint="eastAsia"/>
          <w:sz w:val="24"/>
        </w:rPr>
        <w:t>5、根据工作计划，修订组成员于2023年10月25日至27日赴重庆市进行加油机作弊稽查方法调研，完善了规程中加油机自锁功能检查的内容。</w:t>
      </w:r>
    </w:p>
    <w:p w14:paraId="20FF2FE9" w14:textId="6A834A38" w:rsidR="001F5DF2" w:rsidRDefault="00C076CE">
      <w:pPr>
        <w:ind w:firstLineChars="175" w:firstLine="420"/>
        <w:rPr>
          <w:rFonts w:ascii="宋体" w:hAnsi="宋体"/>
          <w:sz w:val="24"/>
        </w:rPr>
      </w:pPr>
      <w:r>
        <w:rPr>
          <w:rFonts w:ascii="宋体" w:hAnsi="宋体"/>
          <w:sz w:val="24"/>
        </w:rPr>
        <w:t>6</w:t>
      </w:r>
      <w:r w:rsidR="00000000">
        <w:rPr>
          <w:rFonts w:ascii="宋体" w:hAnsi="宋体" w:hint="eastAsia"/>
          <w:sz w:val="24"/>
        </w:rPr>
        <w:t>、2023年10月28日</w:t>
      </w:r>
      <w:r>
        <w:rPr>
          <w:rFonts w:ascii="宋体" w:hAnsi="宋体" w:hint="eastAsia"/>
          <w:sz w:val="24"/>
        </w:rPr>
        <w:t>-</w:t>
      </w:r>
      <w:r>
        <w:rPr>
          <w:rFonts w:ascii="宋体" w:hAnsi="宋体"/>
          <w:sz w:val="24"/>
        </w:rPr>
        <w:t>29</w:t>
      </w:r>
      <w:r>
        <w:rPr>
          <w:rFonts w:ascii="宋体" w:hAnsi="宋体" w:hint="eastAsia"/>
          <w:sz w:val="24"/>
        </w:rPr>
        <w:t>日</w:t>
      </w:r>
      <w:proofErr w:type="gramStart"/>
      <w:r w:rsidR="00000000">
        <w:rPr>
          <w:rFonts w:ascii="宋体" w:hAnsi="宋体" w:hint="eastAsia"/>
          <w:sz w:val="24"/>
        </w:rPr>
        <w:t>通过腾讯会议</w:t>
      </w:r>
      <w:proofErr w:type="gramEnd"/>
      <w:r w:rsidR="00000000">
        <w:rPr>
          <w:rFonts w:ascii="宋体" w:hAnsi="宋体" w:hint="eastAsia"/>
          <w:sz w:val="24"/>
        </w:rPr>
        <w:t>的形式，召开了加油机型</w:t>
      </w:r>
      <w:proofErr w:type="gramStart"/>
      <w:r w:rsidR="00000000">
        <w:rPr>
          <w:rFonts w:ascii="宋体" w:hAnsi="宋体" w:hint="eastAsia"/>
          <w:sz w:val="24"/>
        </w:rPr>
        <w:t>式评价</w:t>
      </w:r>
      <w:proofErr w:type="gramEnd"/>
      <w:r w:rsidR="00000000">
        <w:rPr>
          <w:rFonts w:ascii="宋体" w:hAnsi="宋体" w:hint="eastAsia"/>
          <w:sz w:val="24"/>
        </w:rPr>
        <w:t>大纲和检定规程修订讨论会，与会代表对加油机检定规程和评价大纲初稿进行了充分的讨论，提出了修改意见。起草组根据修改意见归规程进行修改，形成征求意见稿。</w:t>
      </w:r>
    </w:p>
    <w:p w14:paraId="78DDB085" w14:textId="77777777" w:rsidR="001F5DF2" w:rsidRDefault="00000000">
      <w:pPr>
        <w:spacing w:line="360" w:lineRule="auto"/>
        <w:ind w:firstLineChars="202" w:firstLine="487"/>
        <w:rPr>
          <w:rFonts w:hAnsi="宋体"/>
          <w:b/>
          <w:sz w:val="24"/>
        </w:rPr>
      </w:pPr>
      <w:r>
        <w:rPr>
          <w:rFonts w:hAnsi="宋体" w:hint="eastAsia"/>
          <w:b/>
          <w:sz w:val="24"/>
        </w:rPr>
        <w:t>第二阶段：</w:t>
      </w:r>
      <w:r>
        <w:rPr>
          <w:rFonts w:hAnsi="宋体" w:hint="eastAsia"/>
          <w:b/>
          <w:color w:val="FF0000"/>
          <w:sz w:val="24"/>
        </w:rPr>
        <w:t>征求意见阶段</w:t>
      </w:r>
    </w:p>
    <w:p w14:paraId="6BC9C4F7" w14:textId="49C34007" w:rsidR="001F5DF2" w:rsidRDefault="00000000">
      <w:pPr>
        <w:spacing w:line="276" w:lineRule="auto"/>
        <w:ind w:firstLineChars="175" w:firstLine="420"/>
        <w:rPr>
          <w:rFonts w:ascii="宋体" w:hAnsi="宋体"/>
          <w:sz w:val="24"/>
        </w:rPr>
      </w:pPr>
      <w:r>
        <w:rPr>
          <w:rFonts w:ascii="宋体" w:hAnsi="宋体" w:hint="eastAsia"/>
          <w:sz w:val="24"/>
        </w:rPr>
        <w:lastRenderedPageBreak/>
        <w:t>8、2023年11月，通过在中国计量协会网站公布征求意见稿，向全国公开在互联网上征求意见。又向有关单位发送电子邮件方式征求意见。</w:t>
      </w:r>
      <w:r>
        <w:rPr>
          <w:rFonts w:ascii="宋体" w:hAnsi="宋体" w:hint="eastAsia"/>
          <w:color w:val="FF0000"/>
          <w:sz w:val="24"/>
        </w:rPr>
        <w:t>计量协会和</w:t>
      </w:r>
      <w:proofErr w:type="gramStart"/>
      <w:r>
        <w:rPr>
          <w:rFonts w:ascii="宋体" w:hAnsi="宋体" w:hint="eastAsia"/>
          <w:color w:val="FF0000"/>
          <w:sz w:val="24"/>
        </w:rPr>
        <w:t>微信平台</w:t>
      </w:r>
      <w:proofErr w:type="gramEnd"/>
      <w:r>
        <w:rPr>
          <w:rFonts w:ascii="宋体" w:hAnsi="宋体" w:hint="eastAsia"/>
          <w:color w:val="FF0000"/>
          <w:sz w:val="24"/>
        </w:rPr>
        <w:t>也利用起来征求意见。广泛听取各方的意见。起草组通过</w:t>
      </w:r>
      <w:r>
        <w:rPr>
          <w:rFonts w:ascii="宋体" w:hAnsi="宋体" w:hint="eastAsia"/>
          <w:sz w:val="24"/>
        </w:rPr>
        <w:t>全国流量计量技术委员会液体流量分技术委员会</w:t>
      </w:r>
      <w:r>
        <w:rPr>
          <w:rFonts w:ascii="宋体" w:hAnsi="宋体" w:hint="eastAsia"/>
          <w:color w:val="FF0000"/>
          <w:sz w:val="24"/>
        </w:rPr>
        <w:t>向各个省级技术机构发送电子邮件方式征求意见</w:t>
      </w:r>
      <w:r>
        <w:rPr>
          <w:rFonts w:ascii="宋体" w:hAnsi="宋体"/>
          <w:color w:val="FF0000"/>
          <w:sz w:val="24"/>
        </w:rPr>
        <w:t>。</w:t>
      </w:r>
    </w:p>
    <w:p w14:paraId="3696323D" w14:textId="77777777" w:rsidR="001F5DF2" w:rsidRDefault="00000000">
      <w:pPr>
        <w:spacing w:line="276" w:lineRule="auto"/>
        <w:ind w:firstLineChars="175" w:firstLine="42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2023年</w:t>
      </w:r>
      <w:r>
        <w:rPr>
          <w:rFonts w:ascii="宋体" w:hAnsi="宋体"/>
          <w:sz w:val="24"/>
        </w:rPr>
        <w:t>1</w:t>
      </w:r>
      <w:r>
        <w:rPr>
          <w:rFonts w:ascii="宋体" w:hAnsi="宋体" w:hint="eastAsia"/>
          <w:sz w:val="24"/>
        </w:rPr>
        <w:t>1月：初步汇总征集的意见，修改完成报审稿，向技术委员会委员和有关专家征求意见。经过对广泛征求意见汇总和小结，在综合了返回意见后，结合验证试验报告形成报审稿。</w:t>
      </w:r>
    </w:p>
    <w:p w14:paraId="3B122766" w14:textId="4FC2504F" w:rsidR="001F5DF2" w:rsidRDefault="00C076CE">
      <w:pPr>
        <w:spacing w:line="276" w:lineRule="auto"/>
        <w:ind w:firstLine="420"/>
        <w:rPr>
          <w:rFonts w:ascii="宋体" w:hAnsi="宋体"/>
          <w:sz w:val="24"/>
        </w:rPr>
      </w:pPr>
      <w:r>
        <w:rPr>
          <w:rFonts w:ascii="宋体" w:hAnsi="宋体"/>
          <w:sz w:val="24"/>
        </w:rPr>
        <w:t xml:space="preserve"> </w:t>
      </w:r>
    </w:p>
    <w:p w14:paraId="427E5AB5" w14:textId="77777777" w:rsidR="001F5DF2" w:rsidRDefault="00000000">
      <w:pPr>
        <w:spacing w:line="276" w:lineRule="auto"/>
        <w:ind w:firstLine="420"/>
        <w:rPr>
          <w:rFonts w:ascii="宋体" w:hAnsi="宋体"/>
          <w:sz w:val="24"/>
        </w:rPr>
      </w:pPr>
      <w:r>
        <w:rPr>
          <w:rFonts w:ascii="宋体" w:hAnsi="宋体" w:hint="eastAsia"/>
          <w:sz w:val="24"/>
        </w:rPr>
        <w:t>2023年11月： 形成规程送审稿。</w:t>
      </w:r>
    </w:p>
    <w:p w14:paraId="046AA5C1" w14:textId="77777777" w:rsidR="001F5DF2" w:rsidRDefault="00000000">
      <w:pPr>
        <w:ind w:firstLineChars="202" w:firstLine="487"/>
        <w:rPr>
          <w:rFonts w:hAnsi="宋体"/>
          <w:sz w:val="24"/>
        </w:rPr>
      </w:pPr>
      <w:r>
        <w:rPr>
          <w:rFonts w:hAnsi="宋体" w:hint="eastAsia"/>
          <w:b/>
          <w:sz w:val="24"/>
        </w:rPr>
        <w:t>第三阶段：</w:t>
      </w:r>
      <w:r>
        <w:rPr>
          <w:rFonts w:hAnsi="宋体"/>
          <w:b/>
          <w:sz w:val="24"/>
        </w:rPr>
        <w:t xml:space="preserve"> </w:t>
      </w:r>
      <w:r>
        <w:rPr>
          <w:rFonts w:hAnsi="宋体" w:hint="eastAsia"/>
          <w:b/>
          <w:sz w:val="24"/>
        </w:rPr>
        <w:t>审查报审报批阶段</w:t>
      </w:r>
      <w:r>
        <w:rPr>
          <w:rFonts w:hAnsi="宋体" w:hint="eastAsia"/>
          <w:sz w:val="24"/>
        </w:rPr>
        <w:t xml:space="preserve">  </w:t>
      </w:r>
    </w:p>
    <w:p w14:paraId="0A6581FB" w14:textId="77777777" w:rsidR="001F5DF2" w:rsidRDefault="00000000">
      <w:pPr>
        <w:ind w:firstLine="420"/>
        <w:rPr>
          <w:rFonts w:ascii="宋体" w:hAnsi="宋体"/>
          <w:color w:val="FF0000"/>
          <w:sz w:val="24"/>
        </w:rPr>
      </w:pPr>
      <w:r>
        <w:rPr>
          <w:rFonts w:ascii="宋体" w:hAnsi="宋体" w:hint="eastAsia"/>
          <w:color w:val="FF0000"/>
          <w:sz w:val="24"/>
        </w:rPr>
        <w:t>2023年12月  提交技术委员会委员秘书处送审资料。待审定</w:t>
      </w:r>
    </w:p>
    <w:p w14:paraId="744DCDC2" w14:textId="735A57C0" w:rsidR="001F5DF2" w:rsidRPr="00C076CE" w:rsidRDefault="00C076CE" w:rsidP="00C076CE">
      <w:pPr>
        <w:ind w:firstLine="420"/>
        <w:rPr>
          <w:rFonts w:ascii="宋体" w:hAnsi="宋体" w:hint="eastAsia"/>
          <w:sz w:val="24"/>
        </w:rPr>
      </w:pPr>
      <w:r>
        <w:rPr>
          <w:rFonts w:ascii="宋体" w:hAnsi="宋体"/>
          <w:color w:val="FF0000"/>
          <w:sz w:val="24"/>
        </w:rPr>
        <w:t xml:space="preserve"> </w:t>
      </w:r>
    </w:p>
    <w:p w14:paraId="67DB91D2" w14:textId="77777777" w:rsidR="001F5DF2" w:rsidRDefault="00000000">
      <w:pPr>
        <w:numPr>
          <w:ilvl w:val="0"/>
          <w:numId w:val="1"/>
        </w:numPr>
        <w:spacing w:line="276" w:lineRule="auto"/>
        <w:rPr>
          <w:b/>
          <w:sz w:val="24"/>
        </w:rPr>
      </w:pPr>
      <w:r>
        <w:rPr>
          <w:rFonts w:hint="eastAsia"/>
          <w:b/>
          <w:sz w:val="24"/>
        </w:rPr>
        <w:t>编制主要技术指标说明</w:t>
      </w:r>
    </w:p>
    <w:p w14:paraId="6D76195A" w14:textId="77777777" w:rsidR="001F5DF2" w:rsidRDefault="00000000">
      <w:pPr>
        <w:numPr>
          <w:ilvl w:val="0"/>
          <w:numId w:val="3"/>
        </w:numPr>
        <w:ind w:left="0" w:firstLineChars="235" w:firstLine="564"/>
        <w:rPr>
          <w:sz w:val="24"/>
        </w:rPr>
      </w:pPr>
      <w:r>
        <w:rPr>
          <w:rFonts w:hint="eastAsia"/>
          <w:sz w:val="24"/>
        </w:rPr>
        <w:t>规程编制主要内容说明：</w:t>
      </w:r>
    </w:p>
    <w:p w14:paraId="66B77965" w14:textId="77777777" w:rsidR="001F5DF2" w:rsidRDefault="00000000">
      <w:pPr>
        <w:ind w:firstLineChars="200" w:firstLine="480"/>
        <w:rPr>
          <w:sz w:val="24"/>
        </w:rPr>
      </w:pPr>
      <w:r>
        <w:rPr>
          <w:rFonts w:hint="eastAsia"/>
          <w:sz w:val="24"/>
        </w:rPr>
        <w:t>⑴本规程根据</w:t>
      </w:r>
      <w:r>
        <w:rPr>
          <w:rFonts w:hint="eastAsia"/>
          <w:sz w:val="24"/>
        </w:rPr>
        <w:t xml:space="preserve">OIML R 117-1 </w:t>
      </w:r>
      <w:r>
        <w:rPr>
          <w:rFonts w:hint="eastAsia"/>
          <w:sz w:val="24"/>
        </w:rPr>
        <w:t>非水液体动态测量系统</w:t>
      </w:r>
      <w:r>
        <w:rPr>
          <w:rFonts w:hint="eastAsia"/>
          <w:sz w:val="24"/>
        </w:rPr>
        <w:t xml:space="preserve"> </w:t>
      </w:r>
      <w:r>
        <w:rPr>
          <w:rFonts w:hint="eastAsia"/>
          <w:sz w:val="24"/>
        </w:rPr>
        <w:t>第一部分</w:t>
      </w:r>
      <w:r>
        <w:rPr>
          <w:rFonts w:hint="eastAsia"/>
          <w:sz w:val="24"/>
        </w:rPr>
        <w:t xml:space="preserve">: </w:t>
      </w:r>
      <w:r>
        <w:rPr>
          <w:rFonts w:hint="eastAsia"/>
          <w:sz w:val="24"/>
        </w:rPr>
        <w:t>计量与技术要求（</w:t>
      </w:r>
      <w:r>
        <w:rPr>
          <w:rFonts w:hint="eastAsia"/>
          <w:sz w:val="24"/>
        </w:rPr>
        <w:t>Dynamic measuring systems for liquids other than water  Part 1: Metrological and technical requirements</w:t>
      </w:r>
      <w:r>
        <w:rPr>
          <w:rFonts w:hint="eastAsia"/>
          <w:sz w:val="24"/>
        </w:rPr>
        <w:t>）为主要技术依据；</w:t>
      </w:r>
    </w:p>
    <w:p w14:paraId="27B90085" w14:textId="77777777" w:rsidR="001F5DF2" w:rsidRDefault="00000000">
      <w:pPr>
        <w:ind w:firstLineChars="200" w:firstLine="480"/>
        <w:rPr>
          <w:sz w:val="24"/>
        </w:rPr>
      </w:pPr>
      <w:r>
        <w:rPr>
          <w:rFonts w:hint="eastAsia"/>
          <w:sz w:val="24"/>
        </w:rPr>
        <w:t>⑵本规程适用于燃油加油机；</w:t>
      </w:r>
    </w:p>
    <w:p w14:paraId="7F55A636" w14:textId="77777777" w:rsidR="001F5DF2" w:rsidRDefault="00000000">
      <w:pPr>
        <w:ind w:firstLineChars="200" w:firstLine="480"/>
        <w:rPr>
          <w:sz w:val="24"/>
        </w:rPr>
      </w:pPr>
      <w:r>
        <w:rPr>
          <w:rFonts w:hint="eastAsia"/>
          <w:sz w:val="24"/>
        </w:rPr>
        <w:t>⑶本规程在自锁功能检查中，根据在用加油机和新加油机防作弊的不同技术要求，考虑加油机准确性、加油数据可溯源的要求，对在用加油机和新加油机的自锁功能检查分别采用不同的检查方法和要求。</w:t>
      </w:r>
    </w:p>
    <w:p w14:paraId="13D652CA" w14:textId="77777777" w:rsidR="001F5DF2" w:rsidRDefault="00000000">
      <w:pPr>
        <w:ind w:firstLineChars="200" w:firstLine="480"/>
        <w:rPr>
          <w:sz w:val="24"/>
        </w:rPr>
      </w:pPr>
      <w:r>
        <w:rPr>
          <w:rFonts w:hint="eastAsia"/>
          <w:sz w:val="24"/>
        </w:rPr>
        <w:t>⑷根据实验结果，本规程对首次检定和后续检定的检定次数作了调整。并对流量点的范围也做了调整：首次检定分别在</w:t>
      </w:r>
      <w:r>
        <w:rPr>
          <w:rFonts w:hint="eastAsia"/>
          <w:sz w:val="24"/>
        </w:rPr>
        <w:t xml:space="preserve">0.8 </w:t>
      </w:r>
      <w:r>
        <w:rPr>
          <w:rFonts w:hint="eastAsia"/>
          <w:i/>
          <w:iCs/>
          <w:sz w:val="24"/>
        </w:rPr>
        <w:t>Q</w:t>
      </w:r>
      <w:r>
        <w:rPr>
          <w:rFonts w:hint="eastAsia"/>
          <w:sz w:val="24"/>
          <w:vertAlign w:val="subscript"/>
        </w:rPr>
        <w:t>L</w:t>
      </w:r>
      <w:r>
        <w:rPr>
          <w:rFonts w:hint="eastAsia"/>
          <w:sz w:val="24"/>
        </w:rPr>
        <w:t xml:space="preserve"> </w:t>
      </w:r>
      <w:r>
        <w:rPr>
          <w:rFonts w:hint="eastAsia"/>
          <w:sz w:val="24"/>
        </w:rPr>
        <w:t>≤</w:t>
      </w:r>
      <w:r>
        <w:rPr>
          <w:rFonts w:hint="eastAsia"/>
          <w:sz w:val="24"/>
        </w:rPr>
        <w:t xml:space="preserve"> </w:t>
      </w:r>
      <w:r>
        <w:rPr>
          <w:rFonts w:hint="eastAsia"/>
          <w:i/>
          <w:iCs/>
          <w:sz w:val="24"/>
        </w:rPr>
        <w:t>Q</w:t>
      </w:r>
      <w:r>
        <w:rPr>
          <w:rFonts w:hint="eastAsia"/>
          <w:sz w:val="24"/>
          <w:vertAlign w:val="subscript"/>
        </w:rPr>
        <w:t>(1)</w:t>
      </w:r>
      <w:r>
        <w:rPr>
          <w:rFonts w:hint="eastAsia"/>
          <w:sz w:val="24"/>
        </w:rPr>
        <w:t xml:space="preserve"> </w:t>
      </w:r>
      <w:r>
        <w:rPr>
          <w:rFonts w:hint="eastAsia"/>
          <w:sz w:val="24"/>
        </w:rPr>
        <w:t>≤</w:t>
      </w:r>
      <w:r>
        <w:rPr>
          <w:rFonts w:hint="eastAsia"/>
          <w:sz w:val="24"/>
        </w:rPr>
        <w:t xml:space="preserve"> </w:t>
      </w:r>
      <w:r>
        <w:rPr>
          <w:rFonts w:hint="eastAsia"/>
          <w:i/>
          <w:iCs/>
          <w:sz w:val="24"/>
        </w:rPr>
        <w:t>Q</w:t>
      </w:r>
      <w:r>
        <w:rPr>
          <w:rFonts w:hint="eastAsia"/>
          <w:sz w:val="24"/>
          <w:vertAlign w:val="subscript"/>
        </w:rPr>
        <w:t>L</w:t>
      </w:r>
      <w:r>
        <w:rPr>
          <w:rFonts w:hint="eastAsia"/>
          <w:sz w:val="24"/>
        </w:rPr>
        <w:t>、</w:t>
      </w:r>
      <w:r>
        <w:rPr>
          <w:rFonts w:hint="eastAsia"/>
          <w:sz w:val="24"/>
        </w:rPr>
        <w:t>0.4</w:t>
      </w:r>
      <w:r>
        <w:rPr>
          <w:rFonts w:hint="eastAsia"/>
          <w:i/>
          <w:iCs/>
          <w:sz w:val="24"/>
        </w:rPr>
        <w:t xml:space="preserve"> Q</w:t>
      </w:r>
      <w:r>
        <w:rPr>
          <w:rFonts w:hint="eastAsia"/>
          <w:sz w:val="24"/>
          <w:vertAlign w:val="subscript"/>
        </w:rPr>
        <w:t>L</w:t>
      </w:r>
      <w:r>
        <w:rPr>
          <w:rFonts w:hint="eastAsia"/>
          <w:sz w:val="24"/>
        </w:rPr>
        <w:t xml:space="preserve"> </w:t>
      </w:r>
      <w:r>
        <w:rPr>
          <w:rFonts w:hint="eastAsia"/>
          <w:sz w:val="24"/>
        </w:rPr>
        <w:t>≤</w:t>
      </w:r>
      <w:r>
        <w:rPr>
          <w:rFonts w:hint="eastAsia"/>
          <w:sz w:val="24"/>
        </w:rPr>
        <w:t xml:space="preserve"> </w:t>
      </w:r>
      <w:r>
        <w:rPr>
          <w:rFonts w:hint="eastAsia"/>
          <w:i/>
          <w:iCs/>
          <w:sz w:val="24"/>
        </w:rPr>
        <w:t>Q</w:t>
      </w:r>
      <w:r>
        <w:rPr>
          <w:rFonts w:hint="eastAsia"/>
          <w:sz w:val="24"/>
          <w:vertAlign w:val="subscript"/>
        </w:rPr>
        <w:t>(2)</w:t>
      </w:r>
      <w:r>
        <w:rPr>
          <w:rFonts w:hint="eastAsia"/>
          <w:sz w:val="24"/>
        </w:rPr>
        <w:t xml:space="preserve"> </w:t>
      </w:r>
      <w:r>
        <w:rPr>
          <w:rFonts w:hint="eastAsia"/>
          <w:sz w:val="24"/>
        </w:rPr>
        <w:t>≤</w:t>
      </w:r>
      <w:r>
        <w:rPr>
          <w:rFonts w:hint="eastAsia"/>
          <w:sz w:val="24"/>
        </w:rPr>
        <w:t xml:space="preserve"> 0.8</w:t>
      </w:r>
      <w:r>
        <w:rPr>
          <w:rFonts w:hint="eastAsia"/>
          <w:i/>
          <w:iCs/>
          <w:sz w:val="24"/>
        </w:rPr>
        <w:t xml:space="preserve"> Q</w:t>
      </w:r>
      <w:r>
        <w:rPr>
          <w:rFonts w:hint="eastAsia"/>
          <w:sz w:val="24"/>
          <w:vertAlign w:val="subscript"/>
        </w:rPr>
        <w:t>L</w:t>
      </w:r>
      <w:r>
        <w:rPr>
          <w:rFonts w:hint="eastAsia"/>
          <w:sz w:val="24"/>
        </w:rPr>
        <w:t>流量点下各检定</w:t>
      </w:r>
      <w:r>
        <w:rPr>
          <w:rFonts w:hint="eastAsia"/>
          <w:sz w:val="24"/>
        </w:rPr>
        <w:t>3</w:t>
      </w:r>
      <w:r>
        <w:rPr>
          <w:rFonts w:hint="eastAsia"/>
          <w:sz w:val="24"/>
        </w:rPr>
        <w:t>次，后续检定在</w:t>
      </w:r>
      <w:r>
        <w:rPr>
          <w:rFonts w:hint="eastAsia"/>
          <w:sz w:val="24"/>
        </w:rPr>
        <w:t xml:space="preserve">0.4 </w:t>
      </w:r>
      <w:r>
        <w:rPr>
          <w:rFonts w:hint="eastAsia"/>
          <w:i/>
          <w:iCs/>
          <w:sz w:val="24"/>
        </w:rPr>
        <w:t>Q</w:t>
      </w:r>
      <w:r>
        <w:rPr>
          <w:rFonts w:hint="eastAsia"/>
          <w:sz w:val="24"/>
          <w:vertAlign w:val="subscript"/>
        </w:rPr>
        <w:t>L</w:t>
      </w:r>
      <w:r>
        <w:rPr>
          <w:rFonts w:hint="eastAsia"/>
          <w:sz w:val="24"/>
        </w:rPr>
        <w:t xml:space="preserve"> </w:t>
      </w:r>
      <w:r>
        <w:rPr>
          <w:rFonts w:hint="eastAsia"/>
          <w:sz w:val="24"/>
        </w:rPr>
        <w:t>≤</w:t>
      </w:r>
      <w:r>
        <w:rPr>
          <w:rFonts w:hint="eastAsia"/>
          <w:sz w:val="24"/>
        </w:rPr>
        <w:t xml:space="preserve"> </w:t>
      </w:r>
      <w:r>
        <w:rPr>
          <w:rFonts w:hint="eastAsia"/>
          <w:i/>
          <w:iCs/>
          <w:sz w:val="24"/>
        </w:rPr>
        <w:t>Q</w:t>
      </w:r>
      <w:r>
        <w:rPr>
          <w:rFonts w:hint="eastAsia"/>
          <w:sz w:val="24"/>
          <w:vertAlign w:val="subscript"/>
        </w:rPr>
        <w:t xml:space="preserve">(3) </w:t>
      </w:r>
      <w:r>
        <w:rPr>
          <w:rFonts w:hint="eastAsia"/>
          <w:sz w:val="24"/>
        </w:rPr>
        <w:t>≤</w:t>
      </w:r>
      <w:r>
        <w:rPr>
          <w:rFonts w:hint="eastAsia"/>
          <w:sz w:val="24"/>
        </w:rPr>
        <w:t xml:space="preserve"> </w:t>
      </w:r>
      <w:r>
        <w:rPr>
          <w:rFonts w:hint="eastAsia"/>
          <w:i/>
          <w:iCs/>
          <w:sz w:val="24"/>
        </w:rPr>
        <w:t>Q</w:t>
      </w:r>
      <w:r>
        <w:rPr>
          <w:rFonts w:hint="eastAsia"/>
          <w:sz w:val="24"/>
          <w:vertAlign w:val="subscript"/>
        </w:rPr>
        <w:t>L</w:t>
      </w:r>
      <w:r>
        <w:rPr>
          <w:rFonts w:hint="eastAsia"/>
          <w:sz w:val="24"/>
        </w:rPr>
        <w:t>流量点下检定一次，如示值误差超差，则增加</w:t>
      </w:r>
      <w:r>
        <w:rPr>
          <w:rFonts w:hint="eastAsia"/>
          <w:sz w:val="24"/>
        </w:rPr>
        <w:t>2</w:t>
      </w:r>
      <w:r>
        <w:rPr>
          <w:rFonts w:hint="eastAsia"/>
          <w:sz w:val="24"/>
        </w:rPr>
        <w:t>次检定。</w:t>
      </w:r>
    </w:p>
    <w:p w14:paraId="2032DBE3" w14:textId="77777777" w:rsidR="001F5DF2" w:rsidRDefault="00000000">
      <w:pPr>
        <w:ind w:firstLineChars="200" w:firstLine="480"/>
        <w:rPr>
          <w:sz w:val="24"/>
        </w:rPr>
      </w:pPr>
      <w:r>
        <w:rPr>
          <w:rFonts w:hint="eastAsia"/>
          <w:sz w:val="24"/>
        </w:rPr>
        <w:t>⑸本规程关于检定周期的调整。按照国家技术规范</w:t>
      </w:r>
      <w:r>
        <w:rPr>
          <w:rFonts w:hint="eastAsia"/>
          <w:sz w:val="24"/>
        </w:rPr>
        <w:t xml:space="preserve">JJF 1139-2005 </w:t>
      </w:r>
      <w:r>
        <w:rPr>
          <w:rFonts w:hint="eastAsia"/>
          <w:sz w:val="24"/>
        </w:rPr>
        <w:t>《计量器具检定周期确定原则和方法》提出的三个基本原则，起草小组结合试验和调查结果，将加油机的检定周期进行了调整：首次检定一般不超过半年；后续检定一般不超过</w:t>
      </w:r>
      <w:r>
        <w:rPr>
          <w:rFonts w:hint="eastAsia"/>
          <w:sz w:val="24"/>
        </w:rPr>
        <w:t>1</w:t>
      </w:r>
      <w:r>
        <w:rPr>
          <w:rFonts w:hint="eastAsia"/>
          <w:sz w:val="24"/>
        </w:rPr>
        <w:t>年，经调整合格的加油机，检定周期调整为半年，连续</w:t>
      </w:r>
      <w:r>
        <w:rPr>
          <w:rFonts w:hint="eastAsia"/>
          <w:sz w:val="24"/>
        </w:rPr>
        <w:t>2</w:t>
      </w:r>
      <w:r>
        <w:rPr>
          <w:rFonts w:hint="eastAsia"/>
          <w:sz w:val="24"/>
        </w:rPr>
        <w:t>次后续检定合格后，其检定周期恢复为</w:t>
      </w:r>
      <w:r>
        <w:rPr>
          <w:rFonts w:hint="eastAsia"/>
          <w:sz w:val="24"/>
        </w:rPr>
        <w:t>1</w:t>
      </w:r>
      <w:r>
        <w:rPr>
          <w:rFonts w:hint="eastAsia"/>
          <w:sz w:val="24"/>
        </w:rPr>
        <w:t>年；更换主</w:t>
      </w:r>
      <w:r>
        <w:rPr>
          <w:rFonts w:hint="eastAsia"/>
          <w:sz w:val="24"/>
        </w:rPr>
        <w:lastRenderedPageBreak/>
        <w:t>板、编码器、流量测量变换器等关键零部件的维修后检定</w:t>
      </w:r>
      <w:proofErr w:type="gramStart"/>
      <w:r>
        <w:rPr>
          <w:rFonts w:hint="eastAsia"/>
          <w:sz w:val="24"/>
        </w:rPr>
        <w:t>按首次</w:t>
      </w:r>
      <w:proofErr w:type="gramEnd"/>
      <w:r>
        <w:rPr>
          <w:rFonts w:hint="eastAsia"/>
          <w:sz w:val="24"/>
        </w:rPr>
        <w:t>检定处理。</w:t>
      </w:r>
    </w:p>
    <w:p w14:paraId="5A2A5866" w14:textId="77777777" w:rsidR="001F5DF2" w:rsidRDefault="00000000">
      <w:pPr>
        <w:numPr>
          <w:ilvl w:val="0"/>
          <w:numId w:val="3"/>
        </w:numPr>
        <w:ind w:left="0" w:firstLineChars="235" w:firstLine="564"/>
        <w:rPr>
          <w:sz w:val="24"/>
        </w:rPr>
      </w:pPr>
      <w:r>
        <w:rPr>
          <w:rFonts w:hint="eastAsia"/>
          <w:sz w:val="24"/>
        </w:rPr>
        <w:t>规程适用范围</w:t>
      </w:r>
    </w:p>
    <w:p w14:paraId="258E1F17" w14:textId="77777777" w:rsidR="001F5DF2" w:rsidRDefault="00000000">
      <w:pPr>
        <w:ind w:firstLineChars="235" w:firstLine="564"/>
        <w:rPr>
          <w:rFonts w:ascii="宋体" w:hAnsi="宋体"/>
          <w:sz w:val="24"/>
        </w:rPr>
      </w:pPr>
      <w:r>
        <w:rPr>
          <w:rFonts w:ascii="宋体" w:hAnsi="宋体"/>
          <w:sz w:val="24"/>
        </w:rPr>
        <w:t>本规程适用于</w:t>
      </w:r>
      <w:r>
        <w:rPr>
          <w:rFonts w:ascii="宋体" w:hAnsi="宋体" w:hint="eastAsia"/>
          <w:sz w:val="24"/>
        </w:rPr>
        <w:t>燃油加油机</w:t>
      </w:r>
      <w:r>
        <w:rPr>
          <w:rFonts w:ascii="宋体" w:hAnsi="宋体"/>
          <w:sz w:val="24"/>
        </w:rPr>
        <w:t>的首次检定</w:t>
      </w:r>
      <w:r>
        <w:rPr>
          <w:rFonts w:ascii="宋体" w:hAnsi="宋体" w:hint="eastAsia"/>
          <w:sz w:val="24"/>
        </w:rPr>
        <w:t>、后续检定和</w:t>
      </w:r>
      <w:r>
        <w:rPr>
          <w:rFonts w:ascii="宋体" w:hAnsi="宋体"/>
          <w:sz w:val="24"/>
        </w:rPr>
        <w:t>使用中</w:t>
      </w:r>
      <w:r>
        <w:rPr>
          <w:rFonts w:ascii="宋体" w:hAnsi="宋体" w:hint="eastAsia"/>
          <w:sz w:val="24"/>
        </w:rPr>
        <w:t>检查</w:t>
      </w:r>
      <w:r>
        <w:rPr>
          <w:rFonts w:ascii="宋体" w:hAnsi="宋体"/>
          <w:sz w:val="24"/>
        </w:rPr>
        <w:t>。</w:t>
      </w:r>
    </w:p>
    <w:p w14:paraId="584B8D9F" w14:textId="77777777" w:rsidR="001F5DF2" w:rsidRDefault="00000000">
      <w:pPr>
        <w:numPr>
          <w:ilvl w:val="0"/>
          <w:numId w:val="3"/>
        </w:numPr>
        <w:ind w:left="0" w:firstLineChars="235" w:firstLine="564"/>
        <w:rPr>
          <w:sz w:val="24"/>
        </w:rPr>
      </w:pPr>
      <w:r>
        <w:rPr>
          <w:rFonts w:hint="eastAsia"/>
          <w:sz w:val="24"/>
        </w:rPr>
        <w:t>现实意义</w:t>
      </w:r>
    </w:p>
    <w:p w14:paraId="6584E58D" w14:textId="77777777" w:rsidR="001F5DF2" w:rsidRDefault="00000000">
      <w:pPr>
        <w:ind w:firstLineChars="200" w:firstLine="480"/>
        <w:rPr>
          <w:rFonts w:ascii="宋体" w:hAnsi="宋体"/>
          <w:sz w:val="24"/>
        </w:rPr>
      </w:pPr>
      <w:r>
        <w:rPr>
          <w:rFonts w:ascii="宋体" w:hAnsi="宋体" w:hint="eastAsia"/>
          <w:sz w:val="24"/>
        </w:rPr>
        <w:t>燃油加油机作为燃油贸易计算的计量器具，主要用于机动车燃油的添加、结算，其计量准确性直接影响到我国燃油交易的精准性，关系到国计民生、安全生产等多个方面，是经济社会平稳运行的重要基础。为此，国家市场监管总局将一直燃油加油机列入《实施强制管理的计量器具目录》，对其实施强制管理，由法定计量检定机构依法对燃油加油机实施强制检定。我国的加油机从生产、使用、检定、管理都已经形成了一套</w:t>
      </w:r>
      <w:proofErr w:type="gramStart"/>
      <w:r>
        <w:rPr>
          <w:rFonts w:ascii="宋体" w:hAnsi="宋体" w:hint="eastAsia"/>
          <w:sz w:val="24"/>
        </w:rPr>
        <w:t>交完善</w:t>
      </w:r>
      <w:proofErr w:type="gramEnd"/>
      <w:r>
        <w:rPr>
          <w:rFonts w:ascii="宋体" w:hAnsi="宋体" w:hint="eastAsia"/>
          <w:sz w:val="24"/>
        </w:rPr>
        <w:t>的制度。</w:t>
      </w:r>
    </w:p>
    <w:p w14:paraId="3667356E" w14:textId="77777777" w:rsidR="001F5DF2" w:rsidRDefault="00000000">
      <w:pPr>
        <w:ind w:firstLineChars="200" w:firstLine="480"/>
        <w:rPr>
          <w:rFonts w:ascii="宋体" w:hAnsi="宋体"/>
          <w:sz w:val="24"/>
        </w:rPr>
      </w:pPr>
      <w:r>
        <w:rPr>
          <w:rFonts w:ascii="宋体" w:hAnsi="宋体" w:hint="eastAsia"/>
          <w:sz w:val="24"/>
        </w:rPr>
        <w:t>近期对加油站的执法检查结果显示，部分加油站存在计量作弊、偷逃税等违法行为，JJG443-2015《燃油加油机》检定规程中对加油机自锁功能的检查方法已经不适用当前防作弊检查的形势。原规程从2015年实施到现在已历经8年，随着国际建议R117的修订、加油机技术的发展，加油机及其部件的定义、技术要求已经有了新变化。随着新技术发展、计量性能的提升和客户对加油机的要求的增加，加油机功能不断出新，例如自锁功能、流量控制、油气回收功能、媒体交互功能、支付功能等。</w:t>
      </w:r>
    </w:p>
    <w:p w14:paraId="30798352" w14:textId="77777777" w:rsidR="001F5DF2" w:rsidRDefault="00000000">
      <w:pPr>
        <w:ind w:firstLineChars="200" w:firstLine="480"/>
        <w:rPr>
          <w:rFonts w:ascii="宋体" w:hAnsi="宋体"/>
          <w:sz w:val="24"/>
        </w:rPr>
      </w:pPr>
      <w:r>
        <w:rPr>
          <w:rFonts w:ascii="宋体" w:hAnsi="宋体" w:hint="eastAsia"/>
          <w:sz w:val="24"/>
        </w:rPr>
        <w:t>修订后的规程，采用了当前加油机的新技术，优化了检定过程，调整了检定周期，减轻了检定人员的劳动强度。采用了更先进的防作弊技术，确保加油数据的准确性和</w:t>
      </w:r>
      <w:proofErr w:type="gramStart"/>
      <w:r>
        <w:rPr>
          <w:rFonts w:ascii="宋体" w:hAnsi="宋体" w:hint="eastAsia"/>
          <w:sz w:val="24"/>
        </w:rPr>
        <w:t>可</w:t>
      </w:r>
      <w:proofErr w:type="gramEnd"/>
      <w:r>
        <w:rPr>
          <w:rFonts w:ascii="宋体" w:hAnsi="宋体" w:hint="eastAsia"/>
          <w:sz w:val="24"/>
        </w:rPr>
        <w:t>溯源性。同时，补充了自锁功能的检查方法，便于检定人员、执法人员进行自锁功能的检查。</w:t>
      </w:r>
    </w:p>
    <w:p w14:paraId="40AFA9C5" w14:textId="77777777" w:rsidR="001F5DF2" w:rsidRDefault="00000000">
      <w:pPr>
        <w:ind w:firstLineChars="235" w:firstLine="564"/>
        <w:rPr>
          <w:rFonts w:ascii="宋体" w:hAnsi="宋体"/>
          <w:sz w:val="24"/>
        </w:rPr>
      </w:pPr>
      <w:r>
        <w:rPr>
          <w:rFonts w:ascii="宋体" w:hAnsi="宋体" w:hint="eastAsia"/>
          <w:sz w:val="24"/>
        </w:rPr>
        <w:t>总之，新《燃油加油机》检定规程，优化了检定方法，合理调整了检定周期，增加自锁功能检查方法，达到溯源一致，保证量值准确可靠，为燃油公平交易提供技术保证，保护消费者合法权益，防范国家税收流失，促进成品油零售行业高质量发展。</w:t>
      </w:r>
    </w:p>
    <w:p w14:paraId="2E10C143" w14:textId="77777777" w:rsidR="001F5DF2" w:rsidRDefault="00000000">
      <w:pPr>
        <w:numPr>
          <w:ilvl w:val="0"/>
          <w:numId w:val="1"/>
        </w:numPr>
        <w:spacing w:line="276" w:lineRule="auto"/>
        <w:rPr>
          <w:b/>
          <w:sz w:val="24"/>
        </w:rPr>
      </w:pPr>
      <w:r>
        <w:rPr>
          <w:rFonts w:hint="eastAsia"/>
          <w:b/>
          <w:sz w:val="24"/>
        </w:rPr>
        <w:t>规程验证试验</w:t>
      </w:r>
    </w:p>
    <w:p w14:paraId="53D2E0E2" w14:textId="77777777" w:rsidR="001F5DF2" w:rsidRDefault="00000000">
      <w:pPr>
        <w:ind w:firstLineChars="235" w:firstLine="564"/>
        <w:rPr>
          <w:rFonts w:ascii="宋体" w:hAnsi="宋体"/>
          <w:sz w:val="24"/>
        </w:rPr>
      </w:pPr>
      <w:r>
        <w:rPr>
          <w:rFonts w:ascii="宋体" w:hAnsi="宋体" w:hint="eastAsia"/>
          <w:sz w:val="24"/>
        </w:rPr>
        <w:t>起草小组进行了详细的规程试验分工。</w:t>
      </w:r>
    </w:p>
    <w:p w14:paraId="5C0A2B1F" w14:textId="77777777" w:rsidR="001F5DF2" w:rsidRPr="00C076CE" w:rsidRDefault="00000000">
      <w:pPr>
        <w:ind w:firstLineChars="235" w:firstLine="564"/>
        <w:rPr>
          <w:rFonts w:ascii="宋体" w:hAnsi="宋体"/>
          <w:sz w:val="24"/>
        </w:rPr>
      </w:pPr>
      <w:r w:rsidRPr="00C076CE">
        <w:rPr>
          <w:rFonts w:ascii="宋体" w:hAnsi="宋体" w:hint="eastAsia"/>
          <w:sz w:val="24"/>
        </w:rPr>
        <w:t>规程试验验证：</w:t>
      </w:r>
    </w:p>
    <w:p w14:paraId="0D25291E" w14:textId="77777777" w:rsidR="001F5DF2" w:rsidRPr="00C076CE" w:rsidRDefault="00000000">
      <w:pPr>
        <w:numPr>
          <w:ilvl w:val="0"/>
          <w:numId w:val="4"/>
        </w:numPr>
        <w:ind w:left="0" w:rightChars="-330" w:right="-693" w:firstLineChars="235" w:firstLine="566"/>
        <w:rPr>
          <w:rFonts w:ascii="宋体" w:hAnsi="宋体"/>
          <w:b/>
          <w:sz w:val="24"/>
        </w:rPr>
      </w:pPr>
      <w:r w:rsidRPr="00C076CE">
        <w:rPr>
          <w:rFonts w:ascii="宋体" w:hAnsi="宋体" w:hint="eastAsia"/>
          <w:b/>
          <w:sz w:val="24"/>
        </w:rPr>
        <w:t>检定规程中加油机检定流量点为流量区间</w:t>
      </w:r>
      <w:r w:rsidRPr="00C076CE">
        <w:rPr>
          <w:rFonts w:ascii="宋体" w:hAnsi="宋体" w:hint="eastAsia"/>
          <w:sz w:val="24"/>
        </w:rPr>
        <w:t>：</w:t>
      </w:r>
    </w:p>
    <w:p w14:paraId="65A72A1B" w14:textId="77777777" w:rsidR="001F5DF2" w:rsidRPr="00C076CE" w:rsidRDefault="00000000">
      <w:pPr>
        <w:ind w:firstLineChars="200" w:firstLine="480"/>
        <w:rPr>
          <w:sz w:val="24"/>
        </w:rPr>
      </w:pPr>
      <w:r w:rsidRPr="00C076CE">
        <w:rPr>
          <w:rFonts w:ascii="宋体" w:hint="eastAsia"/>
          <w:sz w:val="24"/>
        </w:rPr>
        <w:t>首次检定大流量检定点为（</w:t>
      </w:r>
      <w:r w:rsidRPr="00C076CE">
        <w:rPr>
          <w:rFonts w:hint="eastAsia"/>
          <w:sz w:val="24"/>
        </w:rPr>
        <w:t xml:space="preserve">0.8 </w:t>
      </w:r>
      <w:r w:rsidRPr="00C076CE">
        <w:rPr>
          <w:rFonts w:hint="eastAsia"/>
          <w:i/>
          <w:iCs/>
          <w:sz w:val="24"/>
        </w:rPr>
        <w:t>Q</w:t>
      </w:r>
      <w:r w:rsidRPr="00C076CE">
        <w:rPr>
          <w:rFonts w:hint="eastAsia"/>
          <w:sz w:val="24"/>
          <w:vertAlign w:val="subscript"/>
        </w:rPr>
        <w:t>L</w:t>
      </w:r>
      <w:r w:rsidRPr="00C076CE">
        <w:rPr>
          <w:rFonts w:hint="eastAsia"/>
          <w:sz w:val="24"/>
        </w:rPr>
        <w:t xml:space="preserve"> </w:t>
      </w:r>
      <w:r w:rsidRPr="00C076CE">
        <w:rPr>
          <w:rFonts w:ascii="宋体" w:hint="eastAsia"/>
          <w:sz w:val="24"/>
        </w:rPr>
        <w:t>～</w:t>
      </w:r>
      <w:r w:rsidRPr="00C076CE">
        <w:rPr>
          <w:rFonts w:hint="eastAsia"/>
          <w:sz w:val="24"/>
        </w:rPr>
        <w:t xml:space="preserve"> </w:t>
      </w:r>
      <w:r w:rsidRPr="00C076CE">
        <w:rPr>
          <w:rFonts w:hint="eastAsia"/>
          <w:i/>
          <w:iCs/>
          <w:sz w:val="24"/>
        </w:rPr>
        <w:t>Q</w:t>
      </w:r>
      <w:r w:rsidRPr="00C076CE">
        <w:rPr>
          <w:rFonts w:hint="eastAsia"/>
          <w:sz w:val="24"/>
          <w:vertAlign w:val="subscript"/>
        </w:rPr>
        <w:t>L</w:t>
      </w:r>
      <w:r w:rsidRPr="00C076CE">
        <w:rPr>
          <w:rFonts w:ascii="宋体" w:hint="eastAsia"/>
          <w:sz w:val="24"/>
        </w:rPr>
        <w:t>），中流量检定点为（</w:t>
      </w:r>
      <w:r w:rsidRPr="00C076CE">
        <w:rPr>
          <w:rFonts w:hint="eastAsia"/>
          <w:sz w:val="24"/>
        </w:rPr>
        <w:t>0.4</w:t>
      </w:r>
      <w:r w:rsidRPr="00C076CE">
        <w:rPr>
          <w:rFonts w:hint="eastAsia"/>
          <w:i/>
          <w:iCs/>
          <w:sz w:val="24"/>
        </w:rPr>
        <w:t xml:space="preserve"> Q</w:t>
      </w:r>
      <w:r w:rsidRPr="00C076CE">
        <w:rPr>
          <w:rFonts w:hint="eastAsia"/>
          <w:sz w:val="24"/>
          <w:vertAlign w:val="subscript"/>
        </w:rPr>
        <w:t>L</w:t>
      </w:r>
      <w:r w:rsidRPr="00C076CE">
        <w:rPr>
          <w:rFonts w:hint="eastAsia"/>
          <w:sz w:val="24"/>
        </w:rPr>
        <w:t xml:space="preserve"> </w:t>
      </w:r>
      <w:r w:rsidRPr="00C076CE">
        <w:rPr>
          <w:rFonts w:ascii="宋体" w:hint="eastAsia"/>
          <w:sz w:val="24"/>
        </w:rPr>
        <w:t>～</w:t>
      </w:r>
      <w:r w:rsidRPr="00C076CE">
        <w:rPr>
          <w:rFonts w:hint="eastAsia"/>
          <w:sz w:val="24"/>
        </w:rPr>
        <w:t xml:space="preserve"> 0.8</w:t>
      </w:r>
      <w:r w:rsidRPr="00C076CE">
        <w:rPr>
          <w:rFonts w:hint="eastAsia"/>
          <w:i/>
          <w:iCs/>
          <w:sz w:val="24"/>
        </w:rPr>
        <w:t xml:space="preserve"> Q</w:t>
      </w:r>
      <w:r w:rsidRPr="00C076CE">
        <w:rPr>
          <w:rFonts w:hint="eastAsia"/>
          <w:sz w:val="24"/>
          <w:vertAlign w:val="subscript"/>
        </w:rPr>
        <w:t>L</w:t>
      </w:r>
      <w:r w:rsidRPr="00C076CE">
        <w:rPr>
          <w:rFonts w:ascii="宋体" w:hint="eastAsia"/>
          <w:sz w:val="24"/>
        </w:rPr>
        <w:t>），</w:t>
      </w:r>
      <w:r w:rsidRPr="00C076CE">
        <w:rPr>
          <w:rFonts w:hint="eastAsia"/>
          <w:sz w:val="24"/>
        </w:rPr>
        <w:t>后续检定</w:t>
      </w:r>
      <w:r w:rsidRPr="00C076CE">
        <w:rPr>
          <w:rFonts w:ascii="宋体" w:hint="eastAsia"/>
          <w:sz w:val="24"/>
        </w:rPr>
        <w:t>流量检定点为（</w:t>
      </w:r>
      <w:r w:rsidRPr="00C076CE">
        <w:rPr>
          <w:rFonts w:hint="eastAsia"/>
          <w:sz w:val="24"/>
        </w:rPr>
        <w:t xml:space="preserve">0.4 </w:t>
      </w:r>
      <w:r w:rsidRPr="00C076CE">
        <w:rPr>
          <w:rFonts w:hint="eastAsia"/>
          <w:i/>
          <w:iCs/>
          <w:sz w:val="24"/>
        </w:rPr>
        <w:t>Q</w:t>
      </w:r>
      <w:r w:rsidRPr="00C076CE">
        <w:rPr>
          <w:rFonts w:hint="eastAsia"/>
          <w:sz w:val="24"/>
          <w:vertAlign w:val="subscript"/>
        </w:rPr>
        <w:t>L</w:t>
      </w:r>
      <w:r w:rsidRPr="00C076CE">
        <w:rPr>
          <w:rFonts w:hint="eastAsia"/>
          <w:sz w:val="24"/>
        </w:rPr>
        <w:t xml:space="preserve"> </w:t>
      </w:r>
      <w:r w:rsidRPr="00C076CE">
        <w:rPr>
          <w:rFonts w:ascii="宋体" w:hint="eastAsia"/>
          <w:sz w:val="24"/>
        </w:rPr>
        <w:t>～</w:t>
      </w:r>
      <w:r w:rsidRPr="00C076CE">
        <w:rPr>
          <w:rFonts w:hint="eastAsia"/>
          <w:sz w:val="24"/>
        </w:rPr>
        <w:t xml:space="preserve"> </w:t>
      </w:r>
      <w:r w:rsidRPr="00C076CE">
        <w:rPr>
          <w:rFonts w:hint="eastAsia"/>
          <w:i/>
          <w:iCs/>
          <w:sz w:val="24"/>
        </w:rPr>
        <w:t>Q</w:t>
      </w:r>
      <w:r w:rsidRPr="00C076CE">
        <w:rPr>
          <w:rFonts w:hint="eastAsia"/>
          <w:sz w:val="24"/>
          <w:vertAlign w:val="subscript"/>
        </w:rPr>
        <w:t>L</w:t>
      </w:r>
      <w:r w:rsidRPr="00C076CE">
        <w:rPr>
          <w:rFonts w:ascii="宋体" w:hint="eastAsia"/>
          <w:sz w:val="24"/>
        </w:rPr>
        <w:t>）。</w:t>
      </w:r>
      <w:r w:rsidRPr="00C076CE">
        <w:rPr>
          <w:rFonts w:ascii="宋体" w:hAnsi="宋体" w:hint="eastAsia"/>
          <w:sz w:val="24"/>
        </w:rPr>
        <w:t>随机抽取（20～30）支加油</w:t>
      </w:r>
      <w:proofErr w:type="gramStart"/>
      <w:r w:rsidRPr="00C076CE">
        <w:rPr>
          <w:rFonts w:ascii="宋体" w:hAnsi="宋体" w:hint="eastAsia"/>
          <w:sz w:val="24"/>
        </w:rPr>
        <w:t>枪进行</w:t>
      </w:r>
      <w:proofErr w:type="gramEnd"/>
      <w:r w:rsidRPr="00C076CE">
        <w:rPr>
          <w:rFonts w:ascii="宋体" w:hAnsi="宋体" w:hint="eastAsia"/>
          <w:sz w:val="24"/>
        </w:rPr>
        <w:t>检定，提供实验数据。</w:t>
      </w:r>
    </w:p>
    <w:p w14:paraId="59072F37" w14:textId="77777777" w:rsidR="001F5DF2" w:rsidRPr="00C076CE" w:rsidRDefault="00000000">
      <w:pPr>
        <w:numPr>
          <w:ilvl w:val="0"/>
          <w:numId w:val="4"/>
        </w:numPr>
        <w:ind w:left="0" w:rightChars="-330" w:right="-693" w:firstLineChars="235" w:firstLine="566"/>
        <w:rPr>
          <w:rFonts w:ascii="宋体" w:hAnsi="宋体"/>
          <w:b/>
          <w:sz w:val="24"/>
        </w:rPr>
      </w:pPr>
      <w:r w:rsidRPr="00C076CE">
        <w:rPr>
          <w:rFonts w:ascii="宋体" w:hAnsi="宋体" w:hint="eastAsia"/>
          <w:b/>
          <w:sz w:val="24"/>
        </w:rPr>
        <w:t xml:space="preserve">加油机计量稳定性验证试验 </w:t>
      </w:r>
    </w:p>
    <w:p w14:paraId="03AB2FEB" w14:textId="77777777" w:rsidR="001F5DF2" w:rsidRPr="00C076CE" w:rsidRDefault="00000000">
      <w:pPr>
        <w:ind w:rightChars="-330" w:right="-693" w:firstLineChars="235" w:firstLine="564"/>
        <w:rPr>
          <w:rFonts w:ascii="宋体" w:hAnsi="宋体"/>
          <w:sz w:val="24"/>
        </w:rPr>
      </w:pPr>
      <w:r w:rsidRPr="00C076CE">
        <w:rPr>
          <w:rFonts w:ascii="宋体" w:hAnsi="宋体" w:hint="eastAsia"/>
          <w:sz w:val="24"/>
        </w:rPr>
        <w:t>采用2014年对加油机计量稳定性实验数据，结合全国的检定结果调查数据，对加油机计量</w:t>
      </w:r>
      <w:r w:rsidRPr="00C076CE">
        <w:rPr>
          <w:rFonts w:ascii="宋体" w:hAnsi="宋体" w:hint="eastAsia"/>
          <w:sz w:val="24"/>
        </w:rPr>
        <w:lastRenderedPageBreak/>
        <w:t>稳定性进行分析。</w:t>
      </w:r>
    </w:p>
    <w:p w14:paraId="595A032A" w14:textId="77777777" w:rsidR="001F5DF2" w:rsidRPr="00C076CE" w:rsidRDefault="00000000">
      <w:pPr>
        <w:numPr>
          <w:ilvl w:val="0"/>
          <w:numId w:val="4"/>
        </w:numPr>
        <w:ind w:left="0" w:rightChars="-330" w:right="-693" w:firstLineChars="235" w:firstLine="566"/>
        <w:rPr>
          <w:rFonts w:ascii="宋体" w:hAnsi="宋体"/>
          <w:b/>
          <w:sz w:val="24"/>
        </w:rPr>
      </w:pPr>
      <w:r w:rsidRPr="00C076CE">
        <w:rPr>
          <w:rFonts w:ascii="宋体" w:hAnsi="宋体" w:hint="eastAsia"/>
          <w:b/>
          <w:sz w:val="24"/>
        </w:rPr>
        <w:t>后续检定次数试验</w:t>
      </w:r>
    </w:p>
    <w:p w14:paraId="6D385652" w14:textId="77777777" w:rsidR="001F5DF2" w:rsidRPr="00C076CE" w:rsidRDefault="00000000">
      <w:pPr>
        <w:ind w:rightChars="-330" w:right="-693" w:firstLineChars="235" w:firstLine="564"/>
        <w:rPr>
          <w:rFonts w:ascii="宋体" w:hAnsi="宋体"/>
          <w:sz w:val="24"/>
        </w:rPr>
      </w:pPr>
      <w:r w:rsidRPr="00C076CE">
        <w:rPr>
          <w:rFonts w:ascii="宋体" w:hAnsi="宋体" w:hint="eastAsia"/>
          <w:sz w:val="24"/>
        </w:rPr>
        <w:t>抽取多种型号的加油机（20～30）支加油</w:t>
      </w:r>
      <w:proofErr w:type="gramStart"/>
      <w:r w:rsidRPr="00C076CE">
        <w:rPr>
          <w:rFonts w:ascii="宋体" w:hAnsi="宋体" w:hint="eastAsia"/>
          <w:sz w:val="24"/>
        </w:rPr>
        <w:t>枪进行</w:t>
      </w:r>
      <w:proofErr w:type="gramEnd"/>
      <w:r w:rsidRPr="00C076CE">
        <w:rPr>
          <w:rFonts w:ascii="宋体" w:hAnsi="宋体" w:hint="eastAsia"/>
          <w:sz w:val="24"/>
        </w:rPr>
        <w:t>检定，分别按照检定3次和1次的检定次数进行试验，并对检定结果进行分析。</w:t>
      </w:r>
    </w:p>
    <w:p w14:paraId="25546F7E" w14:textId="77777777" w:rsidR="001F5DF2" w:rsidRDefault="00000000">
      <w:pPr>
        <w:numPr>
          <w:ilvl w:val="0"/>
          <w:numId w:val="1"/>
        </w:numPr>
        <w:spacing w:line="276" w:lineRule="auto"/>
        <w:rPr>
          <w:b/>
          <w:sz w:val="24"/>
        </w:rPr>
      </w:pPr>
      <w:r>
        <w:rPr>
          <w:rFonts w:hint="eastAsia"/>
          <w:b/>
          <w:sz w:val="24"/>
        </w:rPr>
        <w:t>知识产权说明（涉及专利的情况声明）</w:t>
      </w:r>
    </w:p>
    <w:p w14:paraId="3345F73C" w14:textId="77777777" w:rsidR="001F5DF2" w:rsidRDefault="00000000">
      <w:pPr>
        <w:spacing w:line="360" w:lineRule="auto"/>
        <w:ind w:firstLineChars="218" w:firstLine="523"/>
        <w:rPr>
          <w:rFonts w:ascii="宋体" w:hAnsi="宋体"/>
          <w:sz w:val="24"/>
        </w:rPr>
      </w:pPr>
      <w:r>
        <w:rPr>
          <w:rFonts w:ascii="宋体" w:hAnsi="宋体" w:hint="eastAsia"/>
          <w:sz w:val="24"/>
        </w:rPr>
        <w:t>本文件不涉及专利问题。</w:t>
      </w:r>
    </w:p>
    <w:p w14:paraId="1E2A970F" w14:textId="77777777" w:rsidR="001F5DF2" w:rsidRDefault="00000000">
      <w:pPr>
        <w:numPr>
          <w:ilvl w:val="0"/>
          <w:numId w:val="1"/>
        </w:numPr>
        <w:spacing w:line="276" w:lineRule="auto"/>
        <w:rPr>
          <w:b/>
          <w:sz w:val="24"/>
        </w:rPr>
      </w:pPr>
      <w:r>
        <w:rPr>
          <w:rFonts w:hint="eastAsia"/>
          <w:b/>
          <w:sz w:val="24"/>
        </w:rPr>
        <w:t>国际、国外对比情况（采用国际标准和国外先进标准情况）</w:t>
      </w:r>
    </w:p>
    <w:p w14:paraId="62F1E141" w14:textId="77777777" w:rsidR="001F5DF2" w:rsidRDefault="00000000">
      <w:pPr>
        <w:spacing w:line="276" w:lineRule="auto"/>
        <w:ind w:firstLineChars="218" w:firstLine="523"/>
        <w:rPr>
          <w:rFonts w:ascii="宋体" w:hAnsi="宋体"/>
          <w:sz w:val="24"/>
        </w:rPr>
      </w:pPr>
      <w:r>
        <w:rPr>
          <w:rFonts w:ascii="宋体" w:hAnsi="宋体" w:hint="eastAsia"/>
          <w:sz w:val="24"/>
        </w:rPr>
        <w:t>本文件修改采用</w:t>
      </w:r>
      <w:r>
        <w:rPr>
          <w:rFonts w:hint="eastAsia"/>
          <w:sz w:val="24"/>
        </w:rPr>
        <w:t xml:space="preserve">OIML R 117-1 </w:t>
      </w:r>
      <w:r>
        <w:rPr>
          <w:rFonts w:hint="eastAsia"/>
          <w:sz w:val="24"/>
        </w:rPr>
        <w:t>非水液体动态测量系统</w:t>
      </w:r>
      <w:r>
        <w:rPr>
          <w:rFonts w:hint="eastAsia"/>
          <w:sz w:val="24"/>
        </w:rPr>
        <w:t xml:space="preserve"> </w:t>
      </w:r>
      <w:r>
        <w:rPr>
          <w:rFonts w:hint="eastAsia"/>
          <w:sz w:val="24"/>
        </w:rPr>
        <w:t>第一部分</w:t>
      </w:r>
      <w:r>
        <w:rPr>
          <w:rFonts w:hint="eastAsia"/>
          <w:sz w:val="24"/>
        </w:rPr>
        <w:t xml:space="preserve">: </w:t>
      </w:r>
      <w:r>
        <w:rPr>
          <w:rFonts w:hint="eastAsia"/>
          <w:sz w:val="24"/>
        </w:rPr>
        <w:t>计量与技术要求（</w:t>
      </w:r>
      <w:r>
        <w:rPr>
          <w:rFonts w:hint="eastAsia"/>
          <w:sz w:val="24"/>
        </w:rPr>
        <w:t>Dynamic measuring systems for liquids other than water  Part 1: Metrological and technical requirements</w:t>
      </w:r>
      <w:r>
        <w:rPr>
          <w:rFonts w:hint="eastAsia"/>
          <w:sz w:val="24"/>
        </w:rPr>
        <w:t>）</w:t>
      </w:r>
      <w:r>
        <w:rPr>
          <w:rFonts w:ascii="宋体" w:hAnsi="宋体" w:hint="eastAsia"/>
          <w:sz w:val="24"/>
        </w:rPr>
        <w:t>。</w:t>
      </w:r>
    </w:p>
    <w:p w14:paraId="745B6D67" w14:textId="77777777" w:rsidR="001F5DF2" w:rsidRDefault="00000000">
      <w:pPr>
        <w:spacing w:line="276" w:lineRule="auto"/>
        <w:ind w:firstLineChars="218" w:firstLine="523"/>
        <w:rPr>
          <w:rFonts w:ascii="宋体" w:hAnsi="宋体"/>
          <w:sz w:val="24"/>
        </w:rPr>
      </w:pPr>
      <w:r>
        <w:rPr>
          <w:rFonts w:ascii="宋体" w:hAnsi="宋体" w:hint="eastAsia"/>
          <w:sz w:val="24"/>
        </w:rPr>
        <w:t>本文件水平为国内先进水平。</w:t>
      </w:r>
    </w:p>
    <w:p w14:paraId="7280ECBF" w14:textId="77777777" w:rsidR="001F5DF2" w:rsidRDefault="00000000">
      <w:pPr>
        <w:numPr>
          <w:ilvl w:val="0"/>
          <w:numId w:val="1"/>
        </w:numPr>
        <w:spacing w:line="276" w:lineRule="auto"/>
        <w:rPr>
          <w:b/>
          <w:sz w:val="24"/>
        </w:rPr>
      </w:pPr>
      <w:r>
        <w:rPr>
          <w:rFonts w:hint="eastAsia"/>
          <w:b/>
          <w:sz w:val="24"/>
        </w:rPr>
        <w:t>重大分歧意见的处理经过和依据</w:t>
      </w:r>
    </w:p>
    <w:p w14:paraId="57073D9E" w14:textId="77777777" w:rsidR="001F5DF2" w:rsidRDefault="00000000">
      <w:pPr>
        <w:spacing w:line="276" w:lineRule="auto"/>
        <w:ind w:firstLineChars="200" w:firstLine="480"/>
        <w:rPr>
          <w:rFonts w:ascii="宋体" w:hAnsi="宋体"/>
          <w:bCs/>
          <w:sz w:val="24"/>
        </w:rPr>
      </w:pPr>
      <w:r>
        <w:rPr>
          <w:rFonts w:ascii="宋体" w:hAnsi="宋体" w:hint="eastAsia"/>
          <w:bCs/>
          <w:sz w:val="24"/>
        </w:rPr>
        <w:t>无</w:t>
      </w:r>
      <w:r w:rsidRPr="00C076CE">
        <w:rPr>
          <w:rFonts w:ascii="宋体" w:hAnsi="宋体" w:hint="eastAsia"/>
          <w:bCs/>
          <w:sz w:val="24"/>
        </w:rPr>
        <w:t>。除了个别名词、专业术语名称上有过争论,内容的</w:t>
      </w:r>
      <w:r>
        <w:rPr>
          <w:rFonts w:ascii="宋体" w:hAnsi="宋体" w:hint="eastAsia"/>
          <w:bCs/>
          <w:sz w:val="24"/>
        </w:rPr>
        <w:t>增加有争论，最后大家基本能够统一认识，起草过程中无重大分歧意见。</w:t>
      </w:r>
    </w:p>
    <w:p w14:paraId="4BD3B555" w14:textId="77777777" w:rsidR="001F5DF2" w:rsidRDefault="00000000">
      <w:pPr>
        <w:numPr>
          <w:ilvl w:val="0"/>
          <w:numId w:val="1"/>
        </w:numPr>
        <w:rPr>
          <w:b/>
          <w:sz w:val="24"/>
        </w:rPr>
      </w:pPr>
      <w:r>
        <w:rPr>
          <w:rFonts w:hint="eastAsia"/>
          <w:b/>
          <w:sz w:val="24"/>
        </w:rPr>
        <w:t>其他说明</w:t>
      </w:r>
    </w:p>
    <w:p w14:paraId="13E05D0A" w14:textId="77777777" w:rsidR="001F5DF2" w:rsidRDefault="00000000">
      <w:pPr>
        <w:ind w:rightChars="-10" w:right="-21" w:firstLineChars="257" w:firstLine="617"/>
        <w:rPr>
          <w:rFonts w:ascii="宋体" w:hAnsi="宋体"/>
          <w:sz w:val="24"/>
        </w:rPr>
      </w:pPr>
      <w:r>
        <w:rPr>
          <w:rFonts w:ascii="宋体" w:hAnsi="宋体" w:hint="eastAsia"/>
          <w:sz w:val="24"/>
        </w:rPr>
        <w:t xml:space="preserve">积极采用国际法制计量组织发布的最新版本的国际建议R117；在采用中应当符合国家有关法规和政策，坚持积极采用、注重实效的方针。 </w:t>
      </w:r>
    </w:p>
    <w:p w14:paraId="215E1656" w14:textId="77777777" w:rsidR="001F5DF2" w:rsidRDefault="00000000">
      <w:pPr>
        <w:numPr>
          <w:ilvl w:val="0"/>
          <w:numId w:val="1"/>
        </w:numPr>
        <w:rPr>
          <w:b/>
          <w:sz w:val="24"/>
        </w:rPr>
      </w:pPr>
      <w:r>
        <w:rPr>
          <w:rFonts w:hint="eastAsia"/>
          <w:b/>
          <w:sz w:val="24"/>
        </w:rPr>
        <w:t>宣贯的要求和措施建议（包括组织措施、技术措施、过渡办法、实施日期）</w:t>
      </w:r>
    </w:p>
    <w:p w14:paraId="318BA295" w14:textId="19BFE6ED" w:rsidR="001F5DF2" w:rsidRDefault="00000000">
      <w:pPr>
        <w:spacing w:line="276" w:lineRule="auto"/>
        <w:ind w:rightChars="-10" w:right="-21" w:firstLineChars="177" w:firstLine="425"/>
        <w:rPr>
          <w:rFonts w:ascii="宋体" w:hAnsi="宋体"/>
          <w:sz w:val="24"/>
        </w:rPr>
      </w:pPr>
      <w:r>
        <w:rPr>
          <w:rFonts w:ascii="宋体" w:hAnsi="宋体" w:hint="eastAsia"/>
          <w:sz w:val="24"/>
        </w:rPr>
        <w:t>本技术规范发布实施后，应向所有加油机生产制造企业、使用单位、检定授权技术机构发布，向所有从事加油机计量工作的相关人员推荐执行本技术规程。</w:t>
      </w:r>
      <w:r w:rsidR="00C076CE">
        <w:rPr>
          <w:rFonts w:ascii="宋体" w:hAnsi="宋体" w:hint="eastAsia"/>
          <w:sz w:val="24"/>
        </w:rPr>
        <w:t xml:space="preserve"> </w:t>
      </w:r>
    </w:p>
    <w:p w14:paraId="54E8F097" w14:textId="77777777" w:rsidR="001F5DF2" w:rsidRDefault="00000000">
      <w:pPr>
        <w:spacing w:line="276" w:lineRule="auto"/>
        <w:ind w:firstLineChars="218" w:firstLine="523"/>
        <w:rPr>
          <w:rFonts w:ascii="宋体" w:hAnsi="宋体"/>
          <w:sz w:val="24"/>
        </w:rPr>
      </w:pPr>
      <w:r>
        <w:rPr>
          <w:rFonts w:ascii="宋体" w:hAnsi="宋体" w:hint="eastAsia"/>
          <w:sz w:val="24"/>
        </w:rPr>
        <w:t>建议本技术规范批准发布6个月后实施。</w:t>
      </w:r>
      <w:r>
        <w:rPr>
          <w:rFonts w:ascii="宋体" w:hAnsi="宋体"/>
          <w:sz w:val="24"/>
        </w:rPr>
        <w:t>规程和大纲制定后，需要进行全国的培训宣</w:t>
      </w:r>
      <w:proofErr w:type="gramStart"/>
      <w:r>
        <w:rPr>
          <w:rFonts w:ascii="宋体" w:hAnsi="宋体"/>
          <w:sz w:val="24"/>
        </w:rPr>
        <w:t>贯</w:t>
      </w:r>
      <w:proofErr w:type="gramEnd"/>
      <w:r>
        <w:rPr>
          <w:rFonts w:ascii="宋体" w:hAnsi="宋体"/>
          <w:sz w:val="24"/>
        </w:rPr>
        <w:t>。</w:t>
      </w:r>
    </w:p>
    <w:p w14:paraId="0762AF1E" w14:textId="77777777" w:rsidR="001F5DF2" w:rsidRDefault="00000000">
      <w:pPr>
        <w:spacing w:line="276" w:lineRule="auto"/>
        <w:rPr>
          <w:rFonts w:ascii="宋体" w:hAnsi="宋体"/>
          <w:sz w:val="24"/>
        </w:rPr>
      </w:pPr>
      <w:r>
        <w:rPr>
          <w:rFonts w:ascii="宋体" w:hAnsi="宋体" w:hint="eastAsia"/>
          <w:b/>
          <w:sz w:val="24"/>
        </w:rPr>
        <w:t xml:space="preserve"> </w:t>
      </w:r>
    </w:p>
    <w:sectPr w:rsidR="001F5DF2">
      <w:pgSz w:w="11906" w:h="16838"/>
      <w:pgMar w:top="1134" w:right="1077" w:bottom="1077" w:left="1191" w:header="851" w:footer="624" w:gutter="0"/>
      <w:pgNumType w:start="1"/>
      <w:cols w:space="425"/>
      <w:docGrid w:type="linesAndChar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B784" w14:textId="77777777" w:rsidR="00340A7F" w:rsidRDefault="00340A7F">
      <w:r>
        <w:separator/>
      </w:r>
    </w:p>
  </w:endnote>
  <w:endnote w:type="continuationSeparator" w:id="0">
    <w:p w14:paraId="2C9796F1" w14:textId="77777777" w:rsidR="00340A7F" w:rsidRDefault="0034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6300" w14:textId="77777777" w:rsidR="001F5DF2"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5</w:t>
    </w:r>
    <w:r>
      <w:rPr>
        <w:rStyle w:val="ab"/>
      </w:rPr>
      <w:fldChar w:fldCharType="end"/>
    </w:r>
  </w:p>
  <w:p w14:paraId="7488C572" w14:textId="77777777" w:rsidR="001F5DF2" w:rsidRDefault="001F5DF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96173" w14:textId="77777777" w:rsidR="001F5DF2" w:rsidRDefault="001F5DF2">
    <w:pPr>
      <w:pStyle w:val="a7"/>
      <w:jc w:val="center"/>
    </w:pPr>
  </w:p>
  <w:p w14:paraId="3FEC68B8" w14:textId="77777777" w:rsidR="001F5DF2" w:rsidRDefault="00000000">
    <w:pPr>
      <w:pStyle w:val="a7"/>
      <w:jc w:val="center"/>
    </w:pPr>
    <w:r>
      <w:rPr>
        <w:noProof/>
        <w:lang w:val="en-US"/>
      </w:rPr>
      <mc:AlternateContent>
        <mc:Choice Requires="wps">
          <w:drawing>
            <wp:anchor distT="0" distB="0" distL="114300" distR="114300" simplePos="0" relativeHeight="251659264" behindDoc="0" locked="0" layoutInCell="1" allowOverlap="1" wp14:anchorId="1606E751" wp14:editId="21E4DA8E">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71814" w14:textId="77777777" w:rsidR="001F5DF2" w:rsidRDefault="00000000">
                          <w:pPr>
                            <w:pStyle w:val="a7"/>
                            <w:jc w:val="center"/>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06E751"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F71814" w14:textId="77777777" w:rsidR="001F5DF2" w:rsidRDefault="00000000">
                    <w:pPr>
                      <w:pStyle w:val="a7"/>
                      <w:jc w:val="center"/>
                    </w:pPr>
                    <w:r>
                      <w:fldChar w:fldCharType="begin"/>
                    </w:r>
                    <w:r>
                      <w:instrText xml:space="preserve"> PAGE   \* MERGEFORMAT </w:instrText>
                    </w:r>
                    <w:r>
                      <w:fldChar w:fldCharType="separate"/>
                    </w:r>
                    <w:r>
                      <w:t>8</w:t>
                    </w:r>
                    <w:r>
                      <w:fldChar w:fldCharType="end"/>
                    </w:r>
                  </w:p>
                </w:txbxContent>
              </v:textbox>
              <w10:wrap anchorx="margin"/>
            </v:shape>
          </w:pict>
        </mc:Fallback>
      </mc:AlternateContent>
    </w:r>
  </w:p>
  <w:p w14:paraId="6B7A42EB" w14:textId="77777777" w:rsidR="001F5DF2" w:rsidRDefault="001F5DF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B482" w14:textId="77777777" w:rsidR="001F5DF2" w:rsidRDefault="00000000">
    <w:pPr>
      <w:pStyle w:val="a7"/>
      <w:jc w:val="center"/>
    </w:pPr>
    <w:r>
      <w:rPr>
        <w:noProof/>
        <w:lang w:val="en-US"/>
      </w:rPr>
      <mc:AlternateContent>
        <mc:Choice Requires="wps">
          <w:drawing>
            <wp:anchor distT="0" distB="0" distL="114300" distR="114300" simplePos="0" relativeHeight="251660288" behindDoc="0" locked="0" layoutInCell="1" allowOverlap="1" wp14:anchorId="63A1420A" wp14:editId="3C6F6C46">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98FD3" w14:textId="77777777" w:rsidR="001F5DF2" w:rsidRDefault="00000000">
                          <w:pPr>
                            <w:pStyle w:val="a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A1420A" id="_x0000_t202" coordsize="21600,21600" o:spt="202" path="m,l,21600r21600,l21600,xe">
              <v:stroke joinstyle="miter"/>
              <v:path gradientshapeok="t" o:connecttype="rect"/>
            </v:shapetype>
            <v:shape id="文本框 2"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9998FD3" w14:textId="77777777" w:rsidR="001F5DF2" w:rsidRDefault="00000000">
                    <w:pPr>
                      <w:pStyle w:val="a7"/>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05DE7" w14:textId="77777777" w:rsidR="00340A7F" w:rsidRDefault="00340A7F">
      <w:r>
        <w:separator/>
      </w:r>
    </w:p>
  </w:footnote>
  <w:footnote w:type="continuationSeparator" w:id="0">
    <w:p w14:paraId="67207B87" w14:textId="77777777" w:rsidR="00340A7F" w:rsidRDefault="00340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5D83" w14:textId="77777777" w:rsidR="001F5DF2" w:rsidRDefault="001F5DF2">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9B5"/>
    <w:multiLevelType w:val="multilevel"/>
    <w:tmpl w:val="110E79B5"/>
    <w:lvl w:ilvl="0">
      <w:start w:val="1"/>
      <w:numFmt w:val="decimal"/>
      <w:lvlText w:val="%1"/>
      <w:lvlJc w:val="right"/>
      <w:pPr>
        <w:tabs>
          <w:tab w:val="left" w:pos="227"/>
        </w:tabs>
        <w:ind w:left="170" w:hanging="170"/>
      </w:pPr>
      <w:rPr>
        <w:rFonts w:hint="eastAsia"/>
        <w:b/>
      </w:rPr>
    </w:lvl>
    <w:lvl w:ilvl="1">
      <w:start w:val="1"/>
      <w:numFmt w:val="lowerLetter"/>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4A0E31"/>
    <w:multiLevelType w:val="multilevel"/>
    <w:tmpl w:val="1F4A0E31"/>
    <w:lvl w:ilvl="0">
      <w:start w:val="1"/>
      <w:numFmt w:val="decimal"/>
      <w:lvlText w:val="%1."/>
      <w:lvlJc w:val="left"/>
      <w:pPr>
        <w:tabs>
          <w:tab w:val="left" w:pos="720"/>
        </w:tabs>
        <w:ind w:left="720" w:hanging="36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 w15:restartNumberingAfterBreak="0">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3" w15:restartNumberingAfterBreak="0">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98011745">
    <w:abstractNumId w:val="3"/>
  </w:num>
  <w:num w:numId="2" w16cid:durableId="615403446">
    <w:abstractNumId w:val="2"/>
  </w:num>
  <w:num w:numId="3" w16cid:durableId="435098580">
    <w:abstractNumId w:val="1"/>
  </w:num>
  <w:num w:numId="4" w16cid:durableId="1805852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dkMmQ2ZWI5NDA3Y2Y1ZTBkZDFkNjEyZjI5MGM0MTcifQ=="/>
  </w:docVars>
  <w:rsids>
    <w:rsidRoot w:val="003E7D71"/>
    <w:rsid w:val="000162CE"/>
    <w:rsid w:val="00021B5D"/>
    <w:rsid w:val="000331F5"/>
    <w:rsid w:val="000333B2"/>
    <w:rsid w:val="00046CAC"/>
    <w:rsid w:val="0005676B"/>
    <w:rsid w:val="00062681"/>
    <w:rsid w:val="00064875"/>
    <w:rsid w:val="000657F0"/>
    <w:rsid w:val="00077967"/>
    <w:rsid w:val="000A0880"/>
    <w:rsid w:val="000B7586"/>
    <w:rsid w:val="000E1A46"/>
    <w:rsid w:val="000E1EEE"/>
    <w:rsid w:val="000E3BD3"/>
    <w:rsid w:val="000E5A0A"/>
    <w:rsid w:val="000F0900"/>
    <w:rsid w:val="000F31C7"/>
    <w:rsid w:val="00116548"/>
    <w:rsid w:val="00127671"/>
    <w:rsid w:val="001333D1"/>
    <w:rsid w:val="001430C5"/>
    <w:rsid w:val="00161DD9"/>
    <w:rsid w:val="001661E9"/>
    <w:rsid w:val="00177A2E"/>
    <w:rsid w:val="00187CE7"/>
    <w:rsid w:val="001A7761"/>
    <w:rsid w:val="001B30C5"/>
    <w:rsid w:val="001B6CFF"/>
    <w:rsid w:val="001B7CD4"/>
    <w:rsid w:val="001C1147"/>
    <w:rsid w:val="001C1771"/>
    <w:rsid w:val="001D6386"/>
    <w:rsid w:val="001D66B5"/>
    <w:rsid w:val="001E30EC"/>
    <w:rsid w:val="001F5DF2"/>
    <w:rsid w:val="001F74F3"/>
    <w:rsid w:val="002016B8"/>
    <w:rsid w:val="002102E4"/>
    <w:rsid w:val="00211C45"/>
    <w:rsid w:val="00227890"/>
    <w:rsid w:val="00245359"/>
    <w:rsid w:val="00253D05"/>
    <w:rsid w:val="00256704"/>
    <w:rsid w:val="0026252E"/>
    <w:rsid w:val="00264428"/>
    <w:rsid w:val="00266745"/>
    <w:rsid w:val="00266D24"/>
    <w:rsid w:val="002702D6"/>
    <w:rsid w:val="00270572"/>
    <w:rsid w:val="0027195A"/>
    <w:rsid w:val="002735EF"/>
    <w:rsid w:val="00274DB5"/>
    <w:rsid w:val="00290D67"/>
    <w:rsid w:val="00291FEF"/>
    <w:rsid w:val="002B1D7E"/>
    <w:rsid w:val="002B23BF"/>
    <w:rsid w:val="002B2EEC"/>
    <w:rsid w:val="002B62A5"/>
    <w:rsid w:val="002C0594"/>
    <w:rsid w:val="002D6B27"/>
    <w:rsid w:val="002D6E6B"/>
    <w:rsid w:val="002E4098"/>
    <w:rsid w:val="002E4B9D"/>
    <w:rsid w:val="002F1B0E"/>
    <w:rsid w:val="002F4312"/>
    <w:rsid w:val="002F5294"/>
    <w:rsid w:val="00302243"/>
    <w:rsid w:val="003047F0"/>
    <w:rsid w:val="0030688B"/>
    <w:rsid w:val="00311438"/>
    <w:rsid w:val="00311F23"/>
    <w:rsid w:val="00340A7F"/>
    <w:rsid w:val="00340ED3"/>
    <w:rsid w:val="00341F80"/>
    <w:rsid w:val="00346FAA"/>
    <w:rsid w:val="00362E62"/>
    <w:rsid w:val="0037089D"/>
    <w:rsid w:val="0037439D"/>
    <w:rsid w:val="00374404"/>
    <w:rsid w:val="003809DC"/>
    <w:rsid w:val="0038642D"/>
    <w:rsid w:val="00392F06"/>
    <w:rsid w:val="00396A5C"/>
    <w:rsid w:val="003A087D"/>
    <w:rsid w:val="003A163B"/>
    <w:rsid w:val="003A28FC"/>
    <w:rsid w:val="003A2C63"/>
    <w:rsid w:val="003A39EE"/>
    <w:rsid w:val="003A5C27"/>
    <w:rsid w:val="003B072D"/>
    <w:rsid w:val="003B2147"/>
    <w:rsid w:val="003B2859"/>
    <w:rsid w:val="003C5D94"/>
    <w:rsid w:val="003C66E8"/>
    <w:rsid w:val="003E7D71"/>
    <w:rsid w:val="003F0931"/>
    <w:rsid w:val="003F0A4D"/>
    <w:rsid w:val="003F0BC9"/>
    <w:rsid w:val="003F128B"/>
    <w:rsid w:val="003F2860"/>
    <w:rsid w:val="004052E4"/>
    <w:rsid w:val="00406862"/>
    <w:rsid w:val="00406BE2"/>
    <w:rsid w:val="00426D46"/>
    <w:rsid w:val="0043229F"/>
    <w:rsid w:val="004328C5"/>
    <w:rsid w:val="0043335E"/>
    <w:rsid w:val="00446346"/>
    <w:rsid w:val="004509B7"/>
    <w:rsid w:val="00450F88"/>
    <w:rsid w:val="004668D6"/>
    <w:rsid w:val="00473DF2"/>
    <w:rsid w:val="004822DC"/>
    <w:rsid w:val="004845C4"/>
    <w:rsid w:val="0049302E"/>
    <w:rsid w:val="004A3326"/>
    <w:rsid w:val="004A39DB"/>
    <w:rsid w:val="004A7902"/>
    <w:rsid w:val="004C5739"/>
    <w:rsid w:val="004D57F5"/>
    <w:rsid w:val="004F46FC"/>
    <w:rsid w:val="0050524F"/>
    <w:rsid w:val="005059EF"/>
    <w:rsid w:val="00525568"/>
    <w:rsid w:val="0053700C"/>
    <w:rsid w:val="0054529A"/>
    <w:rsid w:val="00552180"/>
    <w:rsid w:val="00563EE0"/>
    <w:rsid w:val="0056457D"/>
    <w:rsid w:val="00577756"/>
    <w:rsid w:val="0058522A"/>
    <w:rsid w:val="005B013A"/>
    <w:rsid w:val="005B7257"/>
    <w:rsid w:val="005C7072"/>
    <w:rsid w:val="005D12C2"/>
    <w:rsid w:val="005D79D5"/>
    <w:rsid w:val="005E0A3E"/>
    <w:rsid w:val="005E234D"/>
    <w:rsid w:val="005E6AE8"/>
    <w:rsid w:val="005F223D"/>
    <w:rsid w:val="005F2762"/>
    <w:rsid w:val="006044DF"/>
    <w:rsid w:val="00607333"/>
    <w:rsid w:val="006143D7"/>
    <w:rsid w:val="00650C14"/>
    <w:rsid w:val="0066425C"/>
    <w:rsid w:val="006819F8"/>
    <w:rsid w:val="00684D26"/>
    <w:rsid w:val="00697A4D"/>
    <w:rsid w:val="006A100F"/>
    <w:rsid w:val="006A6AB2"/>
    <w:rsid w:val="006A7D9E"/>
    <w:rsid w:val="006B1F9C"/>
    <w:rsid w:val="006B50C8"/>
    <w:rsid w:val="006B6A2B"/>
    <w:rsid w:val="006B7685"/>
    <w:rsid w:val="006C325D"/>
    <w:rsid w:val="006C49D6"/>
    <w:rsid w:val="006D0AF2"/>
    <w:rsid w:val="006D55DC"/>
    <w:rsid w:val="006E2EB8"/>
    <w:rsid w:val="006E5186"/>
    <w:rsid w:val="006F00FC"/>
    <w:rsid w:val="006F10C6"/>
    <w:rsid w:val="00705304"/>
    <w:rsid w:val="00705446"/>
    <w:rsid w:val="0071221E"/>
    <w:rsid w:val="00720061"/>
    <w:rsid w:val="00722F49"/>
    <w:rsid w:val="00726A23"/>
    <w:rsid w:val="0073221D"/>
    <w:rsid w:val="00734728"/>
    <w:rsid w:val="0073567D"/>
    <w:rsid w:val="00743A85"/>
    <w:rsid w:val="007458DE"/>
    <w:rsid w:val="00755D03"/>
    <w:rsid w:val="00756682"/>
    <w:rsid w:val="0077447A"/>
    <w:rsid w:val="007772F2"/>
    <w:rsid w:val="00781D19"/>
    <w:rsid w:val="007B1B54"/>
    <w:rsid w:val="007C007D"/>
    <w:rsid w:val="007D217E"/>
    <w:rsid w:val="007D45CE"/>
    <w:rsid w:val="007D6779"/>
    <w:rsid w:val="00806125"/>
    <w:rsid w:val="00820F24"/>
    <w:rsid w:val="00822C59"/>
    <w:rsid w:val="00830D12"/>
    <w:rsid w:val="00831D85"/>
    <w:rsid w:val="008320BA"/>
    <w:rsid w:val="0083378E"/>
    <w:rsid w:val="008410CD"/>
    <w:rsid w:val="00841D6C"/>
    <w:rsid w:val="00842661"/>
    <w:rsid w:val="00843CE1"/>
    <w:rsid w:val="00852205"/>
    <w:rsid w:val="008530B8"/>
    <w:rsid w:val="00866B09"/>
    <w:rsid w:val="0087177E"/>
    <w:rsid w:val="008723B9"/>
    <w:rsid w:val="00873F5E"/>
    <w:rsid w:val="008857CD"/>
    <w:rsid w:val="008868AB"/>
    <w:rsid w:val="00886D2A"/>
    <w:rsid w:val="008A2202"/>
    <w:rsid w:val="008A4E3A"/>
    <w:rsid w:val="008B6BFB"/>
    <w:rsid w:val="008B6ECA"/>
    <w:rsid w:val="008D3880"/>
    <w:rsid w:val="008D6BAD"/>
    <w:rsid w:val="008D6FC7"/>
    <w:rsid w:val="008E0CD5"/>
    <w:rsid w:val="008E540C"/>
    <w:rsid w:val="008F3B17"/>
    <w:rsid w:val="00914280"/>
    <w:rsid w:val="00927EE2"/>
    <w:rsid w:val="0093496E"/>
    <w:rsid w:val="0094315E"/>
    <w:rsid w:val="00943FCF"/>
    <w:rsid w:val="00955983"/>
    <w:rsid w:val="0096126A"/>
    <w:rsid w:val="00965E93"/>
    <w:rsid w:val="009672EA"/>
    <w:rsid w:val="00974E6E"/>
    <w:rsid w:val="00975884"/>
    <w:rsid w:val="00975C90"/>
    <w:rsid w:val="009762AD"/>
    <w:rsid w:val="0098018E"/>
    <w:rsid w:val="009804CA"/>
    <w:rsid w:val="0098281E"/>
    <w:rsid w:val="00982D4E"/>
    <w:rsid w:val="009B15D2"/>
    <w:rsid w:val="009C5BE3"/>
    <w:rsid w:val="009C618D"/>
    <w:rsid w:val="009C668E"/>
    <w:rsid w:val="009C7EC3"/>
    <w:rsid w:val="009D17B6"/>
    <w:rsid w:val="009E08EA"/>
    <w:rsid w:val="009E3354"/>
    <w:rsid w:val="009F06B8"/>
    <w:rsid w:val="00A03401"/>
    <w:rsid w:val="00A15A6A"/>
    <w:rsid w:val="00A2122E"/>
    <w:rsid w:val="00A2348F"/>
    <w:rsid w:val="00A46E63"/>
    <w:rsid w:val="00A502ED"/>
    <w:rsid w:val="00A570F3"/>
    <w:rsid w:val="00A579CE"/>
    <w:rsid w:val="00A6053F"/>
    <w:rsid w:val="00A6508B"/>
    <w:rsid w:val="00A66C1E"/>
    <w:rsid w:val="00A67BBB"/>
    <w:rsid w:val="00A71C73"/>
    <w:rsid w:val="00A75277"/>
    <w:rsid w:val="00A765E7"/>
    <w:rsid w:val="00A84EAB"/>
    <w:rsid w:val="00A868B4"/>
    <w:rsid w:val="00A90B59"/>
    <w:rsid w:val="00A91D80"/>
    <w:rsid w:val="00A963BC"/>
    <w:rsid w:val="00AA3699"/>
    <w:rsid w:val="00AB1754"/>
    <w:rsid w:val="00AB38E0"/>
    <w:rsid w:val="00AB5FEC"/>
    <w:rsid w:val="00AB7F0D"/>
    <w:rsid w:val="00AD18C9"/>
    <w:rsid w:val="00AD3D69"/>
    <w:rsid w:val="00AE3745"/>
    <w:rsid w:val="00AE6342"/>
    <w:rsid w:val="00B00C8D"/>
    <w:rsid w:val="00B065DB"/>
    <w:rsid w:val="00B14BBD"/>
    <w:rsid w:val="00B24EC3"/>
    <w:rsid w:val="00B318BB"/>
    <w:rsid w:val="00B361FE"/>
    <w:rsid w:val="00B420C2"/>
    <w:rsid w:val="00B64D78"/>
    <w:rsid w:val="00B6521C"/>
    <w:rsid w:val="00B66E1D"/>
    <w:rsid w:val="00B82800"/>
    <w:rsid w:val="00B84857"/>
    <w:rsid w:val="00B9476A"/>
    <w:rsid w:val="00B94AF5"/>
    <w:rsid w:val="00B954F2"/>
    <w:rsid w:val="00BA42A7"/>
    <w:rsid w:val="00BA4E77"/>
    <w:rsid w:val="00BB18C8"/>
    <w:rsid w:val="00BB1D59"/>
    <w:rsid w:val="00BB6C3A"/>
    <w:rsid w:val="00BC2AC2"/>
    <w:rsid w:val="00BC2AEE"/>
    <w:rsid w:val="00BC38DA"/>
    <w:rsid w:val="00BC7760"/>
    <w:rsid w:val="00BD79C9"/>
    <w:rsid w:val="00BF35EB"/>
    <w:rsid w:val="00BF60F5"/>
    <w:rsid w:val="00C0241B"/>
    <w:rsid w:val="00C045BD"/>
    <w:rsid w:val="00C04AA8"/>
    <w:rsid w:val="00C05FE4"/>
    <w:rsid w:val="00C063FC"/>
    <w:rsid w:val="00C076CE"/>
    <w:rsid w:val="00C146D4"/>
    <w:rsid w:val="00C23C14"/>
    <w:rsid w:val="00C6083F"/>
    <w:rsid w:val="00CA6793"/>
    <w:rsid w:val="00CB13E3"/>
    <w:rsid w:val="00CB3744"/>
    <w:rsid w:val="00CC1A3A"/>
    <w:rsid w:val="00CD192D"/>
    <w:rsid w:val="00CF1801"/>
    <w:rsid w:val="00CF2943"/>
    <w:rsid w:val="00D03D6A"/>
    <w:rsid w:val="00D137C0"/>
    <w:rsid w:val="00D14139"/>
    <w:rsid w:val="00D165D1"/>
    <w:rsid w:val="00D2299D"/>
    <w:rsid w:val="00D22EF2"/>
    <w:rsid w:val="00D24F3E"/>
    <w:rsid w:val="00D27656"/>
    <w:rsid w:val="00D374DF"/>
    <w:rsid w:val="00D4152D"/>
    <w:rsid w:val="00D467D0"/>
    <w:rsid w:val="00D535DA"/>
    <w:rsid w:val="00D6445A"/>
    <w:rsid w:val="00D7135B"/>
    <w:rsid w:val="00D73F65"/>
    <w:rsid w:val="00D75087"/>
    <w:rsid w:val="00D832B3"/>
    <w:rsid w:val="00D906C9"/>
    <w:rsid w:val="00D90B35"/>
    <w:rsid w:val="00D9263F"/>
    <w:rsid w:val="00D95F4B"/>
    <w:rsid w:val="00DB0F54"/>
    <w:rsid w:val="00DB2121"/>
    <w:rsid w:val="00DB3578"/>
    <w:rsid w:val="00DB3AE7"/>
    <w:rsid w:val="00DC0721"/>
    <w:rsid w:val="00DC2362"/>
    <w:rsid w:val="00DD2A99"/>
    <w:rsid w:val="00DE3311"/>
    <w:rsid w:val="00DE744E"/>
    <w:rsid w:val="00DE7E4A"/>
    <w:rsid w:val="00DF0392"/>
    <w:rsid w:val="00E07E86"/>
    <w:rsid w:val="00E10021"/>
    <w:rsid w:val="00E13BF4"/>
    <w:rsid w:val="00E15371"/>
    <w:rsid w:val="00E1590A"/>
    <w:rsid w:val="00E20856"/>
    <w:rsid w:val="00E27AB2"/>
    <w:rsid w:val="00E33B88"/>
    <w:rsid w:val="00E37E7F"/>
    <w:rsid w:val="00E46472"/>
    <w:rsid w:val="00E46735"/>
    <w:rsid w:val="00E47258"/>
    <w:rsid w:val="00E47F3D"/>
    <w:rsid w:val="00E50354"/>
    <w:rsid w:val="00E74C2B"/>
    <w:rsid w:val="00E82D33"/>
    <w:rsid w:val="00E8673B"/>
    <w:rsid w:val="00E87AE4"/>
    <w:rsid w:val="00E925A9"/>
    <w:rsid w:val="00EA0CC0"/>
    <w:rsid w:val="00EA48BC"/>
    <w:rsid w:val="00EA558F"/>
    <w:rsid w:val="00EC1FB4"/>
    <w:rsid w:val="00ED15BC"/>
    <w:rsid w:val="00ED2DC6"/>
    <w:rsid w:val="00ED4618"/>
    <w:rsid w:val="00EE2FC4"/>
    <w:rsid w:val="00EE66BD"/>
    <w:rsid w:val="00EE6D8C"/>
    <w:rsid w:val="00EF01C9"/>
    <w:rsid w:val="00EF125F"/>
    <w:rsid w:val="00EF45E9"/>
    <w:rsid w:val="00F10522"/>
    <w:rsid w:val="00F147BD"/>
    <w:rsid w:val="00F16656"/>
    <w:rsid w:val="00F2226A"/>
    <w:rsid w:val="00F26CE2"/>
    <w:rsid w:val="00F30ECE"/>
    <w:rsid w:val="00F31045"/>
    <w:rsid w:val="00F427DC"/>
    <w:rsid w:val="00F501E6"/>
    <w:rsid w:val="00F557EC"/>
    <w:rsid w:val="00F644E8"/>
    <w:rsid w:val="00F70794"/>
    <w:rsid w:val="00F719DE"/>
    <w:rsid w:val="00F71E1B"/>
    <w:rsid w:val="00F724A4"/>
    <w:rsid w:val="00F76C82"/>
    <w:rsid w:val="00F81C64"/>
    <w:rsid w:val="00F841C5"/>
    <w:rsid w:val="00FA5412"/>
    <w:rsid w:val="00FB68D9"/>
    <w:rsid w:val="00FC69FD"/>
    <w:rsid w:val="00FD6AE8"/>
    <w:rsid w:val="00FE18B0"/>
    <w:rsid w:val="00FE79C3"/>
    <w:rsid w:val="01F50B84"/>
    <w:rsid w:val="023B0973"/>
    <w:rsid w:val="03B77B85"/>
    <w:rsid w:val="12B62A96"/>
    <w:rsid w:val="13453BAE"/>
    <w:rsid w:val="14583C74"/>
    <w:rsid w:val="1569716B"/>
    <w:rsid w:val="17F22621"/>
    <w:rsid w:val="23EA67B1"/>
    <w:rsid w:val="2867460C"/>
    <w:rsid w:val="387737AC"/>
    <w:rsid w:val="39850228"/>
    <w:rsid w:val="5DE220DA"/>
    <w:rsid w:val="6885580A"/>
    <w:rsid w:val="710B1DDB"/>
    <w:rsid w:val="713C4E2B"/>
    <w:rsid w:val="75B715EA"/>
    <w:rsid w:val="79123F28"/>
    <w:rsid w:val="791D41D7"/>
    <w:rsid w:val="7A903C7E"/>
    <w:rsid w:val="7C174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8F2E1"/>
  <w15:docId w15:val="{5117DECB-8C65-4185-A849-EA894A8E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lang w:val="zh-CN"/>
    </w:rPr>
  </w:style>
  <w:style w:type="paragraph" w:styleId="a5">
    <w:name w:val="Body Text Indent"/>
    <w:basedOn w:val="a"/>
    <w:pPr>
      <w:ind w:firstLineChars="200" w:firstLine="480"/>
    </w:pPr>
    <w:rPr>
      <w:rFonts w:ascii="黑体" w:eastAsia="黑体"/>
      <w:sz w:val="24"/>
    </w:rPr>
  </w:style>
  <w:style w:type="paragraph" w:styleId="a6">
    <w:name w:val="Date"/>
    <w:basedOn w:val="a"/>
    <w:next w:val="a"/>
    <w:pPr>
      <w:ind w:leftChars="2500" w:left="100"/>
    </w:pPr>
    <w:rPr>
      <w:rFonts w:ascii="黑体" w:eastAsia="黑体"/>
      <w:sz w:val="24"/>
    </w:rPr>
  </w:style>
  <w:style w:type="paragraph" w:styleId="20">
    <w:name w:val="Body Text Indent 2"/>
    <w:basedOn w:val="a"/>
    <w:link w:val="21"/>
    <w:pPr>
      <w:spacing w:after="120" w:line="480" w:lineRule="auto"/>
      <w:ind w:leftChars="200" w:left="420"/>
    </w:pPr>
  </w:style>
  <w:style w:type="paragraph" w:styleId="a7">
    <w:name w:val="footer"/>
    <w:basedOn w:val="a"/>
    <w:link w:val="a8"/>
    <w:uiPriority w:val="99"/>
    <w:pPr>
      <w:tabs>
        <w:tab w:val="center" w:pos="4153"/>
        <w:tab w:val="right" w:pos="8306"/>
      </w:tabs>
      <w:snapToGrid w:val="0"/>
      <w:jc w:val="left"/>
    </w:pPr>
    <w:rPr>
      <w:sz w:val="18"/>
      <w:szCs w:val="18"/>
      <w:lang w:val="zh-CN"/>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lang w:val="zh-CN"/>
    </w:rPr>
  </w:style>
  <w:style w:type="character" w:styleId="ab">
    <w:name w:val="page number"/>
    <w:basedOn w:val="a0"/>
    <w:qFormat/>
  </w:style>
  <w:style w:type="character" w:styleId="ac">
    <w:name w:val="line number"/>
    <w:basedOn w:val="a0"/>
  </w:style>
  <w:style w:type="character" w:customStyle="1" w:styleId="aa">
    <w:name w:val="页眉 字符"/>
    <w:link w:val="a9"/>
    <w:rPr>
      <w:kern w:val="2"/>
      <w:sz w:val="18"/>
      <w:szCs w:val="18"/>
    </w:rPr>
  </w:style>
  <w:style w:type="character" w:customStyle="1" w:styleId="a8">
    <w:name w:val="页脚 字符"/>
    <w:link w:val="a7"/>
    <w:uiPriority w:val="99"/>
    <w:rPr>
      <w:kern w:val="2"/>
      <w:sz w:val="18"/>
      <w:szCs w:val="18"/>
    </w:rPr>
  </w:style>
  <w:style w:type="character" w:customStyle="1" w:styleId="a4">
    <w:name w:val="正文文本 字符"/>
    <w:link w:val="a3"/>
    <w:rPr>
      <w:kern w:val="2"/>
      <w:sz w:val="21"/>
      <w:szCs w:val="24"/>
    </w:rPr>
  </w:style>
  <w:style w:type="paragraph" w:customStyle="1" w:styleId="CharChar">
    <w:name w:val="Char Char"/>
    <w:basedOn w:val="a"/>
    <w:pPr>
      <w:widowControl/>
      <w:spacing w:after="160" w:line="240" w:lineRule="exact"/>
      <w:jc w:val="left"/>
    </w:pPr>
    <w:rPr>
      <w:rFonts w:ascii="Verdana" w:hAnsi="Verdana"/>
      <w:kern w:val="0"/>
      <w:sz w:val="20"/>
      <w:szCs w:val="20"/>
      <w:lang w:eastAsia="en-US"/>
    </w:rPr>
  </w:style>
  <w:style w:type="paragraph" w:styleId="ad">
    <w:name w:val="List Paragraph"/>
    <w:basedOn w:val="a"/>
    <w:uiPriority w:val="34"/>
    <w:qFormat/>
    <w:pPr>
      <w:ind w:firstLineChars="200" w:firstLine="420"/>
    </w:pPr>
  </w:style>
  <w:style w:type="paragraph" w:customStyle="1" w:styleId="CharChar1CharCharCharCharCharCharChar">
    <w:name w:val="Char Char1 Char Char Char Char Char Char Char"/>
    <w:basedOn w:val="a"/>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804</Words>
  <Characters>4589</Characters>
  <Application>Microsoft Office Word</Application>
  <DocSecurity>0</DocSecurity>
  <Lines>38</Lines>
  <Paragraphs>10</Paragraphs>
  <ScaleCrop>false</ScaleCrop>
  <Company>SIMT</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youtao yang</cp:lastModifiedBy>
  <cp:revision>57</cp:revision>
  <cp:lastPrinted>2015-03-11T06:23:00Z</cp:lastPrinted>
  <dcterms:created xsi:type="dcterms:W3CDTF">2020-01-08T08:18:00Z</dcterms:created>
  <dcterms:modified xsi:type="dcterms:W3CDTF">2023-10-28T13:26:00Z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60A76E28319C473D86E9C50CE9A56A99_13</vt:lpwstr>
  </property>
</Properties>
</file>