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5" w:line="170" w:lineRule="exact"/>
        <w:rPr>
          <w:rFonts w:hint="eastAsia"/>
          <w:sz w:val="17"/>
          <w:szCs w:val="17"/>
          <w:lang w:eastAsia="zh-CN"/>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pStyle w:val="2"/>
        <w:spacing w:line="541" w:lineRule="exact"/>
        <w:ind w:right="951"/>
        <w:jc w:val="center"/>
        <w:rPr>
          <w:lang w:eastAsia="zh-CN"/>
        </w:rPr>
      </w:pPr>
      <w:r>
        <w:rPr>
          <w:lang w:eastAsia="zh-CN"/>
        </w:rPr>
        <w:t>《</w:t>
      </w:r>
      <w:r>
        <w:rPr>
          <w:rFonts w:hint="eastAsia"/>
          <w:lang w:eastAsia="zh-CN"/>
        </w:rPr>
        <w:t>散目标式视觉测量系统</w:t>
      </w:r>
      <w:r>
        <w:rPr>
          <w:lang w:eastAsia="zh-CN"/>
        </w:rPr>
        <w:t>校准规范》</w:t>
      </w:r>
    </w:p>
    <w:p>
      <w:pPr>
        <w:spacing w:before="1" w:line="130" w:lineRule="exact"/>
        <w:rPr>
          <w:sz w:val="13"/>
          <w:szCs w:val="13"/>
          <w:lang w:eastAsia="zh-CN"/>
        </w:rPr>
      </w:pPr>
    </w:p>
    <w:p>
      <w:pPr>
        <w:ind w:left="2"/>
        <w:jc w:val="center"/>
        <w:rPr>
          <w:rFonts w:ascii="宋体" w:hAnsi="宋体" w:eastAsia="宋体" w:cs="宋体"/>
          <w:sz w:val="28"/>
          <w:szCs w:val="28"/>
          <w:lang w:eastAsia="zh-CN"/>
        </w:rPr>
      </w:pPr>
      <w:r>
        <w:rPr>
          <w:rFonts w:ascii="宋体" w:hAnsi="宋体" w:eastAsia="宋体" w:cs="宋体"/>
          <w:spacing w:val="4"/>
          <w:sz w:val="28"/>
          <w:szCs w:val="28"/>
          <w:lang w:eastAsia="zh-CN"/>
        </w:rPr>
        <w:t>（征</w:t>
      </w:r>
      <w:r>
        <w:rPr>
          <w:rFonts w:ascii="宋体" w:hAnsi="宋体" w:eastAsia="宋体" w:cs="宋体"/>
          <w:sz w:val="28"/>
          <w:szCs w:val="28"/>
          <w:lang w:eastAsia="zh-CN"/>
        </w:rPr>
        <w:t>求</w:t>
      </w:r>
      <w:r>
        <w:rPr>
          <w:rFonts w:ascii="宋体" w:hAnsi="宋体" w:eastAsia="宋体" w:cs="宋体"/>
          <w:spacing w:val="4"/>
          <w:sz w:val="28"/>
          <w:szCs w:val="28"/>
          <w:lang w:eastAsia="zh-CN"/>
        </w:rPr>
        <w:t>意</w:t>
      </w:r>
      <w:r>
        <w:rPr>
          <w:rFonts w:ascii="宋体" w:hAnsi="宋体" w:eastAsia="宋体" w:cs="宋体"/>
          <w:sz w:val="28"/>
          <w:szCs w:val="28"/>
          <w:lang w:eastAsia="zh-CN"/>
        </w:rPr>
        <w:t>见</w:t>
      </w:r>
      <w:r>
        <w:rPr>
          <w:rFonts w:ascii="宋体" w:hAnsi="宋体" w:eastAsia="宋体" w:cs="宋体"/>
          <w:spacing w:val="4"/>
          <w:sz w:val="28"/>
          <w:szCs w:val="28"/>
          <w:lang w:eastAsia="zh-CN"/>
        </w:rPr>
        <w:t>稿</w:t>
      </w:r>
      <w:r>
        <w:rPr>
          <w:rFonts w:ascii="宋体" w:hAnsi="宋体" w:eastAsia="宋体" w:cs="宋体"/>
          <w:sz w:val="28"/>
          <w:szCs w:val="28"/>
          <w:lang w:eastAsia="zh-CN"/>
        </w:rPr>
        <w:t>）</w:t>
      </w: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before="4" w:line="200" w:lineRule="exact"/>
        <w:rPr>
          <w:sz w:val="20"/>
          <w:szCs w:val="20"/>
          <w:lang w:eastAsia="zh-CN"/>
        </w:rPr>
      </w:pPr>
    </w:p>
    <w:p>
      <w:pPr>
        <w:ind w:left="953" w:right="949"/>
        <w:jc w:val="center"/>
        <w:rPr>
          <w:rFonts w:ascii="宋体" w:hAnsi="宋体" w:eastAsia="宋体" w:cs="宋体"/>
          <w:sz w:val="44"/>
          <w:szCs w:val="44"/>
          <w:lang w:eastAsia="zh-CN"/>
        </w:rPr>
      </w:pPr>
      <w:r>
        <w:rPr>
          <w:rFonts w:ascii="宋体" w:hAnsi="宋体" w:eastAsia="宋体" w:cs="宋体"/>
          <w:sz w:val="44"/>
          <w:szCs w:val="44"/>
          <w:lang w:eastAsia="zh-CN"/>
        </w:rPr>
        <w:t>编制说明</w:t>
      </w: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line="200" w:lineRule="exact"/>
        <w:rPr>
          <w:sz w:val="20"/>
          <w:szCs w:val="20"/>
          <w:lang w:eastAsia="zh-CN"/>
        </w:rPr>
      </w:pPr>
    </w:p>
    <w:p>
      <w:pPr>
        <w:spacing w:before="19" w:line="200" w:lineRule="exact"/>
        <w:rPr>
          <w:sz w:val="20"/>
          <w:szCs w:val="20"/>
          <w:lang w:eastAsia="zh-CN"/>
        </w:rPr>
      </w:pPr>
    </w:p>
    <w:p>
      <w:pPr>
        <w:jc w:val="center"/>
        <w:rPr>
          <w:rFonts w:ascii="宋体" w:hAnsi="宋体" w:eastAsia="宋体" w:cs="宋体"/>
          <w:sz w:val="28"/>
          <w:szCs w:val="28"/>
          <w:lang w:eastAsia="zh-CN"/>
        </w:rPr>
      </w:pPr>
      <w:r>
        <w:rPr>
          <w:rFonts w:ascii="宋体" w:hAnsi="宋体" w:eastAsia="宋体" w:cs="宋体"/>
          <w:spacing w:val="4"/>
          <w:sz w:val="28"/>
          <w:szCs w:val="28"/>
          <w:lang w:eastAsia="zh-CN"/>
        </w:rPr>
        <w:t>《</w:t>
      </w:r>
      <w:r>
        <w:rPr>
          <w:rFonts w:hint="eastAsia" w:ascii="宋体" w:hAnsi="宋体" w:eastAsia="宋体" w:cs="宋体"/>
          <w:spacing w:val="4"/>
          <w:sz w:val="28"/>
          <w:szCs w:val="28"/>
          <w:lang w:eastAsia="zh-CN"/>
        </w:rPr>
        <w:t>散目标式视觉测量系统</w:t>
      </w:r>
      <w:r>
        <w:rPr>
          <w:rFonts w:hint="eastAsia" w:ascii="宋体" w:hAnsi="宋体" w:eastAsia="宋体" w:cs="宋体"/>
          <w:spacing w:val="4"/>
          <w:sz w:val="28"/>
          <w:szCs w:val="28"/>
          <w:lang w:val="en-US" w:eastAsia="zh-CN"/>
        </w:rPr>
        <w:t>规范</w:t>
      </w:r>
      <w:r>
        <w:rPr>
          <w:rFonts w:ascii="宋体" w:hAnsi="宋体" w:eastAsia="宋体" w:cs="宋体"/>
          <w:spacing w:val="4"/>
          <w:sz w:val="28"/>
          <w:szCs w:val="28"/>
          <w:lang w:eastAsia="zh-CN"/>
        </w:rPr>
        <w:t>》</w:t>
      </w:r>
      <w:r>
        <w:rPr>
          <w:rFonts w:ascii="宋体" w:hAnsi="宋体" w:eastAsia="宋体" w:cs="宋体"/>
          <w:sz w:val="28"/>
          <w:szCs w:val="28"/>
          <w:lang w:eastAsia="zh-CN"/>
        </w:rPr>
        <w:t>编写组</w:t>
      </w:r>
    </w:p>
    <w:p>
      <w:pPr>
        <w:rPr>
          <w:rFonts w:ascii="宋体" w:hAnsi="宋体" w:eastAsia="宋体" w:cs="宋体"/>
          <w:sz w:val="28"/>
          <w:szCs w:val="28"/>
          <w:lang w:eastAsia="zh-CN"/>
        </w:rPr>
        <w:sectPr>
          <w:type w:val="continuous"/>
          <w:pgSz w:w="11904" w:h="16840"/>
          <w:pgMar w:top="1560" w:right="1680" w:bottom="280" w:left="1680" w:header="720" w:footer="720" w:gutter="0"/>
          <w:cols w:space="720" w:num="1"/>
        </w:sectPr>
      </w:pPr>
    </w:p>
    <w:p>
      <w:pPr>
        <w:spacing w:line="414" w:lineRule="exact"/>
        <w:ind w:left="6"/>
        <w:jc w:val="center"/>
        <w:rPr>
          <w:rFonts w:ascii="黑体" w:hAnsi="黑体" w:eastAsia="黑体" w:cs="黑体"/>
          <w:sz w:val="32"/>
          <w:szCs w:val="32"/>
          <w:lang w:eastAsia="zh-CN"/>
        </w:rPr>
      </w:pPr>
      <w:r>
        <w:rPr>
          <w:rFonts w:ascii="黑体" w:hAnsi="黑体" w:eastAsia="黑体" w:cs="黑体"/>
          <w:sz w:val="32"/>
          <w:szCs w:val="32"/>
          <w:lang w:eastAsia="zh-CN"/>
        </w:rPr>
        <w:t>《</w:t>
      </w:r>
      <w:r>
        <w:rPr>
          <w:rFonts w:hint="eastAsia" w:ascii="黑体" w:hAnsi="黑体" w:eastAsia="黑体" w:cs="黑体"/>
          <w:sz w:val="32"/>
          <w:szCs w:val="32"/>
          <w:lang w:eastAsia="zh-CN"/>
        </w:rPr>
        <w:t>散目标式视觉测量系统规范</w:t>
      </w:r>
      <w:r>
        <w:rPr>
          <w:rFonts w:ascii="黑体" w:hAnsi="黑体" w:eastAsia="黑体" w:cs="黑体"/>
          <w:spacing w:val="-5"/>
          <w:sz w:val="32"/>
          <w:szCs w:val="32"/>
          <w:lang w:eastAsia="zh-CN"/>
        </w:rPr>
        <w:t>》</w:t>
      </w:r>
      <w:r>
        <w:rPr>
          <w:rFonts w:ascii="黑体" w:hAnsi="黑体" w:eastAsia="黑体" w:cs="黑体"/>
          <w:sz w:val="32"/>
          <w:szCs w:val="32"/>
          <w:lang w:eastAsia="zh-CN"/>
        </w:rPr>
        <w:t>编</w:t>
      </w:r>
      <w:r>
        <w:rPr>
          <w:rFonts w:ascii="黑体" w:hAnsi="黑体" w:eastAsia="黑体" w:cs="黑体"/>
          <w:spacing w:val="-5"/>
          <w:sz w:val="32"/>
          <w:szCs w:val="32"/>
          <w:lang w:eastAsia="zh-CN"/>
        </w:rPr>
        <w:t>制</w:t>
      </w:r>
      <w:r>
        <w:rPr>
          <w:rFonts w:ascii="黑体" w:hAnsi="黑体" w:eastAsia="黑体" w:cs="黑体"/>
          <w:sz w:val="32"/>
          <w:szCs w:val="32"/>
          <w:lang w:eastAsia="zh-CN"/>
        </w:rPr>
        <w:t>说明</w:t>
      </w:r>
    </w:p>
    <w:p>
      <w:pPr>
        <w:spacing w:line="200" w:lineRule="exact"/>
        <w:rPr>
          <w:sz w:val="20"/>
          <w:szCs w:val="20"/>
          <w:lang w:eastAsia="zh-CN"/>
        </w:rPr>
      </w:pPr>
    </w:p>
    <w:p>
      <w:pPr>
        <w:spacing w:before="1" w:line="260" w:lineRule="exact"/>
        <w:rPr>
          <w:sz w:val="26"/>
          <w:szCs w:val="26"/>
          <w:lang w:eastAsia="zh-CN"/>
        </w:rPr>
      </w:pPr>
    </w:p>
    <w:p>
      <w:pPr>
        <w:pStyle w:val="3"/>
        <w:rPr>
          <w:b/>
          <w:lang w:eastAsia="zh-CN"/>
        </w:rPr>
      </w:pPr>
      <w:r>
        <w:rPr>
          <w:b/>
          <w:lang w:eastAsia="zh-CN"/>
        </w:rPr>
        <w:t>一</w:t>
      </w:r>
      <w:r>
        <w:rPr>
          <w:b/>
          <w:spacing w:val="4"/>
          <w:lang w:eastAsia="zh-CN"/>
        </w:rPr>
        <w:t>、</w:t>
      </w:r>
      <w:r>
        <w:rPr>
          <w:b/>
          <w:lang w:eastAsia="zh-CN"/>
        </w:rPr>
        <w:t>任务来源</w:t>
      </w:r>
    </w:p>
    <w:p>
      <w:pPr>
        <w:spacing w:before="15" w:line="260" w:lineRule="exact"/>
        <w:rPr>
          <w:sz w:val="26"/>
          <w:szCs w:val="26"/>
          <w:lang w:eastAsia="zh-CN"/>
        </w:rPr>
      </w:pPr>
    </w:p>
    <w:p>
      <w:pPr>
        <w:pStyle w:val="3"/>
        <w:spacing w:line="301" w:lineRule="auto"/>
        <w:ind w:right="112" w:firstLine="480"/>
        <w:jc w:val="both"/>
        <w:rPr>
          <w:lang w:eastAsia="zh-CN"/>
        </w:rPr>
      </w:pPr>
      <w:r>
        <w:rPr>
          <w:lang w:eastAsia="zh-CN"/>
        </w:rPr>
        <w:t>依据市场监</w:t>
      </w:r>
      <w:r>
        <w:rPr>
          <w:spacing w:val="4"/>
          <w:lang w:eastAsia="zh-CN"/>
        </w:rPr>
        <w:t>管</w:t>
      </w:r>
      <w:r>
        <w:rPr>
          <w:lang w:eastAsia="zh-CN"/>
        </w:rPr>
        <w:t>总局办公</w:t>
      </w:r>
      <w:r>
        <w:rPr>
          <w:spacing w:val="4"/>
          <w:lang w:eastAsia="zh-CN"/>
        </w:rPr>
        <w:t>厅</w:t>
      </w:r>
      <w:r>
        <w:rPr>
          <w:lang w:eastAsia="zh-CN"/>
        </w:rPr>
        <w:t>关</w:t>
      </w:r>
      <w:r>
        <w:rPr>
          <w:spacing w:val="1"/>
          <w:lang w:eastAsia="zh-CN"/>
        </w:rPr>
        <w:t>于</w:t>
      </w:r>
      <w:r>
        <w:rPr>
          <w:lang w:eastAsia="zh-CN"/>
        </w:rPr>
        <w:t>下达《</w:t>
      </w:r>
      <w:r>
        <w:rPr>
          <w:rFonts w:ascii="Times New Roman" w:hAnsi="Times New Roman" w:eastAsia="Times New Roman" w:cs="Times New Roman"/>
          <w:lang w:eastAsia="zh-CN"/>
        </w:rPr>
        <w:t>20</w:t>
      </w:r>
      <w:r>
        <w:rPr>
          <w:rFonts w:ascii="Times New Roman" w:hAnsi="Times New Roman" w:eastAsia="Times New Roman" w:cs="Times New Roman"/>
          <w:spacing w:val="4"/>
          <w:lang w:eastAsia="zh-CN"/>
        </w:rPr>
        <w:t>2</w:t>
      </w:r>
      <w:r>
        <w:rPr>
          <w:rFonts w:hint="eastAsia" w:ascii="Times New Roman" w:hAnsi="Times New Roman" w:eastAsia="Times New Roman" w:cs="Times New Roman"/>
          <w:spacing w:val="4"/>
          <w:lang w:val="en-US" w:eastAsia="zh-CN"/>
        </w:rPr>
        <w:t>2</w:t>
      </w:r>
      <w:r>
        <w:rPr>
          <w:spacing w:val="4"/>
          <w:lang w:eastAsia="zh-CN"/>
        </w:rPr>
        <w:t>年</w:t>
      </w:r>
      <w:r>
        <w:rPr>
          <w:lang w:eastAsia="zh-CN"/>
        </w:rPr>
        <w:t>国家计量技术</w:t>
      </w:r>
      <w:r>
        <w:rPr>
          <w:spacing w:val="4"/>
          <w:lang w:eastAsia="zh-CN"/>
        </w:rPr>
        <w:t>规</w:t>
      </w:r>
      <w:r>
        <w:rPr>
          <w:lang w:eastAsia="zh-CN"/>
        </w:rPr>
        <w:t>范制定</w:t>
      </w:r>
      <w:r>
        <w:rPr>
          <w:spacing w:val="4"/>
          <w:lang w:eastAsia="zh-CN"/>
        </w:rPr>
        <w:t>、</w:t>
      </w:r>
      <w:r>
        <w:rPr>
          <w:lang w:eastAsia="zh-CN"/>
        </w:rPr>
        <w:t>修订 及宣贯计划</w:t>
      </w:r>
      <w:r>
        <w:rPr>
          <w:spacing w:val="-5"/>
          <w:lang w:eastAsia="zh-CN"/>
        </w:rPr>
        <w:t>》</w:t>
      </w:r>
      <w:r>
        <w:rPr>
          <w:lang w:eastAsia="zh-CN"/>
        </w:rPr>
        <w:t>的通</w:t>
      </w:r>
      <w:r>
        <w:rPr>
          <w:spacing w:val="-5"/>
          <w:lang w:eastAsia="zh-CN"/>
        </w:rPr>
        <w:t>知</w:t>
      </w:r>
      <w:r>
        <w:rPr>
          <w:lang w:eastAsia="zh-CN"/>
        </w:rPr>
        <w:t>（市监计量</w:t>
      </w:r>
      <w:r>
        <w:rPr>
          <w:spacing w:val="-5"/>
          <w:lang w:eastAsia="zh-CN"/>
        </w:rPr>
        <w:t>发</w:t>
      </w:r>
      <w:r>
        <w:rPr>
          <w:lang w:eastAsia="zh-CN"/>
        </w:rPr>
        <w:t>【</w:t>
      </w:r>
      <w:r>
        <w:rPr>
          <w:rFonts w:ascii="Times New Roman" w:hAnsi="Times New Roman" w:eastAsia="Times New Roman" w:cs="Times New Roman"/>
          <w:lang w:eastAsia="zh-CN"/>
        </w:rPr>
        <w:t>202</w:t>
      </w:r>
      <w:r>
        <w:rPr>
          <w:rFonts w:hint="eastAsia" w:ascii="Times New Roman" w:hAnsi="Times New Roman" w:eastAsia="Times New Roman" w:cs="Times New Roman"/>
          <w:lang w:val="en-US" w:eastAsia="zh-CN"/>
        </w:rPr>
        <w:t>2</w:t>
      </w:r>
      <w:r>
        <w:rPr>
          <w:spacing w:val="-5"/>
          <w:lang w:eastAsia="zh-CN"/>
        </w:rPr>
        <w:t>】</w:t>
      </w:r>
      <w:r>
        <w:rPr>
          <w:rFonts w:hint="eastAsia"/>
          <w:spacing w:val="-5"/>
          <w:lang w:val="en-US" w:eastAsia="zh-CN"/>
        </w:rPr>
        <w:t>70</w:t>
      </w:r>
      <w:r>
        <w:rPr>
          <w:lang w:eastAsia="zh-CN"/>
        </w:rPr>
        <w:t>号</w:t>
      </w:r>
      <w:r>
        <w:rPr>
          <w:spacing w:val="-120"/>
          <w:lang w:eastAsia="zh-CN"/>
        </w:rPr>
        <w:t>）</w:t>
      </w:r>
      <w:r>
        <w:rPr>
          <w:spacing w:val="-5"/>
          <w:lang w:eastAsia="zh-CN"/>
        </w:rPr>
        <w:t>，</w:t>
      </w:r>
      <w:r>
        <w:rPr>
          <w:lang w:eastAsia="zh-CN"/>
        </w:rPr>
        <w:t>受全国几何量长度计量技术委员会委托</w:t>
      </w:r>
      <w:r>
        <w:rPr>
          <w:spacing w:val="-34"/>
          <w:lang w:eastAsia="zh-CN"/>
        </w:rPr>
        <w:t>，</w:t>
      </w:r>
      <w:r>
        <w:rPr>
          <w:lang w:eastAsia="zh-CN"/>
        </w:rPr>
        <w:t>由</w:t>
      </w:r>
      <w:r>
        <w:rPr>
          <w:rFonts w:hint="eastAsia"/>
          <w:lang w:val="en-US" w:eastAsia="zh-CN"/>
        </w:rPr>
        <w:t>XXX、XXX、XXX等单位</w:t>
      </w:r>
      <w:r>
        <w:rPr>
          <w:lang w:eastAsia="zh-CN"/>
        </w:rPr>
        <w:t>负责</w:t>
      </w:r>
      <w:r>
        <w:rPr>
          <w:rFonts w:hint="eastAsia"/>
          <w:lang w:eastAsia="zh-CN"/>
        </w:rPr>
        <w:t>制定</w:t>
      </w:r>
      <w:r>
        <w:rPr>
          <w:lang w:eastAsia="zh-CN"/>
        </w:rPr>
        <w:t>《</w:t>
      </w:r>
      <w:r>
        <w:rPr>
          <w:rFonts w:hint="eastAsia"/>
          <w:lang w:eastAsia="zh-CN"/>
        </w:rPr>
        <w:t>散目标式视觉测量系统规范</w:t>
      </w:r>
      <w:r>
        <w:rPr>
          <w:spacing w:val="-120"/>
          <w:lang w:eastAsia="zh-CN"/>
        </w:rPr>
        <w:t>》</w:t>
      </w:r>
      <w:r>
        <w:rPr>
          <w:lang w:eastAsia="zh-CN"/>
        </w:rPr>
        <w:t>。</w:t>
      </w:r>
    </w:p>
    <w:p>
      <w:pPr>
        <w:spacing w:before="9" w:line="200" w:lineRule="exact"/>
        <w:rPr>
          <w:sz w:val="20"/>
          <w:szCs w:val="20"/>
          <w:lang w:eastAsia="zh-CN"/>
        </w:rPr>
      </w:pPr>
    </w:p>
    <w:p>
      <w:pPr>
        <w:pStyle w:val="3"/>
        <w:spacing w:line="423" w:lineRule="auto"/>
        <w:ind w:left="658" w:right="5485" w:hanging="543"/>
        <w:rPr>
          <w:b/>
          <w:lang w:eastAsia="zh-CN"/>
        </w:rPr>
      </w:pPr>
      <w:r>
        <w:rPr>
          <w:b/>
          <w:lang w:eastAsia="zh-CN"/>
        </w:rPr>
        <w:t>二</w:t>
      </w:r>
      <w:r>
        <w:rPr>
          <w:b/>
          <w:spacing w:val="4"/>
          <w:lang w:eastAsia="zh-CN"/>
        </w:rPr>
        <w:t>、</w:t>
      </w:r>
      <w:r>
        <w:rPr>
          <w:b/>
          <w:lang w:eastAsia="zh-CN"/>
        </w:rPr>
        <w:t>规范</w:t>
      </w:r>
      <w:r>
        <w:rPr>
          <w:rFonts w:hint="eastAsia"/>
          <w:b/>
          <w:lang w:eastAsia="zh-CN"/>
        </w:rPr>
        <w:t>制</w:t>
      </w:r>
      <w:r>
        <w:rPr>
          <w:b/>
          <w:lang w:eastAsia="zh-CN"/>
        </w:rPr>
        <w:t>订技</w:t>
      </w:r>
      <w:r>
        <w:rPr>
          <w:b/>
          <w:spacing w:val="4"/>
          <w:lang w:eastAsia="zh-CN"/>
        </w:rPr>
        <w:t>术</w:t>
      </w:r>
      <w:r>
        <w:rPr>
          <w:b/>
          <w:lang w:eastAsia="zh-CN"/>
        </w:rPr>
        <w:t>依据</w:t>
      </w:r>
    </w:p>
    <w:p>
      <w:pPr>
        <w:autoSpaceDE w:val="0"/>
        <w:autoSpaceDN w:val="0"/>
        <w:adjustRightInd w:val="0"/>
        <w:spacing w:line="360" w:lineRule="auto"/>
        <w:ind w:firstLine="480" w:firstLineChars="200"/>
        <w:rPr>
          <w:sz w:val="24"/>
          <w:lang w:eastAsia="zh-CN"/>
        </w:rPr>
      </w:pPr>
      <w:r>
        <w:rPr>
          <w:rFonts w:hint="eastAsia"/>
          <w:sz w:val="24"/>
          <w:lang w:eastAsia="zh-CN"/>
        </w:rPr>
        <w:t>在本规范编制过程中，重点参照了以下计量技术规范及标准：</w:t>
      </w:r>
    </w:p>
    <w:p>
      <w:pPr>
        <w:tabs>
          <w:tab w:val="left" w:pos="540"/>
        </w:tabs>
        <w:autoSpaceDE w:val="0"/>
        <w:autoSpaceDN w:val="0"/>
        <w:adjustRightInd w:val="0"/>
        <w:spacing w:line="360" w:lineRule="auto"/>
        <w:ind w:firstLine="480" w:firstLineChars="200"/>
        <w:rPr>
          <w:sz w:val="24"/>
          <w:lang w:val="zh-CN" w:eastAsia="zh-CN"/>
        </w:rPr>
      </w:pPr>
      <w:r>
        <w:rPr>
          <w:rFonts w:ascii="Times New Roman" w:hAnsi="Times New Roman" w:cs="Times New Roman"/>
          <w:sz w:val="24"/>
          <w:lang w:val="zh-CN" w:eastAsia="zh-CN"/>
        </w:rPr>
        <w:t>JF1001</w:t>
      </w:r>
      <w:r>
        <w:rPr>
          <w:rFonts w:ascii="Times New Roman" w:hAnsi="Times New Roman" w:cs="Times New Roman"/>
          <w:sz w:val="24"/>
          <w:lang w:eastAsia="zh-CN"/>
        </w:rPr>
        <w:t xml:space="preserve">-2011 </w:t>
      </w:r>
      <w:r>
        <w:rPr>
          <w:rFonts w:ascii="Times New Roman" w:hAnsi="Times New Roman" w:cs="Times New Roman"/>
          <w:sz w:val="24"/>
          <w:lang w:val="zh-CN" w:eastAsia="zh-CN"/>
        </w:rPr>
        <w:t>通用计量术语及定义</w:t>
      </w:r>
    </w:p>
    <w:p>
      <w:pPr>
        <w:tabs>
          <w:tab w:val="left" w:pos="540"/>
        </w:tabs>
        <w:autoSpaceDE w:val="0"/>
        <w:autoSpaceDN w:val="0"/>
        <w:adjustRightInd w:val="0"/>
        <w:spacing w:line="360" w:lineRule="auto"/>
        <w:ind w:firstLine="480" w:firstLineChars="200"/>
        <w:rPr>
          <w:sz w:val="24"/>
          <w:lang w:val="zh-CN" w:eastAsia="zh-CN"/>
        </w:rPr>
      </w:pPr>
      <w:r>
        <w:rPr>
          <w:rFonts w:ascii="Times New Roman" w:hAnsi="Times New Roman" w:cs="Times New Roman"/>
          <w:sz w:val="24"/>
          <w:lang w:val="zh-CN" w:eastAsia="zh-CN"/>
        </w:rPr>
        <w:t>JJF1059</w:t>
      </w:r>
      <w:r>
        <w:rPr>
          <w:rFonts w:ascii="Times New Roman" w:hAnsi="Times New Roman" w:cs="Times New Roman"/>
          <w:sz w:val="24"/>
          <w:lang w:eastAsia="zh-CN"/>
        </w:rPr>
        <w:t xml:space="preserve">.1-2012 </w:t>
      </w:r>
      <w:r>
        <w:rPr>
          <w:rFonts w:ascii="Times New Roman" w:hAnsi="Times New Roman" w:cs="Times New Roman"/>
          <w:sz w:val="24"/>
          <w:lang w:val="zh-CN" w:eastAsia="zh-CN"/>
        </w:rPr>
        <w:t>测量不确定度评定与表示</w:t>
      </w:r>
    </w:p>
    <w:p>
      <w:pPr>
        <w:tabs>
          <w:tab w:val="left" w:pos="540"/>
        </w:tabs>
        <w:autoSpaceDE w:val="0"/>
        <w:autoSpaceDN w:val="0"/>
        <w:adjustRightInd w:val="0"/>
        <w:spacing w:line="360" w:lineRule="auto"/>
        <w:ind w:firstLine="480" w:firstLineChars="200"/>
        <w:rPr>
          <w:rFonts w:ascii="Times New Roman" w:hAnsi="Times New Roman" w:cs="Times New Roman"/>
          <w:sz w:val="24"/>
          <w:lang w:eastAsia="zh-CN"/>
        </w:rPr>
      </w:pPr>
      <w:r>
        <w:rPr>
          <w:rFonts w:ascii="Times New Roman" w:hAnsi="Times New Roman" w:cs="Times New Roman"/>
          <w:sz w:val="24"/>
          <w:lang w:val="zh-CN" w:eastAsia="zh-CN"/>
        </w:rPr>
        <w:t>JJF1071</w:t>
      </w:r>
      <w:r>
        <w:rPr>
          <w:rFonts w:ascii="Times New Roman" w:hAnsi="Times New Roman" w:cs="Times New Roman"/>
          <w:sz w:val="24"/>
          <w:lang w:eastAsia="zh-CN"/>
        </w:rPr>
        <w:t xml:space="preserve">-2010 </w:t>
      </w:r>
      <w:r>
        <w:rPr>
          <w:rFonts w:ascii="Times New Roman" w:hAnsi="Times New Roman" w:cs="Times New Roman"/>
          <w:sz w:val="24"/>
          <w:lang w:val="zh-CN" w:eastAsia="zh-CN"/>
        </w:rPr>
        <w:t>国家计量校准规范编写规</w:t>
      </w:r>
      <w:r>
        <w:rPr>
          <w:rFonts w:ascii="Times New Roman" w:hAnsi="Times New Roman" w:cs="Times New Roman"/>
          <w:sz w:val="24"/>
          <w:lang w:eastAsia="zh-CN"/>
        </w:rPr>
        <w:t>则</w:t>
      </w:r>
    </w:p>
    <w:p>
      <w:pPr>
        <w:tabs>
          <w:tab w:val="left" w:pos="540"/>
        </w:tabs>
        <w:autoSpaceDE w:val="0"/>
        <w:autoSpaceDN w:val="0"/>
        <w:adjustRightInd w:val="0"/>
        <w:spacing w:line="360" w:lineRule="auto"/>
        <w:ind w:firstLine="480" w:firstLineChars="200"/>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VDI/VDE 2626 part1：2019光学测量程序 数字图像相关 基础 接收测试和周期检测（Optical measuring procedures Digital image correlation Basics,acceptance test,and interim check）</w:t>
      </w:r>
      <w:bookmarkStart w:id="0" w:name="_GoBack"/>
      <w:bookmarkEnd w:id="0"/>
    </w:p>
    <w:p>
      <w:pPr>
        <w:spacing w:before="12" w:line="240" w:lineRule="exact"/>
        <w:rPr>
          <w:sz w:val="24"/>
          <w:szCs w:val="24"/>
          <w:lang w:eastAsia="zh-CN"/>
        </w:rPr>
      </w:pPr>
    </w:p>
    <w:p>
      <w:pPr>
        <w:pStyle w:val="3"/>
        <w:spacing w:line="423" w:lineRule="auto"/>
        <w:ind w:left="596" w:right="111" w:hanging="481"/>
        <w:rPr>
          <w:b/>
          <w:lang w:eastAsia="zh-CN"/>
        </w:rPr>
      </w:pPr>
      <w:r>
        <w:rPr>
          <w:b/>
          <w:lang w:eastAsia="zh-CN"/>
        </w:rPr>
        <w:t>三</w:t>
      </w:r>
      <w:r>
        <w:rPr>
          <w:b/>
          <w:spacing w:val="4"/>
          <w:lang w:eastAsia="zh-CN"/>
        </w:rPr>
        <w:t>、</w:t>
      </w:r>
      <w:r>
        <w:rPr>
          <w:b/>
          <w:lang w:eastAsia="zh-CN"/>
        </w:rPr>
        <w:t>规范</w:t>
      </w:r>
      <w:r>
        <w:rPr>
          <w:rFonts w:hint="eastAsia"/>
          <w:b/>
          <w:lang w:eastAsia="zh-CN"/>
        </w:rPr>
        <w:t>制定的</w:t>
      </w:r>
      <w:r>
        <w:rPr>
          <w:b/>
          <w:lang w:eastAsia="zh-CN"/>
        </w:rPr>
        <w:t>目的</w:t>
      </w:r>
    </w:p>
    <w:p>
      <w:pPr>
        <w:pStyle w:val="3"/>
        <w:spacing w:line="309" w:lineRule="auto"/>
        <w:ind w:right="111" w:firstLine="480"/>
        <w:jc w:val="both"/>
        <w:rPr>
          <w:rFonts w:hint="eastAsia"/>
          <w:lang w:eastAsia="zh-CN"/>
        </w:rPr>
      </w:pPr>
      <w:r>
        <w:rPr>
          <w:rFonts w:hint="eastAsia"/>
          <w:lang w:eastAsia="zh-CN"/>
        </w:rPr>
        <w:t>散目标式视觉测量仪是以散斑为目标点，利用数字相机获取散斑的数字图像，经数字图像相关法运算，获得被测表面坐标的测量仪器，常用于零件表面变形/应变的测量，也称为全场变形/应变测量系统。一般由数字相机、照明光源、标定板、计算机及专用处理软件等组成。根据使用相机的数量可分为单目、双目和多目测量仪，最常见的为双目。其中单目测量仪主要用于测量平面内（2D）的变形和应变，双目及以上的系统可以用于三维的变形和位移的测量。典型特征为测量中向被测表面喷涂散斑特征，通过对散斑图像的数字图像相关（Digital Image Correlation，DIC）计算，实现图像特征的提取、匹配和对准，进而完成对被测对象表面变形和应变的测量。近年来国内该仪器的需求不断提升，应用场景不断拓展，常用于飞行器部件及整机模型的风洞试验中变形的检测、材料试验中的变形和应变测量、风电叶片的缺陷检测等多种用途。</w:t>
      </w:r>
    </w:p>
    <w:p>
      <w:pPr>
        <w:pStyle w:val="3"/>
        <w:spacing w:line="309" w:lineRule="auto"/>
        <w:ind w:right="111" w:firstLine="480"/>
        <w:jc w:val="both"/>
        <w:rPr>
          <w:rFonts w:hint="eastAsia"/>
          <w:lang w:eastAsia="zh-CN"/>
        </w:rPr>
      </w:pPr>
      <w:r>
        <w:rPr>
          <w:rFonts w:hint="eastAsia"/>
          <w:lang w:eastAsia="zh-CN"/>
        </w:rPr>
        <w:t>目前国内有约1000台套测量仪在用，每年增长量约100台套，但是由于没有生产制造标准以及校准规范，仪器只能按照生产商的标准进行验收，且主要制造商为国外厂商，国内用户缺少话语权，量值的准确性和一致性缺乏保障，产品质量难于保证。因此，为有效保障测量仪的量值准确性和产品验收质量，需制订相应的校准规范，作为仪器验收和后续校准的技术依据文件。</w:t>
      </w:r>
    </w:p>
    <w:p>
      <w:pPr>
        <w:pStyle w:val="3"/>
        <w:rPr>
          <w:b/>
          <w:lang w:eastAsia="zh-CN"/>
        </w:rPr>
      </w:pPr>
      <w:r>
        <w:rPr>
          <w:b/>
          <w:lang w:eastAsia="zh-CN"/>
        </w:rPr>
        <w:t>四</w:t>
      </w:r>
      <w:r>
        <w:rPr>
          <w:b/>
          <w:spacing w:val="4"/>
          <w:lang w:eastAsia="zh-CN"/>
        </w:rPr>
        <w:t>、</w:t>
      </w:r>
      <w:r>
        <w:rPr>
          <w:rFonts w:hint="eastAsia"/>
          <w:b/>
          <w:lang w:eastAsia="zh-CN"/>
        </w:rPr>
        <w:t>规范的主要内容及主要技术关键</w:t>
      </w:r>
      <w:r>
        <w:rPr>
          <w:b/>
          <w:lang w:eastAsia="zh-CN"/>
        </w:rPr>
        <w:cr/>
      </w:r>
    </w:p>
    <w:p>
      <w:pPr>
        <w:pStyle w:val="3"/>
        <w:spacing w:line="309" w:lineRule="auto"/>
        <w:ind w:right="111" w:firstLine="480"/>
        <w:jc w:val="both"/>
        <w:rPr>
          <w:rFonts w:hint="eastAsia"/>
          <w:lang w:eastAsia="zh-CN"/>
        </w:rPr>
      </w:pPr>
      <w:r>
        <w:rPr>
          <w:rFonts w:hint="eastAsia"/>
          <w:lang w:val="en-US" w:eastAsia="zh-CN"/>
        </w:rPr>
        <w:t>测量系统</w:t>
      </w:r>
      <w:r>
        <w:rPr>
          <w:rFonts w:hint="eastAsia"/>
          <w:lang w:eastAsia="zh-CN"/>
        </w:rPr>
        <w:t>的计量特性主要包括：位移零值误差、应变零值误差、长度测量示值误差（圆目标点示值误差、散斑目标点示值误差、运动示值误差）、应变测量误差。</w:t>
      </w:r>
    </w:p>
    <w:p>
      <w:pPr>
        <w:pStyle w:val="3"/>
        <w:spacing w:line="309" w:lineRule="auto"/>
        <w:ind w:right="111" w:firstLine="480"/>
        <w:jc w:val="both"/>
        <w:rPr>
          <w:rFonts w:hint="default"/>
          <w:lang w:val="en-US" w:eastAsia="zh-CN"/>
        </w:rPr>
      </w:pPr>
      <w:r>
        <w:rPr>
          <w:rFonts w:hint="eastAsia"/>
          <w:lang w:val="en-US" w:eastAsia="zh-CN"/>
        </w:rPr>
        <w:t>测量系统</w:t>
      </w:r>
      <w:r>
        <w:rPr>
          <w:lang w:eastAsia="zh-CN"/>
        </w:rPr>
        <w:t>校准的</w:t>
      </w:r>
      <w:r>
        <w:rPr>
          <w:rFonts w:hint="eastAsia"/>
          <w:lang w:eastAsia="zh-CN"/>
        </w:rPr>
        <w:t>技术关键在于</w:t>
      </w:r>
      <w:r>
        <w:rPr>
          <w:rFonts w:hint="eastAsia"/>
          <w:lang w:val="en-US" w:eastAsia="zh-CN"/>
        </w:rPr>
        <w:t>如何实现应变测量误差的校准，拟采用图像模拟的方法和应变梁的方法。</w:t>
      </w:r>
    </w:p>
    <w:p>
      <w:pPr>
        <w:pStyle w:val="3"/>
        <w:spacing w:line="309" w:lineRule="auto"/>
        <w:ind w:right="111" w:firstLine="480"/>
        <w:jc w:val="both"/>
        <w:rPr>
          <w:lang w:eastAsia="zh-CN"/>
        </w:rPr>
      </w:pPr>
      <w:r>
        <w:rPr>
          <w:rFonts w:hint="eastAsia"/>
          <w:lang w:eastAsia="zh-CN"/>
        </w:rPr>
        <w:t>本规范的起草吸收国内生产商和应用部门的建议，在</w:t>
      </w:r>
      <w:r>
        <w:rPr>
          <w:rFonts w:hint="eastAsia"/>
          <w:lang w:val="en-US" w:eastAsia="zh-CN"/>
        </w:rPr>
        <w:t>编制组</w:t>
      </w:r>
      <w:r>
        <w:rPr>
          <w:rFonts w:hint="eastAsia"/>
          <w:lang w:eastAsia="zh-CN"/>
        </w:rPr>
        <w:t>实践的基础上，共同研究确定相关的技术细节，使技术规范的实施切实可行。</w:t>
      </w:r>
    </w:p>
    <w:p>
      <w:pPr>
        <w:spacing w:before="7" w:line="170" w:lineRule="exact"/>
        <w:rPr>
          <w:color w:val="FF0000"/>
          <w:sz w:val="17"/>
          <w:szCs w:val="17"/>
          <w:lang w:eastAsia="zh-CN"/>
        </w:rPr>
      </w:pPr>
    </w:p>
    <w:p>
      <w:pPr>
        <w:pStyle w:val="3"/>
        <w:rPr>
          <w:b/>
          <w:lang w:eastAsia="zh-CN"/>
        </w:rPr>
      </w:pPr>
      <w:r>
        <w:rPr>
          <w:b/>
          <w:lang w:eastAsia="zh-CN"/>
        </w:rPr>
        <w:t>五</w:t>
      </w:r>
      <w:r>
        <w:rPr>
          <w:b/>
          <w:spacing w:val="4"/>
          <w:lang w:eastAsia="zh-CN"/>
        </w:rPr>
        <w:t>、</w:t>
      </w:r>
      <w:r>
        <w:rPr>
          <w:b/>
          <w:lang w:eastAsia="zh-CN"/>
        </w:rPr>
        <w:t>总结</w:t>
      </w:r>
    </w:p>
    <w:p>
      <w:pPr>
        <w:spacing w:before="15" w:line="260" w:lineRule="exact"/>
        <w:rPr>
          <w:sz w:val="26"/>
          <w:szCs w:val="26"/>
          <w:lang w:eastAsia="zh-CN"/>
        </w:rPr>
      </w:pPr>
    </w:p>
    <w:p>
      <w:pPr>
        <w:pStyle w:val="3"/>
        <w:spacing w:line="317" w:lineRule="auto"/>
        <w:ind w:right="114" w:firstLine="480"/>
        <w:jc w:val="both"/>
        <w:rPr>
          <w:lang w:eastAsia="zh-CN"/>
        </w:rPr>
      </w:pPr>
      <w:r>
        <w:rPr>
          <w:rFonts w:hint="eastAsia"/>
          <w:lang w:eastAsia="zh-CN"/>
        </w:rPr>
        <w:t>本</w:t>
      </w:r>
      <w:r>
        <w:rPr>
          <w:lang w:eastAsia="zh-CN"/>
        </w:rPr>
        <w:t>规范</w:t>
      </w:r>
      <w:r>
        <w:rPr>
          <w:rFonts w:hint="eastAsia"/>
          <w:lang w:eastAsia="zh-CN"/>
        </w:rPr>
        <w:t>主要对</w:t>
      </w:r>
      <w:r>
        <w:rPr>
          <w:lang w:eastAsia="zh-CN"/>
        </w:rPr>
        <w:t>不同用途的</w:t>
      </w:r>
      <w:r>
        <w:rPr>
          <w:rFonts w:hint="eastAsia"/>
          <w:lang w:val="en-US" w:eastAsia="zh-CN"/>
        </w:rPr>
        <w:t>测量系统</w:t>
      </w:r>
      <w:r>
        <w:rPr>
          <w:rFonts w:hint="eastAsia"/>
          <w:lang w:eastAsia="zh-CN"/>
        </w:rPr>
        <w:t>进行</w:t>
      </w:r>
      <w:r>
        <w:rPr>
          <w:lang w:eastAsia="zh-CN"/>
        </w:rPr>
        <w:t>了计量特性</w:t>
      </w:r>
      <w:r>
        <w:rPr>
          <w:rFonts w:hint="eastAsia"/>
          <w:lang w:eastAsia="zh-CN"/>
        </w:rPr>
        <w:t>的描述。在本规范的制定过程中，本着科学合理、易于操作的原则，并结合全国长度几何计量技术委员会专家意见和建议，制定了校准规范（征求意见稿）。</w:t>
      </w:r>
      <w:r>
        <w:rPr>
          <w:lang w:eastAsia="zh-CN"/>
        </w:rPr>
        <w:t>同时也感谢其它兄弟计量机构和研发制造企业在规范修订过程中给予的帮助和支持。</w:t>
      </w:r>
    </w:p>
    <w:p>
      <w:pPr>
        <w:pStyle w:val="3"/>
        <w:spacing w:line="317" w:lineRule="auto"/>
        <w:ind w:right="114" w:firstLine="480"/>
        <w:jc w:val="both"/>
        <w:rPr>
          <w:color w:val="FF0000"/>
          <w:lang w:eastAsia="zh-CN"/>
        </w:rPr>
      </w:pPr>
    </w:p>
    <w:p>
      <w:pPr>
        <w:pStyle w:val="3"/>
        <w:spacing w:before="40"/>
        <w:ind w:left="4183" w:firstLine="1440" w:firstLineChars="600"/>
        <w:rPr>
          <w:lang w:eastAsia="zh-CN"/>
        </w:rPr>
      </w:pPr>
    </w:p>
    <w:p>
      <w:pPr>
        <w:pStyle w:val="3"/>
        <w:spacing w:before="40"/>
        <w:jc w:val="right"/>
        <w:rPr>
          <w:lang w:eastAsia="zh-CN"/>
        </w:rPr>
      </w:pPr>
      <w:r>
        <w:rPr>
          <w:lang w:eastAsia="zh-CN"/>
        </w:rPr>
        <w:t>《</w:t>
      </w:r>
      <w:r>
        <w:rPr>
          <w:rFonts w:hint="eastAsia"/>
          <w:lang w:eastAsia="zh-CN"/>
        </w:rPr>
        <w:t>散目标式视觉测量系统规范</w:t>
      </w:r>
      <w:r>
        <w:rPr>
          <w:spacing w:val="-68"/>
          <w:lang w:eastAsia="zh-CN"/>
        </w:rPr>
        <w:t>》</w:t>
      </w:r>
      <w:r>
        <w:rPr>
          <w:lang w:eastAsia="zh-CN"/>
        </w:rPr>
        <w:t>编写组</w:t>
      </w:r>
    </w:p>
    <w:sectPr>
      <w:footerReference r:id="rId3" w:type="default"/>
      <w:pgSz w:w="11904" w:h="16840"/>
      <w:pgMar w:top="1440" w:right="1680" w:bottom="1160" w:left="1680" w:header="0" w:footer="979"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0" w:lineRule="exact"/>
      <w:rPr>
        <w:sz w:val="20"/>
        <w:szCs w:val="20"/>
      </w:rPr>
    </w:pPr>
    <w:r>
      <w:pict>
        <v:shape id="_x0000_s4097" o:spid="_x0000_s4097" o:spt="202" type="#_x0000_t202" style="position:absolute;left:0pt;margin-left:499.1pt;margin-top:781.95pt;height:11.1pt;width:8.55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line="206" w:lineRule="exact"/>
                  <w:ind w:left="40"/>
                  <w:rPr>
                    <w:rFonts w:ascii="Times New Roman" w:hAnsi="Times New Roman" w:eastAsia="Times New Roman" w:cs="Times New Roman"/>
                    <w:sz w:val="18"/>
                    <w:szCs w:val="18"/>
                  </w:rPr>
                </w:pPr>
                <w:r>
                  <w:fldChar w:fldCharType="begin"/>
                </w:r>
                <w:r>
                  <w:rPr>
                    <w:rFonts w:ascii="Times New Roman" w:hAnsi="Times New Roman" w:eastAsia="Times New Roman" w:cs="Times New Roman"/>
                    <w:sz w:val="18"/>
                    <w:szCs w:val="18"/>
                  </w:rPr>
                  <w:instrText xml:space="preserve"> PAGE </w:instrText>
                </w:r>
                <w:r>
                  <w:fldChar w:fldCharType="separate"/>
                </w:r>
                <w:r>
                  <w:rPr>
                    <w:rFonts w:ascii="Times New Roman" w:hAnsi="Times New Roman" w:eastAsia="Times New Roman" w:cs="Times New Roman"/>
                    <w:sz w:val="18"/>
                    <w:szCs w:val="18"/>
                  </w:rP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3,4"/>
    </o:shapelayout>
  </w:hdrShapeDefaults>
  <w:compat>
    <w:ulTrailSpace/>
    <w:useFELayout/>
    <w:compatSetting w:name="compatibilityMode" w:uri="http://schemas.microsoft.com/office/word" w:val="12"/>
  </w:compat>
  <w:docVars>
    <w:docVar w:name="commondata" w:val="eyJoZGlkIjoiYzg0YjJmNzM2ZmJiZDk0YzEzN2M4MWUxMWUxNTFmZDkifQ=="/>
  </w:docVars>
  <w:rsids>
    <w:rsidRoot w:val="00B4793D"/>
    <w:rsid w:val="00023CC9"/>
    <w:rsid w:val="00032C22"/>
    <w:rsid w:val="00036BF1"/>
    <w:rsid w:val="000502C1"/>
    <w:rsid w:val="00056B20"/>
    <w:rsid w:val="00090F4B"/>
    <w:rsid w:val="000929C5"/>
    <w:rsid w:val="000F7617"/>
    <w:rsid w:val="0011203A"/>
    <w:rsid w:val="00134C5A"/>
    <w:rsid w:val="00155E51"/>
    <w:rsid w:val="001915E9"/>
    <w:rsid w:val="001D48B2"/>
    <w:rsid w:val="00252072"/>
    <w:rsid w:val="00266F3C"/>
    <w:rsid w:val="002A68B3"/>
    <w:rsid w:val="002A7DDA"/>
    <w:rsid w:val="002C1EA3"/>
    <w:rsid w:val="002D1B0E"/>
    <w:rsid w:val="0030333A"/>
    <w:rsid w:val="003072D6"/>
    <w:rsid w:val="00322A8E"/>
    <w:rsid w:val="003367A3"/>
    <w:rsid w:val="00372FFD"/>
    <w:rsid w:val="00373732"/>
    <w:rsid w:val="003954D2"/>
    <w:rsid w:val="003A4ACF"/>
    <w:rsid w:val="003A588B"/>
    <w:rsid w:val="004017E4"/>
    <w:rsid w:val="00441C35"/>
    <w:rsid w:val="00466787"/>
    <w:rsid w:val="00466F8A"/>
    <w:rsid w:val="004870AB"/>
    <w:rsid w:val="004D5DB4"/>
    <w:rsid w:val="004F230E"/>
    <w:rsid w:val="005279D5"/>
    <w:rsid w:val="005A7FAD"/>
    <w:rsid w:val="005C7D9A"/>
    <w:rsid w:val="005D5294"/>
    <w:rsid w:val="00601EF6"/>
    <w:rsid w:val="006343C7"/>
    <w:rsid w:val="00651DB1"/>
    <w:rsid w:val="0068070E"/>
    <w:rsid w:val="00690CEB"/>
    <w:rsid w:val="006E2B80"/>
    <w:rsid w:val="006F4C21"/>
    <w:rsid w:val="00717152"/>
    <w:rsid w:val="00725339"/>
    <w:rsid w:val="00737D83"/>
    <w:rsid w:val="007765DE"/>
    <w:rsid w:val="00797831"/>
    <w:rsid w:val="007A434E"/>
    <w:rsid w:val="007B0C7E"/>
    <w:rsid w:val="007D44EF"/>
    <w:rsid w:val="007E4E7D"/>
    <w:rsid w:val="007F363D"/>
    <w:rsid w:val="00804A5E"/>
    <w:rsid w:val="008317AE"/>
    <w:rsid w:val="0084011D"/>
    <w:rsid w:val="0084059D"/>
    <w:rsid w:val="00857974"/>
    <w:rsid w:val="008A68B2"/>
    <w:rsid w:val="008C0169"/>
    <w:rsid w:val="008C42A0"/>
    <w:rsid w:val="008D4EFD"/>
    <w:rsid w:val="008E506D"/>
    <w:rsid w:val="008E6BFD"/>
    <w:rsid w:val="009148FE"/>
    <w:rsid w:val="00940480"/>
    <w:rsid w:val="00947027"/>
    <w:rsid w:val="00955601"/>
    <w:rsid w:val="009D4F97"/>
    <w:rsid w:val="00A37F64"/>
    <w:rsid w:val="00A6678A"/>
    <w:rsid w:val="00A67FA2"/>
    <w:rsid w:val="00A70841"/>
    <w:rsid w:val="00A72039"/>
    <w:rsid w:val="00AC41D5"/>
    <w:rsid w:val="00AE642A"/>
    <w:rsid w:val="00AF4BDC"/>
    <w:rsid w:val="00B04CB9"/>
    <w:rsid w:val="00B245DB"/>
    <w:rsid w:val="00B4793D"/>
    <w:rsid w:val="00B83AB4"/>
    <w:rsid w:val="00BB1F40"/>
    <w:rsid w:val="00BD37CD"/>
    <w:rsid w:val="00BE0E1E"/>
    <w:rsid w:val="00BE46D9"/>
    <w:rsid w:val="00C07BBA"/>
    <w:rsid w:val="00C07D3E"/>
    <w:rsid w:val="00C42E6E"/>
    <w:rsid w:val="00C96715"/>
    <w:rsid w:val="00CA246C"/>
    <w:rsid w:val="00CC1B6C"/>
    <w:rsid w:val="00DC35E2"/>
    <w:rsid w:val="00DE5EC0"/>
    <w:rsid w:val="00DE638D"/>
    <w:rsid w:val="00E20536"/>
    <w:rsid w:val="00E4268C"/>
    <w:rsid w:val="00E50F8C"/>
    <w:rsid w:val="00E56E3F"/>
    <w:rsid w:val="00E64362"/>
    <w:rsid w:val="00E85FE4"/>
    <w:rsid w:val="00E86021"/>
    <w:rsid w:val="00EA5991"/>
    <w:rsid w:val="00EA62E2"/>
    <w:rsid w:val="00ED5F9E"/>
    <w:rsid w:val="00F17F2F"/>
    <w:rsid w:val="00F23252"/>
    <w:rsid w:val="00F27490"/>
    <w:rsid w:val="00F5332F"/>
    <w:rsid w:val="00F55A37"/>
    <w:rsid w:val="00FA3F4B"/>
    <w:rsid w:val="00FC6E93"/>
    <w:rsid w:val="00FF225A"/>
    <w:rsid w:val="0A204C06"/>
    <w:rsid w:val="135B3230"/>
    <w:rsid w:val="475E03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pPr>
    <w:rPr>
      <w:rFonts w:asciiTheme="minorHAnsi" w:hAnsiTheme="minorHAnsi" w:eastAsiaTheme="minorEastAsia" w:cstheme="minorBidi"/>
      <w:sz w:val="22"/>
      <w:szCs w:val="22"/>
      <w:lang w:val="en-US" w:eastAsia="en-US" w:bidi="ar-SA"/>
    </w:rPr>
  </w:style>
  <w:style w:type="paragraph" w:styleId="2">
    <w:name w:val="heading 1"/>
    <w:basedOn w:val="1"/>
    <w:qFormat/>
    <w:uiPriority w:val="1"/>
    <w:pPr>
      <w:ind w:left="953"/>
      <w:outlineLvl w:val="0"/>
    </w:pPr>
    <w:rPr>
      <w:rFonts w:ascii="宋体" w:hAnsi="宋体" w:eastAsia="宋体"/>
      <w:sz w:val="44"/>
      <w:szCs w:val="4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pPr>
      <w:ind w:left="116"/>
    </w:pPr>
    <w:rPr>
      <w:rFonts w:ascii="宋体" w:hAnsi="宋体" w:eastAsia="宋体"/>
      <w:sz w:val="24"/>
      <w:szCs w:val="24"/>
    </w:r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style>
  <w:style w:type="paragraph" w:customStyle="1" w:styleId="8">
    <w:name w:val="Table Paragraph"/>
    <w:basedOn w:val="1"/>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153</Words>
  <Characters>878</Characters>
  <Lines>7</Lines>
  <Paragraphs>2</Paragraphs>
  <TotalTime>3</TotalTime>
  <ScaleCrop>false</ScaleCrop>
  <LinksUpToDate>false</LinksUpToDate>
  <CharactersWithSpaces>1029</CharactersWithSpaces>
  <Application>WPS Office_12.1.0.15933_F1E327BC-269C-435d-A152-05C5408002CA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2022-12-29T16:36:00Z</dcterms:created>
  <dc:creator>chongcheng1</dc:creator>
  <cp:lastModifiedBy>甘晓川</cp:lastModifiedBy>
  <dcterms:modified xsi:type="dcterms:W3CDTF">2023-11-10T01:34:07Z</dcterms:modified>
  <dc:title>2_关节臂式坐标测量机校准规范（编制说明）</dc:title>
  <cp:revision>325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2022-05-24T00:00:00Z</vt:filetime>
  </property>
  <property fmtid="{D5CDD505-2E9C-101B-9397-08002B2CF9AE}" pid="3" name="LastSaved">
    <vt:filetime>2022-12-29T00:00:00Z</vt:filetime>
  </property>
  <property fmtid="{D5CDD505-2E9C-101B-9397-08002B2CF9AE}" pid="4" name="KSOProductBuildVer">
    <vt:lpwstr>2052-12.1.0.15933</vt:lpwstr>
  </property>
  <property fmtid="{D5CDD505-2E9C-101B-9397-08002B2CF9AE}" pid="5" name="ICV">
    <vt:lpwstr>837379242FFB4D0B9DF2ECE85529FC8B_12</vt:lpwstr>
  </property>
</Properties>
</file>