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8D010" w14:textId="77777777" w:rsidR="005B55E3" w:rsidRDefault="00000000">
      <w:pPr>
        <w:jc w:val="center"/>
        <w:rPr>
          <w:b/>
          <w:bCs/>
          <w:sz w:val="32"/>
        </w:rPr>
      </w:pPr>
      <w:r>
        <w:rPr>
          <w:rFonts w:hint="eastAsia"/>
          <w:b/>
          <w:bCs/>
          <w:sz w:val="32"/>
        </w:rPr>
        <w:t>中国地震局部门计量检定规程</w:t>
      </w:r>
    </w:p>
    <w:p w14:paraId="0092DF51" w14:textId="77777777" w:rsidR="005B55E3" w:rsidRDefault="00000000">
      <w:pPr>
        <w:tabs>
          <w:tab w:val="left" w:pos="1134"/>
        </w:tabs>
        <w:jc w:val="center"/>
        <w:rPr>
          <w:b/>
          <w:bCs/>
          <w:sz w:val="32"/>
        </w:rPr>
      </w:pPr>
      <w:r>
        <w:rPr>
          <w:b/>
          <w:bCs/>
          <w:noProof/>
          <w:sz w:val="20"/>
        </w:rPr>
        <mc:AlternateContent>
          <mc:Choice Requires="wps">
            <w:drawing>
              <wp:anchor distT="0" distB="0" distL="114300" distR="114300" simplePos="0" relativeHeight="251659264" behindDoc="0" locked="0" layoutInCell="1" allowOverlap="1" wp14:anchorId="6EF1BA37" wp14:editId="4A81CBE9">
                <wp:simplePos x="0" y="0"/>
                <wp:positionH relativeFrom="column">
                  <wp:posOffset>0</wp:posOffset>
                </wp:positionH>
                <wp:positionV relativeFrom="paragraph">
                  <wp:posOffset>198120</wp:posOffset>
                </wp:positionV>
                <wp:extent cx="5143500" cy="0"/>
                <wp:effectExtent l="7620" t="13335" r="11430" b="5715"/>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2" o:spid="_x0000_s1026" o:spt="20" style="position:absolute;left:0pt;margin-left:0pt;margin-top:15.6pt;height:0pt;width:405pt;z-index:251659264;mso-width-relative:page;mso-height-relative:page;" filled="f" stroked="t" coordsize="21600,21600" o:gfxdata="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PmFyPTAAAABgEAAA8AAAAAAAAAAQAgAAAA&#10;IgAAAGRycy9kb3ducmV2LnhtbFBLAQIUABQAAAAIAIdO4kB+ZdrT1wEAAKEDAAAOAAAAAAAAAAEA&#10;IAAAACIBAABkcnMvZTJvRG9jLnhtbFBLBQYAAAAABgAGAFkBAABrBQAAAAA=&#10;">
                <v:fill on="f" focussize="0,0"/>
                <v:stroke color="#000000" joinstyle="round"/>
                <v:imagedata o:title=""/>
                <o:lock v:ext="edit" aspectratio="f"/>
              </v:line>
            </w:pict>
          </mc:Fallback>
        </mc:AlternateContent>
      </w:r>
    </w:p>
    <w:p w14:paraId="1D8DD050" w14:textId="77777777" w:rsidR="005B55E3" w:rsidRDefault="005B55E3">
      <w:pPr>
        <w:jc w:val="center"/>
        <w:rPr>
          <w:b/>
          <w:bCs/>
          <w:sz w:val="32"/>
        </w:rPr>
      </w:pPr>
    </w:p>
    <w:p w14:paraId="647D5525" w14:textId="77777777" w:rsidR="005B55E3" w:rsidRDefault="005B55E3">
      <w:pPr>
        <w:jc w:val="center"/>
        <w:rPr>
          <w:b/>
          <w:bCs/>
          <w:sz w:val="32"/>
        </w:rPr>
      </w:pPr>
    </w:p>
    <w:p w14:paraId="373847BE" w14:textId="77777777" w:rsidR="005B55E3" w:rsidRDefault="005B55E3">
      <w:pPr>
        <w:jc w:val="center"/>
        <w:rPr>
          <w:b/>
          <w:bCs/>
          <w:sz w:val="32"/>
        </w:rPr>
      </w:pPr>
    </w:p>
    <w:p w14:paraId="05251759" w14:textId="77777777" w:rsidR="005B55E3" w:rsidRDefault="005B55E3">
      <w:pPr>
        <w:jc w:val="center"/>
        <w:rPr>
          <w:b/>
          <w:bCs/>
          <w:sz w:val="32"/>
        </w:rPr>
      </w:pPr>
    </w:p>
    <w:p w14:paraId="7AFD6434" w14:textId="77777777" w:rsidR="005B55E3" w:rsidRDefault="00000000">
      <w:pPr>
        <w:jc w:val="center"/>
        <w:rPr>
          <w:sz w:val="28"/>
        </w:rPr>
      </w:pPr>
      <w:r>
        <w:rPr>
          <w:rFonts w:eastAsia="黑体" w:hint="eastAsia"/>
          <w:sz w:val="44"/>
        </w:rPr>
        <w:t>强震动加速度计检定规程</w:t>
      </w:r>
    </w:p>
    <w:p w14:paraId="65FA2BE7" w14:textId="77777777" w:rsidR="005B55E3" w:rsidRDefault="00000000">
      <w:pPr>
        <w:jc w:val="center"/>
        <w:rPr>
          <w:sz w:val="28"/>
        </w:rPr>
      </w:pPr>
      <w:r>
        <w:rPr>
          <w:rFonts w:hint="eastAsia"/>
          <w:sz w:val="28"/>
        </w:rPr>
        <w:t>（编制说明）</w:t>
      </w:r>
    </w:p>
    <w:p w14:paraId="4973376D" w14:textId="77777777" w:rsidR="005B55E3" w:rsidRDefault="005B55E3">
      <w:pPr>
        <w:jc w:val="center"/>
        <w:rPr>
          <w:b/>
          <w:bCs/>
          <w:sz w:val="28"/>
        </w:rPr>
      </w:pPr>
    </w:p>
    <w:p w14:paraId="642229C3" w14:textId="77777777" w:rsidR="005B55E3" w:rsidRDefault="005B55E3">
      <w:pPr>
        <w:jc w:val="center"/>
        <w:rPr>
          <w:sz w:val="28"/>
        </w:rPr>
      </w:pPr>
    </w:p>
    <w:p w14:paraId="0DA8FD87" w14:textId="77777777" w:rsidR="005B55E3" w:rsidRDefault="005B55E3">
      <w:pPr>
        <w:jc w:val="center"/>
        <w:rPr>
          <w:sz w:val="28"/>
        </w:rPr>
      </w:pPr>
    </w:p>
    <w:p w14:paraId="2712D5CC" w14:textId="77777777" w:rsidR="005B55E3" w:rsidRDefault="005B55E3">
      <w:pPr>
        <w:jc w:val="center"/>
        <w:rPr>
          <w:sz w:val="28"/>
        </w:rPr>
      </w:pPr>
    </w:p>
    <w:p w14:paraId="18A0BDF7" w14:textId="77777777" w:rsidR="005B55E3" w:rsidRDefault="005B55E3">
      <w:pPr>
        <w:jc w:val="center"/>
        <w:rPr>
          <w:sz w:val="28"/>
        </w:rPr>
      </w:pPr>
    </w:p>
    <w:p w14:paraId="69A471D0" w14:textId="77777777" w:rsidR="005B55E3" w:rsidRDefault="005B55E3">
      <w:pPr>
        <w:jc w:val="center"/>
        <w:rPr>
          <w:b/>
          <w:bCs/>
          <w:sz w:val="32"/>
        </w:rPr>
      </w:pPr>
    </w:p>
    <w:p w14:paraId="64AF2488" w14:textId="77777777" w:rsidR="005B55E3" w:rsidRDefault="005B55E3">
      <w:pPr>
        <w:jc w:val="center"/>
        <w:rPr>
          <w:b/>
          <w:bCs/>
          <w:sz w:val="32"/>
        </w:rPr>
      </w:pPr>
    </w:p>
    <w:p w14:paraId="2E196BCB" w14:textId="77777777" w:rsidR="005B55E3" w:rsidRDefault="005B55E3">
      <w:pPr>
        <w:jc w:val="center"/>
        <w:rPr>
          <w:b/>
          <w:bCs/>
          <w:sz w:val="32"/>
        </w:rPr>
      </w:pPr>
    </w:p>
    <w:p w14:paraId="2049244A" w14:textId="77777777" w:rsidR="005B55E3" w:rsidRDefault="00000000">
      <w:pPr>
        <w:jc w:val="center"/>
        <w:rPr>
          <w:sz w:val="28"/>
        </w:rPr>
      </w:pPr>
      <w:r>
        <w:rPr>
          <w:rFonts w:hint="eastAsia"/>
          <w:sz w:val="28"/>
        </w:rPr>
        <w:t>中国地震局地震预测研究所</w:t>
      </w:r>
    </w:p>
    <w:p w14:paraId="3101E0AF" w14:textId="77777777" w:rsidR="005B55E3" w:rsidRDefault="00000000">
      <w:pPr>
        <w:jc w:val="center"/>
        <w:rPr>
          <w:sz w:val="32"/>
        </w:rPr>
      </w:pPr>
      <w:hyperlink r:id="rId8" w:tgtFrame="https://www.baidu.com/_blank" w:history="1">
        <w:r>
          <w:rPr>
            <w:rFonts w:hint="eastAsia"/>
            <w:sz w:val="28"/>
          </w:rPr>
          <w:t>中国地震局第一监测中心</w:t>
        </w:r>
      </w:hyperlink>
    </w:p>
    <w:p w14:paraId="30155D16" w14:textId="77777777" w:rsidR="005B55E3" w:rsidRDefault="00000000">
      <w:pPr>
        <w:jc w:val="center"/>
        <w:rPr>
          <w:sz w:val="28"/>
        </w:rPr>
      </w:pPr>
      <w:r>
        <w:rPr>
          <w:rFonts w:hint="eastAsia"/>
          <w:sz w:val="28"/>
        </w:rPr>
        <w:t>中国地震局地球物理研究所</w:t>
      </w:r>
    </w:p>
    <w:p w14:paraId="3EA0E1B8" w14:textId="77777777" w:rsidR="005B55E3" w:rsidRDefault="00000000">
      <w:pPr>
        <w:jc w:val="center"/>
        <w:rPr>
          <w:sz w:val="28"/>
        </w:rPr>
      </w:pPr>
      <w:r>
        <w:rPr>
          <w:rFonts w:hint="eastAsia"/>
          <w:sz w:val="28"/>
        </w:rPr>
        <w:t>浙江大学</w:t>
      </w:r>
    </w:p>
    <w:p w14:paraId="3D0029AF" w14:textId="77777777" w:rsidR="005B55E3" w:rsidRDefault="00000000">
      <w:pPr>
        <w:jc w:val="center"/>
        <w:rPr>
          <w:sz w:val="28"/>
        </w:rPr>
      </w:pPr>
      <w:r>
        <w:rPr>
          <w:rFonts w:hint="eastAsia"/>
          <w:sz w:val="28"/>
        </w:rPr>
        <w:t>2</w:t>
      </w:r>
      <w:r>
        <w:rPr>
          <w:sz w:val="28"/>
        </w:rPr>
        <w:t>023</w:t>
      </w:r>
      <w:r>
        <w:rPr>
          <w:rFonts w:hint="eastAsia"/>
          <w:sz w:val="28"/>
        </w:rPr>
        <w:t>年</w:t>
      </w:r>
      <w:r>
        <w:rPr>
          <w:sz w:val="28"/>
        </w:rPr>
        <w:t>9</w:t>
      </w:r>
      <w:r>
        <w:rPr>
          <w:rFonts w:hint="eastAsia"/>
          <w:sz w:val="28"/>
        </w:rPr>
        <w:t>月</w:t>
      </w:r>
    </w:p>
    <w:p w14:paraId="6839AEF8" w14:textId="77777777" w:rsidR="00490C9A" w:rsidRDefault="00490C9A">
      <w:pPr>
        <w:jc w:val="center"/>
        <w:rPr>
          <w:b/>
          <w:bCs/>
          <w:sz w:val="30"/>
        </w:rPr>
      </w:pPr>
    </w:p>
    <w:p w14:paraId="5E4C7A46" w14:textId="1CC26216" w:rsidR="005B55E3" w:rsidRDefault="00000000">
      <w:pPr>
        <w:jc w:val="center"/>
        <w:rPr>
          <w:b/>
          <w:bCs/>
          <w:sz w:val="30"/>
        </w:rPr>
      </w:pPr>
      <w:r>
        <w:rPr>
          <w:rFonts w:hint="eastAsia"/>
          <w:b/>
          <w:bCs/>
          <w:sz w:val="30"/>
        </w:rPr>
        <w:lastRenderedPageBreak/>
        <w:t>编制说明</w:t>
      </w:r>
    </w:p>
    <w:p w14:paraId="36FBC405" w14:textId="77777777" w:rsidR="005B55E3" w:rsidRDefault="00000000">
      <w:pPr>
        <w:spacing w:line="360" w:lineRule="auto"/>
        <w:rPr>
          <w:b/>
          <w:bCs/>
          <w:sz w:val="24"/>
        </w:rPr>
      </w:pPr>
      <w:r>
        <w:rPr>
          <w:rFonts w:hint="eastAsia"/>
          <w:b/>
          <w:bCs/>
          <w:sz w:val="24"/>
        </w:rPr>
        <w:t>一、任务来源</w:t>
      </w:r>
    </w:p>
    <w:p w14:paraId="739BBF91" w14:textId="77777777" w:rsidR="005B55E3" w:rsidRDefault="00000000">
      <w:pPr>
        <w:autoSpaceDE w:val="0"/>
        <w:autoSpaceDN w:val="0"/>
        <w:adjustRightInd w:val="0"/>
        <w:snapToGrid w:val="0"/>
        <w:spacing w:line="440" w:lineRule="exact"/>
        <w:ind w:firstLineChars="200" w:firstLine="480"/>
        <w:rPr>
          <w:kern w:val="0"/>
          <w:sz w:val="28"/>
          <w:szCs w:val="28"/>
        </w:rPr>
      </w:pPr>
      <w:r>
        <w:rPr>
          <w:rFonts w:hint="eastAsia"/>
          <w:sz w:val="24"/>
        </w:rPr>
        <w:t>根据监测预报司工作安排，由全国地震专用计量测试技术委员会秘书处组织开展部门计量检定规程《强震动加速度计检定规程》（以下简称规程）的编制工作。</w:t>
      </w:r>
    </w:p>
    <w:p w14:paraId="39111004" w14:textId="77777777" w:rsidR="005B55E3" w:rsidRDefault="00000000">
      <w:pPr>
        <w:spacing w:line="360" w:lineRule="auto"/>
        <w:rPr>
          <w:b/>
          <w:bCs/>
          <w:sz w:val="24"/>
        </w:rPr>
      </w:pPr>
      <w:r>
        <w:rPr>
          <w:rFonts w:hint="eastAsia"/>
          <w:b/>
          <w:bCs/>
          <w:sz w:val="24"/>
        </w:rPr>
        <w:t>二、编制目的和意义</w:t>
      </w:r>
    </w:p>
    <w:p w14:paraId="48B48773" w14:textId="77777777" w:rsidR="008D1702" w:rsidRDefault="008D1702" w:rsidP="008D1702">
      <w:pPr>
        <w:pStyle w:val="aa"/>
        <w:widowControl/>
        <w:adjustRightInd w:val="0"/>
        <w:snapToGrid w:val="0"/>
        <w:spacing w:beforeLines="50" w:before="156" w:beforeAutospacing="0" w:after="0" w:afterAutospacing="0" w:line="360" w:lineRule="auto"/>
        <w:ind w:firstLineChars="200" w:firstLine="480"/>
        <w:jc w:val="both"/>
        <w:rPr>
          <w:kern w:val="2"/>
        </w:rPr>
      </w:pPr>
      <w:bookmarkStart w:id="0" w:name="_Hlk150758149"/>
      <w:r w:rsidRPr="00933737">
        <w:rPr>
          <w:rFonts w:hint="eastAsia"/>
          <w:kern w:val="2"/>
        </w:rPr>
        <w:t>中国地震预警网作为全球规模最大的地震预警网，可实现全国</w:t>
      </w:r>
      <w:proofErr w:type="gramStart"/>
      <w:r w:rsidRPr="00933737">
        <w:rPr>
          <w:rFonts w:hint="eastAsia"/>
          <w:kern w:val="2"/>
        </w:rPr>
        <w:t>分钟级</w:t>
      </w:r>
      <w:proofErr w:type="gramEnd"/>
      <w:r w:rsidRPr="00933737">
        <w:rPr>
          <w:rFonts w:hint="eastAsia"/>
          <w:kern w:val="2"/>
        </w:rPr>
        <w:t>仪器地震烈度速报与重点地区秒级地震预警，为公众防灾避险和行业紧急处置提供服务。对具有鲜明行业特色的地表地震计、强震动加速度计和地震烈度仪等振动类设备进行检定，对于更好地服务国家经济社会发展和人民生命财产安全意义重大。</w:t>
      </w:r>
    </w:p>
    <w:bookmarkEnd w:id="0"/>
    <w:p w14:paraId="5EA04A7C" w14:textId="2AB64100" w:rsidR="005B55E3" w:rsidRPr="008D1702" w:rsidRDefault="00000000">
      <w:pPr>
        <w:pStyle w:val="aa"/>
        <w:widowControl/>
        <w:spacing w:before="0" w:beforeAutospacing="0" w:after="0" w:afterAutospacing="0" w:line="360" w:lineRule="auto"/>
        <w:ind w:firstLineChars="200" w:firstLine="480"/>
        <w:jc w:val="both"/>
        <w:rPr>
          <w:kern w:val="2"/>
        </w:rPr>
      </w:pPr>
      <w:r>
        <w:rPr>
          <w:rFonts w:hint="eastAsia"/>
          <w:kern w:val="2"/>
        </w:rPr>
        <w:t>强震动加速度计（以下简称加速度计）主要作用为记录并上</w:t>
      </w:r>
      <w:proofErr w:type="gramStart"/>
      <w:r>
        <w:rPr>
          <w:rFonts w:hint="eastAsia"/>
          <w:kern w:val="2"/>
        </w:rPr>
        <w:t>传震发</w:t>
      </w:r>
      <w:proofErr w:type="gramEnd"/>
      <w:r>
        <w:rPr>
          <w:rFonts w:hint="eastAsia"/>
          <w:kern w:val="2"/>
        </w:rPr>
        <w:t>区地面振动加速度数据，</w:t>
      </w:r>
      <w:r w:rsidR="008D1702">
        <w:rPr>
          <w:rFonts w:hint="eastAsia"/>
          <w:kern w:val="2"/>
        </w:rPr>
        <w:t>是重要的强震台网观测仪器</w:t>
      </w:r>
      <w:r>
        <w:rPr>
          <w:rFonts w:hint="eastAsia"/>
          <w:kern w:val="2"/>
        </w:rPr>
        <w:t>。</w:t>
      </w:r>
      <w:r w:rsidR="008D1702">
        <w:rPr>
          <w:rFonts w:hint="eastAsia"/>
          <w:kern w:val="2"/>
        </w:rPr>
        <w:t>据不完全统计，目前在网运行的加速度计超</w:t>
      </w:r>
      <w:r w:rsidR="008D1702">
        <w:rPr>
          <w:rFonts w:hint="eastAsia"/>
          <w:kern w:val="2"/>
        </w:rPr>
        <w:t>5000</w:t>
      </w:r>
      <w:r w:rsidR="008D1702">
        <w:rPr>
          <w:rFonts w:hint="eastAsia"/>
          <w:kern w:val="2"/>
        </w:rPr>
        <w:t>台</w:t>
      </w:r>
      <w:r w:rsidR="008D1702">
        <w:rPr>
          <w:rFonts w:hint="eastAsia"/>
          <w:kern w:val="2"/>
        </w:rPr>
        <w:t>/</w:t>
      </w:r>
      <w:r w:rsidR="008D1702">
        <w:rPr>
          <w:rFonts w:hint="eastAsia"/>
          <w:kern w:val="2"/>
        </w:rPr>
        <w:t>套，这些仪器技术指标是否满足观测要求将直接影响数据质量，但目前尚未发布关于</w:t>
      </w:r>
      <w:r w:rsidR="008D1702">
        <w:rPr>
          <w:rFonts w:hint="eastAsia"/>
          <w:kern w:val="2"/>
        </w:rPr>
        <w:t>强震动加速度计</w:t>
      </w:r>
      <w:r w:rsidR="008D1702">
        <w:rPr>
          <w:rFonts w:hint="eastAsia"/>
          <w:kern w:val="2"/>
        </w:rPr>
        <w:t>的计量规范。</w:t>
      </w:r>
      <w:r w:rsidR="008D1702">
        <w:rPr>
          <w:rFonts w:hint="eastAsia"/>
          <w:kern w:val="2"/>
        </w:rPr>
        <w:t>强震动加速度计</w:t>
      </w:r>
      <w:r w:rsidR="008D1702" w:rsidRPr="008D1702">
        <w:rPr>
          <w:rFonts w:hint="eastAsia"/>
          <w:kern w:val="2"/>
        </w:rPr>
        <w:t>是否经过溯源，将直接关系到地震监测的准确性，与人们生命财产安全是息息相关，因此，制定本规程作为</w:t>
      </w:r>
      <w:r w:rsidR="008D1702">
        <w:rPr>
          <w:rFonts w:hint="eastAsia"/>
          <w:kern w:val="2"/>
        </w:rPr>
        <w:t>强震动加速度计</w:t>
      </w:r>
      <w:r w:rsidR="008D1702" w:rsidRPr="008D1702">
        <w:rPr>
          <w:rFonts w:hint="eastAsia"/>
          <w:kern w:val="2"/>
        </w:rPr>
        <w:t>的技术依据，是十分必要的。</w:t>
      </w:r>
    </w:p>
    <w:p w14:paraId="6F6F2F59" w14:textId="77777777" w:rsidR="005B55E3" w:rsidRDefault="00000000">
      <w:pPr>
        <w:tabs>
          <w:tab w:val="left" w:pos="600"/>
        </w:tabs>
        <w:spacing w:line="360" w:lineRule="auto"/>
        <w:rPr>
          <w:b/>
          <w:bCs/>
          <w:sz w:val="24"/>
        </w:rPr>
      </w:pPr>
      <w:r>
        <w:rPr>
          <w:rFonts w:hint="eastAsia"/>
          <w:b/>
          <w:bCs/>
          <w:sz w:val="24"/>
        </w:rPr>
        <w:t>三、调研情况</w:t>
      </w:r>
    </w:p>
    <w:p w14:paraId="17786C76" w14:textId="77777777" w:rsidR="005B55E3" w:rsidRDefault="00000000">
      <w:pPr>
        <w:spacing w:line="360" w:lineRule="auto"/>
        <w:ind w:firstLine="480"/>
        <w:rPr>
          <w:sz w:val="24"/>
        </w:rPr>
      </w:pPr>
      <w:r>
        <w:rPr>
          <w:rFonts w:hint="eastAsia"/>
          <w:sz w:val="24"/>
        </w:rPr>
        <w:t>在本规程编制前，编写组对若干型号加速度计及其生产厂家、使用单位（台站）、计量测试机构等进行了调研，并查询了</w:t>
      </w:r>
      <w:proofErr w:type="gramStart"/>
      <w:r>
        <w:rPr>
          <w:rFonts w:hint="eastAsia"/>
          <w:sz w:val="24"/>
        </w:rPr>
        <w:t>振动学</w:t>
      </w:r>
      <w:proofErr w:type="gramEnd"/>
      <w:r>
        <w:rPr>
          <w:rFonts w:hint="eastAsia"/>
          <w:sz w:val="24"/>
        </w:rPr>
        <w:t>计量相关的规程规范。</w:t>
      </w:r>
    </w:p>
    <w:p w14:paraId="01E5998D" w14:textId="77777777" w:rsidR="005B55E3" w:rsidRDefault="00000000">
      <w:pPr>
        <w:spacing w:line="360" w:lineRule="auto"/>
        <w:ind w:firstLine="480"/>
        <w:rPr>
          <w:sz w:val="24"/>
        </w:rPr>
      </w:pPr>
      <w:r>
        <w:rPr>
          <w:rFonts w:hint="eastAsia"/>
          <w:sz w:val="24"/>
        </w:rPr>
        <w:t>在加速度计和生产厂家方面，共对</w:t>
      </w:r>
      <w:r>
        <w:rPr>
          <w:rFonts w:hint="eastAsia"/>
          <w:sz w:val="24"/>
        </w:rPr>
        <w:t>7</w:t>
      </w:r>
      <w:r>
        <w:rPr>
          <w:rFonts w:hint="eastAsia"/>
          <w:sz w:val="24"/>
        </w:rPr>
        <w:t>家生产单位和</w:t>
      </w:r>
      <w:r>
        <w:rPr>
          <w:rFonts w:hint="eastAsia"/>
          <w:sz w:val="24"/>
        </w:rPr>
        <w:t>8</w:t>
      </w:r>
      <w:r>
        <w:rPr>
          <w:rFonts w:hint="eastAsia"/>
          <w:sz w:val="24"/>
        </w:rPr>
        <w:t>个型号通过地震系统定型检测的仪器进行了调研，具体见表</w:t>
      </w:r>
      <w:r>
        <w:rPr>
          <w:rFonts w:hint="eastAsia"/>
          <w:sz w:val="24"/>
        </w:rPr>
        <w:t>1</w:t>
      </w:r>
      <w:r>
        <w:rPr>
          <w:rFonts w:hint="eastAsia"/>
          <w:sz w:val="24"/>
        </w:rPr>
        <w:t>。</w:t>
      </w:r>
    </w:p>
    <w:p w14:paraId="60406FEA" w14:textId="77777777" w:rsidR="005B55E3" w:rsidRDefault="00000000">
      <w:pPr>
        <w:spacing w:line="360" w:lineRule="auto"/>
        <w:jc w:val="center"/>
        <w:rPr>
          <w:sz w:val="24"/>
        </w:rPr>
      </w:pPr>
      <w:r>
        <w:rPr>
          <w:rFonts w:hint="eastAsia"/>
          <w:sz w:val="24"/>
        </w:rPr>
        <w:t>表</w:t>
      </w:r>
      <w:r>
        <w:rPr>
          <w:rFonts w:hint="eastAsia"/>
          <w:sz w:val="24"/>
        </w:rPr>
        <w:t>1</w:t>
      </w:r>
      <w:r>
        <w:rPr>
          <w:sz w:val="24"/>
        </w:rPr>
        <w:t xml:space="preserve"> </w:t>
      </w:r>
      <w:r>
        <w:rPr>
          <w:rFonts w:hint="eastAsia"/>
          <w:sz w:val="24"/>
        </w:rPr>
        <w:t>加速度计和生产厂家调研情况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48"/>
        <w:gridCol w:w="2017"/>
        <w:gridCol w:w="3362"/>
      </w:tblGrid>
      <w:tr w:rsidR="005B55E3" w14:paraId="7EF32333" w14:textId="77777777">
        <w:trPr>
          <w:trHeight w:val="391"/>
          <w:jc w:val="center"/>
        </w:trPr>
        <w:tc>
          <w:tcPr>
            <w:tcW w:w="406" w:type="pct"/>
            <w:tcBorders>
              <w:tl2br w:val="nil"/>
              <w:tr2bl w:val="nil"/>
            </w:tcBorders>
            <w:noWrap/>
            <w:vAlign w:val="center"/>
          </w:tcPr>
          <w:p w14:paraId="23125EF8" w14:textId="77777777" w:rsidR="005B55E3" w:rsidRDefault="00000000">
            <w:pPr>
              <w:widowControl/>
              <w:rPr>
                <w:b/>
                <w:bCs/>
                <w:color w:val="000000"/>
                <w:kern w:val="0"/>
                <w:sz w:val="24"/>
              </w:rPr>
            </w:pPr>
            <w:r>
              <w:rPr>
                <w:rFonts w:hint="eastAsia"/>
                <w:b/>
                <w:bCs/>
                <w:color w:val="000000"/>
                <w:kern w:val="0"/>
                <w:sz w:val="24"/>
              </w:rPr>
              <w:t>序号</w:t>
            </w:r>
          </w:p>
        </w:tc>
        <w:tc>
          <w:tcPr>
            <w:tcW w:w="1353" w:type="pct"/>
            <w:tcBorders>
              <w:tl2br w:val="nil"/>
              <w:tr2bl w:val="nil"/>
            </w:tcBorders>
            <w:noWrap/>
            <w:vAlign w:val="center"/>
          </w:tcPr>
          <w:p w14:paraId="12D21D59" w14:textId="77777777" w:rsidR="005B55E3" w:rsidRDefault="00000000">
            <w:pPr>
              <w:widowControl/>
              <w:jc w:val="center"/>
              <w:rPr>
                <w:b/>
                <w:bCs/>
                <w:color w:val="000000"/>
                <w:kern w:val="0"/>
                <w:sz w:val="24"/>
              </w:rPr>
            </w:pPr>
            <w:r>
              <w:rPr>
                <w:rFonts w:hint="eastAsia"/>
                <w:b/>
                <w:bCs/>
                <w:color w:val="000000"/>
                <w:kern w:val="0"/>
                <w:sz w:val="24"/>
              </w:rPr>
              <w:t>生产单位</w:t>
            </w:r>
          </w:p>
        </w:tc>
        <w:tc>
          <w:tcPr>
            <w:tcW w:w="1215" w:type="pct"/>
            <w:tcBorders>
              <w:tl2br w:val="nil"/>
              <w:tr2bl w:val="nil"/>
            </w:tcBorders>
            <w:noWrap/>
            <w:vAlign w:val="center"/>
          </w:tcPr>
          <w:p w14:paraId="21BC9D3A" w14:textId="77777777" w:rsidR="005B55E3" w:rsidRDefault="00000000">
            <w:pPr>
              <w:widowControl/>
              <w:jc w:val="center"/>
              <w:rPr>
                <w:b/>
                <w:bCs/>
                <w:color w:val="000000"/>
                <w:kern w:val="0"/>
                <w:sz w:val="24"/>
              </w:rPr>
            </w:pPr>
            <w:r>
              <w:rPr>
                <w:rFonts w:hint="eastAsia"/>
                <w:b/>
                <w:bCs/>
                <w:color w:val="000000"/>
                <w:kern w:val="0"/>
                <w:sz w:val="24"/>
              </w:rPr>
              <w:t>设备型号</w:t>
            </w:r>
          </w:p>
        </w:tc>
        <w:tc>
          <w:tcPr>
            <w:tcW w:w="2024" w:type="pct"/>
            <w:tcBorders>
              <w:tl2br w:val="nil"/>
              <w:tr2bl w:val="nil"/>
            </w:tcBorders>
            <w:vAlign w:val="center"/>
          </w:tcPr>
          <w:p w14:paraId="5BE86EE5" w14:textId="77777777" w:rsidR="005B55E3" w:rsidRDefault="00000000">
            <w:pPr>
              <w:widowControl/>
              <w:jc w:val="center"/>
              <w:rPr>
                <w:b/>
                <w:bCs/>
                <w:color w:val="000000"/>
                <w:kern w:val="0"/>
                <w:sz w:val="24"/>
              </w:rPr>
            </w:pPr>
            <w:r>
              <w:rPr>
                <w:rFonts w:hint="eastAsia"/>
                <w:b/>
                <w:bCs/>
                <w:color w:val="000000"/>
                <w:kern w:val="0"/>
                <w:sz w:val="24"/>
              </w:rPr>
              <w:t>主要技术指标</w:t>
            </w:r>
          </w:p>
        </w:tc>
      </w:tr>
      <w:tr w:rsidR="005B55E3" w14:paraId="23054DE7" w14:textId="77777777">
        <w:trPr>
          <w:trHeight w:val="956"/>
          <w:jc w:val="center"/>
        </w:trPr>
        <w:tc>
          <w:tcPr>
            <w:tcW w:w="406" w:type="pct"/>
            <w:tcBorders>
              <w:bottom w:val="single" w:sz="4" w:space="0" w:color="auto"/>
              <w:tl2br w:val="nil"/>
              <w:tr2bl w:val="nil"/>
            </w:tcBorders>
            <w:noWrap/>
            <w:vAlign w:val="center"/>
          </w:tcPr>
          <w:p w14:paraId="509A5DD4" w14:textId="77777777" w:rsidR="005B55E3" w:rsidRDefault="00000000">
            <w:pPr>
              <w:widowControl/>
              <w:spacing w:line="60" w:lineRule="auto"/>
              <w:jc w:val="center"/>
              <w:rPr>
                <w:color w:val="000000"/>
                <w:kern w:val="0"/>
                <w:sz w:val="24"/>
              </w:rPr>
            </w:pPr>
            <w:r>
              <w:rPr>
                <w:rFonts w:hint="eastAsia"/>
                <w:color w:val="000000"/>
                <w:kern w:val="0"/>
                <w:sz w:val="24"/>
              </w:rPr>
              <w:t>1</w:t>
            </w:r>
          </w:p>
        </w:tc>
        <w:tc>
          <w:tcPr>
            <w:tcW w:w="1353" w:type="pct"/>
            <w:tcBorders>
              <w:bottom w:val="single" w:sz="4" w:space="0" w:color="auto"/>
              <w:tl2br w:val="nil"/>
              <w:tr2bl w:val="nil"/>
            </w:tcBorders>
            <w:noWrap/>
            <w:vAlign w:val="center"/>
          </w:tcPr>
          <w:p w14:paraId="4D0E630F" w14:textId="77777777" w:rsidR="005B55E3" w:rsidRDefault="00000000">
            <w:pPr>
              <w:widowControl/>
              <w:jc w:val="center"/>
              <w:rPr>
                <w:color w:val="000000"/>
                <w:kern w:val="0"/>
                <w:sz w:val="24"/>
              </w:rPr>
            </w:pPr>
            <w:r>
              <w:rPr>
                <w:rFonts w:hint="eastAsia"/>
                <w:color w:val="000000"/>
                <w:kern w:val="0"/>
                <w:sz w:val="24"/>
              </w:rPr>
              <w:t>北京港震科技股份有限公司</w:t>
            </w:r>
          </w:p>
        </w:tc>
        <w:tc>
          <w:tcPr>
            <w:tcW w:w="1215" w:type="pct"/>
            <w:tcBorders>
              <w:bottom w:val="single" w:sz="4" w:space="0" w:color="auto"/>
              <w:tl2br w:val="nil"/>
              <w:tr2bl w:val="nil"/>
            </w:tcBorders>
            <w:noWrap/>
            <w:vAlign w:val="center"/>
          </w:tcPr>
          <w:p w14:paraId="3BFB1682" w14:textId="77777777" w:rsidR="005B55E3" w:rsidRDefault="00000000">
            <w:pPr>
              <w:widowControl/>
              <w:jc w:val="center"/>
              <w:rPr>
                <w:color w:val="000000"/>
                <w:kern w:val="0"/>
                <w:sz w:val="24"/>
              </w:rPr>
            </w:pPr>
            <w:r>
              <w:rPr>
                <w:rFonts w:hint="eastAsia"/>
                <w:color w:val="000000"/>
                <w:kern w:val="0"/>
                <w:sz w:val="24"/>
              </w:rPr>
              <w:t>GL-A4</w:t>
            </w:r>
          </w:p>
        </w:tc>
        <w:tc>
          <w:tcPr>
            <w:tcW w:w="2024" w:type="pct"/>
            <w:tcBorders>
              <w:bottom w:val="single" w:sz="4" w:space="0" w:color="auto"/>
              <w:tl2br w:val="nil"/>
              <w:tr2bl w:val="nil"/>
            </w:tcBorders>
            <w:vAlign w:val="center"/>
          </w:tcPr>
          <w:p w14:paraId="2A9B4DD2"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4g</w:t>
            </w:r>
            <w:r>
              <w:rPr>
                <w:rFonts w:hint="eastAsia"/>
                <w:color w:val="000000"/>
                <w:kern w:val="0"/>
                <w:sz w:val="24"/>
              </w:rPr>
              <w:t>；</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DC~100Hz</w:t>
            </w:r>
            <w:r>
              <w:rPr>
                <w:rFonts w:hint="eastAsia"/>
                <w:sz w:val="24"/>
              </w:rPr>
              <w:t>；</w:t>
            </w:r>
            <w:r>
              <w:rPr>
                <w:rFonts w:hint="eastAsia"/>
                <w:sz w:val="24"/>
              </w:rPr>
              <w:t>4</w:t>
            </w:r>
            <w:r>
              <w:rPr>
                <w:rFonts w:hint="eastAsia"/>
                <w:sz w:val="24"/>
              </w:rPr>
              <w:t>、线性度误差：＜</w:t>
            </w:r>
            <w:r>
              <w:rPr>
                <w:rFonts w:hint="eastAsia"/>
                <w:sz w:val="24"/>
              </w:rPr>
              <w:t>0.</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1%</w:t>
            </w:r>
            <w:r>
              <w:rPr>
                <w:rFonts w:hint="eastAsia"/>
                <w:color w:val="000000"/>
                <w:kern w:val="0"/>
                <w:sz w:val="24"/>
              </w:rPr>
              <w:t>；</w:t>
            </w:r>
            <w:r>
              <w:rPr>
                <w:rFonts w:hint="eastAsia"/>
                <w:color w:val="000000"/>
                <w:kern w:val="0"/>
                <w:sz w:val="24"/>
              </w:rPr>
              <w:t>6</w:t>
            </w:r>
            <w:r>
              <w:rPr>
                <w:rFonts w:hint="eastAsia"/>
                <w:color w:val="000000"/>
                <w:kern w:val="0"/>
                <w:sz w:val="24"/>
              </w:rPr>
              <w:t>、噪声谱密度：＜</w:t>
            </w:r>
            <w:r>
              <w:rPr>
                <w:rFonts w:hint="eastAsia"/>
                <w:color w:val="000000"/>
                <w:kern w:val="0"/>
                <w:sz w:val="24"/>
              </w:rPr>
              <w:t>3*10</w:t>
            </w:r>
            <w:r>
              <w:rPr>
                <w:rFonts w:hint="eastAsia"/>
                <w:color w:val="000000"/>
                <w:kern w:val="0"/>
                <w:sz w:val="24"/>
                <w:vertAlign w:val="superscript"/>
              </w:rPr>
              <w:t>-6</w:t>
            </w:r>
            <w:r>
              <w:rPr>
                <w:rFonts w:hint="eastAsia"/>
                <w:color w:val="000000"/>
                <w:kern w:val="0"/>
                <w:sz w:val="24"/>
              </w:rPr>
              <w:t>ms</w:t>
            </w:r>
            <w:r>
              <w:rPr>
                <w:rFonts w:hint="eastAsia"/>
                <w:color w:val="000000"/>
                <w:kern w:val="0"/>
                <w:sz w:val="24"/>
                <w:vertAlign w:val="superscript"/>
              </w:rPr>
              <w:t>-2</w:t>
            </w:r>
            <w:r>
              <w:rPr>
                <w:rFonts w:hint="eastAsia"/>
                <w:color w:val="000000"/>
                <w:kern w:val="0"/>
                <w:sz w:val="24"/>
              </w:rPr>
              <w:t>/</w:t>
            </w:r>
            <m:oMath>
              <m:rad>
                <m:radPr>
                  <m:degHide m:val="1"/>
                  <m:ctrlPr>
                    <w:rPr>
                      <w:rFonts w:ascii="Cambria Math" w:hAnsi="Cambria Math"/>
                      <w:i/>
                      <w:color w:val="000000"/>
                      <w:kern w:val="0"/>
                      <w:sz w:val="24"/>
                    </w:rPr>
                  </m:ctrlPr>
                </m:radPr>
                <m:deg/>
                <m:e>
                  <m:r>
                    <w:rPr>
                      <w:rFonts w:ascii="Cambria Math" w:hAnsi="Cambria Math"/>
                      <w:color w:val="000000"/>
                      <w:kern w:val="0"/>
                      <w:sz w:val="24"/>
                    </w:rPr>
                    <m:t>Hz</m:t>
                  </m:r>
                </m:e>
              </m:rad>
            </m:oMath>
          </w:p>
        </w:tc>
      </w:tr>
      <w:tr w:rsidR="005B55E3" w14:paraId="14A46A19" w14:textId="77777777">
        <w:trPr>
          <w:trHeight w:val="956"/>
          <w:jc w:val="center"/>
        </w:trPr>
        <w:tc>
          <w:tcPr>
            <w:tcW w:w="406" w:type="pct"/>
            <w:tcBorders>
              <w:bottom w:val="single" w:sz="4" w:space="0" w:color="auto"/>
              <w:tl2br w:val="nil"/>
              <w:tr2bl w:val="nil"/>
            </w:tcBorders>
            <w:noWrap/>
            <w:vAlign w:val="center"/>
          </w:tcPr>
          <w:p w14:paraId="1D8A5DE1" w14:textId="77777777" w:rsidR="005B55E3" w:rsidRDefault="00000000">
            <w:pPr>
              <w:widowControl/>
              <w:spacing w:line="60" w:lineRule="auto"/>
              <w:jc w:val="center"/>
              <w:rPr>
                <w:color w:val="000000"/>
                <w:kern w:val="0"/>
                <w:sz w:val="24"/>
              </w:rPr>
            </w:pPr>
            <w:r>
              <w:rPr>
                <w:rFonts w:hint="eastAsia"/>
                <w:color w:val="000000"/>
                <w:kern w:val="0"/>
                <w:sz w:val="24"/>
              </w:rPr>
              <w:lastRenderedPageBreak/>
              <w:t>2</w:t>
            </w:r>
          </w:p>
        </w:tc>
        <w:tc>
          <w:tcPr>
            <w:tcW w:w="1353" w:type="pct"/>
            <w:tcBorders>
              <w:bottom w:val="single" w:sz="4" w:space="0" w:color="auto"/>
              <w:tl2br w:val="nil"/>
              <w:tr2bl w:val="nil"/>
            </w:tcBorders>
            <w:noWrap/>
            <w:vAlign w:val="center"/>
          </w:tcPr>
          <w:p w14:paraId="604034BD" w14:textId="77777777" w:rsidR="005B55E3" w:rsidRDefault="00000000">
            <w:pPr>
              <w:widowControl/>
              <w:jc w:val="center"/>
              <w:rPr>
                <w:color w:val="000000"/>
                <w:kern w:val="0"/>
                <w:sz w:val="24"/>
              </w:rPr>
            </w:pPr>
            <w:r>
              <w:rPr>
                <w:rFonts w:hint="eastAsia"/>
                <w:color w:val="000000"/>
                <w:kern w:val="0"/>
                <w:sz w:val="24"/>
              </w:rPr>
              <w:t>北京港震科技股份有限公司</w:t>
            </w:r>
          </w:p>
        </w:tc>
        <w:tc>
          <w:tcPr>
            <w:tcW w:w="1215" w:type="pct"/>
            <w:tcBorders>
              <w:bottom w:val="single" w:sz="4" w:space="0" w:color="auto"/>
              <w:tl2br w:val="nil"/>
              <w:tr2bl w:val="nil"/>
            </w:tcBorders>
            <w:noWrap/>
            <w:vAlign w:val="center"/>
          </w:tcPr>
          <w:p w14:paraId="1A3412C0" w14:textId="77777777" w:rsidR="005B55E3" w:rsidRDefault="00000000">
            <w:pPr>
              <w:widowControl/>
              <w:jc w:val="center"/>
              <w:rPr>
                <w:color w:val="000000"/>
                <w:kern w:val="0"/>
                <w:sz w:val="24"/>
              </w:rPr>
            </w:pPr>
            <w:r>
              <w:rPr>
                <w:rFonts w:hint="eastAsia"/>
                <w:color w:val="000000"/>
                <w:kern w:val="0"/>
                <w:sz w:val="24"/>
              </w:rPr>
              <w:t>GL-AQ4</w:t>
            </w:r>
          </w:p>
        </w:tc>
        <w:tc>
          <w:tcPr>
            <w:tcW w:w="2024" w:type="pct"/>
            <w:tcBorders>
              <w:bottom w:val="single" w:sz="4" w:space="0" w:color="auto"/>
              <w:tl2br w:val="nil"/>
              <w:tr2bl w:val="nil"/>
            </w:tcBorders>
            <w:vAlign w:val="center"/>
          </w:tcPr>
          <w:p w14:paraId="5AC00C4A"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4g</w:t>
            </w:r>
            <w:r>
              <w:rPr>
                <w:rFonts w:hint="eastAsia"/>
                <w:color w:val="000000"/>
                <w:kern w:val="0"/>
                <w:sz w:val="24"/>
              </w:rPr>
              <w:t>；</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DC~100Hz</w:t>
            </w:r>
            <w:r>
              <w:rPr>
                <w:rFonts w:hint="eastAsia"/>
                <w:sz w:val="24"/>
              </w:rPr>
              <w:t>：；</w:t>
            </w:r>
            <w:r>
              <w:rPr>
                <w:rFonts w:hint="eastAsia"/>
                <w:sz w:val="24"/>
              </w:rPr>
              <w:t>4</w:t>
            </w:r>
            <w:r>
              <w:rPr>
                <w:rFonts w:hint="eastAsia"/>
                <w:sz w:val="24"/>
              </w:rPr>
              <w:t>、线性度误差：＜</w:t>
            </w:r>
            <w:r>
              <w:rPr>
                <w:rFonts w:hint="eastAsia"/>
                <w:sz w:val="24"/>
              </w:rPr>
              <w:t>0.</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1%</w:t>
            </w:r>
            <w:r>
              <w:rPr>
                <w:rFonts w:hint="eastAsia"/>
                <w:color w:val="000000"/>
                <w:kern w:val="0"/>
                <w:sz w:val="24"/>
              </w:rPr>
              <w:t>；</w:t>
            </w:r>
            <w:r>
              <w:rPr>
                <w:rFonts w:hint="eastAsia"/>
                <w:color w:val="000000"/>
                <w:kern w:val="0"/>
                <w:sz w:val="24"/>
              </w:rPr>
              <w:t>6</w:t>
            </w:r>
            <w:r>
              <w:rPr>
                <w:rFonts w:hint="eastAsia"/>
                <w:color w:val="000000"/>
                <w:kern w:val="0"/>
                <w:sz w:val="24"/>
              </w:rPr>
              <w:t>、温度漂移：＜</w:t>
            </w:r>
            <w:r>
              <w:rPr>
                <w:rFonts w:hint="eastAsia"/>
                <w:color w:val="000000"/>
                <w:kern w:val="0"/>
                <w:sz w:val="24"/>
              </w:rPr>
              <w:t>200ug/</w:t>
            </w:r>
            <w:r>
              <w:rPr>
                <w:rFonts w:hint="eastAsia"/>
                <w:color w:val="000000"/>
                <w:kern w:val="0"/>
                <w:sz w:val="24"/>
              </w:rPr>
              <w:t>℃（垂直向）；＜</w:t>
            </w:r>
            <w:r>
              <w:rPr>
                <w:rFonts w:hint="eastAsia"/>
                <w:color w:val="000000"/>
                <w:kern w:val="0"/>
                <w:sz w:val="24"/>
              </w:rPr>
              <w:t>50ug/</w:t>
            </w:r>
            <w:r>
              <w:rPr>
                <w:rFonts w:hint="eastAsia"/>
                <w:color w:val="000000"/>
                <w:kern w:val="0"/>
                <w:sz w:val="24"/>
              </w:rPr>
              <w:t>℃（水平向）</w:t>
            </w:r>
          </w:p>
        </w:tc>
      </w:tr>
      <w:tr w:rsidR="005B55E3" w14:paraId="2095C3E6" w14:textId="77777777">
        <w:trPr>
          <w:trHeight w:val="956"/>
          <w:jc w:val="center"/>
        </w:trPr>
        <w:tc>
          <w:tcPr>
            <w:tcW w:w="406" w:type="pct"/>
            <w:tcBorders>
              <w:bottom w:val="single" w:sz="4" w:space="0" w:color="auto"/>
              <w:tl2br w:val="nil"/>
              <w:tr2bl w:val="nil"/>
            </w:tcBorders>
            <w:noWrap/>
            <w:vAlign w:val="center"/>
          </w:tcPr>
          <w:p w14:paraId="0286F430" w14:textId="77777777" w:rsidR="005B55E3" w:rsidRDefault="00000000">
            <w:pPr>
              <w:widowControl/>
              <w:spacing w:line="60" w:lineRule="auto"/>
              <w:jc w:val="center"/>
              <w:rPr>
                <w:color w:val="000000"/>
                <w:kern w:val="0"/>
                <w:sz w:val="24"/>
              </w:rPr>
            </w:pPr>
            <w:r>
              <w:rPr>
                <w:rFonts w:hint="eastAsia"/>
                <w:color w:val="000000"/>
                <w:kern w:val="0"/>
                <w:sz w:val="24"/>
              </w:rPr>
              <w:t>3</w:t>
            </w:r>
          </w:p>
        </w:tc>
        <w:tc>
          <w:tcPr>
            <w:tcW w:w="1353" w:type="pct"/>
            <w:tcBorders>
              <w:bottom w:val="single" w:sz="4" w:space="0" w:color="auto"/>
              <w:tl2br w:val="nil"/>
              <w:tr2bl w:val="nil"/>
            </w:tcBorders>
            <w:noWrap/>
            <w:vAlign w:val="center"/>
          </w:tcPr>
          <w:p w14:paraId="0E528445" w14:textId="77777777" w:rsidR="005B55E3" w:rsidRDefault="00000000">
            <w:pPr>
              <w:widowControl/>
              <w:jc w:val="center"/>
              <w:rPr>
                <w:color w:val="000000"/>
                <w:kern w:val="0"/>
                <w:sz w:val="24"/>
              </w:rPr>
            </w:pPr>
            <w:proofErr w:type="spellStart"/>
            <w:r>
              <w:rPr>
                <w:rFonts w:hint="eastAsia"/>
                <w:color w:val="000000"/>
                <w:kern w:val="0"/>
                <w:sz w:val="24"/>
              </w:rPr>
              <w:t>Kinemetrics</w:t>
            </w:r>
            <w:proofErr w:type="spellEnd"/>
          </w:p>
        </w:tc>
        <w:tc>
          <w:tcPr>
            <w:tcW w:w="1215" w:type="pct"/>
            <w:tcBorders>
              <w:bottom w:val="single" w:sz="4" w:space="0" w:color="auto"/>
              <w:tl2br w:val="nil"/>
              <w:tr2bl w:val="nil"/>
            </w:tcBorders>
            <w:noWrap/>
            <w:vAlign w:val="center"/>
          </w:tcPr>
          <w:p w14:paraId="0EA912B4" w14:textId="77777777" w:rsidR="005B55E3" w:rsidRDefault="00000000">
            <w:pPr>
              <w:widowControl/>
              <w:jc w:val="center"/>
              <w:rPr>
                <w:color w:val="000000"/>
                <w:kern w:val="0"/>
                <w:sz w:val="24"/>
              </w:rPr>
            </w:pPr>
            <w:r>
              <w:rPr>
                <w:rFonts w:hint="eastAsia"/>
                <w:color w:val="000000"/>
                <w:kern w:val="0"/>
                <w:sz w:val="24"/>
              </w:rPr>
              <w:t>FBA ES-T</w:t>
            </w:r>
          </w:p>
        </w:tc>
        <w:tc>
          <w:tcPr>
            <w:tcW w:w="2024" w:type="pct"/>
            <w:tcBorders>
              <w:bottom w:val="single" w:sz="4" w:space="0" w:color="auto"/>
              <w:tl2br w:val="nil"/>
              <w:tr2bl w:val="nil"/>
            </w:tcBorders>
            <w:vAlign w:val="center"/>
          </w:tcPr>
          <w:p w14:paraId="073F4063"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0.25g</w:t>
            </w:r>
            <w:r>
              <w:rPr>
                <w:rFonts w:hint="eastAsia"/>
                <w:color w:val="000000"/>
                <w:kern w:val="0"/>
                <w:sz w:val="24"/>
              </w:rPr>
              <w:t>、±</w:t>
            </w:r>
            <w:r>
              <w:rPr>
                <w:rFonts w:hint="eastAsia"/>
                <w:color w:val="000000"/>
                <w:kern w:val="0"/>
                <w:sz w:val="24"/>
              </w:rPr>
              <w:t>0.5g</w:t>
            </w:r>
            <w:r>
              <w:rPr>
                <w:rFonts w:hint="eastAsia"/>
                <w:color w:val="000000"/>
                <w:kern w:val="0"/>
                <w:sz w:val="24"/>
              </w:rPr>
              <w:t>、±</w:t>
            </w:r>
            <w:r>
              <w:rPr>
                <w:rFonts w:hint="eastAsia"/>
                <w:color w:val="000000"/>
                <w:kern w:val="0"/>
                <w:sz w:val="24"/>
              </w:rPr>
              <w:t>1g</w:t>
            </w:r>
            <w:r>
              <w:rPr>
                <w:rFonts w:hint="eastAsia"/>
                <w:color w:val="000000"/>
                <w:kern w:val="0"/>
                <w:sz w:val="24"/>
              </w:rPr>
              <w:t>、±</w:t>
            </w:r>
            <w:r>
              <w:rPr>
                <w:rFonts w:hint="eastAsia"/>
                <w:color w:val="000000"/>
                <w:kern w:val="0"/>
                <w:sz w:val="24"/>
              </w:rPr>
              <w:t>2g</w:t>
            </w:r>
            <w:r>
              <w:rPr>
                <w:rFonts w:hint="eastAsia"/>
                <w:color w:val="000000"/>
                <w:kern w:val="0"/>
                <w:sz w:val="24"/>
              </w:rPr>
              <w:t>、±</w:t>
            </w:r>
            <w:r>
              <w:rPr>
                <w:rFonts w:hint="eastAsia"/>
                <w:color w:val="000000"/>
                <w:kern w:val="0"/>
                <w:sz w:val="24"/>
              </w:rPr>
              <w:t>4g</w:t>
            </w:r>
            <w:r>
              <w:rPr>
                <w:rFonts w:hint="eastAsia"/>
                <w:color w:val="000000"/>
                <w:kern w:val="0"/>
                <w:sz w:val="24"/>
              </w:rPr>
              <w:t>可选；</w:t>
            </w:r>
            <w:r>
              <w:rPr>
                <w:rFonts w:hint="eastAsia"/>
                <w:color w:val="000000"/>
                <w:kern w:val="0"/>
                <w:sz w:val="24"/>
              </w:rPr>
              <w:t>2</w:t>
            </w:r>
            <w:r>
              <w:rPr>
                <w:rFonts w:hint="eastAsia"/>
                <w:color w:val="000000"/>
                <w:kern w:val="0"/>
                <w:sz w:val="24"/>
              </w:rPr>
              <w:t>、</w:t>
            </w:r>
            <w:r>
              <w:rPr>
                <w:rFonts w:hint="eastAsia"/>
                <w:sz w:val="24"/>
              </w:rPr>
              <w:t>工作频带</w:t>
            </w:r>
            <w:r>
              <w:rPr>
                <w:rFonts w:hint="eastAsia"/>
                <w:sz w:val="24"/>
              </w:rPr>
              <w:t>DC~200Hz</w:t>
            </w:r>
            <w:r>
              <w:rPr>
                <w:rFonts w:hint="eastAsia"/>
                <w:sz w:val="24"/>
              </w:rPr>
              <w:t>：；</w:t>
            </w:r>
            <w:r>
              <w:rPr>
                <w:rFonts w:hint="eastAsia"/>
                <w:sz w:val="24"/>
              </w:rPr>
              <w:t>3</w:t>
            </w:r>
            <w:r>
              <w:rPr>
                <w:rFonts w:hint="eastAsia"/>
                <w:sz w:val="24"/>
              </w:rPr>
              <w:t>、线性度误差：＜</w:t>
            </w:r>
            <w:r>
              <w:rPr>
                <w:rFonts w:hint="eastAsia"/>
                <w:sz w:val="24"/>
              </w:rPr>
              <w:t>10</w:t>
            </w:r>
            <w:r>
              <w:rPr>
                <w:rFonts w:hint="eastAsia"/>
                <w:color w:val="000000"/>
                <w:kern w:val="0"/>
                <w:sz w:val="24"/>
              </w:rPr>
              <w:t>0ug/g</w:t>
            </w:r>
            <w:r>
              <w:rPr>
                <w:rFonts w:hint="eastAsia"/>
                <w:color w:val="000000"/>
                <w:kern w:val="0"/>
                <w:sz w:val="24"/>
                <w:vertAlign w:val="superscript"/>
              </w:rPr>
              <w:t>2</w:t>
            </w:r>
            <w:r>
              <w:rPr>
                <w:rFonts w:hint="eastAsia"/>
                <w:color w:val="000000"/>
                <w:kern w:val="0"/>
                <w:sz w:val="24"/>
              </w:rPr>
              <w:t>；</w:t>
            </w:r>
            <w:r>
              <w:rPr>
                <w:rFonts w:hint="eastAsia"/>
                <w:color w:val="000000"/>
                <w:kern w:val="0"/>
                <w:sz w:val="24"/>
              </w:rPr>
              <w:t>4</w:t>
            </w:r>
            <w:r>
              <w:rPr>
                <w:rFonts w:hint="eastAsia"/>
                <w:color w:val="000000"/>
                <w:kern w:val="0"/>
                <w:sz w:val="24"/>
              </w:rPr>
              <w:t>、横向灵敏度比：＜</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、温度漂移：＜</w:t>
            </w:r>
            <w:r>
              <w:rPr>
                <w:rFonts w:hint="eastAsia"/>
                <w:color w:val="000000"/>
                <w:kern w:val="0"/>
                <w:sz w:val="24"/>
              </w:rPr>
              <w:t>500ug/</w:t>
            </w:r>
            <w:r>
              <w:rPr>
                <w:rFonts w:hint="eastAsia"/>
                <w:color w:val="000000"/>
                <w:kern w:val="0"/>
                <w:sz w:val="24"/>
              </w:rPr>
              <w:t>℃；</w:t>
            </w:r>
          </w:p>
        </w:tc>
      </w:tr>
      <w:tr w:rsidR="005B55E3" w14:paraId="3635178B" w14:textId="77777777">
        <w:trPr>
          <w:trHeight w:val="1256"/>
          <w:jc w:val="center"/>
        </w:trPr>
        <w:tc>
          <w:tcPr>
            <w:tcW w:w="406" w:type="pct"/>
            <w:tcBorders>
              <w:bottom w:val="single" w:sz="4" w:space="0" w:color="auto"/>
              <w:tl2br w:val="nil"/>
              <w:tr2bl w:val="nil"/>
            </w:tcBorders>
            <w:noWrap/>
            <w:vAlign w:val="center"/>
          </w:tcPr>
          <w:p w14:paraId="2C890F4B" w14:textId="77777777" w:rsidR="005B55E3" w:rsidRDefault="00000000">
            <w:pPr>
              <w:widowControl/>
              <w:spacing w:line="60" w:lineRule="auto"/>
              <w:jc w:val="center"/>
              <w:rPr>
                <w:color w:val="000000"/>
                <w:kern w:val="0"/>
                <w:sz w:val="24"/>
              </w:rPr>
            </w:pPr>
            <w:r>
              <w:rPr>
                <w:rFonts w:hint="eastAsia"/>
                <w:color w:val="000000"/>
                <w:kern w:val="0"/>
                <w:sz w:val="24"/>
              </w:rPr>
              <w:t>4</w:t>
            </w:r>
          </w:p>
        </w:tc>
        <w:tc>
          <w:tcPr>
            <w:tcW w:w="1353" w:type="pct"/>
            <w:tcBorders>
              <w:bottom w:val="single" w:sz="4" w:space="0" w:color="auto"/>
              <w:tl2br w:val="nil"/>
              <w:tr2bl w:val="nil"/>
            </w:tcBorders>
            <w:noWrap/>
            <w:vAlign w:val="center"/>
          </w:tcPr>
          <w:p w14:paraId="211C87B1" w14:textId="77777777" w:rsidR="005B55E3" w:rsidRDefault="00000000">
            <w:pPr>
              <w:widowControl/>
              <w:jc w:val="center"/>
              <w:rPr>
                <w:color w:val="000000"/>
                <w:kern w:val="0"/>
                <w:sz w:val="24"/>
              </w:rPr>
            </w:pPr>
            <w:r>
              <w:rPr>
                <w:rFonts w:hint="eastAsia"/>
                <w:color w:val="000000"/>
                <w:kern w:val="0"/>
                <w:sz w:val="24"/>
              </w:rPr>
              <w:t>武汉地震科学仪器研究院有限公司</w:t>
            </w:r>
          </w:p>
        </w:tc>
        <w:tc>
          <w:tcPr>
            <w:tcW w:w="1215" w:type="pct"/>
            <w:tcBorders>
              <w:bottom w:val="single" w:sz="4" w:space="0" w:color="auto"/>
              <w:tl2br w:val="nil"/>
              <w:tr2bl w:val="nil"/>
            </w:tcBorders>
            <w:noWrap/>
            <w:vAlign w:val="center"/>
          </w:tcPr>
          <w:p w14:paraId="5E8E43CD" w14:textId="77777777" w:rsidR="005B55E3" w:rsidRDefault="00000000">
            <w:pPr>
              <w:widowControl/>
              <w:jc w:val="center"/>
              <w:rPr>
                <w:color w:val="000000"/>
                <w:kern w:val="0"/>
                <w:sz w:val="24"/>
              </w:rPr>
            </w:pPr>
            <w:r>
              <w:rPr>
                <w:rFonts w:hint="eastAsia"/>
                <w:color w:val="000000"/>
                <w:kern w:val="0"/>
                <w:sz w:val="24"/>
              </w:rPr>
              <w:t>REMOS-LA02</w:t>
            </w:r>
          </w:p>
        </w:tc>
        <w:tc>
          <w:tcPr>
            <w:tcW w:w="2024" w:type="pct"/>
            <w:tcBorders>
              <w:bottom w:val="single" w:sz="4" w:space="0" w:color="auto"/>
              <w:tl2br w:val="nil"/>
              <w:tr2bl w:val="nil"/>
            </w:tcBorders>
            <w:vAlign w:val="center"/>
          </w:tcPr>
          <w:p w14:paraId="12CBF9A6"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2g</w:t>
            </w:r>
            <w:r>
              <w:rPr>
                <w:rFonts w:hint="eastAsia"/>
                <w:color w:val="000000"/>
                <w:kern w:val="0"/>
                <w:sz w:val="24"/>
              </w:rPr>
              <w:t>、±</w:t>
            </w:r>
            <w:r>
              <w:rPr>
                <w:rFonts w:hint="eastAsia"/>
                <w:color w:val="000000"/>
                <w:kern w:val="0"/>
                <w:sz w:val="24"/>
              </w:rPr>
              <w:t>1g</w:t>
            </w:r>
            <w:r>
              <w:rPr>
                <w:rFonts w:hint="eastAsia"/>
                <w:color w:val="000000"/>
                <w:kern w:val="0"/>
                <w:sz w:val="24"/>
              </w:rPr>
              <w:t>（选用）；</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1.25V/g</w:t>
            </w:r>
            <w:r>
              <w:rPr>
                <w:rFonts w:hint="eastAsia"/>
                <w:color w:val="000000"/>
                <w:kern w:val="0"/>
                <w:sz w:val="24"/>
              </w:rPr>
              <w:t>（选用）；</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DC~80Hz</w:t>
            </w:r>
            <w:r>
              <w:rPr>
                <w:rFonts w:hint="eastAsia"/>
                <w:sz w:val="24"/>
              </w:rPr>
              <w:t>；</w:t>
            </w:r>
            <w:r>
              <w:rPr>
                <w:rFonts w:hint="eastAsia"/>
                <w:sz w:val="24"/>
              </w:rPr>
              <w:t>4</w:t>
            </w:r>
            <w:r>
              <w:rPr>
                <w:rFonts w:hint="eastAsia"/>
                <w:sz w:val="24"/>
              </w:rPr>
              <w:t>、线性度误差：＜</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0.1%</w:t>
            </w:r>
            <w:r>
              <w:rPr>
                <w:rFonts w:hint="eastAsia"/>
                <w:color w:val="000000"/>
                <w:kern w:val="0"/>
                <w:sz w:val="24"/>
              </w:rPr>
              <w:t>；</w:t>
            </w:r>
          </w:p>
        </w:tc>
      </w:tr>
      <w:tr w:rsidR="005B55E3" w14:paraId="758972BA" w14:textId="77777777">
        <w:trPr>
          <w:trHeight w:val="956"/>
          <w:jc w:val="center"/>
        </w:trPr>
        <w:tc>
          <w:tcPr>
            <w:tcW w:w="406" w:type="pct"/>
            <w:tcBorders>
              <w:bottom w:val="single" w:sz="4" w:space="0" w:color="auto"/>
              <w:tl2br w:val="nil"/>
              <w:tr2bl w:val="nil"/>
            </w:tcBorders>
            <w:noWrap/>
            <w:vAlign w:val="center"/>
          </w:tcPr>
          <w:p w14:paraId="2DD4F8DA" w14:textId="77777777" w:rsidR="005B55E3" w:rsidRDefault="00000000">
            <w:pPr>
              <w:widowControl/>
              <w:spacing w:line="60" w:lineRule="auto"/>
              <w:jc w:val="center"/>
              <w:rPr>
                <w:color w:val="000000"/>
                <w:kern w:val="0"/>
                <w:sz w:val="24"/>
              </w:rPr>
            </w:pPr>
            <w:r>
              <w:rPr>
                <w:rFonts w:hint="eastAsia"/>
                <w:color w:val="000000"/>
                <w:kern w:val="0"/>
                <w:sz w:val="24"/>
              </w:rPr>
              <w:t>5</w:t>
            </w:r>
          </w:p>
        </w:tc>
        <w:tc>
          <w:tcPr>
            <w:tcW w:w="1353" w:type="pct"/>
            <w:tcBorders>
              <w:bottom w:val="single" w:sz="4" w:space="0" w:color="auto"/>
              <w:tl2br w:val="nil"/>
              <w:tr2bl w:val="nil"/>
            </w:tcBorders>
            <w:noWrap/>
            <w:vAlign w:val="center"/>
          </w:tcPr>
          <w:p w14:paraId="5E5B965D" w14:textId="77777777" w:rsidR="005B55E3" w:rsidRDefault="00000000">
            <w:pPr>
              <w:widowControl/>
              <w:jc w:val="center"/>
              <w:rPr>
                <w:color w:val="000000"/>
                <w:kern w:val="0"/>
                <w:sz w:val="24"/>
              </w:rPr>
            </w:pPr>
            <w:r>
              <w:rPr>
                <w:rFonts w:hint="eastAsia"/>
                <w:color w:val="000000"/>
                <w:kern w:val="0"/>
                <w:sz w:val="24"/>
              </w:rPr>
              <w:t>珠海市泰德企业有限公司</w:t>
            </w:r>
          </w:p>
        </w:tc>
        <w:tc>
          <w:tcPr>
            <w:tcW w:w="1215" w:type="pct"/>
            <w:tcBorders>
              <w:bottom w:val="single" w:sz="4" w:space="0" w:color="auto"/>
              <w:tl2br w:val="nil"/>
              <w:tr2bl w:val="nil"/>
            </w:tcBorders>
            <w:noWrap/>
            <w:vAlign w:val="center"/>
          </w:tcPr>
          <w:p w14:paraId="7AA45F73" w14:textId="77777777" w:rsidR="005B55E3" w:rsidRDefault="00000000">
            <w:pPr>
              <w:widowControl/>
              <w:jc w:val="center"/>
              <w:rPr>
                <w:color w:val="000000"/>
                <w:kern w:val="0"/>
                <w:sz w:val="24"/>
              </w:rPr>
            </w:pPr>
            <w:r>
              <w:rPr>
                <w:rFonts w:hint="eastAsia"/>
                <w:color w:val="000000"/>
                <w:kern w:val="0"/>
                <w:sz w:val="24"/>
              </w:rPr>
              <w:t>TDA-33M</w:t>
            </w:r>
          </w:p>
        </w:tc>
        <w:tc>
          <w:tcPr>
            <w:tcW w:w="2024" w:type="pct"/>
            <w:tcBorders>
              <w:bottom w:val="single" w:sz="4" w:space="0" w:color="auto"/>
              <w:tl2br w:val="nil"/>
              <w:tr2bl w:val="nil"/>
            </w:tcBorders>
            <w:vAlign w:val="center"/>
          </w:tcPr>
          <w:p w14:paraId="0EEEADAD"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2g</w:t>
            </w:r>
            <w:r>
              <w:rPr>
                <w:rFonts w:hint="eastAsia"/>
                <w:color w:val="000000"/>
                <w:kern w:val="0"/>
                <w:sz w:val="24"/>
              </w:rPr>
              <w:t>；</w:t>
            </w:r>
            <w:r>
              <w:rPr>
                <w:rFonts w:hint="eastAsia"/>
                <w:color w:val="000000"/>
                <w:kern w:val="0"/>
                <w:sz w:val="24"/>
              </w:rPr>
              <w:t>2</w:t>
            </w:r>
            <w:r>
              <w:rPr>
                <w:rFonts w:hint="eastAsia"/>
                <w:color w:val="000000"/>
                <w:kern w:val="0"/>
                <w:sz w:val="24"/>
              </w:rPr>
              <w:t>、灵敏度：</w:t>
            </w:r>
            <w:r>
              <w:rPr>
                <w:rFonts w:hint="eastAsia"/>
                <w:color w:val="000000"/>
                <w:kern w:val="0"/>
                <w:sz w:val="24"/>
              </w:rPr>
              <w:t>10V/g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DC~10Hz</w:t>
            </w:r>
            <w:r>
              <w:rPr>
                <w:rFonts w:hint="eastAsia"/>
                <w:sz w:val="24"/>
              </w:rPr>
              <w:t>；</w:t>
            </w:r>
            <w:r>
              <w:rPr>
                <w:rFonts w:hint="eastAsia"/>
                <w:sz w:val="24"/>
              </w:rPr>
              <w:t>4</w:t>
            </w:r>
            <w:r>
              <w:rPr>
                <w:rFonts w:hint="eastAsia"/>
                <w:sz w:val="24"/>
              </w:rPr>
              <w:t>、线性度误差：＜</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1%</w:t>
            </w:r>
            <w:r>
              <w:rPr>
                <w:rFonts w:hint="eastAsia"/>
                <w:color w:val="000000"/>
                <w:kern w:val="0"/>
                <w:sz w:val="24"/>
              </w:rPr>
              <w:t>；</w:t>
            </w:r>
          </w:p>
        </w:tc>
      </w:tr>
      <w:tr w:rsidR="005B55E3" w14:paraId="4F95DB7C" w14:textId="77777777">
        <w:trPr>
          <w:trHeight w:val="956"/>
          <w:jc w:val="center"/>
        </w:trPr>
        <w:tc>
          <w:tcPr>
            <w:tcW w:w="406" w:type="pct"/>
            <w:tcBorders>
              <w:bottom w:val="single" w:sz="4" w:space="0" w:color="auto"/>
              <w:tl2br w:val="nil"/>
              <w:tr2bl w:val="nil"/>
            </w:tcBorders>
            <w:noWrap/>
            <w:vAlign w:val="center"/>
          </w:tcPr>
          <w:p w14:paraId="35034235" w14:textId="77777777" w:rsidR="005B55E3" w:rsidRDefault="00000000">
            <w:pPr>
              <w:widowControl/>
              <w:spacing w:line="60" w:lineRule="auto"/>
              <w:jc w:val="center"/>
              <w:rPr>
                <w:color w:val="000000"/>
                <w:kern w:val="0"/>
                <w:sz w:val="24"/>
              </w:rPr>
            </w:pPr>
            <w:r>
              <w:rPr>
                <w:rFonts w:hint="eastAsia"/>
                <w:color w:val="000000"/>
                <w:kern w:val="0"/>
                <w:sz w:val="24"/>
              </w:rPr>
              <w:t>6</w:t>
            </w:r>
          </w:p>
        </w:tc>
        <w:tc>
          <w:tcPr>
            <w:tcW w:w="1353" w:type="pct"/>
            <w:tcBorders>
              <w:bottom w:val="single" w:sz="4" w:space="0" w:color="auto"/>
              <w:tl2br w:val="nil"/>
              <w:tr2bl w:val="nil"/>
            </w:tcBorders>
            <w:noWrap/>
            <w:vAlign w:val="center"/>
          </w:tcPr>
          <w:p w14:paraId="590FAFD0" w14:textId="77777777" w:rsidR="005B55E3" w:rsidRDefault="00000000">
            <w:pPr>
              <w:widowControl/>
              <w:jc w:val="center"/>
              <w:rPr>
                <w:color w:val="000000"/>
                <w:kern w:val="0"/>
                <w:sz w:val="24"/>
              </w:rPr>
            </w:pPr>
            <w:r>
              <w:rPr>
                <w:rFonts w:hint="eastAsia"/>
                <w:color w:val="000000"/>
                <w:kern w:val="0"/>
                <w:sz w:val="24"/>
              </w:rPr>
              <w:t>SOLGEO</w:t>
            </w:r>
          </w:p>
        </w:tc>
        <w:tc>
          <w:tcPr>
            <w:tcW w:w="1215" w:type="pct"/>
            <w:tcBorders>
              <w:bottom w:val="single" w:sz="4" w:space="0" w:color="auto"/>
              <w:tl2br w:val="nil"/>
              <w:tr2bl w:val="nil"/>
            </w:tcBorders>
            <w:noWrap/>
            <w:vAlign w:val="center"/>
          </w:tcPr>
          <w:p w14:paraId="49D8A01E" w14:textId="77777777" w:rsidR="005B55E3" w:rsidRDefault="00000000">
            <w:pPr>
              <w:widowControl/>
              <w:jc w:val="center"/>
              <w:rPr>
                <w:color w:val="000000"/>
                <w:kern w:val="0"/>
                <w:sz w:val="24"/>
              </w:rPr>
            </w:pPr>
            <w:r>
              <w:rPr>
                <w:rFonts w:hint="eastAsia"/>
                <w:color w:val="000000"/>
                <w:kern w:val="0"/>
                <w:sz w:val="24"/>
              </w:rPr>
              <w:t>FBA-3C</w:t>
            </w:r>
          </w:p>
        </w:tc>
        <w:tc>
          <w:tcPr>
            <w:tcW w:w="2024" w:type="pct"/>
            <w:tcBorders>
              <w:bottom w:val="single" w:sz="4" w:space="0" w:color="auto"/>
              <w:tl2br w:val="nil"/>
              <w:tr2bl w:val="nil"/>
            </w:tcBorders>
            <w:vAlign w:val="center"/>
          </w:tcPr>
          <w:p w14:paraId="16838BC6"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0.25g</w:t>
            </w:r>
            <w:r>
              <w:rPr>
                <w:rFonts w:hint="eastAsia"/>
                <w:color w:val="000000"/>
                <w:kern w:val="0"/>
                <w:sz w:val="24"/>
              </w:rPr>
              <w:t>、±</w:t>
            </w:r>
            <w:r>
              <w:rPr>
                <w:rFonts w:hint="eastAsia"/>
                <w:color w:val="000000"/>
                <w:kern w:val="0"/>
                <w:sz w:val="24"/>
              </w:rPr>
              <w:t>0.5g</w:t>
            </w:r>
            <w:r>
              <w:rPr>
                <w:rFonts w:hint="eastAsia"/>
                <w:color w:val="000000"/>
                <w:kern w:val="0"/>
                <w:sz w:val="24"/>
              </w:rPr>
              <w:t>、±</w:t>
            </w:r>
            <w:r>
              <w:rPr>
                <w:rFonts w:hint="eastAsia"/>
                <w:color w:val="000000"/>
                <w:kern w:val="0"/>
                <w:sz w:val="24"/>
              </w:rPr>
              <w:t>1g</w:t>
            </w:r>
            <w:r>
              <w:rPr>
                <w:rFonts w:hint="eastAsia"/>
                <w:color w:val="000000"/>
                <w:kern w:val="0"/>
                <w:sz w:val="24"/>
              </w:rPr>
              <w:t>、±</w:t>
            </w:r>
            <w:r>
              <w:rPr>
                <w:rFonts w:hint="eastAsia"/>
                <w:color w:val="000000"/>
                <w:kern w:val="0"/>
                <w:sz w:val="24"/>
              </w:rPr>
              <w:t>2g</w:t>
            </w:r>
            <w:r>
              <w:rPr>
                <w:rFonts w:hint="eastAsia"/>
                <w:color w:val="000000"/>
                <w:kern w:val="0"/>
                <w:sz w:val="24"/>
              </w:rPr>
              <w:t>、±</w:t>
            </w:r>
            <w:r>
              <w:rPr>
                <w:rFonts w:hint="eastAsia"/>
                <w:color w:val="000000"/>
                <w:kern w:val="0"/>
                <w:sz w:val="24"/>
              </w:rPr>
              <w:t>4g</w:t>
            </w:r>
            <w:r>
              <w:rPr>
                <w:rFonts w:hint="eastAsia"/>
                <w:color w:val="000000"/>
                <w:kern w:val="0"/>
                <w:sz w:val="24"/>
              </w:rPr>
              <w:t>可选；</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DC~200Hz</w:t>
            </w:r>
            <w:r>
              <w:rPr>
                <w:rFonts w:hint="eastAsia"/>
                <w:sz w:val="24"/>
              </w:rPr>
              <w:t>：；</w:t>
            </w:r>
            <w:r>
              <w:rPr>
                <w:rFonts w:hint="eastAsia"/>
                <w:sz w:val="24"/>
              </w:rPr>
              <w:t>4</w:t>
            </w:r>
            <w:r>
              <w:rPr>
                <w:rFonts w:hint="eastAsia"/>
                <w:sz w:val="24"/>
              </w:rPr>
              <w:t>、线性度误差：＜</w:t>
            </w:r>
            <w:r>
              <w:rPr>
                <w:rFonts w:hint="eastAsia"/>
                <w:sz w:val="24"/>
              </w:rPr>
              <w:t>0.</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0.3%</w:t>
            </w:r>
            <w:r>
              <w:rPr>
                <w:rFonts w:hint="eastAsia"/>
                <w:color w:val="000000"/>
                <w:kern w:val="0"/>
                <w:sz w:val="24"/>
              </w:rPr>
              <w:t>；</w:t>
            </w:r>
            <w:r>
              <w:rPr>
                <w:rFonts w:hint="eastAsia"/>
                <w:color w:val="000000"/>
                <w:kern w:val="0"/>
                <w:sz w:val="24"/>
              </w:rPr>
              <w:t>6</w:t>
            </w:r>
            <w:r>
              <w:rPr>
                <w:rFonts w:hint="eastAsia"/>
                <w:color w:val="000000"/>
                <w:kern w:val="0"/>
                <w:sz w:val="24"/>
              </w:rPr>
              <w:t>、温度漂移：＜</w:t>
            </w:r>
            <w:r>
              <w:rPr>
                <w:rFonts w:hint="eastAsia"/>
                <w:color w:val="000000"/>
                <w:kern w:val="0"/>
                <w:sz w:val="24"/>
              </w:rPr>
              <w:t>10</w:t>
            </w:r>
            <w:r>
              <w:rPr>
                <w:rFonts w:hint="eastAsia"/>
                <w:color w:val="000000"/>
                <w:kern w:val="0"/>
                <w:sz w:val="24"/>
                <w:vertAlign w:val="superscript"/>
              </w:rPr>
              <w:t>-6</w:t>
            </w:r>
            <w:r>
              <w:rPr>
                <w:rFonts w:hint="eastAsia"/>
                <w:color w:val="000000"/>
                <w:kern w:val="0"/>
                <w:sz w:val="24"/>
              </w:rPr>
              <w:t>g/</w:t>
            </w:r>
            <w:r>
              <w:rPr>
                <w:rFonts w:hint="eastAsia"/>
                <w:color w:val="000000"/>
                <w:kern w:val="0"/>
                <w:sz w:val="24"/>
              </w:rPr>
              <w:t>℃</w:t>
            </w:r>
          </w:p>
        </w:tc>
      </w:tr>
      <w:tr w:rsidR="005B55E3" w14:paraId="258B09F0" w14:textId="77777777">
        <w:trPr>
          <w:trHeight w:val="454"/>
          <w:jc w:val="center"/>
        </w:trPr>
        <w:tc>
          <w:tcPr>
            <w:tcW w:w="406" w:type="pct"/>
            <w:tcBorders>
              <w:tl2br w:val="nil"/>
              <w:tr2bl w:val="nil"/>
            </w:tcBorders>
            <w:noWrap/>
            <w:vAlign w:val="center"/>
          </w:tcPr>
          <w:p w14:paraId="4311F27F" w14:textId="77777777" w:rsidR="005B55E3" w:rsidRDefault="00000000">
            <w:pPr>
              <w:widowControl/>
              <w:spacing w:line="60" w:lineRule="auto"/>
              <w:jc w:val="center"/>
              <w:rPr>
                <w:color w:val="000000"/>
                <w:kern w:val="0"/>
                <w:sz w:val="24"/>
              </w:rPr>
            </w:pPr>
            <w:r>
              <w:rPr>
                <w:rFonts w:hint="eastAsia"/>
                <w:color w:val="000000"/>
                <w:kern w:val="0"/>
                <w:sz w:val="24"/>
              </w:rPr>
              <w:t>7</w:t>
            </w:r>
          </w:p>
        </w:tc>
        <w:tc>
          <w:tcPr>
            <w:tcW w:w="1353" w:type="pct"/>
            <w:tcBorders>
              <w:tl2br w:val="nil"/>
              <w:tr2bl w:val="nil"/>
            </w:tcBorders>
            <w:noWrap/>
            <w:vAlign w:val="center"/>
          </w:tcPr>
          <w:p w14:paraId="2290D2CC" w14:textId="77777777" w:rsidR="005B55E3" w:rsidRDefault="00000000">
            <w:pPr>
              <w:widowControl/>
              <w:jc w:val="center"/>
              <w:rPr>
                <w:color w:val="000000"/>
                <w:kern w:val="0"/>
                <w:sz w:val="24"/>
              </w:rPr>
            </w:pPr>
            <w:r>
              <w:rPr>
                <w:rFonts w:hint="eastAsia"/>
                <w:color w:val="000000"/>
                <w:kern w:val="0"/>
                <w:sz w:val="24"/>
              </w:rPr>
              <w:t>EUSCI</w:t>
            </w:r>
          </w:p>
        </w:tc>
        <w:tc>
          <w:tcPr>
            <w:tcW w:w="1215" w:type="pct"/>
            <w:tcBorders>
              <w:tl2br w:val="nil"/>
              <w:tr2bl w:val="nil"/>
            </w:tcBorders>
            <w:noWrap/>
            <w:vAlign w:val="center"/>
          </w:tcPr>
          <w:p w14:paraId="28F39BBA" w14:textId="77777777" w:rsidR="005B55E3" w:rsidRDefault="00000000">
            <w:pPr>
              <w:widowControl/>
              <w:jc w:val="center"/>
              <w:rPr>
                <w:color w:val="000000"/>
                <w:kern w:val="0"/>
                <w:sz w:val="24"/>
              </w:rPr>
            </w:pPr>
            <w:r>
              <w:rPr>
                <w:rFonts w:hint="eastAsia"/>
                <w:color w:val="000000"/>
                <w:kern w:val="0"/>
                <w:sz w:val="24"/>
              </w:rPr>
              <w:t>QA-II</w:t>
            </w:r>
          </w:p>
        </w:tc>
        <w:tc>
          <w:tcPr>
            <w:tcW w:w="2024" w:type="pct"/>
            <w:tcBorders>
              <w:tl2br w:val="nil"/>
              <w:tr2bl w:val="nil"/>
            </w:tcBorders>
            <w:vAlign w:val="center"/>
          </w:tcPr>
          <w:p w14:paraId="24A9EA37"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4g</w:t>
            </w:r>
            <w:r>
              <w:rPr>
                <w:rFonts w:hint="eastAsia"/>
                <w:color w:val="000000"/>
                <w:kern w:val="0"/>
                <w:sz w:val="24"/>
              </w:rPr>
              <w:t>；</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DC~170Hz</w:t>
            </w:r>
            <w:r>
              <w:rPr>
                <w:rFonts w:hint="eastAsia"/>
                <w:sz w:val="24"/>
              </w:rPr>
              <w:t>：；</w:t>
            </w:r>
            <w:r>
              <w:rPr>
                <w:rFonts w:hint="eastAsia"/>
                <w:sz w:val="24"/>
              </w:rPr>
              <w:t>4</w:t>
            </w:r>
            <w:r>
              <w:rPr>
                <w:rFonts w:hint="eastAsia"/>
                <w:sz w:val="24"/>
              </w:rPr>
              <w:t>、线性度误差：＜</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0.5%</w:t>
            </w:r>
            <w:r>
              <w:rPr>
                <w:rFonts w:hint="eastAsia"/>
                <w:color w:val="000000"/>
                <w:kern w:val="0"/>
                <w:sz w:val="24"/>
              </w:rPr>
              <w:t>；</w:t>
            </w:r>
            <w:r>
              <w:rPr>
                <w:rFonts w:hint="eastAsia"/>
                <w:color w:val="000000"/>
                <w:kern w:val="0"/>
                <w:sz w:val="24"/>
              </w:rPr>
              <w:t>6</w:t>
            </w:r>
            <w:r>
              <w:rPr>
                <w:rFonts w:hint="eastAsia"/>
                <w:color w:val="000000"/>
                <w:kern w:val="0"/>
                <w:sz w:val="24"/>
              </w:rPr>
              <w:t>、温度漂移：＜</w:t>
            </w:r>
            <w:r>
              <w:rPr>
                <w:rFonts w:hint="eastAsia"/>
                <w:color w:val="000000"/>
                <w:kern w:val="0"/>
                <w:sz w:val="24"/>
              </w:rPr>
              <w:t>5*10</w:t>
            </w:r>
            <w:r>
              <w:rPr>
                <w:rFonts w:hint="eastAsia"/>
                <w:color w:val="000000"/>
                <w:kern w:val="0"/>
                <w:sz w:val="24"/>
                <w:vertAlign w:val="superscript"/>
              </w:rPr>
              <w:t>-5</w:t>
            </w:r>
            <w:r>
              <w:rPr>
                <w:rFonts w:hint="eastAsia"/>
                <w:color w:val="000000"/>
                <w:kern w:val="0"/>
                <w:sz w:val="24"/>
              </w:rPr>
              <w:t>g/</w:t>
            </w:r>
            <w:r>
              <w:rPr>
                <w:rFonts w:hint="eastAsia"/>
                <w:color w:val="000000"/>
                <w:kern w:val="0"/>
                <w:sz w:val="24"/>
              </w:rPr>
              <w:t>℃</w:t>
            </w:r>
          </w:p>
        </w:tc>
      </w:tr>
      <w:tr w:rsidR="005B55E3" w14:paraId="3025AC41" w14:textId="77777777">
        <w:trPr>
          <w:trHeight w:val="1256"/>
          <w:jc w:val="center"/>
        </w:trPr>
        <w:tc>
          <w:tcPr>
            <w:tcW w:w="406" w:type="pct"/>
            <w:tcBorders>
              <w:bottom w:val="single" w:sz="4" w:space="0" w:color="auto"/>
              <w:tl2br w:val="nil"/>
              <w:tr2bl w:val="nil"/>
            </w:tcBorders>
            <w:noWrap/>
            <w:vAlign w:val="center"/>
          </w:tcPr>
          <w:p w14:paraId="6208FA60" w14:textId="77777777" w:rsidR="005B55E3" w:rsidRDefault="00000000">
            <w:pPr>
              <w:widowControl/>
              <w:spacing w:line="60" w:lineRule="auto"/>
              <w:jc w:val="center"/>
              <w:rPr>
                <w:color w:val="000000"/>
                <w:kern w:val="0"/>
                <w:sz w:val="24"/>
              </w:rPr>
            </w:pPr>
            <w:r>
              <w:rPr>
                <w:rFonts w:hint="eastAsia"/>
                <w:color w:val="000000"/>
                <w:kern w:val="0"/>
                <w:sz w:val="24"/>
              </w:rPr>
              <w:t>8</w:t>
            </w:r>
          </w:p>
        </w:tc>
        <w:tc>
          <w:tcPr>
            <w:tcW w:w="1353" w:type="pct"/>
            <w:tcBorders>
              <w:bottom w:val="single" w:sz="4" w:space="0" w:color="auto"/>
              <w:tl2br w:val="nil"/>
              <w:tr2bl w:val="nil"/>
            </w:tcBorders>
            <w:noWrap/>
            <w:vAlign w:val="center"/>
          </w:tcPr>
          <w:p w14:paraId="0D7A2BF1" w14:textId="77777777" w:rsidR="005B55E3" w:rsidRDefault="00000000">
            <w:pPr>
              <w:widowControl/>
              <w:jc w:val="center"/>
              <w:rPr>
                <w:color w:val="000000"/>
                <w:kern w:val="0"/>
                <w:sz w:val="24"/>
              </w:rPr>
            </w:pPr>
            <w:r>
              <w:rPr>
                <w:rFonts w:hint="eastAsia"/>
                <w:color w:val="000000"/>
                <w:kern w:val="0"/>
                <w:sz w:val="24"/>
              </w:rPr>
              <w:t>中震华创（深圳）技术有限公司</w:t>
            </w:r>
          </w:p>
        </w:tc>
        <w:tc>
          <w:tcPr>
            <w:tcW w:w="1215" w:type="pct"/>
            <w:tcBorders>
              <w:bottom w:val="single" w:sz="4" w:space="0" w:color="auto"/>
              <w:tl2br w:val="nil"/>
              <w:tr2bl w:val="nil"/>
            </w:tcBorders>
            <w:noWrap/>
            <w:vAlign w:val="center"/>
          </w:tcPr>
          <w:p w14:paraId="22F461B8" w14:textId="77777777" w:rsidR="005B55E3" w:rsidRDefault="00000000">
            <w:pPr>
              <w:widowControl/>
              <w:jc w:val="center"/>
              <w:rPr>
                <w:color w:val="000000"/>
                <w:kern w:val="0"/>
                <w:sz w:val="24"/>
              </w:rPr>
            </w:pPr>
            <w:r>
              <w:rPr>
                <w:rFonts w:hint="eastAsia"/>
                <w:color w:val="000000"/>
                <w:kern w:val="0"/>
                <w:sz w:val="24"/>
              </w:rPr>
              <w:t>JS-A2</w:t>
            </w:r>
          </w:p>
        </w:tc>
        <w:tc>
          <w:tcPr>
            <w:tcW w:w="2024" w:type="pct"/>
            <w:tcBorders>
              <w:bottom w:val="single" w:sz="4" w:space="0" w:color="auto"/>
              <w:tl2br w:val="nil"/>
              <w:tr2bl w:val="nil"/>
            </w:tcBorders>
            <w:vAlign w:val="center"/>
          </w:tcPr>
          <w:p w14:paraId="145586EB" w14:textId="77777777" w:rsidR="005B55E3" w:rsidRDefault="00000000" w:rsidP="00376BA7">
            <w:pPr>
              <w:widowControl/>
              <w:rPr>
                <w:color w:val="000000"/>
                <w:kern w:val="0"/>
                <w:sz w:val="24"/>
              </w:rPr>
            </w:pPr>
            <w:r>
              <w:rPr>
                <w:rFonts w:hint="eastAsia"/>
                <w:color w:val="000000"/>
                <w:kern w:val="0"/>
                <w:sz w:val="24"/>
              </w:rPr>
              <w:t>1</w:t>
            </w:r>
            <w:r>
              <w:rPr>
                <w:rFonts w:hint="eastAsia"/>
                <w:color w:val="000000"/>
                <w:kern w:val="0"/>
                <w:sz w:val="24"/>
              </w:rPr>
              <w:t>、测量范围：±</w:t>
            </w:r>
            <w:r>
              <w:rPr>
                <w:rFonts w:hint="eastAsia"/>
                <w:color w:val="000000"/>
                <w:kern w:val="0"/>
                <w:sz w:val="24"/>
              </w:rPr>
              <w:t>2g</w:t>
            </w:r>
            <w:r>
              <w:rPr>
                <w:rFonts w:hint="eastAsia"/>
                <w:color w:val="000000"/>
                <w:kern w:val="0"/>
                <w:sz w:val="24"/>
              </w:rPr>
              <w:t>；</w:t>
            </w:r>
            <w:r>
              <w:rPr>
                <w:rFonts w:hint="eastAsia"/>
                <w:color w:val="000000"/>
                <w:kern w:val="0"/>
                <w:sz w:val="24"/>
              </w:rPr>
              <w:t>2</w:t>
            </w:r>
            <w:r>
              <w:rPr>
                <w:rFonts w:hint="eastAsia"/>
                <w:color w:val="000000"/>
                <w:kern w:val="0"/>
                <w:sz w:val="24"/>
              </w:rPr>
              <w:t>、灵敏度：</w:t>
            </w:r>
            <w:r>
              <w:rPr>
                <w:rFonts w:hint="eastAsia"/>
                <w:color w:val="000000"/>
                <w:kern w:val="0"/>
                <w:sz w:val="24"/>
              </w:rPr>
              <w:t>2.5V/g</w:t>
            </w:r>
            <w:r>
              <w:rPr>
                <w:rFonts w:hint="eastAsia"/>
                <w:color w:val="000000"/>
                <w:kern w:val="0"/>
                <w:sz w:val="24"/>
              </w:rPr>
              <w:t>；</w:t>
            </w:r>
            <w:r>
              <w:rPr>
                <w:rFonts w:hint="eastAsia"/>
                <w:color w:val="000000"/>
                <w:kern w:val="0"/>
                <w:sz w:val="24"/>
              </w:rPr>
              <w:t>3</w:t>
            </w:r>
            <w:r>
              <w:rPr>
                <w:rFonts w:hint="eastAsia"/>
                <w:color w:val="000000"/>
                <w:kern w:val="0"/>
                <w:sz w:val="24"/>
              </w:rPr>
              <w:t>、</w:t>
            </w:r>
            <w:r>
              <w:rPr>
                <w:rFonts w:hint="eastAsia"/>
                <w:sz w:val="24"/>
              </w:rPr>
              <w:t>工作频带</w:t>
            </w:r>
            <w:r>
              <w:rPr>
                <w:rFonts w:hint="eastAsia"/>
                <w:sz w:val="24"/>
              </w:rPr>
              <w:t>DC~80Hz</w:t>
            </w:r>
            <w:r>
              <w:rPr>
                <w:rFonts w:hint="eastAsia"/>
                <w:sz w:val="24"/>
              </w:rPr>
              <w:t>：；</w:t>
            </w:r>
            <w:r>
              <w:rPr>
                <w:rFonts w:hint="eastAsia"/>
                <w:sz w:val="24"/>
              </w:rPr>
              <w:t>4</w:t>
            </w:r>
            <w:r>
              <w:rPr>
                <w:rFonts w:hint="eastAsia"/>
                <w:sz w:val="24"/>
              </w:rPr>
              <w:t>、线性度误差：＜</w:t>
            </w:r>
            <w:r>
              <w:rPr>
                <w:rFonts w:hint="eastAsia"/>
                <w:color w:val="000000"/>
                <w:kern w:val="0"/>
                <w:sz w:val="24"/>
              </w:rPr>
              <w:t>1%</w:t>
            </w:r>
            <w:r>
              <w:rPr>
                <w:rFonts w:hint="eastAsia"/>
                <w:color w:val="000000"/>
                <w:kern w:val="0"/>
                <w:sz w:val="24"/>
              </w:rPr>
              <w:t>；</w:t>
            </w:r>
            <w:r>
              <w:rPr>
                <w:rFonts w:hint="eastAsia"/>
                <w:color w:val="000000"/>
                <w:kern w:val="0"/>
                <w:sz w:val="24"/>
              </w:rPr>
              <w:t>5</w:t>
            </w:r>
            <w:r>
              <w:rPr>
                <w:rFonts w:hint="eastAsia"/>
                <w:color w:val="000000"/>
                <w:kern w:val="0"/>
                <w:sz w:val="24"/>
              </w:rPr>
              <w:t>、横向灵敏度比：＜</w:t>
            </w:r>
            <w:r>
              <w:rPr>
                <w:rFonts w:hint="eastAsia"/>
                <w:color w:val="000000"/>
                <w:kern w:val="0"/>
                <w:sz w:val="24"/>
              </w:rPr>
              <w:t>1%</w:t>
            </w:r>
            <w:r>
              <w:rPr>
                <w:rFonts w:hint="eastAsia"/>
                <w:color w:val="000000"/>
                <w:kern w:val="0"/>
                <w:sz w:val="24"/>
              </w:rPr>
              <w:t>；</w:t>
            </w:r>
            <w:r>
              <w:rPr>
                <w:rFonts w:hint="eastAsia"/>
                <w:color w:val="000000"/>
                <w:kern w:val="0"/>
                <w:sz w:val="24"/>
              </w:rPr>
              <w:t>6</w:t>
            </w:r>
            <w:r>
              <w:rPr>
                <w:rFonts w:hint="eastAsia"/>
                <w:color w:val="000000"/>
                <w:kern w:val="0"/>
                <w:sz w:val="24"/>
              </w:rPr>
              <w:t>、温度漂移：＜</w:t>
            </w:r>
            <w:r>
              <w:rPr>
                <w:rFonts w:hint="eastAsia"/>
                <w:color w:val="000000"/>
                <w:kern w:val="0"/>
                <w:sz w:val="24"/>
              </w:rPr>
              <w:t>5*10</w:t>
            </w:r>
            <w:r>
              <w:rPr>
                <w:rFonts w:hint="eastAsia"/>
                <w:color w:val="000000"/>
                <w:kern w:val="0"/>
                <w:sz w:val="24"/>
                <w:vertAlign w:val="superscript"/>
              </w:rPr>
              <w:t>-4</w:t>
            </w:r>
            <w:r>
              <w:rPr>
                <w:rFonts w:hint="eastAsia"/>
                <w:color w:val="000000"/>
                <w:kern w:val="0"/>
                <w:sz w:val="24"/>
              </w:rPr>
              <w:t>gn/</w:t>
            </w:r>
            <w:r>
              <w:rPr>
                <w:rFonts w:hint="eastAsia"/>
                <w:color w:val="000000"/>
                <w:kern w:val="0"/>
                <w:sz w:val="24"/>
              </w:rPr>
              <w:t>℃；</w:t>
            </w:r>
            <w:r>
              <w:rPr>
                <w:rFonts w:hint="eastAsia"/>
                <w:color w:val="000000"/>
                <w:kern w:val="0"/>
                <w:sz w:val="24"/>
              </w:rPr>
              <w:t>7</w:t>
            </w:r>
            <w:r>
              <w:rPr>
                <w:rFonts w:hint="eastAsia"/>
                <w:color w:val="000000"/>
                <w:kern w:val="0"/>
                <w:sz w:val="24"/>
              </w:rPr>
              <w:t>、噪声：＜</w:t>
            </w:r>
            <w:r>
              <w:rPr>
                <w:rFonts w:hint="eastAsia"/>
                <w:color w:val="000000"/>
                <w:kern w:val="0"/>
                <w:sz w:val="24"/>
              </w:rPr>
              <w:t>10</w:t>
            </w:r>
            <w:r>
              <w:rPr>
                <w:rFonts w:hint="eastAsia"/>
                <w:color w:val="000000"/>
                <w:kern w:val="0"/>
                <w:sz w:val="24"/>
                <w:vertAlign w:val="superscript"/>
              </w:rPr>
              <w:t>-6</w:t>
            </w:r>
            <w:r>
              <w:rPr>
                <w:rFonts w:hint="eastAsia"/>
                <w:color w:val="000000"/>
                <w:kern w:val="0"/>
                <w:sz w:val="24"/>
              </w:rPr>
              <w:t>gn</w:t>
            </w:r>
          </w:p>
        </w:tc>
      </w:tr>
    </w:tbl>
    <w:p w14:paraId="304E0D02" w14:textId="77777777" w:rsidR="005B55E3" w:rsidRDefault="005B55E3">
      <w:pPr>
        <w:spacing w:line="360" w:lineRule="auto"/>
        <w:rPr>
          <w:sz w:val="24"/>
        </w:rPr>
      </w:pPr>
    </w:p>
    <w:p w14:paraId="3D55E5EF" w14:textId="77777777" w:rsidR="005B55E3" w:rsidRDefault="00000000">
      <w:pPr>
        <w:spacing w:line="360" w:lineRule="auto"/>
        <w:ind w:firstLine="480"/>
        <w:rPr>
          <w:sz w:val="24"/>
        </w:rPr>
      </w:pPr>
      <w:r>
        <w:rPr>
          <w:rFonts w:hint="eastAsia"/>
          <w:sz w:val="24"/>
        </w:rPr>
        <w:t>在使用单位方面，向天津宝坻中心站、河北张家口中心站、河北唐山中心站、青光地震台等加速度计使用台站进行了调研，对设备启用时间、故障情况等方面</w:t>
      </w:r>
      <w:r>
        <w:rPr>
          <w:rFonts w:hint="eastAsia"/>
          <w:sz w:val="24"/>
        </w:rPr>
        <w:lastRenderedPageBreak/>
        <w:t>进行了梳理，并通过现场标校的形式对仪器灵敏度等重要指标进行</w:t>
      </w:r>
      <w:proofErr w:type="gramStart"/>
      <w:r>
        <w:rPr>
          <w:rFonts w:hint="eastAsia"/>
          <w:sz w:val="24"/>
        </w:rPr>
        <w:t>了比测实验</w:t>
      </w:r>
      <w:proofErr w:type="gramEnd"/>
      <w:r>
        <w:rPr>
          <w:rFonts w:hint="eastAsia"/>
          <w:sz w:val="24"/>
        </w:rPr>
        <w:t>。</w:t>
      </w:r>
    </w:p>
    <w:p w14:paraId="2362E45B" w14:textId="77777777" w:rsidR="005B55E3" w:rsidRDefault="00000000">
      <w:pPr>
        <w:spacing w:line="360" w:lineRule="auto"/>
        <w:ind w:firstLine="480"/>
        <w:rPr>
          <w:sz w:val="24"/>
        </w:rPr>
      </w:pPr>
      <w:r>
        <w:rPr>
          <w:rFonts w:hint="eastAsia"/>
          <w:sz w:val="24"/>
        </w:rPr>
        <w:t>在计量测试机构方面，向中国计量科学研究院、北京市计量检测科学研究院、天津市计量检测科学研究院对振动测量类仪器的检定、校准或测试方法进行了调研，对计量性能或指标的制定进行了系统的了解。</w:t>
      </w:r>
    </w:p>
    <w:p w14:paraId="23DF4B6E" w14:textId="77777777" w:rsidR="005B55E3" w:rsidRDefault="00000000">
      <w:pPr>
        <w:spacing w:line="360" w:lineRule="auto"/>
        <w:ind w:firstLine="480"/>
        <w:rPr>
          <w:sz w:val="24"/>
        </w:rPr>
      </w:pPr>
      <w:r>
        <w:rPr>
          <w:rFonts w:hint="eastAsia"/>
          <w:sz w:val="24"/>
        </w:rPr>
        <w:t>在规程规范方面，调研了</w:t>
      </w:r>
      <w:r>
        <w:rPr>
          <w:rFonts w:hint="eastAsia"/>
          <w:sz w:val="24"/>
        </w:rPr>
        <w:t>JJG 2072-2016</w:t>
      </w:r>
      <w:r>
        <w:rPr>
          <w:rFonts w:hint="eastAsia"/>
          <w:sz w:val="24"/>
        </w:rPr>
        <w:t>《冲击加速度计量器具》、</w:t>
      </w:r>
      <w:r>
        <w:rPr>
          <w:rFonts w:hint="eastAsia"/>
          <w:sz w:val="24"/>
        </w:rPr>
        <w:t>JJF 1153-2006</w:t>
      </w:r>
      <w:r>
        <w:rPr>
          <w:rFonts w:hint="eastAsia"/>
          <w:sz w:val="24"/>
        </w:rPr>
        <w:t>《冲击加速度计（绝对法）校准规范》、</w:t>
      </w:r>
      <w:r>
        <w:rPr>
          <w:rFonts w:hint="eastAsia"/>
          <w:sz w:val="24"/>
        </w:rPr>
        <w:t>JJF</w:t>
      </w:r>
      <w:r>
        <w:rPr>
          <w:sz w:val="24"/>
        </w:rPr>
        <w:t xml:space="preserve"> </w:t>
      </w:r>
      <w:r>
        <w:rPr>
          <w:rFonts w:hint="eastAsia"/>
          <w:sz w:val="24"/>
        </w:rPr>
        <w:t>1918</w:t>
      </w:r>
      <w:r>
        <w:rPr>
          <w:sz w:val="24"/>
        </w:rPr>
        <w:t>-20</w:t>
      </w:r>
      <w:r>
        <w:rPr>
          <w:rFonts w:hint="eastAsia"/>
          <w:sz w:val="24"/>
        </w:rPr>
        <w:t>21</w:t>
      </w:r>
      <w:r>
        <w:rPr>
          <w:rFonts w:hint="eastAsia"/>
          <w:sz w:val="24"/>
        </w:rPr>
        <w:t>《电容式加速度传感器校准规范》、</w:t>
      </w:r>
      <w:r>
        <w:rPr>
          <w:rFonts w:hint="eastAsia"/>
          <w:sz w:val="24"/>
        </w:rPr>
        <w:t>JJF</w:t>
      </w:r>
      <w:r>
        <w:rPr>
          <w:sz w:val="24"/>
        </w:rPr>
        <w:t xml:space="preserve"> </w:t>
      </w:r>
      <w:r>
        <w:rPr>
          <w:rFonts w:hint="eastAsia"/>
          <w:sz w:val="24"/>
        </w:rPr>
        <w:t>1904</w:t>
      </w:r>
      <w:r>
        <w:rPr>
          <w:sz w:val="24"/>
        </w:rPr>
        <w:t>-20</w:t>
      </w:r>
      <w:r>
        <w:rPr>
          <w:rFonts w:hint="eastAsia"/>
          <w:sz w:val="24"/>
        </w:rPr>
        <w:t>21</w:t>
      </w:r>
      <w:r>
        <w:rPr>
          <w:rFonts w:hint="eastAsia"/>
          <w:sz w:val="24"/>
        </w:rPr>
        <w:t>《差分式加速度传感器放大器校准规范》、</w:t>
      </w:r>
      <w:r>
        <w:rPr>
          <w:rFonts w:hint="eastAsia"/>
          <w:sz w:val="24"/>
        </w:rPr>
        <w:t>JJF 1427-2013</w:t>
      </w:r>
      <w:r>
        <w:rPr>
          <w:rFonts w:hint="eastAsia"/>
          <w:sz w:val="24"/>
        </w:rPr>
        <w:t>《微机电（</w:t>
      </w:r>
      <w:r>
        <w:rPr>
          <w:rFonts w:hint="eastAsia"/>
          <w:sz w:val="24"/>
        </w:rPr>
        <w:t>MEMS</w:t>
      </w:r>
      <w:r>
        <w:rPr>
          <w:rFonts w:hint="eastAsia"/>
          <w:sz w:val="24"/>
        </w:rPr>
        <w:t>）线加速度计校准规范》、</w:t>
      </w:r>
      <w:r>
        <w:rPr>
          <w:rFonts w:hint="eastAsia"/>
          <w:sz w:val="24"/>
        </w:rPr>
        <w:t>JJF1156-2006</w:t>
      </w:r>
      <w:r>
        <w:rPr>
          <w:rFonts w:hint="eastAsia"/>
          <w:sz w:val="24"/>
        </w:rPr>
        <w:t>《振动、冲击、转速计量术语及定义》、</w:t>
      </w:r>
      <w:r>
        <w:rPr>
          <w:rFonts w:hint="eastAsia"/>
          <w:sz w:val="24"/>
        </w:rPr>
        <w:t>JJF1632-2017</w:t>
      </w:r>
      <w:r>
        <w:rPr>
          <w:rFonts w:hint="eastAsia"/>
          <w:sz w:val="24"/>
        </w:rPr>
        <w:t>《温度开关温度参数校准规范》等计量技术规范。</w:t>
      </w:r>
    </w:p>
    <w:p w14:paraId="485D82AB" w14:textId="77777777" w:rsidR="005B55E3" w:rsidRDefault="00000000">
      <w:pPr>
        <w:spacing w:line="360" w:lineRule="auto"/>
        <w:rPr>
          <w:b/>
          <w:bCs/>
          <w:sz w:val="24"/>
        </w:rPr>
      </w:pPr>
      <w:r>
        <w:rPr>
          <w:rFonts w:hint="eastAsia"/>
          <w:b/>
          <w:bCs/>
          <w:sz w:val="24"/>
        </w:rPr>
        <w:t>四、</w:t>
      </w:r>
      <w:r>
        <w:rPr>
          <w:b/>
          <w:bCs/>
          <w:sz w:val="24"/>
        </w:rPr>
        <w:t>编制过程</w:t>
      </w:r>
    </w:p>
    <w:p w14:paraId="4BAE66E8" w14:textId="335B457B" w:rsidR="00376BA7" w:rsidRDefault="00000000">
      <w:pPr>
        <w:adjustRightInd w:val="0"/>
        <w:snapToGrid w:val="0"/>
        <w:spacing w:line="440" w:lineRule="exact"/>
        <w:ind w:firstLineChars="200" w:firstLine="480"/>
        <w:rPr>
          <w:sz w:val="24"/>
        </w:rPr>
      </w:pPr>
      <w:r>
        <w:rPr>
          <w:rFonts w:hint="eastAsia"/>
          <w:sz w:val="24"/>
        </w:rPr>
        <w:t>1</w:t>
      </w:r>
      <w:r>
        <w:rPr>
          <w:rFonts w:hint="eastAsia"/>
          <w:sz w:val="24"/>
        </w:rPr>
        <w:t>、</w:t>
      </w:r>
      <w:r>
        <w:rPr>
          <w:sz w:val="24"/>
        </w:rPr>
        <w:t>在充分调研的基础上，</w:t>
      </w:r>
      <w:r w:rsidR="00376BA7">
        <w:rPr>
          <w:rFonts w:hint="eastAsia"/>
          <w:sz w:val="24"/>
        </w:rPr>
        <w:t>确定强震动加速度计</w:t>
      </w:r>
      <w:r w:rsidR="00376BA7">
        <w:rPr>
          <w:sz w:val="24"/>
        </w:rPr>
        <w:t>的计量特性、</w:t>
      </w:r>
      <w:r w:rsidR="00376BA7">
        <w:rPr>
          <w:rFonts w:hint="eastAsia"/>
          <w:sz w:val="24"/>
        </w:rPr>
        <w:t>检定</w:t>
      </w:r>
      <w:r w:rsidR="00376BA7">
        <w:rPr>
          <w:sz w:val="24"/>
        </w:rPr>
        <w:t>条件、</w:t>
      </w:r>
      <w:r w:rsidR="00376BA7">
        <w:rPr>
          <w:rFonts w:hint="eastAsia"/>
          <w:sz w:val="24"/>
        </w:rPr>
        <w:t>检定</w:t>
      </w:r>
      <w:r w:rsidR="00376BA7">
        <w:rPr>
          <w:sz w:val="24"/>
        </w:rPr>
        <w:t>项目和</w:t>
      </w:r>
      <w:r w:rsidR="00376BA7">
        <w:rPr>
          <w:rFonts w:hint="eastAsia"/>
          <w:sz w:val="24"/>
        </w:rPr>
        <w:t>检定</w:t>
      </w:r>
      <w:r w:rsidR="00376BA7">
        <w:rPr>
          <w:sz w:val="24"/>
        </w:rPr>
        <w:t>方法等。</w:t>
      </w:r>
      <w:r w:rsidR="00376BA7">
        <w:rPr>
          <w:rFonts w:hint="eastAsia"/>
          <w:sz w:val="24"/>
        </w:rPr>
        <w:t>规程</w:t>
      </w:r>
      <w:r w:rsidR="00376BA7">
        <w:rPr>
          <w:sz w:val="24"/>
        </w:rPr>
        <w:t>中的</w:t>
      </w:r>
      <w:r w:rsidR="00376BA7">
        <w:rPr>
          <w:rFonts w:hint="eastAsia"/>
          <w:sz w:val="24"/>
        </w:rPr>
        <w:t>检定</w:t>
      </w:r>
      <w:r w:rsidR="00376BA7">
        <w:rPr>
          <w:sz w:val="24"/>
        </w:rPr>
        <w:t>方法通过试验验证，力求方法科学准确可靠。</w:t>
      </w:r>
      <w:r w:rsidR="00376BA7">
        <w:rPr>
          <w:rFonts w:hint="eastAsia"/>
          <w:sz w:val="24"/>
        </w:rPr>
        <w:t>规程</w:t>
      </w:r>
      <w:r w:rsidR="00376BA7">
        <w:rPr>
          <w:sz w:val="24"/>
        </w:rPr>
        <w:t>中的文字表述力求层次分明，语句简明，公式表达准确。</w:t>
      </w:r>
    </w:p>
    <w:p w14:paraId="058CA14B" w14:textId="3FCD63D0" w:rsidR="005B55E3" w:rsidRDefault="00000000">
      <w:pPr>
        <w:adjustRightInd w:val="0"/>
        <w:snapToGrid w:val="0"/>
        <w:spacing w:line="440" w:lineRule="exact"/>
        <w:ind w:firstLineChars="200" w:firstLine="480"/>
        <w:rPr>
          <w:sz w:val="24"/>
        </w:rPr>
      </w:pPr>
      <w:r>
        <w:rPr>
          <w:rFonts w:hint="eastAsia"/>
          <w:sz w:val="24"/>
        </w:rPr>
        <w:t>2</w:t>
      </w:r>
      <w:r>
        <w:rPr>
          <w:rFonts w:hint="eastAsia"/>
          <w:sz w:val="24"/>
        </w:rPr>
        <w:t>、</w:t>
      </w:r>
      <w:r w:rsidR="00490C9A" w:rsidRPr="006E4AE1">
        <w:rPr>
          <w:sz w:val="24"/>
        </w:rPr>
        <w:t>编制阶段工作情况</w:t>
      </w:r>
      <w:r w:rsidR="00490C9A" w:rsidRPr="006E4AE1">
        <w:rPr>
          <w:rFonts w:hint="eastAsia"/>
          <w:sz w:val="24"/>
        </w:rPr>
        <w:t>：</w:t>
      </w:r>
      <w:r>
        <w:rPr>
          <w:rFonts w:hint="eastAsia"/>
          <w:sz w:val="24"/>
        </w:rPr>
        <w:t>编制过程中，参考了</w:t>
      </w:r>
      <w:r>
        <w:rPr>
          <w:rFonts w:hint="eastAsia"/>
          <w:sz w:val="24"/>
        </w:rPr>
        <w:t>DB/T 22-2020</w:t>
      </w:r>
      <w:r>
        <w:rPr>
          <w:rFonts w:hint="eastAsia"/>
          <w:sz w:val="24"/>
        </w:rPr>
        <w:t>《地震观测仪器进网技术要求</w:t>
      </w:r>
      <w:r>
        <w:rPr>
          <w:rFonts w:hint="eastAsia"/>
          <w:sz w:val="24"/>
        </w:rPr>
        <w:t xml:space="preserve"> </w:t>
      </w:r>
      <w:r>
        <w:rPr>
          <w:rFonts w:hint="eastAsia"/>
          <w:sz w:val="24"/>
        </w:rPr>
        <w:t>地震仪》、</w:t>
      </w:r>
      <w:r>
        <w:rPr>
          <w:rFonts w:hint="eastAsia"/>
          <w:sz w:val="24"/>
        </w:rPr>
        <w:t>DB/T 10-2016</w:t>
      </w:r>
      <w:r>
        <w:rPr>
          <w:rFonts w:hint="eastAsia"/>
          <w:sz w:val="24"/>
        </w:rPr>
        <w:t>《数字强震动加速度仪》等行业标准中关于加速度计各检定项目的检定方法，表述方式上参照</w:t>
      </w:r>
      <w:r>
        <w:rPr>
          <w:rFonts w:hint="eastAsia"/>
          <w:sz w:val="24"/>
        </w:rPr>
        <w:t>JJG 134-2023</w:t>
      </w:r>
      <w:r>
        <w:rPr>
          <w:rFonts w:hint="eastAsia"/>
          <w:sz w:val="24"/>
        </w:rPr>
        <w:t>《磁电式速度传感器》进行了调整</w:t>
      </w:r>
      <w:r>
        <w:rPr>
          <w:rFonts w:hint="eastAsia"/>
          <w:sz w:val="24"/>
        </w:rPr>
        <w:t xml:space="preserve"> </w:t>
      </w:r>
      <w:r>
        <w:rPr>
          <w:rFonts w:hint="eastAsia"/>
          <w:sz w:val="24"/>
        </w:rPr>
        <w:t>，部分计量性能和名词术语引用自</w:t>
      </w:r>
      <w:r>
        <w:rPr>
          <w:rFonts w:hint="eastAsia"/>
          <w:sz w:val="24"/>
        </w:rPr>
        <w:t>JJG 2054-2015</w:t>
      </w:r>
      <w:r>
        <w:rPr>
          <w:rFonts w:hint="eastAsia"/>
          <w:sz w:val="24"/>
        </w:rPr>
        <w:t>《振动计量器具检定系统表》和</w:t>
      </w:r>
      <w:r>
        <w:rPr>
          <w:rFonts w:hint="eastAsia"/>
          <w:sz w:val="24"/>
        </w:rPr>
        <w:t>JJF 1156-2006</w:t>
      </w:r>
      <w:r>
        <w:rPr>
          <w:rFonts w:hint="eastAsia"/>
          <w:sz w:val="24"/>
        </w:rPr>
        <w:t>《振动冲击转速计量术语及定义》，对环境地动噪声水平的描述和评价参考了</w:t>
      </w:r>
      <w:r>
        <w:rPr>
          <w:rFonts w:hint="eastAsia"/>
          <w:sz w:val="24"/>
        </w:rPr>
        <w:t>GB/T 19531.1-2004</w:t>
      </w:r>
      <w:r>
        <w:rPr>
          <w:rFonts w:hint="eastAsia"/>
          <w:sz w:val="24"/>
        </w:rPr>
        <w:t>《地震台站观测环境技术要求</w:t>
      </w:r>
      <w:r>
        <w:rPr>
          <w:rFonts w:hint="eastAsia"/>
          <w:sz w:val="24"/>
        </w:rPr>
        <w:t xml:space="preserve"> </w:t>
      </w:r>
      <w:r>
        <w:rPr>
          <w:rFonts w:hint="eastAsia"/>
          <w:sz w:val="24"/>
        </w:rPr>
        <w:t>第</w:t>
      </w:r>
      <w:r>
        <w:rPr>
          <w:rFonts w:hint="eastAsia"/>
          <w:sz w:val="24"/>
        </w:rPr>
        <w:t>1</w:t>
      </w:r>
      <w:r>
        <w:rPr>
          <w:rFonts w:hint="eastAsia"/>
          <w:sz w:val="24"/>
        </w:rPr>
        <w:t>部分：测震》。</w:t>
      </w:r>
    </w:p>
    <w:p w14:paraId="63835090" w14:textId="77777777" w:rsidR="00490C9A" w:rsidRDefault="00490C9A" w:rsidP="00490C9A">
      <w:pPr>
        <w:pStyle w:val="ae"/>
        <w:spacing w:line="360" w:lineRule="auto"/>
        <w:ind w:firstLine="480"/>
        <w:rPr>
          <w:rFonts w:ascii="Times New Roman" w:hAnsi="Times New Roman"/>
          <w:sz w:val="24"/>
          <w:szCs w:val="24"/>
        </w:rPr>
      </w:pPr>
      <w:r>
        <w:rPr>
          <w:rFonts w:ascii="Times New Roman" w:hAnsi="Times New Roman" w:hint="eastAsia"/>
          <w:sz w:val="24"/>
          <w:szCs w:val="24"/>
        </w:rPr>
        <w:t>2023</w:t>
      </w:r>
      <w:r>
        <w:rPr>
          <w:rFonts w:ascii="Times New Roman" w:hAnsi="Times New Roman" w:hint="eastAsia"/>
          <w:sz w:val="24"/>
          <w:szCs w:val="24"/>
        </w:rPr>
        <w:t>年</w:t>
      </w:r>
      <w:r>
        <w:rPr>
          <w:rFonts w:ascii="Times New Roman" w:hAnsi="Times New Roman" w:hint="eastAsia"/>
          <w:sz w:val="24"/>
          <w:szCs w:val="24"/>
        </w:rPr>
        <w:t>9</w:t>
      </w:r>
      <w:r>
        <w:rPr>
          <w:rFonts w:ascii="Times New Roman" w:hAnsi="Times New Roman" w:hint="eastAsia"/>
          <w:sz w:val="24"/>
          <w:szCs w:val="24"/>
        </w:rPr>
        <w:t>月完成初稿。</w:t>
      </w:r>
    </w:p>
    <w:p w14:paraId="3FB68100" w14:textId="77777777" w:rsidR="00490C9A" w:rsidRDefault="00490C9A" w:rsidP="00490C9A">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9</w:t>
      </w:r>
      <w:r>
        <w:rPr>
          <w:rFonts w:ascii="Times New Roman" w:hAnsi="Times New Roman" w:hint="eastAsia"/>
          <w:sz w:val="24"/>
          <w:szCs w:val="24"/>
        </w:rPr>
        <w:t>月下旬经过专家研讨。</w:t>
      </w:r>
    </w:p>
    <w:p w14:paraId="577FAAED" w14:textId="77777777" w:rsidR="00490C9A" w:rsidRDefault="00490C9A" w:rsidP="00490C9A">
      <w:pPr>
        <w:pStyle w:val="ae"/>
        <w:spacing w:line="360" w:lineRule="auto"/>
        <w:ind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023</w:t>
      </w:r>
      <w:r>
        <w:rPr>
          <w:rFonts w:ascii="Times New Roman" w:hAnsi="Times New Roman" w:hint="eastAsia"/>
          <w:sz w:val="24"/>
          <w:szCs w:val="24"/>
        </w:rPr>
        <w:t>年</w:t>
      </w:r>
      <w:r>
        <w:rPr>
          <w:rFonts w:ascii="Times New Roman" w:hAnsi="Times New Roman" w:hint="eastAsia"/>
          <w:sz w:val="24"/>
          <w:szCs w:val="24"/>
        </w:rPr>
        <w:t>10</w:t>
      </w:r>
      <w:r>
        <w:rPr>
          <w:rFonts w:ascii="Times New Roman" w:hAnsi="Times New Roman" w:hint="eastAsia"/>
          <w:sz w:val="24"/>
          <w:szCs w:val="24"/>
        </w:rPr>
        <w:t>月</w:t>
      </w:r>
      <w:r>
        <w:rPr>
          <w:rFonts w:ascii="Times New Roman" w:hAnsi="Times New Roman" w:hint="eastAsia"/>
          <w:sz w:val="24"/>
          <w:szCs w:val="24"/>
        </w:rPr>
        <w:t>9</w:t>
      </w:r>
      <w:r>
        <w:rPr>
          <w:rFonts w:ascii="Times New Roman" w:hAnsi="Times New Roman" w:hint="eastAsia"/>
          <w:sz w:val="24"/>
          <w:szCs w:val="24"/>
        </w:rPr>
        <w:t>日至</w:t>
      </w:r>
      <w:r>
        <w:rPr>
          <w:rFonts w:ascii="Times New Roman" w:hAnsi="Times New Roman" w:hint="eastAsia"/>
          <w:sz w:val="24"/>
          <w:szCs w:val="24"/>
        </w:rPr>
        <w:t>10</w:t>
      </w:r>
      <w:r>
        <w:rPr>
          <w:rFonts w:ascii="Times New Roman" w:hAnsi="Times New Roman" w:hint="eastAsia"/>
          <w:sz w:val="24"/>
          <w:szCs w:val="24"/>
        </w:rPr>
        <w:t>月</w:t>
      </w:r>
      <w:r>
        <w:rPr>
          <w:rFonts w:ascii="Times New Roman" w:hAnsi="Times New Roman" w:hint="eastAsia"/>
          <w:sz w:val="24"/>
          <w:szCs w:val="24"/>
        </w:rPr>
        <w:t>20</w:t>
      </w:r>
      <w:r>
        <w:rPr>
          <w:rFonts w:ascii="Times New Roman" w:hAnsi="Times New Roman" w:hint="eastAsia"/>
          <w:sz w:val="24"/>
          <w:szCs w:val="24"/>
        </w:rPr>
        <w:t>日向地震计量委全体委员专家征求意见。</w:t>
      </w:r>
    </w:p>
    <w:p w14:paraId="57CD1C57" w14:textId="77777777" w:rsidR="00490C9A" w:rsidRDefault="00490C9A" w:rsidP="00490C9A">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1</w:t>
      </w:r>
      <w:r>
        <w:rPr>
          <w:rFonts w:ascii="Times New Roman" w:hAnsi="Times New Roman"/>
          <w:sz w:val="24"/>
          <w:szCs w:val="24"/>
        </w:rPr>
        <w:t>0</w:t>
      </w:r>
      <w:r>
        <w:rPr>
          <w:rFonts w:ascii="Times New Roman" w:hAnsi="Times New Roman" w:hint="eastAsia"/>
          <w:sz w:val="24"/>
          <w:szCs w:val="24"/>
        </w:rPr>
        <w:t>月下旬按照反馈意见再次进行修改后形成征求意见稿。</w:t>
      </w:r>
    </w:p>
    <w:p w14:paraId="72C51210" w14:textId="77777777" w:rsidR="00490C9A" w:rsidRDefault="00490C9A" w:rsidP="00490C9A">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1</w:t>
      </w:r>
      <w:r>
        <w:rPr>
          <w:rFonts w:ascii="Times New Roman" w:hAnsi="Times New Roman"/>
          <w:sz w:val="24"/>
          <w:szCs w:val="24"/>
        </w:rPr>
        <w:t>1</w:t>
      </w:r>
      <w:r>
        <w:rPr>
          <w:rFonts w:ascii="Times New Roman" w:hAnsi="Times New Roman" w:hint="eastAsia"/>
          <w:sz w:val="24"/>
          <w:szCs w:val="24"/>
        </w:rPr>
        <w:t>月上旬向各省局及相关专业专家征求意见。</w:t>
      </w:r>
    </w:p>
    <w:p w14:paraId="16C35AC3" w14:textId="67D175DE" w:rsidR="005B55E3" w:rsidRDefault="00000000">
      <w:pPr>
        <w:tabs>
          <w:tab w:val="left" w:pos="7245"/>
        </w:tabs>
        <w:spacing w:line="360" w:lineRule="auto"/>
        <w:rPr>
          <w:b/>
          <w:bCs/>
          <w:sz w:val="24"/>
        </w:rPr>
      </w:pPr>
      <w:r>
        <w:rPr>
          <w:rFonts w:hint="eastAsia"/>
          <w:b/>
          <w:bCs/>
          <w:sz w:val="24"/>
        </w:rPr>
        <w:t>五、编写依据和说明</w:t>
      </w:r>
    </w:p>
    <w:p w14:paraId="46B41E5D" w14:textId="49BEDB1A" w:rsidR="00490C9A" w:rsidRDefault="00490C9A" w:rsidP="00490C9A">
      <w:pPr>
        <w:spacing w:line="360" w:lineRule="auto"/>
        <w:ind w:firstLineChars="200" w:firstLine="480"/>
        <w:rPr>
          <w:sz w:val="24"/>
        </w:rPr>
      </w:pPr>
      <w:r>
        <w:rPr>
          <w:rFonts w:hint="eastAsia"/>
          <w:sz w:val="24"/>
        </w:rPr>
        <w:t>规程</w:t>
      </w:r>
      <w:r w:rsidRPr="00490C9A">
        <w:rPr>
          <w:rFonts w:hint="eastAsia"/>
          <w:sz w:val="24"/>
        </w:rPr>
        <w:t>参考了</w:t>
      </w:r>
      <w:r w:rsidRPr="00490C9A">
        <w:rPr>
          <w:rFonts w:hint="eastAsia"/>
          <w:sz w:val="24"/>
        </w:rPr>
        <w:t>DB/T 22-2020</w:t>
      </w:r>
      <w:r w:rsidRPr="00490C9A">
        <w:rPr>
          <w:rFonts w:hint="eastAsia"/>
          <w:sz w:val="24"/>
        </w:rPr>
        <w:t>《地震观测仪器进网技术要求</w:t>
      </w:r>
      <w:r w:rsidRPr="00490C9A">
        <w:rPr>
          <w:rFonts w:hint="eastAsia"/>
          <w:sz w:val="24"/>
        </w:rPr>
        <w:t xml:space="preserve"> </w:t>
      </w:r>
      <w:r w:rsidRPr="00490C9A">
        <w:rPr>
          <w:rFonts w:hint="eastAsia"/>
          <w:sz w:val="24"/>
        </w:rPr>
        <w:t>地震仪》、</w:t>
      </w:r>
      <w:r w:rsidRPr="00490C9A">
        <w:rPr>
          <w:rFonts w:hint="eastAsia"/>
          <w:sz w:val="24"/>
        </w:rPr>
        <w:t>DB/T 10-2016</w:t>
      </w:r>
      <w:r w:rsidRPr="00490C9A">
        <w:rPr>
          <w:rFonts w:hint="eastAsia"/>
          <w:sz w:val="24"/>
        </w:rPr>
        <w:t>《数字强震动加速度仪》等行业标准中关于加速度计各检定项目的检测方法，表述方式上参照</w:t>
      </w:r>
      <w:r w:rsidRPr="00490C9A">
        <w:rPr>
          <w:rFonts w:hint="eastAsia"/>
          <w:sz w:val="24"/>
        </w:rPr>
        <w:t>JJG 134-2023</w:t>
      </w:r>
      <w:r w:rsidRPr="00490C9A">
        <w:rPr>
          <w:rFonts w:hint="eastAsia"/>
          <w:sz w:val="24"/>
        </w:rPr>
        <w:t>《磁电式速度传感器》进行了调整</w:t>
      </w:r>
      <w:r w:rsidRPr="00490C9A">
        <w:rPr>
          <w:rFonts w:hint="eastAsia"/>
          <w:sz w:val="24"/>
        </w:rPr>
        <w:t xml:space="preserve"> </w:t>
      </w:r>
      <w:r w:rsidRPr="00490C9A">
        <w:rPr>
          <w:rFonts w:hint="eastAsia"/>
          <w:sz w:val="24"/>
        </w:rPr>
        <w:t>，部分计量性</w:t>
      </w:r>
      <w:r w:rsidRPr="00490C9A">
        <w:rPr>
          <w:rFonts w:hint="eastAsia"/>
          <w:sz w:val="24"/>
        </w:rPr>
        <w:lastRenderedPageBreak/>
        <w:t>能和名词术语引用自</w:t>
      </w:r>
      <w:r w:rsidRPr="00490C9A">
        <w:rPr>
          <w:rFonts w:hint="eastAsia"/>
          <w:sz w:val="24"/>
        </w:rPr>
        <w:t>JJG 2054-2015</w:t>
      </w:r>
      <w:r w:rsidRPr="00490C9A">
        <w:rPr>
          <w:rFonts w:hint="eastAsia"/>
          <w:sz w:val="24"/>
        </w:rPr>
        <w:t>《振动计量器具检定系统表》和</w:t>
      </w:r>
      <w:r w:rsidRPr="00490C9A">
        <w:rPr>
          <w:rFonts w:hint="eastAsia"/>
          <w:sz w:val="24"/>
        </w:rPr>
        <w:t>JJF 1156-2006</w:t>
      </w:r>
      <w:r w:rsidRPr="00490C9A">
        <w:rPr>
          <w:rFonts w:hint="eastAsia"/>
          <w:sz w:val="24"/>
        </w:rPr>
        <w:t>《振动冲击转速计量术语及定义》，对环境地动噪声水平的描述和评价参考了</w:t>
      </w:r>
      <w:r w:rsidRPr="00490C9A">
        <w:rPr>
          <w:rFonts w:hint="eastAsia"/>
          <w:sz w:val="24"/>
        </w:rPr>
        <w:t>GB/T 19531.1-2004</w:t>
      </w:r>
      <w:r w:rsidRPr="00490C9A">
        <w:rPr>
          <w:rFonts w:hint="eastAsia"/>
          <w:sz w:val="24"/>
        </w:rPr>
        <w:t>《地震台站观测环境技术要求</w:t>
      </w:r>
      <w:r w:rsidRPr="00490C9A">
        <w:rPr>
          <w:rFonts w:hint="eastAsia"/>
          <w:sz w:val="24"/>
        </w:rPr>
        <w:t xml:space="preserve"> </w:t>
      </w:r>
      <w:r w:rsidRPr="00490C9A">
        <w:rPr>
          <w:rFonts w:hint="eastAsia"/>
          <w:sz w:val="24"/>
        </w:rPr>
        <w:t>第</w:t>
      </w:r>
      <w:r w:rsidRPr="00490C9A">
        <w:rPr>
          <w:rFonts w:hint="eastAsia"/>
          <w:sz w:val="24"/>
        </w:rPr>
        <w:t>1</w:t>
      </w:r>
      <w:r w:rsidRPr="00490C9A">
        <w:rPr>
          <w:rFonts w:hint="eastAsia"/>
          <w:sz w:val="24"/>
        </w:rPr>
        <w:t>部分：测震》。</w:t>
      </w:r>
    </w:p>
    <w:p w14:paraId="373E8F84" w14:textId="77777777" w:rsidR="00490C9A" w:rsidRPr="00490C9A" w:rsidRDefault="00490C9A" w:rsidP="00490C9A">
      <w:pPr>
        <w:spacing w:line="360" w:lineRule="auto"/>
        <w:ind w:firstLineChars="200" w:firstLine="480"/>
        <w:rPr>
          <w:rFonts w:hint="eastAsia"/>
          <w:sz w:val="24"/>
        </w:rPr>
      </w:pPr>
      <w:r w:rsidRPr="00490C9A">
        <w:rPr>
          <w:rFonts w:hint="eastAsia"/>
          <w:sz w:val="24"/>
        </w:rPr>
        <w:t>规程中的计量性能主要来源于行业标准中具有溯源性、对仪器测量结果有重要影响的检定项目，如参考灵敏度误差、</w:t>
      </w:r>
      <w:proofErr w:type="gramStart"/>
      <w:r w:rsidRPr="00490C9A">
        <w:rPr>
          <w:rFonts w:hint="eastAsia"/>
          <w:sz w:val="24"/>
        </w:rPr>
        <w:t>灵敏度幅频误差</w:t>
      </w:r>
      <w:proofErr w:type="gramEnd"/>
      <w:r w:rsidRPr="00490C9A">
        <w:rPr>
          <w:rFonts w:hint="eastAsia"/>
          <w:sz w:val="24"/>
        </w:rPr>
        <w:t>、幅值线性度等。对于环境适应性、运输适应性、仪器接口等测试项目因在地震监测专业设备定型检测工作中具有技术要求并做相应测试，本规程中未涉及。规程中的计量性能限差要求一般与行业标准要求一致，部分指标，如横向灵敏度比限差受计量器具性能影响，适当进行了放宽。</w:t>
      </w:r>
    </w:p>
    <w:p w14:paraId="761488A7" w14:textId="779CBAD3" w:rsidR="00490C9A" w:rsidRPr="00490C9A" w:rsidRDefault="00490C9A" w:rsidP="00490C9A">
      <w:pPr>
        <w:spacing w:line="360" w:lineRule="auto"/>
        <w:ind w:firstLineChars="200" w:firstLine="480"/>
        <w:rPr>
          <w:rFonts w:hint="eastAsia"/>
          <w:sz w:val="24"/>
        </w:rPr>
      </w:pPr>
      <w:r w:rsidRPr="00490C9A">
        <w:rPr>
          <w:rFonts w:hint="eastAsia"/>
          <w:sz w:val="24"/>
        </w:rPr>
        <w:t>结合台站设备使用需求，对首次检定、后续检定和使用中检查项目进行了规定。首次检定一般适用于新设备采购后的首次检定，考虑到检定工作量，部分</w:t>
      </w:r>
      <w:proofErr w:type="gramStart"/>
      <w:r w:rsidRPr="00490C9A">
        <w:rPr>
          <w:rFonts w:hint="eastAsia"/>
          <w:sz w:val="24"/>
        </w:rPr>
        <w:t>项目标</w:t>
      </w:r>
      <w:proofErr w:type="gramEnd"/>
      <w:r w:rsidRPr="00490C9A">
        <w:rPr>
          <w:rFonts w:hint="eastAsia"/>
          <w:sz w:val="24"/>
        </w:rPr>
        <w:t>为“﹢</w:t>
      </w:r>
      <w:r w:rsidRPr="00490C9A">
        <w:rPr>
          <w:rFonts w:hint="eastAsia"/>
          <w:sz w:val="24"/>
        </w:rPr>
        <w:t>/-</w:t>
      </w:r>
      <w:r w:rsidRPr="00490C9A">
        <w:rPr>
          <w:rFonts w:hint="eastAsia"/>
          <w:sz w:val="24"/>
        </w:rPr>
        <w:t>”</w:t>
      </w:r>
      <w:r w:rsidRPr="00490C9A">
        <w:rPr>
          <w:rFonts w:hint="eastAsia"/>
          <w:sz w:val="24"/>
        </w:rPr>
        <w:t>,</w:t>
      </w:r>
      <w:r w:rsidRPr="00490C9A">
        <w:rPr>
          <w:rFonts w:hint="eastAsia"/>
          <w:sz w:val="24"/>
        </w:rPr>
        <w:t>批量采购的设备可做抽测。后续检定一般为修后检定，考虑到台站设备观测的连续性，未规定检定周期，对使用中检查的项目和方法在附录中进行了进一步描述。结合地震监测台站仪器设备配置标准，加速度计最短使用时限为</w:t>
      </w:r>
      <w:r w:rsidRPr="00490C9A">
        <w:rPr>
          <w:rFonts w:hint="eastAsia"/>
          <w:sz w:val="24"/>
        </w:rPr>
        <w:t>10</w:t>
      </w:r>
      <w:r w:rsidRPr="00490C9A">
        <w:rPr>
          <w:rFonts w:hint="eastAsia"/>
          <w:sz w:val="24"/>
        </w:rPr>
        <w:t>年，规程中将每台设备的全项目检查周期最长设定为不超过</w:t>
      </w:r>
      <w:r w:rsidRPr="00490C9A">
        <w:rPr>
          <w:rFonts w:hint="eastAsia"/>
          <w:sz w:val="24"/>
        </w:rPr>
        <w:t>5</w:t>
      </w:r>
      <w:r w:rsidRPr="00490C9A">
        <w:rPr>
          <w:rFonts w:hint="eastAsia"/>
          <w:sz w:val="24"/>
        </w:rPr>
        <w:t>年，即保证使用年限内全部项目至少执行</w:t>
      </w:r>
      <w:r w:rsidRPr="00490C9A">
        <w:rPr>
          <w:rFonts w:hint="eastAsia"/>
          <w:sz w:val="24"/>
        </w:rPr>
        <w:t>2</w:t>
      </w:r>
      <w:r w:rsidRPr="00490C9A">
        <w:rPr>
          <w:rFonts w:hint="eastAsia"/>
          <w:sz w:val="24"/>
        </w:rPr>
        <w:t>次使用中检查，保障设备质量的同时可为设备更新升级提供指标参考。</w:t>
      </w:r>
    </w:p>
    <w:p w14:paraId="0CCB565F" w14:textId="52B839EC" w:rsidR="00490C9A" w:rsidRPr="00490C9A" w:rsidRDefault="00490C9A" w:rsidP="00490C9A">
      <w:pPr>
        <w:spacing w:line="360" w:lineRule="auto"/>
        <w:ind w:firstLineChars="200" w:firstLine="480"/>
        <w:rPr>
          <w:rFonts w:hint="eastAsia"/>
          <w:sz w:val="24"/>
        </w:rPr>
      </w:pPr>
      <w:r w:rsidRPr="00490C9A">
        <w:rPr>
          <w:rFonts w:hint="eastAsia"/>
          <w:sz w:val="24"/>
        </w:rPr>
        <w:t>关于使用中检查限差的考虑。在设计使用中检查项目的限差时，综合考虑测试环境、测试方法可能引入的误差，设备使用中技术性能的变化允差，以及台站设备运行管理有关规定。</w:t>
      </w:r>
    </w:p>
    <w:p w14:paraId="6FBD3CF8" w14:textId="77777777" w:rsidR="00490C9A" w:rsidRPr="00490C9A" w:rsidRDefault="00490C9A" w:rsidP="00490C9A">
      <w:pPr>
        <w:spacing w:line="360" w:lineRule="auto"/>
        <w:ind w:firstLineChars="200" w:firstLine="480"/>
        <w:rPr>
          <w:rFonts w:hint="eastAsia"/>
          <w:sz w:val="24"/>
        </w:rPr>
      </w:pPr>
      <w:r w:rsidRPr="00490C9A">
        <w:rPr>
          <w:rFonts w:hint="eastAsia"/>
          <w:sz w:val="24"/>
        </w:rPr>
        <w:t>（</w:t>
      </w:r>
      <w:r w:rsidRPr="00490C9A">
        <w:rPr>
          <w:rFonts w:hint="eastAsia"/>
          <w:sz w:val="24"/>
        </w:rPr>
        <w:t>1</w:t>
      </w:r>
      <w:r w:rsidRPr="00490C9A">
        <w:rPr>
          <w:rFonts w:hint="eastAsia"/>
          <w:sz w:val="24"/>
        </w:rPr>
        <w:t>）在同台对比法测试加速度计参考灵敏度误差时，根据测试结果标准差的要求，估计测试结果准确度优于</w:t>
      </w:r>
      <w:r w:rsidRPr="00490C9A">
        <w:rPr>
          <w:rFonts w:hint="eastAsia"/>
          <w:sz w:val="24"/>
        </w:rPr>
        <w:t>3%</w:t>
      </w:r>
      <w:r w:rsidRPr="00490C9A">
        <w:rPr>
          <w:rFonts w:hint="eastAsia"/>
          <w:sz w:val="24"/>
        </w:rPr>
        <w:t>，结合实验室测试参考灵敏度限差</w:t>
      </w:r>
      <w:r w:rsidRPr="00490C9A">
        <w:rPr>
          <w:rFonts w:hint="eastAsia"/>
          <w:sz w:val="24"/>
        </w:rPr>
        <w:t>3%</w:t>
      </w:r>
      <w:r w:rsidRPr="00490C9A">
        <w:rPr>
          <w:rFonts w:hint="eastAsia"/>
          <w:sz w:val="24"/>
        </w:rPr>
        <w:t>，通带波动最大</w:t>
      </w:r>
      <w:r w:rsidRPr="00490C9A">
        <w:rPr>
          <w:rFonts w:hint="eastAsia"/>
          <w:sz w:val="24"/>
        </w:rPr>
        <w:t>3%</w:t>
      </w:r>
      <w:r w:rsidRPr="00490C9A">
        <w:rPr>
          <w:rFonts w:hint="eastAsia"/>
          <w:sz w:val="24"/>
        </w:rPr>
        <w:t>，再放宽</w:t>
      </w:r>
      <w:r w:rsidRPr="00490C9A">
        <w:rPr>
          <w:rFonts w:hint="eastAsia"/>
          <w:sz w:val="24"/>
        </w:rPr>
        <w:t>1%</w:t>
      </w:r>
      <w:r w:rsidRPr="00490C9A">
        <w:rPr>
          <w:rFonts w:hint="eastAsia"/>
          <w:sz w:val="24"/>
        </w:rPr>
        <w:t>，将限差定为</w:t>
      </w:r>
      <w:r w:rsidRPr="00490C9A">
        <w:rPr>
          <w:rFonts w:hint="eastAsia"/>
          <w:sz w:val="24"/>
        </w:rPr>
        <w:t>10%</w:t>
      </w:r>
      <w:r w:rsidRPr="00490C9A">
        <w:rPr>
          <w:rFonts w:hint="eastAsia"/>
          <w:sz w:val="24"/>
        </w:rPr>
        <w:t>。</w:t>
      </w:r>
    </w:p>
    <w:p w14:paraId="49D8FAB7" w14:textId="77777777" w:rsidR="00490C9A" w:rsidRPr="00490C9A" w:rsidRDefault="00490C9A" w:rsidP="00490C9A">
      <w:pPr>
        <w:spacing w:line="360" w:lineRule="auto"/>
        <w:ind w:firstLineChars="200" w:firstLine="480"/>
        <w:rPr>
          <w:rFonts w:hint="eastAsia"/>
          <w:sz w:val="24"/>
        </w:rPr>
      </w:pPr>
      <w:r w:rsidRPr="00490C9A">
        <w:rPr>
          <w:rFonts w:hint="eastAsia"/>
          <w:sz w:val="24"/>
        </w:rPr>
        <w:t>（</w:t>
      </w:r>
      <w:r w:rsidRPr="00490C9A">
        <w:rPr>
          <w:rFonts w:hint="eastAsia"/>
          <w:sz w:val="24"/>
        </w:rPr>
        <w:t>2</w:t>
      </w:r>
      <w:r w:rsidRPr="00490C9A">
        <w:rPr>
          <w:rFonts w:hint="eastAsia"/>
          <w:sz w:val="24"/>
        </w:rPr>
        <w:t>）在地球重力法测试加速度计参考灵敏度误差时，估计安装误差不超过</w:t>
      </w:r>
      <w:r w:rsidRPr="00490C9A">
        <w:rPr>
          <w:rFonts w:hint="eastAsia"/>
          <w:sz w:val="24"/>
        </w:rPr>
        <w:t>1%</w:t>
      </w:r>
      <w:r w:rsidRPr="00490C9A">
        <w:rPr>
          <w:rFonts w:hint="eastAsia"/>
          <w:sz w:val="24"/>
        </w:rPr>
        <w:t>，结合实验室测试限差</w:t>
      </w:r>
      <w:r w:rsidRPr="00490C9A">
        <w:rPr>
          <w:rFonts w:hint="eastAsia"/>
          <w:sz w:val="24"/>
        </w:rPr>
        <w:t>3%</w:t>
      </w:r>
      <w:r w:rsidRPr="00490C9A">
        <w:rPr>
          <w:rFonts w:hint="eastAsia"/>
          <w:sz w:val="24"/>
        </w:rPr>
        <w:t>，再放宽</w:t>
      </w:r>
      <w:r w:rsidRPr="00490C9A">
        <w:rPr>
          <w:rFonts w:hint="eastAsia"/>
          <w:sz w:val="24"/>
        </w:rPr>
        <w:t>2%</w:t>
      </w:r>
      <w:r w:rsidRPr="00490C9A">
        <w:rPr>
          <w:rFonts w:hint="eastAsia"/>
          <w:sz w:val="24"/>
        </w:rPr>
        <w:t>，将限差定为</w:t>
      </w:r>
      <w:r w:rsidRPr="00490C9A">
        <w:rPr>
          <w:rFonts w:hint="eastAsia"/>
          <w:sz w:val="24"/>
        </w:rPr>
        <w:t>6%</w:t>
      </w:r>
      <w:r w:rsidRPr="00490C9A">
        <w:rPr>
          <w:rFonts w:hint="eastAsia"/>
          <w:sz w:val="24"/>
        </w:rPr>
        <w:t>。</w:t>
      </w:r>
    </w:p>
    <w:p w14:paraId="24172BCE" w14:textId="77777777" w:rsidR="00490C9A" w:rsidRPr="00490C9A" w:rsidRDefault="00490C9A" w:rsidP="00490C9A">
      <w:pPr>
        <w:spacing w:line="360" w:lineRule="auto"/>
        <w:ind w:firstLineChars="200" w:firstLine="480"/>
        <w:rPr>
          <w:rFonts w:hint="eastAsia"/>
          <w:sz w:val="24"/>
        </w:rPr>
      </w:pPr>
      <w:r w:rsidRPr="00490C9A">
        <w:rPr>
          <w:rFonts w:hint="eastAsia"/>
          <w:sz w:val="24"/>
        </w:rPr>
        <w:t>（</w:t>
      </w:r>
      <w:r w:rsidRPr="00490C9A">
        <w:rPr>
          <w:rFonts w:hint="eastAsia"/>
          <w:sz w:val="24"/>
        </w:rPr>
        <w:t>3</w:t>
      </w:r>
      <w:r w:rsidRPr="00490C9A">
        <w:rPr>
          <w:rFonts w:hint="eastAsia"/>
          <w:sz w:val="24"/>
        </w:rPr>
        <w:t>）在振动台比较法测试加速度计参考灵敏度误差时，结合实验室测试限差</w:t>
      </w:r>
      <w:r w:rsidRPr="00490C9A">
        <w:rPr>
          <w:rFonts w:hint="eastAsia"/>
          <w:sz w:val="24"/>
        </w:rPr>
        <w:t>3%</w:t>
      </w:r>
      <w:r w:rsidRPr="00490C9A">
        <w:rPr>
          <w:rFonts w:hint="eastAsia"/>
          <w:sz w:val="24"/>
        </w:rPr>
        <w:t>，估计比较法相对绝对法校准误差增加</w:t>
      </w:r>
      <w:r w:rsidRPr="00490C9A">
        <w:rPr>
          <w:rFonts w:hint="eastAsia"/>
          <w:sz w:val="24"/>
        </w:rPr>
        <w:t>1%</w:t>
      </w:r>
      <w:r w:rsidRPr="00490C9A">
        <w:rPr>
          <w:rFonts w:hint="eastAsia"/>
          <w:sz w:val="24"/>
        </w:rPr>
        <w:t>，再放宽</w:t>
      </w:r>
      <w:r w:rsidRPr="00490C9A">
        <w:rPr>
          <w:rFonts w:hint="eastAsia"/>
          <w:sz w:val="24"/>
        </w:rPr>
        <w:t>2%</w:t>
      </w:r>
      <w:r w:rsidRPr="00490C9A">
        <w:rPr>
          <w:rFonts w:hint="eastAsia"/>
          <w:sz w:val="24"/>
        </w:rPr>
        <w:t>。将限差定为</w:t>
      </w:r>
      <w:r w:rsidRPr="00490C9A">
        <w:rPr>
          <w:rFonts w:hint="eastAsia"/>
          <w:sz w:val="24"/>
        </w:rPr>
        <w:t>6%</w:t>
      </w:r>
      <w:r w:rsidRPr="00490C9A">
        <w:rPr>
          <w:rFonts w:hint="eastAsia"/>
          <w:sz w:val="24"/>
        </w:rPr>
        <w:t>。</w:t>
      </w:r>
    </w:p>
    <w:p w14:paraId="35A635E9" w14:textId="27F831D7" w:rsidR="00490C9A" w:rsidRDefault="00490C9A" w:rsidP="00490C9A">
      <w:pPr>
        <w:spacing w:line="360" w:lineRule="auto"/>
        <w:ind w:firstLineChars="200" w:firstLine="480"/>
        <w:rPr>
          <w:sz w:val="24"/>
        </w:rPr>
      </w:pPr>
      <w:r w:rsidRPr="00490C9A">
        <w:rPr>
          <w:rFonts w:hint="eastAsia"/>
          <w:sz w:val="24"/>
        </w:rPr>
        <w:t>（</w:t>
      </w:r>
      <w:r w:rsidRPr="00490C9A">
        <w:rPr>
          <w:rFonts w:hint="eastAsia"/>
          <w:sz w:val="24"/>
        </w:rPr>
        <w:t>4</w:t>
      </w:r>
      <w:r w:rsidRPr="00490C9A">
        <w:rPr>
          <w:rFonts w:hint="eastAsia"/>
          <w:sz w:val="24"/>
        </w:rPr>
        <w:t>）振动台比较法和标定线圈激励法测试</w:t>
      </w:r>
      <w:proofErr w:type="gramStart"/>
      <w:r w:rsidRPr="00490C9A">
        <w:rPr>
          <w:rFonts w:hint="eastAsia"/>
          <w:sz w:val="24"/>
        </w:rPr>
        <w:t>灵敏度幅频误差</w:t>
      </w:r>
      <w:proofErr w:type="gramEnd"/>
      <w:r w:rsidRPr="00490C9A">
        <w:rPr>
          <w:rFonts w:hint="eastAsia"/>
          <w:sz w:val="24"/>
        </w:rPr>
        <w:t>时，在实验室测试限差基础上放宽</w:t>
      </w:r>
      <w:r w:rsidRPr="00490C9A">
        <w:rPr>
          <w:rFonts w:hint="eastAsia"/>
          <w:sz w:val="24"/>
        </w:rPr>
        <w:t>0.3 dB</w:t>
      </w:r>
      <w:r w:rsidRPr="00490C9A">
        <w:rPr>
          <w:rFonts w:hint="eastAsia"/>
          <w:sz w:val="24"/>
        </w:rPr>
        <w:t>，将限差定为</w:t>
      </w:r>
      <w:r w:rsidRPr="00490C9A">
        <w:rPr>
          <w:rFonts w:hint="eastAsia"/>
          <w:sz w:val="24"/>
        </w:rPr>
        <w:t>0.6 dB</w:t>
      </w:r>
      <w:r w:rsidRPr="00490C9A">
        <w:rPr>
          <w:rFonts w:hint="eastAsia"/>
          <w:sz w:val="24"/>
        </w:rPr>
        <w:t>。</w:t>
      </w:r>
    </w:p>
    <w:p w14:paraId="7032667A" w14:textId="61037E9F" w:rsidR="005B55E3" w:rsidRDefault="00000000">
      <w:pPr>
        <w:spacing w:line="360" w:lineRule="auto"/>
        <w:rPr>
          <w:b/>
          <w:bCs/>
          <w:sz w:val="24"/>
        </w:rPr>
      </w:pPr>
      <w:r>
        <w:rPr>
          <w:rFonts w:hint="eastAsia"/>
          <w:b/>
          <w:bCs/>
          <w:sz w:val="24"/>
        </w:rPr>
        <w:lastRenderedPageBreak/>
        <w:t>六、</w:t>
      </w:r>
      <w:r>
        <w:rPr>
          <w:b/>
          <w:bCs/>
          <w:sz w:val="24"/>
        </w:rPr>
        <w:t>主要技术内容说明</w:t>
      </w:r>
    </w:p>
    <w:p w14:paraId="58924118"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按照</w:t>
      </w:r>
      <w:r>
        <w:rPr>
          <w:rFonts w:ascii="Times New Roman" w:eastAsia="宋体" w:hint="eastAsia"/>
          <w:bCs/>
          <w:kern w:val="2"/>
          <w:sz w:val="24"/>
          <w:szCs w:val="24"/>
        </w:rPr>
        <w:t>JJF 1002</w:t>
      </w:r>
      <w:r>
        <w:rPr>
          <w:rFonts w:ascii="Times New Roman" w:eastAsia="宋体" w:hint="eastAsia"/>
          <w:bCs/>
          <w:kern w:val="2"/>
          <w:sz w:val="24"/>
          <w:szCs w:val="24"/>
        </w:rPr>
        <w:t>《国家计量检定规程编写规则》要求，本规程包括七个章节和三个附录：</w:t>
      </w:r>
      <w:r>
        <w:rPr>
          <w:rFonts w:ascii="Times New Roman" w:eastAsia="宋体" w:hint="eastAsia"/>
          <w:bCs/>
          <w:kern w:val="2"/>
          <w:sz w:val="24"/>
          <w:szCs w:val="24"/>
        </w:rPr>
        <w:t>1</w:t>
      </w:r>
      <w:r>
        <w:rPr>
          <w:rFonts w:ascii="Times New Roman" w:eastAsia="宋体" w:hint="eastAsia"/>
          <w:bCs/>
          <w:kern w:val="2"/>
          <w:sz w:val="24"/>
          <w:szCs w:val="24"/>
        </w:rPr>
        <w:t>范围、</w:t>
      </w:r>
      <w:r>
        <w:rPr>
          <w:rFonts w:ascii="Times New Roman" w:eastAsia="宋体" w:hint="eastAsia"/>
          <w:bCs/>
          <w:kern w:val="2"/>
          <w:sz w:val="24"/>
          <w:szCs w:val="24"/>
        </w:rPr>
        <w:t>2</w:t>
      </w:r>
      <w:r>
        <w:rPr>
          <w:rFonts w:ascii="Times New Roman" w:eastAsia="宋体" w:hint="eastAsia"/>
          <w:bCs/>
          <w:kern w:val="2"/>
          <w:sz w:val="24"/>
          <w:szCs w:val="24"/>
        </w:rPr>
        <w:t>引用文件、</w:t>
      </w:r>
      <w:r>
        <w:rPr>
          <w:rFonts w:ascii="Times New Roman" w:eastAsia="宋体" w:hint="eastAsia"/>
          <w:bCs/>
          <w:kern w:val="2"/>
          <w:sz w:val="24"/>
          <w:szCs w:val="24"/>
        </w:rPr>
        <w:t>3</w:t>
      </w:r>
      <w:r>
        <w:rPr>
          <w:rFonts w:ascii="Times New Roman" w:eastAsia="宋体" w:hint="eastAsia"/>
          <w:bCs/>
          <w:kern w:val="2"/>
          <w:sz w:val="24"/>
          <w:szCs w:val="24"/>
        </w:rPr>
        <w:t>术语、</w:t>
      </w:r>
      <w:r>
        <w:rPr>
          <w:rFonts w:ascii="Times New Roman" w:eastAsia="宋体" w:hint="eastAsia"/>
          <w:bCs/>
          <w:kern w:val="2"/>
          <w:sz w:val="24"/>
          <w:szCs w:val="24"/>
        </w:rPr>
        <w:t>4</w:t>
      </w:r>
      <w:r>
        <w:rPr>
          <w:rFonts w:ascii="Times New Roman" w:eastAsia="宋体" w:hint="eastAsia"/>
          <w:bCs/>
          <w:kern w:val="2"/>
          <w:sz w:val="24"/>
          <w:szCs w:val="24"/>
        </w:rPr>
        <w:t>概述、</w:t>
      </w:r>
      <w:r>
        <w:rPr>
          <w:rFonts w:ascii="Times New Roman" w:eastAsia="宋体" w:hint="eastAsia"/>
          <w:bCs/>
          <w:kern w:val="2"/>
          <w:sz w:val="24"/>
          <w:szCs w:val="24"/>
        </w:rPr>
        <w:t>5</w:t>
      </w:r>
      <w:r>
        <w:rPr>
          <w:rFonts w:ascii="Times New Roman" w:eastAsia="宋体" w:hint="eastAsia"/>
          <w:bCs/>
          <w:kern w:val="2"/>
          <w:sz w:val="24"/>
          <w:szCs w:val="24"/>
        </w:rPr>
        <w:t>计量性能要求、</w:t>
      </w:r>
      <w:r>
        <w:rPr>
          <w:rFonts w:ascii="Times New Roman" w:eastAsia="宋体" w:hint="eastAsia"/>
          <w:bCs/>
          <w:kern w:val="2"/>
          <w:sz w:val="24"/>
          <w:szCs w:val="24"/>
        </w:rPr>
        <w:t>6</w:t>
      </w:r>
      <w:r>
        <w:rPr>
          <w:rFonts w:ascii="Times New Roman" w:eastAsia="宋体" w:hint="eastAsia"/>
          <w:bCs/>
          <w:kern w:val="2"/>
          <w:sz w:val="24"/>
          <w:szCs w:val="24"/>
        </w:rPr>
        <w:t>通用技术要求、</w:t>
      </w:r>
      <w:r>
        <w:rPr>
          <w:rFonts w:ascii="Times New Roman" w:eastAsia="宋体" w:hint="eastAsia"/>
          <w:bCs/>
          <w:kern w:val="2"/>
          <w:sz w:val="24"/>
          <w:szCs w:val="24"/>
        </w:rPr>
        <w:t>7</w:t>
      </w:r>
      <w:r>
        <w:rPr>
          <w:rFonts w:ascii="Times New Roman" w:eastAsia="宋体" w:hint="eastAsia"/>
          <w:bCs/>
          <w:kern w:val="2"/>
          <w:sz w:val="24"/>
          <w:szCs w:val="24"/>
        </w:rPr>
        <w:t>计量器具控制以及附录</w:t>
      </w:r>
      <w:r>
        <w:rPr>
          <w:rFonts w:ascii="Times New Roman" w:eastAsia="宋体" w:hint="eastAsia"/>
          <w:bCs/>
          <w:kern w:val="2"/>
          <w:sz w:val="24"/>
          <w:szCs w:val="24"/>
        </w:rPr>
        <w:t>A</w:t>
      </w:r>
      <w:r>
        <w:rPr>
          <w:rFonts w:ascii="Times New Roman" w:eastAsia="宋体" w:hint="eastAsia"/>
          <w:bCs/>
          <w:kern w:val="2"/>
          <w:sz w:val="24"/>
          <w:szCs w:val="24"/>
        </w:rPr>
        <w:t>正弦波测试数据处理方法，附录</w:t>
      </w:r>
      <w:r>
        <w:rPr>
          <w:rFonts w:ascii="Times New Roman" w:eastAsia="宋体" w:hint="eastAsia"/>
          <w:bCs/>
          <w:kern w:val="2"/>
          <w:sz w:val="24"/>
          <w:szCs w:val="24"/>
        </w:rPr>
        <w:t>B</w:t>
      </w:r>
      <w:r>
        <w:rPr>
          <w:rFonts w:ascii="Times New Roman" w:eastAsia="宋体" w:hint="eastAsia"/>
          <w:bCs/>
          <w:kern w:val="2"/>
          <w:sz w:val="24"/>
          <w:szCs w:val="24"/>
        </w:rPr>
        <w:t>强震动加速计使用中检查方法，附录</w:t>
      </w:r>
      <w:r>
        <w:rPr>
          <w:rFonts w:ascii="Times New Roman" w:eastAsia="宋体" w:hint="eastAsia"/>
          <w:bCs/>
          <w:kern w:val="2"/>
          <w:sz w:val="24"/>
          <w:szCs w:val="24"/>
        </w:rPr>
        <w:t>C</w:t>
      </w:r>
      <w:r>
        <w:rPr>
          <w:rFonts w:ascii="Times New Roman" w:eastAsia="宋体" w:hint="eastAsia"/>
          <w:bCs/>
          <w:kern w:val="2"/>
          <w:sz w:val="24"/>
          <w:szCs w:val="24"/>
        </w:rPr>
        <w:t>强震动加速度计检定证书内页格式，附录</w:t>
      </w:r>
      <w:r>
        <w:rPr>
          <w:rFonts w:ascii="Times New Roman" w:eastAsia="宋体" w:hint="eastAsia"/>
          <w:bCs/>
          <w:kern w:val="2"/>
          <w:sz w:val="24"/>
          <w:szCs w:val="24"/>
        </w:rPr>
        <w:t>D</w:t>
      </w:r>
      <w:r>
        <w:rPr>
          <w:rFonts w:ascii="Times New Roman" w:eastAsia="宋体" w:hint="eastAsia"/>
          <w:bCs/>
          <w:kern w:val="2"/>
          <w:sz w:val="24"/>
          <w:szCs w:val="24"/>
        </w:rPr>
        <w:t>强震动加速度计检定结果通知书内页格式。</w:t>
      </w:r>
    </w:p>
    <w:p w14:paraId="7DD80969" w14:textId="77777777" w:rsidR="005B55E3" w:rsidRDefault="00000000">
      <w:pPr>
        <w:spacing w:line="360" w:lineRule="auto"/>
        <w:rPr>
          <w:sz w:val="24"/>
        </w:rPr>
      </w:pPr>
      <w:r>
        <w:rPr>
          <w:rFonts w:hint="eastAsia"/>
          <w:sz w:val="24"/>
        </w:rPr>
        <w:t>1</w:t>
      </w:r>
      <w:r>
        <w:rPr>
          <w:rFonts w:hint="eastAsia"/>
          <w:sz w:val="24"/>
        </w:rPr>
        <w:t>、范围</w:t>
      </w:r>
    </w:p>
    <w:p w14:paraId="63EDFD39" w14:textId="77777777" w:rsidR="005B55E3" w:rsidRDefault="00000000">
      <w:pPr>
        <w:pStyle w:val="af0"/>
        <w:spacing w:line="276" w:lineRule="auto"/>
        <w:ind w:firstLine="480"/>
        <w:rPr>
          <w:rFonts w:ascii="Times New Roman"/>
          <w:sz w:val="24"/>
          <w:szCs w:val="24"/>
        </w:rPr>
      </w:pPr>
      <w:proofErr w:type="spellStart"/>
      <w:r>
        <w:rPr>
          <w:rFonts w:ascii="Times New Roman"/>
          <w:sz w:val="24"/>
          <w:szCs w:val="24"/>
        </w:rPr>
        <w:t>本规程适用于强震动加速度计的首次检定、后续检定和使用中检查</w:t>
      </w:r>
      <w:proofErr w:type="spellEnd"/>
      <w:r>
        <w:rPr>
          <w:rFonts w:ascii="Times New Roman"/>
          <w:sz w:val="24"/>
          <w:szCs w:val="24"/>
        </w:rPr>
        <w:t>。</w:t>
      </w:r>
    </w:p>
    <w:p w14:paraId="3C186C1E" w14:textId="77777777" w:rsidR="005B55E3" w:rsidRDefault="00000000">
      <w:pPr>
        <w:spacing w:line="360" w:lineRule="auto"/>
        <w:rPr>
          <w:sz w:val="24"/>
        </w:rPr>
      </w:pPr>
      <w:r>
        <w:rPr>
          <w:rFonts w:hint="eastAsia"/>
          <w:sz w:val="24"/>
        </w:rPr>
        <w:t>2</w:t>
      </w:r>
      <w:r>
        <w:rPr>
          <w:rFonts w:hint="eastAsia"/>
          <w:sz w:val="24"/>
        </w:rPr>
        <w:t>、引用文件</w:t>
      </w:r>
    </w:p>
    <w:p w14:paraId="0FF890C5"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本规程引用下列文件：</w:t>
      </w:r>
    </w:p>
    <w:p w14:paraId="4DD68F30"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JJG 2054</w:t>
      </w:r>
      <w:r>
        <w:rPr>
          <w:rFonts w:ascii="Times New Roman" w:eastAsia="宋体" w:hint="eastAsia"/>
          <w:bCs/>
          <w:kern w:val="2"/>
          <w:sz w:val="24"/>
          <w:szCs w:val="24"/>
        </w:rPr>
        <w:t>—</w:t>
      </w:r>
      <w:r>
        <w:rPr>
          <w:rFonts w:ascii="Times New Roman" w:eastAsia="宋体" w:hint="eastAsia"/>
          <w:bCs/>
          <w:kern w:val="2"/>
          <w:sz w:val="24"/>
          <w:szCs w:val="24"/>
        </w:rPr>
        <w:t xml:space="preserve">2015  </w:t>
      </w:r>
      <w:r>
        <w:rPr>
          <w:rFonts w:ascii="Times New Roman" w:eastAsia="宋体" w:hint="eastAsia"/>
          <w:bCs/>
          <w:kern w:val="2"/>
          <w:sz w:val="24"/>
          <w:szCs w:val="24"/>
        </w:rPr>
        <w:t>振动计量器具检定系统表</w:t>
      </w:r>
    </w:p>
    <w:p w14:paraId="3B3FF210"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JJF 1156</w:t>
      </w:r>
      <w:r>
        <w:rPr>
          <w:rFonts w:ascii="Times New Roman" w:eastAsia="宋体" w:hint="eastAsia"/>
          <w:bCs/>
          <w:kern w:val="2"/>
          <w:sz w:val="24"/>
          <w:szCs w:val="24"/>
        </w:rPr>
        <w:t>—</w:t>
      </w:r>
      <w:r>
        <w:rPr>
          <w:rFonts w:ascii="Times New Roman" w:eastAsia="宋体" w:hint="eastAsia"/>
          <w:bCs/>
          <w:kern w:val="2"/>
          <w:sz w:val="24"/>
          <w:szCs w:val="24"/>
        </w:rPr>
        <w:t xml:space="preserve">2006  </w:t>
      </w:r>
      <w:r>
        <w:rPr>
          <w:rFonts w:ascii="Times New Roman" w:eastAsia="宋体" w:hint="eastAsia"/>
          <w:bCs/>
          <w:kern w:val="2"/>
          <w:sz w:val="24"/>
          <w:szCs w:val="24"/>
        </w:rPr>
        <w:t>振动冲击转速计量术语及定义</w:t>
      </w:r>
    </w:p>
    <w:p w14:paraId="1F36308C"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GB/T 19531.1</w:t>
      </w:r>
      <w:r>
        <w:rPr>
          <w:rFonts w:ascii="Times New Roman" w:eastAsia="宋体" w:hint="eastAsia"/>
          <w:bCs/>
          <w:kern w:val="2"/>
          <w:sz w:val="24"/>
          <w:szCs w:val="24"/>
        </w:rPr>
        <w:t>—</w:t>
      </w:r>
      <w:r>
        <w:rPr>
          <w:rFonts w:ascii="Times New Roman" w:eastAsia="宋体" w:hint="eastAsia"/>
          <w:bCs/>
          <w:kern w:val="2"/>
          <w:sz w:val="24"/>
          <w:szCs w:val="24"/>
        </w:rPr>
        <w:t xml:space="preserve">2004  </w:t>
      </w:r>
      <w:r>
        <w:rPr>
          <w:rFonts w:ascii="Times New Roman" w:eastAsia="宋体" w:hint="eastAsia"/>
          <w:bCs/>
          <w:kern w:val="2"/>
          <w:sz w:val="24"/>
          <w:szCs w:val="24"/>
        </w:rPr>
        <w:t>地震台站观测环境技术要求</w:t>
      </w:r>
      <w:r>
        <w:rPr>
          <w:rFonts w:ascii="Times New Roman" w:eastAsia="宋体" w:hint="eastAsia"/>
          <w:bCs/>
          <w:kern w:val="2"/>
          <w:sz w:val="24"/>
          <w:szCs w:val="24"/>
        </w:rPr>
        <w:t xml:space="preserve"> </w:t>
      </w:r>
      <w:r>
        <w:rPr>
          <w:rFonts w:ascii="Times New Roman" w:eastAsia="宋体" w:hint="eastAsia"/>
          <w:bCs/>
          <w:kern w:val="2"/>
          <w:sz w:val="24"/>
          <w:szCs w:val="24"/>
        </w:rPr>
        <w:t>第</w:t>
      </w:r>
      <w:r>
        <w:rPr>
          <w:rFonts w:ascii="Times New Roman" w:eastAsia="宋体" w:hint="eastAsia"/>
          <w:bCs/>
          <w:kern w:val="2"/>
          <w:sz w:val="24"/>
          <w:szCs w:val="24"/>
        </w:rPr>
        <w:t>1</w:t>
      </w:r>
      <w:r>
        <w:rPr>
          <w:rFonts w:ascii="Times New Roman" w:eastAsia="宋体" w:hint="eastAsia"/>
          <w:bCs/>
          <w:kern w:val="2"/>
          <w:sz w:val="24"/>
          <w:szCs w:val="24"/>
        </w:rPr>
        <w:t>部分：测震</w:t>
      </w:r>
    </w:p>
    <w:p w14:paraId="7CF13170" w14:textId="77777777" w:rsidR="005B55E3" w:rsidRDefault="00000000">
      <w:pPr>
        <w:pStyle w:val="af0"/>
        <w:adjustRightInd w:val="0"/>
        <w:snapToGrid w:val="0"/>
        <w:spacing w:line="440" w:lineRule="exact"/>
        <w:ind w:firstLine="480"/>
        <w:rPr>
          <w:rFonts w:ascii="Times New Roman" w:eastAsia="宋体"/>
          <w:bCs/>
          <w:kern w:val="2"/>
          <w:sz w:val="24"/>
          <w:szCs w:val="24"/>
        </w:rPr>
      </w:pPr>
      <w:bookmarkStart w:id="1" w:name="_Hlk2526586"/>
      <w:r>
        <w:rPr>
          <w:rFonts w:ascii="Times New Roman" w:eastAsia="宋体" w:hint="eastAsia"/>
          <w:bCs/>
          <w:kern w:val="2"/>
          <w:sz w:val="24"/>
          <w:szCs w:val="24"/>
        </w:rPr>
        <w:t>DB/T 10</w:t>
      </w:r>
      <w:r>
        <w:rPr>
          <w:rFonts w:ascii="Times New Roman" w:eastAsia="宋体" w:hint="eastAsia"/>
          <w:bCs/>
          <w:kern w:val="2"/>
          <w:sz w:val="24"/>
          <w:szCs w:val="24"/>
        </w:rPr>
        <w:t>—</w:t>
      </w:r>
      <w:r>
        <w:rPr>
          <w:rFonts w:ascii="Times New Roman" w:eastAsia="宋体" w:hint="eastAsia"/>
          <w:bCs/>
          <w:kern w:val="2"/>
          <w:sz w:val="24"/>
          <w:szCs w:val="24"/>
        </w:rPr>
        <w:t xml:space="preserve">2016  </w:t>
      </w:r>
      <w:r>
        <w:rPr>
          <w:rFonts w:ascii="Times New Roman" w:eastAsia="宋体" w:hint="eastAsia"/>
          <w:bCs/>
          <w:kern w:val="2"/>
          <w:sz w:val="24"/>
          <w:szCs w:val="24"/>
        </w:rPr>
        <w:t>数字强震动加速度仪</w:t>
      </w:r>
    </w:p>
    <w:p w14:paraId="4C0299EF"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DB/T 22</w:t>
      </w:r>
      <w:r>
        <w:rPr>
          <w:rFonts w:ascii="Times New Roman" w:eastAsia="宋体" w:hint="eastAsia"/>
          <w:bCs/>
          <w:kern w:val="2"/>
          <w:sz w:val="24"/>
          <w:szCs w:val="24"/>
        </w:rPr>
        <w:t>—</w:t>
      </w:r>
      <w:r>
        <w:rPr>
          <w:rFonts w:ascii="Times New Roman" w:eastAsia="宋体" w:hint="eastAsia"/>
          <w:bCs/>
          <w:kern w:val="2"/>
          <w:sz w:val="24"/>
          <w:szCs w:val="24"/>
        </w:rPr>
        <w:t xml:space="preserve">2020  </w:t>
      </w:r>
      <w:r>
        <w:rPr>
          <w:rFonts w:ascii="Times New Roman" w:eastAsia="宋体" w:hint="eastAsia"/>
          <w:bCs/>
          <w:kern w:val="2"/>
          <w:sz w:val="24"/>
          <w:szCs w:val="24"/>
        </w:rPr>
        <w:t>地震观测仪器进网技术要求</w:t>
      </w:r>
      <w:r>
        <w:rPr>
          <w:rFonts w:ascii="Times New Roman" w:eastAsia="宋体" w:hint="eastAsia"/>
          <w:bCs/>
          <w:kern w:val="2"/>
          <w:sz w:val="24"/>
          <w:szCs w:val="24"/>
        </w:rPr>
        <w:t xml:space="preserve"> </w:t>
      </w:r>
      <w:r>
        <w:rPr>
          <w:rFonts w:ascii="Times New Roman" w:eastAsia="宋体" w:hint="eastAsia"/>
          <w:bCs/>
          <w:kern w:val="2"/>
          <w:sz w:val="24"/>
          <w:szCs w:val="24"/>
        </w:rPr>
        <w:t>地震仪</w:t>
      </w:r>
    </w:p>
    <w:bookmarkEnd w:id="1"/>
    <w:p w14:paraId="1AD85698" w14:textId="77777777" w:rsidR="005B55E3" w:rsidRDefault="00000000">
      <w:pPr>
        <w:pStyle w:val="af0"/>
        <w:adjustRightInd w:val="0"/>
        <w:snapToGrid w:val="0"/>
        <w:spacing w:line="440" w:lineRule="exact"/>
        <w:ind w:firstLine="480"/>
        <w:rPr>
          <w:rFonts w:ascii="Times New Roman" w:eastAsia="宋体"/>
          <w:bCs/>
          <w:kern w:val="2"/>
          <w:sz w:val="24"/>
          <w:szCs w:val="24"/>
        </w:rPr>
      </w:pPr>
      <w:r>
        <w:rPr>
          <w:rFonts w:ascii="Times New Roman" w:eastAsia="宋体" w:hint="eastAsia"/>
          <w:bCs/>
          <w:kern w:val="2"/>
          <w:sz w:val="24"/>
          <w:szCs w:val="24"/>
        </w:rPr>
        <w:t>凡是注日期的引用文件，仅注日期的版本适用于本规程；凡是不注日期的引用文件，其最新版本（包括所有的修改单）适用于本规程。</w:t>
      </w:r>
    </w:p>
    <w:p w14:paraId="787EC6DA" w14:textId="77777777" w:rsidR="005B55E3" w:rsidRDefault="00000000">
      <w:pPr>
        <w:spacing w:line="360" w:lineRule="auto"/>
        <w:rPr>
          <w:sz w:val="24"/>
        </w:rPr>
      </w:pPr>
      <w:r>
        <w:rPr>
          <w:rFonts w:hint="eastAsia"/>
          <w:sz w:val="24"/>
        </w:rPr>
        <w:t>3</w:t>
      </w:r>
      <w:r>
        <w:rPr>
          <w:rFonts w:hint="eastAsia"/>
          <w:sz w:val="24"/>
        </w:rPr>
        <w:t>、术语</w:t>
      </w:r>
    </w:p>
    <w:p w14:paraId="329F9DE5" w14:textId="77777777" w:rsidR="005B55E3" w:rsidRDefault="00000000">
      <w:pPr>
        <w:spacing w:line="360" w:lineRule="auto"/>
        <w:ind w:firstLine="480"/>
        <w:rPr>
          <w:sz w:val="24"/>
        </w:rPr>
      </w:pPr>
      <w:r>
        <w:rPr>
          <w:rFonts w:hint="eastAsia"/>
          <w:sz w:val="24"/>
        </w:rPr>
        <w:t>本章对地震监测加速度计特有名词术语进行了定义，包括加速度计、数据采集器，以帮助读者更好地理解规范内容。</w:t>
      </w:r>
    </w:p>
    <w:p w14:paraId="3079280B" w14:textId="77777777" w:rsidR="005B55E3" w:rsidRDefault="00000000">
      <w:pPr>
        <w:spacing w:line="360" w:lineRule="auto"/>
        <w:rPr>
          <w:sz w:val="24"/>
        </w:rPr>
      </w:pPr>
      <w:r>
        <w:rPr>
          <w:sz w:val="24"/>
        </w:rPr>
        <w:t>4</w:t>
      </w:r>
      <w:r>
        <w:rPr>
          <w:rFonts w:hint="eastAsia"/>
          <w:sz w:val="24"/>
        </w:rPr>
        <w:t>、概述</w:t>
      </w:r>
    </w:p>
    <w:p w14:paraId="3301FD45" w14:textId="77777777" w:rsidR="005B55E3" w:rsidRDefault="00000000">
      <w:pPr>
        <w:spacing w:line="360" w:lineRule="auto"/>
        <w:ind w:firstLine="480"/>
        <w:rPr>
          <w:sz w:val="24"/>
        </w:rPr>
      </w:pPr>
      <w:r>
        <w:rPr>
          <w:rFonts w:hint="eastAsia"/>
          <w:sz w:val="24"/>
        </w:rPr>
        <w:t>本章介绍了加速度计的组成、用途、工作原理（具体见正文），为规程的起草提供了原理性支撑。</w:t>
      </w:r>
    </w:p>
    <w:p w14:paraId="6E5E20A5" w14:textId="77777777" w:rsidR="005B55E3" w:rsidRDefault="00000000">
      <w:pPr>
        <w:spacing w:line="360" w:lineRule="auto"/>
        <w:rPr>
          <w:sz w:val="24"/>
        </w:rPr>
      </w:pPr>
      <w:r>
        <w:rPr>
          <w:sz w:val="24"/>
        </w:rPr>
        <w:t>5</w:t>
      </w:r>
      <w:r>
        <w:rPr>
          <w:rFonts w:hint="eastAsia"/>
          <w:sz w:val="24"/>
        </w:rPr>
        <w:t>、计量特性</w:t>
      </w:r>
    </w:p>
    <w:p w14:paraId="2C175F51" w14:textId="77777777" w:rsidR="005B55E3" w:rsidRDefault="00000000">
      <w:pPr>
        <w:pStyle w:val="af0"/>
        <w:adjustRightInd w:val="0"/>
        <w:snapToGrid w:val="0"/>
        <w:spacing w:line="440" w:lineRule="exact"/>
        <w:ind w:firstLineChars="0" w:firstLine="563"/>
        <w:rPr>
          <w:rFonts w:ascii="Times New Roman" w:eastAsia="宋体"/>
          <w:kern w:val="2"/>
          <w:sz w:val="24"/>
          <w:szCs w:val="24"/>
        </w:rPr>
      </w:pPr>
      <w:r>
        <w:rPr>
          <w:rFonts w:ascii="Times New Roman" w:eastAsia="宋体" w:hint="eastAsia"/>
          <w:kern w:val="2"/>
          <w:sz w:val="24"/>
          <w:szCs w:val="24"/>
        </w:rPr>
        <w:t>参考灵敏度误差、</w:t>
      </w:r>
      <w:proofErr w:type="gramStart"/>
      <w:r>
        <w:rPr>
          <w:rFonts w:ascii="Times New Roman" w:eastAsia="宋体" w:hint="eastAsia"/>
          <w:kern w:val="2"/>
          <w:sz w:val="24"/>
          <w:szCs w:val="24"/>
        </w:rPr>
        <w:t>灵敏度幅频误差</w:t>
      </w:r>
      <w:proofErr w:type="gramEnd"/>
      <w:r>
        <w:rPr>
          <w:rFonts w:ascii="Times New Roman" w:eastAsia="宋体" w:hint="eastAsia"/>
          <w:kern w:val="2"/>
          <w:sz w:val="24"/>
          <w:szCs w:val="24"/>
        </w:rPr>
        <w:t>是保证设备工作频带内测量结果准确性的重要参量，噪声作为加速度计测量下限的重要参量，均作为主要计量性能，除此之外计量性能还包括幅值线性度、横向灵敏度比、温度漂移。</w:t>
      </w:r>
    </w:p>
    <w:p w14:paraId="17B06631" w14:textId="77777777" w:rsidR="005B55E3" w:rsidRDefault="00000000">
      <w:pPr>
        <w:pStyle w:val="af0"/>
        <w:adjustRightInd w:val="0"/>
        <w:snapToGrid w:val="0"/>
        <w:spacing w:line="440" w:lineRule="exact"/>
        <w:ind w:firstLineChars="0" w:firstLine="563"/>
        <w:rPr>
          <w:rFonts w:ascii="Times New Roman" w:eastAsia="宋体"/>
          <w:kern w:val="2"/>
          <w:sz w:val="24"/>
          <w:szCs w:val="24"/>
        </w:rPr>
      </w:pPr>
      <w:r>
        <w:rPr>
          <w:rFonts w:ascii="Times New Roman" w:eastAsia="宋体" w:hint="eastAsia"/>
          <w:kern w:val="2"/>
          <w:sz w:val="24"/>
          <w:szCs w:val="24"/>
        </w:rPr>
        <w:t>规程中的计量性能限差要求一般与行业标准要求一致，横向灵敏度比的限差受计量器具性能和检定环境影响，适当进行了放宽。</w:t>
      </w:r>
    </w:p>
    <w:p w14:paraId="654D2F61" w14:textId="77777777" w:rsidR="005B55E3" w:rsidRDefault="00000000">
      <w:pPr>
        <w:spacing w:line="360" w:lineRule="auto"/>
        <w:rPr>
          <w:sz w:val="24"/>
        </w:rPr>
      </w:pPr>
      <w:r>
        <w:rPr>
          <w:sz w:val="24"/>
        </w:rPr>
        <w:t>6</w:t>
      </w:r>
      <w:r>
        <w:rPr>
          <w:rFonts w:hint="eastAsia"/>
          <w:sz w:val="24"/>
        </w:rPr>
        <w:t>、检定条件</w:t>
      </w:r>
    </w:p>
    <w:p w14:paraId="5D1F8450" w14:textId="77777777" w:rsidR="005B55E3" w:rsidRDefault="00000000">
      <w:pPr>
        <w:pStyle w:val="af0"/>
        <w:adjustRightInd w:val="0"/>
        <w:snapToGrid w:val="0"/>
        <w:spacing w:line="440" w:lineRule="exact"/>
        <w:ind w:firstLineChars="0" w:firstLine="563"/>
        <w:rPr>
          <w:rFonts w:ascii="Times New Roman" w:eastAsia="宋体"/>
          <w:kern w:val="2"/>
          <w:sz w:val="24"/>
          <w:szCs w:val="24"/>
        </w:rPr>
      </w:pPr>
      <w:r>
        <w:rPr>
          <w:rFonts w:ascii="Times New Roman" w:eastAsia="宋体" w:hint="eastAsia"/>
          <w:kern w:val="2"/>
          <w:sz w:val="24"/>
          <w:szCs w:val="24"/>
        </w:rPr>
        <w:lastRenderedPageBreak/>
        <w:t>检定用标准器具包括绝对法振动标准装置、步入式恒温试验箱等，并提出了具体性能要求，可满足检定需求。其中，绝对法振动标准装置用于参考灵敏度误差、</w:t>
      </w:r>
      <w:proofErr w:type="gramStart"/>
      <w:r>
        <w:rPr>
          <w:rFonts w:ascii="Times New Roman" w:eastAsia="宋体" w:hint="eastAsia"/>
          <w:kern w:val="2"/>
          <w:sz w:val="24"/>
          <w:szCs w:val="24"/>
        </w:rPr>
        <w:t>灵敏度幅频误差</w:t>
      </w:r>
      <w:proofErr w:type="gramEnd"/>
      <w:r>
        <w:rPr>
          <w:rFonts w:ascii="Times New Roman" w:eastAsia="宋体" w:hint="eastAsia"/>
          <w:kern w:val="2"/>
          <w:sz w:val="24"/>
          <w:szCs w:val="24"/>
        </w:rPr>
        <w:t>、幅值线性度、横向灵敏度比的检定，步入式恒温试验箱用于温度漂移检定。</w:t>
      </w:r>
    </w:p>
    <w:p w14:paraId="1D23D65E" w14:textId="77777777" w:rsidR="005B55E3" w:rsidRDefault="00000000">
      <w:pPr>
        <w:pStyle w:val="af0"/>
        <w:adjustRightInd w:val="0"/>
        <w:snapToGrid w:val="0"/>
        <w:spacing w:line="440" w:lineRule="exact"/>
        <w:ind w:firstLineChars="0" w:firstLine="563"/>
        <w:rPr>
          <w:rFonts w:ascii="Times New Roman" w:eastAsia="宋体"/>
          <w:kern w:val="2"/>
          <w:sz w:val="24"/>
          <w:szCs w:val="24"/>
        </w:rPr>
      </w:pPr>
      <w:r>
        <w:rPr>
          <w:rFonts w:ascii="Times New Roman" w:eastAsia="宋体" w:hint="eastAsia"/>
          <w:kern w:val="2"/>
          <w:sz w:val="24"/>
          <w:szCs w:val="24"/>
        </w:rPr>
        <w:t>实验室环境条件主要考虑绝对法振动标准装置的工作环境要求。考虑到仪器噪声的检定，在检定条件中增加了对噪声检定环境地动噪声水平的描述。</w:t>
      </w:r>
    </w:p>
    <w:p w14:paraId="02E39DCF" w14:textId="77777777" w:rsidR="005B55E3" w:rsidRDefault="00000000">
      <w:pPr>
        <w:spacing w:line="360" w:lineRule="auto"/>
        <w:rPr>
          <w:sz w:val="24"/>
        </w:rPr>
      </w:pPr>
      <w:r>
        <w:rPr>
          <w:sz w:val="24"/>
        </w:rPr>
        <w:t>7</w:t>
      </w:r>
      <w:r>
        <w:rPr>
          <w:rFonts w:hint="eastAsia"/>
          <w:sz w:val="24"/>
        </w:rPr>
        <w:t>、检定项目和检定方法</w:t>
      </w:r>
    </w:p>
    <w:p w14:paraId="7129B084" w14:textId="77777777" w:rsidR="005B55E3" w:rsidRDefault="00000000">
      <w:pPr>
        <w:spacing w:line="360" w:lineRule="auto"/>
        <w:ind w:firstLine="480"/>
        <w:rPr>
          <w:sz w:val="24"/>
        </w:rPr>
      </w:pPr>
      <w:r>
        <w:rPr>
          <w:rFonts w:hint="eastAsia"/>
          <w:sz w:val="24"/>
        </w:rPr>
        <w:t>检定方法与</w:t>
      </w:r>
      <w:r>
        <w:rPr>
          <w:rFonts w:hint="eastAsia"/>
          <w:sz w:val="24"/>
        </w:rPr>
        <w:t>DB/T 22-2020</w:t>
      </w:r>
      <w:r>
        <w:rPr>
          <w:rFonts w:hint="eastAsia"/>
          <w:sz w:val="24"/>
        </w:rPr>
        <w:t>《地震观测仪器进网技术要求</w:t>
      </w:r>
      <w:r>
        <w:rPr>
          <w:rFonts w:hint="eastAsia"/>
          <w:sz w:val="24"/>
        </w:rPr>
        <w:t xml:space="preserve"> </w:t>
      </w:r>
      <w:r>
        <w:rPr>
          <w:rFonts w:hint="eastAsia"/>
          <w:sz w:val="24"/>
        </w:rPr>
        <w:t>地震仪》、</w:t>
      </w:r>
      <w:r>
        <w:rPr>
          <w:rFonts w:hint="eastAsia"/>
          <w:sz w:val="24"/>
        </w:rPr>
        <w:t>DB/T 10-2016</w:t>
      </w:r>
      <w:r>
        <w:rPr>
          <w:rFonts w:hint="eastAsia"/>
          <w:sz w:val="24"/>
        </w:rPr>
        <w:t>《数字强震动加速度仪》等行业标准中关于加速度计各检定项目的检定方法一致。其中参考灵敏度误差、</w:t>
      </w:r>
      <w:proofErr w:type="gramStart"/>
      <w:r>
        <w:rPr>
          <w:rFonts w:hint="eastAsia"/>
          <w:sz w:val="24"/>
        </w:rPr>
        <w:t>灵敏度幅频误差</w:t>
      </w:r>
      <w:proofErr w:type="gramEnd"/>
      <w:r>
        <w:rPr>
          <w:rFonts w:hint="eastAsia"/>
          <w:sz w:val="24"/>
        </w:rPr>
        <w:t>、幅值线性度、横向灵敏度比使用振动台测试方法。</w:t>
      </w:r>
    </w:p>
    <w:p w14:paraId="67659923" w14:textId="77777777" w:rsidR="005B55E3" w:rsidRDefault="00000000">
      <w:pPr>
        <w:spacing w:line="360" w:lineRule="auto"/>
        <w:ind w:firstLine="480"/>
        <w:rPr>
          <w:sz w:val="24"/>
        </w:rPr>
      </w:pPr>
      <w:r>
        <w:rPr>
          <w:rFonts w:hint="eastAsia"/>
          <w:sz w:val="24"/>
        </w:rPr>
        <w:t>具体检查和检定项目的要求和方法请参见规程正文，在此不再赘述。</w:t>
      </w:r>
    </w:p>
    <w:p w14:paraId="3FB0B4BF" w14:textId="77777777" w:rsidR="005B55E3" w:rsidRDefault="00000000">
      <w:pPr>
        <w:spacing w:line="360" w:lineRule="auto"/>
        <w:rPr>
          <w:sz w:val="24"/>
        </w:rPr>
      </w:pPr>
      <w:r>
        <w:rPr>
          <w:sz w:val="24"/>
        </w:rPr>
        <w:t>8</w:t>
      </w:r>
      <w:r>
        <w:rPr>
          <w:rFonts w:hint="eastAsia"/>
          <w:sz w:val="24"/>
        </w:rPr>
        <w:t>、检定结果表达</w:t>
      </w:r>
    </w:p>
    <w:p w14:paraId="7912E5D7" w14:textId="77777777" w:rsidR="005B55E3" w:rsidRDefault="00000000">
      <w:pPr>
        <w:spacing w:line="360" w:lineRule="auto"/>
        <w:ind w:firstLine="480"/>
        <w:rPr>
          <w:sz w:val="24"/>
        </w:rPr>
      </w:pPr>
      <w:r>
        <w:rPr>
          <w:rFonts w:hint="eastAsia"/>
          <w:sz w:val="24"/>
        </w:rPr>
        <w:t>在正文的附录中提供了检定证书内页格式、检定结果通知书内页格式，仅供参考。</w:t>
      </w:r>
    </w:p>
    <w:p w14:paraId="65085CDE" w14:textId="77777777" w:rsidR="005B55E3" w:rsidRDefault="00000000">
      <w:pPr>
        <w:spacing w:line="360" w:lineRule="auto"/>
        <w:rPr>
          <w:sz w:val="24"/>
        </w:rPr>
      </w:pPr>
      <w:r>
        <w:rPr>
          <w:sz w:val="24"/>
        </w:rPr>
        <w:t>9</w:t>
      </w:r>
      <w:r>
        <w:rPr>
          <w:rFonts w:hint="eastAsia"/>
          <w:sz w:val="24"/>
        </w:rPr>
        <w:t>、检定周期</w:t>
      </w:r>
    </w:p>
    <w:p w14:paraId="0CDFA2EB" w14:textId="77777777" w:rsidR="005B55E3" w:rsidRDefault="00000000">
      <w:pPr>
        <w:spacing w:line="360" w:lineRule="auto"/>
        <w:ind w:firstLine="480"/>
        <w:rPr>
          <w:sz w:val="24"/>
        </w:rPr>
      </w:pPr>
      <w:r>
        <w:rPr>
          <w:rFonts w:hint="eastAsia"/>
          <w:sz w:val="24"/>
        </w:rPr>
        <w:t>考虑到加速度计作为地震监测专业设备，架设后一般不予拆卸，</w:t>
      </w:r>
      <w:r>
        <w:rPr>
          <w:rFonts w:hint="eastAsia"/>
          <w:kern w:val="0"/>
          <w:sz w:val="24"/>
        </w:rPr>
        <w:t>不做检定周期要求。使用过程中使用单位应参照附录</w:t>
      </w:r>
      <w:r>
        <w:rPr>
          <w:rFonts w:hint="eastAsia"/>
          <w:kern w:val="0"/>
          <w:sz w:val="24"/>
        </w:rPr>
        <w:t>B</w:t>
      </w:r>
      <w:r>
        <w:rPr>
          <w:rFonts w:hint="eastAsia"/>
          <w:kern w:val="0"/>
          <w:sz w:val="24"/>
        </w:rPr>
        <w:t>的方法，按照台站设备运</w:t>
      </w:r>
      <w:proofErr w:type="gramStart"/>
      <w:r>
        <w:rPr>
          <w:rFonts w:hint="eastAsia"/>
          <w:kern w:val="0"/>
          <w:sz w:val="24"/>
        </w:rPr>
        <w:t>维有关</w:t>
      </w:r>
      <w:proofErr w:type="gramEnd"/>
      <w:r>
        <w:rPr>
          <w:rFonts w:hint="eastAsia"/>
          <w:kern w:val="0"/>
          <w:sz w:val="24"/>
        </w:rPr>
        <w:t>规定进行使用中检查，</w:t>
      </w:r>
      <w:bookmarkStart w:id="2" w:name="_Hlk149192597"/>
      <w:r>
        <w:rPr>
          <w:rFonts w:hint="eastAsia"/>
          <w:sz w:val="24"/>
        </w:rPr>
        <w:t>每台设备的全项目检查周期</w:t>
      </w:r>
      <w:bookmarkEnd w:id="2"/>
      <w:r>
        <w:rPr>
          <w:rFonts w:hint="eastAsia"/>
          <w:sz w:val="24"/>
        </w:rPr>
        <w:t>最长不超过</w:t>
      </w:r>
      <w:r>
        <w:rPr>
          <w:sz w:val="24"/>
        </w:rPr>
        <w:t>5</w:t>
      </w:r>
      <w:r>
        <w:rPr>
          <w:rFonts w:hint="eastAsia"/>
          <w:sz w:val="24"/>
        </w:rPr>
        <w:t>年。</w:t>
      </w:r>
      <w:r>
        <w:rPr>
          <w:rFonts w:hint="eastAsia"/>
          <w:kern w:val="0"/>
          <w:sz w:val="24"/>
        </w:rPr>
        <w:t>对使用中检查出现异常或经维修的设备，重新安装前应进行再次检定。</w:t>
      </w:r>
    </w:p>
    <w:p w14:paraId="7A79C4EB" w14:textId="77777777" w:rsidR="005B55E3" w:rsidRDefault="00000000">
      <w:pPr>
        <w:spacing w:line="360" w:lineRule="auto"/>
        <w:rPr>
          <w:b/>
          <w:bCs/>
          <w:sz w:val="24"/>
        </w:rPr>
      </w:pPr>
      <w:r>
        <w:rPr>
          <w:rFonts w:hint="eastAsia"/>
          <w:b/>
          <w:bCs/>
          <w:sz w:val="24"/>
        </w:rPr>
        <w:t>七、</w:t>
      </w:r>
      <w:r>
        <w:rPr>
          <w:b/>
          <w:bCs/>
          <w:sz w:val="24"/>
        </w:rPr>
        <w:t>验证试验情况</w:t>
      </w:r>
    </w:p>
    <w:p w14:paraId="2C846A60" w14:textId="77777777" w:rsidR="005B55E3" w:rsidRDefault="00000000">
      <w:pPr>
        <w:spacing w:line="360" w:lineRule="auto"/>
        <w:ind w:firstLineChars="200" w:firstLine="480"/>
        <w:rPr>
          <w:sz w:val="24"/>
        </w:rPr>
      </w:pPr>
      <w:r>
        <w:rPr>
          <w:sz w:val="24"/>
        </w:rPr>
        <w:t>按</w:t>
      </w:r>
      <w:r>
        <w:rPr>
          <w:rFonts w:hint="eastAsia"/>
          <w:sz w:val="24"/>
        </w:rPr>
        <w:t>本规程</w:t>
      </w:r>
      <w:r>
        <w:rPr>
          <w:sz w:val="24"/>
        </w:rPr>
        <w:t>的</w:t>
      </w:r>
      <w:r>
        <w:rPr>
          <w:rFonts w:hint="eastAsia"/>
          <w:sz w:val="24"/>
        </w:rPr>
        <w:t>计量特性</w:t>
      </w:r>
      <w:r>
        <w:rPr>
          <w:sz w:val="24"/>
        </w:rPr>
        <w:t>、</w:t>
      </w:r>
      <w:r>
        <w:rPr>
          <w:rFonts w:hint="eastAsia"/>
          <w:sz w:val="24"/>
        </w:rPr>
        <w:t>检定项目和检定方法等</w:t>
      </w:r>
      <w:r>
        <w:rPr>
          <w:sz w:val="24"/>
        </w:rPr>
        <w:t>进行试验</w:t>
      </w:r>
      <w:r>
        <w:rPr>
          <w:rFonts w:hint="eastAsia"/>
          <w:sz w:val="24"/>
        </w:rPr>
        <w:t>（</w:t>
      </w:r>
      <w:r>
        <w:rPr>
          <w:sz w:val="24"/>
        </w:rPr>
        <w:t>详见试验报告</w:t>
      </w:r>
      <w:r>
        <w:rPr>
          <w:rFonts w:hint="eastAsia"/>
          <w:sz w:val="24"/>
        </w:rPr>
        <w:t>）</w:t>
      </w:r>
      <w:r>
        <w:rPr>
          <w:sz w:val="24"/>
        </w:rPr>
        <w:t>。通过试验，证实了</w:t>
      </w:r>
      <w:r>
        <w:rPr>
          <w:rFonts w:hint="eastAsia"/>
          <w:sz w:val="24"/>
        </w:rPr>
        <w:t>强震动加速度计检定规程</w:t>
      </w:r>
      <w:r>
        <w:rPr>
          <w:sz w:val="24"/>
        </w:rPr>
        <w:t>中所描述的</w:t>
      </w:r>
      <w:r>
        <w:rPr>
          <w:rFonts w:hint="eastAsia"/>
          <w:sz w:val="24"/>
        </w:rPr>
        <w:t>计量特性</w:t>
      </w:r>
      <w:r>
        <w:rPr>
          <w:sz w:val="24"/>
        </w:rPr>
        <w:t>、对</w:t>
      </w:r>
      <w:r>
        <w:rPr>
          <w:rFonts w:hint="eastAsia"/>
          <w:sz w:val="24"/>
        </w:rPr>
        <w:t>检定</w:t>
      </w:r>
      <w:r>
        <w:rPr>
          <w:sz w:val="24"/>
        </w:rPr>
        <w:t>设备的要求</w:t>
      </w:r>
      <w:r>
        <w:rPr>
          <w:rFonts w:hint="eastAsia"/>
          <w:sz w:val="24"/>
        </w:rPr>
        <w:t>、</w:t>
      </w:r>
      <w:r>
        <w:rPr>
          <w:sz w:val="24"/>
        </w:rPr>
        <w:t>采用的</w:t>
      </w:r>
      <w:r>
        <w:rPr>
          <w:rFonts w:hint="eastAsia"/>
          <w:sz w:val="24"/>
        </w:rPr>
        <w:t>检定</w:t>
      </w:r>
      <w:r>
        <w:rPr>
          <w:sz w:val="24"/>
        </w:rPr>
        <w:t>方法是正确可行的。</w:t>
      </w:r>
    </w:p>
    <w:sectPr w:rsidR="005B55E3" w:rsidSect="00490C9A">
      <w:footerReference w:type="even" r:id="rId9"/>
      <w:footerReference w:type="default" r:id="rId10"/>
      <w:footerReference w:type="first" r:id="rId11"/>
      <w:type w:val="oddPage"/>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2F2A5" w14:textId="77777777" w:rsidR="00605E5F" w:rsidRDefault="00605E5F">
      <w:r>
        <w:separator/>
      </w:r>
    </w:p>
  </w:endnote>
  <w:endnote w:type="continuationSeparator" w:id="0">
    <w:p w14:paraId="3195163F" w14:textId="77777777" w:rsidR="00605E5F" w:rsidRDefault="0060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42C4C" w14:textId="77777777" w:rsidR="005B55E3"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2B46D72" w14:textId="77777777" w:rsidR="005B55E3" w:rsidRDefault="005B55E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636405"/>
      <w:docPartObj>
        <w:docPartGallery w:val="Page Numbers (Bottom of Page)"/>
        <w:docPartUnique/>
      </w:docPartObj>
    </w:sdtPr>
    <w:sdtContent>
      <w:sdt>
        <w:sdtPr>
          <w:id w:val="-68267628"/>
          <w:docPartObj>
            <w:docPartGallery w:val="Page Numbers (Top of Page)"/>
            <w:docPartUnique/>
          </w:docPartObj>
        </w:sdtPr>
        <w:sdtContent>
          <w:p w14:paraId="723023A3" w14:textId="4F6E9558" w:rsidR="00490C9A" w:rsidRDefault="00490C9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7DBFF15D" w14:textId="77777777" w:rsidR="00490C9A" w:rsidRDefault="00490C9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897379"/>
      <w:docPartObj>
        <w:docPartGallery w:val="Page Numbers (Bottom of Page)"/>
        <w:docPartUnique/>
      </w:docPartObj>
    </w:sdtPr>
    <w:sdtContent>
      <w:sdt>
        <w:sdtPr>
          <w:id w:val="1728636285"/>
          <w:docPartObj>
            <w:docPartGallery w:val="Page Numbers (Top of Page)"/>
            <w:docPartUnique/>
          </w:docPartObj>
        </w:sdtPr>
        <w:sdtContent>
          <w:p w14:paraId="7CECE95B" w14:textId="4A1872D8" w:rsidR="00490C9A" w:rsidRDefault="00490C9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2961C530" w14:textId="77777777" w:rsidR="00490C9A" w:rsidRDefault="00490C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7E657" w14:textId="77777777" w:rsidR="00605E5F" w:rsidRDefault="00605E5F">
      <w:r>
        <w:separator/>
      </w:r>
    </w:p>
  </w:footnote>
  <w:footnote w:type="continuationSeparator" w:id="0">
    <w:p w14:paraId="660929FF" w14:textId="77777777" w:rsidR="00605E5F" w:rsidRDefault="00605E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62C76"/>
    <w:multiLevelType w:val="multilevel"/>
    <w:tmpl w:val="1F762C76"/>
    <w:lvl w:ilvl="0">
      <w:start w:val="1"/>
      <w:numFmt w:val="japaneseCounting"/>
      <w:lvlText w:val="%1、"/>
      <w:lvlJc w:val="left"/>
      <w:pPr>
        <w:tabs>
          <w:tab w:val="left" w:pos="600"/>
        </w:tabs>
        <w:ind w:left="600" w:hanging="600"/>
      </w:pPr>
      <w:rPr>
        <w:rFonts w:hint="eastAsia"/>
      </w:rPr>
    </w:lvl>
    <w:lvl w:ilvl="1">
      <w:start w:val="1"/>
      <w:numFmt w:val="decimal"/>
      <w:lvlText w:val="%2."/>
      <w:lvlJc w:val="left"/>
      <w:pPr>
        <w:tabs>
          <w:tab w:val="left" w:pos="780"/>
        </w:tabs>
        <w:ind w:left="780" w:hanging="360"/>
      </w:pPr>
      <w:rPr>
        <w:rFonts w:hint="eastAsia"/>
      </w:rPr>
    </w:lvl>
    <w:lvl w:ilvl="2">
      <w:start w:val="1"/>
      <w:numFmt w:val="japaneseCounting"/>
      <w:pStyle w:val="a"/>
      <w:lvlText w:val="%3、"/>
      <w:lvlJc w:val="left"/>
      <w:pPr>
        <w:tabs>
          <w:tab w:val="left" w:pos="1440"/>
        </w:tabs>
        <w:ind w:left="1440" w:hanging="60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57C2AF5"/>
    <w:multiLevelType w:val="multilevel"/>
    <w:tmpl w:val="557C2AF5"/>
    <w:lvl w:ilvl="0">
      <w:start w:val="1"/>
      <w:numFmt w:val="decimal"/>
      <w:pStyle w:val="a0"/>
      <w:suff w:val="nothing"/>
      <w:lvlText w:val="图%1　"/>
      <w:lvlJc w:val="left"/>
      <w:rPr>
        <w:rFonts w:ascii="Times New Roman" w:eastAsia="黑体" w:hAnsi="Times New Roman" w:cs="Times New Roman" w:hint="default"/>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16cid:durableId="1284262524">
    <w:abstractNumId w:val="1"/>
  </w:num>
  <w:num w:numId="2" w16cid:durableId="680085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ZkYmU3Y2NhNTI3ZjEwNTI0YWM4N2RiMzk5NzhiN2QifQ=="/>
  </w:docVars>
  <w:rsids>
    <w:rsidRoot w:val="006A5BAA"/>
    <w:rsid w:val="000013D9"/>
    <w:rsid w:val="0000158D"/>
    <w:rsid w:val="00001B4A"/>
    <w:rsid w:val="00002071"/>
    <w:rsid w:val="00002645"/>
    <w:rsid w:val="00002E4D"/>
    <w:rsid w:val="000036A4"/>
    <w:rsid w:val="00003830"/>
    <w:rsid w:val="00003B19"/>
    <w:rsid w:val="00003BD6"/>
    <w:rsid w:val="0000435F"/>
    <w:rsid w:val="00004397"/>
    <w:rsid w:val="000043EB"/>
    <w:rsid w:val="00004948"/>
    <w:rsid w:val="00006E88"/>
    <w:rsid w:val="00007365"/>
    <w:rsid w:val="000075D2"/>
    <w:rsid w:val="00011094"/>
    <w:rsid w:val="0001371F"/>
    <w:rsid w:val="00013F93"/>
    <w:rsid w:val="00015D95"/>
    <w:rsid w:val="00016EB9"/>
    <w:rsid w:val="00017275"/>
    <w:rsid w:val="00020C77"/>
    <w:rsid w:val="00023AC1"/>
    <w:rsid w:val="00024941"/>
    <w:rsid w:val="00024D30"/>
    <w:rsid w:val="00025AD8"/>
    <w:rsid w:val="00026683"/>
    <w:rsid w:val="000266D3"/>
    <w:rsid w:val="00026A02"/>
    <w:rsid w:val="00030238"/>
    <w:rsid w:val="00030CDD"/>
    <w:rsid w:val="00031916"/>
    <w:rsid w:val="000328E6"/>
    <w:rsid w:val="000329D7"/>
    <w:rsid w:val="000331D7"/>
    <w:rsid w:val="00034EE7"/>
    <w:rsid w:val="0003609F"/>
    <w:rsid w:val="0003659E"/>
    <w:rsid w:val="00036B7F"/>
    <w:rsid w:val="00036C7D"/>
    <w:rsid w:val="0003739C"/>
    <w:rsid w:val="000373E0"/>
    <w:rsid w:val="000379D2"/>
    <w:rsid w:val="00041732"/>
    <w:rsid w:val="00041BFF"/>
    <w:rsid w:val="000429C1"/>
    <w:rsid w:val="00042AA8"/>
    <w:rsid w:val="000434CB"/>
    <w:rsid w:val="00043B71"/>
    <w:rsid w:val="00043C67"/>
    <w:rsid w:val="00043FFC"/>
    <w:rsid w:val="0004591A"/>
    <w:rsid w:val="000463B9"/>
    <w:rsid w:val="00046B39"/>
    <w:rsid w:val="00046DC5"/>
    <w:rsid w:val="000479C5"/>
    <w:rsid w:val="00047BA1"/>
    <w:rsid w:val="00051E1E"/>
    <w:rsid w:val="00051E9D"/>
    <w:rsid w:val="000520CA"/>
    <w:rsid w:val="00052CB5"/>
    <w:rsid w:val="0005306C"/>
    <w:rsid w:val="00053942"/>
    <w:rsid w:val="00056FE8"/>
    <w:rsid w:val="000571C6"/>
    <w:rsid w:val="00057245"/>
    <w:rsid w:val="000575C8"/>
    <w:rsid w:val="00061145"/>
    <w:rsid w:val="000617F2"/>
    <w:rsid w:val="00065F35"/>
    <w:rsid w:val="000675F2"/>
    <w:rsid w:val="000676B2"/>
    <w:rsid w:val="00070015"/>
    <w:rsid w:val="0007044B"/>
    <w:rsid w:val="00071644"/>
    <w:rsid w:val="00072367"/>
    <w:rsid w:val="000724DC"/>
    <w:rsid w:val="000725DF"/>
    <w:rsid w:val="000733A9"/>
    <w:rsid w:val="00073840"/>
    <w:rsid w:val="00074A79"/>
    <w:rsid w:val="00074F44"/>
    <w:rsid w:val="00075228"/>
    <w:rsid w:val="00075A86"/>
    <w:rsid w:val="000762D8"/>
    <w:rsid w:val="00076F5E"/>
    <w:rsid w:val="00076FB4"/>
    <w:rsid w:val="00077942"/>
    <w:rsid w:val="00077C65"/>
    <w:rsid w:val="00080205"/>
    <w:rsid w:val="000823A4"/>
    <w:rsid w:val="00082FA2"/>
    <w:rsid w:val="00083C87"/>
    <w:rsid w:val="000847E7"/>
    <w:rsid w:val="000848B9"/>
    <w:rsid w:val="00084AD2"/>
    <w:rsid w:val="00085BF4"/>
    <w:rsid w:val="00085C1C"/>
    <w:rsid w:val="00085DF2"/>
    <w:rsid w:val="000860FF"/>
    <w:rsid w:val="00086949"/>
    <w:rsid w:val="000912D9"/>
    <w:rsid w:val="000913B7"/>
    <w:rsid w:val="000913B9"/>
    <w:rsid w:val="00091C8A"/>
    <w:rsid w:val="00092596"/>
    <w:rsid w:val="000928C5"/>
    <w:rsid w:val="0009631B"/>
    <w:rsid w:val="00096E30"/>
    <w:rsid w:val="00097333"/>
    <w:rsid w:val="000A0104"/>
    <w:rsid w:val="000A022B"/>
    <w:rsid w:val="000A0248"/>
    <w:rsid w:val="000A0D67"/>
    <w:rsid w:val="000A115B"/>
    <w:rsid w:val="000A163C"/>
    <w:rsid w:val="000A31E9"/>
    <w:rsid w:val="000A3CE3"/>
    <w:rsid w:val="000A3E5E"/>
    <w:rsid w:val="000A41CF"/>
    <w:rsid w:val="000A5E07"/>
    <w:rsid w:val="000A654E"/>
    <w:rsid w:val="000A72FC"/>
    <w:rsid w:val="000A78A6"/>
    <w:rsid w:val="000B1C43"/>
    <w:rsid w:val="000B2722"/>
    <w:rsid w:val="000B2B86"/>
    <w:rsid w:val="000B2E7F"/>
    <w:rsid w:val="000B3703"/>
    <w:rsid w:val="000B3AFD"/>
    <w:rsid w:val="000B466A"/>
    <w:rsid w:val="000B513A"/>
    <w:rsid w:val="000B5E93"/>
    <w:rsid w:val="000B6D1A"/>
    <w:rsid w:val="000B70D3"/>
    <w:rsid w:val="000B7A2C"/>
    <w:rsid w:val="000B7ED4"/>
    <w:rsid w:val="000C0025"/>
    <w:rsid w:val="000C0298"/>
    <w:rsid w:val="000C0659"/>
    <w:rsid w:val="000C0A89"/>
    <w:rsid w:val="000C1A32"/>
    <w:rsid w:val="000C1CAE"/>
    <w:rsid w:val="000C1F96"/>
    <w:rsid w:val="000C2212"/>
    <w:rsid w:val="000C4299"/>
    <w:rsid w:val="000C49F5"/>
    <w:rsid w:val="000C4C31"/>
    <w:rsid w:val="000D000B"/>
    <w:rsid w:val="000D043A"/>
    <w:rsid w:val="000D1662"/>
    <w:rsid w:val="000D1A2C"/>
    <w:rsid w:val="000D1E84"/>
    <w:rsid w:val="000D243F"/>
    <w:rsid w:val="000D2536"/>
    <w:rsid w:val="000D2C99"/>
    <w:rsid w:val="000D3397"/>
    <w:rsid w:val="000D3B6C"/>
    <w:rsid w:val="000D64B2"/>
    <w:rsid w:val="000D6AF9"/>
    <w:rsid w:val="000D6E64"/>
    <w:rsid w:val="000D70FD"/>
    <w:rsid w:val="000D7A21"/>
    <w:rsid w:val="000E01B7"/>
    <w:rsid w:val="000E07C1"/>
    <w:rsid w:val="000E21DD"/>
    <w:rsid w:val="000E2F0C"/>
    <w:rsid w:val="000E35ED"/>
    <w:rsid w:val="000E40EA"/>
    <w:rsid w:val="000E4E34"/>
    <w:rsid w:val="000E59E2"/>
    <w:rsid w:val="000E7BC0"/>
    <w:rsid w:val="000F0F58"/>
    <w:rsid w:val="000F2F88"/>
    <w:rsid w:val="000F3744"/>
    <w:rsid w:val="000F395C"/>
    <w:rsid w:val="000F3B26"/>
    <w:rsid w:val="000F46C4"/>
    <w:rsid w:val="000F5039"/>
    <w:rsid w:val="000F5AA8"/>
    <w:rsid w:val="000F5C04"/>
    <w:rsid w:val="000F6C82"/>
    <w:rsid w:val="000F7704"/>
    <w:rsid w:val="0010104B"/>
    <w:rsid w:val="00101839"/>
    <w:rsid w:val="00101ACD"/>
    <w:rsid w:val="00102764"/>
    <w:rsid w:val="00102838"/>
    <w:rsid w:val="001030C7"/>
    <w:rsid w:val="00103213"/>
    <w:rsid w:val="00103698"/>
    <w:rsid w:val="001045F6"/>
    <w:rsid w:val="00104BAD"/>
    <w:rsid w:val="001051A6"/>
    <w:rsid w:val="00105302"/>
    <w:rsid w:val="0010577B"/>
    <w:rsid w:val="00106DF7"/>
    <w:rsid w:val="00107314"/>
    <w:rsid w:val="00107463"/>
    <w:rsid w:val="0010770C"/>
    <w:rsid w:val="001109FA"/>
    <w:rsid w:val="00111F42"/>
    <w:rsid w:val="00112D1A"/>
    <w:rsid w:val="00112F26"/>
    <w:rsid w:val="0011388B"/>
    <w:rsid w:val="00114A4A"/>
    <w:rsid w:val="00115852"/>
    <w:rsid w:val="00115DCA"/>
    <w:rsid w:val="00120024"/>
    <w:rsid w:val="00120478"/>
    <w:rsid w:val="00120A83"/>
    <w:rsid w:val="0012180B"/>
    <w:rsid w:val="0012215B"/>
    <w:rsid w:val="001227C1"/>
    <w:rsid w:val="00122B84"/>
    <w:rsid w:val="001234F0"/>
    <w:rsid w:val="001243C4"/>
    <w:rsid w:val="00124527"/>
    <w:rsid w:val="0012462B"/>
    <w:rsid w:val="00124810"/>
    <w:rsid w:val="001256C1"/>
    <w:rsid w:val="00126668"/>
    <w:rsid w:val="0013031C"/>
    <w:rsid w:val="00133D8A"/>
    <w:rsid w:val="00134185"/>
    <w:rsid w:val="001342D0"/>
    <w:rsid w:val="001348CB"/>
    <w:rsid w:val="00134F86"/>
    <w:rsid w:val="00135E58"/>
    <w:rsid w:val="00136493"/>
    <w:rsid w:val="001377EC"/>
    <w:rsid w:val="001401DF"/>
    <w:rsid w:val="00140733"/>
    <w:rsid w:val="00141051"/>
    <w:rsid w:val="001412AD"/>
    <w:rsid w:val="00141D79"/>
    <w:rsid w:val="00142779"/>
    <w:rsid w:val="00142DB9"/>
    <w:rsid w:val="00142EA6"/>
    <w:rsid w:val="00143622"/>
    <w:rsid w:val="00143CCF"/>
    <w:rsid w:val="0014520D"/>
    <w:rsid w:val="00150332"/>
    <w:rsid w:val="00151CE7"/>
    <w:rsid w:val="00151FBB"/>
    <w:rsid w:val="00152801"/>
    <w:rsid w:val="00152A54"/>
    <w:rsid w:val="00153859"/>
    <w:rsid w:val="00154279"/>
    <w:rsid w:val="001554C2"/>
    <w:rsid w:val="001555B0"/>
    <w:rsid w:val="00156388"/>
    <w:rsid w:val="001566DA"/>
    <w:rsid w:val="001568DA"/>
    <w:rsid w:val="00156F22"/>
    <w:rsid w:val="00157580"/>
    <w:rsid w:val="001607A7"/>
    <w:rsid w:val="001610F8"/>
    <w:rsid w:val="0016283F"/>
    <w:rsid w:val="001650F1"/>
    <w:rsid w:val="00165253"/>
    <w:rsid w:val="00166075"/>
    <w:rsid w:val="00167DCD"/>
    <w:rsid w:val="0017025F"/>
    <w:rsid w:val="001714E2"/>
    <w:rsid w:val="0017176A"/>
    <w:rsid w:val="00171A36"/>
    <w:rsid w:val="0017229C"/>
    <w:rsid w:val="00172843"/>
    <w:rsid w:val="00173026"/>
    <w:rsid w:val="00173B2C"/>
    <w:rsid w:val="00177033"/>
    <w:rsid w:val="0018042F"/>
    <w:rsid w:val="00180B2C"/>
    <w:rsid w:val="00181564"/>
    <w:rsid w:val="00181742"/>
    <w:rsid w:val="00183572"/>
    <w:rsid w:val="00184768"/>
    <w:rsid w:val="00184A32"/>
    <w:rsid w:val="00184E31"/>
    <w:rsid w:val="001851E5"/>
    <w:rsid w:val="001854B4"/>
    <w:rsid w:val="00185ADE"/>
    <w:rsid w:val="00187FC1"/>
    <w:rsid w:val="001909B0"/>
    <w:rsid w:val="00191916"/>
    <w:rsid w:val="001920C0"/>
    <w:rsid w:val="00193AA2"/>
    <w:rsid w:val="00193F93"/>
    <w:rsid w:val="0019450B"/>
    <w:rsid w:val="00195364"/>
    <w:rsid w:val="00195398"/>
    <w:rsid w:val="0019547A"/>
    <w:rsid w:val="001954F0"/>
    <w:rsid w:val="00195703"/>
    <w:rsid w:val="001957CE"/>
    <w:rsid w:val="00196188"/>
    <w:rsid w:val="0019680A"/>
    <w:rsid w:val="001971BF"/>
    <w:rsid w:val="001A0066"/>
    <w:rsid w:val="001A2E83"/>
    <w:rsid w:val="001A3A12"/>
    <w:rsid w:val="001A41F5"/>
    <w:rsid w:val="001A55E8"/>
    <w:rsid w:val="001A6184"/>
    <w:rsid w:val="001A6C99"/>
    <w:rsid w:val="001B03A0"/>
    <w:rsid w:val="001B0A81"/>
    <w:rsid w:val="001B1263"/>
    <w:rsid w:val="001B18AA"/>
    <w:rsid w:val="001B20A6"/>
    <w:rsid w:val="001B5611"/>
    <w:rsid w:val="001B690A"/>
    <w:rsid w:val="001C0DB8"/>
    <w:rsid w:val="001C126C"/>
    <w:rsid w:val="001C2282"/>
    <w:rsid w:val="001C2F91"/>
    <w:rsid w:val="001C3E42"/>
    <w:rsid w:val="001C4410"/>
    <w:rsid w:val="001C59FE"/>
    <w:rsid w:val="001C7101"/>
    <w:rsid w:val="001C7131"/>
    <w:rsid w:val="001C7597"/>
    <w:rsid w:val="001C77A5"/>
    <w:rsid w:val="001D1211"/>
    <w:rsid w:val="001D143F"/>
    <w:rsid w:val="001D1B69"/>
    <w:rsid w:val="001D1F77"/>
    <w:rsid w:val="001D22D4"/>
    <w:rsid w:val="001D3B9B"/>
    <w:rsid w:val="001D3BA9"/>
    <w:rsid w:val="001D46F6"/>
    <w:rsid w:val="001D4C53"/>
    <w:rsid w:val="001D6BA5"/>
    <w:rsid w:val="001D7A84"/>
    <w:rsid w:val="001E0CF6"/>
    <w:rsid w:val="001E1C8B"/>
    <w:rsid w:val="001E22B3"/>
    <w:rsid w:val="001E23B1"/>
    <w:rsid w:val="001E292B"/>
    <w:rsid w:val="001E2C94"/>
    <w:rsid w:val="001E3894"/>
    <w:rsid w:val="001E41E3"/>
    <w:rsid w:val="001E48FE"/>
    <w:rsid w:val="001E5282"/>
    <w:rsid w:val="001E5BD4"/>
    <w:rsid w:val="001E5D8C"/>
    <w:rsid w:val="001E6476"/>
    <w:rsid w:val="001E74A7"/>
    <w:rsid w:val="001E77C1"/>
    <w:rsid w:val="001F132F"/>
    <w:rsid w:val="001F1921"/>
    <w:rsid w:val="001F24AC"/>
    <w:rsid w:val="001F32A5"/>
    <w:rsid w:val="001F3B32"/>
    <w:rsid w:val="001F3C1D"/>
    <w:rsid w:val="001F3E66"/>
    <w:rsid w:val="001F4566"/>
    <w:rsid w:val="001F5925"/>
    <w:rsid w:val="001F6603"/>
    <w:rsid w:val="001F68AE"/>
    <w:rsid w:val="001F7066"/>
    <w:rsid w:val="001F754E"/>
    <w:rsid w:val="002016EA"/>
    <w:rsid w:val="00201D62"/>
    <w:rsid w:val="00202991"/>
    <w:rsid w:val="00202BCC"/>
    <w:rsid w:val="00204800"/>
    <w:rsid w:val="00204ABE"/>
    <w:rsid w:val="00205DF8"/>
    <w:rsid w:val="00206FCF"/>
    <w:rsid w:val="00207FEA"/>
    <w:rsid w:val="0021113C"/>
    <w:rsid w:val="00211F63"/>
    <w:rsid w:val="00212911"/>
    <w:rsid w:val="0021377E"/>
    <w:rsid w:val="00213E4B"/>
    <w:rsid w:val="0021456B"/>
    <w:rsid w:val="00214C70"/>
    <w:rsid w:val="00214D2E"/>
    <w:rsid w:val="0021673F"/>
    <w:rsid w:val="00216EF7"/>
    <w:rsid w:val="002217AA"/>
    <w:rsid w:val="00222C00"/>
    <w:rsid w:val="002234AB"/>
    <w:rsid w:val="0022393C"/>
    <w:rsid w:val="002245EA"/>
    <w:rsid w:val="00224A3D"/>
    <w:rsid w:val="00224C1E"/>
    <w:rsid w:val="00225172"/>
    <w:rsid w:val="002254E0"/>
    <w:rsid w:val="00225ADB"/>
    <w:rsid w:val="00225BF0"/>
    <w:rsid w:val="002268CE"/>
    <w:rsid w:val="00226D15"/>
    <w:rsid w:val="00226DC1"/>
    <w:rsid w:val="0022708C"/>
    <w:rsid w:val="002274BE"/>
    <w:rsid w:val="00227E95"/>
    <w:rsid w:val="002300C1"/>
    <w:rsid w:val="0023052F"/>
    <w:rsid w:val="002308FC"/>
    <w:rsid w:val="00230B69"/>
    <w:rsid w:val="00231986"/>
    <w:rsid w:val="0023296F"/>
    <w:rsid w:val="00232F17"/>
    <w:rsid w:val="00233F04"/>
    <w:rsid w:val="002349D3"/>
    <w:rsid w:val="002350DB"/>
    <w:rsid w:val="00236D60"/>
    <w:rsid w:val="002407A5"/>
    <w:rsid w:val="00241260"/>
    <w:rsid w:val="00241C91"/>
    <w:rsid w:val="002423DE"/>
    <w:rsid w:val="00244C6E"/>
    <w:rsid w:val="002466C6"/>
    <w:rsid w:val="002476EE"/>
    <w:rsid w:val="00251DA0"/>
    <w:rsid w:val="00251DEA"/>
    <w:rsid w:val="0025208C"/>
    <w:rsid w:val="0025278A"/>
    <w:rsid w:val="0025329A"/>
    <w:rsid w:val="002541EF"/>
    <w:rsid w:val="002542FD"/>
    <w:rsid w:val="00254CF9"/>
    <w:rsid w:val="00254D57"/>
    <w:rsid w:val="00256046"/>
    <w:rsid w:val="0025701E"/>
    <w:rsid w:val="002570DA"/>
    <w:rsid w:val="00257D8C"/>
    <w:rsid w:val="00261685"/>
    <w:rsid w:val="002630C9"/>
    <w:rsid w:val="002639BA"/>
    <w:rsid w:val="00264B85"/>
    <w:rsid w:val="0027085A"/>
    <w:rsid w:val="00270A18"/>
    <w:rsid w:val="00270D05"/>
    <w:rsid w:val="00271BA6"/>
    <w:rsid w:val="00271D7B"/>
    <w:rsid w:val="00272914"/>
    <w:rsid w:val="00273D0E"/>
    <w:rsid w:val="00274303"/>
    <w:rsid w:val="002745BA"/>
    <w:rsid w:val="002747BC"/>
    <w:rsid w:val="0027607F"/>
    <w:rsid w:val="00276987"/>
    <w:rsid w:val="002769E8"/>
    <w:rsid w:val="002773D9"/>
    <w:rsid w:val="00280013"/>
    <w:rsid w:val="002804D3"/>
    <w:rsid w:val="00281274"/>
    <w:rsid w:val="002814C1"/>
    <w:rsid w:val="0028190C"/>
    <w:rsid w:val="00281D92"/>
    <w:rsid w:val="00282D88"/>
    <w:rsid w:val="00283730"/>
    <w:rsid w:val="0028391D"/>
    <w:rsid w:val="00284916"/>
    <w:rsid w:val="002852F8"/>
    <w:rsid w:val="00285E5A"/>
    <w:rsid w:val="0028606E"/>
    <w:rsid w:val="00286098"/>
    <w:rsid w:val="00286A57"/>
    <w:rsid w:val="00287C71"/>
    <w:rsid w:val="00287D53"/>
    <w:rsid w:val="002901D2"/>
    <w:rsid w:val="00290CBA"/>
    <w:rsid w:val="00290E92"/>
    <w:rsid w:val="00293691"/>
    <w:rsid w:val="00294D25"/>
    <w:rsid w:val="0029629F"/>
    <w:rsid w:val="00297071"/>
    <w:rsid w:val="00297294"/>
    <w:rsid w:val="002972E5"/>
    <w:rsid w:val="002A0BCF"/>
    <w:rsid w:val="002A163F"/>
    <w:rsid w:val="002A2328"/>
    <w:rsid w:val="002A2EDB"/>
    <w:rsid w:val="002A33DB"/>
    <w:rsid w:val="002A3723"/>
    <w:rsid w:val="002A3BBB"/>
    <w:rsid w:val="002A4399"/>
    <w:rsid w:val="002A477D"/>
    <w:rsid w:val="002A5CF3"/>
    <w:rsid w:val="002A6207"/>
    <w:rsid w:val="002A6213"/>
    <w:rsid w:val="002A633D"/>
    <w:rsid w:val="002A7119"/>
    <w:rsid w:val="002A7364"/>
    <w:rsid w:val="002A73EE"/>
    <w:rsid w:val="002B08CB"/>
    <w:rsid w:val="002B0BE2"/>
    <w:rsid w:val="002B100D"/>
    <w:rsid w:val="002B170F"/>
    <w:rsid w:val="002B2877"/>
    <w:rsid w:val="002B2C42"/>
    <w:rsid w:val="002B3012"/>
    <w:rsid w:val="002B424E"/>
    <w:rsid w:val="002B4FDB"/>
    <w:rsid w:val="002B5072"/>
    <w:rsid w:val="002B5DB8"/>
    <w:rsid w:val="002B6483"/>
    <w:rsid w:val="002B7130"/>
    <w:rsid w:val="002C0C27"/>
    <w:rsid w:val="002C1C51"/>
    <w:rsid w:val="002C231B"/>
    <w:rsid w:val="002C29C8"/>
    <w:rsid w:val="002C3D1C"/>
    <w:rsid w:val="002C6265"/>
    <w:rsid w:val="002C683B"/>
    <w:rsid w:val="002C76E4"/>
    <w:rsid w:val="002D047B"/>
    <w:rsid w:val="002D0B09"/>
    <w:rsid w:val="002D1027"/>
    <w:rsid w:val="002D13E8"/>
    <w:rsid w:val="002D1FD1"/>
    <w:rsid w:val="002D2327"/>
    <w:rsid w:val="002D3451"/>
    <w:rsid w:val="002D4689"/>
    <w:rsid w:val="002D46BB"/>
    <w:rsid w:val="002D5B06"/>
    <w:rsid w:val="002D6556"/>
    <w:rsid w:val="002D6747"/>
    <w:rsid w:val="002D6D46"/>
    <w:rsid w:val="002D6FB0"/>
    <w:rsid w:val="002D735A"/>
    <w:rsid w:val="002E0EB7"/>
    <w:rsid w:val="002E17E0"/>
    <w:rsid w:val="002E19C9"/>
    <w:rsid w:val="002E2786"/>
    <w:rsid w:val="002E412B"/>
    <w:rsid w:val="002E4585"/>
    <w:rsid w:val="002E515E"/>
    <w:rsid w:val="002E59E2"/>
    <w:rsid w:val="002E61CE"/>
    <w:rsid w:val="002E7AA2"/>
    <w:rsid w:val="002E7AA3"/>
    <w:rsid w:val="002E7D89"/>
    <w:rsid w:val="002F00A4"/>
    <w:rsid w:val="002F037D"/>
    <w:rsid w:val="002F07DB"/>
    <w:rsid w:val="002F0B10"/>
    <w:rsid w:val="002F0BD6"/>
    <w:rsid w:val="002F16CE"/>
    <w:rsid w:val="002F19B1"/>
    <w:rsid w:val="002F2A52"/>
    <w:rsid w:val="002F363F"/>
    <w:rsid w:val="002F37A2"/>
    <w:rsid w:val="002F459D"/>
    <w:rsid w:val="002F4D45"/>
    <w:rsid w:val="002F510E"/>
    <w:rsid w:val="002F5FA9"/>
    <w:rsid w:val="002F66F0"/>
    <w:rsid w:val="002F677A"/>
    <w:rsid w:val="002F6B1F"/>
    <w:rsid w:val="002F6BF0"/>
    <w:rsid w:val="002F7069"/>
    <w:rsid w:val="002F7CBB"/>
    <w:rsid w:val="002F7FCB"/>
    <w:rsid w:val="003004BA"/>
    <w:rsid w:val="00302795"/>
    <w:rsid w:val="0030399E"/>
    <w:rsid w:val="00303B72"/>
    <w:rsid w:val="00304E85"/>
    <w:rsid w:val="00304F69"/>
    <w:rsid w:val="00305FFA"/>
    <w:rsid w:val="003060B5"/>
    <w:rsid w:val="003060E8"/>
    <w:rsid w:val="0030680F"/>
    <w:rsid w:val="00306DD1"/>
    <w:rsid w:val="003072FB"/>
    <w:rsid w:val="00307952"/>
    <w:rsid w:val="003105F6"/>
    <w:rsid w:val="00310942"/>
    <w:rsid w:val="00310B24"/>
    <w:rsid w:val="003111ED"/>
    <w:rsid w:val="003127B9"/>
    <w:rsid w:val="00312D46"/>
    <w:rsid w:val="003144B3"/>
    <w:rsid w:val="00314787"/>
    <w:rsid w:val="00314C78"/>
    <w:rsid w:val="003151AC"/>
    <w:rsid w:val="003155A8"/>
    <w:rsid w:val="00317DC0"/>
    <w:rsid w:val="00317E9E"/>
    <w:rsid w:val="00320DB6"/>
    <w:rsid w:val="003215E5"/>
    <w:rsid w:val="00321DA7"/>
    <w:rsid w:val="00322288"/>
    <w:rsid w:val="00323437"/>
    <w:rsid w:val="00323AA6"/>
    <w:rsid w:val="0032529C"/>
    <w:rsid w:val="00326517"/>
    <w:rsid w:val="00326CFA"/>
    <w:rsid w:val="00326F60"/>
    <w:rsid w:val="00327EA5"/>
    <w:rsid w:val="00330029"/>
    <w:rsid w:val="00330E9E"/>
    <w:rsid w:val="003316C7"/>
    <w:rsid w:val="003321E6"/>
    <w:rsid w:val="00332246"/>
    <w:rsid w:val="003328DD"/>
    <w:rsid w:val="00333D9D"/>
    <w:rsid w:val="00333DCF"/>
    <w:rsid w:val="0033464F"/>
    <w:rsid w:val="0033642E"/>
    <w:rsid w:val="00337888"/>
    <w:rsid w:val="003405F8"/>
    <w:rsid w:val="00340873"/>
    <w:rsid w:val="00341233"/>
    <w:rsid w:val="00342211"/>
    <w:rsid w:val="0034287B"/>
    <w:rsid w:val="00342A47"/>
    <w:rsid w:val="00342FFE"/>
    <w:rsid w:val="00343F9D"/>
    <w:rsid w:val="00344408"/>
    <w:rsid w:val="00346C44"/>
    <w:rsid w:val="00347027"/>
    <w:rsid w:val="00350244"/>
    <w:rsid w:val="00352187"/>
    <w:rsid w:val="0035274C"/>
    <w:rsid w:val="00353CDC"/>
    <w:rsid w:val="003546AC"/>
    <w:rsid w:val="0035479E"/>
    <w:rsid w:val="00354937"/>
    <w:rsid w:val="00354F52"/>
    <w:rsid w:val="00355156"/>
    <w:rsid w:val="003552AE"/>
    <w:rsid w:val="00355EDE"/>
    <w:rsid w:val="00357A75"/>
    <w:rsid w:val="00357C81"/>
    <w:rsid w:val="00361196"/>
    <w:rsid w:val="00362932"/>
    <w:rsid w:val="00362FD5"/>
    <w:rsid w:val="00363118"/>
    <w:rsid w:val="00364073"/>
    <w:rsid w:val="00366CEA"/>
    <w:rsid w:val="003674E0"/>
    <w:rsid w:val="0037032B"/>
    <w:rsid w:val="0037176B"/>
    <w:rsid w:val="00371F1A"/>
    <w:rsid w:val="003722FF"/>
    <w:rsid w:val="00372BDF"/>
    <w:rsid w:val="00373BE2"/>
    <w:rsid w:val="00373D3C"/>
    <w:rsid w:val="00373D5D"/>
    <w:rsid w:val="00374956"/>
    <w:rsid w:val="00374F72"/>
    <w:rsid w:val="00375515"/>
    <w:rsid w:val="003756F0"/>
    <w:rsid w:val="00375735"/>
    <w:rsid w:val="00375D46"/>
    <w:rsid w:val="00376BA7"/>
    <w:rsid w:val="00377076"/>
    <w:rsid w:val="00377B23"/>
    <w:rsid w:val="00377F27"/>
    <w:rsid w:val="0038030A"/>
    <w:rsid w:val="00381472"/>
    <w:rsid w:val="00381DE8"/>
    <w:rsid w:val="00382046"/>
    <w:rsid w:val="00382319"/>
    <w:rsid w:val="003832F4"/>
    <w:rsid w:val="0038483D"/>
    <w:rsid w:val="003849F1"/>
    <w:rsid w:val="00384A45"/>
    <w:rsid w:val="0038695F"/>
    <w:rsid w:val="00387FDA"/>
    <w:rsid w:val="00390249"/>
    <w:rsid w:val="00392D66"/>
    <w:rsid w:val="00393464"/>
    <w:rsid w:val="00394CF5"/>
    <w:rsid w:val="00396601"/>
    <w:rsid w:val="00396B7F"/>
    <w:rsid w:val="00397D2A"/>
    <w:rsid w:val="003A0153"/>
    <w:rsid w:val="003A0376"/>
    <w:rsid w:val="003A06E7"/>
    <w:rsid w:val="003A1104"/>
    <w:rsid w:val="003A195C"/>
    <w:rsid w:val="003A2145"/>
    <w:rsid w:val="003A2B5D"/>
    <w:rsid w:val="003A2C9C"/>
    <w:rsid w:val="003A363C"/>
    <w:rsid w:val="003A3AE0"/>
    <w:rsid w:val="003A3E75"/>
    <w:rsid w:val="003A4F80"/>
    <w:rsid w:val="003A5023"/>
    <w:rsid w:val="003A5A9E"/>
    <w:rsid w:val="003A7E83"/>
    <w:rsid w:val="003B026F"/>
    <w:rsid w:val="003B0278"/>
    <w:rsid w:val="003B033A"/>
    <w:rsid w:val="003B072C"/>
    <w:rsid w:val="003B20F4"/>
    <w:rsid w:val="003B228E"/>
    <w:rsid w:val="003B23BB"/>
    <w:rsid w:val="003B25AD"/>
    <w:rsid w:val="003B2BFA"/>
    <w:rsid w:val="003B2E65"/>
    <w:rsid w:val="003B31A4"/>
    <w:rsid w:val="003B3AF7"/>
    <w:rsid w:val="003B452E"/>
    <w:rsid w:val="003B47E4"/>
    <w:rsid w:val="003B51CA"/>
    <w:rsid w:val="003B5527"/>
    <w:rsid w:val="003B621E"/>
    <w:rsid w:val="003B6500"/>
    <w:rsid w:val="003C0137"/>
    <w:rsid w:val="003C1340"/>
    <w:rsid w:val="003C1BFA"/>
    <w:rsid w:val="003C24EE"/>
    <w:rsid w:val="003C2957"/>
    <w:rsid w:val="003C32A7"/>
    <w:rsid w:val="003C376A"/>
    <w:rsid w:val="003C3A56"/>
    <w:rsid w:val="003C45B7"/>
    <w:rsid w:val="003C460B"/>
    <w:rsid w:val="003C4658"/>
    <w:rsid w:val="003C4D77"/>
    <w:rsid w:val="003C4EFD"/>
    <w:rsid w:val="003C5F03"/>
    <w:rsid w:val="003C6B43"/>
    <w:rsid w:val="003C6D4D"/>
    <w:rsid w:val="003C71E6"/>
    <w:rsid w:val="003D18C8"/>
    <w:rsid w:val="003D19ED"/>
    <w:rsid w:val="003D2A08"/>
    <w:rsid w:val="003D3547"/>
    <w:rsid w:val="003D3703"/>
    <w:rsid w:val="003D55C6"/>
    <w:rsid w:val="003D665B"/>
    <w:rsid w:val="003E0353"/>
    <w:rsid w:val="003E0962"/>
    <w:rsid w:val="003E3707"/>
    <w:rsid w:val="003E3760"/>
    <w:rsid w:val="003E3D4F"/>
    <w:rsid w:val="003E5FE1"/>
    <w:rsid w:val="003E6221"/>
    <w:rsid w:val="003E75F2"/>
    <w:rsid w:val="003E7AB9"/>
    <w:rsid w:val="003F03E3"/>
    <w:rsid w:val="003F0463"/>
    <w:rsid w:val="003F07B9"/>
    <w:rsid w:val="003F0891"/>
    <w:rsid w:val="003F1906"/>
    <w:rsid w:val="003F1FD6"/>
    <w:rsid w:val="003F267E"/>
    <w:rsid w:val="003F30FC"/>
    <w:rsid w:val="003F5EBC"/>
    <w:rsid w:val="003F66E7"/>
    <w:rsid w:val="003F6846"/>
    <w:rsid w:val="003F71F7"/>
    <w:rsid w:val="0040136D"/>
    <w:rsid w:val="0040146A"/>
    <w:rsid w:val="004022E0"/>
    <w:rsid w:val="00403116"/>
    <w:rsid w:val="0040363A"/>
    <w:rsid w:val="004038EF"/>
    <w:rsid w:val="00405E31"/>
    <w:rsid w:val="004065E6"/>
    <w:rsid w:val="0040671D"/>
    <w:rsid w:val="00406DB1"/>
    <w:rsid w:val="00410FBD"/>
    <w:rsid w:val="0041306C"/>
    <w:rsid w:val="0041429A"/>
    <w:rsid w:val="004148A1"/>
    <w:rsid w:val="00417537"/>
    <w:rsid w:val="00420309"/>
    <w:rsid w:val="00421154"/>
    <w:rsid w:val="00421C9E"/>
    <w:rsid w:val="00422994"/>
    <w:rsid w:val="00424996"/>
    <w:rsid w:val="00424A23"/>
    <w:rsid w:val="004265A9"/>
    <w:rsid w:val="0042662C"/>
    <w:rsid w:val="00426A13"/>
    <w:rsid w:val="004271CB"/>
    <w:rsid w:val="004313B6"/>
    <w:rsid w:val="0043259F"/>
    <w:rsid w:val="00432C7E"/>
    <w:rsid w:val="00433BFA"/>
    <w:rsid w:val="0043448A"/>
    <w:rsid w:val="0043456A"/>
    <w:rsid w:val="00434575"/>
    <w:rsid w:val="00434E5F"/>
    <w:rsid w:val="00435060"/>
    <w:rsid w:val="00435C05"/>
    <w:rsid w:val="00435E01"/>
    <w:rsid w:val="0043661D"/>
    <w:rsid w:val="00437A84"/>
    <w:rsid w:val="004403F2"/>
    <w:rsid w:val="0044320A"/>
    <w:rsid w:val="00443647"/>
    <w:rsid w:val="00444407"/>
    <w:rsid w:val="0044521A"/>
    <w:rsid w:val="004457B4"/>
    <w:rsid w:val="00445B2E"/>
    <w:rsid w:val="00445B99"/>
    <w:rsid w:val="00446F76"/>
    <w:rsid w:val="004478B5"/>
    <w:rsid w:val="00450241"/>
    <w:rsid w:val="004504CB"/>
    <w:rsid w:val="004510B7"/>
    <w:rsid w:val="004510C3"/>
    <w:rsid w:val="00451DB6"/>
    <w:rsid w:val="00452155"/>
    <w:rsid w:val="00452966"/>
    <w:rsid w:val="00453920"/>
    <w:rsid w:val="00453FB8"/>
    <w:rsid w:val="00454B6D"/>
    <w:rsid w:val="00454C04"/>
    <w:rsid w:val="00455114"/>
    <w:rsid w:val="0045664F"/>
    <w:rsid w:val="0045694D"/>
    <w:rsid w:val="004571F7"/>
    <w:rsid w:val="00457786"/>
    <w:rsid w:val="00457794"/>
    <w:rsid w:val="00460157"/>
    <w:rsid w:val="00460D3B"/>
    <w:rsid w:val="00461138"/>
    <w:rsid w:val="00461351"/>
    <w:rsid w:val="004613DE"/>
    <w:rsid w:val="00461908"/>
    <w:rsid w:val="00461D60"/>
    <w:rsid w:val="00462D49"/>
    <w:rsid w:val="00463235"/>
    <w:rsid w:val="004646F3"/>
    <w:rsid w:val="004647AC"/>
    <w:rsid w:val="0046553F"/>
    <w:rsid w:val="004662BB"/>
    <w:rsid w:val="00467859"/>
    <w:rsid w:val="00470A2C"/>
    <w:rsid w:val="00473324"/>
    <w:rsid w:val="00473A62"/>
    <w:rsid w:val="00474CFA"/>
    <w:rsid w:val="00474E5C"/>
    <w:rsid w:val="004753BC"/>
    <w:rsid w:val="004765D0"/>
    <w:rsid w:val="00477D9C"/>
    <w:rsid w:val="00480C11"/>
    <w:rsid w:val="004815E7"/>
    <w:rsid w:val="00481E6C"/>
    <w:rsid w:val="00482026"/>
    <w:rsid w:val="00482A55"/>
    <w:rsid w:val="00482D93"/>
    <w:rsid w:val="00482E34"/>
    <w:rsid w:val="00483012"/>
    <w:rsid w:val="004834F2"/>
    <w:rsid w:val="00483F71"/>
    <w:rsid w:val="004845FB"/>
    <w:rsid w:val="00485A12"/>
    <w:rsid w:val="00485D23"/>
    <w:rsid w:val="00485F2A"/>
    <w:rsid w:val="004870F3"/>
    <w:rsid w:val="004872A0"/>
    <w:rsid w:val="00490649"/>
    <w:rsid w:val="00490C9A"/>
    <w:rsid w:val="0049103D"/>
    <w:rsid w:val="00491850"/>
    <w:rsid w:val="00491FA6"/>
    <w:rsid w:val="00491FE5"/>
    <w:rsid w:val="00492E0B"/>
    <w:rsid w:val="0049308C"/>
    <w:rsid w:val="00493129"/>
    <w:rsid w:val="004A252E"/>
    <w:rsid w:val="004A33BB"/>
    <w:rsid w:val="004A39F1"/>
    <w:rsid w:val="004A47CC"/>
    <w:rsid w:val="004A51E8"/>
    <w:rsid w:val="004A59A2"/>
    <w:rsid w:val="004A63B4"/>
    <w:rsid w:val="004A7168"/>
    <w:rsid w:val="004A761B"/>
    <w:rsid w:val="004B00AC"/>
    <w:rsid w:val="004B03F4"/>
    <w:rsid w:val="004B12BD"/>
    <w:rsid w:val="004B2AC3"/>
    <w:rsid w:val="004B2BE5"/>
    <w:rsid w:val="004B4DE9"/>
    <w:rsid w:val="004B5758"/>
    <w:rsid w:val="004B5DCD"/>
    <w:rsid w:val="004B6325"/>
    <w:rsid w:val="004B68E0"/>
    <w:rsid w:val="004B6B8E"/>
    <w:rsid w:val="004B6C71"/>
    <w:rsid w:val="004B7322"/>
    <w:rsid w:val="004B732C"/>
    <w:rsid w:val="004B7714"/>
    <w:rsid w:val="004C0063"/>
    <w:rsid w:val="004C067E"/>
    <w:rsid w:val="004C0C0F"/>
    <w:rsid w:val="004C0FFC"/>
    <w:rsid w:val="004C2283"/>
    <w:rsid w:val="004C2F2C"/>
    <w:rsid w:val="004C398C"/>
    <w:rsid w:val="004C3A02"/>
    <w:rsid w:val="004C4AEF"/>
    <w:rsid w:val="004C5211"/>
    <w:rsid w:val="004C5DB0"/>
    <w:rsid w:val="004C6874"/>
    <w:rsid w:val="004C6DFF"/>
    <w:rsid w:val="004C6EEA"/>
    <w:rsid w:val="004C6FD2"/>
    <w:rsid w:val="004D0120"/>
    <w:rsid w:val="004D0FCC"/>
    <w:rsid w:val="004D1627"/>
    <w:rsid w:val="004D1F5A"/>
    <w:rsid w:val="004D2534"/>
    <w:rsid w:val="004D2B1C"/>
    <w:rsid w:val="004D445B"/>
    <w:rsid w:val="004D4655"/>
    <w:rsid w:val="004D51A3"/>
    <w:rsid w:val="004D704E"/>
    <w:rsid w:val="004D71DC"/>
    <w:rsid w:val="004D7818"/>
    <w:rsid w:val="004E1685"/>
    <w:rsid w:val="004E29A8"/>
    <w:rsid w:val="004E2F9D"/>
    <w:rsid w:val="004E35D4"/>
    <w:rsid w:val="004E3802"/>
    <w:rsid w:val="004E3B3F"/>
    <w:rsid w:val="004E3BAE"/>
    <w:rsid w:val="004E5308"/>
    <w:rsid w:val="004E668E"/>
    <w:rsid w:val="004F04EA"/>
    <w:rsid w:val="004F17F1"/>
    <w:rsid w:val="004F253A"/>
    <w:rsid w:val="004F3AD3"/>
    <w:rsid w:val="004F4127"/>
    <w:rsid w:val="004F47C0"/>
    <w:rsid w:val="004F4E68"/>
    <w:rsid w:val="004F71A9"/>
    <w:rsid w:val="004F75AB"/>
    <w:rsid w:val="004F7A22"/>
    <w:rsid w:val="0050390A"/>
    <w:rsid w:val="00505337"/>
    <w:rsid w:val="0050547C"/>
    <w:rsid w:val="00505E2F"/>
    <w:rsid w:val="005068B3"/>
    <w:rsid w:val="00507EE0"/>
    <w:rsid w:val="00510090"/>
    <w:rsid w:val="0051145A"/>
    <w:rsid w:val="00512645"/>
    <w:rsid w:val="00512EF4"/>
    <w:rsid w:val="00515C94"/>
    <w:rsid w:val="005163FE"/>
    <w:rsid w:val="00516554"/>
    <w:rsid w:val="005169E3"/>
    <w:rsid w:val="005173CC"/>
    <w:rsid w:val="00517EF7"/>
    <w:rsid w:val="0052199F"/>
    <w:rsid w:val="00522C64"/>
    <w:rsid w:val="00523C14"/>
    <w:rsid w:val="00524010"/>
    <w:rsid w:val="00525761"/>
    <w:rsid w:val="005259F0"/>
    <w:rsid w:val="00525E4F"/>
    <w:rsid w:val="005268F9"/>
    <w:rsid w:val="00526E1A"/>
    <w:rsid w:val="005277E5"/>
    <w:rsid w:val="00527C62"/>
    <w:rsid w:val="00530779"/>
    <w:rsid w:val="0053092F"/>
    <w:rsid w:val="005309F7"/>
    <w:rsid w:val="00530C6F"/>
    <w:rsid w:val="00531676"/>
    <w:rsid w:val="00532AD4"/>
    <w:rsid w:val="00535EDA"/>
    <w:rsid w:val="00536BA3"/>
    <w:rsid w:val="00537395"/>
    <w:rsid w:val="00537A0E"/>
    <w:rsid w:val="0054207A"/>
    <w:rsid w:val="00542FBB"/>
    <w:rsid w:val="00544209"/>
    <w:rsid w:val="00544903"/>
    <w:rsid w:val="00544B9E"/>
    <w:rsid w:val="00544CF2"/>
    <w:rsid w:val="00545BD8"/>
    <w:rsid w:val="00545D3A"/>
    <w:rsid w:val="00546D1B"/>
    <w:rsid w:val="00547211"/>
    <w:rsid w:val="0054734D"/>
    <w:rsid w:val="0055011B"/>
    <w:rsid w:val="005513B7"/>
    <w:rsid w:val="00551439"/>
    <w:rsid w:val="00551DDF"/>
    <w:rsid w:val="00553B42"/>
    <w:rsid w:val="005547C4"/>
    <w:rsid w:val="00554DB6"/>
    <w:rsid w:val="00554E7F"/>
    <w:rsid w:val="0055502C"/>
    <w:rsid w:val="0055566B"/>
    <w:rsid w:val="00555AA3"/>
    <w:rsid w:val="005565B2"/>
    <w:rsid w:val="00557C8B"/>
    <w:rsid w:val="00560EBE"/>
    <w:rsid w:val="005620FE"/>
    <w:rsid w:val="00562904"/>
    <w:rsid w:val="00562C21"/>
    <w:rsid w:val="00562E00"/>
    <w:rsid w:val="00563A89"/>
    <w:rsid w:val="0056467D"/>
    <w:rsid w:val="00564A04"/>
    <w:rsid w:val="005654A3"/>
    <w:rsid w:val="00565C64"/>
    <w:rsid w:val="00565F9B"/>
    <w:rsid w:val="005677CF"/>
    <w:rsid w:val="00567996"/>
    <w:rsid w:val="00570211"/>
    <w:rsid w:val="0057051A"/>
    <w:rsid w:val="005709FA"/>
    <w:rsid w:val="00571C38"/>
    <w:rsid w:val="005730A2"/>
    <w:rsid w:val="005754DC"/>
    <w:rsid w:val="005755FE"/>
    <w:rsid w:val="0057694C"/>
    <w:rsid w:val="00576E59"/>
    <w:rsid w:val="00576F20"/>
    <w:rsid w:val="00577558"/>
    <w:rsid w:val="00580472"/>
    <w:rsid w:val="0058054F"/>
    <w:rsid w:val="0058056B"/>
    <w:rsid w:val="0058172B"/>
    <w:rsid w:val="00585345"/>
    <w:rsid w:val="00585DD2"/>
    <w:rsid w:val="00586F7B"/>
    <w:rsid w:val="005910A7"/>
    <w:rsid w:val="005917FD"/>
    <w:rsid w:val="005945FC"/>
    <w:rsid w:val="0059518E"/>
    <w:rsid w:val="00595986"/>
    <w:rsid w:val="005959EF"/>
    <w:rsid w:val="00595BCA"/>
    <w:rsid w:val="00595E40"/>
    <w:rsid w:val="00596DCF"/>
    <w:rsid w:val="00596E36"/>
    <w:rsid w:val="005A0C82"/>
    <w:rsid w:val="005A170D"/>
    <w:rsid w:val="005A3886"/>
    <w:rsid w:val="005A44C8"/>
    <w:rsid w:val="005A4687"/>
    <w:rsid w:val="005A4BB4"/>
    <w:rsid w:val="005A598C"/>
    <w:rsid w:val="005A61C4"/>
    <w:rsid w:val="005B13EA"/>
    <w:rsid w:val="005B152D"/>
    <w:rsid w:val="005B1702"/>
    <w:rsid w:val="005B19A5"/>
    <w:rsid w:val="005B25B0"/>
    <w:rsid w:val="005B2A1E"/>
    <w:rsid w:val="005B36ED"/>
    <w:rsid w:val="005B38DF"/>
    <w:rsid w:val="005B41C8"/>
    <w:rsid w:val="005B49C5"/>
    <w:rsid w:val="005B4E53"/>
    <w:rsid w:val="005B511B"/>
    <w:rsid w:val="005B5330"/>
    <w:rsid w:val="005B55E3"/>
    <w:rsid w:val="005B5724"/>
    <w:rsid w:val="005B60F7"/>
    <w:rsid w:val="005B6686"/>
    <w:rsid w:val="005B6ACD"/>
    <w:rsid w:val="005B6E31"/>
    <w:rsid w:val="005C002E"/>
    <w:rsid w:val="005C0822"/>
    <w:rsid w:val="005C0FA0"/>
    <w:rsid w:val="005C149B"/>
    <w:rsid w:val="005C14BB"/>
    <w:rsid w:val="005C2BB1"/>
    <w:rsid w:val="005C2CF0"/>
    <w:rsid w:val="005C2D8D"/>
    <w:rsid w:val="005C4887"/>
    <w:rsid w:val="005C57F1"/>
    <w:rsid w:val="005C59F2"/>
    <w:rsid w:val="005C68A7"/>
    <w:rsid w:val="005C71B5"/>
    <w:rsid w:val="005C7C19"/>
    <w:rsid w:val="005C7DAA"/>
    <w:rsid w:val="005D013C"/>
    <w:rsid w:val="005D0DE0"/>
    <w:rsid w:val="005D2A06"/>
    <w:rsid w:val="005D3657"/>
    <w:rsid w:val="005D37BB"/>
    <w:rsid w:val="005D6D0D"/>
    <w:rsid w:val="005D7233"/>
    <w:rsid w:val="005D7C28"/>
    <w:rsid w:val="005E0556"/>
    <w:rsid w:val="005E0B9F"/>
    <w:rsid w:val="005E123C"/>
    <w:rsid w:val="005E23EB"/>
    <w:rsid w:val="005E5329"/>
    <w:rsid w:val="005E5C74"/>
    <w:rsid w:val="005E7386"/>
    <w:rsid w:val="005E76FE"/>
    <w:rsid w:val="005E7765"/>
    <w:rsid w:val="005F01B7"/>
    <w:rsid w:val="005F1A02"/>
    <w:rsid w:val="005F1AD3"/>
    <w:rsid w:val="005F1E17"/>
    <w:rsid w:val="005F2812"/>
    <w:rsid w:val="005F2E22"/>
    <w:rsid w:val="005F35D8"/>
    <w:rsid w:val="005F42AE"/>
    <w:rsid w:val="005F452E"/>
    <w:rsid w:val="005F4AEC"/>
    <w:rsid w:val="005F5012"/>
    <w:rsid w:val="005F501A"/>
    <w:rsid w:val="005F5F92"/>
    <w:rsid w:val="005F62DD"/>
    <w:rsid w:val="005F744A"/>
    <w:rsid w:val="005F7504"/>
    <w:rsid w:val="005F75AE"/>
    <w:rsid w:val="005F7F66"/>
    <w:rsid w:val="00600619"/>
    <w:rsid w:val="00600A6C"/>
    <w:rsid w:val="00603035"/>
    <w:rsid w:val="00603F58"/>
    <w:rsid w:val="00604873"/>
    <w:rsid w:val="00605E5F"/>
    <w:rsid w:val="00605FEA"/>
    <w:rsid w:val="00606013"/>
    <w:rsid w:val="006067BD"/>
    <w:rsid w:val="0060724E"/>
    <w:rsid w:val="006100F6"/>
    <w:rsid w:val="006104B1"/>
    <w:rsid w:val="00610AAD"/>
    <w:rsid w:val="00611027"/>
    <w:rsid w:val="00611236"/>
    <w:rsid w:val="0061138F"/>
    <w:rsid w:val="00611E36"/>
    <w:rsid w:val="0061349E"/>
    <w:rsid w:val="006143BB"/>
    <w:rsid w:val="00615975"/>
    <w:rsid w:val="00617533"/>
    <w:rsid w:val="00617BED"/>
    <w:rsid w:val="0062018E"/>
    <w:rsid w:val="00620533"/>
    <w:rsid w:val="00620656"/>
    <w:rsid w:val="00620D02"/>
    <w:rsid w:val="006223CE"/>
    <w:rsid w:val="00622FB7"/>
    <w:rsid w:val="0062344C"/>
    <w:rsid w:val="006236CD"/>
    <w:rsid w:val="0062387B"/>
    <w:rsid w:val="00623FA7"/>
    <w:rsid w:val="006246C6"/>
    <w:rsid w:val="00624756"/>
    <w:rsid w:val="00624B1B"/>
    <w:rsid w:val="00625BBC"/>
    <w:rsid w:val="00626B8E"/>
    <w:rsid w:val="006271B1"/>
    <w:rsid w:val="0062788D"/>
    <w:rsid w:val="00630BEF"/>
    <w:rsid w:val="00630DC2"/>
    <w:rsid w:val="00631D10"/>
    <w:rsid w:val="00632919"/>
    <w:rsid w:val="00632926"/>
    <w:rsid w:val="0063294B"/>
    <w:rsid w:val="00632C32"/>
    <w:rsid w:val="006332FE"/>
    <w:rsid w:val="00633706"/>
    <w:rsid w:val="0063402E"/>
    <w:rsid w:val="0063454C"/>
    <w:rsid w:val="006346CF"/>
    <w:rsid w:val="00634927"/>
    <w:rsid w:val="00634AE2"/>
    <w:rsid w:val="00634D1F"/>
    <w:rsid w:val="00635727"/>
    <w:rsid w:val="00635DC9"/>
    <w:rsid w:val="0063678D"/>
    <w:rsid w:val="00636EA1"/>
    <w:rsid w:val="00637353"/>
    <w:rsid w:val="00637A46"/>
    <w:rsid w:val="00637EB4"/>
    <w:rsid w:val="006404C2"/>
    <w:rsid w:val="00642B13"/>
    <w:rsid w:val="00642BAA"/>
    <w:rsid w:val="00643E8D"/>
    <w:rsid w:val="00644F22"/>
    <w:rsid w:val="006468E8"/>
    <w:rsid w:val="00646F26"/>
    <w:rsid w:val="00647D3E"/>
    <w:rsid w:val="00650DE7"/>
    <w:rsid w:val="00651228"/>
    <w:rsid w:val="0065447B"/>
    <w:rsid w:val="00656139"/>
    <w:rsid w:val="00657272"/>
    <w:rsid w:val="0066004D"/>
    <w:rsid w:val="006619A9"/>
    <w:rsid w:val="006624A1"/>
    <w:rsid w:val="006634A1"/>
    <w:rsid w:val="006653F2"/>
    <w:rsid w:val="00665C26"/>
    <w:rsid w:val="00665F07"/>
    <w:rsid w:val="00666935"/>
    <w:rsid w:val="00666C6C"/>
    <w:rsid w:val="00667A58"/>
    <w:rsid w:val="00671BC2"/>
    <w:rsid w:val="00671CF8"/>
    <w:rsid w:val="00672745"/>
    <w:rsid w:val="00673178"/>
    <w:rsid w:val="00673866"/>
    <w:rsid w:val="00674A80"/>
    <w:rsid w:val="00674F56"/>
    <w:rsid w:val="00675529"/>
    <w:rsid w:val="00675C04"/>
    <w:rsid w:val="0067651C"/>
    <w:rsid w:val="006770A2"/>
    <w:rsid w:val="00677944"/>
    <w:rsid w:val="00677A9A"/>
    <w:rsid w:val="00677EBD"/>
    <w:rsid w:val="00682050"/>
    <w:rsid w:val="006822B3"/>
    <w:rsid w:val="00682A80"/>
    <w:rsid w:val="00684D59"/>
    <w:rsid w:val="00684E0E"/>
    <w:rsid w:val="00685BCA"/>
    <w:rsid w:val="00685FC0"/>
    <w:rsid w:val="00686B00"/>
    <w:rsid w:val="00686BD4"/>
    <w:rsid w:val="00687EE8"/>
    <w:rsid w:val="00690458"/>
    <w:rsid w:val="0069108C"/>
    <w:rsid w:val="00691434"/>
    <w:rsid w:val="006917D5"/>
    <w:rsid w:val="00691D35"/>
    <w:rsid w:val="00692554"/>
    <w:rsid w:val="00692DA7"/>
    <w:rsid w:val="00693A88"/>
    <w:rsid w:val="00693DE4"/>
    <w:rsid w:val="006945DC"/>
    <w:rsid w:val="006A055F"/>
    <w:rsid w:val="006A08BC"/>
    <w:rsid w:val="006A1069"/>
    <w:rsid w:val="006A2DEF"/>
    <w:rsid w:val="006A38C2"/>
    <w:rsid w:val="006A4527"/>
    <w:rsid w:val="006A4C35"/>
    <w:rsid w:val="006A5423"/>
    <w:rsid w:val="006A5BAA"/>
    <w:rsid w:val="006A5F92"/>
    <w:rsid w:val="006A6811"/>
    <w:rsid w:val="006A7905"/>
    <w:rsid w:val="006A7E1B"/>
    <w:rsid w:val="006B06B9"/>
    <w:rsid w:val="006B0CA6"/>
    <w:rsid w:val="006B1984"/>
    <w:rsid w:val="006B311A"/>
    <w:rsid w:val="006B3473"/>
    <w:rsid w:val="006B3716"/>
    <w:rsid w:val="006B4D88"/>
    <w:rsid w:val="006B4ECF"/>
    <w:rsid w:val="006B5916"/>
    <w:rsid w:val="006B5E51"/>
    <w:rsid w:val="006B6240"/>
    <w:rsid w:val="006B72BF"/>
    <w:rsid w:val="006B74A2"/>
    <w:rsid w:val="006C0CBA"/>
    <w:rsid w:val="006C14C1"/>
    <w:rsid w:val="006C3383"/>
    <w:rsid w:val="006C3C52"/>
    <w:rsid w:val="006C43CB"/>
    <w:rsid w:val="006C5A68"/>
    <w:rsid w:val="006C61DD"/>
    <w:rsid w:val="006C6D8F"/>
    <w:rsid w:val="006C6E4A"/>
    <w:rsid w:val="006C7028"/>
    <w:rsid w:val="006C707F"/>
    <w:rsid w:val="006C7703"/>
    <w:rsid w:val="006D0D6B"/>
    <w:rsid w:val="006D17C0"/>
    <w:rsid w:val="006D2240"/>
    <w:rsid w:val="006D24B9"/>
    <w:rsid w:val="006D2D34"/>
    <w:rsid w:val="006D2F51"/>
    <w:rsid w:val="006D348C"/>
    <w:rsid w:val="006D3853"/>
    <w:rsid w:val="006D5488"/>
    <w:rsid w:val="006D56E0"/>
    <w:rsid w:val="006D63EC"/>
    <w:rsid w:val="006D7D31"/>
    <w:rsid w:val="006E1537"/>
    <w:rsid w:val="006E2145"/>
    <w:rsid w:val="006E2DB1"/>
    <w:rsid w:val="006E328E"/>
    <w:rsid w:val="006E345B"/>
    <w:rsid w:val="006E417D"/>
    <w:rsid w:val="006E4705"/>
    <w:rsid w:val="006E472A"/>
    <w:rsid w:val="006E4AE1"/>
    <w:rsid w:val="006E74AE"/>
    <w:rsid w:val="006E754F"/>
    <w:rsid w:val="006F019A"/>
    <w:rsid w:val="006F020B"/>
    <w:rsid w:val="006F08D9"/>
    <w:rsid w:val="006F11E4"/>
    <w:rsid w:val="006F474E"/>
    <w:rsid w:val="006F4E43"/>
    <w:rsid w:val="006F65AC"/>
    <w:rsid w:val="006F6B7A"/>
    <w:rsid w:val="006F7067"/>
    <w:rsid w:val="00700107"/>
    <w:rsid w:val="007020B5"/>
    <w:rsid w:val="007037C9"/>
    <w:rsid w:val="00703A5B"/>
    <w:rsid w:val="00703EC0"/>
    <w:rsid w:val="007042D1"/>
    <w:rsid w:val="00705006"/>
    <w:rsid w:val="00706326"/>
    <w:rsid w:val="00707CC5"/>
    <w:rsid w:val="0071077F"/>
    <w:rsid w:val="00710CDF"/>
    <w:rsid w:val="007114AF"/>
    <w:rsid w:val="00711DF9"/>
    <w:rsid w:val="00711F15"/>
    <w:rsid w:val="0071206A"/>
    <w:rsid w:val="0071236D"/>
    <w:rsid w:val="00712E28"/>
    <w:rsid w:val="00712EFE"/>
    <w:rsid w:val="00714F0B"/>
    <w:rsid w:val="00716BBF"/>
    <w:rsid w:val="007209B1"/>
    <w:rsid w:val="00720C67"/>
    <w:rsid w:val="00720ED5"/>
    <w:rsid w:val="00720F7C"/>
    <w:rsid w:val="0072110D"/>
    <w:rsid w:val="00721989"/>
    <w:rsid w:val="0072198D"/>
    <w:rsid w:val="00722737"/>
    <w:rsid w:val="007235E7"/>
    <w:rsid w:val="0072408D"/>
    <w:rsid w:val="00724CBB"/>
    <w:rsid w:val="00725643"/>
    <w:rsid w:val="007265EC"/>
    <w:rsid w:val="007267AD"/>
    <w:rsid w:val="00726998"/>
    <w:rsid w:val="007276D7"/>
    <w:rsid w:val="00727D90"/>
    <w:rsid w:val="00727ED3"/>
    <w:rsid w:val="00730B83"/>
    <w:rsid w:val="0073141B"/>
    <w:rsid w:val="0073197F"/>
    <w:rsid w:val="00731A2C"/>
    <w:rsid w:val="00731F16"/>
    <w:rsid w:val="0073222A"/>
    <w:rsid w:val="00732A4F"/>
    <w:rsid w:val="00732E16"/>
    <w:rsid w:val="0073325E"/>
    <w:rsid w:val="007333A5"/>
    <w:rsid w:val="007344A0"/>
    <w:rsid w:val="007346FD"/>
    <w:rsid w:val="00735D1E"/>
    <w:rsid w:val="00736131"/>
    <w:rsid w:val="00736223"/>
    <w:rsid w:val="007362A1"/>
    <w:rsid w:val="00737CBC"/>
    <w:rsid w:val="007409BE"/>
    <w:rsid w:val="00741C07"/>
    <w:rsid w:val="00741D0B"/>
    <w:rsid w:val="00742212"/>
    <w:rsid w:val="0074229F"/>
    <w:rsid w:val="00742E95"/>
    <w:rsid w:val="00743367"/>
    <w:rsid w:val="00743A3D"/>
    <w:rsid w:val="00743BB8"/>
    <w:rsid w:val="00745117"/>
    <w:rsid w:val="00745538"/>
    <w:rsid w:val="00745781"/>
    <w:rsid w:val="007458F3"/>
    <w:rsid w:val="00745B1B"/>
    <w:rsid w:val="007463FF"/>
    <w:rsid w:val="00747802"/>
    <w:rsid w:val="00750467"/>
    <w:rsid w:val="00750B9C"/>
    <w:rsid w:val="007515CE"/>
    <w:rsid w:val="00751BC5"/>
    <w:rsid w:val="00752234"/>
    <w:rsid w:val="007527BA"/>
    <w:rsid w:val="00752F2D"/>
    <w:rsid w:val="007531CC"/>
    <w:rsid w:val="00754942"/>
    <w:rsid w:val="00754E24"/>
    <w:rsid w:val="00754EA2"/>
    <w:rsid w:val="007564BE"/>
    <w:rsid w:val="0075701D"/>
    <w:rsid w:val="00757380"/>
    <w:rsid w:val="00761BEA"/>
    <w:rsid w:val="00761C25"/>
    <w:rsid w:val="007626E9"/>
    <w:rsid w:val="007643C8"/>
    <w:rsid w:val="007643DF"/>
    <w:rsid w:val="00767399"/>
    <w:rsid w:val="00771DFD"/>
    <w:rsid w:val="00773478"/>
    <w:rsid w:val="00773669"/>
    <w:rsid w:val="00773F8E"/>
    <w:rsid w:val="007745AB"/>
    <w:rsid w:val="007748D5"/>
    <w:rsid w:val="00775228"/>
    <w:rsid w:val="007753AE"/>
    <w:rsid w:val="0077629A"/>
    <w:rsid w:val="007767CE"/>
    <w:rsid w:val="00777178"/>
    <w:rsid w:val="00777CB5"/>
    <w:rsid w:val="00777D6B"/>
    <w:rsid w:val="00780AC2"/>
    <w:rsid w:val="00780E1F"/>
    <w:rsid w:val="0078125C"/>
    <w:rsid w:val="007812F7"/>
    <w:rsid w:val="007813BE"/>
    <w:rsid w:val="0078229F"/>
    <w:rsid w:val="00782397"/>
    <w:rsid w:val="007832AA"/>
    <w:rsid w:val="007836DB"/>
    <w:rsid w:val="00783B97"/>
    <w:rsid w:val="00783F5C"/>
    <w:rsid w:val="007849B9"/>
    <w:rsid w:val="00784F19"/>
    <w:rsid w:val="00786C1D"/>
    <w:rsid w:val="00790252"/>
    <w:rsid w:val="0079029A"/>
    <w:rsid w:val="00790702"/>
    <w:rsid w:val="007908C2"/>
    <w:rsid w:val="00790AE0"/>
    <w:rsid w:val="007920A7"/>
    <w:rsid w:val="007923FB"/>
    <w:rsid w:val="007930A2"/>
    <w:rsid w:val="0079418E"/>
    <w:rsid w:val="00794D5E"/>
    <w:rsid w:val="0079641E"/>
    <w:rsid w:val="007977FA"/>
    <w:rsid w:val="007A1300"/>
    <w:rsid w:val="007A20E9"/>
    <w:rsid w:val="007A2AC4"/>
    <w:rsid w:val="007A36E6"/>
    <w:rsid w:val="007A5947"/>
    <w:rsid w:val="007A5DD8"/>
    <w:rsid w:val="007A6538"/>
    <w:rsid w:val="007A6C0B"/>
    <w:rsid w:val="007A6D1B"/>
    <w:rsid w:val="007B0809"/>
    <w:rsid w:val="007B0D5C"/>
    <w:rsid w:val="007B2074"/>
    <w:rsid w:val="007B2BAE"/>
    <w:rsid w:val="007B393E"/>
    <w:rsid w:val="007B44E3"/>
    <w:rsid w:val="007B6504"/>
    <w:rsid w:val="007B6623"/>
    <w:rsid w:val="007B6ABC"/>
    <w:rsid w:val="007B6AC4"/>
    <w:rsid w:val="007B7E4F"/>
    <w:rsid w:val="007B7F11"/>
    <w:rsid w:val="007C1F36"/>
    <w:rsid w:val="007C2955"/>
    <w:rsid w:val="007C2B68"/>
    <w:rsid w:val="007C35F1"/>
    <w:rsid w:val="007C686F"/>
    <w:rsid w:val="007C6AAF"/>
    <w:rsid w:val="007C6DFA"/>
    <w:rsid w:val="007C71CF"/>
    <w:rsid w:val="007C736C"/>
    <w:rsid w:val="007C7D62"/>
    <w:rsid w:val="007D0007"/>
    <w:rsid w:val="007D135F"/>
    <w:rsid w:val="007D193D"/>
    <w:rsid w:val="007D2758"/>
    <w:rsid w:val="007D3BE5"/>
    <w:rsid w:val="007D3BEF"/>
    <w:rsid w:val="007D4ED1"/>
    <w:rsid w:val="007D5080"/>
    <w:rsid w:val="007D5323"/>
    <w:rsid w:val="007D7AEA"/>
    <w:rsid w:val="007E0912"/>
    <w:rsid w:val="007E25CA"/>
    <w:rsid w:val="007E447D"/>
    <w:rsid w:val="007E5208"/>
    <w:rsid w:val="007E5FBF"/>
    <w:rsid w:val="007E6B30"/>
    <w:rsid w:val="007F0120"/>
    <w:rsid w:val="007F0136"/>
    <w:rsid w:val="007F0A70"/>
    <w:rsid w:val="007F12BA"/>
    <w:rsid w:val="007F19A8"/>
    <w:rsid w:val="007F1F3A"/>
    <w:rsid w:val="007F1F46"/>
    <w:rsid w:val="007F3613"/>
    <w:rsid w:val="007F40DD"/>
    <w:rsid w:val="007F66E8"/>
    <w:rsid w:val="007F7C68"/>
    <w:rsid w:val="007F7CAD"/>
    <w:rsid w:val="00800FA8"/>
    <w:rsid w:val="00800FFD"/>
    <w:rsid w:val="00801474"/>
    <w:rsid w:val="0080160B"/>
    <w:rsid w:val="008017FD"/>
    <w:rsid w:val="00802452"/>
    <w:rsid w:val="0080282A"/>
    <w:rsid w:val="00803878"/>
    <w:rsid w:val="00803D7A"/>
    <w:rsid w:val="0080443B"/>
    <w:rsid w:val="0080593A"/>
    <w:rsid w:val="008066A6"/>
    <w:rsid w:val="00806D4F"/>
    <w:rsid w:val="008078F4"/>
    <w:rsid w:val="0081073E"/>
    <w:rsid w:val="00811055"/>
    <w:rsid w:val="00811331"/>
    <w:rsid w:val="008117AA"/>
    <w:rsid w:val="00812030"/>
    <w:rsid w:val="008128D7"/>
    <w:rsid w:val="0081305D"/>
    <w:rsid w:val="008132F9"/>
    <w:rsid w:val="00813810"/>
    <w:rsid w:val="00813AD0"/>
    <w:rsid w:val="008154BF"/>
    <w:rsid w:val="00815739"/>
    <w:rsid w:val="00817A68"/>
    <w:rsid w:val="008223C7"/>
    <w:rsid w:val="008225CB"/>
    <w:rsid w:val="00827A51"/>
    <w:rsid w:val="00830140"/>
    <w:rsid w:val="008313FB"/>
    <w:rsid w:val="0083243C"/>
    <w:rsid w:val="008334B6"/>
    <w:rsid w:val="00833604"/>
    <w:rsid w:val="00833F70"/>
    <w:rsid w:val="008347C7"/>
    <w:rsid w:val="00837749"/>
    <w:rsid w:val="0084096E"/>
    <w:rsid w:val="00840A01"/>
    <w:rsid w:val="00840EE7"/>
    <w:rsid w:val="00842D29"/>
    <w:rsid w:val="008432F3"/>
    <w:rsid w:val="00843CCA"/>
    <w:rsid w:val="00844F71"/>
    <w:rsid w:val="008452EC"/>
    <w:rsid w:val="00845DB1"/>
    <w:rsid w:val="00846120"/>
    <w:rsid w:val="008461B5"/>
    <w:rsid w:val="008462FE"/>
    <w:rsid w:val="00846920"/>
    <w:rsid w:val="00846EBD"/>
    <w:rsid w:val="008477CF"/>
    <w:rsid w:val="00847904"/>
    <w:rsid w:val="008479D1"/>
    <w:rsid w:val="0085086D"/>
    <w:rsid w:val="00854FC9"/>
    <w:rsid w:val="00855200"/>
    <w:rsid w:val="00855799"/>
    <w:rsid w:val="008557DA"/>
    <w:rsid w:val="00855F45"/>
    <w:rsid w:val="00856EFC"/>
    <w:rsid w:val="00856F95"/>
    <w:rsid w:val="008603A9"/>
    <w:rsid w:val="00861451"/>
    <w:rsid w:val="00861FDC"/>
    <w:rsid w:val="00862BF0"/>
    <w:rsid w:val="00863DC6"/>
    <w:rsid w:val="00863DC7"/>
    <w:rsid w:val="00865DFD"/>
    <w:rsid w:val="0086614C"/>
    <w:rsid w:val="008672B0"/>
    <w:rsid w:val="00867470"/>
    <w:rsid w:val="008674D9"/>
    <w:rsid w:val="00871342"/>
    <w:rsid w:val="00872B27"/>
    <w:rsid w:val="00872B74"/>
    <w:rsid w:val="00873504"/>
    <w:rsid w:val="00873757"/>
    <w:rsid w:val="00874C95"/>
    <w:rsid w:val="008764A1"/>
    <w:rsid w:val="00876DB3"/>
    <w:rsid w:val="00877006"/>
    <w:rsid w:val="0088060A"/>
    <w:rsid w:val="00881D1E"/>
    <w:rsid w:val="008823D8"/>
    <w:rsid w:val="00882E6C"/>
    <w:rsid w:val="008839DD"/>
    <w:rsid w:val="00883E47"/>
    <w:rsid w:val="008844F8"/>
    <w:rsid w:val="008846FA"/>
    <w:rsid w:val="00884875"/>
    <w:rsid w:val="0088738D"/>
    <w:rsid w:val="0089310A"/>
    <w:rsid w:val="008941AF"/>
    <w:rsid w:val="008A0BE2"/>
    <w:rsid w:val="008A28D6"/>
    <w:rsid w:val="008A37D9"/>
    <w:rsid w:val="008A392A"/>
    <w:rsid w:val="008A4C05"/>
    <w:rsid w:val="008A4C20"/>
    <w:rsid w:val="008A4E35"/>
    <w:rsid w:val="008A5941"/>
    <w:rsid w:val="008A5AF9"/>
    <w:rsid w:val="008A6958"/>
    <w:rsid w:val="008A6FF8"/>
    <w:rsid w:val="008A72C6"/>
    <w:rsid w:val="008A752F"/>
    <w:rsid w:val="008A77CA"/>
    <w:rsid w:val="008B0EA8"/>
    <w:rsid w:val="008B1912"/>
    <w:rsid w:val="008B23CC"/>
    <w:rsid w:val="008B2938"/>
    <w:rsid w:val="008B30DB"/>
    <w:rsid w:val="008B39A5"/>
    <w:rsid w:val="008B45C1"/>
    <w:rsid w:val="008B47F1"/>
    <w:rsid w:val="008B4B3C"/>
    <w:rsid w:val="008B4DBD"/>
    <w:rsid w:val="008B52A2"/>
    <w:rsid w:val="008B53B4"/>
    <w:rsid w:val="008B7B7A"/>
    <w:rsid w:val="008B7EA5"/>
    <w:rsid w:val="008C1088"/>
    <w:rsid w:val="008C1CFD"/>
    <w:rsid w:val="008C2ACA"/>
    <w:rsid w:val="008C32DD"/>
    <w:rsid w:val="008C5622"/>
    <w:rsid w:val="008C5F84"/>
    <w:rsid w:val="008C75A5"/>
    <w:rsid w:val="008D05AD"/>
    <w:rsid w:val="008D1445"/>
    <w:rsid w:val="008D1702"/>
    <w:rsid w:val="008D27C4"/>
    <w:rsid w:val="008D30C6"/>
    <w:rsid w:val="008D313F"/>
    <w:rsid w:val="008D317D"/>
    <w:rsid w:val="008D3B69"/>
    <w:rsid w:val="008D4023"/>
    <w:rsid w:val="008D4856"/>
    <w:rsid w:val="008D529B"/>
    <w:rsid w:val="008D60A5"/>
    <w:rsid w:val="008D61FE"/>
    <w:rsid w:val="008D6225"/>
    <w:rsid w:val="008D6354"/>
    <w:rsid w:val="008D6BD0"/>
    <w:rsid w:val="008D7054"/>
    <w:rsid w:val="008E0404"/>
    <w:rsid w:val="008E06DE"/>
    <w:rsid w:val="008E179D"/>
    <w:rsid w:val="008E3793"/>
    <w:rsid w:val="008E5151"/>
    <w:rsid w:val="008E5999"/>
    <w:rsid w:val="008E7786"/>
    <w:rsid w:val="008E7C3A"/>
    <w:rsid w:val="008F1FE5"/>
    <w:rsid w:val="008F20EC"/>
    <w:rsid w:val="008F21B0"/>
    <w:rsid w:val="008F29A7"/>
    <w:rsid w:val="008F44C3"/>
    <w:rsid w:val="008F4B27"/>
    <w:rsid w:val="008F4F7D"/>
    <w:rsid w:val="008F6036"/>
    <w:rsid w:val="008F67EF"/>
    <w:rsid w:val="008F6C92"/>
    <w:rsid w:val="008F6D6A"/>
    <w:rsid w:val="008F6E51"/>
    <w:rsid w:val="008F74B6"/>
    <w:rsid w:val="008F75BA"/>
    <w:rsid w:val="008F7688"/>
    <w:rsid w:val="008F7FF6"/>
    <w:rsid w:val="00900B2C"/>
    <w:rsid w:val="00900BB3"/>
    <w:rsid w:val="009016B6"/>
    <w:rsid w:val="00904D60"/>
    <w:rsid w:val="00907BB7"/>
    <w:rsid w:val="009111C7"/>
    <w:rsid w:val="00911415"/>
    <w:rsid w:val="00911E3B"/>
    <w:rsid w:val="009125D5"/>
    <w:rsid w:val="0091322D"/>
    <w:rsid w:val="00913577"/>
    <w:rsid w:val="00913A14"/>
    <w:rsid w:val="0091597B"/>
    <w:rsid w:val="009169B7"/>
    <w:rsid w:val="009171E8"/>
    <w:rsid w:val="0091724E"/>
    <w:rsid w:val="00917A60"/>
    <w:rsid w:val="00917E3E"/>
    <w:rsid w:val="0092012F"/>
    <w:rsid w:val="00920204"/>
    <w:rsid w:val="0092119F"/>
    <w:rsid w:val="0092124B"/>
    <w:rsid w:val="0092217C"/>
    <w:rsid w:val="009221F7"/>
    <w:rsid w:val="00923B62"/>
    <w:rsid w:val="0092476F"/>
    <w:rsid w:val="00924942"/>
    <w:rsid w:val="00925403"/>
    <w:rsid w:val="00926D74"/>
    <w:rsid w:val="00927F6E"/>
    <w:rsid w:val="00930B26"/>
    <w:rsid w:val="00931C0B"/>
    <w:rsid w:val="00931CA3"/>
    <w:rsid w:val="0093212C"/>
    <w:rsid w:val="00934EAC"/>
    <w:rsid w:val="00935332"/>
    <w:rsid w:val="00935A4F"/>
    <w:rsid w:val="00940E53"/>
    <w:rsid w:val="00942A0F"/>
    <w:rsid w:val="00942D57"/>
    <w:rsid w:val="00944D52"/>
    <w:rsid w:val="00946829"/>
    <w:rsid w:val="00946CF9"/>
    <w:rsid w:val="0094727B"/>
    <w:rsid w:val="00950485"/>
    <w:rsid w:val="009511C9"/>
    <w:rsid w:val="009519EB"/>
    <w:rsid w:val="00951A16"/>
    <w:rsid w:val="0095213E"/>
    <w:rsid w:val="00952DD3"/>
    <w:rsid w:val="009535D0"/>
    <w:rsid w:val="009544C1"/>
    <w:rsid w:val="00954B33"/>
    <w:rsid w:val="00954D25"/>
    <w:rsid w:val="009564B7"/>
    <w:rsid w:val="009601A3"/>
    <w:rsid w:val="00960D8A"/>
    <w:rsid w:val="0096159C"/>
    <w:rsid w:val="00961A02"/>
    <w:rsid w:val="00962017"/>
    <w:rsid w:val="00963A45"/>
    <w:rsid w:val="00964AC1"/>
    <w:rsid w:val="00966262"/>
    <w:rsid w:val="009671A3"/>
    <w:rsid w:val="00967651"/>
    <w:rsid w:val="00967667"/>
    <w:rsid w:val="00967AB0"/>
    <w:rsid w:val="00971724"/>
    <w:rsid w:val="00972005"/>
    <w:rsid w:val="009723BC"/>
    <w:rsid w:val="00973DC1"/>
    <w:rsid w:val="00974850"/>
    <w:rsid w:val="009752F8"/>
    <w:rsid w:val="009753DD"/>
    <w:rsid w:val="00975431"/>
    <w:rsid w:val="009758A9"/>
    <w:rsid w:val="009761D7"/>
    <w:rsid w:val="009810B6"/>
    <w:rsid w:val="00981355"/>
    <w:rsid w:val="0098294D"/>
    <w:rsid w:val="00982C34"/>
    <w:rsid w:val="00984138"/>
    <w:rsid w:val="009857AC"/>
    <w:rsid w:val="009865C4"/>
    <w:rsid w:val="00986775"/>
    <w:rsid w:val="00987A5C"/>
    <w:rsid w:val="00990013"/>
    <w:rsid w:val="0099207D"/>
    <w:rsid w:val="00992212"/>
    <w:rsid w:val="009937BF"/>
    <w:rsid w:val="009939A2"/>
    <w:rsid w:val="00994483"/>
    <w:rsid w:val="009950CD"/>
    <w:rsid w:val="00996480"/>
    <w:rsid w:val="009977A5"/>
    <w:rsid w:val="009A0747"/>
    <w:rsid w:val="009A1AF5"/>
    <w:rsid w:val="009A29D2"/>
    <w:rsid w:val="009A2B61"/>
    <w:rsid w:val="009A5C1A"/>
    <w:rsid w:val="009A605E"/>
    <w:rsid w:val="009A6985"/>
    <w:rsid w:val="009A6EDA"/>
    <w:rsid w:val="009B212A"/>
    <w:rsid w:val="009B265C"/>
    <w:rsid w:val="009B33C4"/>
    <w:rsid w:val="009B4195"/>
    <w:rsid w:val="009B4302"/>
    <w:rsid w:val="009B4909"/>
    <w:rsid w:val="009B5A68"/>
    <w:rsid w:val="009B5B7E"/>
    <w:rsid w:val="009C0698"/>
    <w:rsid w:val="009C0A6B"/>
    <w:rsid w:val="009C0D31"/>
    <w:rsid w:val="009C2750"/>
    <w:rsid w:val="009C3150"/>
    <w:rsid w:val="009C34A8"/>
    <w:rsid w:val="009C39FD"/>
    <w:rsid w:val="009C4CF6"/>
    <w:rsid w:val="009C4F71"/>
    <w:rsid w:val="009C54D6"/>
    <w:rsid w:val="009C6106"/>
    <w:rsid w:val="009C6890"/>
    <w:rsid w:val="009C6CCC"/>
    <w:rsid w:val="009C7D2B"/>
    <w:rsid w:val="009C7FF5"/>
    <w:rsid w:val="009D2A14"/>
    <w:rsid w:val="009D3E00"/>
    <w:rsid w:val="009D3F47"/>
    <w:rsid w:val="009D4284"/>
    <w:rsid w:val="009D5184"/>
    <w:rsid w:val="009D51E4"/>
    <w:rsid w:val="009D52C4"/>
    <w:rsid w:val="009D5C15"/>
    <w:rsid w:val="009D5E8C"/>
    <w:rsid w:val="009D7B32"/>
    <w:rsid w:val="009E037B"/>
    <w:rsid w:val="009E0863"/>
    <w:rsid w:val="009E152F"/>
    <w:rsid w:val="009E2BC7"/>
    <w:rsid w:val="009E3276"/>
    <w:rsid w:val="009E461A"/>
    <w:rsid w:val="009E4FDE"/>
    <w:rsid w:val="009E6848"/>
    <w:rsid w:val="009E6C1D"/>
    <w:rsid w:val="009E75EA"/>
    <w:rsid w:val="009E772E"/>
    <w:rsid w:val="009E7810"/>
    <w:rsid w:val="009E79EB"/>
    <w:rsid w:val="009E7E07"/>
    <w:rsid w:val="009F00DB"/>
    <w:rsid w:val="009F1C06"/>
    <w:rsid w:val="009F3638"/>
    <w:rsid w:val="009F41EE"/>
    <w:rsid w:val="009F6024"/>
    <w:rsid w:val="009F6155"/>
    <w:rsid w:val="009F6192"/>
    <w:rsid w:val="009F6F7E"/>
    <w:rsid w:val="00A00393"/>
    <w:rsid w:val="00A006B9"/>
    <w:rsid w:val="00A00807"/>
    <w:rsid w:val="00A009B9"/>
    <w:rsid w:val="00A0308C"/>
    <w:rsid w:val="00A03450"/>
    <w:rsid w:val="00A06062"/>
    <w:rsid w:val="00A06068"/>
    <w:rsid w:val="00A0725B"/>
    <w:rsid w:val="00A07AB2"/>
    <w:rsid w:val="00A13343"/>
    <w:rsid w:val="00A14441"/>
    <w:rsid w:val="00A146D1"/>
    <w:rsid w:val="00A1504B"/>
    <w:rsid w:val="00A15EF5"/>
    <w:rsid w:val="00A17C19"/>
    <w:rsid w:val="00A17DF5"/>
    <w:rsid w:val="00A17E33"/>
    <w:rsid w:val="00A17E5E"/>
    <w:rsid w:val="00A201C3"/>
    <w:rsid w:val="00A2095A"/>
    <w:rsid w:val="00A211E4"/>
    <w:rsid w:val="00A2149B"/>
    <w:rsid w:val="00A219C4"/>
    <w:rsid w:val="00A242FD"/>
    <w:rsid w:val="00A246A6"/>
    <w:rsid w:val="00A25E0C"/>
    <w:rsid w:val="00A26145"/>
    <w:rsid w:val="00A268C2"/>
    <w:rsid w:val="00A26BCF"/>
    <w:rsid w:val="00A27381"/>
    <w:rsid w:val="00A27520"/>
    <w:rsid w:val="00A30388"/>
    <w:rsid w:val="00A30699"/>
    <w:rsid w:val="00A30F89"/>
    <w:rsid w:val="00A31267"/>
    <w:rsid w:val="00A32678"/>
    <w:rsid w:val="00A32B1D"/>
    <w:rsid w:val="00A34DD6"/>
    <w:rsid w:val="00A35EEA"/>
    <w:rsid w:val="00A36914"/>
    <w:rsid w:val="00A370B0"/>
    <w:rsid w:val="00A372C3"/>
    <w:rsid w:val="00A41465"/>
    <w:rsid w:val="00A42705"/>
    <w:rsid w:val="00A42BF0"/>
    <w:rsid w:val="00A43300"/>
    <w:rsid w:val="00A439DC"/>
    <w:rsid w:val="00A43B4B"/>
    <w:rsid w:val="00A44196"/>
    <w:rsid w:val="00A44820"/>
    <w:rsid w:val="00A45906"/>
    <w:rsid w:val="00A470B0"/>
    <w:rsid w:val="00A50188"/>
    <w:rsid w:val="00A550EC"/>
    <w:rsid w:val="00A55241"/>
    <w:rsid w:val="00A55B25"/>
    <w:rsid w:val="00A561B5"/>
    <w:rsid w:val="00A561E8"/>
    <w:rsid w:val="00A565BA"/>
    <w:rsid w:val="00A603C0"/>
    <w:rsid w:val="00A609C5"/>
    <w:rsid w:val="00A614BD"/>
    <w:rsid w:val="00A61D2A"/>
    <w:rsid w:val="00A621A1"/>
    <w:rsid w:val="00A62C38"/>
    <w:rsid w:val="00A6358D"/>
    <w:rsid w:val="00A6413F"/>
    <w:rsid w:val="00A647FA"/>
    <w:rsid w:val="00A659BF"/>
    <w:rsid w:val="00A65B26"/>
    <w:rsid w:val="00A661CF"/>
    <w:rsid w:val="00A663A7"/>
    <w:rsid w:val="00A7044E"/>
    <w:rsid w:val="00A706D6"/>
    <w:rsid w:val="00A711E7"/>
    <w:rsid w:val="00A72712"/>
    <w:rsid w:val="00A731FC"/>
    <w:rsid w:val="00A73CD0"/>
    <w:rsid w:val="00A74235"/>
    <w:rsid w:val="00A74283"/>
    <w:rsid w:val="00A7501D"/>
    <w:rsid w:val="00A754F7"/>
    <w:rsid w:val="00A75C44"/>
    <w:rsid w:val="00A77FFA"/>
    <w:rsid w:val="00A807A7"/>
    <w:rsid w:val="00A810C0"/>
    <w:rsid w:val="00A81E24"/>
    <w:rsid w:val="00A81E85"/>
    <w:rsid w:val="00A82827"/>
    <w:rsid w:val="00A839A7"/>
    <w:rsid w:val="00A83BDA"/>
    <w:rsid w:val="00A83FCB"/>
    <w:rsid w:val="00A83FFE"/>
    <w:rsid w:val="00A8518A"/>
    <w:rsid w:val="00A85AE1"/>
    <w:rsid w:val="00A85BCC"/>
    <w:rsid w:val="00A90075"/>
    <w:rsid w:val="00A9019C"/>
    <w:rsid w:val="00A9029D"/>
    <w:rsid w:val="00A9079B"/>
    <w:rsid w:val="00A90AD0"/>
    <w:rsid w:val="00A91BC4"/>
    <w:rsid w:val="00A9216D"/>
    <w:rsid w:val="00A92F7F"/>
    <w:rsid w:val="00A94882"/>
    <w:rsid w:val="00A948E9"/>
    <w:rsid w:val="00A95C93"/>
    <w:rsid w:val="00A969A7"/>
    <w:rsid w:val="00A9734F"/>
    <w:rsid w:val="00A973FC"/>
    <w:rsid w:val="00AA123E"/>
    <w:rsid w:val="00AA1678"/>
    <w:rsid w:val="00AA1752"/>
    <w:rsid w:val="00AA1D68"/>
    <w:rsid w:val="00AA2D77"/>
    <w:rsid w:val="00AA37D6"/>
    <w:rsid w:val="00AA53D3"/>
    <w:rsid w:val="00AA540A"/>
    <w:rsid w:val="00AA597F"/>
    <w:rsid w:val="00AA6BE1"/>
    <w:rsid w:val="00AA6F7C"/>
    <w:rsid w:val="00AA71C2"/>
    <w:rsid w:val="00AA7D75"/>
    <w:rsid w:val="00AB05FC"/>
    <w:rsid w:val="00AB1369"/>
    <w:rsid w:val="00AB298E"/>
    <w:rsid w:val="00AB2ECB"/>
    <w:rsid w:val="00AB3557"/>
    <w:rsid w:val="00AB4F16"/>
    <w:rsid w:val="00AB547E"/>
    <w:rsid w:val="00AB5E13"/>
    <w:rsid w:val="00AB68CC"/>
    <w:rsid w:val="00AB723F"/>
    <w:rsid w:val="00AB7D65"/>
    <w:rsid w:val="00AC0FCC"/>
    <w:rsid w:val="00AC19D8"/>
    <w:rsid w:val="00AC1B2D"/>
    <w:rsid w:val="00AC213A"/>
    <w:rsid w:val="00AC409A"/>
    <w:rsid w:val="00AC44D7"/>
    <w:rsid w:val="00AC4FF4"/>
    <w:rsid w:val="00AC531A"/>
    <w:rsid w:val="00AC5A6F"/>
    <w:rsid w:val="00AC6630"/>
    <w:rsid w:val="00AC67E7"/>
    <w:rsid w:val="00AC680D"/>
    <w:rsid w:val="00AC6AEB"/>
    <w:rsid w:val="00AC7687"/>
    <w:rsid w:val="00AC77AB"/>
    <w:rsid w:val="00AC7AFB"/>
    <w:rsid w:val="00AD000D"/>
    <w:rsid w:val="00AD04DF"/>
    <w:rsid w:val="00AD05F4"/>
    <w:rsid w:val="00AD0B89"/>
    <w:rsid w:val="00AD119F"/>
    <w:rsid w:val="00AD1796"/>
    <w:rsid w:val="00AD55D9"/>
    <w:rsid w:val="00AD588A"/>
    <w:rsid w:val="00AD6099"/>
    <w:rsid w:val="00AD697E"/>
    <w:rsid w:val="00AD741F"/>
    <w:rsid w:val="00AD7DC1"/>
    <w:rsid w:val="00AE0226"/>
    <w:rsid w:val="00AE31E5"/>
    <w:rsid w:val="00AE3A09"/>
    <w:rsid w:val="00AE3E4E"/>
    <w:rsid w:val="00AE4E68"/>
    <w:rsid w:val="00AE7CD5"/>
    <w:rsid w:val="00AF0949"/>
    <w:rsid w:val="00AF1431"/>
    <w:rsid w:val="00AF1535"/>
    <w:rsid w:val="00AF1BF8"/>
    <w:rsid w:val="00AF2E50"/>
    <w:rsid w:val="00AF367B"/>
    <w:rsid w:val="00AF40AB"/>
    <w:rsid w:val="00AF5847"/>
    <w:rsid w:val="00AF5948"/>
    <w:rsid w:val="00AF5C64"/>
    <w:rsid w:val="00AF76FB"/>
    <w:rsid w:val="00B00D12"/>
    <w:rsid w:val="00B01243"/>
    <w:rsid w:val="00B01661"/>
    <w:rsid w:val="00B02096"/>
    <w:rsid w:val="00B021AA"/>
    <w:rsid w:val="00B023FE"/>
    <w:rsid w:val="00B02B32"/>
    <w:rsid w:val="00B03628"/>
    <w:rsid w:val="00B042DC"/>
    <w:rsid w:val="00B04E46"/>
    <w:rsid w:val="00B0522D"/>
    <w:rsid w:val="00B05A78"/>
    <w:rsid w:val="00B05CD3"/>
    <w:rsid w:val="00B05F6B"/>
    <w:rsid w:val="00B1082B"/>
    <w:rsid w:val="00B10E76"/>
    <w:rsid w:val="00B1120B"/>
    <w:rsid w:val="00B11CC2"/>
    <w:rsid w:val="00B123F0"/>
    <w:rsid w:val="00B13105"/>
    <w:rsid w:val="00B138D0"/>
    <w:rsid w:val="00B142CA"/>
    <w:rsid w:val="00B17808"/>
    <w:rsid w:val="00B2182D"/>
    <w:rsid w:val="00B22ADF"/>
    <w:rsid w:val="00B23FDB"/>
    <w:rsid w:val="00B248BB"/>
    <w:rsid w:val="00B25C5F"/>
    <w:rsid w:val="00B26346"/>
    <w:rsid w:val="00B26964"/>
    <w:rsid w:val="00B26BC3"/>
    <w:rsid w:val="00B272EC"/>
    <w:rsid w:val="00B27C38"/>
    <w:rsid w:val="00B303E0"/>
    <w:rsid w:val="00B304CA"/>
    <w:rsid w:val="00B32829"/>
    <w:rsid w:val="00B32AFF"/>
    <w:rsid w:val="00B32F34"/>
    <w:rsid w:val="00B3330D"/>
    <w:rsid w:val="00B3390E"/>
    <w:rsid w:val="00B33B4F"/>
    <w:rsid w:val="00B34731"/>
    <w:rsid w:val="00B35368"/>
    <w:rsid w:val="00B359BC"/>
    <w:rsid w:val="00B3664F"/>
    <w:rsid w:val="00B3679E"/>
    <w:rsid w:val="00B37056"/>
    <w:rsid w:val="00B37B8C"/>
    <w:rsid w:val="00B37EE6"/>
    <w:rsid w:val="00B40A3F"/>
    <w:rsid w:val="00B40F5F"/>
    <w:rsid w:val="00B4294F"/>
    <w:rsid w:val="00B42D39"/>
    <w:rsid w:val="00B42DDE"/>
    <w:rsid w:val="00B42EF5"/>
    <w:rsid w:val="00B430C6"/>
    <w:rsid w:val="00B433F2"/>
    <w:rsid w:val="00B434D8"/>
    <w:rsid w:val="00B43E38"/>
    <w:rsid w:val="00B4493D"/>
    <w:rsid w:val="00B46DFB"/>
    <w:rsid w:val="00B470CD"/>
    <w:rsid w:val="00B50EBD"/>
    <w:rsid w:val="00B50ECD"/>
    <w:rsid w:val="00B53479"/>
    <w:rsid w:val="00B54567"/>
    <w:rsid w:val="00B54797"/>
    <w:rsid w:val="00B547DF"/>
    <w:rsid w:val="00B54AC3"/>
    <w:rsid w:val="00B55C5E"/>
    <w:rsid w:val="00B561F6"/>
    <w:rsid w:val="00B565DD"/>
    <w:rsid w:val="00B57027"/>
    <w:rsid w:val="00B6263A"/>
    <w:rsid w:val="00B63F5D"/>
    <w:rsid w:val="00B64039"/>
    <w:rsid w:val="00B642F4"/>
    <w:rsid w:val="00B66E12"/>
    <w:rsid w:val="00B66E94"/>
    <w:rsid w:val="00B67775"/>
    <w:rsid w:val="00B70339"/>
    <w:rsid w:val="00B72185"/>
    <w:rsid w:val="00B72820"/>
    <w:rsid w:val="00B73387"/>
    <w:rsid w:val="00B740FF"/>
    <w:rsid w:val="00B743BA"/>
    <w:rsid w:val="00B745B7"/>
    <w:rsid w:val="00B750D2"/>
    <w:rsid w:val="00B75503"/>
    <w:rsid w:val="00B7568F"/>
    <w:rsid w:val="00B7594B"/>
    <w:rsid w:val="00B75BF4"/>
    <w:rsid w:val="00B76C71"/>
    <w:rsid w:val="00B77E0B"/>
    <w:rsid w:val="00B8063E"/>
    <w:rsid w:val="00B81947"/>
    <w:rsid w:val="00B825BB"/>
    <w:rsid w:val="00B82BED"/>
    <w:rsid w:val="00B83D72"/>
    <w:rsid w:val="00B84BFE"/>
    <w:rsid w:val="00B84DBC"/>
    <w:rsid w:val="00B855F5"/>
    <w:rsid w:val="00B85FFD"/>
    <w:rsid w:val="00B87A59"/>
    <w:rsid w:val="00B90701"/>
    <w:rsid w:val="00B92F6C"/>
    <w:rsid w:val="00B92FD6"/>
    <w:rsid w:val="00B95DEC"/>
    <w:rsid w:val="00B95FE6"/>
    <w:rsid w:val="00B979E9"/>
    <w:rsid w:val="00B97D5C"/>
    <w:rsid w:val="00B97F5E"/>
    <w:rsid w:val="00BA03AB"/>
    <w:rsid w:val="00BA053E"/>
    <w:rsid w:val="00BA1696"/>
    <w:rsid w:val="00BA30EA"/>
    <w:rsid w:val="00BA3D74"/>
    <w:rsid w:val="00BA3E54"/>
    <w:rsid w:val="00BA4D5D"/>
    <w:rsid w:val="00BA50B5"/>
    <w:rsid w:val="00BA583B"/>
    <w:rsid w:val="00BA5BDD"/>
    <w:rsid w:val="00BA5CF8"/>
    <w:rsid w:val="00BA6615"/>
    <w:rsid w:val="00BA704B"/>
    <w:rsid w:val="00BA72AD"/>
    <w:rsid w:val="00BA737C"/>
    <w:rsid w:val="00BA770E"/>
    <w:rsid w:val="00BB0647"/>
    <w:rsid w:val="00BB14F6"/>
    <w:rsid w:val="00BB17A2"/>
    <w:rsid w:val="00BB367B"/>
    <w:rsid w:val="00BB5B3E"/>
    <w:rsid w:val="00BB6A68"/>
    <w:rsid w:val="00BB7A79"/>
    <w:rsid w:val="00BC00AD"/>
    <w:rsid w:val="00BC17B2"/>
    <w:rsid w:val="00BC1ABF"/>
    <w:rsid w:val="00BC2225"/>
    <w:rsid w:val="00BC252A"/>
    <w:rsid w:val="00BC2BE7"/>
    <w:rsid w:val="00BC5B04"/>
    <w:rsid w:val="00BC76CA"/>
    <w:rsid w:val="00BC789B"/>
    <w:rsid w:val="00BD052D"/>
    <w:rsid w:val="00BD1D35"/>
    <w:rsid w:val="00BD2476"/>
    <w:rsid w:val="00BD35BC"/>
    <w:rsid w:val="00BD4491"/>
    <w:rsid w:val="00BD48AD"/>
    <w:rsid w:val="00BD675F"/>
    <w:rsid w:val="00BD739A"/>
    <w:rsid w:val="00BD79EA"/>
    <w:rsid w:val="00BE15BB"/>
    <w:rsid w:val="00BE2590"/>
    <w:rsid w:val="00BE2AF8"/>
    <w:rsid w:val="00BE3875"/>
    <w:rsid w:val="00BE73CF"/>
    <w:rsid w:val="00BF1021"/>
    <w:rsid w:val="00BF33FC"/>
    <w:rsid w:val="00BF433C"/>
    <w:rsid w:val="00BF52B3"/>
    <w:rsid w:val="00BF5651"/>
    <w:rsid w:val="00BF7346"/>
    <w:rsid w:val="00BF7658"/>
    <w:rsid w:val="00BF7982"/>
    <w:rsid w:val="00C000A9"/>
    <w:rsid w:val="00C009FE"/>
    <w:rsid w:val="00C01B03"/>
    <w:rsid w:val="00C02FCA"/>
    <w:rsid w:val="00C033A1"/>
    <w:rsid w:val="00C03E57"/>
    <w:rsid w:val="00C048BF"/>
    <w:rsid w:val="00C04E77"/>
    <w:rsid w:val="00C05524"/>
    <w:rsid w:val="00C0648F"/>
    <w:rsid w:val="00C068D3"/>
    <w:rsid w:val="00C07408"/>
    <w:rsid w:val="00C07937"/>
    <w:rsid w:val="00C07E2F"/>
    <w:rsid w:val="00C10078"/>
    <w:rsid w:val="00C10293"/>
    <w:rsid w:val="00C10F30"/>
    <w:rsid w:val="00C10F4F"/>
    <w:rsid w:val="00C11149"/>
    <w:rsid w:val="00C11605"/>
    <w:rsid w:val="00C11C39"/>
    <w:rsid w:val="00C1287C"/>
    <w:rsid w:val="00C12C75"/>
    <w:rsid w:val="00C13A5E"/>
    <w:rsid w:val="00C15B4E"/>
    <w:rsid w:val="00C16528"/>
    <w:rsid w:val="00C16696"/>
    <w:rsid w:val="00C17F7C"/>
    <w:rsid w:val="00C207CB"/>
    <w:rsid w:val="00C20D62"/>
    <w:rsid w:val="00C21E19"/>
    <w:rsid w:val="00C21F88"/>
    <w:rsid w:val="00C223F3"/>
    <w:rsid w:val="00C229DC"/>
    <w:rsid w:val="00C22E12"/>
    <w:rsid w:val="00C26672"/>
    <w:rsid w:val="00C279CC"/>
    <w:rsid w:val="00C27F87"/>
    <w:rsid w:val="00C30237"/>
    <w:rsid w:val="00C3121D"/>
    <w:rsid w:val="00C3192F"/>
    <w:rsid w:val="00C31D8C"/>
    <w:rsid w:val="00C32914"/>
    <w:rsid w:val="00C33361"/>
    <w:rsid w:val="00C33741"/>
    <w:rsid w:val="00C341DF"/>
    <w:rsid w:val="00C342E3"/>
    <w:rsid w:val="00C34D30"/>
    <w:rsid w:val="00C34D56"/>
    <w:rsid w:val="00C362EA"/>
    <w:rsid w:val="00C365CE"/>
    <w:rsid w:val="00C37076"/>
    <w:rsid w:val="00C40067"/>
    <w:rsid w:val="00C4234F"/>
    <w:rsid w:val="00C4243E"/>
    <w:rsid w:val="00C42B0B"/>
    <w:rsid w:val="00C43F9F"/>
    <w:rsid w:val="00C4494D"/>
    <w:rsid w:val="00C4540D"/>
    <w:rsid w:val="00C4696B"/>
    <w:rsid w:val="00C46995"/>
    <w:rsid w:val="00C46D03"/>
    <w:rsid w:val="00C46DC7"/>
    <w:rsid w:val="00C50D8D"/>
    <w:rsid w:val="00C514AE"/>
    <w:rsid w:val="00C51575"/>
    <w:rsid w:val="00C527FA"/>
    <w:rsid w:val="00C52EC6"/>
    <w:rsid w:val="00C53F28"/>
    <w:rsid w:val="00C5708B"/>
    <w:rsid w:val="00C5739F"/>
    <w:rsid w:val="00C576CA"/>
    <w:rsid w:val="00C57C09"/>
    <w:rsid w:val="00C57F16"/>
    <w:rsid w:val="00C57F2C"/>
    <w:rsid w:val="00C61BAE"/>
    <w:rsid w:val="00C626E9"/>
    <w:rsid w:val="00C630B8"/>
    <w:rsid w:val="00C63715"/>
    <w:rsid w:val="00C63ED2"/>
    <w:rsid w:val="00C64BBD"/>
    <w:rsid w:val="00C64C7A"/>
    <w:rsid w:val="00C650D9"/>
    <w:rsid w:val="00C66467"/>
    <w:rsid w:val="00C664E4"/>
    <w:rsid w:val="00C6657C"/>
    <w:rsid w:val="00C66851"/>
    <w:rsid w:val="00C6715E"/>
    <w:rsid w:val="00C70576"/>
    <w:rsid w:val="00C707E2"/>
    <w:rsid w:val="00C70EF8"/>
    <w:rsid w:val="00C718F3"/>
    <w:rsid w:val="00C7414E"/>
    <w:rsid w:val="00C741BD"/>
    <w:rsid w:val="00C74C82"/>
    <w:rsid w:val="00C7517B"/>
    <w:rsid w:val="00C76829"/>
    <w:rsid w:val="00C76AAD"/>
    <w:rsid w:val="00C802D4"/>
    <w:rsid w:val="00C80B25"/>
    <w:rsid w:val="00C81D9D"/>
    <w:rsid w:val="00C81D9F"/>
    <w:rsid w:val="00C82B9D"/>
    <w:rsid w:val="00C82C15"/>
    <w:rsid w:val="00C83E75"/>
    <w:rsid w:val="00C84492"/>
    <w:rsid w:val="00C85017"/>
    <w:rsid w:val="00C85346"/>
    <w:rsid w:val="00C85E85"/>
    <w:rsid w:val="00C865AE"/>
    <w:rsid w:val="00C90963"/>
    <w:rsid w:val="00C90DEB"/>
    <w:rsid w:val="00C90E60"/>
    <w:rsid w:val="00C924E1"/>
    <w:rsid w:val="00C926BD"/>
    <w:rsid w:val="00C93066"/>
    <w:rsid w:val="00C95204"/>
    <w:rsid w:val="00C95334"/>
    <w:rsid w:val="00C95A6F"/>
    <w:rsid w:val="00C972CB"/>
    <w:rsid w:val="00C97A2A"/>
    <w:rsid w:val="00CA00D1"/>
    <w:rsid w:val="00CA2FD7"/>
    <w:rsid w:val="00CA32C4"/>
    <w:rsid w:val="00CA4315"/>
    <w:rsid w:val="00CA45F5"/>
    <w:rsid w:val="00CA5276"/>
    <w:rsid w:val="00CA55D2"/>
    <w:rsid w:val="00CA55D9"/>
    <w:rsid w:val="00CA5ECB"/>
    <w:rsid w:val="00CA670F"/>
    <w:rsid w:val="00CA6D7C"/>
    <w:rsid w:val="00CB037C"/>
    <w:rsid w:val="00CB1003"/>
    <w:rsid w:val="00CB2F99"/>
    <w:rsid w:val="00CB329E"/>
    <w:rsid w:val="00CB38B9"/>
    <w:rsid w:val="00CB485B"/>
    <w:rsid w:val="00CB4C37"/>
    <w:rsid w:val="00CB56F4"/>
    <w:rsid w:val="00CB5B39"/>
    <w:rsid w:val="00CB6D04"/>
    <w:rsid w:val="00CB750A"/>
    <w:rsid w:val="00CB7C24"/>
    <w:rsid w:val="00CC0B39"/>
    <w:rsid w:val="00CC0DF4"/>
    <w:rsid w:val="00CC146D"/>
    <w:rsid w:val="00CC32BB"/>
    <w:rsid w:val="00CC365E"/>
    <w:rsid w:val="00CC38D9"/>
    <w:rsid w:val="00CC3927"/>
    <w:rsid w:val="00CC4E9E"/>
    <w:rsid w:val="00CC5AA7"/>
    <w:rsid w:val="00CC5C42"/>
    <w:rsid w:val="00CC6AFE"/>
    <w:rsid w:val="00CC6ED7"/>
    <w:rsid w:val="00CC773D"/>
    <w:rsid w:val="00CD0A88"/>
    <w:rsid w:val="00CD1402"/>
    <w:rsid w:val="00CD1577"/>
    <w:rsid w:val="00CD1E07"/>
    <w:rsid w:val="00CD5675"/>
    <w:rsid w:val="00CD5E20"/>
    <w:rsid w:val="00CD624B"/>
    <w:rsid w:val="00CD75D6"/>
    <w:rsid w:val="00CD7ABA"/>
    <w:rsid w:val="00CE01EC"/>
    <w:rsid w:val="00CE1D4A"/>
    <w:rsid w:val="00CE2BFA"/>
    <w:rsid w:val="00CE3551"/>
    <w:rsid w:val="00CE3BFE"/>
    <w:rsid w:val="00CE3DF0"/>
    <w:rsid w:val="00CE4A2E"/>
    <w:rsid w:val="00CE50AE"/>
    <w:rsid w:val="00CE5561"/>
    <w:rsid w:val="00CE675D"/>
    <w:rsid w:val="00CE67E3"/>
    <w:rsid w:val="00CE7384"/>
    <w:rsid w:val="00CF001C"/>
    <w:rsid w:val="00CF0DF7"/>
    <w:rsid w:val="00CF1D13"/>
    <w:rsid w:val="00CF1D8E"/>
    <w:rsid w:val="00CF1E1C"/>
    <w:rsid w:val="00CF2E86"/>
    <w:rsid w:val="00CF4D10"/>
    <w:rsid w:val="00CF54F1"/>
    <w:rsid w:val="00CF5500"/>
    <w:rsid w:val="00CF7114"/>
    <w:rsid w:val="00CF7D5B"/>
    <w:rsid w:val="00D00616"/>
    <w:rsid w:val="00D01AA6"/>
    <w:rsid w:val="00D02002"/>
    <w:rsid w:val="00D022F6"/>
    <w:rsid w:val="00D02B1A"/>
    <w:rsid w:val="00D031AB"/>
    <w:rsid w:val="00D03A06"/>
    <w:rsid w:val="00D04631"/>
    <w:rsid w:val="00D05D39"/>
    <w:rsid w:val="00D05F00"/>
    <w:rsid w:val="00D06F05"/>
    <w:rsid w:val="00D0751A"/>
    <w:rsid w:val="00D07A62"/>
    <w:rsid w:val="00D102A6"/>
    <w:rsid w:val="00D10BB1"/>
    <w:rsid w:val="00D11E51"/>
    <w:rsid w:val="00D128C4"/>
    <w:rsid w:val="00D148BD"/>
    <w:rsid w:val="00D1567F"/>
    <w:rsid w:val="00D1598E"/>
    <w:rsid w:val="00D1603D"/>
    <w:rsid w:val="00D1679D"/>
    <w:rsid w:val="00D168AB"/>
    <w:rsid w:val="00D16C65"/>
    <w:rsid w:val="00D1796C"/>
    <w:rsid w:val="00D17A46"/>
    <w:rsid w:val="00D17C1A"/>
    <w:rsid w:val="00D17D57"/>
    <w:rsid w:val="00D201BB"/>
    <w:rsid w:val="00D203DF"/>
    <w:rsid w:val="00D20645"/>
    <w:rsid w:val="00D20C5F"/>
    <w:rsid w:val="00D2138A"/>
    <w:rsid w:val="00D216D9"/>
    <w:rsid w:val="00D21A73"/>
    <w:rsid w:val="00D21B3E"/>
    <w:rsid w:val="00D21CBC"/>
    <w:rsid w:val="00D22D48"/>
    <w:rsid w:val="00D232EC"/>
    <w:rsid w:val="00D256B1"/>
    <w:rsid w:val="00D25FEE"/>
    <w:rsid w:val="00D262AC"/>
    <w:rsid w:val="00D2674F"/>
    <w:rsid w:val="00D27682"/>
    <w:rsid w:val="00D307D4"/>
    <w:rsid w:val="00D31431"/>
    <w:rsid w:val="00D32D0A"/>
    <w:rsid w:val="00D33548"/>
    <w:rsid w:val="00D3370D"/>
    <w:rsid w:val="00D34489"/>
    <w:rsid w:val="00D35B75"/>
    <w:rsid w:val="00D36A88"/>
    <w:rsid w:val="00D3751D"/>
    <w:rsid w:val="00D37885"/>
    <w:rsid w:val="00D40DBE"/>
    <w:rsid w:val="00D41C7F"/>
    <w:rsid w:val="00D4322E"/>
    <w:rsid w:val="00D43732"/>
    <w:rsid w:val="00D443F8"/>
    <w:rsid w:val="00D45407"/>
    <w:rsid w:val="00D45A95"/>
    <w:rsid w:val="00D46D11"/>
    <w:rsid w:val="00D47A27"/>
    <w:rsid w:val="00D47F8A"/>
    <w:rsid w:val="00D5038B"/>
    <w:rsid w:val="00D51263"/>
    <w:rsid w:val="00D51B0C"/>
    <w:rsid w:val="00D51BE9"/>
    <w:rsid w:val="00D51F1C"/>
    <w:rsid w:val="00D52081"/>
    <w:rsid w:val="00D52FF5"/>
    <w:rsid w:val="00D53AD4"/>
    <w:rsid w:val="00D544B9"/>
    <w:rsid w:val="00D55E20"/>
    <w:rsid w:val="00D57928"/>
    <w:rsid w:val="00D617C2"/>
    <w:rsid w:val="00D62AED"/>
    <w:rsid w:val="00D634C1"/>
    <w:rsid w:val="00D635B5"/>
    <w:rsid w:val="00D6455C"/>
    <w:rsid w:val="00D64B1D"/>
    <w:rsid w:val="00D65221"/>
    <w:rsid w:val="00D65404"/>
    <w:rsid w:val="00D65C1A"/>
    <w:rsid w:val="00D66706"/>
    <w:rsid w:val="00D675CE"/>
    <w:rsid w:val="00D67F26"/>
    <w:rsid w:val="00D7168E"/>
    <w:rsid w:val="00D720FC"/>
    <w:rsid w:val="00D73180"/>
    <w:rsid w:val="00D738CB"/>
    <w:rsid w:val="00D7430F"/>
    <w:rsid w:val="00D74FA0"/>
    <w:rsid w:val="00D75B02"/>
    <w:rsid w:val="00D75ED9"/>
    <w:rsid w:val="00D76236"/>
    <w:rsid w:val="00D77833"/>
    <w:rsid w:val="00D7794F"/>
    <w:rsid w:val="00D77B56"/>
    <w:rsid w:val="00D77EAD"/>
    <w:rsid w:val="00D817A5"/>
    <w:rsid w:val="00D81C5C"/>
    <w:rsid w:val="00D81CB1"/>
    <w:rsid w:val="00D81EEA"/>
    <w:rsid w:val="00D82F49"/>
    <w:rsid w:val="00D8473C"/>
    <w:rsid w:val="00D84D76"/>
    <w:rsid w:val="00D85105"/>
    <w:rsid w:val="00D85163"/>
    <w:rsid w:val="00D85F17"/>
    <w:rsid w:val="00D8623B"/>
    <w:rsid w:val="00D862F7"/>
    <w:rsid w:val="00D8634A"/>
    <w:rsid w:val="00D865AD"/>
    <w:rsid w:val="00D86823"/>
    <w:rsid w:val="00D8704D"/>
    <w:rsid w:val="00D9018A"/>
    <w:rsid w:val="00D904C3"/>
    <w:rsid w:val="00D91232"/>
    <w:rsid w:val="00D913A9"/>
    <w:rsid w:val="00D92CBA"/>
    <w:rsid w:val="00D93297"/>
    <w:rsid w:val="00D93D5B"/>
    <w:rsid w:val="00D93FA3"/>
    <w:rsid w:val="00D95DDB"/>
    <w:rsid w:val="00D960C3"/>
    <w:rsid w:val="00D96304"/>
    <w:rsid w:val="00D974DB"/>
    <w:rsid w:val="00DA0452"/>
    <w:rsid w:val="00DA271A"/>
    <w:rsid w:val="00DA282D"/>
    <w:rsid w:val="00DA3372"/>
    <w:rsid w:val="00DA37D6"/>
    <w:rsid w:val="00DA6B5B"/>
    <w:rsid w:val="00DA7614"/>
    <w:rsid w:val="00DB0A52"/>
    <w:rsid w:val="00DB1AA4"/>
    <w:rsid w:val="00DB1D8D"/>
    <w:rsid w:val="00DB1EAC"/>
    <w:rsid w:val="00DB2388"/>
    <w:rsid w:val="00DB2A89"/>
    <w:rsid w:val="00DB2ED0"/>
    <w:rsid w:val="00DB39FD"/>
    <w:rsid w:val="00DB4711"/>
    <w:rsid w:val="00DB4C7F"/>
    <w:rsid w:val="00DB4E20"/>
    <w:rsid w:val="00DB514D"/>
    <w:rsid w:val="00DB51A4"/>
    <w:rsid w:val="00DB61CE"/>
    <w:rsid w:val="00DC0632"/>
    <w:rsid w:val="00DC08D9"/>
    <w:rsid w:val="00DC13FE"/>
    <w:rsid w:val="00DC1811"/>
    <w:rsid w:val="00DC1D5A"/>
    <w:rsid w:val="00DC2A30"/>
    <w:rsid w:val="00DC3422"/>
    <w:rsid w:val="00DC38D4"/>
    <w:rsid w:val="00DC5A51"/>
    <w:rsid w:val="00DC6351"/>
    <w:rsid w:val="00DC7485"/>
    <w:rsid w:val="00DC769F"/>
    <w:rsid w:val="00DD0888"/>
    <w:rsid w:val="00DD235C"/>
    <w:rsid w:val="00DD24AC"/>
    <w:rsid w:val="00DD4EDA"/>
    <w:rsid w:val="00DD52DD"/>
    <w:rsid w:val="00DD5634"/>
    <w:rsid w:val="00DD5758"/>
    <w:rsid w:val="00DD6243"/>
    <w:rsid w:val="00DD7082"/>
    <w:rsid w:val="00DE05D5"/>
    <w:rsid w:val="00DE1372"/>
    <w:rsid w:val="00DE1844"/>
    <w:rsid w:val="00DE19E7"/>
    <w:rsid w:val="00DE2469"/>
    <w:rsid w:val="00DE2D79"/>
    <w:rsid w:val="00DE3239"/>
    <w:rsid w:val="00DE33E5"/>
    <w:rsid w:val="00DE3A18"/>
    <w:rsid w:val="00DE47B5"/>
    <w:rsid w:val="00DE55EC"/>
    <w:rsid w:val="00DE5968"/>
    <w:rsid w:val="00DE69C4"/>
    <w:rsid w:val="00DE7822"/>
    <w:rsid w:val="00DE7838"/>
    <w:rsid w:val="00DE7948"/>
    <w:rsid w:val="00DF0BB6"/>
    <w:rsid w:val="00DF13C2"/>
    <w:rsid w:val="00DF165A"/>
    <w:rsid w:val="00DF2668"/>
    <w:rsid w:val="00DF2A79"/>
    <w:rsid w:val="00DF2B97"/>
    <w:rsid w:val="00DF2F5B"/>
    <w:rsid w:val="00DF4672"/>
    <w:rsid w:val="00DF5032"/>
    <w:rsid w:val="00DF5806"/>
    <w:rsid w:val="00DF5917"/>
    <w:rsid w:val="00DF5B5E"/>
    <w:rsid w:val="00DF65AB"/>
    <w:rsid w:val="00DF6996"/>
    <w:rsid w:val="00DF771D"/>
    <w:rsid w:val="00DF7F3E"/>
    <w:rsid w:val="00E00298"/>
    <w:rsid w:val="00E011DB"/>
    <w:rsid w:val="00E02041"/>
    <w:rsid w:val="00E020CC"/>
    <w:rsid w:val="00E026EF"/>
    <w:rsid w:val="00E029BF"/>
    <w:rsid w:val="00E02B47"/>
    <w:rsid w:val="00E0473C"/>
    <w:rsid w:val="00E05432"/>
    <w:rsid w:val="00E06253"/>
    <w:rsid w:val="00E066C9"/>
    <w:rsid w:val="00E10961"/>
    <w:rsid w:val="00E1220A"/>
    <w:rsid w:val="00E12692"/>
    <w:rsid w:val="00E132AC"/>
    <w:rsid w:val="00E13E37"/>
    <w:rsid w:val="00E13FB6"/>
    <w:rsid w:val="00E1409D"/>
    <w:rsid w:val="00E15EB5"/>
    <w:rsid w:val="00E16B87"/>
    <w:rsid w:val="00E17390"/>
    <w:rsid w:val="00E178B3"/>
    <w:rsid w:val="00E20A84"/>
    <w:rsid w:val="00E21302"/>
    <w:rsid w:val="00E21B5E"/>
    <w:rsid w:val="00E2225A"/>
    <w:rsid w:val="00E22450"/>
    <w:rsid w:val="00E23432"/>
    <w:rsid w:val="00E237CD"/>
    <w:rsid w:val="00E23C76"/>
    <w:rsid w:val="00E249DA"/>
    <w:rsid w:val="00E24A37"/>
    <w:rsid w:val="00E25080"/>
    <w:rsid w:val="00E257DA"/>
    <w:rsid w:val="00E25C7C"/>
    <w:rsid w:val="00E26E93"/>
    <w:rsid w:val="00E27619"/>
    <w:rsid w:val="00E276E9"/>
    <w:rsid w:val="00E27D41"/>
    <w:rsid w:val="00E30522"/>
    <w:rsid w:val="00E31EBC"/>
    <w:rsid w:val="00E321F4"/>
    <w:rsid w:val="00E3265D"/>
    <w:rsid w:val="00E33596"/>
    <w:rsid w:val="00E360E8"/>
    <w:rsid w:val="00E36F29"/>
    <w:rsid w:val="00E37C29"/>
    <w:rsid w:val="00E4085B"/>
    <w:rsid w:val="00E412F6"/>
    <w:rsid w:val="00E422E6"/>
    <w:rsid w:val="00E42522"/>
    <w:rsid w:val="00E42B93"/>
    <w:rsid w:val="00E42EF2"/>
    <w:rsid w:val="00E4304E"/>
    <w:rsid w:val="00E43530"/>
    <w:rsid w:val="00E43DDC"/>
    <w:rsid w:val="00E43F5E"/>
    <w:rsid w:val="00E44298"/>
    <w:rsid w:val="00E4554E"/>
    <w:rsid w:val="00E47303"/>
    <w:rsid w:val="00E519B6"/>
    <w:rsid w:val="00E51DEB"/>
    <w:rsid w:val="00E53D94"/>
    <w:rsid w:val="00E54669"/>
    <w:rsid w:val="00E54A9F"/>
    <w:rsid w:val="00E54EE7"/>
    <w:rsid w:val="00E55566"/>
    <w:rsid w:val="00E55C70"/>
    <w:rsid w:val="00E55D52"/>
    <w:rsid w:val="00E55E01"/>
    <w:rsid w:val="00E566E0"/>
    <w:rsid w:val="00E575F9"/>
    <w:rsid w:val="00E57A87"/>
    <w:rsid w:val="00E57C07"/>
    <w:rsid w:val="00E600FD"/>
    <w:rsid w:val="00E60189"/>
    <w:rsid w:val="00E60215"/>
    <w:rsid w:val="00E60EA2"/>
    <w:rsid w:val="00E61401"/>
    <w:rsid w:val="00E61B11"/>
    <w:rsid w:val="00E62EBF"/>
    <w:rsid w:val="00E63A80"/>
    <w:rsid w:val="00E65778"/>
    <w:rsid w:val="00E66476"/>
    <w:rsid w:val="00E66810"/>
    <w:rsid w:val="00E67264"/>
    <w:rsid w:val="00E70F4D"/>
    <w:rsid w:val="00E70FD0"/>
    <w:rsid w:val="00E71094"/>
    <w:rsid w:val="00E71BA3"/>
    <w:rsid w:val="00E720C7"/>
    <w:rsid w:val="00E72BE8"/>
    <w:rsid w:val="00E73EFA"/>
    <w:rsid w:val="00E74397"/>
    <w:rsid w:val="00E75174"/>
    <w:rsid w:val="00E75194"/>
    <w:rsid w:val="00E75EAB"/>
    <w:rsid w:val="00E768C3"/>
    <w:rsid w:val="00E76E88"/>
    <w:rsid w:val="00E800C8"/>
    <w:rsid w:val="00E80415"/>
    <w:rsid w:val="00E8050E"/>
    <w:rsid w:val="00E81140"/>
    <w:rsid w:val="00E828F3"/>
    <w:rsid w:val="00E83E9D"/>
    <w:rsid w:val="00E8411E"/>
    <w:rsid w:val="00E841E2"/>
    <w:rsid w:val="00E8684E"/>
    <w:rsid w:val="00E86C29"/>
    <w:rsid w:val="00E86F98"/>
    <w:rsid w:val="00E87422"/>
    <w:rsid w:val="00E875A1"/>
    <w:rsid w:val="00E909B6"/>
    <w:rsid w:val="00E90DA4"/>
    <w:rsid w:val="00E919AF"/>
    <w:rsid w:val="00E919D1"/>
    <w:rsid w:val="00E91BA0"/>
    <w:rsid w:val="00E91D59"/>
    <w:rsid w:val="00E92EFC"/>
    <w:rsid w:val="00E9419A"/>
    <w:rsid w:val="00E941E4"/>
    <w:rsid w:val="00E94BAD"/>
    <w:rsid w:val="00E94E17"/>
    <w:rsid w:val="00E97BFF"/>
    <w:rsid w:val="00EA07F7"/>
    <w:rsid w:val="00EA1317"/>
    <w:rsid w:val="00EA1B53"/>
    <w:rsid w:val="00EA2127"/>
    <w:rsid w:val="00EA4240"/>
    <w:rsid w:val="00EA4A1F"/>
    <w:rsid w:val="00EA5FBB"/>
    <w:rsid w:val="00EA5FCF"/>
    <w:rsid w:val="00EA6124"/>
    <w:rsid w:val="00EA7A06"/>
    <w:rsid w:val="00EA7AAE"/>
    <w:rsid w:val="00EB130A"/>
    <w:rsid w:val="00EB200C"/>
    <w:rsid w:val="00EB2390"/>
    <w:rsid w:val="00EB325C"/>
    <w:rsid w:val="00EB3897"/>
    <w:rsid w:val="00EB38FD"/>
    <w:rsid w:val="00EB424F"/>
    <w:rsid w:val="00EB5D31"/>
    <w:rsid w:val="00EB5DB7"/>
    <w:rsid w:val="00EC0317"/>
    <w:rsid w:val="00EC1402"/>
    <w:rsid w:val="00EC37BC"/>
    <w:rsid w:val="00EC3852"/>
    <w:rsid w:val="00EC3A5C"/>
    <w:rsid w:val="00EC3D10"/>
    <w:rsid w:val="00EC3DAD"/>
    <w:rsid w:val="00EC4F7B"/>
    <w:rsid w:val="00EC7305"/>
    <w:rsid w:val="00EC7D46"/>
    <w:rsid w:val="00EC7EF3"/>
    <w:rsid w:val="00ED04DB"/>
    <w:rsid w:val="00ED07B9"/>
    <w:rsid w:val="00ED2766"/>
    <w:rsid w:val="00ED3666"/>
    <w:rsid w:val="00ED3F77"/>
    <w:rsid w:val="00ED3FD9"/>
    <w:rsid w:val="00ED5F4E"/>
    <w:rsid w:val="00ED7B45"/>
    <w:rsid w:val="00EE0B80"/>
    <w:rsid w:val="00EE114A"/>
    <w:rsid w:val="00EE1725"/>
    <w:rsid w:val="00EE17AC"/>
    <w:rsid w:val="00EE1DA8"/>
    <w:rsid w:val="00EE2B0A"/>
    <w:rsid w:val="00EE3164"/>
    <w:rsid w:val="00EE3351"/>
    <w:rsid w:val="00EE3691"/>
    <w:rsid w:val="00EE3AC2"/>
    <w:rsid w:val="00EE44F5"/>
    <w:rsid w:val="00EE5C3D"/>
    <w:rsid w:val="00EE5CF3"/>
    <w:rsid w:val="00EE71BD"/>
    <w:rsid w:val="00EE7EE7"/>
    <w:rsid w:val="00EF00F1"/>
    <w:rsid w:val="00EF0A70"/>
    <w:rsid w:val="00EF0CC9"/>
    <w:rsid w:val="00EF2C0A"/>
    <w:rsid w:val="00EF3FA4"/>
    <w:rsid w:val="00EF739C"/>
    <w:rsid w:val="00EF7ECB"/>
    <w:rsid w:val="00F007E1"/>
    <w:rsid w:val="00F01CF2"/>
    <w:rsid w:val="00F02D8B"/>
    <w:rsid w:val="00F03958"/>
    <w:rsid w:val="00F05D8E"/>
    <w:rsid w:val="00F05F3D"/>
    <w:rsid w:val="00F065D0"/>
    <w:rsid w:val="00F06851"/>
    <w:rsid w:val="00F068D1"/>
    <w:rsid w:val="00F07F52"/>
    <w:rsid w:val="00F10053"/>
    <w:rsid w:val="00F1442C"/>
    <w:rsid w:val="00F14D62"/>
    <w:rsid w:val="00F14D8E"/>
    <w:rsid w:val="00F14DC2"/>
    <w:rsid w:val="00F15457"/>
    <w:rsid w:val="00F15CC9"/>
    <w:rsid w:val="00F16342"/>
    <w:rsid w:val="00F16451"/>
    <w:rsid w:val="00F208A7"/>
    <w:rsid w:val="00F2114B"/>
    <w:rsid w:val="00F21347"/>
    <w:rsid w:val="00F23DE6"/>
    <w:rsid w:val="00F25E67"/>
    <w:rsid w:val="00F266F2"/>
    <w:rsid w:val="00F27E17"/>
    <w:rsid w:val="00F27FB6"/>
    <w:rsid w:val="00F317A5"/>
    <w:rsid w:val="00F31B69"/>
    <w:rsid w:val="00F3258B"/>
    <w:rsid w:val="00F32851"/>
    <w:rsid w:val="00F333BD"/>
    <w:rsid w:val="00F350C7"/>
    <w:rsid w:val="00F35BE7"/>
    <w:rsid w:val="00F3657B"/>
    <w:rsid w:val="00F369F4"/>
    <w:rsid w:val="00F36B99"/>
    <w:rsid w:val="00F40884"/>
    <w:rsid w:val="00F40ED7"/>
    <w:rsid w:val="00F411D5"/>
    <w:rsid w:val="00F41ED3"/>
    <w:rsid w:val="00F4232F"/>
    <w:rsid w:val="00F42653"/>
    <w:rsid w:val="00F42BF9"/>
    <w:rsid w:val="00F43BC8"/>
    <w:rsid w:val="00F44D95"/>
    <w:rsid w:val="00F45259"/>
    <w:rsid w:val="00F45CFF"/>
    <w:rsid w:val="00F460E9"/>
    <w:rsid w:val="00F46983"/>
    <w:rsid w:val="00F473FB"/>
    <w:rsid w:val="00F503EE"/>
    <w:rsid w:val="00F507E3"/>
    <w:rsid w:val="00F510B4"/>
    <w:rsid w:val="00F52278"/>
    <w:rsid w:val="00F52BFE"/>
    <w:rsid w:val="00F52F8B"/>
    <w:rsid w:val="00F5379F"/>
    <w:rsid w:val="00F53CEC"/>
    <w:rsid w:val="00F54269"/>
    <w:rsid w:val="00F55470"/>
    <w:rsid w:val="00F5550F"/>
    <w:rsid w:val="00F559D3"/>
    <w:rsid w:val="00F56CF3"/>
    <w:rsid w:val="00F57189"/>
    <w:rsid w:val="00F60377"/>
    <w:rsid w:val="00F60CCB"/>
    <w:rsid w:val="00F61275"/>
    <w:rsid w:val="00F6142C"/>
    <w:rsid w:val="00F6156C"/>
    <w:rsid w:val="00F638F1"/>
    <w:rsid w:val="00F63B09"/>
    <w:rsid w:val="00F6496F"/>
    <w:rsid w:val="00F64E76"/>
    <w:rsid w:val="00F659BF"/>
    <w:rsid w:val="00F66D82"/>
    <w:rsid w:val="00F67F8A"/>
    <w:rsid w:val="00F67FF6"/>
    <w:rsid w:val="00F71614"/>
    <w:rsid w:val="00F723BE"/>
    <w:rsid w:val="00F72879"/>
    <w:rsid w:val="00F73019"/>
    <w:rsid w:val="00F732F1"/>
    <w:rsid w:val="00F74121"/>
    <w:rsid w:val="00F74166"/>
    <w:rsid w:val="00F74848"/>
    <w:rsid w:val="00F751FC"/>
    <w:rsid w:val="00F765B7"/>
    <w:rsid w:val="00F76B59"/>
    <w:rsid w:val="00F7749D"/>
    <w:rsid w:val="00F80241"/>
    <w:rsid w:val="00F83639"/>
    <w:rsid w:val="00F8399E"/>
    <w:rsid w:val="00F850E3"/>
    <w:rsid w:val="00F8581D"/>
    <w:rsid w:val="00F85A65"/>
    <w:rsid w:val="00F85BC1"/>
    <w:rsid w:val="00F86AF9"/>
    <w:rsid w:val="00F874EC"/>
    <w:rsid w:val="00F8779B"/>
    <w:rsid w:val="00F90796"/>
    <w:rsid w:val="00F90968"/>
    <w:rsid w:val="00F9167F"/>
    <w:rsid w:val="00F92144"/>
    <w:rsid w:val="00F92909"/>
    <w:rsid w:val="00F92BA5"/>
    <w:rsid w:val="00F93DFE"/>
    <w:rsid w:val="00F93F11"/>
    <w:rsid w:val="00F9506E"/>
    <w:rsid w:val="00F951FE"/>
    <w:rsid w:val="00F95C67"/>
    <w:rsid w:val="00F96EF0"/>
    <w:rsid w:val="00F97534"/>
    <w:rsid w:val="00F97934"/>
    <w:rsid w:val="00FA06BA"/>
    <w:rsid w:val="00FA0F13"/>
    <w:rsid w:val="00FA15CC"/>
    <w:rsid w:val="00FA1EF6"/>
    <w:rsid w:val="00FA2684"/>
    <w:rsid w:val="00FA2FBE"/>
    <w:rsid w:val="00FA3135"/>
    <w:rsid w:val="00FA3724"/>
    <w:rsid w:val="00FA4017"/>
    <w:rsid w:val="00FA5CA7"/>
    <w:rsid w:val="00FA645F"/>
    <w:rsid w:val="00FA665A"/>
    <w:rsid w:val="00FA77B7"/>
    <w:rsid w:val="00FA7984"/>
    <w:rsid w:val="00FB051C"/>
    <w:rsid w:val="00FB06E7"/>
    <w:rsid w:val="00FB0AEA"/>
    <w:rsid w:val="00FB1B13"/>
    <w:rsid w:val="00FB2FB2"/>
    <w:rsid w:val="00FB41B7"/>
    <w:rsid w:val="00FB701C"/>
    <w:rsid w:val="00FC0C3E"/>
    <w:rsid w:val="00FC0D49"/>
    <w:rsid w:val="00FC18FD"/>
    <w:rsid w:val="00FC1998"/>
    <w:rsid w:val="00FC2C18"/>
    <w:rsid w:val="00FC3181"/>
    <w:rsid w:val="00FC43DD"/>
    <w:rsid w:val="00FC4A7A"/>
    <w:rsid w:val="00FC5006"/>
    <w:rsid w:val="00FC66C6"/>
    <w:rsid w:val="00FC67EF"/>
    <w:rsid w:val="00FC68C6"/>
    <w:rsid w:val="00FC6953"/>
    <w:rsid w:val="00FC6F2F"/>
    <w:rsid w:val="00FC7D35"/>
    <w:rsid w:val="00FD0968"/>
    <w:rsid w:val="00FD1A9E"/>
    <w:rsid w:val="00FD2F39"/>
    <w:rsid w:val="00FD3BA0"/>
    <w:rsid w:val="00FD3E8A"/>
    <w:rsid w:val="00FE0BA3"/>
    <w:rsid w:val="00FE2093"/>
    <w:rsid w:val="00FE2107"/>
    <w:rsid w:val="00FE36CA"/>
    <w:rsid w:val="00FE3B73"/>
    <w:rsid w:val="00FE4EBD"/>
    <w:rsid w:val="00FE56B4"/>
    <w:rsid w:val="00FE56BE"/>
    <w:rsid w:val="00FF0512"/>
    <w:rsid w:val="00FF0929"/>
    <w:rsid w:val="00FF0DB9"/>
    <w:rsid w:val="00FF3A63"/>
    <w:rsid w:val="00FF60F9"/>
    <w:rsid w:val="00FF6C03"/>
    <w:rsid w:val="0108333F"/>
    <w:rsid w:val="03343D40"/>
    <w:rsid w:val="042C4A18"/>
    <w:rsid w:val="064C7E3B"/>
    <w:rsid w:val="08B374B6"/>
    <w:rsid w:val="0A7333A0"/>
    <w:rsid w:val="0B026807"/>
    <w:rsid w:val="0CA830A9"/>
    <w:rsid w:val="0CD43E9E"/>
    <w:rsid w:val="0D555499"/>
    <w:rsid w:val="0E99714E"/>
    <w:rsid w:val="0F490B74"/>
    <w:rsid w:val="10FB7623"/>
    <w:rsid w:val="12380A2C"/>
    <w:rsid w:val="13D053C0"/>
    <w:rsid w:val="14AB7BDB"/>
    <w:rsid w:val="173966D4"/>
    <w:rsid w:val="180C0990"/>
    <w:rsid w:val="19DE635C"/>
    <w:rsid w:val="1A8E1B30"/>
    <w:rsid w:val="1C24719B"/>
    <w:rsid w:val="1CC7132A"/>
    <w:rsid w:val="22123EEE"/>
    <w:rsid w:val="22D90638"/>
    <w:rsid w:val="22E626D7"/>
    <w:rsid w:val="24BB1774"/>
    <w:rsid w:val="26D12BD3"/>
    <w:rsid w:val="27433CA3"/>
    <w:rsid w:val="2AAD7DB1"/>
    <w:rsid w:val="2D460576"/>
    <w:rsid w:val="2F10090E"/>
    <w:rsid w:val="2F77557C"/>
    <w:rsid w:val="328E04C8"/>
    <w:rsid w:val="33136C1F"/>
    <w:rsid w:val="34174E78"/>
    <w:rsid w:val="35496456"/>
    <w:rsid w:val="3AEF7F72"/>
    <w:rsid w:val="3D8E5820"/>
    <w:rsid w:val="410858E9"/>
    <w:rsid w:val="431A0ED5"/>
    <w:rsid w:val="431E13F4"/>
    <w:rsid w:val="43615785"/>
    <w:rsid w:val="436D4864"/>
    <w:rsid w:val="45F96148"/>
    <w:rsid w:val="48D5726B"/>
    <w:rsid w:val="48EB7FCA"/>
    <w:rsid w:val="4A963F66"/>
    <w:rsid w:val="4BFB7462"/>
    <w:rsid w:val="4C7958ED"/>
    <w:rsid w:val="4C87000A"/>
    <w:rsid w:val="4CA26BF2"/>
    <w:rsid w:val="4CB30DFF"/>
    <w:rsid w:val="4CBE6530"/>
    <w:rsid w:val="4D221AE1"/>
    <w:rsid w:val="4E3F66C2"/>
    <w:rsid w:val="51124D4A"/>
    <w:rsid w:val="538E6122"/>
    <w:rsid w:val="55564C1E"/>
    <w:rsid w:val="55CE6CAA"/>
    <w:rsid w:val="566413BC"/>
    <w:rsid w:val="56D127DB"/>
    <w:rsid w:val="57B80297"/>
    <w:rsid w:val="57CD06DA"/>
    <w:rsid w:val="58692CBA"/>
    <w:rsid w:val="588C69A8"/>
    <w:rsid w:val="59DB66FC"/>
    <w:rsid w:val="5A6E0A5B"/>
    <w:rsid w:val="5BC30933"/>
    <w:rsid w:val="5BE52AAD"/>
    <w:rsid w:val="5C425CFC"/>
    <w:rsid w:val="5C6B34A4"/>
    <w:rsid w:val="5CB62246"/>
    <w:rsid w:val="5D3D64C3"/>
    <w:rsid w:val="5D5A7075"/>
    <w:rsid w:val="5DF254FF"/>
    <w:rsid w:val="6085265B"/>
    <w:rsid w:val="60EE0200"/>
    <w:rsid w:val="6186668A"/>
    <w:rsid w:val="65E63B9C"/>
    <w:rsid w:val="66A81924"/>
    <w:rsid w:val="67AC671F"/>
    <w:rsid w:val="67C6300C"/>
    <w:rsid w:val="68262975"/>
    <w:rsid w:val="687E455F"/>
    <w:rsid w:val="6A242EE4"/>
    <w:rsid w:val="6A570BC4"/>
    <w:rsid w:val="6AB37DC4"/>
    <w:rsid w:val="6C262F44"/>
    <w:rsid w:val="6D3C0545"/>
    <w:rsid w:val="6E041063"/>
    <w:rsid w:val="6F571666"/>
    <w:rsid w:val="73151EA7"/>
    <w:rsid w:val="7395275D"/>
    <w:rsid w:val="739F15D9"/>
    <w:rsid w:val="740B7B16"/>
    <w:rsid w:val="75501031"/>
    <w:rsid w:val="763B5AF8"/>
    <w:rsid w:val="77132317"/>
    <w:rsid w:val="789D27E0"/>
    <w:rsid w:val="7A100D8F"/>
    <w:rsid w:val="7BA7127F"/>
    <w:rsid w:val="7C66113B"/>
    <w:rsid w:val="7D8A0E59"/>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35E28F9"/>
  <w15:docId w15:val="{CE8DC355-EA8C-4B21-874D-33FBC87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qFormat="1"/>
    <w:lsdException w:name="footer" w:semiHidden="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kern w:val="2"/>
      <w:sz w:val="21"/>
      <w:szCs w:val="24"/>
    </w:rPr>
  </w:style>
  <w:style w:type="paragraph" w:styleId="1">
    <w:name w:val="heading 1"/>
    <w:basedOn w:val="a1"/>
    <w:next w:val="a1"/>
    <w:link w:val="10"/>
    <w:uiPriority w:val="9"/>
    <w:qFormat/>
    <w:pPr>
      <w:keepNext/>
      <w:keepLines/>
      <w:spacing w:before="340" w:after="330" w:line="578" w:lineRule="atLeast"/>
      <w:ind w:left="420"/>
      <w:outlineLvl w:val="0"/>
    </w:pPr>
    <w:rPr>
      <w:rFonts w:ascii="Calibri" w:hAnsi="Calibri"/>
      <w:b/>
      <w:bCs/>
      <w:kern w:val="44"/>
      <w:sz w:val="44"/>
      <w:szCs w:val="44"/>
    </w:rPr>
  </w:style>
  <w:style w:type="paragraph" w:styleId="2">
    <w:name w:val="heading 2"/>
    <w:basedOn w:val="a1"/>
    <w:next w:val="a1"/>
    <w:qFormat/>
    <w:pPr>
      <w:keepNext/>
      <w:keepLines/>
      <w:spacing w:before="260" w:after="260" w:line="416" w:lineRule="auto"/>
      <w:outlineLvl w:val="1"/>
    </w:pPr>
    <w:rPr>
      <w:rFonts w:ascii="Arial" w:eastAsia="黑体" w:hAnsi="Arial"/>
      <w:b/>
      <w:bCs/>
      <w:sz w:val="32"/>
      <w:szCs w:val="32"/>
    </w:rPr>
  </w:style>
  <w:style w:type="paragraph" w:styleId="3">
    <w:name w:val="heading 3"/>
    <w:basedOn w:val="a1"/>
    <w:next w:val="a1"/>
    <w:uiPriority w:val="9"/>
    <w:qFormat/>
    <w:pPr>
      <w:spacing w:before="100" w:beforeAutospacing="1" w:after="100" w:afterAutospacing="1"/>
      <w:jc w:val="left"/>
      <w:outlineLvl w:val="2"/>
    </w:pPr>
    <w:rPr>
      <w:rFonts w:ascii="宋体" w:hAnsi="宋体" w:hint="eastAsia"/>
      <w:b/>
      <w:bCs/>
      <w:kern w:val="0"/>
      <w:sz w:val="27"/>
      <w:szCs w:val="2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qFormat/>
    <w:rPr>
      <w:rFonts w:ascii="宋体" w:hAnsi="Courier New" w:cs="Courier New"/>
      <w:szCs w:val="21"/>
    </w:rPr>
  </w:style>
  <w:style w:type="paragraph" w:styleId="a7">
    <w:name w:val="footer"/>
    <w:basedOn w:val="a1"/>
    <w:link w:val="a8"/>
    <w:uiPriority w:val="99"/>
    <w:qFormat/>
    <w:pPr>
      <w:tabs>
        <w:tab w:val="center" w:pos="4153"/>
        <w:tab w:val="right" w:pos="8306"/>
      </w:tabs>
      <w:snapToGrid w:val="0"/>
      <w:jc w:val="left"/>
    </w:pPr>
    <w:rPr>
      <w:sz w:val="18"/>
      <w:szCs w:val="18"/>
    </w:rPr>
  </w:style>
  <w:style w:type="paragraph" w:styleId="a9">
    <w:name w:val="header"/>
    <w:basedOn w:val="a1"/>
    <w:semiHidden/>
    <w:qFormat/>
    <w:pPr>
      <w:pBdr>
        <w:bottom w:val="single" w:sz="6" w:space="1" w:color="auto"/>
      </w:pBdr>
      <w:tabs>
        <w:tab w:val="center" w:pos="4153"/>
        <w:tab w:val="right" w:pos="8306"/>
      </w:tabs>
      <w:snapToGrid w:val="0"/>
      <w:jc w:val="center"/>
    </w:pPr>
    <w:rPr>
      <w:sz w:val="18"/>
      <w:szCs w:val="18"/>
    </w:rPr>
  </w:style>
  <w:style w:type="paragraph" w:styleId="aa">
    <w:name w:val="Normal (Web)"/>
    <w:basedOn w:val="a1"/>
    <w:uiPriority w:val="99"/>
    <w:unhideWhenUsed/>
    <w:qFormat/>
    <w:pPr>
      <w:spacing w:before="100" w:beforeAutospacing="1" w:after="100" w:afterAutospacing="1"/>
      <w:jc w:val="left"/>
    </w:pPr>
    <w:rPr>
      <w:kern w:val="0"/>
      <w:sz w:val="24"/>
    </w:rPr>
  </w:style>
  <w:style w:type="table" w:styleId="ab">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semiHidden/>
    <w:qFormat/>
  </w:style>
  <w:style w:type="character" w:styleId="ad">
    <w:name w:val="Hyperlink"/>
    <w:uiPriority w:val="99"/>
    <w:unhideWhenUsed/>
    <w:qFormat/>
    <w:rPr>
      <w:color w:val="0000FF"/>
      <w:u w:val="single"/>
    </w:rPr>
  </w:style>
  <w:style w:type="character" w:customStyle="1" w:styleId="10">
    <w:name w:val="标题 1 字符"/>
    <w:link w:val="1"/>
    <w:uiPriority w:val="9"/>
    <w:qFormat/>
    <w:rPr>
      <w:rFonts w:ascii="Calibri" w:hAnsi="Calibri"/>
      <w:b/>
      <w:bCs/>
      <w:kern w:val="44"/>
      <w:sz w:val="44"/>
      <w:szCs w:val="44"/>
    </w:rPr>
  </w:style>
  <w:style w:type="character" w:customStyle="1" w:styleId="a6">
    <w:name w:val="纯文本 字符"/>
    <w:link w:val="a5"/>
    <w:qFormat/>
    <w:rPr>
      <w:rFonts w:ascii="宋体" w:hAnsi="Courier New" w:cs="Courier New"/>
      <w:kern w:val="2"/>
      <w:sz w:val="21"/>
      <w:szCs w:val="21"/>
    </w:rPr>
  </w:style>
  <w:style w:type="paragraph" w:styleId="ae">
    <w:name w:val="List Paragraph"/>
    <w:basedOn w:val="a1"/>
    <w:uiPriority w:val="34"/>
    <w:qFormat/>
    <w:pPr>
      <w:ind w:firstLineChars="200" w:firstLine="420"/>
    </w:pPr>
    <w:rPr>
      <w:rFonts w:ascii="Calibri" w:hAnsi="Calibri"/>
      <w:szCs w:val="22"/>
    </w:rPr>
  </w:style>
  <w:style w:type="paragraph" w:customStyle="1" w:styleId="a0">
    <w:name w:val="标准文件_正文图标题"/>
    <w:next w:val="a1"/>
    <w:uiPriority w:val="99"/>
    <w:qFormat/>
    <w:pPr>
      <w:numPr>
        <w:numId w:val="1"/>
      </w:numPr>
      <w:jc w:val="center"/>
    </w:pPr>
    <w:rPr>
      <w:rFonts w:ascii="黑体" w:eastAsia="黑体"/>
      <w:sz w:val="21"/>
    </w:rPr>
  </w:style>
  <w:style w:type="paragraph" w:customStyle="1" w:styleId="af">
    <w:name w:val="样式 标准文件_正文图标题 + +中文正文"/>
    <w:basedOn w:val="a0"/>
    <w:uiPriority w:val="99"/>
    <w:qFormat/>
    <w:pPr>
      <w:spacing w:beforeLines="25" w:afterLines="50" w:line="300" w:lineRule="auto"/>
    </w:pPr>
    <w:rPr>
      <w:rFonts w:ascii="Times New Roman"/>
    </w:rPr>
  </w:style>
  <w:style w:type="paragraph" w:customStyle="1" w:styleId="a">
    <w:name w:val="标准文件_一级条标题"/>
    <w:basedOn w:val="a1"/>
    <w:next w:val="a1"/>
    <w:qFormat/>
    <w:pPr>
      <w:widowControl/>
      <w:numPr>
        <w:ilvl w:val="2"/>
        <w:numId w:val="2"/>
      </w:numPr>
      <w:ind w:rightChars="-50" w:right="-50"/>
      <w:outlineLvl w:val="2"/>
    </w:pPr>
    <w:rPr>
      <w:rFonts w:ascii="黑体" w:eastAsia="黑体"/>
      <w:spacing w:val="2"/>
      <w:kern w:val="0"/>
      <w:szCs w:val="20"/>
    </w:rPr>
  </w:style>
  <w:style w:type="character" w:customStyle="1" w:styleId="trans">
    <w:name w:val="trans"/>
    <w:qFormat/>
  </w:style>
  <w:style w:type="paragraph" w:customStyle="1" w:styleId="af0">
    <w:name w:val="段"/>
    <w:qFormat/>
    <w:pPr>
      <w:autoSpaceDE w:val="0"/>
      <w:autoSpaceDN w:val="0"/>
      <w:ind w:firstLineChars="200" w:firstLine="200"/>
      <w:jc w:val="both"/>
    </w:pPr>
    <w:rPr>
      <w:rFonts w:ascii="宋体" w:eastAsia="Times New Roman"/>
      <w:sz w:val="21"/>
    </w:rPr>
  </w:style>
  <w:style w:type="paragraph" w:styleId="af1">
    <w:name w:val="Revision"/>
    <w:hidden/>
    <w:uiPriority w:val="99"/>
    <w:unhideWhenUsed/>
    <w:rsid w:val="008D1702"/>
    <w:rPr>
      <w:kern w:val="2"/>
      <w:sz w:val="21"/>
      <w:szCs w:val="24"/>
    </w:rPr>
  </w:style>
  <w:style w:type="character" w:customStyle="1" w:styleId="a8">
    <w:name w:val="页脚 字符"/>
    <w:basedOn w:val="a2"/>
    <w:link w:val="a7"/>
    <w:uiPriority w:val="99"/>
    <w:rsid w:val="00490C9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aidu.com/link?url=bOLAUgvvqh_rdetlUcyZ3WDv7owDgW9uLQCO4FcgLu_rRkFxa3yUjV7b608ca5I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755</Words>
  <Characters>4308</Characters>
  <Application>Microsoft Office Word</Application>
  <DocSecurity>0</DocSecurity>
  <Lines>35</Lines>
  <Paragraphs>10</Paragraphs>
  <ScaleCrop>false</ScaleCrop>
  <Company>cimm</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压力传感器动态校准</dc:title>
  <dc:creator>moon</dc:creator>
  <cp:lastModifiedBy>lijun zhao</cp:lastModifiedBy>
  <cp:revision>3735</cp:revision>
  <cp:lastPrinted>2004-11-02T01:30:00Z</cp:lastPrinted>
  <dcterms:created xsi:type="dcterms:W3CDTF">2023-03-20T05:33:00Z</dcterms:created>
  <dcterms:modified xsi:type="dcterms:W3CDTF">2023-11-13T01:15:00Z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013E69C0E3E944ECBCC1314C89376553</vt:lpwstr>
  </property>
</Properties>
</file>