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adjustRightInd w:val="0"/>
        <w:snapToGrid w:val="0"/>
        <w:ind w:left="18070" w:hanging="18070" w:hangingChars="2500"/>
        <w:jc w:val="right"/>
        <w:rPr>
          <w:rFonts w:ascii="黑体" w:hAnsi="黑体" w:eastAsia="黑体" w:cs="Times New Roman"/>
          <w:b/>
          <w:sz w:val="72"/>
          <w:szCs w:val="72"/>
        </w:rPr>
      </w:pPr>
      <w:bookmarkStart w:id="0" w:name="_Toc262743956"/>
      <w:r>
        <w:rPr>
          <w:rFonts w:hint="eastAsia" w:ascii="黑体" w:hAnsi="黑体" w:eastAsia="黑体" w:cs="Times New Roman"/>
          <w:b/>
          <w:sz w:val="72"/>
          <w:szCs w:val="72"/>
        </w:rPr>
        <w:t>JJF</w:t>
      </w:r>
    </w:p>
    <w:p>
      <w:pPr>
        <w:adjustRightInd w:val="0"/>
        <w:snapToGrid w:val="0"/>
        <w:spacing w:line="360" w:lineRule="auto"/>
        <w:ind w:left="-424" w:leftChars="-202" w:right="-191" w:rightChars="-91"/>
        <w:jc w:val="center"/>
        <w:rPr>
          <w:rFonts w:ascii="Times New Roman" w:hAnsi="Times New Roman" w:cs="Times New Roman"/>
          <w:b/>
          <w:spacing w:val="-20"/>
          <w:w w:val="120"/>
          <w:sz w:val="52"/>
          <w:szCs w:val="52"/>
        </w:rPr>
      </w:pPr>
      <w:r>
        <w:rPr>
          <w:rFonts w:ascii="Times New Roman" w:hAnsi="Times New Roman" w:cs="Times New Roman"/>
          <w:b/>
          <w:spacing w:val="-20"/>
          <w:w w:val="120"/>
          <w:sz w:val="52"/>
          <w:szCs w:val="52"/>
        </w:rPr>
        <w:t>中华人民共和国国家计量技术规范</w:t>
      </w:r>
    </w:p>
    <w:p>
      <w:pPr>
        <w:adjustRightInd w:val="0"/>
        <w:snapToGrid w:val="0"/>
        <w:spacing w:line="360" w:lineRule="auto"/>
        <w:jc w:val="center"/>
        <w:rPr>
          <w:rFonts w:ascii="黑体" w:hAnsi="黑体" w:eastAsia="黑体" w:cs="Times New Roman"/>
          <w:sz w:val="28"/>
          <w:szCs w:val="28"/>
        </w:rPr>
      </w:pPr>
      <w:r>
        <w:rPr>
          <w:rFonts w:hint="eastAsia" w:cs="Times New Roman" w:asciiTheme="minorEastAsia" w:hAnsiTheme="minorEastAsia"/>
          <w:b/>
          <w:sz w:val="28"/>
          <w:szCs w:val="28"/>
        </w:rPr>
        <w:t xml:space="preserve">                               </w:t>
      </w:r>
      <w:r>
        <w:rPr>
          <w:rFonts w:ascii="黑体" w:hAnsi="黑体" w:eastAsia="黑体" w:cs="Times New Roman"/>
          <w:sz w:val="28"/>
          <w:szCs w:val="28"/>
        </w:rPr>
        <w:t>JJ</w:t>
      </w:r>
      <w:r>
        <w:rPr>
          <w:rFonts w:hint="eastAsia" w:ascii="黑体" w:hAnsi="黑体" w:eastAsia="黑体" w:cs="Times New Roman"/>
          <w:sz w:val="28"/>
          <w:szCs w:val="28"/>
        </w:rPr>
        <w:t>F</w:t>
      </w:r>
      <w:r>
        <w:rPr>
          <w:rFonts w:ascii="黑体" w:hAnsi="黑体" w:eastAsia="黑体" w:cs="Times New Roman"/>
          <w:sz w:val="28"/>
          <w:szCs w:val="28"/>
        </w:rPr>
        <w:t xml:space="preserve"> XXX—XXXX</w:t>
      </w:r>
    </w:p>
    <w:p>
      <w:pPr>
        <w:adjustRightInd w:val="0"/>
        <w:snapToGrid w:val="0"/>
        <w:spacing w:line="360" w:lineRule="auto"/>
        <w:jc w:val="center"/>
        <w:rPr>
          <w:rFonts w:ascii="Times New Roman" w:hAnsi="Times New Roman" w:cs="Times New Roman"/>
          <w:b/>
          <w:szCs w:val="21"/>
        </w:rPr>
      </w:pPr>
      <w:r>
        <w:rPr>
          <w:rFonts w:ascii="Times New Roman" w:hAnsi="Times New Roman" w:cs="Times New Roman"/>
          <w:b/>
          <w:szCs w:val="21"/>
        </w:rPr>
        <w:pict>
          <v:line id="_x0000_s1026" o:spid="_x0000_s1026" o:spt="20" style="position:absolute;left:0pt;margin-left:-18.1pt;margin-top:6.7pt;height:0pt;width:445.2pt;z-index:251659264;mso-width-relative:page;mso-height-relative:page;" coordsize="21600,21600" o:gfxdata="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uoe7KNYAAAAJ&#10;AQAADwAAAAAAAAABACAAAAAiAAAAZHJzL2Rvd25yZXYueG1sUEsBAhQAFAAAAAgAh07iQMLeRrnl&#10;AQAAuQMAAA4AAAAAAAAAAQAgAAAAJQEAAGRycy9lMm9Eb2MueG1sUEsFBgAAAAAGAAYAWQEAAHwF&#10;AAAAAA==&#10;">
            <v:path arrowok="t"/>
            <v:fill focussize="0,0"/>
            <v:stroke weight="1.5pt"/>
            <v:imagedata o:title=""/>
            <o:lock v:ext="edit"/>
          </v:line>
        </w:pict>
      </w: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tabs>
          <w:tab w:val="left" w:pos="1117"/>
          <w:tab w:val="center" w:pos="4156"/>
        </w:tabs>
        <w:adjustRightInd w:val="0"/>
        <w:snapToGrid w:val="0"/>
        <w:spacing w:line="360" w:lineRule="auto"/>
        <w:jc w:val="left"/>
        <w:rPr>
          <w:rFonts w:ascii="Times New Roman" w:hAnsi="Times New Roman" w:eastAsia="黑体" w:cs="Times New Roman"/>
          <w:sz w:val="52"/>
          <w:szCs w:val="52"/>
        </w:rPr>
      </w:pPr>
      <w:r>
        <w:rPr>
          <w:rFonts w:ascii="Times New Roman" w:hAnsi="Times New Roman" w:eastAsia="黑体" w:cs="Times New Roman"/>
          <w:sz w:val="52"/>
          <w:szCs w:val="52"/>
        </w:rPr>
        <w:tab/>
      </w:r>
      <w:r>
        <w:rPr>
          <w:rFonts w:ascii="Times New Roman" w:hAnsi="Times New Roman" w:eastAsia="黑体" w:cs="Times New Roman"/>
          <w:sz w:val="52"/>
          <w:szCs w:val="52"/>
        </w:rPr>
        <w:tab/>
      </w:r>
      <w:r>
        <w:rPr>
          <w:rFonts w:hint="eastAsia" w:ascii="Times New Roman" w:hAnsi="Times New Roman" w:eastAsia="黑体" w:cs="Times New Roman"/>
          <w:sz w:val="52"/>
          <w:szCs w:val="52"/>
        </w:rPr>
        <w:t>机械计数式海洋浮游生物</w:t>
      </w:r>
    </w:p>
    <w:p>
      <w:pPr>
        <w:adjustRightInd w:val="0"/>
        <w:snapToGrid w:val="0"/>
        <w:spacing w:line="360" w:lineRule="auto"/>
        <w:jc w:val="center"/>
        <w:rPr>
          <w:rFonts w:ascii="黑体" w:hAnsi="黑体" w:eastAsia="黑体" w:cs="Times New Roman"/>
          <w:sz w:val="52"/>
          <w:szCs w:val="52"/>
        </w:rPr>
      </w:pPr>
      <w:r>
        <w:rPr>
          <w:rFonts w:hint="eastAsia" w:ascii="Times New Roman" w:hAnsi="Times New Roman" w:eastAsia="黑体" w:cs="Times New Roman"/>
          <w:sz w:val="52"/>
          <w:szCs w:val="52"/>
        </w:rPr>
        <w:t>网口流量计校准规范</w:t>
      </w:r>
    </w:p>
    <w:p>
      <w:pPr>
        <w:adjustRightInd w:val="0"/>
        <w:snapToGrid w:val="0"/>
        <w:spacing w:line="360" w:lineRule="auto"/>
        <w:jc w:val="center"/>
        <w:rPr>
          <w:rFonts w:ascii="黑体" w:hAnsi="黑体" w:eastAsia="黑体" w:cs="Times New Roman"/>
          <w:sz w:val="28"/>
          <w:szCs w:val="28"/>
        </w:rPr>
      </w:pPr>
      <w:r>
        <w:rPr>
          <w:rFonts w:ascii="黑体" w:hAnsi="黑体" w:eastAsia="黑体" w:cs="Times New Roman"/>
          <w:sz w:val="28"/>
          <w:szCs w:val="28"/>
        </w:rPr>
        <w:t xml:space="preserve"> </w:t>
      </w:r>
      <w:r>
        <w:rPr>
          <w:rFonts w:hint="eastAsia" w:ascii="黑体" w:hAnsi="黑体" w:eastAsia="黑体" w:cs="Times New Roman"/>
          <w:sz w:val="28"/>
          <w:szCs w:val="28"/>
        </w:rPr>
        <w:t xml:space="preserve"> Calibration Specification for Mechanical Counting Marine Plankton Flow Meter</w:t>
      </w:r>
    </w:p>
    <w:p>
      <w:pPr>
        <w:adjustRightInd w:val="0"/>
        <w:snapToGrid w:val="0"/>
        <w:spacing w:line="360" w:lineRule="auto"/>
        <w:jc w:val="center"/>
        <w:rPr>
          <w:rFonts w:ascii="Times New Roman" w:hAnsi="Times New Roman" w:cs="Times New Roman"/>
          <w:b/>
          <w:sz w:val="28"/>
          <w:szCs w:val="21"/>
        </w:rPr>
      </w:pPr>
      <w:r>
        <w:rPr>
          <w:rFonts w:ascii="Times New Roman" w:hAnsi="Times New Roman" w:cs="Times New Roman"/>
          <w:b/>
          <w:sz w:val="28"/>
          <w:szCs w:val="21"/>
        </w:rPr>
        <w:t>（</w:t>
      </w:r>
      <w:r>
        <w:rPr>
          <w:rFonts w:hint="eastAsia" w:ascii="Times New Roman" w:hAnsi="Times New Roman" w:cs="Times New Roman"/>
          <w:b/>
          <w:sz w:val="28"/>
          <w:szCs w:val="21"/>
        </w:rPr>
        <w:t>征求意见</w:t>
      </w:r>
      <w:r>
        <w:rPr>
          <w:rFonts w:ascii="Times New Roman" w:hAnsi="Times New Roman" w:cs="Times New Roman"/>
          <w:b/>
          <w:sz w:val="28"/>
          <w:szCs w:val="21"/>
        </w:rPr>
        <w:t>稿）</w:t>
      </w: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rPr>
          <w:rFonts w:ascii="Times New Roman" w:hAnsi="Times New Roman" w:cs="Times New Roman"/>
          <w:b/>
          <w:sz w:val="30"/>
          <w:szCs w:val="21"/>
        </w:rPr>
      </w:pPr>
    </w:p>
    <w:p>
      <w:pPr>
        <w:adjustRightInd w:val="0"/>
        <w:snapToGrid w:val="0"/>
        <w:spacing w:line="360" w:lineRule="auto"/>
        <w:jc w:val="center"/>
        <w:rPr>
          <w:rFonts w:ascii="黑体" w:hAnsi="黑体" w:eastAsia="黑体" w:cs="Times New Roman"/>
          <w:sz w:val="28"/>
          <w:szCs w:val="28"/>
        </w:rPr>
      </w:pPr>
      <w:r>
        <w:rPr>
          <w:rFonts w:ascii="黑体" w:hAnsi="黑体" w:eastAsia="黑体" w:cs="Times New Roman"/>
          <w:b/>
          <w:sz w:val="30"/>
          <w:szCs w:val="21"/>
        </w:rPr>
        <w:pict>
          <v:line id="_x0000_s1029" o:spid="_x0000_s1029" o:spt="20" style="position:absolute;left:0pt;flip:y;margin-top:22.95pt;height:0.6pt;width:446.05pt;mso-position-horizontal:center;z-index:251660288;mso-width-relative:page;mso-height-relative:page;" coordsize="21600,21600" o:gfxdata="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Jfx7NUAAAAGAQAADwAAAAAAAAABACAAAAAiAAAAZHJzL2Rvd25yZXYueG1sUEsBAhQA&#10;FAAAAAgAh07iQE7w+DX1AQAAxgMAAA4AAAAAAAAAAQAgAAAAJAEAAGRycy9lMm9Eb2MueG1sUEsF&#10;BgAAAAAGAAYAWQEAAIsFAAAAAA==&#10;">
            <v:path arrowok="t"/>
            <v:fill focussize="0,0"/>
            <v:stroke weight="1.25pt"/>
            <v:imagedata o:title=""/>
            <o:lock v:ext="edit"/>
          </v:line>
        </w:pict>
      </w:r>
      <w:r>
        <w:rPr>
          <w:rFonts w:hint="eastAsia" w:ascii="黑体" w:hAnsi="黑体" w:eastAsia="黑体" w:cs="Times New Roman"/>
          <w:sz w:val="28"/>
          <w:szCs w:val="28"/>
        </w:rPr>
        <w:t>XXX</w:t>
      </w:r>
      <w:r>
        <w:rPr>
          <w:rFonts w:ascii="黑体" w:hAnsi="黑体" w:eastAsia="黑体" w:cs="Times New Roman"/>
          <w:sz w:val="28"/>
          <w:szCs w:val="28"/>
        </w:rPr>
        <w:t xml:space="preserve">X-XX-XX发布                          </w:t>
      </w:r>
      <w:r>
        <w:rPr>
          <w:rFonts w:hint="eastAsia" w:ascii="黑体" w:hAnsi="黑体" w:eastAsia="黑体" w:cs="Times New Roman"/>
          <w:sz w:val="28"/>
          <w:szCs w:val="28"/>
        </w:rPr>
        <w:t>XXX</w:t>
      </w:r>
      <w:r>
        <w:rPr>
          <w:rFonts w:ascii="黑体" w:hAnsi="黑体" w:eastAsia="黑体" w:cs="Times New Roman"/>
          <w:sz w:val="28"/>
          <w:szCs w:val="28"/>
        </w:rPr>
        <w:t>X-XX-XX实施</w:t>
      </w:r>
    </w:p>
    <w:p>
      <w:pPr>
        <w:jc w:val="center"/>
        <w:rPr>
          <w:rFonts w:ascii="黑体" w:hAnsi="黑体" w:eastAsia="黑体" w:cs="Times New Roman"/>
          <w:spacing w:val="60"/>
          <w:kern w:val="6"/>
          <w:sz w:val="28"/>
          <w:szCs w:val="28"/>
        </w:rPr>
      </w:pPr>
      <w:r>
        <w:rPr>
          <w:rFonts w:ascii="Times New Roman" w:hAnsi="Times New Roman" w:cs="Times New Roman"/>
          <w:b/>
          <w:w w:val="120"/>
          <w:sz w:val="36"/>
          <w:szCs w:val="36"/>
        </w:rPr>
        <w:t>国家市场监督管理总局</w:t>
      </w:r>
      <w:r>
        <w:rPr>
          <w:rFonts w:hint="eastAsia" w:ascii="Times New Roman" w:hAnsi="Times New Roman" w:cs="Times New Roman"/>
          <w:b/>
          <w:sz w:val="44"/>
          <w:szCs w:val="44"/>
        </w:rPr>
        <w:t xml:space="preserve"> </w:t>
      </w:r>
      <w:r>
        <w:rPr>
          <w:rFonts w:ascii="黑体" w:hAnsi="黑体" w:eastAsia="黑体" w:cs="Times New Roman"/>
          <w:spacing w:val="100"/>
          <w:kern w:val="6"/>
          <w:sz w:val="28"/>
          <w:szCs w:val="28"/>
        </w:rPr>
        <w:t>发</w:t>
      </w:r>
      <w:r>
        <w:rPr>
          <w:rFonts w:ascii="黑体" w:hAnsi="黑体" w:eastAsia="黑体" w:cs="Times New Roman"/>
          <w:spacing w:val="60"/>
          <w:kern w:val="6"/>
          <w:sz w:val="28"/>
          <w:szCs w:val="28"/>
        </w:rPr>
        <w:t>布</w:t>
      </w:r>
    </w:p>
    <w:p>
      <w:pPr>
        <w:rPr>
          <w:rFonts w:ascii="黑体" w:hAnsi="黑体" w:eastAsia="黑体" w:cs="Times New Roman"/>
          <w:spacing w:val="60"/>
          <w:kern w:val="6"/>
          <w:sz w:val="28"/>
          <w:szCs w:val="28"/>
        </w:rPr>
      </w:pPr>
      <w:r>
        <w:rPr>
          <w:rFonts w:ascii="黑体" w:hAnsi="黑体" w:eastAsia="黑体" w:cs="Times New Roman"/>
          <w:spacing w:val="60"/>
          <w:kern w:val="6"/>
          <w:sz w:val="28"/>
          <w:szCs w:val="28"/>
        </w:rPr>
        <w:br w:type="page"/>
      </w:r>
    </w:p>
    <w:p>
      <w:pPr>
        <w:adjustRightInd w:val="0"/>
        <w:snapToGrid w:val="0"/>
        <w:spacing w:line="360" w:lineRule="auto"/>
        <w:jc w:val="left"/>
        <w:rPr>
          <w:rFonts w:ascii="Times New Roman" w:hAnsi="Times New Roman" w:eastAsia="黑体" w:cs="Times New Roman"/>
          <w:sz w:val="44"/>
          <w:szCs w:val="44"/>
        </w:rPr>
      </w:pPr>
      <w:bookmarkStart w:id="1" w:name="_Toc325969757"/>
      <w:bookmarkStart w:id="2" w:name="_Toc326825001"/>
      <w:bookmarkStart w:id="3" w:name="_Toc326765979"/>
      <w:bookmarkStart w:id="4" w:name="_Toc343696091"/>
      <w:bookmarkStart w:id="5" w:name="_Toc325981691"/>
      <w:r>
        <w:rPr>
          <w:rFonts w:ascii="黑体" w:hAnsi="黑体" w:eastAsia="黑体" w:cs="Times New Roman"/>
          <w:b/>
          <w:sz w:val="44"/>
          <w:szCs w:val="44"/>
        </w:rPr>
        <w:pict>
          <v:shape id="_x0000_s1028" o:spid="_x0000_s1028" o:spt="202" type="#_x0000_t202" style="position:absolute;left:0pt;margin-left:277.05pt;margin-top:2pt;height:62.35pt;width:127.55pt;z-index:251662336;mso-width-relative:page;mso-height-relative:page;" coordsize="21600,21600" o:gfxdata="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ew4KZ1wAAAAkBAAAPAAAAAAAAAAEA&#10;IAAAACIAAABkcnMvZG93bnJldi54bWxQSwECFAAUAAAACACHTuJAXOSVtkkCAACiBAAADgAAAAAA&#10;AAABACAAAAAmAQAAZHJzL2Uyb0RvYy54bWxQSwUGAAAAAAYABgBZAQAA4QUAAAAA&#10;">
            <v:path/>
            <v:fill focussize="0,0"/>
            <v:stroke dashstyle="dashDot"/>
            <v:imagedata o:title=""/>
            <o:lock v:ext="edit"/>
            <v:textbox inset="0mm,0mm,0mm,0mm">
              <w:txbxContent>
                <w:p>
                  <w:pPr>
                    <w:pStyle w:val="9"/>
                    <w:spacing w:before="0" w:after="0" w:line="0" w:lineRule="atLeast"/>
                    <w:rPr>
                      <w:rFonts w:ascii="黑体"/>
                      <w:position w:val="-10"/>
                      <w:sz w:val="28"/>
                      <w:szCs w:val="28"/>
                    </w:rPr>
                  </w:pPr>
                </w:p>
                <w:p>
                  <w:pPr>
                    <w:pStyle w:val="9"/>
                    <w:spacing w:before="0" w:after="0" w:line="0" w:lineRule="atLeast"/>
                    <w:rPr>
                      <w:rFonts w:ascii="黑体" w:hAnsi="黑体"/>
                      <w:position w:val="-10"/>
                      <w:sz w:val="28"/>
                      <w:szCs w:val="28"/>
                    </w:rPr>
                  </w:pPr>
                  <w:r>
                    <w:rPr>
                      <w:rFonts w:hint="eastAsia" w:ascii="黑体"/>
                      <w:position w:val="-10"/>
                      <w:sz w:val="28"/>
                      <w:szCs w:val="28"/>
                    </w:rPr>
                    <w:t xml:space="preserve">   </w:t>
                  </w:r>
                  <w:r>
                    <w:rPr>
                      <w:rFonts w:hint="eastAsia" w:ascii="黑体" w:hAnsi="黑体"/>
                      <w:position w:val="-10"/>
                      <w:sz w:val="28"/>
                      <w:szCs w:val="28"/>
                    </w:rPr>
                    <w:t>JJF</w:t>
                  </w:r>
                  <w:r>
                    <w:rPr>
                      <w:rFonts w:ascii="黑体" w:hAnsi="黑体"/>
                      <w:position w:val="-10"/>
                      <w:sz w:val="28"/>
                      <w:szCs w:val="28"/>
                    </w:rPr>
                    <w:t xml:space="preserve"> XXX</w:t>
                  </w:r>
                  <w:r>
                    <w:rPr>
                      <w:rFonts w:hint="eastAsia" w:ascii="黑体" w:hAnsi="黑体"/>
                      <w:position w:val="-10"/>
                      <w:sz w:val="28"/>
                      <w:szCs w:val="28"/>
                    </w:rPr>
                    <w:t>—</w:t>
                  </w:r>
                  <w:r>
                    <w:rPr>
                      <w:rFonts w:ascii="黑体" w:hAnsi="黑体"/>
                      <w:position w:val="-10"/>
                      <w:sz w:val="28"/>
                      <w:szCs w:val="28"/>
                    </w:rPr>
                    <w:t>XXX</w:t>
                  </w:r>
                </w:p>
              </w:txbxContent>
            </v:textbox>
          </v:shape>
        </w:pict>
      </w:r>
      <w:bookmarkEnd w:id="1"/>
      <w:bookmarkEnd w:id="2"/>
      <w:bookmarkEnd w:id="3"/>
      <w:bookmarkEnd w:id="4"/>
      <w:bookmarkEnd w:id="5"/>
      <w:r>
        <w:rPr>
          <w:rFonts w:hint="eastAsia" w:ascii="Times New Roman" w:hAnsi="Times New Roman" w:eastAsia="黑体" w:cs="Times New Roman"/>
          <w:sz w:val="44"/>
          <w:szCs w:val="44"/>
        </w:rPr>
        <w:t>机械计数式海洋浮游生物</w:t>
      </w:r>
    </w:p>
    <w:p>
      <w:pPr>
        <w:adjustRightInd w:val="0"/>
        <w:snapToGrid w:val="0"/>
        <w:spacing w:line="360" w:lineRule="auto"/>
        <w:jc w:val="left"/>
        <w:rPr>
          <w:rFonts w:ascii="黑体" w:hAnsi="黑体" w:eastAsia="黑体" w:cs="Times New Roman"/>
          <w:sz w:val="44"/>
          <w:szCs w:val="44"/>
        </w:rPr>
      </w:pPr>
      <w:r>
        <w:rPr>
          <w:rFonts w:hint="eastAsia" w:ascii="Times New Roman" w:hAnsi="Times New Roman" w:eastAsia="黑体" w:cs="Times New Roman"/>
          <w:sz w:val="44"/>
          <w:szCs w:val="44"/>
        </w:rPr>
        <w:t>网口流量计校准规范</w:t>
      </w:r>
    </w:p>
    <w:p>
      <w:pPr>
        <w:adjustRightInd w:val="0"/>
        <w:snapToGrid w:val="0"/>
        <w:spacing w:line="360" w:lineRule="auto"/>
        <w:jc w:val="left"/>
        <w:rPr>
          <w:rFonts w:ascii="黑体" w:hAnsi="黑体" w:eastAsia="黑体" w:cs="Times New Roman"/>
          <w:sz w:val="28"/>
          <w:szCs w:val="28"/>
        </w:rPr>
      </w:pPr>
      <w:r>
        <w:rPr>
          <w:rFonts w:hint="eastAsia" w:ascii="黑体" w:hAnsi="黑体" w:eastAsia="黑体" w:cs="Times New Roman"/>
          <w:sz w:val="28"/>
          <w:szCs w:val="28"/>
        </w:rPr>
        <w:t xml:space="preserve">Calibration Specification </w:t>
      </w:r>
    </w:p>
    <w:p>
      <w:pPr>
        <w:adjustRightInd w:val="0"/>
        <w:snapToGrid w:val="0"/>
        <w:spacing w:line="360" w:lineRule="auto"/>
        <w:jc w:val="left"/>
        <w:rPr>
          <w:rFonts w:ascii="黑体" w:hAnsi="黑体" w:eastAsia="黑体" w:cs="Times New Roman"/>
          <w:sz w:val="28"/>
          <w:szCs w:val="28"/>
        </w:rPr>
      </w:pPr>
      <w:r>
        <w:rPr>
          <w:rFonts w:hint="eastAsia" w:ascii="黑体" w:hAnsi="黑体" w:eastAsia="黑体" w:cs="Times New Roman"/>
          <w:sz w:val="28"/>
          <w:szCs w:val="28"/>
        </w:rPr>
        <w:t xml:space="preserve">for Mechanical Counting Marine </w:t>
      </w:r>
    </w:p>
    <w:p>
      <w:pPr>
        <w:adjustRightInd w:val="0"/>
        <w:snapToGrid w:val="0"/>
        <w:spacing w:line="360" w:lineRule="auto"/>
        <w:jc w:val="left"/>
        <w:rPr>
          <w:rFonts w:ascii="黑体" w:hAnsi="黑体" w:eastAsia="黑体" w:cs="Times New Roman"/>
          <w:sz w:val="28"/>
          <w:szCs w:val="28"/>
        </w:rPr>
      </w:pPr>
      <w:r>
        <w:rPr>
          <w:rFonts w:hint="eastAsia" w:ascii="黑体" w:hAnsi="黑体" w:eastAsia="黑体" w:cs="Times New Roman"/>
          <w:sz w:val="28"/>
          <w:szCs w:val="28"/>
        </w:rPr>
        <w:t>Plankton Flow Meter</w:t>
      </w:r>
    </w:p>
    <w:p>
      <w:pPr>
        <w:adjustRightInd w:val="0"/>
        <w:snapToGrid w:val="0"/>
        <w:spacing w:line="360" w:lineRule="auto"/>
        <w:rPr>
          <w:rFonts w:ascii="Times New Roman" w:hAnsi="Times New Roman" w:cs="Times New Roman"/>
          <w:b/>
          <w:szCs w:val="21"/>
        </w:rPr>
      </w:pPr>
      <w:r>
        <w:rPr>
          <w:rFonts w:ascii="Times New Roman" w:hAnsi="Times New Roman" w:cs="Times New Roman"/>
          <w:b/>
          <w:szCs w:val="21"/>
        </w:rPr>
        <w:pict>
          <v:line id="_x0000_s1027" o:spid="_x0000_s1027" o:spt="20" style="position:absolute;left:0pt;margin-left:0pt;margin-top:8.4pt;height:0.6pt;width:409.5pt;z-index:251661312;mso-width-relative:page;mso-height-relative:page;" coordsize="21600,21600" o:gfxdata="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m94mtIAAAAG&#10;AQAADwAAAAAAAAABACAAAAAiAAAAZHJzL2Rvd25yZXYueG1sUEsBAhQAFAAAAAgAh07iQIqm/dnp&#10;AQAAvgMAAA4AAAAAAAAAAQAgAAAAIQEAAGRycy9lMm9Eb2MueG1sUEsFBgAAAAAGAAYAWQEAAHwF&#10;AAAAAA==&#10;">
            <v:path arrowok="t"/>
            <v:fill focussize="0,0"/>
            <v:stroke weight="1.5pt"/>
            <v:imagedata o:title=""/>
            <o:lock v:ext="edit"/>
          </v:line>
        </w:pict>
      </w:r>
    </w:p>
    <w:p>
      <w:pPr>
        <w:adjustRightInd w:val="0"/>
        <w:snapToGrid w:val="0"/>
        <w:spacing w:line="360" w:lineRule="auto"/>
        <w:rPr>
          <w:rFonts w:ascii="Times New Roman" w:hAnsi="Times New Roman" w:cs="Times New Roman"/>
          <w:b/>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黑体" w:hAnsi="黑体" w:eastAsia="黑体" w:cs="Times New Roman"/>
          <w:sz w:val="24"/>
          <w:szCs w:val="21"/>
        </w:rPr>
      </w:pPr>
    </w:p>
    <w:p>
      <w:pPr>
        <w:adjustRightInd w:val="0"/>
        <w:snapToGrid w:val="0"/>
        <w:spacing w:line="360" w:lineRule="auto"/>
        <w:rPr>
          <w:rFonts w:ascii="黑体" w:hAnsi="黑体" w:eastAsia="黑体" w:cs="Times New Roman"/>
          <w:sz w:val="28"/>
          <w:szCs w:val="28"/>
        </w:rPr>
      </w:pPr>
      <w:r>
        <w:rPr>
          <w:rFonts w:ascii="黑体" w:hAnsi="黑体" w:eastAsia="黑体" w:cs="Times New Roman"/>
          <w:spacing w:val="12"/>
          <w:sz w:val="28"/>
          <w:szCs w:val="28"/>
        </w:rPr>
        <w:t>归 口 单 位</w:t>
      </w:r>
      <w:r>
        <w:rPr>
          <w:rFonts w:ascii="黑体" w:hAnsi="黑体" w:eastAsia="黑体" w:cs="Times New Roman"/>
          <w:sz w:val="28"/>
          <w:szCs w:val="28"/>
        </w:rPr>
        <w:t>：全国海洋专用计量器具</w:t>
      </w:r>
      <w:r>
        <w:rPr>
          <w:rFonts w:hint="eastAsia" w:ascii="黑体" w:hAnsi="黑体" w:eastAsia="黑体" w:cs="Times New Roman"/>
          <w:sz w:val="28"/>
          <w:szCs w:val="28"/>
        </w:rPr>
        <w:t>计量</w:t>
      </w:r>
      <w:r>
        <w:rPr>
          <w:rFonts w:ascii="黑体" w:hAnsi="黑体" w:eastAsia="黑体" w:cs="Times New Roman"/>
          <w:sz w:val="28"/>
          <w:szCs w:val="28"/>
        </w:rPr>
        <w:t>技术委员会</w:t>
      </w:r>
    </w:p>
    <w:p>
      <w:pPr>
        <w:adjustRightInd w:val="0"/>
        <w:snapToGrid w:val="0"/>
        <w:spacing w:line="360" w:lineRule="auto"/>
        <w:rPr>
          <w:rFonts w:ascii="黑体" w:hAnsi="黑体" w:eastAsia="黑体" w:cs="Times New Roman"/>
          <w:sz w:val="28"/>
          <w:szCs w:val="28"/>
        </w:rPr>
      </w:pPr>
      <w:r>
        <w:rPr>
          <w:rFonts w:ascii="黑体" w:hAnsi="黑体" w:eastAsia="黑体" w:cs="Times New Roman"/>
          <w:sz w:val="28"/>
          <w:szCs w:val="28"/>
        </w:rPr>
        <w:t>主要起草单位：国家海洋</w:t>
      </w:r>
      <w:r>
        <w:rPr>
          <w:rFonts w:hint="eastAsia" w:ascii="黑体" w:hAnsi="黑体" w:eastAsia="黑体" w:cs="Times New Roman"/>
          <w:sz w:val="28"/>
          <w:szCs w:val="28"/>
        </w:rPr>
        <w:t>局北海</w:t>
      </w:r>
      <w:r>
        <w:rPr>
          <w:rFonts w:ascii="黑体" w:hAnsi="黑体" w:eastAsia="黑体" w:cs="Times New Roman"/>
          <w:sz w:val="28"/>
          <w:szCs w:val="28"/>
        </w:rPr>
        <w:t>标准计量中心</w:t>
      </w:r>
    </w:p>
    <w:p>
      <w:pPr>
        <w:adjustRightInd w:val="0"/>
        <w:snapToGrid w:val="0"/>
        <w:spacing w:line="360" w:lineRule="auto"/>
        <w:rPr>
          <w:rFonts w:ascii="黑体" w:hAnsi="黑体" w:eastAsia="黑体" w:cs="Times New Roman"/>
          <w:sz w:val="28"/>
          <w:szCs w:val="28"/>
        </w:rPr>
      </w:pPr>
      <w:r>
        <w:rPr>
          <w:rFonts w:hint="eastAsia" w:ascii="黑体" w:hAnsi="黑体" w:eastAsia="黑体" w:cs="Times New Roman"/>
          <w:sz w:val="28"/>
          <w:szCs w:val="28"/>
        </w:rPr>
        <w:t>参与起草单位：国家海洋标准计量中心</w:t>
      </w:r>
    </w:p>
    <w:p>
      <w:pPr>
        <w:adjustRightInd w:val="0"/>
        <w:snapToGrid w:val="0"/>
        <w:spacing w:line="360" w:lineRule="auto"/>
        <w:rPr>
          <w:rFonts w:ascii="黑体" w:hAnsi="黑体" w:eastAsia="黑体" w:cs="Times New Roman"/>
          <w:sz w:val="28"/>
          <w:szCs w:val="28"/>
        </w:rPr>
      </w:pPr>
      <w:r>
        <w:rPr>
          <w:rFonts w:hint="eastAsia" w:ascii="黑体" w:hAnsi="黑体" w:eastAsia="黑体" w:cs="Times New Roman"/>
          <w:sz w:val="28"/>
          <w:szCs w:val="28"/>
        </w:rPr>
        <w:t xml:space="preserve">              </w:t>
      </w:r>
      <w:r>
        <w:rPr>
          <w:rFonts w:ascii="黑体" w:hAnsi="黑体" w:eastAsia="黑体" w:cs="Times New Roman"/>
          <w:sz w:val="28"/>
          <w:szCs w:val="28"/>
        </w:rPr>
        <w:t>国家海洋</w:t>
      </w:r>
      <w:r>
        <w:rPr>
          <w:rFonts w:hint="eastAsia" w:ascii="黑体" w:hAnsi="黑体" w:eastAsia="黑体" w:cs="Times New Roman"/>
          <w:sz w:val="28"/>
          <w:szCs w:val="28"/>
        </w:rPr>
        <w:t>局东海</w:t>
      </w:r>
      <w:r>
        <w:rPr>
          <w:rFonts w:ascii="黑体" w:hAnsi="黑体" w:eastAsia="黑体" w:cs="Times New Roman"/>
          <w:sz w:val="28"/>
          <w:szCs w:val="28"/>
        </w:rPr>
        <w:t>标准计量中心</w:t>
      </w:r>
    </w:p>
    <w:p>
      <w:pPr>
        <w:adjustRightInd w:val="0"/>
        <w:snapToGrid w:val="0"/>
        <w:spacing w:line="360" w:lineRule="auto"/>
        <w:rPr>
          <w:rFonts w:ascii="黑体" w:hAnsi="黑体" w:eastAsia="黑体" w:cs="Times New Roman"/>
          <w:sz w:val="28"/>
          <w:szCs w:val="28"/>
        </w:rPr>
      </w:pPr>
    </w:p>
    <w:p>
      <w:pPr>
        <w:adjustRightInd w:val="0"/>
        <w:snapToGrid w:val="0"/>
        <w:spacing w:line="360" w:lineRule="auto"/>
        <w:rPr>
          <w:rFonts w:ascii="Times New Roman" w:hAnsi="Times New Roman" w:cs="Times New Roman"/>
          <w:sz w:val="28"/>
          <w:szCs w:val="28"/>
        </w:rPr>
      </w:pPr>
      <w:r>
        <w:rPr>
          <w:rFonts w:hint="eastAsia" w:ascii="Times New Roman" w:hAnsi="Times New Roman" w:cs="Times New Roman"/>
          <w:sz w:val="28"/>
          <w:szCs w:val="28"/>
        </w:rPr>
        <w:t xml:space="preserve"> </w:t>
      </w:r>
    </w:p>
    <w:p>
      <w:pPr>
        <w:adjustRightInd w:val="0"/>
        <w:snapToGrid w:val="0"/>
        <w:spacing w:line="360" w:lineRule="auto"/>
        <w:rPr>
          <w:rFonts w:ascii="Times New Roman" w:hAnsi="Times New Roman" w:cs="Times New Roman"/>
          <w:sz w:val="24"/>
          <w:szCs w:val="21"/>
        </w:rPr>
      </w:pPr>
    </w:p>
    <w:p>
      <w:pPr>
        <w:adjustRightInd w:val="0"/>
        <w:snapToGrid w:val="0"/>
        <w:spacing w:line="360" w:lineRule="auto"/>
        <w:rPr>
          <w:rFonts w:ascii="Times New Roman" w:hAnsi="Times New Roman" w:cs="Times New Roman"/>
          <w:sz w:val="24"/>
          <w:szCs w:val="21"/>
        </w:rPr>
      </w:pPr>
    </w:p>
    <w:p>
      <w:pPr>
        <w:adjustRightInd w:val="0"/>
        <w:snapToGrid w:val="0"/>
        <w:spacing w:line="360" w:lineRule="auto"/>
        <w:jc w:val="center"/>
        <w:rPr>
          <w:rFonts w:ascii="Times New Roman" w:hAnsi="Times New Roman" w:cs="Times New Roman"/>
          <w:sz w:val="24"/>
          <w:szCs w:val="21"/>
        </w:rPr>
      </w:pPr>
      <w:r>
        <w:rPr>
          <w:rFonts w:ascii="Times New Roman" w:hAnsi="Times New Roman" w:cs="Times New Roman"/>
          <w:sz w:val="28"/>
          <w:szCs w:val="21"/>
        </w:rPr>
        <w:t>本规范委托全国海洋专用计量器具计量技术委员会负责解释</w:t>
      </w:r>
    </w:p>
    <w:p>
      <w:pPr>
        <w:rPr>
          <w:rFonts w:ascii="Times New Roman" w:hAnsi="Times New Roman" w:eastAsia="黑体" w:cs="Times New Roman"/>
          <w:sz w:val="28"/>
          <w:szCs w:val="28"/>
        </w:rPr>
      </w:pPr>
      <w:r>
        <w:rPr>
          <w:rFonts w:ascii="Times New Roman" w:hAnsi="Times New Roman" w:eastAsia="黑体" w:cs="Times New Roman"/>
          <w:sz w:val="28"/>
          <w:szCs w:val="28"/>
        </w:rPr>
        <w:br w:type="page"/>
      </w:r>
    </w:p>
    <w:p>
      <w:pPr>
        <w:adjustRightInd w:val="0"/>
        <w:snapToGrid w:val="0"/>
        <w:spacing w:line="360" w:lineRule="auto"/>
        <w:ind w:firstLine="425"/>
        <w:rPr>
          <w:rFonts w:ascii="Times New Roman" w:hAnsi="Times New Roman" w:eastAsia="黑体" w:cs="Times New Roman"/>
          <w:sz w:val="28"/>
          <w:szCs w:val="28"/>
        </w:rPr>
      </w:pPr>
    </w:p>
    <w:p>
      <w:pPr>
        <w:adjustRightInd w:val="0"/>
        <w:snapToGrid w:val="0"/>
        <w:spacing w:line="360" w:lineRule="auto"/>
        <w:ind w:firstLine="425"/>
        <w:rPr>
          <w:rFonts w:ascii="Times New Roman" w:hAnsi="Times New Roman" w:eastAsia="黑体" w:cs="Times New Roman"/>
          <w:sz w:val="28"/>
          <w:szCs w:val="28"/>
        </w:rPr>
      </w:pPr>
      <w:r>
        <w:rPr>
          <w:rFonts w:ascii="Times New Roman" w:hAnsi="Times New Roman" w:eastAsia="黑体" w:cs="Times New Roman"/>
          <w:sz w:val="28"/>
          <w:szCs w:val="28"/>
        </w:rPr>
        <w:t>本规</w:t>
      </w:r>
      <w:r>
        <w:rPr>
          <w:rFonts w:hint="eastAsia" w:ascii="Times New Roman" w:hAnsi="Times New Roman" w:eastAsia="黑体" w:cs="Times New Roman"/>
          <w:sz w:val="28"/>
          <w:szCs w:val="28"/>
        </w:rPr>
        <w:t>范</w:t>
      </w:r>
      <w:r>
        <w:rPr>
          <w:rFonts w:ascii="Times New Roman" w:hAnsi="Times New Roman" w:eastAsia="黑体" w:cs="Times New Roman"/>
          <w:sz w:val="28"/>
          <w:szCs w:val="28"/>
        </w:rPr>
        <w:t>主要起草人：</w:t>
      </w:r>
    </w:p>
    <w:p>
      <w:pPr>
        <w:adjustRightInd w:val="0"/>
        <w:snapToGrid w:val="0"/>
        <w:spacing w:line="360" w:lineRule="auto"/>
        <w:ind w:firstLine="425"/>
        <w:rPr>
          <w:rFonts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曲延峰（</w:t>
      </w:r>
      <w:r>
        <w:rPr>
          <w:rFonts w:ascii="Times New Roman" w:hAnsi="Times New Roman" w:eastAsia="黑体" w:cs="Times New Roman"/>
          <w:sz w:val="28"/>
          <w:szCs w:val="28"/>
        </w:rPr>
        <w:t>国家海洋局北海标准计量中心</w:t>
      </w:r>
      <w:r>
        <w:rPr>
          <w:rFonts w:hint="eastAsia" w:ascii="Times New Roman" w:hAnsi="Times New Roman" w:eastAsia="黑体" w:cs="Times New Roman"/>
          <w:sz w:val="28"/>
          <w:szCs w:val="28"/>
        </w:rPr>
        <w:t>）</w:t>
      </w:r>
    </w:p>
    <w:p>
      <w:pPr>
        <w:adjustRightInd w:val="0"/>
        <w:snapToGrid w:val="0"/>
        <w:spacing w:line="360" w:lineRule="auto"/>
        <w:ind w:firstLine="840" w:firstLineChars="300"/>
        <w:rPr>
          <w:rFonts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公栋梁（</w:t>
      </w:r>
      <w:r>
        <w:rPr>
          <w:rFonts w:ascii="Times New Roman" w:hAnsi="Times New Roman" w:eastAsia="黑体" w:cs="Times New Roman"/>
          <w:sz w:val="28"/>
          <w:szCs w:val="28"/>
        </w:rPr>
        <w:t>国家海洋局北海标准计量中心</w:t>
      </w:r>
      <w:r>
        <w:rPr>
          <w:rFonts w:hint="eastAsia" w:ascii="Times New Roman" w:hAnsi="Times New Roman" w:eastAsia="黑体" w:cs="Times New Roman"/>
          <w:sz w:val="28"/>
          <w:szCs w:val="28"/>
        </w:rPr>
        <w:t>）</w:t>
      </w:r>
    </w:p>
    <w:p>
      <w:pPr>
        <w:adjustRightInd w:val="0"/>
        <w:snapToGrid w:val="0"/>
        <w:spacing w:line="360" w:lineRule="auto"/>
        <w:ind w:firstLine="840" w:firstLineChars="300"/>
        <w:rPr>
          <w:rFonts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李宇璇（</w:t>
      </w:r>
      <w:r>
        <w:rPr>
          <w:rFonts w:ascii="Times New Roman" w:hAnsi="Times New Roman" w:eastAsia="黑体" w:cs="Times New Roman"/>
          <w:sz w:val="28"/>
          <w:szCs w:val="28"/>
        </w:rPr>
        <w:t>国家海洋局北海标准计量中心</w:t>
      </w:r>
      <w:r>
        <w:rPr>
          <w:rFonts w:hint="eastAsia" w:ascii="Times New Roman" w:hAnsi="Times New Roman" w:eastAsia="黑体" w:cs="Times New Roman"/>
          <w:sz w:val="28"/>
          <w:szCs w:val="28"/>
        </w:rPr>
        <w:t>）</w:t>
      </w:r>
    </w:p>
    <w:p>
      <w:pPr>
        <w:adjustRightInd w:val="0"/>
        <w:snapToGrid w:val="0"/>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参加起草人：</w:t>
      </w:r>
    </w:p>
    <w:p>
      <w:pPr>
        <w:adjustRightInd w:val="0"/>
        <w:snapToGrid w:val="0"/>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于惠莉（</w:t>
      </w:r>
      <w:r>
        <w:rPr>
          <w:rFonts w:ascii="Times New Roman" w:hAnsi="Times New Roman" w:eastAsia="黑体" w:cs="Times New Roman"/>
          <w:sz w:val="28"/>
          <w:szCs w:val="28"/>
        </w:rPr>
        <w:t>国家海洋标准计量中心</w:t>
      </w:r>
      <w:r>
        <w:rPr>
          <w:rFonts w:hint="eastAsia" w:ascii="Times New Roman" w:hAnsi="Times New Roman" w:eastAsia="黑体" w:cs="Times New Roman"/>
          <w:sz w:val="28"/>
          <w:szCs w:val="28"/>
        </w:rPr>
        <w:t>）</w:t>
      </w:r>
    </w:p>
    <w:p>
      <w:pPr>
        <w:adjustRightInd w:val="0"/>
        <w:snapToGrid w:val="0"/>
        <w:spacing w:line="360" w:lineRule="auto"/>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秦鑫培（</w:t>
      </w:r>
      <w:r>
        <w:rPr>
          <w:rFonts w:ascii="Times New Roman" w:hAnsi="Times New Roman" w:eastAsia="黑体" w:cs="Times New Roman"/>
          <w:sz w:val="28"/>
          <w:szCs w:val="28"/>
        </w:rPr>
        <w:t>国家海洋标准计量中心</w:t>
      </w:r>
      <w:r>
        <w:rPr>
          <w:rFonts w:hint="eastAsia" w:ascii="Times New Roman" w:hAnsi="Times New Roman" w:eastAsia="黑体" w:cs="Times New Roman"/>
          <w:sz w:val="28"/>
          <w:szCs w:val="28"/>
        </w:rPr>
        <w:t>）</w:t>
      </w:r>
    </w:p>
    <w:p>
      <w:pPr>
        <w:adjustRightInd w:val="0"/>
        <w:snapToGrid w:val="0"/>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冯</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兵（</w:t>
      </w:r>
      <w:r>
        <w:rPr>
          <w:rFonts w:ascii="Times New Roman" w:hAnsi="Times New Roman" w:eastAsia="黑体" w:cs="Times New Roman"/>
          <w:sz w:val="28"/>
          <w:szCs w:val="28"/>
        </w:rPr>
        <w:t>国家海洋局</w:t>
      </w:r>
      <w:r>
        <w:rPr>
          <w:rFonts w:hint="eastAsia" w:ascii="Times New Roman" w:hAnsi="Times New Roman" w:eastAsia="黑体" w:cs="Times New Roman"/>
          <w:sz w:val="28"/>
          <w:szCs w:val="28"/>
        </w:rPr>
        <w:t>东</w:t>
      </w:r>
      <w:r>
        <w:rPr>
          <w:rFonts w:ascii="Times New Roman" w:hAnsi="Times New Roman" w:eastAsia="黑体" w:cs="Times New Roman"/>
          <w:sz w:val="28"/>
          <w:szCs w:val="28"/>
        </w:rPr>
        <w:t>海标准计量中心</w:t>
      </w:r>
      <w:r>
        <w:rPr>
          <w:rFonts w:hint="eastAsia" w:ascii="Times New Roman" w:hAnsi="Times New Roman" w:eastAsia="黑体" w:cs="Times New Roman"/>
          <w:sz w:val="28"/>
          <w:szCs w:val="28"/>
        </w:rPr>
        <w:t>）</w:t>
      </w:r>
    </w:p>
    <w:p>
      <w:pPr>
        <w:adjustRightInd w:val="0"/>
        <w:snapToGrid w:val="0"/>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rPr>
        <w:t>王智祖（</w:t>
      </w:r>
      <w:r>
        <w:rPr>
          <w:rFonts w:ascii="Times New Roman" w:hAnsi="Times New Roman" w:eastAsia="黑体" w:cs="Times New Roman"/>
          <w:sz w:val="28"/>
          <w:szCs w:val="28"/>
        </w:rPr>
        <w:t>国家海洋局</w:t>
      </w:r>
      <w:r>
        <w:rPr>
          <w:rFonts w:hint="eastAsia" w:ascii="Times New Roman" w:hAnsi="Times New Roman" w:eastAsia="黑体" w:cs="Times New Roman"/>
          <w:sz w:val="28"/>
          <w:szCs w:val="28"/>
        </w:rPr>
        <w:t>东</w:t>
      </w:r>
      <w:r>
        <w:rPr>
          <w:rFonts w:ascii="Times New Roman" w:hAnsi="Times New Roman" w:eastAsia="黑体" w:cs="Times New Roman"/>
          <w:sz w:val="28"/>
          <w:szCs w:val="28"/>
        </w:rPr>
        <w:t>海标准计量中心</w:t>
      </w:r>
      <w:r>
        <w:rPr>
          <w:rFonts w:hint="eastAsia" w:ascii="Times New Roman" w:hAnsi="Times New Roman" w:eastAsia="黑体" w:cs="Times New Roman"/>
          <w:sz w:val="28"/>
          <w:szCs w:val="28"/>
        </w:rPr>
        <w:t>）</w:t>
      </w:r>
    </w:p>
    <w:p>
      <w:pPr>
        <w:adjustRightInd w:val="0"/>
        <w:snapToGrid w:val="0"/>
        <w:spacing w:line="360" w:lineRule="auto"/>
        <w:rPr>
          <w:rFonts w:ascii="Times New Roman" w:hAnsi="Times New Roman" w:eastAsia="黑体" w:cs="Times New Roman"/>
          <w:sz w:val="28"/>
          <w:szCs w:val="28"/>
        </w:rPr>
      </w:pPr>
    </w:p>
    <w:p>
      <w:pPr>
        <w:adjustRightInd w:val="0"/>
        <w:snapToGrid w:val="0"/>
        <w:spacing w:line="360" w:lineRule="auto"/>
        <w:ind w:firstLine="425"/>
        <w:rPr>
          <w:rFonts w:ascii="黑体" w:hAnsi="黑体" w:eastAsia="黑体" w:cs="Times New Roman"/>
          <w:sz w:val="28"/>
          <w:szCs w:val="28"/>
        </w:rPr>
      </w:pPr>
    </w:p>
    <w:p>
      <w:pPr>
        <w:adjustRightInd w:val="0"/>
        <w:snapToGrid w:val="0"/>
        <w:spacing w:line="360" w:lineRule="auto"/>
        <w:ind w:firstLine="1260" w:firstLineChars="450"/>
        <w:rPr>
          <w:rFonts w:ascii="Times New Roman" w:hAnsi="Times New Roman" w:cs="Times New Roman"/>
          <w:sz w:val="28"/>
          <w:szCs w:val="28"/>
        </w:rPr>
      </w:pPr>
    </w:p>
    <w:p>
      <w:pPr>
        <w:adjustRightInd w:val="0"/>
        <w:snapToGrid w:val="0"/>
        <w:spacing w:line="360" w:lineRule="auto"/>
        <w:ind w:firstLine="1400" w:firstLineChars="500"/>
        <w:rPr>
          <w:rFonts w:ascii="Times New Roman" w:hAnsi="Times New Roman" w:cs="Times New Roman"/>
          <w:sz w:val="28"/>
          <w:szCs w:val="28"/>
        </w:rPr>
      </w:pPr>
    </w:p>
    <w:p>
      <w:pPr>
        <w:adjustRightInd w:val="0"/>
        <w:snapToGrid w:val="0"/>
        <w:spacing w:line="360" w:lineRule="auto"/>
        <w:ind w:firstLine="1400" w:firstLineChars="500"/>
        <w:rPr>
          <w:rFonts w:ascii="Times New Roman" w:hAnsi="Times New Roman" w:cs="Times New Roman"/>
          <w:sz w:val="28"/>
          <w:szCs w:val="28"/>
        </w:rPr>
        <w:sectPr>
          <w:headerReference r:id="rId3" w:type="default"/>
          <w:type w:val="continuous"/>
          <w:pgSz w:w="11906" w:h="16838"/>
          <w:pgMar w:top="1440" w:right="1800" w:bottom="1440" w:left="1800" w:header="851" w:footer="992" w:gutter="0"/>
          <w:pgNumType w:fmt="upperRoman" w:start="1"/>
          <w:cols w:space="425" w:num="1"/>
          <w:docGrid w:type="lines" w:linePitch="312" w:charSpace="0"/>
        </w:sectPr>
      </w:pPr>
    </w:p>
    <w:sdt>
      <w:sdtPr>
        <w:rPr>
          <w:rFonts w:asciiTheme="minorHAnsi" w:hAnsiTheme="minorHAnsi" w:eastAsiaTheme="minorEastAsia" w:cstheme="minorBidi"/>
          <w:b w:val="0"/>
          <w:bCs w:val="0"/>
          <w:color w:val="auto"/>
          <w:kern w:val="2"/>
          <w:sz w:val="21"/>
          <w:szCs w:val="22"/>
          <w:lang w:val="zh-CN"/>
        </w:rPr>
        <w:id w:val="462794"/>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en-US"/>
        </w:rPr>
      </w:sdtEndPr>
      <w:sdtContent>
        <w:p>
          <w:pPr>
            <w:pStyle w:val="51"/>
            <w:jc w:val="center"/>
            <w:rPr>
              <w:color w:val="auto"/>
            </w:rPr>
          </w:pPr>
          <w:r>
            <w:rPr>
              <w:rFonts w:ascii="黑体" w:hAnsi="黑体" w:eastAsia="黑体"/>
              <w:b w:val="0"/>
              <w:color w:val="auto"/>
              <w:sz w:val="44"/>
              <w:szCs w:val="44"/>
              <w:lang w:val="zh-CN"/>
            </w:rPr>
            <w:t>目</w:t>
          </w:r>
          <w:r>
            <w:rPr>
              <w:rFonts w:hint="eastAsia" w:ascii="黑体" w:hAnsi="黑体" w:eastAsia="黑体"/>
              <w:b w:val="0"/>
              <w:color w:val="auto"/>
              <w:sz w:val="44"/>
              <w:szCs w:val="44"/>
              <w:lang w:val="zh-CN"/>
            </w:rPr>
            <w:t xml:space="preserve">  </w:t>
          </w:r>
          <w:r>
            <w:rPr>
              <w:rFonts w:ascii="黑体" w:hAnsi="黑体" w:eastAsia="黑体"/>
              <w:b w:val="0"/>
              <w:color w:val="auto"/>
              <w:sz w:val="44"/>
              <w:szCs w:val="44"/>
              <w:lang w:val="zh-CN"/>
            </w:rPr>
            <w:t>录</w:t>
          </w:r>
        </w:p>
        <w:p>
          <w:pPr>
            <w:pStyle w:val="16"/>
          </w:pPr>
          <w:r>
            <w:fldChar w:fldCharType="begin"/>
          </w:r>
          <w:r>
            <w:instrText xml:space="preserve"> TOC \o "1-3" \h \z \u </w:instrText>
          </w:r>
          <w:r>
            <w:fldChar w:fldCharType="separate"/>
          </w:r>
          <w:r>
            <w:fldChar w:fldCharType="begin"/>
          </w:r>
          <w:r>
            <w:instrText xml:space="preserve"> HYPERLINK \l "_Toc75954059" </w:instrText>
          </w:r>
          <w:r>
            <w:fldChar w:fldCharType="separate"/>
          </w:r>
          <w:r>
            <w:rPr>
              <w:rStyle w:val="22"/>
              <w:rFonts w:hint="eastAsia" w:ascii="黑体" w:hAnsi="黑体" w:eastAsia="黑体"/>
            </w:rPr>
            <w:t>引</w:t>
          </w:r>
          <w:r>
            <w:rPr>
              <w:rStyle w:val="22"/>
              <w:rFonts w:ascii="黑体" w:hAnsi="黑体" w:eastAsia="黑体"/>
            </w:rPr>
            <w:t xml:space="preserve">  </w:t>
          </w:r>
          <w:r>
            <w:rPr>
              <w:rStyle w:val="22"/>
              <w:rFonts w:hint="eastAsia" w:ascii="黑体" w:hAnsi="黑体" w:eastAsia="黑体"/>
            </w:rPr>
            <w:t>言</w:t>
          </w:r>
          <w:r>
            <w:tab/>
          </w:r>
          <w:r>
            <w:fldChar w:fldCharType="begin"/>
          </w:r>
          <w:r>
            <w:instrText xml:space="preserve"> PAGEREF _Toc75954059 \h </w:instrText>
          </w:r>
          <w:r>
            <w:fldChar w:fldCharType="separate"/>
          </w:r>
          <w:r>
            <w:t>II</w:t>
          </w:r>
          <w:r>
            <w:fldChar w:fldCharType="end"/>
          </w:r>
          <w:r>
            <w:fldChar w:fldCharType="end"/>
          </w:r>
        </w:p>
        <w:p>
          <w:pPr>
            <w:pStyle w:val="16"/>
          </w:pPr>
          <w:r>
            <w:fldChar w:fldCharType="begin"/>
          </w:r>
          <w:r>
            <w:instrText xml:space="preserve"> HYPERLINK \l "_Toc75954060" </w:instrText>
          </w:r>
          <w:r>
            <w:fldChar w:fldCharType="separate"/>
          </w:r>
          <w:r>
            <w:rPr>
              <w:rStyle w:val="22"/>
              <w:rFonts w:ascii="黑体" w:hAnsi="黑体" w:eastAsia="黑体"/>
            </w:rPr>
            <w:t xml:space="preserve">1 </w:t>
          </w:r>
          <w:r>
            <w:rPr>
              <w:rStyle w:val="22"/>
              <w:rFonts w:hint="eastAsia" w:ascii="黑体" w:hAnsi="黑体" w:eastAsia="黑体"/>
            </w:rPr>
            <w:t>范围</w:t>
          </w:r>
          <w:r>
            <w:tab/>
          </w:r>
          <w:r>
            <w:fldChar w:fldCharType="begin"/>
          </w:r>
          <w:r>
            <w:instrText xml:space="preserve"> PAGEREF _Toc75954060 \h </w:instrText>
          </w:r>
          <w:r>
            <w:fldChar w:fldCharType="separate"/>
          </w:r>
          <w:r>
            <w:t>1</w:t>
          </w:r>
          <w:r>
            <w:fldChar w:fldCharType="end"/>
          </w:r>
          <w:r>
            <w:fldChar w:fldCharType="end"/>
          </w:r>
        </w:p>
        <w:p>
          <w:pPr>
            <w:pStyle w:val="16"/>
          </w:pPr>
          <w:r>
            <w:fldChar w:fldCharType="begin"/>
          </w:r>
          <w:r>
            <w:instrText xml:space="preserve"> HYPERLINK \l "_Toc75954061" </w:instrText>
          </w:r>
          <w:r>
            <w:fldChar w:fldCharType="separate"/>
          </w:r>
          <w:r>
            <w:rPr>
              <w:rStyle w:val="22"/>
              <w:rFonts w:ascii="黑体" w:hAnsi="黑体" w:eastAsia="黑体"/>
            </w:rPr>
            <w:t xml:space="preserve">2 </w:t>
          </w:r>
          <w:r>
            <w:rPr>
              <w:rStyle w:val="22"/>
              <w:rFonts w:hint="eastAsia" w:ascii="黑体" w:hAnsi="黑体" w:eastAsia="黑体"/>
            </w:rPr>
            <w:t>引用文件</w:t>
          </w:r>
          <w:r>
            <w:tab/>
          </w:r>
          <w:r>
            <w:fldChar w:fldCharType="begin"/>
          </w:r>
          <w:r>
            <w:instrText xml:space="preserve"> PAGEREF _Toc75954061 \h </w:instrText>
          </w:r>
          <w:r>
            <w:fldChar w:fldCharType="separate"/>
          </w:r>
          <w:r>
            <w:t>1</w:t>
          </w:r>
          <w:r>
            <w:fldChar w:fldCharType="end"/>
          </w:r>
          <w:r>
            <w:fldChar w:fldCharType="end"/>
          </w:r>
        </w:p>
        <w:p>
          <w:pPr>
            <w:pStyle w:val="16"/>
          </w:pPr>
          <w:r>
            <w:fldChar w:fldCharType="begin"/>
          </w:r>
          <w:r>
            <w:instrText xml:space="preserve"> HYPERLINK \l "_Toc75954062" </w:instrText>
          </w:r>
          <w:r>
            <w:fldChar w:fldCharType="separate"/>
          </w:r>
          <w:r>
            <w:rPr>
              <w:rStyle w:val="22"/>
              <w:rFonts w:ascii="黑体" w:hAnsi="黑体" w:eastAsia="黑体"/>
            </w:rPr>
            <w:t xml:space="preserve">3 </w:t>
          </w:r>
          <w:r>
            <w:rPr>
              <w:rStyle w:val="22"/>
              <w:rFonts w:hint="eastAsia" w:ascii="黑体" w:hAnsi="黑体" w:eastAsia="黑体"/>
            </w:rPr>
            <w:t>概述</w:t>
          </w:r>
          <w:r>
            <w:tab/>
          </w:r>
          <w:r>
            <w:fldChar w:fldCharType="begin"/>
          </w:r>
          <w:r>
            <w:instrText xml:space="preserve"> PAGEREF _Toc75954062 \h </w:instrText>
          </w:r>
          <w:r>
            <w:fldChar w:fldCharType="separate"/>
          </w:r>
          <w:r>
            <w:t>1</w:t>
          </w:r>
          <w:r>
            <w:fldChar w:fldCharType="end"/>
          </w:r>
          <w:r>
            <w:fldChar w:fldCharType="end"/>
          </w:r>
        </w:p>
        <w:p>
          <w:pPr>
            <w:pStyle w:val="16"/>
          </w:pPr>
          <w:r>
            <w:fldChar w:fldCharType="begin"/>
          </w:r>
          <w:r>
            <w:instrText xml:space="preserve"> HYPERLINK \l "_Toc75954063" </w:instrText>
          </w:r>
          <w:r>
            <w:fldChar w:fldCharType="separate"/>
          </w:r>
          <w:r>
            <w:rPr>
              <w:rStyle w:val="22"/>
              <w:rFonts w:ascii="黑体" w:hAnsi="黑体" w:eastAsia="黑体"/>
            </w:rPr>
            <w:t xml:space="preserve">4 </w:t>
          </w:r>
          <w:r>
            <w:rPr>
              <w:rStyle w:val="22"/>
              <w:rFonts w:hint="eastAsia" w:ascii="黑体" w:hAnsi="黑体" w:eastAsia="黑体"/>
            </w:rPr>
            <w:t>计量特性</w:t>
          </w:r>
          <w:r>
            <w:tab/>
          </w:r>
          <w:r>
            <w:fldChar w:fldCharType="begin"/>
          </w:r>
          <w:r>
            <w:instrText xml:space="preserve"> PAGEREF _Toc75954063 \h </w:instrText>
          </w:r>
          <w:r>
            <w:fldChar w:fldCharType="separate"/>
          </w:r>
          <w:r>
            <w:t>2</w:t>
          </w:r>
          <w:r>
            <w:fldChar w:fldCharType="end"/>
          </w:r>
          <w:r>
            <w:fldChar w:fldCharType="end"/>
          </w:r>
        </w:p>
        <w:p>
          <w:pPr>
            <w:pStyle w:val="17"/>
            <w:spacing w:line="360" w:lineRule="auto"/>
          </w:pPr>
          <w:r>
            <w:fldChar w:fldCharType="begin"/>
          </w:r>
          <w:r>
            <w:instrText xml:space="preserve"> HYPERLINK \l "_Toc75954064" </w:instrText>
          </w:r>
          <w:r>
            <w:fldChar w:fldCharType="separate"/>
          </w:r>
          <w:r>
            <w:rPr>
              <w:rStyle w:val="22"/>
              <w:rFonts w:asciiTheme="minorEastAsia" w:hAnsiTheme="minorEastAsia"/>
            </w:rPr>
            <w:t>4.1</w:t>
          </w:r>
          <w:r>
            <w:rPr>
              <w:rStyle w:val="22"/>
              <w:rFonts w:hint="eastAsia" w:asciiTheme="minorEastAsia" w:hAnsiTheme="minorEastAsia"/>
            </w:rPr>
            <w:t>外观及功能</w:t>
          </w:r>
          <w:r>
            <w:tab/>
          </w:r>
          <w:r>
            <w:fldChar w:fldCharType="begin"/>
          </w:r>
          <w:r>
            <w:instrText xml:space="preserve"> PAGEREF _Toc75954064 \h </w:instrText>
          </w:r>
          <w:r>
            <w:fldChar w:fldCharType="separate"/>
          </w:r>
          <w:r>
            <w:t>2</w:t>
          </w:r>
          <w:r>
            <w:fldChar w:fldCharType="end"/>
          </w:r>
          <w:r>
            <w:fldChar w:fldCharType="end"/>
          </w:r>
        </w:p>
        <w:p>
          <w:pPr>
            <w:pStyle w:val="17"/>
            <w:spacing w:line="360" w:lineRule="auto"/>
          </w:pPr>
          <w:r>
            <w:fldChar w:fldCharType="begin"/>
          </w:r>
          <w:r>
            <w:instrText xml:space="preserve"> HYPERLINK \l "_Toc75954065" </w:instrText>
          </w:r>
          <w:r>
            <w:fldChar w:fldCharType="separate"/>
          </w:r>
          <w:r>
            <w:rPr>
              <w:rStyle w:val="22"/>
              <w:rFonts w:asciiTheme="minorEastAsia" w:hAnsiTheme="minorEastAsia"/>
            </w:rPr>
            <w:t>4.2</w:t>
          </w:r>
          <w:r>
            <w:rPr>
              <w:rStyle w:val="22"/>
              <w:rFonts w:hint="eastAsia" w:asciiTheme="minorEastAsia" w:hAnsiTheme="minorEastAsia"/>
            </w:rPr>
            <w:t>计量性能</w:t>
          </w:r>
          <w:r>
            <w:tab/>
          </w:r>
          <w:r>
            <w:fldChar w:fldCharType="begin"/>
          </w:r>
          <w:r>
            <w:instrText xml:space="preserve"> PAGEREF _Toc75954065 \h </w:instrText>
          </w:r>
          <w:r>
            <w:fldChar w:fldCharType="separate"/>
          </w:r>
          <w:r>
            <w:t>3</w:t>
          </w:r>
          <w:r>
            <w:fldChar w:fldCharType="end"/>
          </w:r>
          <w:r>
            <w:fldChar w:fldCharType="end"/>
          </w:r>
        </w:p>
        <w:p>
          <w:pPr>
            <w:pStyle w:val="16"/>
          </w:pPr>
          <w:r>
            <w:fldChar w:fldCharType="begin"/>
          </w:r>
          <w:r>
            <w:instrText xml:space="preserve"> HYPERLINK \l "_Toc75954066" </w:instrText>
          </w:r>
          <w:r>
            <w:fldChar w:fldCharType="separate"/>
          </w:r>
          <w:r>
            <w:rPr>
              <w:rStyle w:val="22"/>
              <w:rFonts w:ascii="黑体" w:hAnsi="黑体" w:eastAsia="黑体"/>
            </w:rPr>
            <w:t xml:space="preserve">5 </w:t>
          </w:r>
          <w:r>
            <w:rPr>
              <w:rStyle w:val="22"/>
              <w:rFonts w:hint="eastAsia" w:ascii="黑体" w:hAnsi="黑体" w:eastAsia="黑体"/>
            </w:rPr>
            <w:t>校准条件</w:t>
          </w:r>
          <w:r>
            <w:tab/>
          </w:r>
          <w:r>
            <w:fldChar w:fldCharType="begin"/>
          </w:r>
          <w:r>
            <w:instrText xml:space="preserve"> PAGEREF _Toc75954066 \h </w:instrText>
          </w:r>
          <w:r>
            <w:fldChar w:fldCharType="separate"/>
          </w:r>
          <w:r>
            <w:t>3</w:t>
          </w:r>
          <w:r>
            <w:fldChar w:fldCharType="end"/>
          </w:r>
          <w:r>
            <w:fldChar w:fldCharType="end"/>
          </w:r>
        </w:p>
        <w:p>
          <w:pPr>
            <w:pStyle w:val="17"/>
            <w:spacing w:line="360" w:lineRule="auto"/>
          </w:pPr>
          <w:r>
            <w:fldChar w:fldCharType="begin"/>
          </w:r>
          <w:r>
            <w:instrText xml:space="preserve"> HYPERLINK \l "_Toc75954067" </w:instrText>
          </w:r>
          <w:r>
            <w:fldChar w:fldCharType="separate"/>
          </w:r>
          <w:r>
            <w:rPr>
              <w:rStyle w:val="22"/>
              <w:rFonts w:asciiTheme="minorEastAsia" w:hAnsiTheme="minorEastAsia"/>
            </w:rPr>
            <w:t xml:space="preserve">5.1 </w:t>
          </w:r>
          <w:r>
            <w:rPr>
              <w:rStyle w:val="22"/>
              <w:rFonts w:hint="eastAsia" w:asciiTheme="minorEastAsia" w:hAnsiTheme="minorEastAsia"/>
            </w:rPr>
            <w:t>环境条件</w:t>
          </w:r>
          <w:r>
            <w:tab/>
          </w:r>
          <w:r>
            <w:fldChar w:fldCharType="begin"/>
          </w:r>
          <w:r>
            <w:instrText xml:space="preserve"> PAGEREF _Toc75954067 \h </w:instrText>
          </w:r>
          <w:r>
            <w:fldChar w:fldCharType="separate"/>
          </w:r>
          <w:r>
            <w:t>3</w:t>
          </w:r>
          <w:r>
            <w:fldChar w:fldCharType="end"/>
          </w:r>
          <w:r>
            <w:fldChar w:fldCharType="end"/>
          </w:r>
        </w:p>
        <w:p>
          <w:pPr>
            <w:pStyle w:val="17"/>
            <w:spacing w:line="360" w:lineRule="auto"/>
          </w:pPr>
          <w:r>
            <w:fldChar w:fldCharType="begin"/>
          </w:r>
          <w:r>
            <w:instrText xml:space="preserve"> HYPERLINK \l "_Toc75954068" </w:instrText>
          </w:r>
          <w:r>
            <w:fldChar w:fldCharType="separate"/>
          </w:r>
          <w:r>
            <w:rPr>
              <w:rStyle w:val="22"/>
              <w:rFonts w:asciiTheme="minorEastAsia" w:hAnsiTheme="minorEastAsia"/>
            </w:rPr>
            <w:t xml:space="preserve">5.2 </w:t>
          </w:r>
          <w:r>
            <w:rPr>
              <w:rStyle w:val="22"/>
              <w:rFonts w:hint="eastAsia" w:asciiTheme="minorEastAsia" w:hAnsiTheme="minorEastAsia"/>
            </w:rPr>
            <w:t>测量标准及其他设备</w:t>
          </w:r>
          <w:r>
            <w:tab/>
          </w:r>
          <w:r>
            <w:fldChar w:fldCharType="begin"/>
          </w:r>
          <w:r>
            <w:instrText xml:space="preserve"> PAGEREF _Toc75954068 \h </w:instrText>
          </w:r>
          <w:r>
            <w:fldChar w:fldCharType="separate"/>
          </w:r>
          <w:r>
            <w:t>3</w:t>
          </w:r>
          <w:r>
            <w:fldChar w:fldCharType="end"/>
          </w:r>
          <w:r>
            <w:fldChar w:fldCharType="end"/>
          </w:r>
        </w:p>
        <w:p>
          <w:pPr>
            <w:pStyle w:val="16"/>
          </w:pPr>
          <w:r>
            <w:fldChar w:fldCharType="begin"/>
          </w:r>
          <w:r>
            <w:instrText xml:space="preserve"> HYPERLINK \l "_Toc75954069" </w:instrText>
          </w:r>
          <w:r>
            <w:fldChar w:fldCharType="separate"/>
          </w:r>
          <w:r>
            <w:rPr>
              <w:rStyle w:val="22"/>
              <w:rFonts w:ascii="黑体" w:hAnsi="黑体" w:eastAsia="黑体"/>
            </w:rPr>
            <w:t xml:space="preserve">6 </w:t>
          </w:r>
          <w:r>
            <w:rPr>
              <w:rStyle w:val="22"/>
              <w:rFonts w:hint="eastAsia" w:ascii="黑体" w:hAnsi="黑体" w:eastAsia="黑体"/>
            </w:rPr>
            <w:t>校准项目和校准方法</w:t>
          </w:r>
          <w:r>
            <w:tab/>
          </w:r>
          <w:r>
            <w:fldChar w:fldCharType="begin"/>
          </w:r>
          <w:r>
            <w:instrText xml:space="preserve"> PAGEREF _Toc75954069 \h </w:instrText>
          </w:r>
          <w:r>
            <w:fldChar w:fldCharType="separate"/>
          </w:r>
          <w:r>
            <w:t>4</w:t>
          </w:r>
          <w:r>
            <w:fldChar w:fldCharType="end"/>
          </w:r>
          <w:r>
            <w:fldChar w:fldCharType="end"/>
          </w:r>
        </w:p>
        <w:p>
          <w:pPr>
            <w:pStyle w:val="17"/>
            <w:spacing w:line="360" w:lineRule="auto"/>
          </w:pPr>
          <w:r>
            <w:fldChar w:fldCharType="begin"/>
          </w:r>
          <w:r>
            <w:instrText xml:space="preserve"> HYPERLINK \l "_Toc75954070" </w:instrText>
          </w:r>
          <w:r>
            <w:fldChar w:fldCharType="separate"/>
          </w:r>
          <w:r>
            <w:rPr>
              <w:rStyle w:val="22"/>
              <w:rFonts w:asciiTheme="minorEastAsia" w:hAnsiTheme="minorEastAsia"/>
            </w:rPr>
            <w:t xml:space="preserve">6.1 </w:t>
          </w:r>
          <w:r>
            <w:rPr>
              <w:rStyle w:val="22"/>
              <w:rFonts w:hint="eastAsia" w:asciiTheme="minorEastAsia" w:hAnsiTheme="minorEastAsia"/>
            </w:rPr>
            <w:t>校准项目</w:t>
          </w:r>
          <w:r>
            <w:tab/>
          </w:r>
          <w:r>
            <w:fldChar w:fldCharType="begin"/>
          </w:r>
          <w:r>
            <w:instrText xml:space="preserve"> PAGEREF _Toc75954070 \h </w:instrText>
          </w:r>
          <w:r>
            <w:fldChar w:fldCharType="separate"/>
          </w:r>
          <w:r>
            <w:t>4</w:t>
          </w:r>
          <w:r>
            <w:fldChar w:fldCharType="end"/>
          </w:r>
          <w:r>
            <w:fldChar w:fldCharType="end"/>
          </w:r>
        </w:p>
        <w:p>
          <w:pPr>
            <w:pStyle w:val="17"/>
            <w:spacing w:line="360" w:lineRule="auto"/>
          </w:pPr>
          <w:r>
            <w:fldChar w:fldCharType="begin"/>
          </w:r>
          <w:r>
            <w:instrText xml:space="preserve"> HYPERLINK \l "_Toc75954071" </w:instrText>
          </w:r>
          <w:r>
            <w:fldChar w:fldCharType="separate"/>
          </w:r>
          <w:r>
            <w:rPr>
              <w:rStyle w:val="22"/>
              <w:rFonts w:asciiTheme="minorEastAsia" w:hAnsiTheme="minorEastAsia"/>
            </w:rPr>
            <w:t xml:space="preserve">6.2 </w:t>
          </w:r>
          <w:r>
            <w:rPr>
              <w:rStyle w:val="22"/>
              <w:rFonts w:hint="eastAsia" w:asciiTheme="minorEastAsia" w:hAnsiTheme="minorEastAsia"/>
            </w:rPr>
            <w:t>外观及功能检查</w:t>
          </w:r>
          <w:r>
            <w:tab/>
          </w:r>
          <w:r>
            <w:fldChar w:fldCharType="begin"/>
          </w:r>
          <w:r>
            <w:instrText xml:space="preserve"> PAGEREF _Toc75954071 \h </w:instrText>
          </w:r>
          <w:r>
            <w:fldChar w:fldCharType="separate"/>
          </w:r>
          <w:r>
            <w:t>4</w:t>
          </w:r>
          <w:r>
            <w:fldChar w:fldCharType="end"/>
          </w:r>
          <w:r>
            <w:fldChar w:fldCharType="end"/>
          </w:r>
        </w:p>
        <w:p>
          <w:pPr>
            <w:pStyle w:val="17"/>
            <w:spacing w:line="360" w:lineRule="auto"/>
          </w:pPr>
          <w:r>
            <w:fldChar w:fldCharType="begin"/>
          </w:r>
          <w:r>
            <w:instrText xml:space="preserve"> HYPERLINK \l "_Toc75954072" </w:instrText>
          </w:r>
          <w:r>
            <w:fldChar w:fldCharType="separate"/>
          </w:r>
          <w:r>
            <w:rPr>
              <w:rStyle w:val="22"/>
              <w:rFonts w:asciiTheme="minorEastAsia" w:hAnsiTheme="minorEastAsia"/>
            </w:rPr>
            <w:t xml:space="preserve">6.3 </w:t>
          </w:r>
          <w:r>
            <w:rPr>
              <w:rStyle w:val="22"/>
              <w:rFonts w:hint="eastAsia" w:asciiTheme="minorEastAsia" w:hAnsiTheme="minorEastAsia"/>
            </w:rPr>
            <w:t>校准方法</w:t>
          </w:r>
          <w:r>
            <w:tab/>
          </w:r>
          <w:r>
            <w:fldChar w:fldCharType="begin"/>
          </w:r>
          <w:r>
            <w:instrText xml:space="preserve"> PAGEREF _Toc75954072 \h </w:instrText>
          </w:r>
          <w:r>
            <w:fldChar w:fldCharType="separate"/>
          </w:r>
          <w:r>
            <w:t>4</w:t>
          </w:r>
          <w:r>
            <w:fldChar w:fldCharType="end"/>
          </w:r>
          <w:r>
            <w:fldChar w:fldCharType="end"/>
          </w:r>
        </w:p>
        <w:p>
          <w:pPr>
            <w:pStyle w:val="16"/>
          </w:pPr>
          <w:r>
            <w:fldChar w:fldCharType="begin"/>
          </w:r>
          <w:r>
            <w:instrText xml:space="preserve"> HYPERLINK \l "_Toc75954074" </w:instrText>
          </w:r>
          <w:r>
            <w:fldChar w:fldCharType="separate"/>
          </w:r>
          <w:r>
            <w:rPr>
              <w:rStyle w:val="22"/>
              <w:rFonts w:ascii="黑体" w:hAnsi="黑体" w:eastAsia="黑体"/>
            </w:rPr>
            <w:t xml:space="preserve">7 </w:t>
          </w:r>
          <w:r>
            <w:rPr>
              <w:rStyle w:val="22"/>
              <w:rFonts w:hint="eastAsia" w:ascii="黑体" w:hAnsi="黑体" w:eastAsia="黑体"/>
            </w:rPr>
            <w:t>校准结果的表达</w:t>
          </w:r>
          <w:r>
            <w:tab/>
          </w:r>
          <w:r>
            <w:fldChar w:fldCharType="begin"/>
          </w:r>
          <w:r>
            <w:instrText xml:space="preserve"> PAGEREF _Toc75954074 \h </w:instrText>
          </w:r>
          <w:r>
            <w:fldChar w:fldCharType="separate"/>
          </w:r>
          <w:r>
            <w:t>5</w:t>
          </w:r>
          <w:r>
            <w:fldChar w:fldCharType="end"/>
          </w:r>
          <w:r>
            <w:fldChar w:fldCharType="end"/>
          </w:r>
        </w:p>
        <w:p>
          <w:pPr>
            <w:pStyle w:val="16"/>
          </w:pPr>
          <w:r>
            <w:fldChar w:fldCharType="begin"/>
          </w:r>
          <w:r>
            <w:instrText xml:space="preserve"> HYPERLINK \l "_Toc75954075" </w:instrText>
          </w:r>
          <w:r>
            <w:fldChar w:fldCharType="separate"/>
          </w:r>
          <w:r>
            <w:rPr>
              <w:rStyle w:val="22"/>
              <w:rFonts w:ascii="黑体" w:hAnsi="黑体" w:eastAsia="黑体"/>
            </w:rPr>
            <w:t xml:space="preserve">8 </w:t>
          </w:r>
          <w:r>
            <w:rPr>
              <w:rStyle w:val="22"/>
              <w:rFonts w:hint="eastAsia" w:ascii="黑体" w:hAnsi="黑体" w:eastAsia="黑体"/>
            </w:rPr>
            <w:t>复校时间间隔</w:t>
          </w:r>
          <w:r>
            <w:tab/>
          </w:r>
          <w:r>
            <w:fldChar w:fldCharType="begin"/>
          </w:r>
          <w:r>
            <w:instrText xml:space="preserve"> PAGEREF _Toc75954075 \h </w:instrText>
          </w:r>
          <w:r>
            <w:fldChar w:fldCharType="separate"/>
          </w:r>
          <w:r>
            <w:t>5</w:t>
          </w:r>
          <w:r>
            <w:fldChar w:fldCharType="end"/>
          </w:r>
          <w:r>
            <w:fldChar w:fldCharType="end"/>
          </w:r>
        </w:p>
        <w:p>
          <w:pPr>
            <w:pStyle w:val="16"/>
          </w:pPr>
          <w:r>
            <w:fldChar w:fldCharType="begin"/>
          </w:r>
          <w:r>
            <w:instrText xml:space="preserve"> HYPERLINK \l "_Toc75954076" </w:instrText>
          </w:r>
          <w:r>
            <w:fldChar w:fldCharType="separate"/>
          </w:r>
          <w:r>
            <w:rPr>
              <w:rStyle w:val="22"/>
              <w:rFonts w:hint="eastAsia" w:ascii="黑体" w:hAnsi="黑体" w:eastAsia="黑体"/>
            </w:rPr>
            <w:t>附录</w:t>
          </w:r>
          <w:r>
            <w:rPr>
              <w:rStyle w:val="22"/>
              <w:rFonts w:ascii="黑体" w:hAnsi="黑体" w:eastAsia="黑体"/>
            </w:rPr>
            <w:t>A</w:t>
          </w:r>
          <w:r>
            <w:rPr>
              <w:rStyle w:val="22"/>
              <w:rFonts w:hint="eastAsia" w:ascii="黑体" w:hAnsi="黑体" w:eastAsia="黑体"/>
            </w:rPr>
            <w:t xml:space="preserve"> 校准记录表参考格式</w:t>
          </w:r>
          <w:r>
            <w:tab/>
          </w:r>
          <w:r>
            <w:fldChar w:fldCharType="begin"/>
          </w:r>
          <w:r>
            <w:instrText xml:space="preserve"> PAGEREF _Toc75954076 \h </w:instrText>
          </w:r>
          <w:r>
            <w:fldChar w:fldCharType="separate"/>
          </w:r>
          <w:r>
            <w:t>6</w:t>
          </w:r>
          <w:r>
            <w:fldChar w:fldCharType="end"/>
          </w:r>
          <w:r>
            <w:fldChar w:fldCharType="end"/>
          </w:r>
        </w:p>
        <w:p>
          <w:pPr>
            <w:pStyle w:val="16"/>
          </w:pPr>
          <w:r>
            <w:fldChar w:fldCharType="begin"/>
          </w:r>
          <w:r>
            <w:instrText xml:space="preserve"> HYPERLINK \l "_Toc75954077" </w:instrText>
          </w:r>
          <w:r>
            <w:fldChar w:fldCharType="separate"/>
          </w:r>
          <w:r>
            <w:rPr>
              <w:rStyle w:val="22"/>
              <w:rFonts w:hint="eastAsia" w:ascii="黑体" w:hAnsi="黑体" w:eastAsia="黑体"/>
            </w:rPr>
            <w:t>附录B 校准证书内页信息参考格式</w:t>
          </w:r>
          <w:r>
            <w:tab/>
          </w:r>
          <w:r>
            <w:fldChar w:fldCharType="begin"/>
          </w:r>
          <w:r>
            <w:instrText xml:space="preserve"> PAGEREF _Toc75954077 \h </w:instrText>
          </w:r>
          <w:r>
            <w:fldChar w:fldCharType="separate"/>
          </w:r>
          <w:r>
            <w:t>7</w:t>
          </w:r>
          <w:r>
            <w:fldChar w:fldCharType="end"/>
          </w:r>
          <w:r>
            <w:fldChar w:fldCharType="end"/>
          </w:r>
        </w:p>
        <w:p>
          <w:pPr>
            <w:pStyle w:val="16"/>
          </w:pPr>
          <w:r>
            <w:fldChar w:fldCharType="begin"/>
          </w:r>
          <w:r>
            <w:instrText xml:space="preserve"> HYPERLINK \l "_Toc75954078" </w:instrText>
          </w:r>
          <w:r>
            <w:fldChar w:fldCharType="separate"/>
          </w:r>
          <w:r>
            <w:rPr>
              <w:rStyle w:val="22"/>
              <w:rFonts w:hint="eastAsia" w:ascii="黑体" w:hAnsi="黑体" w:eastAsia="黑体"/>
            </w:rPr>
            <w:t>附录</w:t>
          </w:r>
          <w:r>
            <w:rPr>
              <w:rStyle w:val="22"/>
              <w:rFonts w:ascii="黑体" w:hAnsi="黑体" w:eastAsia="黑体"/>
            </w:rPr>
            <w:t>C</w:t>
          </w:r>
          <w:r>
            <w:rPr>
              <w:rStyle w:val="22"/>
              <w:rFonts w:hint="eastAsia" w:ascii="黑体" w:hAnsi="黑体" w:eastAsia="黑体"/>
            </w:rPr>
            <w:t xml:space="preserve"> 校准不确定度评定示例</w:t>
          </w:r>
          <w:r>
            <w:tab/>
          </w:r>
          <w:r>
            <w:fldChar w:fldCharType="begin"/>
          </w:r>
          <w:r>
            <w:instrText xml:space="preserve"> PAGEREF _Toc75954078 \h </w:instrText>
          </w:r>
          <w:r>
            <w:fldChar w:fldCharType="separate"/>
          </w:r>
          <w:r>
            <w:t>8</w:t>
          </w:r>
          <w:r>
            <w:fldChar w:fldCharType="end"/>
          </w:r>
          <w:r>
            <w:fldChar w:fldCharType="end"/>
          </w:r>
        </w:p>
        <w:p>
          <w:r>
            <w:fldChar w:fldCharType="end"/>
          </w:r>
        </w:p>
      </w:sdtContent>
    </w:sdt>
    <w:p>
      <w:pPr>
        <w:jc w:val="center"/>
        <w:rPr>
          <w:rFonts w:ascii="Times New Roman" w:hAnsi="Times New Roman" w:cs="Times New Roman"/>
          <w:bCs/>
          <w:caps/>
          <w:sz w:val="24"/>
          <w:szCs w:val="24"/>
        </w:rPr>
      </w:pPr>
    </w:p>
    <w:p>
      <w:pPr>
        <w:widowControl/>
        <w:jc w:val="left"/>
        <w:rPr>
          <w:rFonts w:ascii="Times New Roman" w:hAnsi="Times New Roman" w:cs="Times New Roman"/>
          <w:bCs/>
          <w:caps/>
          <w:sz w:val="24"/>
          <w:szCs w:val="24"/>
        </w:rPr>
      </w:pPr>
      <w:r>
        <w:rPr>
          <w:rFonts w:ascii="Times New Roman" w:hAnsi="Times New Roman" w:cs="Times New Roman"/>
          <w:bCs/>
          <w:caps/>
          <w:sz w:val="24"/>
          <w:szCs w:val="24"/>
        </w:rPr>
        <w:br w:type="page"/>
      </w:r>
    </w:p>
    <w:p>
      <w:pPr>
        <w:pStyle w:val="2"/>
        <w:jc w:val="center"/>
        <w:rPr>
          <w:rFonts w:ascii="黑体" w:hAnsi="黑体" w:eastAsia="黑体"/>
          <w:b w:val="0"/>
        </w:rPr>
      </w:pPr>
      <w:bookmarkStart w:id="6" w:name="_Toc75954059"/>
      <w:bookmarkStart w:id="7" w:name="_Toc453489827"/>
      <w:r>
        <w:rPr>
          <w:rFonts w:ascii="黑体" w:hAnsi="黑体" w:eastAsia="黑体"/>
          <w:b w:val="0"/>
        </w:rPr>
        <w:t>引  言</w:t>
      </w:r>
      <w:bookmarkEnd w:id="6"/>
      <w:bookmarkEnd w:id="7"/>
    </w:p>
    <w:p>
      <w:pPr>
        <w:spacing w:line="360" w:lineRule="auto"/>
        <w:ind w:firstLine="480" w:firstLineChars="200"/>
        <w:rPr>
          <w:rFonts w:asciiTheme="minorEastAsia" w:hAnsiTheme="minorEastAsia"/>
          <w:sz w:val="24"/>
        </w:rPr>
      </w:pPr>
      <w:r>
        <w:rPr>
          <w:rFonts w:hint="eastAsia" w:asciiTheme="minorEastAsia" w:hAnsiTheme="minorEastAsia"/>
          <w:sz w:val="24"/>
        </w:rPr>
        <w:t>JJF 1001-2011《通用计量名词术语及定义》、JJF 1059-2012《测量不确定度评定与表示》和JJF 1071-2010《国家计量校准规范编写规则》共同构成支撑本规范制定工作的基础性系列规范。</w:t>
      </w:r>
    </w:p>
    <w:p>
      <w:pPr>
        <w:spacing w:line="360" w:lineRule="auto"/>
        <w:ind w:firstLine="480" w:firstLineChars="200"/>
        <w:rPr>
          <w:rFonts w:asciiTheme="minorEastAsia" w:hAnsiTheme="minorEastAsia"/>
          <w:sz w:val="24"/>
        </w:rPr>
      </w:pPr>
      <w:r>
        <w:rPr>
          <w:rFonts w:hint="eastAsia" w:asciiTheme="minorEastAsia" w:hAnsiTheme="minorEastAsia"/>
          <w:sz w:val="24"/>
        </w:rPr>
        <w:t>本规范结合海洋部门机械计数式浮游生物网口流量计</w:t>
      </w:r>
      <w:r>
        <w:rPr>
          <w:sz w:val="24"/>
        </w:rPr>
        <w:t>的</w:t>
      </w:r>
      <w:r>
        <w:rPr>
          <w:rFonts w:hint="eastAsia" w:ascii="Times New Roman" w:hAnsi="Times New Roman" w:cs="Times New Roman"/>
          <w:sz w:val="24"/>
          <w:szCs w:val="24"/>
        </w:rPr>
        <w:t>使用现状，参考了</w:t>
      </w:r>
      <w:r>
        <w:rPr>
          <w:rFonts w:hint="eastAsia" w:ascii="宋体" w:hAnsi="宋体" w:eastAsia="宋体" w:cs="Times New Roman"/>
          <w:sz w:val="24"/>
        </w:rPr>
        <w:t>GB 17378.7-2007《海洋监测规范 第7部分：近海污染生态调查和生物监测》、JJG</w:t>
      </w:r>
      <w:r>
        <w:rPr>
          <w:rFonts w:hint="eastAsia" w:asciiTheme="minorEastAsia" w:hAnsiTheme="minorEastAsia"/>
          <w:sz w:val="24"/>
        </w:rPr>
        <w:t xml:space="preserve"> </w:t>
      </w:r>
      <w:r>
        <w:rPr>
          <w:rFonts w:hint="eastAsia" w:ascii="宋体" w:hAnsi="宋体" w:eastAsia="宋体" w:cs="Times New Roman"/>
          <w:sz w:val="24"/>
        </w:rPr>
        <w:t>628</w:t>
      </w:r>
      <w:r>
        <w:rPr>
          <w:rFonts w:ascii="宋体" w:hAnsi="宋体" w:eastAsia="宋体" w:cs="Times New Roman"/>
          <w:sz w:val="24"/>
        </w:rPr>
        <w:t>-20</w:t>
      </w:r>
      <w:r>
        <w:rPr>
          <w:rFonts w:hint="eastAsia" w:ascii="宋体" w:hAnsi="宋体" w:eastAsia="宋体" w:cs="Times New Roman"/>
          <w:sz w:val="24"/>
        </w:rPr>
        <w:t>19</w:t>
      </w:r>
      <w:r>
        <w:rPr>
          <w:rFonts w:ascii="宋体" w:hAnsi="宋体" w:eastAsia="宋体" w:cs="Times New Roman"/>
          <w:sz w:val="24"/>
        </w:rPr>
        <w:t>《</w:t>
      </w:r>
      <w:r>
        <w:rPr>
          <w:rFonts w:hint="eastAsia" w:ascii="宋体" w:hAnsi="宋体" w:eastAsia="宋体" w:cs="Times New Roman"/>
          <w:sz w:val="24"/>
        </w:rPr>
        <w:t>SLC9型直读式海流计检定规程</w:t>
      </w:r>
      <w:r>
        <w:rPr>
          <w:rFonts w:ascii="宋体" w:hAnsi="宋体" w:eastAsia="宋体" w:cs="Times New Roman"/>
          <w:sz w:val="24"/>
        </w:rPr>
        <w:t>》</w:t>
      </w:r>
      <w:r>
        <w:rPr>
          <w:rFonts w:hint="eastAsia" w:asciiTheme="minorEastAsia" w:hAnsiTheme="minorEastAsia"/>
          <w:sz w:val="24"/>
        </w:rPr>
        <w:t>、JJG 1999</w:t>
      </w:r>
      <w:r>
        <w:rPr>
          <w:rFonts w:asciiTheme="minorEastAsia" w:hAnsiTheme="minorEastAsia"/>
          <w:sz w:val="24"/>
        </w:rPr>
        <w:t>-</w:t>
      </w:r>
      <w:r>
        <w:rPr>
          <w:rFonts w:hint="eastAsia" w:asciiTheme="minorEastAsia" w:hAnsiTheme="minorEastAsia"/>
          <w:sz w:val="24"/>
        </w:rPr>
        <w:t>2022《转子式流速仪校准规范》</w:t>
      </w:r>
      <w:r>
        <w:rPr>
          <w:rFonts w:hint="eastAsia" w:ascii="宋体" w:hAnsi="宋体" w:eastAsia="宋体" w:cs="Times New Roman"/>
          <w:sz w:val="24"/>
        </w:rPr>
        <w:t>等技术文件的部分内容进行制定</w:t>
      </w:r>
      <w:r>
        <w:rPr>
          <w:rFonts w:hint="eastAsia" w:ascii="Times New Roman" w:hAnsi="Times New Roman" w:cs="Times New Roman"/>
          <w:sz w:val="24"/>
          <w:szCs w:val="24"/>
        </w:rPr>
        <w:t>。</w:t>
      </w:r>
    </w:p>
    <w:p>
      <w:pPr>
        <w:spacing w:line="360" w:lineRule="auto"/>
        <w:ind w:firstLine="480" w:firstLineChars="200"/>
      </w:pPr>
      <w:r>
        <w:rPr>
          <w:rFonts w:hint="eastAsia" w:ascii="宋体" w:hAnsi="宋体" w:eastAsia="宋体" w:cs="Times New Roman"/>
          <w:sz w:val="24"/>
        </w:rPr>
        <w:t>本规范为首次制定。</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sectPr>
          <w:footerReference r:id="rId4" w:type="default"/>
          <w:pgSz w:w="11906" w:h="16838"/>
          <w:pgMar w:top="1440" w:right="1800" w:bottom="1440" w:left="1800" w:header="851" w:footer="992" w:gutter="0"/>
          <w:pgNumType w:fmt="upperRoman" w:start="1"/>
          <w:cols w:space="425" w:num="1"/>
          <w:docGrid w:type="lines" w:linePitch="312" w:charSpace="0"/>
        </w:sectPr>
      </w:pPr>
    </w:p>
    <w:bookmarkEnd w:id="0"/>
    <w:p>
      <w:pPr>
        <w:jc w:val="center"/>
        <w:rPr>
          <w:rFonts w:ascii="黑体" w:hAnsi="黑体" w:eastAsia="黑体"/>
          <w:sz w:val="32"/>
          <w:szCs w:val="32"/>
        </w:rPr>
      </w:pPr>
      <w:bookmarkStart w:id="8" w:name="_Toc262743957"/>
      <w:bookmarkStart w:id="9" w:name="_Toc453489828"/>
      <w:r>
        <w:rPr>
          <w:rFonts w:hint="eastAsia" w:ascii="黑体" w:hAnsi="黑体" w:eastAsia="黑体"/>
          <w:sz w:val="32"/>
          <w:szCs w:val="32"/>
        </w:rPr>
        <w:t>机械计数式海洋浮游生物网口流量计校准规范</w:t>
      </w:r>
    </w:p>
    <w:p>
      <w:pPr>
        <w:pStyle w:val="2"/>
        <w:rPr>
          <w:rFonts w:ascii="黑体" w:hAnsi="黑体" w:eastAsia="黑体"/>
          <w:b w:val="0"/>
          <w:sz w:val="24"/>
          <w:szCs w:val="24"/>
        </w:rPr>
      </w:pPr>
      <w:bookmarkStart w:id="10" w:name="_Toc75954060"/>
      <w:r>
        <w:rPr>
          <w:rFonts w:ascii="黑体" w:hAnsi="黑体" w:eastAsia="黑体"/>
          <w:b w:val="0"/>
          <w:sz w:val="24"/>
          <w:szCs w:val="24"/>
        </w:rPr>
        <w:t>1 范围</w:t>
      </w:r>
      <w:bookmarkEnd w:id="8"/>
      <w:bookmarkEnd w:id="9"/>
      <w:bookmarkEnd w:id="10"/>
    </w:p>
    <w:p>
      <w:pPr>
        <w:spacing w:line="360" w:lineRule="auto"/>
        <w:ind w:firstLine="480"/>
        <w:rPr>
          <w:rFonts w:hAnsi="宋体"/>
          <w:sz w:val="24"/>
        </w:rPr>
      </w:pPr>
      <w:r>
        <w:rPr>
          <w:sz w:val="24"/>
        </w:rPr>
        <w:t>本</w:t>
      </w:r>
      <w:r>
        <w:rPr>
          <w:rFonts w:hint="eastAsia"/>
          <w:sz w:val="24"/>
        </w:rPr>
        <w:t>规范</w:t>
      </w:r>
      <w:r>
        <w:rPr>
          <w:sz w:val="24"/>
        </w:rPr>
        <w:t>适用于</w:t>
      </w:r>
      <w:r>
        <w:rPr>
          <w:rFonts w:hint="eastAsia"/>
          <w:sz w:val="24"/>
        </w:rPr>
        <w:t>机械计数式海洋浮游生物网口流量计（以下简称“流量计”）</w:t>
      </w:r>
      <w:r>
        <w:rPr>
          <w:sz w:val="24"/>
        </w:rPr>
        <w:t>的校准</w:t>
      </w:r>
      <w:r>
        <w:rPr>
          <w:rFonts w:hint="eastAsia"/>
          <w:sz w:val="24"/>
        </w:rPr>
        <w:t>。</w:t>
      </w:r>
    </w:p>
    <w:p>
      <w:pPr>
        <w:pStyle w:val="2"/>
        <w:rPr>
          <w:rFonts w:ascii="黑体" w:hAnsi="黑体" w:eastAsia="黑体"/>
          <w:b w:val="0"/>
          <w:sz w:val="24"/>
          <w:szCs w:val="24"/>
        </w:rPr>
      </w:pPr>
      <w:bookmarkStart w:id="11" w:name="_Toc453489829"/>
      <w:bookmarkStart w:id="12" w:name="_Toc75954061"/>
      <w:r>
        <w:rPr>
          <w:rFonts w:ascii="黑体" w:hAnsi="黑体" w:eastAsia="黑体"/>
          <w:b w:val="0"/>
          <w:sz w:val="24"/>
          <w:szCs w:val="24"/>
        </w:rPr>
        <w:t>2 引用文件</w:t>
      </w:r>
      <w:bookmarkEnd w:id="11"/>
      <w:bookmarkEnd w:id="12"/>
    </w:p>
    <w:p>
      <w:pPr>
        <w:spacing w:line="360" w:lineRule="auto"/>
        <w:ind w:left="420"/>
        <w:rPr>
          <w:rFonts w:asciiTheme="minorEastAsia" w:hAnsiTheme="minorEastAsia"/>
          <w:sz w:val="24"/>
        </w:rPr>
      </w:pPr>
      <w:r>
        <w:rPr>
          <w:rFonts w:hint="eastAsia" w:asciiTheme="minorEastAsia" w:hAnsiTheme="minorEastAsia"/>
          <w:sz w:val="24"/>
        </w:rPr>
        <w:t>本规范引用了下列文件：</w:t>
      </w:r>
    </w:p>
    <w:p>
      <w:pPr>
        <w:spacing w:line="360" w:lineRule="auto"/>
        <w:ind w:left="420"/>
        <w:rPr>
          <w:rFonts w:ascii="宋体" w:hAnsi="宋体" w:eastAsia="宋体" w:cs="Times New Roman"/>
          <w:sz w:val="24"/>
        </w:rPr>
      </w:pPr>
      <w:r>
        <w:rPr>
          <w:rFonts w:hint="eastAsia" w:ascii="宋体" w:hAnsi="宋体" w:eastAsia="宋体" w:cs="Times New Roman"/>
          <w:sz w:val="24"/>
        </w:rPr>
        <w:t>GB 17378.7-2007 海洋监测规范 第7部分：近海污染生态调查和生物监测</w:t>
      </w:r>
    </w:p>
    <w:p>
      <w:pPr>
        <w:spacing w:line="360" w:lineRule="auto"/>
        <w:ind w:left="420"/>
        <w:rPr>
          <w:rFonts w:asciiTheme="minorEastAsia" w:hAnsiTheme="minorEastAsia"/>
          <w:sz w:val="24"/>
        </w:rPr>
      </w:pPr>
      <w:r>
        <w:rPr>
          <w:rFonts w:ascii="宋体" w:hAnsi="宋体" w:eastAsia="宋体" w:cs="Times New Roman"/>
          <w:sz w:val="24"/>
        </w:rPr>
        <w:t>JJ</w:t>
      </w:r>
      <w:r>
        <w:rPr>
          <w:rFonts w:hint="eastAsia" w:ascii="宋体" w:hAnsi="宋体" w:eastAsia="宋体" w:cs="Times New Roman"/>
          <w:sz w:val="24"/>
        </w:rPr>
        <w:t>G</w:t>
      </w:r>
      <w:r>
        <w:rPr>
          <w:rFonts w:hint="eastAsia" w:asciiTheme="minorEastAsia" w:hAnsiTheme="minorEastAsia"/>
          <w:sz w:val="24"/>
        </w:rPr>
        <w:t xml:space="preserve"> </w:t>
      </w:r>
      <w:r>
        <w:rPr>
          <w:rFonts w:hint="eastAsia" w:ascii="宋体" w:hAnsi="宋体" w:eastAsia="宋体" w:cs="Times New Roman"/>
          <w:sz w:val="24"/>
        </w:rPr>
        <w:t>628</w:t>
      </w:r>
      <w:r>
        <w:rPr>
          <w:rFonts w:ascii="宋体" w:hAnsi="宋体" w:eastAsia="宋体" w:cs="Times New Roman"/>
          <w:sz w:val="24"/>
        </w:rPr>
        <w:t>-20</w:t>
      </w:r>
      <w:r>
        <w:rPr>
          <w:rFonts w:hint="eastAsia" w:ascii="宋体" w:hAnsi="宋体" w:eastAsia="宋体" w:cs="Times New Roman"/>
          <w:sz w:val="24"/>
        </w:rPr>
        <w:t>19 SLC9型直读式海流计检定规程</w:t>
      </w:r>
    </w:p>
    <w:p>
      <w:pPr>
        <w:spacing w:line="360" w:lineRule="auto"/>
        <w:ind w:left="420"/>
        <w:rPr>
          <w:rFonts w:asciiTheme="minorEastAsia" w:hAnsiTheme="minorEastAsia"/>
          <w:sz w:val="24"/>
          <w:szCs w:val="24"/>
        </w:rPr>
      </w:pPr>
      <w:r>
        <w:rPr>
          <w:rFonts w:hint="eastAsia" w:asciiTheme="minorEastAsia" w:hAnsiTheme="minorEastAsia"/>
          <w:sz w:val="24"/>
          <w:szCs w:val="24"/>
        </w:rPr>
        <w:t>JJF 1999-2022 转子式流速仪校准规程</w:t>
      </w:r>
    </w:p>
    <w:p>
      <w:pPr>
        <w:spacing w:line="360" w:lineRule="auto"/>
        <w:ind w:left="420"/>
        <w:rPr>
          <w:rFonts w:asciiTheme="minorEastAsia" w:hAnsiTheme="minorEastAsia"/>
          <w:sz w:val="24"/>
        </w:rPr>
      </w:pPr>
      <w:r>
        <w:rPr>
          <w:rFonts w:hint="eastAsia" w:asciiTheme="minorEastAsia" w:hAnsiTheme="minorEastAsia"/>
          <w:sz w:val="24"/>
        </w:rPr>
        <w:t>JJF 1001-2011 通用计量术语及定义</w:t>
      </w:r>
    </w:p>
    <w:p>
      <w:pPr>
        <w:spacing w:line="360" w:lineRule="auto"/>
        <w:ind w:left="420"/>
        <w:rPr>
          <w:rFonts w:asciiTheme="minorEastAsia" w:hAnsiTheme="minorEastAsia"/>
          <w:sz w:val="24"/>
        </w:rPr>
      </w:pPr>
      <w:r>
        <w:rPr>
          <w:rFonts w:hint="eastAsia" w:asciiTheme="minorEastAsia" w:hAnsiTheme="minorEastAsia"/>
          <w:sz w:val="24"/>
        </w:rPr>
        <w:t>JJF 1059-2012 测量不确定度评定与表示</w:t>
      </w:r>
    </w:p>
    <w:p>
      <w:pPr>
        <w:spacing w:line="360" w:lineRule="auto"/>
        <w:ind w:left="424" w:leftChars="202"/>
        <w:rPr>
          <w:rFonts w:asciiTheme="minorEastAsia" w:hAnsiTheme="minorEastAsia"/>
          <w:sz w:val="24"/>
          <w:szCs w:val="24"/>
        </w:rPr>
      </w:pPr>
    </w:p>
    <w:p>
      <w:pPr>
        <w:spacing w:line="360" w:lineRule="auto"/>
        <w:ind w:firstLine="422" w:firstLineChars="176"/>
        <w:rPr>
          <w:rFonts w:asciiTheme="minorEastAsia" w:hAnsiTheme="minorEastAsia"/>
          <w:sz w:val="24"/>
          <w:szCs w:val="24"/>
        </w:rPr>
      </w:pPr>
      <w:r>
        <w:rPr>
          <w:rFonts w:hint="eastAsia" w:asciiTheme="minorEastAsia" w:hAnsiTheme="minorEastAsia"/>
          <w:color w:val="000000" w:themeColor="text1"/>
          <w:sz w:val="24"/>
        </w:rPr>
        <w:t>凡是注日期的引用文件，仅注日期的版本适用于本规范；凡是不注日期的引用文件，其最新版本（包括所有的修改单）适用于本规范。</w:t>
      </w:r>
    </w:p>
    <w:p>
      <w:pPr>
        <w:pStyle w:val="2"/>
        <w:rPr>
          <w:rFonts w:ascii="黑体" w:hAnsi="黑体" w:eastAsia="黑体"/>
          <w:b w:val="0"/>
          <w:sz w:val="24"/>
          <w:szCs w:val="24"/>
        </w:rPr>
      </w:pPr>
      <w:bookmarkStart w:id="13" w:name="_Toc453489833"/>
      <w:bookmarkStart w:id="14" w:name="_Toc75954062"/>
      <w:bookmarkStart w:id="15" w:name="_Toc262743958"/>
      <w:r>
        <w:rPr>
          <w:rFonts w:hint="eastAsia" w:ascii="黑体" w:hAnsi="黑体" w:eastAsia="黑体"/>
          <w:b w:val="0"/>
          <w:sz w:val="24"/>
          <w:szCs w:val="24"/>
        </w:rPr>
        <w:t>3</w:t>
      </w:r>
      <w:r>
        <w:rPr>
          <w:rFonts w:ascii="黑体" w:hAnsi="黑体" w:eastAsia="黑体"/>
          <w:b w:val="0"/>
          <w:sz w:val="24"/>
          <w:szCs w:val="24"/>
        </w:rPr>
        <w:t xml:space="preserve"> </w:t>
      </w:r>
      <w:r>
        <w:rPr>
          <w:rFonts w:hint="eastAsia" w:ascii="黑体" w:hAnsi="黑体" w:eastAsia="黑体"/>
          <w:b w:val="0"/>
          <w:sz w:val="24"/>
          <w:szCs w:val="24"/>
        </w:rPr>
        <w:t>术语和计量单位</w:t>
      </w:r>
    </w:p>
    <w:p>
      <w:pPr>
        <w:pStyle w:val="2"/>
        <w:ind w:firstLine="480" w:firstLineChars="200"/>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转子常数为流量计拖拽距离与记录器前后计数之差的比值，符号为m。</w:t>
      </w:r>
    </w:p>
    <w:p>
      <w:pPr>
        <w:pStyle w:val="2"/>
        <w:rPr>
          <w:rFonts w:ascii="黑体" w:hAnsi="黑体" w:eastAsia="黑体"/>
          <w:b w:val="0"/>
          <w:sz w:val="24"/>
          <w:szCs w:val="24"/>
        </w:rPr>
      </w:pPr>
      <w:r>
        <w:rPr>
          <w:rFonts w:hint="eastAsia" w:ascii="黑体" w:hAnsi="黑体" w:eastAsia="黑体"/>
          <w:b w:val="0"/>
          <w:sz w:val="24"/>
          <w:szCs w:val="24"/>
        </w:rPr>
        <w:t>4</w:t>
      </w:r>
      <w:r>
        <w:rPr>
          <w:rFonts w:ascii="黑体" w:hAnsi="黑体" w:eastAsia="黑体"/>
          <w:b w:val="0"/>
          <w:sz w:val="24"/>
          <w:szCs w:val="24"/>
        </w:rPr>
        <w:t xml:space="preserve"> 概述</w:t>
      </w:r>
      <w:bookmarkEnd w:id="13"/>
      <w:bookmarkEnd w:id="14"/>
      <w:bookmarkEnd w:id="15"/>
    </w:p>
    <w:p>
      <w:pPr>
        <w:spacing w:line="360" w:lineRule="auto"/>
        <w:ind w:firstLine="432"/>
        <w:rPr>
          <w:rFonts w:asciiTheme="minorEastAsia" w:hAnsiTheme="minorEastAsia"/>
          <w:sz w:val="24"/>
          <w:szCs w:val="24"/>
        </w:rPr>
      </w:pPr>
      <w:r>
        <w:rPr>
          <w:rFonts w:hint="eastAsia" w:asciiTheme="minorEastAsia" w:hAnsiTheme="minorEastAsia"/>
          <w:sz w:val="24"/>
          <w:szCs w:val="24"/>
        </w:rPr>
        <w:t>机械计数式海洋浮游生物网口流量计是海洋浮游生物采样滤水量的测量设备，主要由固定栓、主舱、记录器、转轴和叶轮组成（图1）。使用时将流量计安装于网口半径的中点位置，采样作业过程中网具在水中被拖动，驱使流量计叶轮转动，记录器记录网具拖动过程中叶轮的转数，经必要的换算（式1），求出流经网具的实际水量。</w:t>
      </w:r>
    </w:p>
    <w:p>
      <w:bookmarkStart w:id="16" w:name="_Toc262743959"/>
      <w:bookmarkStart w:id="17" w:name="_Toc453489834"/>
    </w:p>
    <w:p>
      <w:r>
        <w:drawing>
          <wp:inline distT="0" distB="0" distL="0" distR="0">
            <wp:extent cx="5274310" cy="2543175"/>
            <wp:effectExtent l="0" t="0" r="2540" b="9525"/>
            <wp:docPr id="1" name="图片 1" descr="D:\公栋梁\项目\2.网口流量计\2.过程\小飞机_副本_副本.png小飞机_副本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公栋梁\项目\2.网口流量计\2.过程\小飞机_副本_副本.png小飞机_副本_副本"/>
                    <pic:cNvPicPr>
                      <a:picLocks noChangeAspect="1"/>
                    </pic:cNvPicPr>
                  </pic:nvPicPr>
                  <pic:blipFill>
                    <a:blip r:embed="rId7" cstate="print"/>
                    <a:srcRect/>
                    <a:stretch>
                      <a:fillRect/>
                    </a:stretch>
                  </pic:blipFill>
                  <pic:spPr>
                    <a:xfrm>
                      <a:off x="0" y="0"/>
                      <a:ext cx="5274310" cy="2543175"/>
                    </a:xfrm>
                    <a:prstGeom prst="rect">
                      <a:avLst/>
                    </a:prstGeom>
                  </pic:spPr>
                </pic:pic>
              </a:graphicData>
            </a:graphic>
          </wp:inline>
        </w:drawing>
      </w:r>
    </w:p>
    <w:p/>
    <w:p>
      <w:pPr>
        <w:jc w:val="center"/>
        <w:rPr>
          <w:rFonts w:asciiTheme="minorEastAsia" w:hAnsiTheme="minorEastAsia"/>
          <w:szCs w:val="21"/>
        </w:rPr>
      </w:pPr>
      <w:r>
        <w:rPr>
          <w:rFonts w:hint="eastAsia" w:asciiTheme="minorEastAsia" w:hAnsiTheme="minorEastAsia"/>
          <w:szCs w:val="21"/>
        </w:rPr>
        <w:t>图1 流量计</w:t>
      </w:r>
      <w:r>
        <w:rPr>
          <w:rFonts w:asciiTheme="minorEastAsia" w:hAnsiTheme="minorEastAsia"/>
          <w:szCs w:val="21"/>
        </w:rPr>
        <w:t>结构</w:t>
      </w:r>
      <w:r>
        <w:rPr>
          <w:rFonts w:hint="eastAsia" w:asciiTheme="minorEastAsia" w:hAnsiTheme="minorEastAsia"/>
          <w:szCs w:val="21"/>
        </w:rPr>
        <w:t>示意</w:t>
      </w:r>
      <w:r>
        <w:rPr>
          <w:rFonts w:asciiTheme="minorEastAsia" w:hAnsiTheme="minorEastAsia"/>
          <w:szCs w:val="21"/>
        </w:rPr>
        <w:t>图</w:t>
      </w:r>
    </w:p>
    <w:p>
      <w:pPr>
        <w:ind w:firstLine="480" w:firstLineChars="200"/>
        <w:rPr>
          <w:rFonts w:asciiTheme="minorEastAsia" w:hAnsiTheme="minorEastAsia"/>
          <w:sz w:val="24"/>
          <w:szCs w:val="24"/>
        </w:rPr>
      </w:pPr>
    </w:p>
    <w:p>
      <w:pPr>
        <w:ind w:firstLine="480" w:firstLineChars="200"/>
        <w:rPr>
          <w:rFonts w:asciiTheme="minorEastAsia" w:hAnsiTheme="minorEastAsia"/>
          <w:sz w:val="24"/>
          <w:szCs w:val="24"/>
        </w:rPr>
      </w:pPr>
      <w:r>
        <w:rPr>
          <w:rFonts w:hint="eastAsia" w:asciiTheme="minorEastAsia" w:hAnsiTheme="minorEastAsia"/>
          <w:sz w:val="24"/>
          <w:szCs w:val="24"/>
        </w:rPr>
        <w:t>流量换算公式：</w:t>
      </w:r>
    </w:p>
    <w:p>
      <w:pPr>
        <w:pStyle w:val="62"/>
        <w:numPr>
          <w:ilvl w:val="0"/>
          <w:numId w:val="0"/>
        </w:numPr>
        <w:spacing w:line="360" w:lineRule="auto"/>
        <w:jc w:val="right"/>
        <w:rPr>
          <w:rFonts w:asciiTheme="minorEastAsia" w:hAnsiTheme="minorEastAsia" w:eastAsiaTheme="minorEastAsia"/>
          <w:color w:val="000000" w:themeColor="text1"/>
          <w:sz w:val="24"/>
          <w:szCs w:val="24"/>
        </w:rPr>
      </w:pPr>
      <w:r>
        <w:rPr>
          <w:position w:val="-12"/>
        </w:rPr>
        <w:object>
          <v:shape id="_x0000_i1025" o:spt="75" type="#_x0000_t75" style="height:18.75pt;width:78.7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ascii="微软雅黑" w:hAnsi="微软雅黑" w:eastAsia="微软雅黑" w:cs="微软雅黑"/>
          <w:color w:val="000000" w:themeColor="text1"/>
          <w:sz w:val="24"/>
          <w:szCs w:val="24"/>
        </w:rPr>
        <w:t>·······················································</w:t>
      </w:r>
      <w:r>
        <w:rPr>
          <w:rFonts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1</w:t>
      </w:r>
      <w:r>
        <w:rPr>
          <w:rFonts w:asciiTheme="minorEastAsia" w:hAnsiTheme="minorEastAsia" w:eastAsiaTheme="minorEastAsia"/>
          <w:color w:val="000000" w:themeColor="text1"/>
          <w:sz w:val="24"/>
          <w:szCs w:val="24"/>
        </w:rPr>
        <w:t>)</w: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式中：</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V——通过网口的流量,m</w:t>
      </w:r>
      <w:r>
        <w:rPr>
          <w:rFonts w:hint="eastAsia" w:asciiTheme="minorEastAsia" w:hAnsiTheme="minorEastAsia" w:eastAsiaTheme="minorEastAsia"/>
          <w:color w:val="000000" w:themeColor="text1"/>
          <w:sz w:val="24"/>
          <w:szCs w:val="24"/>
          <w:vertAlign w:val="superscript"/>
        </w:rPr>
        <w:t>3</w:t>
      </w:r>
      <w:r>
        <w:rPr>
          <w:rFonts w:hint="eastAsia" w:asciiTheme="minorEastAsia" w:hAnsiTheme="minorEastAsia" w:eastAsiaTheme="minorEastAsia"/>
          <w:color w:val="000000" w:themeColor="text1"/>
          <w:sz w:val="24"/>
          <w:szCs w:val="24"/>
        </w:rPr>
        <w:t>；</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r</w:t>
      </w:r>
      <w:r>
        <w:rPr>
          <w:rFonts w:hint="eastAsia" w:asciiTheme="minorEastAsia" w:hAnsiTheme="minorEastAsia" w:eastAsiaTheme="minorEastAsia"/>
          <w:color w:val="000000" w:themeColor="text1"/>
          <w:sz w:val="24"/>
          <w:szCs w:val="24"/>
        </w:rPr>
        <w:t>——网口半径，m；</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R</w:t>
      </w:r>
      <w:r>
        <w:rPr>
          <w:rFonts w:hint="eastAsia" w:asciiTheme="minorEastAsia" w:hAnsiTheme="minorEastAsia" w:eastAsiaTheme="minorEastAsia"/>
          <w:color w:val="000000" w:themeColor="text1"/>
          <w:sz w:val="24"/>
          <w:szCs w:val="24"/>
          <w:vertAlign w:val="subscript"/>
        </w:rPr>
        <w:t>c</w:t>
      </w:r>
      <w:r>
        <w:rPr>
          <w:rFonts w:hint="eastAsia" w:asciiTheme="minorEastAsia" w:hAnsiTheme="minorEastAsia" w:eastAsiaTheme="minorEastAsia"/>
          <w:color w:val="000000" w:themeColor="text1"/>
          <w:sz w:val="24"/>
          <w:szCs w:val="24"/>
        </w:rPr>
        <w:t>——流量计转子常数,m；</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a——记录器起始读数；</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b——记录器终止读数。</w:t>
      </w:r>
    </w:p>
    <w:p>
      <w:pPr>
        <w:pStyle w:val="2"/>
        <w:rPr>
          <w:rFonts w:ascii="黑体" w:hAnsi="黑体" w:eastAsia="黑体"/>
          <w:b w:val="0"/>
          <w:sz w:val="24"/>
          <w:szCs w:val="24"/>
        </w:rPr>
      </w:pPr>
      <w:bookmarkStart w:id="18" w:name="_Toc75954063"/>
      <w:r>
        <w:rPr>
          <w:rFonts w:hint="eastAsia" w:ascii="黑体" w:hAnsi="黑体" w:eastAsia="黑体"/>
          <w:b w:val="0"/>
          <w:sz w:val="24"/>
          <w:szCs w:val="24"/>
        </w:rPr>
        <w:t>5</w:t>
      </w:r>
      <w:r>
        <w:rPr>
          <w:rFonts w:ascii="黑体" w:hAnsi="黑体" w:eastAsia="黑体"/>
          <w:b w:val="0"/>
          <w:sz w:val="24"/>
          <w:szCs w:val="24"/>
        </w:rPr>
        <w:t xml:space="preserve"> 计量</w:t>
      </w:r>
      <w:bookmarkEnd w:id="16"/>
      <w:bookmarkEnd w:id="17"/>
      <w:r>
        <w:rPr>
          <w:rFonts w:ascii="黑体" w:hAnsi="黑体" w:eastAsia="黑体"/>
          <w:b w:val="0"/>
          <w:sz w:val="24"/>
          <w:szCs w:val="24"/>
        </w:rPr>
        <w:t>特性</w:t>
      </w:r>
      <w:bookmarkEnd w:id="18"/>
    </w:p>
    <w:p>
      <w:pPr>
        <w:pStyle w:val="3"/>
        <w:spacing w:before="0" w:after="0" w:line="360" w:lineRule="auto"/>
        <w:rPr>
          <w:rFonts w:asciiTheme="minorEastAsia" w:hAnsiTheme="minorEastAsia" w:eastAsiaTheme="minorEastAsia"/>
          <w:b w:val="0"/>
          <w:sz w:val="24"/>
        </w:rPr>
      </w:pPr>
      <w:bookmarkStart w:id="19" w:name="_Toc75954064"/>
      <w:r>
        <w:rPr>
          <w:rFonts w:hint="eastAsia" w:asciiTheme="minorEastAsia" w:hAnsiTheme="minorEastAsia" w:eastAsiaTheme="minorEastAsia"/>
          <w:b w:val="0"/>
          <w:sz w:val="24"/>
        </w:rPr>
        <w:t>5.1外观</w:t>
      </w:r>
      <w:bookmarkEnd w:id="19"/>
      <w:r>
        <w:rPr>
          <w:rFonts w:hint="eastAsia" w:asciiTheme="minorEastAsia" w:hAnsiTheme="minorEastAsia" w:eastAsiaTheme="minorEastAsia"/>
          <w:b w:val="0"/>
          <w:sz w:val="24"/>
        </w:rPr>
        <w:t>及功能</w:t>
      </w:r>
    </w:p>
    <w:p>
      <w:pPr>
        <w:spacing w:line="360" w:lineRule="auto"/>
        <w:ind w:firstLine="470"/>
        <w:rPr>
          <w:rFonts w:asciiTheme="minorEastAsia" w:hAnsiTheme="minorEastAsia"/>
          <w:sz w:val="24"/>
          <w:szCs w:val="24"/>
        </w:rPr>
      </w:pPr>
      <w:r>
        <w:rPr>
          <w:rFonts w:hint="eastAsia" w:asciiTheme="minorEastAsia" w:hAnsiTheme="minorEastAsia"/>
          <w:sz w:val="24"/>
          <w:szCs w:val="24"/>
        </w:rPr>
        <w:t>流量计的外形结构应完好，各部件安装正确；表面不应有凹痕、外伤、裂缝和变形等现象，金属件不应有腐蚀及其他机械损伤；记录器及叶轮、转轴内无泥沙等颗粒物，转轴与轴承之间的配合应能保证转动自如，达到静态平衡；顺向转动叶轮，记录器能够正常工作。</w:t>
      </w:r>
    </w:p>
    <w:p>
      <w:pPr>
        <w:pStyle w:val="3"/>
        <w:spacing w:before="0" w:after="0" w:line="360" w:lineRule="auto"/>
        <w:rPr>
          <w:rFonts w:asciiTheme="minorEastAsia" w:hAnsiTheme="minorEastAsia" w:eastAsiaTheme="minorEastAsia"/>
          <w:b w:val="0"/>
          <w:sz w:val="24"/>
        </w:rPr>
      </w:pPr>
      <w:bookmarkStart w:id="20" w:name="_Toc75954065"/>
      <w:r>
        <w:rPr>
          <w:rFonts w:hint="eastAsia" w:asciiTheme="minorEastAsia" w:hAnsiTheme="minorEastAsia" w:eastAsiaTheme="minorEastAsia"/>
          <w:b w:val="0"/>
          <w:sz w:val="24"/>
        </w:rPr>
        <w:t>5.2计量性能</w:t>
      </w:r>
      <w:bookmarkEnd w:id="20"/>
    </w:p>
    <w:p>
      <w:pPr>
        <w:spacing w:line="360" w:lineRule="auto"/>
        <w:rPr>
          <w:rFonts w:asciiTheme="minorEastAsia" w:hAnsiTheme="minorEastAsia"/>
          <w:sz w:val="24"/>
        </w:rPr>
      </w:pPr>
      <w:r>
        <w:rPr>
          <w:rFonts w:hint="eastAsia" w:asciiTheme="minorEastAsia" w:hAnsiTheme="minorEastAsia"/>
          <w:sz w:val="24"/>
        </w:rPr>
        <w:t xml:space="preserve">   </w:t>
      </w:r>
      <w:r>
        <w:rPr>
          <w:rFonts w:hint="eastAsia"/>
          <w:sz w:val="24"/>
        </w:rPr>
        <w:t>流量计</w:t>
      </w:r>
      <w:r>
        <w:rPr>
          <w:rFonts w:asciiTheme="minorEastAsia" w:hAnsiTheme="minorEastAsia"/>
          <w:sz w:val="24"/>
        </w:rPr>
        <w:t>的</w:t>
      </w:r>
      <w:r>
        <w:rPr>
          <w:rFonts w:hint="eastAsia" w:asciiTheme="minorEastAsia" w:hAnsiTheme="minorEastAsia"/>
          <w:sz w:val="24"/>
        </w:rPr>
        <w:t>计量性能要求</w:t>
      </w:r>
      <w:r>
        <w:rPr>
          <w:rFonts w:asciiTheme="minorEastAsia" w:hAnsiTheme="minorEastAsia"/>
          <w:sz w:val="24"/>
        </w:rPr>
        <w:t>见表1</w:t>
      </w:r>
      <w:r>
        <w:rPr>
          <w:rFonts w:hint="eastAsia" w:asciiTheme="minorEastAsia" w:hAnsiTheme="minorEastAsia"/>
          <w:sz w:val="24"/>
          <w:szCs w:val="24"/>
        </w:rPr>
        <w:t>。</w:t>
      </w:r>
      <w:bookmarkStart w:id="21" w:name="_Toc262743960"/>
      <w:bookmarkStart w:id="22" w:name="_Toc453489835"/>
    </w:p>
    <w:p>
      <w:pPr>
        <w:spacing w:line="400" w:lineRule="exact"/>
        <w:ind w:firstLine="480"/>
        <w:jc w:val="center"/>
        <w:rPr>
          <w:rFonts w:ascii="黑体" w:hAnsi="黑体" w:eastAsia="黑体"/>
          <w:szCs w:val="21"/>
        </w:rPr>
      </w:pPr>
      <w:r>
        <w:rPr>
          <w:rFonts w:ascii="黑体" w:hAnsi="黑体" w:eastAsia="黑体"/>
          <w:szCs w:val="21"/>
        </w:rPr>
        <w:t>表1 计量性能要求</w:t>
      </w:r>
    </w:p>
    <w:tbl>
      <w:tblPr>
        <w:tblStyle w:val="20"/>
        <w:tblW w:w="5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1926"/>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925" w:type="dxa"/>
            <w:tcBorders>
              <w:top w:val="single" w:color="000000" w:sz="8" w:space="0"/>
              <w:left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项目</w:t>
            </w:r>
          </w:p>
        </w:tc>
        <w:tc>
          <w:tcPr>
            <w:tcW w:w="1926" w:type="dxa"/>
            <w:tcBorders>
              <w:top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起转速度（m/s）</w:t>
            </w:r>
          </w:p>
        </w:tc>
        <w:tc>
          <w:tcPr>
            <w:tcW w:w="1926" w:type="dxa"/>
            <w:tcBorders>
              <w:top w:val="single" w:color="000000" w:sz="8" w:space="0"/>
              <w:left w:val="single" w:color="auto" w:sz="4" w:space="0"/>
              <w:right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转子常数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925" w:type="dxa"/>
            <w:tcBorders>
              <w:left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数值范围</w:t>
            </w:r>
          </w:p>
        </w:tc>
        <w:tc>
          <w:tcPr>
            <w:tcW w:w="1926" w:type="dxa"/>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≤0.50</w:t>
            </w:r>
          </w:p>
        </w:tc>
        <w:tc>
          <w:tcPr>
            <w:tcW w:w="1926" w:type="dxa"/>
            <w:tcBorders>
              <w:left w:val="single" w:color="auto" w:sz="4" w:space="0"/>
              <w:right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925" w:type="dxa"/>
            <w:tcBorders>
              <w:left w:val="single" w:color="000000" w:sz="8" w:space="0"/>
              <w:bottom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最大允许误差</w:t>
            </w:r>
          </w:p>
        </w:tc>
        <w:tc>
          <w:tcPr>
            <w:tcW w:w="1926" w:type="dxa"/>
            <w:tcBorders>
              <w:bottom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±0.05</w:t>
            </w:r>
          </w:p>
        </w:tc>
        <w:tc>
          <w:tcPr>
            <w:tcW w:w="1926" w:type="dxa"/>
            <w:tcBorders>
              <w:left w:val="single" w:color="auto" w:sz="4" w:space="0"/>
              <w:bottom w:val="single" w:color="000000" w:sz="8" w:space="0"/>
              <w:right w:val="single" w:color="000000" w:sz="8" w:space="0"/>
            </w:tcBorders>
            <w:vAlign w:val="center"/>
          </w:tcPr>
          <w:p>
            <w:pPr>
              <w:pStyle w:val="33"/>
              <w:spacing w:after="0"/>
              <w:jc w:val="center"/>
              <w:rPr>
                <w:rFonts w:ascii="宋体" w:hAnsi="宋体" w:cs="宋体"/>
                <w:sz w:val="21"/>
                <w:szCs w:val="21"/>
                <w:lang w:eastAsia="zh-CN"/>
              </w:rPr>
            </w:pPr>
            <w:r>
              <w:rPr>
                <w:rFonts w:hint="eastAsia" w:ascii="宋体" w:hAnsi="宋体" w:cs="宋体"/>
                <w:sz w:val="21"/>
                <w:szCs w:val="21"/>
                <w:lang w:eastAsia="zh-CN"/>
              </w:rPr>
              <w:t>±15%</w:t>
            </w:r>
          </w:p>
        </w:tc>
      </w:tr>
    </w:tbl>
    <w:p>
      <w:pPr>
        <w:pStyle w:val="2"/>
        <w:rPr>
          <w:rFonts w:ascii="黑体" w:hAnsi="黑体" w:eastAsia="黑体"/>
          <w:b w:val="0"/>
          <w:sz w:val="24"/>
          <w:szCs w:val="24"/>
        </w:rPr>
      </w:pPr>
      <w:bookmarkStart w:id="23" w:name="_Toc75954066"/>
      <w:r>
        <w:rPr>
          <w:rFonts w:hint="eastAsia" w:ascii="黑体" w:hAnsi="黑体" w:eastAsia="黑体"/>
          <w:b w:val="0"/>
          <w:sz w:val="24"/>
          <w:szCs w:val="24"/>
        </w:rPr>
        <w:t>6</w:t>
      </w:r>
      <w:r>
        <w:rPr>
          <w:rFonts w:ascii="黑体" w:hAnsi="黑体" w:eastAsia="黑体"/>
          <w:b w:val="0"/>
          <w:sz w:val="24"/>
          <w:szCs w:val="24"/>
        </w:rPr>
        <w:t xml:space="preserve"> </w:t>
      </w:r>
      <w:bookmarkEnd w:id="21"/>
      <w:bookmarkEnd w:id="22"/>
      <w:r>
        <w:rPr>
          <w:rFonts w:ascii="黑体" w:hAnsi="黑体" w:eastAsia="黑体"/>
          <w:b w:val="0"/>
          <w:sz w:val="24"/>
          <w:szCs w:val="24"/>
        </w:rPr>
        <w:t>校准条件</w:t>
      </w:r>
      <w:bookmarkEnd w:id="23"/>
    </w:p>
    <w:p>
      <w:pPr>
        <w:pStyle w:val="3"/>
        <w:spacing w:before="0" w:after="0" w:line="360" w:lineRule="auto"/>
        <w:rPr>
          <w:rFonts w:asciiTheme="minorEastAsia" w:hAnsiTheme="minorEastAsia" w:eastAsiaTheme="minorEastAsia"/>
          <w:b w:val="0"/>
          <w:sz w:val="24"/>
        </w:rPr>
      </w:pPr>
      <w:bookmarkStart w:id="24" w:name="_Toc75954067"/>
      <w:r>
        <w:rPr>
          <w:rFonts w:hint="eastAsia" w:asciiTheme="minorEastAsia" w:hAnsiTheme="minorEastAsia" w:eastAsiaTheme="minorEastAsia"/>
          <w:b w:val="0"/>
          <w:sz w:val="24"/>
        </w:rPr>
        <w:t>6.1 环境条件</w:t>
      </w:r>
      <w:bookmarkEnd w:id="24"/>
    </w:p>
    <w:p>
      <w:pPr>
        <w:spacing w:line="360" w:lineRule="auto"/>
        <w:ind w:firstLine="480"/>
        <w:rPr>
          <w:rFonts w:cs="Times New Roman" w:asciiTheme="minorEastAsia" w:hAnsiTheme="minorEastAsia"/>
          <w:sz w:val="24"/>
          <w:szCs w:val="24"/>
        </w:rPr>
      </w:pPr>
      <w:r>
        <w:rPr>
          <w:rFonts w:hint="eastAsia"/>
          <w:sz w:val="24"/>
        </w:rPr>
        <w:t>温度：室内常温；相对湿度：不大于85</w:t>
      </w:r>
      <w:r>
        <w:rPr>
          <w:rFonts w:hint="eastAsia"/>
          <w:sz w:val="24"/>
          <w:lang w:val="en-US" w:eastAsia="zh-CN"/>
        </w:rPr>
        <w:t xml:space="preserve"> </w:t>
      </w:r>
      <w:r>
        <w:rPr>
          <w:rFonts w:hint="eastAsia"/>
          <w:sz w:val="24"/>
        </w:rPr>
        <w:t>RH%</w:t>
      </w:r>
      <w:r>
        <w:rPr>
          <w:rFonts w:hint="eastAsia" w:cs="Times New Roman" w:asciiTheme="minorEastAsia" w:hAnsiTheme="minorEastAsia"/>
          <w:sz w:val="24"/>
          <w:szCs w:val="24"/>
        </w:rPr>
        <w:t>。</w:t>
      </w:r>
    </w:p>
    <w:p>
      <w:pPr>
        <w:pStyle w:val="3"/>
        <w:spacing w:before="0" w:after="0" w:line="360" w:lineRule="auto"/>
        <w:rPr>
          <w:rFonts w:asciiTheme="minorEastAsia" w:hAnsiTheme="minorEastAsia" w:eastAsiaTheme="minorEastAsia"/>
          <w:b w:val="0"/>
          <w:sz w:val="24"/>
        </w:rPr>
      </w:pPr>
      <w:bookmarkStart w:id="25" w:name="_Toc395252510"/>
      <w:bookmarkStart w:id="26" w:name="_Toc75954068"/>
      <w:r>
        <w:rPr>
          <w:rFonts w:hint="eastAsia" w:asciiTheme="minorEastAsia" w:hAnsiTheme="minorEastAsia" w:eastAsiaTheme="minorEastAsia"/>
          <w:b w:val="0"/>
          <w:sz w:val="24"/>
        </w:rPr>
        <w:t xml:space="preserve">6.2 </w:t>
      </w:r>
      <w:bookmarkEnd w:id="25"/>
      <w:r>
        <w:rPr>
          <w:rFonts w:hint="eastAsia" w:asciiTheme="minorEastAsia" w:hAnsiTheme="minorEastAsia" w:eastAsiaTheme="minorEastAsia"/>
          <w:b w:val="0"/>
          <w:sz w:val="24"/>
        </w:rPr>
        <w:t>测量标准及其他设备</w:t>
      </w:r>
      <w:bookmarkEnd w:id="26"/>
    </w:p>
    <w:p>
      <w:pPr>
        <w:spacing w:line="360" w:lineRule="auto"/>
        <w:rPr>
          <w:sz w:val="24"/>
        </w:rPr>
      </w:pPr>
      <w:bookmarkStart w:id="27" w:name="_Toc395252511"/>
      <w:r>
        <w:rPr>
          <w:rFonts w:hint="eastAsia" w:asciiTheme="minorEastAsia" w:hAnsiTheme="minorEastAsia"/>
          <w:sz w:val="24"/>
        </w:rPr>
        <w:t>6.2.1</w:t>
      </w:r>
      <w:r>
        <w:rPr>
          <w:rFonts w:hint="eastAsia"/>
          <w:sz w:val="24"/>
        </w:rPr>
        <w:t>校准车</w:t>
      </w:r>
    </w:p>
    <w:p>
      <w:pPr>
        <w:spacing w:line="360" w:lineRule="auto"/>
        <w:rPr>
          <w:sz w:val="24"/>
        </w:rPr>
      </w:pPr>
      <w:r>
        <w:rPr>
          <w:rFonts w:hint="eastAsia" w:asciiTheme="minorEastAsia" w:hAnsiTheme="minorEastAsia"/>
          <w:sz w:val="24"/>
        </w:rPr>
        <w:t>6.2.1.1 校准</w:t>
      </w:r>
      <w:r>
        <w:rPr>
          <w:rFonts w:hint="eastAsia"/>
          <w:sz w:val="24"/>
        </w:rPr>
        <w:t>车性能指标应符合表2要求。</w:t>
      </w:r>
    </w:p>
    <w:p>
      <w:pPr>
        <w:pStyle w:val="54"/>
        <w:spacing w:before="156" w:after="156"/>
        <w:rPr>
          <w:color w:val="000000" w:themeColor="text1"/>
        </w:rPr>
      </w:pPr>
      <w:r>
        <w:rPr>
          <w:rFonts w:hint="eastAsia"/>
          <w:color w:val="000000" w:themeColor="text1"/>
        </w:rPr>
        <w:t>表2校准车性能指标表</w:t>
      </w:r>
    </w:p>
    <w:tbl>
      <w:tblPr>
        <w:tblStyle w:val="19"/>
        <w:tblW w:w="84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207"/>
        <w:gridCol w:w="2126"/>
        <w:gridCol w:w="20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l2br w:val="nil"/>
              <w:tr2bl w:val="nil"/>
            </w:tcBorders>
            <w:shd w:val="clear" w:color="auto" w:fill="auto"/>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速度（m/s）</w:t>
            </w:r>
          </w:p>
        </w:tc>
        <w:tc>
          <w:tcPr>
            <w:tcW w:w="2207" w:type="dxa"/>
            <w:tcBorders>
              <w:tl2br w:val="nil"/>
              <w:tr2bl w:val="nil"/>
            </w:tcBorders>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速度≤0.10</w:t>
            </w:r>
          </w:p>
        </w:tc>
        <w:tc>
          <w:tcPr>
            <w:tcW w:w="2126" w:type="dxa"/>
            <w:tcBorders>
              <w:tl2br w:val="nil"/>
              <w:tr2bl w:val="nil"/>
            </w:tcBorders>
            <w:shd w:val="clear" w:color="auto" w:fill="auto"/>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0.10＜速度≤0.50</w:t>
            </w:r>
          </w:p>
        </w:tc>
        <w:tc>
          <w:tcPr>
            <w:tcW w:w="2006" w:type="dxa"/>
            <w:tcBorders>
              <w:tl2br w:val="nil"/>
              <w:tr2bl w:val="nil"/>
            </w:tcBorders>
            <w:shd w:val="clear" w:color="auto" w:fill="auto"/>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速度＞0.50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Borders>
              <w:tl2br w:val="nil"/>
              <w:tr2bl w:val="nil"/>
            </w:tcBorders>
            <w:shd w:val="clear" w:color="auto" w:fill="auto"/>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车速变化率（%）</w:t>
            </w:r>
          </w:p>
        </w:tc>
        <w:tc>
          <w:tcPr>
            <w:tcW w:w="2207" w:type="dxa"/>
            <w:tcBorders>
              <w:tl2br w:val="nil"/>
              <w:tr2bl w:val="nil"/>
            </w:tcBorders>
          </w:tcPr>
          <w:p>
            <w:pPr>
              <w:jc w:val="center"/>
              <w:rPr>
                <w:rFonts w:asciiTheme="minorEastAsia" w:hAnsiTheme="minorEastAsia"/>
                <w:color w:val="000000" w:themeColor="text1"/>
                <w:szCs w:val="21"/>
              </w:rPr>
            </w:pPr>
            <w:r>
              <w:rPr>
                <w:rFonts w:asciiTheme="minorEastAsia" w:hAnsiTheme="minorEastAsia"/>
                <w:color w:val="000000" w:themeColor="text1"/>
                <w:szCs w:val="21"/>
              </w:rPr>
              <w:t>≤</w:t>
            </w:r>
            <w:r>
              <w:rPr>
                <w:rFonts w:hint="eastAsia" w:asciiTheme="minorEastAsia" w:hAnsiTheme="minorEastAsia"/>
                <w:color w:val="000000" w:themeColor="text1"/>
                <w:szCs w:val="21"/>
              </w:rPr>
              <w:t>2.00</w:t>
            </w:r>
          </w:p>
        </w:tc>
        <w:tc>
          <w:tcPr>
            <w:tcW w:w="2126" w:type="dxa"/>
            <w:tcBorders>
              <w:tl2br w:val="nil"/>
              <w:tr2bl w:val="nil"/>
            </w:tcBorders>
            <w:shd w:val="clear" w:color="auto" w:fill="auto"/>
            <w:vAlign w:val="center"/>
          </w:tcPr>
          <w:p>
            <w:pPr>
              <w:jc w:val="center"/>
              <w:rPr>
                <w:rFonts w:asciiTheme="minorEastAsia" w:hAnsiTheme="minorEastAsia"/>
                <w:color w:val="000000" w:themeColor="text1"/>
                <w:szCs w:val="21"/>
              </w:rPr>
            </w:pPr>
            <w:r>
              <w:rPr>
                <w:rFonts w:asciiTheme="minorEastAsia" w:hAnsiTheme="minorEastAsia"/>
                <w:color w:val="000000" w:themeColor="text1"/>
                <w:szCs w:val="21"/>
              </w:rPr>
              <w:t>≤</w:t>
            </w:r>
            <w:r>
              <w:rPr>
                <w:rFonts w:hint="eastAsia" w:asciiTheme="minorEastAsia" w:hAnsiTheme="minorEastAsia"/>
                <w:color w:val="000000" w:themeColor="text1"/>
                <w:szCs w:val="21"/>
              </w:rPr>
              <w:t>1.00</w:t>
            </w:r>
          </w:p>
        </w:tc>
        <w:tc>
          <w:tcPr>
            <w:tcW w:w="2006" w:type="dxa"/>
            <w:tcBorders>
              <w:tl2br w:val="nil"/>
              <w:tr2bl w:val="nil"/>
            </w:tcBorders>
            <w:shd w:val="clear" w:color="auto" w:fill="auto"/>
            <w:vAlign w:val="center"/>
          </w:tcPr>
          <w:p>
            <w:pPr>
              <w:jc w:val="center"/>
              <w:rPr>
                <w:rFonts w:asciiTheme="minorEastAsia" w:hAnsiTheme="minorEastAsia"/>
                <w:color w:val="000000" w:themeColor="text1"/>
                <w:szCs w:val="21"/>
              </w:rPr>
            </w:pPr>
            <w:r>
              <w:rPr>
                <w:rFonts w:asciiTheme="minorEastAsia" w:hAnsiTheme="minorEastAsia"/>
                <w:color w:val="000000" w:themeColor="text1"/>
                <w:szCs w:val="21"/>
              </w:rPr>
              <w:t>≤</w:t>
            </w:r>
            <w:r>
              <w:rPr>
                <w:rFonts w:hint="eastAsia" w:asciiTheme="minorEastAsia" w:hAnsiTheme="minorEastAsia"/>
                <w:color w:val="000000" w:themeColor="text1"/>
                <w:szCs w:val="21"/>
              </w:rPr>
              <w:t>0.60</w:t>
            </w:r>
          </w:p>
        </w:tc>
      </w:tr>
    </w:tbl>
    <w:p>
      <w:pPr>
        <w:spacing w:line="360" w:lineRule="auto"/>
        <w:rPr>
          <w:rFonts w:asciiTheme="minorEastAsia" w:hAnsiTheme="minorEastAsia"/>
          <w:color w:val="000000" w:themeColor="text1"/>
          <w:sz w:val="24"/>
          <w:szCs w:val="24"/>
        </w:rPr>
      </w:pPr>
      <w:r>
        <w:rPr>
          <w:rFonts w:hint="eastAsia" w:asciiTheme="minorEastAsia" w:hAnsiTheme="minorEastAsia"/>
          <w:color w:val="000000" w:themeColor="text1"/>
          <w:sz w:val="24"/>
          <w:szCs w:val="24"/>
        </w:rPr>
        <w:t>6.2.1.2 校准车速度范围（0.01～5.00）m/s；校准车车速的最大允许误差为±0.02m/s。</w:t>
      </w:r>
    </w:p>
    <w:p>
      <w:pPr>
        <w:spacing w:line="360" w:lineRule="auto"/>
        <w:rPr>
          <w:rFonts w:asciiTheme="minorEastAsia" w:hAnsiTheme="minorEastAsia"/>
          <w:color w:val="000000" w:themeColor="text1"/>
          <w:sz w:val="24"/>
          <w:szCs w:val="24"/>
        </w:rPr>
      </w:pPr>
      <w:r>
        <w:rPr>
          <w:rFonts w:hint="eastAsia" w:asciiTheme="minorEastAsia" w:hAnsiTheme="minorEastAsia"/>
          <w:color w:val="000000" w:themeColor="text1"/>
          <w:sz w:val="24"/>
          <w:szCs w:val="24"/>
        </w:rPr>
        <w:t>6.2.2 电子秒表</w:t>
      </w:r>
    </w:p>
    <w:p>
      <w:pPr>
        <w:spacing w:line="360" w:lineRule="auto"/>
        <w:ind w:firstLine="48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电子秒表测量间隔10s，最大允许误差±0.05s。</w:t>
      </w:r>
    </w:p>
    <w:p>
      <w:pPr>
        <w:spacing w:line="360" w:lineRule="auto"/>
        <w:rPr>
          <w:rFonts w:asciiTheme="minorEastAsia" w:hAnsiTheme="minorEastAsia"/>
          <w:color w:val="000000" w:themeColor="text1"/>
          <w:sz w:val="24"/>
          <w:szCs w:val="24"/>
        </w:rPr>
      </w:pPr>
      <w:r>
        <w:rPr>
          <w:rFonts w:hint="eastAsia" w:asciiTheme="minorEastAsia" w:hAnsiTheme="minorEastAsia"/>
          <w:color w:val="000000" w:themeColor="text1"/>
          <w:sz w:val="24"/>
          <w:szCs w:val="24"/>
        </w:rPr>
        <w:t>6.2.3水槽</w:t>
      </w:r>
    </w:p>
    <w:p>
      <w:pPr>
        <w:spacing w:line="360" w:lineRule="auto"/>
        <w:ind w:firstLine="480" w:firstLineChars="20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流量计的校准水槽为直线明槽，包括加速段、稳定段、测量段和制动段。加速段和制动段的长度由校准车的设计指标和流量计在水槽中校准的最大速度来决定，制动段的长度必须考虑满足安全需要。原则上，水槽尺寸大小应满足以下要求：</w:t>
      </w:r>
      <w:r>
        <w:rPr>
          <w:rFonts w:hint="eastAsia" w:asciiTheme="minorEastAsia" w:hAnsiTheme="minorEastAsia"/>
          <w:sz w:val="24"/>
          <w:szCs w:val="24"/>
        </w:rPr>
        <w:t>槽体长度≥120m；槽体宽度≥1.8m；槽体深度≥1.5m。</w:t>
      </w:r>
    </w:p>
    <w:p>
      <w:pPr>
        <w:pStyle w:val="2"/>
        <w:spacing w:line="360" w:lineRule="auto"/>
        <w:rPr>
          <w:rFonts w:ascii="黑体" w:hAnsi="黑体" w:eastAsia="黑体"/>
          <w:b w:val="0"/>
          <w:sz w:val="24"/>
          <w:szCs w:val="24"/>
        </w:rPr>
      </w:pPr>
      <w:bookmarkStart w:id="28" w:name="_Toc75954069"/>
      <w:r>
        <w:rPr>
          <w:rFonts w:hint="eastAsia" w:ascii="黑体" w:hAnsi="黑体" w:eastAsia="黑体"/>
          <w:b w:val="0"/>
          <w:sz w:val="24"/>
          <w:szCs w:val="24"/>
        </w:rPr>
        <w:t xml:space="preserve">7 </w:t>
      </w:r>
      <w:bookmarkEnd w:id="27"/>
      <w:r>
        <w:rPr>
          <w:rFonts w:hint="eastAsia" w:ascii="黑体" w:hAnsi="黑体" w:eastAsia="黑体"/>
          <w:b w:val="0"/>
          <w:sz w:val="24"/>
          <w:szCs w:val="24"/>
        </w:rPr>
        <w:t>校准项目和校准方法</w:t>
      </w:r>
      <w:bookmarkEnd w:id="28"/>
    </w:p>
    <w:p>
      <w:pPr>
        <w:pStyle w:val="3"/>
        <w:spacing w:before="0" w:after="0" w:line="360" w:lineRule="auto"/>
        <w:rPr>
          <w:rFonts w:asciiTheme="minorEastAsia" w:hAnsiTheme="minorEastAsia" w:eastAsiaTheme="minorEastAsia"/>
          <w:b w:val="0"/>
          <w:sz w:val="24"/>
        </w:rPr>
      </w:pPr>
      <w:bookmarkStart w:id="29" w:name="_Toc395252513"/>
      <w:bookmarkStart w:id="30" w:name="_Toc262743962"/>
      <w:bookmarkStart w:id="31" w:name="_Toc75954070"/>
      <w:r>
        <w:rPr>
          <w:rFonts w:hint="eastAsia" w:asciiTheme="minorEastAsia" w:hAnsiTheme="minorEastAsia" w:eastAsiaTheme="minorEastAsia"/>
          <w:b w:val="0"/>
          <w:sz w:val="24"/>
        </w:rPr>
        <w:t>7.1</w:t>
      </w:r>
      <w:r>
        <w:rPr>
          <w:rFonts w:asciiTheme="minorEastAsia" w:hAnsiTheme="minorEastAsia" w:eastAsiaTheme="minorEastAsia"/>
          <w:b w:val="0"/>
          <w:sz w:val="24"/>
        </w:rPr>
        <w:t xml:space="preserve"> 校准项目</w:t>
      </w:r>
      <w:bookmarkEnd w:id="29"/>
      <w:bookmarkEnd w:id="30"/>
      <w:bookmarkEnd w:id="31"/>
    </w:p>
    <w:p>
      <w:pPr>
        <w:ind w:firstLine="480" w:firstLineChars="200"/>
        <w:rPr>
          <w:rFonts w:asciiTheme="minorEastAsia" w:hAnsiTheme="minorEastAsia"/>
          <w:sz w:val="24"/>
        </w:rPr>
      </w:pPr>
      <w:r>
        <w:rPr>
          <w:rFonts w:hint="eastAsia" w:asciiTheme="minorEastAsia" w:hAnsiTheme="minorEastAsia"/>
          <w:sz w:val="24"/>
        </w:rPr>
        <w:t>校准项目如表3所示。</w:t>
      </w:r>
    </w:p>
    <w:p>
      <w:pPr>
        <w:spacing w:line="480" w:lineRule="exact"/>
        <w:jc w:val="center"/>
        <w:rPr>
          <w:rFonts w:ascii="黑体" w:hAnsi="黑体" w:eastAsia="黑体"/>
          <w:szCs w:val="21"/>
        </w:rPr>
      </w:pPr>
      <w:r>
        <w:rPr>
          <w:rFonts w:hint="eastAsia" w:ascii="黑体" w:hAnsi="黑体" w:eastAsia="黑体"/>
          <w:szCs w:val="21"/>
        </w:rPr>
        <w:t>表3 校准项目一览表</w:t>
      </w:r>
    </w:p>
    <w:tbl>
      <w:tblPr>
        <w:tblStyle w:val="19"/>
        <w:tblW w:w="841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318"/>
        <w:gridCol w:w="1741"/>
        <w:gridCol w:w="1741"/>
        <w:gridCol w:w="174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73"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序号</w:t>
            </w:r>
          </w:p>
        </w:tc>
        <w:tc>
          <w:tcPr>
            <w:tcW w:w="2318" w:type="dxa"/>
            <w:vAlign w:val="center"/>
          </w:tcPr>
          <w:p>
            <w:pPr>
              <w:rPr>
                <w:rFonts w:cs="Times New Roman" w:asciiTheme="minorEastAsia" w:hAnsiTheme="minorEastAsia"/>
                <w:szCs w:val="24"/>
              </w:rPr>
            </w:pPr>
            <w:r>
              <w:rPr>
                <w:rFonts w:hint="eastAsia" w:cs="Times New Roman" w:asciiTheme="minorEastAsia" w:hAnsiTheme="minorEastAsia"/>
                <w:szCs w:val="24"/>
              </w:rPr>
              <w:t xml:space="preserve">      校准项目</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首次校准</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后续</w:t>
            </w:r>
            <w:r>
              <w:rPr>
                <w:rFonts w:cs="Times New Roman" w:asciiTheme="minorEastAsia" w:hAnsiTheme="minorEastAsia"/>
                <w:szCs w:val="24"/>
              </w:rPr>
              <w:t>校准</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使用中校准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3"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1</w:t>
            </w:r>
          </w:p>
        </w:tc>
        <w:tc>
          <w:tcPr>
            <w:tcW w:w="2318"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外观及功能</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3"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2</w:t>
            </w:r>
          </w:p>
        </w:tc>
        <w:tc>
          <w:tcPr>
            <w:tcW w:w="2318"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起转速度</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3" w:type="dxa"/>
            <w:vAlign w:val="center"/>
          </w:tcPr>
          <w:p>
            <w:pPr>
              <w:jc w:val="center"/>
              <w:rPr>
                <w:rFonts w:cs="Times New Roman" w:asciiTheme="minorEastAsia" w:hAnsiTheme="minorEastAsia"/>
                <w:szCs w:val="24"/>
              </w:rPr>
            </w:pPr>
            <w:bookmarkStart w:id="32" w:name="_Toc75954071"/>
            <w:r>
              <w:rPr>
                <w:rFonts w:hint="eastAsia" w:cs="Times New Roman" w:asciiTheme="minorEastAsia" w:hAnsiTheme="minorEastAsia"/>
                <w:szCs w:val="24"/>
              </w:rPr>
              <w:t>3</w:t>
            </w:r>
          </w:p>
        </w:tc>
        <w:tc>
          <w:tcPr>
            <w:tcW w:w="2318"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转子常数</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c>
          <w:tcPr>
            <w:tcW w:w="1741" w:type="dxa"/>
            <w:vAlign w:val="center"/>
          </w:tcPr>
          <w:p>
            <w:pPr>
              <w:jc w:val="center"/>
              <w:rPr>
                <w:rFonts w:cs="Times New Roman" w:asciiTheme="minorEastAsia" w:hAnsiTheme="minorEastAsia"/>
                <w:szCs w:val="24"/>
              </w:rPr>
            </w:pPr>
            <w:r>
              <w:rPr>
                <w:rFonts w:hint="eastAsia" w:cs="Times New Roman" w:asciiTheme="minorEastAsia" w:hAnsiTheme="minorEastAsia"/>
                <w:szCs w:val="24"/>
              </w:rPr>
              <w:t>+</w:t>
            </w:r>
          </w:p>
        </w:tc>
      </w:tr>
    </w:tbl>
    <w:p>
      <w:pPr>
        <w:pStyle w:val="3"/>
        <w:spacing w:before="0" w:after="0" w:line="360" w:lineRule="auto"/>
        <w:rPr>
          <w:rFonts w:asciiTheme="minorEastAsia" w:hAnsiTheme="minorEastAsia" w:eastAsiaTheme="minorEastAsia"/>
          <w:b w:val="0"/>
          <w:sz w:val="24"/>
        </w:rPr>
      </w:pPr>
      <w:r>
        <w:rPr>
          <w:rFonts w:hint="eastAsia" w:asciiTheme="minorEastAsia" w:hAnsiTheme="minorEastAsia" w:eastAsiaTheme="minorEastAsia"/>
          <w:b w:val="0"/>
          <w:sz w:val="24"/>
        </w:rPr>
        <w:t xml:space="preserve">7.2 </w:t>
      </w:r>
      <w:r>
        <w:rPr>
          <w:rFonts w:asciiTheme="minorEastAsia" w:hAnsiTheme="minorEastAsia" w:eastAsiaTheme="minorEastAsia"/>
          <w:b w:val="0"/>
          <w:sz w:val="24"/>
        </w:rPr>
        <w:t>外观</w:t>
      </w:r>
      <w:r>
        <w:rPr>
          <w:rFonts w:hint="eastAsia" w:asciiTheme="minorEastAsia" w:hAnsiTheme="minorEastAsia" w:eastAsiaTheme="minorEastAsia"/>
          <w:b w:val="0"/>
          <w:sz w:val="24"/>
        </w:rPr>
        <w:t>及</w:t>
      </w:r>
      <w:r>
        <w:rPr>
          <w:rFonts w:asciiTheme="minorEastAsia" w:hAnsiTheme="minorEastAsia" w:eastAsiaTheme="minorEastAsia"/>
          <w:b w:val="0"/>
          <w:sz w:val="24"/>
        </w:rPr>
        <w:t>功能检查</w:t>
      </w:r>
      <w:bookmarkEnd w:id="32"/>
    </w:p>
    <w:p>
      <w:pPr>
        <w:spacing w:line="360" w:lineRule="auto"/>
        <w:rPr>
          <w:rFonts w:asciiTheme="minorEastAsia" w:hAnsiTheme="minorEastAsia"/>
          <w:sz w:val="24"/>
        </w:rPr>
      </w:pPr>
      <w:r>
        <w:rPr>
          <w:rFonts w:hint="eastAsia" w:asciiTheme="minorEastAsia" w:hAnsiTheme="minorEastAsia"/>
          <w:sz w:val="24"/>
        </w:rPr>
        <w:t xml:space="preserve">    </w:t>
      </w:r>
      <w:r>
        <w:rPr>
          <w:rFonts w:asciiTheme="minorEastAsia" w:hAnsiTheme="minorEastAsia"/>
          <w:sz w:val="24"/>
        </w:rPr>
        <w:t>用目测和</w:t>
      </w:r>
      <w:r>
        <w:rPr>
          <w:rFonts w:hint="eastAsia" w:asciiTheme="minorEastAsia" w:hAnsiTheme="minorEastAsia"/>
          <w:sz w:val="24"/>
        </w:rPr>
        <w:t>手动</w:t>
      </w:r>
      <w:r>
        <w:rPr>
          <w:rFonts w:asciiTheme="minorEastAsia" w:hAnsiTheme="minorEastAsia"/>
          <w:sz w:val="24"/>
        </w:rPr>
        <w:t>的方法检查</w:t>
      </w:r>
      <w:r>
        <w:rPr>
          <w:rFonts w:hint="eastAsia" w:asciiTheme="minorEastAsia" w:hAnsiTheme="minorEastAsia"/>
          <w:sz w:val="24"/>
        </w:rPr>
        <w:t>流量计</w:t>
      </w:r>
      <w:r>
        <w:rPr>
          <w:rFonts w:asciiTheme="minorEastAsia" w:hAnsiTheme="minorEastAsia"/>
          <w:sz w:val="24"/>
        </w:rPr>
        <w:t>的外观</w:t>
      </w:r>
      <w:r>
        <w:rPr>
          <w:rFonts w:hint="eastAsia" w:asciiTheme="minorEastAsia" w:hAnsiTheme="minorEastAsia"/>
          <w:sz w:val="24"/>
        </w:rPr>
        <w:t>及</w:t>
      </w:r>
      <w:r>
        <w:rPr>
          <w:rFonts w:asciiTheme="minorEastAsia" w:hAnsiTheme="minorEastAsia"/>
          <w:sz w:val="24"/>
        </w:rPr>
        <w:t>功能，</w:t>
      </w:r>
      <w:r>
        <w:rPr>
          <w:rFonts w:hint="eastAsia" w:asciiTheme="minorEastAsia" w:hAnsiTheme="minorEastAsia"/>
          <w:sz w:val="24"/>
        </w:rPr>
        <w:t>应符合5.1的要求</w:t>
      </w:r>
      <w:r>
        <w:rPr>
          <w:rFonts w:asciiTheme="minorEastAsia" w:hAnsiTheme="minorEastAsia"/>
          <w:sz w:val="24"/>
        </w:rPr>
        <w:t>。</w:t>
      </w:r>
    </w:p>
    <w:p>
      <w:pPr>
        <w:pStyle w:val="3"/>
        <w:spacing w:before="0" w:after="0" w:line="360" w:lineRule="auto"/>
        <w:rPr>
          <w:rFonts w:asciiTheme="minorEastAsia" w:hAnsiTheme="minorEastAsia" w:eastAsiaTheme="minorEastAsia"/>
          <w:b w:val="0"/>
          <w:sz w:val="24"/>
        </w:rPr>
      </w:pPr>
      <w:bookmarkStart w:id="33" w:name="_Toc75954072"/>
      <w:r>
        <w:rPr>
          <w:rFonts w:hint="eastAsia" w:asciiTheme="minorEastAsia" w:hAnsiTheme="minorEastAsia" w:eastAsiaTheme="minorEastAsia"/>
          <w:b w:val="0"/>
          <w:sz w:val="24"/>
        </w:rPr>
        <w:t>7</w:t>
      </w:r>
      <w:r>
        <w:rPr>
          <w:rFonts w:asciiTheme="minorEastAsia" w:hAnsiTheme="minorEastAsia" w:eastAsiaTheme="minorEastAsia"/>
          <w:b w:val="0"/>
          <w:sz w:val="24"/>
        </w:rPr>
        <w:t>.</w:t>
      </w:r>
      <w:r>
        <w:rPr>
          <w:rFonts w:hint="eastAsia" w:asciiTheme="minorEastAsia" w:hAnsiTheme="minorEastAsia" w:eastAsiaTheme="minorEastAsia"/>
          <w:b w:val="0"/>
          <w:sz w:val="24"/>
        </w:rPr>
        <w:t>3 校准方法</w:t>
      </w:r>
      <w:bookmarkEnd w:id="33"/>
    </w:p>
    <w:p>
      <w:pPr>
        <w:spacing w:line="360" w:lineRule="auto"/>
        <w:rPr>
          <w:rFonts w:cs="宋体" w:asciiTheme="minorEastAsia" w:hAnsiTheme="minorEastAsia"/>
          <w:sz w:val="24"/>
          <w:szCs w:val="24"/>
        </w:rPr>
      </w:pPr>
      <w:r>
        <w:rPr>
          <w:rFonts w:hint="eastAsia" w:cs="宋体" w:asciiTheme="minorEastAsia" w:hAnsiTheme="minorEastAsia"/>
          <w:sz w:val="24"/>
          <w:szCs w:val="24"/>
        </w:rPr>
        <w:t>7</w:t>
      </w:r>
      <w:r>
        <w:rPr>
          <w:rFonts w:cs="宋体" w:asciiTheme="minorEastAsia" w:hAnsiTheme="minorEastAsia"/>
          <w:sz w:val="24"/>
          <w:szCs w:val="24"/>
        </w:rPr>
        <w:t>.</w:t>
      </w:r>
      <w:r>
        <w:rPr>
          <w:rFonts w:hint="eastAsia" w:cs="宋体" w:asciiTheme="minorEastAsia" w:hAnsiTheme="minorEastAsia"/>
          <w:sz w:val="24"/>
          <w:szCs w:val="24"/>
        </w:rPr>
        <w:t>3.1起转速度测量</w:t>
      </w:r>
    </w:p>
    <w:p>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校准车从0m/s缓慢加速至0.50m/s，过程中若观察到流量计叶轮开始正常转动，此时校准车的速度即为流量计的起转速度。</w:t>
      </w:r>
    </w:p>
    <w:p>
      <w:pPr>
        <w:spacing w:line="360" w:lineRule="auto"/>
        <w:rPr>
          <w:rFonts w:cs="宋体" w:asciiTheme="minorEastAsia" w:hAnsiTheme="minorEastAsia"/>
          <w:sz w:val="24"/>
          <w:szCs w:val="24"/>
        </w:rPr>
      </w:pPr>
      <w:r>
        <w:rPr>
          <w:rFonts w:hint="eastAsia" w:cs="宋体" w:asciiTheme="minorEastAsia" w:hAnsiTheme="minorEastAsia"/>
          <w:sz w:val="24"/>
          <w:szCs w:val="24"/>
        </w:rPr>
        <w:t>7.3.2转子常数校准</w:t>
      </w:r>
    </w:p>
    <w:p>
      <w:pPr>
        <w:pStyle w:val="62"/>
        <w:numPr>
          <w:ilvl w:val="0"/>
          <w:numId w:val="0"/>
        </w:numPr>
        <w:spacing w:line="360" w:lineRule="auto"/>
        <w:ind w:left="418" w:hanging="417" w:hangingChars="174"/>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7.3.2.1流量计采用测杆式悬挂或其它不影响校准性能的方式悬挂。</w:t>
      </w:r>
    </w:p>
    <w:p>
      <w:pPr>
        <w:pStyle w:val="61"/>
        <w:numPr>
          <w:ilvl w:val="0"/>
          <w:numId w:val="0"/>
        </w:num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a）测杆应位于水槽的中心线上并具有一定的强度和刚度，入水部分呈流线型，应垂直水面，配合应紧密，以防高速时弯曲和振动，影响校准结果。</w:t>
      </w:r>
    </w:p>
    <w:p>
      <w:pPr>
        <w:pStyle w:val="61"/>
        <w:numPr>
          <w:ilvl w:val="0"/>
          <w:numId w:val="0"/>
        </w:num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b）将流量计固定在测杆的入水端，为避免水面波的影响，流量计入水深度一般为距水面0.6m～1.0m。</w:t>
      </w:r>
    </w:p>
    <w:p>
      <w:pPr>
        <w:pStyle w:val="62"/>
        <w:numPr>
          <w:ilvl w:val="0"/>
          <w:numId w:val="0"/>
        </w:num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7.3.2.2静水时间</w:t>
      </w:r>
    </w:p>
    <w:p>
      <w:pPr>
        <w:pStyle w:val="62"/>
        <w:numPr>
          <w:ilvl w:val="0"/>
          <w:numId w:val="0"/>
        </w:num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为避免水面波动对校准结果的影响，校准前需要一定的静水时间，待水槽水面相对静止后方可进行校准。当校准速度小于2m/s时，静水时间一般不少于10min；当速度大于等于2m/s时，静水时间一般不少于20min。</w:t>
      </w:r>
    </w:p>
    <w:p>
      <w:pPr>
        <w:pStyle w:val="62"/>
        <w:numPr>
          <w:ilvl w:val="0"/>
          <w:numId w:val="0"/>
        </w:num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7.3.2.3校准点的选择</w:t>
      </w:r>
      <w:bookmarkStart w:id="34" w:name="_Toc22614"/>
      <w:bookmarkStart w:id="35" w:name="_Toc11054"/>
      <w:bookmarkStart w:id="36" w:name="_Toc75954073"/>
      <w:bookmarkStart w:id="37" w:name="_Toc454271283"/>
    </w:p>
    <w:p>
      <w:pPr>
        <w:pStyle w:val="62"/>
        <w:numPr>
          <w:ilvl w:val="0"/>
          <w:numId w:val="0"/>
        </w:num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校准点按</w:t>
      </w:r>
      <w:r>
        <w:rPr>
          <w:rFonts w:hint="eastAsia" w:asciiTheme="minorEastAsia" w:hAnsiTheme="minorEastAsia" w:eastAsiaTheme="minorEastAsia"/>
          <w:sz w:val="24"/>
          <w:szCs w:val="24"/>
        </w:rPr>
        <w:t>1.00</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m/s、2.00</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m/s、3.00</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m/s、4.00</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m/s、5.00</w:t>
      </w:r>
      <w:r>
        <w:rPr>
          <w:rFonts w:hint="eastAsia" w:asciiTheme="minorEastAsia" w:hAnsiTheme="minorEastAsia" w:eastAsiaTheme="minorEastAsia"/>
          <w:sz w:val="24"/>
          <w:szCs w:val="24"/>
          <w:lang w:val="en-US" w:eastAsia="zh-CN"/>
        </w:rPr>
        <w:t xml:space="preserve"> </w:t>
      </w:r>
      <w:bookmarkStart w:id="51" w:name="_GoBack"/>
      <w:bookmarkEnd w:id="51"/>
      <w:r>
        <w:rPr>
          <w:rFonts w:hint="eastAsia" w:asciiTheme="minorEastAsia" w:hAnsiTheme="minorEastAsia" w:eastAsiaTheme="minorEastAsia"/>
          <w:sz w:val="24"/>
          <w:szCs w:val="24"/>
        </w:rPr>
        <w:t>m/s</w:t>
      </w:r>
      <w:r>
        <w:rPr>
          <w:rFonts w:hint="eastAsia" w:asciiTheme="minorEastAsia" w:hAnsiTheme="minorEastAsia" w:eastAsiaTheme="minorEastAsia"/>
          <w:color w:val="000000" w:themeColor="text1"/>
          <w:sz w:val="24"/>
          <w:szCs w:val="24"/>
        </w:rPr>
        <w:t>的顺序依次进行校准。</w:t>
      </w:r>
      <w:bookmarkEnd w:id="34"/>
      <w:bookmarkEnd w:id="35"/>
      <w:bookmarkEnd w:id="36"/>
      <w:bookmarkEnd w:id="37"/>
    </w:p>
    <w:p>
      <w:pPr>
        <w:pStyle w:val="62"/>
        <w:numPr>
          <w:ilvl w:val="0"/>
          <w:numId w:val="0"/>
        </w:num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7.3.2.4记录流量计起始读数，车速稳定后，将流量计放入水槽中，同时使用秒表计时，10s后记录终止读数（记录表格式见附录A），取出流量计。车速读数精确到0.01m/s。</w:t>
      </w:r>
    </w:p>
    <w:p>
      <w:pPr>
        <w:pStyle w:val="62"/>
        <w:numPr>
          <w:ilvl w:val="0"/>
          <w:numId w:val="0"/>
        </w:num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7.3.2.5 各校准点按7.3.2.4测量5次。</w:t>
      </w:r>
    </w:p>
    <w:p>
      <w:pPr>
        <w:pStyle w:val="62"/>
        <w:numPr>
          <w:ilvl w:val="0"/>
          <w:numId w:val="0"/>
        </w:num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7.3.2.6 各校准点的转子常数按式（2）计算：</w:t>
      </w:r>
    </w:p>
    <w:p>
      <w:pPr>
        <w:pStyle w:val="62"/>
        <w:numPr>
          <w:ilvl w:val="0"/>
          <w:numId w:val="0"/>
        </w:numPr>
        <w:spacing w:line="360" w:lineRule="auto"/>
        <w:jc w:val="right"/>
        <w:rPr>
          <w:rFonts w:asciiTheme="minorEastAsia" w:hAnsiTheme="minorEastAsia" w:eastAsiaTheme="minorEastAsia"/>
          <w:color w:val="000000" w:themeColor="text1"/>
          <w:sz w:val="24"/>
          <w:szCs w:val="24"/>
        </w:rPr>
      </w:pPr>
      <w:r>
        <w:rPr>
          <w:position w:val="-30"/>
        </w:rPr>
        <w:object>
          <v:shape id="_x0000_i1026" o:spt="75" type="#_x0000_t75" style="height:36.75pt;width:59.55pt;" o:ole="t" filled="f" o:preferrelative="t" stroked="f" coordsize="21600,21600">
            <v:path/>
            <v:fill on="f" focussize="0,0"/>
            <v:stroke on="f"/>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ascii="微软雅黑" w:hAnsi="微软雅黑" w:eastAsia="微软雅黑" w:cs="微软雅黑"/>
          <w:color w:val="000000" w:themeColor="text1"/>
          <w:sz w:val="24"/>
          <w:szCs w:val="24"/>
        </w:rPr>
        <w:t>·····························································</w:t>
      </w:r>
      <w:r>
        <w:rPr>
          <w:rFonts w:hint="eastAsia" w:asciiTheme="minorEastAsia" w:hAnsiTheme="minorEastAsia" w:eastAsiaTheme="minorEastAsia"/>
          <w:color w:val="000000" w:themeColor="text1"/>
          <w:sz w:val="24"/>
          <w:szCs w:val="24"/>
        </w:rPr>
        <w:t>（2）</w: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式中：</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R</w:t>
      </w:r>
      <w:r>
        <w:rPr>
          <w:rFonts w:hint="eastAsia" w:asciiTheme="minorEastAsia" w:hAnsiTheme="minorEastAsia" w:eastAsiaTheme="minorEastAsia"/>
          <w:color w:val="000000" w:themeColor="text1"/>
          <w:sz w:val="24"/>
          <w:szCs w:val="24"/>
          <w:vertAlign w:val="subscript"/>
        </w:rPr>
        <w:t>ci</w:t>
      </w:r>
      <w:r>
        <w:rPr>
          <w:rFonts w:hint="eastAsia" w:asciiTheme="minorEastAsia" w:hAnsiTheme="minorEastAsia" w:eastAsiaTheme="minorEastAsia"/>
          <w:color w:val="000000" w:themeColor="text1"/>
          <w:sz w:val="24"/>
          <w:szCs w:val="24"/>
        </w:rPr>
        <w:t>——流量计在第i个校准点的转子常数</w:t>
      </w:r>
      <w:r>
        <w:rPr>
          <w:rFonts w:hint="eastAsia" w:asciiTheme="minorEastAsia" w:hAnsiTheme="minorEastAsia" w:eastAsiaTheme="minorEastAsia"/>
          <w:color w:val="000000" w:themeColor="text1"/>
          <w:sz w:val="24"/>
          <w:szCs w:val="24"/>
          <w:lang w:val="en-US" w:eastAsia="zh-CN"/>
        </w:rPr>
        <w:t>,m</w:t>
      </w:r>
      <w:r>
        <w:rPr>
          <w:rFonts w:hint="eastAsia" w:asciiTheme="minorEastAsia" w:hAnsiTheme="minorEastAsia" w:eastAsiaTheme="minorEastAsia"/>
          <w:color w:val="000000" w:themeColor="text1"/>
          <w:sz w:val="24"/>
          <w:szCs w:val="24"/>
        </w:rPr>
        <w:t>；</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v</w:t>
      </w:r>
      <w:r>
        <w:rPr>
          <w:rFonts w:hint="eastAsia" w:asciiTheme="minorEastAsia" w:hAnsiTheme="minorEastAsia" w:eastAsiaTheme="minorEastAsia"/>
          <w:color w:val="000000" w:themeColor="text1"/>
          <w:sz w:val="24"/>
          <w:szCs w:val="24"/>
          <w:vertAlign w:val="subscript"/>
        </w:rPr>
        <w:t>ix</w:t>
      </w:r>
      <w:r>
        <w:rPr>
          <w:rFonts w:hint="eastAsia" w:asciiTheme="minorEastAsia" w:hAnsiTheme="minorEastAsia" w:eastAsiaTheme="minorEastAsia"/>
          <w:color w:val="000000" w:themeColor="text1"/>
          <w:sz w:val="24"/>
          <w:szCs w:val="24"/>
        </w:rPr>
        <w:t>——第i个校准点第x次测量的实际车速，m/s；</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t</w:t>
      </w:r>
      <w:r>
        <w:rPr>
          <w:rFonts w:hint="eastAsia" w:asciiTheme="minorEastAsia" w:hAnsiTheme="minorEastAsia" w:eastAsiaTheme="minorEastAsia"/>
          <w:color w:val="000000" w:themeColor="text1"/>
          <w:sz w:val="24"/>
          <w:szCs w:val="24"/>
          <w:vertAlign w:val="subscript"/>
        </w:rPr>
        <w:t>ix</w:t>
      </w:r>
      <w:r>
        <w:rPr>
          <w:rFonts w:hint="eastAsia" w:asciiTheme="minorEastAsia" w:hAnsiTheme="minorEastAsia" w:eastAsiaTheme="minorEastAsia"/>
          <w:color w:val="000000" w:themeColor="text1"/>
          <w:sz w:val="24"/>
          <w:szCs w:val="24"/>
        </w:rPr>
        <w:t>——第i个校准点第x次测量的实际入水时间，s；</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a</w:t>
      </w:r>
      <w:r>
        <w:rPr>
          <w:rFonts w:hint="eastAsia" w:asciiTheme="minorEastAsia" w:hAnsiTheme="minorEastAsia" w:eastAsiaTheme="minorEastAsia"/>
          <w:color w:val="000000" w:themeColor="text1"/>
          <w:sz w:val="24"/>
          <w:szCs w:val="24"/>
          <w:vertAlign w:val="subscript"/>
          <w:lang w:val="en-US" w:eastAsia="zh-CN"/>
        </w:rPr>
        <w:t>i</w:t>
      </w:r>
      <w:r>
        <w:rPr>
          <w:rFonts w:hint="eastAsia" w:asciiTheme="minorEastAsia" w:hAnsiTheme="minorEastAsia" w:eastAsiaTheme="minorEastAsia"/>
          <w:color w:val="000000" w:themeColor="text1"/>
          <w:sz w:val="24"/>
          <w:szCs w:val="24"/>
        </w:rPr>
        <w:t>——第i个校准点起始读数；</w:t>
      </w:r>
    </w:p>
    <w:p>
      <w:pPr>
        <w:pStyle w:val="49"/>
        <w:spacing w:line="360" w:lineRule="auto"/>
        <w:ind w:firstLine="1200" w:firstLineChars="5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b</w:t>
      </w:r>
      <w:r>
        <w:rPr>
          <w:rFonts w:hint="eastAsia" w:asciiTheme="minorEastAsia" w:hAnsiTheme="minorEastAsia" w:eastAsiaTheme="minorEastAsia"/>
          <w:color w:val="000000" w:themeColor="text1"/>
          <w:sz w:val="24"/>
          <w:szCs w:val="24"/>
          <w:vertAlign w:val="subscript"/>
          <w:lang w:val="en-US" w:eastAsia="zh-CN"/>
        </w:rPr>
        <w:t>i</w:t>
      </w:r>
      <w:r>
        <w:rPr>
          <w:rFonts w:hint="eastAsia" w:asciiTheme="minorEastAsia" w:hAnsiTheme="minorEastAsia" w:eastAsiaTheme="minorEastAsia"/>
          <w:color w:val="000000" w:themeColor="text1"/>
          <w:sz w:val="24"/>
          <w:szCs w:val="24"/>
        </w:rPr>
        <w:t>——第i个校准点终止读数。</w:t>
      </w:r>
    </w:p>
    <w:p>
      <w:pPr>
        <w:pStyle w:val="49"/>
        <w:spacing w:line="360" w:lineRule="auto"/>
        <w:ind w:firstLine="480" w:firstLineChars="0"/>
        <w:rPr>
          <w:rFonts w:ascii="仿宋" w:hAnsi="仿宋" w:eastAsia="仿宋" w:cs="仿宋"/>
          <w:color w:val="000000" w:themeColor="text1"/>
          <w:szCs w:val="21"/>
        </w:rPr>
      </w:pPr>
      <w:r>
        <w:rPr>
          <w:rFonts w:hint="eastAsia" w:ascii="仿宋" w:hAnsi="仿宋" w:eastAsia="仿宋" w:cs="仿宋"/>
          <w:color w:val="000000" w:themeColor="text1"/>
          <w:szCs w:val="21"/>
        </w:rPr>
        <w:t>注：第i个校准点第x次测量的实际车速为校准车在第i个校准点第x次测量的平均车速，精确到0.01m/s。</w:t>
      </w:r>
    </w:p>
    <w:p>
      <w:pPr>
        <w:pStyle w:val="62"/>
        <w:numPr>
          <w:ilvl w:val="0"/>
          <w:numId w:val="0"/>
        </w:numPr>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7.3.2.7 各校准点流量计的转子常数按式（3）计算：</w:t>
      </w:r>
    </w:p>
    <w:p>
      <w:pPr>
        <w:pStyle w:val="49"/>
        <w:spacing w:line="360" w:lineRule="auto"/>
        <w:ind w:firstLine="0" w:firstLineChars="0"/>
        <w:jc w:val="center"/>
        <w:rPr>
          <w:rFonts w:asciiTheme="minorEastAsia" w:hAnsiTheme="minorEastAsia" w:eastAsiaTheme="minorEastAsia"/>
          <w:color w:val="000000" w:themeColor="text1"/>
          <w:sz w:val="24"/>
          <w:szCs w:val="24"/>
        </w:rPr>
      </w:pPr>
      <w:r>
        <w:rPr>
          <w:rFonts w:hint="eastAsia" w:hAnsi="Cambria Math" w:eastAsiaTheme="minorEastAsia"/>
          <w:color w:val="000000" w:themeColor="text1"/>
          <w:sz w:val="24"/>
          <w:szCs w:val="24"/>
        </w:rPr>
        <w:t xml:space="preserve">                       </w:t>
      </w:r>
      <w:r>
        <w:rPr>
          <w:rFonts w:hint="eastAsia" w:hAnsi="Cambria Math" w:eastAsiaTheme="minorEastAsia"/>
          <w:color w:val="000000" w:themeColor="text1"/>
          <w:sz w:val="24"/>
          <w:szCs w:val="24"/>
          <w:lang w:val="en-US" w:eastAsia="zh-CN"/>
        </w:rPr>
        <w:t xml:space="preserve"> </w:t>
      </w:r>
      <w:r>
        <w:rPr>
          <w:rFonts w:hint="eastAsia" w:hAnsi="Cambria Math" w:eastAsiaTheme="minorEastAsia"/>
          <w:color w:val="000000" w:themeColor="text1"/>
          <w:sz w:val="24"/>
          <w:szCs w:val="24"/>
        </w:rPr>
        <w:t xml:space="preserve"> </w:t>
      </w:r>
      <w:r>
        <w:rPr>
          <w:position w:val="-14"/>
        </w:rPr>
        <w:object>
          <v:shape id="_x0000_i1027" o:spt="75" type="#_x0000_t75" style="height:24.75pt;width:59.2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ascii="微软雅黑" w:hAnsi="微软雅黑" w:eastAsia="微软雅黑" w:cs="微软雅黑"/>
          <w:color w:val="000000" w:themeColor="text1"/>
          <w:sz w:val="24"/>
          <w:szCs w:val="24"/>
        </w:rPr>
        <w:t>···························································</w:t>
      </w:r>
      <w:r>
        <w:rPr>
          <w:rFonts w:hint="eastAsia" w:asciiTheme="minorEastAsia" w:hAnsiTheme="minorEastAsia" w:eastAsiaTheme="minorEastAsia"/>
          <w:color w:val="000000" w:themeColor="text1"/>
          <w:sz w:val="24"/>
          <w:szCs w:val="24"/>
        </w:rPr>
        <w:t>（3）</w:t>
      </w:r>
    </w:p>
    <w:p>
      <w:pPr>
        <w:pStyle w:val="49"/>
        <w:spacing w:line="360" w:lineRule="auto"/>
        <w:ind w:firstLine="420"/>
        <w:jc w:val="left"/>
        <w:rPr>
          <w:rFonts w:asciiTheme="minorEastAsia" w:hAnsiTheme="minorEastAsia" w:eastAsiaTheme="minorEastAsia"/>
          <w:color w:val="000000" w:themeColor="text1"/>
          <w:sz w:val="24"/>
          <w:szCs w:val="24"/>
        </w:rPr>
      </w:pPr>
      <w:r>
        <w:rPr>
          <w:rFonts w:hint="eastAsia" w:ascii="仿宋" w:hAnsi="仿宋" w:eastAsia="仿宋" w:cs="仿宋"/>
          <w:color w:val="000000" w:themeColor="text1"/>
          <w:szCs w:val="21"/>
        </w:rPr>
        <w:t>注：i=1，2，3，4，5。</w:t>
      </w:r>
    </w:p>
    <w:p>
      <w:pPr>
        <w:pStyle w:val="2"/>
        <w:rPr>
          <w:rFonts w:ascii="黑体" w:hAnsi="黑体" w:eastAsia="黑体"/>
          <w:b w:val="0"/>
          <w:sz w:val="24"/>
          <w:szCs w:val="24"/>
        </w:rPr>
      </w:pPr>
      <w:bookmarkStart w:id="38" w:name="_Toc395252515"/>
      <w:bookmarkStart w:id="39" w:name="_Toc262743964"/>
      <w:bookmarkStart w:id="40" w:name="_Toc75954074"/>
      <w:r>
        <w:rPr>
          <w:rFonts w:hint="eastAsia" w:ascii="黑体" w:hAnsi="黑体" w:eastAsia="黑体"/>
          <w:b w:val="0"/>
          <w:sz w:val="24"/>
          <w:szCs w:val="24"/>
        </w:rPr>
        <w:t>8 校准</w:t>
      </w:r>
      <w:r>
        <w:rPr>
          <w:rFonts w:ascii="黑体" w:hAnsi="黑体" w:eastAsia="黑体"/>
          <w:b w:val="0"/>
          <w:sz w:val="24"/>
          <w:szCs w:val="24"/>
        </w:rPr>
        <w:t>结果的</w:t>
      </w:r>
      <w:bookmarkEnd w:id="38"/>
      <w:bookmarkEnd w:id="39"/>
      <w:r>
        <w:rPr>
          <w:rFonts w:ascii="黑体" w:hAnsi="黑体" w:eastAsia="黑体"/>
          <w:b w:val="0"/>
          <w:sz w:val="24"/>
          <w:szCs w:val="24"/>
        </w:rPr>
        <w:t>表达</w:t>
      </w:r>
      <w:bookmarkEnd w:id="40"/>
    </w:p>
    <w:p>
      <w:pPr>
        <w:spacing w:line="360" w:lineRule="auto"/>
        <w:ind w:left="210" w:leftChars="100" w:firstLine="480" w:firstLineChars="200"/>
        <w:rPr>
          <w:sz w:val="24"/>
        </w:rPr>
      </w:pPr>
      <w:r>
        <w:rPr>
          <w:rFonts w:hint="eastAsia" w:hAnsi="宋体"/>
          <w:sz w:val="24"/>
        </w:rPr>
        <w:t>为</w:t>
      </w:r>
      <w:r>
        <w:rPr>
          <w:rFonts w:hAnsi="宋体"/>
          <w:sz w:val="24"/>
        </w:rPr>
        <w:t>经校准的</w:t>
      </w:r>
      <w:r>
        <w:rPr>
          <w:rFonts w:hint="eastAsia" w:hAnsi="宋体"/>
          <w:sz w:val="24"/>
        </w:rPr>
        <w:t>流量计提供校准证书，其</w:t>
      </w:r>
      <w:r>
        <w:rPr>
          <w:rFonts w:hint="eastAsia" w:ascii="Times New Roman" w:hAnsi="Times New Roman" w:cs="Times New Roman"/>
          <w:sz w:val="24"/>
        </w:rPr>
        <w:t>内页格式见附录B；为校准不确定度的评定提供示例，详见附录C。</w:t>
      </w:r>
    </w:p>
    <w:p>
      <w:pPr>
        <w:pStyle w:val="2"/>
        <w:rPr>
          <w:rFonts w:ascii="黑体" w:hAnsi="黑体" w:eastAsia="黑体"/>
          <w:b w:val="0"/>
          <w:sz w:val="24"/>
          <w:szCs w:val="24"/>
        </w:rPr>
      </w:pPr>
      <w:bookmarkStart w:id="41" w:name="_Toc262743965"/>
      <w:bookmarkStart w:id="42" w:name="_Toc395252516"/>
      <w:bookmarkStart w:id="43" w:name="_Toc75954075"/>
      <w:r>
        <w:rPr>
          <w:rFonts w:hint="eastAsia" w:ascii="黑体" w:hAnsi="黑体" w:eastAsia="黑体"/>
          <w:b w:val="0"/>
          <w:sz w:val="24"/>
          <w:szCs w:val="24"/>
        </w:rPr>
        <w:t xml:space="preserve">9 </w:t>
      </w:r>
      <w:bookmarkEnd w:id="41"/>
      <w:bookmarkEnd w:id="42"/>
      <w:r>
        <w:rPr>
          <w:rFonts w:hint="eastAsia" w:ascii="黑体" w:hAnsi="黑体" w:eastAsia="黑体"/>
          <w:b w:val="0"/>
          <w:sz w:val="24"/>
          <w:szCs w:val="24"/>
        </w:rPr>
        <w:t>复校时间间隔</w:t>
      </w:r>
      <w:bookmarkEnd w:id="43"/>
    </w:p>
    <w:p>
      <w:pPr>
        <w:spacing w:line="360" w:lineRule="auto"/>
        <w:ind w:firstLine="480" w:firstLineChars="200"/>
        <w:rPr>
          <w:sz w:val="24"/>
        </w:rPr>
      </w:pPr>
      <w:r>
        <w:rPr>
          <w:rFonts w:asciiTheme="minorEastAsia" w:hAnsiTheme="minorEastAsia"/>
          <w:sz w:val="24"/>
        </w:rPr>
        <w:t>复校时间间隔</w:t>
      </w:r>
      <w:r>
        <w:rPr>
          <w:rFonts w:hint="eastAsia" w:asciiTheme="minorEastAsia" w:hAnsiTheme="minorEastAsia"/>
          <w:sz w:val="24"/>
        </w:rPr>
        <w:t>一般</w:t>
      </w:r>
      <w:r>
        <w:rPr>
          <w:rFonts w:asciiTheme="minorEastAsia" w:hAnsiTheme="minorEastAsia"/>
          <w:sz w:val="24"/>
        </w:rPr>
        <w:t>由仪器的使用情况、仪器本身质量</w:t>
      </w:r>
      <w:r>
        <w:rPr>
          <w:rFonts w:hint="eastAsia" w:asciiTheme="minorEastAsia" w:hAnsiTheme="minorEastAsia"/>
          <w:sz w:val="24"/>
        </w:rPr>
        <w:t>、使用环境</w:t>
      </w:r>
      <w:r>
        <w:rPr>
          <w:rFonts w:asciiTheme="minorEastAsia" w:hAnsiTheme="minorEastAsia"/>
          <w:sz w:val="24"/>
        </w:rPr>
        <w:t>等因素决定</w:t>
      </w:r>
      <w:r>
        <w:rPr>
          <w:rFonts w:hint="eastAsia" w:asciiTheme="minorEastAsia" w:hAnsiTheme="minorEastAsia"/>
          <w:sz w:val="24"/>
        </w:rPr>
        <w:t>。</w:t>
      </w:r>
      <w:r>
        <w:rPr>
          <w:rFonts w:asciiTheme="minorEastAsia" w:hAnsiTheme="minorEastAsia"/>
          <w:sz w:val="24"/>
        </w:rPr>
        <w:t>因此，送校单位可根据实际使用情况自主决定复校时间间隔。建议复校时间间隔一般</w:t>
      </w:r>
      <w:r>
        <w:rPr>
          <w:rFonts w:hint="eastAsia" w:asciiTheme="minorEastAsia" w:hAnsiTheme="minorEastAsia"/>
          <w:sz w:val="24"/>
        </w:rPr>
        <w:t>不超过1</w:t>
      </w:r>
      <w:r>
        <w:rPr>
          <w:rFonts w:asciiTheme="minorEastAsia" w:hAnsiTheme="minorEastAsia"/>
          <w:sz w:val="24"/>
        </w:rPr>
        <w:t>年。</w:t>
      </w:r>
      <w:r>
        <w:rPr>
          <w:rFonts w:hint="eastAsia" w:asciiTheme="minorEastAsia" w:hAnsiTheme="minorEastAsia"/>
          <w:sz w:val="24"/>
        </w:rPr>
        <w:t>新购置或更换或经过调试维修后的仪器应及时进行校准。</w:t>
      </w:r>
      <w:r>
        <w:rPr>
          <w:sz w:val="24"/>
        </w:rPr>
        <w:br w:type="page"/>
      </w:r>
      <w:bookmarkStart w:id="44" w:name="_Toc453489842"/>
    </w:p>
    <w:p>
      <w:pPr>
        <w:pStyle w:val="2"/>
        <w:spacing w:line="240" w:lineRule="auto"/>
        <w:rPr>
          <w:rFonts w:ascii="黑体" w:hAnsi="黑体" w:eastAsia="黑体"/>
          <w:b w:val="0"/>
          <w:sz w:val="24"/>
          <w:szCs w:val="24"/>
        </w:rPr>
      </w:pPr>
      <w:bookmarkStart w:id="45" w:name="_Toc75954076"/>
      <w:r>
        <w:rPr>
          <w:rFonts w:ascii="黑体" w:hAnsi="黑体" w:eastAsia="黑体"/>
          <w:b w:val="0"/>
          <w:sz w:val="24"/>
          <w:szCs w:val="24"/>
        </w:rPr>
        <w:t>附录A</w:t>
      </w:r>
      <w:bookmarkEnd w:id="44"/>
      <w:bookmarkEnd w:id="45"/>
    </w:p>
    <w:p>
      <w:pPr>
        <w:jc w:val="center"/>
        <w:rPr>
          <w:rFonts w:ascii="黑体" w:hAnsi="黑体" w:eastAsia="黑体"/>
          <w:sz w:val="28"/>
          <w:szCs w:val="28"/>
        </w:rPr>
      </w:pPr>
      <w:bookmarkStart w:id="46" w:name="_Toc453489843"/>
      <w:r>
        <w:rPr>
          <w:rFonts w:hint="eastAsia" w:ascii="黑体" w:hAnsi="黑体" w:eastAsia="黑体"/>
          <w:sz w:val="28"/>
          <w:szCs w:val="28"/>
        </w:rPr>
        <w:t>校准记录表参考格式</w:t>
      </w:r>
      <w:bookmarkEnd w:id="46"/>
      <w:r>
        <w:rPr>
          <w:rFonts w:hint="eastAsia" w:ascii="黑体" w:hAnsi="黑体" w:eastAsia="黑体"/>
          <w:sz w:val="28"/>
          <w:szCs w:val="28"/>
        </w:rPr>
        <w:t>（资料性附录）</w:t>
      </w:r>
    </w:p>
    <w:p>
      <w:pPr>
        <w:pStyle w:val="62"/>
        <w:numPr>
          <w:ilvl w:val="0"/>
          <w:numId w:val="0"/>
        </w:numPr>
        <w:rPr>
          <w:rFonts w:asciiTheme="minorEastAsia" w:hAnsiTheme="minorEastAsia" w:eastAsiaTheme="minorEastAsia" w:cstheme="minorBidi"/>
          <w:color w:val="000000" w:themeColor="text1"/>
          <w:kern w:val="2"/>
          <w:szCs w:val="21"/>
        </w:rPr>
      </w:pPr>
      <w:r>
        <w:rPr>
          <w:rFonts w:hint="eastAsia" w:asciiTheme="minorEastAsia" w:hAnsiTheme="minorEastAsia" w:eastAsiaTheme="minorEastAsia" w:cstheme="minorBidi"/>
          <w:color w:val="000000" w:themeColor="text1"/>
          <w:kern w:val="2"/>
          <w:szCs w:val="21"/>
        </w:rPr>
        <w:t>1.外观及功能检查：         2.起转速度：</w:t>
      </w:r>
    </w:p>
    <w:tbl>
      <w:tblPr>
        <w:tblStyle w:val="19"/>
        <w:tblpPr w:leftFromText="180" w:rightFromText="180" w:vertAnchor="text" w:horzAnchor="page" w:tblpXSpec="center" w:tblpY="218"/>
        <w:tblOverlap w:val="never"/>
        <w:tblW w:w="100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0"/>
        <w:gridCol w:w="1176"/>
        <w:gridCol w:w="374"/>
        <w:gridCol w:w="1658"/>
        <w:gridCol w:w="211"/>
        <w:gridCol w:w="688"/>
        <w:gridCol w:w="1044"/>
        <w:gridCol w:w="68"/>
        <w:gridCol w:w="1000"/>
        <w:gridCol w:w="649"/>
        <w:gridCol w:w="414"/>
        <w:gridCol w:w="814"/>
        <w:gridCol w:w="9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所使用的计量器具名称</w:t>
            </w:r>
          </w:p>
        </w:tc>
        <w:tc>
          <w:tcPr>
            <w:tcW w:w="1550" w:type="dxa"/>
            <w:gridSpan w:val="2"/>
            <w:tcBorders>
              <w:bottom w:val="double" w:color="auto" w:sz="4" w:space="0"/>
            </w:tcBorders>
            <w:vAlign w:val="center"/>
          </w:tcPr>
          <w:p>
            <w:pPr>
              <w:spacing w:before="120"/>
              <w:jc w:val="center"/>
              <w:rPr>
                <w:rFonts w:asciiTheme="minorEastAsia" w:hAnsiTheme="minorEastAsia"/>
                <w:color w:val="000000" w:themeColor="text1"/>
                <w:szCs w:val="21"/>
              </w:rPr>
            </w:pPr>
          </w:p>
        </w:tc>
        <w:tc>
          <w:tcPr>
            <w:tcW w:w="1869" w:type="dxa"/>
            <w:gridSpan w:val="2"/>
            <w:tcBorders>
              <w:bottom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仪器编号</w:t>
            </w:r>
          </w:p>
        </w:tc>
        <w:tc>
          <w:tcPr>
            <w:tcW w:w="688" w:type="dxa"/>
            <w:tcBorders>
              <w:bottom w:val="double" w:color="auto" w:sz="4" w:space="0"/>
            </w:tcBorders>
            <w:vAlign w:val="center"/>
          </w:tcPr>
          <w:p>
            <w:pPr>
              <w:spacing w:before="120"/>
              <w:jc w:val="center"/>
              <w:rPr>
                <w:rFonts w:asciiTheme="minorEastAsia" w:hAnsiTheme="minorEastAsia"/>
                <w:color w:val="000000" w:themeColor="text1"/>
                <w:szCs w:val="21"/>
              </w:rPr>
            </w:pPr>
          </w:p>
        </w:tc>
        <w:tc>
          <w:tcPr>
            <w:tcW w:w="1112" w:type="dxa"/>
            <w:gridSpan w:val="2"/>
            <w:tcBorders>
              <w:bottom w:val="double" w:color="auto" w:sz="4" w:space="0"/>
            </w:tcBorders>
            <w:tcMar>
              <w:left w:w="0" w:type="dxa"/>
              <w:right w:w="0" w:type="dxa"/>
            </w:tcMar>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温度</w:t>
            </w:r>
          </w:p>
        </w:tc>
        <w:tc>
          <w:tcPr>
            <w:tcW w:w="1000" w:type="dxa"/>
            <w:tcBorders>
              <w:bottom w:val="double" w:color="auto" w:sz="4" w:space="0"/>
            </w:tcBorders>
            <w:tcMar>
              <w:left w:w="0" w:type="dxa"/>
              <w:right w:w="0" w:type="dxa"/>
            </w:tcMar>
            <w:vAlign w:val="center"/>
          </w:tcPr>
          <w:p>
            <w:pPr>
              <w:spacing w:before="120"/>
              <w:jc w:val="center"/>
              <w:rPr>
                <w:rFonts w:asciiTheme="minorEastAsia" w:hAnsiTheme="minorEastAsia"/>
                <w:color w:val="000000" w:themeColor="text1"/>
                <w:szCs w:val="21"/>
              </w:rPr>
            </w:pPr>
          </w:p>
        </w:tc>
        <w:tc>
          <w:tcPr>
            <w:tcW w:w="1063" w:type="dxa"/>
            <w:gridSpan w:val="2"/>
            <w:tcBorders>
              <w:bottom w:val="double" w:color="auto" w:sz="4" w:space="0"/>
              <w:right w:val="single" w:color="auto" w:sz="4" w:space="0"/>
            </w:tcBorders>
            <w:tcMar>
              <w:left w:w="0" w:type="dxa"/>
              <w:right w:w="0" w:type="dxa"/>
            </w:tcMar>
            <w:vAlign w:val="center"/>
          </w:tcPr>
          <w:p>
            <w:pPr>
              <w:spacing w:before="120"/>
              <w:jc w:val="center"/>
              <w:rPr>
                <w:rFonts w:asciiTheme="minorEastAsia" w:hAnsiTheme="minorEastAsia"/>
                <w:color w:val="000000" w:themeColor="text1"/>
                <w:szCs w:val="21"/>
              </w:rPr>
            </w:pPr>
            <w:r>
              <w:rPr>
                <w:rFonts w:hint="eastAsia" w:asciiTheme="minorEastAsia" w:hAnsiTheme="minorEastAsia"/>
                <w:color w:val="000000" w:themeColor="text1"/>
                <w:szCs w:val="21"/>
              </w:rPr>
              <w:t>湿度</w:t>
            </w:r>
          </w:p>
        </w:tc>
        <w:tc>
          <w:tcPr>
            <w:tcW w:w="1738" w:type="dxa"/>
            <w:gridSpan w:val="2"/>
            <w:tcBorders>
              <w:left w:val="single" w:color="auto" w:sz="4" w:space="0"/>
              <w:bottom w:val="double" w:color="auto" w:sz="4" w:space="0"/>
            </w:tcBorders>
            <w:tcMar>
              <w:left w:w="0" w:type="dxa"/>
              <w:right w:w="0" w:type="dxa"/>
            </w:tcMar>
            <w:vAlign w:val="center"/>
          </w:tcPr>
          <w:p>
            <w:pPr>
              <w:spacing w:before="120"/>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送校单位</w:t>
            </w:r>
          </w:p>
        </w:tc>
        <w:tc>
          <w:tcPr>
            <w:tcW w:w="1550" w:type="dxa"/>
            <w:gridSpan w:val="2"/>
            <w:tcBorders>
              <w:bottom w:val="double" w:color="auto" w:sz="4" w:space="0"/>
            </w:tcBorders>
            <w:vAlign w:val="center"/>
          </w:tcPr>
          <w:p>
            <w:pPr>
              <w:jc w:val="center"/>
              <w:rPr>
                <w:rFonts w:asciiTheme="minorEastAsia" w:hAnsiTheme="minorEastAsia"/>
                <w:color w:val="000000" w:themeColor="text1"/>
                <w:szCs w:val="21"/>
              </w:rPr>
            </w:pPr>
          </w:p>
        </w:tc>
        <w:tc>
          <w:tcPr>
            <w:tcW w:w="1869" w:type="dxa"/>
            <w:gridSpan w:val="2"/>
            <w:tcBorders>
              <w:bottom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仪器型号</w:t>
            </w:r>
          </w:p>
        </w:tc>
        <w:tc>
          <w:tcPr>
            <w:tcW w:w="688" w:type="dxa"/>
            <w:tcBorders>
              <w:bottom w:val="double" w:color="auto" w:sz="4" w:space="0"/>
            </w:tcBorders>
            <w:vAlign w:val="center"/>
          </w:tcPr>
          <w:p>
            <w:pPr>
              <w:jc w:val="center"/>
              <w:rPr>
                <w:rFonts w:asciiTheme="minorEastAsia" w:hAnsiTheme="minorEastAsia"/>
                <w:color w:val="000000" w:themeColor="text1"/>
                <w:szCs w:val="21"/>
              </w:rPr>
            </w:pPr>
          </w:p>
        </w:tc>
        <w:tc>
          <w:tcPr>
            <w:tcW w:w="1112" w:type="dxa"/>
            <w:gridSpan w:val="2"/>
            <w:tcBorders>
              <w:bottom w:val="double" w:color="auto" w:sz="4" w:space="0"/>
            </w:tcBorders>
            <w:tcMar>
              <w:left w:w="0" w:type="dxa"/>
              <w:right w:w="0" w:type="dxa"/>
            </w:tcMar>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校准依据</w:t>
            </w:r>
          </w:p>
        </w:tc>
        <w:tc>
          <w:tcPr>
            <w:tcW w:w="3801" w:type="dxa"/>
            <w:gridSpan w:val="5"/>
            <w:tcBorders>
              <w:bottom w:val="double" w:color="auto" w:sz="4" w:space="0"/>
            </w:tcBorders>
            <w:tcMar>
              <w:left w:w="0" w:type="dxa"/>
              <w:right w:w="0" w:type="dxa"/>
            </w:tcMar>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计量标准证书号</w:t>
            </w:r>
          </w:p>
        </w:tc>
        <w:tc>
          <w:tcPr>
            <w:tcW w:w="4107" w:type="dxa"/>
            <w:gridSpan w:val="5"/>
            <w:tcBorders>
              <w:bottom w:val="double" w:color="auto" w:sz="4" w:space="0"/>
            </w:tcBorders>
            <w:vAlign w:val="center"/>
          </w:tcPr>
          <w:p>
            <w:pPr>
              <w:jc w:val="center"/>
              <w:rPr>
                <w:rFonts w:asciiTheme="minorEastAsia" w:hAnsiTheme="minorEastAsia"/>
                <w:color w:val="000000" w:themeColor="text1"/>
                <w:szCs w:val="21"/>
              </w:rPr>
            </w:pPr>
          </w:p>
        </w:tc>
        <w:tc>
          <w:tcPr>
            <w:tcW w:w="1112" w:type="dxa"/>
            <w:gridSpan w:val="2"/>
            <w:tcBorders>
              <w:bottom w:val="double" w:color="auto" w:sz="4" w:space="0"/>
            </w:tcBorders>
            <w:tcMar>
              <w:left w:w="0" w:type="dxa"/>
              <w:right w:w="0" w:type="dxa"/>
            </w:tcMar>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有效期</w:t>
            </w:r>
          </w:p>
        </w:tc>
        <w:tc>
          <w:tcPr>
            <w:tcW w:w="3801" w:type="dxa"/>
            <w:gridSpan w:val="5"/>
            <w:tcBorders>
              <w:bottom w:val="double" w:color="auto" w:sz="4" w:space="0"/>
            </w:tcBorders>
            <w:tcMar>
              <w:left w:w="0" w:type="dxa"/>
              <w:right w:w="0" w:type="dxa"/>
            </w:tcMar>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校准</w:t>
            </w:r>
          </w:p>
        </w:tc>
        <w:tc>
          <w:tcPr>
            <w:tcW w:w="4107" w:type="dxa"/>
            <w:gridSpan w:val="5"/>
            <w:tcBorders>
              <w:bottom w:val="double" w:color="auto" w:sz="4" w:space="0"/>
            </w:tcBorders>
            <w:vAlign w:val="center"/>
          </w:tcPr>
          <w:p>
            <w:pPr>
              <w:jc w:val="center"/>
              <w:rPr>
                <w:rFonts w:asciiTheme="minorEastAsia" w:hAnsiTheme="minorEastAsia"/>
                <w:color w:val="000000" w:themeColor="text1"/>
                <w:szCs w:val="21"/>
              </w:rPr>
            </w:pPr>
          </w:p>
        </w:tc>
        <w:tc>
          <w:tcPr>
            <w:tcW w:w="1112" w:type="dxa"/>
            <w:gridSpan w:val="2"/>
            <w:tcBorders>
              <w:bottom w:val="double" w:color="auto" w:sz="4" w:space="0"/>
            </w:tcBorders>
            <w:tcMar>
              <w:left w:w="0" w:type="dxa"/>
              <w:right w:w="0" w:type="dxa"/>
            </w:tcMar>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核验</w:t>
            </w:r>
          </w:p>
        </w:tc>
        <w:tc>
          <w:tcPr>
            <w:tcW w:w="3801" w:type="dxa"/>
            <w:gridSpan w:val="5"/>
            <w:tcBorders>
              <w:bottom w:val="double" w:color="auto" w:sz="4" w:space="0"/>
            </w:tcBorders>
            <w:tcMar>
              <w:left w:w="0" w:type="dxa"/>
              <w:right w:w="0" w:type="dxa"/>
            </w:tcMar>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tcBorders>
              <w:bottom w:val="sing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实际车速</w:t>
            </w:r>
          </w:p>
        </w:tc>
        <w:tc>
          <w:tcPr>
            <w:tcW w:w="1176" w:type="dxa"/>
            <w:tcBorders>
              <w:bottom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序号</w:t>
            </w:r>
          </w:p>
        </w:tc>
        <w:tc>
          <w:tcPr>
            <w:tcW w:w="2032" w:type="dxa"/>
            <w:gridSpan w:val="2"/>
            <w:tcBorders>
              <w:bottom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起始读数</w:t>
            </w:r>
          </w:p>
        </w:tc>
        <w:tc>
          <w:tcPr>
            <w:tcW w:w="1943" w:type="dxa"/>
            <w:gridSpan w:val="3"/>
            <w:tcBorders>
              <w:bottom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终止读数</w:t>
            </w:r>
          </w:p>
        </w:tc>
        <w:tc>
          <w:tcPr>
            <w:tcW w:w="1717" w:type="dxa"/>
            <w:gridSpan w:val="3"/>
            <w:tcBorders>
              <w:bottom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入水时间</w:t>
            </w:r>
          </w:p>
        </w:tc>
        <w:tc>
          <w:tcPr>
            <w:tcW w:w="1228" w:type="dxa"/>
            <w:gridSpan w:val="2"/>
            <w:tcBorders>
              <w:bottom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R</w:t>
            </w:r>
            <w:r>
              <w:rPr>
                <w:rFonts w:hint="eastAsia" w:asciiTheme="minorEastAsia" w:hAnsiTheme="minorEastAsia"/>
                <w:color w:val="000000" w:themeColor="text1"/>
                <w:szCs w:val="21"/>
                <w:vertAlign w:val="subscript"/>
              </w:rPr>
              <w:t>ci</w:t>
            </w:r>
          </w:p>
        </w:tc>
        <w:tc>
          <w:tcPr>
            <w:tcW w:w="924" w:type="dxa"/>
            <w:tcBorders>
              <w:bottom w:val="double" w:color="auto" w:sz="4" w:space="0"/>
            </w:tcBorders>
          </w:tcPr>
          <w:p>
            <w:pPr>
              <w:jc w:val="center"/>
              <w:rPr>
                <w:rFonts w:asciiTheme="minorEastAsia" w:hAnsiTheme="minorEastAsia"/>
                <w:color w:val="000000" w:themeColor="text1"/>
                <w:szCs w:val="21"/>
              </w:rPr>
            </w:pPr>
            <w:r>
              <w:rPr>
                <w:position w:val="-12"/>
              </w:rPr>
              <w:object>
                <v:shape id="_x0000_i1028" o:spt="75" type="#_x0000_t75" style="height:19.5pt;width:16.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restart"/>
            <w:tcBorders>
              <w:top w:val="sing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1.00m/s</w:t>
            </w:r>
          </w:p>
        </w:tc>
        <w:tc>
          <w:tcPr>
            <w:tcW w:w="1176" w:type="dxa"/>
            <w:tcBorders>
              <w:top w:val="doub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1</w:t>
            </w:r>
          </w:p>
        </w:tc>
        <w:tc>
          <w:tcPr>
            <w:tcW w:w="2032" w:type="dxa"/>
            <w:gridSpan w:val="2"/>
            <w:tcBorders>
              <w:top w:val="double" w:color="auto" w:sz="4" w:space="0"/>
            </w:tcBorders>
            <w:vAlign w:val="center"/>
          </w:tcPr>
          <w:p>
            <w:pPr>
              <w:jc w:val="center"/>
              <w:rPr>
                <w:rFonts w:asciiTheme="minorEastAsia" w:hAnsiTheme="minorEastAsia"/>
                <w:color w:val="000000" w:themeColor="text1"/>
                <w:szCs w:val="21"/>
              </w:rPr>
            </w:pPr>
          </w:p>
        </w:tc>
        <w:tc>
          <w:tcPr>
            <w:tcW w:w="1943" w:type="dxa"/>
            <w:gridSpan w:val="3"/>
            <w:tcBorders>
              <w:top w:val="double" w:color="auto" w:sz="4" w:space="0"/>
            </w:tcBorders>
            <w:vAlign w:val="center"/>
          </w:tcPr>
          <w:p>
            <w:pPr>
              <w:jc w:val="center"/>
              <w:rPr>
                <w:rFonts w:asciiTheme="minorEastAsia" w:hAnsiTheme="minorEastAsia"/>
                <w:color w:val="000000" w:themeColor="text1"/>
                <w:szCs w:val="21"/>
              </w:rPr>
            </w:pPr>
          </w:p>
        </w:tc>
        <w:tc>
          <w:tcPr>
            <w:tcW w:w="1717" w:type="dxa"/>
            <w:gridSpan w:val="3"/>
            <w:tcBorders>
              <w:top w:val="double" w:color="auto" w:sz="4" w:space="0"/>
            </w:tcBorders>
            <w:vAlign w:val="center"/>
          </w:tcPr>
          <w:p>
            <w:pPr>
              <w:jc w:val="center"/>
              <w:rPr>
                <w:rFonts w:asciiTheme="minorEastAsia" w:hAnsiTheme="minorEastAsia"/>
                <w:color w:val="000000" w:themeColor="text1"/>
                <w:szCs w:val="21"/>
              </w:rPr>
            </w:pPr>
          </w:p>
        </w:tc>
        <w:tc>
          <w:tcPr>
            <w:tcW w:w="1228" w:type="dxa"/>
            <w:gridSpan w:val="2"/>
            <w:tcBorders>
              <w:top w:val="double" w:color="auto" w:sz="4" w:space="0"/>
            </w:tcBorders>
            <w:vAlign w:val="center"/>
          </w:tcPr>
          <w:p>
            <w:pPr>
              <w:jc w:val="center"/>
              <w:rPr>
                <w:rFonts w:asciiTheme="minorEastAsia" w:hAnsiTheme="minorEastAsia"/>
                <w:color w:val="000000" w:themeColor="text1"/>
                <w:szCs w:val="21"/>
              </w:rPr>
            </w:pPr>
          </w:p>
        </w:tc>
        <w:tc>
          <w:tcPr>
            <w:tcW w:w="924" w:type="dxa"/>
            <w:vMerge w:val="restart"/>
            <w:tcBorders>
              <w:top w:val="double" w:color="auto" w:sz="4" w:space="0"/>
            </w:tcBorders>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2</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3</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4</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tcBorders>
              <w:bottom w:val="single" w:color="auto" w:sz="4" w:space="0"/>
            </w:tcBorders>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5</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restart"/>
            <w:tcBorders>
              <w:top w:val="sing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2.00m/s</w:t>
            </w: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1</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restart"/>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2</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3</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4</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tcBorders>
              <w:bottom w:val="single" w:color="auto" w:sz="4" w:space="0"/>
            </w:tcBorders>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5</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vAlign w:val="center"/>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restart"/>
            <w:tcBorders>
              <w:top w:val="sing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3.00m/s</w:t>
            </w: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1</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restart"/>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2</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3</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4</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tcBorders>
              <w:bottom w:val="single" w:color="auto" w:sz="4" w:space="0"/>
            </w:tcBorders>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5</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restart"/>
            <w:tcBorders>
              <w:top w:val="single" w:color="auto" w:sz="4" w:space="0"/>
            </w:tcBorders>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4.00m/s</w:t>
            </w: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1</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restart"/>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2</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3</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4</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tcBorders>
              <w:bottom w:val="single" w:color="auto" w:sz="4" w:space="0"/>
            </w:tcBorders>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5</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restart"/>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5.00m/s</w:t>
            </w: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1</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restart"/>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2</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3</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4</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0" w:type="dxa"/>
            <w:vMerge w:val="continue"/>
            <w:tcBorders>
              <w:bottom w:val="single" w:color="auto" w:sz="4" w:space="0"/>
            </w:tcBorders>
            <w:vAlign w:val="center"/>
          </w:tcPr>
          <w:p>
            <w:pPr>
              <w:jc w:val="center"/>
              <w:rPr>
                <w:rFonts w:asciiTheme="minorEastAsia" w:hAnsiTheme="minorEastAsia"/>
                <w:color w:val="000000" w:themeColor="text1"/>
                <w:szCs w:val="21"/>
              </w:rPr>
            </w:pPr>
          </w:p>
        </w:tc>
        <w:tc>
          <w:tcPr>
            <w:tcW w:w="1176" w:type="dxa"/>
            <w:vAlign w:val="center"/>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5</w:t>
            </w:r>
          </w:p>
        </w:tc>
        <w:tc>
          <w:tcPr>
            <w:tcW w:w="2032" w:type="dxa"/>
            <w:gridSpan w:val="2"/>
            <w:vAlign w:val="center"/>
          </w:tcPr>
          <w:p>
            <w:pPr>
              <w:jc w:val="center"/>
              <w:rPr>
                <w:rFonts w:asciiTheme="minorEastAsia" w:hAnsiTheme="minorEastAsia"/>
                <w:color w:val="000000" w:themeColor="text1"/>
                <w:szCs w:val="21"/>
              </w:rPr>
            </w:pPr>
          </w:p>
        </w:tc>
        <w:tc>
          <w:tcPr>
            <w:tcW w:w="1943" w:type="dxa"/>
            <w:gridSpan w:val="3"/>
            <w:vAlign w:val="center"/>
          </w:tcPr>
          <w:p>
            <w:pPr>
              <w:jc w:val="center"/>
              <w:rPr>
                <w:rFonts w:asciiTheme="minorEastAsia" w:hAnsiTheme="minorEastAsia"/>
                <w:color w:val="000000" w:themeColor="text1"/>
                <w:szCs w:val="21"/>
              </w:rPr>
            </w:pPr>
          </w:p>
        </w:tc>
        <w:tc>
          <w:tcPr>
            <w:tcW w:w="1717" w:type="dxa"/>
            <w:gridSpan w:val="3"/>
            <w:vAlign w:val="center"/>
          </w:tcPr>
          <w:p>
            <w:pPr>
              <w:jc w:val="center"/>
              <w:rPr>
                <w:rFonts w:asciiTheme="minorEastAsia" w:hAnsiTheme="minorEastAsia"/>
                <w:color w:val="000000" w:themeColor="text1"/>
                <w:szCs w:val="21"/>
              </w:rPr>
            </w:pPr>
          </w:p>
        </w:tc>
        <w:tc>
          <w:tcPr>
            <w:tcW w:w="1228" w:type="dxa"/>
            <w:gridSpan w:val="2"/>
            <w:vAlign w:val="center"/>
          </w:tcPr>
          <w:p>
            <w:pPr>
              <w:jc w:val="center"/>
              <w:rPr>
                <w:rFonts w:asciiTheme="minorEastAsia" w:hAnsiTheme="minorEastAsia"/>
                <w:color w:val="000000" w:themeColor="text1"/>
                <w:szCs w:val="21"/>
              </w:rPr>
            </w:pPr>
          </w:p>
        </w:tc>
        <w:tc>
          <w:tcPr>
            <w:tcW w:w="924" w:type="dxa"/>
            <w:vMerge w:val="continue"/>
          </w:tcPr>
          <w:p>
            <w:pPr>
              <w:jc w:val="center"/>
              <w:rPr>
                <w:rFonts w:asciiTheme="minorEastAsia" w:hAnsiTheme="minorEastAsia"/>
                <w:color w:val="000000" w:themeColor="text1"/>
                <w:szCs w:val="21"/>
              </w:rPr>
            </w:pPr>
          </w:p>
        </w:tc>
      </w:tr>
    </w:tbl>
    <w:p>
      <w:pPr>
        <w:pStyle w:val="33"/>
        <w:spacing w:after="0"/>
        <w:rPr>
          <w:rFonts w:asciiTheme="minorEastAsia" w:hAnsiTheme="minorEastAsia" w:eastAsiaTheme="minorEastAsia" w:cstheme="minorEastAsia"/>
          <w:color w:val="000000" w:themeColor="text1"/>
          <w:sz w:val="24"/>
          <w:szCs w:val="24"/>
          <w:lang w:eastAsia="zh-CN"/>
        </w:rPr>
      </w:pPr>
    </w:p>
    <w:p>
      <w:pPr>
        <w:jc w:val="center"/>
        <w:rPr>
          <w:rFonts w:ascii="黑体" w:eastAsia="黑体"/>
          <w:szCs w:val="21"/>
        </w:rPr>
      </w:pPr>
    </w:p>
    <w:p>
      <w:pPr>
        <w:widowControl/>
        <w:jc w:val="left"/>
        <w:rPr>
          <w:rFonts w:cs="Times New Roman" w:asciiTheme="minorEastAsia" w:hAnsiTheme="minorEastAsia"/>
          <w:sz w:val="18"/>
          <w:szCs w:val="18"/>
        </w:rPr>
      </w:pPr>
      <w:r>
        <w:rPr>
          <w:rFonts w:cs="Times New Roman" w:asciiTheme="minorEastAsia" w:hAnsiTheme="minorEastAsia"/>
          <w:sz w:val="18"/>
          <w:szCs w:val="18"/>
        </w:rPr>
        <w:br w:type="page"/>
      </w:r>
    </w:p>
    <w:p>
      <w:pPr>
        <w:pStyle w:val="2"/>
        <w:spacing w:before="0" w:after="0" w:line="360" w:lineRule="auto"/>
        <w:rPr>
          <w:rFonts w:ascii="黑体" w:hAnsi="黑体" w:eastAsia="黑体"/>
          <w:b w:val="0"/>
          <w:sz w:val="28"/>
          <w:szCs w:val="28"/>
        </w:rPr>
      </w:pPr>
      <w:r>
        <w:rPr>
          <w:rFonts w:hint="eastAsia" w:ascii="黑体" w:hAnsi="黑体" w:eastAsia="黑体"/>
          <w:b w:val="0"/>
          <w:sz w:val="28"/>
          <w:szCs w:val="28"/>
        </w:rPr>
        <w:t>附录B</w:t>
      </w:r>
    </w:p>
    <w:p>
      <w:pPr>
        <w:jc w:val="center"/>
        <w:rPr>
          <w:rFonts w:ascii="黑体" w:hAnsi="黑体" w:eastAsia="黑体" w:cs="Times New Roman"/>
          <w:sz w:val="28"/>
          <w:szCs w:val="28"/>
        </w:rPr>
      </w:pPr>
      <w:bookmarkStart w:id="47" w:name="_Toc75954077"/>
      <w:bookmarkStart w:id="48" w:name="_Toc453489845"/>
      <w:r>
        <w:rPr>
          <w:rFonts w:ascii="黑体" w:hAnsi="黑体" w:eastAsia="黑体" w:cs="Times New Roman"/>
          <w:sz w:val="28"/>
          <w:szCs w:val="28"/>
        </w:rPr>
        <w:t>校准证书内页信息参考格式</w:t>
      </w:r>
      <w:bookmarkEnd w:id="47"/>
      <w:bookmarkEnd w:id="48"/>
      <w:r>
        <w:rPr>
          <w:rFonts w:hint="eastAsia" w:ascii="黑体" w:hAnsi="黑体" w:eastAsia="黑体" w:cs="Times New Roman"/>
          <w:sz w:val="28"/>
          <w:szCs w:val="28"/>
        </w:rPr>
        <w:t>（资料性附录）</w:t>
      </w:r>
    </w:p>
    <w:p>
      <w:pPr>
        <w:spacing w:line="360" w:lineRule="auto"/>
        <w:jc w:val="center"/>
        <w:rPr>
          <w:rFonts w:ascii="Times New Roman" w:hAnsi="Times New Roman" w:cs="Times New Roman"/>
          <w:szCs w:val="21"/>
        </w:rPr>
      </w:pPr>
      <w:r>
        <w:rPr>
          <w:rFonts w:ascii="Times New Roman" w:hAnsi="Times New Roman" w:cs="Times New Roman"/>
          <w:szCs w:val="21"/>
        </w:rPr>
        <w:t>表</w:t>
      </w:r>
      <w:r>
        <w:rPr>
          <w:rFonts w:hint="eastAsia" w:ascii="Times New Roman" w:hAnsi="Times New Roman" w:cs="Times New Roman"/>
          <w:szCs w:val="21"/>
        </w:rPr>
        <w:t>B</w:t>
      </w:r>
      <w:r>
        <w:rPr>
          <w:rFonts w:ascii="Times New Roman" w:hAnsi="Times New Roman" w:cs="Times New Roman"/>
          <w:szCs w:val="21"/>
        </w:rPr>
        <w:t>.1校准证书内页信息参考格式（第2页）</w:t>
      </w:r>
    </w:p>
    <w:tbl>
      <w:tblPr>
        <w:tblStyle w:val="19"/>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178"/>
        <w:gridCol w:w="203"/>
        <w:gridCol w:w="1984"/>
        <w:gridCol w:w="655"/>
        <w:gridCol w:w="710"/>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25" w:type="dxa"/>
            <w:gridSpan w:val="7"/>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s="Times New Roman"/>
                <w:szCs w:val="21"/>
              </w:rPr>
            </w:pPr>
            <w:r>
              <w:rPr>
                <w:rFonts w:hint="eastAsia" w:ascii="Times New Roman" w:hAnsi="Times New Roman" w:cs="Times New Roman"/>
                <w:szCs w:val="21"/>
              </w:rPr>
              <w:t>校准项目</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25" w:type="dxa"/>
            <w:gridSpan w:val="7"/>
            <w:tcBorders>
              <w:top w:val="single" w:color="auto" w:sz="4" w:space="0"/>
              <w:bottom w:val="single" w:color="auto" w:sz="4" w:space="0"/>
            </w:tcBorders>
            <w:vAlign w:val="center"/>
          </w:tcPr>
          <w:p>
            <w:pPr>
              <w:jc w:val="left"/>
              <w:rPr>
                <w:rFonts w:ascii="Times New Roman" w:hAnsi="Times New Roman" w:cs="Times New Roman"/>
                <w:bCs/>
                <w:szCs w:val="21"/>
              </w:rPr>
            </w:pPr>
            <w:r>
              <w:rPr>
                <w:rFonts w:hint="eastAsia" w:ascii="Times New Roman" w:hAnsi="Times New Roman" w:cs="Times New Roman"/>
                <w:bCs/>
                <w:szCs w:val="21"/>
              </w:rPr>
              <w:t>本次校准所使用的计量（基）标准装置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663" w:type="dxa"/>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名称</w:t>
            </w:r>
          </w:p>
        </w:tc>
        <w:tc>
          <w:tcPr>
            <w:tcW w:w="138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测量范围</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不确定度/准确度等级/最大允许误差</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hint="eastAsia" w:ascii="Times New Roman" w:hAnsi="Times New Roman" w:cs="Times New Roman"/>
                <w:szCs w:val="21"/>
              </w:rPr>
              <w:t>计量标准</w:t>
            </w:r>
          </w:p>
          <w:p>
            <w:pPr>
              <w:jc w:val="center"/>
              <w:rPr>
                <w:rFonts w:ascii="Times New Roman" w:hAnsi="Times New Roman" w:cs="Times New Roman"/>
                <w:szCs w:val="21"/>
              </w:rPr>
            </w:pPr>
            <w:r>
              <w:rPr>
                <w:rFonts w:ascii="Times New Roman" w:hAnsi="Times New Roman" w:cs="Times New Roman"/>
                <w:szCs w:val="21"/>
              </w:rPr>
              <w:t>证书编号</w:t>
            </w:r>
          </w:p>
        </w:tc>
        <w:tc>
          <w:tcPr>
            <w:tcW w:w="213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63" w:type="dxa"/>
            <w:tcBorders>
              <w:top w:val="single" w:color="auto" w:sz="4" w:space="0"/>
              <w:right w:val="single" w:color="auto" w:sz="4" w:space="0"/>
            </w:tcBorders>
            <w:vAlign w:val="center"/>
          </w:tcPr>
          <w:p>
            <w:pPr>
              <w:jc w:val="center"/>
              <w:rPr>
                <w:rFonts w:ascii="Times New Roman" w:hAnsi="Times New Roman" w:cs="Times New Roman"/>
                <w:szCs w:val="21"/>
              </w:rPr>
            </w:pPr>
          </w:p>
        </w:tc>
        <w:tc>
          <w:tcPr>
            <w:tcW w:w="1381" w:type="dxa"/>
            <w:gridSpan w:val="2"/>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984" w:type="dxa"/>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365" w:type="dxa"/>
            <w:gridSpan w:val="2"/>
            <w:tcBorders>
              <w:top w:val="single" w:color="auto" w:sz="4" w:space="0"/>
              <w:left w:val="single" w:color="auto" w:sz="4" w:space="0"/>
            </w:tcBorders>
            <w:vAlign w:val="center"/>
          </w:tcPr>
          <w:p>
            <w:pPr>
              <w:jc w:val="center"/>
              <w:rPr>
                <w:rFonts w:ascii="Times New Roman" w:hAnsi="Times New Roman" w:cs="Times New Roman"/>
                <w:szCs w:val="21"/>
              </w:rPr>
            </w:pPr>
          </w:p>
        </w:tc>
        <w:tc>
          <w:tcPr>
            <w:tcW w:w="2132" w:type="dxa"/>
            <w:tcBorders>
              <w:top w:val="single" w:color="auto" w:sz="4" w:space="0"/>
              <w:left w:val="single" w:color="auto" w:sz="4" w:space="0"/>
            </w:tcBorders>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25" w:type="dxa"/>
            <w:gridSpan w:val="7"/>
            <w:tcBorders>
              <w:top w:val="single" w:color="auto" w:sz="4" w:space="0"/>
            </w:tcBorders>
            <w:vAlign w:val="center"/>
          </w:tcPr>
          <w:p>
            <w:pPr>
              <w:jc w:val="left"/>
              <w:rPr>
                <w:rFonts w:ascii="Times New Roman" w:hAnsi="Times New Roman" w:cs="Times New Roman"/>
                <w:szCs w:val="21"/>
              </w:rPr>
            </w:pPr>
            <w:r>
              <w:rPr>
                <w:rFonts w:hint="eastAsia" w:ascii="Times New Roman" w:hAnsi="Times New Roman" w:cs="Times New Roman"/>
                <w:szCs w:val="21"/>
              </w:rPr>
              <w:t>本次校准所使用的主要计量标准器具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663" w:type="dxa"/>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名称</w:t>
            </w:r>
          </w:p>
        </w:tc>
        <w:tc>
          <w:tcPr>
            <w:tcW w:w="138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测量范围</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不确定度/准确度等级/最大允许误差</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hint="eastAsia" w:ascii="Times New Roman" w:hAnsi="Times New Roman" w:cs="Times New Roman"/>
                <w:szCs w:val="21"/>
              </w:rPr>
              <w:t>校准/校准</w:t>
            </w:r>
          </w:p>
          <w:p>
            <w:pPr>
              <w:jc w:val="center"/>
              <w:rPr>
                <w:rFonts w:ascii="Times New Roman" w:hAnsi="Times New Roman" w:cs="Times New Roman"/>
                <w:szCs w:val="21"/>
              </w:rPr>
            </w:pPr>
            <w:r>
              <w:rPr>
                <w:rFonts w:ascii="Times New Roman" w:hAnsi="Times New Roman" w:cs="Times New Roman"/>
                <w:szCs w:val="21"/>
              </w:rPr>
              <w:t>证书编号</w:t>
            </w:r>
          </w:p>
        </w:tc>
        <w:tc>
          <w:tcPr>
            <w:tcW w:w="213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1663" w:type="dxa"/>
            <w:tcBorders>
              <w:top w:val="single" w:color="auto" w:sz="4" w:space="0"/>
              <w:right w:val="single" w:color="auto" w:sz="4" w:space="0"/>
            </w:tcBorders>
            <w:vAlign w:val="center"/>
          </w:tcPr>
          <w:p>
            <w:pPr>
              <w:jc w:val="center"/>
              <w:rPr>
                <w:rFonts w:ascii="Times New Roman" w:hAnsi="Times New Roman" w:cs="Times New Roman"/>
                <w:szCs w:val="21"/>
              </w:rPr>
            </w:pPr>
          </w:p>
        </w:tc>
        <w:tc>
          <w:tcPr>
            <w:tcW w:w="1381" w:type="dxa"/>
            <w:gridSpan w:val="2"/>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984" w:type="dxa"/>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365" w:type="dxa"/>
            <w:gridSpan w:val="2"/>
            <w:tcBorders>
              <w:top w:val="single" w:color="auto" w:sz="4" w:space="0"/>
              <w:left w:val="single" w:color="auto" w:sz="4" w:space="0"/>
            </w:tcBorders>
            <w:vAlign w:val="center"/>
          </w:tcPr>
          <w:p>
            <w:pPr>
              <w:jc w:val="center"/>
              <w:rPr>
                <w:rFonts w:ascii="Times New Roman" w:hAnsi="Times New Roman" w:cs="Times New Roman"/>
                <w:szCs w:val="21"/>
              </w:rPr>
            </w:pPr>
          </w:p>
        </w:tc>
        <w:tc>
          <w:tcPr>
            <w:tcW w:w="2132" w:type="dxa"/>
            <w:tcBorders>
              <w:top w:val="single" w:color="auto" w:sz="4" w:space="0"/>
              <w:left w:val="single" w:color="auto" w:sz="4" w:space="0"/>
            </w:tcBorders>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63" w:type="dxa"/>
            <w:tcBorders>
              <w:top w:val="single" w:color="auto" w:sz="4" w:space="0"/>
              <w:right w:val="single" w:color="auto" w:sz="4" w:space="0"/>
            </w:tcBorders>
            <w:vAlign w:val="center"/>
          </w:tcPr>
          <w:p>
            <w:pPr>
              <w:jc w:val="center"/>
              <w:rPr>
                <w:rFonts w:ascii="Times New Roman" w:hAnsi="Times New Roman" w:cs="Times New Roman"/>
                <w:szCs w:val="21"/>
              </w:rPr>
            </w:pPr>
          </w:p>
        </w:tc>
        <w:tc>
          <w:tcPr>
            <w:tcW w:w="1381" w:type="dxa"/>
            <w:gridSpan w:val="2"/>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984" w:type="dxa"/>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365" w:type="dxa"/>
            <w:gridSpan w:val="2"/>
            <w:tcBorders>
              <w:top w:val="single" w:color="auto" w:sz="4" w:space="0"/>
              <w:left w:val="single" w:color="auto" w:sz="4" w:space="0"/>
            </w:tcBorders>
            <w:vAlign w:val="center"/>
          </w:tcPr>
          <w:p>
            <w:pPr>
              <w:jc w:val="center"/>
              <w:rPr>
                <w:rFonts w:ascii="Times New Roman" w:hAnsi="Times New Roman" w:cs="Times New Roman"/>
                <w:szCs w:val="21"/>
              </w:rPr>
            </w:pPr>
          </w:p>
        </w:tc>
        <w:tc>
          <w:tcPr>
            <w:tcW w:w="2132" w:type="dxa"/>
            <w:tcBorders>
              <w:top w:val="single" w:color="auto" w:sz="4" w:space="0"/>
              <w:left w:val="single" w:color="auto" w:sz="4" w:space="0"/>
            </w:tcBorders>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63" w:type="dxa"/>
            <w:tcBorders>
              <w:top w:val="single" w:color="auto" w:sz="4" w:space="0"/>
              <w:right w:val="single" w:color="auto" w:sz="4" w:space="0"/>
            </w:tcBorders>
            <w:vAlign w:val="center"/>
          </w:tcPr>
          <w:p>
            <w:pPr>
              <w:jc w:val="center"/>
              <w:rPr>
                <w:rFonts w:ascii="Times New Roman" w:hAnsi="Times New Roman" w:cs="Times New Roman"/>
                <w:szCs w:val="21"/>
              </w:rPr>
            </w:pPr>
          </w:p>
        </w:tc>
        <w:tc>
          <w:tcPr>
            <w:tcW w:w="1381" w:type="dxa"/>
            <w:gridSpan w:val="2"/>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984" w:type="dxa"/>
            <w:tcBorders>
              <w:top w:val="single" w:color="auto" w:sz="4" w:space="0"/>
              <w:left w:val="single" w:color="auto" w:sz="4" w:space="0"/>
              <w:right w:val="single" w:color="auto" w:sz="4" w:space="0"/>
            </w:tcBorders>
            <w:vAlign w:val="center"/>
          </w:tcPr>
          <w:p>
            <w:pPr>
              <w:jc w:val="center"/>
              <w:rPr>
                <w:rFonts w:ascii="Times New Roman" w:hAnsi="Times New Roman" w:cs="Times New Roman"/>
                <w:szCs w:val="21"/>
              </w:rPr>
            </w:pPr>
          </w:p>
        </w:tc>
        <w:tc>
          <w:tcPr>
            <w:tcW w:w="1365" w:type="dxa"/>
            <w:gridSpan w:val="2"/>
            <w:tcBorders>
              <w:top w:val="single" w:color="auto" w:sz="4" w:space="0"/>
              <w:left w:val="single" w:color="auto" w:sz="4" w:space="0"/>
            </w:tcBorders>
            <w:vAlign w:val="center"/>
          </w:tcPr>
          <w:p>
            <w:pPr>
              <w:jc w:val="center"/>
              <w:rPr>
                <w:rFonts w:ascii="Times New Roman" w:hAnsi="Times New Roman" w:cs="Times New Roman"/>
                <w:szCs w:val="21"/>
              </w:rPr>
            </w:pPr>
          </w:p>
        </w:tc>
        <w:tc>
          <w:tcPr>
            <w:tcW w:w="2132" w:type="dxa"/>
            <w:tcBorders>
              <w:top w:val="single" w:color="auto" w:sz="4" w:space="0"/>
              <w:left w:val="single" w:color="auto" w:sz="4" w:space="0"/>
            </w:tcBorders>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25" w:type="dxa"/>
            <w:gridSpan w:val="7"/>
            <w:tcBorders>
              <w:bottom w:val="single" w:color="auto" w:sz="4" w:space="0"/>
            </w:tcBorders>
            <w:vAlign w:val="center"/>
          </w:tcPr>
          <w:p>
            <w:pPr>
              <w:jc w:val="left"/>
              <w:rPr>
                <w:rFonts w:ascii="Times New Roman" w:hAnsi="Times New Roman" w:cs="Times New Roman"/>
                <w:bCs/>
                <w:szCs w:val="21"/>
              </w:rPr>
            </w:pPr>
            <w:r>
              <w:rPr>
                <w:rFonts w:ascii="Times New Roman" w:hAnsi="Times New Roman" w:cs="Times New Roman"/>
                <w:bCs/>
                <w:szCs w:val="21"/>
              </w:rPr>
              <w:t>校准地点及其环境条件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25" w:type="dxa"/>
            <w:gridSpan w:val="7"/>
            <w:tcBorders>
              <w:top w:val="single" w:color="auto" w:sz="4" w:space="0"/>
              <w:bottom w:val="single" w:color="auto" w:sz="4" w:space="0"/>
            </w:tcBorders>
            <w:vAlign w:val="center"/>
          </w:tcPr>
          <w:p>
            <w:pPr>
              <w:tabs>
                <w:tab w:val="left" w:pos="6177"/>
              </w:tabs>
              <w:rPr>
                <w:rFonts w:ascii="Times New Roman" w:hAnsi="Times New Roman" w:cs="Times New Roman"/>
                <w:szCs w:val="21"/>
              </w:rPr>
            </w:pPr>
            <w:r>
              <w:rPr>
                <w:rFonts w:ascii="Times New Roman" w:hAnsi="Times New Roman" w:cs="Times New Roman"/>
                <w:szCs w:val="21"/>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41" w:type="dxa"/>
            <w:gridSpan w:val="2"/>
            <w:tcBorders>
              <w:top w:val="single" w:color="auto" w:sz="4" w:space="0"/>
              <w:bottom w:val="single" w:color="auto" w:sz="4" w:space="0"/>
              <w:right w:val="single" w:color="auto" w:sz="4" w:space="0"/>
            </w:tcBorders>
            <w:vAlign w:val="center"/>
          </w:tcPr>
          <w:p>
            <w:pPr>
              <w:rPr>
                <w:rFonts w:ascii="Times New Roman" w:hAnsi="Times New Roman" w:cs="Times New Roman"/>
                <w:szCs w:val="21"/>
              </w:rPr>
            </w:pPr>
            <w:r>
              <w:rPr>
                <w:rFonts w:ascii="Times New Roman" w:hAnsi="Times New Roman" w:cs="Times New Roman"/>
                <w:szCs w:val="21"/>
              </w:rPr>
              <w:t>环境温度：</w:t>
            </w:r>
            <w:r>
              <w:rPr>
                <w:rFonts w:hint="eastAsia" w:ascii="Times New Roman" w:hAnsi="Times New Roman" w:cs="Times New Roman"/>
                <w:szCs w:val="21"/>
              </w:rPr>
              <w:t xml:space="preserve">          </w:t>
            </w:r>
            <w:r>
              <w:rPr>
                <w:rFonts w:hint="eastAsia" w:ascii="宋体" w:hAnsi="宋体" w:eastAsia="宋体" w:cs="宋体"/>
                <w:szCs w:val="21"/>
              </w:rPr>
              <w:t>℃</w:t>
            </w:r>
          </w:p>
        </w:tc>
        <w:tc>
          <w:tcPr>
            <w:tcW w:w="2842" w:type="dxa"/>
            <w:gridSpan w:val="3"/>
            <w:tcBorders>
              <w:top w:val="single" w:color="auto" w:sz="4" w:space="0"/>
              <w:left w:val="single" w:color="auto" w:sz="4" w:space="0"/>
              <w:bottom w:val="single" w:color="auto" w:sz="4" w:space="0"/>
            </w:tcBorders>
            <w:vAlign w:val="center"/>
          </w:tcPr>
          <w:p>
            <w:pPr>
              <w:rPr>
                <w:rFonts w:ascii="Times New Roman" w:hAnsi="Times New Roman" w:cs="Times New Roman"/>
                <w:szCs w:val="21"/>
              </w:rPr>
            </w:pPr>
            <w:r>
              <w:rPr>
                <w:rFonts w:ascii="Times New Roman" w:hAnsi="Times New Roman" w:cs="Times New Roman"/>
                <w:szCs w:val="21"/>
              </w:rPr>
              <w:t xml:space="preserve">相对湿度： </w:t>
            </w:r>
            <w:r>
              <w:rPr>
                <w:rFonts w:hint="eastAsia" w:ascii="Times New Roman" w:hAnsi="Times New Roman" w:cs="Times New Roman"/>
                <w:szCs w:val="21"/>
              </w:rPr>
              <w:t xml:space="preserve">        </w:t>
            </w:r>
            <w:r>
              <w:rPr>
                <w:rFonts w:ascii="Times New Roman" w:hAnsi="Times New Roman" w:cs="Times New Roman"/>
                <w:szCs w:val="21"/>
              </w:rPr>
              <w:t>%</w:t>
            </w:r>
          </w:p>
        </w:tc>
        <w:tc>
          <w:tcPr>
            <w:tcW w:w="2842" w:type="dxa"/>
            <w:gridSpan w:val="2"/>
            <w:tcBorders>
              <w:top w:val="single" w:color="auto" w:sz="4" w:space="0"/>
              <w:left w:val="single" w:color="auto" w:sz="4" w:space="0"/>
              <w:bottom w:val="single" w:color="auto" w:sz="4" w:space="0"/>
            </w:tcBorders>
            <w:vAlign w:val="center"/>
          </w:tcPr>
          <w:p>
            <w:pPr>
              <w:rPr>
                <w:rFonts w:ascii="Times New Roman" w:hAnsi="Times New Roman" w:cs="Times New Roman"/>
                <w:szCs w:val="21"/>
              </w:rPr>
            </w:pPr>
            <w:r>
              <w:rPr>
                <w:rFonts w:hint="eastAsia" w:ascii="Times New Roman" w:hAnsi="Times New Roman" w:cs="Times New Roman"/>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6" w:hRule="exact"/>
          <w:jc w:val="center"/>
        </w:trPr>
        <w:tc>
          <w:tcPr>
            <w:tcW w:w="8525" w:type="dxa"/>
            <w:gridSpan w:val="7"/>
            <w:tcBorders>
              <w:top w:val="nil"/>
              <w:bottom w:val="single" w:color="auto" w:sz="4" w:space="0"/>
            </w:tcBorders>
            <w:vAlign w:val="center"/>
          </w:tcPr>
          <w:p>
            <w:pPr>
              <w:jc w:val="left"/>
              <w:rPr>
                <w:rFonts w:ascii="Times New Roman" w:hAnsi="Times New Roman" w:cs="Times New Roman"/>
                <w:bCs/>
                <w:szCs w:val="21"/>
              </w:rPr>
            </w:pPr>
            <w:r>
              <w:rPr>
                <w:rFonts w:ascii="Times New Roman" w:hAnsi="Times New Roman" w:cs="Times New Roman"/>
                <w:bCs/>
                <w:szCs w:val="21"/>
              </w:rPr>
              <w:t>校准结果</w:t>
            </w:r>
            <w:r>
              <w:rPr>
                <w:rFonts w:hint="eastAsia" w:ascii="Times New Roman" w:hAnsi="Times New Roman" w:cs="Times New Roman"/>
                <w:bCs/>
                <w:szCs w:val="21"/>
              </w:rPr>
              <w:t>：</w:t>
            </w: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p>
            <w:pPr>
              <w:jc w:val="left"/>
              <w:rPr>
                <w:rFonts w:ascii="Times New Roman" w:hAnsi="Times New Roman" w:cs="Times New Roman"/>
                <w:bCs/>
                <w:szCs w:val="21"/>
              </w:rPr>
            </w:pPr>
          </w:p>
        </w:tc>
      </w:tr>
    </w:tbl>
    <w:p>
      <w:pPr>
        <w:pStyle w:val="2"/>
        <w:spacing w:before="0" w:after="0" w:line="360" w:lineRule="auto"/>
        <w:rPr>
          <w:rFonts w:ascii="黑体" w:hAnsi="黑体" w:eastAsia="黑体"/>
          <w:b w:val="0"/>
          <w:sz w:val="28"/>
          <w:szCs w:val="28"/>
        </w:rPr>
      </w:pPr>
      <w:bookmarkStart w:id="49" w:name="_Toc518289145"/>
      <w:bookmarkStart w:id="50" w:name="_Toc75954078"/>
      <w:r>
        <w:rPr>
          <w:rFonts w:ascii="黑体" w:hAnsi="黑体" w:eastAsia="黑体"/>
          <w:b w:val="0"/>
          <w:sz w:val="28"/>
          <w:szCs w:val="28"/>
        </w:rPr>
        <w:t>附录</w:t>
      </w:r>
      <w:bookmarkEnd w:id="49"/>
      <w:r>
        <w:rPr>
          <w:rFonts w:hint="eastAsia" w:ascii="黑体" w:hAnsi="黑体" w:eastAsia="黑体"/>
          <w:b w:val="0"/>
          <w:sz w:val="28"/>
          <w:szCs w:val="28"/>
        </w:rPr>
        <w:t>C</w:t>
      </w:r>
      <w:bookmarkEnd w:id="50"/>
    </w:p>
    <w:p>
      <w:pPr>
        <w:jc w:val="center"/>
        <w:rPr>
          <w:rFonts w:ascii="黑体" w:hAnsi="黑体" w:eastAsia="黑体" w:cs="Times New Roman"/>
          <w:sz w:val="28"/>
          <w:szCs w:val="28"/>
        </w:rPr>
      </w:pPr>
      <w:r>
        <w:rPr>
          <w:rFonts w:ascii="黑体" w:hAnsi="黑体" w:eastAsia="黑体" w:cs="Times New Roman"/>
          <w:sz w:val="28"/>
          <w:szCs w:val="28"/>
        </w:rPr>
        <w:t>校准不确定度评定示例</w:t>
      </w:r>
    </w:p>
    <w:p>
      <w:pPr>
        <w:jc w:val="center"/>
        <w:rPr>
          <w:rFonts w:ascii="黑体" w:hAnsi="黑体" w:eastAsia="黑体" w:cs="Times New Roman"/>
          <w:sz w:val="28"/>
          <w:szCs w:val="28"/>
        </w:rPr>
      </w:pPr>
    </w:p>
    <w:p>
      <w:pPr>
        <w:widowControl/>
        <w:spacing w:line="360" w:lineRule="auto"/>
        <w:ind w:firstLine="480" w:firstLineChars="200"/>
        <w:jc w:val="left"/>
        <w:rPr>
          <w:rFonts w:asciiTheme="minorEastAsia" w:hAnsiTheme="minorEastAsia"/>
          <w:sz w:val="24"/>
        </w:rPr>
      </w:pPr>
      <w:r>
        <w:rPr>
          <w:rFonts w:hint="eastAsia" w:asciiTheme="minorEastAsia" w:hAnsiTheme="minorEastAsia"/>
          <w:sz w:val="24"/>
        </w:rPr>
        <w:t>对机械计数式</w:t>
      </w:r>
      <w:r>
        <w:rPr>
          <w:rFonts w:hint="eastAsia" w:asciiTheme="minorEastAsia" w:hAnsiTheme="minorEastAsia"/>
          <w:sz w:val="24"/>
          <w:lang w:eastAsia="zh-CN"/>
        </w:rPr>
        <w:t>海洋</w:t>
      </w:r>
      <w:r>
        <w:rPr>
          <w:rFonts w:hint="eastAsia" w:asciiTheme="minorEastAsia" w:hAnsiTheme="minorEastAsia"/>
          <w:sz w:val="24"/>
        </w:rPr>
        <w:t>浮游生物网口流量计在2.00m/s校准点的校准为例，进行不确定度评定。</w:t>
      </w:r>
    </w:p>
    <w:p>
      <w:pPr>
        <w:widowControl/>
        <w:spacing w:line="360" w:lineRule="auto"/>
        <w:jc w:val="left"/>
        <w:rPr>
          <w:rFonts w:asciiTheme="minorEastAsia" w:hAnsiTheme="minorEastAsia"/>
          <w:sz w:val="24"/>
        </w:rPr>
      </w:pPr>
      <w:r>
        <w:rPr>
          <w:rFonts w:hint="eastAsia" w:asciiTheme="minorEastAsia" w:hAnsiTheme="minorEastAsia"/>
          <w:sz w:val="24"/>
        </w:rPr>
        <w:t>C.1 测量模型</w:t>
      </w:r>
    </w:p>
    <w:p>
      <w:pPr>
        <w:widowControl/>
        <w:spacing w:line="360" w:lineRule="auto"/>
        <w:jc w:val="center"/>
        <w:rPr>
          <w:rFonts w:asciiTheme="minorEastAsia" w:hAnsiTheme="minorEastAsia"/>
          <w:sz w:val="24"/>
        </w:rPr>
      </w:pPr>
      <w:r>
        <w:rPr>
          <w:position w:val="-12"/>
        </w:rPr>
        <w:object>
          <v:shape id="_x0000_i1029" o:spt="75" type="#_x0000_t75" style="height:18pt;width:63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式中：</w:t>
      </w:r>
    </w:p>
    <w:p>
      <w:pPr>
        <w:pStyle w:val="49"/>
        <w:spacing w:line="360" w:lineRule="auto"/>
        <w:ind w:firstLine="1050" w:firstLineChars="500"/>
        <w:rPr>
          <w:rFonts w:asciiTheme="minorEastAsia" w:hAnsiTheme="minorEastAsia" w:eastAsiaTheme="minorEastAsia"/>
          <w:color w:val="000000" w:themeColor="text1"/>
          <w:sz w:val="24"/>
          <w:szCs w:val="24"/>
        </w:rPr>
      </w:pPr>
      <w:r>
        <w:rPr>
          <w:position w:val="-12"/>
        </w:rPr>
        <w:object>
          <v:shape id="_x0000_i1030" o:spt="75" type="#_x0000_t75" style="height:18pt;width:23.2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rFonts w:hint="eastAsia" w:asciiTheme="minorEastAsia" w:hAnsiTheme="minorEastAsia" w:eastAsiaTheme="minorEastAsia"/>
          <w:color w:val="000000" w:themeColor="text1"/>
          <w:sz w:val="24"/>
          <w:szCs w:val="24"/>
        </w:rPr>
        <w:t>——被校准仪器在第i个校准点的转子常数误差；</w:t>
      </w:r>
    </w:p>
    <w:p>
      <w:pPr>
        <w:pStyle w:val="49"/>
        <w:spacing w:line="360" w:lineRule="auto"/>
        <w:ind w:firstLine="1050" w:firstLineChars="500"/>
        <w:rPr>
          <w:rFonts w:asciiTheme="minorEastAsia" w:hAnsiTheme="minorEastAsia" w:eastAsiaTheme="minorEastAsia"/>
          <w:color w:val="000000" w:themeColor="text1"/>
          <w:sz w:val="24"/>
          <w:szCs w:val="24"/>
        </w:rPr>
      </w:pPr>
      <w:r>
        <w:rPr>
          <w:position w:val="-12"/>
        </w:rPr>
        <w:object>
          <v:shape id="_x0000_i1031" o:spt="75" type="#_x0000_t75" style="height:18pt;width:16.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asciiTheme="minorEastAsia" w:hAnsiTheme="minorEastAsia" w:eastAsiaTheme="minorEastAsia"/>
          <w:color w:val="000000" w:themeColor="text1"/>
          <w:sz w:val="24"/>
          <w:szCs w:val="24"/>
        </w:rPr>
        <w:t>——被校准仪器在第i个校准点的转子常数值；</w:t>
      </w:r>
    </w:p>
    <w:p>
      <w:pPr>
        <w:pStyle w:val="49"/>
        <w:spacing w:line="360" w:lineRule="auto"/>
        <w:ind w:firstLine="1050" w:firstLineChars="500"/>
        <w:rPr>
          <w:rFonts w:asciiTheme="minorEastAsia" w:hAnsiTheme="minorEastAsia" w:eastAsiaTheme="minorEastAsia"/>
          <w:color w:val="000000" w:themeColor="text1"/>
          <w:sz w:val="24"/>
          <w:szCs w:val="24"/>
        </w:rPr>
      </w:pPr>
      <w:r>
        <w:rPr>
          <w:position w:val="-12"/>
        </w:rPr>
        <w:object>
          <v:shape id="_x0000_i1032" o:spt="75" type="#_x0000_t75" style="height:18pt;width:18.7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Theme="minorEastAsia" w:hAnsiTheme="minorEastAsia" w:eastAsiaTheme="minorEastAsia"/>
          <w:color w:val="000000" w:themeColor="text1"/>
          <w:sz w:val="24"/>
          <w:szCs w:val="24"/>
        </w:rPr>
        <w:t>——被校准仪器在第i个校准点的标准转子常数值。</w:t>
      </w:r>
    </w:p>
    <w:p>
      <w:pPr>
        <w:pStyle w:val="49"/>
        <w:spacing w:line="360" w:lineRule="auto"/>
        <w:ind w:firstLine="0" w:firstLine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C.2 根据测量模型列出各个不确定度分量</w: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测量时的不确定度分量见表C.1。</w:t>
      </w:r>
    </w:p>
    <w:p>
      <w:pPr>
        <w:pStyle w:val="49"/>
        <w:spacing w:line="360" w:lineRule="auto"/>
        <w:ind w:firstLine="0" w:firstLineChars="0"/>
        <w:jc w:val="center"/>
        <w:rPr>
          <w:rFonts w:asciiTheme="minorEastAsia" w:hAnsiTheme="minorEastAsia" w:eastAsiaTheme="minorEastAsia"/>
          <w:b/>
          <w:bCs/>
          <w:color w:val="000000" w:themeColor="text1"/>
          <w:sz w:val="22"/>
          <w:szCs w:val="22"/>
        </w:rPr>
      </w:pPr>
      <w:r>
        <w:rPr>
          <w:rFonts w:hint="eastAsia" w:asciiTheme="minorEastAsia" w:hAnsiTheme="minorEastAsia" w:eastAsiaTheme="minorEastAsia"/>
          <w:b/>
          <w:bCs/>
          <w:color w:val="000000" w:themeColor="text1"/>
          <w:sz w:val="22"/>
          <w:szCs w:val="22"/>
        </w:rPr>
        <w:t>表C.1 不确定度分量表</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2"/>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49"/>
              <w:spacing w:line="360" w:lineRule="auto"/>
              <w:ind w:firstLine="0" w:firstLineChars="0"/>
              <w:jc w:val="center"/>
              <w:rPr>
                <w:rFonts w:asciiTheme="minorEastAsia" w:hAnsiTheme="minorEastAsia" w:eastAsiaTheme="minorEastAsia"/>
                <w:color w:val="000000" w:themeColor="text1"/>
                <w:sz w:val="22"/>
                <w:szCs w:val="24"/>
              </w:rPr>
            </w:pPr>
            <w:r>
              <w:rPr>
                <w:rFonts w:hint="eastAsia" w:asciiTheme="minorEastAsia" w:hAnsiTheme="minorEastAsia" w:eastAsiaTheme="minorEastAsia"/>
                <w:color w:val="000000" w:themeColor="text1"/>
                <w:sz w:val="22"/>
                <w:szCs w:val="24"/>
              </w:rPr>
              <w:t>不确定度分量</w:t>
            </w:r>
          </w:p>
        </w:tc>
        <w:tc>
          <w:tcPr>
            <w:tcW w:w="4261" w:type="dxa"/>
            <w:vAlign w:val="center"/>
          </w:tcPr>
          <w:p>
            <w:pPr>
              <w:pStyle w:val="49"/>
              <w:spacing w:line="360" w:lineRule="auto"/>
              <w:ind w:firstLine="0" w:firstLineChars="0"/>
              <w:jc w:val="center"/>
              <w:rPr>
                <w:rFonts w:asciiTheme="minorEastAsia" w:hAnsiTheme="minorEastAsia" w:eastAsiaTheme="minorEastAsia"/>
                <w:color w:val="000000" w:themeColor="text1"/>
                <w:sz w:val="22"/>
                <w:szCs w:val="24"/>
              </w:rPr>
            </w:pPr>
            <w:r>
              <w:rPr>
                <w:rFonts w:hint="eastAsia" w:asciiTheme="minorEastAsia" w:hAnsiTheme="minorEastAsia" w:eastAsiaTheme="minorEastAsia"/>
                <w:color w:val="000000" w:themeColor="text1"/>
                <w:sz w:val="22"/>
                <w:szCs w:val="24"/>
              </w:rPr>
              <w:t>不确定度分量来源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49"/>
              <w:spacing w:line="360" w:lineRule="auto"/>
              <w:ind w:firstLine="0" w:firstLineChars="0"/>
              <w:jc w:val="center"/>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rPr>
              <w:t>u</w:t>
            </w:r>
            <w:r>
              <w:rPr>
                <w:rFonts w:hint="eastAsia" w:asciiTheme="minorEastAsia" w:hAnsiTheme="minorEastAsia" w:eastAsiaTheme="minorEastAsia"/>
                <w:color w:val="000000" w:themeColor="text1"/>
                <w:sz w:val="28"/>
                <w:szCs w:val="28"/>
                <w:vertAlign w:val="subscript"/>
              </w:rPr>
              <w:t>1</w:t>
            </w:r>
          </w:p>
        </w:tc>
        <w:tc>
          <w:tcPr>
            <w:tcW w:w="4261" w:type="dxa"/>
            <w:vAlign w:val="center"/>
          </w:tcPr>
          <w:p>
            <w:pPr>
              <w:pStyle w:val="49"/>
              <w:spacing w:line="360" w:lineRule="auto"/>
              <w:ind w:firstLine="0" w:firstLineChars="0"/>
              <w:jc w:val="center"/>
              <w:rPr>
                <w:rFonts w:asciiTheme="minorEastAsia" w:hAnsiTheme="minorEastAsia" w:eastAsiaTheme="minorEastAsia"/>
                <w:color w:val="000000" w:themeColor="text1"/>
                <w:sz w:val="22"/>
                <w:szCs w:val="24"/>
              </w:rPr>
            </w:pPr>
            <w:r>
              <w:rPr>
                <w:rFonts w:hint="eastAsia" w:asciiTheme="minorEastAsia" w:hAnsiTheme="minorEastAsia" w:eastAsiaTheme="minorEastAsia"/>
                <w:color w:val="000000" w:themeColor="text1"/>
                <w:sz w:val="22"/>
                <w:szCs w:val="24"/>
              </w:rPr>
              <w:t>测量重复性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49"/>
              <w:spacing w:line="360" w:lineRule="auto"/>
              <w:ind w:firstLine="0" w:firstLineChars="0"/>
              <w:jc w:val="center"/>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rPr>
              <w:t>u</w:t>
            </w:r>
            <w:r>
              <w:rPr>
                <w:rFonts w:hint="eastAsia" w:asciiTheme="minorEastAsia" w:hAnsiTheme="minorEastAsia" w:eastAsiaTheme="minorEastAsia"/>
                <w:color w:val="000000" w:themeColor="text1"/>
                <w:sz w:val="28"/>
                <w:szCs w:val="28"/>
                <w:vertAlign w:val="subscript"/>
              </w:rPr>
              <w:t>2</w:t>
            </w:r>
          </w:p>
        </w:tc>
        <w:tc>
          <w:tcPr>
            <w:tcW w:w="4261" w:type="dxa"/>
            <w:vAlign w:val="center"/>
          </w:tcPr>
          <w:p>
            <w:pPr>
              <w:pStyle w:val="49"/>
              <w:spacing w:line="360" w:lineRule="auto"/>
              <w:ind w:firstLine="0" w:firstLineChars="0"/>
              <w:jc w:val="center"/>
              <w:rPr>
                <w:rFonts w:hint="default" w:asciiTheme="minorEastAsia" w:hAnsiTheme="minorEastAsia" w:eastAsiaTheme="minorEastAsia"/>
                <w:color w:val="000000" w:themeColor="text1"/>
                <w:sz w:val="22"/>
                <w:szCs w:val="24"/>
                <w:lang w:val="en-US" w:eastAsia="zh-CN"/>
              </w:rPr>
            </w:pPr>
            <w:r>
              <w:rPr>
                <w:rFonts w:hint="eastAsia" w:asciiTheme="minorEastAsia" w:hAnsiTheme="minorEastAsia" w:eastAsiaTheme="minorEastAsia"/>
                <w:color w:val="000000" w:themeColor="text1"/>
                <w:sz w:val="22"/>
                <w:szCs w:val="24"/>
                <w:lang w:val="en-US" w:eastAsia="zh-CN"/>
              </w:rPr>
              <w:t>标准器不确定度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49"/>
              <w:spacing w:line="360" w:lineRule="auto"/>
              <w:ind w:firstLine="0" w:firstLineChars="0"/>
              <w:jc w:val="center"/>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rPr>
              <w:t>u</w:t>
            </w:r>
            <w:r>
              <w:rPr>
                <w:rFonts w:hint="eastAsia" w:asciiTheme="minorEastAsia" w:hAnsiTheme="minorEastAsia" w:eastAsiaTheme="minorEastAsia"/>
                <w:color w:val="000000" w:themeColor="text1"/>
                <w:sz w:val="28"/>
                <w:szCs w:val="28"/>
                <w:vertAlign w:val="subscript"/>
              </w:rPr>
              <w:t>3</w:t>
            </w:r>
          </w:p>
        </w:tc>
        <w:tc>
          <w:tcPr>
            <w:tcW w:w="4261" w:type="dxa"/>
            <w:vAlign w:val="center"/>
          </w:tcPr>
          <w:p>
            <w:pPr>
              <w:pStyle w:val="49"/>
              <w:spacing w:line="360" w:lineRule="auto"/>
              <w:ind w:firstLine="0" w:firstLineChars="0"/>
              <w:jc w:val="center"/>
              <w:rPr>
                <w:rFonts w:hint="eastAsia" w:asciiTheme="minorEastAsia" w:hAnsiTheme="minorEastAsia" w:eastAsiaTheme="minorEastAsia"/>
                <w:color w:val="000000" w:themeColor="text1"/>
                <w:sz w:val="22"/>
                <w:szCs w:val="24"/>
                <w:lang w:eastAsia="zh-CN"/>
              </w:rPr>
            </w:pPr>
            <w:r>
              <w:rPr>
                <w:rFonts w:hint="eastAsia" w:asciiTheme="minorEastAsia" w:hAnsiTheme="minorEastAsia" w:eastAsiaTheme="minorEastAsia"/>
                <w:color w:val="000000" w:themeColor="text1"/>
                <w:sz w:val="22"/>
                <w:szCs w:val="24"/>
                <w:lang w:eastAsia="zh-CN"/>
              </w:rPr>
              <w:t>被校仪器分辨力</w:t>
            </w:r>
          </w:p>
        </w:tc>
      </w:tr>
    </w:tbl>
    <w:p>
      <w:pPr>
        <w:pStyle w:val="49"/>
        <w:spacing w:line="360" w:lineRule="auto"/>
        <w:ind w:firstLine="0" w:firstLine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C.3 不确定度分量评定</w:t>
      </w:r>
    </w:p>
    <w:p>
      <w:pPr>
        <w:pStyle w:val="49"/>
        <w:spacing w:line="360" w:lineRule="auto"/>
        <w:ind w:firstLine="0" w:firstLineChars="0"/>
        <w:rPr>
          <w:rFonts w:asciiTheme="minorEastAsia" w:hAnsiTheme="minorEastAsia" w:eastAsiaTheme="minorEastAsia"/>
          <w:color w:val="000000" w:themeColor="text1"/>
          <w:sz w:val="24"/>
          <w:szCs w:val="24"/>
          <w:vertAlign w:val="subscript"/>
        </w:rPr>
      </w:pPr>
      <w:r>
        <w:rPr>
          <w:rFonts w:hint="eastAsia" w:asciiTheme="minorEastAsia" w:hAnsiTheme="minorEastAsia" w:eastAsiaTheme="minorEastAsia"/>
          <w:color w:val="000000" w:themeColor="text1"/>
          <w:sz w:val="24"/>
          <w:szCs w:val="24"/>
        </w:rPr>
        <w:t>C.3.1 重复测量引入的不确定度分量</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1</w:t>
      </w:r>
    </w:p>
    <w:p>
      <w:pPr>
        <w:pStyle w:val="49"/>
        <w:spacing w:line="360" w:lineRule="auto"/>
        <w:ind w:firstLine="480"/>
        <w:rPr>
          <w:rFonts w:asciiTheme="minorEastAsia" w:hAnsiTheme="minorEastAsia"/>
          <w:sz w:val="24"/>
        </w:rPr>
      </w:pPr>
      <w:r>
        <w:rPr>
          <w:rFonts w:hint="eastAsia" w:asciiTheme="minorEastAsia" w:hAnsiTheme="minorEastAsia" w:eastAsiaTheme="minorEastAsia"/>
          <w:color w:val="000000" w:themeColor="text1"/>
          <w:sz w:val="24"/>
          <w:szCs w:val="24"/>
        </w:rPr>
        <w:t>对</w:t>
      </w:r>
      <w:r>
        <w:rPr>
          <w:rFonts w:hint="eastAsia" w:asciiTheme="minorEastAsia" w:hAnsiTheme="minorEastAsia"/>
          <w:sz w:val="24"/>
        </w:rPr>
        <w:t>2.00m/s的校准点进行</w:t>
      </w:r>
      <w:r>
        <w:rPr>
          <w:rFonts w:hint="eastAsia" w:asciiTheme="minorEastAsia" w:hAnsiTheme="minorEastAsia"/>
          <w:sz w:val="24"/>
          <w:lang w:val="en-US" w:eastAsia="zh-CN"/>
        </w:rPr>
        <w:t>10</w:t>
      </w:r>
      <w:r>
        <w:rPr>
          <w:rFonts w:hint="eastAsia" w:asciiTheme="minorEastAsia" w:hAnsiTheme="minorEastAsia"/>
          <w:sz w:val="24"/>
        </w:rPr>
        <w:t>次重复测量，结果见表C.2。</w:t>
      </w:r>
    </w:p>
    <w:p>
      <w:pPr>
        <w:pStyle w:val="49"/>
        <w:spacing w:line="360" w:lineRule="auto"/>
        <w:ind w:firstLine="0" w:firstLineChars="0"/>
        <w:jc w:val="center"/>
        <w:rPr>
          <w:rFonts w:asciiTheme="minorEastAsia" w:hAnsiTheme="minorEastAsia"/>
          <w:b/>
          <w:bCs/>
          <w:sz w:val="22"/>
          <w:szCs w:val="18"/>
        </w:rPr>
      </w:pPr>
      <w:r>
        <w:rPr>
          <w:rFonts w:hint="eastAsia" w:asciiTheme="minorEastAsia" w:hAnsiTheme="minorEastAsia"/>
          <w:b/>
          <w:bCs/>
          <w:sz w:val="22"/>
          <w:szCs w:val="18"/>
        </w:rPr>
        <w:t>表C.2 10次重复测量值</w:t>
      </w:r>
    </w:p>
    <w:tbl>
      <w:tblPr>
        <w:tblStyle w:val="20"/>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636"/>
        <w:gridCol w:w="636"/>
        <w:gridCol w:w="636"/>
        <w:gridCol w:w="636"/>
        <w:gridCol w:w="636"/>
        <w:gridCol w:w="636"/>
        <w:gridCol w:w="636"/>
        <w:gridCol w:w="636"/>
        <w:gridCol w:w="636"/>
        <w:gridCol w:w="63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测量次数(n)</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1</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2</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3</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4</w:t>
            </w:r>
          </w:p>
        </w:tc>
        <w:tc>
          <w:tcPr>
            <w:tcW w:w="636" w:type="dxa"/>
            <w:vAlign w:val="top"/>
          </w:tcPr>
          <w:p>
            <w:pPr>
              <w:pStyle w:val="49"/>
              <w:spacing w:line="360" w:lineRule="auto"/>
              <w:ind w:firstLine="0" w:firstLineChars="0"/>
              <w:jc w:val="center"/>
              <w:rPr>
                <w:rFonts w:hint="eastAsia" w:asciiTheme="minorEastAsia" w:hAnsiTheme="minorEastAsia"/>
                <w:szCs w:val="21"/>
              </w:rPr>
            </w:pPr>
            <w:r>
              <w:rPr>
                <w:rFonts w:hint="eastAsia" w:asciiTheme="minorEastAsia" w:hAnsiTheme="minorEastAsia"/>
                <w:szCs w:val="21"/>
              </w:rPr>
              <w:t>5</w:t>
            </w:r>
          </w:p>
        </w:tc>
        <w:tc>
          <w:tcPr>
            <w:tcW w:w="636" w:type="dxa"/>
          </w:tcPr>
          <w:p>
            <w:pPr>
              <w:pStyle w:val="49"/>
              <w:spacing w:line="360" w:lineRule="auto"/>
              <w:ind w:firstLine="0" w:firstLineChars="0"/>
              <w:jc w:val="center"/>
              <w:rPr>
                <w:rFonts w:hint="eastAsia" w:eastAsia="宋体" w:asciiTheme="minorEastAsia" w:hAnsiTheme="minorEastAsia"/>
                <w:szCs w:val="21"/>
                <w:lang w:val="en-US" w:eastAsia="zh-CN"/>
              </w:rPr>
            </w:pPr>
            <w:r>
              <w:rPr>
                <w:rFonts w:hint="eastAsia" w:asciiTheme="minorEastAsia" w:hAnsiTheme="minorEastAsia"/>
                <w:szCs w:val="21"/>
                <w:lang w:val="en-US" w:eastAsia="zh-CN"/>
              </w:rPr>
              <w:t>6</w:t>
            </w:r>
          </w:p>
        </w:tc>
        <w:tc>
          <w:tcPr>
            <w:tcW w:w="636" w:type="dxa"/>
          </w:tcPr>
          <w:p>
            <w:pPr>
              <w:pStyle w:val="49"/>
              <w:spacing w:line="360" w:lineRule="auto"/>
              <w:ind w:firstLine="0" w:firstLineChars="0"/>
              <w:jc w:val="center"/>
              <w:rPr>
                <w:rFonts w:hint="eastAsia" w:eastAsia="宋体" w:asciiTheme="minorEastAsia" w:hAnsiTheme="minorEastAsia"/>
                <w:szCs w:val="21"/>
                <w:lang w:val="en-US" w:eastAsia="zh-CN"/>
              </w:rPr>
            </w:pPr>
            <w:r>
              <w:rPr>
                <w:rFonts w:hint="eastAsia" w:asciiTheme="minorEastAsia" w:hAnsiTheme="minorEastAsia"/>
                <w:szCs w:val="21"/>
                <w:lang w:val="en-US" w:eastAsia="zh-CN"/>
              </w:rPr>
              <w:t>7</w:t>
            </w:r>
          </w:p>
        </w:tc>
        <w:tc>
          <w:tcPr>
            <w:tcW w:w="636" w:type="dxa"/>
          </w:tcPr>
          <w:p>
            <w:pPr>
              <w:pStyle w:val="49"/>
              <w:spacing w:line="360" w:lineRule="auto"/>
              <w:ind w:firstLine="0" w:firstLineChars="0"/>
              <w:jc w:val="center"/>
              <w:rPr>
                <w:rFonts w:hint="eastAsia" w:eastAsia="宋体" w:asciiTheme="minorEastAsia" w:hAnsiTheme="minorEastAsia"/>
                <w:szCs w:val="21"/>
                <w:lang w:val="en-US" w:eastAsia="zh-CN"/>
              </w:rPr>
            </w:pPr>
            <w:r>
              <w:rPr>
                <w:rFonts w:hint="eastAsia" w:asciiTheme="minorEastAsia" w:hAnsiTheme="minorEastAsia"/>
                <w:szCs w:val="21"/>
                <w:lang w:val="en-US" w:eastAsia="zh-CN"/>
              </w:rPr>
              <w:t>8</w:t>
            </w:r>
          </w:p>
        </w:tc>
        <w:tc>
          <w:tcPr>
            <w:tcW w:w="636" w:type="dxa"/>
          </w:tcPr>
          <w:p>
            <w:pPr>
              <w:pStyle w:val="49"/>
              <w:spacing w:line="360" w:lineRule="auto"/>
              <w:ind w:firstLine="0" w:firstLineChars="0"/>
              <w:jc w:val="center"/>
              <w:rPr>
                <w:rFonts w:hint="eastAsia" w:eastAsia="宋体" w:asciiTheme="minorEastAsia" w:hAnsiTheme="minorEastAsia"/>
                <w:szCs w:val="21"/>
                <w:lang w:val="en-US" w:eastAsia="zh-CN"/>
              </w:rPr>
            </w:pPr>
            <w:r>
              <w:rPr>
                <w:rFonts w:hint="eastAsia" w:asciiTheme="minorEastAsia" w:hAnsiTheme="minorEastAsia"/>
                <w:szCs w:val="21"/>
                <w:lang w:val="en-US" w:eastAsia="zh-CN"/>
              </w:rPr>
              <w:t>9</w:t>
            </w:r>
          </w:p>
        </w:tc>
        <w:tc>
          <w:tcPr>
            <w:tcW w:w="636" w:type="dxa"/>
          </w:tcPr>
          <w:p>
            <w:pPr>
              <w:pStyle w:val="49"/>
              <w:spacing w:line="360" w:lineRule="auto"/>
              <w:ind w:firstLine="0" w:firstLineChars="0"/>
              <w:jc w:val="center"/>
              <w:rPr>
                <w:rFonts w:hint="default" w:eastAsia="宋体" w:asciiTheme="minorEastAsia" w:hAnsiTheme="minorEastAsia"/>
                <w:szCs w:val="21"/>
                <w:lang w:val="en-US" w:eastAsia="zh-CN"/>
              </w:rPr>
            </w:pPr>
            <w:r>
              <w:rPr>
                <w:rFonts w:hint="eastAsia" w:asciiTheme="minorEastAsia" w:hAnsiTheme="minorEastAsia"/>
                <w:szCs w:val="21"/>
                <w:lang w:val="en-US" w:eastAsia="zh-CN"/>
              </w:rPr>
              <w:t>10</w:t>
            </w:r>
          </w:p>
        </w:tc>
        <w:tc>
          <w:tcPr>
            <w:tcW w:w="1418"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算数平均值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测量值（m）</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0.40</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0.39</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0.39</w:t>
            </w:r>
          </w:p>
        </w:tc>
        <w:tc>
          <w:tcPr>
            <w:tcW w:w="636" w:type="dxa"/>
          </w:tcPr>
          <w:p>
            <w:pPr>
              <w:pStyle w:val="49"/>
              <w:spacing w:line="360" w:lineRule="auto"/>
              <w:ind w:firstLine="0" w:firstLineChars="0"/>
              <w:jc w:val="center"/>
              <w:rPr>
                <w:rFonts w:asciiTheme="minorEastAsia" w:hAnsiTheme="minorEastAsia"/>
                <w:szCs w:val="21"/>
              </w:rPr>
            </w:pPr>
            <w:r>
              <w:rPr>
                <w:rFonts w:hint="eastAsia" w:asciiTheme="minorEastAsia" w:hAnsiTheme="minorEastAsia"/>
                <w:szCs w:val="21"/>
              </w:rPr>
              <w:t>0.38</w:t>
            </w:r>
          </w:p>
        </w:tc>
        <w:tc>
          <w:tcPr>
            <w:tcW w:w="636" w:type="dxa"/>
            <w:vAlign w:val="top"/>
          </w:tcPr>
          <w:p>
            <w:pPr>
              <w:pStyle w:val="49"/>
              <w:spacing w:line="360" w:lineRule="auto"/>
              <w:ind w:firstLine="0" w:firstLineChars="0"/>
              <w:jc w:val="center"/>
              <w:rPr>
                <w:rFonts w:hint="eastAsia" w:asciiTheme="minorEastAsia" w:hAnsiTheme="minorEastAsia"/>
                <w:szCs w:val="21"/>
              </w:rPr>
            </w:pPr>
            <w:r>
              <w:rPr>
                <w:rFonts w:hint="eastAsia" w:asciiTheme="minorEastAsia" w:hAnsiTheme="minorEastAsia"/>
                <w:szCs w:val="21"/>
              </w:rPr>
              <w:t>0.41</w:t>
            </w:r>
          </w:p>
        </w:tc>
        <w:tc>
          <w:tcPr>
            <w:tcW w:w="636" w:type="dxa"/>
          </w:tcPr>
          <w:p>
            <w:pPr>
              <w:pStyle w:val="49"/>
              <w:spacing w:line="360" w:lineRule="auto"/>
              <w:ind w:firstLine="0" w:firstLineChars="0"/>
              <w:jc w:val="center"/>
              <w:rPr>
                <w:rFonts w:hint="default" w:eastAsia="宋体" w:asciiTheme="minorEastAsia" w:hAnsiTheme="minorEastAsia"/>
                <w:szCs w:val="21"/>
                <w:lang w:val="en-US" w:eastAsia="zh-CN"/>
              </w:rPr>
            </w:pPr>
            <w:r>
              <w:rPr>
                <w:rFonts w:hint="eastAsia" w:asciiTheme="minorEastAsia" w:hAnsiTheme="minorEastAsia"/>
                <w:szCs w:val="21"/>
                <w:lang w:val="en-US" w:eastAsia="zh-CN"/>
              </w:rPr>
              <w:t>0.42</w:t>
            </w:r>
          </w:p>
        </w:tc>
        <w:tc>
          <w:tcPr>
            <w:tcW w:w="636" w:type="dxa"/>
          </w:tcPr>
          <w:p>
            <w:pPr>
              <w:pStyle w:val="49"/>
              <w:spacing w:line="360" w:lineRule="auto"/>
              <w:ind w:firstLine="0" w:firstLineChars="0"/>
              <w:jc w:val="center"/>
              <w:rPr>
                <w:rFonts w:hint="default" w:eastAsia="宋体" w:asciiTheme="minorEastAsia" w:hAnsiTheme="minorEastAsia"/>
                <w:szCs w:val="21"/>
                <w:lang w:val="en-US" w:eastAsia="zh-CN"/>
              </w:rPr>
            </w:pPr>
            <w:r>
              <w:rPr>
                <w:rFonts w:hint="eastAsia" w:asciiTheme="minorEastAsia" w:hAnsiTheme="minorEastAsia"/>
                <w:szCs w:val="21"/>
                <w:lang w:val="en-US" w:eastAsia="zh-CN"/>
              </w:rPr>
              <w:t>0.40</w:t>
            </w:r>
          </w:p>
        </w:tc>
        <w:tc>
          <w:tcPr>
            <w:tcW w:w="636" w:type="dxa"/>
          </w:tcPr>
          <w:p>
            <w:pPr>
              <w:pStyle w:val="49"/>
              <w:spacing w:line="360" w:lineRule="auto"/>
              <w:ind w:firstLine="0" w:firstLineChars="0"/>
              <w:jc w:val="center"/>
              <w:rPr>
                <w:rFonts w:hint="default" w:eastAsia="宋体" w:asciiTheme="minorEastAsia" w:hAnsiTheme="minorEastAsia"/>
                <w:szCs w:val="21"/>
                <w:lang w:val="en-US" w:eastAsia="zh-CN"/>
              </w:rPr>
            </w:pPr>
            <w:r>
              <w:rPr>
                <w:rFonts w:hint="eastAsia" w:asciiTheme="minorEastAsia" w:hAnsiTheme="minorEastAsia"/>
                <w:szCs w:val="21"/>
                <w:lang w:val="en-US" w:eastAsia="zh-CN"/>
              </w:rPr>
              <w:t>0.39</w:t>
            </w:r>
          </w:p>
        </w:tc>
        <w:tc>
          <w:tcPr>
            <w:tcW w:w="636" w:type="dxa"/>
          </w:tcPr>
          <w:p>
            <w:pPr>
              <w:pStyle w:val="49"/>
              <w:spacing w:line="360" w:lineRule="auto"/>
              <w:ind w:firstLine="0" w:firstLineChars="0"/>
              <w:jc w:val="center"/>
              <w:rPr>
                <w:rFonts w:hint="default" w:eastAsia="宋体" w:asciiTheme="minorEastAsia" w:hAnsiTheme="minorEastAsia"/>
                <w:szCs w:val="21"/>
                <w:lang w:val="en-US" w:eastAsia="zh-CN"/>
              </w:rPr>
            </w:pPr>
            <w:r>
              <w:rPr>
                <w:rFonts w:hint="eastAsia" w:asciiTheme="minorEastAsia" w:hAnsiTheme="minorEastAsia"/>
                <w:szCs w:val="21"/>
                <w:lang w:val="en-US" w:eastAsia="zh-CN"/>
              </w:rPr>
              <w:t>0.37</w:t>
            </w:r>
          </w:p>
        </w:tc>
        <w:tc>
          <w:tcPr>
            <w:tcW w:w="636" w:type="dxa"/>
          </w:tcPr>
          <w:p>
            <w:pPr>
              <w:pStyle w:val="49"/>
              <w:spacing w:line="360" w:lineRule="auto"/>
              <w:ind w:firstLine="0" w:firstLineChars="0"/>
              <w:jc w:val="center"/>
              <w:rPr>
                <w:rFonts w:hint="default" w:eastAsia="宋体" w:asciiTheme="minorEastAsia" w:hAnsiTheme="minorEastAsia"/>
                <w:szCs w:val="21"/>
                <w:lang w:val="en-US" w:eastAsia="zh-CN"/>
              </w:rPr>
            </w:pPr>
            <w:r>
              <w:rPr>
                <w:rFonts w:hint="eastAsia" w:asciiTheme="minorEastAsia" w:hAnsiTheme="minorEastAsia"/>
                <w:szCs w:val="21"/>
                <w:lang w:val="en-US" w:eastAsia="zh-CN"/>
              </w:rPr>
              <w:t>0.38</w:t>
            </w:r>
          </w:p>
        </w:tc>
        <w:tc>
          <w:tcPr>
            <w:tcW w:w="1418" w:type="dxa"/>
          </w:tcPr>
          <w:p>
            <w:pPr>
              <w:pStyle w:val="49"/>
              <w:spacing w:line="360" w:lineRule="auto"/>
              <w:ind w:firstLine="0" w:firstLineChars="0"/>
              <w:jc w:val="center"/>
              <w:rPr>
                <w:rFonts w:hint="eastAsia" w:eastAsia="宋体" w:asciiTheme="minorEastAsia" w:hAnsiTheme="minorEastAsia"/>
                <w:szCs w:val="21"/>
                <w:lang w:eastAsia="zh-CN"/>
              </w:rPr>
            </w:pPr>
            <w:r>
              <w:rPr>
                <w:rFonts w:hint="eastAsia" w:asciiTheme="minorEastAsia" w:hAnsiTheme="minorEastAsia"/>
                <w:szCs w:val="21"/>
              </w:rPr>
              <w:t>0.39</w:t>
            </w:r>
            <w:r>
              <w:rPr>
                <w:rFonts w:hint="eastAsia" w:asciiTheme="minorEastAsia" w:hAnsiTheme="minorEastAsia"/>
                <w:szCs w:val="21"/>
                <w:lang w:val="en-US" w:eastAsia="zh-CN"/>
              </w:rPr>
              <w:t>3</w:t>
            </w:r>
          </w:p>
        </w:tc>
      </w:tr>
    </w:tbl>
    <w:p>
      <w:pPr>
        <w:pStyle w:val="49"/>
        <w:spacing w:line="360" w:lineRule="auto"/>
        <w:ind w:firstLine="480"/>
        <w:rPr>
          <w:rFonts w:asciiTheme="minorEastAsia" w:hAnsiTheme="minorEastAsia"/>
          <w:sz w:val="24"/>
        </w:rPr>
      </w:pPr>
      <w:r>
        <w:rPr>
          <w:rFonts w:hint="eastAsia" w:asciiTheme="minorEastAsia" w:hAnsiTheme="minorEastAsia"/>
          <w:sz w:val="24"/>
        </w:rPr>
        <w:t>采用贝塞尔公式，计算该校准点的实验标准偏差：</w:t>
      </w:r>
    </w:p>
    <w:p>
      <w:pPr>
        <w:pStyle w:val="49"/>
        <w:spacing w:line="360" w:lineRule="auto"/>
        <w:ind w:firstLine="420"/>
        <w:jc w:val="center"/>
        <w:rPr>
          <w:rFonts w:hint="eastAsia" w:eastAsia="宋体" w:asciiTheme="minorEastAsia" w:hAnsiTheme="minorEastAsia"/>
          <w:color w:val="000000" w:themeColor="text1"/>
          <w:sz w:val="24"/>
          <w:szCs w:val="24"/>
          <w:lang w:val="en-US" w:eastAsia="zh-CN"/>
        </w:rPr>
      </w:pPr>
      <w:r>
        <w:rPr>
          <w:position w:val="-26"/>
        </w:rPr>
        <w:object>
          <v:shape id="_x0000_i1033" o:spt="75" type="#_x0000_t75" style="height:52.5pt;width:140.45pt;" o:ole="t" filled="f" o:preferrelative="t" stroked="f" coordsize="21600,21600">
            <v:path/>
            <v:fill on="f" focussize="0,0"/>
            <v:stroke on="f"/>
            <v:imagedata r:id="rId25" o:title=""/>
            <o:lock v:ext="edit" aspectratio="t"/>
            <w10:wrap type="none"/>
            <w10:anchorlock/>
          </v:shape>
          <o:OLEObject Type="Embed" ProgID="Equation.DSMT4" ShapeID="_x0000_i1033" DrawAspect="Content" ObjectID="_1468075733" r:id="rId24">
            <o:LockedField>false</o:LockedField>
          </o:OLEObject>
        </w:objec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sz w:val="24"/>
        </w:rPr>
        <w:t>由于转子常数示值误差采用的是多次测量结果的平均值，则该示值测量带来的不确定度分量</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1</w:t>
      </w:r>
      <w:r>
        <w:rPr>
          <w:rFonts w:hint="eastAsia" w:asciiTheme="minorEastAsia" w:hAnsiTheme="minorEastAsia" w:eastAsiaTheme="minorEastAsia"/>
          <w:color w:val="000000" w:themeColor="text1"/>
          <w:sz w:val="24"/>
          <w:szCs w:val="24"/>
        </w:rPr>
        <w:t>：</w:t>
      </w:r>
    </w:p>
    <w:p>
      <w:pPr>
        <w:pStyle w:val="49"/>
        <w:spacing w:line="360" w:lineRule="auto"/>
        <w:ind w:right="420" w:firstLine="0" w:firstLineChars="0"/>
        <w:jc w:val="center"/>
        <w:rPr>
          <w:rFonts w:hint="eastAsia" w:eastAsia="宋体" w:asciiTheme="minorEastAsia" w:hAnsiTheme="minorEastAsia"/>
          <w:color w:val="000000" w:themeColor="text1"/>
          <w:sz w:val="24"/>
          <w:szCs w:val="24"/>
          <w:lang w:val="en-US" w:eastAsia="zh-CN"/>
        </w:rPr>
      </w:pPr>
      <w:r>
        <w:rPr>
          <w:position w:val="-12"/>
        </w:rPr>
        <w:object>
          <v:shape id="_x0000_i1034" o:spt="75" type="#_x0000_t75" style="height:20.25pt;width:106pt;" o:ole="t" filled="f" o:preferrelative="t" stroked="f" coordsize="21600,21600">
            <v:path/>
            <v:fill on="f" focussize="0,0"/>
            <v:stroke on="f"/>
            <v:imagedata r:id="rId27" o:title=""/>
            <o:lock v:ext="edit" aspectratio="t"/>
            <w10:wrap type="none"/>
            <w10:anchorlock/>
          </v:shape>
          <o:OLEObject Type="Embed" ProgID="Equation.DSMT4" ShapeID="_x0000_i1034" DrawAspect="Content" ObjectID="_1468075734" r:id="rId26">
            <o:LockedField>false</o:LockedField>
          </o:OLEObject>
        </w:object>
      </w:r>
    </w:p>
    <w:p>
      <w:pPr>
        <w:pStyle w:val="49"/>
        <w:spacing w:line="360" w:lineRule="auto"/>
        <w:ind w:firstLine="0" w:firstLineChars="0"/>
        <w:rPr>
          <w:rFonts w:asciiTheme="minorEastAsia" w:hAnsiTheme="minorEastAsia" w:eastAsiaTheme="minorEastAsia"/>
          <w:color w:val="000000" w:themeColor="text1"/>
          <w:sz w:val="24"/>
          <w:szCs w:val="24"/>
          <w:vertAlign w:val="subscript"/>
        </w:rPr>
      </w:pPr>
      <w:r>
        <w:rPr>
          <w:rFonts w:hint="eastAsia" w:asciiTheme="minorEastAsia" w:hAnsiTheme="minorEastAsia" w:eastAsiaTheme="minorEastAsia"/>
          <w:color w:val="000000" w:themeColor="text1"/>
          <w:sz w:val="24"/>
          <w:szCs w:val="24"/>
        </w:rPr>
        <w:t xml:space="preserve">C.3.2 </w:t>
      </w:r>
      <w:r>
        <w:rPr>
          <w:rFonts w:hint="eastAsia" w:asciiTheme="minorEastAsia" w:hAnsiTheme="minorEastAsia" w:eastAsiaTheme="minorEastAsia"/>
          <w:color w:val="000000" w:themeColor="text1"/>
          <w:sz w:val="24"/>
          <w:szCs w:val="24"/>
          <w:lang w:eastAsia="zh-CN"/>
        </w:rPr>
        <w:t>标准器</w:t>
      </w:r>
      <w:r>
        <w:rPr>
          <w:rFonts w:hint="eastAsia" w:asciiTheme="minorEastAsia" w:hAnsiTheme="minorEastAsia" w:eastAsiaTheme="minorEastAsia"/>
          <w:color w:val="000000" w:themeColor="text1"/>
          <w:sz w:val="24"/>
          <w:szCs w:val="24"/>
        </w:rPr>
        <w:t>引入的不确定度分量</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2</w: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eastAsia="zh-CN"/>
        </w:rPr>
        <w:t>在</w:t>
      </w:r>
      <w:r>
        <w:rPr>
          <w:rFonts w:hint="eastAsia" w:asciiTheme="minorEastAsia" w:hAnsiTheme="minorEastAsia" w:eastAsiaTheme="minorEastAsia"/>
          <w:color w:val="000000" w:themeColor="text1"/>
          <w:sz w:val="24"/>
          <w:szCs w:val="24"/>
        </w:rPr>
        <w:t>2.00m/s</w:t>
      </w:r>
      <w:r>
        <w:rPr>
          <w:rFonts w:hint="eastAsia" w:asciiTheme="minorEastAsia" w:hAnsiTheme="minorEastAsia" w:eastAsiaTheme="minorEastAsia"/>
          <w:color w:val="000000" w:themeColor="text1"/>
          <w:sz w:val="24"/>
          <w:szCs w:val="24"/>
          <w:lang w:eastAsia="zh-CN"/>
        </w:rPr>
        <w:t>的校准点</w:t>
      </w:r>
      <w:r>
        <w:rPr>
          <w:rFonts w:hint="eastAsia"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lang w:eastAsia="zh-CN"/>
        </w:rPr>
        <w:t>流速测深仪器检定装置的校准证书给出校准结果的不确定度为</w:t>
      </w:r>
      <w:r>
        <w:rPr>
          <w:rFonts w:hint="eastAsia" w:asciiTheme="minorEastAsia" w:hAnsiTheme="minorEastAsia" w:eastAsiaTheme="minorEastAsia"/>
          <w:color w:val="000000" w:themeColor="text1"/>
          <w:sz w:val="24"/>
          <w:szCs w:val="24"/>
          <w:lang w:val="en-US" w:eastAsia="zh-CN"/>
        </w:rPr>
        <w:t>U=0.01mm（k=2）</w:t>
      </w:r>
      <w:r>
        <w:rPr>
          <w:rFonts w:hint="eastAsia" w:asciiTheme="minorEastAsia" w:hAnsiTheme="minorEastAsia" w:eastAsiaTheme="minorEastAsia"/>
          <w:color w:val="000000" w:themeColor="text1"/>
          <w:sz w:val="24"/>
          <w:szCs w:val="24"/>
        </w:rPr>
        <w:t>，则标准不确定度</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2</w:t>
      </w:r>
      <w:r>
        <w:rPr>
          <w:rFonts w:hint="eastAsia" w:asciiTheme="minorEastAsia" w:hAnsiTheme="minorEastAsia" w:eastAsiaTheme="minorEastAsia"/>
          <w:color w:val="000000" w:themeColor="text1"/>
          <w:sz w:val="24"/>
          <w:szCs w:val="24"/>
        </w:rPr>
        <w:t>：</w:t>
      </w:r>
    </w:p>
    <w:p>
      <w:pPr>
        <w:pStyle w:val="49"/>
        <w:spacing w:line="360" w:lineRule="auto"/>
        <w:ind w:firstLine="0" w:firstLineChars="0"/>
        <w:jc w:val="center"/>
        <w:rPr>
          <w:rFonts w:asciiTheme="minorEastAsia" w:hAnsiTheme="minorEastAsia" w:eastAsiaTheme="minorEastAsia"/>
          <w:color w:val="000000" w:themeColor="text1"/>
          <w:sz w:val="24"/>
          <w:szCs w:val="24"/>
        </w:rPr>
      </w:pPr>
      <w:r>
        <w:rPr>
          <w:position w:val="-12"/>
        </w:rPr>
        <w:object>
          <v:shape id="_x0000_i1035" o:spt="75" type="#_x0000_t75" style="height:19.3pt;width:162pt;" o:ole="t" filled="f" o:preferrelative="t" stroked="f" coordsize="21600,21600">
            <v:path/>
            <v:fill on="f" focussize="0,0"/>
            <v:stroke on="f"/>
            <v:imagedata r:id="rId29" o:title=""/>
            <o:lock v:ext="edit" aspectratio="t"/>
            <w10:wrap type="none"/>
            <w10:anchorlock/>
          </v:shape>
          <o:OLEObject Type="Embed" ProgID="Equation.DSMT4" ShapeID="_x0000_i1035" DrawAspect="Content" ObjectID="_1468075735" r:id="rId28">
            <o:LockedField>false</o:LockedField>
          </o:OLEObject>
        </w:object>
      </w:r>
    </w:p>
    <w:p>
      <w:pPr>
        <w:pStyle w:val="49"/>
        <w:spacing w:line="360" w:lineRule="auto"/>
        <w:ind w:firstLine="0" w:firstLine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C.3.3 </w:t>
      </w:r>
      <w:r>
        <w:rPr>
          <w:rFonts w:hint="eastAsia" w:asciiTheme="minorEastAsia" w:hAnsiTheme="minorEastAsia" w:eastAsiaTheme="minorEastAsia"/>
          <w:color w:val="000000" w:themeColor="text1"/>
          <w:sz w:val="24"/>
          <w:szCs w:val="24"/>
          <w:lang w:eastAsia="zh-CN"/>
        </w:rPr>
        <w:t>被校仪器分辨力</w:t>
      </w:r>
      <w:r>
        <w:rPr>
          <w:rFonts w:hint="eastAsia" w:asciiTheme="minorEastAsia" w:hAnsiTheme="minorEastAsia" w:eastAsiaTheme="minorEastAsia"/>
          <w:color w:val="000000" w:themeColor="text1"/>
          <w:sz w:val="24"/>
          <w:szCs w:val="24"/>
        </w:rPr>
        <w:t>引入的不确定度分量</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3</w: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eastAsia="zh-CN"/>
        </w:rPr>
        <w:t>被校仪器为机械计数式测量仪器</w:t>
      </w:r>
      <w:r>
        <w:rPr>
          <w:rFonts w:hint="eastAsia"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lang w:eastAsia="zh-CN"/>
        </w:rPr>
        <w:t>分辨力为</w:t>
      </w:r>
      <w:r>
        <w:rPr>
          <w:rFonts w:hint="eastAsia" w:asciiTheme="minorEastAsia" w:hAnsiTheme="minorEastAsia" w:eastAsiaTheme="minorEastAsia"/>
          <w:color w:val="000000" w:themeColor="text1"/>
          <w:sz w:val="24"/>
          <w:szCs w:val="24"/>
          <w:lang w:val="en-US" w:eastAsia="zh-CN"/>
        </w:rPr>
        <w:t>0.4 m</w:t>
      </w:r>
      <w:r>
        <w:rPr>
          <w:rFonts w:hint="eastAsia"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lang w:eastAsia="zh-CN"/>
        </w:rPr>
        <w:t>在半宽区间内均匀分布，</w:t>
      </w:r>
      <w:r>
        <w:rPr>
          <w:rFonts w:hint="eastAsia" w:asciiTheme="minorEastAsia" w:hAnsiTheme="minorEastAsia" w:eastAsiaTheme="minorEastAsia"/>
          <w:color w:val="000000" w:themeColor="text1"/>
          <w:sz w:val="24"/>
          <w:szCs w:val="24"/>
        </w:rPr>
        <w:t>则标准不确定度</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3</w:t>
      </w:r>
      <w:r>
        <w:rPr>
          <w:rFonts w:hint="eastAsia" w:asciiTheme="minorEastAsia" w:hAnsiTheme="minorEastAsia" w:eastAsiaTheme="minorEastAsia"/>
          <w:color w:val="000000" w:themeColor="text1"/>
          <w:sz w:val="24"/>
          <w:szCs w:val="24"/>
        </w:rPr>
        <w:t>：</w:t>
      </w:r>
    </w:p>
    <w:p>
      <w:pPr>
        <w:pStyle w:val="49"/>
        <w:spacing w:line="360" w:lineRule="auto"/>
        <w:ind w:firstLine="0" w:firstLineChars="0"/>
        <w:jc w:val="center"/>
        <w:rPr>
          <w:rFonts w:asciiTheme="minorEastAsia" w:hAnsiTheme="minorEastAsia" w:eastAsiaTheme="minorEastAsia"/>
          <w:color w:val="000000" w:themeColor="text1"/>
          <w:sz w:val="24"/>
          <w:szCs w:val="24"/>
        </w:rPr>
      </w:pPr>
      <w:r>
        <w:rPr>
          <w:position w:val="-28"/>
        </w:rPr>
        <w:object>
          <v:shape id="_x0000_i1036" o:spt="75" type="#_x0000_t75" style="height:33.45pt;width:97.3pt;" o:ole="t" filled="f" o:preferrelative="t" stroked="f" coordsize="21600,21600">
            <v:path/>
            <v:fill on="f" focussize="0,0"/>
            <v:stroke on="f"/>
            <v:imagedata r:id="rId31" o:title=""/>
            <o:lock v:ext="edit" aspectratio="t"/>
            <w10:wrap type="none"/>
            <w10:anchorlock/>
          </v:shape>
          <o:OLEObject Type="Embed" ProgID="Equation.DSMT4" ShapeID="_x0000_i1036" DrawAspect="Content" ObjectID="_1468075736" r:id="rId30">
            <o:LockedField>false</o:LockedField>
          </o:OLEObject>
        </w:object>
      </w:r>
    </w:p>
    <w:p>
      <w:pPr>
        <w:pStyle w:val="49"/>
        <w:spacing w:line="360" w:lineRule="auto"/>
        <w:ind w:firstLine="0" w:firstLine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C.4 合成标准不确定度</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c</w: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由于各输入量间不相关，则合成标准不确定度</w:t>
      </w:r>
      <w:r>
        <w:rPr>
          <w:rFonts w:hint="eastAsia" w:asciiTheme="minorEastAsia" w:hAnsiTheme="minorEastAsia" w:eastAsiaTheme="minorEastAsia"/>
          <w:color w:val="000000" w:themeColor="text1"/>
          <w:sz w:val="28"/>
          <w:szCs w:val="24"/>
        </w:rPr>
        <w:t>u</w:t>
      </w:r>
      <w:r>
        <w:rPr>
          <w:rFonts w:hint="eastAsia" w:asciiTheme="minorEastAsia" w:hAnsiTheme="minorEastAsia" w:eastAsiaTheme="minorEastAsia"/>
          <w:color w:val="000000" w:themeColor="text1"/>
          <w:sz w:val="28"/>
          <w:szCs w:val="24"/>
          <w:vertAlign w:val="subscript"/>
        </w:rPr>
        <w:t>c</w:t>
      </w:r>
      <w:r>
        <w:rPr>
          <w:rFonts w:hint="eastAsia" w:asciiTheme="minorEastAsia" w:hAnsiTheme="minorEastAsia" w:eastAsiaTheme="minorEastAsia"/>
          <w:color w:val="000000" w:themeColor="text1"/>
          <w:sz w:val="24"/>
          <w:szCs w:val="24"/>
        </w:rPr>
        <w:t>:</w:t>
      </w:r>
    </w:p>
    <w:p>
      <w:pPr>
        <w:pStyle w:val="49"/>
        <w:spacing w:line="360" w:lineRule="auto"/>
        <w:ind w:firstLine="0" w:firstLineChars="0"/>
        <w:jc w:val="center"/>
        <w:rPr>
          <w:rFonts w:asciiTheme="minorEastAsia" w:hAnsiTheme="minorEastAsia" w:eastAsiaTheme="minorEastAsia"/>
          <w:color w:val="000000" w:themeColor="text1"/>
          <w:sz w:val="24"/>
          <w:szCs w:val="24"/>
        </w:rPr>
      </w:pPr>
      <w:r>
        <w:rPr>
          <w:position w:val="-14"/>
        </w:rPr>
        <w:object>
          <v:shape id="_x0000_i1037" o:spt="75" type="#_x0000_t75" style="height:23.25pt;width:139.15pt;" o:ole="t" filled="f" o:preferrelative="t" stroked="f" coordsize="21600,21600">
            <v:path/>
            <v:fill on="f" focussize="0,0"/>
            <v:stroke on="f"/>
            <v:imagedata r:id="rId33" o:title=""/>
            <o:lock v:ext="edit" aspectratio="t"/>
            <w10:wrap type="none"/>
            <w10:anchorlock/>
          </v:shape>
          <o:OLEObject Type="Embed" ProgID="Equation.DSMT4" ShapeID="_x0000_i1037" DrawAspect="Content" ObjectID="_1468075737" r:id="rId32">
            <o:LockedField>false</o:LockedField>
          </o:OLEObject>
        </w:object>
      </w:r>
    </w:p>
    <w:p>
      <w:pPr>
        <w:pStyle w:val="49"/>
        <w:spacing w:line="360" w:lineRule="auto"/>
        <w:ind w:firstLine="0" w:firstLine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C.5 扩展不确定度U</w:t>
      </w:r>
    </w:p>
    <w:p>
      <w:pPr>
        <w:pStyle w:val="49"/>
        <w:spacing w:line="360" w:lineRule="auto"/>
        <w:ind w:firstLine="48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取k=2，则扩展不确定度为：</w:t>
      </w:r>
    </w:p>
    <w:p>
      <w:pPr>
        <w:pStyle w:val="49"/>
        <w:spacing w:line="360" w:lineRule="auto"/>
        <w:ind w:firstLine="0" w:firstLineChars="0"/>
        <w:jc w:val="center"/>
        <w:rPr>
          <w:rFonts w:asciiTheme="minorEastAsia" w:hAnsiTheme="minorEastAsia" w:eastAsiaTheme="minorEastAsia"/>
          <w:color w:val="000000" w:themeColor="text1"/>
          <w:sz w:val="24"/>
          <w:szCs w:val="24"/>
        </w:rPr>
      </w:pPr>
      <w:r>
        <w:rPr>
          <w:position w:val="-6"/>
        </w:rPr>
        <w:object>
          <v:shape id="_x0000_i1038" o:spt="75" type="#_x0000_t75" style="height:15pt;width:61.1pt;" o:ole="t" filled="f" o:preferrelative="t" stroked="f" coordsize="21600,21600">
            <v:path/>
            <v:fill on="f" focussize="0,0"/>
            <v:stroke on="f"/>
            <v:imagedata r:id="rId35" o:title=""/>
            <o:lock v:ext="edit" aspectratio="t"/>
            <w10:wrap type="none"/>
            <w10:anchorlock/>
          </v:shape>
          <o:OLEObject Type="Embed" ProgID="Equation.DSMT4" ShapeID="_x0000_i1038" DrawAspect="Content" ObjectID="_1468075738" r:id="rId34">
            <o:LockedField>false</o:LockedField>
          </o:OLEObject>
        </w:object>
      </w:r>
    </w:p>
    <w:sectPr>
      <w:footerReference r:id="rId5" w:type="default"/>
      <w:pgSz w:w="11906" w:h="16838"/>
      <w:pgMar w:top="1440" w:right="1800" w:bottom="993"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A00002EF" w:usb1="4000004B" w:usb2="00000000" w:usb3="00000000" w:csb0="200000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A00002EF" w:usb1="420020E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3713338"/>
    </w:sdtPr>
    <w:sdtContent>
      <w:p>
        <w:pPr>
          <w:pStyle w:val="14"/>
          <w:jc w:val="right"/>
        </w:pPr>
        <w:r>
          <w:fldChar w:fldCharType="begin"/>
        </w:r>
        <w:r>
          <w:instrText xml:space="preserve">PAGE   \* MERGEFORMAT</w:instrText>
        </w:r>
        <w:r>
          <w:fldChar w:fldCharType="separate"/>
        </w:r>
        <w:r>
          <w:rPr>
            <w:lang w:val="zh-CN"/>
          </w:rPr>
          <w:t>II</w:t>
        </w:r>
        <w:r>
          <w:rPr>
            <w:lang w:val="zh-CN"/>
          </w:rPr>
          <w:fldChar w:fldCharType="end"/>
        </w:r>
      </w:p>
    </w:sdtContent>
  </w:sdt>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fldChar w:fldCharType="begin"/>
    </w:r>
    <w:r>
      <w:instrText xml:space="preserve">PAGE   \* MERGEFORMAT</w:instrText>
    </w:r>
    <w:r>
      <w:fldChar w:fldCharType="separate"/>
    </w:r>
    <w:r>
      <w:rPr>
        <w:lang w:val="zh-CN"/>
      </w:rPr>
      <w:t>9</w:t>
    </w:r>
    <w:r>
      <w:rPr>
        <w:lang w:val="zh-CN"/>
      </w:rPr>
      <w:fldChar w:fldCharType="end"/>
    </w:r>
  </w:p>
  <w:p>
    <w:pPr>
      <w:pStyle w:val="14"/>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rPr>
        <w:rFonts w:ascii="黑体" w:hAnsi="黑体" w:eastAsia="黑体"/>
        <w:sz w:val="21"/>
      </w:rPr>
    </w:pPr>
    <w:r>
      <w:rPr>
        <w:rFonts w:hint="eastAsia" w:ascii="黑体" w:hAnsi="黑体" w:eastAsia="黑体"/>
        <w:sz w:val="21"/>
      </w:rPr>
      <w:t>JJF XXX—XXXX</w:t>
    </w:r>
    <w:r>
      <w:rPr>
        <w:rFonts w:ascii="黑体" w:hAnsi="黑体" w:eastAsia="黑体"/>
        <w:sz w:val="21"/>
      </w:rPr>
      <w:pict>
        <v:line id="Line 1" o:spid="_x0000_s2049" o:spt="20" style="position:absolute;left:0pt;margin-left:3pt;margin-top:13.15pt;height:0.6pt;width:409.5pt;z-index:251659264;mso-width-relative:page;mso-height-relative:page;" coordsize="21600,21600" o:gfxdata="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IQTtbUAAAABwEAAA8AAAAAAAAAAQAgAAAAIgAAAGRy&#10;cy9kb3ducmV2LnhtbFBLAQIUABQAAAAIAIdO4kDWn7vm0AEAALEDAAAOAAAAAAAAAAEAIAAAACMB&#10;AABkcnMvZTJvRG9jLnhtbFBLBQYAAAAABgAGAFkBAABlBQAAAAA=&#10;">
          <v:path arrowok="t"/>
          <v:fill focussize="0,0"/>
          <v:stroke weight="1.5pt"/>
          <v:imagedata o:title=""/>
          <o:lock v:ext="edit"/>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5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7"/>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62"/>
      <w:lvlText w:val="%1)"/>
      <w:lvlJc w:val="left"/>
      <w:pPr>
        <w:tabs>
          <w:tab w:val="left" w:pos="845"/>
        </w:tabs>
        <w:ind w:left="845" w:hanging="419"/>
      </w:pPr>
      <w:rPr>
        <w:rFonts w:hint="eastAsia" w:ascii="宋体" w:hAnsi="宋体" w:eastAsia="宋体"/>
        <w:b w:val="0"/>
        <w:i w:val="0"/>
        <w:sz w:val="20"/>
        <w:szCs w:val="21"/>
      </w:rPr>
    </w:lvl>
    <w:lvl w:ilvl="1" w:tentative="0">
      <w:start w:val="1"/>
      <w:numFmt w:val="decimal"/>
      <w:pStyle w:val="61"/>
      <w:lvlText w:val="%2)"/>
      <w:lvlJc w:val="left"/>
      <w:pPr>
        <w:tabs>
          <w:tab w:val="left" w:pos="1265"/>
        </w:tabs>
        <w:ind w:left="1265" w:hanging="420"/>
      </w:pPr>
      <w:rPr>
        <w:rFonts w:hint="eastAsia" w:ascii="宋体" w:hAnsi="宋体" w:eastAsia="宋体"/>
        <w:b w:val="0"/>
        <w:i w:val="0"/>
        <w:sz w:val="20"/>
      </w:rPr>
    </w:lvl>
    <w:lvl w:ilvl="2" w:tentative="0">
      <w:start w:val="1"/>
      <w:numFmt w:val="decimal"/>
      <w:pStyle w:val="63"/>
      <w:lvlText w:val="(%3)"/>
      <w:lvlJc w:val="left"/>
      <w:pPr>
        <w:tabs>
          <w:tab w:val="left" w:pos="6"/>
        </w:tabs>
        <w:ind w:left="1684" w:hanging="419"/>
      </w:pPr>
      <w:rPr>
        <w:rFonts w:hint="eastAsia" w:ascii="宋体" w:hAnsi="宋体" w:eastAsia="宋体"/>
        <w:b w:val="0"/>
        <w:i w:val="0"/>
        <w:sz w:val="20"/>
        <w:szCs w:val="21"/>
      </w:rPr>
    </w:lvl>
    <w:lvl w:ilvl="3" w:tentative="0">
      <w:start w:val="1"/>
      <w:numFmt w:val="decimal"/>
      <w:lvlText w:val="%4."/>
      <w:lvlJc w:val="left"/>
      <w:pPr>
        <w:tabs>
          <w:tab w:val="left" w:pos="2104"/>
        </w:tabs>
        <w:ind w:left="2104" w:hanging="420"/>
      </w:pPr>
      <w:rPr>
        <w:rFonts w:hint="eastAsia"/>
      </w:rPr>
    </w:lvl>
    <w:lvl w:ilvl="4" w:tentative="0">
      <w:start w:val="1"/>
      <w:numFmt w:val="lowerLetter"/>
      <w:lvlText w:val="%5)"/>
      <w:lvlJc w:val="left"/>
      <w:pPr>
        <w:tabs>
          <w:tab w:val="left" w:pos="2523"/>
        </w:tabs>
        <w:ind w:left="2523" w:hanging="419"/>
      </w:pPr>
      <w:rPr>
        <w:rFonts w:hint="eastAsia"/>
      </w:rPr>
    </w:lvl>
    <w:lvl w:ilvl="5" w:tentative="0">
      <w:start w:val="1"/>
      <w:numFmt w:val="lowerRoman"/>
      <w:lvlText w:val="%6."/>
      <w:lvlJc w:val="right"/>
      <w:pPr>
        <w:tabs>
          <w:tab w:val="left" w:pos="2948"/>
        </w:tabs>
        <w:ind w:left="2943" w:hanging="420"/>
      </w:pPr>
      <w:rPr>
        <w:rFonts w:hint="eastAsia"/>
      </w:rPr>
    </w:lvl>
    <w:lvl w:ilvl="6" w:tentative="0">
      <w:start w:val="1"/>
      <w:numFmt w:val="decimal"/>
      <w:lvlText w:val="%7."/>
      <w:lvlJc w:val="left"/>
      <w:pPr>
        <w:tabs>
          <w:tab w:val="left" w:pos="3368"/>
        </w:tabs>
        <w:ind w:left="3362" w:hanging="414"/>
      </w:pPr>
      <w:rPr>
        <w:rFonts w:hint="eastAsia"/>
      </w:rPr>
    </w:lvl>
    <w:lvl w:ilvl="7" w:tentative="0">
      <w:start w:val="1"/>
      <w:numFmt w:val="lowerLetter"/>
      <w:lvlText w:val="%8)"/>
      <w:lvlJc w:val="left"/>
      <w:pPr>
        <w:tabs>
          <w:tab w:val="left" w:pos="3787"/>
        </w:tabs>
        <w:ind w:left="3782" w:hanging="414"/>
      </w:pPr>
      <w:rPr>
        <w:rFonts w:hint="eastAsia"/>
      </w:rPr>
    </w:lvl>
    <w:lvl w:ilvl="8" w:tentative="0">
      <w:start w:val="1"/>
      <w:numFmt w:val="lowerRoman"/>
      <w:lvlText w:val="%9."/>
      <w:lvlJc w:val="right"/>
      <w:pPr>
        <w:tabs>
          <w:tab w:val="left" w:pos="4207"/>
        </w:tabs>
        <w:ind w:left="4207"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3NzhiMmM4NGU1MDY3ZmFiOWZiNWZlYTZiM2M0MzQifQ=="/>
  </w:docVars>
  <w:rsids>
    <w:rsidRoot w:val="00A603FF"/>
    <w:rsid w:val="00000676"/>
    <w:rsid w:val="0000128F"/>
    <w:rsid w:val="00001490"/>
    <w:rsid w:val="00002043"/>
    <w:rsid w:val="0000251F"/>
    <w:rsid w:val="00004197"/>
    <w:rsid w:val="00004E26"/>
    <w:rsid w:val="00005269"/>
    <w:rsid w:val="00006AA7"/>
    <w:rsid w:val="0000738C"/>
    <w:rsid w:val="0000751D"/>
    <w:rsid w:val="00007CF0"/>
    <w:rsid w:val="000117F3"/>
    <w:rsid w:val="000118C6"/>
    <w:rsid w:val="00012F04"/>
    <w:rsid w:val="00013625"/>
    <w:rsid w:val="00013776"/>
    <w:rsid w:val="00013828"/>
    <w:rsid w:val="00014105"/>
    <w:rsid w:val="00014483"/>
    <w:rsid w:val="00014A90"/>
    <w:rsid w:val="00014D37"/>
    <w:rsid w:val="00014E9A"/>
    <w:rsid w:val="0001526C"/>
    <w:rsid w:val="00015920"/>
    <w:rsid w:val="00017922"/>
    <w:rsid w:val="00020ABC"/>
    <w:rsid w:val="00020D35"/>
    <w:rsid w:val="00021A0F"/>
    <w:rsid w:val="00023732"/>
    <w:rsid w:val="00023A30"/>
    <w:rsid w:val="00023EF4"/>
    <w:rsid w:val="00023F2C"/>
    <w:rsid w:val="00024406"/>
    <w:rsid w:val="00024863"/>
    <w:rsid w:val="0002486E"/>
    <w:rsid w:val="000248C9"/>
    <w:rsid w:val="00024A3B"/>
    <w:rsid w:val="00024EBD"/>
    <w:rsid w:val="00026498"/>
    <w:rsid w:val="000266A0"/>
    <w:rsid w:val="00026FF8"/>
    <w:rsid w:val="000273A6"/>
    <w:rsid w:val="00030695"/>
    <w:rsid w:val="00030A02"/>
    <w:rsid w:val="00032767"/>
    <w:rsid w:val="00032AF6"/>
    <w:rsid w:val="00032BE3"/>
    <w:rsid w:val="00032C1C"/>
    <w:rsid w:val="00032E08"/>
    <w:rsid w:val="00034514"/>
    <w:rsid w:val="00034D4F"/>
    <w:rsid w:val="00035420"/>
    <w:rsid w:val="00035A48"/>
    <w:rsid w:val="00035C81"/>
    <w:rsid w:val="00036A2C"/>
    <w:rsid w:val="000374B3"/>
    <w:rsid w:val="000403C6"/>
    <w:rsid w:val="00040A0C"/>
    <w:rsid w:val="00040F90"/>
    <w:rsid w:val="000415A6"/>
    <w:rsid w:val="00041F58"/>
    <w:rsid w:val="000421AF"/>
    <w:rsid w:val="00042723"/>
    <w:rsid w:val="00042A06"/>
    <w:rsid w:val="00042A4B"/>
    <w:rsid w:val="00042B41"/>
    <w:rsid w:val="00045A30"/>
    <w:rsid w:val="000467B4"/>
    <w:rsid w:val="00046A5E"/>
    <w:rsid w:val="00047137"/>
    <w:rsid w:val="00047BBF"/>
    <w:rsid w:val="000509E8"/>
    <w:rsid w:val="00050E61"/>
    <w:rsid w:val="00051977"/>
    <w:rsid w:val="00051FBC"/>
    <w:rsid w:val="000528B9"/>
    <w:rsid w:val="00054FEC"/>
    <w:rsid w:val="00055605"/>
    <w:rsid w:val="00056389"/>
    <w:rsid w:val="0005649B"/>
    <w:rsid w:val="000574C4"/>
    <w:rsid w:val="0005750B"/>
    <w:rsid w:val="00057E93"/>
    <w:rsid w:val="0006024C"/>
    <w:rsid w:val="00060747"/>
    <w:rsid w:val="0006083E"/>
    <w:rsid w:val="00060C91"/>
    <w:rsid w:val="0006122C"/>
    <w:rsid w:val="00061FA3"/>
    <w:rsid w:val="000622D7"/>
    <w:rsid w:val="000624A1"/>
    <w:rsid w:val="00063355"/>
    <w:rsid w:val="00063657"/>
    <w:rsid w:val="000642BF"/>
    <w:rsid w:val="000648FA"/>
    <w:rsid w:val="00064C46"/>
    <w:rsid w:val="00065104"/>
    <w:rsid w:val="00065B07"/>
    <w:rsid w:val="00066134"/>
    <w:rsid w:val="000664A5"/>
    <w:rsid w:val="00066CBA"/>
    <w:rsid w:val="00066F63"/>
    <w:rsid w:val="0006799A"/>
    <w:rsid w:val="000679B2"/>
    <w:rsid w:val="00067B1B"/>
    <w:rsid w:val="00067B89"/>
    <w:rsid w:val="00067CC1"/>
    <w:rsid w:val="00067FEA"/>
    <w:rsid w:val="0007089A"/>
    <w:rsid w:val="00070F2C"/>
    <w:rsid w:val="000712F6"/>
    <w:rsid w:val="00071745"/>
    <w:rsid w:val="000717F1"/>
    <w:rsid w:val="00071B3E"/>
    <w:rsid w:val="00071C0F"/>
    <w:rsid w:val="0007220A"/>
    <w:rsid w:val="00072A62"/>
    <w:rsid w:val="00072EDD"/>
    <w:rsid w:val="0007300B"/>
    <w:rsid w:val="000736CF"/>
    <w:rsid w:val="00074283"/>
    <w:rsid w:val="00075104"/>
    <w:rsid w:val="000761E8"/>
    <w:rsid w:val="000764A6"/>
    <w:rsid w:val="000765B8"/>
    <w:rsid w:val="0007736E"/>
    <w:rsid w:val="00077828"/>
    <w:rsid w:val="00080513"/>
    <w:rsid w:val="00080772"/>
    <w:rsid w:val="00080C4D"/>
    <w:rsid w:val="000820B7"/>
    <w:rsid w:val="000831B4"/>
    <w:rsid w:val="00083BB8"/>
    <w:rsid w:val="000854C3"/>
    <w:rsid w:val="00085F68"/>
    <w:rsid w:val="000867D1"/>
    <w:rsid w:val="00086B56"/>
    <w:rsid w:val="000873A0"/>
    <w:rsid w:val="00087980"/>
    <w:rsid w:val="000901D6"/>
    <w:rsid w:val="00091283"/>
    <w:rsid w:val="0009149F"/>
    <w:rsid w:val="000918A2"/>
    <w:rsid w:val="00091921"/>
    <w:rsid w:val="000921DA"/>
    <w:rsid w:val="000922C2"/>
    <w:rsid w:val="0009259B"/>
    <w:rsid w:val="00092C8A"/>
    <w:rsid w:val="000938C7"/>
    <w:rsid w:val="00093BAA"/>
    <w:rsid w:val="00095A93"/>
    <w:rsid w:val="0009619C"/>
    <w:rsid w:val="00097EBF"/>
    <w:rsid w:val="000A080B"/>
    <w:rsid w:val="000A1389"/>
    <w:rsid w:val="000A1BD8"/>
    <w:rsid w:val="000A20E8"/>
    <w:rsid w:val="000A2F95"/>
    <w:rsid w:val="000A36DB"/>
    <w:rsid w:val="000A3757"/>
    <w:rsid w:val="000A3A8B"/>
    <w:rsid w:val="000A457C"/>
    <w:rsid w:val="000A4EC0"/>
    <w:rsid w:val="000A63EC"/>
    <w:rsid w:val="000A685D"/>
    <w:rsid w:val="000A6A34"/>
    <w:rsid w:val="000B051E"/>
    <w:rsid w:val="000B15BA"/>
    <w:rsid w:val="000B27A3"/>
    <w:rsid w:val="000B3496"/>
    <w:rsid w:val="000B3909"/>
    <w:rsid w:val="000B4444"/>
    <w:rsid w:val="000B52F5"/>
    <w:rsid w:val="000B583D"/>
    <w:rsid w:val="000B5CAD"/>
    <w:rsid w:val="000B6247"/>
    <w:rsid w:val="000B6AE1"/>
    <w:rsid w:val="000B7543"/>
    <w:rsid w:val="000C011E"/>
    <w:rsid w:val="000C0163"/>
    <w:rsid w:val="000C03BA"/>
    <w:rsid w:val="000C0C1D"/>
    <w:rsid w:val="000C15A1"/>
    <w:rsid w:val="000C1744"/>
    <w:rsid w:val="000C20EC"/>
    <w:rsid w:val="000C32DA"/>
    <w:rsid w:val="000C355D"/>
    <w:rsid w:val="000C38B6"/>
    <w:rsid w:val="000C464D"/>
    <w:rsid w:val="000C55E5"/>
    <w:rsid w:val="000C5BAC"/>
    <w:rsid w:val="000C6411"/>
    <w:rsid w:val="000C66AE"/>
    <w:rsid w:val="000C6E58"/>
    <w:rsid w:val="000C778A"/>
    <w:rsid w:val="000C7F8A"/>
    <w:rsid w:val="000D05BF"/>
    <w:rsid w:val="000D095D"/>
    <w:rsid w:val="000D0DE5"/>
    <w:rsid w:val="000D12A2"/>
    <w:rsid w:val="000D14F0"/>
    <w:rsid w:val="000D1C51"/>
    <w:rsid w:val="000D2118"/>
    <w:rsid w:val="000D235C"/>
    <w:rsid w:val="000D2367"/>
    <w:rsid w:val="000D295B"/>
    <w:rsid w:val="000D3A9D"/>
    <w:rsid w:val="000D4FBD"/>
    <w:rsid w:val="000D587D"/>
    <w:rsid w:val="000D6886"/>
    <w:rsid w:val="000D7367"/>
    <w:rsid w:val="000D78E3"/>
    <w:rsid w:val="000D7A0D"/>
    <w:rsid w:val="000E047C"/>
    <w:rsid w:val="000E0492"/>
    <w:rsid w:val="000E0B23"/>
    <w:rsid w:val="000E103C"/>
    <w:rsid w:val="000E11A5"/>
    <w:rsid w:val="000E14B5"/>
    <w:rsid w:val="000E3377"/>
    <w:rsid w:val="000E3A05"/>
    <w:rsid w:val="000E3F7A"/>
    <w:rsid w:val="000E4D08"/>
    <w:rsid w:val="000E5190"/>
    <w:rsid w:val="000E5F16"/>
    <w:rsid w:val="000E6CD3"/>
    <w:rsid w:val="000E7412"/>
    <w:rsid w:val="000F0061"/>
    <w:rsid w:val="000F0B4A"/>
    <w:rsid w:val="000F0ED6"/>
    <w:rsid w:val="000F145B"/>
    <w:rsid w:val="000F1A13"/>
    <w:rsid w:val="000F2B23"/>
    <w:rsid w:val="000F32D2"/>
    <w:rsid w:val="000F384A"/>
    <w:rsid w:val="000F4074"/>
    <w:rsid w:val="000F4183"/>
    <w:rsid w:val="000F541E"/>
    <w:rsid w:val="000F6A04"/>
    <w:rsid w:val="000F75E9"/>
    <w:rsid w:val="000F7A45"/>
    <w:rsid w:val="00101760"/>
    <w:rsid w:val="00102089"/>
    <w:rsid w:val="001031AD"/>
    <w:rsid w:val="00103400"/>
    <w:rsid w:val="00103533"/>
    <w:rsid w:val="00103884"/>
    <w:rsid w:val="00103936"/>
    <w:rsid w:val="00104069"/>
    <w:rsid w:val="00104792"/>
    <w:rsid w:val="00104897"/>
    <w:rsid w:val="00104B19"/>
    <w:rsid w:val="0010696E"/>
    <w:rsid w:val="0010700F"/>
    <w:rsid w:val="00107348"/>
    <w:rsid w:val="00110115"/>
    <w:rsid w:val="0011059B"/>
    <w:rsid w:val="00110CD0"/>
    <w:rsid w:val="00111721"/>
    <w:rsid w:val="00111A45"/>
    <w:rsid w:val="00112900"/>
    <w:rsid w:val="00112DB5"/>
    <w:rsid w:val="00113519"/>
    <w:rsid w:val="001139BB"/>
    <w:rsid w:val="00113EE2"/>
    <w:rsid w:val="0011587F"/>
    <w:rsid w:val="001162F7"/>
    <w:rsid w:val="001169AF"/>
    <w:rsid w:val="00117098"/>
    <w:rsid w:val="00117658"/>
    <w:rsid w:val="0011783A"/>
    <w:rsid w:val="00117E97"/>
    <w:rsid w:val="00120CD5"/>
    <w:rsid w:val="00120F44"/>
    <w:rsid w:val="0012183C"/>
    <w:rsid w:val="001221DE"/>
    <w:rsid w:val="00122EFB"/>
    <w:rsid w:val="001235B4"/>
    <w:rsid w:val="001237CC"/>
    <w:rsid w:val="001237DC"/>
    <w:rsid w:val="001267BD"/>
    <w:rsid w:val="00127042"/>
    <w:rsid w:val="001324C9"/>
    <w:rsid w:val="001328E6"/>
    <w:rsid w:val="00133892"/>
    <w:rsid w:val="00133AB5"/>
    <w:rsid w:val="00135888"/>
    <w:rsid w:val="00135C36"/>
    <w:rsid w:val="00136A57"/>
    <w:rsid w:val="00137B47"/>
    <w:rsid w:val="001408FF"/>
    <w:rsid w:val="00141142"/>
    <w:rsid w:val="0014153D"/>
    <w:rsid w:val="00143442"/>
    <w:rsid w:val="00144596"/>
    <w:rsid w:val="001462C1"/>
    <w:rsid w:val="00146A0E"/>
    <w:rsid w:val="00147A22"/>
    <w:rsid w:val="0015044D"/>
    <w:rsid w:val="00150487"/>
    <w:rsid w:val="00150DB6"/>
    <w:rsid w:val="001537C1"/>
    <w:rsid w:val="001547E6"/>
    <w:rsid w:val="001548C8"/>
    <w:rsid w:val="001549B4"/>
    <w:rsid w:val="00155DB0"/>
    <w:rsid w:val="00155E37"/>
    <w:rsid w:val="00155E6D"/>
    <w:rsid w:val="0015685A"/>
    <w:rsid w:val="00156D2D"/>
    <w:rsid w:val="001574AB"/>
    <w:rsid w:val="00157674"/>
    <w:rsid w:val="00157EC2"/>
    <w:rsid w:val="0016184D"/>
    <w:rsid w:val="00161AB6"/>
    <w:rsid w:val="00161C9C"/>
    <w:rsid w:val="0016243F"/>
    <w:rsid w:val="001630FD"/>
    <w:rsid w:val="0016405C"/>
    <w:rsid w:val="0016431B"/>
    <w:rsid w:val="00164B79"/>
    <w:rsid w:val="00164DB9"/>
    <w:rsid w:val="001673A3"/>
    <w:rsid w:val="00167661"/>
    <w:rsid w:val="00170480"/>
    <w:rsid w:val="00170F64"/>
    <w:rsid w:val="00172DAD"/>
    <w:rsid w:val="001737BB"/>
    <w:rsid w:val="0017448A"/>
    <w:rsid w:val="0017452D"/>
    <w:rsid w:val="00174D79"/>
    <w:rsid w:val="00174FE1"/>
    <w:rsid w:val="00175733"/>
    <w:rsid w:val="0017645C"/>
    <w:rsid w:val="00176D28"/>
    <w:rsid w:val="00176FA1"/>
    <w:rsid w:val="00177D0C"/>
    <w:rsid w:val="001802DC"/>
    <w:rsid w:val="001819B3"/>
    <w:rsid w:val="00181CFB"/>
    <w:rsid w:val="00182C08"/>
    <w:rsid w:val="0018302E"/>
    <w:rsid w:val="00183908"/>
    <w:rsid w:val="001848DE"/>
    <w:rsid w:val="00185550"/>
    <w:rsid w:val="00185998"/>
    <w:rsid w:val="0018637C"/>
    <w:rsid w:val="001877B8"/>
    <w:rsid w:val="00190A3C"/>
    <w:rsid w:val="00190BA5"/>
    <w:rsid w:val="00192EE9"/>
    <w:rsid w:val="001931DE"/>
    <w:rsid w:val="001947D6"/>
    <w:rsid w:val="001949D4"/>
    <w:rsid w:val="00194AC0"/>
    <w:rsid w:val="00195B35"/>
    <w:rsid w:val="00195D20"/>
    <w:rsid w:val="0019636C"/>
    <w:rsid w:val="0019697D"/>
    <w:rsid w:val="00196B6D"/>
    <w:rsid w:val="001973A4"/>
    <w:rsid w:val="001A100B"/>
    <w:rsid w:val="001A12DD"/>
    <w:rsid w:val="001A1476"/>
    <w:rsid w:val="001A2696"/>
    <w:rsid w:val="001A2934"/>
    <w:rsid w:val="001A37B2"/>
    <w:rsid w:val="001A3F79"/>
    <w:rsid w:val="001A48CD"/>
    <w:rsid w:val="001A4BE6"/>
    <w:rsid w:val="001A55E8"/>
    <w:rsid w:val="001A5ED8"/>
    <w:rsid w:val="001A5F78"/>
    <w:rsid w:val="001A6679"/>
    <w:rsid w:val="001A6E3D"/>
    <w:rsid w:val="001B02DD"/>
    <w:rsid w:val="001B07E1"/>
    <w:rsid w:val="001B1C9E"/>
    <w:rsid w:val="001B1CAD"/>
    <w:rsid w:val="001B1E38"/>
    <w:rsid w:val="001B242E"/>
    <w:rsid w:val="001B292E"/>
    <w:rsid w:val="001B4270"/>
    <w:rsid w:val="001B4AA3"/>
    <w:rsid w:val="001B53D7"/>
    <w:rsid w:val="001B58E7"/>
    <w:rsid w:val="001B65AC"/>
    <w:rsid w:val="001B726A"/>
    <w:rsid w:val="001B7AB8"/>
    <w:rsid w:val="001C0CEB"/>
    <w:rsid w:val="001C16DD"/>
    <w:rsid w:val="001C242B"/>
    <w:rsid w:val="001C2433"/>
    <w:rsid w:val="001C4264"/>
    <w:rsid w:val="001C43FF"/>
    <w:rsid w:val="001C4455"/>
    <w:rsid w:val="001C458F"/>
    <w:rsid w:val="001C5485"/>
    <w:rsid w:val="001C5737"/>
    <w:rsid w:val="001C5908"/>
    <w:rsid w:val="001C5FDF"/>
    <w:rsid w:val="001C6705"/>
    <w:rsid w:val="001C7020"/>
    <w:rsid w:val="001C74DF"/>
    <w:rsid w:val="001C7C9F"/>
    <w:rsid w:val="001D0D26"/>
    <w:rsid w:val="001D0F1E"/>
    <w:rsid w:val="001D11F1"/>
    <w:rsid w:val="001D219B"/>
    <w:rsid w:val="001D27B2"/>
    <w:rsid w:val="001D2FE9"/>
    <w:rsid w:val="001D3167"/>
    <w:rsid w:val="001D5123"/>
    <w:rsid w:val="001D5536"/>
    <w:rsid w:val="001D69D2"/>
    <w:rsid w:val="001D7228"/>
    <w:rsid w:val="001E078A"/>
    <w:rsid w:val="001E1D3C"/>
    <w:rsid w:val="001E3832"/>
    <w:rsid w:val="001E3A63"/>
    <w:rsid w:val="001E3B61"/>
    <w:rsid w:val="001E3E76"/>
    <w:rsid w:val="001E4220"/>
    <w:rsid w:val="001E4340"/>
    <w:rsid w:val="001E4F8B"/>
    <w:rsid w:val="001E52E8"/>
    <w:rsid w:val="001E57AF"/>
    <w:rsid w:val="001E755F"/>
    <w:rsid w:val="001E7842"/>
    <w:rsid w:val="001E7F0B"/>
    <w:rsid w:val="001F0178"/>
    <w:rsid w:val="001F03A1"/>
    <w:rsid w:val="001F0AB5"/>
    <w:rsid w:val="001F1B24"/>
    <w:rsid w:val="001F2584"/>
    <w:rsid w:val="001F2C6C"/>
    <w:rsid w:val="001F2C78"/>
    <w:rsid w:val="001F369B"/>
    <w:rsid w:val="001F3712"/>
    <w:rsid w:val="001F3AD5"/>
    <w:rsid w:val="001F3B93"/>
    <w:rsid w:val="001F4252"/>
    <w:rsid w:val="001F489E"/>
    <w:rsid w:val="001F4CEF"/>
    <w:rsid w:val="001F5189"/>
    <w:rsid w:val="001F55DD"/>
    <w:rsid w:val="001F648B"/>
    <w:rsid w:val="001F6C47"/>
    <w:rsid w:val="001F6C66"/>
    <w:rsid w:val="001F785F"/>
    <w:rsid w:val="00200194"/>
    <w:rsid w:val="0020049D"/>
    <w:rsid w:val="00200B09"/>
    <w:rsid w:val="002012A2"/>
    <w:rsid w:val="002013DA"/>
    <w:rsid w:val="00201D8C"/>
    <w:rsid w:val="00201E75"/>
    <w:rsid w:val="0020244F"/>
    <w:rsid w:val="00202544"/>
    <w:rsid w:val="00202E79"/>
    <w:rsid w:val="002032E2"/>
    <w:rsid w:val="00203B28"/>
    <w:rsid w:val="00203ED0"/>
    <w:rsid w:val="00204248"/>
    <w:rsid w:val="00204BB3"/>
    <w:rsid w:val="002056BA"/>
    <w:rsid w:val="00205937"/>
    <w:rsid w:val="00205CEC"/>
    <w:rsid w:val="00211767"/>
    <w:rsid w:val="00212C77"/>
    <w:rsid w:val="00213713"/>
    <w:rsid w:val="00215273"/>
    <w:rsid w:val="00215324"/>
    <w:rsid w:val="00215768"/>
    <w:rsid w:val="00216339"/>
    <w:rsid w:val="00216403"/>
    <w:rsid w:val="00217002"/>
    <w:rsid w:val="00217AF9"/>
    <w:rsid w:val="00221529"/>
    <w:rsid w:val="002230E3"/>
    <w:rsid w:val="0022392F"/>
    <w:rsid w:val="00223DBA"/>
    <w:rsid w:val="00223E1A"/>
    <w:rsid w:val="0022414A"/>
    <w:rsid w:val="0022421B"/>
    <w:rsid w:val="00224A4C"/>
    <w:rsid w:val="00225AF1"/>
    <w:rsid w:val="0022618E"/>
    <w:rsid w:val="00226795"/>
    <w:rsid w:val="00227052"/>
    <w:rsid w:val="002273F2"/>
    <w:rsid w:val="00227595"/>
    <w:rsid w:val="002305D8"/>
    <w:rsid w:val="00230997"/>
    <w:rsid w:val="00230A63"/>
    <w:rsid w:val="00230F30"/>
    <w:rsid w:val="00231499"/>
    <w:rsid w:val="00233017"/>
    <w:rsid w:val="002334E2"/>
    <w:rsid w:val="002337F9"/>
    <w:rsid w:val="002343E7"/>
    <w:rsid w:val="00234F98"/>
    <w:rsid w:val="0023528F"/>
    <w:rsid w:val="0023538D"/>
    <w:rsid w:val="00235967"/>
    <w:rsid w:val="00235BC8"/>
    <w:rsid w:val="0023624B"/>
    <w:rsid w:val="002364FA"/>
    <w:rsid w:val="00236776"/>
    <w:rsid w:val="00236832"/>
    <w:rsid w:val="00241023"/>
    <w:rsid w:val="002422B1"/>
    <w:rsid w:val="00242E08"/>
    <w:rsid w:val="00243A01"/>
    <w:rsid w:val="0024568E"/>
    <w:rsid w:val="00245A26"/>
    <w:rsid w:val="00245B92"/>
    <w:rsid w:val="00245BC3"/>
    <w:rsid w:val="00247009"/>
    <w:rsid w:val="00250AB4"/>
    <w:rsid w:val="00250FB1"/>
    <w:rsid w:val="002510AD"/>
    <w:rsid w:val="00252B0A"/>
    <w:rsid w:val="00252B53"/>
    <w:rsid w:val="00252E9A"/>
    <w:rsid w:val="00253034"/>
    <w:rsid w:val="00254205"/>
    <w:rsid w:val="002543FD"/>
    <w:rsid w:val="00255DA7"/>
    <w:rsid w:val="00256437"/>
    <w:rsid w:val="002572AD"/>
    <w:rsid w:val="00257814"/>
    <w:rsid w:val="00260140"/>
    <w:rsid w:val="0026086A"/>
    <w:rsid w:val="00260E89"/>
    <w:rsid w:val="00261A8F"/>
    <w:rsid w:val="00262360"/>
    <w:rsid w:val="00262DD9"/>
    <w:rsid w:val="00263279"/>
    <w:rsid w:val="00263BFB"/>
    <w:rsid w:val="00263CB4"/>
    <w:rsid w:val="00263E4E"/>
    <w:rsid w:val="002640D3"/>
    <w:rsid w:val="00264C26"/>
    <w:rsid w:val="00264C5F"/>
    <w:rsid w:val="002650D5"/>
    <w:rsid w:val="00265F39"/>
    <w:rsid w:val="00266D3C"/>
    <w:rsid w:val="00270570"/>
    <w:rsid w:val="00271BA0"/>
    <w:rsid w:val="002741BA"/>
    <w:rsid w:val="002744C2"/>
    <w:rsid w:val="002748E4"/>
    <w:rsid w:val="00274AE0"/>
    <w:rsid w:val="00274FCB"/>
    <w:rsid w:val="002773CE"/>
    <w:rsid w:val="00280629"/>
    <w:rsid w:val="00280C31"/>
    <w:rsid w:val="0028226A"/>
    <w:rsid w:val="002827B0"/>
    <w:rsid w:val="00282ABF"/>
    <w:rsid w:val="00283384"/>
    <w:rsid w:val="00283393"/>
    <w:rsid w:val="00284588"/>
    <w:rsid w:val="00286765"/>
    <w:rsid w:val="002867FE"/>
    <w:rsid w:val="002871D3"/>
    <w:rsid w:val="002873FD"/>
    <w:rsid w:val="00287409"/>
    <w:rsid w:val="002875A1"/>
    <w:rsid w:val="00287E8F"/>
    <w:rsid w:val="00287F46"/>
    <w:rsid w:val="00290E91"/>
    <w:rsid w:val="002919DC"/>
    <w:rsid w:val="00291D9D"/>
    <w:rsid w:val="00292ADC"/>
    <w:rsid w:val="00293BF3"/>
    <w:rsid w:val="00294459"/>
    <w:rsid w:val="002944F5"/>
    <w:rsid w:val="002957EF"/>
    <w:rsid w:val="0029600E"/>
    <w:rsid w:val="002A0535"/>
    <w:rsid w:val="002A0B93"/>
    <w:rsid w:val="002A2399"/>
    <w:rsid w:val="002A2AFD"/>
    <w:rsid w:val="002A3F86"/>
    <w:rsid w:val="002A5958"/>
    <w:rsid w:val="002A5F0E"/>
    <w:rsid w:val="002A65C0"/>
    <w:rsid w:val="002A6BF6"/>
    <w:rsid w:val="002A781C"/>
    <w:rsid w:val="002B0753"/>
    <w:rsid w:val="002B0928"/>
    <w:rsid w:val="002B1C0E"/>
    <w:rsid w:val="002B256B"/>
    <w:rsid w:val="002B2731"/>
    <w:rsid w:val="002B2E44"/>
    <w:rsid w:val="002B3737"/>
    <w:rsid w:val="002B37AF"/>
    <w:rsid w:val="002B38FB"/>
    <w:rsid w:val="002B42D9"/>
    <w:rsid w:val="002B47D6"/>
    <w:rsid w:val="002B48C9"/>
    <w:rsid w:val="002B4CED"/>
    <w:rsid w:val="002B69AB"/>
    <w:rsid w:val="002B6DB4"/>
    <w:rsid w:val="002B781A"/>
    <w:rsid w:val="002C10CB"/>
    <w:rsid w:val="002C1C33"/>
    <w:rsid w:val="002C2181"/>
    <w:rsid w:val="002C23CD"/>
    <w:rsid w:val="002C2479"/>
    <w:rsid w:val="002C2A73"/>
    <w:rsid w:val="002C3189"/>
    <w:rsid w:val="002C31DC"/>
    <w:rsid w:val="002C4BBF"/>
    <w:rsid w:val="002C560F"/>
    <w:rsid w:val="002C5A0A"/>
    <w:rsid w:val="002C5A7D"/>
    <w:rsid w:val="002C5FC4"/>
    <w:rsid w:val="002C66D7"/>
    <w:rsid w:val="002C70DA"/>
    <w:rsid w:val="002C79C7"/>
    <w:rsid w:val="002D0717"/>
    <w:rsid w:val="002D16D0"/>
    <w:rsid w:val="002D1DFE"/>
    <w:rsid w:val="002D2289"/>
    <w:rsid w:val="002D2697"/>
    <w:rsid w:val="002D275A"/>
    <w:rsid w:val="002D46A0"/>
    <w:rsid w:val="002D4BFC"/>
    <w:rsid w:val="002D506A"/>
    <w:rsid w:val="002D600F"/>
    <w:rsid w:val="002D65A5"/>
    <w:rsid w:val="002D70C6"/>
    <w:rsid w:val="002D72AD"/>
    <w:rsid w:val="002D752E"/>
    <w:rsid w:val="002E0085"/>
    <w:rsid w:val="002E03AD"/>
    <w:rsid w:val="002E099B"/>
    <w:rsid w:val="002E0D53"/>
    <w:rsid w:val="002E0DEE"/>
    <w:rsid w:val="002E0FFC"/>
    <w:rsid w:val="002E100B"/>
    <w:rsid w:val="002E1FB0"/>
    <w:rsid w:val="002E2251"/>
    <w:rsid w:val="002E27CB"/>
    <w:rsid w:val="002E2B50"/>
    <w:rsid w:val="002E3577"/>
    <w:rsid w:val="002E419D"/>
    <w:rsid w:val="002E433D"/>
    <w:rsid w:val="002E48B5"/>
    <w:rsid w:val="002E4A62"/>
    <w:rsid w:val="002E606D"/>
    <w:rsid w:val="002E721C"/>
    <w:rsid w:val="002F0886"/>
    <w:rsid w:val="002F188C"/>
    <w:rsid w:val="002F29BF"/>
    <w:rsid w:val="002F35B8"/>
    <w:rsid w:val="002F3AC2"/>
    <w:rsid w:val="002F4777"/>
    <w:rsid w:val="002F4AF7"/>
    <w:rsid w:val="002F4C25"/>
    <w:rsid w:val="002F5D0E"/>
    <w:rsid w:val="002F5F3C"/>
    <w:rsid w:val="002F6022"/>
    <w:rsid w:val="002F6429"/>
    <w:rsid w:val="002F668A"/>
    <w:rsid w:val="002F6F4A"/>
    <w:rsid w:val="002F7416"/>
    <w:rsid w:val="002F74DA"/>
    <w:rsid w:val="002F75F3"/>
    <w:rsid w:val="003000C4"/>
    <w:rsid w:val="003006AA"/>
    <w:rsid w:val="00300916"/>
    <w:rsid w:val="00300BE0"/>
    <w:rsid w:val="00300F07"/>
    <w:rsid w:val="00301807"/>
    <w:rsid w:val="00301AA6"/>
    <w:rsid w:val="00303DF5"/>
    <w:rsid w:val="00304257"/>
    <w:rsid w:val="00305E43"/>
    <w:rsid w:val="0030643A"/>
    <w:rsid w:val="00306F3B"/>
    <w:rsid w:val="00307875"/>
    <w:rsid w:val="00311121"/>
    <w:rsid w:val="0031349D"/>
    <w:rsid w:val="00313D1B"/>
    <w:rsid w:val="00313F4E"/>
    <w:rsid w:val="00314258"/>
    <w:rsid w:val="003148E4"/>
    <w:rsid w:val="00314C5D"/>
    <w:rsid w:val="0031521D"/>
    <w:rsid w:val="0031548E"/>
    <w:rsid w:val="0031564D"/>
    <w:rsid w:val="003165AA"/>
    <w:rsid w:val="0031682C"/>
    <w:rsid w:val="0031694D"/>
    <w:rsid w:val="00316AEC"/>
    <w:rsid w:val="00316F77"/>
    <w:rsid w:val="00317151"/>
    <w:rsid w:val="00317C1A"/>
    <w:rsid w:val="00320B65"/>
    <w:rsid w:val="00322AF2"/>
    <w:rsid w:val="00322B9B"/>
    <w:rsid w:val="00323E7E"/>
    <w:rsid w:val="003256C2"/>
    <w:rsid w:val="00325CB8"/>
    <w:rsid w:val="00325D1E"/>
    <w:rsid w:val="00325EE6"/>
    <w:rsid w:val="003261CD"/>
    <w:rsid w:val="0032649D"/>
    <w:rsid w:val="0032656C"/>
    <w:rsid w:val="00326FA8"/>
    <w:rsid w:val="00330090"/>
    <w:rsid w:val="00330260"/>
    <w:rsid w:val="00330C05"/>
    <w:rsid w:val="00331F42"/>
    <w:rsid w:val="00332CD2"/>
    <w:rsid w:val="00333371"/>
    <w:rsid w:val="00333FEF"/>
    <w:rsid w:val="0033413D"/>
    <w:rsid w:val="0033514C"/>
    <w:rsid w:val="003356A1"/>
    <w:rsid w:val="003360B1"/>
    <w:rsid w:val="00337B91"/>
    <w:rsid w:val="003400C2"/>
    <w:rsid w:val="00340466"/>
    <w:rsid w:val="00340BF1"/>
    <w:rsid w:val="00341401"/>
    <w:rsid w:val="00341633"/>
    <w:rsid w:val="00341737"/>
    <w:rsid w:val="00341DAF"/>
    <w:rsid w:val="00342614"/>
    <w:rsid w:val="003430DA"/>
    <w:rsid w:val="0034322F"/>
    <w:rsid w:val="003436C1"/>
    <w:rsid w:val="003446F2"/>
    <w:rsid w:val="00344817"/>
    <w:rsid w:val="00344F08"/>
    <w:rsid w:val="00347177"/>
    <w:rsid w:val="00347974"/>
    <w:rsid w:val="003506F7"/>
    <w:rsid w:val="00351340"/>
    <w:rsid w:val="00351C23"/>
    <w:rsid w:val="003527ED"/>
    <w:rsid w:val="00352B21"/>
    <w:rsid w:val="00352D25"/>
    <w:rsid w:val="00353F54"/>
    <w:rsid w:val="0035482A"/>
    <w:rsid w:val="00354996"/>
    <w:rsid w:val="00354A1E"/>
    <w:rsid w:val="00355D5A"/>
    <w:rsid w:val="00355D9C"/>
    <w:rsid w:val="00356391"/>
    <w:rsid w:val="00356D19"/>
    <w:rsid w:val="003573A4"/>
    <w:rsid w:val="00357976"/>
    <w:rsid w:val="0036100F"/>
    <w:rsid w:val="003619D0"/>
    <w:rsid w:val="00361A11"/>
    <w:rsid w:val="00361BD6"/>
    <w:rsid w:val="00361F81"/>
    <w:rsid w:val="003624E0"/>
    <w:rsid w:val="003632AF"/>
    <w:rsid w:val="00363559"/>
    <w:rsid w:val="003636E1"/>
    <w:rsid w:val="003639AB"/>
    <w:rsid w:val="00364134"/>
    <w:rsid w:val="00364B44"/>
    <w:rsid w:val="0036533E"/>
    <w:rsid w:val="00365C8A"/>
    <w:rsid w:val="003661FD"/>
    <w:rsid w:val="0036680F"/>
    <w:rsid w:val="003675EC"/>
    <w:rsid w:val="003679C3"/>
    <w:rsid w:val="00370CCB"/>
    <w:rsid w:val="00370FDC"/>
    <w:rsid w:val="003715AE"/>
    <w:rsid w:val="00371721"/>
    <w:rsid w:val="00371E19"/>
    <w:rsid w:val="00372AF6"/>
    <w:rsid w:val="00373BBA"/>
    <w:rsid w:val="00374073"/>
    <w:rsid w:val="00374090"/>
    <w:rsid w:val="003744B7"/>
    <w:rsid w:val="00374857"/>
    <w:rsid w:val="00374F60"/>
    <w:rsid w:val="0037577B"/>
    <w:rsid w:val="003757BD"/>
    <w:rsid w:val="00375F72"/>
    <w:rsid w:val="00376B7F"/>
    <w:rsid w:val="0038014C"/>
    <w:rsid w:val="00380320"/>
    <w:rsid w:val="003803E4"/>
    <w:rsid w:val="00380688"/>
    <w:rsid w:val="003813DE"/>
    <w:rsid w:val="0038161A"/>
    <w:rsid w:val="0038269F"/>
    <w:rsid w:val="003832CA"/>
    <w:rsid w:val="00383871"/>
    <w:rsid w:val="003839AE"/>
    <w:rsid w:val="00383F08"/>
    <w:rsid w:val="00384279"/>
    <w:rsid w:val="00384ABC"/>
    <w:rsid w:val="0038798D"/>
    <w:rsid w:val="00387F1C"/>
    <w:rsid w:val="0039070B"/>
    <w:rsid w:val="00391317"/>
    <w:rsid w:val="00391C44"/>
    <w:rsid w:val="00393355"/>
    <w:rsid w:val="00393358"/>
    <w:rsid w:val="00393E11"/>
    <w:rsid w:val="00394028"/>
    <w:rsid w:val="00394ADC"/>
    <w:rsid w:val="00394BF2"/>
    <w:rsid w:val="00395AD6"/>
    <w:rsid w:val="003966EB"/>
    <w:rsid w:val="00396DF6"/>
    <w:rsid w:val="0039737C"/>
    <w:rsid w:val="003A0053"/>
    <w:rsid w:val="003A0773"/>
    <w:rsid w:val="003A1931"/>
    <w:rsid w:val="003A1B8F"/>
    <w:rsid w:val="003A1BAB"/>
    <w:rsid w:val="003A1C11"/>
    <w:rsid w:val="003A30A5"/>
    <w:rsid w:val="003A3A72"/>
    <w:rsid w:val="003A48AB"/>
    <w:rsid w:val="003A4AAE"/>
    <w:rsid w:val="003A560E"/>
    <w:rsid w:val="003A5C85"/>
    <w:rsid w:val="003A5E05"/>
    <w:rsid w:val="003A7A78"/>
    <w:rsid w:val="003B03CD"/>
    <w:rsid w:val="003B0C4A"/>
    <w:rsid w:val="003B1E16"/>
    <w:rsid w:val="003B460E"/>
    <w:rsid w:val="003B55ED"/>
    <w:rsid w:val="003B5B2E"/>
    <w:rsid w:val="003B5D95"/>
    <w:rsid w:val="003B6B1E"/>
    <w:rsid w:val="003B7AB2"/>
    <w:rsid w:val="003B7FA9"/>
    <w:rsid w:val="003C017C"/>
    <w:rsid w:val="003C04AC"/>
    <w:rsid w:val="003C0665"/>
    <w:rsid w:val="003C0DCB"/>
    <w:rsid w:val="003C1869"/>
    <w:rsid w:val="003C1BA0"/>
    <w:rsid w:val="003C2D3E"/>
    <w:rsid w:val="003C2D95"/>
    <w:rsid w:val="003C4711"/>
    <w:rsid w:val="003C4B05"/>
    <w:rsid w:val="003C5028"/>
    <w:rsid w:val="003C5A8B"/>
    <w:rsid w:val="003C7B0E"/>
    <w:rsid w:val="003D188A"/>
    <w:rsid w:val="003D24E6"/>
    <w:rsid w:val="003D3DA0"/>
    <w:rsid w:val="003D49D2"/>
    <w:rsid w:val="003D4C8F"/>
    <w:rsid w:val="003D4CB9"/>
    <w:rsid w:val="003D4CCE"/>
    <w:rsid w:val="003D526F"/>
    <w:rsid w:val="003D56C5"/>
    <w:rsid w:val="003D6588"/>
    <w:rsid w:val="003D6B37"/>
    <w:rsid w:val="003D7F2B"/>
    <w:rsid w:val="003E0599"/>
    <w:rsid w:val="003E1854"/>
    <w:rsid w:val="003E19F2"/>
    <w:rsid w:val="003E275E"/>
    <w:rsid w:val="003E3921"/>
    <w:rsid w:val="003E3B28"/>
    <w:rsid w:val="003E4A35"/>
    <w:rsid w:val="003E4BDD"/>
    <w:rsid w:val="003E5499"/>
    <w:rsid w:val="003E7B51"/>
    <w:rsid w:val="003F0533"/>
    <w:rsid w:val="003F059D"/>
    <w:rsid w:val="003F11EF"/>
    <w:rsid w:val="003F24D5"/>
    <w:rsid w:val="003F27D2"/>
    <w:rsid w:val="003F39DA"/>
    <w:rsid w:val="003F3C5D"/>
    <w:rsid w:val="003F5B7D"/>
    <w:rsid w:val="003F6229"/>
    <w:rsid w:val="003F6C4D"/>
    <w:rsid w:val="003F786D"/>
    <w:rsid w:val="00400539"/>
    <w:rsid w:val="00400AB2"/>
    <w:rsid w:val="004011B8"/>
    <w:rsid w:val="0040192A"/>
    <w:rsid w:val="004024B0"/>
    <w:rsid w:val="00402D6D"/>
    <w:rsid w:val="00403334"/>
    <w:rsid w:val="0040397D"/>
    <w:rsid w:val="00403DFB"/>
    <w:rsid w:val="00404650"/>
    <w:rsid w:val="004049BD"/>
    <w:rsid w:val="0040566D"/>
    <w:rsid w:val="004064A6"/>
    <w:rsid w:val="00406BD1"/>
    <w:rsid w:val="00407765"/>
    <w:rsid w:val="0040798D"/>
    <w:rsid w:val="004100B5"/>
    <w:rsid w:val="004108D6"/>
    <w:rsid w:val="0041132B"/>
    <w:rsid w:val="00414010"/>
    <w:rsid w:val="004140D6"/>
    <w:rsid w:val="00414CC7"/>
    <w:rsid w:val="00415949"/>
    <w:rsid w:val="00416F29"/>
    <w:rsid w:val="00417555"/>
    <w:rsid w:val="00417CD3"/>
    <w:rsid w:val="00417E9A"/>
    <w:rsid w:val="00420527"/>
    <w:rsid w:val="00420BC3"/>
    <w:rsid w:val="00422657"/>
    <w:rsid w:val="004238C7"/>
    <w:rsid w:val="004246EC"/>
    <w:rsid w:val="00424964"/>
    <w:rsid w:val="00424AD5"/>
    <w:rsid w:val="0042539C"/>
    <w:rsid w:val="004254F2"/>
    <w:rsid w:val="00425549"/>
    <w:rsid w:val="00425D15"/>
    <w:rsid w:val="00426353"/>
    <w:rsid w:val="00426AE1"/>
    <w:rsid w:val="00427700"/>
    <w:rsid w:val="004279D7"/>
    <w:rsid w:val="004303E6"/>
    <w:rsid w:val="00430970"/>
    <w:rsid w:val="00431845"/>
    <w:rsid w:val="00431E70"/>
    <w:rsid w:val="0043269A"/>
    <w:rsid w:val="004326D6"/>
    <w:rsid w:val="004331A4"/>
    <w:rsid w:val="004336E0"/>
    <w:rsid w:val="0043381B"/>
    <w:rsid w:val="00433DB5"/>
    <w:rsid w:val="004346F7"/>
    <w:rsid w:val="00434FF8"/>
    <w:rsid w:val="004351BF"/>
    <w:rsid w:val="004356C9"/>
    <w:rsid w:val="004361A2"/>
    <w:rsid w:val="0043681F"/>
    <w:rsid w:val="00436CBF"/>
    <w:rsid w:val="00437590"/>
    <w:rsid w:val="004376FA"/>
    <w:rsid w:val="00440A94"/>
    <w:rsid w:val="00440E05"/>
    <w:rsid w:val="004410EB"/>
    <w:rsid w:val="00441901"/>
    <w:rsid w:val="0044272D"/>
    <w:rsid w:val="004433E9"/>
    <w:rsid w:val="00444B5E"/>
    <w:rsid w:val="004457F6"/>
    <w:rsid w:val="00445851"/>
    <w:rsid w:val="00445C95"/>
    <w:rsid w:val="00445CE4"/>
    <w:rsid w:val="00446B62"/>
    <w:rsid w:val="0044756E"/>
    <w:rsid w:val="00447C95"/>
    <w:rsid w:val="00447FDD"/>
    <w:rsid w:val="0045007F"/>
    <w:rsid w:val="00450A39"/>
    <w:rsid w:val="00450D16"/>
    <w:rsid w:val="00450E7F"/>
    <w:rsid w:val="0045197C"/>
    <w:rsid w:val="00452443"/>
    <w:rsid w:val="00453128"/>
    <w:rsid w:val="004532A5"/>
    <w:rsid w:val="00453E50"/>
    <w:rsid w:val="004548C2"/>
    <w:rsid w:val="00455128"/>
    <w:rsid w:val="00456C4E"/>
    <w:rsid w:val="004570F1"/>
    <w:rsid w:val="00457304"/>
    <w:rsid w:val="0045770E"/>
    <w:rsid w:val="004608C0"/>
    <w:rsid w:val="0046093F"/>
    <w:rsid w:val="00460EB0"/>
    <w:rsid w:val="00460F5D"/>
    <w:rsid w:val="00462952"/>
    <w:rsid w:val="00462A35"/>
    <w:rsid w:val="00462A7D"/>
    <w:rsid w:val="00462E63"/>
    <w:rsid w:val="00462E71"/>
    <w:rsid w:val="004634D5"/>
    <w:rsid w:val="00463892"/>
    <w:rsid w:val="00464D1E"/>
    <w:rsid w:val="004652B3"/>
    <w:rsid w:val="0046664D"/>
    <w:rsid w:val="004678F2"/>
    <w:rsid w:val="00467B4A"/>
    <w:rsid w:val="004700FA"/>
    <w:rsid w:val="00471056"/>
    <w:rsid w:val="0047108A"/>
    <w:rsid w:val="0047121F"/>
    <w:rsid w:val="004714D8"/>
    <w:rsid w:val="0047213A"/>
    <w:rsid w:val="004724D2"/>
    <w:rsid w:val="00472524"/>
    <w:rsid w:val="004725D1"/>
    <w:rsid w:val="004728C4"/>
    <w:rsid w:val="00472FFE"/>
    <w:rsid w:val="0047321F"/>
    <w:rsid w:val="00475BDC"/>
    <w:rsid w:val="004775B9"/>
    <w:rsid w:val="00480653"/>
    <w:rsid w:val="00481B47"/>
    <w:rsid w:val="00481EEE"/>
    <w:rsid w:val="00482EB7"/>
    <w:rsid w:val="00483155"/>
    <w:rsid w:val="00483320"/>
    <w:rsid w:val="004875B6"/>
    <w:rsid w:val="00487A59"/>
    <w:rsid w:val="00490BDB"/>
    <w:rsid w:val="00490E27"/>
    <w:rsid w:val="004936C6"/>
    <w:rsid w:val="00493D2B"/>
    <w:rsid w:val="00494C38"/>
    <w:rsid w:val="00494C96"/>
    <w:rsid w:val="00494D00"/>
    <w:rsid w:val="00495457"/>
    <w:rsid w:val="00495BCD"/>
    <w:rsid w:val="00495C3A"/>
    <w:rsid w:val="00495D44"/>
    <w:rsid w:val="004979B4"/>
    <w:rsid w:val="00497AD7"/>
    <w:rsid w:val="004A078C"/>
    <w:rsid w:val="004A2290"/>
    <w:rsid w:val="004A3CAD"/>
    <w:rsid w:val="004A3F87"/>
    <w:rsid w:val="004A46C3"/>
    <w:rsid w:val="004A4CED"/>
    <w:rsid w:val="004A5355"/>
    <w:rsid w:val="004A5836"/>
    <w:rsid w:val="004A5A82"/>
    <w:rsid w:val="004A6042"/>
    <w:rsid w:val="004A60D0"/>
    <w:rsid w:val="004B04CB"/>
    <w:rsid w:val="004B0BCF"/>
    <w:rsid w:val="004B463E"/>
    <w:rsid w:val="004B4D26"/>
    <w:rsid w:val="004B5164"/>
    <w:rsid w:val="004B64F2"/>
    <w:rsid w:val="004B68B0"/>
    <w:rsid w:val="004B6C87"/>
    <w:rsid w:val="004C005F"/>
    <w:rsid w:val="004C0C0F"/>
    <w:rsid w:val="004C131A"/>
    <w:rsid w:val="004C1B7F"/>
    <w:rsid w:val="004C2388"/>
    <w:rsid w:val="004C2630"/>
    <w:rsid w:val="004C2E13"/>
    <w:rsid w:val="004C3864"/>
    <w:rsid w:val="004C3BCF"/>
    <w:rsid w:val="004C4E62"/>
    <w:rsid w:val="004C5094"/>
    <w:rsid w:val="004C5DCC"/>
    <w:rsid w:val="004C63CE"/>
    <w:rsid w:val="004C6C51"/>
    <w:rsid w:val="004C6EC9"/>
    <w:rsid w:val="004C7F01"/>
    <w:rsid w:val="004D2774"/>
    <w:rsid w:val="004D2D2D"/>
    <w:rsid w:val="004D2FFD"/>
    <w:rsid w:val="004D371F"/>
    <w:rsid w:val="004D39C8"/>
    <w:rsid w:val="004D3A7E"/>
    <w:rsid w:val="004D4408"/>
    <w:rsid w:val="004D4D6A"/>
    <w:rsid w:val="004D63DD"/>
    <w:rsid w:val="004D6533"/>
    <w:rsid w:val="004D6A98"/>
    <w:rsid w:val="004E0690"/>
    <w:rsid w:val="004E13DE"/>
    <w:rsid w:val="004E1E3D"/>
    <w:rsid w:val="004E2665"/>
    <w:rsid w:val="004E2702"/>
    <w:rsid w:val="004E2A24"/>
    <w:rsid w:val="004E3198"/>
    <w:rsid w:val="004E31AA"/>
    <w:rsid w:val="004E44AB"/>
    <w:rsid w:val="004E4D3A"/>
    <w:rsid w:val="004F076A"/>
    <w:rsid w:val="004F2279"/>
    <w:rsid w:val="004F36C3"/>
    <w:rsid w:val="004F3F66"/>
    <w:rsid w:val="004F50C2"/>
    <w:rsid w:val="004F53CE"/>
    <w:rsid w:val="004F562C"/>
    <w:rsid w:val="004F5C55"/>
    <w:rsid w:val="004F632C"/>
    <w:rsid w:val="004F76A6"/>
    <w:rsid w:val="004F7CBA"/>
    <w:rsid w:val="005001AA"/>
    <w:rsid w:val="0050059F"/>
    <w:rsid w:val="00501B9F"/>
    <w:rsid w:val="00501CFD"/>
    <w:rsid w:val="0050340E"/>
    <w:rsid w:val="005049FB"/>
    <w:rsid w:val="00505BCE"/>
    <w:rsid w:val="00507786"/>
    <w:rsid w:val="00507EB8"/>
    <w:rsid w:val="005104E2"/>
    <w:rsid w:val="0051066A"/>
    <w:rsid w:val="005114F1"/>
    <w:rsid w:val="0051167E"/>
    <w:rsid w:val="005119AA"/>
    <w:rsid w:val="00511BFC"/>
    <w:rsid w:val="00511FA7"/>
    <w:rsid w:val="00512037"/>
    <w:rsid w:val="00512D47"/>
    <w:rsid w:val="0051492E"/>
    <w:rsid w:val="00515AB1"/>
    <w:rsid w:val="00516637"/>
    <w:rsid w:val="00517240"/>
    <w:rsid w:val="005201EA"/>
    <w:rsid w:val="00521C61"/>
    <w:rsid w:val="00522870"/>
    <w:rsid w:val="00522F45"/>
    <w:rsid w:val="005236DB"/>
    <w:rsid w:val="00523733"/>
    <w:rsid w:val="00523881"/>
    <w:rsid w:val="00523CD0"/>
    <w:rsid w:val="00524166"/>
    <w:rsid w:val="0052418E"/>
    <w:rsid w:val="0052594B"/>
    <w:rsid w:val="00525F97"/>
    <w:rsid w:val="005262F6"/>
    <w:rsid w:val="005300B6"/>
    <w:rsid w:val="00532349"/>
    <w:rsid w:val="0053282C"/>
    <w:rsid w:val="005329FA"/>
    <w:rsid w:val="00532F50"/>
    <w:rsid w:val="005336FF"/>
    <w:rsid w:val="00533E35"/>
    <w:rsid w:val="00534683"/>
    <w:rsid w:val="00534863"/>
    <w:rsid w:val="00534D54"/>
    <w:rsid w:val="00534FE5"/>
    <w:rsid w:val="005375A5"/>
    <w:rsid w:val="0053765C"/>
    <w:rsid w:val="00540D74"/>
    <w:rsid w:val="005416D8"/>
    <w:rsid w:val="0054191C"/>
    <w:rsid w:val="00541CEE"/>
    <w:rsid w:val="00542391"/>
    <w:rsid w:val="00543869"/>
    <w:rsid w:val="00543B64"/>
    <w:rsid w:val="00543CA7"/>
    <w:rsid w:val="00543D6D"/>
    <w:rsid w:val="00543DAF"/>
    <w:rsid w:val="005445C4"/>
    <w:rsid w:val="005446E3"/>
    <w:rsid w:val="00544A6E"/>
    <w:rsid w:val="00545092"/>
    <w:rsid w:val="00546109"/>
    <w:rsid w:val="0054639A"/>
    <w:rsid w:val="0054692E"/>
    <w:rsid w:val="0054718A"/>
    <w:rsid w:val="00547882"/>
    <w:rsid w:val="00547C4C"/>
    <w:rsid w:val="00547CE7"/>
    <w:rsid w:val="00550281"/>
    <w:rsid w:val="00550AC1"/>
    <w:rsid w:val="00550C80"/>
    <w:rsid w:val="00550CA4"/>
    <w:rsid w:val="00550D72"/>
    <w:rsid w:val="00550E84"/>
    <w:rsid w:val="0055158F"/>
    <w:rsid w:val="00551D3A"/>
    <w:rsid w:val="0055253A"/>
    <w:rsid w:val="00552B7B"/>
    <w:rsid w:val="0055302A"/>
    <w:rsid w:val="0055306D"/>
    <w:rsid w:val="00553220"/>
    <w:rsid w:val="005534E9"/>
    <w:rsid w:val="00553749"/>
    <w:rsid w:val="00553F5A"/>
    <w:rsid w:val="00554637"/>
    <w:rsid w:val="00554771"/>
    <w:rsid w:val="005558BD"/>
    <w:rsid w:val="00555FA2"/>
    <w:rsid w:val="00556A9B"/>
    <w:rsid w:val="00557CDE"/>
    <w:rsid w:val="00557D6E"/>
    <w:rsid w:val="00557F8A"/>
    <w:rsid w:val="00560349"/>
    <w:rsid w:val="0056082F"/>
    <w:rsid w:val="00563B87"/>
    <w:rsid w:val="00563CE1"/>
    <w:rsid w:val="00564981"/>
    <w:rsid w:val="0056527D"/>
    <w:rsid w:val="005654C9"/>
    <w:rsid w:val="00565ECA"/>
    <w:rsid w:val="00566B9A"/>
    <w:rsid w:val="0056726E"/>
    <w:rsid w:val="005678C5"/>
    <w:rsid w:val="00567944"/>
    <w:rsid w:val="00570D32"/>
    <w:rsid w:val="005728F0"/>
    <w:rsid w:val="00572CE1"/>
    <w:rsid w:val="00573047"/>
    <w:rsid w:val="00573716"/>
    <w:rsid w:val="00573B66"/>
    <w:rsid w:val="00573C3C"/>
    <w:rsid w:val="00575B11"/>
    <w:rsid w:val="00576D9A"/>
    <w:rsid w:val="005800ED"/>
    <w:rsid w:val="00580560"/>
    <w:rsid w:val="0058167B"/>
    <w:rsid w:val="0058195C"/>
    <w:rsid w:val="00581D23"/>
    <w:rsid w:val="00582D72"/>
    <w:rsid w:val="0058404B"/>
    <w:rsid w:val="005844B4"/>
    <w:rsid w:val="00585054"/>
    <w:rsid w:val="00585DF4"/>
    <w:rsid w:val="005875C9"/>
    <w:rsid w:val="005905C2"/>
    <w:rsid w:val="00590A2C"/>
    <w:rsid w:val="00591569"/>
    <w:rsid w:val="00591A35"/>
    <w:rsid w:val="00591AA0"/>
    <w:rsid w:val="00591EC8"/>
    <w:rsid w:val="0059250D"/>
    <w:rsid w:val="0059256B"/>
    <w:rsid w:val="005925BF"/>
    <w:rsid w:val="00592AAA"/>
    <w:rsid w:val="00592E9D"/>
    <w:rsid w:val="00592FC4"/>
    <w:rsid w:val="00593CF8"/>
    <w:rsid w:val="00594451"/>
    <w:rsid w:val="0059478A"/>
    <w:rsid w:val="005953B1"/>
    <w:rsid w:val="005955BB"/>
    <w:rsid w:val="00595BE3"/>
    <w:rsid w:val="00595C3B"/>
    <w:rsid w:val="00596511"/>
    <w:rsid w:val="005967EB"/>
    <w:rsid w:val="005A0DC0"/>
    <w:rsid w:val="005A0FF2"/>
    <w:rsid w:val="005A156C"/>
    <w:rsid w:val="005A1F8D"/>
    <w:rsid w:val="005A21F0"/>
    <w:rsid w:val="005A5270"/>
    <w:rsid w:val="005A6142"/>
    <w:rsid w:val="005A6595"/>
    <w:rsid w:val="005A7032"/>
    <w:rsid w:val="005A7553"/>
    <w:rsid w:val="005A795D"/>
    <w:rsid w:val="005A7D82"/>
    <w:rsid w:val="005B0752"/>
    <w:rsid w:val="005B25AF"/>
    <w:rsid w:val="005B34F7"/>
    <w:rsid w:val="005B3606"/>
    <w:rsid w:val="005B366B"/>
    <w:rsid w:val="005B3C2A"/>
    <w:rsid w:val="005B3E8C"/>
    <w:rsid w:val="005B3EA0"/>
    <w:rsid w:val="005B428D"/>
    <w:rsid w:val="005B4386"/>
    <w:rsid w:val="005B5108"/>
    <w:rsid w:val="005B6409"/>
    <w:rsid w:val="005B6832"/>
    <w:rsid w:val="005B6BE3"/>
    <w:rsid w:val="005B6FCF"/>
    <w:rsid w:val="005B7093"/>
    <w:rsid w:val="005B7373"/>
    <w:rsid w:val="005B7F78"/>
    <w:rsid w:val="005C03AC"/>
    <w:rsid w:val="005C03C1"/>
    <w:rsid w:val="005C0EF9"/>
    <w:rsid w:val="005C0F92"/>
    <w:rsid w:val="005C157A"/>
    <w:rsid w:val="005C2371"/>
    <w:rsid w:val="005C2CE0"/>
    <w:rsid w:val="005C2D8D"/>
    <w:rsid w:val="005C4F9C"/>
    <w:rsid w:val="005C6BF3"/>
    <w:rsid w:val="005C71A3"/>
    <w:rsid w:val="005C72DA"/>
    <w:rsid w:val="005C7AF2"/>
    <w:rsid w:val="005D01AC"/>
    <w:rsid w:val="005D070C"/>
    <w:rsid w:val="005D09F2"/>
    <w:rsid w:val="005D0D14"/>
    <w:rsid w:val="005D19E8"/>
    <w:rsid w:val="005D1D4A"/>
    <w:rsid w:val="005D1E10"/>
    <w:rsid w:val="005D293B"/>
    <w:rsid w:val="005D2E54"/>
    <w:rsid w:val="005D32FB"/>
    <w:rsid w:val="005D388B"/>
    <w:rsid w:val="005D38BF"/>
    <w:rsid w:val="005D4A2F"/>
    <w:rsid w:val="005D4B01"/>
    <w:rsid w:val="005D5344"/>
    <w:rsid w:val="005D58E7"/>
    <w:rsid w:val="005D61F1"/>
    <w:rsid w:val="005D628D"/>
    <w:rsid w:val="005D7824"/>
    <w:rsid w:val="005D7CA2"/>
    <w:rsid w:val="005E22F5"/>
    <w:rsid w:val="005E509C"/>
    <w:rsid w:val="005E554C"/>
    <w:rsid w:val="005E5B1E"/>
    <w:rsid w:val="005E5DCB"/>
    <w:rsid w:val="005E6281"/>
    <w:rsid w:val="005E64B9"/>
    <w:rsid w:val="005E6E09"/>
    <w:rsid w:val="005F0DD4"/>
    <w:rsid w:val="005F0ED2"/>
    <w:rsid w:val="005F12FE"/>
    <w:rsid w:val="005F14CC"/>
    <w:rsid w:val="005F1690"/>
    <w:rsid w:val="005F2520"/>
    <w:rsid w:val="005F285E"/>
    <w:rsid w:val="005F2FAB"/>
    <w:rsid w:val="005F3BD7"/>
    <w:rsid w:val="005F3CD7"/>
    <w:rsid w:val="005F3E46"/>
    <w:rsid w:val="005F460D"/>
    <w:rsid w:val="005F5429"/>
    <w:rsid w:val="005F5472"/>
    <w:rsid w:val="005F5655"/>
    <w:rsid w:val="005F5CD7"/>
    <w:rsid w:val="005F6095"/>
    <w:rsid w:val="005F7B9D"/>
    <w:rsid w:val="006007CB"/>
    <w:rsid w:val="0060096E"/>
    <w:rsid w:val="00600B74"/>
    <w:rsid w:val="00601205"/>
    <w:rsid w:val="006016F2"/>
    <w:rsid w:val="00602245"/>
    <w:rsid w:val="00602426"/>
    <w:rsid w:val="006027C5"/>
    <w:rsid w:val="006027FD"/>
    <w:rsid w:val="006029D9"/>
    <w:rsid w:val="006045B8"/>
    <w:rsid w:val="00604F55"/>
    <w:rsid w:val="006051FD"/>
    <w:rsid w:val="00605A16"/>
    <w:rsid w:val="00605D1D"/>
    <w:rsid w:val="00605FD2"/>
    <w:rsid w:val="006061D5"/>
    <w:rsid w:val="006069FD"/>
    <w:rsid w:val="00606DD2"/>
    <w:rsid w:val="00607780"/>
    <w:rsid w:val="006077D0"/>
    <w:rsid w:val="00607922"/>
    <w:rsid w:val="00607E05"/>
    <w:rsid w:val="00607F85"/>
    <w:rsid w:val="006107A7"/>
    <w:rsid w:val="00610904"/>
    <w:rsid w:val="00610E9B"/>
    <w:rsid w:val="006114B6"/>
    <w:rsid w:val="00611732"/>
    <w:rsid w:val="00611F71"/>
    <w:rsid w:val="006123BB"/>
    <w:rsid w:val="006128C9"/>
    <w:rsid w:val="0061291B"/>
    <w:rsid w:val="00612D7B"/>
    <w:rsid w:val="00613CEB"/>
    <w:rsid w:val="00614176"/>
    <w:rsid w:val="00614498"/>
    <w:rsid w:val="006153C1"/>
    <w:rsid w:val="0061580E"/>
    <w:rsid w:val="0061729E"/>
    <w:rsid w:val="00617631"/>
    <w:rsid w:val="006208A5"/>
    <w:rsid w:val="006208D1"/>
    <w:rsid w:val="00620DFB"/>
    <w:rsid w:val="00621E0C"/>
    <w:rsid w:val="0062269E"/>
    <w:rsid w:val="00622ABF"/>
    <w:rsid w:val="00623FBF"/>
    <w:rsid w:val="00624503"/>
    <w:rsid w:val="00624816"/>
    <w:rsid w:val="00624C15"/>
    <w:rsid w:val="00625394"/>
    <w:rsid w:val="00625594"/>
    <w:rsid w:val="00626FBC"/>
    <w:rsid w:val="00627AF6"/>
    <w:rsid w:val="00630272"/>
    <w:rsid w:val="006308BF"/>
    <w:rsid w:val="0063090E"/>
    <w:rsid w:val="00632066"/>
    <w:rsid w:val="0063295B"/>
    <w:rsid w:val="00632B6B"/>
    <w:rsid w:val="00632DAA"/>
    <w:rsid w:val="00632EB5"/>
    <w:rsid w:val="00633674"/>
    <w:rsid w:val="00633BE0"/>
    <w:rsid w:val="00634A7D"/>
    <w:rsid w:val="00635379"/>
    <w:rsid w:val="00635C07"/>
    <w:rsid w:val="006369F6"/>
    <w:rsid w:val="00636BB4"/>
    <w:rsid w:val="00637292"/>
    <w:rsid w:val="00637DA7"/>
    <w:rsid w:val="006409CE"/>
    <w:rsid w:val="0064126D"/>
    <w:rsid w:val="006416D9"/>
    <w:rsid w:val="00641983"/>
    <w:rsid w:val="006419E6"/>
    <w:rsid w:val="006425A7"/>
    <w:rsid w:val="00642779"/>
    <w:rsid w:val="00643C5E"/>
    <w:rsid w:val="00644007"/>
    <w:rsid w:val="0064584F"/>
    <w:rsid w:val="00645A87"/>
    <w:rsid w:val="00645A90"/>
    <w:rsid w:val="00645F6D"/>
    <w:rsid w:val="006460DA"/>
    <w:rsid w:val="0064714F"/>
    <w:rsid w:val="00647BC7"/>
    <w:rsid w:val="00647F5D"/>
    <w:rsid w:val="0065071A"/>
    <w:rsid w:val="00650B1C"/>
    <w:rsid w:val="00651030"/>
    <w:rsid w:val="0065115D"/>
    <w:rsid w:val="00651264"/>
    <w:rsid w:val="0065140D"/>
    <w:rsid w:val="00651415"/>
    <w:rsid w:val="00651B73"/>
    <w:rsid w:val="0065221C"/>
    <w:rsid w:val="00653035"/>
    <w:rsid w:val="00653F04"/>
    <w:rsid w:val="00653F5E"/>
    <w:rsid w:val="00653F62"/>
    <w:rsid w:val="00654571"/>
    <w:rsid w:val="00654A98"/>
    <w:rsid w:val="0065515D"/>
    <w:rsid w:val="00655340"/>
    <w:rsid w:val="006556E9"/>
    <w:rsid w:val="00655997"/>
    <w:rsid w:val="006559C0"/>
    <w:rsid w:val="006572B0"/>
    <w:rsid w:val="00657788"/>
    <w:rsid w:val="00660962"/>
    <w:rsid w:val="00660DF1"/>
    <w:rsid w:val="006611AA"/>
    <w:rsid w:val="0066181A"/>
    <w:rsid w:val="006624A3"/>
    <w:rsid w:val="00662AF7"/>
    <w:rsid w:val="00663288"/>
    <w:rsid w:val="006632CC"/>
    <w:rsid w:val="00663642"/>
    <w:rsid w:val="00663C27"/>
    <w:rsid w:val="00663F2C"/>
    <w:rsid w:val="00663F3D"/>
    <w:rsid w:val="00664010"/>
    <w:rsid w:val="006648CB"/>
    <w:rsid w:val="00664B66"/>
    <w:rsid w:val="0066799B"/>
    <w:rsid w:val="00670170"/>
    <w:rsid w:val="00671470"/>
    <w:rsid w:val="00671574"/>
    <w:rsid w:val="00671ACB"/>
    <w:rsid w:val="00671D9D"/>
    <w:rsid w:val="00672CA0"/>
    <w:rsid w:val="00673314"/>
    <w:rsid w:val="006741EF"/>
    <w:rsid w:val="0067433D"/>
    <w:rsid w:val="006743BB"/>
    <w:rsid w:val="006747C2"/>
    <w:rsid w:val="00674EAB"/>
    <w:rsid w:val="00675071"/>
    <w:rsid w:val="00676966"/>
    <w:rsid w:val="006773B1"/>
    <w:rsid w:val="0067747F"/>
    <w:rsid w:val="006777AE"/>
    <w:rsid w:val="00680566"/>
    <w:rsid w:val="006823E1"/>
    <w:rsid w:val="006826FD"/>
    <w:rsid w:val="00683B6A"/>
    <w:rsid w:val="00684A2E"/>
    <w:rsid w:val="00684AD2"/>
    <w:rsid w:val="0068503B"/>
    <w:rsid w:val="006855BD"/>
    <w:rsid w:val="006858B0"/>
    <w:rsid w:val="00687022"/>
    <w:rsid w:val="0068789E"/>
    <w:rsid w:val="00690461"/>
    <w:rsid w:val="00690714"/>
    <w:rsid w:val="00690E1E"/>
    <w:rsid w:val="00691096"/>
    <w:rsid w:val="00691103"/>
    <w:rsid w:val="00691BE7"/>
    <w:rsid w:val="00691EB9"/>
    <w:rsid w:val="006927C5"/>
    <w:rsid w:val="00692B83"/>
    <w:rsid w:val="006931A7"/>
    <w:rsid w:val="006951A0"/>
    <w:rsid w:val="006955A6"/>
    <w:rsid w:val="006958B4"/>
    <w:rsid w:val="006958CE"/>
    <w:rsid w:val="006960B5"/>
    <w:rsid w:val="00696DC5"/>
    <w:rsid w:val="00696FD3"/>
    <w:rsid w:val="00697E61"/>
    <w:rsid w:val="00697F7A"/>
    <w:rsid w:val="006A0758"/>
    <w:rsid w:val="006A12C3"/>
    <w:rsid w:val="006A1325"/>
    <w:rsid w:val="006A145C"/>
    <w:rsid w:val="006A1B5C"/>
    <w:rsid w:val="006A21B5"/>
    <w:rsid w:val="006A24C6"/>
    <w:rsid w:val="006A2759"/>
    <w:rsid w:val="006A2E94"/>
    <w:rsid w:val="006A36C9"/>
    <w:rsid w:val="006A37EC"/>
    <w:rsid w:val="006A4510"/>
    <w:rsid w:val="006A5C3C"/>
    <w:rsid w:val="006A6CF3"/>
    <w:rsid w:val="006A6F43"/>
    <w:rsid w:val="006A789C"/>
    <w:rsid w:val="006B1A8E"/>
    <w:rsid w:val="006B1D36"/>
    <w:rsid w:val="006B2009"/>
    <w:rsid w:val="006B3EA4"/>
    <w:rsid w:val="006B43B2"/>
    <w:rsid w:val="006B44FF"/>
    <w:rsid w:val="006B4582"/>
    <w:rsid w:val="006B5980"/>
    <w:rsid w:val="006B5F2C"/>
    <w:rsid w:val="006B62F4"/>
    <w:rsid w:val="006B7959"/>
    <w:rsid w:val="006C1495"/>
    <w:rsid w:val="006C36D1"/>
    <w:rsid w:val="006C3EEA"/>
    <w:rsid w:val="006C4874"/>
    <w:rsid w:val="006C4A5C"/>
    <w:rsid w:val="006C525C"/>
    <w:rsid w:val="006C5777"/>
    <w:rsid w:val="006C5A01"/>
    <w:rsid w:val="006C614E"/>
    <w:rsid w:val="006C6D57"/>
    <w:rsid w:val="006C6EB0"/>
    <w:rsid w:val="006C76AE"/>
    <w:rsid w:val="006C7FD5"/>
    <w:rsid w:val="006D0291"/>
    <w:rsid w:val="006D0432"/>
    <w:rsid w:val="006D0D6C"/>
    <w:rsid w:val="006D134E"/>
    <w:rsid w:val="006D2A11"/>
    <w:rsid w:val="006D2A45"/>
    <w:rsid w:val="006D376E"/>
    <w:rsid w:val="006D484E"/>
    <w:rsid w:val="006D4D05"/>
    <w:rsid w:val="006D578A"/>
    <w:rsid w:val="006D615F"/>
    <w:rsid w:val="006D795F"/>
    <w:rsid w:val="006D7FEC"/>
    <w:rsid w:val="006E0E1F"/>
    <w:rsid w:val="006E1034"/>
    <w:rsid w:val="006E1239"/>
    <w:rsid w:val="006E12F7"/>
    <w:rsid w:val="006E2685"/>
    <w:rsid w:val="006E2E69"/>
    <w:rsid w:val="006E3097"/>
    <w:rsid w:val="006E333D"/>
    <w:rsid w:val="006E42E4"/>
    <w:rsid w:val="006E43AA"/>
    <w:rsid w:val="006E5357"/>
    <w:rsid w:val="006E709B"/>
    <w:rsid w:val="006E76DC"/>
    <w:rsid w:val="006F0764"/>
    <w:rsid w:val="006F07B9"/>
    <w:rsid w:val="006F1172"/>
    <w:rsid w:val="006F1D27"/>
    <w:rsid w:val="006F1E13"/>
    <w:rsid w:val="006F2571"/>
    <w:rsid w:val="006F2671"/>
    <w:rsid w:val="006F2861"/>
    <w:rsid w:val="006F2D0C"/>
    <w:rsid w:val="006F463C"/>
    <w:rsid w:val="006F4CA6"/>
    <w:rsid w:val="006F5F6C"/>
    <w:rsid w:val="006F70C8"/>
    <w:rsid w:val="006F7984"/>
    <w:rsid w:val="006F7B44"/>
    <w:rsid w:val="007011D7"/>
    <w:rsid w:val="007017DF"/>
    <w:rsid w:val="00702870"/>
    <w:rsid w:val="00703D8A"/>
    <w:rsid w:val="00704917"/>
    <w:rsid w:val="00705003"/>
    <w:rsid w:val="007059EC"/>
    <w:rsid w:val="00706508"/>
    <w:rsid w:val="0070683E"/>
    <w:rsid w:val="00706F09"/>
    <w:rsid w:val="00707642"/>
    <w:rsid w:val="007077E2"/>
    <w:rsid w:val="00710C73"/>
    <w:rsid w:val="00710F96"/>
    <w:rsid w:val="00712CEC"/>
    <w:rsid w:val="00712EA0"/>
    <w:rsid w:val="00713184"/>
    <w:rsid w:val="0071460D"/>
    <w:rsid w:val="00715402"/>
    <w:rsid w:val="00715A08"/>
    <w:rsid w:val="00715D62"/>
    <w:rsid w:val="00715E74"/>
    <w:rsid w:val="0071615D"/>
    <w:rsid w:val="007169E8"/>
    <w:rsid w:val="00716C3B"/>
    <w:rsid w:val="007170D8"/>
    <w:rsid w:val="00717760"/>
    <w:rsid w:val="00720209"/>
    <w:rsid w:val="007209DD"/>
    <w:rsid w:val="00722BDD"/>
    <w:rsid w:val="00723066"/>
    <w:rsid w:val="0072385E"/>
    <w:rsid w:val="0072391A"/>
    <w:rsid w:val="007247CA"/>
    <w:rsid w:val="00724805"/>
    <w:rsid w:val="00724806"/>
    <w:rsid w:val="00724C01"/>
    <w:rsid w:val="00725296"/>
    <w:rsid w:val="007256D8"/>
    <w:rsid w:val="00725AD3"/>
    <w:rsid w:val="00725CA9"/>
    <w:rsid w:val="00725E1D"/>
    <w:rsid w:val="00725E1F"/>
    <w:rsid w:val="00726A42"/>
    <w:rsid w:val="007274BC"/>
    <w:rsid w:val="00727521"/>
    <w:rsid w:val="00727637"/>
    <w:rsid w:val="00730F6B"/>
    <w:rsid w:val="00733053"/>
    <w:rsid w:val="00733370"/>
    <w:rsid w:val="00733666"/>
    <w:rsid w:val="00733A71"/>
    <w:rsid w:val="0073444C"/>
    <w:rsid w:val="00734671"/>
    <w:rsid w:val="00735DB4"/>
    <w:rsid w:val="00735E78"/>
    <w:rsid w:val="0073736B"/>
    <w:rsid w:val="007378AB"/>
    <w:rsid w:val="00737960"/>
    <w:rsid w:val="00740DF2"/>
    <w:rsid w:val="00741657"/>
    <w:rsid w:val="00741A01"/>
    <w:rsid w:val="00741F08"/>
    <w:rsid w:val="00742461"/>
    <w:rsid w:val="00742AE2"/>
    <w:rsid w:val="007438EA"/>
    <w:rsid w:val="00743C8C"/>
    <w:rsid w:val="007441AB"/>
    <w:rsid w:val="007442D9"/>
    <w:rsid w:val="007443B7"/>
    <w:rsid w:val="00744A06"/>
    <w:rsid w:val="00745466"/>
    <w:rsid w:val="00745598"/>
    <w:rsid w:val="00745EE2"/>
    <w:rsid w:val="00746A99"/>
    <w:rsid w:val="00747018"/>
    <w:rsid w:val="0075024C"/>
    <w:rsid w:val="00750BEF"/>
    <w:rsid w:val="00750ECD"/>
    <w:rsid w:val="00751EA9"/>
    <w:rsid w:val="0075298C"/>
    <w:rsid w:val="00752A3D"/>
    <w:rsid w:val="0075360D"/>
    <w:rsid w:val="00753C7F"/>
    <w:rsid w:val="00753DE6"/>
    <w:rsid w:val="00754375"/>
    <w:rsid w:val="007550FA"/>
    <w:rsid w:val="00755283"/>
    <w:rsid w:val="00755BB8"/>
    <w:rsid w:val="00756C6E"/>
    <w:rsid w:val="00757985"/>
    <w:rsid w:val="00757C68"/>
    <w:rsid w:val="0076077D"/>
    <w:rsid w:val="00760A48"/>
    <w:rsid w:val="00761193"/>
    <w:rsid w:val="0076147B"/>
    <w:rsid w:val="00761F49"/>
    <w:rsid w:val="007632C5"/>
    <w:rsid w:val="00763825"/>
    <w:rsid w:val="0076397F"/>
    <w:rsid w:val="007643E8"/>
    <w:rsid w:val="00766C9F"/>
    <w:rsid w:val="007671DD"/>
    <w:rsid w:val="007679D4"/>
    <w:rsid w:val="00771F88"/>
    <w:rsid w:val="00773D56"/>
    <w:rsid w:val="00775D7B"/>
    <w:rsid w:val="0077701C"/>
    <w:rsid w:val="007771FD"/>
    <w:rsid w:val="00777225"/>
    <w:rsid w:val="0077730E"/>
    <w:rsid w:val="007773C1"/>
    <w:rsid w:val="007778BD"/>
    <w:rsid w:val="0077798F"/>
    <w:rsid w:val="0078009A"/>
    <w:rsid w:val="007800AB"/>
    <w:rsid w:val="00780370"/>
    <w:rsid w:val="00780937"/>
    <w:rsid w:val="007809C3"/>
    <w:rsid w:val="007810A2"/>
    <w:rsid w:val="0078241F"/>
    <w:rsid w:val="007825FD"/>
    <w:rsid w:val="0078371D"/>
    <w:rsid w:val="00783830"/>
    <w:rsid w:val="00783B5C"/>
    <w:rsid w:val="0078441B"/>
    <w:rsid w:val="00784FB7"/>
    <w:rsid w:val="007862FA"/>
    <w:rsid w:val="0078688A"/>
    <w:rsid w:val="00787690"/>
    <w:rsid w:val="00790CE5"/>
    <w:rsid w:val="00790F17"/>
    <w:rsid w:val="00791E0F"/>
    <w:rsid w:val="0079249D"/>
    <w:rsid w:val="00793BB3"/>
    <w:rsid w:val="00793C98"/>
    <w:rsid w:val="007958BB"/>
    <w:rsid w:val="007958F8"/>
    <w:rsid w:val="0079641C"/>
    <w:rsid w:val="007A06E4"/>
    <w:rsid w:val="007A0F1B"/>
    <w:rsid w:val="007A12B8"/>
    <w:rsid w:val="007A22ED"/>
    <w:rsid w:val="007A2D73"/>
    <w:rsid w:val="007A2F2C"/>
    <w:rsid w:val="007A42B6"/>
    <w:rsid w:val="007A49E1"/>
    <w:rsid w:val="007A4A99"/>
    <w:rsid w:val="007A4ED7"/>
    <w:rsid w:val="007A5544"/>
    <w:rsid w:val="007A632B"/>
    <w:rsid w:val="007A7733"/>
    <w:rsid w:val="007A7A41"/>
    <w:rsid w:val="007B0860"/>
    <w:rsid w:val="007B12A4"/>
    <w:rsid w:val="007B13C8"/>
    <w:rsid w:val="007B1640"/>
    <w:rsid w:val="007B2347"/>
    <w:rsid w:val="007B23E0"/>
    <w:rsid w:val="007B29BA"/>
    <w:rsid w:val="007B3606"/>
    <w:rsid w:val="007B4475"/>
    <w:rsid w:val="007B4968"/>
    <w:rsid w:val="007B5A30"/>
    <w:rsid w:val="007B6323"/>
    <w:rsid w:val="007B67D3"/>
    <w:rsid w:val="007C0103"/>
    <w:rsid w:val="007C0511"/>
    <w:rsid w:val="007C13E6"/>
    <w:rsid w:val="007C179B"/>
    <w:rsid w:val="007C24CE"/>
    <w:rsid w:val="007C276E"/>
    <w:rsid w:val="007C2F91"/>
    <w:rsid w:val="007C348A"/>
    <w:rsid w:val="007C3B50"/>
    <w:rsid w:val="007C3E49"/>
    <w:rsid w:val="007C4AE4"/>
    <w:rsid w:val="007C71CF"/>
    <w:rsid w:val="007C738D"/>
    <w:rsid w:val="007C7F91"/>
    <w:rsid w:val="007D05CF"/>
    <w:rsid w:val="007D05E9"/>
    <w:rsid w:val="007D0D75"/>
    <w:rsid w:val="007D147E"/>
    <w:rsid w:val="007D14A5"/>
    <w:rsid w:val="007D1A51"/>
    <w:rsid w:val="007D3836"/>
    <w:rsid w:val="007D3D6F"/>
    <w:rsid w:val="007D419D"/>
    <w:rsid w:val="007D4280"/>
    <w:rsid w:val="007D4470"/>
    <w:rsid w:val="007D49A0"/>
    <w:rsid w:val="007D4E03"/>
    <w:rsid w:val="007D5BF6"/>
    <w:rsid w:val="007D5D9F"/>
    <w:rsid w:val="007E0D8D"/>
    <w:rsid w:val="007E1FD0"/>
    <w:rsid w:val="007E209D"/>
    <w:rsid w:val="007E2173"/>
    <w:rsid w:val="007E2820"/>
    <w:rsid w:val="007E3B19"/>
    <w:rsid w:val="007E3E2E"/>
    <w:rsid w:val="007E51BC"/>
    <w:rsid w:val="007E789B"/>
    <w:rsid w:val="007E7A13"/>
    <w:rsid w:val="007E7DCE"/>
    <w:rsid w:val="007F02BC"/>
    <w:rsid w:val="007F0E6A"/>
    <w:rsid w:val="007F0F48"/>
    <w:rsid w:val="007F23BC"/>
    <w:rsid w:val="007F2D4D"/>
    <w:rsid w:val="007F2E63"/>
    <w:rsid w:val="007F3933"/>
    <w:rsid w:val="007F3B8B"/>
    <w:rsid w:val="007F45E4"/>
    <w:rsid w:val="007F514D"/>
    <w:rsid w:val="007F52C7"/>
    <w:rsid w:val="007F62E2"/>
    <w:rsid w:val="007F66CF"/>
    <w:rsid w:val="007F78A0"/>
    <w:rsid w:val="007F78F9"/>
    <w:rsid w:val="00800956"/>
    <w:rsid w:val="00801634"/>
    <w:rsid w:val="00801645"/>
    <w:rsid w:val="008017E2"/>
    <w:rsid w:val="00802288"/>
    <w:rsid w:val="00802946"/>
    <w:rsid w:val="008033E6"/>
    <w:rsid w:val="0080341B"/>
    <w:rsid w:val="00803F47"/>
    <w:rsid w:val="0080472E"/>
    <w:rsid w:val="00804D96"/>
    <w:rsid w:val="008051A1"/>
    <w:rsid w:val="0080579E"/>
    <w:rsid w:val="008066B0"/>
    <w:rsid w:val="00806D88"/>
    <w:rsid w:val="00806F2B"/>
    <w:rsid w:val="0080723D"/>
    <w:rsid w:val="00807678"/>
    <w:rsid w:val="008076C4"/>
    <w:rsid w:val="0081030F"/>
    <w:rsid w:val="0081053D"/>
    <w:rsid w:val="00811444"/>
    <w:rsid w:val="00813DC9"/>
    <w:rsid w:val="00813F33"/>
    <w:rsid w:val="00814285"/>
    <w:rsid w:val="008152D1"/>
    <w:rsid w:val="0081541E"/>
    <w:rsid w:val="008157D9"/>
    <w:rsid w:val="00815E73"/>
    <w:rsid w:val="008162D7"/>
    <w:rsid w:val="00816447"/>
    <w:rsid w:val="00817239"/>
    <w:rsid w:val="008202F5"/>
    <w:rsid w:val="0082045F"/>
    <w:rsid w:val="00821D8F"/>
    <w:rsid w:val="0082239B"/>
    <w:rsid w:val="0082261B"/>
    <w:rsid w:val="00822B69"/>
    <w:rsid w:val="008234FB"/>
    <w:rsid w:val="0082393D"/>
    <w:rsid w:val="00823AC2"/>
    <w:rsid w:val="00823D69"/>
    <w:rsid w:val="00824D30"/>
    <w:rsid w:val="00824D8D"/>
    <w:rsid w:val="00825103"/>
    <w:rsid w:val="0082564C"/>
    <w:rsid w:val="00825859"/>
    <w:rsid w:val="00825F5E"/>
    <w:rsid w:val="0082600A"/>
    <w:rsid w:val="00830560"/>
    <w:rsid w:val="00830C07"/>
    <w:rsid w:val="00831A72"/>
    <w:rsid w:val="00831DB2"/>
    <w:rsid w:val="00831DCC"/>
    <w:rsid w:val="00831E83"/>
    <w:rsid w:val="008321ED"/>
    <w:rsid w:val="00832382"/>
    <w:rsid w:val="00832889"/>
    <w:rsid w:val="00832CC1"/>
    <w:rsid w:val="00832EA3"/>
    <w:rsid w:val="00833158"/>
    <w:rsid w:val="00833A98"/>
    <w:rsid w:val="00834BE6"/>
    <w:rsid w:val="00835852"/>
    <w:rsid w:val="008360DC"/>
    <w:rsid w:val="00836875"/>
    <w:rsid w:val="008368A4"/>
    <w:rsid w:val="0083750F"/>
    <w:rsid w:val="00837CC9"/>
    <w:rsid w:val="00841724"/>
    <w:rsid w:val="00841AF4"/>
    <w:rsid w:val="008420F4"/>
    <w:rsid w:val="00842523"/>
    <w:rsid w:val="00842E07"/>
    <w:rsid w:val="0084305A"/>
    <w:rsid w:val="008443B5"/>
    <w:rsid w:val="008444EC"/>
    <w:rsid w:val="00844EFD"/>
    <w:rsid w:val="00845CBC"/>
    <w:rsid w:val="008466E8"/>
    <w:rsid w:val="00847B14"/>
    <w:rsid w:val="00847D41"/>
    <w:rsid w:val="00847E36"/>
    <w:rsid w:val="008506A1"/>
    <w:rsid w:val="00851132"/>
    <w:rsid w:val="008513AE"/>
    <w:rsid w:val="0085243F"/>
    <w:rsid w:val="008527DD"/>
    <w:rsid w:val="008539DA"/>
    <w:rsid w:val="0085569C"/>
    <w:rsid w:val="008562EB"/>
    <w:rsid w:val="00856438"/>
    <w:rsid w:val="008568AC"/>
    <w:rsid w:val="00856B6C"/>
    <w:rsid w:val="008574F8"/>
    <w:rsid w:val="008600D8"/>
    <w:rsid w:val="008609B7"/>
    <w:rsid w:val="0086144F"/>
    <w:rsid w:val="00861D50"/>
    <w:rsid w:val="008642BF"/>
    <w:rsid w:val="008643A5"/>
    <w:rsid w:val="00864765"/>
    <w:rsid w:val="00865188"/>
    <w:rsid w:val="0086579F"/>
    <w:rsid w:val="00866B69"/>
    <w:rsid w:val="00867362"/>
    <w:rsid w:val="00867559"/>
    <w:rsid w:val="00867AC1"/>
    <w:rsid w:val="00870514"/>
    <w:rsid w:val="008707C7"/>
    <w:rsid w:val="00871874"/>
    <w:rsid w:val="00872C87"/>
    <w:rsid w:val="00872E06"/>
    <w:rsid w:val="00873765"/>
    <w:rsid w:val="00874BB4"/>
    <w:rsid w:val="00874FE2"/>
    <w:rsid w:val="0087518D"/>
    <w:rsid w:val="00876055"/>
    <w:rsid w:val="0087694F"/>
    <w:rsid w:val="0087748C"/>
    <w:rsid w:val="00880A5F"/>
    <w:rsid w:val="00880E82"/>
    <w:rsid w:val="008817EF"/>
    <w:rsid w:val="0088321E"/>
    <w:rsid w:val="00883A6B"/>
    <w:rsid w:val="00883C05"/>
    <w:rsid w:val="00883D80"/>
    <w:rsid w:val="00886EC8"/>
    <w:rsid w:val="0088755F"/>
    <w:rsid w:val="008911B1"/>
    <w:rsid w:val="008920C8"/>
    <w:rsid w:val="00892D0B"/>
    <w:rsid w:val="008933AC"/>
    <w:rsid w:val="00893AF9"/>
    <w:rsid w:val="008949E0"/>
    <w:rsid w:val="00895771"/>
    <w:rsid w:val="0089587A"/>
    <w:rsid w:val="008958EF"/>
    <w:rsid w:val="00895A8E"/>
    <w:rsid w:val="00896557"/>
    <w:rsid w:val="008975B9"/>
    <w:rsid w:val="0089766B"/>
    <w:rsid w:val="008A073D"/>
    <w:rsid w:val="008A0BAC"/>
    <w:rsid w:val="008A16DA"/>
    <w:rsid w:val="008A2077"/>
    <w:rsid w:val="008A2F1D"/>
    <w:rsid w:val="008A314D"/>
    <w:rsid w:val="008A3345"/>
    <w:rsid w:val="008A34B1"/>
    <w:rsid w:val="008A35BD"/>
    <w:rsid w:val="008A4CEA"/>
    <w:rsid w:val="008A530B"/>
    <w:rsid w:val="008A5DF3"/>
    <w:rsid w:val="008A7177"/>
    <w:rsid w:val="008A785D"/>
    <w:rsid w:val="008A7B04"/>
    <w:rsid w:val="008A7C1A"/>
    <w:rsid w:val="008B0340"/>
    <w:rsid w:val="008B0DD5"/>
    <w:rsid w:val="008B29A8"/>
    <w:rsid w:val="008B482C"/>
    <w:rsid w:val="008B52DF"/>
    <w:rsid w:val="008B571C"/>
    <w:rsid w:val="008B57A5"/>
    <w:rsid w:val="008B6958"/>
    <w:rsid w:val="008B6D67"/>
    <w:rsid w:val="008B7B71"/>
    <w:rsid w:val="008B7C8F"/>
    <w:rsid w:val="008C0233"/>
    <w:rsid w:val="008C0949"/>
    <w:rsid w:val="008C23BE"/>
    <w:rsid w:val="008C2405"/>
    <w:rsid w:val="008C327F"/>
    <w:rsid w:val="008C33B4"/>
    <w:rsid w:val="008C3AB3"/>
    <w:rsid w:val="008C4960"/>
    <w:rsid w:val="008C4CA9"/>
    <w:rsid w:val="008C4CAD"/>
    <w:rsid w:val="008C4EC7"/>
    <w:rsid w:val="008C5643"/>
    <w:rsid w:val="008C6083"/>
    <w:rsid w:val="008C629E"/>
    <w:rsid w:val="008C62B9"/>
    <w:rsid w:val="008C65E9"/>
    <w:rsid w:val="008C6DB3"/>
    <w:rsid w:val="008C6F62"/>
    <w:rsid w:val="008C7C35"/>
    <w:rsid w:val="008D3525"/>
    <w:rsid w:val="008D3B57"/>
    <w:rsid w:val="008D41D3"/>
    <w:rsid w:val="008D4512"/>
    <w:rsid w:val="008D4F31"/>
    <w:rsid w:val="008D53B9"/>
    <w:rsid w:val="008D5F54"/>
    <w:rsid w:val="008D61C5"/>
    <w:rsid w:val="008D68FB"/>
    <w:rsid w:val="008D791D"/>
    <w:rsid w:val="008D7E69"/>
    <w:rsid w:val="008E03BE"/>
    <w:rsid w:val="008E1FC3"/>
    <w:rsid w:val="008E2A3B"/>
    <w:rsid w:val="008E41FA"/>
    <w:rsid w:val="008E48A4"/>
    <w:rsid w:val="008E49AF"/>
    <w:rsid w:val="008E4AF3"/>
    <w:rsid w:val="008E5BA4"/>
    <w:rsid w:val="008E5F2D"/>
    <w:rsid w:val="008E67B1"/>
    <w:rsid w:val="008E680C"/>
    <w:rsid w:val="008F0085"/>
    <w:rsid w:val="008F09CD"/>
    <w:rsid w:val="008F0DB4"/>
    <w:rsid w:val="008F16FF"/>
    <w:rsid w:val="008F1D56"/>
    <w:rsid w:val="008F20B3"/>
    <w:rsid w:val="008F20C5"/>
    <w:rsid w:val="008F238C"/>
    <w:rsid w:val="008F36D9"/>
    <w:rsid w:val="008F4578"/>
    <w:rsid w:val="008F4BC3"/>
    <w:rsid w:val="008F4CF8"/>
    <w:rsid w:val="008F4F99"/>
    <w:rsid w:val="008F621D"/>
    <w:rsid w:val="008F7721"/>
    <w:rsid w:val="008F772C"/>
    <w:rsid w:val="008F7E95"/>
    <w:rsid w:val="009001A4"/>
    <w:rsid w:val="0090051F"/>
    <w:rsid w:val="00900A33"/>
    <w:rsid w:val="00900AD5"/>
    <w:rsid w:val="00903864"/>
    <w:rsid w:val="009039AE"/>
    <w:rsid w:val="00904CAC"/>
    <w:rsid w:val="009058BA"/>
    <w:rsid w:val="00906C9C"/>
    <w:rsid w:val="00906FCA"/>
    <w:rsid w:val="009077F4"/>
    <w:rsid w:val="0091039B"/>
    <w:rsid w:val="00911AA9"/>
    <w:rsid w:val="009124CF"/>
    <w:rsid w:val="009128B1"/>
    <w:rsid w:val="009136AB"/>
    <w:rsid w:val="00913FA0"/>
    <w:rsid w:val="00914720"/>
    <w:rsid w:val="00914CC5"/>
    <w:rsid w:val="00915188"/>
    <w:rsid w:val="009160E4"/>
    <w:rsid w:val="00916806"/>
    <w:rsid w:val="00916C1E"/>
    <w:rsid w:val="0091730D"/>
    <w:rsid w:val="00917AB7"/>
    <w:rsid w:val="00921105"/>
    <w:rsid w:val="00921D32"/>
    <w:rsid w:val="0092287E"/>
    <w:rsid w:val="00923F2F"/>
    <w:rsid w:val="00924048"/>
    <w:rsid w:val="00924126"/>
    <w:rsid w:val="00924E35"/>
    <w:rsid w:val="00924FF6"/>
    <w:rsid w:val="00925A9E"/>
    <w:rsid w:val="0092604C"/>
    <w:rsid w:val="00926F22"/>
    <w:rsid w:val="009270EE"/>
    <w:rsid w:val="00927FBA"/>
    <w:rsid w:val="0093098D"/>
    <w:rsid w:val="00930EB7"/>
    <w:rsid w:val="0093146B"/>
    <w:rsid w:val="009318FF"/>
    <w:rsid w:val="009321E4"/>
    <w:rsid w:val="00932771"/>
    <w:rsid w:val="00932E88"/>
    <w:rsid w:val="00933A53"/>
    <w:rsid w:val="00933CB8"/>
    <w:rsid w:val="0093489E"/>
    <w:rsid w:val="00934C8E"/>
    <w:rsid w:val="009351A5"/>
    <w:rsid w:val="009358EB"/>
    <w:rsid w:val="009359EE"/>
    <w:rsid w:val="00936012"/>
    <w:rsid w:val="009370C6"/>
    <w:rsid w:val="009371F7"/>
    <w:rsid w:val="00940372"/>
    <w:rsid w:val="00940D22"/>
    <w:rsid w:val="00940F7E"/>
    <w:rsid w:val="00941554"/>
    <w:rsid w:val="00941BB4"/>
    <w:rsid w:val="0094278D"/>
    <w:rsid w:val="009432C2"/>
    <w:rsid w:val="00943B9D"/>
    <w:rsid w:val="00943DA5"/>
    <w:rsid w:val="00944093"/>
    <w:rsid w:val="009446A4"/>
    <w:rsid w:val="00944A87"/>
    <w:rsid w:val="00944C4D"/>
    <w:rsid w:val="009454A2"/>
    <w:rsid w:val="00945F34"/>
    <w:rsid w:val="00946101"/>
    <w:rsid w:val="00947A44"/>
    <w:rsid w:val="00947C75"/>
    <w:rsid w:val="00950724"/>
    <w:rsid w:val="00952016"/>
    <w:rsid w:val="009520D8"/>
    <w:rsid w:val="00953003"/>
    <w:rsid w:val="00953C79"/>
    <w:rsid w:val="00953E84"/>
    <w:rsid w:val="00953F7E"/>
    <w:rsid w:val="009547CE"/>
    <w:rsid w:val="00954B85"/>
    <w:rsid w:val="00954DBF"/>
    <w:rsid w:val="00956038"/>
    <w:rsid w:val="009573AF"/>
    <w:rsid w:val="00957BF3"/>
    <w:rsid w:val="00960050"/>
    <w:rsid w:val="00960A97"/>
    <w:rsid w:val="009612EB"/>
    <w:rsid w:val="00961DCE"/>
    <w:rsid w:val="00962167"/>
    <w:rsid w:val="00962315"/>
    <w:rsid w:val="009624C3"/>
    <w:rsid w:val="0096335A"/>
    <w:rsid w:val="00963E94"/>
    <w:rsid w:val="00965CA0"/>
    <w:rsid w:val="009666A7"/>
    <w:rsid w:val="009666D8"/>
    <w:rsid w:val="00966A24"/>
    <w:rsid w:val="00970A7D"/>
    <w:rsid w:val="00972492"/>
    <w:rsid w:val="00972613"/>
    <w:rsid w:val="009726C8"/>
    <w:rsid w:val="009735CE"/>
    <w:rsid w:val="00973938"/>
    <w:rsid w:val="009739AE"/>
    <w:rsid w:val="009739BD"/>
    <w:rsid w:val="00974078"/>
    <w:rsid w:val="0097451D"/>
    <w:rsid w:val="00974640"/>
    <w:rsid w:val="009748A3"/>
    <w:rsid w:val="00974BEA"/>
    <w:rsid w:val="00974C9F"/>
    <w:rsid w:val="00975294"/>
    <w:rsid w:val="00977FF7"/>
    <w:rsid w:val="0098066F"/>
    <w:rsid w:val="00980772"/>
    <w:rsid w:val="009809AB"/>
    <w:rsid w:val="00981162"/>
    <w:rsid w:val="0098118C"/>
    <w:rsid w:val="00981204"/>
    <w:rsid w:val="00981C60"/>
    <w:rsid w:val="009824B6"/>
    <w:rsid w:val="00982512"/>
    <w:rsid w:val="00982552"/>
    <w:rsid w:val="009825B7"/>
    <w:rsid w:val="0098267D"/>
    <w:rsid w:val="00982785"/>
    <w:rsid w:val="00982C69"/>
    <w:rsid w:val="009846BF"/>
    <w:rsid w:val="009850A3"/>
    <w:rsid w:val="00985759"/>
    <w:rsid w:val="00985AE0"/>
    <w:rsid w:val="00986265"/>
    <w:rsid w:val="00986323"/>
    <w:rsid w:val="00986718"/>
    <w:rsid w:val="00987D02"/>
    <w:rsid w:val="0099113C"/>
    <w:rsid w:val="00991218"/>
    <w:rsid w:val="0099216D"/>
    <w:rsid w:val="009937AF"/>
    <w:rsid w:val="00993D1D"/>
    <w:rsid w:val="009958E1"/>
    <w:rsid w:val="009962D3"/>
    <w:rsid w:val="009969DA"/>
    <w:rsid w:val="0099753D"/>
    <w:rsid w:val="009979E8"/>
    <w:rsid w:val="00997C73"/>
    <w:rsid w:val="009A049F"/>
    <w:rsid w:val="009A05E9"/>
    <w:rsid w:val="009A084A"/>
    <w:rsid w:val="009A11AC"/>
    <w:rsid w:val="009A12EC"/>
    <w:rsid w:val="009A16A0"/>
    <w:rsid w:val="009A2904"/>
    <w:rsid w:val="009A3173"/>
    <w:rsid w:val="009A4A0A"/>
    <w:rsid w:val="009A5703"/>
    <w:rsid w:val="009A6496"/>
    <w:rsid w:val="009A6FDC"/>
    <w:rsid w:val="009B0684"/>
    <w:rsid w:val="009B0834"/>
    <w:rsid w:val="009B0B5A"/>
    <w:rsid w:val="009B0C4C"/>
    <w:rsid w:val="009B3607"/>
    <w:rsid w:val="009B3C32"/>
    <w:rsid w:val="009B598B"/>
    <w:rsid w:val="009B5A72"/>
    <w:rsid w:val="009B76CC"/>
    <w:rsid w:val="009C0161"/>
    <w:rsid w:val="009C0257"/>
    <w:rsid w:val="009C100C"/>
    <w:rsid w:val="009C1831"/>
    <w:rsid w:val="009C2761"/>
    <w:rsid w:val="009C2E92"/>
    <w:rsid w:val="009C489F"/>
    <w:rsid w:val="009C5337"/>
    <w:rsid w:val="009C5C7A"/>
    <w:rsid w:val="009C7D21"/>
    <w:rsid w:val="009D0295"/>
    <w:rsid w:val="009D05B5"/>
    <w:rsid w:val="009D2EDD"/>
    <w:rsid w:val="009D4034"/>
    <w:rsid w:val="009D4A21"/>
    <w:rsid w:val="009D5AC9"/>
    <w:rsid w:val="009D6674"/>
    <w:rsid w:val="009D66C2"/>
    <w:rsid w:val="009D73BD"/>
    <w:rsid w:val="009D74AF"/>
    <w:rsid w:val="009D7574"/>
    <w:rsid w:val="009D793A"/>
    <w:rsid w:val="009D7E4D"/>
    <w:rsid w:val="009E1022"/>
    <w:rsid w:val="009E1281"/>
    <w:rsid w:val="009E13F0"/>
    <w:rsid w:val="009E1429"/>
    <w:rsid w:val="009E1A2B"/>
    <w:rsid w:val="009E1AD8"/>
    <w:rsid w:val="009E1CB4"/>
    <w:rsid w:val="009E1F27"/>
    <w:rsid w:val="009E2CF1"/>
    <w:rsid w:val="009E2EA6"/>
    <w:rsid w:val="009E3267"/>
    <w:rsid w:val="009E4187"/>
    <w:rsid w:val="009E41A4"/>
    <w:rsid w:val="009E46E9"/>
    <w:rsid w:val="009E5CC0"/>
    <w:rsid w:val="009E6009"/>
    <w:rsid w:val="009E6823"/>
    <w:rsid w:val="009E6D69"/>
    <w:rsid w:val="009E71D1"/>
    <w:rsid w:val="009F0B95"/>
    <w:rsid w:val="009F11E9"/>
    <w:rsid w:val="009F3685"/>
    <w:rsid w:val="009F39CA"/>
    <w:rsid w:val="009F4059"/>
    <w:rsid w:val="009F5CB8"/>
    <w:rsid w:val="009F5E0B"/>
    <w:rsid w:val="009F61F5"/>
    <w:rsid w:val="009F65DB"/>
    <w:rsid w:val="009F767C"/>
    <w:rsid w:val="009F7922"/>
    <w:rsid w:val="00A00EDF"/>
    <w:rsid w:val="00A0113A"/>
    <w:rsid w:val="00A01B37"/>
    <w:rsid w:val="00A02095"/>
    <w:rsid w:val="00A02726"/>
    <w:rsid w:val="00A03EC0"/>
    <w:rsid w:val="00A0505F"/>
    <w:rsid w:val="00A058D5"/>
    <w:rsid w:val="00A066EA"/>
    <w:rsid w:val="00A079D1"/>
    <w:rsid w:val="00A07EF3"/>
    <w:rsid w:val="00A10116"/>
    <w:rsid w:val="00A1019F"/>
    <w:rsid w:val="00A10AF7"/>
    <w:rsid w:val="00A112F9"/>
    <w:rsid w:val="00A113A4"/>
    <w:rsid w:val="00A1175D"/>
    <w:rsid w:val="00A119B4"/>
    <w:rsid w:val="00A12142"/>
    <w:rsid w:val="00A12C0A"/>
    <w:rsid w:val="00A1313E"/>
    <w:rsid w:val="00A1323D"/>
    <w:rsid w:val="00A1351F"/>
    <w:rsid w:val="00A142CF"/>
    <w:rsid w:val="00A156E6"/>
    <w:rsid w:val="00A158CD"/>
    <w:rsid w:val="00A15D6A"/>
    <w:rsid w:val="00A16112"/>
    <w:rsid w:val="00A16520"/>
    <w:rsid w:val="00A16BA5"/>
    <w:rsid w:val="00A17683"/>
    <w:rsid w:val="00A20E56"/>
    <w:rsid w:val="00A21756"/>
    <w:rsid w:val="00A21A0C"/>
    <w:rsid w:val="00A22119"/>
    <w:rsid w:val="00A22A2B"/>
    <w:rsid w:val="00A2404B"/>
    <w:rsid w:val="00A242D3"/>
    <w:rsid w:val="00A25658"/>
    <w:rsid w:val="00A26FCE"/>
    <w:rsid w:val="00A27ECF"/>
    <w:rsid w:val="00A27FD0"/>
    <w:rsid w:val="00A30590"/>
    <w:rsid w:val="00A32BA5"/>
    <w:rsid w:val="00A34927"/>
    <w:rsid w:val="00A34F87"/>
    <w:rsid w:val="00A350EB"/>
    <w:rsid w:val="00A35482"/>
    <w:rsid w:val="00A35565"/>
    <w:rsid w:val="00A35896"/>
    <w:rsid w:val="00A36CE9"/>
    <w:rsid w:val="00A36D69"/>
    <w:rsid w:val="00A3716C"/>
    <w:rsid w:val="00A37FC7"/>
    <w:rsid w:val="00A403D0"/>
    <w:rsid w:val="00A410EB"/>
    <w:rsid w:val="00A41618"/>
    <w:rsid w:val="00A419DD"/>
    <w:rsid w:val="00A41EB5"/>
    <w:rsid w:val="00A4244D"/>
    <w:rsid w:val="00A42D5D"/>
    <w:rsid w:val="00A43551"/>
    <w:rsid w:val="00A449B5"/>
    <w:rsid w:val="00A44C3F"/>
    <w:rsid w:val="00A46172"/>
    <w:rsid w:val="00A468B7"/>
    <w:rsid w:val="00A47115"/>
    <w:rsid w:val="00A47754"/>
    <w:rsid w:val="00A47DE0"/>
    <w:rsid w:val="00A47E96"/>
    <w:rsid w:val="00A50718"/>
    <w:rsid w:val="00A527BE"/>
    <w:rsid w:val="00A527C3"/>
    <w:rsid w:val="00A52C3A"/>
    <w:rsid w:val="00A5358E"/>
    <w:rsid w:val="00A539C4"/>
    <w:rsid w:val="00A541A9"/>
    <w:rsid w:val="00A543F8"/>
    <w:rsid w:val="00A54C28"/>
    <w:rsid w:val="00A55600"/>
    <w:rsid w:val="00A55CF3"/>
    <w:rsid w:val="00A5667F"/>
    <w:rsid w:val="00A5690B"/>
    <w:rsid w:val="00A57AEA"/>
    <w:rsid w:val="00A603FF"/>
    <w:rsid w:val="00A61393"/>
    <w:rsid w:val="00A62053"/>
    <w:rsid w:val="00A62DF8"/>
    <w:rsid w:val="00A63E27"/>
    <w:rsid w:val="00A640EB"/>
    <w:rsid w:val="00A64662"/>
    <w:rsid w:val="00A64EF9"/>
    <w:rsid w:val="00A6536E"/>
    <w:rsid w:val="00A665A0"/>
    <w:rsid w:val="00A66D53"/>
    <w:rsid w:val="00A66F16"/>
    <w:rsid w:val="00A67714"/>
    <w:rsid w:val="00A7140D"/>
    <w:rsid w:val="00A71838"/>
    <w:rsid w:val="00A71955"/>
    <w:rsid w:val="00A73245"/>
    <w:rsid w:val="00A73465"/>
    <w:rsid w:val="00A74AF5"/>
    <w:rsid w:val="00A74CD3"/>
    <w:rsid w:val="00A760F8"/>
    <w:rsid w:val="00A7630E"/>
    <w:rsid w:val="00A76503"/>
    <w:rsid w:val="00A7650C"/>
    <w:rsid w:val="00A76AF2"/>
    <w:rsid w:val="00A76B57"/>
    <w:rsid w:val="00A770A7"/>
    <w:rsid w:val="00A77247"/>
    <w:rsid w:val="00A77BF1"/>
    <w:rsid w:val="00A77CE2"/>
    <w:rsid w:val="00A77DD2"/>
    <w:rsid w:val="00A8039E"/>
    <w:rsid w:val="00A81E49"/>
    <w:rsid w:val="00A82010"/>
    <w:rsid w:val="00A8307D"/>
    <w:rsid w:val="00A84751"/>
    <w:rsid w:val="00A8475A"/>
    <w:rsid w:val="00A84819"/>
    <w:rsid w:val="00A84E5C"/>
    <w:rsid w:val="00A858A2"/>
    <w:rsid w:val="00A87EC8"/>
    <w:rsid w:val="00A905AE"/>
    <w:rsid w:val="00A90A3B"/>
    <w:rsid w:val="00A90B3A"/>
    <w:rsid w:val="00A90D09"/>
    <w:rsid w:val="00A9118E"/>
    <w:rsid w:val="00A916A8"/>
    <w:rsid w:val="00A91AC4"/>
    <w:rsid w:val="00A926A8"/>
    <w:rsid w:val="00A94CF7"/>
    <w:rsid w:val="00A95046"/>
    <w:rsid w:val="00A95E28"/>
    <w:rsid w:val="00A95F6D"/>
    <w:rsid w:val="00A972F5"/>
    <w:rsid w:val="00AA0A50"/>
    <w:rsid w:val="00AA0C12"/>
    <w:rsid w:val="00AA1091"/>
    <w:rsid w:val="00AA20A2"/>
    <w:rsid w:val="00AA2EE9"/>
    <w:rsid w:val="00AA2F57"/>
    <w:rsid w:val="00AA3624"/>
    <w:rsid w:val="00AA3E28"/>
    <w:rsid w:val="00AA45E4"/>
    <w:rsid w:val="00AA5D4F"/>
    <w:rsid w:val="00AA63E8"/>
    <w:rsid w:val="00AA6B7F"/>
    <w:rsid w:val="00AA7835"/>
    <w:rsid w:val="00AA7CDD"/>
    <w:rsid w:val="00AA7E34"/>
    <w:rsid w:val="00AA7EBC"/>
    <w:rsid w:val="00AA7F76"/>
    <w:rsid w:val="00AB0078"/>
    <w:rsid w:val="00AB042C"/>
    <w:rsid w:val="00AB0624"/>
    <w:rsid w:val="00AB1265"/>
    <w:rsid w:val="00AB1C4E"/>
    <w:rsid w:val="00AB3BAC"/>
    <w:rsid w:val="00AB5B1B"/>
    <w:rsid w:val="00AB681F"/>
    <w:rsid w:val="00AB6D2D"/>
    <w:rsid w:val="00AB79C3"/>
    <w:rsid w:val="00AB7F10"/>
    <w:rsid w:val="00AC10B9"/>
    <w:rsid w:val="00AC250A"/>
    <w:rsid w:val="00AC29E1"/>
    <w:rsid w:val="00AC3D55"/>
    <w:rsid w:val="00AC3FBD"/>
    <w:rsid w:val="00AC5B9B"/>
    <w:rsid w:val="00AC5C57"/>
    <w:rsid w:val="00AC5D31"/>
    <w:rsid w:val="00AC5D43"/>
    <w:rsid w:val="00AC6C2A"/>
    <w:rsid w:val="00AD08C5"/>
    <w:rsid w:val="00AD08ED"/>
    <w:rsid w:val="00AD1079"/>
    <w:rsid w:val="00AD2BA3"/>
    <w:rsid w:val="00AD4366"/>
    <w:rsid w:val="00AD4625"/>
    <w:rsid w:val="00AD4CA0"/>
    <w:rsid w:val="00AD4F16"/>
    <w:rsid w:val="00AD52EE"/>
    <w:rsid w:val="00AD6649"/>
    <w:rsid w:val="00AD6B66"/>
    <w:rsid w:val="00AD6ECC"/>
    <w:rsid w:val="00AD7513"/>
    <w:rsid w:val="00AD7FF1"/>
    <w:rsid w:val="00AE1653"/>
    <w:rsid w:val="00AE1C6C"/>
    <w:rsid w:val="00AE2888"/>
    <w:rsid w:val="00AE34D7"/>
    <w:rsid w:val="00AE39A8"/>
    <w:rsid w:val="00AE49DD"/>
    <w:rsid w:val="00AE4FB5"/>
    <w:rsid w:val="00AE566E"/>
    <w:rsid w:val="00AE5712"/>
    <w:rsid w:val="00AE64AA"/>
    <w:rsid w:val="00AE65AA"/>
    <w:rsid w:val="00AE72E3"/>
    <w:rsid w:val="00AF0035"/>
    <w:rsid w:val="00AF024E"/>
    <w:rsid w:val="00AF037D"/>
    <w:rsid w:val="00AF07A4"/>
    <w:rsid w:val="00AF0F83"/>
    <w:rsid w:val="00AF15A6"/>
    <w:rsid w:val="00AF1AAA"/>
    <w:rsid w:val="00AF1FF7"/>
    <w:rsid w:val="00AF2018"/>
    <w:rsid w:val="00AF23A6"/>
    <w:rsid w:val="00AF28A3"/>
    <w:rsid w:val="00AF3344"/>
    <w:rsid w:val="00AF4469"/>
    <w:rsid w:val="00AF4DB6"/>
    <w:rsid w:val="00AF4E40"/>
    <w:rsid w:val="00AF51C7"/>
    <w:rsid w:val="00AF520B"/>
    <w:rsid w:val="00AF5311"/>
    <w:rsid w:val="00AF583F"/>
    <w:rsid w:val="00AF5A9F"/>
    <w:rsid w:val="00AF6693"/>
    <w:rsid w:val="00AF7882"/>
    <w:rsid w:val="00B00138"/>
    <w:rsid w:val="00B013B2"/>
    <w:rsid w:val="00B01766"/>
    <w:rsid w:val="00B0190C"/>
    <w:rsid w:val="00B032BC"/>
    <w:rsid w:val="00B05268"/>
    <w:rsid w:val="00B05AD6"/>
    <w:rsid w:val="00B05E79"/>
    <w:rsid w:val="00B06EFF"/>
    <w:rsid w:val="00B06F11"/>
    <w:rsid w:val="00B070FB"/>
    <w:rsid w:val="00B079FB"/>
    <w:rsid w:val="00B07C59"/>
    <w:rsid w:val="00B1174F"/>
    <w:rsid w:val="00B12B2A"/>
    <w:rsid w:val="00B134C6"/>
    <w:rsid w:val="00B13650"/>
    <w:rsid w:val="00B13F21"/>
    <w:rsid w:val="00B14094"/>
    <w:rsid w:val="00B143EA"/>
    <w:rsid w:val="00B145BC"/>
    <w:rsid w:val="00B14C7B"/>
    <w:rsid w:val="00B16B6F"/>
    <w:rsid w:val="00B1722F"/>
    <w:rsid w:val="00B17ABB"/>
    <w:rsid w:val="00B20C5F"/>
    <w:rsid w:val="00B20CDF"/>
    <w:rsid w:val="00B20D16"/>
    <w:rsid w:val="00B20E3C"/>
    <w:rsid w:val="00B21073"/>
    <w:rsid w:val="00B210F9"/>
    <w:rsid w:val="00B212B0"/>
    <w:rsid w:val="00B21667"/>
    <w:rsid w:val="00B2205D"/>
    <w:rsid w:val="00B22C66"/>
    <w:rsid w:val="00B2319F"/>
    <w:rsid w:val="00B23461"/>
    <w:rsid w:val="00B234C7"/>
    <w:rsid w:val="00B23E32"/>
    <w:rsid w:val="00B23E5D"/>
    <w:rsid w:val="00B24960"/>
    <w:rsid w:val="00B24A7D"/>
    <w:rsid w:val="00B24C09"/>
    <w:rsid w:val="00B24E75"/>
    <w:rsid w:val="00B25116"/>
    <w:rsid w:val="00B25524"/>
    <w:rsid w:val="00B259FC"/>
    <w:rsid w:val="00B26043"/>
    <w:rsid w:val="00B26EA0"/>
    <w:rsid w:val="00B27CA8"/>
    <w:rsid w:val="00B309F4"/>
    <w:rsid w:val="00B31405"/>
    <w:rsid w:val="00B31459"/>
    <w:rsid w:val="00B32499"/>
    <w:rsid w:val="00B327E6"/>
    <w:rsid w:val="00B32CD5"/>
    <w:rsid w:val="00B33904"/>
    <w:rsid w:val="00B34428"/>
    <w:rsid w:val="00B34D79"/>
    <w:rsid w:val="00B35F43"/>
    <w:rsid w:val="00B37562"/>
    <w:rsid w:val="00B400E0"/>
    <w:rsid w:val="00B40175"/>
    <w:rsid w:val="00B40227"/>
    <w:rsid w:val="00B405D0"/>
    <w:rsid w:val="00B41130"/>
    <w:rsid w:val="00B417C2"/>
    <w:rsid w:val="00B42121"/>
    <w:rsid w:val="00B4258A"/>
    <w:rsid w:val="00B426D4"/>
    <w:rsid w:val="00B43AAC"/>
    <w:rsid w:val="00B43CDD"/>
    <w:rsid w:val="00B43EEC"/>
    <w:rsid w:val="00B443A7"/>
    <w:rsid w:val="00B44DF9"/>
    <w:rsid w:val="00B45D2D"/>
    <w:rsid w:val="00B4602E"/>
    <w:rsid w:val="00B46BBE"/>
    <w:rsid w:val="00B473B1"/>
    <w:rsid w:val="00B512DB"/>
    <w:rsid w:val="00B5132A"/>
    <w:rsid w:val="00B514BC"/>
    <w:rsid w:val="00B515DB"/>
    <w:rsid w:val="00B52F96"/>
    <w:rsid w:val="00B53550"/>
    <w:rsid w:val="00B55DFC"/>
    <w:rsid w:val="00B57DA0"/>
    <w:rsid w:val="00B606E4"/>
    <w:rsid w:val="00B609FA"/>
    <w:rsid w:val="00B60FBB"/>
    <w:rsid w:val="00B6108F"/>
    <w:rsid w:val="00B633C5"/>
    <w:rsid w:val="00B63BF5"/>
    <w:rsid w:val="00B63F13"/>
    <w:rsid w:val="00B64425"/>
    <w:rsid w:val="00B65179"/>
    <w:rsid w:val="00B65C53"/>
    <w:rsid w:val="00B663D0"/>
    <w:rsid w:val="00B66ABD"/>
    <w:rsid w:val="00B67F25"/>
    <w:rsid w:val="00B67FB3"/>
    <w:rsid w:val="00B7015C"/>
    <w:rsid w:val="00B710CF"/>
    <w:rsid w:val="00B717C8"/>
    <w:rsid w:val="00B717E4"/>
    <w:rsid w:val="00B72837"/>
    <w:rsid w:val="00B755FA"/>
    <w:rsid w:val="00B76846"/>
    <w:rsid w:val="00B76E1E"/>
    <w:rsid w:val="00B772EF"/>
    <w:rsid w:val="00B77EF2"/>
    <w:rsid w:val="00B812E4"/>
    <w:rsid w:val="00B81653"/>
    <w:rsid w:val="00B81818"/>
    <w:rsid w:val="00B823CC"/>
    <w:rsid w:val="00B83D1A"/>
    <w:rsid w:val="00B83D2D"/>
    <w:rsid w:val="00B84434"/>
    <w:rsid w:val="00B844BD"/>
    <w:rsid w:val="00B85441"/>
    <w:rsid w:val="00B8561A"/>
    <w:rsid w:val="00B859AF"/>
    <w:rsid w:val="00B85C4B"/>
    <w:rsid w:val="00B87148"/>
    <w:rsid w:val="00B91454"/>
    <w:rsid w:val="00B914FF"/>
    <w:rsid w:val="00B9155E"/>
    <w:rsid w:val="00B9158C"/>
    <w:rsid w:val="00B92AA2"/>
    <w:rsid w:val="00B94767"/>
    <w:rsid w:val="00B9484D"/>
    <w:rsid w:val="00B9567C"/>
    <w:rsid w:val="00B95BCB"/>
    <w:rsid w:val="00B978C7"/>
    <w:rsid w:val="00BA1477"/>
    <w:rsid w:val="00BA154E"/>
    <w:rsid w:val="00BA267E"/>
    <w:rsid w:val="00BA2AA0"/>
    <w:rsid w:val="00BA2AC6"/>
    <w:rsid w:val="00BA3A1B"/>
    <w:rsid w:val="00BA4F98"/>
    <w:rsid w:val="00BA51E4"/>
    <w:rsid w:val="00BA60D1"/>
    <w:rsid w:val="00BA67C6"/>
    <w:rsid w:val="00BA7556"/>
    <w:rsid w:val="00BA756E"/>
    <w:rsid w:val="00BB014A"/>
    <w:rsid w:val="00BB1133"/>
    <w:rsid w:val="00BB14CA"/>
    <w:rsid w:val="00BB16AE"/>
    <w:rsid w:val="00BB18FA"/>
    <w:rsid w:val="00BB1E8E"/>
    <w:rsid w:val="00BB3201"/>
    <w:rsid w:val="00BB39E2"/>
    <w:rsid w:val="00BB432B"/>
    <w:rsid w:val="00BB48B8"/>
    <w:rsid w:val="00BB5140"/>
    <w:rsid w:val="00BB53B5"/>
    <w:rsid w:val="00BB571E"/>
    <w:rsid w:val="00BB575D"/>
    <w:rsid w:val="00BB6D99"/>
    <w:rsid w:val="00BB6F47"/>
    <w:rsid w:val="00BB7A04"/>
    <w:rsid w:val="00BB7FF9"/>
    <w:rsid w:val="00BC0A9B"/>
    <w:rsid w:val="00BC101A"/>
    <w:rsid w:val="00BC2442"/>
    <w:rsid w:val="00BC3135"/>
    <w:rsid w:val="00BC3336"/>
    <w:rsid w:val="00BC35CF"/>
    <w:rsid w:val="00BC35EE"/>
    <w:rsid w:val="00BC3CD1"/>
    <w:rsid w:val="00BC3D1D"/>
    <w:rsid w:val="00BC43FD"/>
    <w:rsid w:val="00BC5DCB"/>
    <w:rsid w:val="00BC5DED"/>
    <w:rsid w:val="00BC60B7"/>
    <w:rsid w:val="00BC6B9A"/>
    <w:rsid w:val="00BC6DB1"/>
    <w:rsid w:val="00BC6FAE"/>
    <w:rsid w:val="00BC715E"/>
    <w:rsid w:val="00BC7CF5"/>
    <w:rsid w:val="00BD187F"/>
    <w:rsid w:val="00BD2D67"/>
    <w:rsid w:val="00BD2F28"/>
    <w:rsid w:val="00BD30C3"/>
    <w:rsid w:val="00BD3AA3"/>
    <w:rsid w:val="00BD3D5C"/>
    <w:rsid w:val="00BD3FF3"/>
    <w:rsid w:val="00BD42D9"/>
    <w:rsid w:val="00BD437E"/>
    <w:rsid w:val="00BD43FC"/>
    <w:rsid w:val="00BD4815"/>
    <w:rsid w:val="00BD5083"/>
    <w:rsid w:val="00BD52E2"/>
    <w:rsid w:val="00BD5987"/>
    <w:rsid w:val="00BD64F5"/>
    <w:rsid w:val="00BD6DE6"/>
    <w:rsid w:val="00BE0472"/>
    <w:rsid w:val="00BE10AD"/>
    <w:rsid w:val="00BE1BB7"/>
    <w:rsid w:val="00BE1D43"/>
    <w:rsid w:val="00BE2C4C"/>
    <w:rsid w:val="00BE3388"/>
    <w:rsid w:val="00BE3D0E"/>
    <w:rsid w:val="00BE3FA8"/>
    <w:rsid w:val="00BE416D"/>
    <w:rsid w:val="00BE57D6"/>
    <w:rsid w:val="00BE5ACB"/>
    <w:rsid w:val="00BE665A"/>
    <w:rsid w:val="00BE74B6"/>
    <w:rsid w:val="00BF0528"/>
    <w:rsid w:val="00BF06FE"/>
    <w:rsid w:val="00BF0E99"/>
    <w:rsid w:val="00BF1E7C"/>
    <w:rsid w:val="00BF2772"/>
    <w:rsid w:val="00BF2CD4"/>
    <w:rsid w:val="00BF2CD6"/>
    <w:rsid w:val="00BF2D39"/>
    <w:rsid w:val="00BF3122"/>
    <w:rsid w:val="00BF353B"/>
    <w:rsid w:val="00BF3965"/>
    <w:rsid w:val="00BF3A4B"/>
    <w:rsid w:val="00BF51E3"/>
    <w:rsid w:val="00BF526F"/>
    <w:rsid w:val="00BF5377"/>
    <w:rsid w:val="00BF5F6E"/>
    <w:rsid w:val="00BF61CF"/>
    <w:rsid w:val="00BF7B4E"/>
    <w:rsid w:val="00C004A1"/>
    <w:rsid w:val="00C01099"/>
    <w:rsid w:val="00C0148B"/>
    <w:rsid w:val="00C019A3"/>
    <w:rsid w:val="00C01BC2"/>
    <w:rsid w:val="00C02067"/>
    <w:rsid w:val="00C042B3"/>
    <w:rsid w:val="00C04427"/>
    <w:rsid w:val="00C05FB8"/>
    <w:rsid w:val="00C063D9"/>
    <w:rsid w:val="00C06C40"/>
    <w:rsid w:val="00C07402"/>
    <w:rsid w:val="00C07D06"/>
    <w:rsid w:val="00C07E1B"/>
    <w:rsid w:val="00C10464"/>
    <w:rsid w:val="00C10486"/>
    <w:rsid w:val="00C108DF"/>
    <w:rsid w:val="00C10C65"/>
    <w:rsid w:val="00C1119A"/>
    <w:rsid w:val="00C12D0A"/>
    <w:rsid w:val="00C13B95"/>
    <w:rsid w:val="00C13D6C"/>
    <w:rsid w:val="00C1436B"/>
    <w:rsid w:val="00C145A8"/>
    <w:rsid w:val="00C14E5F"/>
    <w:rsid w:val="00C155AB"/>
    <w:rsid w:val="00C16BB9"/>
    <w:rsid w:val="00C20925"/>
    <w:rsid w:val="00C214F5"/>
    <w:rsid w:val="00C217A6"/>
    <w:rsid w:val="00C223EC"/>
    <w:rsid w:val="00C22F4E"/>
    <w:rsid w:val="00C243A1"/>
    <w:rsid w:val="00C24469"/>
    <w:rsid w:val="00C2461C"/>
    <w:rsid w:val="00C249A8"/>
    <w:rsid w:val="00C249CB"/>
    <w:rsid w:val="00C249FE"/>
    <w:rsid w:val="00C24A6F"/>
    <w:rsid w:val="00C2579D"/>
    <w:rsid w:val="00C259D5"/>
    <w:rsid w:val="00C26073"/>
    <w:rsid w:val="00C272B9"/>
    <w:rsid w:val="00C27364"/>
    <w:rsid w:val="00C30060"/>
    <w:rsid w:val="00C32F8E"/>
    <w:rsid w:val="00C3363C"/>
    <w:rsid w:val="00C346C5"/>
    <w:rsid w:val="00C3526C"/>
    <w:rsid w:val="00C3568F"/>
    <w:rsid w:val="00C35758"/>
    <w:rsid w:val="00C35DF9"/>
    <w:rsid w:val="00C37214"/>
    <w:rsid w:val="00C37EA2"/>
    <w:rsid w:val="00C417F3"/>
    <w:rsid w:val="00C418E2"/>
    <w:rsid w:val="00C429D1"/>
    <w:rsid w:val="00C43E6A"/>
    <w:rsid w:val="00C441E4"/>
    <w:rsid w:val="00C44DD9"/>
    <w:rsid w:val="00C4599C"/>
    <w:rsid w:val="00C45C14"/>
    <w:rsid w:val="00C46E0E"/>
    <w:rsid w:val="00C47567"/>
    <w:rsid w:val="00C50AA9"/>
    <w:rsid w:val="00C50BBA"/>
    <w:rsid w:val="00C50CC7"/>
    <w:rsid w:val="00C50E19"/>
    <w:rsid w:val="00C50EAA"/>
    <w:rsid w:val="00C50F5A"/>
    <w:rsid w:val="00C50FE2"/>
    <w:rsid w:val="00C5189A"/>
    <w:rsid w:val="00C5590A"/>
    <w:rsid w:val="00C55998"/>
    <w:rsid w:val="00C55D39"/>
    <w:rsid w:val="00C566B4"/>
    <w:rsid w:val="00C56BB1"/>
    <w:rsid w:val="00C57283"/>
    <w:rsid w:val="00C57760"/>
    <w:rsid w:val="00C57DCB"/>
    <w:rsid w:val="00C57F93"/>
    <w:rsid w:val="00C60277"/>
    <w:rsid w:val="00C60337"/>
    <w:rsid w:val="00C6185A"/>
    <w:rsid w:val="00C61B08"/>
    <w:rsid w:val="00C61CF5"/>
    <w:rsid w:val="00C62133"/>
    <w:rsid w:val="00C623E9"/>
    <w:rsid w:val="00C632FE"/>
    <w:rsid w:val="00C64AD0"/>
    <w:rsid w:val="00C66B8D"/>
    <w:rsid w:val="00C66C84"/>
    <w:rsid w:val="00C67A5E"/>
    <w:rsid w:val="00C7094E"/>
    <w:rsid w:val="00C71780"/>
    <w:rsid w:val="00C71B5D"/>
    <w:rsid w:val="00C72742"/>
    <w:rsid w:val="00C72ADB"/>
    <w:rsid w:val="00C73DE4"/>
    <w:rsid w:val="00C7406E"/>
    <w:rsid w:val="00C741C1"/>
    <w:rsid w:val="00C74665"/>
    <w:rsid w:val="00C7526E"/>
    <w:rsid w:val="00C7536F"/>
    <w:rsid w:val="00C75AFC"/>
    <w:rsid w:val="00C76279"/>
    <w:rsid w:val="00C76280"/>
    <w:rsid w:val="00C77169"/>
    <w:rsid w:val="00C776B5"/>
    <w:rsid w:val="00C8182A"/>
    <w:rsid w:val="00C8194B"/>
    <w:rsid w:val="00C82E95"/>
    <w:rsid w:val="00C831D0"/>
    <w:rsid w:val="00C856BB"/>
    <w:rsid w:val="00C85D6D"/>
    <w:rsid w:val="00C85F58"/>
    <w:rsid w:val="00C873F4"/>
    <w:rsid w:val="00C90302"/>
    <w:rsid w:val="00C90751"/>
    <w:rsid w:val="00C90D4B"/>
    <w:rsid w:val="00C918B3"/>
    <w:rsid w:val="00C920D4"/>
    <w:rsid w:val="00C920F5"/>
    <w:rsid w:val="00C92FAC"/>
    <w:rsid w:val="00C93103"/>
    <w:rsid w:val="00C93373"/>
    <w:rsid w:val="00C93677"/>
    <w:rsid w:val="00C936AA"/>
    <w:rsid w:val="00C9505B"/>
    <w:rsid w:val="00C955F3"/>
    <w:rsid w:val="00C964F1"/>
    <w:rsid w:val="00CA060B"/>
    <w:rsid w:val="00CA1949"/>
    <w:rsid w:val="00CA4D27"/>
    <w:rsid w:val="00CA5012"/>
    <w:rsid w:val="00CA5A0C"/>
    <w:rsid w:val="00CA6200"/>
    <w:rsid w:val="00CA6F10"/>
    <w:rsid w:val="00CA71CE"/>
    <w:rsid w:val="00CA756C"/>
    <w:rsid w:val="00CA7A6A"/>
    <w:rsid w:val="00CB0147"/>
    <w:rsid w:val="00CB0AFC"/>
    <w:rsid w:val="00CB120A"/>
    <w:rsid w:val="00CB15C8"/>
    <w:rsid w:val="00CB311C"/>
    <w:rsid w:val="00CB3509"/>
    <w:rsid w:val="00CB4842"/>
    <w:rsid w:val="00CB4D0A"/>
    <w:rsid w:val="00CB5383"/>
    <w:rsid w:val="00CB6E37"/>
    <w:rsid w:val="00CB7565"/>
    <w:rsid w:val="00CB7CFD"/>
    <w:rsid w:val="00CC0254"/>
    <w:rsid w:val="00CC085B"/>
    <w:rsid w:val="00CC1EA2"/>
    <w:rsid w:val="00CC1EB6"/>
    <w:rsid w:val="00CC1FCF"/>
    <w:rsid w:val="00CC291F"/>
    <w:rsid w:val="00CC3BAD"/>
    <w:rsid w:val="00CC3C3B"/>
    <w:rsid w:val="00CC44E5"/>
    <w:rsid w:val="00CC4699"/>
    <w:rsid w:val="00CC57AD"/>
    <w:rsid w:val="00CC59CF"/>
    <w:rsid w:val="00CC6CFD"/>
    <w:rsid w:val="00CC7992"/>
    <w:rsid w:val="00CD02BD"/>
    <w:rsid w:val="00CD1C6A"/>
    <w:rsid w:val="00CD26E7"/>
    <w:rsid w:val="00CD2A14"/>
    <w:rsid w:val="00CD35B6"/>
    <w:rsid w:val="00CD37B4"/>
    <w:rsid w:val="00CD40C8"/>
    <w:rsid w:val="00CD4140"/>
    <w:rsid w:val="00CD45DD"/>
    <w:rsid w:val="00CD55FF"/>
    <w:rsid w:val="00CD5BFA"/>
    <w:rsid w:val="00CD6691"/>
    <w:rsid w:val="00CE11C5"/>
    <w:rsid w:val="00CE296F"/>
    <w:rsid w:val="00CE2A32"/>
    <w:rsid w:val="00CE2EAE"/>
    <w:rsid w:val="00CE31A2"/>
    <w:rsid w:val="00CE3F85"/>
    <w:rsid w:val="00CE69B3"/>
    <w:rsid w:val="00CE7360"/>
    <w:rsid w:val="00CE74E3"/>
    <w:rsid w:val="00CE7673"/>
    <w:rsid w:val="00CE77B0"/>
    <w:rsid w:val="00CF00D6"/>
    <w:rsid w:val="00CF06E9"/>
    <w:rsid w:val="00CF085A"/>
    <w:rsid w:val="00CF0E59"/>
    <w:rsid w:val="00CF1394"/>
    <w:rsid w:val="00CF2077"/>
    <w:rsid w:val="00CF2A7E"/>
    <w:rsid w:val="00CF3770"/>
    <w:rsid w:val="00CF3CBB"/>
    <w:rsid w:val="00CF4091"/>
    <w:rsid w:val="00CF5F01"/>
    <w:rsid w:val="00CF7104"/>
    <w:rsid w:val="00D000B0"/>
    <w:rsid w:val="00D002A6"/>
    <w:rsid w:val="00D00401"/>
    <w:rsid w:val="00D009EC"/>
    <w:rsid w:val="00D00A7D"/>
    <w:rsid w:val="00D0267D"/>
    <w:rsid w:val="00D02B32"/>
    <w:rsid w:val="00D04755"/>
    <w:rsid w:val="00D049A4"/>
    <w:rsid w:val="00D0545C"/>
    <w:rsid w:val="00D05A2C"/>
    <w:rsid w:val="00D06C59"/>
    <w:rsid w:val="00D071D2"/>
    <w:rsid w:val="00D104BC"/>
    <w:rsid w:val="00D11377"/>
    <w:rsid w:val="00D11E5D"/>
    <w:rsid w:val="00D12026"/>
    <w:rsid w:val="00D12374"/>
    <w:rsid w:val="00D1324E"/>
    <w:rsid w:val="00D13478"/>
    <w:rsid w:val="00D134AE"/>
    <w:rsid w:val="00D13EEA"/>
    <w:rsid w:val="00D140B9"/>
    <w:rsid w:val="00D14A88"/>
    <w:rsid w:val="00D152A5"/>
    <w:rsid w:val="00D15465"/>
    <w:rsid w:val="00D16489"/>
    <w:rsid w:val="00D166F8"/>
    <w:rsid w:val="00D176D4"/>
    <w:rsid w:val="00D17742"/>
    <w:rsid w:val="00D203E2"/>
    <w:rsid w:val="00D2056D"/>
    <w:rsid w:val="00D2111A"/>
    <w:rsid w:val="00D211FC"/>
    <w:rsid w:val="00D21401"/>
    <w:rsid w:val="00D21629"/>
    <w:rsid w:val="00D21E95"/>
    <w:rsid w:val="00D22F0E"/>
    <w:rsid w:val="00D234C7"/>
    <w:rsid w:val="00D23BA8"/>
    <w:rsid w:val="00D23F00"/>
    <w:rsid w:val="00D24175"/>
    <w:rsid w:val="00D246B8"/>
    <w:rsid w:val="00D24EC1"/>
    <w:rsid w:val="00D24F3E"/>
    <w:rsid w:val="00D25458"/>
    <w:rsid w:val="00D27288"/>
    <w:rsid w:val="00D305C5"/>
    <w:rsid w:val="00D30F4C"/>
    <w:rsid w:val="00D31885"/>
    <w:rsid w:val="00D33E59"/>
    <w:rsid w:val="00D35571"/>
    <w:rsid w:val="00D355F7"/>
    <w:rsid w:val="00D35B41"/>
    <w:rsid w:val="00D36696"/>
    <w:rsid w:val="00D36872"/>
    <w:rsid w:val="00D377DC"/>
    <w:rsid w:val="00D37ACF"/>
    <w:rsid w:val="00D401E9"/>
    <w:rsid w:val="00D404AA"/>
    <w:rsid w:val="00D4192E"/>
    <w:rsid w:val="00D41EA0"/>
    <w:rsid w:val="00D4320D"/>
    <w:rsid w:val="00D4324D"/>
    <w:rsid w:val="00D43CF7"/>
    <w:rsid w:val="00D43E00"/>
    <w:rsid w:val="00D44826"/>
    <w:rsid w:val="00D44917"/>
    <w:rsid w:val="00D44F37"/>
    <w:rsid w:val="00D46473"/>
    <w:rsid w:val="00D467D5"/>
    <w:rsid w:val="00D50B00"/>
    <w:rsid w:val="00D51B5F"/>
    <w:rsid w:val="00D51E66"/>
    <w:rsid w:val="00D527A4"/>
    <w:rsid w:val="00D547F3"/>
    <w:rsid w:val="00D55314"/>
    <w:rsid w:val="00D568B4"/>
    <w:rsid w:val="00D56B7A"/>
    <w:rsid w:val="00D56CFC"/>
    <w:rsid w:val="00D577F9"/>
    <w:rsid w:val="00D62112"/>
    <w:rsid w:val="00D626B0"/>
    <w:rsid w:val="00D626EA"/>
    <w:rsid w:val="00D63328"/>
    <w:rsid w:val="00D641FD"/>
    <w:rsid w:val="00D647F3"/>
    <w:rsid w:val="00D64997"/>
    <w:rsid w:val="00D65DA3"/>
    <w:rsid w:val="00D65E62"/>
    <w:rsid w:val="00D65F4F"/>
    <w:rsid w:val="00D67D64"/>
    <w:rsid w:val="00D70D6F"/>
    <w:rsid w:val="00D71EBE"/>
    <w:rsid w:val="00D726AD"/>
    <w:rsid w:val="00D73837"/>
    <w:rsid w:val="00D75453"/>
    <w:rsid w:val="00D755C0"/>
    <w:rsid w:val="00D7585C"/>
    <w:rsid w:val="00D75882"/>
    <w:rsid w:val="00D76391"/>
    <w:rsid w:val="00D7659E"/>
    <w:rsid w:val="00D7678B"/>
    <w:rsid w:val="00D76F59"/>
    <w:rsid w:val="00D774C1"/>
    <w:rsid w:val="00D77A24"/>
    <w:rsid w:val="00D80B69"/>
    <w:rsid w:val="00D8204F"/>
    <w:rsid w:val="00D827A2"/>
    <w:rsid w:val="00D83A09"/>
    <w:rsid w:val="00D83B3D"/>
    <w:rsid w:val="00D84104"/>
    <w:rsid w:val="00D848B8"/>
    <w:rsid w:val="00D84C20"/>
    <w:rsid w:val="00D85421"/>
    <w:rsid w:val="00D8544D"/>
    <w:rsid w:val="00D855B1"/>
    <w:rsid w:val="00D85F7A"/>
    <w:rsid w:val="00D86C8B"/>
    <w:rsid w:val="00D86D36"/>
    <w:rsid w:val="00D87113"/>
    <w:rsid w:val="00D877DC"/>
    <w:rsid w:val="00D90D76"/>
    <w:rsid w:val="00D911D0"/>
    <w:rsid w:val="00D91602"/>
    <w:rsid w:val="00D9247F"/>
    <w:rsid w:val="00D9260E"/>
    <w:rsid w:val="00D92C7C"/>
    <w:rsid w:val="00D94D9B"/>
    <w:rsid w:val="00D94DC5"/>
    <w:rsid w:val="00D95B38"/>
    <w:rsid w:val="00D96506"/>
    <w:rsid w:val="00D96EAD"/>
    <w:rsid w:val="00D97640"/>
    <w:rsid w:val="00DA0B07"/>
    <w:rsid w:val="00DA0FBB"/>
    <w:rsid w:val="00DA15E6"/>
    <w:rsid w:val="00DA1762"/>
    <w:rsid w:val="00DA1AD3"/>
    <w:rsid w:val="00DA28D8"/>
    <w:rsid w:val="00DA2B2F"/>
    <w:rsid w:val="00DA2F09"/>
    <w:rsid w:val="00DA36F9"/>
    <w:rsid w:val="00DA3BA6"/>
    <w:rsid w:val="00DA40E5"/>
    <w:rsid w:val="00DA60B9"/>
    <w:rsid w:val="00DA6766"/>
    <w:rsid w:val="00DA6955"/>
    <w:rsid w:val="00DA6D3A"/>
    <w:rsid w:val="00DA702A"/>
    <w:rsid w:val="00DA7B86"/>
    <w:rsid w:val="00DB0F45"/>
    <w:rsid w:val="00DB0FE6"/>
    <w:rsid w:val="00DB1140"/>
    <w:rsid w:val="00DB173B"/>
    <w:rsid w:val="00DB29AB"/>
    <w:rsid w:val="00DB2C3F"/>
    <w:rsid w:val="00DB3B80"/>
    <w:rsid w:val="00DB48AF"/>
    <w:rsid w:val="00DB5579"/>
    <w:rsid w:val="00DB762B"/>
    <w:rsid w:val="00DB7ED0"/>
    <w:rsid w:val="00DC09A1"/>
    <w:rsid w:val="00DC1E1A"/>
    <w:rsid w:val="00DC2216"/>
    <w:rsid w:val="00DC2D28"/>
    <w:rsid w:val="00DC31E5"/>
    <w:rsid w:val="00DC383C"/>
    <w:rsid w:val="00DC42FB"/>
    <w:rsid w:val="00DC59FD"/>
    <w:rsid w:val="00DC6656"/>
    <w:rsid w:val="00DC67E7"/>
    <w:rsid w:val="00DC6D2E"/>
    <w:rsid w:val="00DC7077"/>
    <w:rsid w:val="00DC793D"/>
    <w:rsid w:val="00DC7C88"/>
    <w:rsid w:val="00DD0A8E"/>
    <w:rsid w:val="00DD0C73"/>
    <w:rsid w:val="00DD2E5D"/>
    <w:rsid w:val="00DD3323"/>
    <w:rsid w:val="00DD3613"/>
    <w:rsid w:val="00DD380C"/>
    <w:rsid w:val="00DD46BF"/>
    <w:rsid w:val="00DD4D7B"/>
    <w:rsid w:val="00DD4FDC"/>
    <w:rsid w:val="00DD5202"/>
    <w:rsid w:val="00DD5556"/>
    <w:rsid w:val="00DD5BB7"/>
    <w:rsid w:val="00DE0573"/>
    <w:rsid w:val="00DE1015"/>
    <w:rsid w:val="00DE14B2"/>
    <w:rsid w:val="00DE1B5B"/>
    <w:rsid w:val="00DE38F1"/>
    <w:rsid w:val="00DE4367"/>
    <w:rsid w:val="00DE45C8"/>
    <w:rsid w:val="00DE4A29"/>
    <w:rsid w:val="00DE5677"/>
    <w:rsid w:val="00DE5BC1"/>
    <w:rsid w:val="00DE5E68"/>
    <w:rsid w:val="00DE618E"/>
    <w:rsid w:val="00DE66DE"/>
    <w:rsid w:val="00DE720A"/>
    <w:rsid w:val="00DE76FD"/>
    <w:rsid w:val="00DE78EE"/>
    <w:rsid w:val="00DE7A81"/>
    <w:rsid w:val="00DE7F6C"/>
    <w:rsid w:val="00DF016B"/>
    <w:rsid w:val="00DF0910"/>
    <w:rsid w:val="00DF0C11"/>
    <w:rsid w:val="00DF0E81"/>
    <w:rsid w:val="00DF17D9"/>
    <w:rsid w:val="00DF181D"/>
    <w:rsid w:val="00DF236D"/>
    <w:rsid w:val="00DF4F04"/>
    <w:rsid w:val="00DF5DC7"/>
    <w:rsid w:val="00DF6541"/>
    <w:rsid w:val="00E017E6"/>
    <w:rsid w:val="00E02911"/>
    <w:rsid w:val="00E02D98"/>
    <w:rsid w:val="00E03546"/>
    <w:rsid w:val="00E03C36"/>
    <w:rsid w:val="00E04A59"/>
    <w:rsid w:val="00E04B7A"/>
    <w:rsid w:val="00E05D7D"/>
    <w:rsid w:val="00E060F6"/>
    <w:rsid w:val="00E071D7"/>
    <w:rsid w:val="00E108A6"/>
    <w:rsid w:val="00E10947"/>
    <w:rsid w:val="00E10AFD"/>
    <w:rsid w:val="00E11048"/>
    <w:rsid w:val="00E125B6"/>
    <w:rsid w:val="00E12685"/>
    <w:rsid w:val="00E13BCB"/>
    <w:rsid w:val="00E14F9E"/>
    <w:rsid w:val="00E15BAB"/>
    <w:rsid w:val="00E15D2C"/>
    <w:rsid w:val="00E16306"/>
    <w:rsid w:val="00E16B9B"/>
    <w:rsid w:val="00E170AA"/>
    <w:rsid w:val="00E17425"/>
    <w:rsid w:val="00E17854"/>
    <w:rsid w:val="00E178AC"/>
    <w:rsid w:val="00E200A1"/>
    <w:rsid w:val="00E20622"/>
    <w:rsid w:val="00E20910"/>
    <w:rsid w:val="00E20DA7"/>
    <w:rsid w:val="00E213C8"/>
    <w:rsid w:val="00E246A4"/>
    <w:rsid w:val="00E24B2B"/>
    <w:rsid w:val="00E24BDD"/>
    <w:rsid w:val="00E2526F"/>
    <w:rsid w:val="00E2577F"/>
    <w:rsid w:val="00E25A93"/>
    <w:rsid w:val="00E25E67"/>
    <w:rsid w:val="00E26385"/>
    <w:rsid w:val="00E27211"/>
    <w:rsid w:val="00E32022"/>
    <w:rsid w:val="00E3224F"/>
    <w:rsid w:val="00E32B5B"/>
    <w:rsid w:val="00E32E69"/>
    <w:rsid w:val="00E337D3"/>
    <w:rsid w:val="00E33BC9"/>
    <w:rsid w:val="00E3556E"/>
    <w:rsid w:val="00E357B9"/>
    <w:rsid w:val="00E35CC8"/>
    <w:rsid w:val="00E35E5D"/>
    <w:rsid w:val="00E36B3A"/>
    <w:rsid w:val="00E3711C"/>
    <w:rsid w:val="00E37302"/>
    <w:rsid w:val="00E40C52"/>
    <w:rsid w:val="00E43355"/>
    <w:rsid w:val="00E43F2A"/>
    <w:rsid w:val="00E45A08"/>
    <w:rsid w:val="00E4635B"/>
    <w:rsid w:val="00E463F1"/>
    <w:rsid w:val="00E46D30"/>
    <w:rsid w:val="00E474C8"/>
    <w:rsid w:val="00E500D5"/>
    <w:rsid w:val="00E504A3"/>
    <w:rsid w:val="00E50608"/>
    <w:rsid w:val="00E50D6E"/>
    <w:rsid w:val="00E51100"/>
    <w:rsid w:val="00E52999"/>
    <w:rsid w:val="00E52F8B"/>
    <w:rsid w:val="00E5315B"/>
    <w:rsid w:val="00E53553"/>
    <w:rsid w:val="00E538DD"/>
    <w:rsid w:val="00E541D2"/>
    <w:rsid w:val="00E54976"/>
    <w:rsid w:val="00E55830"/>
    <w:rsid w:val="00E55A23"/>
    <w:rsid w:val="00E569E7"/>
    <w:rsid w:val="00E57293"/>
    <w:rsid w:val="00E57367"/>
    <w:rsid w:val="00E573D2"/>
    <w:rsid w:val="00E57520"/>
    <w:rsid w:val="00E57818"/>
    <w:rsid w:val="00E57B23"/>
    <w:rsid w:val="00E608BE"/>
    <w:rsid w:val="00E61316"/>
    <w:rsid w:val="00E62FB4"/>
    <w:rsid w:val="00E63014"/>
    <w:rsid w:val="00E6394E"/>
    <w:rsid w:val="00E63F5E"/>
    <w:rsid w:val="00E64FD1"/>
    <w:rsid w:val="00E65400"/>
    <w:rsid w:val="00E65AC3"/>
    <w:rsid w:val="00E65DDD"/>
    <w:rsid w:val="00E66038"/>
    <w:rsid w:val="00E673DD"/>
    <w:rsid w:val="00E67606"/>
    <w:rsid w:val="00E67A41"/>
    <w:rsid w:val="00E67B17"/>
    <w:rsid w:val="00E67CDA"/>
    <w:rsid w:val="00E71804"/>
    <w:rsid w:val="00E71A79"/>
    <w:rsid w:val="00E71DB0"/>
    <w:rsid w:val="00E72434"/>
    <w:rsid w:val="00E734B8"/>
    <w:rsid w:val="00E73619"/>
    <w:rsid w:val="00E737A9"/>
    <w:rsid w:val="00E73898"/>
    <w:rsid w:val="00E7425F"/>
    <w:rsid w:val="00E7549B"/>
    <w:rsid w:val="00E76479"/>
    <w:rsid w:val="00E765E3"/>
    <w:rsid w:val="00E768DC"/>
    <w:rsid w:val="00E76C11"/>
    <w:rsid w:val="00E76ED8"/>
    <w:rsid w:val="00E77886"/>
    <w:rsid w:val="00E77F81"/>
    <w:rsid w:val="00E816C4"/>
    <w:rsid w:val="00E81CC7"/>
    <w:rsid w:val="00E8285A"/>
    <w:rsid w:val="00E82B6A"/>
    <w:rsid w:val="00E82BC7"/>
    <w:rsid w:val="00E83094"/>
    <w:rsid w:val="00E83243"/>
    <w:rsid w:val="00E85F61"/>
    <w:rsid w:val="00E87F97"/>
    <w:rsid w:val="00E909D2"/>
    <w:rsid w:val="00E90B6A"/>
    <w:rsid w:val="00E90B81"/>
    <w:rsid w:val="00E918B7"/>
    <w:rsid w:val="00E91BA5"/>
    <w:rsid w:val="00E92DDA"/>
    <w:rsid w:val="00E93174"/>
    <w:rsid w:val="00E93691"/>
    <w:rsid w:val="00E9404F"/>
    <w:rsid w:val="00E948D6"/>
    <w:rsid w:val="00E958AC"/>
    <w:rsid w:val="00E96379"/>
    <w:rsid w:val="00E97FDD"/>
    <w:rsid w:val="00EA074D"/>
    <w:rsid w:val="00EA198E"/>
    <w:rsid w:val="00EA2C12"/>
    <w:rsid w:val="00EA2D69"/>
    <w:rsid w:val="00EA30F2"/>
    <w:rsid w:val="00EA38A0"/>
    <w:rsid w:val="00EA428A"/>
    <w:rsid w:val="00EA43B7"/>
    <w:rsid w:val="00EA4BD8"/>
    <w:rsid w:val="00EA4BE5"/>
    <w:rsid w:val="00EA4E2B"/>
    <w:rsid w:val="00EA56BF"/>
    <w:rsid w:val="00EA6205"/>
    <w:rsid w:val="00EA660E"/>
    <w:rsid w:val="00EA66F3"/>
    <w:rsid w:val="00EA6AC9"/>
    <w:rsid w:val="00EA6F26"/>
    <w:rsid w:val="00EA6F4A"/>
    <w:rsid w:val="00EA7C4F"/>
    <w:rsid w:val="00EB0250"/>
    <w:rsid w:val="00EB2351"/>
    <w:rsid w:val="00EB2DB6"/>
    <w:rsid w:val="00EB3152"/>
    <w:rsid w:val="00EB4083"/>
    <w:rsid w:val="00EB40E4"/>
    <w:rsid w:val="00EB4FD3"/>
    <w:rsid w:val="00EB5DDE"/>
    <w:rsid w:val="00EB6629"/>
    <w:rsid w:val="00EB6732"/>
    <w:rsid w:val="00EB686F"/>
    <w:rsid w:val="00EB7068"/>
    <w:rsid w:val="00EB70D9"/>
    <w:rsid w:val="00EB7930"/>
    <w:rsid w:val="00EC0A76"/>
    <w:rsid w:val="00EC1112"/>
    <w:rsid w:val="00EC11C2"/>
    <w:rsid w:val="00EC1BF4"/>
    <w:rsid w:val="00EC267C"/>
    <w:rsid w:val="00EC27AF"/>
    <w:rsid w:val="00EC41E4"/>
    <w:rsid w:val="00EC4C34"/>
    <w:rsid w:val="00EC5007"/>
    <w:rsid w:val="00EC5354"/>
    <w:rsid w:val="00EC5F65"/>
    <w:rsid w:val="00EC6D61"/>
    <w:rsid w:val="00ED033C"/>
    <w:rsid w:val="00ED08FD"/>
    <w:rsid w:val="00ED0C10"/>
    <w:rsid w:val="00ED0D61"/>
    <w:rsid w:val="00ED1240"/>
    <w:rsid w:val="00ED1452"/>
    <w:rsid w:val="00ED1EA8"/>
    <w:rsid w:val="00ED247B"/>
    <w:rsid w:val="00ED28D2"/>
    <w:rsid w:val="00ED5C1F"/>
    <w:rsid w:val="00ED60BC"/>
    <w:rsid w:val="00ED6B5E"/>
    <w:rsid w:val="00ED6E80"/>
    <w:rsid w:val="00ED7C29"/>
    <w:rsid w:val="00ED7F0B"/>
    <w:rsid w:val="00EE089B"/>
    <w:rsid w:val="00EE09FC"/>
    <w:rsid w:val="00EE22C8"/>
    <w:rsid w:val="00EE34EB"/>
    <w:rsid w:val="00EE3532"/>
    <w:rsid w:val="00EE3C21"/>
    <w:rsid w:val="00EE4550"/>
    <w:rsid w:val="00EE4916"/>
    <w:rsid w:val="00EE5A55"/>
    <w:rsid w:val="00EE5DE2"/>
    <w:rsid w:val="00EE6DC3"/>
    <w:rsid w:val="00EE71FE"/>
    <w:rsid w:val="00EE7CD7"/>
    <w:rsid w:val="00EF099A"/>
    <w:rsid w:val="00EF1A65"/>
    <w:rsid w:val="00EF1E09"/>
    <w:rsid w:val="00EF2334"/>
    <w:rsid w:val="00EF2363"/>
    <w:rsid w:val="00EF2823"/>
    <w:rsid w:val="00EF29CD"/>
    <w:rsid w:val="00EF3FB2"/>
    <w:rsid w:val="00EF4443"/>
    <w:rsid w:val="00EF47D9"/>
    <w:rsid w:val="00EF5DA5"/>
    <w:rsid w:val="00EF69EA"/>
    <w:rsid w:val="00EF724B"/>
    <w:rsid w:val="00EF7A54"/>
    <w:rsid w:val="00F003F0"/>
    <w:rsid w:val="00F007AB"/>
    <w:rsid w:val="00F00952"/>
    <w:rsid w:val="00F01222"/>
    <w:rsid w:val="00F0183B"/>
    <w:rsid w:val="00F01F5D"/>
    <w:rsid w:val="00F02750"/>
    <w:rsid w:val="00F02A28"/>
    <w:rsid w:val="00F02CB9"/>
    <w:rsid w:val="00F02D64"/>
    <w:rsid w:val="00F04044"/>
    <w:rsid w:val="00F04E89"/>
    <w:rsid w:val="00F05B7F"/>
    <w:rsid w:val="00F05ED6"/>
    <w:rsid w:val="00F06636"/>
    <w:rsid w:val="00F06D66"/>
    <w:rsid w:val="00F06FB0"/>
    <w:rsid w:val="00F07083"/>
    <w:rsid w:val="00F11D69"/>
    <w:rsid w:val="00F12EA5"/>
    <w:rsid w:val="00F131D3"/>
    <w:rsid w:val="00F13398"/>
    <w:rsid w:val="00F1399E"/>
    <w:rsid w:val="00F13A3D"/>
    <w:rsid w:val="00F13FC2"/>
    <w:rsid w:val="00F15C97"/>
    <w:rsid w:val="00F15EF9"/>
    <w:rsid w:val="00F15F15"/>
    <w:rsid w:val="00F1613C"/>
    <w:rsid w:val="00F169F8"/>
    <w:rsid w:val="00F16FB7"/>
    <w:rsid w:val="00F17039"/>
    <w:rsid w:val="00F1743A"/>
    <w:rsid w:val="00F200FC"/>
    <w:rsid w:val="00F20F7C"/>
    <w:rsid w:val="00F216D5"/>
    <w:rsid w:val="00F22106"/>
    <w:rsid w:val="00F2213F"/>
    <w:rsid w:val="00F229B4"/>
    <w:rsid w:val="00F2370F"/>
    <w:rsid w:val="00F248D0"/>
    <w:rsid w:val="00F24CE5"/>
    <w:rsid w:val="00F24CFF"/>
    <w:rsid w:val="00F24E8D"/>
    <w:rsid w:val="00F2642E"/>
    <w:rsid w:val="00F26F64"/>
    <w:rsid w:val="00F2748C"/>
    <w:rsid w:val="00F27AE4"/>
    <w:rsid w:val="00F27F7D"/>
    <w:rsid w:val="00F318F5"/>
    <w:rsid w:val="00F31A67"/>
    <w:rsid w:val="00F31B5A"/>
    <w:rsid w:val="00F3387C"/>
    <w:rsid w:val="00F338E1"/>
    <w:rsid w:val="00F34A46"/>
    <w:rsid w:val="00F350DD"/>
    <w:rsid w:val="00F35426"/>
    <w:rsid w:val="00F35624"/>
    <w:rsid w:val="00F35E52"/>
    <w:rsid w:val="00F361F5"/>
    <w:rsid w:val="00F36A32"/>
    <w:rsid w:val="00F36FCF"/>
    <w:rsid w:val="00F3779D"/>
    <w:rsid w:val="00F4033C"/>
    <w:rsid w:val="00F40660"/>
    <w:rsid w:val="00F4069E"/>
    <w:rsid w:val="00F40FF1"/>
    <w:rsid w:val="00F42040"/>
    <w:rsid w:val="00F42CCF"/>
    <w:rsid w:val="00F4305C"/>
    <w:rsid w:val="00F44140"/>
    <w:rsid w:val="00F4455D"/>
    <w:rsid w:val="00F44914"/>
    <w:rsid w:val="00F455AD"/>
    <w:rsid w:val="00F45B0C"/>
    <w:rsid w:val="00F46228"/>
    <w:rsid w:val="00F46AC9"/>
    <w:rsid w:val="00F472BD"/>
    <w:rsid w:val="00F477E4"/>
    <w:rsid w:val="00F51183"/>
    <w:rsid w:val="00F51214"/>
    <w:rsid w:val="00F516AF"/>
    <w:rsid w:val="00F52CA9"/>
    <w:rsid w:val="00F5307E"/>
    <w:rsid w:val="00F53AFF"/>
    <w:rsid w:val="00F541B2"/>
    <w:rsid w:val="00F544D7"/>
    <w:rsid w:val="00F547C0"/>
    <w:rsid w:val="00F54B46"/>
    <w:rsid w:val="00F5557B"/>
    <w:rsid w:val="00F5593C"/>
    <w:rsid w:val="00F563B4"/>
    <w:rsid w:val="00F57AA5"/>
    <w:rsid w:val="00F57BFC"/>
    <w:rsid w:val="00F603F4"/>
    <w:rsid w:val="00F60544"/>
    <w:rsid w:val="00F60740"/>
    <w:rsid w:val="00F61357"/>
    <w:rsid w:val="00F617E7"/>
    <w:rsid w:val="00F61EB1"/>
    <w:rsid w:val="00F62A74"/>
    <w:rsid w:val="00F62B54"/>
    <w:rsid w:val="00F64114"/>
    <w:rsid w:val="00F644BD"/>
    <w:rsid w:val="00F65170"/>
    <w:rsid w:val="00F65581"/>
    <w:rsid w:val="00F65E07"/>
    <w:rsid w:val="00F65E3C"/>
    <w:rsid w:val="00F66772"/>
    <w:rsid w:val="00F66F63"/>
    <w:rsid w:val="00F67212"/>
    <w:rsid w:val="00F67B8F"/>
    <w:rsid w:val="00F71184"/>
    <w:rsid w:val="00F7193A"/>
    <w:rsid w:val="00F72368"/>
    <w:rsid w:val="00F72CDF"/>
    <w:rsid w:val="00F7311A"/>
    <w:rsid w:val="00F732F3"/>
    <w:rsid w:val="00F74894"/>
    <w:rsid w:val="00F8119B"/>
    <w:rsid w:val="00F82F24"/>
    <w:rsid w:val="00F83AAF"/>
    <w:rsid w:val="00F83CEA"/>
    <w:rsid w:val="00F84093"/>
    <w:rsid w:val="00F85A5E"/>
    <w:rsid w:val="00F861F6"/>
    <w:rsid w:val="00F86812"/>
    <w:rsid w:val="00F86973"/>
    <w:rsid w:val="00F87308"/>
    <w:rsid w:val="00F9073B"/>
    <w:rsid w:val="00F90B04"/>
    <w:rsid w:val="00F91269"/>
    <w:rsid w:val="00F91351"/>
    <w:rsid w:val="00F915ED"/>
    <w:rsid w:val="00F93075"/>
    <w:rsid w:val="00F94026"/>
    <w:rsid w:val="00F94543"/>
    <w:rsid w:val="00F94EF7"/>
    <w:rsid w:val="00F95240"/>
    <w:rsid w:val="00F95680"/>
    <w:rsid w:val="00F9661F"/>
    <w:rsid w:val="00F9704A"/>
    <w:rsid w:val="00F97257"/>
    <w:rsid w:val="00FA0059"/>
    <w:rsid w:val="00FA1034"/>
    <w:rsid w:val="00FA130C"/>
    <w:rsid w:val="00FA19EF"/>
    <w:rsid w:val="00FA2366"/>
    <w:rsid w:val="00FA2488"/>
    <w:rsid w:val="00FA267E"/>
    <w:rsid w:val="00FA2B06"/>
    <w:rsid w:val="00FA3665"/>
    <w:rsid w:val="00FA3CA2"/>
    <w:rsid w:val="00FA448F"/>
    <w:rsid w:val="00FA608B"/>
    <w:rsid w:val="00FA6D71"/>
    <w:rsid w:val="00FA71F6"/>
    <w:rsid w:val="00FA74FB"/>
    <w:rsid w:val="00FA77F9"/>
    <w:rsid w:val="00FA79A2"/>
    <w:rsid w:val="00FA7B82"/>
    <w:rsid w:val="00FB00AD"/>
    <w:rsid w:val="00FB13EB"/>
    <w:rsid w:val="00FB2572"/>
    <w:rsid w:val="00FB2A9B"/>
    <w:rsid w:val="00FB3ED3"/>
    <w:rsid w:val="00FB4542"/>
    <w:rsid w:val="00FC0AF7"/>
    <w:rsid w:val="00FC1F3E"/>
    <w:rsid w:val="00FC28DB"/>
    <w:rsid w:val="00FC2E7B"/>
    <w:rsid w:val="00FC32BC"/>
    <w:rsid w:val="00FC3BA8"/>
    <w:rsid w:val="00FC3DA5"/>
    <w:rsid w:val="00FC407A"/>
    <w:rsid w:val="00FC47D4"/>
    <w:rsid w:val="00FC54E0"/>
    <w:rsid w:val="00FC5849"/>
    <w:rsid w:val="00FC5CE0"/>
    <w:rsid w:val="00FC5DF7"/>
    <w:rsid w:val="00FC6118"/>
    <w:rsid w:val="00FC6C01"/>
    <w:rsid w:val="00FC6CA0"/>
    <w:rsid w:val="00FC75F1"/>
    <w:rsid w:val="00FC77AF"/>
    <w:rsid w:val="00FC7CCD"/>
    <w:rsid w:val="00FD0066"/>
    <w:rsid w:val="00FD01B8"/>
    <w:rsid w:val="00FD0778"/>
    <w:rsid w:val="00FD10F4"/>
    <w:rsid w:val="00FD19FD"/>
    <w:rsid w:val="00FD1F86"/>
    <w:rsid w:val="00FD3072"/>
    <w:rsid w:val="00FD339A"/>
    <w:rsid w:val="00FD39E1"/>
    <w:rsid w:val="00FD4420"/>
    <w:rsid w:val="00FD49C2"/>
    <w:rsid w:val="00FD50A8"/>
    <w:rsid w:val="00FD562E"/>
    <w:rsid w:val="00FD610D"/>
    <w:rsid w:val="00FD7A07"/>
    <w:rsid w:val="00FE0D6D"/>
    <w:rsid w:val="00FE1E53"/>
    <w:rsid w:val="00FE1EC2"/>
    <w:rsid w:val="00FE21B5"/>
    <w:rsid w:val="00FE44CE"/>
    <w:rsid w:val="00FE524C"/>
    <w:rsid w:val="00FE52A8"/>
    <w:rsid w:val="00FE7616"/>
    <w:rsid w:val="00FE7AEC"/>
    <w:rsid w:val="00FE7EF3"/>
    <w:rsid w:val="00FF1B1B"/>
    <w:rsid w:val="00FF2800"/>
    <w:rsid w:val="00FF2A2C"/>
    <w:rsid w:val="00FF3535"/>
    <w:rsid w:val="00FF3651"/>
    <w:rsid w:val="00FF3A8D"/>
    <w:rsid w:val="00FF4C4E"/>
    <w:rsid w:val="00FF53E7"/>
    <w:rsid w:val="00FF5588"/>
    <w:rsid w:val="00FF6021"/>
    <w:rsid w:val="00FF63E6"/>
    <w:rsid w:val="00FF6DF4"/>
    <w:rsid w:val="00FF7293"/>
    <w:rsid w:val="02252058"/>
    <w:rsid w:val="039569EE"/>
    <w:rsid w:val="04621540"/>
    <w:rsid w:val="046C15C8"/>
    <w:rsid w:val="053E486B"/>
    <w:rsid w:val="06A6255F"/>
    <w:rsid w:val="0B2C28D8"/>
    <w:rsid w:val="0C2D14BF"/>
    <w:rsid w:val="0C7D1B65"/>
    <w:rsid w:val="0E4D68AD"/>
    <w:rsid w:val="0F136821"/>
    <w:rsid w:val="11E62753"/>
    <w:rsid w:val="14613938"/>
    <w:rsid w:val="14736230"/>
    <w:rsid w:val="165A5CB9"/>
    <w:rsid w:val="19E404ED"/>
    <w:rsid w:val="1B8D2581"/>
    <w:rsid w:val="1BCD5EF7"/>
    <w:rsid w:val="1D6A2917"/>
    <w:rsid w:val="202229D0"/>
    <w:rsid w:val="229A4CF1"/>
    <w:rsid w:val="24E74C81"/>
    <w:rsid w:val="26172C36"/>
    <w:rsid w:val="2631375B"/>
    <w:rsid w:val="26CE5244"/>
    <w:rsid w:val="26F834B6"/>
    <w:rsid w:val="28087EBE"/>
    <w:rsid w:val="28244EDC"/>
    <w:rsid w:val="28666E18"/>
    <w:rsid w:val="2ACB58F8"/>
    <w:rsid w:val="2C5D69EE"/>
    <w:rsid w:val="324D1DFC"/>
    <w:rsid w:val="32BB17EF"/>
    <w:rsid w:val="32C64093"/>
    <w:rsid w:val="355C423E"/>
    <w:rsid w:val="374F3F31"/>
    <w:rsid w:val="37883342"/>
    <w:rsid w:val="3D946844"/>
    <w:rsid w:val="3DE770C2"/>
    <w:rsid w:val="3DFA07D0"/>
    <w:rsid w:val="41880999"/>
    <w:rsid w:val="43E55CD4"/>
    <w:rsid w:val="451F2F53"/>
    <w:rsid w:val="46752AA5"/>
    <w:rsid w:val="492319F8"/>
    <w:rsid w:val="49D91881"/>
    <w:rsid w:val="4AC90E8B"/>
    <w:rsid w:val="4B79120A"/>
    <w:rsid w:val="4C5C5157"/>
    <w:rsid w:val="4C9B7E13"/>
    <w:rsid w:val="4E8C0D7F"/>
    <w:rsid w:val="4F4307C8"/>
    <w:rsid w:val="51A54122"/>
    <w:rsid w:val="527D26F8"/>
    <w:rsid w:val="53590C66"/>
    <w:rsid w:val="539A15FA"/>
    <w:rsid w:val="5435197F"/>
    <w:rsid w:val="55CC716F"/>
    <w:rsid w:val="564C2029"/>
    <w:rsid w:val="5656053F"/>
    <w:rsid w:val="56E542AB"/>
    <w:rsid w:val="5728333B"/>
    <w:rsid w:val="57930337"/>
    <w:rsid w:val="57F97368"/>
    <w:rsid w:val="585D6500"/>
    <w:rsid w:val="58DE3534"/>
    <w:rsid w:val="5B565659"/>
    <w:rsid w:val="60E56A46"/>
    <w:rsid w:val="610B7637"/>
    <w:rsid w:val="63C113FB"/>
    <w:rsid w:val="642E6B90"/>
    <w:rsid w:val="64804872"/>
    <w:rsid w:val="652F402B"/>
    <w:rsid w:val="669244A8"/>
    <w:rsid w:val="6A89304F"/>
    <w:rsid w:val="6C772666"/>
    <w:rsid w:val="6CE32C46"/>
    <w:rsid w:val="6D2A09FB"/>
    <w:rsid w:val="6D5A2E2B"/>
    <w:rsid w:val="6D9E4FF0"/>
    <w:rsid w:val="6E217176"/>
    <w:rsid w:val="6FD23323"/>
    <w:rsid w:val="704A4AC6"/>
    <w:rsid w:val="76544B51"/>
    <w:rsid w:val="773120B7"/>
    <w:rsid w:val="77F224B9"/>
    <w:rsid w:val="790F3F46"/>
    <w:rsid w:val="7C891C64"/>
    <w:rsid w:val="7E696A2D"/>
    <w:rsid w:val="7EF976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45"/>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tabs>
        <w:tab w:val="left" w:pos="0"/>
      </w:tabs>
      <w:spacing w:before="280" w:after="290" w:line="376" w:lineRule="auto"/>
      <w:ind w:left="851" w:hanging="851"/>
      <w:jc w:val="left"/>
      <w:outlineLvl w:val="3"/>
    </w:pPr>
    <w:rPr>
      <w:rFonts w:ascii="Arial" w:hAnsi="Arial" w:eastAsia="黑体" w:cs="Times New Roman"/>
      <w:bCs/>
      <w:sz w:val="24"/>
      <w:szCs w:val="28"/>
    </w:rPr>
  </w:style>
  <w:style w:type="paragraph" w:styleId="6">
    <w:name w:val="heading 5"/>
    <w:basedOn w:val="1"/>
    <w:next w:val="1"/>
    <w:link w:val="39"/>
    <w:qFormat/>
    <w:uiPriority w:val="0"/>
    <w:pPr>
      <w:keepNext/>
      <w:keepLines/>
      <w:tabs>
        <w:tab w:val="left" w:pos="567"/>
      </w:tabs>
      <w:spacing w:before="280" w:after="290" w:line="376" w:lineRule="auto"/>
      <w:ind w:left="992" w:hanging="992"/>
      <w:outlineLvl w:val="4"/>
    </w:pPr>
    <w:rPr>
      <w:rFonts w:ascii="Times New Roman" w:hAnsi="Times New Roman" w:eastAsia="宋体" w:cs="Times New Roman"/>
      <w:b/>
      <w:bCs/>
      <w:sz w:val="28"/>
      <w:szCs w:val="28"/>
    </w:rPr>
  </w:style>
  <w:style w:type="paragraph" w:styleId="7">
    <w:name w:val="heading 6"/>
    <w:basedOn w:val="8"/>
    <w:next w:val="1"/>
    <w:link w:val="40"/>
    <w:qFormat/>
    <w:uiPriority w:val="0"/>
    <w:pPr>
      <w:keepNext w:val="0"/>
      <w:keepLines w:val="0"/>
      <w:tabs>
        <w:tab w:val="left" w:pos="840"/>
        <w:tab w:val="left" w:pos="3545"/>
      </w:tabs>
      <w:adjustRightInd w:val="0"/>
      <w:snapToGrid w:val="0"/>
      <w:spacing w:before="0" w:after="0" w:line="240" w:lineRule="auto"/>
      <w:ind w:left="2411"/>
      <w:outlineLvl w:val="5"/>
    </w:pPr>
    <w:rPr>
      <w:rFonts w:ascii="Times New Roman" w:hAnsi="Times New Roman" w:eastAsia="宋体" w:cs="Times New Roman"/>
      <w:b w:val="0"/>
      <w:bCs w:val="0"/>
    </w:rPr>
  </w:style>
  <w:style w:type="paragraph" w:styleId="8">
    <w:name w:val="heading 7"/>
    <w:basedOn w:val="1"/>
    <w:next w:val="1"/>
    <w:link w:val="44"/>
    <w:semiHidden/>
    <w:unhideWhenUsed/>
    <w:qFormat/>
    <w:uiPriority w:val="9"/>
    <w:pPr>
      <w:keepNext/>
      <w:keepLines/>
      <w:spacing w:before="240" w:after="64" w:line="320" w:lineRule="auto"/>
      <w:outlineLvl w:val="6"/>
    </w:pPr>
    <w:rPr>
      <w:b/>
      <w:bCs/>
      <w:sz w:val="24"/>
      <w:szCs w:val="24"/>
    </w:rPr>
  </w:style>
  <w:style w:type="paragraph" w:styleId="9">
    <w:name w:val="heading 9"/>
    <w:basedOn w:val="1"/>
    <w:next w:val="1"/>
    <w:link w:val="34"/>
    <w:qFormat/>
    <w:uiPriority w:val="0"/>
    <w:pPr>
      <w:keepNext/>
      <w:keepLines/>
      <w:spacing w:before="240" w:after="64" w:line="320" w:lineRule="auto"/>
      <w:outlineLvl w:val="8"/>
    </w:pPr>
    <w:rPr>
      <w:rFonts w:ascii="Arial" w:hAnsi="Arial" w:eastAsia="黑体" w:cs="Times New Roman"/>
      <w:szCs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35"/>
    <w:semiHidden/>
    <w:unhideWhenUsed/>
    <w:qFormat/>
    <w:uiPriority w:val="99"/>
    <w:pPr>
      <w:jc w:val="left"/>
    </w:pPr>
  </w:style>
  <w:style w:type="paragraph" w:styleId="11">
    <w:name w:val="toc 3"/>
    <w:basedOn w:val="1"/>
    <w:next w:val="1"/>
    <w:unhideWhenUsed/>
    <w:qFormat/>
    <w:uiPriority w:val="39"/>
    <w:pPr>
      <w:ind w:left="840" w:leftChars="400"/>
    </w:pPr>
  </w:style>
  <w:style w:type="paragraph" w:styleId="12">
    <w:name w:val="Date"/>
    <w:basedOn w:val="1"/>
    <w:next w:val="1"/>
    <w:link w:val="30"/>
    <w:semiHidden/>
    <w:unhideWhenUsed/>
    <w:qFormat/>
    <w:uiPriority w:val="99"/>
    <w:pPr>
      <w:ind w:left="100" w:leftChars="2500"/>
    </w:pPr>
  </w:style>
  <w:style w:type="paragraph" w:styleId="13">
    <w:name w:val="Balloon Text"/>
    <w:basedOn w:val="1"/>
    <w:link w:val="29"/>
    <w:semiHidden/>
    <w:unhideWhenUsed/>
    <w:qFormat/>
    <w:uiPriority w:val="99"/>
    <w:rPr>
      <w:sz w:val="18"/>
      <w:szCs w:val="18"/>
    </w:rPr>
  </w:style>
  <w:style w:type="paragraph" w:styleId="14">
    <w:name w:val="footer"/>
    <w:basedOn w:val="1"/>
    <w:link w:val="28"/>
    <w:unhideWhenUsed/>
    <w:qFormat/>
    <w:uiPriority w:val="99"/>
    <w:pPr>
      <w:tabs>
        <w:tab w:val="center" w:pos="4153"/>
        <w:tab w:val="right" w:pos="8306"/>
      </w:tabs>
      <w:snapToGrid w:val="0"/>
      <w:jc w:val="left"/>
    </w:pPr>
    <w:rPr>
      <w:sz w:val="18"/>
      <w:szCs w:val="18"/>
    </w:rPr>
  </w:style>
  <w:style w:type="paragraph" w:styleId="15">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right" w:leader="dot" w:pos="8296"/>
      </w:tabs>
      <w:spacing w:line="360" w:lineRule="auto"/>
    </w:pPr>
  </w:style>
  <w:style w:type="paragraph" w:styleId="17">
    <w:name w:val="toc 2"/>
    <w:basedOn w:val="1"/>
    <w:next w:val="1"/>
    <w:unhideWhenUsed/>
    <w:qFormat/>
    <w:uiPriority w:val="39"/>
    <w:pPr>
      <w:tabs>
        <w:tab w:val="right" w:leader="dot" w:pos="8296"/>
      </w:tabs>
    </w:pPr>
  </w:style>
  <w:style w:type="paragraph" w:styleId="18">
    <w:name w:val="annotation subject"/>
    <w:basedOn w:val="10"/>
    <w:next w:val="10"/>
    <w:link w:val="3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Hyperlink"/>
    <w:basedOn w:val="21"/>
    <w:unhideWhenUsed/>
    <w:qFormat/>
    <w:uiPriority w:val="99"/>
    <w:rPr>
      <w:color w:val="0000FF" w:themeColor="hyperlink"/>
      <w:u w:val="single"/>
    </w:rPr>
  </w:style>
  <w:style w:type="character" w:styleId="23">
    <w:name w:val="annotation reference"/>
    <w:basedOn w:val="21"/>
    <w:semiHidden/>
    <w:unhideWhenUsed/>
    <w:qFormat/>
    <w:uiPriority w:val="99"/>
    <w:rPr>
      <w:sz w:val="21"/>
      <w:szCs w:val="21"/>
    </w:rPr>
  </w:style>
  <w:style w:type="paragraph" w:styleId="24">
    <w:name w:val="List Paragraph"/>
    <w:basedOn w:val="1"/>
    <w:qFormat/>
    <w:uiPriority w:val="34"/>
    <w:pPr>
      <w:ind w:firstLine="420" w:firstLineChars="200"/>
    </w:pPr>
  </w:style>
  <w:style w:type="character" w:customStyle="1" w:styleId="25">
    <w:name w:val="标题 1 Char"/>
    <w:basedOn w:val="21"/>
    <w:link w:val="2"/>
    <w:qFormat/>
    <w:uiPriority w:val="0"/>
    <w:rPr>
      <w:rFonts w:ascii="Times New Roman" w:hAnsi="Times New Roman" w:eastAsia="宋体" w:cs="Times New Roman"/>
      <w:b/>
      <w:bCs/>
      <w:kern w:val="44"/>
      <w:sz w:val="44"/>
      <w:szCs w:val="44"/>
    </w:rPr>
  </w:style>
  <w:style w:type="character" w:customStyle="1" w:styleId="26">
    <w:name w:val="标题 2 Char"/>
    <w:basedOn w:val="21"/>
    <w:link w:val="3"/>
    <w:qFormat/>
    <w:uiPriority w:val="0"/>
    <w:rPr>
      <w:rFonts w:ascii="Arial" w:hAnsi="Arial" w:eastAsia="黑体" w:cs="Times New Roman"/>
      <w:b/>
      <w:bCs/>
      <w:sz w:val="32"/>
      <w:szCs w:val="32"/>
    </w:rPr>
  </w:style>
  <w:style w:type="character" w:customStyle="1" w:styleId="27">
    <w:name w:val="页眉 Char"/>
    <w:basedOn w:val="21"/>
    <w:link w:val="15"/>
    <w:qFormat/>
    <w:uiPriority w:val="99"/>
    <w:rPr>
      <w:sz w:val="18"/>
      <w:szCs w:val="18"/>
    </w:rPr>
  </w:style>
  <w:style w:type="character" w:customStyle="1" w:styleId="28">
    <w:name w:val="页脚 Char"/>
    <w:basedOn w:val="21"/>
    <w:link w:val="14"/>
    <w:qFormat/>
    <w:uiPriority w:val="99"/>
    <w:rPr>
      <w:sz w:val="18"/>
      <w:szCs w:val="18"/>
    </w:rPr>
  </w:style>
  <w:style w:type="character" w:customStyle="1" w:styleId="29">
    <w:name w:val="批注框文本 Char"/>
    <w:basedOn w:val="21"/>
    <w:link w:val="13"/>
    <w:semiHidden/>
    <w:qFormat/>
    <w:uiPriority w:val="99"/>
    <w:rPr>
      <w:sz w:val="18"/>
      <w:szCs w:val="18"/>
    </w:rPr>
  </w:style>
  <w:style w:type="character" w:customStyle="1" w:styleId="30">
    <w:name w:val="日期 Char"/>
    <w:basedOn w:val="21"/>
    <w:link w:val="12"/>
    <w:semiHidden/>
    <w:qFormat/>
    <w:uiPriority w:val="99"/>
  </w:style>
  <w:style w:type="paragraph" w:customStyle="1" w:styleId="31">
    <w:name w:val="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32">
    <w:name w:val="Char2"/>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33">
    <w:name w:val="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34">
    <w:name w:val="标题 9 Char"/>
    <w:basedOn w:val="21"/>
    <w:link w:val="9"/>
    <w:qFormat/>
    <w:uiPriority w:val="0"/>
    <w:rPr>
      <w:rFonts w:ascii="Arial" w:hAnsi="Arial" w:eastAsia="黑体" w:cs="Times New Roman"/>
      <w:szCs w:val="21"/>
    </w:rPr>
  </w:style>
  <w:style w:type="character" w:customStyle="1" w:styleId="35">
    <w:name w:val="批注文字 Char"/>
    <w:basedOn w:val="21"/>
    <w:link w:val="10"/>
    <w:semiHidden/>
    <w:qFormat/>
    <w:uiPriority w:val="99"/>
  </w:style>
  <w:style w:type="character" w:customStyle="1" w:styleId="36">
    <w:name w:val="批注主题 Char"/>
    <w:basedOn w:val="35"/>
    <w:link w:val="18"/>
    <w:semiHidden/>
    <w:qFormat/>
    <w:uiPriority w:val="99"/>
    <w:rPr>
      <w:b/>
      <w:bCs/>
    </w:rPr>
  </w:style>
  <w:style w:type="paragraph" w:customStyle="1" w:styleId="37">
    <w:name w:val="Char4"/>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38">
    <w:name w:val="标题 4 Char"/>
    <w:basedOn w:val="21"/>
    <w:link w:val="5"/>
    <w:qFormat/>
    <w:uiPriority w:val="0"/>
    <w:rPr>
      <w:rFonts w:ascii="Arial" w:hAnsi="Arial" w:eastAsia="黑体" w:cs="Times New Roman"/>
      <w:bCs/>
      <w:sz w:val="24"/>
      <w:szCs w:val="28"/>
    </w:rPr>
  </w:style>
  <w:style w:type="character" w:customStyle="1" w:styleId="39">
    <w:name w:val="标题 5 Char"/>
    <w:basedOn w:val="21"/>
    <w:link w:val="6"/>
    <w:qFormat/>
    <w:uiPriority w:val="0"/>
    <w:rPr>
      <w:rFonts w:ascii="Times New Roman" w:hAnsi="Times New Roman" w:eastAsia="宋体" w:cs="Times New Roman"/>
      <w:b/>
      <w:bCs/>
      <w:sz w:val="28"/>
      <w:szCs w:val="28"/>
    </w:rPr>
  </w:style>
  <w:style w:type="character" w:customStyle="1" w:styleId="40">
    <w:name w:val="标题 6 Char"/>
    <w:basedOn w:val="21"/>
    <w:link w:val="7"/>
    <w:qFormat/>
    <w:uiPriority w:val="0"/>
    <w:rPr>
      <w:rFonts w:ascii="Times New Roman" w:hAnsi="Times New Roman" w:eastAsia="宋体" w:cs="Times New Roman"/>
      <w:sz w:val="24"/>
      <w:szCs w:val="24"/>
    </w:rPr>
  </w:style>
  <w:style w:type="paragraph" w:customStyle="1" w:styleId="41">
    <w:name w:val="样式 标题 1 + 黑色"/>
    <w:basedOn w:val="2"/>
    <w:qFormat/>
    <w:uiPriority w:val="0"/>
    <w:pPr>
      <w:keepLines w:val="0"/>
      <w:tabs>
        <w:tab w:val="left" w:pos="425"/>
      </w:tabs>
      <w:spacing w:before="100" w:beforeAutospacing="1" w:after="100" w:afterAutospacing="1" w:line="240" w:lineRule="auto"/>
      <w:ind w:left="425" w:hanging="425"/>
    </w:pPr>
    <w:rPr>
      <w:rFonts w:ascii="黑体" w:eastAsia="黑体"/>
      <w:b w:val="0"/>
      <w:color w:val="000000"/>
      <w:kern w:val="0"/>
      <w:sz w:val="28"/>
      <w:szCs w:val="28"/>
    </w:rPr>
  </w:style>
  <w:style w:type="paragraph" w:customStyle="1" w:styleId="42">
    <w:name w:val="样式 标题 3 + 黑色"/>
    <w:basedOn w:val="4"/>
    <w:link w:val="43"/>
    <w:qFormat/>
    <w:uiPriority w:val="0"/>
    <w:pPr>
      <w:keepNext w:val="0"/>
      <w:keepLines w:val="0"/>
      <w:tabs>
        <w:tab w:val="left" w:pos="0"/>
      </w:tabs>
      <w:spacing w:before="0" w:after="0" w:line="240" w:lineRule="auto"/>
      <w:ind w:left="709" w:hanging="709"/>
    </w:pPr>
    <w:rPr>
      <w:rFonts w:ascii="宋体" w:hAnsi="宋体" w:eastAsia="黑体" w:cs="Times New Roman"/>
      <w:b w:val="0"/>
      <w:color w:val="000000"/>
      <w:sz w:val="24"/>
      <w:szCs w:val="24"/>
    </w:rPr>
  </w:style>
  <w:style w:type="character" w:customStyle="1" w:styleId="43">
    <w:name w:val="样式 标题 3 + 黑色 Char Char"/>
    <w:link w:val="42"/>
    <w:qFormat/>
    <w:uiPriority w:val="0"/>
    <w:rPr>
      <w:rFonts w:ascii="宋体" w:hAnsi="宋体" w:eastAsia="黑体" w:cs="Times New Roman"/>
      <w:bCs/>
      <w:color w:val="000000"/>
      <w:sz w:val="24"/>
      <w:szCs w:val="24"/>
    </w:rPr>
  </w:style>
  <w:style w:type="character" w:customStyle="1" w:styleId="44">
    <w:name w:val="标题 7 Char"/>
    <w:basedOn w:val="21"/>
    <w:link w:val="8"/>
    <w:semiHidden/>
    <w:qFormat/>
    <w:uiPriority w:val="9"/>
    <w:rPr>
      <w:b/>
      <w:bCs/>
      <w:sz w:val="24"/>
      <w:szCs w:val="24"/>
    </w:rPr>
  </w:style>
  <w:style w:type="character" w:customStyle="1" w:styleId="45">
    <w:name w:val="标题 3 Char"/>
    <w:basedOn w:val="21"/>
    <w:link w:val="4"/>
    <w:semiHidden/>
    <w:qFormat/>
    <w:uiPriority w:val="9"/>
    <w:rPr>
      <w:b/>
      <w:bCs/>
      <w:sz w:val="32"/>
      <w:szCs w:val="32"/>
    </w:rPr>
  </w:style>
  <w:style w:type="character" w:styleId="46">
    <w:name w:val="Placeholder Text"/>
    <w:basedOn w:val="21"/>
    <w:semiHidden/>
    <w:qFormat/>
    <w:uiPriority w:val="99"/>
    <w:rPr>
      <w:color w:val="808080"/>
    </w:rPr>
  </w:style>
  <w:style w:type="paragraph" w:customStyle="1" w:styleId="47">
    <w:name w:val="Char3"/>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4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9">
    <w:name w:val="段"/>
    <w:link w:val="5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
    <w:name w:val="Default"/>
    <w:qFormat/>
    <w:uiPriority w:val="0"/>
    <w:pPr>
      <w:widowControl w:val="0"/>
      <w:autoSpaceDE w:val="0"/>
      <w:autoSpaceDN w:val="0"/>
      <w:adjustRightInd w:val="0"/>
    </w:pPr>
    <w:rPr>
      <w:rFonts w:ascii="黑体" w:hAnsi="黑体" w:cs="黑体" w:eastAsiaTheme="minorEastAsia"/>
      <w:color w:val="000000"/>
      <w:sz w:val="24"/>
      <w:szCs w:val="24"/>
      <w:lang w:val="en-US" w:eastAsia="zh-CN" w:bidi="ar-SA"/>
    </w:rPr>
  </w:style>
  <w:style w:type="paragraph" w:customStyle="1" w:styleId="5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52">
    <w:name w:val="Char5"/>
    <w:basedOn w:val="1"/>
    <w:qFormat/>
    <w:uiPriority w:val="0"/>
    <w:pPr>
      <w:widowControl/>
      <w:spacing w:after="160" w:line="240" w:lineRule="exact"/>
      <w:jc w:val="left"/>
    </w:pPr>
    <w:rPr>
      <w:rFonts w:ascii="Times New Roman" w:hAnsi="Times New Roman" w:eastAsia="宋体" w:cs="Times New Roman"/>
      <w:szCs w:val="24"/>
    </w:rPr>
  </w:style>
  <w:style w:type="character" w:customStyle="1" w:styleId="53">
    <w:name w:val="段 Char"/>
    <w:basedOn w:val="21"/>
    <w:link w:val="49"/>
    <w:qFormat/>
    <w:uiPriority w:val="0"/>
    <w:rPr>
      <w:rFonts w:ascii="宋体" w:hAnsi="Times New Roman" w:eastAsia="宋体" w:cs="Times New Roman"/>
      <w:kern w:val="0"/>
      <w:szCs w:val="20"/>
    </w:rPr>
  </w:style>
  <w:style w:type="paragraph" w:customStyle="1" w:styleId="54">
    <w:name w:val="正文表标题"/>
    <w:next w:val="49"/>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55">
    <w:name w:val="一级条标题"/>
    <w:next w:val="4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56">
    <w:name w:val="章标题"/>
    <w:next w:val="49"/>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57">
    <w:name w:val="二级条标题"/>
    <w:basedOn w:val="55"/>
    <w:next w:val="49"/>
    <w:qFormat/>
    <w:uiPriority w:val="0"/>
    <w:pPr>
      <w:numPr>
        <w:ilvl w:val="2"/>
      </w:numPr>
      <w:spacing w:before="50" w:after="50"/>
      <w:outlineLvl w:val="3"/>
    </w:pPr>
  </w:style>
  <w:style w:type="paragraph" w:customStyle="1" w:styleId="58">
    <w:name w:val="三级条标题"/>
    <w:basedOn w:val="57"/>
    <w:next w:val="49"/>
    <w:qFormat/>
    <w:uiPriority w:val="0"/>
    <w:pPr>
      <w:numPr>
        <w:ilvl w:val="3"/>
      </w:numPr>
      <w:outlineLvl w:val="4"/>
    </w:pPr>
  </w:style>
  <w:style w:type="paragraph" w:customStyle="1" w:styleId="59">
    <w:name w:val="四级条标题"/>
    <w:basedOn w:val="58"/>
    <w:next w:val="49"/>
    <w:qFormat/>
    <w:uiPriority w:val="0"/>
    <w:pPr>
      <w:numPr>
        <w:ilvl w:val="4"/>
      </w:numPr>
      <w:outlineLvl w:val="5"/>
    </w:pPr>
  </w:style>
  <w:style w:type="paragraph" w:customStyle="1" w:styleId="60">
    <w:name w:val="五级条标题"/>
    <w:basedOn w:val="59"/>
    <w:next w:val="49"/>
    <w:qFormat/>
    <w:uiPriority w:val="0"/>
    <w:pPr>
      <w:numPr>
        <w:ilvl w:val="5"/>
      </w:numPr>
      <w:outlineLvl w:val="6"/>
    </w:pPr>
  </w:style>
  <w:style w:type="paragraph" w:customStyle="1" w:styleId="61">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62">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63">
    <w:name w:val="编号列项（三级）"/>
    <w:qFormat/>
    <w:uiPriority w:val="0"/>
    <w:pPr>
      <w:numPr>
        <w:ilvl w:val="2"/>
        <w:numId w:val="2"/>
      </w:numPr>
    </w:pPr>
    <w:rPr>
      <w:rFonts w:ascii="宋体" w:hAnsi="Times New Roman" w:eastAsia="宋体" w:cs="Times New Roman"/>
      <w:sz w:val="21"/>
      <w:lang w:val="en-US" w:eastAsia="zh-CN" w:bidi="ar-SA"/>
    </w:rPr>
  </w:style>
  <w:style w:type="paragraph" w:customStyle="1" w:styleId="64">
    <w:name w:val="一级无"/>
    <w:basedOn w:val="55"/>
    <w:qFormat/>
    <w:uiPriority w:val="0"/>
    <w:pPr>
      <w:numPr>
        <w:ilvl w:val="0"/>
        <w:numId w:val="0"/>
      </w:numPr>
      <w:tabs>
        <w:tab w:val="left" w:pos="1440"/>
      </w:tabs>
      <w:spacing w:beforeLines="0" w:afterLines="0"/>
      <w:ind w:left="1440" w:hanging="720"/>
    </w:pPr>
    <w:rPr>
      <w:rFonts w:ascii="宋体" w:eastAsia="宋体"/>
    </w:rPr>
  </w:style>
  <w:style w:type="paragraph" w:customStyle="1" w:styleId="65">
    <w:name w:val="正文公式编号制表符"/>
    <w:basedOn w:val="49"/>
    <w:next w:val="49"/>
    <w:qFormat/>
    <w:uiPriority w:val="0"/>
    <w:pPr>
      <w:tabs>
        <w:tab w:val="center" w:pos="4201"/>
        <w:tab w:val="right" w:leader="dot" w:pos="9298"/>
      </w:tabs>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5.wmf"/><Relationship Id="rId34" Type="http://schemas.openxmlformats.org/officeDocument/2006/relationships/oleObject" Target="embeddings/oleObject14.bin"/><Relationship Id="rId33" Type="http://schemas.openxmlformats.org/officeDocument/2006/relationships/image" Target="media/image14.wmf"/><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30E3A-9533-4933-9FCA-D044A11A5B3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3525</Words>
  <Characters>4210</Characters>
  <Lines>47</Lines>
  <Paragraphs>13</Paragraphs>
  <TotalTime>4</TotalTime>
  <ScaleCrop>false</ScaleCrop>
  <LinksUpToDate>false</LinksUpToDate>
  <CharactersWithSpaces>4592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2021-06-30T05:56:00Z</dcterms:created>
  <dc:creator>gdl</dc:creator>
  <cp:lastModifiedBy>yd</cp:lastModifiedBy>
  <cp:lastPrinted>2023-06-16T06:08:00Z</cp:lastPrinted>
  <dcterms:modified xsi:type="dcterms:W3CDTF">2023-07-11T06:39:24Z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3372FF50971D41F09C917EEA8362EA8B</vt:lpwstr>
  </property>
</Properties>
</file>