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sz w:val="44"/>
          <w:szCs w:val="44"/>
        </w:rPr>
      </w:pPr>
    </w:p>
    <w:p>
      <w:pPr>
        <w:jc w:val="center"/>
        <w:rPr>
          <w:rFonts w:ascii="仿宋_GB2312" w:hAnsi="仿宋_GB2312" w:eastAsia="仿宋_GB2312" w:cs="仿宋_GB2312"/>
          <w:b/>
          <w:sz w:val="44"/>
          <w:szCs w:val="44"/>
        </w:rPr>
      </w:pPr>
    </w:p>
    <w:p>
      <w:pPr>
        <w:jc w:val="center"/>
        <w:rPr>
          <w:rFonts w:ascii="仿宋_GB2312" w:hAnsi="仿宋_GB2312" w:eastAsia="仿宋_GB2312" w:cs="仿宋_GB2312"/>
          <w:b/>
          <w:sz w:val="44"/>
          <w:szCs w:val="44"/>
        </w:rPr>
      </w:pPr>
    </w:p>
    <w:p>
      <w:pPr>
        <w:jc w:val="center"/>
        <w:rPr>
          <w:rFonts w:ascii="仿宋_GB2312" w:hAnsi="仿宋_GB2312" w:eastAsia="仿宋_GB2312" w:cs="仿宋_GB2312"/>
          <w:b/>
          <w:sz w:val="44"/>
          <w:szCs w:val="44"/>
        </w:rPr>
      </w:pPr>
    </w:p>
    <w:p>
      <w:pPr>
        <w:jc w:val="center"/>
        <w:rPr>
          <w:rFonts w:ascii="仿宋_GB2312" w:hAnsi="仿宋_GB2312" w:eastAsia="仿宋_GB2312" w:cs="仿宋_GB2312"/>
          <w:b/>
          <w:sz w:val="44"/>
          <w:szCs w:val="44"/>
        </w:rPr>
      </w:pPr>
    </w:p>
    <w:p>
      <w:pPr>
        <w:snapToGrid w:val="0"/>
        <w:spacing w:line="360" w:lineRule="auto"/>
        <w:jc w:val="center"/>
        <w:rPr>
          <w:rFonts w:ascii="仿宋_GB2312" w:hAnsi="仿宋_GB2312" w:eastAsia="仿宋_GB2312" w:cs="仿宋_GB2312"/>
          <w:b/>
          <w:sz w:val="48"/>
          <w:szCs w:val="48"/>
        </w:rPr>
      </w:pPr>
      <w:r>
        <w:rPr>
          <w:rFonts w:hint="eastAsia" w:ascii="仿宋_GB2312" w:hAnsi="仿宋_GB2312" w:eastAsia="仿宋_GB2312" w:cs="仿宋_GB2312"/>
          <w:b/>
          <w:sz w:val="48"/>
          <w:szCs w:val="48"/>
        </w:rPr>
        <w:t>机械计数式海洋浮游生物网口流量计</w:t>
      </w:r>
    </w:p>
    <w:p>
      <w:pPr>
        <w:snapToGrid w:val="0"/>
        <w:spacing w:line="360" w:lineRule="auto"/>
        <w:jc w:val="center"/>
        <w:rPr>
          <w:rFonts w:ascii="仿宋_GB2312" w:hAnsi="仿宋_GB2312" w:eastAsia="仿宋_GB2312" w:cs="仿宋_GB2312"/>
          <w:b/>
          <w:sz w:val="40"/>
          <w:szCs w:val="40"/>
        </w:rPr>
      </w:pPr>
      <w:r>
        <w:rPr>
          <w:rFonts w:hint="eastAsia" w:ascii="仿宋_GB2312" w:hAnsi="仿宋_GB2312" w:eastAsia="仿宋_GB2312" w:cs="仿宋_GB2312"/>
          <w:b/>
          <w:sz w:val="48"/>
          <w:szCs w:val="48"/>
        </w:rPr>
        <w:t>校准规范编制说明</w:t>
      </w:r>
    </w:p>
    <w:p>
      <w:pPr>
        <w:snapToGrid w:val="0"/>
        <w:spacing w:line="360" w:lineRule="auto"/>
        <w:jc w:val="center"/>
        <w:rPr>
          <w:rFonts w:ascii="仿宋_GB2312" w:hAnsi="仿宋_GB2312" w:eastAsia="仿宋_GB2312" w:cs="仿宋_GB2312"/>
          <w:b/>
          <w:sz w:val="36"/>
          <w:szCs w:val="36"/>
        </w:rPr>
      </w:pPr>
      <w:r>
        <w:rPr>
          <w:rFonts w:hint="eastAsia" w:ascii="仿宋_GB2312" w:hAnsi="仿宋_GB2312" w:eastAsia="仿宋_GB2312" w:cs="仿宋_GB2312"/>
          <w:b/>
          <w:sz w:val="36"/>
          <w:szCs w:val="36"/>
        </w:rPr>
        <w:t>（</w:t>
      </w:r>
      <w:r>
        <w:rPr>
          <w:rFonts w:hint="eastAsia" w:ascii="仿宋_GB2312" w:hAnsi="仿宋_GB2312" w:eastAsia="仿宋_GB2312" w:cs="仿宋_GB2312"/>
          <w:b/>
          <w:sz w:val="36"/>
          <w:szCs w:val="36"/>
          <w:lang w:eastAsia="zh-CN"/>
        </w:rPr>
        <w:t>征求意见稿</w:t>
      </w:r>
      <w:r>
        <w:rPr>
          <w:rFonts w:hint="eastAsia" w:ascii="仿宋_GB2312" w:hAnsi="仿宋_GB2312" w:eastAsia="仿宋_GB2312" w:cs="仿宋_GB2312"/>
          <w:b/>
          <w:sz w:val="36"/>
          <w:szCs w:val="36"/>
        </w:rPr>
        <w:t>）</w:t>
      </w:r>
    </w:p>
    <w:p>
      <w:pPr>
        <w:jc w:val="center"/>
        <w:rPr>
          <w:rFonts w:ascii="仿宋_GB2312" w:hAnsi="仿宋_GB2312" w:eastAsia="仿宋_GB2312" w:cs="仿宋_GB2312"/>
          <w:sz w:val="36"/>
          <w:szCs w:val="36"/>
        </w:rPr>
      </w:pPr>
    </w:p>
    <w:p>
      <w:pPr>
        <w:jc w:val="center"/>
        <w:rPr>
          <w:rFonts w:ascii="仿宋_GB2312" w:hAnsi="仿宋_GB2312" w:eastAsia="仿宋_GB2312" w:cs="仿宋_GB2312"/>
          <w:sz w:val="36"/>
          <w:szCs w:val="36"/>
        </w:rPr>
      </w:pPr>
    </w:p>
    <w:p>
      <w:pPr>
        <w:jc w:val="center"/>
        <w:rPr>
          <w:rFonts w:ascii="仿宋_GB2312" w:hAnsi="仿宋_GB2312" w:eastAsia="仿宋_GB2312" w:cs="仿宋_GB2312"/>
          <w:sz w:val="36"/>
          <w:szCs w:val="36"/>
        </w:rPr>
      </w:pPr>
    </w:p>
    <w:p>
      <w:pPr>
        <w:jc w:val="center"/>
        <w:rPr>
          <w:rFonts w:ascii="仿宋_GB2312" w:hAnsi="仿宋_GB2312" w:eastAsia="仿宋_GB2312" w:cs="仿宋_GB2312"/>
          <w:sz w:val="36"/>
          <w:szCs w:val="36"/>
        </w:rPr>
      </w:pPr>
    </w:p>
    <w:p>
      <w:pPr>
        <w:jc w:val="center"/>
        <w:rPr>
          <w:rFonts w:ascii="仿宋_GB2312" w:hAnsi="仿宋_GB2312" w:eastAsia="仿宋_GB2312" w:cs="仿宋_GB2312"/>
          <w:sz w:val="36"/>
          <w:szCs w:val="36"/>
        </w:rPr>
      </w:pPr>
    </w:p>
    <w:p>
      <w:pPr>
        <w:jc w:val="center"/>
        <w:rPr>
          <w:rFonts w:ascii="仿宋_GB2312" w:hAnsi="仿宋_GB2312" w:eastAsia="仿宋_GB2312" w:cs="仿宋_GB2312"/>
          <w:sz w:val="36"/>
          <w:szCs w:val="36"/>
        </w:rPr>
      </w:pPr>
    </w:p>
    <w:p>
      <w:pPr>
        <w:jc w:val="center"/>
        <w:rPr>
          <w:rFonts w:ascii="仿宋_GB2312" w:hAnsi="仿宋_GB2312" w:eastAsia="仿宋_GB2312" w:cs="仿宋_GB2312"/>
          <w:sz w:val="36"/>
          <w:szCs w:val="36"/>
        </w:rPr>
      </w:pPr>
    </w:p>
    <w:p>
      <w:pPr>
        <w:rPr>
          <w:rFonts w:ascii="仿宋_GB2312" w:hAnsi="仿宋_GB2312" w:eastAsia="仿宋_GB2312" w:cs="仿宋_GB2312"/>
          <w:sz w:val="36"/>
          <w:szCs w:val="36"/>
        </w:rPr>
      </w:pPr>
    </w:p>
    <w:p>
      <w:pPr>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国家海洋局北海标准计量中心</w:t>
      </w:r>
    </w:p>
    <w:p>
      <w:pPr>
        <w:jc w:val="center"/>
        <w:rPr>
          <w:rFonts w:ascii="仿宋_GB2312" w:hAnsi="仿宋_GB2312" w:eastAsia="仿宋_GB2312" w:cs="仿宋_GB2312"/>
          <w:b/>
          <w:sz w:val="32"/>
          <w:szCs w:val="32"/>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仿宋_GB2312" w:hAnsi="仿宋_GB2312" w:eastAsia="仿宋_GB2312" w:cs="仿宋_GB2312"/>
          <w:b/>
          <w:sz w:val="32"/>
          <w:szCs w:val="32"/>
        </w:rPr>
        <w:t>2023年</w:t>
      </w:r>
      <w:r>
        <w:rPr>
          <w:rFonts w:hint="eastAsia" w:ascii="仿宋_GB2312" w:hAnsi="仿宋_GB2312" w:eastAsia="仿宋_GB2312" w:cs="仿宋_GB2312"/>
          <w:b/>
          <w:sz w:val="32"/>
          <w:szCs w:val="32"/>
          <w:lang w:val="en-US" w:eastAsia="zh-CN"/>
        </w:rPr>
        <w:t>7</w:t>
      </w:r>
      <w:r>
        <w:rPr>
          <w:rFonts w:hint="eastAsia" w:ascii="仿宋_GB2312" w:hAnsi="仿宋_GB2312" w:eastAsia="仿宋_GB2312" w:cs="仿宋_GB2312"/>
          <w:b/>
          <w:sz w:val="32"/>
          <w:szCs w:val="32"/>
        </w:rPr>
        <w:t>月</w:t>
      </w:r>
    </w:p>
    <w:p>
      <w:pPr>
        <w:jc w:val="center"/>
        <w:rPr>
          <w:rFonts w:ascii="仿宋_GB2312" w:hAnsi="仿宋_GB2312" w:eastAsia="仿宋_GB2312" w:cs="仿宋_GB2312"/>
          <w:bCs/>
          <w:sz w:val="44"/>
          <w:szCs w:val="44"/>
        </w:rPr>
      </w:pPr>
      <w:r>
        <w:rPr>
          <w:rFonts w:hint="eastAsia" w:ascii="仿宋_GB2312" w:hAnsi="仿宋_GB2312" w:eastAsia="仿宋_GB2312" w:cs="仿宋_GB2312"/>
          <w:bCs/>
          <w:sz w:val="44"/>
          <w:szCs w:val="44"/>
        </w:rPr>
        <w:t>目 录</w:t>
      </w:r>
    </w:p>
    <w:p>
      <w:pPr>
        <w:jc w:val="center"/>
        <w:rPr>
          <w:rFonts w:ascii="仿宋_GB2312" w:hAnsi="仿宋_GB2312" w:eastAsia="仿宋_GB2312" w:cs="仿宋_GB2312"/>
          <w:sz w:val="36"/>
          <w:szCs w:val="36"/>
        </w:rPr>
      </w:pPr>
    </w:p>
    <w:sdt>
      <w:sdtPr>
        <w:rPr>
          <w:lang w:val="zh-CN"/>
        </w:rPr>
        <w:id w:val="281682739"/>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pPr>
            <w:pStyle w:val="30"/>
            <w:pageBreakBefore w:val="0"/>
            <w:kinsoku/>
            <w:wordWrap/>
            <w:overflowPunct/>
            <w:topLinePunct w:val="0"/>
            <w:autoSpaceDE/>
            <w:autoSpaceDN/>
            <w:bidi w:val="0"/>
            <w:adjustRightInd/>
            <w:snapToGrid/>
            <w:spacing w:before="0" w:line="360" w:lineRule="auto"/>
            <w:textAlignment w:val="auto"/>
            <w:rPr>
              <w:rFonts w:hint="eastAsia" w:ascii="宋体" w:hAnsi="宋体" w:eastAsia="宋体" w:cs="宋体"/>
              <w:sz w:val="24"/>
              <w:szCs w:val="24"/>
            </w:rPr>
          </w:pPr>
        </w:p>
        <w:p>
          <w:pPr>
            <w:pStyle w:val="9"/>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"1-3" \h \z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_Toc21223 </w:instrText>
          </w:r>
          <w:r>
            <w:rPr>
              <w:rFonts w:hint="eastAsia" w:ascii="宋体" w:hAnsi="宋体" w:eastAsia="宋体" w:cs="宋体"/>
              <w:sz w:val="24"/>
              <w:szCs w:val="24"/>
            </w:rPr>
            <w:fldChar w:fldCharType="separate"/>
          </w:r>
          <w:r>
            <w:rPr>
              <w:rFonts w:hint="eastAsia" w:ascii="宋体" w:hAnsi="宋体" w:eastAsia="宋体" w:cs="宋体"/>
              <w:sz w:val="24"/>
              <w:szCs w:val="24"/>
            </w:rPr>
            <w:t>一、任务来源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_Toc21223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9"/>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_Toc8764 </w:instrText>
          </w:r>
          <w:r>
            <w:rPr>
              <w:rFonts w:hint="eastAsia" w:ascii="宋体" w:hAnsi="宋体" w:eastAsia="宋体" w:cs="宋体"/>
              <w:sz w:val="24"/>
              <w:szCs w:val="24"/>
            </w:rPr>
            <w:fldChar w:fldCharType="separate"/>
          </w:r>
          <w:r>
            <w:rPr>
              <w:rFonts w:hint="eastAsia" w:ascii="宋体" w:hAnsi="宋体" w:eastAsia="宋体" w:cs="宋体"/>
              <w:sz w:val="24"/>
              <w:szCs w:val="24"/>
            </w:rPr>
            <w:t>二、调研情况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_Toc8764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9"/>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_Toc28752 </w:instrText>
          </w:r>
          <w:r>
            <w:rPr>
              <w:rFonts w:hint="eastAsia" w:ascii="宋体" w:hAnsi="宋体" w:eastAsia="宋体" w:cs="宋体"/>
              <w:sz w:val="24"/>
              <w:szCs w:val="24"/>
            </w:rPr>
            <w:fldChar w:fldCharType="separate"/>
          </w:r>
          <w:r>
            <w:rPr>
              <w:rFonts w:hint="eastAsia" w:ascii="宋体" w:hAnsi="宋体" w:eastAsia="宋体" w:cs="宋体"/>
              <w:sz w:val="24"/>
              <w:szCs w:val="24"/>
            </w:rPr>
            <w:t>三、规范制修订的目的和意义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_Toc28752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9"/>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_Toc22725 </w:instrText>
          </w:r>
          <w:r>
            <w:rPr>
              <w:rFonts w:hint="eastAsia" w:ascii="宋体" w:hAnsi="宋体" w:eastAsia="宋体" w:cs="宋体"/>
              <w:sz w:val="24"/>
              <w:szCs w:val="24"/>
            </w:rPr>
            <w:fldChar w:fldCharType="separate"/>
          </w:r>
          <w:r>
            <w:rPr>
              <w:rFonts w:hint="eastAsia" w:ascii="宋体" w:hAnsi="宋体" w:eastAsia="宋体" w:cs="宋体"/>
              <w:sz w:val="24"/>
              <w:szCs w:val="24"/>
            </w:rPr>
            <w:t>四、校准规范的构成及编写依据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_Toc22725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9"/>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_Toc21123 </w:instrText>
          </w:r>
          <w:r>
            <w:rPr>
              <w:rFonts w:hint="eastAsia" w:ascii="宋体" w:hAnsi="宋体" w:eastAsia="宋体" w:cs="宋体"/>
              <w:sz w:val="24"/>
              <w:szCs w:val="24"/>
            </w:rPr>
            <w:fldChar w:fldCharType="separate"/>
          </w:r>
          <w:r>
            <w:rPr>
              <w:rFonts w:hint="eastAsia" w:ascii="宋体" w:hAnsi="宋体" w:eastAsia="宋体" w:cs="宋体"/>
              <w:spacing w:val="-10"/>
              <w:sz w:val="24"/>
              <w:szCs w:val="24"/>
            </w:rPr>
            <w:t>五、与“国际建议/国际文件/国际标准/国内标准”等兼容情况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_Toc21123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9"/>
            <w:pageBreakBefore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_Toc2659 </w:instrText>
          </w:r>
          <w:r>
            <w:rPr>
              <w:rFonts w:hint="eastAsia" w:ascii="宋体" w:hAnsi="宋体" w:eastAsia="宋体" w:cs="宋体"/>
              <w:sz w:val="24"/>
              <w:szCs w:val="24"/>
            </w:rPr>
            <w:fldChar w:fldCharType="separate"/>
          </w:r>
          <w:r>
            <w:rPr>
              <w:rFonts w:hint="eastAsia" w:ascii="宋体" w:hAnsi="宋体" w:eastAsia="宋体" w:cs="宋体"/>
              <w:sz w:val="24"/>
              <w:szCs w:val="24"/>
            </w:rPr>
            <w:t>六、校准规范内容说明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_Toc2659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_Toc30759 </w:instrText>
          </w:r>
          <w:r>
            <w:rPr>
              <w:rFonts w:hint="eastAsia" w:ascii="宋体" w:hAnsi="宋体" w:eastAsia="宋体" w:cs="宋体"/>
              <w:sz w:val="24"/>
              <w:szCs w:val="24"/>
            </w:rPr>
            <w:fldChar w:fldCharType="separate"/>
          </w:r>
          <w:r>
            <w:rPr>
              <w:rFonts w:hint="eastAsia" w:ascii="宋体" w:hAnsi="宋体" w:eastAsia="宋体" w:cs="宋体"/>
              <w:sz w:val="24"/>
              <w:szCs w:val="24"/>
            </w:rPr>
            <w:t>1.规范名称的确定说明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_Toc30759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_Toc8354 </w:instrText>
          </w:r>
          <w:r>
            <w:rPr>
              <w:rFonts w:hint="eastAsia" w:ascii="宋体" w:hAnsi="宋体" w:eastAsia="宋体" w:cs="宋体"/>
              <w:sz w:val="24"/>
              <w:szCs w:val="24"/>
            </w:rPr>
            <w:fldChar w:fldCharType="separate"/>
          </w:r>
          <w:r>
            <w:rPr>
              <w:rFonts w:hint="eastAsia" w:ascii="宋体" w:hAnsi="宋体" w:eastAsia="宋体" w:cs="宋体"/>
              <w:sz w:val="24"/>
              <w:szCs w:val="24"/>
            </w:rPr>
            <w:t>2.范围的确定说明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_Toc8354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_Toc31762 </w:instrText>
          </w:r>
          <w:r>
            <w:rPr>
              <w:rFonts w:hint="eastAsia" w:ascii="宋体" w:hAnsi="宋体" w:eastAsia="宋体" w:cs="宋体"/>
              <w:sz w:val="24"/>
              <w:szCs w:val="24"/>
            </w:rPr>
            <w:fldChar w:fldCharType="separate"/>
          </w:r>
          <w:r>
            <w:rPr>
              <w:rFonts w:hint="eastAsia" w:ascii="宋体" w:hAnsi="宋体" w:eastAsia="宋体" w:cs="宋体"/>
              <w:sz w:val="24"/>
              <w:szCs w:val="24"/>
            </w:rPr>
            <w:t>3.概述的确定说明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_Toc31762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_Toc11405 </w:instrText>
          </w:r>
          <w:r>
            <w:rPr>
              <w:rFonts w:hint="eastAsia" w:ascii="宋体" w:hAnsi="宋体" w:eastAsia="宋体" w:cs="宋体"/>
              <w:sz w:val="24"/>
              <w:szCs w:val="24"/>
            </w:rPr>
            <w:fldChar w:fldCharType="separate"/>
          </w:r>
          <w:r>
            <w:rPr>
              <w:rFonts w:hint="eastAsia" w:ascii="宋体" w:hAnsi="宋体" w:eastAsia="宋体" w:cs="宋体"/>
              <w:sz w:val="24"/>
              <w:szCs w:val="24"/>
            </w:rPr>
            <w:t>4.计量特性的说明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_Toc11405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_Toc20074 </w:instrText>
          </w:r>
          <w:r>
            <w:rPr>
              <w:rFonts w:hint="eastAsia" w:ascii="宋体" w:hAnsi="宋体" w:eastAsia="宋体" w:cs="宋体"/>
              <w:sz w:val="24"/>
              <w:szCs w:val="24"/>
            </w:rPr>
            <w:fldChar w:fldCharType="separate"/>
          </w:r>
          <w:r>
            <w:rPr>
              <w:rFonts w:hint="eastAsia" w:ascii="宋体" w:hAnsi="宋体" w:eastAsia="宋体" w:cs="宋体"/>
              <w:sz w:val="24"/>
              <w:szCs w:val="24"/>
            </w:rPr>
            <w:t>5 校准条件的确定说明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_Toc20074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_Toc7127 </w:instrText>
          </w:r>
          <w:r>
            <w:rPr>
              <w:rFonts w:hint="eastAsia" w:ascii="宋体" w:hAnsi="宋体" w:eastAsia="宋体" w:cs="宋体"/>
              <w:sz w:val="24"/>
              <w:szCs w:val="24"/>
            </w:rPr>
            <w:fldChar w:fldCharType="separate"/>
          </w:r>
          <w:r>
            <w:rPr>
              <w:rFonts w:hint="eastAsia" w:ascii="宋体" w:hAnsi="宋体" w:eastAsia="宋体" w:cs="宋体"/>
              <w:sz w:val="24"/>
              <w:szCs w:val="24"/>
            </w:rPr>
            <w:t>6 校准项目和校准方法的确定说明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_Toc7127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_Toc29617 </w:instrText>
          </w:r>
          <w:r>
            <w:rPr>
              <w:rFonts w:hint="eastAsia" w:ascii="宋体" w:hAnsi="宋体" w:eastAsia="宋体" w:cs="宋体"/>
              <w:sz w:val="24"/>
              <w:szCs w:val="24"/>
            </w:rPr>
            <w:fldChar w:fldCharType="separate"/>
          </w:r>
          <w:r>
            <w:rPr>
              <w:rFonts w:hint="eastAsia" w:ascii="宋体" w:hAnsi="宋体" w:eastAsia="宋体" w:cs="宋体"/>
              <w:sz w:val="24"/>
              <w:szCs w:val="24"/>
            </w:rPr>
            <w:t>7 校准结果的表达</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_Toc29617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_Toc24621 </w:instrText>
          </w:r>
          <w:r>
            <w:rPr>
              <w:rFonts w:hint="eastAsia" w:ascii="宋体" w:hAnsi="宋体" w:eastAsia="宋体" w:cs="宋体"/>
              <w:sz w:val="24"/>
              <w:szCs w:val="24"/>
            </w:rPr>
            <w:fldChar w:fldCharType="separate"/>
          </w:r>
          <w:r>
            <w:rPr>
              <w:rFonts w:hint="eastAsia" w:ascii="宋体" w:hAnsi="宋体" w:eastAsia="宋体" w:cs="宋体"/>
              <w:sz w:val="24"/>
              <w:szCs w:val="24"/>
            </w:rPr>
            <w:t>8 复校时间间隔</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_Toc24621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ageBreakBefore w:val="0"/>
            <w:kinsoku/>
            <w:wordWrap/>
            <w:overflowPunct/>
            <w:topLinePunct w:val="0"/>
            <w:autoSpaceDE/>
            <w:autoSpaceDN/>
            <w:bidi w:val="0"/>
            <w:adjustRightInd/>
            <w:snapToGrid/>
            <w:spacing w:line="360" w:lineRule="auto"/>
            <w:textAlignment w:val="auto"/>
          </w:pPr>
          <w:r>
            <w:rPr>
              <w:rFonts w:hint="eastAsia" w:ascii="宋体" w:hAnsi="宋体" w:eastAsia="宋体" w:cs="宋体"/>
              <w:sz w:val="24"/>
              <w:szCs w:val="24"/>
            </w:rPr>
            <w:fldChar w:fldCharType="end"/>
          </w:r>
        </w:p>
      </w:sdtContent>
    </w:sdt>
    <w:p>
      <w:pPr>
        <w:jc w:val="center"/>
        <w:rPr>
          <w:rFonts w:ascii="仿宋_GB2312" w:hAnsi="仿宋_GB2312" w:eastAsia="仿宋_GB2312" w:cs="仿宋_GB2312"/>
          <w:sz w:val="36"/>
          <w:szCs w:val="36"/>
        </w:rPr>
        <w:sectPr>
          <w:footerReference r:id="rId4" w:type="default"/>
          <w:pgSz w:w="11906" w:h="16838"/>
          <w:pgMar w:top="1440" w:right="1800" w:bottom="1440" w:left="1800" w:header="851" w:footer="992" w:gutter="0"/>
          <w:pgNumType w:fmt="upperRoman" w:start="1"/>
          <w:cols w:space="425" w:num="1"/>
          <w:docGrid w:type="lines" w:linePitch="312" w:charSpace="0"/>
        </w:sectPr>
      </w:pPr>
    </w:p>
    <w:p>
      <w:pPr>
        <w:jc w:val="center"/>
        <w:rPr>
          <w:rFonts w:ascii="仿宋_GB2312" w:hAnsi="仿宋_GB2312" w:eastAsia="仿宋_GB2312" w:cs="仿宋_GB2312"/>
          <w:b/>
          <w:sz w:val="32"/>
          <w:szCs w:val="32"/>
        </w:rPr>
      </w:pPr>
      <w:bookmarkStart w:id="0" w:name="_Toc15142_WPSOffice_Level1"/>
      <w:r>
        <w:rPr>
          <w:rFonts w:hint="eastAsia" w:ascii="仿宋_GB2312" w:hAnsi="仿宋_GB2312" w:eastAsia="仿宋_GB2312" w:cs="仿宋_GB2312"/>
          <w:b/>
          <w:sz w:val="32"/>
          <w:szCs w:val="32"/>
        </w:rPr>
        <w:t>机械计数式海洋浮游生物网口流量计校准规范编制说明</w:t>
      </w:r>
      <w:bookmarkEnd w:id="0"/>
    </w:p>
    <w:p>
      <w:pPr>
        <w:jc w:val="center"/>
        <w:rPr>
          <w:rFonts w:ascii="仿宋_GB2312" w:hAnsi="仿宋_GB2312" w:eastAsia="仿宋_GB2312" w:cs="仿宋_GB2312"/>
          <w:b/>
          <w:sz w:val="32"/>
          <w:szCs w:val="32"/>
        </w:rPr>
      </w:pPr>
    </w:p>
    <w:p>
      <w:pPr>
        <w:spacing w:line="360" w:lineRule="auto"/>
        <w:ind w:firstLine="562" w:firstLineChars="200"/>
        <w:jc w:val="left"/>
        <w:outlineLvl w:val="0"/>
        <w:rPr>
          <w:rFonts w:ascii="仿宋_GB2312" w:hAnsi="仿宋_GB2312" w:eastAsia="仿宋_GB2312" w:cs="仿宋_GB2312"/>
          <w:b/>
          <w:sz w:val="28"/>
          <w:szCs w:val="28"/>
        </w:rPr>
      </w:pPr>
      <w:bookmarkStart w:id="1" w:name="_Toc21223"/>
      <w:r>
        <w:rPr>
          <w:rFonts w:hint="eastAsia" w:ascii="仿宋_GB2312" w:hAnsi="仿宋_GB2312" w:eastAsia="仿宋_GB2312" w:cs="仿宋_GB2312"/>
          <w:b/>
          <w:sz w:val="28"/>
          <w:szCs w:val="28"/>
        </w:rPr>
        <w:t>一、任务来源</w:t>
      </w:r>
      <w:bookmarkEnd w:id="1"/>
    </w:p>
    <w:p>
      <w:pPr>
        <w:spacing w:line="360" w:lineRule="auto"/>
        <w:ind w:firstLine="54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海洋浮游生物监测网口流量计用于测量流经网具的实际水量，是浮游生物网滤水装置的主要计量器具，是浮游生物生态调查重要的样品采集器具，为国家海洋浮游生物监测提供了大量的基础性数据，为保证海洋浮游生物监测网口流量计测量数据的准确可靠，需定期对其进行校准，为监测部门提供标定依据。由于目前尚缺少相应检定、校准依据，因此国家海洋局北海标准计量中心研究了相关的校准方法，申请立项。</w:t>
      </w:r>
    </w:p>
    <w:p>
      <w:pPr>
        <w:spacing w:line="360" w:lineRule="auto"/>
        <w:ind w:firstLine="540"/>
        <w:jc w:val="left"/>
        <w:rPr>
          <w:rFonts w:ascii="仿宋_GB2312" w:hAnsi="仿宋_GB2312" w:eastAsia="仿宋_GB2312" w:cs="仿宋_GB2312"/>
          <w:sz w:val="24"/>
          <w:szCs w:val="24"/>
        </w:rPr>
      </w:pPr>
      <w:r>
        <w:rPr>
          <w:rFonts w:hint="eastAsia" w:ascii="仿宋_GB2312" w:hAnsi="仿宋_GB2312" w:eastAsia="仿宋_GB2312" w:cs="仿宋_GB2312"/>
          <w:sz w:val="28"/>
          <w:szCs w:val="28"/>
        </w:rPr>
        <w:t>根据《市场监管总局办公厅关于印发2022年国家计量技术规范制定、修订及宣贯计划的通知》（市监计量发〔2022〕70号）要求，国家海洋局北海标准计量中心负责《机械计数式海洋浮游生物网口流量计校准规范》的起草，国家海洋标准计量中心、国家海洋局东海标准计量中心参加起草，归口单位为全国海洋专用计量器具计量技术委员会。</w:t>
      </w:r>
    </w:p>
    <w:p>
      <w:pPr>
        <w:spacing w:line="360" w:lineRule="auto"/>
        <w:ind w:firstLine="562" w:firstLineChars="200"/>
        <w:jc w:val="left"/>
        <w:outlineLvl w:val="0"/>
        <w:rPr>
          <w:rFonts w:ascii="仿宋_GB2312" w:hAnsi="仿宋_GB2312" w:eastAsia="仿宋_GB2312" w:cs="仿宋_GB2312"/>
          <w:b/>
          <w:sz w:val="28"/>
          <w:szCs w:val="28"/>
        </w:rPr>
      </w:pPr>
      <w:bookmarkStart w:id="2" w:name="_Toc8764"/>
      <w:r>
        <w:rPr>
          <w:rFonts w:hint="eastAsia" w:ascii="仿宋_GB2312" w:hAnsi="仿宋_GB2312" w:eastAsia="仿宋_GB2312" w:cs="仿宋_GB2312"/>
          <w:b/>
          <w:sz w:val="28"/>
          <w:szCs w:val="28"/>
        </w:rPr>
        <w:t>二、调研情况</w:t>
      </w:r>
      <w:bookmarkEnd w:id="2"/>
    </w:p>
    <w:p>
      <w:pPr>
        <w:spacing w:line="360" w:lineRule="auto"/>
        <w:ind w:firstLine="540"/>
        <w:jc w:val="left"/>
        <w:rPr>
          <w:rFonts w:ascii="仿宋_GB2312" w:hAnsi="仿宋_GB2312" w:eastAsia="仿宋_GB2312" w:cs="仿宋_GB2312"/>
          <w:sz w:val="24"/>
          <w:szCs w:val="24"/>
        </w:rPr>
      </w:pPr>
      <w:r>
        <w:rPr>
          <w:rFonts w:hint="eastAsia" w:ascii="仿宋_GB2312" w:hAnsi="仿宋_GB2312" w:eastAsia="仿宋_GB2312" w:cs="仿宋_GB2312"/>
          <w:sz w:val="28"/>
          <w:szCs w:val="28"/>
        </w:rPr>
        <w:t>机械计数式海洋浮游生物网口流量计广泛应用于国内浮游生物监测任务中，通过监测过程中记录器前后读数变化和行进距离计算海水流量。目前国内质量流量计、容积式流量计、电磁流量计、涡轮流量计、涡街流量计、超声波流量计、孔板、微锥、均速管流量计均已有相应的检定规程或校准规范，机械计数式网口流量计尚缺少相应的检定、校准依据。因此，往往在使用前按照《海洋监测规范 第7部分：近海污染生态调查和生物监测》（GB 17378.7-2007）5.2.1.5章节中的要求进行标定。</w:t>
      </w:r>
    </w:p>
    <w:p>
      <w:pPr>
        <w:spacing w:line="360" w:lineRule="auto"/>
        <w:ind w:firstLine="540"/>
        <w:jc w:val="left"/>
        <w:rPr>
          <w:rFonts w:ascii="仿宋_GB2312" w:hAnsi="仿宋_GB2312" w:eastAsia="仿宋_GB2312" w:cs="仿宋_GB2312"/>
          <w:sz w:val="24"/>
          <w:szCs w:val="24"/>
        </w:rPr>
      </w:pPr>
      <w:r>
        <w:rPr>
          <w:rFonts w:hint="eastAsia" w:ascii="仿宋_GB2312" w:hAnsi="仿宋_GB2312" w:eastAsia="仿宋_GB2312" w:cs="仿宋_GB2312"/>
          <w:sz w:val="28"/>
          <w:szCs w:val="28"/>
        </w:rPr>
        <w:t>目前，主流的机械计数式网口流量计大同小异，一般为5位计数，水平、垂直拖网兼用，带逆行停止功能。国内主要生产厂家为青岛浩海仪器有限公司，国外主要生产厂家为德国HYBIRD-BIOS公司和美国General Oceanics公司。青岛浩海仪器有限公司生产的“小飞鱼”网口流量计因性价比高，被广泛应用于断面调查等海洋浮游生物监测任务，在国内拥有较高的市场占有率，其主要技术指标如下所示：</w:t>
      </w:r>
    </w:p>
    <w:p>
      <w:pPr>
        <w:spacing w:before="120" w:after="120" w:line="360" w:lineRule="auto"/>
        <w:ind w:firstLine="480" w:firstLineChars="2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表1 各类网口流量计主要技术指标</w:t>
      </w:r>
    </w:p>
    <w:tbl>
      <w:tblPr>
        <w:tblStyle w:val="12"/>
        <w:tblW w:w="8625"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2642"/>
        <w:gridCol w:w="995"/>
        <w:gridCol w:w="413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5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264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生产厂家</w:t>
            </w:r>
          </w:p>
        </w:tc>
        <w:tc>
          <w:tcPr>
            <w:tcW w:w="995"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型号</w:t>
            </w:r>
          </w:p>
        </w:tc>
        <w:tc>
          <w:tcPr>
            <w:tcW w:w="4135"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主要技术指标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85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64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中国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青岛浩海仪器有限公司</w:t>
            </w:r>
          </w:p>
        </w:tc>
        <w:tc>
          <w:tcPr>
            <w:tcW w:w="9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小飞鱼</w:t>
            </w:r>
          </w:p>
        </w:tc>
        <w:tc>
          <w:tcPr>
            <w:tcW w:w="41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整体长205mm、叶轮直径75mm、5位机械式计数、带逆行停止功能、水平、垂直拖网兼用、三点固定。</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5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64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德国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HYBIRD-BIOS</w:t>
            </w:r>
          </w:p>
        </w:tc>
        <w:tc>
          <w:tcPr>
            <w:tcW w:w="9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438110</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438115</w:t>
            </w:r>
          </w:p>
        </w:tc>
        <w:tc>
          <w:tcPr>
            <w:tcW w:w="41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叶轮直径75mm，5位机械式计数、带逆行停止功能、按型号配合水平、垂直拖网使用、单点或两点固定。</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85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64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美国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General Oceanics</w:t>
            </w:r>
          </w:p>
        </w:tc>
        <w:tc>
          <w:tcPr>
            <w:tcW w:w="99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2030R</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2030RC</w:t>
            </w:r>
          </w:p>
        </w:tc>
        <w:tc>
          <w:tcPr>
            <w:tcW w:w="413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整体长213mm，叶轮直径69.8mm，6位机械式计数、带逆行停止功能、按型号配合水平、垂直拖网使用、两点或三点固定。</w:t>
            </w:r>
          </w:p>
        </w:tc>
      </w:tr>
    </w:tbl>
    <w:p>
      <w:pPr>
        <w:spacing w:line="360" w:lineRule="auto"/>
        <w:ind w:firstLine="562" w:firstLineChars="200"/>
        <w:jc w:val="left"/>
        <w:outlineLvl w:val="0"/>
        <w:rPr>
          <w:rFonts w:ascii="仿宋_GB2312" w:hAnsi="仿宋_GB2312" w:eastAsia="仿宋_GB2312" w:cs="仿宋_GB2312"/>
          <w:b/>
          <w:sz w:val="28"/>
          <w:szCs w:val="28"/>
        </w:rPr>
      </w:pPr>
      <w:bookmarkStart w:id="3" w:name="_Toc28752"/>
      <w:r>
        <w:rPr>
          <w:rFonts w:hint="eastAsia" w:ascii="仿宋_GB2312" w:hAnsi="仿宋_GB2312" w:eastAsia="仿宋_GB2312" w:cs="仿宋_GB2312"/>
          <w:b/>
          <w:sz w:val="28"/>
          <w:szCs w:val="28"/>
        </w:rPr>
        <w:t>三、规范制修订的目的和意义</w:t>
      </w:r>
      <w:bookmarkEnd w:id="3"/>
    </w:p>
    <w:p>
      <w:pPr>
        <w:spacing w:line="360" w:lineRule="auto"/>
        <w:ind w:firstLine="54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海洋浮游生物网口流量计广泛应用于断面调查等监测业务的流量测量，是浮游生物网滤水装置的重要组成部分，为国家海洋浮游生物监测提供了大量的基础性数据。在《海洋监测规范 第7部分：近海污染生态调查和生物监测》（GB 17378.7-2007）5.2.1.5中提出了明确规定，要求在使用前进行标定。为保证海洋浮游生物监测网口流量计测量数据的准确可靠，需定期对其进行校准，为监测部门提供标定依据。但现阶段由于缺少相应的检定规程/校准规范，无法对海洋浮游生物监测网口流量计实现有效的量值溯源。为保障海洋浮游生物监测数据的准确可靠，亟需制定《机械计数式海洋浮游生物网口流量计校准规范》。</w:t>
      </w:r>
    </w:p>
    <w:p>
      <w:pPr>
        <w:spacing w:line="360" w:lineRule="auto"/>
        <w:ind w:firstLine="54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《机械计数式海洋浮游生物网口流量计校准规范》制定完成后，在海洋计量行业可以进行推广应用，可对全国海洋浮游生物网口流量计进行有效的量值溯源，在海洋监测、海洋生态修复保护等领域得到广泛使用。</w:t>
      </w:r>
    </w:p>
    <w:p>
      <w:pPr>
        <w:spacing w:line="360" w:lineRule="auto"/>
        <w:ind w:firstLine="562" w:firstLineChars="200"/>
        <w:jc w:val="left"/>
        <w:outlineLvl w:val="0"/>
        <w:rPr>
          <w:rFonts w:ascii="仿宋_GB2312" w:hAnsi="仿宋_GB2312" w:eastAsia="仿宋_GB2312" w:cs="仿宋_GB2312"/>
          <w:b/>
          <w:sz w:val="28"/>
          <w:szCs w:val="28"/>
        </w:rPr>
      </w:pPr>
      <w:bookmarkStart w:id="4" w:name="_Toc22725"/>
      <w:r>
        <w:rPr>
          <w:rFonts w:hint="eastAsia" w:ascii="仿宋_GB2312" w:hAnsi="仿宋_GB2312" w:eastAsia="仿宋_GB2312" w:cs="仿宋_GB2312"/>
          <w:b/>
          <w:sz w:val="28"/>
          <w:szCs w:val="28"/>
        </w:rPr>
        <w:t>四、校准规范的构成及编写依据</w:t>
      </w:r>
      <w:bookmarkEnd w:id="4"/>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规范由引言、范围、引用文件、概述、计量特性、校准条件、校准项目和校准方法、校准结果的表达、复校时间间隔等9个部分组成，如下所示：</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——0 引言</w:t>
      </w:r>
      <w:r>
        <w:rPr>
          <w:rFonts w:hint="eastAsia" w:ascii="仿宋_GB2312" w:hAnsi="仿宋_GB2312" w:eastAsia="仿宋_GB2312" w:cs="仿宋_GB2312"/>
          <w:sz w:val="28"/>
          <w:szCs w:val="28"/>
        </w:rPr>
        <w:tab/>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 范围</w:t>
      </w:r>
      <w:r>
        <w:rPr>
          <w:rFonts w:hint="eastAsia" w:ascii="仿宋_GB2312" w:hAnsi="仿宋_GB2312" w:eastAsia="仿宋_GB2312" w:cs="仿宋_GB2312"/>
          <w:sz w:val="28"/>
          <w:szCs w:val="28"/>
        </w:rPr>
        <w:tab/>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 引用文件</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 概述</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 计量特性</w:t>
      </w:r>
    </w:p>
    <w:p>
      <w:pPr>
        <w:spacing w:line="360" w:lineRule="auto"/>
        <w:ind w:firstLine="1120" w:firstLineChars="400"/>
        <w:rPr>
          <w:rFonts w:ascii="仿宋_GB2312" w:hAnsi="仿宋_GB2312" w:eastAsia="仿宋_GB2312" w:cs="仿宋_GB2312"/>
          <w:sz w:val="28"/>
          <w:szCs w:val="28"/>
        </w:rPr>
      </w:pPr>
      <w:bookmarkStart w:id="5" w:name="_Toc23434_WPSOffice_Level2"/>
      <w:r>
        <w:rPr>
          <w:rFonts w:hint="eastAsia" w:ascii="仿宋_GB2312" w:hAnsi="仿宋_GB2312" w:eastAsia="仿宋_GB2312" w:cs="仿宋_GB2312"/>
          <w:sz w:val="28"/>
          <w:szCs w:val="28"/>
        </w:rPr>
        <w:t>4.1 外观</w:t>
      </w:r>
      <w:bookmarkEnd w:id="5"/>
      <w:r>
        <w:rPr>
          <w:rFonts w:hint="eastAsia" w:ascii="仿宋_GB2312" w:hAnsi="仿宋_GB2312" w:eastAsia="仿宋_GB2312" w:cs="仿宋_GB2312"/>
          <w:sz w:val="28"/>
          <w:szCs w:val="28"/>
        </w:rPr>
        <w:t>及功能</w:t>
      </w:r>
    </w:p>
    <w:p>
      <w:pPr>
        <w:spacing w:line="360" w:lineRule="auto"/>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"_Toc518289124"</w:instrText>
      </w:r>
      <w:r>
        <w:rPr>
          <w:rFonts w:hint="eastAsia" w:ascii="仿宋_GB2312" w:hAnsi="仿宋_GB2312" w:eastAsia="仿宋_GB2312" w:cs="仿宋_GB2312"/>
          <w:sz w:val="28"/>
          <w:szCs w:val="28"/>
        </w:rPr>
        <w:fldChar w:fldCharType="separate"/>
      </w:r>
      <w:bookmarkStart w:id="6" w:name="_Toc15531_WPSOffice_Level2"/>
      <w:r>
        <w:rPr>
          <w:rFonts w:hint="eastAsia" w:ascii="仿宋_GB2312" w:hAnsi="仿宋_GB2312" w:eastAsia="仿宋_GB2312" w:cs="仿宋_GB2312"/>
          <w:sz w:val="28"/>
          <w:szCs w:val="28"/>
        </w:rPr>
        <w:t>4.2 计量性能</w:t>
      </w:r>
      <w:bookmarkEnd w:id="6"/>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"_Toc518289125" </w:instrText>
      </w:r>
      <w:r>
        <w:rPr>
          <w:sz w:val="28"/>
          <w:szCs w:val="28"/>
        </w:rPr>
        <w:fldChar w:fldCharType="separate"/>
      </w:r>
      <w:r>
        <w:rPr>
          <w:rFonts w:hint="eastAsia" w:ascii="仿宋_GB2312" w:hAnsi="仿宋_GB2312" w:eastAsia="仿宋_GB2312" w:cs="仿宋_GB2312"/>
          <w:sz w:val="28"/>
          <w:szCs w:val="28"/>
        </w:rPr>
        <w:t>5 校准条件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end"/>
      </w:r>
    </w:p>
    <w:p>
      <w:pPr>
        <w:spacing w:line="360" w:lineRule="auto"/>
        <w:ind w:firstLine="1120" w:firstLineChars="400"/>
        <w:rPr>
          <w:rFonts w:ascii="仿宋_GB2312" w:hAnsi="仿宋_GB2312" w:eastAsia="仿宋_GB2312" w:cs="仿宋_GB2312"/>
          <w:sz w:val="28"/>
          <w:szCs w:val="28"/>
        </w:rPr>
      </w:pPr>
      <w:r>
        <w:rPr>
          <w:sz w:val="28"/>
          <w:szCs w:val="28"/>
        </w:rPr>
        <w:fldChar w:fldCharType="begin"/>
      </w:r>
      <w:r>
        <w:rPr>
          <w:sz w:val="28"/>
          <w:szCs w:val="28"/>
        </w:rPr>
        <w:instrText xml:space="preserve"> HYPERLINK \l "_Toc518289126" </w:instrText>
      </w:r>
      <w:r>
        <w:rPr>
          <w:sz w:val="28"/>
          <w:szCs w:val="28"/>
        </w:rPr>
        <w:fldChar w:fldCharType="separate"/>
      </w:r>
      <w:bookmarkStart w:id="7" w:name="_Toc4848_WPSOffice_Level2"/>
      <w:r>
        <w:rPr>
          <w:rFonts w:hint="eastAsia" w:ascii="仿宋_GB2312" w:hAnsi="仿宋_GB2312" w:eastAsia="仿宋_GB2312" w:cs="仿宋_GB2312"/>
          <w:sz w:val="28"/>
          <w:szCs w:val="28"/>
        </w:rPr>
        <w:t>5.1 环境条件</w:t>
      </w:r>
      <w:bookmarkEnd w:id="7"/>
      <w:r>
        <w:rPr>
          <w:rFonts w:hint="eastAsia" w:ascii="仿宋_GB2312" w:hAnsi="仿宋_GB2312" w:eastAsia="仿宋_GB2312" w:cs="仿宋_GB2312"/>
          <w:sz w:val="28"/>
          <w:szCs w:val="28"/>
        </w:rPr>
        <w:fldChar w:fldCharType="end"/>
      </w:r>
    </w:p>
    <w:p>
      <w:pPr>
        <w:spacing w:line="360" w:lineRule="auto"/>
        <w:ind w:firstLine="1120" w:firstLineChars="400"/>
        <w:rPr>
          <w:rFonts w:ascii="仿宋_GB2312" w:hAnsi="仿宋_GB2312" w:eastAsia="仿宋_GB2312" w:cs="仿宋_GB2312"/>
          <w:sz w:val="28"/>
          <w:szCs w:val="28"/>
        </w:rPr>
      </w:pPr>
      <w:r>
        <w:rPr>
          <w:sz w:val="28"/>
          <w:szCs w:val="28"/>
        </w:rPr>
        <w:fldChar w:fldCharType="begin"/>
      </w:r>
      <w:r>
        <w:rPr>
          <w:sz w:val="28"/>
          <w:szCs w:val="28"/>
        </w:rPr>
        <w:instrText xml:space="preserve"> HYPERLINK \l "_Toc518289127" </w:instrText>
      </w:r>
      <w:r>
        <w:rPr>
          <w:sz w:val="28"/>
          <w:szCs w:val="28"/>
        </w:rPr>
        <w:fldChar w:fldCharType="separate"/>
      </w:r>
      <w:bookmarkStart w:id="8" w:name="_Toc11862_WPSOffice_Level2"/>
      <w:r>
        <w:rPr>
          <w:rFonts w:hint="eastAsia" w:ascii="仿宋_GB2312" w:hAnsi="仿宋_GB2312" w:eastAsia="仿宋_GB2312" w:cs="仿宋_GB2312"/>
          <w:sz w:val="28"/>
          <w:szCs w:val="28"/>
        </w:rPr>
        <w:t>5.2 测量标准及其他设备</w:t>
      </w:r>
      <w:bookmarkEnd w:id="8"/>
      <w:r>
        <w:rPr>
          <w:rFonts w:hint="eastAsia" w:ascii="仿宋_GB2312" w:hAnsi="仿宋_GB2312" w:eastAsia="仿宋_GB2312" w:cs="仿宋_GB2312"/>
          <w:sz w:val="28"/>
          <w:szCs w:val="28"/>
        </w:rPr>
        <w:fldChar w:fldCharType="end"/>
      </w:r>
    </w:p>
    <w:p>
      <w:pPr>
        <w:pStyle w:val="1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"_Toc518289128" </w:instrText>
      </w:r>
      <w:r>
        <w:rPr>
          <w:sz w:val="28"/>
          <w:szCs w:val="28"/>
        </w:rPr>
        <w:fldChar w:fldCharType="separate"/>
      </w:r>
      <w:r>
        <w:rPr>
          <w:rFonts w:hint="eastAsia" w:ascii="仿宋_GB2312" w:hAnsi="仿宋_GB2312" w:eastAsia="仿宋_GB2312" w:cs="仿宋_GB2312"/>
          <w:sz w:val="28"/>
          <w:szCs w:val="28"/>
        </w:rPr>
        <w:t>6 校准项目和校准方法</w:t>
      </w:r>
      <w:r>
        <w:rPr>
          <w:rFonts w:hint="eastAsia" w:ascii="仿宋_GB2312" w:hAnsi="仿宋_GB2312" w:eastAsia="仿宋_GB2312" w:cs="仿宋_GB2312"/>
          <w:sz w:val="28"/>
          <w:szCs w:val="28"/>
        </w:rPr>
        <w:fldChar w:fldCharType="end"/>
      </w:r>
    </w:p>
    <w:p>
      <w:pPr>
        <w:spacing w:line="360" w:lineRule="auto"/>
        <w:ind w:firstLine="1120" w:firstLineChars="400"/>
        <w:rPr>
          <w:rFonts w:ascii="仿宋_GB2312" w:hAnsi="仿宋_GB2312" w:eastAsia="仿宋_GB2312" w:cs="仿宋_GB2312"/>
          <w:sz w:val="28"/>
          <w:szCs w:val="28"/>
        </w:rPr>
      </w:pPr>
      <w:r>
        <w:rPr>
          <w:sz w:val="28"/>
          <w:szCs w:val="28"/>
        </w:rPr>
        <w:fldChar w:fldCharType="begin"/>
      </w:r>
      <w:r>
        <w:rPr>
          <w:sz w:val="28"/>
          <w:szCs w:val="28"/>
        </w:rPr>
        <w:instrText xml:space="preserve"> HYPERLINK \l "_Toc518289129" </w:instrText>
      </w:r>
      <w:r>
        <w:rPr>
          <w:sz w:val="28"/>
          <w:szCs w:val="28"/>
        </w:rPr>
        <w:fldChar w:fldCharType="separate"/>
      </w:r>
      <w:bookmarkStart w:id="9" w:name="_Toc8181_WPSOffice_Level2"/>
      <w:r>
        <w:rPr>
          <w:rFonts w:hint="eastAsia" w:ascii="仿宋_GB2312" w:hAnsi="仿宋_GB2312" w:eastAsia="仿宋_GB2312" w:cs="仿宋_GB2312"/>
          <w:sz w:val="28"/>
          <w:szCs w:val="28"/>
        </w:rPr>
        <w:t>6.1 校准项目</w:t>
      </w:r>
      <w:bookmarkEnd w:id="9"/>
      <w:r>
        <w:rPr>
          <w:rFonts w:hint="eastAsia" w:ascii="仿宋_GB2312" w:hAnsi="仿宋_GB2312" w:eastAsia="仿宋_GB2312" w:cs="仿宋_GB2312"/>
          <w:sz w:val="28"/>
          <w:szCs w:val="28"/>
        </w:rPr>
        <w:fldChar w:fldCharType="end"/>
      </w:r>
    </w:p>
    <w:p>
      <w:pPr>
        <w:spacing w:line="360" w:lineRule="auto"/>
        <w:ind w:firstLine="1120" w:firstLineChars="400"/>
        <w:rPr>
          <w:rFonts w:ascii="仿宋_GB2312" w:hAnsi="仿宋_GB2312" w:eastAsia="仿宋_GB2312" w:cs="仿宋_GB2312"/>
          <w:sz w:val="28"/>
          <w:szCs w:val="28"/>
        </w:rPr>
      </w:pPr>
      <w:r>
        <w:rPr>
          <w:sz w:val="28"/>
          <w:szCs w:val="28"/>
        </w:rPr>
        <w:fldChar w:fldCharType="begin"/>
      </w:r>
      <w:r>
        <w:rPr>
          <w:sz w:val="28"/>
          <w:szCs w:val="28"/>
        </w:rPr>
        <w:instrText xml:space="preserve"> HYPERLINK \l "_Toc518289130" </w:instrText>
      </w:r>
      <w:r>
        <w:rPr>
          <w:sz w:val="28"/>
          <w:szCs w:val="28"/>
        </w:rPr>
        <w:fldChar w:fldCharType="separate"/>
      </w:r>
      <w:bookmarkStart w:id="10" w:name="_Toc25683_WPSOffice_Level2"/>
      <w:r>
        <w:rPr>
          <w:rFonts w:hint="eastAsia" w:ascii="仿宋_GB2312" w:hAnsi="仿宋_GB2312" w:eastAsia="仿宋_GB2312" w:cs="仿宋_GB2312"/>
          <w:sz w:val="28"/>
          <w:szCs w:val="28"/>
        </w:rPr>
        <w:t>6.2 外观和功能检查</w:t>
      </w:r>
      <w:bookmarkEnd w:id="10"/>
      <w:r>
        <w:rPr>
          <w:rFonts w:hint="eastAsia" w:ascii="仿宋_GB2312" w:hAnsi="仿宋_GB2312" w:eastAsia="仿宋_GB2312" w:cs="仿宋_GB2312"/>
          <w:sz w:val="28"/>
          <w:szCs w:val="28"/>
        </w:rPr>
        <w:fldChar w:fldCharType="end"/>
      </w:r>
    </w:p>
    <w:p>
      <w:pPr>
        <w:spacing w:line="360" w:lineRule="auto"/>
        <w:ind w:firstLine="1120" w:firstLineChars="400"/>
        <w:rPr>
          <w:rFonts w:ascii="仿宋_GB2312" w:hAnsi="仿宋_GB2312" w:eastAsia="仿宋_GB2312" w:cs="仿宋_GB2312"/>
          <w:sz w:val="28"/>
          <w:szCs w:val="28"/>
        </w:rPr>
      </w:pPr>
      <w:r>
        <w:rPr>
          <w:sz w:val="28"/>
          <w:szCs w:val="28"/>
        </w:rPr>
        <w:fldChar w:fldCharType="begin"/>
      </w:r>
      <w:r>
        <w:rPr>
          <w:sz w:val="28"/>
          <w:szCs w:val="28"/>
        </w:rPr>
        <w:instrText xml:space="preserve"> HYPERLINK \l "_Toc518289131" </w:instrText>
      </w:r>
      <w:r>
        <w:rPr>
          <w:sz w:val="28"/>
          <w:szCs w:val="28"/>
        </w:rPr>
        <w:fldChar w:fldCharType="separate"/>
      </w:r>
      <w:bookmarkStart w:id="11" w:name="_Toc23926_WPSOffice_Level2"/>
      <w:r>
        <w:rPr>
          <w:rFonts w:hint="eastAsia" w:ascii="仿宋_GB2312" w:hAnsi="仿宋_GB2312" w:eastAsia="仿宋_GB2312" w:cs="仿宋_GB2312"/>
          <w:sz w:val="28"/>
          <w:szCs w:val="28"/>
        </w:rPr>
        <w:t>6.3 校准方法</w:t>
      </w:r>
      <w:bookmarkEnd w:id="11"/>
      <w:r>
        <w:rPr>
          <w:rFonts w:hint="eastAsia" w:ascii="仿宋_GB2312" w:hAnsi="仿宋_GB2312" w:eastAsia="仿宋_GB2312" w:cs="仿宋_GB2312"/>
          <w:sz w:val="28"/>
          <w:szCs w:val="28"/>
        </w:rPr>
        <w:fldChar w:fldCharType="end"/>
      </w:r>
    </w:p>
    <w:p>
      <w:pPr>
        <w:pStyle w:val="9"/>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"_Toc518289140" </w:instrText>
      </w:r>
      <w:r>
        <w:rPr>
          <w:sz w:val="28"/>
          <w:szCs w:val="28"/>
        </w:rPr>
        <w:fldChar w:fldCharType="separate"/>
      </w:r>
      <w:r>
        <w:rPr>
          <w:rFonts w:hint="eastAsia" w:ascii="仿宋_GB2312" w:hAnsi="仿宋_GB2312" w:eastAsia="仿宋_GB2312" w:cs="仿宋_GB2312"/>
          <w:sz w:val="28"/>
          <w:szCs w:val="28"/>
        </w:rPr>
        <w:t>7 校准结果的表达</w:t>
      </w:r>
      <w:r>
        <w:rPr>
          <w:rFonts w:hint="eastAsia" w:ascii="仿宋_GB2312" w:hAnsi="仿宋_GB2312" w:eastAsia="仿宋_GB2312" w:cs="仿宋_GB2312"/>
          <w:sz w:val="28"/>
          <w:szCs w:val="28"/>
        </w:rPr>
        <w:fldChar w:fldCharType="end"/>
      </w:r>
    </w:p>
    <w:p>
      <w:pPr>
        <w:pStyle w:val="9"/>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"_Toc518289141" </w:instrText>
      </w:r>
      <w:r>
        <w:rPr>
          <w:sz w:val="28"/>
          <w:szCs w:val="28"/>
        </w:rPr>
        <w:fldChar w:fldCharType="separate"/>
      </w:r>
      <w:r>
        <w:rPr>
          <w:rFonts w:hint="eastAsia" w:ascii="仿宋_GB2312" w:hAnsi="仿宋_GB2312" w:eastAsia="仿宋_GB2312" w:cs="仿宋_GB2312"/>
          <w:sz w:val="28"/>
          <w:szCs w:val="28"/>
        </w:rPr>
        <w:t>8 复校时间间隔</w:t>
      </w:r>
      <w:r>
        <w:rPr>
          <w:rFonts w:hint="eastAsia" w:ascii="仿宋_GB2312" w:hAnsi="仿宋_GB2312" w:eastAsia="仿宋_GB2312" w:cs="仿宋_GB2312"/>
          <w:sz w:val="28"/>
          <w:szCs w:val="28"/>
        </w:rPr>
        <w:fldChar w:fldCharType="end"/>
      </w:r>
    </w:p>
    <w:p>
      <w:pPr>
        <w:pStyle w:val="9"/>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"_Toc518289142" </w:instrText>
      </w:r>
      <w:r>
        <w:rPr>
          <w:sz w:val="28"/>
          <w:szCs w:val="28"/>
        </w:rPr>
        <w:fldChar w:fldCharType="separate"/>
      </w:r>
      <w:bookmarkStart w:id="12" w:name="_Toc6333_WPSOffice_Level2"/>
      <w:r>
        <w:rPr>
          <w:rFonts w:hint="eastAsia" w:ascii="仿宋_GB2312" w:hAnsi="仿宋_GB2312" w:eastAsia="仿宋_GB2312" w:cs="仿宋_GB2312"/>
          <w:sz w:val="28"/>
          <w:szCs w:val="28"/>
        </w:rPr>
        <w:t>附录A 校准记录表参考格式</w:t>
      </w:r>
      <w:bookmarkEnd w:id="12"/>
      <w:r>
        <w:rPr>
          <w:rFonts w:hint="eastAsia" w:ascii="仿宋_GB2312" w:hAnsi="仿宋_GB2312" w:eastAsia="仿宋_GB2312" w:cs="仿宋_GB2312"/>
          <w:sz w:val="28"/>
          <w:szCs w:val="28"/>
        </w:rPr>
        <w:fldChar w:fldCharType="end"/>
      </w:r>
    </w:p>
    <w:p>
      <w:pPr>
        <w:pStyle w:val="9"/>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"_Toc518289143" </w:instrText>
      </w:r>
      <w:r>
        <w:rPr>
          <w:sz w:val="28"/>
          <w:szCs w:val="28"/>
        </w:rPr>
        <w:fldChar w:fldCharType="separate"/>
      </w:r>
      <w:bookmarkStart w:id="13" w:name="_Toc3177_WPSOffice_Level2"/>
      <w:r>
        <w:rPr>
          <w:rFonts w:hint="eastAsia" w:ascii="仿宋_GB2312" w:hAnsi="仿宋_GB2312" w:eastAsia="仿宋_GB2312" w:cs="仿宋_GB2312"/>
          <w:sz w:val="28"/>
          <w:szCs w:val="28"/>
        </w:rPr>
        <w:t>附录B 校准证书内页信息参考格</w:t>
      </w:r>
      <w:bookmarkEnd w:id="13"/>
      <w:r>
        <w:rPr>
          <w:rFonts w:hint="eastAsia" w:ascii="仿宋_GB2312" w:hAnsi="仿宋_GB2312" w:eastAsia="仿宋_GB2312" w:cs="仿宋_GB2312"/>
          <w:sz w:val="28"/>
          <w:szCs w:val="28"/>
        </w:rPr>
        <w:fldChar w:fldCharType="end"/>
      </w:r>
    </w:p>
    <w:p>
      <w:pPr>
        <w:spacing w:line="360" w:lineRule="auto"/>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sz w:val="28"/>
          <w:szCs w:val="28"/>
        </w:rPr>
        <w:t>——</w:t>
      </w:r>
      <w:r>
        <w:rPr>
          <w:sz w:val="28"/>
          <w:szCs w:val="28"/>
        </w:rPr>
        <w:fldChar w:fldCharType="begin"/>
      </w:r>
      <w:r>
        <w:rPr>
          <w:sz w:val="28"/>
          <w:szCs w:val="28"/>
        </w:rPr>
        <w:instrText xml:space="preserve"> HYPERLINK \l "_Toc518289145" </w:instrText>
      </w:r>
      <w:r>
        <w:rPr>
          <w:sz w:val="28"/>
          <w:szCs w:val="28"/>
        </w:rPr>
        <w:fldChar w:fldCharType="separate"/>
      </w:r>
      <w:bookmarkStart w:id="14" w:name="_Toc18897_WPSOffice_Level2"/>
      <w:r>
        <w:rPr>
          <w:rFonts w:hint="eastAsia" w:ascii="仿宋_GB2312" w:hAnsi="仿宋_GB2312" w:eastAsia="仿宋_GB2312" w:cs="仿宋_GB2312"/>
          <w:sz w:val="28"/>
          <w:szCs w:val="28"/>
        </w:rPr>
        <w:t>附录C 测量结果不确定度</w:t>
      </w:r>
      <w:bookmarkEnd w:id="14"/>
      <w:r>
        <w:rPr>
          <w:rFonts w:hint="eastAsia" w:ascii="仿宋_GB2312" w:hAnsi="仿宋_GB2312" w:eastAsia="仿宋_GB2312" w:cs="仿宋_GB2312"/>
          <w:sz w:val="28"/>
          <w:szCs w:val="28"/>
        </w:rPr>
        <w:t>评</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定示例</w:t>
      </w:r>
    </w:p>
    <w:p>
      <w:pPr>
        <w:spacing w:line="360" w:lineRule="auto"/>
        <w:ind w:firstLine="490" w:firstLineChars="175"/>
        <w:rPr>
          <w:rFonts w:ascii="仿宋_GB2312" w:hAnsi="仿宋_GB2312" w:eastAsia="仿宋_GB2312" w:cs="仿宋_GB2312"/>
          <w:sz w:val="28"/>
          <w:szCs w:val="28"/>
        </w:rPr>
      </w:pPr>
      <w:r>
        <w:rPr>
          <w:rFonts w:hint="eastAsia" w:ascii="仿宋_GB2312" w:hAnsi="仿宋_GB2312" w:eastAsia="仿宋_GB2312" w:cs="仿宋_GB2312"/>
          <w:sz w:val="28"/>
          <w:szCs w:val="28"/>
        </w:rPr>
        <w:t>JJF 1001-2011《通用计量术语及定义》、JJF 1059-2012《测量不确定度评定与表示》和JJF 1071-2010《国家计量校准规范编写规则》共同构成支撑本规范制定工作的基础性系列规范。</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本规范结合海洋部门机械计数式海洋浮游生物网口流量计的使用现状，参考了如下文件：</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GB 17378.7-2007《海洋监测规范 第7部分：近海污染生态调查和生物监测》</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JJG 628-2019《SLC9型直读式海流计检定规程》</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JJF 1999-2022《转子式流速仪校准规范》</w:t>
      </w:r>
    </w:p>
    <w:p>
      <w:pPr>
        <w:spacing w:line="360" w:lineRule="auto"/>
        <w:ind w:firstLine="522" w:firstLineChars="200"/>
        <w:jc w:val="left"/>
        <w:outlineLvl w:val="0"/>
        <w:rPr>
          <w:rFonts w:ascii="仿宋_GB2312" w:hAnsi="仿宋_GB2312" w:eastAsia="仿宋_GB2312" w:cs="仿宋_GB2312"/>
          <w:b/>
          <w:spacing w:val="-10"/>
          <w:sz w:val="28"/>
          <w:szCs w:val="28"/>
        </w:rPr>
      </w:pPr>
      <w:bookmarkStart w:id="15" w:name="_Toc21123"/>
      <w:r>
        <w:rPr>
          <w:rFonts w:hint="eastAsia" w:ascii="仿宋_GB2312" w:hAnsi="仿宋_GB2312" w:eastAsia="仿宋_GB2312" w:cs="仿宋_GB2312"/>
          <w:b/>
          <w:spacing w:val="-10"/>
          <w:sz w:val="28"/>
          <w:szCs w:val="28"/>
        </w:rPr>
        <w:t>五、与“国际建议/国际文件/国际标准/国内标准”等兼容情况</w:t>
      </w:r>
      <w:bookmarkEnd w:id="15"/>
    </w:p>
    <w:p>
      <w:pPr>
        <w:spacing w:line="360" w:lineRule="auto"/>
        <w:ind w:firstLine="560" w:firstLineChars="200"/>
        <w:rPr>
          <w:rFonts w:ascii="仿宋_GB2312" w:hAnsi="仿宋_GB2312" w:eastAsia="仿宋_GB2312" w:cs="仿宋_GB2312"/>
          <w:b/>
          <w:sz w:val="28"/>
          <w:szCs w:val="28"/>
        </w:rPr>
      </w:pPr>
      <w:bookmarkStart w:id="16" w:name="_Toc395782121"/>
      <w:r>
        <w:rPr>
          <w:rFonts w:hint="eastAsia" w:ascii="仿宋_GB2312" w:hAnsi="仿宋_GB2312" w:eastAsia="仿宋_GB2312" w:cs="仿宋_GB2312"/>
          <w:sz w:val="28"/>
          <w:szCs w:val="28"/>
        </w:rPr>
        <w:t>《机械计数式海洋浮游生物网口流量计校准规范》填补了国内在相关海洋仪器校准方法上的空白，使得相关仪器的验收、检测、校准有章可循，与“国际建议”、“国际文件”、“国际标准”、“国内标准”等兼容协调。</w:t>
      </w:r>
    </w:p>
    <w:bookmarkEnd w:id="16"/>
    <w:p>
      <w:pPr>
        <w:spacing w:line="360" w:lineRule="auto"/>
        <w:ind w:firstLine="562" w:firstLineChars="200"/>
        <w:jc w:val="left"/>
        <w:outlineLvl w:val="0"/>
        <w:rPr>
          <w:rFonts w:ascii="仿宋_GB2312" w:hAnsi="仿宋_GB2312" w:eastAsia="仿宋_GB2312" w:cs="仿宋_GB2312"/>
          <w:b/>
          <w:sz w:val="28"/>
          <w:szCs w:val="28"/>
        </w:rPr>
      </w:pPr>
      <w:bookmarkStart w:id="17" w:name="_Toc2659"/>
      <w:r>
        <w:rPr>
          <w:rFonts w:hint="eastAsia" w:ascii="仿宋_GB2312" w:hAnsi="仿宋_GB2312" w:eastAsia="仿宋_GB2312" w:cs="仿宋_GB2312"/>
          <w:b/>
          <w:sz w:val="28"/>
          <w:szCs w:val="28"/>
        </w:rPr>
        <w:t>六、校准规范内容说明</w:t>
      </w:r>
      <w:bookmarkEnd w:id="17"/>
    </w:p>
    <w:p>
      <w:pPr>
        <w:pStyle w:val="3"/>
        <w:ind w:firstLine="482"/>
        <w:rPr>
          <w:sz w:val="28"/>
          <w:szCs w:val="28"/>
        </w:rPr>
      </w:pPr>
      <w:bookmarkStart w:id="18" w:name="_Toc30759"/>
      <w:r>
        <w:rPr>
          <w:rFonts w:hint="eastAsia"/>
          <w:sz w:val="28"/>
          <w:szCs w:val="28"/>
        </w:rPr>
        <w:t>1.规范名称的确定说明</w:t>
      </w:r>
      <w:bookmarkEnd w:id="18"/>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通常，海洋浮游生物监测使用的流量计是涡轮流量计的一种。使用时，流体流动驱动一只具有若干叶片并与管道同轴的转子转动，流量正比于转子的转速，测量转速的装置可以是机械的、光学的、磁性的或其他原理的，流量与转子系数的转换关系一致，彼此之间仅转速测量方式不同。本规范确定名称为《机械计数式海洋浮游生物网口流量计校准规范》，一方面是限定于机械计数式的流量计，另一方面是限定于用于海洋浮游生物网口监测的流量计。</w:t>
      </w:r>
    </w:p>
    <w:p>
      <w:pPr>
        <w:pStyle w:val="3"/>
        <w:bidi w:val="0"/>
        <w:rPr>
          <w:sz w:val="28"/>
          <w:szCs w:val="28"/>
        </w:rPr>
      </w:pPr>
      <w:bookmarkStart w:id="19" w:name="_Toc8354"/>
      <w:r>
        <w:rPr>
          <w:rFonts w:hint="eastAsia"/>
          <w:sz w:val="28"/>
          <w:szCs w:val="28"/>
        </w:rPr>
        <w:t>2.范围的确定说明</w:t>
      </w:r>
      <w:bookmarkEnd w:id="19"/>
    </w:p>
    <w:p>
      <w:pPr>
        <w:spacing w:before="120" w:after="120"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本规范主要适用于机械计数式海洋浮游生物网口流量计的校准，校准项目包括流量计起转速度和转子常数。</w:t>
      </w:r>
    </w:p>
    <w:p>
      <w:pPr>
        <w:pStyle w:val="3"/>
        <w:ind w:firstLine="482"/>
        <w:rPr>
          <w:sz w:val="28"/>
          <w:szCs w:val="28"/>
        </w:rPr>
      </w:pPr>
      <w:bookmarkStart w:id="20" w:name="_Toc31762"/>
      <w:r>
        <w:rPr>
          <w:rFonts w:hint="eastAsia"/>
          <w:sz w:val="28"/>
          <w:szCs w:val="28"/>
        </w:rPr>
        <w:t>3.概述的确定说明</w:t>
      </w:r>
      <w:bookmarkEnd w:id="20"/>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本规范结合机械计数式海洋浮游生物网口流量计的使用情况，重点描述机械计数式海洋浮游生物网口流量计的组成、结构以及转子常数和流量的换算关系。</w:t>
      </w:r>
    </w:p>
    <w:p>
      <w:pPr>
        <w:pStyle w:val="3"/>
        <w:ind w:firstLine="482"/>
        <w:rPr>
          <w:sz w:val="28"/>
          <w:szCs w:val="28"/>
        </w:rPr>
      </w:pPr>
      <w:bookmarkStart w:id="21" w:name="_Toc11405"/>
      <w:r>
        <w:rPr>
          <w:rFonts w:hint="eastAsia"/>
          <w:sz w:val="28"/>
          <w:szCs w:val="28"/>
        </w:rPr>
        <w:t>4.计量特性的说明</w:t>
      </w:r>
      <w:bookmarkEnd w:id="21"/>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本部分充分考虑机械计数式海洋浮游生物网口流量计的工作原理、使用环境、海洋</w:t>
      </w:r>
      <w:r>
        <w:rPr>
          <w:rFonts w:hint="eastAsia" w:ascii="仿宋_GB2312" w:hAnsi="仿宋_GB2312" w:eastAsia="仿宋_GB2312" w:cs="仿宋_GB2312"/>
          <w:sz w:val="28"/>
          <w:szCs w:val="28"/>
          <w:lang w:eastAsia="zh-CN"/>
        </w:rPr>
        <w:t>监测</w:t>
      </w:r>
      <w:r>
        <w:rPr>
          <w:rFonts w:hint="eastAsia" w:ascii="仿宋_GB2312" w:hAnsi="仿宋_GB2312" w:eastAsia="仿宋_GB2312" w:cs="仿宋_GB2312"/>
          <w:sz w:val="28"/>
          <w:szCs w:val="28"/>
        </w:rPr>
        <w:t>任务需求等条件，参照《海洋监测规范 第7部分：近海污染生态调查和生物监测》（GB 17378.7-2007）中对于流量计标定的要求，对系统的外观、功能和计量性能进行了确定。</w:t>
      </w:r>
    </w:p>
    <w:p>
      <w:pPr>
        <w:spacing w:line="360" w:lineRule="auto"/>
        <w:ind w:firstLine="560" w:firstLineChars="200"/>
        <w:rPr>
          <w:rFonts w:ascii="仿宋_GB2312" w:hAnsi="仿宋_GB2312" w:eastAsia="仿宋_GB2312" w:cs="仿宋_GB2312"/>
          <w:sz w:val="28"/>
          <w:szCs w:val="28"/>
        </w:rPr>
      </w:pPr>
      <w:bookmarkStart w:id="22" w:name="_Toc518289123"/>
      <w:r>
        <w:rPr>
          <w:rFonts w:hint="eastAsia" w:ascii="仿宋_GB2312" w:hAnsi="仿宋_GB2312" w:eastAsia="仿宋_GB2312" w:cs="仿宋_GB2312"/>
          <w:sz w:val="28"/>
          <w:szCs w:val="28"/>
        </w:rPr>
        <w:t>4.1外观</w:t>
      </w:r>
      <w:bookmarkEnd w:id="22"/>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机械计数式海洋浮游生物网口流量计使用环境复杂，使用一段时间后极易形成叶轮及转轴衔接处的阻塞，因此需参考产品使用要求在校准前进行清理，确定外观检查的内容：铭牌信息、外观和使用功能要求。</w:t>
      </w:r>
    </w:p>
    <w:p>
      <w:pPr>
        <w:spacing w:line="360" w:lineRule="auto"/>
        <w:ind w:firstLine="560" w:firstLineChars="200"/>
        <w:rPr>
          <w:rFonts w:ascii="仿宋_GB2312" w:hAnsi="仿宋_GB2312" w:eastAsia="仿宋_GB2312" w:cs="仿宋_GB2312"/>
          <w:sz w:val="28"/>
          <w:szCs w:val="28"/>
        </w:rPr>
      </w:pPr>
      <w:bookmarkStart w:id="23" w:name="_Toc518289124"/>
      <w:r>
        <w:rPr>
          <w:rFonts w:hint="eastAsia" w:ascii="仿宋_GB2312" w:hAnsi="仿宋_GB2312" w:eastAsia="仿宋_GB2312" w:cs="仿宋_GB2312"/>
          <w:sz w:val="28"/>
          <w:szCs w:val="28"/>
        </w:rPr>
        <w:t>4.2计量性能</w:t>
      </w:r>
      <w:bookmarkEnd w:id="23"/>
    </w:p>
    <w:p>
      <w:pPr>
        <w:spacing w:line="360" w:lineRule="auto"/>
        <w:ind w:firstLine="560" w:firstLineChars="200"/>
        <w:rPr>
          <w:rFonts w:ascii="仿宋_GB2312" w:hAnsi="仿宋_GB2312" w:eastAsia="仿宋_GB2312" w:cs="仿宋_GB2312"/>
          <w:sz w:val="24"/>
          <w:szCs w:val="24"/>
        </w:rPr>
      </w:pPr>
      <w:r>
        <w:rPr>
          <w:rFonts w:hint="eastAsia" w:ascii="仿宋_GB2312" w:hAnsi="仿宋_GB2312" w:eastAsia="仿宋_GB2312" w:cs="仿宋_GB2312"/>
          <w:sz w:val="28"/>
          <w:szCs w:val="28"/>
        </w:rPr>
        <w:t>参照常用的机械计数式海洋浮游生物网口流量计主要技术指标，制定了通用技术指标，详见表2。</w:t>
      </w:r>
      <w:bookmarkStart w:id="24" w:name="_Toc453489835"/>
      <w:bookmarkStart w:id="25" w:name="_Toc262743960"/>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表2 机械计数式海洋浮游生物网口流量计计量性能要求</w:t>
      </w:r>
    </w:p>
    <w:tbl>
      <w:tblPr>
        <w:tblStyle w:val="13"/>
        <w:tblW w:w="5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1925"/>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925" w:type="dxa"/>
            <w:tcBorders>
              <w:top w:val="single" w:color="000000" w:sz="8" w:space="0"/>
              <w:left w:val="single" w:color="000000" w:sz="8" w:space="0"/>
              <w:bottom w:val="single" w:color="auto" w:sz="4" w:space="0"/>
              <w:right w:val="single" w:color="auto" w:sz="4"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w:t>
            </w:r>
          </w:p>
        </w:tc>
        <w:tc>
          <w:tcPr>
            <w:tcW w:w="1926" w:type="dxa"/>
            <w:tcBorders>
              <w:top w:val="single" w:color="000000" w:sz="8" w:space="0"/>
              <w:left w:val="single" w:color="auto" w:sz="4" w:space="0"/>
              <w:bottom w:val="single" w:color="auto" w:sz="4" w:space="0"/>
              <w:right w:val="single" w:color="auto" w:sz="4"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起转速度（m/s）</w:t>
            </w:r>
          </w:p>
        </w:tc>
        <w:tc>
          <w:tcPr>
            <w:tcW w:w="1926" w:type="dxa"/>
            <w:tcBorders>
              <w:top w:val="single" w:color="000000" w:sz="8" w:space="0"/>
              <w:left w:val="single" w:color="auto" w:sz="4" w:space="0"/>
              <w:bottom w:val="single" w:color="auto" w:sz="4" w:space="0"/>
              <w:right w:val="single" w:color="000000" w:sz="8"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转子常数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925" w:type="dxa"/>
            <w:tcBorders>
              <w:top w:val="single" w:color="auto" w:sz="4" w:space="0"/>
              <w:left w:val="single" w:color="000000" w:sz="8" w:space="0"/>
              <w:bottom w:val="single" w:color="auto" w:sz="4" w:space="0"/>
              <w:right w:val="single" w:color="auto" w:sz="4"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数值范围</w:t>
            </w:r>
          </w:p>
        </w:tc>
        <w:tc>
          <w:tcPr>
            <w:tcW w:w="19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≤0.50</w:t>
            </w:r>
          </w:p>
        </w:tc>
        <w:tc>
          <w:tcPr>
            <w:tcW w:w="1926" w:type="dxa"/>
            <w:tcBorders>
              <w:top w:val="single" w:color="auto" w:sz="4" w:space="0"/>
              <w:left w:val="single" w:color="auto" w:sz="4" w:space="0"/>
              <w:bottom w:val="single" w:color="auto" w:sz="4" w:space="0"/>
              <w:right w:val="single" w:color="000000" w:sz="8"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925" w:type="dxa"/>
            <w:tcBorders>
              <w:top w:val="single" w:color="auto" w:sz="4" w:space="0"/>
              <w:left w:val="single" w:color="000000" w:sz="8" w:space="0"/>
              <w:bottom w:val="single" w:color="000000" w:sz="8" w:space="0"/>
              <w:right w:val="single" w:color="auto" w:sz="4"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最大允许误差</w:t>
            </w:r>
          </w:p>
        </w:tc>
        <w:tc>
          <w:tcPr>
            <w:tcW w:w="1926" w:type="dxa"/>
            <w:tcBorders>
              <w:top w:val="single" w:color="auto" w:sz="4" w:space="0"/>
              <w:left w:val="single" w:color="auto" w:sz="4" w:space="0"/>
              <w:bottom w:val="single" w:color="000000" w:sz="8" w:space="0"/>
              <w:right w:val="single" w:color="auto" w:sz="4"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±0.05</w:t>
            </w:r>
          </w:p>
        </w:tc>
        <w:tc>
          <w:tcPr>
            <w:tcW w:w="1926" w:type="dxa"/>
            <w:tcBorders>
              <w:top w:val="single" w:color="auto" w:sz="4" w:space="0"/>
              <w:left w:val="single" w:color="auto" w:sz="4" w:space="0"/>
              <w:bottom w:val="single" w:color="000000" w:sz="8" w:space="0"/>
              <w:right w:val="single" w:color="000000" w:sz="8" w:space="0"/>
            </w:tcBorders>
            <w:shd w:val="clear" w:color="auto" w:fill="auto"/>
            <w:vAlign w:val="center"/>
          </w:tcPr>
          <w:p>
            <w:pPr>
              <w:pStyle w:val="26"/>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w:t>
            </w:r>
          </w:p>
        </w:tc>
      </w:tr>
    </w:tbl>
    <w:p>
      <w:pPr>
        <w:spacing w:line="400" w:lineRule="exact"/>
        <w:ind w:firstLine="480"/>
        <w:jc w:val="center"/>
        <w:rPr>
          <w:rFonts w:ascii="仿宋_GB2312" w:hAnsi="仿宋_GB2312" w:eastAsia="仿宋_GB2312" w:cs="仿宋_GB2312"/>
          <w:szCs w:val="21"/>
        </w:rPr>
      </w:pPr>
    </w:p>
    <w:p>
      <w:pPr>
        <w:pStyle w:val="3"/>
        <w:ind w:firstLine="482"/>
        <w:rPr>
          <w:sz w:val="28"/>
          <w:szCs w:val="28"/>
        </w:rPr>
      </w:pPr>
      <w:bookmarkStart w:id="26" w:name="_Toc518289125"/>
      <w:bookmarkStart w:id="27" w:name="_Toc20074"/>
      <w:r>
        <w:rPr>
          <w:rFonts w:hint="eastAsia"/>
          <w:sz w:val="28"/>
          <w:szCs w:val="28"/>
        </w:rPr>
        <w:t xml:space="preserve">5 </w:t>
      </w:r>
      <w:bookmarkEnd w:id="24"/>
      <w:bookmarkEnd w:id="25"/>
      <w:r>
        <w:rPr>
          <w:rFonts w:hint="eastAsia"/>
          <w:sz w:val="28"/>
          <w:szCs w:val="28"/>
        </w:rPr>
        <w:t>校准条件</w:t>
      </w:r>
      <w:bookmarkEnd w:id="26"/>
      <w:r>
        <w:rPr>
          <w:rFonts w:hint="eastAsia"/>
          <w:sz w:val="28"/>
          <w:szCs w:val="28"/>
        </w:rPr>
        <w:t>的确定说明</w:t>
      </w:r>
      <w:bookmarkEnd w:id="27"/>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校准条件包括校准用标准器、配套设备和校准环境条件。</w:t>
      </w:r>
    </w:p>
    <w:p>
      <w:pPr>
        <w:spacing w:line="360" w:lineRule="auto"/>
        <w:ind w:firstLine="560" w:firstLineChars="200"/>
        <w:rPr>
          <w:rFonts w:ascii="仿宋_GB2312" w:hAnsi="仿宋_GB2312" w:eastAsia="仿宋_GB2312" w:cs="仿宋_GB2312"/>
          <w:sz w:val="28"/>
          <w:szCs w:val="28"/>
        </w:rPr>
      </w:pPr>
      <w:bookmarkStart w:id="28" w:name="_Toc518289126"/>
      <w:r>
        <w:rPr>
          <w:rFonts w:hint="eastAsia" w:ascii="仿宋_GB2312" w:hAnsi="仿宋_GB2312" w:eastAsia="仿宋_GB2312" w:cs="仿宋_GB2312"/>
          <w:sz w:val="28"/>
          <w:szCs w:val="28"/>
        </w:rPr>
        <w:t>5.1 关于环境条件</w:t>
      </w:r>
      <w:bookmarkEnd w:id="28"/>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考虑到流量计转子常数校准满足基本工作环境即可，对温度和相对湿度进行了规定。</w:t>
      </w:r>
    </w:p>
    <w:p>
      <w:pPr>
        <w:spacing w:line="360" w:lineRule="auto"/>
        <w:ind w:firstLine="560" w:firstLineChars="200"/>
        <w:rPr>
          <w:rFonts w:ascii="仿宋_GB2312" w:hAnsi="仿宋_GB2312" w:eastAsia="仿宋_GB2312" w:cs="仿宋_GB2312"/>
          <w:sz w:val="28"/>
          <w:szCs w:val="28"/>
        </w:rPr>
      </w:pPr>
      <w:bookmarkStart w:id="29" w:name="_Toc395252510"/>
      <w:bookmarkStart w:id="30" w:name="_Toc518289127"/>
      <w:r>
        <w:rPr>
          <w:rFonts w:hint="eastAsia" w:ascii="仿宋_GB2312" w:hAnsi="仿宋_GB2312" w:eastAsia="仿宋_GB2312" w:cs="仿宋_GB2312"/>
          <w:sz w:val="28"/>
          <w:szCs w:val="28"/>
        </w:rPr>
        <w:t xml:space="preserve">5.2 </w:t>
      </w:r>
      <w:bookmarkEnd w:id="29"/>
      <w:r>
        <w:rPr>
          <w:rFonts w:hint="eastAsia" w:ascii="仿宋_GB2312" w:hAnsi="仿宋_GB2312" w:eastAsia="仿宋_GB2312" w:cs="仿宋_GB2312"/>
          <w:sz w:val="28"/>
          <w:szCs w:val="28"/>
        </w:rPr>
        <w:t>关于测量标准及主要配套设备</w:t>
      </w:r>
      <w:bookmarkEnd w:id="30"/>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按照JJF1094-2002 《测量仪器特性评定》的要求，示值误差的不确定度</w:t>
      </w:r>
      <w:r>
        <w:rPr>
          <w:rFonts w:hint="eastAsia" w:ascii="仿宋_GB2312" w:hAnsi="仿宋_GB2312" w:eastAsia="仿宋_GB2312" w:cs="仿宋_GB2312"/>
          <w:i/>
          <w:sz w:val="28"/>
          <w:szCs w:val="28"/>
        </w:rPr>
        <w:t>U</w:t>
      </w:r>
      <w:r>
        <w:rPr>
          <w:rFonts w:hint="eastAsia" w:ascii="仿宋_GB2312" w:hAnsi="仿宋_GB2312" w:eastAsia="仿宋_GB2312" w:cs="仿宋_GB2312"/>
          <w:sz w:val="28"/>
          <w:szCs w:val="28"/>
          <w:vertAlign w:val="subscript"/>
        </w:rPr>
        <w:t>95</w:t>
      </w:r>
      <w:r>
        <w:rPr>
          <w:rFonts w:hint="eastAsia" w:ascii="仿宋_GB2312" w:hAnsi="仿宋_GB2312" w:eastAsia="仿宋_GB2312" w:cs="仿宋_GB2312"/>
          <w:sz w:val="28"/>
          <w:szCs w:val="28"/>
        </w:rPr>
        <w:t>与被评定仪器的最大允许误差的绝对值之比应满足小于或等于1:3的关系，根据机械计数式海洋浮游生物网口流量计的计量性能要求，确定了校准所需的测量标准和主要配套设备。</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5.2.1 速度计量标准器</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转子常数校准工作中，校准车是模拟实际流场并提供稳定流速环境的装置。当校准车速度稳定时，固定在校准车上的机械计数式海洋浮游生物网口流量计获得了与校准车同样的行进速度。</w:t>
      </w:r>
    </w:p>
    <w:p>
      <w:pPr>
        <w:spacing w:line="360" w:lineRule="auto"/>
        <w:ind w:firstLine="560" w:firstLineChars="200"/>
        <w:rPr>
          <w:rFonts w:ascii="仿宋_GB2312" w:hAnsi="仿宋_GB2312" w:eastAsia="仿宋_GB2312" w:cs="仿宋_GB2312"/>
          <w:sz w:val="24"/>
          <w:szCs w:val="24"/>
        </w:rPr>
      </w:pPr>
      <w:r>
        <w:rPr>
          <w:rFonts w:hint="eastAsia" w:ascii="仿宋_GB2312" w:hAnsi="仿宋_GB2312" w:eastAsia="仿宋_GB2312" w:cs="仿宋_GB2312"/>
          <w:sz w:val="28"/>
          <w:szCs w:val="28"/>
        </w:rPr>
        <w:t>充分考虑校准车精度需求与标准仪器发展现状，对所使用标准器性能指标进行了规定，详见表3。</w:t>
      </w:r>
    </w:p>
    <w:p>
      <w:pPr>
        <w:spacing w:line="36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表3 校准车性能指标表</w:t>
      </w:r>
    </w:p>
    <w:tbl>
      <w:tblPr>
        <w:tblStyle w:val="12"/>
        <w:tblW w:w="84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978"/>
        <w:gridCol w:w="2345"/>
        <w:gridCol w:w="17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8"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速度（m/s）</w:t>
            </w:r>
          </w:p>
        </w:tc>
        <w:tc>
          <w:tcPr>
            <w:tcW w:w="1978" w:type="dxa"/>
            <w:tcBorders>
              <w:top w:val="single" w:color="auto" w:sz="8"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速度≤0.10</w:t>
            </w:r>
          </w:p>
        </w:tc>
        <w:tc>
          <w:tcPr>
            <w:tcW w:w="2345" w:type="dxa"/>
            <w:tcBorders>
              <w:top w:val="single" w:color="auto" w:sz="8"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0.10＜速度≤0.50</w:t>
            </w:r>
          </w:p>
        </w:tc>
        <w:tc>
          <w:tcPr>
            <w:tcW w:w="1783" w:type="dxa"/>
            <w:tcBorders>
              <w:top w:val="single" w:color="auto" w:sz="8" w:space="0"/>
              <w:left w:val="single" w:color="auto" w:sz="4" w:space="0"/>
              <w:bottom w:val="single" w:color="auto" w:sz="4"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速度＞0.50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车速变化率（%）</w:t>
            </w:r>
          </w:p>
        </w:tc>
        <w:tc>
          <w:tcPr>
            <w:tcW w:w="197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≤2.00</w:t>
            </w:r>
          </w:p>
        </w:tc>
        <w:tc>
          <w:tcPr>
            <w:tcW w:w="23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≤1.00</w:t>
            </w:r>
          </w:p>
        </w:tc>
        <w:tc>
          <w:tcPr>
            <w:tcW w:w="1783" w:type="dxa"/>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≤0.60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速度范围（m/s）</w:t>
            </w:r>
          </w:p>
        </w:tc>
        <w:tc>
          <w:tcPr>
            <w:tcW w:w="6106" w:type="dxa"/>
            <w:gridSpan w:val="3"/>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0.01～5.00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51"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最大允许误差（m/s）</w:t>
            </w:r>
          </w:p>
        </w:tc>
        <w:tc>
          <w:tcPr>
            <w:tcW w:w="6106" w:type="dxa"/>
            <w:gridSpan w:val="3"/>
            <w:tcBorders>
              <w:top w:val="single" w:color="auto" w:sz="4" w:space="0"/>
              <w:left w:val="single" w:color="auto" w:sz="4" w:space="0"/>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±0.02</w:t>
            </w:r>
          </w:p>
        </w:tc>
      </w:tr>
    </w:tbl>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5.2.2 时间计量标准器</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转子常数校准工作中，电子秒表是提供时间标准的装置。用于记录校准车行进过程中的时间，测量间隔10s。</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充分考虑时间精度需求与标准仪器发展现状，对所使用标准器性能指标进行了规定：测量间隔为10s时，最大允许误差为±0.05s。</w:t>
      </w:r>
    </w:p>
    <w:p>
      <w:pPr>
        <w:spacing w:line="360" w:lineRule="auto"/>
        <w:ind w:firstLine="560" w:firstLineChars="200"/>
        <w:rPr>
          <w:rFonts w:ascii="仿宋_GB2312" w:hAnsi="仿宋_GB2312" w:eastAsia="仿宋_GB2312" w:cs="仿宋_GB2312"/>
          <w:sz w:val="28"/>
          <w:szCs w:val="28"/>
        </w:rPr>
      </w:pPr>
      <w:bookmarkStart w:id="31" w:name="_Toc395252511"/>
      <w:bookmarkStart w:id="32" w:name="_Toc518289128"/>
      <w:r>
        <w:rPr>
          <w:rFonts w:hint="eastAsia" w:ascii="仿宋_GB2312" w:hAnsi="仿宋_GB2312" w:eastAsia="仿宋_GB2312" w:cs="仿宋_GB2312"/>
          <w:sz w:val="28"/>
          <w:szCs w:val="28"/>
        </w:rPr>
        <w:t>5.2.3 主要配套设备</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转子常数校准过程中用到的主要配套装置校准水槽为直线明槽，包括加速段、稳定段、测量段和制动段。加速段和制动段的长度由校准车的设计指标和流量计在水槽中校准的最大速度来决定，制动段的长度必须考虑满足安全需要。原则上，水槽尺寸大小应满足以下要求：槽体长度≥120m；槽体宽度≥1.8m；槽体深度≥1.5m。</w:t>
      </w:r>
    </w:p>
    <w:p>
      <w:pPr>
        <w:pStyle w:val="3"/>
        <w:ind w:firstLine="482"/>
        <w:rPr>
          <w:sz w:val="28"/>
          <w:szCs w:val="28"/>
        </w:rPr>
      </w:pPr>
      <w:bookmarkStart w:id="33" w:name="_Toc7127"/>
      <w:r>
        <w:rPr>
          <w:rFonts w:hint="eastAsia"/>
          <w:sz w:val="28"/>
          <w:szCs w:val="28"/>
        </w:rPr>
        <w:t xml:space="preserve">6 </w:t>
      </w:r>
      <w:bookmarkEnd w:id="31"/>
      <w:r>
        <w:rPr>
          <w:rFonts w:hint="eastAsia"/>
          <w:sz w:val="28"/>
          <w:szCs w:val="28"/>
        </w:rPr>
        <w:t>校准项目和校准方法</w:t>
      </w:r>
      <w:bookmarkEnd w:id="32"/>
      <w:r>
        <w:rPr>
          <w:rFonts w:hint="eastAsia"/>
          <w:sz w:val="28"/>
          <w:szCs w:val="28"/>
        </w:rPr>
        <w:t>的确定说明</w:t>
      </w:r>
      <w:bookmarkEnd w:id="33"/>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本部分介绍了校准项目的选取和机械计数式海洋浮游生物网口流量计的外观及功能检查，对校准方法和数据处理方法作出了详细规定。</w:t>
      </w:r>
    </w:p>
    <w:p>
      <w:pPr>
        <w:spacing w:line="360" w:lineRule="auto"/>
        <w:ind w:firstLine="560" w:firstLineChars="200"/>
        <w:rPr>
          <w:rFonts w:ascii="仿宋_GB2312" w:hAnsi="仿宋_GB2312" w:eastAsia="仿宋_GB2312" w:cs="仿宋_GB2312"/>
          <w:sz w:val="28"/>
          <w:szCs w:val="28"/>
        </w:rPr>
      </w:pPr>
      <w:bookmarkStart w:id="34" w:name="_Toc518289129"/>
      <w:bookmarkStart w:id="35" w:name="_Toc395252513"/>
      <w:bookmarkStart w:id="36" w:name="_Toc262743962"/>
      <w:r>
        <w:rPr>
          <w:rFonts w:hint="eastAsia" w:ascii="仿宋_GB2312" w:hAnsi="仿宋_GB2312" w:eastAsia="仿宋_GB2312" w:cs="仿宋_GB2312"/>
          <w:sz w:val="28"/>
          <w:szCs w:val="28"/>
        </w:rPr>
        <w:t>6.1 校准项目</w:t>
      </w:r>
      <w:bookmarkEnd w:id="34"/>
      <w:bookmarkEnd w:id="35"/>
      <w:bookmarkEnd w:id="36"/>
    </w:p>
    <w:p>
      <w:pPr>
        <w:spacing w:line="360" w:lineRule="auto"/>
        <w:ind w:firstLine="560" w:firstLineChars="200"/>
        <w:rPr>
          <w:rFonts w:ascii="仿宋_GB2312" w:hAnsi="仿宋_GB2312" w:eastAsia="仿宋_GB2312" w:cs="仿宋_GB2312"/>
          <w:sz w:val="24"/>
          <w:szCs w:val="24"/>
        </w:rPr>
      </w:pPr>
      <w:r>
        <w:rPr>
          <w:rFonts w:hint="eastAsia" w:ascii="仿宋_GB2312" w:hAnsi="仿宋_GB2312" w:eastAsia="仿宋_GB2312" w:cs="仿宋_GB2312"/>
          <w:sz w:val="28"/>
          <w:szCs w:val="28"/>
        </w:rPr>
        <w:t>根据校准需求对校准项目进行了规定，见表4。</w:t>
      </w:r>
    </w:p>
    <w:p>
      <w:pPr>
        <w:spacing w:line="4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表4 校准项目一览表</w:t>
      </w:r>
    </w:p>
    <w:tbl>
      <w:tblPr>
        <w:tblStyle w:val="12"/>
        <w:tblW w:w="841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318"/>
        <w:gridCol w:w="1741"/>
        <w:gridCol w:w="1741"/>
        <w:gridCol w:w="17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73"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bookmarkStart w:id="37" w:name="_Toc518289130"/>
            <w:r>
              <w:rPr>
                <w:rFonts w:hint="eastAsia" w:ascii="仿宋_GB2312" w:hAnsi="仿宋_GB2312" w:eastAsia="仿宋_GB2312" w:cs="仿宋_GB2312"/>
                <w:sz w:val="24"/>
                <w:szCs w:val="24"/>
              </w:rPr>
              <w:t>序号</w:t>
            </w:r>
          </w:p>
        </w:tc>
        <w:tc>
          <w:tcPr>
            <w:tcW w:w="2318" w:type="dxa"/>
            <w:tcBorders>
              <w:top w:val="single" w:color="auto" w:sz="12"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校准项目</w:t>
            </w:r>
          </w:p>
        </w:tc>
        <w:tc>
          <w:tcPr>
            <w:tcW w:w="1741"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首次校准</w:t>
            </w:r>
          </w:p>
        </w:tc>
        <w:tc>
          <w:tcPr>
            <w:tcW w:w="1741"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后续校准</w:t>
            </w:r>
          </w:p>
        </w:tc>
        <w:tc>
          <w:tcPr>
            <w:tcW w:w="1741" w:type="dxa"/>
            <w:tcBorders>
              <w:top w:val="single" w:color="auto" w:sz="12" w:space="0"/>
              <w:left w:val="single" w:color="auto" w:sz="4" w:space="0"/>
              <w:bottom w:val="single" w:color="auto" w:sz="4" w:space="0"/>
              <w:right w:val="single" w:color="auto" w:sz="12"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使用中校准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外观及功能</w:t>
            </w:r>
          </w:p>
        </w:tc>
        <w:tc>
          <w:tcPr>
            <w:tcW w:w="174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74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741"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起转速度</w:t>
            </w:r>
          </w:p>
        </w:tc>
        <w:tc>
          <w:tcPr>
            <w:tcW w:w="174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74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741"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tcBorders>
              <w:top w:val="single" w:color="auto" w:sz="4" w:space="0"/>
              <w:left w:val="single" w:color="auto" w:sz="12" w:space="0"/>
              <w:bottom w:val="single" w:color="auto" w:sz="12"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318"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转子常数</w:t>
            </w:r>
          </w:p>
        </w:tc>
        <w:tc>
          <w:tcPr>
            <w:tcW w:w="1741"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741"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741" w:type="dxa"/>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6.2 外观和功能检查</w:t>
      </w:r>
      <w:bookmarkEnd w:id="37"/>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根据外观要求，对铭牌信息、外观和使用功能进行检查。</w:t>
      </w:r>
    </w:p>
    <w:p>
      <w:pPr>
        <w:spacing w:line="360" w:lineRule="auto"/>
        <w:ind w:firstLine="560" w:firstLineChars="200"/>
        <w:rPr>
          <w:rFonts w:ascii="仿宋_GB2312" w:hAnsi="仿宋_GB2312" w:eastAsia="仿宋_GB2312" w:cs="仿宋_GB2312"/>
          <w:sz w:val="28"/>
          <w:szCs w:val="28"/>
        </w:rPr>
      </w:pPr>
      <w:bookmarkStart w:id="38" w:name="_Toc518289131"/>
      <w:r>
        <w:rPr>
          <w:rFonts w:hint="eastAsia" w:ascii="仿宋_GB2312" w:hAnsi="仿宋_GB2312" w:eastAsia="仿宋_GB2312" w:cs="仿宋_GB2312"/>
          <w:sz w:val="28"/>
          <w:szCs w:val="28"/>
        </w:rPr>
        <w:t>6.3 准字常数校准方法</w:t>
      </w:r>
      <w:bookmarkEnd w:id="38"/>
    </w:p>
    <w:p>
      <w:pPr>
        <w:spacing w:line="360" w:lineRule="auto"/>
        <w:ind w:firstLine="560" w:firstLineChars="200"/>
        <w:rPr>
          <w:rFonts w:ascii="仿宋_GB2312" w:hAnsi="仿宋_GB2312" w:eastAsia="仿宋_GB2312" w:cs="仿宋_GB2312"/>
          <w:sz w:val="28"/>
          <w:szCs w:val="28"/>
        </w:rPr>
      </w:pPr>
      <w:bookmarkStart w:id="39" w:name="_Toc262743964"/>
      <w:bookmarkStart w:id="40" w:name="_Toc395252515"/>
      <w:bookmarkStart w:id="41" w:name="_Toc518289140"/>
      <w:r>
        <w:rPr>
          <w:rFonts w:hint="eastAsia" w:ascii="仿宋_GB2312" w:hAnsi="仿宋_GB2312" w:eastAsia="仿宋_GB2312" w:cs="仿宋_GB2312"/>
          <w:sz w:val="28"/>
          <w:szCs w:val="28"/>
        </w:rPr>
        <w:t>6.3.1起转速度测量</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校准车从0m/s缓慢加速至0.50m/s，过程中若观察到流量计叶轮开始正常转动，此时校准车的速度即为流量计的起转速度。</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6.3.2转子常数校准</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6.3.2.1流量计采用测杆式悬挂或其它不影响校准性能的方式悬挂。</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a）测杆应位于水槽的中心线上并具有一定的强度和刚度，入水部分呈流线型，应垂直水面，配合应紧密，以防高速时弯曲和振动，影响校准结果。</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b）将流量计固定在测杆的入水端，为避免水面波的影响，流量计入水深度一般为距水面0.6m～1.0m。</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6.3.2.2静水时间</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为避免水面波动对校准结果的影响，校准前需要一定的静水时间，待水槽水面相对静止后方可进行校准。当校准速度小于2m/s时，静水时间一般不少于10min；当速度大于等于2m/s时，静水时间一般不少于20min。</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6.3.2.3校准点的选择</w:t>
      </w:r>
      <w:bookmarkStart w:id="42" w:name="_Toc22614"/>
      <w:bookmarkStart w:id="43" w:name="_Toc454271283"/>
      <w:bookmarkStart w:id="44" w:name="_Toc11054"/>
      <w:bookmarkStart w:id="45" w:name="_Toc75954073"/>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校准点按1.00m/s、2.00m/s、3.00m/s、4.00m/s、5.00m/s的顺序依次进行校准。</w:t>
      </w:r>
      <w:bookmarkEnd w:id="42"/>
      <w:bookmarkEnd w:id="43"/>
      <w:bookmarkEnd w:id="44"/>
      <w:bookmarkEnd w:id="45"/>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6.3.2.4记录流量计起始读数，车速稳定后，将流量计放入水槽中，同时使用秒表计时，10s后记录终止读数（记录表格式见附录A），取出流量计。车速读数精确到0.01m/s。</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6.3.2.5 各校准点按6.3.2.4测量5次。</w:t>
      </w:r>
    </w:p>
    <w:p>
      <w:pPr>
        <w:spacing w:line="360" w:lineRule="auto"/>
        <w:ind w:firstLine="560" w:firstLineChars="200"/>
        <w:rPr>
          <w:rFonts w:ascii="宋体" w:hAnsi="宋体" w:eastAsia="宋体"/>
          <w:color w:val="000000"/>
          <w:sz w:val="28"/>
          <w:szCs w:val="28"/>
        </w:rPr>
      </w:pPr>
      <w:r>
        <w:rPr>
          <w:rFonts w:hint="eastAsia" w:ascii="仿宋_GB2312" w:hAnsi="仿宋_GB2312" w:eastAsia="仿宋_GB2312" w:cs="仿宋_GB2312"/>
          <w:sz w:val="28"/>
          <w:szCs w:val="28"/>
        </w:rPr>
        <w:t>6.3.2.6 各校准点的转子常数按式（2）计算：</w:t>
      </w:r>
    </w:p>
    <w:p>
      <w:pPr>
        <w:pStyle w:val="27"/>
        <w:numPr>
          <w:ilvl w:val="0"/>
          <w:numId w:val="0"/>
        </w:numPr>
        <w:spacing w:line="360" w:lineRule="auto"/>
        <w:jc w:val="right"/>
        <w:rPr>
          <w:rFonts w:hint="default" w:hAnsi="宋体"/>
          <w:color w:val="000000"/>
          <w:sz w:val="28"/>
          <w:szCs w:val="28"/>
        </w:rPr>
      </w:pPr>
      <w:r>
        <w:rPr>
          <w:position w:val="-24"/>
          <w:sz w:val="28"/>
          <w:szCs w:val="28"/>
        </w:rPr>
        <w:object>
          <v:shape id="_x0000_i1025" o:spt="75" type="#_x0000_t75" style="height:33.75pt;width:58.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微软雅黑" w:hAnsi="微软雅黑" w:eastAsia="微软雅黑" w:cs="微软雅黑"/>
          <w:color w:val="000000"/>
          <w:sz w:val="28"/>
          <w:szCs w:val="28"/>
        </w:rPr>
        <w:t>·····························································</w:t>
      </w:r>
      <w:r>
        <w:rPr>
          <w:rFonts w:hAnsi="宋体"/>
          <w:color w:val="000000"/>
          <w:sz w:val="28"/>
          <w:szCs w:val="28"/>
        </w:rPr>
        <w:t>（2）</w:t>
      </w:r>
    </w:p>
    <w:p>
      <w:pPr>
        <w:pStyle w:val="11"/>
        <w:widowControl/>
        <w:autoSpaceDE w:val="0"/>
        <w:autoSpaceDN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式中：</w:t>
      </w:r>
    </w:p>
    <w:p>
      <w:pPr>
        <w:pStyle w:val="11"/>
        <w:widowControl/>
        <w:autoSpaceDE w:val="0"/>
        <w:autoSpaceDN w:val="0"/>
        <w:spacing w:line="360" w:lineRule="auto"/>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R</w:t>
      </w:r>
      <w:r>
        <w:rPr>
          <w:rFonts w:hint="eastAsia" w:ascii="仿宋_GB2312" w:hAnsi="仿宋_GB2312" w:eastAsia="仿宋_GB2312" w:cs="仿宋_GB2312"/>
          <w:sz w:val="28"/>
          <w:szCs w:val="28"/>
          <w:vertAlign w:val="subscript"/>
        </w:rPr>
        <w:t>ci</w:t>
      </w:r>
      <w:r>
        <w:rPr>
          <w:rFonts w:hint="eastAsia" w:ascii="仿宋_GB2312" w:hAnsi="仿宋_GB2312" w:eastAsia="仿宋_GB2312" w:cs="仿宋_GB2312"/>
          <w:sz w:val="28"/>
          <w:szCs w:val="28"/>
        </w:rPr>
        <w:t>——流量计在第i个校准点的转子常数；</w:t>
      </w:r>
    </w:p>
    <w:p>
      <w:pPr>
        <w:pStyle w:val="11"/>
        <w:widowControl/>
        <w:autoSpaceDE w:val="0"/>
        <w:autoSpaceDN w:val="0"/>
        <w:spacing w:line="360" w:lineRule="auto"/>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v</w:t>
      </w:r>
      <w:r>
        <w:rPr>
          <w:rFonts w:hint="eastAsia" w:ascii="仿宋_GB2312" w:hAnsi="仿宋_GB2312" w:eastAsia="仿宋_GB2312" w:cs="仿宋_GB2312"/>
          <w:sz w:val="28"/>
          <w:szCs w:val="28"/>
          <w:vertAlign w:val="subscript"/>
        </w:rPr>
        <w:t>ix</w:t>
      </w:r>
      <w:r>
        <w:rPr>
          <w:rFonts w:hint="eastAsia" w:ascii="仿宋_GB2312" w:hAnsi="仿宋_GB2312" w:eastAsia="仿宋_GB2312" w:cs="仿宋_GB2312"/>
          <w:sz w:val="28"/>
          <w:szCs w:val="28"/>
        </w:rPr>
        <w:t>——第i个校准点第x次测量的实际车速，m/s；</w:t>
      </w:r>
    </w:p>
    <w:p>
      <w:pPr>
        <w:pStyle w:val="11"/>
        <w:widowControl/>
        <w:autoSpaceDE w:val="0"/>
        <w:autoSpaceDN w:val="0"/>
        <w:spacing w:line="360" w:lineRule="auto"/>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t</w:t>
      </w:r>
      <w:r>
        <w:rPr>
          <w:rFonts w:hint="eastAsia" w:ascii="仿宋_GB2312" w:hAnsi="仿宋_GB2312" w:eastAsia="仿宋_GB2312" w:cs="仿宋_GB2312"/>
          <w:sz w:val="28"/>
          <w:szCs w:val="28"/>
          <w:vertAlign w:val="subscript"/>
        </w:rPr>
        <w:t>ix</w:t>
      </w:r>
      <w:r>
        <w:rPr>
          <w:rFonts w:hint="eastAsia" w:ascii="仿宋_GB2312" w:hAnsi="仿宋_GB2312" w:eastAsia="仿宋_GB2312" w:cs="仿宋_GB2312"/>
          <w:sz w:val="28"/>
          <w:szCs w:val="28"/>
        </w:rPr>
        <w:t>——第i个校准点第x次测量的</w:t>
      </w:r>
      <w:bookmarkStart w:id="51" w:name="_GoBack"/>
      <w:bookmarkEnd w:id="51"/>
      <w:r>
        <w:rPr>
          <w:rFonts w:hint="eastAsia" w:ascii="仿宋_GB2312" w:hAnsi="仿宋_GB2312" w:eastAsia="仿宋_GB2312" w:cs="仿宋_GB2312"/>
          <w:sz w:val="28"/>
          <w:szCs w:val="28"/>
        </w:rPr>
        <w:t>实际入水时间，s；</w:t>
      </w:r>
    </w:p>
    <w:p>
      <w:pPr>
        <w:pStyle w:val="11"/>
        <w:widowControl/>
        <w:autoSpaceDE w:val="0"/>
        <w:autoSpaceDN w:val="0"/>
        <w:spacing w:line="360" w:lineRule="auto"/>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a——起始读数；</w:t>
      </w:r>
    </w:p>
    <w:p>
      <w:pPr>
        <w:pStyle w:val="11"/>
        <w:widowControl/>
        <w:autoSpaceDE w:val="0"/>
        <w:autoSpaceDN w:val="0"/>
        <w:spacing w:line="360" w:lineRule="auto"/>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b——终止读数。</w:t>
      </w:r>
    </w:p>
    <w:p>
      <w:pPr>
        <w:pStyle w:val="11"/>
        <w:widowControl/>
        <w:autoSpaceDE w:val="0"/>
        <w:autoSpaceDN w:val="0"/>
        <w:spacing w:line="360" w:lineRule="auto"/>
        <w:ind w:firstLine="480"/>
        <w:rPr>
          <w:rFonts w:ascii="仿宋" w:hAnsi="仿宋" w:eastAsia="仿宋" w:cs="仿宋"/>
          <w:color w:val="000000"/>
          <w:sz w:val="28"/>
          <w:szCs w:val="28"/>
        </w:rPr>
      </w:pPr>
      <w:r>
        <w:rPr>
          <w:rFonts w:hint="eastAsia" w:ascii="仿宋" w:hAnsi="仿宋" w:eastAsia="仿宋" w:cs="仿宋"/>
          <w:color w:val="000000"/>
          <w:kern w:val="0"/>
          <w:sz w:val="28"/>
          <w:szCs w:val="28"/>
        </w:rPr>
        <w:t>注：第i个校准点第x次测量的实际车速为校准车在第i个校准点第x次测量的平均车速，精确到0.01m/s。</w:t>
      </w:r>
    </w:p>
    <w:p>
      <w:pPr>
        <w:pStyle w:val="27"/>
        <w:numPr>
          <w:ilvl w:val="0"/>
          <w:numId w:val="0"/>
        </w:numPr>
        <w:spacing w:line="360" w:lineRule="auto"/>
        <w:ind w:firstLine="560" w:firstLineChars="200"/>
        <w:rPr>
          <w:rFonts w:hint="default" w:hAnsi="宋体"/>
          <w:color w:val="000000"/>
          <w:sz w:val="28"/>
          <w:szCs w:val="28"/>
        </w:rPr>
      </w:pPr>
      <w:r>
        <w:rPr>
          <w:rFonts w:ascii="仿宋_GB2312" w:hAnsi="仿宋_GB2312" w:eastAsia="仿宋_GB2312" w:cs="仿宋_GB2312"/>
          <w:kern w:val="2"/>
          <w:sz w:val="28"/>
          <w:szCs w:val="28"/>
        </w:rPr>
        <w:t>7.3.2.7 流量计的转子常数按式（3）计算：</w:t>
      </w:r>
    </w:p>
    <w:p>
      <w:pPr>
        <w:pStyle w:val="11"/>
        <w:widowControl/>
        <w:autoSpaceDE w:val="0"/>
        <w:autoSpaceDN w:val="0"/>
        <w:spacing w:line="360" w:lineRule="auto"/>
        <w:jc w:val="center"/>
        <w:rPr>
          <w:rFonts w:ascii="宋体" w:hAnsi="宋体" w:eastAsia="宋体"/>
          <w:color w:val="000000"/>
          <w:sz w:val="28"/>
          <w:szCs w:val="28"/>
        </w:rPr>
      </w:pPr>
      <w:r>
        <w:rPr>
          <w:rFonts w:hint="eastAsia" w:ascii="宋体" w:hAnsi="Cambria Math" w:eastAsia="宋体" w:cs="Times New Roman"/>
          <w:color w:val="000000"/>
          <w:kern w:val="0"/>
          <w:sz w:val="28"/>
          <w:szCs w:val="28"/>
        </w:rPr>
        <w:t xml:space="preserve">                        </w:t>
      </w:r>
      <w:r>
        <w:rPr>
          <w:rFonts w:hint="eastAsia" w:ascii="宋体" w:hAnsi="Times New Roman" w:eastAsia="宋体" w:cs="Times New Roman"/>
          <w:kern w:val="0"/>
          <w:position w:val="-14"/>
          <w:sz w:val="28"/>
          <w:szCs w:val="28"/>
        </w:rPr>
        <w:object>
          <v:shape id="_x0000_i1026" o:spt="75" type="#_x0000_t75" style="height:21.75pt;width:55.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微软雅黑" w:hAnsi="微软雅黑" w:eastAsia="微软雅黑" w:cs="微软雅黑"/>
          <w:color w:val="000000"/>
          <w:kern w:val="0"/>
          <w:sz w:val="28"/>
          <w:szCs w:val="28"/>
        </w:rPr>
        <w:t>································································</w:t>
      </w:r>
      <w:r>
        <w:rPr>
          <w:rFonts w:hint="eastAsia" w:ascii="宋体" w:hAnsi="宋体" w:eastAsia="宋体" w:cs="Times New Roman"/>
          <w:color w:val="000000"/>
          <w:kern w:val="0"/>
          <w:sz w:val="28"/>
          <w:szCs w:val="28"/>
        </w:rPr>
        <w:t>（3）</w:t>
      </w:r>
    </w:p>
    <w:p>
      <w:pPr>
        <w:widowControl/>
        <w:ind w:firstLine="560" w:firstLineChars="200"/>
        <w:jc w:val="left"/>
        <w:rPr>
          <w:sz w:val="28"/>
          <w:szCs w:val="28"/>
        </w:rPr>
      </w:pPr>
      <w:r>
        <w:rPr>
          <w:rFonts w:hint="eastAsia" w:ascii="仿宋" w:hAnsi="仿宋" w:eastAsia="仿宋" w:cs="仿宋"/>
          <w:color w:val="000000"/>
          <w:sz w:val="28"/>
          <w:szCs w:val="28"/>
        </w:rPr>
        <w:t>注：i=1，2，3，4，5。</w:t>
      </w:r>
    </w:p>
    <w:p>
      <w:pPr>
        <w:pStyle w:val="3"/>
        <w:ind w:firstLine="482"/>
        <w:rPr>
          <w:sz w:val="28"/>
          <w:szCs w:val="28"/>
        </w:rPr>
      </w:pPr>
      <w:bookmarkStart w:id="46" w:name="_Toc29617"/>
      <w:r>
        <w:rPr>
          <w:rFonts w:hint="eastAsia"/>
          <w:sz w:val="28"/>
          <w:szCs w:val="28"/>
        </w:rPr>
        <w:t>7 校准结果的</w:t>
      </w:r>
      <w:bookmarkEnd w:id="39"/>
      <w:bookmarkEnd w:id="40"/>
      <w:r>
        <w:rPr>
          <w:rFonts w:hint="eastAsia"/>
          <w:sz w:val="28"/>
          <w:szCs w:val="28"/>
        </w:rPr>
        <w:t>表达</w:t>
      </w:r>
      <w:bookmarkEnd w:id="41"/>
      <w:bookmarkEnd w:id="46"/>
    </w:p>
    <w:p>
      <w:pPr>
        <w:spacing w:line="360" w:lineRule="auto"/>
        <w:ind w:left="210" w:leftChars="10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校准结果的描述采用了JJF1071-2010《国家计量校准规范编写规则》中规定的内容，明确了校准证书内页格式及不确定评定示例。</w:t>
      </w:r>
    </w:p>
    <w:p>
      <w:pPr>
        <w:pStyle w:val="3"/>
        <w:ind w:firstLine="482"/>
        <w:rPr>
          <w:sz w:val="28"/>
          <w:szCs w:val="28"/>
        </w:rPr>
      </w:pPr>
      <w:bookmarkStart w:id="47" w:name="_Toc395252516"/>
      <w:bookmarkStart w:id="48" w:name="_Toc262743965"/>
      <w:bookmarkStart w:id="49" w:name="_Toc518289141"/>
      <w:bookmarkStart w:id="50" w:name="_Toc24621"/>
      <w:r>
        <w:rPr>
          <w:rFonts w:hint="eastAsia"/>
          <w:sz w:val="28"/>
          <w:szCs w:val="28"/>
        </w:rPr>
        <w:t xml:space="preserve">8 </w:t>
      </w:r>
      <w:bookmarkEnd w:id="47"/>
      <w:bookmarkEnd w:id="48"/>
      <w:r>
        <w:rPr>
          <w:rFonts w:hint="eastAsia"/>
          <w:sz w:val="28"/>
          <w:szCs w:val="28"/>
        </w:rPr>
        <w:t>复校时间间隔</w:t>
      </w:r>
      <w:bookmarkEnd w:id="49"/>
      <w:bookmarkEnd w:id="50"/>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般，测量复校时间间隔的长短是由机械计数式海洋浮游生物网口流量计自身质量、使用情况、使用环境等因素所决定的，使用者可根据实际使用情况自主决定复校时间间隔，但是根据实践建议复校时间不超过1年。新购置或更换或经过调试维修后的传感器应及时进行校准。</w:t>
      </w:r>
    </w:p>
    <w:p>
      <w:pPr>
        <w:spacing w:line="360" w:lineRule="auto"/>
        <w:jc w:val="left"/>
        <w:rPr>
          <w:rFonts w:ascii="仿宋_GB2312" w:hAnsi="仿宋_GB2312" w:eastAsia="仿宋_GB2312" w:cs="仿宋_GB2312"/>
          <w:sz w:val="24"/>
          <w:szCs w:val="24"/>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7"/>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7"/>
                </w:pPr>
                <w:r>
                  <w:fldChar w:fldCharType="begin"/>
                </w:r>
                <w:r>
                  <w:instrText xml:space="preserve"> PAGE  \* MERGEFORMAT </w:instrText>
                </w:r>
                <w:r>
                  <w:fldChar w:fldCharType="separate"/>
                </w:r>
                <w:r>
                  <w:t>I</w:t>
                </w:r>
                <w:r>
                  <w:fldChar w:fldCharType="end"/>
                </w:r>
              </w:p>
            </w:txbxContent>
          </v:textbox>
        </v:shape>
      </w:pict>
    </w:r>
    <w: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7"/>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7"/>
                </w:pPr>
                <w:r>
                  <w:fldChar w:fldCharType="begin"/>
                </w:r>
                <w:r>
                  <w:instrText xml:space="preserve"> PAGE  \* MERGEFORMAT </w:instrText>
                </w:r>
                <w:r>
                  <w:fldChar w:fldCharType="separate"/>
                </w:r>
                <w:r>
                  <w:t>6</w:t>
                </w:r>
                <w:r>
                  <w:fldChar w:fldCharType="end"/>
                </w:r>
              </w:p>
            </w:txbxContent>
          </v:textbox>
        </v:shape>
      </w:pict>
    </w:r>
    <w:r>
      <w:pict>
        <v:shape id="_x0000_s4101" o:spid="_x0000_s4101" o:spt="202" type="#_x0000_t202" style="position:absolute;left:0pt;margin-left:205.35pt;margin-top:0pt;height:11pt;width:6pt;mso-position-horizontal-relative:margin;z-index:251661312;mso-width-relative:page;mso-height-relative:page;" filled="f" stroked="f" coordsize="21600,21600">
          <v:path/>
          <v:fill on="f" focussize="0,0"/>
          <v:stroke on="f" joinstyle="miter"/>
          <v:imagedata o:title=""/>
          <o:lock v:ext="edit"/>
          <v:textbox inset="0mm,0mm,0mm,0mm">
            <w:txbxContent>
              <w:p>
                <w:pPr>
                  <w:pStyle w:val="7"/>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015113"/>
    <w:multiLevelType w:val="multilevel"/>
    <w:tmpl w:val="D5015113"/>
    <w:lvl w:ilvl="0" w:tentative="0">
      <w:start w:val="1"/>
      <w:numFmt w:val="lowerLetter"/>
      <w:pStyle w:val="27"/>
      <w:lvlText w:val="%1)"/>
      <w:lvlJc w:val="left"/>
      <w:pPr>
        <w:tabs>
          <w:tab w:val="left" w:pos="845"/>
        </w:tabs>
        <w:ind w:left="845" w:hanging="419"/>
      </w:pPr>
      <w:rPr>
        <w:rFonts w:hint="eastAsia" w:ascii="宋体" w:hAnsi="宋体" w:eastAsia="宋体" w:cs="宋体"/>
        <w:b w:val="0"/>
        <w:i w:val="0"/>
        <w:sz w:val="20"/>
        <w:szCs w:val="21"/>
      </w:rPr>
    </w:lvl>
    <w:lvl w:ilvl="1" w:tentative="0">
      <w:start w:val="1"/>
      <w:numFmt w:val="decimal"/>
      <w:pStyle w:val="29"/>
      <w:lvlText w:val="%2)"/>
      <w:lvlJc w:val="left"/>
      <w:pPr>
        <w:tabs>
          <w:tab w:val="left" w:pos="1265"/>
        </w:tabs>
        <w:ind w:left="1265" w:hanging="420"/>
      </w:pPr>
      <w:rPr>
        <w:rFonts w:hint="eastAsia" w:ascii="宋体" w:hAnsi="宋体" w:eastAsia="宋体" w:cs="宋体"/>
        <w:b w:val="0"/>
        <w:i w:val="0"/>
        <w:sz w:val="20"/>
      </w:rPr>
    </w:lvl>
    <w:lvl w:ilvl="2" w:tentative="0">
      <w:start w:val="1"/>
      <w:numFmt w:val="decimal"/>
      <w:lvlText w:val="(%3)"/>
      <w:lvlJc w:val="left"/>
      <w:pPr>
        <w:tabs>
          <w:tab w:val="left" w:pos="6"/>
        </w:tabs>
        <w:ind w:left="1684" w:hanging="419"/>
      </w:pPr>
      <w:rPr>
        <w:rFonts w:hint="eastAsia" w:ascii="宋体" w:hAnsi="宋体" w:eastAsia="宋体" w:cs="宋体"/>
        <w:b w:val="0"/>
        <w:i w:val="0"/>
        <w:sz w:val="20"/>
        <w:szCs w:val="21"/>
      </w:rPr>
    </w:lvl>
    <w:lvl w:ilvl="3" w:tentative="0">
      <w:start w:val="1"/>
      <w:numFmt w:val="decimal"/>
      <w:lvlText w:val="%4."/>
      <w:lvlJc w:val="left"/>
      <w:pPr>
        <w:tabs>
          <w:tab w:val="left" w:pos="2104"/>
        </w:tabs>
        <w:ind w:left="2104" w:hanging="420"/>
      </w:pPr>
    </w:lvl>
    <w:lvl w:ilvl="4" w:tentative="0">
      <w:start w:val="1"/>
      <w:numFmt w:val="lowerLetter"/>
      <w:lvlText w:val="%5)"/>
      <w:lvlJc w:val="left"/>
      <w:pPr>
        <w:tabs>
          <w:tab w:val="left" w:pos="2523"/>
        </w:tabs>
        <w:ind w:left="2523" w:hanging="419"/>
      </w:pPr>
    </w:lvl>
    <w:lvl w:ilvl="5" w:tentative="0">
      <w:start w:val="1"/>
      <w:numFmt w:val="lowerRoman"/>
      <w:lvlText w:val="%6."/>
      <w:lvlJc w:val="right"/>
      <w:pPr>
        <w:tabs>
          <w:tab w:val="left" w:pos="2948"/>
        </w:tabs>
        <w:ind w:left="2943" w:hanging="420"/>
      </w:pPr>
    </w:lvl>
    <w:lvl w:ilvl="6" w:tentative="0">
      <w:start w:val="1"/>
      <w:numFmt w:val="decimal"/>
      <w:lvlText w:val="%7."/>
      <w:lvlJc w:val="left"/>
      <w:pPr>
        <w:tabs>
          <w:tab w:val="left" w:pos="3368"/>
        </w:tabs>
        <w:ind w:left="3362" w:hanging="414"/>
      </w:pPr>
    </w:lvl>
    <w:lvl w:ilvl="7" w:tentative="0">
      <w:start w:val="1"/>
      <w:numFmt w:val="lowerLetter"/>
      <w:lvlText w:val="%8)"/>
      <w:lvlJc w:val="left"/>
      <w:pPr>
        <w:tabs>
          <w:tab w:val="left" w:pos="3787"/>
        </w:tabs>
        <w:ind w:left="3782" w:hanging="414"/>
      </w:pPr>
    </w:lvl>
    <w:lvl w:ilvl="8" w:tentative="0">
      <w:start w:val="1"/>
      <w:numFmt w:val="lowerRoman"/>
      <w:lvlText w:val="%9."/>
      <w:lvlJc w:val="right"/>
      <w:pPr>
        <w:tabs>
          <w:tab w:val="left" w:pos="4207"/>
        </w:tabs>
        <w:ind w:left="420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Dc3NzhiMmM4NGU1MDY3ZmFiOWZiNWZlYTZiM2M0MzQifQ=="/>
  </w:docVars>
  <w:rsids>
    <w:rsidRoot w:val="002E0DD4"/>
    <w:rsid w:val="00016DAE"/>
    <w:rsid w:val="0002411F"/>
    <w:rsid w:val="00036F6B"/>
    <w:rsid w:val="00056C5C"/>
    <w:rsid w:val="00061A84"/>
    <w:rsid w:val="000A6D98"/>
    <w:rsid w:val="000B3AD8"/>
    <w:rsid w:val="000F2BC9"/>
    <w:rsid w:val="000F3D42"/>
    <w:rsid w:val="000F42D8"/>
    <w:rsid w:val="001049DD"/>
    <w:rsid w:val="00116429"/>
    <w:rsid w:val="0012537E"/>
    <w:rsid w:val="00142CC7"/>
    <w:rsid w:val="001505D8"/>
    <w:rsid w:val="0015468E"/>
    <w:rsid w:val="001756B2"/>
    <w:rsid w:val="001A7801"/>
    <w:rsid w:val="001D410A"/>
    <w:rsid w:val="00202D09"/>
    <w:rsid w:val="00203591"/>
    <w:rsid w:val="00227CD9"/>
    <w:rsid w:val="00231157"/>
    <w:rsid w:val="00233A28"/>
    <w:rsid w:val="00243623"/>
    <w:rsid w:val="00260C76"/>
    <w:rsid w:val="002854C8"/>
    <w:rsid w:val="00293FD6"/>
    <w:rsid w:val="002E0DD4"/>
    <w:rsid w:val="002E5E16"/>
    <w:rsid w:val="002E7126"/>
    <w:rsid w:val="00310D73"/>
    <w:rsid w:val="003114CA"/>
    <w:rsid w:val="0032151D"/>
    <w:rsid w:val="0032615F"/>
    <w:rsid w:val="003B32E2"/>
    <w:rsid w:val="003C6231"/>
    <w:rsid w:val="003F0E01"/>
    <w:rsid w:val="004068CB"/>
    <w:rsid w:val="00462F4F"/>
    <w:rsid w:val="004839DB"/>
    <w:rsid w:val="004E71B3"/>
    <w:rsid w:val="004E79A6"/>
    <w:rsid w:val="00502070"/>
    <w:rsid w:val="00531D20"/>
    <w:rsid w:val="0055787E"/>
    <w:rsid w:val="005D0246"/>
    <w:rsid w:val="0064072D"/>
    <w:rsid w:val="00660861"/>
    <w:rsid w:val="006B0176"/>
    <w:rsid w:val="006C64F8"/>
    <w:rsid w:val="007310A1"/>
    <w:rsid w:val="007637F4"/>
    <w:rsid w:val="00771755"/>
    <w:rsid w:val="007773CE"/>
    <w:rsid w:val="0078755B"/>
    <w:rsid w:val="007B6304"/>
    <w:rsid w:val="007B7C3A"/>
    <w:rsid w:val="007C5A9D"/>
    <w:rsid w:val="007C5FEA"/>
    <w:rsid w:val="00807F99"/>
    <w:rsid w:val="00813F29"/>
    <w:rsid w:val="00825F7A"/>
    <w:rsid w:val="0084456C"/>
    <w:rsid w:val="008B6823"/>
    <w:rsid w:val="00915033"/>
    <w:rsid w:val="00950D39"/>
    <w:rsid w:val="009755AE"/>
    <w:rsid w:val="00975C01"/>
    <w:rsid w:val="00990E28"/>
    <w:rsid w:val="00991042"/>
    <w:rsid w:val="00993798"/>
    <w:rsid w:val="009A0F16"/>
    <w:rsid w:val="009A37FD"/>
    <w:rsid w:val="00A105F5"/>
    <w:rsid w:val="00A31A38"/>
    <w:rsid w:val="00A44A5D"/>
    <w:rsid w:val="00A815E0"/>
    <w:rsid w:val="00B04972"/>
    <w:rsid w:val="00B07B7C"/>
    <w:rsid w:val="00B86A36"/>
    <w:rsid w:val="00BA167B"/>
    <w:rsid w:val="00BB3B5C"/>
    <w:rsid w:val="00BD58EE"/>
    <w:rsid w:val="00BE6F69"/>
    <w:rsid w:val="00C00FB2"/>
    <w:rsid w:val="00C417F8"/>
    <w:rsid w:val="00C70DB9"/>
    <w:rsid w:val="00C74C88"/>
    <w:rsid w:val="00CA6771"/>
    <w:rsid w:val="00CC5F85"/>
    <w:rsid w:val="00D33CAA"/>
    <w:rsid w:val="00D622F6"/>
    <w:rsid w:val="00D774D8"/>
    <w:rsid w:val="00D90505"/>
    <w:rsid w:val="00DA09A1"/>
    <w:rsid w:val="00E267AF"/>
    <w:rsid w:val="00E71AE1"/>
    <w:rsid w:val="00E96E44"/>
    <w:rsid w:val="00EC09D0"/>
    <w:rsid w:val="00EE0508"/>
    <w:rsid w:val="00F2147D"/>
    <w:rsid w:val="00F56579"/>
    <w:rsid w:val="00F653EF"/>
    <w:rsid w:val="00F87B18"/>
    <w:rsid w:val="00F913D8"/>
    <w:rsid w:val="00F91E5B"/>
    <w:rsid w:val="00FA573E"/>
    <w:rsid w:val="00FB49C3"/>
    <w:rsid w:val="00FF3715"/>
    <w:rsid w:val="06127B07"/>
    <w:rsid w:val="07B756F3"/>
    <w:rsid w:val="091109F8"/>
    <w:rsid w:val="0A737A04"/>
    <w:rsid w:val="0C5C6084"/>
    <w:rsid w:val="0DC220D6"/>
    <w:rsid w:val="123148D4"/>
    <w:rsid w:val="13E5254D"/>
    <w:rsid w:val="142F152D"/>
    <w:rsid w:val="14723CAA"/>
    <w:rsid w:val="18346A46"/>
    <w:rsid w:val="18564BF2"/>
    <w:rsid w:val="19192965"/>
    <w:rsid w:val="1A5A04B8"/>
    <w:rsid w:val="1AFC755F"/>
    <w:rsid w:val="1B501363"/>
    <w:rsid w:val="1B64520F"/>
    <w:rsid w:val="1C141E8D"/>
    <w:rsid w:val="229F733D"/>
    <w:rsid w:val="22A206E0"/>
    <w:rsid w:val="29BE4929"/>
    <w:rsid w:val="2B9B5994"/>
    <w:rsid w:val="2E5D1DA8"/>
    <w:rsid w:val="303E1C5F"/>
    <w:rsid w:val="313F032A"/>
    <w:rsid w:val="325C15C3"/>
    <w:rsid w:val="32E83067"/>
    <w:rsid w:val="332A79C4"/>
    <w:rsid w:val="34013712"/>
    <w:rsid w:val="34572B3B"/>
    <w:rsid w:val="35077B05"/>
    <w:rsid w:val="35523CE7"/>
    <w:rsid w:val="36A20B0A"/>
    <w:rsid w:val="37A94C41"/>
    <w:rsid w:val="3A670A92"/>
    <w:rsid w:val="3B816DB7"/>
    <w:rsid w:val="3BD34A91"/>
    <w:rsid w:val="3C15270D"/>
    <w:rsid w:val="3C453194"/>
    <w:rsid w:val="400675C3"/>
    <w:rsid w:val="410B7187"/>
    <w:rsid w:val="459A5109"/>
    <w:rsid w:val="47142E2B"/>
    <w:rsid w:val="472648F1"/>
    <w:rsid w:val="47C663F9"/>
    <w:rsid w:val="48667B2A"/>
    <w:rsid w:val="4D0F5052"/>
    <w:rsid w:val="4DC94652"/>
    <w:rsid w:val="4ED9236E"/>
    <w:rsid w:val="529A1902"/>
    <w:rsid w:val="542F47B8"/>
    <w:rsid w:val="55332095"/>
    <w:rsid w:val="55E9400E"/>
    <w:rsid w:val="55FA45CC"/>
    <w:rsid w:val="5601141F"/>
    <w:rsid w:val="57E22321"/>
    <w:rsid w:val="57EF4CB5"/>
    <w:rsid w:val="599D1C17"/>
    <w:rsid w:val="59E36A9C"/>
    <w:rsid w:val="5D290C98"/>
    <w:rsid w:val="61A170E7"/>
    <w:rsid w:val="639F5FFD"/>
    <w:rsid w:val="65612564"/>
    <w:rsid w:val="667C005C"/>
    <w:rsid w:val="6796351C"/>
    <w:rsid w:val="687D401A"/>
    <w:rsid w:val="6B971558"/>
    <w:rsid w:val="6F95363E"/>
    <w:rsid w:val="701E2184"/>
    <w:rsid w:val="71132AE5"/>
    <w:rsid w:val="74592E4E"/>
    <w:rsid w:val="75724014"/>
    <w:rsid w:val="758D0E23"/>
    <w:rsid w:val="76A10A5E"/>
    <w:rsid w:val="78851110"/>
    <w:rsid w:val="7BA2010D"/>
    <w:rsid w:val="7F7F45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7"/>
    <w:qFormat/>
    <w:uiPriority w:val="0"/>
    <w:pPr>
      <w:keepNext/>
      <w:keepLines/>
      <w:spacing w:line="360" w:lineRule="auto"/>
      <w:ind w:firstLine="200" w:firstLineChars="200"/>
      <w:outlineLvl w:val="1"/>
    </w:pPr>
    <w:rPr>
      <w:rFonts w:ascii="Arial" w:hAnsi="Arial" w:eastAsia="仿宋_GB2312" w:cs="Times New Roman"/>
      <w:b/>
      <w:bCs/>
      <w:sz w:val="24"/>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semiHidden/>
    <w:unhideWhenUsed/>
    <w:qFormat/>
    <w:uiPriority w:val="39"/>
    <w:pPr>
      <w:widowControl/>
      <w:spacing w:after="100" w:line="276" w:lineRule="auto"/>
      <w:ind w:left="440"/>
      <w:jc w:val="left"/>
    </w:pPr>
    <w:rPr>
      <w:kern w:val="0"/>
      <w:sz w:val="22"/>
    </w:rPr>
  </w:style>
  <w:style w:type="paragraph" w:styleId="6">
    <w:name w:val="Balloon Text"/>
    <w:basedOn w:val="1"/>
    <w:link w:val="25"/>
    <w:semiHidden/>
    <w:unhideWhenUsed/>
    <w:qFormat/>
    <w:uiPriority w:val="99"/>
    <w:rPr>
      <w:sz w:val="18"/>
      <w:szCs w:val="18"/>
    </w:rPr>
  </w:style>
  <w:style w:type="paragraph" w:styleId="7">
    <w:name w:val="footer"/>
    <w:basedOn w:val="1"/>
    <w:semiHidden/>
    <w:unhideWhenUsed/>
    <w:qFormat/>
    <w:uiPriority w:val="99"/>
    <w:pPr>
      <w:tabs>
        <w:tab w:val="center" w:pos="4153"/>
        <w:tab w:val="right" w:pos="8306"/>
      </w:tabs>
      <w:snapToGrid w:val="0"/>
      <w:jc w:val="left"/>
    </w:pPr>
    <w:rPr>
      <w:sz w:val="18"/>
    </w:rPr>
  </w:style>
  <w:style w:type="paragraph" w:styleId="8">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tabs>
        <w:tab w:val="right" w:leader="dot" w:pos="8296"/>
      </w:tabs>
      <w:spacing w:line="360" w:lineRule="auto"/>
    </w:pPr>
  </w:style>
  <w:style w:type="paragraph" w:styleId="10">
    <w:name w:val="toc 2"/>
    <w:basedOn w:val="1"/>
    <w:next w:val="1"/>
    <w:unhideWhenUsed/>
    <w:qFormat/>
    <w:uiPriority w:val="39"/>
    <w:pPr>
      <w:tabs>
        <w:tab w:val="right" w:leader="dot" w:pos="8296"/>
      </w:tabs>
    </w:pPr>
  </w:style>
  <w:style w:type="paragraph" w:styleId="11">
    <w:name w:val="Normal (Web)"/>
    <w:basedOn w:val="1"/>
    <w:semiHidden/>
    <w:unhideWhenUsed/>
    <w:uiPriority w:val="99"/>
    <w:rPr>
      <w:sz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563C1" w:themeColor="hyperlink"/>
      <w:u w:val="single"/>
    </w:rPr>
  </w:style>
  <w:style w:type="paragraph" w:styleId="16">
    <w:name w:val="List Paragraph"/>
    <w:basedOn w:val="1"/>
    <w:qFormat/>
    <w:uiPriority w:val="34"/>
    <w:pPr>
      <w:ind w:firstLine="420" w:firstLineChars="200"/>
    </w:pPr>
  </w:style>
  <w:style w:type="character" w:customStyle="1" w:styleId="17">
    <w:name w:val="标题 2 Char"/>
    <w:basedOn w:val="14"/>
    <w:link w:val="3"/>
    <w:qFormat/>
    <w:uiPriority w:val="0"/>
    <w:rPr>
      <w:rFonts w:ascii="Arial" w:hAnsi="Arial" w:eastAsia="仿宋_GB2312"/>
      <w:b/>
      <w:bCs/>
      <w:kern w:val="2"/>
      <w:sz w:val="24"/>
      <w:szCs w:val="32"/>
    </w:rPr>
  </w:style>
  <w:style w:type="table" w:customStyle="1" w:styleId="18">
    <w:name w:val="网格型1"/>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
    <w:name w:val="网格型2"/>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Default"/>
    <w:qFormat/>
    <w:uiPriority w:val="0"/>
    <w:pPr>
      <w:widowControl w:val="0"/>
      <w:autoSpaceDE w:val="0"/>
      <w:autoSpaceDN w:val="0"/>
      <w:adjustRightInd w:val="0"/>
    </w:pPr>
    <w:rPr>
      <w:rFonts w:ascii="黑体" w:hAnsi="黑体" w:cs="黑体" w:eastAsiaTheme="minorEastAsia"/>
      <w:color w:val="000000"/>
      <w:sz w:val="24"/>
      <w:szCs w:val="24"/>
      <w:lang w:val="en-US" w:eastAsia="zh-CN" w:bidi="ar-SA"/>
    </w:rPr>
  </w:style>
  <w:style w:type="paragraph" w:customStyle="1" w:styleId="2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2">
    <w:name w:val="WPSOffice手动目录 1"/>
    <w:qFormat/>
    <w:uiPriority w:val="0"/>
    <w:rPr>
      <w:rFonts w:asciiTheme="minorHAnsi" w:hAnsiTheme="minorHAnsi" w:eastAsiaTheme="minorEastAsia" w:cstheme="minorBidi"/>
      <w:lang w:val="en-US" w:eastAsia="zh-CN" w:bidi="ar-SA"/>
    </w:rPr>
  </w:style>
  <w:style w:type="paragraph" w:customStyle="1" w:styleId="23">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4">
    <w:name w:val="WPSOffice手动目录 3"/>
    <w:qFormat/>
    <w:uiPriority w:val="0"/>
    <w:pPr>
      <w:ind w:left="400" w:leftChars="400"/>
    </w:pPr>
    <w:rPr>
      <w:rFonts w:asciiTheme="minorHAnsi" w:hAnsiTheme="minorHAnsi" w:eastAsiaTheme="minorEastAsia" w:cstheme="minorBidi"/>
      <w:lang w:val="en-US" w:eastAsia="zh-CN" w:bidi="ar-SA"/>
    </w:rPr>
  </w:style>
  <w:style w:type="character" w:customStyle="1" w:styleId="25">
    <w:name w:val="批注框文本 Char"/>
    <w:basedOn w:val="14"/>
    <w:link w:val="6"/>
    <w:semiHidden/>
    <w:qFormat/>
    <w:uiPriority w:val="99"/>
    <w:rPr>
      <w:kern w:val="2"/>
      <w:sz w:val="18"/>
      <w:szCs w:val="18"/>
    </w:rPr>
  </w:style>
  <w:style w:type="paragraph" w:customStyle="1" w:styleId="26">
    <w:name w:val="Char1"/>
    <w:basedOn w:val="1"/>
    <w:uiPriority w:val="0"/>
    <w:pPr>
      <w:widowControl/>
      <w:spacing w:after="160" w:line="240" w:lineRule="exact"/>
      <w:jc w:val="left"/>
    </w:pPr>
    <w:rPr>
      <w:rFonts w:ascii="Verdana" w:hAnsi="Verdana" w:eastAsia="宋体" w:cs="Times New Roman"/>
      <w:kern w:val="0"/>
      <w:sz w:val="20"/>
      <w:szCs w:val="20"/>
    </w:rPr>
  </w:style>
  <w:style w:type="paragraph" w:customStyle="1" w:styleId="27">
    <w:name w:val="字母编号列项（一级）"/>
    <w:basedOn w:val="1"/>
    <w:uiPriority w:val="0"/>
    <w:pPr>
      <w:widowControl/>
      <w:numPr>
        <w:ilvl w:val="0"/>
        <w:numId w:val="1"/>
      </w:numPr>
    </w:pPr>
    <w:rPr>
      <w:rFonts w:hint="eastAsia" w:ascii="宋体" w:hAnsi="Times New Roman" w:eastAsia="宋体" w:cs="Times New Roman"/>
      <w:kern w:val="0"/>
      <w:szCs w:val="20"/>
    </w:rPr>
  </w:style>
  <w:style w:type="character" w:customStyle="1" w:styleId="28">
    <w:name w:val="段 Char"/>
    <w:basedOn w:val="14"/>
    <w:uiPriority w:val="0"/>
    <w:rPr>
      <w:rFonts w:hint="eastAsia" w:ascii="宋体" w:hAnsi="Times New Roman" w:eastAsia="宋体" w:cs="Times New Roman"/>
      <w:sz w:val="21"/>
    </w:rPr>
  </w:style>
  <w:style w:type="paragraph" w:customStyle="1" w:styleId="29">
    <w:name w:val="数字编号列项（二级）"/>
    <w:basedOn w:val="1"/>
    <w:uiPriority w:val="0"/>
    <w:pPr>
      <w:widowControl/>
      <w:numPr>
        <w:ilvl w:val="1"/>
        <w:numId w:val="1"/>
      </w:numPr>
    </w:pPr>
    <w:rPr>
      <w:rFonts w:hint="eastAsia" w:ascii="宋体" w:hAnsi="Times New Roman" w:eastAsia="宋体" w:cs="Times New Roman"/>
      <w:kern w:val="0"/>
      <w:szCs w:val="20"/>
    </w:rPr>
  </w:style>
  <w:style w:type="paragraph" w:customStyle="1" w:styleId="30">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Info spid="_x0000_s4099"/>
    <customShpInfo spid="_x0000_s4100"/>
    <customShpInfo spid="_x0000_s410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980EF6-7A97-48E9-844D-938782E2202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4460</Words>
  <Characters>4945</Characters>
  <Lines>46</Lines>
  <Paragraphs>13</Paragraphs>
  <TotalTime>16</TotalTime>
  <ScaleCrop>false</ScaleCrop>
  <LinksUpToDate>false</LinksUpToDate>
  <CharactersWithSpaces>5931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2018-09-12T03:00:00Z</dcterms:created>
  <dc:creator>检定室</dc:creator>
  <cp:lastModifiedBy>yd</cp:lastModifiedBy>
  <cp:lastPrinted>2019-09-11T02:02:00Z</cp:lastPrinted>
  <dcterms:modified xsi:type="dcterms:W3CDTF">2023-07-10T06:40:16Z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EA9A931BA4E7469CA66C6F9488052134</vt:lpwstr>
  </property>
</Properties>
</file>