
<file path=[Content_Types].xml><?xml version="1.0" encoding="utf-8"?>
<Types xmlns="http://schemas.openxmlformats.org/package/2006/content-types">
  <Default Extension="xml" ContentType="application/xml"/>
  <Default Extension="emf" ContentType="image/x-e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20"/>
        <w:jc w:val="center"/>
      </w:pPr>
      <w:r>
        <w:rPr>
          <w:rFonts w:hint="eastAsia"/>
        </w:rPr>
        <w:t xml:space="preserve">                                             </w:t>
      </w:r>
      <w:r>
        <w:drawing>
          <wp:inline distT="0" distB="0" distL="0" distR="0">
            <wp:extent cx="2343150" cy="971550"/>
            <wp:effectExtent l="19050" t="0" r="0" b="0"/>
            <wp:docPr id="555" name="图片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555"/>
                    <pic:cNvPicPr>
                      <a:picLocks noChangeAspect="1" noChangeArrowheads="1"/>
                    </pic:cNvPicPr>
                  </pic:nvPicPr>
                  <pic:blipFill>
                    <a:blip r:embed="rId18"/>
                    <a:srcRect/>
                    <a:stretch>
                      <a:fillRect/>
                    </a:stretch>
                  </pic:blipFill>
                  <pic:spPr>
                    <a:xfrm>
                      <a:off x="0" y="0"/>
                      <a:ext cx="2343150" cy="971550"/>
                    </a:xfrm>
                    <a:prstGeom prst="rect">
                      <a:avLst/>
                    </a:prstGeom>
                    <a:noFill/>
                    <a:ln w="9525">
                      <a:noFill/>
                      <a:miter lim="800000"/>
                      <a:headEnd/>
                      <a:tailEnd/>
                    </a:ln>
                  </pic:spPr>
                </pic:pic>
              </a:graphicData>
            </a:graphic>
          </wp:inline>
        </w:drawing>
      </w:r>
      <w:r>
        <w:t xml:space="preserve"> </w:t>
      </w:r>
    </w:p>
    <w:p>
      <w:pPr>
        <w:pStyle w:val="76"/>
        <w:framePr w:wrap="auto" w:vAnchor="margin" w:hAnchor="text" w:yAlign="inline"/>
        <w:jc w:val="both"/>
        <w:rPr>
          <w:rFonts w:ascii="方正小标宋_GBK" w:hAnsi="方正小标宋_GBK" w:eastAsia="方正小标宋_GBK"/>
          <w:sz w:val="52"/>
          <w:szCs w:val="52"/>
        </w:rPr>
      </w:pPr>
      <w:r>
        <w:rPr>
          <w:rFonts w:ascii="方正小标宋_GBK" w:hAnsi="方正小标宋_GBK" w:eastAsia="方正小标宋_GBK"/>
          <w:sz w:val="52"/>
          <w:szCs w:val="52"/>
        </w:rPr>
        <w:drawing>
          <wp:anchor distT="0" distB="0" distL="114300" distR="114300" simplePos="0" relativeHeight="251659264" behindDoc="0" locked="0" layoutInCell="1" allowOverlap="1">
            <wp:simplePos x="0" y="0"/>
            <wp:positionH relativeFrom="column">
              <wp:posOffset>23495</wp:posOffset>
            </wp:positionH>
            <wp:positionV relativeFrom="paragraph">
              <wp:posOffset>99695</wp:posOffset>
            </wp:positionV>
            <wp:extent cx="6181725" cy="523875"/>
            <wp:effectExtent l="19050" t="0" r="9525" b="0"/>
            <wp:wrapNone/>
            <wp:docPr id="556" name="图片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556"/>
                    <pic:cNvPicPr>
                      <a:picLocks noChangeAspect="1" noChangeArrowheads="1"/>
                    </pic:cNvPicPr>
                  </pic:nvPicPr>
                  <pic:blipFill>
                    <a:blip r:embed="rId19"/>
                    <a:srcRect/>
                    <a:stretch>
                      <a:fillRect/>
                    </a:stretch>
                  </pic:blipFill>
                  <pic:spPr>
                    <a:xfrm>
                      <a:off x="0" y="0"/>
                      <a:ext cx="6181725" cy="523875"/>
                    </a:xfrm>
                    <a:prstGeom prst="rect">
                      <a:avLst/>
                    </a:prstGeom>
                    <a:noFill/>
                    <a:ln w="9525">
                      <a:noFill/>
                      <a:miter lim="800000"/>
                      <a:headEnd/>
                      <a:tailEnd/>
                    </a:ln>
                  </pic:spPr>
                </pic:pic>
              </a:graphicData>
            </a:graphic>
          </wp:anchor>
        </w:drawing>
      </w:r>
      <w:r>
        <w:rPr>
          <w:rFonts w:ascii="方正小标宋_GBK" w:hAnsi="方正小标宋_GBK" w:eastAsia="方正小标宋_GBK"/>
          <w:sz w:val="52"/>
          <w:szCs w:val="52"/>
        </w:rPr>
        <w:t xml:space="preserve"> </w:t>
      </w:r>
    </w:p>
    <w:p>
      <w:pPr>
        <w:pStyle w:val="76"/>
        <w:framePr w:wrap="auto" w:vAnchor="margin" w:hAnchor="text" w:yAlign="inline"/>
        <w:ind w:right="560"/>
        <w:rPr>
          <w:rFonts w:ascii="方正小标宋_GBK" w:hAnsi="方正小标宋_GBK" w:eastAsia="方正小标宋_GBK"/>
          <w:sz w:val="52"/>
          <w:szCs w:val="52"/>
        </w:rPr>
      </w:pPr>
      <w:r>
        <w:rPr>
          <w:rFonts w:hint="eastAsia" w:ascii="黑体" w:hAnsi="黑体"/>
        </w:rPr>
        <w:t xml:space="preserve">                                          JJF XXXX-XXXX</w:t>
      </w:r>
    </w:p>
    <w:p>
      <w:pPr>
        <w:pStyle w:val="76"/>
        <w:framePr w:wrap="auto" w:vAnchor="margin" w:hAnchor="text" w:yAlign="inline"/>
        <w:jc w:val="both"/>
        <w:rPr>
          <w:rFonts w:ascii="方正小标宋_GBK" w:hAnsi="方正小标宋_GBK" w:eastAsia="方正小标宋_GBK"/>
          <w:sz w:val="52"/>
          <w:szCs w:val="52"/>
        </w:rPr>
      </w:pPr>
      <w:r>
        <w:rPr>
          <w:rFonts w:ascii="宋体" w:hAnsi="宋体" w:eastAsia="宋体" w:cs="宋体"/>
        </w:rPr>
        <w:pict>
          <v:rect id="_x0000_i1025" o:spt="1" style="height:1pt;width:474.65pt;" fillcolor="#000000" filled="t" stroked="f" coordsize="21600,21600" o:hr="t" o:hrstd="t" o:hrnoshade="t" o:hrpct="985" o:hralign="center">
            <v:path/>
            <v:fill on="t" focussize="0,0"/>
            <v:stroke on="f"/>
            <v:imagedata o:title=""/>
            <o:lock v:ext="edit"/>
            <w10:wrap type="none"/>
            <w10:anchorlock/>
          </v:rect>
        </w:pict>
      </w:r>
    </w:p>
    <w:p>
      <w:pPr>
        <w:pStyle w:val="76"/>
        <w:framePr w:wrap="auto" w:vAnchor="margin" w:hAnchor="text" w:yAlign="inline"/>
        <w:jc w:val="both"/>
        <w:rPr>
          <w:rFonts w:ascii="方正小标宋_GBK" w:hAnsi="方正小标宋_GBK" w:eastAsia="方正小标宋_GBK"/>
          <w:sz w:val="52"/>
          <w:szCs w:val="52"/>
        </w:rPr>
      </w:pPr>
    </w:p>
    <w:p>
      <w:pPr>
        <w:pStyle w:val="76"/>
        <w:framePr w:wrap="auto" w:vAnchor="margin" w:hAnchor="text" w:yAlign="inline"/>
        <w:spacing w:before="0" w:line="240" w:lineRule="auto"/>
        <w:rPr>
          <w:sz w:val="52"/>
          <w:szCs w:val="52"/>
        </w:rPr>
      </w:pPr>
    </w:p>
    <w:p>
      <w:pPr>
        <w:pStyle w:val="76"/>
        <w:framePr w:wrap="auto" w:vAnchor="margin" w:hAnchor="text" w:yAlign="inline"/>
        <w:spacing w:before="0" w:line="240" w:lineRule="auto"/>
        <w:rPr>
          <w:sz w:val="52"/>
          <w:szCs w:val="52"/>
        </w:rPr>
      </w:pPr>
    </w:p>
    <w:p>
      <w:pPr>
        <w:pStyle w:val="76"/>
        <w:framePr w:wrap="auto" w:vAnchor="margin" w:hAnchor="text" w:yAlign="inline"/>
        <w:spacing w:before="0" w:line="240" w:lineRule="auto"/>
        <w:rPr>
          <w:sz w:val="52"/>
          <w:szCs w:val="52"/>
        </w:rPr>
      </w:pPr>
      <w:r>
        <w:rPr>
          <w:rFonts w:hint="eastAsia"/>
          <w:sz w:val="52"/>
          <w:szCs w:val="52"/>
          <w:lang w:eastAsia="zh-CN"/>
        </w:rPr>
        <w:t>钻井液密度计</w:t>
      </w:r>
      <w:r>
        <w:rPr>
          <w:rFonts w:hint="eastAsia"/>
          <w:sz w:val="52"/>
          <w:szCs w:val="52"/>
        </w:rPr>
        <w:t>校准规范</w:t>
      </w:r>
    </w:p>
    <w:p>
      <w:pPr>
        <w:pStyle w:val="76"/>
        <w:framePr w:wrap="auto" w:vAnchor="margin" w:hAnchor="text" w:yAlign="inline"/>
        <w:rPr>
          <w:rFonts w:hint="eastAsia" w:ascii="黑体" w:hAnsi="黑体" w:eastAsia="黑体" w:cs="Times New Roman"/>
          <w:sz w:val="28"/>
          <w:szCs w:val="28"/>
          <w:lang w:val="fr-FR" w:eastAsia="zh-CN" w:bidi="ar-SA"/>
        </w:rPr>
      </w:pPr>
      <w:r>
        <w:rPr>
          <w:rFonts w:hint="eastAsia" w:ascii="黑体" w:hAnsi="黑体" w:eastAsia="黑体" w:cs="Times New Roman"/>
          <w:sz w:val="28"/>
          <w:szCs w:val="28"/>
          <w:lang w:val="fr-FR" w:eastAsia="zh-CN" w:bidi="ar-SA"/>
        </w:rPr>
        <w:fldChar w:fldCharType="begin">
          <w:ffData>
            <w:name w:val="ESTD_NAME"/>
            <w:enabled/>
            <w:calcOnExit w:val="0"/>
            <w:textInput>
              <w:default w:val="Calibration specification of drilling fluid density mete"/>
            </w:textInput>
          </w:ffData>
        </w:fldChar>
      </w:r>
      <w:r>
        <w:rPr>
          <w:rFonts w:hint="eastAsia" w:ascii="黑体" w:hAnsi="黑体" w:eastAsia="黑体" w:cs="Times New Roman"/>
          <w:sz w:val="28"/>
          <w:szCs w:val="28"/>
          <w:lang w:val="fr-FR" w:eastAsia="zh-CN" w:bidi="ar-SA"/>
        </w:rPr>
        <w:instrText xml:space="preserve">FORMTEXT</w:instrText>
      </w:r>
      <w:r>
        <w:rPr>
          <w:rFonts w:hint="eastAsia" w:ascii="黑体" w:hAnsi="黑体" w:eastAsia="黑体" w:cs="Times New Roman"/>
          <w:sz w:val="28"/>
          <w:szCs w:val="28"/>
          <w:lang w:val="fr-FR" w:eastAsia="zh-CN" w:bidi="ar-SA"/>
        </w:rPr>
        <w:fldChar w:fldCharType="separate"/>
      </w:r>
      <w:r>
        <w:rPr>
          <w:rFonts w:hint="eastAsia" w:ascii="黑体" w:hAnsi="黑体" w:eastAsia="黑体" w:cs="Times New Roman"/>
          <w:sz w:val="28"/>
          <w:szCs w:val="28"/>
          <w:lang w:val="fr-FR" w:eastAsia="zh-CN" w:bidi="ar-SA"/>
        </w:rPr>
        <w:t>Calibration specification of drilling fluid density mete</w:t>
      </w:r>
      <w:r>
        <w:rPr>
          <w:rFonts w:hint="eastAsia" w:ascii="黑体" w:hAnsi="黑体" w:eastAsia="黑体" w:cs="Times New Roman"/>
          <w:sz w:val="28"/>
          <w:szCs w:val="28"/>
          <w:lang w:val="fr-FR" w:eastAsia="zh-CN" w:bidi="ar-SA"/>
        </w:rPr>
        <w:fldChar w:fldCharType="end"/>
      </w:r>
    </w:p>
    <w:p>
      <w:pPr>
        <w:pStyle w:val="76"/>
        <w:framePr w:wrap="auto" w:vAnchor="margin" w:hAnchor="text" w:yAlign="inline"/>
        <w:rPr>
          <w:rFonts w:hint="eastAsia" w:ascii="黑体" w:hAnsi="黑体" w:eastAsia="黑体" w:cs="Times New Roman"/>
          <w:sz w:val="28"/>
          <w:szCs w:val="28"/>
          <w:lang w:val="fr-FR" w:eastAsia="zh-CN" w:bidi="ar-SA"/>
        </w:rPr>
      </w:pPr>
      <w:r>
        <w:rPr>
          <w:rFonts w:hint="eastAsia" w:ascii="黑体" w:hAnsi="黑体" w:cs="Times New Roman"/>
          <w:sz w:val="28"/>
          <w:szCs w:val="28"/>
          <w:lang w:val="fr-FR" w:eastAsia="zh-CN" w:bidi="ar-SA"/>
        </w:rPr>
        <w:t>（</w:t>
      </w:r>
      <w:r>
        <w:rPr>
          <w:rFonts w:hint="eastAsia" w:ascii="黑体" w:hAnsi="黑体" w:cs="Times New Roman"/>
          <w:sz w:val="28"/>
          <w:szCs w:val="28"/>
          <w:lang w:val="en-US" w:eastAsia="zh-CN" w:bidi="ar-SA"/>
        </w:rPr>
        <w:t>征求意见稿</w:t>
      </w:r>
      <w:r>
        <w:rPr>
          <w:rFonts w:hint="eastAsia" w:ascii="黑体" w:hAnsi="黑体" w:cs="Times New Roman"/>
          <w:sz w:val="28"/>
          <w:szCs w:val="28"/>
          <w:lang w:val="fr-FR" w:eastAsia="zh-CN" w:bidi="ar-SA"/>
        </w:rPr>
        <w:t>）</w:t>
      </w: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jc w:val="both"/>
        <w:rPr>
          <w:rFonts w:ascii="宋体" w:hAnsi="宋体" w:eastAsia="宋体" w:cs="宋体"/>
        </w:rPr>
      </w:pPr>
    </w:p>
    <w:p>
      <w:pPr>
        <w:pStyle w:val="75"/>
        <w:framePr w:w="0" w:hRule="auto" w:wrap="auto" w:vAnchor="margin" w:hAnchor="text" w:xAlign="left" w:yAlign="inline"/>
        <w:ind w:firstLine="520" w:firstLineChars="100"/>
        <w:jc w:val="both"/>
        <w:rPr>
          <w:rFonts w:ascii="宋体" w:hAnsi="宋体" w:eastAsia="宋体" w:cs="宋体"/>
        </w:rPr>
      </w:pPr>
    </w:p>
    <w:p>
      <w:pPr>
        <w:pStyle w:val="75"/>
        <w:framePr w:w="0" w:hRule="auto" w:wrap="auto" w:vAnchor="margin" w:hAnchor="text" w:xAlign="left" w:yAlign="inline"/>
        <w:ind w:firstLine="280" w:firstLineChars="100"/>
        <w:jc w:val="center"/>
        <w:rPr>
          <w:rFonts w:ascii="宋体" w:hAnsi="宋体" w:eastAsia="宋体" w:cs="宋体"/>
        </w:rPr>
      </w:pPr>
      <w:r>
        <w:rPr>
          <w:rFonts w:ascii="黑体"/>
          <w:sz w:val="28"/>
          <w:szCs w:val="28"/>
        </w:rPr>
        <w:fldChar w:fldCharType="begin">
          <w:ffData>
            <w:name w:val="FY"/>
            <w:enabled/>
            <w:calcOnExit w:val="0"/>
            <w:entryMacro w:val="ShowHelp8"/>
            <w:textInput>
              <w:default w:val="XXXX"/>
              <w:maxLength w:val="4"/>
            </w:textInput>
          </w:ffData>
        </w:fldChar>
      </w:r>
      <w:r>
        <w:rPr>
          <w:rFonts w:ascii="黑体"/>
          <w:sz w:val="28"/>
          <w:szCs w:val="28"/>
        </w:rPr>
        <w:instrText xml:space="preserve"> FORMTEXT </w:instrText>
      </w:r>
      <w:r>
        <w:rPr>
          <w:rFonts w:ascii="黑体"/>
          <w:sz w:val="28"/>
          <w:szCs w:val="28"/>
        </w:rPr>
        <w:fldChar w:fldCharType="separate"/>
      </w:r>
      <w:r>
        <w:rPr>
          <w:rFonts w:ascii="黑体"/>
          <w:sz w:val="28"/>
          <w:szCs w:val="28"/>
        </w:rPr>
        <w:t>XXXX</w:t>
      </w:r>
      <w:r>
        <w:rPr>
          <w:rFonts w:ascii="黑体"/>
          <w:sz w:val="28"/>
          <w:szCs w:val="28"/>
        </w:rPr>
        <w:fldChar w:fldCharType="end"/>
      </w:r>
      <w:r>
        <w:rPr>
          <w:sz w:val="28"/>
          <w:szCs w:val="28"/>
        </w:rPr>
        <w:t xml:space="preserve"> </w:t>
      </w:r>
      <w:r>
        <w:rPr>
          <w:rFonts w:ascii="黑体"/>
          <w:sz w:val="28"/>
          <w:szCs w:val="28"/>
        </w:rPr>
        <w:t>-</w:t>
      </w:r>
      <w:r>
        <w:rPr>
          <w:sz w:val="28"/>
          <w:szCs w:val="28"/>
        </w:rPr>
        <w:t xml:space="preserve"> </w:t>
      </w:r>
      <w:r>
        <w:rPr>
          <w:rFonts w:ascii="黑体"/>
          <w:sz w:val="28"/>
          <w:szCs w:val="28"/>
        </w:rPr>
        <w:fldChar w:fldCharType="begin">
          <w:ffData>
            <w:name w:val="FM"/>
            <w:enabled/>
            <w:calcOnExit w:val="0"/>
            <w:entryMacro w:val="ShowHelp8"/>
            <w:textInput>
              <w:default w:val="XX"/>
              <w:maxLength w:val="2"/>
            </w:textInput>
          </w:ffData>
        </w:fldChar>
      </w:r>
      <w:r>
        <w:rPr>
          <w:rFonts w:ascii="黑体"/>
          <w:sz w:val="28"/>
          <w:szCs w:val="28"/>
        </w:rPr>
        <w:instrText xml:space="preserve"> FORMTEXT </w:instrText>
      </w:r>
      <w:r>
        <w:rPr>
          <w:rFonts w:ascii="黑体"/>
          <w:sz w:val="28"/>
          <w:szCs w:val="28"/>
        </w:rPr>
        <w:fldChar w:fldCharType="separate"/>
      </w:r>
      <w:r>
        <w:rPr>
          <w:rFonts w:ascii="黑体"/>
          <w:sz w:val="28"/>
          <w:szCs w:val="28"/>
        </w:rPr>
        <w:t>XX</w:t>
      </w:r>
      <w:r>
        <w:rPr>
          <w:rFonts w:ascii="黑体"/>
          <w:sz w:val="28"/>
          <w:szCs w:val="28"/>
        </w:rPr>
        <w:fldChar w:fldCharType="end"/>
      </w:r>
      <w:r>
        <w:rPr>
          <w:sz w:val="28"/>
          <w:szCs w:val="28"/>
        </w:rPr>
        <w:t xml:space="preserve"> </w:t>
      </w:r>
      <w:r>
        <w:rPr>
          <w:rFonts w:ascii="黑体"/>
          <w:sz w:val="28"/>
          <w:szCs w:val="28"/>
        </w:rPr>
        <w:t>-</w:t>
      </w:r>
      <w:r>
        <w:rPr>
          <w:sz w:val="28"/>
          <w:szCs w:val="28"/>
        </w:rPr>
        <w:t xml:space="preserve"> </w:t>
      </w:r>
      <w:r>
        <w:rPr>
          <w:rFonts w:ascii="黑体"/>
          <w:sz w:val="28"/>
          <w:szCs w:val="28"/>
        </w:rPr>
        <w:fldChar w:fldCharType="begin">
          <w:ffData>
            <w:name w:val="FD"/>
            <w:enabled/>
            <w:calcOnExit w:val="0"/>
            <w:entryMacro w:val="ShowHelp8"/>
            <w:textInput>
              <w:default w:val="XX"/>
              <w:maxLength w:val="2"/>
            </w:textInput>
          </w:ffData>
        </w:fldChar>
      </w:r>
      <w:r>
        <w:rPr>
          <w:rFonts w:ascii="黑体"/>
          <w:sz w:val="28"/>
          <w:szCs w:val="28"/>
        </w:rPr>
        <w:instrText xml:space="preserve"> FORMTEXT </w:instrText>
      </w:r>
      <w:r>
        <w:rPr>
          <w:rFonts w:ascii="黑体"/>
          <w:sz w:val="28"/>
          <w:szCs w:val="28"/>
        </w:rPr>
        <w:fldChar w:fldCharType="separate"/>
      </w:r>
      <w:r>
        <w:rPr>
          <w:rFonts w:ascii="黑体"/>
          <w:sz w:val="28"/>
          <w:szCs w:val="28"/>
        </w:rPr>
        <w:t>XX</w:t>
      </w:r>
      <w:r>
        <w:rPr>
          <w:rFonts w:ascii="黑体"/>
          <w:sz w:val="28"/>
          <w:szCs w:val="28"/>
        </w:rPr>
        <w:fldChar w:fldCharType="end"/>
      </w:r>
      <w:r>
        <w:rPr>
          <w:rFonts w:hint="eastAsia"/>
          <w:sz w:val="28"/>
          <w:szCs w:val="28"/>
        </w:rPr>
        <w:t xml:space="preserve">发布                       </w:t>
      </w:r>
      <w:r>
        <w:rPr>
          <w:rFonts w:ascii="黑体"/>
          <w:sz w:val="28"/>
          <w:szCs w:val="28"/>
        </w:rPr>
        <w:fldChar w:fldCharType="begin">
          <w:ffData>
            <w:name w:val="SY"/>
            <w:enabled/>
            <w:calcOnExit w:val="0"/>
            <w:entryMacro w:val="ShowHelp9"/>
            <w:textInput>
              <w:default w:val="XXXX"/>
              <w:maxLength w:val="4"/>
            </w:textInput>
          </w:ffData>
        </w:fldChar>
      </w:r>
      <w:r>
        <w:rPr>
          <w:rFonts w:ascii="黑体"/>
          <w:sz w:val="28"/>
          <w:szCs w:val="28"/>
        </w:rPr>
        <w:instrText xml:space="preserve"> FORMTEXT </w:instrText>
      </w:r>
      <w:r>
        <w:rPr>
          <w:rFonts w:ascii="黑体"/>
          <w:sz w:val="28"/>
          <w:szCs w:val="28"/>
        </w:rPr>
        <w:fldChar w:fldCharType="separate"/>
      </w:r>
      <w:r>
        <w:rPr>
          <w:rFonts w:ascii="黑体"/>
          <w:sz w:val="28"/>
          <w:szCs w:val="28"/>
        </w:rPr>
        <w:t>XXXX</w:t>
      </w:r>
      <w:r>
        <w:rPr>
          <w:rFonts w:ascii="黑体"/>
          <w:sz w:val="28"/>
          <w:szCs w:val="28"/>
        </w:rPr>
        <w:fldChar w:fldCharType="end"/>
      </w:r>
      <w:r>
        <w:rPr>
          <w:sz w:val="28"/>
          <w:szCs w:val="28"/>
        </w:rPr>
        <w:t xml:space="preserve"> </w:t>
      </w:r>
      <w:r>
        <w:rPr>
          <w:rFonts w:ascii="黑体"/>
          <w:sz w:val="28"/>
          <w:szCs w:val="28"/>
        </w:rPr>
        <w:t>-</w:t>
      </w:r>
      <w:r>
        <w:rPr>
          <w:sz w:val="28"/>
          <w:szCs w:val="28"/>
        </w:rPr>
        <w:t xml:space="preserve"> </w:t>
      </w:r>
      <w:r>
        <w:rPr>
          <w:rFonts w:ascii="黑体"/>
          <w:sz w:val="28"/>
          <w:szCs w:val="28"/>
        </w:rPr>
        <w:fldChar w:fldCharType="begin">
          <w:ffData>
            <w:name w:val="SM"/>
            <w:enabled/>
            <w:calcOnExit w:val="0"/>
            <w:entryMacro w:val="ShowHelp9"/>
            <w:textInput>
              <w:default w:val="XX"/>
              <w:maxLength w:val="2"/>
            </w:textInput>
          </w:ffData>
        </w:fldChar>
      </w:r>
      <w:r>
        <w:rPr>
          <w:rFonts w:ascii="黑体"/>
          <w:sz w:val="28"/>
          <w:szCs w:val="28"/>
        </w:rPr>
        <w:instrText xml:space="preserve"> FORMTEXT </w:instrText>
      </w:r>
      <w:r>
        <w:rPr>
          <w:rFonts w:ascii="黑体"/>
          <w:sz w:val="28"/>
          <w:szCs w:val="28"/>
        </w:rPr>
        <w:fldChar w:fldCharType="separate"/>
      </w:r>
      <w:r>
        <w:rPr>
          <w:rFonts w:ascii="黑体"/>
          <w:sz w:val="28"/>
          <w:szCs w:val="28"/>
        </w:rPr>
        <w:t>XX</w:t>
      </w:r>
      <w:r>
        <w:rPr>
          <w:rFonts w:ascii="黑体"/>
          <w:sz w:val="28"/>
          <w:szCs w:val="28"/>
        </w:rPr>
        <w:fldChar w:fldCharType="end"/>
      </w:r>
      <w:r>
        <w:rPr>
          <w:sz w:val="28"/>
          <w:szCs w:val="28"/>
        </w:rPr>
        <w:t xml:space="preserve"> </w:t>
      </w:r>
      <w:r>
        <w:rPr>
          <w:rFonts w:ascii="黑体"/>
          <w:sz w:val="28"/>
          <w:szCs w:val="28"/>
        </w:rPr>
        <w:t>-</w:t>
      </w:r>
      <w:r>
        <w:rPr>
          <w:sz w:val="28"/>
          <w:szCs w:val="28"/>
        </w:rPr>
        <w:t xml:space="preserve"> </w:t>
      </w:r>
      <w:r>
        <w:rPr>
          <w:rFonts w:ascii="黑体"/>
          <w:sz w:val="28"/>
          <w:szCs w:val="28"/>
        </w:rPr>
        <w:fldChar w:fldCharType="begin">
          <w:ffData>
            <w:name w:val="SD"/>
            <w:enabled/>
            <w:calcOnExit w:val="0"/>
            <w:entryMacro w:val="ShowHelp9"/>
            <w:textInput>
              <w:default w:val="XX"/>
              <w:maxLength w:val="2"/>
            </w:textInput>
          </w:ffData>
        </w:fldChar>
      </w:r>
      <w:r>
        <w:rPr>
          <w:rFonts w:ascii="黑体"/>
          <w:sz w:val="28"/>
          <w:szCs w:val="28"/>
        </w:rPr>
        <w:instrText xml:space="preserve"> FORMTEXT </w:instrText>
      </w:r>
      <w:r>
        <w:rPr>
          <w:rFonts w:ascii="黑体"/>
          <w:sz w:val="28"/>
          <w:szCs w:val="28"/>
        </w:rPr>
        <w:fldChar w:fldCharType="separate"/>
      </w:r>
      <w:r>
        <w:rPr>
          <w:rFonts w:ascii="黑体"/>
          <w:sz w:val="28"/>
          <w:szCs w:val="28"/>
        </w:rPr>
        <w:t>XX</w:t>
      </w:r>
      <w:r>
        <w:rPr>
          <w:rFonts w:ascii="黑体"/>
          <w:sz w:val="28"/>
          <w:szCs w:val="28"/>
        </w:rPr>
        <w:fldChar w:fldCharType="end"/>
      </w:r>
      <w:r>
        <w:rPr>
          <w:rFonts w:hint="eastAsia"/>
          <w:sz w:val="28"/>
          <w:szCs w:val="28"/>
        </w:rPr>
        <w:t>实施</w:t>
      </w:r>
    </w:p>
    <w:p>
      <w:pPr>
        <w:pStyle w:val="75"/>
        <w:framePr w:w="0" w:hRule="auto" w:wrap="auto" w:vAnchor="margin" w:hAnchor="text" w:xAlign="left" w:yAlign="inline"/>
        <w:ind w:right="139" w:rightChars="66" w:firstLine="520" w:firstLineChars="100"/>
        <w:jc w:val="both"/>
        <w:rPr>
          <w:rFonts w:ascii="宋体" w:hAnsi="宋体" w:eastAsia="宋体" w:cs="宋体"/>
        </w:rPr>
      </w:pPr>
      <w:r>
        <w:rPr>
          <w:rFonts w:ascii="宋体" w:hAnsi="宋体" w:eastAsia="宋体" w:cs="宋体"/>
        </w:rPr>
        <w:pict>
          <v:rect id="_x0000_i1026" o:spt="1" style="height:1pt;width:455.75pt;" fillcolor="#000000" filled="t" stroked="f" coordsize="21600,21600" o:hr="t" o:hrstd="t" o:hrnoshade="t" o:hrpct="989" o:hralign="center">
            <v:path/>
            <v:fill on="t" color2="#FFFFFF" focussize="0,0"/>
            <v:stroke on="f"/>
            <v:imagedata o:title=""/>
            <o:lock v:ext="edit" aspectratio="f"/>
            <w10:wrap type="none"/>
            <w10:anchorlock/>
          </v:rect>
        </w:pict>
      </w:r>
    </w:p>
    <w:p>
      <w:pPr>
        <w:pStyle w:val="75"/>
        <w:framePr w:w="0" w:hRule="auto" w:wrap="auto" w:vAnchor="margin" w:hAnchor="text" w:xAlign="left" w:yAlign="inline"/>
        <w:ind w:right="139" w:rightChars="66" w:firstLine="440" w:firstLineChars="100"/>
        <w:jc w:val="center"/>
        <w:rPr>
          <w:rFonts w:hint="eastAsia"/>
          <w:sz w:val="44"/>
          <w:szCs w:val="44"/>
        </w:rPr>
      </w:pPr>
      <w:r>
        <w:rPr>
          <w:rFonts w:hint="eastAsia"/>
          <w:sz w:val="44"/>
          <w:szCs w:val="44"/>
          <w:lang w:val="en-US" w:eastAsia="zh-CN"/>
        </w:rPr>
        <w:t xml:space="preserve">国 家 市 场 监 督 管 理 总 局 </w:t>
      </w:r>
      <w:r>
        <w:rPr>
          <w:rFonts w:hint="eastAsia"/>
          <w:sz w:val="44"/>
          <w:szCs w:val="44"/>
        </w:rPr>
        <w:t xml:space="preserve"> 发</w:t>
      </w:r>
      <w:r>
        <w:rPr>
          <w:rFonts w:hint="eastAsia"/>
          <w:sz w:val="44"/>
          <w:szCs w:val="44"/>
          <w:lang w:val="en-US" w:eastAsia="zh-CN"/>
        </w:rPr>
        <w:t xml:space="preserve"> </w:t>
      </w:r>
      <w:r>
        <w:rPr>
          <w:rFonts w:hint="eastAsia"/>
          <w:sz w:val="44"/>
          <w:szCs w:val="44"/>
        </w:rPr>
        <w:t>布</w:t>
      </w:r>
    </w:p>
    <w:p>
      <w:pPr>
        <w:pStyle w:val="76"/>
        <w:framePr w:h="4069" w:hRule="exact" w:wrap="auto" w:vAnchor="margin" w:hAnchor="text" w:yAlign="inline"/>
        <w:spacing w:before="0" w:line="240" w:lineRule="auto"/>
        <w:jc w:val="left"/>
        <w:rPr>
          <w:rFonts w:hint="eastAsia"/>
          <w:sz w:val="52"/>
          <w:szCs w:val="52"/>
        </w:rPr>
      </w:pPr>
      <w:r>
        <w:rPr>
          <w:rFonts w:hint="eastAsia"/>
          <w:sz w:val="52"/>
          <w:szCs w:val="52"/>
          <w:lang w:eastAsia="zh-CN"/>
        </w:rPr>
        <w:t>钻井液密度计</w:t>
      </w:r>
      <w:r>
        <w:rPr>
          <w:rFonts w:hint="eastAsia"/>
          <w:sz w:val="52"/>
          <w:szCs w:val="52"/>
        </w:rPr>
        <w:t>校准规范</w:t>
      </w:r>
    </w:p>
    <w:p>
      <w:pPr>
        <w:pStyle w:val="76"/>
        <w:framePr w:h="4069" w:hRule="exact" w:wrap="auto" w:vAnchor="margin" w:hAnchor="text" w:yAlign="inline"/>
        <w:spacing w:before="0" w:line="240" w:lineRule="auto"/>
        <w:jc w:val="left"/>
        <w:rPr>
          <w:rFonts w:hint="eastAsia"/>
          <w:sz w:val="52"/>
          <w:szCs w:val="52"/>
        </w:rPr>
      </w:pPr>
    </w:p>
    <w:p>
      <w:pPr>
        <w:pStyle w:val="76"/>
        <w:framePr w:h="4069" w:hRule="exact" w:wrap="auto" w:vAnchor="margin" w:hAnchor="text" w:yAlign="inline"/>
        <w:spacing w:before="0" w:line="240" w:lineRule="auto"/>
        <w:jc w:val="left"/>
        <w:rPr>
          <w:rFonts w:hint="eastAsia" w:ascii="黑体" w:hAnsi="黑体"/>
          <w:lang w:val="en-US" w:eastAsia="zh-CN"/>
        </w:rPr>
      </w:pPr>
      <w:bookmarkStart w:id="0" w:name="ESTD_NAME"/>
      <w:r>
        <w:rPr>
          <w:rFonts w:hint="eastAsia" w:ascii="黑体" w:hAnsi="黑体" w:eastAsia="黑体" w:cs="Times New Roman"/>
          <w:sz w:val="28"/>
          <w:szCs w:val="28"/>
          <w:lang w:val="en-US" w:eastAsia="zh-CN" w:bidi="ar-SA"/>
        </w:rPr>
        <w:fldChar w:fldCharType="begin">
          <w:ffData>
            <w:name w:val="ESTD_NAME"/>
            <w:enabled/>
            <w:calcOnExit w:val="0"/>
            <w:textInput>
              <w:default w:val="Calibration specification"/>
            </w:textInput>
          </w:ffData>
        </w:fldChar>
      </w:r>
      <w:r>
        <w:rPr>
          <w:rFonts w:hint="eastAsia" w:ascii="黑体" w:hAnsi="黑体" w:eastAsia="黑体" w:cs="Times New Roman"/>
          <w:sz w:val="28"/>
          <w:szCs w:val="28"/>
          <w:lang w:val="en-US" w:eastAsia="zh-CN" w:bidi="ar-SA"/>
        </w:rPr>
        <w:instrText xml:space="preserve">FORMTEXT</w:instrText>
      </w:r>
      <w:r>
        <w:rPr>
          <w:rFonts w:hint="eastAsia" w:ascii="黑体" w:hAnsi="黑体" w:eastAsia="黑体" w:cs="Times New Roman"/>
          <w:sz w:val="28"/>
          <w:szCs w:val="28"/>
          <w:lang w:val="en-US" w:eastAsia="zh-CN" w:bidi="ar-SA"/>
        </w:rPr>
        <w:fldChar w:fldCharType="separate"/>
      </w:r>
      <w:r>
        <w:rPr>
          <w:rFonts w:hint="eastAsia" w:ascii="黑体" w:hAnsi="黑体" w:eastAsia="黑体" w:cs="Times New Roman"/>
          <w:sz w:val="28"/>
          <w:szCs w:val="28"/>
          <w:lang w:val="en-US" w:eastAsia="zh-CN" w:bidi="ar-SA"/>
        </w:rPr>
        <w:t>Calibration specification</w:t>
      </w:r>
      <w:r>
        <w:rPr>
          <w:rFonts w:hint="eastAsia" w:ascii="黑体" w:hAnsi="黑体" w:eastAsia="黑体" w:cs="Times New Roman"/>
          <w:sz w:val="28"/>
          <w:szCs w:val="28"/>
          <w:lang w:val="en-US" w:eastAsia="zh-CN" w:bidi="ar-SA"/>
        </w:rPr>
        <w:fldChar w:fldCharType="end"/>
      </w:r>
      <w:bookmarkEnd w:id="0"/>
      <w:r>
        <w:rPr>
          <w:rFonts w:hint="eastAsia" w:ascii="黑体" w:hAnsi="黑体"/>
          <w:lang w:val="en-US" w:eastAsia="zh-CN"/>
        </w:rPr>
        <w:t xml:space="preserve"> </w:t>
      </w:r>
    </w:p>
    <w:p>
      <w:pPr>
        <w:pStyle w:val="76"/>
        <w:framePr w:h="4069" w:hRule="exact" w:wrap="auto" w:vAnchor="margin" w:hAnchor="text" w:yAlign="inline"/>
        <w:spacing w:before="0" w:line="240" w:lineRule="auto"/>
        <w:jc w:val="left"/>
        <w:rPr>
          <w:rFonts w:hint="eastAsia" w:ascii="黑体" w:hAnsi="黑体"/>
        </w:rPr>
      </w:pPr>
      <w:r>
        <w:rPr>
          <w:rFonts w:hint="eastAsia" w:ascii="黑体" w:hAnsi="黑体"/>
          <w:lang w:val="en-US" w:eastAsia="zh-CN"/>
        </w:rPr>
        <w:t xml:space="preserve"> </w:t>
      </w:r>
      <w:r>
        <w:rPr>
          <w:rFonts w:hint="eastAsia" w:ascii="黑体" w:hAnsi="黑体"/>
        </w:rPr>
        <w:t xml:space="preserve">                        </w:t>
      </w:r>
      <w:r>
        <w:rPr>
          <w:rFonts w:hint="eastAsia" w:ascii="黑体" w:hAnsi="黑体"/>
          <w:lang w:val="en-US" w:eastAsia="zh-CN"/>
        </w:rPr>
        <w:t xml:space="preserve">                       </w:t>
      </w:r>
      <w:r>
        <w:rPr>
          <w:rFonts w:hint="eastAsia" w:ascii="黑体" w:hAnsi="黑体"/>
        </w:rPr>
        <w:t>JJF XXXX-XXXX</w:t>
      </w:r>
    </w:p>
    <w:p>
      <w:pPr>
        <w:pStyle w:val="76"/>
        <w:framePr w:h="4069" w:hRule="exact" w:wrap="auto" w:vAnchor="margin" w:hAnchor="text" w:yAlign="inline"/>
        <w:tabs>
          <w:tab w:val="center" w:pos="4819"/>
        </w:tabs>
        <w:spacing w:before="0" w:line="240" w:lineRule="auto"/>
        <w:jc w:val="left"/>
        <w:rPr>
          <w:rFonts w:hint="eastAsia" w:ascii="黑体" w:hAnsi="黑体"/>
          <w:lang w:eastAsia="zh-CN"/>
        </w:rPr>
      </w:pPr>
      <w:r>
        <w:rPr>
          <w:rFonts w:hint="eastAsia" w:ascii="黑体" w:hAnsi="黑体"/>
        </w:rPr>
        <w:fldChar w:fldCharType="begin">
          <w:ffData>
            <w:name w:val="ESTD_NAME"/>
            <w:enabled/>
            <w:calcOnExit w:val="0"/>
            <w:textInput>
              <w:default w:val="Calibration method of drilling fluid density mete"/>
            </w:textInput>
          </w:ffData>
        </w:fldChar>
      </w:r>
      <w:r>
        <w:rPr>
          <w:rFonts w:hint="eastAsia" w:ascii="黑体" w:hAnsi="黑体"/>
          <w:lang w:val="fr-FR"/>
        </w:rPr>
        <w:instrText xml:space="preserve"> FORMTEXT </w:instrText>
      </w:r>
      <w:r>
        <w:rPr>
          <w:rFonts w:hint="eastAsia" w:ascii="黑体" w:hAnsi="黑体"/>
        </w:rPr>
        <w:fldChar w:fldCharType="separate"/>
      </w:r>
      <w:r>
        <w:rPr>
          <w:rFonts w:hint="eastAsia" w:ascii="黑体" w:hAnsi="黑体"/>
          <w:lang w:val="en-US" w:eastAsia="zh-CN"/>
        </w:rPr>
        <w:t>o</w:t>
      </w:r>
      <w:r>
        <w:rPr>
          <w:rFonts w:hint="eastAsia" w:ascii="黑体" w:hAnsi="黑体"/>
          <w:lang w:val="fr-FR"/>
        </w:rPr>
        <w:t>f drilling fluid density mete</w:t>
      </w:r>
      <w:r>
        <w:rPr>
          <w:rFonts w:hint="eastAsia" w:ascii="黑体" w:hAnsi="黑体"/>
        </w:rPr>
        <w:fldChar w:fldCharType="end"/>
      </w:r>
      <w:r>
        <w:rPr>
          <w:rFonts w:hint="eastAsia" w:ascii="黑体" w:hAnsi="黑体"/>
          <w:lang w:eastAsia="zh-CN"/>
        </w:rPr>
        <w:tab/>
      </w:r>
    </w:p>
    <w:p>
      <w:pPr>
        <w:pStyle w:val="76"/>
        <w:framePr w:h="4069" w:hRule="exact" w:wrap="auto" w:vAnchor="margin" w:hAnchor="text" w:yAlign="inline"/>
        <w:tabs>
          <w:tab w:val="center" w:pos="4819"/>
        </w:tabs>
        <w:spacing w:before="0" w:line="240" w:lineRule="auto"/>
        <w:jc w:val="left"/>
        <w:rPr>
          <w:rFonts w:hint="eastAsia" w:ascii="黑体" w:hAnsi="黑体"/>
          <w:lang w:eastAsia="zh-CN"/>
        </w:rPr>
      </w:pPr>
    </w:p>
    <w:p>
      <w:pPr>
        <w:pStyle w:val="76"/>
        <w:framePr w:h="4069" w:hRule="exact" w:wrap="auto" w:vAnchor="margin" w:hAnchor="text" w:yAlign="inline"/>
        <w:tabs>
          <w:tab w:val="center" w:pos="4819"/>
        </w:tabs>
        <w:spacing w:before="0" w:line="240" w:lineRule="auto"/>
        <w:jc w:val="left"/>
        <w:rPr>
          <w:rFonts w:hint="eastAsia" w:ascii="黑体" w:hAnsi="黑体"/>
          <w:lang w:eastAsia="zh-CN"/>
        </w:rPr>
      </w:pPr>
    </w:p>
    <w:p>
      <w:pPr>
        <w:pStyle w:val="76"/>
        <w:framePr w:h="4069" w:hRule="exact" w:wrap="auto" w:vAnchor="margin" w:hAnchor="text" w:yAlign="inline"/>
        <w:tabs>
          <w:tab w:val="center" w:pos="4819"/>
        </w:tabs>
        <w:spacing w:before="0" w:line="240" w:lineRule="auto"/>
        <w:jc w:val="left"/>
        <w:rPr>
          <w:rFonts w:hint="eastAsia" w:ascii="黑体" w:hAnsi="黑体"/>
          <w:lang w:eastAsia="zh-CN"/>
        </w:rPr>
      </w:pPr>
    </w:p>
    <w:p>
      <w:pPr>
        <w:pStyle w:val="76"/>
        <w:framePr w:h="4069" w:hRule="exact" w:wrap="auto" w:vAnchor="margin" w:hAnchor="text" w:yAlign="inline"/>
        <w:tabs>
          <w:tab w:val="center" w:pos="4819"/>
        </w:tabs>
        <w:spacing w:before="0" w:line="240" w:lineRule="auto"/>
        <w:jc w:val="left"/>
        <w:rPr>
          <w:rFonts w:hint="eastAsia" w:ascii="黑体" w:hAnsi="黑体"/>
          <w:lang w:eastAsia="zh-CN"/>
        </w:rPr>
      </w:pPr>
    </w:p>
    <w:p>
      <w:pPr>
        <w:pStyle w:val="76"/>
        <w:framePr w:h="4069" w:hRule="exact" w:wrap="auto" w:vAnchor="margin" w:hAnchor="text" w:yAlign="inline"/>
        <w:spacing w:before="0" w:line="240" w:lineRule="auto"/>
        <w:jc w:val="left"/>
        <w:rPr>
          <w:rFonts w:hint="eastAsia" w:ascii="黑体" w:hAnsi="黑体"/>
        </w:rPr>
      </w:pPr>
    </w:p>
    <w:p>
      <w:pPr>
        <w:pStyle w:val="76"/>
        <w:framePr w:h="4069" w:hRule="exact" w:wrap="auto" w:vAnchor="margin" w:hAnchor="text" w:yAlign="inline"/>
        <w:spacing w:before="0" w:line="240" w:lineRule="auto"/>
        <w:jc w:val="left"/>
        <w:rPr>
          <w:rFonts w:hint="eastAsia" w:ascii="黑体" w:hAnsi="黑体"/>
          <w:lang w:eastAsia="zh-CN"/>
        </w:rPr>
      </w:pPr>
    </w:p>
    <w:p>
      <w:pPr>
        <w:ind w:left="-141" w:leftChars="-67" w:firstLine="56" w:firstLineChars="27"/>
        <w:jc w:val="left"/>
        <w:rPr>
          <w:rFonts w:ascii="方正小标宋_GBK" w:hAnsi="方正小标宋_GBK" w:eastAsia="方正小标宋_GBK"/>
          <w:sz w:val="52"/>
          <w:szCs w:val="52"/>
        </w:rPr>
      </w:pPr>
      <w:r>
        <w:rPr>
          <w:rFonts w:ascii="宋体" w:hAnsi="宋体" w:cs="宋体"/>
        </w:rPr>
        <w:pict>
          <v:rect id="_x0000_i1027" o:spt="1" style="height:1pt;width:455.75pt;" fillcolor="#000000" filled="t" stroked="f" coordsize="21600,21600" o:hr="t" o:hrstd="t" o:hrnoshade="t" o:hrpct="989" o:hralign="center">
            <v:path/>
            <v:fill on="t" focussize="0,0"/>
            <v:stroke on="f"/>
            <v:imagedata o:title=""/>
            <o:lock v:ext="edit"/>
            <w10:wrap type="none"/>
            <w10:anchorlock/>
          </v:rect>
        </w:pict>
      </w:r>
    </w:p>
    <w:p>
      <w:pPr>
        <w:pStyle w:val="78"/>
        <w:framePr w:h="5597" w:hRule="exact" w:wrap="auto" w:vAnchor="page" w:hAnchor="text" w:y="7798"/>
        <w:spacing w:before="0" w:after="0"/>
        <w:ind w:firstLine="840" w:firstLineChars="300"/>
        <w:jc w:val="left"/>
        <w:rPr>
          <w:rFonts w:ascii="黑体" w:hAnsi="黑体" w:eastAsia="黑体"/>
          <w:sz w:val="28"/>
        </w:rPr>
      </w:pPr>
    </w:p>
    <w:p>
      <w:pPr>
        <w:pStyle w:val="78"/>
        <w:framePr w:h="5597" w:hRule="exact" w:wrap="auto" w:vAnchor="page" w:hAnchor="text" w:y="7798"/>
        <w:spacing w:before="0" w:after="0"/>
        <w:ind w:firstLine="840" w:firstLineChars="300"/>
        <w:jc w:val="left"/>
        <w:rPr>
          <w:rFonts w:ascii="黑体" w:hAnsi="黑体" w:eastAsia="黑体"/>
          <w:sz w:val="28"/>
        </w:rPr>
      </w:pPr>
    </w:p>
    <w:p>
      <w:pPr>
        <w:pStyle w:val="78"/>
        <w:framePr w:h="5597" w:hRule="exact" w:wrap="auto" w:vAnchor="page" w:hAnchor="text" w:y="7798"/>
        <w:spacing w:before="0" w:after="0"/>
        <w:ind w:firstLine="840" w:firstLineChars="300"/>
        <w:jc w:val="left"/>
        <w:rPr>
          <w:rFonts w:ascii="黑体" w:hAnsi="黑体" w:eastAsia="黑体"/>
          <w:sz w:val="28"/>
        </w:rPr>
      </w:pPr>
    </w:p>
    <w:p>
      <w:pPr>
        <w:pStyle w:val="78"/>
        <w:framePr w:h="5597" w:hRule="exact" w:wrap="auto" w:vAnchor="page" w:hAnchor="text" w:y="7798"/>
        <w:spacing w:before="0" w:after="0"/>
        <w:ind w:firstLine="840" w:firstLineChars="300"/>
        <w:jc w:val="left"/>
        <w:rPr>
          <w:rFonts w:ascii="黑体" w:hAnsi="黑体" w:eastAsia="黑体"/>
          <w:sz w:val="28"/>
        </w:rPr>
      </w:pPr>
    </w:p>
    <w:p>
      <w:pPr>
        <w:pStyle w:val="78"/>
        <w:framePr w:h="5597" w:hRule="exact" w:wrap="auto" w:vAnchor="page" w:hAnchor="text" w:y="7798"/>
        <w:spacing w:before="0" w:after="0"/>
        <w:ind w:firstLine="840" w:firstLineChars="300"/>
        <w:jc w:val="left"/>
        <w:rPr>
          <w:rFonts w:ascii="黑体" w:hAnsi="黑体" w:eastAsia="黑体"/>
          <w:sz w:val="28"/>
        </w:rPr>
      </w:pPr>
    </w:p>
    <w:p>
      <w:pPr>
        <w:pStyle w:val="78"/>
        <w:framePr w:h="5597" w:hRule="exact" w:wrap="auto" w:vAnchor="page" w:hAnchor="text" w:y="7798"/>
        <w:spacing w:before="0" w:after="0"/>
        <w:ind w:firstLine="560" w:firstLineChars="200"/>
        <w:jc w:val="left"/>
        <w:rPr>
          <w:rFonts w:hAnsi="Courier New"/>
          <w:color w:val="000000" w:themeColor="text1"/>
          <w:kern w:val="15"/>
          <w14:textFill>
            <w14:solidFill>
              <w14:schemeClr w14:val="tx1"/>
            </w14:solidFill>
          </w14:textFill>
        </w:rPr>
      </w:pPr>
      <w:r>
        <w:rPr>
          <w:rFonts w:hint="eastAsia" w:ascii="黑体" w:hAnsi="黑体" w:eastAsia="黑体"/>
          <w:sz w:val="28"/>
        </w:rPr>
        <w:t xml:space="preserve">归 口 单 位： </w:t>
      </w:r>
      <w:r>
        <w:rPr>
          <w:rFonts w:hint="eastAsia" w:hAnsi="Courier New"/>
          <w:color w:val="000000" w:themeColor="text1"/>
          <w:kern w:val="15"/>
          <w:sz w:val="28"/>
          <w14:textFill>
            <w14:solidFill>
              <w14:schemeClr w14:val="tx1"/>
            </w14:solidFill>
          </w14:textFill>
        </w:rPr>
        <w:t>全国石油专用计量测试技术委员会</w:t>
      </w:r>
    </w:p>
    <w:p>
      <w:pPr>
        <w:pStyle w:val="78"/>
        <w:framePr w:h="5597" w:hRule="exact" w:wrap="auto" w:vAnchor="page" w:hAnchor="text" w:y="7798"/>
        <w:tabs>
          <w:tab w:val="left" w:pos="851"/>
          <w:tab w:val="left" w:pos="1134"/>
        </w:tabs>
        <w:spacing w:before="0" w:after="0"/>
        <w:ind w:firstLine="560" w:firstLineChars="200"/>
        <w:jc w:val="both"/>
        <w:rPr>
          <w:rFonts w:hint="eastAsia" w:hAnsi="Courier New"/>
          <w:color w:val="000000" w:themeColor="text1"/>
          <w:kern w:val="15"/>
          <w:sz w:val="28"/>
          <w:lang w:val="en-US" w:eastAsia="zh-CN"/>
          <w14:textFill>
            <w14:solidFill>
              <w14:schemeClr w14:val="tx1"/>
            </w14:solidFill>
          </w14:textFill>
        </w:rPr>
      </w:pPr>
      <w:r>
        <w:rPr>
          <w:rFonts w:hint="eastAsia" w:ascii="黑体" w:hAnsi="黑体" w:eastAsia="黑体"/>
          <w:sz w:val="28"/>
        </w:rPr>
        <w:t>主要起草单位：</w:t>
      </w:r>
      <w:r>
        <w:rPr>
          <w:rFonts w:hint="eastAsia" w:hAnsi="Courier New"/>
          <w:color w:val="000000" w:themeColor="text1"/>
          <w:kern w:val="15"/>
          <w:sz w:val="28"/>
          <w14:textFill>
            <w14:solidFill>
              <w14:schemeClr w14:val="tx1"/>
            </w14:solidFill>
          </w14:textFill>
        </w:rPr>
        <w:t>中国石油</w:t>
      </w:r>
      <w:r>
        <w:rPr>
          <w:rFonts w:hint="eastAsia" w:hAnsi="Courier New"/>
          <w:color w:val="000000" w:themeColor="text1"/>
          <w:kern w:val="15"/>
          <w:sz w:val="28"/>
          <w:lang w:val="en-US" w:eastAsia="zh-CN"/>
          <w14:textFill>
            <w14:solidFill>
              <w14:schemeClr w14:val="tx1"/>
            </w14:solidFill>
          </w14:textFill>
        </w:rPr>
        <w:t>化工股份有限公司山东胜工检测技术有限公司</w:t>
      </w:r>
    </w:p>
    <w:p>
      <w:pPr>
        <w:pStyle w:val="78"/>
        <w:framePr w:h="5597" w:hRule="exact" w:wrap="auto" w:vAnchor="page" w:hAnchor="text" w:y="7798"/>
        <w:tabs>
          <w:tab w:val="left" w:pos="851"/>
          <w:tab w:val="left" w:pos="1134"/>
        </w:tabs>
        <w:spacing w:before="0" w:after="0"/>
        <w:ind w:firstLine="560" w:firstLineChars="200"/>
        <w:jc w:val="left"/>
        <w:rPr>
          <w:rFonts w:hint="eastAsia" w:hAnsi="Courier New"/>
          <w:color w:val="000000" w:themeColor="text1"/>
          <w:kern w:val="15"/>
          <w:sz w:val="28"/>
          <w:lang w:val="en-US" w:eastAsia="zh-CN"/>
          <w14:textFill>
            <w14:solidFill>
              <w14:schemeClr w14:val="tx1"/>
            </w14:solidFill>
          </w14:textFill>
        </w:rPr>
      </w:pPr>
      <w:r>
        <w:rPr>
          <w:rFonts w:hint="eastAsia" w:ascii="黑体" w:hAnsi="黑体" w:eastAsia="黑体"/>
          <w:sz w:val="28"/>
        </w:rPr>
        <w:t>参加起草单位：</w:t>
      </w:r>
      <w:r>
        <w:rPr>
          <w:rFonts w:hint="eastAsia" w:hAnsi="Courier New"/>
          <w:color w:val="000000" w:themeColor="text1"/>
          <w:kern w:val="15"/>
          <w:sz w:val="28"/>
          <w:lang w:val="en-US" w:eastAsia="zh-CN"/>
          <w14:textFill>
            <w14:solidFill>
              <w14:schemeClr w14:val="tx1"/>
            </w14:solidFill>
          </w14:textFill>
        </w:rPr>
        <w:t>中石化胜利石油工程公司、中国石化股份有限公司西北油田分公司工程技术管理部、中石化胜利石油工程公司井下作业公司、中石化胜利石油工程公司渤海钻井总公司、中国石油化工股份有限公司胜利油田分公司安全环保质量管理部</w:t>
      </w:r>
    </w:p>
    <w:p>
      <w:pPr>
        <w:pStyle w:val="78"/>
        <w:framePr w:h="5597" w:hRule="exact" w:wrap="auto" w:vAnchor="page" w:hAnchor="text" w:y="7798"/>
        <w:tabs>
          <w:tab w:val="left" w:pos="851"/>
          <w:tab w:val="left" w:pos="1134"/>
        </w:tabs>
        <w:spacing w:before="0" w:after="0"/>
        <w:ind w:firstLine="560" w:firstLineChars="200"/>
        <w:jc w:val="left"/>
        <w:rPr>
          <w:rFonts w:hint="eastAsia" w:ascii="黑体" w:hAnsi="黑体" w:eastAsia="黑体"/>
          <w:sz w:val="28"/>
        </w:rPr>
      </w:pPr>
    </w:p>
    <w:p>
      <w:pPr>
        <w:pStyle w:val="78"/>
        <w:framePr w:h="5597" w:hRule="exact" w:wrap="auto" w:vAnchor="page" w:hAnchor="text" w:y="7798"/>
        <w:tabs>
          <w:tab w:val="left" w:pos="851"/>
          <w:tab w:val="left" w:pos="1134"/>
        </w:tabs>
        <w:spacing w:before="0" w:after="0"/>
        <w:ind w:firstLine="560" w:firstLineChars="200"/>
        <w:jc w:val="left"/>
        <w:rPr>
          <w:rFonts w:hint="eastAsia" w:ascii="黑体" w:hAnsi="黑体" w:eastAsia="黑体"/>
          <w:sz w:val="28"/>
        </w:rPr>
      </w:pPr>
    </w:p>
    <w:p>
      <w:pPr>
        <w:pStyle w:val="22"/>
      </w:pPr>
    </w:p>
    <w:p>
      <w:pPr>
        <w:pStyle w:val="22"/>
      </w:pPr>
    </w:p>
    <w:p>
      <w:pPr>
        <w:pStyle w:val="22"/>
      </w:pPr>
    </w:p>
    <w:p>
      <w:pPr>
        <w:pStyle w:val="22"/>
      </w:pPr>
    </w:p>
    <w:p>
      <w:pPr>
        <w:pStyle w:val="22"/>
        <w:ind w:firstLine="560"/>
      </w:pPr>
      <w:r>
        <w:rPr>
          <w:rFonts w:hint="eastAsia"/>
          <w:sz w:val="28"/>
          <w:szCs w:val="28"/>
        </w:rPr>
        <w:t>本规范委托</w:t>
      </w:r>
      <w:r>
        <w:rPr>
          <w:rFonts w:hint="eastAsia" w:hAnsi="Courier New"/>
          <w:color w:val="000000" w:themeColor="text1"/>
          <w:kern w:val="15"/>
          <w:sz w:val="28"/>
          <w:szCs w:val="28"/>
          <w14:textFill>
            <w14:solidFill>
              <w14:schemeClr w14:val="tx1"/>
            </w14:solidFill>
          </w14:textFill>
        </w:rPr>
        <w:t>全国石油专用计量测试技术委员会负责解释</w:t>
      </w:r>
    </w:p>
    <w:p>
      <w:pPr>
        <w:pStyle w:val="22"/>
      </w:pPr>
    </w:p>
    <w:p>
      <w:pPr>
        <w:pStyle w:val="109"/>
        <w:keepNext w:val="0"/>
        <w:pageBreakBefore w:val="0"/>
        <w:spacing w:before="0" w:after="0"/>
        <w:jc w:val="left"/>
        <w:rPr>
          <w:sz w:val="28"/>
          <w:szCs w:val="28"/>
        </w:rPr>
      </w:pPr>
    </w:p>
    <w:p>
      <w:pPr>
        <w:pStyle w:val="109"/>
        <w:keepNext w:val="0"/>
        <w:pageBreakBefore w:val="0"/>
        <w:spacing w:before="0" w:after="0"/>
        <w:jc w:val="left"/>
        <w:rPr>
          <w:sz w:val="28"/>
          <w:szCs w:val="28"/>
        </w:rPr>
      </w:pPr>
    </w:p>
    <w:p>
      <w:pPr>
        <w:pStyle w:val="109"/>
        <w:keepNext w:val="0"/>
        <w:keepLines w:val="0"/>
        <w:pageBreakBefore w:val="0"/>
        <w:widowControl/>
        <w:kinsoku/>
        <w:wordWrap/>
        <w:overflowPunct/>
        <w:topLinePunct w:val="0"/>
        <w:bidi w:val="0"/>
        <w:adjustRightInd/>
        <w:snapToGrid w:val="0"/>
        <w:spacing w:before="0" w:after="0" w:line="360" w:lineRule="auto"/>
        <w:ind w:firstLine="280" w:firstLineChars="100"/>
        <w:jc w:val="left"/>
        <w:textAlignment w:val="auto"/>
        <w:rPr>
          <w:sz w:val="28"/>
          <w:szCs w:val="28"/>
        </w:rPr>
      </w:pPr>
      <w:r>
        <w:rPr>
          <w:rFonts w:hint="eastAsia"/>
          <w:sz w:val="28"/>
          <w:szCs w:val="28"/>
        </w:rPr>
        <w:t>本规范主要起草人：</w:t>
      </w:r>
    </w:p>
    <w:p>
      <w:pPr>
        <w:pStyle w:val="22"/>
        <w:keepNext w:val="0"/>
        <w:keepLines w:val="0"/>
        <w:pageBreakBefore w:val="0"/>
        <w:widowControl/>
        <w:kinsoku/>
        <w:wordWrap/>
        <w:overflowPunct/>
        <w:topLinePunct w:val="0"/>
        <w:bidi w:val="0"/>
        <w:adjustRightInd/>
        <w:snapToGrid w:val="0"/>
        <w:spacing w:line="360" w:lineRule="auto"/>
        <w:ind w:left="0" w:leftChars="0" w:firstLine="1478" w:firstLineChars="528"/>
        <w:textAlignment w:val="auto"/>
        <w:rPr>
          <w:rFonts w:hint="eastAsia" w:hAnsi="Courier New"/>
          <w:color w:val="000000" w:themeColor="text1"/>
          <w:kern w:val="15"/>
          <w:sz w:val="28"/>
          <w:lang w:val="en-US" w:eastAsia="zh-CN"/>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何立成</w:t>
      </w:r>
      <w:r>
        <w:rPr>
          <w:rFonts w:hint="eastAsia" w:hAnsi="Courier New"/>
          <w:color w:val="000000" w:themeColor="text1"/>
          <w:kern w:val="15"/>
          <w:sz w:val="28"/>
          <w:lang w:val="en-US" w:eastAsia="zh-CN"/>
          <w14:textFill>
            <w14:solidFill>
              <w14:schemeClr w14:val="tx1"/>
            </w14:solidFill>
          </w14:textFill>
        </w:rPr>
        <w:t>（</w:t>
      </w:r>
      <w:r>
        <w:rPr>
          <w:rFonts w:hint="eastAsia" w:cs="Times New Roman" w:asciiTheme="majorEastAsia" w:hAnsiTheme="majorEastAsia" w:eastAsiaTheme="majorEastAsia"/>
          <w:color w:val="000000" w:themeColor="text1"/>
          <w:kern w:val="15"/>
          <w:sz w:val="28"/>
          <w:szCs w:val="28"/>
          <w:lang w:val="en-US" w:eastAsia="zh-CN" w:bidi="ar-SA"/>
          <w14:textFill>
            <w14:solidFill>
              <w14:schemeClr w14:val="tx1"/>
            </w14:solidFill>
          </w14:textFill>
        </w:rPr>
        <w:t>中石化胜利石油工程公司</w:t>
      </w:r>
      <w:r>
        <w:rPr>
          <w:rFonts w:hint="eastAsia" w:hAnsi="Courier New"/>
          <w:color w:val="000000" w:themeColor="text1"/>
          <w:kern w:val="15"/>
          <w:sz w:val="28"/>
          <w:lang w:val="en-US" w:eastAsia="zh-CN"/>
          <w14:textFill>
            <w14:solidFill>
              <w14:schemeClr w14:val="tx1"/>
            </w14:solidFill>
          </w14:textFill>
        </w:rPr>
        <w:t>）</w:t>
      </w:r>
    </w:p>
    <w:p>
      <w:pPr>
        <w:pStyle w:val="109"/>
        <w:keepNext w:val="0"/>
        <w:keepLines w:val="0"/>
        <w:pageBreakBefore w:val="0"/>
        <w:widowControl/>
        <w:kinsoku/>
        <w:wordWrap/>
        <w:overflowPunct/>
        <w:topLinePunct w:val="0"/>
        <w:bidi w:val="0"/>
        <w:adjustRightInd/>
        <w:snapToGrid w:val="0"/>
        <w:spacing w:before="0" w:after="0" w:line="360" w:lineRule="auto"/>
        <w:ind w:firstLine="1478" w:firstLineChars="528"/>
        <w:jc w:val="left"/>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刘湘华（中国石油化工股份有限公司西北油田分公司工程技术管理部）</w:t>
      </w:r>
    </w:p>
    <w:p>
      <w:pPr>
        <w:pStyle w:val="22"/>
        <w:keepNext w:val="0"/>
        <w:keepLines w:val="0"/>
        <w:pageBreakBefore w:val="0"/>
        <w:widowControl/>
        <w:kinsoku/>
        <w:wordWrap/>
        <w:overflowPunct/>
        <w:topLinePunct w:val="0"/>
        <w:bidi w:val="0"/>
        <w:adjustRightInd/>
        <w:snapToGrid w:val="0"/>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刘业文（中石化胜利石油工程公司渤海钻井总公司）</w:t>
      </w:r>
    </w:p>
    <w:p>
      <w:pPr>
        <w:pStyle w:val="109"/>
        <w:keepNext w:val="0"/>
        <w:keepLines w:val="0"/>
        <w:pageBreakBefore w:val="0"/>
        <w:widowControl/>
        <w:shd w:val="clear" w:color="FFFFFF" w:fill="FFFFFF"/>
        <w:kinsoku/>
        <w:wordWrap/>
        <w:overflowPunct/>
        <w:topLinePunct w:val="0"/>
        <w:bidi w:val="0"/>
        <w:adjustRightInd/>
        <w:snapToGrid w:val="0"/>
        <w:spacing w:before="0" w:after="0" w:line="360" w:lineRule="auto"/>
        <w:ind w:firstLine="1120" w:firstLineChars="400"/>
        <w:jc w:val="left"/>
        <w:textAlignment w:val="auto"/>
        <w:rPr>
          <w:rFonts w:hint="eastAsia"/>
          <w:sz w:val="28"/>
          <w:szCs w:val="28"/>
          <w:lang w:val="en-US" w:eastAsia="zh-CN"/>
        </w:rPr>
      </w:pPr>
      <w:r>
        <w:rPr>
          <w:rFonts w:hint="eastAsia"/>
          <w:sz w:val="28"/>
          <w:szCs w:val="28"/>
          <w:lang w:val="en-US" w:eastAsia="zh-CN"/>
        </w:rPr>
        <w:t>参加起草人：</w:t>
      </w:r>
    </w:p>
    <w:p>
      <w:pPr>
        <w:pStyle w:val="22"/>
        <w:keepNext w:val="0"/>
        <w:keepLines w:val="0"/>
        <w:pageBreakBefore w:val="0"/>
        <w:widowControl/>
        <w:kinsoku/>
        <w:wordWrap/>
        <w:overflowPunct/>
        <w:topLinePunct w:val="0"/>
        <w:bidi w:val="0"/>
        <w:adjustRightInd/>
        <w:snapToGrid w:val="0"/>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鲁金峰（山东胜工检测技术有限公司）</w:t>
      </w:r>
    </w:p>
    <w:p>
      <w:pPr>
        <w:pStyle w:val="22"/>
        <w:keepNext w:val="0"/>
        <w:keepLines w:val="0"/>
        <w:pageBreakBefore w:val="0"/>
        <w:widowControl/>
        <w:kinsoku/>
        <w:wordWrap/>
        <w:overflowPunct/>
        <w:topLinePunct w:val="0"/>
        <w:bidi w:val="0"/>
        <w:adjustRightInd/>
        <w:snapToGrid w:val="0"/>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宋东旭（山东胜工检测技术有限公司）</w:t>
      </w:r>
    </w:p>
    <w:p>
      <w:pPr>
        <w:pStyle w:val="22"/>
        <w:keepNext w:val="0"/>
        <w:keepLines w:val="0"/>
        <w:pageBreakBefore w:val="0"/>
        <w:widowControl/>
        <w:kinsoku/>
        <w:wordWrap/>
        <w:overflowPunct/>
        <w:topLinePunct w:val="0"/>
        <w:bidi w:val="0"/>
        <w:adjustRightInd/>
        <w:snapToGrid w:val="0"/>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王俊涛（山东胜工检测技术有限公司）</w:t>
      </w:r>
    </w:p>
    <w:p>
      <w:pPr>
        <w:pStyle w:val="22"/>
        <w:keepNext w:val="0"/>
        <w:keepLines w:val="0"/>
        <w:pageBreakBefore w:val="0"/>
        <w:widowControl/>
        <w:kinsoku/>
        <w:wordWrap/>
        <w:overflowPunct/>
        <w:topLinePunct w:val="0"/>
        <w:bidi w:val="0"/>
        <w:adjustRightInd/>
        <w:snapToGrid w:val="0"/>
        <w:spacing w:line="360" w:lineRule="auto"/>
        <w:ind w:left="0" w:leftChars="0" w:firstLine="1478" w:firstLineChars="528"/>
        <w:textAlignment w:val="auto"/>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pPr>
      <w:bookmarkStart w:id="75" w:name="_GoBack"/>
      <w:bookmarkEnd w:id="75"/>
      <w:r>
        <w:rPr>
          <w:rFonts w:hint="eastAsia" w:cs="Times New Roman" w:asciiTheme="majorEastAsia" w:hAnsiTheme="majorEastAsia" w:eastAsiaTheme="majorEastAsia"/>
          <w:color w:val="000000" w:themeColor="text1"/>
          <w:kern w:val="15"/>
          <w:sz w:val="28"/>
          <w:lang w:val="en-US" w:eastAsia="zh-CN" w:bidi="ar-SA"/>
          <w14:textFill>
            <w14:solidFill>
              <w14:schemeClr w14:val="tx1"/>
            </w14:solidFill>
          </w14:textFill>
        </w:rPr>
        <w:t>李  剑（中国石油化工股份有限公司胜利油田分公司安全环保质量管理部）</w:t>
      </w:r>
    </w:p>
    <w:p>
      <w:pPr>
        <w:pStyle w:val="109"/>
        <w:keepNext w:val="0"/>
        <w:pageBreakBefore w:val="0"/>
        <w:spacing w:before="0" w:after="0"/>
        <w:jc w:val="both"/>
        <w:rPr>
          <w:rFonts w:hint="eastAsia"/>
          <w:sz w:val="28"/>
          <w:szCs w:val="28"/>
        </w:rPr>
      </w:pPr>
    </w:p>
    <w:p>
      <w:pPr>
        <w:pStyle w:val="22"/>
        <w:ind w:firstLine="560"/>
        <w:rPr>
          <w:rFonts w:ascii="黑体" w:hAnsi="黑体" w:eastAsia="黑体"/>
          <w:sz w:val="28"/>
          <w:szCs w:val="28"/>
        </w:rPr>
      </w:pPr>
    </w:p>
    <w:p>
      <w:pPr>
        <w:pStyle w:val="109"/>
        <w:keepNext w:val="0"/>
        <w:spacing w:before="0" w:after="0"/>
        <w:rPr>
          <w:sz w:val="44"/>
          <w:szCs w:val="44"/>
        </w:rPr>
      </w:pPr>
      <w:r>
        <w:rPr>
          <w:rFonts w:hint="eastAsia"/>
          <w:sz w:val="44"/>
          <w:szCs w:val="44"/>
        </w:rPr>
        <w:t>目</w:t>
      </w:r>
      <w:r>
        <w:rPr>
          <w:sz w:val="44"/>
          <w:szCs w:val="44"/>
        </w:rPr>
        <w:t xml:space="preserve">  </w:t>
      </w:r>
      <w:r>
        <w:rPr>
          <w:rFonts w:hint="eastAsia"/>
          <w:sz w:val="44"/>
          <w:szCs w:val="44"/>
        </w:rPr>
        <w:t>录</w:t>
      </w:r>
    </w:p>
    <w:p>
      <w:pPr>
        <w:pStyle w:val="22"/>
        <w:spacing w:line="400" w:lineRule="exact"/>
        <w:ind w:firstLine="48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引言</w:t>
      </w:r>
      <w:r>
        <w:rPr>
          <w:rFonts w:hint="eastAsia" w:asciiTheme="minorEastAsia" w:hAnsiTheme="minorEastAsia" w:eastAsiaTheme="minorEastAsia"/>
          <w:sz w:val="24"/>
          <w:szCs w:val="24"/>
          <w:lang w:val="en-US" w:eastAsia="zh-CN"/>
        </w:rPr>
        <w:t xml:space="preserve"> </w:t>
      </w:r>
      <w:r>
        <w:rPr>
          <w:rFonts w:hint="eastAsia" w:cs="仿宋_GB2312" w:asciiTheme="minorEastAsia" w:hAnsiTheme="minorEastAsia" w:eastAsiaTheme="minorEastAsia"/>
          <w:color w:val="000000"/>
          <w:sz w:val="24"/>
          <w:szCs w:val="24"/>
        </w:rPr>
        <w:t>………………………………………………………………………………… （</w:t>
      </w:r>
      <w:r>
        <w:rPr>
          <w:rFonts w:hint="eastAsia" w:asciiTheme="minorEastAsia" w:hAnsiTheme="minorEastAsia" w:eastAsiaTheme="minorEastAsia"/>
          <w:color w:val="000000"/>
          <w:sz w:val="24"/>
          <w:szCs w:val="24"/>
        </w:rPr>
        <w:t>Ⅱ</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sz w:val="24"/>
          <w:szCs w:val="24"/>
        </w:rPr>
        <w:t xml:space="preserve">1 </w:t>
      </w:r>
      <w:r>
        <w:rPr>
          <w:rFonts w:hint="eastAsia" w:asciiTheme="minorEastAsia" w:hAnsiTheme="minorEastAsia" w:eastAsiaTheme="minorEastAsia"/>
          <w:sz w:val="24"/>
          <w:szCs w:val="24"/>
        </w:rPr>
        <w:t>范围</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lang w:eastAsia="zh-CN"/>
        </w:rPr>
        <w:t>…</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2 </w:t>
      </w:r>
      <w:r>
        <w:rPr>
          <w:rFonts w:hint="eastAsia" w:asciiTheme="minorEastAsia" w:hAnsiTheme="minorEastAsia" w:eastAsiaTheme="minorEastAsia"/>
          <w:color w:val="000000"/>
          <w:sz w:val="24"/>
          <w:szCs w:val="24"/>
        </w:rPr>
        <w:t>规范性引用文件</w:t>
      </w:r>
      <w:r>
        <w:rPr>
          <w:rFonts w:asciiTheme="minorEastAsia" w:hAnsiTheme="minorEastAsia" w:eastAsiaTheme="minorEastAsia"/>
          <w:color w:val="000000"/>
          <w:sz w:val="24"/>
          <w:szCs w:val="24"/>
        </w:rPr>
        <w:t xml:space="preserve">  </w:t>
      </w:r>
      <w:r>
        <w:rPr>
          <w:rFonts w:hint="eastAsia" w:asciiTheme="minorEastAsia" w:hAnsiTheme="minorEastAsia" w:eastAsiaTheme="minorEastAsia"/>
          <w:color w:val="000000"/>
          <w:sz w:val="24"/>
          <w:szCs w:val="24"/>
          <w:lang w:val="en-US" w:eastAsia="zh-CN"/>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 xml:space="preserve">3 </w:t>
      </w:r>
      <w:r>
        <w:rPr>
          <w:rFonts w:hint="eastAsia" w:asciiTheme="minorEastAsia" w:hAnsiTheme="minorEastAsia" w:eastAsiaTheme="minorEastAsia"/>
          <w:color w:val="000000"/>
          <w:sz w:val="24"/>
          <w:szCs w:val="24"/>
        </w:rPr>
        <w:t>术语</w:t>
      </w:r>
      <w:r>
        <w:rPr>
          <w:rFonts w:asciiTheme="minorEastAsia" w:hAnsiTheme="minorEastAsia" w:eastAsiaTheme="minorEastAsia"/>
          <w:color w:val="000000"/>
          <w:sz w:val="24"/>
          <w:szCs w:val="24"/>
        </w:rPr>
        <w:t xml:space="preserve"> </w:t>
      </w:r>
      <w:r>
        <w:rPr>
          <w:rFonts w:hint="eastAsia" w:asciiTheme="minorEastAsia" w:hAnsiTheme="minorEastAsia" w:eastAsiaTheme="minorEastAsia"/>
          <w:color w:val="000000"/>
          <w:sz w:val="24"/>
          <w:szCs w:val="24"/>
          <w:lang w:val="en-US" w:eastAsia="zh-CN"/>
        </w:rPr>
        <w:t xml:space="preserve"> </w:t>
      </w:r>
      <w:r>
        <w:rPr>
          <w:rFonts w:asciiTheme="minorEastAsia" w:hAnsiTheme="minorEastAsia" w:eastAsiaTheme="minorEastAsia"/>
          <w:color w:val="000000"/>
          <w:sz w:val="24"/>
          <w:szCs w:val="24"/>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"_Toc91170701"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  概述</w:t>
      </w:r>
      <w:r>
        <w:rPr>
          <w:rFonts w:asciiTheme="minorEastAsia" w:hAnsiTheme="minorEastAsia" w:eastAsiaTheme="minorEastAsia"/>
          <w:color w:val="000000"/>
          <w:sz w:val="24"/>
          <w:szCs w:val="24"/>
        </w:rPr>
        <w:t xml:space="preserve"> </w:t>
      </w:r>
      <w:r>
        <w:rPr>
          <w:rFonts w:hint="eastAsia" w:asciiTheme="minorEastAsia" w:hAnsiTheme="minorEastAsia" w:eastAsiaTheme="minorEastAsia"/>
          <w:color w:val="000000"/>
          <w:sz w:val="24"/>
          <w:szCs w:val="24"/>
          <w:lang w:val="en-US" w:eastAsia="zh-CN"/>
        </w:rPr>
        <w:t xml:space="preserve"> </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"_Toc91170702"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4.1  原理</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"_Toc91170703"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4.2  结构</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"_Toc91170704"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 xml:space="preserve">5  </w:t>
      </w:r>
      <w:r>
        <w:rPr>
          <w:rFonts w:hint="eastAsia" w:asciiTheme="minorEastAsia" w:hAnsiTheme="minorEastAsia" w:eastAsiaTheme="minorEastAsia"/>
          <w:sz w:val="24"/>
          <w:szCs w:val="24"/>
          <w:lang w:val="en-US" w:eastAsia="zh-CN"/>
        </w:rPr>
        <w:t>计量特性</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"_Toc91170705"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5.1  外观</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"_Toc91170706"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5.2  水准泡</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"_Toc91170707"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5.3  钻井液杯容量</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"_Toc91170708"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5.4  灵敏限</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"_Toc91170710"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6  校准条件</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3</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"_Toc91170711"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7  校准项目和校准方法</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3</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"_Toc91170712"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7.1  校准项目</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4</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"_Toc91170713"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7.2  校准方法</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4</w:t>
      </w:r>
      <w:r>
        <w:rPr>
          <w:rFonts w:hint="eastAsia" w:cs="仿宋_GB2312" w:asciiTheme="minorEastAsia" w:hAnsiTheme="minorEastAsia" w:eastAsiaTheme="minorEastAsia"/>
          <w:color w:val="000000"/>
          <w:sz w:val="24"/>
          <w:szCs w:val="24"/>
        </w:rPr>
        <w:t>）</w:t>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"_Toc91170714"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8  校准结果处理</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5</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"_Toc91170715"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9  复校时间间隔</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5</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"_Toc91170716"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附录A  纯水在标准大气压下的密度值</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6</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"_Toc91170717"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附录B  钻井液密度计示值误差测量不确定度评定</w:t>
      </w:r>
      <w:r>
        <w:rPr>
          <w:rFonts w:hint="eastAsia" w:asciiTheme="minorEastAsia" w:hAnsiTheme="minorEastAsia" w:eastAsiaTheme="minorEastAsia"/>
          <w:sz w:val="24"/>
          <w:szCs w:val="24"/>
          <w:lang w:val="en-US" w:eastAsia="zh-CN"/>
        </w:rPr>
        <w:t>与表示</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7</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"_Toc91170722"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附录C  钻井液密度计校准记录格式</w:t>
      </w:r>
      <w:r>
        <w:rPr>
          <w:rFonts w:asciiTheme="minorEastAsia" w:hAnsiTheme="minorEastAsia" w:eastAsiaTheme="minorEastAsia"/>
          <w:sz w:val="24"/>
          <w:szCs w:val="24"/>
        </w:rPr>
        <w:tab/>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9</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hint="eastAsia"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HYPERLINK \l "_Toc91170723"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附录D  钻井液密度计校准证书格式</w:t>
      </w:r>
      <w:r>
        <w:rPr>
          <w:rFonts w:hint="eastAsia" w:cs="仿宋_GB2312"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1</w:t>
      </w:r>
      <w:r>
        <w:rPr>
          <w:rFonts w:hint="eastAsia" w:asciiTheme="minorEastAsia" w:hAnsiTheme="minorEastAsia" w:eastAsiaTheme="minorEastAsia"/>
          <w:color w:val="000000"/>
          <w:sz w:val="24"/>
          <w:szCs w:val="24"/>
          <w:lang w:val="en-US" w:eastAsia="zh-CN"/>
        </w:rPr>
        <w:t>0</w:t>
      </w:r>
      <w:r>
        <w:rPr>
          <w:rFonts w:hint="eastAsia" w:cs="仿宋_GB2312" w:asciiTheme="minorEastAsia" w:hAnsiTheme="minorEastAsia" w:eastAsiaTheme="minorEastAsia"/>
          <w:color w:val="000000"/>
          <w:sz w:val="24"/>
          <w:szCs w:val="24"/>
        </w:rPr>
        <w:t>）</w:t>
      </w:r>
      <w:r>
        <w:rPr>
          <w:rFonts w:asciiTheme="minorEastAsia" w:hAnsiTheme="minorEastAsia" w:eastAsiaTheme="minorEastAsia"/>
          <w:sz w:val="24"/>
          <w:szCs w:val="24"/>
        </w:rPr>
        <w:fldChar w:fldCharType="end"/>
      </w:r>
    </w:p>
    <w:p>
      <w:pPr>
        <w:pStyle w:val="22"/>
        <w:spacing w:line="400" w:lineRule="exact"/>
        <w:ind w:firstLine="480"/>
        <w:jc w:val="left"/>
        <w:rPr>
          <w:rFonts w:hint="eastAsia" w:cs="仿宋_GB2312" w:asciiTheme="minorEastAsia" w:hAnsiTheme="minorEastAsia" w:eastAsiaTheme="minorEastAsia"/>
          <w:color w:val="000000"/>
          <w:sz w:val="24"/>
          <w:szCs w:val="24"/>
        </w:rPr>
      </w:pPr>
    </w:p>
    <w:p>
      <w:pPr>
        <w:pStyle w:val="109"/>
      </w:pPr>
      <w:bookmarkStart w:id="1" w:name="BKQY"/>
      <w:r>
        <w:rPr>
          <w:rFonts w:hint="eastAsia"/>
        </w:rPr>
        <w:t>引</w:t>
      </w:r>
      <w:r>
        <w:t>  </w:t>
      </w:r>
      <w:r>
        <w:rPr>
          <w:rFonts w:hint="eastAsia"/>
        </w:rPr>
        <w:t>言</w:t>
      </w:r>
      <w:bookmarkEnd w:id="1"/>
    </w:p>
    <w:p>
      <w:pPr>
        <w:keepNext w:val="0"/>
        <w:keepLines w:val="0"/>
        <w:pageBreakBefore w:val="0"/>
        <w:kinsoku/>
        <w:wordWrap/>
        <w:overflowPunct/>
        <w:topLinePunct w:val="0"/>
        <w:bidi w:val="0"/>
        <w:adjustRightInd/>
        <w:snapToGrid/>
        <w:spacing w:line="360" w:lineRule="auto"/>
        <w:ind w:firstLine="458" w:firstLineChars="191"/>
        <w:textAlignment w:val="auto"/>
        <w:rPr>
          <w:rFonts w:hint="eastAsia" w:ascii="宋体" w:hAnsi="Courier New" w:cs="宋体"/>
          <w:color w:val="000000" w:themeColor="text1"/>
          <w:kern w:val="15"/>
          <w:sz w:val="24"/>
          <w:szCs w:val="24"/>
          <w14:textFill>
            <w14:solidFill>
              <w14:schemeClr w14:val="tx1"/>
            </w14:solidFill>
          </w14:textFill>
        </w:rPr>
      </w:pPr>
      <w:r>
        <w:rPr>
          <w:rFonts w:hint="eastAsia" w:ascii="宋体" w:hAnsi="Courier New" w:cs="宋体"/>
          <w:color w:val="000000" w:themeColor="text1"/>
          <w:kern w:val="15"/>
          <w:sz w:val="24"/>
          <w:szCs w:val="24"/>
          <w14:textFill>
            <w14:solidFill>
              <w14:schemeClr w14:val="tx1"/>
            </w14:solidFill>
          </w14:textFill>
        </w:rPr>
        <w:t>本规范依据JJF 1071《国家计量校准规范编写规则》、JJF1001《通用计量术语及定义》、JJF 1059《测量不确定度评定与表示》编制。</w:t>
      </w:r>
    </w:p>
    <w:p>
      <w:pPr>
        <w:keepNext w:val="0"/>
        <w:keepLines w:val="0"/>
        <w:pageBreakBefore w:val="0"/>
        <w:kinsoku/>
        <w:wordWrap/>
        <w:overflowPunct/>
        <w:topLinePunct w:val="0"/>
        <w:bidi w:val="0"/>
        <w:adjustRightInd/>
        <w:snapToGrid/>
        <w:spacing w:line="360" w:lineRule="auto"/>
        <w:ind w:firstLine="458" w:firstLineChars="191"/>
        <w:textAlignment w:val="auto"/>
        <w:rPr>
          <w:rFonts w:hint="eastAsia" w:ascii="宋体" w:hAnsi="Courier New" w:cs="宋体"/>
          <w:color w:val="000000" w:themeColor="text1"/>
          <w:kern w:val="15"/>
          <w:sz w:val="24"/>
          <w:szCs w:val="24"/>
          <w:lang w:val="en-US" w:eastAsia="zh-CN"/>
          <w14:textFill>
            <w14:solidFill>
              <w14:schemeClr w14:val="tx1"/>
            </w14:solidFill>
          </w14:textFill>
        </w:rPr>
      </w:pPr>
      <w:r>
        <w:rPr>
          <w:rFonts w:hint="eastAsia" w:ascii="宋体" w:hAnsi="Courier New" w:cs="宋体"/>
          <w:color w:val="000000" w:themeColor="text1"/>
          <w:kern w:val="15"/>
          <w:sz w:val="24"/>
          <w:szCs w:val="24"/>
          <w14:textFill>
            <w14:solidFill>
              <w14:schemeClr w14:val="tx1"/>
            </w14:solidFill>
          </w14:textFill>
        </w:rPr>
        <w:t>本</w:t>
      </w:r>
      <w:r>
        <w:rPr>
          <w:rFonts w:hint="eastAsia" w:ascii="宋体" w:hAnsi="Courier New" w:cs="宋体"/>
          <w:color w:val="000000" w:themeColor="text1"/>
          <w:kern w:val="15"/>
          <w:sz w:val="24"/>
          <w:szCs w:val="24"/>
          <w:lang w:val="en-US" w:eastAsia="zh-CN"/>
          <w14:textFill>
            <w14:solidFill>
              <w14:schemeClr w14:val="tx1"/>
            </w14:solidFill>
          </w14:textFill>
        </w:rPr>
        <w:t>规范</w:t>
      </w:r>
      <w:r>
        <w:rPr>
          <w:rFonts w:hint="eastAsia" w:ascii="宋体" w:hAnsi="Courier New" w:cs="宋体"/>
          <w:color w:val="000000" w:themeColor="text1"/>
          <w:kern w:val="15"/>
          <w:sz w:val="24"/>
          <w:szCs w:val="24"/>
          <w14:textFill>
            <w14:solidFill>
              <w14:schemeClr w14:val="tx1"/>
            </w14:solidFill>
          </w14:textFill>
        </w:rPr>
        <w:t>规定</w:t>
      </w:r>
      <w:r>
        <w:rPr>
          <w:rFonts w:hint="eastAsia" w:ascii="宋体" w:hAnsi="Courier New" w:cs="宋体"/>
          <w:color w:val="000000" w:themeColor="text1"/>
          <w:kern w:val="15"/>
          <w:sz w:val="24"/>
          <w:szCs w:val="24"/>
          <w:lang w:val="en-US" w:eastAsia="zh-CN"/>
          <w14:textFill>
            <w14:solidFill>
              <w14:schemeClr w14:val="tx1"/>
            </w14:solidFill>
          </w14:textFill>
        </w:rPr>
        <w:t>了</w:t>
      </w:r>
      <w:r>
        <w:rPr>
          <w:rFonts w:hint="eastAsia" w:ascii="宋体" w:hAnsi="Courier New" w:cs="宋体"/>
          <w:color w:val="000000" w:themeColor="text1"/>
          <w:kern w:val="15"/>
          <w:sz w:val="24"/>
          <w:szCs w:val="24"/>
          <w14:textFill>
            <w14:solidFill>
              <w14:schemeClr w14:val="tx1"/>
            </w14:solidFill>
          </w14:textFill>
        </w:rPr>
        <w:t>钻井液密度计（以下简称“密度计”）的</w:t>
      </w:r>
      <w:r>
        <w:rPr>
          <w:rFonts w:hint="eastAsia" w:ascii="宋体" w:hAnsi="Courier New" w:cs="宋体"/>
          <w:color w:val="000000" w:themeColor="text1"/>
          <w:kern w:val="15"/>
          <w:sz w:val="24"/>
          <w:szCs w:val="24"/>
          <w:lang w:val="en-US" w:eastAsia="zh-CN"/>
          <w14:textFill>
            <w14:solidFill>
              <w14:schemeClr w14:val="tx1"/>
            </w14:solidFill>
          </w14:textFill>
        </w:rPr>
        <w:t>使用</w:t>
      </w:r>
      <w:r>
        <w:rPr>
          <w:rFonts w:hint="eastAsia" w:ascii="宋体" w:hAnsi="Courier New" w:cs="宋体"/>
          <w:color w:val="000000" w:themeColor="text1"/>
          <w:kern w:val="15"/>
          <w:sz w:val="24"/>
          <w:szCs w:val="24"/>
          <w14:textFill>
            <w14:solidFill>
              <w14:schemeClr w14:val="tx1"/>
            </w14:solidFill>
          </w14:textFill>
        </w:rPr>
        <w:t>范围、</w:t>
      </w:r>
      <w:r>
        <w:rPr>
          <w:rFonts w:hint="eastAsia" w:ascii="宋体" w:hAnsi="Courier New" w:cs="宋体"/>
          <w:color w:val="000000" w:themeColor="text1"/>
          <w:kern w:val="15"/>
          <w:sz w:val="24"/>
          <w:szCs w:val="24"/>
          <w:lang w:val="en-US" w:eastAsia="zh-CN"/>
          <w14:textFill>
            <w14:solidFill>
              <w14:schemeClr w14:val="tx1"/>
            </w14:solidFill>
          </w14:textFill>
        </w:rPr>
        <w:t>钻井液密度计是在钻井工程中测量钻井液、固井密度，包括泥浆、水泥浆，专用的泥浆测试仪器。</w:t>
      </w:r>
    </w:p>
    <w:p>
      <w:pPr>
        <w:keepNext w:val="0"/>
        <w:keepLines w:val="0"/>
        <w:pageBreakBefore w:val="0"/>
        <w:kinsoku/>
        <w:wordWrap/>
        <w:overflowPunct/>
        <w:topLinePunct w:val="0"/>
        <w:bidi w:val="0"/>
        <w:adjustRightInd/>
        <w:snapToGrid/>
        <w:spacing w:line="360" w:lineRule="auto"/>
        <w:ind w:firstLine="458" w:firstLineChars="191"/>
        <w:textAlignment w:val="auto"/>
        <w:rPr>
          <w:rFonts w:hint="eastAsia" w:ascii="宋体" w:hAnsi="Courier New" w:cs="宋体"/>
          <w:color w:val="000000" w:themeColor="text1"/>
          <w:kern w:val="15"/>
          <w:sz w:val="24"/>
          <w:szCs w:val="24"/>
          <w:lang w:eastAsia="zh-CN"/>
          <w14:textFill>
            <w14:solidFill>
              <w14:schemeClr w14:val="tx1"/>
            </w14:solidFill>
          </w14:textFill>
        </w:rPr>
        <w:sectPr>
          <w:headerReference r:id="rId3" w:type="default"/>
          <w:headerReference r:id="rId4" w:type="even"/>
          <w:footerReference r:id="rId5" w:type="even"/>
          <w:pgSz w:w="11906" w:h="16838"/>
          <w:pgMar w:top="2410" w:right="1134" w:bottom="1134" w:left="1134" w:header="1418" w:footer="1134" w:gutter="284"/>
          <w:pgNumType w:fmt="decimal" w:start="1"/>
          <w:cols w:space="425" w:num="1"/>
          <w:formProt w:val="0"/>
          <w:docGrid w:linePitch="312" w:charSpace="0"/>
        </w:sectPr>
      </w:pPr>
      <w:bookmarkStart w:id="2" w:name="StandardName"/>
    </w:p>
    <w:p>
      <w:pPr>
        <w:pStyle w:val="47"/>
        <w:rPr>
          <w:sz w:val="32"/>
          <w:szCs w:val="32"/>
        </w:rPr>
      </w:pPr>
      <w:r>
        <w:rPr>
          <w:rFonts w:hint="eastAsia"/>
          <w:sz w:val="32"/>
          <w:szCs w:val="32"/>
          <w:lang w:eastAsia="zh-CN"/>
        </w:rPr>
        <w:t>钻井液密度计</w:t>
      </w:r>
      <w:r>
        <w:rPr>
          <w:rFonts w:hint="eastAsia"/>
          <w:sz w:val="32"/>
          <w:szCs w:val="32"/>
        </w:rPr>
        <w:t>校准</w:t>
      </w:r>
      <w:bookmarkEnd w:id="2"/>
      <w:r>
        <w:rPr>
          <w:rFonts w:hint="eastAsia"/>
          <w:sz w:val="32"/>
          <w:szCs w:val="32"/>
        </w:rPr>
        <w:t>规范</w:t>
      </w:r>
    </w:p>
    <w:p>
      <w:pPr>
        <w:pStyle w:val="140"/>
        <w:spacing w:before="240" w:after="240"/>
        <w:rPr>
          <w:rFonts w:hint="eastAsia" w:ascii="黑体" w:hAnsi="黑体" w:eastAsia="黑体" w:cs="黑体"/>
          <w:sz w:val="24"/>
          <w:szCs w:val="24"/>
        </w:rPr>
      </w:pPr>
      <w:bookmarkStart w:id="3" w:name="_Toc26986530"/>
      <w:bookmarkStart w:id="4" w:name="_Toc91170698"/>
      <w:bookmarkStart w:id="5" w:name="_Toc17233333"/>
      <w:bookmarkStart w:id="6" w:name="_Toc24884211"/>
      <w:bookmarkStart w:id="7" w:name="_Toc17233325"/>
      <w:bookmarkStart w:id="8" w:name="_Toc26718930"/>
      <w:bookmarkStart w:id="9" w:name="_Toc91169878"/>
      <w:bookmarkStart w:id="10" w:name="_Toc24884218"/>
      <w:bookmarkStart w:id="11" w:name="_Toc26986771"/>
      <w:bookmarkStart w:id="12" w:name="_Toc26648465"/>
      <w:r>
        <w:rPr>
          <w:rFonts w:hint="eastAsia" w:ascii="黑体" w:hAnsi="黑体" w:eastAsia="黑体" w:cs="黑体"/>
          <w:sz w:val="24"/>
          <w:szCs w:val="24"/>
        </w:rPr>
        <w:t>范围</w:t>
      </w:r>
      <w:bookmarkEnd w:id="3"/>
      <w:bookmarkEnd w:id="4"/>
      <w:bookmarkEnd w:id="5"/>
      <w:bookmarkEnd w:id="6"/>
      <w:bookmarkEnd w:id="7"/>
      <w:bookmarkEnd w:id="8"/>
      <w:bookmarkEnd w:id="9"/>
      <w:bookmarkEnd w:id="10"/>
      <w:bookmarkEnd w:id="11"/>
      <w:bookmarkEnd w:id="12"/>
    </w:p>
    <w:p>
      <w:pPr>
        <w:pStyle w:val="141"/>
        <w:ind w:firstLine="420"/>
        <w:rPr>
          <w:rFonts w:hint="eastAsia" w:ascii="宋体" w:hAnsi="宋体" w:eastAsia="宋体" w:cs="宋体"/>
          <w:sz w:val="24"/>
          <w:szCs w:val="24"/>
          <w:lang w:val="en-US" w:eastAsia="zh-CN"/>
        </w:rPr>
      </w:pPr>
      <w:bookmarkStart w:id="13" w:name="_Toc26648466"/>
      <w:bookmarkStart w:id="14" w:name="_Toc24884219"/>
      <w:bookmarkStart w:id="15" w:name="_Toc17233334"/>
      <w:bookmarkStart w:id="16" w:name="_Toc17233326"/>
      <w:bookmarkStart w:id="17" w:name="_Toc24884212"/>
      <w:r>
        <w:rPr>
          <w:rFonts w:hint="eastAsia" w:ascii="宋体" w:hAnsi="宋体" w:eastAsia="宋体" w:cs="宋体"/>
          <w:color w:val="000000" w:themeColor="text1"/>
          <w:kern w:val="15"/>
          <w:sz w:val="24"/>
          <w:szCs w:val="24"/>
          <w14:textFill>
            <w14:solidFill>
              <w14:schemeClr w14:val="tx1"/>
            </w14:solidFill>
          </w14:textFill>
        </w:rPr>
        <w:t>本规范</w:t>
      </w:r>
      <w:r>
        <w:rPr>
          <w:rFonts w:hint="eastAsia" w:ascii="宋体" w:hAnsi="宋体" w:eastAsia="宋体" w:cs="宋体"/>
          <w:color w:val="000000" w:themeColor="text1"/>
          <w:kern w:val="15"/>
          <w:sz w:val="24"/>
          <w:szCs w:val="24"/>
          <w:lang w:val="en-US" w:eastAsia="zh-CN"/>
          <w14:textFill>
            <w14:solidFill>
              <w14:schemeClr w14:val="tx1"/>
            </w14:solidFill>
          </w14:textFill>
        </w:rPr>
        <w:t>规定了</w:t>
      </w:r>
      <w:r>
        <w:rPr>
          <w:rFonts w:hint="eastAsia" w:ascii="宋体" w:hAnsi="宋体" w:eastAsia="宋体" w:cs="宋体"/>
          <w:sz w:val="24"/>
          <w:szCs w:val="24"/>
        </w:rPr>
        <w:t>钻井液密度计（以下简称“密度计”）的范围、规范性引用文件、术语、</w:t>
      </w:r>
      <w:r>
        <w:rPr>
          <w:rFonts w:hint="eastAsia" w:ascii="宋体" w:hAnsi="宋体" w:eastAsia="宋体" w:cs="宋体"/>
          <w:sz w:val="24"/>
          <w:szCs w:val="24"/>
          <w:lang w:val="en-US" w:eastAsia="zh-CN"/>
        </w:rPr>
        <w:t>计量特性</w:t>
      </w:r>
      <w:r>
        <w:rPr>
          <w:rFonts w:hint="eastAsia" w:ascii="宋体" w:hAnsi="宋体" w:eastAsia="宋体" w:cs="宋体"/>
          <w:sz w:val="24"/>
          <w:szCs w:val="24"/>
        </w:rPr>
        <w:t>、校准条件，描述了校准方法，给出了校准结果处理和校准间隔。</w:t>
      </w:r>
    </w:p>
    <w:p>
      <w:pPr>
        <w:pStyle w:val="141"/>
        <w:ind w:firstLine="420"/>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eastAsia="宋体" w:cs="宋体"/>
          <w:sz w:val="24"/>
          <w:szCs w:val="24"/>
          <w:lang w:val="en-US" w:eastAsia="zh-CN"/>
        </w:rPr>
        <w:t>规范</w:t>
      </w:r>
      <w:r>
        <w:rPr>
          <w:rFonts w:hint="eastAsia" w:ascii="宋体" w:hAnsi="宋体" w:eastAsia="宋体" w:cs="宋体"/>
          <w:sz w:val="24"/>
          <w:szCs w:val="24"/>
        </w:rPr>
        <w:t>适用于密度计新制造、使用中和修理后的校准。</w:t>
      </w:r>
    </w:p>
    <w:p>
      <w:pPr>
        <w:pStyle w:val="140"/>
        <w:spacing w:before="240" w:after="240"/>
        <w:rPr>
          <w:rFonts w:hint="eastAsia" w:ascii="黑体" w:hAnsi="黑体" w:eastAsia="黑体" w:cs="黑体"/>
          <w:sz w:val="24"/>
          <w:szCs w:val="24"/>
        </w:rPr>
      </w:pPr>
      <w:bookmarkStart w:id="18" w:name="_Toc91170699"/>
      <w:bookmarkStart w:id="19" w:name="_Toc26986772"/>
      <w:bookmarkStart w:id="20" w:name="_Toc91169879"/>
      <w:bookmarkStart w:id="21" w:name="_Toc26718931"/>
      <w:bookmarkStart w:id="22" w:name="_Toc26986531"/>
      <w:r>
        <w:rPr>
          <w:rFonts w:hint="eastAsia" w:ascii="黑体" w:hAnsi="黑体" w:eastAsia="黑体" w:cs="黑体"/>
          <w:sz w:val="24"/>
          <w:szCs w:val="24"/>
        </w:rPr>
        <w:t>规范性引用文件</w:t>
      </w:r>
      <w:bookmarkEnd w:id="13"/>
      <w:bookmarkEnd w:id="14"/>
      <w:bookmarkEnd w:id="15"/>
      <w:bookmarkEnd w:id="16"/>
      <w:bookmarkEnd w:id="17"/>
      <w:bookmarkEnd w:id="18"/>
      <w:bookmarkEnd w:id="19"/>
      <w:bookmarkEnd w:id="20"/>
      <w:bookmarkEnd w:id="21"/>
      <w:bookmarkEnd w:id="22"/>
    </w:p>
    <w:p>
      <w:pPr>
        <w:pStyle w:val="141"/>
        <w:keepNext w:val="0"/>
        <w:keepLines w:val="0"/>
        <w:pageBreakBefore w:val="0"/>
        <w:widowControl/>
        <w:kinsoku/>
        <w:wordWrap/>
        <w:overflowPunct/>
        <w:topLinePunct w:val="0"/>
        <w:autoSpaceDE w:val="0"/>
        <w:autoSpaceDN w:val="0"/>
        <w:bidi w:val="0"/>
        <w:adjustRightInd/>
        <w:snapToGrid/>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下列</w:t>
      </w:r>
      <w:r>
        <w:rPr>
          <w:rFonts w:hint="eastAsia" w:asciiTheme="minorEastAsia" w:hAnsiTheme="minorEastAsia" w:eastAsiaTheme="minorEastAsia" w:cstheme="minorEastAsia"/>
          <w:sz w:val="24"/>
          <w:szCs w:val="24"/>
          <w:lang w:val="en-US" w:eastAsia="zh-CN"/>
        </w:rPr>
        <w:t>规范</w:t>
      </w:r>
      <w:r>
        <w:rPr>
          <w:rFonts w:hint="eastAsia" w:asciiTheme="minorEastAsia" w:hAnsiTheme="minorEastAsia" w:eastAsiaTheme="minorEastAsia" w:cstheme="minorEastAsia"/>
          <w:sz w:val="24"/>
          <w:szCs w:val="24"/>
        </w:rPr>
        <w:t>中的内容通过文中的规范性引用而构成本</w:t>
      </w:r>
      <w:r>
        <w:rPr>
          <w:rFonts w:hint="eastAsia" w:asciiTheme="minorEastAsia" w:hAnsiTheme="minorEastAsia" w:eastAsiaTheme="minorEastAsia" w:cstheme="minorEastAsia"/>
          <w:sz w:val="24"/>
          <w:szCs w:val="24"/>
          <w:lang w:val="en-US" w:eastAsia="zh-CN"/>
        </w:rPr>
        <w:t>规范</w:t>
      </w:r>
      <w:r>
        <w:rPr>
          <w:rFonts w:hint="eastAsia" w:asciiTheme="minorEastAsia" w:hAnsiTheme="minorEastAsia" w:eastAsiaTheme="minorEastAsia" w:cstheme="minorEastAsia"/>
          <w:sz w:val="24"/>
          <w:szCs w:val="24"/>
        </w:rPr>
        <w:t>必不可少的条款。其中，注日期的引用文件，仅该日期对应的版本适用于本</w:t>
      </w:r>
      <w:r>
        <w:rPr>
          <w:rFonts w:hint="eastAsia" w:asciiTheme="minorEastAsia" w:hAnsiTheme="minorEastAsia" w:eastAsiaTheme="minorEastAsia" w:cstheme="minorEastAsia"/>
          <w:sz w:val="24"/>
          <w:szCs w:val="24"/>
          <w:lang w:val="en-US" w:eastAsia="zh-CN"/>
        </w:rPr>
        <w:t>规范</w:t>
      </w:r>
      <w:r>
        <w:rPr>
          <w:rFonts w:hint="eastAsia" w:asciiTheme="minorEastAsia" w:hAnsiTheme="minorEastAsia" w:eastAsiaTheme="minorEastAsia" w:cstheme="minorEastAsia"/>
          <w:sz w:val="24"/>
          <w:szCs w:val="24"/>
        </w:rPr>
        <w:t>；不注日期的引用文件，其最新版本（包括所有的修改单）适用于本</w:t>
      </w:r>
      <w:r>
        <w:rPr>
          <w:rFonts w:hint="eastAsia" w:asciiTheme="minorEastAsia" w:hAnsiTheme="minorEastAsia" w:eastAsiaTheme="minorEastAsia" w:cstheme="minorEastAsia"/>
          <w:sz w:val="24"/>
          <w:szCs w:val="24"/>
          <w:lang w:val="en-US" w:eastAsia="zh-CN"/>
        </w:rPr>
        <w:t>规范</w:t>
      </w:r>
      <w:r>
        <w:rPr>
          <w:rFonts w:hint="eastAsia" w:asciiTheme="minorEastAsia" w:hAnsiTheme="minorEastAsia" w:eastAsiaTheme="minorEastAsia" w:cstheme="minorEastAsia"/>
          <w:sz w:val="24"/>
          <w:szCs w:val="24"/>
        </w:rPr>
        <w:t>。</w:t>
      </w:r>
    </w:p>
    <w:p>
      <w:pPr>
        <w:pStyle w:val="141"/>
        <w:keepNext w:val="0"/>
        <w:keepLines w:val="0"/>
        <w:pageBreakBefore w:val="0"/>
        <w:widowControl/>
        <w:kinsoku/>
        <w:wordWrap/>
        <w:overflowPunct/>
        <w:topLinePunct w:val="0"/>
        <w:autoSpaceDE w:val="0"/>
        <w:autoSpaceDN w:val="0"/>
        <w:bidi w:val="0"/>
        <w:adjustRightInd/>
        <w:snapToGrid/>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GB/T 1146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水准泡</w:t>
      </w:r>
    </w:p>
    <w:p>
      <w:pPr>
        <w:pStyle w:val="141"/>
        <w:keepNext w:val="0"/>
        <w:keepLines w:val="0"/>
        <w:pageBreakBefore w:val="0"/>
        <w:widowControl/>
        <w:kinsoku/>
        <w:wordWrap/>
        <w:overflowPunct/>
        <w:topLinePunct w:val="0"/>
        <w:autoSpaceDE w:val="0"/>
        <w:autoSpaceDN w:val="0"/>
        <w:bidi w:val="0"/>
        <w:adjustRightInd/>
        <w:snapToGrid/>
        <w:ind w:firstLine="42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SY/T 667</w:t>
      </w:r>
      <w:r>
        <w:rPr>
          <w:rFonts w:hint="eastAsia" w:asciiTheme="minorEastAsia" w:hAnsiTheme="minorEastAsia" w:eastAsiaTheme="minorEastAsia" w:cstheme="minorEastAsia"/>
          <w:sz w:val="24"/>
          <w:szCs w:val="24"/>
          <w:lang w:val="en-US" w:eastAsia="zh-CN"/>
        </w:rPr>
        <w:t xml:space="preserve">6     </w:t>
      </w:r>
      <w:r>
        <w:rPr>
          <w:rFonts w:hint="eastAsia" w:asciiTheme="minorEastAsia" w:hAnsiTheme="minorEastAsia" w:eastAsiaTheme="minorEastAsia" w:cstheme="minorEastAsia"/>
          <w:sz w:val="24"/>
          <w:szCs w:val="24"/>
        </w:rPr>
        <w:t>钻井液</w:t>
      </w:r>
      <w:r>
        <w:rPr>
          <w:rFonts w:hint="eastAsia" w:asciiTheme="minorEastAsia" w:hAnsiTheme="minorEastAsia" w:eastAsiaTheme="minorEastAsia" w:cstheme="minorEastAsia"/>
          <w:sz w:val="24"/>
          <w:szCs w:val="24"/>
          <w:lang w:val="en-US" w:eastAsia="zh-CN"/>
        </w:rPr>
        <w:t>密度计</w:t>
      </w:r>
      <w:r>
        <w:rPr>
          <w:rFonts w:hint="eastAsia" w:asciiTheme="minorEastAsia" w:hAnsiTheme="minorEastAsia" w:eastAsiaTheme="minorEastAsia" w:cstheme="minorEastAsia"/>
          <w:sz w:val="24"/>
          <w:szCs w:val="24"/>
        </w:rPr>
        <w:t>校准方法</w:t>
      </w:r>
    </w:p>
    <w:p>
      <w:pPr>
        <w:pStyle w:val="140"/>
        <w:spacing w:before="240" w:after="240"/>
        <w:rPr>
          <w:rFonts w:hint="eastAsia" w:ascii="黑体" w:hAnsi="黑体" w:eastAsia="黑体" w:cs="黑体"/>
          <w:sz w:val="24"/>
          <w:szCs w:val="24"/>
        </w:rPr>
      </w:pPr>
      <w:bookmarkStart w:id="23" w:name="_Toc91170700"/>
      <w:bookmarkStart w:id="24" w:name="_Toc91169880"/>
      <w:r>
        <w:rPr>
          <w:rFonts w:hint="eastAsia" w:ascii="黑体" w:hAnsi="黑体" w:eastAsia="黑体" w:cs="黑体"/>
          <w:sz w:val="24"/>
          <w:szCs w:val="24"/>
        </w:rPr>
        <w:t>术语</w:t>
      </w:r>
      <w:bookmarkEnd w:id="23"/>
      <w:bookmarkEnd w:id="24"/>
    </w:p>
    <w:p>
      <w:pPr>
        <w:pStyle w:val="141"/>
        <w:keepNext w:val="0"/>
        <w:keepLines w:val="0"/>
        <w:pageBreakBefore w:val="0"/>
        <w:widowControl/>
        <w:kinsoku/>
        <w:wordWrap/>
        <w:overflowPunct/>
        <w:topLinePunct w:val="0"/>
        <w:autoSpaceDE w:val="0"/>
        <w:autoSpaceDN w:val="0"/>
        <w:bidi w:val="0"/>
        <w:adjustRightInd/>
        <w:snapToGrid/>
        <w:ind w:firstLine="420"/>
        <w:textAlignment w:val="auto"/>
        <w:rPr>
          <w:rFonts w:hint="eastAsia" w:asciiTheme="minorEastAsia" w:hAnsiTheme="minorEastAsia" w:eastAsiaTheme="minorEastAsia" w:cstheme="minorEastAsia"/>
          <w:sz w:val="24"/>
          <w:szCs w:val="24"/>
        </w:rPr>
      </w:pPr>
      <w:bookmarkStart w:id="25" w:name="_Toc26986532"/>
      <w:bookmarkEnd w:id="25"/>
      <w:r>
        <w:rPr>
          <w:rFonts w:hint="eastAsia" w:asciiTheme="minorEastAsia" w:hAnsiTheme="minorEastAsia" w:eastAsiaTheme="minorEastAsia" w:cstheme="minorEastAsia"/>
          <w:sz w:val="24"/>
          <w:szCs w:val="24"/>
        </w:rPr>
        <w:t>下列术语适用于本</w:t>
      </w:r>
      <w:r>
        <w:rPr>
          <w:rFonts w:hint="eastAsia" w:asciiTheme="minorEastAsia" w:hAnsiTheme="minorEastAsia" w:eastAsiaTheme="minorEastAsia" w:cstheme="minorEastAsia"/>
          <w:sz w:val="24"/>
          <w:szCs w:val="24"/>
          <w:lang w:val="en-US" w:eastAsia="zh-CN"/>
        </w:rPr>
        <w:t>规范</w:t>
      </w:r>
      <w:r>
        <w:rPr>
          <w:rFonts w:hint="eastAsia" w:asciiTheme="minorEastAsia" w:hAnsiTheme="minorEastAsia" w:eastAsiaTheme="minorEastAsia" w:cstheme="minorEastAsia"/>
          <w:sz w:val="24"/>
          <w:szCs w:val="24"/>
        </w:rPr>
        <w:t>。</w:t>
      </w:r>
    </w:p>
    <w:p>
      <w:pPr>
        <w:pStyle w:val="141"/>
        <w:keepNext w:val="0"/>
        <w:keepLines w:val="0"/>
        <w:pageBreakBefore w:val="0"/>
        <w:widowControl/>
        <w:kinsoku/>
        <w:wordWrap/>
        <w:overflowPunct/>
        <w:topLinePunct w:val="0"/>
        <w:autoSpaceDE w:val="0"/>
        <w:autoSpaceDN w:val="0"/>
        <w:bidi w:val="0"/>
        <w:adjustRightInd/>
        <w:snapToGrid/>
        <w:ind w:firstLine="420"/>
        <w:textAlignment w:val="auto"/>
        <w:rPr>
          <w:rFonts w:hint="eastAsia" w:asciiTheme="minorEastAsia" w:hAnsiTheme="minorEastAsia" w:eastAsiaTheme="minorEastAsia" w:cstheme="minorEastAsia"/>
          <w:sz w:val="21"/>
          <w:szCs w:val="21"/>
        </w:rPr>
      </w:pPr>
    </w:p>
    <w:p>
      <w:pPr>
        <w:pStyle w:val="142"/>
        <w:ind w:left="420" w:hanging="480" w:hangingChars="200"/>
        <w:rPr>
          <w:rFonts w:hint="eastAsia" w:ascii="黑体" w:hAnsi="黑体" w:eastAsia="黑体" w:cs="黑体"/>
          <w:sz w:val="24"/>
          <w:szCs w:val="24"/>
          <w:lang w:val="en-US" w:eastAsia="zh-CN" w:bidi="ar-SA"/>
        </w:rPr>
      </w:pPr>
      <w:r>
        <w:rPr>
          <w:rFonts w:hint="eastAsia" w:ascii="黑体" w:hAnsi="黑体" w:eastAsia="黑体" w:cs="黑体"/>
          <w:sz w:val="24"/>
          <w:szCs w:val="24"/>
          <w:lang w:val="en-US" w:eastAsia="zh-CN" w:bidi="ar-SA"/>
        </w:rPr>
        <w:t>灵敏限sensitive limit</w:t>
      </w:r>
    </w:p>
    <w:p>
      <w:pPr>
        <w:pStyle w:val="141"/>
        <w:rPr>
          <w:rFonts w:hint="eastAsia"/>
          <w:lang w:val="en-US" w:eastAsia="zh-CN"/>
        </w:rPr>
      </w:pPr>
    </w:p>
    <w:p>
      <w:pPr>
        <w:pStyle w:val="141"/>
        <w:bidi w:val="0"/>
        <w:rPr>
          <w:rFonts w:hint="eastAsia" w:asciiTheme="minorEastAsia" w:hAnsiTheme="minorEastAsia" w:eastAsiaTheme="minorEastAsia" w:cstheme="minorEastAsia"/>
          <w:sz w:val="21"/>
          <w:szCs w:val="21"/>
          <w:lang w:val="en-US" w:eastAsia="zh-CN" w:bidi="ar-SA"/>
        </w:rPr>
      </w:pPr>
      <w:r>
        <w:rPr>
          <w:rFonts w:hint="eastAsia" w:asciiTheme="minorEastAsia" w:hAnsiTheme="minorEastAsia" w:eastAsiaTheme="minorEastAsia" w:cstheme="minorEastAsia"/>
          <w:sz w:val="24"/>
          <w:szCs w:val="24"/>
          <w:lang w:val="en-US" w:eastAsia="zh-CN" w:bidi="ar-SA"/>
        </w:rPr>
        <w:t>灵敏限是将密度计清洗晾干，在杯中放入M1级砝码，移动游码至上限值附近，使杠杆平衡（气泡位于中线），放入用于打破平衡的最小质量砝码</w:t>
      </w:r>
      <w:r>
        <w:rPr>
          <w:rFonts w:hint="eastAsia" w:asciiTheme="minorEastAsia" w:hAnsiTheme="minorEastAsia" w:eastAsiaTheme="minorEastAsia" w:cstheme="minorEastAsia"/>
          <w:sz w:val="21"/>
          <w:szCs w:val="21"/>
          <w:lang w:val="en-US" w:eastAsia="zh-CN" w:bidi="ar-SA"/>
        </w:rPr>
        <w:t>。</w:t>
      </w:r>
    </w:p>
    <w:p>
      <w:pPr>
        <w:pStyle w:val="141"/>
        <w:bidi w:val="0"/>
        <w:rPr>
          <w:rFonts w:hint="eastAsia" w:asciiTheme="minorEastAsia" w:hAnsiTheme="minorEastAsia" w:eastAsiaTheme="minorEastAsia" w:cstheme="minorEastAsia"/>
          <w:sz w:val="21"/>
          <w:szCs w:val="21"/>
          <w:lang w:val="en-US" w:eastAsia="zh-CN" w:bidi="ar-SA"/>
        </w:rPr>
      </w:pPr>
    </w:p>
    <w:p>
      <w:pPr>
        <w:pStyle w:val="142"/>
        <w:ind w:left="420" w:hanging="480" w:hangingChars="200"/>
        <w:rPr>
          <w:rFonts w:hint="eastAsia" w:ascii="黑体" w:hAnsi="黑体" w:eastAsia="黑体" w:cs="黑体"/>
          <w:sz w:val="24"/>
          <w:szCs w:val="24"/>
          <w:lang w:val="en-US" w:eastAsia="zh-CN" w:bidi="ar-SA"/>
        </w:rPr>
      </w:pPr>
      <w:r>
        <w:rPr>
          <w:rFonts w:hint="eastAsia" w:ascii="黑体" w:hAnsi="黑体" w:eastAsia="黑体" w:cs="黑体"/>
          <w:sz w:val="24"/>
          <w:szCs w:val="24"/>
          <w:lang w:val="en-US" w:eastAsia="zh-CN" w:bidi="ar-SA"/>
        </w:rPr>
        <w:t>参照点reference point</w:t>
      </w:r>
    </w:p>
    <w:p>
      <w:pPr>
        <w:pStyle w:val="141"/>
        <w:rPr>
          <w:rFonts w:hint="eastAsia"/>
          <w:lang w:val="en-US" w:eastAsia="zh-CN"/>
        </w:rPr>
      </w:pPr>
    </w:p>
    <w:p>
      <w:pPr>
        <w:pStyle w:val="141"/>
        <w:bidi w:val="0"/>
        <w:ind w:left="0" w:leftChars="0" w:firstLine="0" w:firstLineChars="0"/>
        <w:rPr>
          <w:rFonts w:hint="default" w:asciiTheme="minorEastAsia" w:hAnsiTheme="minorEastAsia" w:eastAsiaTheme="minorEastAsia" w:cstheme="minorEastAsia"/>
          <w:sz w:val="21"/>
          <w:szCs w:val="21"/>
          <w:lang w:val="en-US" w:eastAsia="zh-CN" w:bidi="ar-SA"/>
        </w:rPr>
      </w:pPr>
      <w:r>
        <w:rPr>
          <w:rFonts w:hint="eastAsia" w:asciiTheme="minorEastAsia" w:hAnsiTheme="minorEastAsia" w:eastAsiaTheme="minorEastAsia" w:cstheme="minorEastAsia"/>
          <w:sz w:val="21"/>
          <w:szCs w:val="21"/>
          <w:lang w:val="en-US" w:eastAsia="zh-CN" w:bidi="ar-SA"/>
        </w:rPr>
        <w:t xml:space="preserve">   </w:t>
      </w:r>
      <w:r>
        <w:rPr>
          <w:rFonts w:hint="eastAsia" w:asciiTheme="minorEastAsia" w:hAnsiTheme="minorEastAsia" w:eastAsiaTheme="minorEastAsia" w:cstheme="minorEastAsia"/>
          <w:sz w:val="24"/>
          <w:szCs w:val="24"/>
          <w:lang w:val="en-US" w:eastAsia="zh-CN" w:bidi="ar-SA"/>
        </w:rPr>
        <w:t xml:space="preserve"> 选取仪器量程中刻度为1.00</w:t>
      </w:r>
      <w:r>
        <w:rPr>
          <w:rFonts w:hint="eastAsia" w:asciiTheme="minorEastAsia" w:hAnsiTheme="minorEastAsia" w:eastAsiaTheme="minorEastAsia" w:cstheme="minorEastAsia"/>
          <w:sz w:val="24"/>
          <w:szCs w:val="24"/>
          <w:lang w:val="zh-TW" w:eastAsia="zh-TW" w:bidi="ar-SA"/>
        </w:rPr>
        <w:t>g/cm³</w:t>
      </w:r>
      <w:r>
        <w:rPr>
          <w:rFonts w:hint="eastAsia" w:asciiTheme="minorEastAsia" w:hAnsiTheme="minorEastAsia" w:eastAsiaTheme="minorEastAsia" w:cstheme="minorEastAsia"/>
          <w:sz w:val="24"/>
          <w:szCs w:val="24"/>
          <w:lang w:val="en-US" w:eastAsia="zh-CN" w:bidi="ar-SA"/>
        </w:rPr>
        <w:t>出为参照点，仪器量程中无刻度为1.00</w:t>
      </w:r>
      <w:r>
        <w:rPr>
          <w:rFonts w:hint="eastAsia" w:asciiTheme="minorEastAsia" w:hAnsiTheme="minorEastAsia" w:eastAsiaTheme="minorEastAsia" w:cstheme="minorEastAsia"/>
          <w:sz w:val="24"/>
          <w:szCs w:val="24"/>
          <w:lang w:val="zh-TW" w:eastAsia="zh-TW" w:bidi="ar-SA"/>
        </w:rPr>
        <w:t>g/cm³</w:t>
      </w:r>
      <w:r>
        <w:rPr>
          <w:rFonts w:hint="eastAsia" w:asciiTheme="minorEastAsia" w:hAnsiTheme="minorEastAsia" w:eastAsiaTheme="minorEastAsia" w:cstheme="minorEastAsia"/>
          <w:sz w:val="24"/>
          <w:szCs w:val="24"/>
          <w:lang w:val="en-US" w:eastAsia="zh-CN" w:bidi="ar-SA"/>
        </w:rPr>
        <w:t xml:space="preserve">的，选取量程下线为参照点。   </w:t>
      </w:r>
    </w:p>
    <w:p>
      <w:pPr>
        <w:pStyle w:val="140"/>
        <w:spacing w:before="240" w:after="240"/>
        <w:rPr>
          <w:rFonts w:hint="eastAsia" w:ascii="黑体" w:hAnsi="黑体" w:eastAsia="黑体" w:cs="黑体"/>
          <w:sz w:val="24"/>
          <w:szCs w:val="24"/>
        </w:rPr>
      </w:pPr>
      <w:bookmarkStart w:id="26" w:name="_Toc91170701"/>
      <w:bookmarkStart w:id="27" w:name="_Toc91169881"/>
      <w:r>
        <w:rPr>
          <w:rFonts w:hint="eastAsia" w:ascii="黑体" w:hAnsi="黑体" w:eastAsia="黑体" w:cs="黑体"/>
          <w:sz w:val="24"/>
          <w:szCs w:val="24"/>
        </w:rPr>
        <w:t>概述</w:t>
      </w:r>
      <w:bookmarkEnd w:id="26"/>
      <w:bookmarkEnd w:id="27"/>
    </w:p>
    <w:p>
      <w:pPr>
        <w:pStyle w:val="144"/>
        <w:spacing w:before="120" w:after="120"/>
        <w:rPr>
          <w:rFonts w:hint="eastAsia" w:ascii="黑体" w:hAnsi="黑体" w:eastAsia="黑体" w:cs="黑体"/>
          <w:sz w:val="24"/>
          <w:szCs w:val="24"/>
        </w:rPr>
      </w:pPr>
      <w:bookmarkStart w:id="28" w:name="_Toc91170702"/>
      <w:bookmarkStart w:id="29" w:name="_Toc91169882"/>
      <w:r>
        <w:rPr>
          <w:rFonts w:hint="eastAsia" w:ascii="黑体" w:hAnsi="黑体" w:eastAsia="黑体" w:cs="黑体"/>
          <w:sz w:val="24"/>
          <w:szCs w:val="24"/>
        </w:rPr>
        <w:t>原理</w:t>
      </w:r>
      <w:bookmarkEnd w:id="28"/>
      <w:bookmarkEnd w:id="29"/>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密度计基于平衡原理，杠杆左端为钻井液杯，右端为平衡柱、游码，游码沿杠杆移动保持平衡，最后通过计算得出密度计钻井液杯容量误差和示值误差。</w:t>
      </w:r>
    </w:p>
    <w:p>
      <w:pPr>
        <w:pStyle w:val="144"/>
        <w:spacing w:before="120" w:after="120"/>
        <w:rPr>
          <w:rFonts w:hint="eastAsia" w:ascii="黑体" w:hAnsi="黑体" w:eastAsia="黑体" w:cs="黑体"/>
          <w:sz w:val="24"/>
          <w:szCs w:val="24"/>
        </w:rPr>
      </w:pPr>
      <w:bookmarkStart w:id="30" w:name="_Toc91170703"/>
      <w:bookmarkStart w:id="31" w:name="_Toc91169883"/>
      <w:r>
        <w:rPr>
          <w:rFonts w:hint="eastAsia" w:ascii="黑体" w:hAnsi="黑体" w:eastAsia="黑体" w:cs="黑体"/>
          <w:sz w:val="24"/>
          <w:szCs w:val="24"/>
        </w:rPr>
        <w:t>结构</w:t>
      </w:r>
      <w:bookmarkEnd w:id="30"/>
      <w:bookmarkEnd w:id="31"/>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密度计结构见图1</w:t>
      </w:r>
    </w:p>
    <w:p>
      <w:pPr>
        <w:pStyle w:val="141"/>
        <w:ind w:firstLine="420"/>
        <w:jc w:val="center"/>
      </w:pPr>
      <w:r>
        <w:drawing>
          <wp:inline distT="0" distB="0" distL="0" distR="0">
            <wp:extent cx="3761740" cy="1274445"/>
            <wp:effectExtent l="0" t="0" r="1016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3761740" cy="1274445"/>
                    </a:xfrm>
                    <a:prstGeom prst="rect">
                      <a:avLst/>
                    </a:prstGeom>
                    <a:noFill/>
                  </pic:spPr>
                </pic:pic>
              </a:graphicData>
            </a:graphic>
          </wp:inline>
        </w:drawing>
      </w:r>
    </w:p>
    <w:p>
      <w:pPr>
        <w:pStyle w:val="141"/>
        <w:ind w:firstLine="360"/>
        <w:rPr>
          <w:rFonts w:hint="eastAsia" w:ascii="宋体" w:hAnsi="宋体" w:eastAsia="宋体" w:cs="宋体"/>
          <w:sz w:val="18"/>
          <w:szCs w:val="18"/>
        </w:rPr>
      </w:pPr>
      <w:r>
        <w:rPr>
          <w:rFonts w:hint="eastAsia" w:ascii="宋体" w:hAnsi="宋体" w:eastAsia="宋体" w:cs="宋体"/>
          <w:sz w:val="18"/>
          <w:szCs w:val="18"/>
        </w:rPr>
        <w:t>标引序号说明：</w:t>
      </w:r>
    </w:p>
    <w:p>
      <w:pPr>
        <w:pStyle w:val="141"/>
        <w:ind w:firstLine="360"/>
        <w:rPr>
          <w:rFonts w:hint="eastAsia" w:ascii="宋体" w:hAnsi="宋体" w:eastAsia="宋体" w:cs="宋体"/>
          <w:sz w:val="18"/>
          <w:szCs w:val="18"/>
        </w:rPr>
      </w:pPr>
      <w:r>
        <w:rPr>
          <w:rFonts w:hint="eastAsia" w:ascii="宋体" w:hAnsi="宋体" w:eastAsia="宋体" w:cs="宋体"/>
          <w:sz w:val="18"/>
          <w:szCs w:val="18"/>
        </w:rPr>
        <w:t>1 ——杯盖；</w:t>
      </w:r>
    </w:p>
    <w:p>
      <w:pPr>
        <w:pStyle w:val="141"/>
        <w:ind w:firstLine="360"/>
        <w:rPr>
          <w:rFonts w:hint="eastAsia" w:ascii="宋体" w:hAnsi="宋体" w:eastAsia="宋体" w:cs="宋体"/>
          <w:sz w:val="18"/>
          <w:szCs w:val="18"/>
        </w:rPr>
      </w:pPr>
      <w:r>
        <w:rPr>
          <w:rFonts w:hint="eastAsia" w:ascii="宋体" w:hAnsi="宋体" w:eastAsia="宋体" w:cs="宋体"/>
          <w:sz w:val="18"/>
          <w:szCs w:val="18"/>
        </w:rPr>
        <w:t>2 ——钻井液杯；</w:t>
      </w:r>
    </w:p>
    <w:p>
      <w:pPr>
        <w:pStyle w:val="141"/>
        <w:ind w:firstLine="360"/>
        <w:rPr>
          <w:rFonts w:hint="eastAsia" w:ascii="宋体" w:hAnsi="宋体" w:eastAsia="宋体" w:cs="宋体"/>
          <w:sz w:val="18"/>
          <w:szCs w:val="18"/>
        </w:rPr>
      </w:pPr>
      <w:r>
        <w:rPr>
          <w:rFonts w:hint="eastAsia" w:ascii="宋体" w:hAnsi="宋体" w:eastAsia="宋体" w:cs="宋体"/>
          <w:sz w:val="18"/>
          <w:szCs w:val="18"/>
        </w:rPr>
        <w:t>3 ——水准泡；</w:t>
      </w:r>
    </w:p>
    <w:p>
      <w:pPr>
        <w:pStyle w:val="141"/>
        <w:ind w:firstLine="360"/>
        <w:rPr>
          <w:rFonts w:hint="eastAsia" w:ascii="宋体" w:hAnsi="宋体" w:eastAsia="宋体" w:cs="宋体"/>
          <w:sz w:val="18"/>
          <w:szCs w:val="18"/>
        </w:rPr>
      </w:pPr>
      <w:r>
        <w:rPr>
          <w:rFonts w:hint="eastAsia" w:ascii="宋体" w:hAnsi="宋体" w:eastAsia="宋体" w:cs="宋体"/>
          <w:sz w:val="18"/>
          <w:szCs w:val="18"/>
        </w:rPr>
        <w:t>4 ——刀口；</w:t>
      </w:r>
    </w:p>
    <w:p>
      <w:pPr>
        <w:pStyle w:val="141"/>
        <w:ind w:firstLine="360"/>
        <w:rPr>
          <w:rFonts w:hint="eastAsia" w:ascii="宋体" w:hAnsi="宋体" w:eastAsia="宋体" w:cs="宋体"/>
          <w:sz w:val="18"/>
          <w:szCs w:val="18"/>
        </w:rPr>
      </w:pPr>
      <w:r>
        <w:rPr>
          <w:rFonts w:hint="eastAsia" w:ascii="宋体" w:hAnsi="宋体" w:eastAsia="宋体" w:cs="宋体"/>
          <w:sz w:val="18"/>
          <w:szCs w:val="18"/>
        </w:rPr>
        <w:t>5 ——刀承；</w:t>
      </w:r>
    </w:p>
    <w:p>
      <w:pPr>
        <w:pStyle w:val="141"/>
        <w:ind w:firstLine="360"/>
        <w:rPr>
          <w:rFonts w:hint="eastAsia" w:ascii="宋体" w:hAnsi="宋体" w:eastAsia="宋体" w:cs="宋体"/>
          <w:sz w:val="18"/>
          <w:szCs w:val="18"/>
        </w:rPr>
      </w:pPr>
      <w:r>
        <w:rPr>
          <w:rFonts w:hint="eastAsia" w:ascii="宋体" w:hAnsi="宋体" w:eastAsia="宋体" w:cs="宋体"/>
          <w:sz w:val="18"/>
          <w:szCs w:val="18"/>
        </w:rPr>
        <w:t>6 ——支撑臂；</w:t>
      </w:r>
    </w:p>
    <w:p>
      <w:pPr>
        <w:pStyle w:val="141"/>
        <w:ind w:firstLine="360"/>
        <w:rPr>
          <w:rFonts w:hint="eastAsia" w:ascii="宋体" w:hAnsi="宋体" w:eastAsia="宋体" w:cs="宋体"/>
          <w:sz w:val="18"/>
          <w:szCs w:val="18"/>
        </w:rPr>
      </w:pPr>
      <w:r>
        <w:rPr>
          <w:rFonts w:hint="eastAsia" w:ascii="宋体" w:hAnsi="宋体" w:eastAsia="宋体" w:cs="宋体"/>
          <w:sz w:val="18"/>
          <w:szCs w:val="18"/>
        </w:rPr>
        <w:t>7 ——游码；</w:t>
      </w:r>
    </w:p>
    <w:p>
      <w:pPr>
        <w:pStyle w:val="141"/>
        <w:ind w:firstLine="360"/>
        <w:rPr>
          <w:rFonts w:hint="eastAsia" w:ascii="宋体" w:hAnsi="宋体" w:eastAsia="宋体" w:cs="宋体"/>
          <w:sz w:val="18"/>
          <w:szCs w:val="18"/>
        </w:rPr>
      </w:pPr>
      <w:r>
        <w:rPr>
          <w:rFonts w:hint="eastAsia" w:ascii="宋体" w:hAnsi="宋体" w:eastAsia="宋体" w:cs="宋体"/>
          <w:sz w:val="18"/>
          <w:szCs w:val="18"/>
        </w:rPr>
        <w:t>8 ——杠杆；</w:t>
      </w:r>
    </w:p>
    <w:p>
      <w:pPr>
        <w:pStyle w:val="141"/>
        <w:ind w:firstLine="360"/>
        <w:rPr>
          <w:rFonts w:hint="eastAsia" w:ascii="宋体" w:hAnsi="宋体" w:eastAsia="宋体" w:cs="宋体"/>
          <w:sz w:val="18"/>
          <w:szCs w:val="18"/>
        </w:rPr>
      </w:pPr>
      <w:r>
        <w:rPr>
          <w:rFonts w:hint="eastAsia" w:ascii="宋体" w:hAnsi="宋体" w:eastAsia="宋体" w:cs="宋体"/>
          <w:sz w:val="18"/>
          <w:szCs w:val="18"/>
        </w:rPr>
        <w:t>9 ——平衡柱；</w:t>
      </w:r>
    </w:p>
    <w:p>
      <w:pPr>
        <w:pStyle w:val="141"/>
        <w:ind w:firstLine="360"/>
        <w:rPr>
          <w:sz w:val="18"/>
          <w:szCs w:val="18"/>
        </w:rPr>
      </w:pPr>
      <w:r>
        <w:rPr>
          <w:rFonts w:hint="eastAsia" w:ascii="宋体" w:hAnsi="宋体" w:eastAsia="宋体" w:cs="宋体"/>
          <w:sz w:val="18"/>
          <w:szCs w:val="18"/>
        </w:rPr>
        <w:t>10——底座。</w:t>
      </w:r>
    </w:p>
    <w:p>
      <w:pPr>
        <w:pStyle w:val="145"/>
        <w:spacing w:before="120" w:after="120"/>
        <w:rPr>
          <w:sz w:val="18"/>
          <w:szCs w:val="18"/>
        </w:rPr>
      </w:pPr>
      <w:r>
        <w:rPr>
          <w:rFonts w:hint="eastAsia"/>
          <w:sz w:val="18"/>
          <w:szCs w:val="18"/>
        </w:rPr>
        <w:t>钻井液密度计（示意图）</w:t>
      </w:r>
    </w:p>
    <w:p>
      <w:pPr>
        <w:pStyle w:val="140"/>
        <w:spacing w:before="240" w:after="240"/>
        <w:rPr>
          <w:rFonts w:hint="eastAsia" w:ascii="黑体" w:hAnsi="黑体" w:eastAsia="黑体" w:cs="黑体"/>
          <w:sz w:val="24"/>
          <w:szCs w:val="24"/>
        </w:rPr>
      </w:pPr>
      <w:r>
        <w:rPr>
          <w:rFonts w:hint="eastAsia" w:ascii="黑体" w:hAnsi="黑体" w:eastAsia="黑体" w:cs="黑体"/>
          <w:sz w:val="24"/>
          <w:szCs w:val="24"/>
          <w:lang w:val="en-US" w:eastAsia="zh-CN"/>
        </w:rPr>
        <w:t>计量特性</w:t>
      </w:r>
    </w:p>
    <w:p>
      <w:pPr>
        <w:pStyle w:val="144"/>
        <w:spacing w:before="120" w:after="120"/>
        <w:rPr>
          <w:rFonts w:hint="eastAsia" w:ascii="黑体" w:hAnsi="黑体" w:eastAsia="黑体" w:cs="黑体"/>
          <w:sz w:val="24"/>
          <w:szCs w:val="24"/>
        </w:rPr>
      </w:pPr>
      <w:bookmarkStart w:id="32" w:name="_Toc91170705"/>
      <w:bookmarkStart w:id="33" w:name="_Toc91169885"/>
      <w:r>
        <w:rPr>
          <w:rFonts w:hint="eastAsia" w:ascii="黑体" w:hAnsi="黑体" w:eastAsia="黑体" w:cs="黑体"/>
          <w:sz w:val="24"/>
          <w:szCs w:val="24"/>
        </w:rPr>
        <w:t>外观</w:t>
      </w:r>
      <w:bookmarkEnd w:id="32"/>
      <w:bookmarkEnd w:id="33"/>
    </w:p>
    <w:p>
      <w:pPr>
        <w:pStyle w:val="146"/>
        <w:rPr>
          <w:rFonts w:hint="eastAsia" w:ascii="宋体" w:hAnsi="宋体" w:eastAsia="宋体" w:cs="宋体"/>
          <w:sz w:val="24"/>
          <w:szCs w:val="24"/>
        </w:rPr>
      </w:pPr>
      <w:r>
        <w:rPr>
          <w:rFonts w:hint="eastAsia" w:ascii="宋体" w:hAnsi="宋体" w:eastAsia="宋体" w:cs="宋体"/>
          <w:sz w:val="24"/>
          <w:szCs w:val="24"/>
        </w:rPr>
        <w:t>密度计应标明名称及型号、分度值、制造厂名、制造编号、制造年月。</w:t>
      </w:r>
    </w:p>
    <w:p>
      <w:pPr>
        <w:pStyle w:val="146"/>
        <w:rPr>
          <w:rFonts w:hint="eastAsia" w:ascii="宋体" w:hAnsi="宋体" w:eastAsia="宋体" w:cs="宋体"/>
          <w:sz w:val="24"/>
          <w:szCs w:val="24"/>
        </w:rPr>
      </w:pPr>
      <w:r>
        <w:rPr>
          <w:rFonts w:hint="eastAsia" w:ascii="宋体" w:hAnsi="宋体" w:eastAsia="宋体" w:cs="宋体"/>
          <w:sz w:val="24"/>
          <w:szCs w:val="24"/>
        </w:rPr>
        <w:t>钻井液杯、杯盖、杠杆和底座应有统一的出厂编号配套使用。</w:t>
      </w:r>
    </w:p>
    <w:p>
      <w:pPr>
        <w:pStyle w:val="146"/>
        <w:rPr>
          <w:rFonts w:hint="eastAsia" w:ascii="宋体" w:hAnsi="宋体" w:eastAsia="宋体" w:cs="宋体"/>
          <w:sz w:val="24"/>
          <w:szCs w:val="24"/>
        </w:rPr>
      </w:pPr>
      <w:r>
        <w:rPr>
          <w:rFonts w:hint="eastAsia" w:ascii="宋体" w:hAnsi="宋体" w:eastAsia="宋体" w:cs="宋体"/>
          <w:sz w:val="24"/>
          <w:szCs w:val="24"/>
        </w:rPr>
        <w:t>密度计表面应光洁，不得有剥落、碰伤及划痕。</w:t>
      </w:r>
    </w:p>
    <w:p>
      <w:pPr>
        <w:pStyle w:val="146"/>
        <w:rPr>
          <w:rFonts w:hint="eastAsia" w:ascii="宋体" w:hAnsi="宋体" w:eastAsia="宋体" w:cs="宋体"/>
          <w:sz w:val="24"/>
          <w:szCs w:val="24"/>
        </w:rPr>
      </w:pPr>
      <w:r>
        <w:rPr>
          <w:rFonts w:hint="eastAsia" w:ascii="宋体" w:hAnsi="宋体" w:eastAsia="宋体" w:cs="宋体"/>
          <w:sz w:val="24"/>
          <w:szCs w:val="24"/>
        </w:rPr>
        <w:t>杠杆上的刻度应清晰，刻线垂直于杠杆，间隔应均匀，分度值为0.01 g/cm</w:t>
      </w:r>
      <w:r>
        <w:rPr>
          <w:rFonts w:hint="eastAsia" w:ascii="宋体" w:hAnsi="宋体" w:eastAsia="宋体" w:cs="宋体"/>
          <w:sz w:val="24"/>
          <w:szCs w:val="24"/>
          <w:vertAlign w:val="superscript"/>
        </w:rPr>
        <w:t>3</w:t>
      </w:r>
      <w:r>
        <w:rPr>
          <w:rFonts w:hint="eastAsia" w:ascii="宋体" w:hAnsi="宋体" w:eastAsia="宋体" w:cs="宋体"/>
          <w:sz w:val="24"/>
          <w:szCs w:val="24"/>
        </w:rPr>
        <w:t>。</w:t>
      </w:r>
    </w:p>
    <w:p>
      <w:pPr>
        <w:pStyle w:val="146"/>
        <w:rPr>
          <w:rFonts w:hint="eastAsia" w:ascii="宋体" w:hAnsi="宋体" w:eastAsia="宋体" w:cs="宋体"/>
          <w:sz w:val="24"/>
          <w:szCs w:val="24"/>
        </w:rPr>
      </w:pPr>
      <w:r>
        <w:rPr>
          <w:rFonts w:hint="eastAsia" w:ascii="宋体" w:hAnsi="宋体" w:eastAsia="宋体" w:cs="宋体"/>
          <w:sz w:val="24"/>
          <w:szCs w:val="24"/>
        </w:rPr>
        <w:t>紧固件不得有松动、损伤。</w:t>
      </w:r>
    </w:p>
    <w:p>
      <w:pPr>
        <w:pStyle w:val="146"/>
        <w:rPr>
          <w:rFonts w:hint="eastAsia" w:ascii="宋体" w:hAnsi="宋体" w:eastAsia="宋体" w:cs="宋体"/>
          <w:sz w:val="24"/>
          <w:szCs w:val="24"/>
        </w:rPr>
      </w:pPr>
      <w:r>
        <w:rPr>
          <w:rFonts w:hint="eastAsia" w:ascii="宋体" w:hAnsi="宋体" w:eastAsia="宋体" w:cs="宋体"/>
          <w:sz w:val="24"/>
          <w:szCs w:val="24"/>
        </w:rPr>
        <w:t>刀口和刀承应光洁，不得有毛刺、裂纹和显见的砂眼。刀口和刀承接触后，杠杆摆动灵活。</w:t>
      </w:r>
    </w:p>
    <w:p>
      <w:pPr>
        <w:pStyle w:val="146"/>
        <w:rPr>
          <w:rFonts w:hint="eastAsia" w:ascii="宋体" w:hAnsi="宋体" w:eastAsia="宋体" w:cs="宋体"/>
          <w:sz w:val="24"/>
          <w:szCs w:val="24"/>
        </w:rPr>
      </w:pPr>
      <w:r>
        <w:rPr>
          <w:rFonts w:hint="eastAsia" w:ascii="宋体" w:hAnsi="宋体" w:eastAsia="宋体" w:cs="宋体"/>
          <w:sz w:val="24"/>
          <w:szCs w:val="24"/>
        </w:rPr>
        <w:t>游码在杠杆上移动应平稳、灵活。</w:t>
      </w:r>
    </w:p>
    <w:p>
      <w:pPr>
        <w:pStyle w:val="146"/>
        <w:rPr>
          <w:rFonts w:hint="eastAsia" w:ascii="宋体" w:hAnsi="宋体" w:eastAsia="宋体" w:cs="宋体"/>
          <w:sz w:val="24"/>
          <w:szCs w:val="24"/>
        </w:rPr>
      </w:pPr>
      <w:r>
        <w:rPr>
          <w:rFonts w:hint="eastAsia" w:ascii="宋体" w:hAnsi="宋体" w:eastAsia="宋体" w:cs="宋体"/>
          <w:sz w:val="24"/>
          <w:szCs w:val="24"/>
        </w:rPr>
        <w:t>杯盖与杯口配合应适中、盖孔畅通。</w:t>
      </w:r>
    </w:p>
    <w:p>
      <w:pPr>
        <w:pStyle w:val="146"/>
        <w:rPr>
          <w:rFonts w:hint="eastAsia" w:ascii="宋体" w:hAnsi="宋体" w:eastAsia="宋体" w:cs="宋体"/>
          <w:sz w:val="24"/>
          <w:szCs w:val="24"/>
        </w:rPr>
      </w:pPr>
      <w:r>
        <w:rPr>
          <w:rFonts w:hint="eastAsia" w:ascii="宋体" w:hAnsi="宋体" w:eastAsia="宋体" w:cs="宋体"/>
          <w:sz w:val="24"/>
          <w:szCs w:val="24"/>
        </w:rPr>
        <w:t>底座的底面应平整。</w:t>
      </w:r>
    </w:p>
    <w:p>
      <w:pPr>
        <w:pStyle w:val="144"/>
        <w:spacing w:before="120" w:after="120"/>
        <w:rPr>
          <w:rFonts w:hint="eastAsia" w:ascii="黑体" w:hAnsi="黑体" w:eastAsia="黑体" w:cs="黑体"/>
          <w:sz w:val="24"/>
          <w:szCs w:val="24"/>
        </w:rPr>
      </w:pPr>
      <w:bookmarkStart w:id="34" w:name="_Toc91170706"/>
      <w:bookmarkStart w:id="35" w:name="_Toc91169886"/>
      <w:r>
        <w:rPr>
          <w:rFonts w:hint="eastAsia" w:ascii="黑体" w:hAnsi="黑体" w:eastAsia="黑体" w:cs="黑体"/>
          <w:sz w:val="24"/>
          <w:szCs w:val="24"/>
        </w:rPr>
        <w:t>水准泡</w:t>
      </w:r>
      <w:bookmarkEnd w:id="34"/>
      <w:bookmarkEnd w:id="35"/>
    </w:p>
    <w:p>
      <w:pPr>
        <w:pStyle w:val="141"/>
        <w:ind w:firstLine="420"/>
        <w:rPr>
          <w:rFonts w:hint="eastAsia" w:ascii="宋体" w:hAnsi="宋体" w:eastAsia="宋体" w:cs="宋体"/>
          <w:sz w:val="24"/>
          <w:szCs w:val="24"/>
        </w:rPr>
      </w:pPr>
      <w:r>
        <w:rPr>
          <w:rFonts w:hint="eastAsia" w:ascii="宋体" w:hAnsi="宋体" w:eastAsia="宋体" w:cs="宋体"/>
          <w:sz w:val="24"/>
          <w:szCs w:val="24"/>
        </w:rPr>
        <w:t>普通式管状水准泡，应符合GB/T 1146的规定，与密度计杠杆安装时保持水平。</w:t>
      </w:r>
    </w:p>
    <w:p>
      <w:pPr>
        <w:pStyle w:val="144"/>
        <w:spacing w:before="120" w:after="120"/>
        <w:rPr>
          <w:rFonts w:hint="eastAsia" w:ascii="黑体" w:hAnsi="黑体" w:eastAsia="黑体" w:cs="黑体"/>
          <w:sz w:val="24"/>
          <w:szCs w:val="24"/>
        </w:rPr>
      </w:pPr>
      <w:bookmarkStart w:id="36" w:name="_Toc91169887"/>
      <w:bookmarkStart w:id="37" w:name="_Toc91170707"/>
      <w:r>
        <w:rPr>
          <w:rFonts w:hint="eastAsia" w:ascii="黑体" w:hAnsi="黑体" w:eastAsia="黑体" w:cs="黑体"/>
          <w:sz w:val="24"/>
          <w:szCs w:val="24"/>
        </w:rPr>
        <w:t>钻井液杯容量</w:t>
      </w:r>
      <w:bookmarkEnd w:id="36"/>
      <w:bookmarkEnd w:id="37"/>
    </w:p>
    <w:p>
      <w:pPr>
        <w:pStyle w:val="141"/>
        <w:ind w:firstLine="420"/>
        <w:rPr>
          <w:rFonts w:hint="eastAsia" w:asciiTheme="minorEastAsia" w:hAnsiTheme="minorEastAsia" w:eastAsiaTheme="minorEastAsia" w:cstheme="minorEastAsia"/>
          <w:sz w:val="24"/>
          <w:szCs w:val="24"/>
        </w:rPr>
      </w:pPr>
      <w:r>
        <w:rPr>
          <w:rFonts w:hint="eastAsia" w:ascii="宋体" w:hAnsi="宋体" w:eastAsia="宋体" w:cs="宋体"/>
          <w:sz w:val="24"/>
          <w:szCs w:val="24"/>
        </w:rPr>
        <w:t>钻井液杯容量为140 mL±1 mL，适用于本标准五种规格的密度计。</w:t>
      </w:r>
    </w:p>
    <w:p>
      <w:pPr>
        <w:pStyle w:val="144"/>
        <w:spacing w:before="120" w:after="120"/>
        <w:rPr>
          <w:rFonts w:hint="eastAsia" w:ascii="黑体" w:hAnsi="黑体" w:eastAsia="黑体" w:cs="黑体"/>
          <w:sz w:val="24"/>
          <w:szCs w:val="24"/>
        </w:rPr>
      </w:pPr>
      <w:bookmarkStart w:id="38" w:name="_Toc91170708"/>
      <w:bookmarkStart w:id="39" w:name="_Toc91169888"/>
      <w:r>
        <w:rPr>
          <w:rFonts w:hint="eastAsia" w:ascii="黑体" w:hAnsi="黑体" w:eastAsia="黑体" w:cs="黑体"/>
          <w:sz w:val="24"/>
          <w:szCs w:val="24"/>
        </w:rPr>
        <w:t>灵敏限</w:t>
      </w:r>
      <w:bookmarkEnd w:id="38"/>
      <w:bookmarkEnd w:id="39"/>
    </w:p>
    <w:p>
      <w:pPr>
        <w:pStyle w:val="141"/>
        <w:ind w:firstLine="420"/>
        <w:rPr>
          <w:rFonts w:hint="eastAsia" w:ascii="宋体" w:hAnsi="宋体" w:eastAsia="宋体" w:cs="宋体"/>
          <w:sz w:val="24"/>
          <w:szCs w:val="24"/>
        </w:rPr>
      </w:pPr>
      <w:r>
        <w:rPr>
          <w:rFonts w:hint="eastAsia" w:ascii="宋体" w:hAnsi="宋体" w:eastAsia="宋体" w:cs="宋体"/>
          <w:sz w:val="24"/>
          <w:szCs w:val="24"/>
        </w:rPr>
        <w:t>密度计的灵敏限应符合表1的规定。</w:t>
      </w:r>
    </w:p>
    <w:p>
      <w:pPr>
        <w:pStyle w:val="144"/>
        <w:spacing w:before="120" w:after="120"/>
        <w:rPr>
          <w:rFonts w:hint="eastAsia" w:ascii="黑体" w:hAnsi="黑体" w:eastAsia="黑体" w:cs="黑体"/>
          <w:sz w:val="24"/>
          <w:szCs w:val="24"/>
        </w:rPr>
      </w:pPr>
      <w:bookmarkStart w:id="40" w:name="_Toc91170709"/>
      <w:bookmarkStart w:id="41" w:name="_Toc91169889"/>
      <w:r>
        <w:rPr>
          <w:rFonts w:hint="eastAsia" w:ascii="黑体" w:hAnsi="黑体" w:eastAsia="黑体" w:cs="黑体"/>
          <w:sz w:val="24"/>
          <w:szCs w:val="24"/>
        </w:rPr>
        <w:t>示值误差</w:t>
      </w:r>
      <w:bookmarkEnd w:id="40"/>
      <w:bookmarkEnd w:id="41"/>
    </w:p>
    <w:p>
      <w:pPr>
        <w:pStyle w:val="141"/>
        <w:ind w:firstLine="420"/>
        <w:rPr>
          <w:rFonts w:hint="eastAsia" w:ascii="宋体" w:hAnsi="宋体" w:eastAsia="宋体" w:cs="宋体"/>
          <w:sz w:val="24"/>
          <w:szCs w:val="24"/>
        </w:rPr>
      </w:pPr>
      <w:r>
        <w:rPr>
          <w:rFonts w:hint="eastAsia" w:ascii="宋体" w:hAnsi="宋体" w:eastAsia="宋体" w:cs="宋体"/>
          <w:sz w:val="24"/>
          <w:szCs w:val="24"/>
        </w:rPr>
        <w:t>密度计的示值误差应符合表2的规定。</w:t>
      </w:r>
    </w:p>
    <w:p>
      <w:pPr>
        <w:pStyle w:val="148"/>
        <w:keepNext w:val="0"/>
        <w:keepLines w:val="0"/>
        <w:pageBreakBefore w:val="0"/>
        <w:kinsoku/>
        <w:wordWrap/>
        <w:overflowPunct/>
        <w:topLinePunct w:val="0"/>
        <w:autoSpaceDE/>
        <w:autoSpaceDN/>
        <w:bidi w:val="0"/>
        <w:adjustRightInd/>
        <w:snapToGrid/>
        <w:spacing w:before="120" w:after="120"/>
        <w:textAlignment w:val="auto"/>
      </w:pPr>
      <w:r>
        <w:rPr>
          <w:rFonts w:hint="eastAsia"/>
        </w:rPr>
        <w:t>灵敏限</w:t>
      </w:r>
    </w:p>
    <w:tbl>
      <w:tblPr>
        <w:tblStyle w:val="30"/>
        <w:tblW w:w="502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0" w:type="dxa"/>
          <w:bottom w:w="0" w:type="dxa"/>
          <w:right w:w="0" w:type="dxa"/>
        </w:tblCellMar>
      </w:tblPr>
      <w:tblGrid>
        <w:gridCol w:w="4827"/>
        <w:gridCol w:w="4584"/>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2564" w:type="pct"/>
            <w:tcBorders>
              <w:top w:val="single" w:color="auto" w:sz="8" w:space="0"/>
              <w:bottom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 xml:space="preserve">测量范围 </w:t>
            </w:r>
            <w:r>
              <w:rPr>
                <w:rFonts w:hint="eastAsia" w:ascii="宋体" w:hAnsi="宋体" w:eastAsia="宋体" w:cs="宋体"/>
                <w:color w:val="242424"/>
                <w:kern w:val="0"/>
                <w:sz w:val="21"/>
                <w:szCs w:val="21"/>
                <w:lang w:val="zh-TW" w:eastAsia="zh-TW" w:bidi="zh-TW"/>
              </w:rPr>
              <w:t xml:space="preserve"> </w:t>
            </w:r>
            <w:r>
              <w:rPr>
                <w:rFonts w:hint="eastAsia" w:ascii="宋体" w:hAnsi="宋体" w:eastAsia="宋体" w:cs="宋体"/>
                <w:color w:val="242424"/>
                <w:kern w:val="0"/>
                <w:sz w:val="21"/>
                <w:szCs w:val="21"/>
                <w:lang w:val="zh-TW" w:bidi="zh-TW"/>
              </w:rPr>
              <w:t>/</w:t>
            </w:r>
            <w:r>
              <w:rPr>
                <w:rFonts w:hint="eastAsia" w:ascii="宋体" w:hAnsi="宋体" w:eastAsia="宋体" w:cs="宋体"/>
                <w:kern w:val="0"/>
                <w:sz w:val="21"/>
                <w:szCs w:val="21"/>
                <w:lang w:val="zh-TW" w:bidi="zh-TW"/>
              </w:rPr>
              <w:t>（g/cm³）</w:t>
            </w:r>
          </w:p>
        </w:tc>
        <w:tc>
          <w:tcPr>
            <w:tcW w:w="2435" w:type="pct"/>
            <w:tcBorders>
              <w:top w:val="single" w:color="auto" w:sz="8" w:space="0"/>
              <w:bottom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 xml:space="preserve">灵敏限 </w:t>
            </w:r>
            <w:r>
              <w:rPr>
                <w:rFonts w:hint="eastAsia" w:ascii="宋体" w:hAnsi="宋体" w:eastAsia="宋体" w:cs="宋体"/>
                <w:color w:val="242424"/>
                <w:kern w:val="0"/>
                <w:sz w:val="21"/>
                <w:szCs w:val="21"/>
                <w:lang w:val="zh-TW" w:eastAsia="zh-TW" w:bidi="zh-TW"/>
              </w:rPr>
              <w:t xml:space="preserve"> </w:t>
            </w:r>
            <w:r>
              <w:rPr>
                <w:rFonts w:hint="eastAsia" w:ascii="宋体" w:hAnsi="宋体" w:eastAsia="宋体" w:cs="宋体"/>
                <w:kern w:val="0"/>
                <w:sz w:val="21"/>
                <w:szCs w:val="21"/>
                <w:lang w:val="zh-TW" w:bidi="zh-TW"/>
              </w:rPr>
              <w:t xml:space="preserve"> </w:t>
            </w:r>
            <w:r>
              <w:rPr>
                <w:rFonts w:hint="eastAsia" w:ascii="宋体" w:hAnsi="宋体" w:eastAsia="宋体" w:cs="宋体"/>
                <w:kern w:val="0"/>
                <w:sz w:val="21"/>
                <w:szCs w:val="21"/>
                <w:lang w:val="zh-TW" w:eastAsia="zh-TW" w:bidi="zh-TW"/>
              </w:rPr>
              <w:t>/</w:t>
            </w:r>
            <w:r>
              <w:rPr>
                <w:rFonts w:hint="eastAsia" w:ascii="宋体" w:hAnsi="宋体" w:eastAsia="宋体" w:cs="宋体"/>
                <w:kern w:val="0"/>
                <w:sz w:val="21"/>
                <w:szCs w:val="21"/>
                <w:lang w:val="zh-TW" w:bidi="zh-TW"/>
              </w:rPr>
              <w:t>g</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2564" w:type="pct"/>
            <w:tcBorders>
              <w:top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0.10-1.50</w:t>
            </w:r>
          </w:p>
        </w:tc>
        <w:tc>
          <w:tcPr>
            <w:tcW w:w="2435" w:type="pct"/>
            <w:tcBorders>
              <w:top w:val="single" w:color="000000"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kern w:val="0"/>
                <w:sz w:val="21"/>
                <w:szCs w:val="21"/>
                <w:lang w:val="zh-TW" w:bidi="zh-TW"/>
              </w:rPr>
              <w:t>≤</w:t>
            </w:r>
            <w:r>
              <w:rPr>
                <w:rFonts w:hint="eastAsia" w:ascii="宋体" w:hAnsi="宋体" w:eastAsia="宋体" w:cs="宋体"/>
                <w:color w:val="242424"/>
                <w:kern w:val="0"/>
                <w:sz w:val="21"/>
                <w:szCs w:val="21"/>
                <w:lang w:val="zh-TW" w:bidi="zh-TW"/>
              </w:rPr>
              <w:t>0.6</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2564"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0.96-2.00</w:t>
            </w:r>
          </w:p>
        </w:tc>
        <w:tc>
          <w:tcPr>
            <w:tcW w:w="2435"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kern w:val="0"/>
                <w:sz w:val="21"/>
                <w:szCs w:val="21"/>
                <w:lang w:val="zh-TW" w:bidi="zh-TW"/>
              </w:rPr>
              <w:t>≤</w:t>
            </w:r>
            <w:r>
              <w:rPr>
                <w:rFonts w:hint="eastAsia" w:ascii="宋体" w:hAnsi="宋体" w:eastAsia="宋体" w:cs="宋体"/>
                <w:color w:val="242424"/>
                <w:kern w:val="0"/>
                <w:sz w:val="21"/>
                <w:szCs w:val="21"/>
                <w:lang w:val="zh-TW" w:bidi="zh-TW"/>
              </w:rPr>
              <w:t>0.7</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2564"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0.76-2.40</w:t>
            </w:r>
          </w:p>
        </w:tc>
        <w:tc>
          <w:tcPr>
            <w:tcW w:w="2435"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kern w:val="0"/>
                <w:sz w:val="21"/>
                <w:szCs w:val="21"/>
                <w:lang w:val="zh-TW" w:bidi="zh-TW"/>
              </w:rPr>
              <w:t>≤</w:t>
            </w:r>
            <w:r>
              <w:rPr>
                <w:rFonts w:hint="eastAsia" w:ascii="宋体" w:hAnsi="宋体" w:eastAsia="宋体" w:cs="宋体"/>
                <w:color w:val="242424"/>
                <w:kern w:val="0"/>
                <w:sz w:val="21"/>
                <w:szCs w:val="21"/>
                <w:lang w:val="zh-TW" w:bidi="zh-TW"/>
              </w:rPr>
              <w:t>1.0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2564"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en-US" w:eastAsia="zh-CN" w:bidi="zh-TW"/>
              </w:rPr>
              <w:t>0.96</w:t>
            </w:r>
            <w:r>
              <w:rPr>
                <w:rFonts w:hint="eastAsia" w:ascii="宋体" w:hAnsi="宋体" w:eastAsia="宋体" w:cs="宋体"/>
                <w:color w:val="242424"/>
                <w:kern w:val="0"/>
                <w:sz w:val="21"/>
                <w:szCs w:val="21"/>
                <w:lang w:val="zh-TW" w:bidi="zh-TW"/>
              </w:rPr>
              <w:t>-3.00</w:t>
            </w:r>
          </w:p>
        </w:tc>
        <w:tc>
          <w:tcPr>
            <w:tcW w:w="2435"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eastAsia="zh-CN" w:bidi="zh-TW"/>
              </w:rPr>
            </w:pPr>
            <w:r>
              <w:rPr>
                <w:rFonts w:hint="eastAsia" w:ascii="宋体" w:hAnsi="宋体" w:eastAsia="宋体" w:cs="宋体"/>
                <w:kern w:val="0"/>
                <w:sz w:val="21"/>
                <w:szCs w:val="21"/>
                <w:lang w:val="zh-TW" w:bidi="zh-TW"/>
              </w:rPr>
              <w:t>≤</w:t>
            </w:r>
            <w:r>
              <w:rPr>
                <w:rFonts w:hint="eastAsia" w:ascii="宋体" w:hAnsi="宋体" w:eastAsia="宋体" w:cs="宋体"/>
                <w:color w:val="242424"/>
                <w:kern w:val="0"/>
                <w:sz w:val="21"/>
                <w:szCs w:val="21"/>
                <w:lang w:val="zh-TW" w:bidi="zh-TW"/>
              </w:rPr>
              <w:t>1.</w:t>
            </w:r>
            <w:r>
              <w:rPr>
                <w:rFonts w:hint="eastAsia" w:ascii="宋体" w:hAnsi="宋体" w:eastAsia="宋体" w:cs="宋体"/>
                <w:color w:val="242424"/>
                <w:kern w:val="0"/>
                <w:sz w:val="21"/>
                <w:szCs w:val="21"/>
                <w:lang w:val="en-US" w:eastAsia="zh-CN" w:bidi="zh-TW"/>
              </w:rPr>
              <w:t>4</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454" w:hRule="atLeast"/>
          <w:tblHeader/>
        </w:trPr>
        <w:tc>
          <w:tcPr>
            <w:tcW w:w="2564"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FF0000"/>
                <w:kern w:val="0"/>
                <w:sz w:val="21"/>
                <w:szCs w:val="21"/>
                <w:lang w:val="en-US" w:eastAsia="zh-CN" w:bidi="zh-TW"/>
              </w:rPr>
            </w:pPr>
            <w:r>
              <w:rPr>
                <w:rFonts w:hint="eastAsia" w:ascii="宋体" w:hAnsi="宋体" w:eastAsia="宋体" w:cs="宋体"/>
                <w:color w:val="242424"/>
                <w:kern w:val="0"/>
                <w:sz w:val="21"/>
                <w:szCs w:val="21"/>
                <w:lang w:val="en-US" w:eastAsia="zh-CN" w:bidi="zh-TW"/>
              </w:rPr>
              <w:t>1.30</w:t>
            </w:r>
            <w:r>
              <w:rPr>
                <w:rFonts w:hint="eastAsia" w:ascii="宋体" w:hAnsi="宋体" w:eastAsia="宋体" w:cs="宋体"/>
                <w:color w:val="242424"/>
                <w:kern w:val="0"/>
                <w:sz w:val="21"/>
                <w:szCs w:val="21"/>
                <w:lang w:val="zh-TW" w:bidi="zh-TW"/>
              </w:rPr>
              <w:t>-</w:t>
            </w:r>
            <w:r>
              <w:rPr>
                <w:rFonts w:hint="eastAsia" w:ascii="宋体" w:hAnsi="宋体" w:eastAsia="宋体" w:cs="宋体"/>
                <w:kern w:val="0"/>
                <w:sz w:val="21"/>
                <w:szCs w:val="21"/>
                <w:lang w:val="zh-TW" w:eastAsia="zh-TW" w:bidi="zh-TW"/>
              </w:rPr>
              <w:t>3.00</w:t>
            </w:r>
          </w:p>
        </w:tc>
        <w:tc>
          <w:tcPr>
            <w:tcW w:w="2435"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242424"/>
                <w:kern w:val="0"/>
                <w:sz w:val="21"/>
                <w:szCs w:val="21"/>
                <w:lang w:val="zh-TW" w:eastAsia="zh-CN" w:bidi="zh-TW"/>
              </w:rPr>
            </w:pPr>
            <w:r>
              <w:rPr>
                <w:rFonts w:hint="eastAsia" w:ascii="宋体" w:hAnsi="宋体" w:eastAsia="宋体" w:cs="宋体"/>
                <w:kern w:val="0"/>
                <w:sz w:val="21"/>
                <w:szCs w:val="21"/>
                <w:lang w:val="zh-TW" w:bidi="zh-TW"/>
              </w:rPr>
              <w:t>≤</w:t>
            </w:r>
            <w:r>
              <w:rPr>
                <w:rFonts w:hint="eastAsia" w:ascii="宋体" w:hAnsi="宋体" w:eastAsia="宋体" w:cs="宋体"/>
                <w:color w:val="242424"/>
                <w:kern w:val="0"/>
                <w:sz w:val="21"/>
                <w:szCs w:val="21"/>
                <w:lang w:val="zh-TW" w:bidi="zh-TW"/>
              </w:rPr>
              <w:t>1.</w:t>
            </w:r>
            <w:r>
              <w:rPr>
                <w:rFonts w:hint="eastAsia" w:ascii="宋体" w:hAnsi="宋体" w:eastAsia="宋体" w:cs="宋体"/>
                <w:color w:val="242424"/>
                <w:kern w:val="0"/>
                <w:sz w:val="21"/>
                <w:szCs w:val="21"/>
                <w:lang w:val="en-US" w:eastAsia="zh-CN" w:bidi="zh-TW"/>
              </w:rPr>
              <w:t>2</w:t>
            </w:r>
          </w:p>
        </w:tc>
      </w:tr>
    </w:tbl>
    <w:p>
      <w:pPr>
        <w:pStyle w:val="148"/>
        <w:numPr>
          <w:ilvl w:val="0"/>
          <w:numId w:val="0"/>
        </w:numPr>
        <w:spacing w:before="120" w:after="120"/>
        <w:ind w:leftChars="0"/>
        <w:jc w:val="both"/>
        <w:rPr>
          <w:rFonts w:hint="eastAsia" w:ascii="宋体" w:hAnsi="宋体" w:eastAsia="宋体" w:cs="宋体"/>
          <w:sz w:val="21"/>
          <w:szCs w:val="21"/>
        </w:rPr>
      </w:pPr>
    </w:p>
    <w:p>
      <w:pPr>
        <w:pStyle w:val="148"/>
        <w:spacing w:before="120" w:after="120"/>
        <w:rPr>
          <w:rFonts w:hint="eastAsia" w:ascii="宋体" w:hAnsi="宋体" w:eastAsia="宋体" w:cs="宋体"/>
          <w:sz w:val="21"/>
          <w:szCs w:val="21"/>
        </w:rPr>
      </w:pPr>
      <w:r>
        <w:rPr>
          <w:rFonts w:hint="eastAsia" w:ascii="宋体" w:hAnsi="宋体" w:eastAsia="宋体" w:cs="宋体"/>
          <w:sz w:val="21"/>
          <w:szCs w:val="21"/>
        </w:rPr>
        <w:t>示值误差</w:t>
      </w:r>
    </w:p>
    <w:tbl>
      <w:tblPr>
        <w:tblStyle w:val="30"/>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594"/>
        <w:gridCol w:w="1594"/>
        <w:gridCol w:w="1594"/>
        <w:gridCol w:w="1594"/>
        <w:gridCol w:w="1599"/>
        <w:gridCol w:w="1595"/>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167" w:type="pct"/>
            <w:gridSpan w:val="5"/>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测量范围 /</w:t>
            </w:r>
            <w:r>
              <w:rPr>
                <w:rFonts w:hint="eastAsia" w:ascii="宋体" w:hAnsi="宋体" w:eastAsia="宋体" w:cs="宋体"/>
                <w:kern w:val="0"/>
                <w:sz w:val="21"/>
                <w:szCs w:val="21"/>
                <w:lang w:val="zh-TW" w:eastAsia="zh-TW" w:bidi="zh-TW"/>
              </w:rPr>
              <w:t>（g/cm³）</w:t>
            </w:r>
          </w:p>
        </w:tc>
        <w:tc>
          <w:tcPr>
            <w:tcW w:w="833" w:type="pct"/>
            <w:vMerge w:val="restart"/>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示值误差</w:t>
            </w:r>
          </w:p>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kern w:val="0"/>
                <w:sz w:val="21"/>
                <w:szCs w:val="21"/>
                <w:lang w:val="zh-TW" w:bidi="zh-TW"/>
              </w:rPr>
              <w:t>/</w:t>
            </w:r>
            <w:r>
              <w:rPr>
                <w:rFonts w:hint="eastAsia" w:ascii="宋体" w:hAnsi="宋体" w:eastAsia="宋体" w:cs="宋体"/>
                <w:kern w:val="0"/>
                <w:sz w:val="21"/>
                <w:szCs w:val="21"/>
                <w:lang w:val="zh-TW" w:eastAsia="zh-TW" w:bidi="zh-TW"/>
              </w:rPr>
              <w:t>（g/cm³）</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0.10-1.50</w:t>
            </w:r>
          </w:p>
        </w:tc>
        <w:tc>
          <w:tcPr>
            <w:tcW w:w="833" w:type="pct"/>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0.96-2.00</w:t>
            </w:r>
          </w:p>
        </w:tc>
        <w:tc>
          <w:tcPr>
            <w:tcW w:w="833" w:type="pct"/>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0.70-2.40</w:t>
            </w:r>
          </w:p>
        </w:tc>
        <w:tc>
          <w:tcPr>
            <w:tcW w:w="833" w:type="pct"/>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0.96-3.00</w:t>
            </w:r>
          </w:p>
        </w:tc>
        <w:tc>
          <w:tcPr>
            <w:tcW w:w="835" w:type="pct"/>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1.30-3.00</w:t>
            </w:r>
          </w:p>
        </w:tc>
        <w:tc>
          <w:tcPr>
            <w:tcW w:w="833" w:type="pct"/>
            <w:vMerge w:val="continue"/>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167" w:type="pct"/>
            <w:gridSpan w:val="5"/>
            <w:shd w:val="clear" w:color="auto" w:fill="auto"/>
            <w:vAlign w:val="center"/>
          </w:tcPr>
          <w:p>
            <w:pPr>
              <w:adjustRightInd/>
              <w:spacing w:line="240" w:lineRule="auto"/>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校准点 /</w:t>
            </w:r>
            <w:r>
              <w:rPr>
                <w:rFonts w:hint="eastAsia" w:ascii="宋体" w:hAnsi="宋体" w:eastAsia="宋体" w:cs="宋体"/>
                <w:kern w:val="0"/>
                <w:sz w:val="21"/>
                <w:szCs w:val="21"/>
                <w:lang w:val="zh-TW" w:eastAsia="zh-TW" w:bidi="zh-TW"/>
              </w:rPr>
              <w:t>（g/cm³）</w:t>
            </w:r>
          </w:p>
        </w:tc>
        <w:tc>
          <w:tcPr>
            <w:tcW w:w="833" w:type="pct"/>
            <w:vMerge w:val="continue"/>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0.10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5"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vMerge w:val="restar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±0.01</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0.50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0.70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5"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vMerge w:val="continue"/>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vertAlign w:val="superscript"/>
              </w:rPr>
            </w:pPr>
            <w:r>
              <w:rPr>
                <w:rFonts w:hint="eastAsia" w:ascii="宋体" w:hAnsi="宋体" w:eastAsia="宋体" w:cs="宋体"/>
                <w:sz w:val="21"/>
                <w:szCs w:val="21"/>
              </w:rPr>
              <w:t>1.00</w:t>
            </w:r>
            <w:r>
              <w:rPr>
                <w:rFonts w:hint="eastAsia" w:ascii="宋体" w:hAnsi="宋体" w:eastAsia="宋体" w:cs="宋体"/>
                <w:sz w:val="21"/>
                <w:szCs w:val="21"/>
                <w:vertAlign w:val="superscript"/>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1.00</w:t>
            </w:r>
            <w:r>
              <w:rPr>
                <w:rFonts w:hint="eastAsia" w:ascii="宋体" w:hAnsi="宋体" w:eastAsia="宋体" w:cs="宋体"/>
                <w:sz w:val="21"/>
                <w:szCs w:val="21"/>
                <w:vertAlign w:val="superscript"/>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1.00</w:t>
            </w:r>
            <w:r>
              <w:rPr>
                <w:rFonts w:hint="eastAsia" w:ascii="宋体" w:hAnsi="宋体" w:eastAsia="宋体" w:cs="宋体"/>
                <w:sz w:val="21"/>
                <w:szCs w:val="21"/>
                <w:vertAlign w:val="superscript"/>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1.00</w:t>
            </w:r>
            <w:r>
              <w:rPr>
                <w:rFonts w:hint="eastAsia" w:ascii="宋体" w:hAnsi="宋体" w:eastAsia="宋体" w:cs="宋体"/>
                <w:sz w:val="21"/>
                <w:szCs w:val="21"/>
                <w:vertAlign w:val="superscript"/>
              </w:rPr>
              <w:t>*</w:t>
            </w:r>
          </w:p>
        </w:tc>
        <w:tc>
          <w:tcPr>
            <w:tcW w:w="835"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vMerge w:val="continue"/>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1.30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1.30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1.50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1.50</w:t>
            </w:r>
          </w:p>
        </w:tc>
        <w:tc>
          <w:tcPr>
            <w:tcW w:w="835" w:type="pct"/>
            <w:shd w:val="clear" w:color="auto" w:fill="auto"/>
            <w:vAlign w:val="center"/>
          </w:tcPr>
          <w:p>
            <w:pPr>
              <w:adjustRightInd/>
              <w:spacing w:line="240" w:lineRule="auto"/>
              <w:jc w:val="center"/>
              <w:rPr>
                <w:rFonts w:hint="eastAsia" w:ascii="宋体" w:hAnsi="宋体" w:eastAsia="宋体" w:cs="宋体"/>
                <w:sz w:val="21"/>
                <w:szCs w:val="21"/>
                <w:vertAlign w:val="superscript"/>
              </w:rPr>
            </w:pPr>
            <w:r>
              <w:rPr>
                <w:rFonts w:hint="eastAsia" w:ascii="宋体" w:hAnsi="宋体" w:eastAsia="宋体" w:cs="宋体"/>
                <w:sz w:val="21"/>
                <w:szCs w:val="21"/>
              </w:rPr>
              <w:t>1.30</w:t>
            </w:r>
            <w:r>
              <w:rPr>
                <w:rFonts w:hint="eastAsia" w:ascii="宋体" w:hAnsi="宋体" w:eastAsia="宋体" w:cs="宋体"/>
                <w:sz w:val="21"/>
                <w:szCs w:val="21"/>
                <w:vertAlign w:val="superscript"/>
              </w:rPr>
              <w:t xml:space="preserve">*  </w:t>
            </w:r>
          </w:p>
        </w:tc>
        <w:tc>
          <w:tcPr>
            <w:tcW w:w="833" w:type="pct"/>
            <w:vMerge w:val="continue"/>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vertAlign w:val="superscript"/>
              </w:rPr>
            </w:pPr>
            <w:r>
              <w:rPr>
                <w:rFonts w:hint="eastAsia" w:ascii="宋体" w:hAnsi="宋体" w:eastAsia="宋体" w:cs="宋体"/>
                <w:sz w:val="21"/>
                <w:szCs w:val="21"/>
              </w:rPr>
              <w:t>1.50</w:t>
            </w:r>
            <w:r>
              <w:rPr>
                <w:rFonts w:hint="eastAsia" w:ascii="宋体" w:hAnsi="宋体" w:eastAsia="宋体" w:cs="宋体"/>
                <w:sz w:val="21"/>
                <w:szCs w:val="21"/>
                <w:vertAlign w:val="superscript"/>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1.50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2.00</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2.00</w:t>
            </w:r>
          </w:p>
        </w:tc>
        <w:tc>
          <w:tcPr>
            <w:tcW w:w="835"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1.50</w:t>
            </w:r>
          </w:p>
        </w:tc>
        <w:tc>
          <w:tcPr>
            <w:tcW w:w="833" w:type="pct"/>
            <w:vMerge w:val="continue"/>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1.75</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2.40</w:t>
            </w:r>
            <w:r>
              <w:rPr>
                <w:rFonts w:hint="eastAsia" w:ascii="宋体" w:hAnsi="宋体" w:eastAsia="宋体" w:cs="宋体"/>
                <w:sz w:val="21"/>
                <w:szCs w:val="21"/>
                <w:vertAlign w:val="superscript"/>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2.40</w:t>
            </w:r>
          </w:p>
        </w:tc>
        <w:tc>
          <w:tcPr>
            <w:tcW w:w="835"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1.75</w:t>
            </w:r>
          </w:p>
        </w:tc>
        <w:tc>
          <w:tcPr>
            <w:tcW w:w="833" w:type="pct"/>
            <w:vMerge w:val="continue"/>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vertAlign w:val="superscript"/>
              </w:rPr>
            </w:pPr>
            <w:r>
              <w:rPr>
                <w:rFonts w:hint="eastAsia" w:ascii="宋体" w:hAnsi="宋体" w:eastAsia="宋体" w:cs="宋体"/>
                <w:sz w:val="21"/>
                <w:szCs w:val="21"/>
              </w:rPr>
              <w:t>2.00</w:t>
            </w:r>
            <w:r>
              <w:rPr>
                <w:rFonts w:hint="eastAsia" w:ascii="宋体" w:hAnsi="宋体" w:eastAsia="宋体" w:cs="宋体"/>
                <w:sz w:val="21"/>
                <w:szCs w:val="21"/>
                <w:vertAlign w:val="superscript"/>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3.00</w:t>
            </w:r>
            <w:r>
              <w:rPr>
                <w:rFonts w:hint="eastAsia" w:ascii="宋体" w:hAnsi="宋体" w:eastAsia="宋体" w:cs="宋体"/>
                <w:sz w:val="21"/>
                <w:szCs w:val="21"/>
                <w:vertAlign w:val="superscript"/>
              </w:rPr>
              <w:t>*</w:t>
            </w:r>
          </w:p>
        </w:tc>
        <w:tc>
          <w:tcPr>
            <w:tcW w:w="835"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2.40</w:t>
            </w:r>
          </w:p>
        </w:tc>
        <w:tc>
          <w:tcPr>
            <w:tcW w:w="833" w:type="pct"/>
            <w:vMerge w:val="continue"/>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35"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3.00</w:t>
            </w:r>
            <w:r>
              <w:rPr>
                <w:rFonts w:hint="eastAsia" w:ascii="宋体" w:hAnsi="宋体" w:eastAsia="宋体" w:cs="宋体"/>
                <w:sz w:val="21"/>
                <w:szCs w:val="21"/>
                <w:vertAlign w:val="superscript"/>
              </w:rPr>
              <w:t>*</w:t>
            </w:r>
          </w:p>
        </w:tc>
        <w:tc>
          <w:tcPr>
            <w:tcW w:w="833" w:type="pct"/>
            <w:vMerge w:val="continue"/>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000" w:type="pct"/>
            <w:gridSpan w:val="6"/>
            <w:shd w:val="clear" w:color="auto" w:fill="auto"/>
            <w:vAlign w:val="center"/>
          </w:tcPr>
          <w:p>
            <w:pPr>
              <w:autoSpaceDE w:val="0"/>
              <w:autoSpaceDN w:val="0"/>
              <w:adjustRightInd/>
              <w:spacing w:line="240" w:lineRule="auto"/>
              <w:ind w:left="850" w:hanging="425"/>
              <w:rPr>
                <w:rFonts w:hint="eastAsia" w:ascii="宋体" w:hAnsi="宋体" w:eastAsia="宋体" w:cs="宋体"/>
                <w:kern w:val="0"/>
                <w:sz w:val="21"/>
                <w:szCs w:val="21"/>
              </w:rPr>
            </w:pPr>
            <w:r>
              <w:rPr>
                <w:rFonts w:hint="eastAsia" w:ascii="宋体" w:hAnsi="宋体" w:eastAsia="宋体" w:cs="宋体"/>
                <w:b/>
                <w:bCs/>
                <w:kern w:val="0"/>
                <w:sz w:val="21"/>
                <w:szCs w:val="21"/>
                <w:vertAlign w:val="superscript"/>
              </w:rPr>
              <w:t>*</w:t>
            </w:r>
            <w:r>
              <w:rPr>
                <w:rFonts w:hint="eastAsia" w:ascii="宋体" w:hAnsi="宋体" w:eastAsia="宋体" w:cs="宋体"/>
                <w:kern w:val="0"/>
                <w:sz w:val="21"/>
                <w:szCs w:val="21"/>
              </w:rPr>
              <w:t>参照点或上限值。</w:t>
            </w:r>
          </w:p>
        </w:tc>
      </w:tr>
    </w:tbl>
    <w:p>
      <w:pPr>
        <w:pStyle w:val="140"/>
        <w:spacing w:before="240" w:after="240"/>
        <w:rPr>
          <w:rFonts w:hint="eastAsia" w:ascii="黑体" w:hAnsi="黑体" w:eastAsia="黑体" w:cs="黑体"/>
          <w:sz w:val="24"/>
          <w:szCs w:val="24"/>
        </w:rPr>
      </w:pPr>
      <w:bookmarkStart w:id="42" w:name="_Toc91170710"/>
      <w:bookmarkStart w:id="43" w:name="_Toc91169890"/>
      <w:r>
        <w:rPr>
          <w:rFonts w:hint="eastAsia" w:ascii="黑体" w:hAnsi="黑体" w:eastAsia="黑体" w:cs="黑体"/>
          <w:sz w:val="24"/>
          <w:szCs w:val="24"/>
        </w:rPr>
        <w:t>校准条件</w:t>
      </w:r>
      <w:bookmarkEnd w:id="42"/>
      <w:bookmarkEnd w:id="43"/>
    </w:p>
    <w:p>
      <w:pPr>
        <w:pStyle w:val="144"/>
        <w:bidi w:val="0"/>
        <w:rPr>
          <w:rFonts w:hint="eastAsia"/>
          <w:sz w:val="24"/>
          <w:szCs w:val="24"/>
          <w:lang w:val="en-US" w:eastAsia="zh-CN"/>
        </w:rPr>
      </w:pPr>
      <w:r>
        <w:rPr>
          <w:rFonts w:hint="eastAsia"/>
          <w:sz w:val="24"/>
          <w:szCs w:val="24"/>
          <w:lang w:val="en-US" w:eastAsia="zh-CN"/>
        </w:rPr>
        <w:t>环境条件</w:t>
      </w:r>
    </w:p>
    <w:p>
      <w:pPr>
        <w:pStyle w:val="141"/>
        <w:ind w:left="0" w:leftChars="0" w:firstLine="720" w:firstLineChars="3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环境温度：20 ℃±5 ℃</w:t>
      </w:r>
    </w:p>
    <w:p>
      <w:pPr>
        <w:pStyle w:val="141"/>
        <w:ind w:firstLine="720" w:firstLineChars="3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环境湿度：≤75%</w:t>
      </w:r>
    </w:p>
    <w:p>
      <w:pPr>
        <w:pStyle w:val="144"/>
        <w:bidi w:val="0"/>
        <w:rPr>
          <w:rFonts w:hint="eastAsia"/>
          <w:sz w:val="24"/>
          <w:szCs w:val="24"/>
        </w:rPr>
      </w:pPr>
      <w:r>
        <w:rPr>
          <w:rFonts w:hint="eastAsia"/>
          <w:sz w:val="24"/>
          <w:szCs w:val="24"/>
        </w:rPr>
        <w:t>校准设备</w:t>
      </w:r>
    </w:p>
    <w:p>
      <w:pPr>
        <w:pStyle w:val="141"/>
        <w:rPr>
          <w:rFonts w:hint="eastAsia"/>
          <w:sz w:val="24"/>
          <w:szCs w:val="24"/>
        </w:rPr>
      </w:pPr>
    </w:p>
    <w:p>
      <w:pPr>
        <w:pStyle w:val="141"/>
        <w:rPr>
          <w:rFonts w:hint="eastAsia"/>
          <w:sz w:val="24"/>
          <w:szCs w:val="24"/>
        </w:rPr>
      </w:pPr>
    </w:p>
    <w:p>
      <w:pPr>
        <w:pStyle w:val="141"/>
        <w:rPr>
          <w:rFonts w:hint="eastAsia"/>
        </w:rPr>
      </w:pPr>
    </w:p>
    <w:p>
      <w:pPr>
        <w:pStyle w:val="148"/>
        <w:spacing w:before="120" w:after="120"/>
      </w:pPr>
      <w:r>
        <w:rPr>
          <w:rFonts w:hint="eastAsia"/>
        </w:rPr>
        <w:t>校准设备的配置</w:t>
      </w:r>
    </w:p>
    <w:tbl>
      <w:tblPr>
        <w:tblStyle w:val="30"/>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95"/>
        <w:gridCol w:w="1308"/>
        <w:gridCol w:w="69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7" w:type="pct"/>
            <w:tcBorders>
              <w:top w:val="single" w:color="auto" w:sz="8" w:space="0"/>
              <w:left w:val="single" w:color="auto" w:sz="8" w:space="0"/>
            </w:tcBorders>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项目</w:t>
            </w:r>
          </w:p>
        </w:tc>
        <w:tc>
          <w:tcPr>
            <w:tcW w:w="683" w:type="pct"/>
            <w:tcBorders>
              <w:top w:val="single" w:color="auto" w:sz="8" w:space="0"/>
            </w:tcBorders>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zh-TW" w:bidi="zh-TW"/>
              </w:rPr>
              <w:t>名称</w:t>
            </w:r>
          </w:p>
        </w:tc>
        <w:tc>
          <w:tcPr>
            <w:tcW w:w="3639" w:type="pct"/>
            <w:tcBorders>
              <w:top w:val="single" w:color="auto" w:sz="8" w:space="0"/>
              <w:right w:val="single" w:color="auto" w:sz="8" w:space="0"/>
            </w:tcBorders>
            <w:shd w:val="clear" w:color="auto" w:fill="auto"/>
            <w:vAlign w:val="center"/>
          </w:tcPr>
          <w:p>
            <w:pPr>
              <w:adjustRightInd/>
              <w:spacing w:line="240" w:lineRule="auto"/>
              <w:jc w:val="center"/>
              <w:rPr>
                <w:rFonts w:hint="eastAsia" w:ascii="宋体" w:hAnsi="宋体" w:eastAsia="宋体" w:cs="宋体"/>
                <w:color w:val="242424"/>
                <w:kern w:val="0"/>
                <w:sz w:val="21"/>
                <w:szCs w:val="21"/>
                <w:lang w:val="zh-TW" w:bidi="zh-TW"/>
              </w:rPr>
            </w:pPr>
            <w:r>
              <w:rPr>
                <w:rFonts w:hint="eastAsia" w:ascii="宋体" w:hAnsi="宋体" w:eastAsia="宋体" w:cs="宋体"/>
                <w:color w:val="242424"/>
                <w:kern w:val="0"/>
                <w:sz w:val="21"/>
                <w:szCs w:val="21"/>
                <w:lang w:val="en-US" w:eastAsia="zh-CN" w:bidi="zh-TW"/>
              </w:rPr>
              <w:t>技术</w:t>
            </w:r>
            <w:r>
              <w:rPr>
                <w:rFonts w:hint="eastAsia" w:ascii="宋体" w:hAnsi="宋体" w:eastAsia="宋体" w:cs="宋体"/>
                <w:color w:val="242424"/>
                <w:kern w:val="0"/>
                <w:sz w:val="21"/>
                <w:szCs w:val="21"/>
                <w:lang w:val="zh-TW" w:bidi="zh-TW"/>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7" w:type="pct"/>
            <w:vMerge w:val="restart"/>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标准器</w:t>
            </w:r>
          </w:p>
        </w:tc>
        <w:tc>
          <w:tcPr>
            <w:tcW w:w="68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lang w:val="en-US" w:eastAsia="zh-CN"/>
              </w:rPr>
              <w:t>电子</w:t>
            </w:r>
            <w:r>
              <w:rPr>
                <w:rFonts w:hint="eastAsia" w:ascii="宋体" w:hAnsi="宋体" w:eastAsia="宋体" w:cs="宋体"/>
                <w:sz w:val="21"/>
                <w:szCs w:val="21"/>
              </w:rPr>
              <w:t>天平</w:t>
            </w:r>
          </w:p>
        </w:tc>
        <w:tc>
          <w:tcPr>
            <w:tcW w:w="3639" w:type="pct"/>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最大量程</w:t>
            </w:r>
            <w:r>
              <w:rPr>
                <w:rFonts w:hint="eastAsia" w:ascii="宋体" w:hAnsi="宋体" w:eastAsia="宋体" w:cs="宋体"/>
                <w:sz w:val="21"/>
                <w:szCs w:val="21"/>
              </w:rPr>
              <w:t>500</w:t>
            </w:r>
            <w:r>
              <w:rPr>
                <w:rFonts w:hint="eastAsia" w:ascii="宋体" w:hAnsi="宋体" w:eastAsia="宋体" w:cs="宋体"/>
                <w:sz w:val="21"/>
                <w:szCs w:val="21"/>
                <w:lang w:val="en-US" w:eastAsia="zh-CN"/>
              </w:rPr>
              <w:t>g,读数精度0.001g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7" w:type="pct"/>
            <w:vMerge w:val="continue"/>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c>
          <w:tcPr>
            <w:tcW w:w="68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砝码</w:t>
            </w:r>
          </w:p>
        </w:tc>
        <w:tc>
          <w:tcPr>
            <w:tcW w:w="3639" w:type="pct"/>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bscript"/>
              </w:rPr>
              <w:t xml:space="preserve">1 </w:t>
            </w:r>
            <w:r>
              <w:rPr>
                <w:rFonts w:hint="eastAsia" w:ascii="宋体" w:hAnsi="宋体" w:eastAsia="宋体" w:cs="宋体"/>
                <w:sz w:val="21"/>
                <w:szCs w:val="21"/>
              </w:rPr>
              <w:t>级</w:t>
            </w:r>
            <w:r>
              <w:rPr>
                <w:rFonts w:hint="eastAsia" w:ascii="宋体" w:hAnsi="宋体" w:eastAsia="宋体" w:cs="宋体"/>
                <w:sz w:val="21"/>
                <w:szCs w:val="21"/>
                <w:lang w:eastAsia="zh-CN"/>
              </w:rPr>
              <w:t>、</w:t>
            </w:r>
            <w:r>
              <w:rPr>
                <w:rFonts w:hint="eastAsia" w:ascii="宋体" w:hAnsi="宋体" w:eastAsia="宋体" w:cs="宋体"/>
                <w:sz w:val="21"/>
                <w:szCs w:val="21"/>
              </w:rPr>
              <w:t>克组、毫克组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7" w:type="pct"/>
            <w:vMerge w:val="restart"/>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配套设备</w:t>
            </w:r>
          </w:p>
        </w:tc>
        <w:tc>
          <w:tcPr>
            <w:tcW w:w="68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温度计</w:t>
            </w:r>
          </w:p>
        </w:tc>
        <w:tc>
          <w:tcPr>
            <w:tcW w:w="3639" w:type="pct"/>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最小分度值：0.1 ℃，量</w:t>
            </w:r>
            <w:r>
              <w:rPr>
                <w:rFonts w:hint="eastAsia" w:ascii="宋体" w:hAnsi="宋体" w:eastAsia="宋体" w:cs="宋体"/>
                <w:sz w:val="21"/>
                <w:szCs w:val="21"/>
                <w:lang w:val="en-US" w:eastAsia="zh-CN"/>
              </w:rPr>
              <w:t>程</w:t>
            </w:r>
            <w:r>
              <w:rPr>
                <w:rFonts w:hint="eastAsia" w:ascii="宋体" w:hAnsi="宋体" w:eastAsia="宋体" w:cs="宋体"/>
                <w:sz w:val="21"/>
                <w:szCs w:val="21"/>
              </w:rPr>
              <w:t>0 ℃～50 ℃，允差±0.2 ℃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7" w:type="pct"/>
            <w:vMerge w:val="continue"/>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c>
          <w:tcPr>
            <w:tcW w:w="68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烧杯</w:t>
            </w:r>
          </w:p>
        </w:tc>
        <w:tc>
          <w:tcPr>
            <w:tcW w:w="3639" w:type="pct"/>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标称容量：200 mL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7" w:type="pct"/>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校准介质</w:t>
            </w:r>
          </w:p>
        </w:tc>
        <w:tc>
          <w:tcPr>
            <w:tcW w:w="683" w:type="pc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cs="宋体"/>
                <w:sz w:val="21"/>
                <w:szCs w:val="21"/>
                <w:lang w:val="en-US" w:eastAsia="zh-CN"/>
              </w:rPr>
              <w:t>纯</w:t>
            </w:r>
            <w:r>
              <w:rPr>
                <w:rFonts w:hint="eastAsia" w:ascii="宋体" w:hAnsi="宋体" w:eastAsia="宋体" w:cs="宋体"/>
                <w:sz w:val="21"/>
                <w:szCs w:val="21"/>
              </w:rPr>
              <w:t>水</w:t>
            </w:r>
          </w:p>
        </w:tc>
        <w:tc>
          <w:tcPr>
            <w:tcW w:w="3639" w:type="pct"/>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≥500 mL</w:t>
            </w:r>
          </w:p>
        </w:tc>
      </w:tr>
    </w:tbl>
    <w:p>
      <w:pPr>
        <w:pStyle w:val="140"/>
        <w:spacing w:before="240" w:after="240"/>
        <w:rPr>
          <w:rFonts w:hint="eastAsia" w:ascii="黑体" w:hAnsi="黑体" w:eastAsia="黑体" w:cs="黑体"/>
          <w:sz w:val="24"/>
          <w:szCs w:val="24"/>
        </w:rPr>
      </w:pPr>
      <w:bookmarkStart w:id="44" w:name="_Toc91170711"/>
      <w:bookmarkStart w:id="45" w:name="_Toc91169891"/>
      <w:r>
        <w:rPr>
          <w:rFonts w:hint="eastAsia" w:ascii="黑体" w:hAnsi="黑体" w:eastAsia="黑体" w:cs="黑体"/>
          <w:sz w:val="24"/>
          <w:szCs w:val="24"/>
        </w:rPr>
        <w:t>校准项目和校准方法</w:t>
      </w:r>
      <w:bookmarkEnd w:id="44"/>
      <w:bookmarkEnd w:id="45"/>
    </w:p>
    <w:p>
      <w:pPr>
        <w:pStyle w:val="144"/>
        <w:bidi w:val="0"/>
        <w:rPr>
          <w:rFonts w:hint="eastAsia"/>
          <w:sz w:val="24"/>
          <w:szCs w:val="24"/>
        </w:rPr>
      </w:pPr>
      <w:bookmarkStart w:id="46" w:name="_Toc91169892"/>
      <w:bookmarkStart w:id="47" w:name="_Toc91170712"/>
      <w:r>
        <w:rPr>
          <w:rFonts w:hint="eastAsia"/>
          <w:sz w:val="24"/>
          <w:szCs w:val="24"/>
        </w:rPr>
        <w:t>校准项目</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校准项目见表4.</w:t>
      </w:r>
    </w:p>
    <w:p>
      <w:pPr>
        <w:pStyle w:val="148"/>
        <w:spacing w:before="120" w:after="120"/>
      </w:pPr>
      <w:r>
        <w:rPr>
          <w:rFonts w:hint="eastAsia"/>
        </w:rPr>
        <w:t>密度计校准项目表</w:t>
      </w:r>
    </w:p>
    <w:tbl>
      <w:tblPr>
        <w:tblStyle w:val="14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29"/>
        <w:gridCol w:w="2608"/>
        <w:gridCol w:w="1869"/>
        <w:gridCol w:w="1869"/>
        <w:gridCol w:w="18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2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序号</w:t>
            </w:r>
          </w:p>
        </w:tc>
        <w:tc>
          <w:tcPr>
            <w:tcW w:w="2608"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新制造</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使用中</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修理后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2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1</w:t>
            </w:r>
          </w:p>
        </w:tc>
        <w:tc>
          <w:tcPr>
            <w:tcW w:w="2608"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外观</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2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2</w:t>
            </w:r>
          </w:p>
        </w:tc>
        <w:tc>
          <w:tcPr>
            <w:tcW w:w="2608"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水准泡</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2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3</w:t>
            </w:r>
          </w:p>
        </w:tc>
        <w:tc>
          <w:tcPr>
            <w:tcW w:w="2608"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钻井液杯容量</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2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4</w:t>
            </w:r>
          </w:p>
        </w:tc>
        <w:tc>
          <w:tcPr>
            <w:tcW w:w="2608"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灵敏限</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2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5</w:t>
            </w:r>
          </w:p>
        </w:tc>
        <w:tc>
          <w:tcPr>
            <w:tcW w:w="2608"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示值误差</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c>
          <w:tcPr>
            <w:tcW w:w="1869" w:type="dxa"/>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344" w:type="dxa"/>
            <w:gridSpan w:val="5"/>
            <w:tcBorders>
              <w:top w:val="single" w:color="000000" w:sz="4" w:space="0"/>
              <w:left w:val="single" w:color="000000" w:sz="4" w:space="0"/>
              <w:bottom w:val="single" w:color="000000" w:sz="4" w:space="0"/>
              <w:right w:val="single" w:color="000000" w:sz="4" w:space="0"/>
            </w:tcBorders>
            <w:vAlign w:val="center"/>
          </w:tcPr>
          <w:p>
            <w:pPr>
              <w:adjustRightInd/>
              <w:spacing w:line="240" w:lineRule="auto"/>
              <w:jc w:val="center"/>
              <w:rPr>
                <w:rFonts w:hint="eastAsia" w:ascii="宋体" w:hAnsi="宋体" w:eastAsia="宋体" w:cs="宋体"/>
                <w:sz w:val="21"/>
                <w:szCs w:val="21"/>
                <w:lang w:val="zh-TW"/>
              </w:rPr>
            </w:pPr>
            <w:r>
              <w:rPr>
                <w:rFonts w:hint="eastAsia" w:ascii="宋体" w:hAnsi="宋体" w:eastAsia="宋体" w:cs="宋体"/>
                <w:sz w:val="21"/>
                <w:szCs w:val="21"/>
                <w:lang w:val="zh-TW"/>
              </w:rPr>
              <w:t>“+”表示应校准，“-”表示可不校准。</w:t>
            </w:r>
          </w:p>
        </w:tc>
      </w:tr>
    </w:tbl>
    <w:p>
      <w:pPr>
        <w:pStyle w:val="144"/>
        <w:bidi w:val="0"/>
        <w:rPr>
          <w:rFonts w:hint="eastAsia"/>
          <w:sz w:val="24"/>
          <w:szCs w:val="24"/>
        </w:rPr>
      </w:pPr>
      <w:r>
        <w:rPr>
          <w:rFonts w:hint="eastAsia"/>
          <w:sz w:val="24"/>
          <w:szCs w:val="24"/>
        </w:rPr>
        <w:t>校准方法</w:t>
      </w:r>
      <w:bookmarkEnd w:id="46"/>
      <w:bookmarkEnd w:id="47"/>
    </w:p>
    <w:p>
      <w:pPr>
        <w:pStyle w:val="147"/>
        <w:spacing w:before="120" w:after="120"/>
        <w:rPr>
          <w:rFonts w:hint="eastAsia" w:ascii="黑体" w:hAnsi="黑体" w:eastAsia="黑体" w:cs="黑体"/>
          <w:sz w:val="24"/>
          <w:szCs w:val="24"/>
        </w:rPr>
      </w:pPr>
      <w:r>
        <w:rPr>
          <w:rFonts w:hint="eastAsia" w:ascii="黑体" w:hAnsi="黑体" w:eastAsia="黑体" w:cs="黑体"/>
          <w:sz w:val="24"/>
          <w:szCs w:val="24"/>
        </w:rPr>
        <w:t>外观</w:t>
      </w:r>
    </w:p>
    <w:p>
      <w:pPr>
        <w:pStyle w:val="141"/>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4"/>
          <w:szCs w:val="24"/>
        </w:rPr>
        <w:t>新制造的密度计应符合5.1的规定；使用中和修理后的密度计不能有影响计量性能的缺陷</w:t>
      </w:r>
      <w:r>
        <w:rPr>
          <w:rFonts w:hint="eastAsia" w:asciiTheme="minorEastAsia" w:hAnsiTheme="minorEastAsia" w:eastAsiaTheme="minorEastAsia" w:cstheme="minorEastAsia"/>
          <w:sz w:val="21"/>
          <w:szCs w:val="21"/>
        </w:rPr>
        <w:t>。</w:t>
      </w:r>
    </w:p>
    <w:p>
      <w:pPr>
        <w:pStyle w:val="147"/>
        <w:spacing w:before="120" w:after="120"/>
        <w:rPr>
          <w:rFonts w:hint="eastAsia" w:ascii="黑体" w:hAnsi="黑体" w:eastAsia="黑体" w:cs="黑体"/>
          <w:sz w:val="24"/>
          <w:szCs w:val="24"/>
        </w:rPr>
      </w:pPr>
      <w:r>
        <w:rPr>
          <w:rFonts w:hint="eastAsia" w:ascii="黑体" w:hAnsi="黑体" w:eastAsia="黑体" w:cs="黑体"/>
          <w:sz w:val="24"/>
          <w:szCs w:val="24"/>
        </w:rPr>
        <w:t>水准泡</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新制造、修理的密度计，水准泡应符合5.2的要求。</w:t>
      </w:r>
    </w:p>
    <w:p>
      <w:pPr>
        <w:pStyle w:val="147"/>
        <w:spacing w:before="120" w:after="120"/>
        <w:rPr>
          <w:rFonts w:hint="eastAsia" w:ascii="黑体" w:hAnsi="黑体" w:eastAsia="黑体" w:cs="黑体"/>
          <w:sz w:val="24"/>
          <w:szCs w:val="24"/>
        </w:rPr>
      </w:pPr>
      <w:r>
        <w:rPr>
          <w:rFonts w:hint="eastAsia" w:ascii="黑体" w:hAnsi="黑体" w:eastAsia="黑体" w:cs="黑体"/>
          <w:sz w:val="24"/>
          <w:szCs w:val="24"/>
        </w:rPr>
        <w:t>钻井液杯容量</w:t>
      </w:r>
    </w:p>
    <w:p>
      <w:pPr>
        <w:pStyle w:val="151"/>
        <w:ind w:left="0"/>
        <w:rPr>
          <w:rFonts w:hint="eastAsia" w:ascii="宋体" w:hAnsi="宋体" w:eastAsia="宋体" w:cs="宋体"/>
          <w:sz w:val="24"/>
          <w:szCs w:val="24"/>
        </w:rPr>
      </w:pPr>
      <w:r>
        <w:rPr>
          <w:rFonts w:hint="eastAsia" w:ascii="宋体" w:hAnsi="宋体" w:eastAsia="宋体" w:cs="宋体"/>
          <w:sz w:val="24"/>
          <w:szCs w:val="24"/>
        </w:rPr>
        <w:t>将钻井液杯及杯盖</w:t>
      </w:r>
      <w:r>
        <w:rPr>
          <w:rFonts w:hint="eastAsia" w:ascii="宋体" w:hAnsi="宋体" w:eastAsia="宋体" w:cs="宋体"/>
          <w:sz w:val="24"/>
          <w:szCs w:val="24"/>
          <w:lang w:val="en-US" w:eastAsia="zh-CN"/>
        </w:rPr>
        <w:t>洗净</w:t>
      </w:r>
      <w:r>
        <w:rPr>
          <w:rFonts w:hint="eastAsia" w:ascii="宋体" w:hAnsi="宋体" w:eastAsia="宋体" w:cs="宋体"/>
          <w:sz w:val="24"/>
          <w:szCs w:val="24"/>
        </w:rPr>
        <w:t>晾干，向杯内缓慢注满蒸馏水，除去气泡，轻轻旋转，盖严杯盖，擦干杯及杯盖外表面，取下杯盖，将杯盖底面的蒸馏水刮入杯内，将杯内蒸馏水倒入烧杯内，用天平称量蒸馏水质量，再加上杯及杯盖内表面的残留量（一般胶木制杯取0.21 g,金属制杯取0.32 g）,得出杯容纳蒸馏水的质量；再用温度计测水温，查水密度值表（参见附录A），按式（1）计算钻井液杯容量。</w:t>
      </w:r>
    </w:p>
    <w:p>
      <w:pPr>
        <w:pStyle w:val="153"/>
        <w:rPr>
          <w:rFonts w:hint="eastAsia" w:ascii="宋体" w:hAnsi="宋体" w:eastAsia="宋体" w:cs="宋体"/>
          <w:sz w:val="24"/>
          <w:szCs w:val="24"/>
        </w:rPr>
      </w:pPr>
      <w:r>
        <w:rPr>
          <w:rFonts w:hint="eastAsia" w:ascii="宋体" w:hAnsi="宋体" w:eastAsia="宋体" w:cs="宋体"/>
          <w:sz w:val="24"/>
          <w:szCs w:val="24"/>
        </w:rPr>
        <w:tab/>
      </w:r>
      <m:oMath>
        <m:r>
          <m:rPr/>
          <w:rPr>
            <w:rFonts w:hint="eastAsia" w:ascii="Cambria Math" w:hAnsi="Cambria Math" w:eastAsia="宋体" w:cs="宋体"/>
            <w:sz w:val="24"/>
            <w:szCs w:val="24"/>
          </w:rPr>
          <m:t>V</m:t>
        </m:r>
        <m:r>
          <m:rPr>
            <m:sty m:val="p"/>
          </m:rPr>
          <w:rPr>
            <w:rFonts w:hint="eastAsia" w:ascii="Cambria Math" w:hAnsi="Cambria Math" w:eastAsia="宋体" w:cs="宋体"/>
            <w:sz w:val="24"/>
            <w:szCs w:val="24"/>
          </w:rPr>
          <m:t>=</m:t>
        </m:r>
        <m:f>
          <m:fPr>
            <m:ctrlPr>
              <w:rPr>
                <w:rFonts w:hint="eastAsia" w:ascii="Cambria Math" w:hAnsi="Cambria Math" w:eastAsia="宋体" w:cs="宋体"/>
                <w:sz w:val="24"/>
                <w:szCs w:val="24"/>
              </w:rPr>
            </m:ctrlPr>
          </m:fPr>
          <m:num>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m</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z</m:t>
                </m:r>
                <m:ctrlPr>
                  <w:rPr>
                    <w:rFonts w:hint="eastAsia" w:ascii="Cambria Math" w:hAnsi="Cambria Math" w:eastAsia="宋体" w:cs="宋体"/>
                    <w:i/>
                    <w:sz w:val="24"/>
                    <w:szCs w:val="24"/>
                  </w:rPr>
                </m:ctrlPr>
              </m:sub>
            </m:sSub>
            <m:r>
              <m:rPr/>
              <w:rPr>
                <w:rFonts w:hint="eastAsia" w:ascii="Cambria Math" w:hAnsi="Cambria Math" w:eastAsia="宋体" w:cs="宋体"/>
                <w:sz w:val="24"/>
                <w:szCs w:val="24"/>
              </w:rPr>
              <m:t>+</m:t>
            </m:r>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m</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b</m:t>
                </m:r>
                <m:ctrlPr>
                  <w:rPr>
                    <w:rFonts w:hint="eastAsia" w:ascii="Cambria Math" w:hAnsi="Cambria Math" w:eastAsia="宋体" w:cs="宋体"/>
                    <w:i/>
                    <w:sz w:val="24"/>
                    <w:szCs w:val="24"/>
                  </w:rPr>
                </m:ctrlPr>
              </m:sub>
            </m:sSub>
            <m:ctrlPr>
              <w:rPr>
                <w:rFonts w:hint="eastAsia" w:ascii="Cambria Math" w:hAnsi="Cambria Math" w:eastAsia="宋体" w:cs="宋体"/>
                <w:sz w:val="24"/>
                <w:szCs w:val="24"/>
              </w:rPr>
            </m:ctrlPr>
          </m:num>
          <m:den>
            <m:r>
              <m:rPr/>
              <w:rPr>
                <w:rFonts w:hint="eastAsia" w:ascii="Cambria Math" w:hAnsi="Cambria Math" w:eastAsia="宋体" w:cs="宋体"/>
                <w:sz w:val="24"/>
                <w:szCs w:val="24"/>
              </w:rPr>
              <m:t>ρ</m:t>
            </m:r>
            <m:ctrlPr>
              <w:rPr>
                <w:rFonts w:hint="eastAsia" w:ascii="Cambria Math" w:hAnsi="Cambria Math" w:eastAsia="宋体" w:cs="宋体"/>
                <w:sz w:val="24"/>
                <w:szCs w:val="24"/>
              </w:rPr>
            </m:ctrlPr>
          </m:den>
        </m:f>
      </m:oMath>
      <w:r>
        <w:rPr>
          <w:rFonts w:hint="eastAsia" w:ascii="宋体" w:hAnsi="宋体" w:eastAsia="宋体" w:cs="宋体"/>
          <w:sz w:val="24"/>
          <w:szCs w:val="24"/>
        </w:rPr>
        <w:tab/>
      </w:r>
      <w:r>
        <w:rPr>
          <w:rFonts w:hint="eastAsia" w:ascii="宋体" w:hAnsi="宋体" w:eastAsia="宋体" w:cs="宋体"/>
          <w:sz w:val="24"/>
          <w:szCs w:val="24"/>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AUTONUM </w:instrTex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154"/>
        <w:ind w:firstLine="420"/>
        <w:rPr>
          <w:rFonts w:hint="eastAsia" w:ascii="宋体" w:hAnsi="宋体" w:eastAsia="宋体" w:cs="宋体"/>
          <w:sz w:val="24"/>
          <w:szCs w:val="24"/>
        </w:rPr>
      </w:pPr>
      <w:r>
        <w:rPr>
          <w:rFonts w:hint="eastAsia" w:ascii="宋体" w:hAnsi="宋体" w:eastAsia="宋体" w:cs="宋体"/>
          <w:sz w:val="24"/>
          <w:szCs w:val="24"/>
        </w:rPr>
        <w:t>式中：</w:t>
      </w:r>
    </w:p>
    <w:p>
      <w:pPr>
        <w:ind w:firstLine="480" w:firstLineChars="200"/>
        <w:rPr>
          <w:rFonts w:hint="eastAsia" w:ascii="宋体" w:hAnsi="宋体" w:eastAsia="宋体" w:cs="宋体"/>
          <w:sz w:val="24"/>
          <w:szCs w:val="24"/>
        </w:rPr>
      </w:pPr>
      <m:oMath>
        <m:r>
          <m:rPr/>
          <w:rPr>
            <w:rFonts w:hint="eastAsia" w:ascii="Cambria Math" w:hAnsi="Cambria Math" w:eastAsia="宋体" w:cs="宋体"/>
            <w:sz w:val="24"/>
            <w:szCs w:val="24"/>
          </w:rPr>
          <m:t>V</m:t>
        </m:r>
      </m:oMath>
      <w:r>
        <w:rPr>
          <w:rFonts w:hint="eastAsia" w:ascii="宋体" w:hAnsi="宋体" w:eastAsia="宋体" w:cs="宋体"/>
          <w:sz w:val="24"/>
          <w:szCs w:val="24"/>
        </w:rPr>
        <w:t xml:space="preserve">  ——钻井液杯容量，</w:t>
      </w:r>
      <w:bookmarkStart w:id="48" w:name="_Hlk67404639"/>
      <w:r>
        <w:rPr>
          <w:rFonts w:hint="eastAsia" w:ascii="宋体" w:hAnsi="宋体" w:eastAsia="宋体" w:cs="宋体"/>
          <w:sz w:val="24"/>
          <w:szCs w:val="24"/>
        </w:rPr>
        <w:t>单位为毫升（mL）</w:t>
      </w:r>
      <w:bookmarkEnd w:id="48"/>
      <w:r>
        <w:rPr>
          <w:rFonts w:hint="eastAsia" w:ascii="宋体" w:hAnsi="宋体" w:eastAsia="宋体" w:cs="宋体"/>
          <w:sz w:val="24"/>
          <w:szCs w:val="24"/>
        </w:rPr>
        <w:t>；</w:t>
      </w:r>
    </w:p>
    <w:p>
      <w:pPr>
        <w:pStyle w:val="141"/>
        <w:ind w:firstLine="420"/>
        <w:rPr>
          <w:rFonts w:hint="eastAsia" w:ascii="宋体" w:hAnsi="宋体" w:eastAsia="宋体" w:cs="宋体"/>
          <w:kern w:val="2"/>
          <w:sz w:val="24"/>
          <w:szCs w:val="24"/>
        </w:rPr>
      </w:pP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m</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z</m:t>
            </m:r>
            <m:ctrlPr>
              <w:rPr>
                <w:rFonts w:hint="eastAsia" w:ascii="Cambria Math" w:hAnsi="Cambria Math" w:eastAsia="宋体" w:cs="宋体"/>
                <w:i/>
                <w:kern w:val="2"/>
                <w:sz w:val="24"/>
                <w:szCs w:val="24"/>
              </w:rPr>
            </m:ctrlPr>
          </m:sub>
        </m:sSub>
      </m:oMath>
      <w:r>
        <w:rPr>
          <w:rFonts w:hint="eastAsia" w:ascii="宋体" w:hAnsi="宋体" w:eastAsia="宋体" w:cs="宋体"/>
          <w:kern w:val="2"/>
          <w:sz w:val="24"/>
          <w:szCs w:val="24"/>
        </w:rPr>
        <w:t>——</w:t>
      </w:r>
      <w:r>
        <w:rPr>
          <w:rFonts w:hint="eastAsia" w:ascii="宋体" w:hAnsi="宋体" w:eastAsia="宋体" w:cs="宋体"/>
          <w:sz w:val="24"/>
          <w:szCs w:val="24"/>
        </w:rPr>
        <w:t>钻井液杯内蒸馏水的质量，</w:t>
      </w:r>
      <w:bookmarkStart w:id="49" w:name="_Hlk67404686"/>
      <w:r>
        <w:rPr>
          <w:rFonts w:hint="eastAsia" w:ascii="宋体" w:hAnsi="宋体" w:eastAsia="宋体" w:cs="宋体"/>
          <w:sz w:val="24"/>
          <w:szCs w:val="24"/>
        </w:rPr>
        <w:t>单位为克（g）</w:t>
      </w:r>
      <w:bookmarkEnd w:id="49"/>
      <w:r>
        <w:rPr>
          <w:rFonts w:hint="eastAsia" w:ascii="宋体" w:hAnsi="宋体" w:eastAsia="宋体" w:cs="宋体"/>
          <w:sz w:val="24"/>
          <w:szCs w:val="24"/>
        </w:rPr>
        <w:t>；</w:t>
      </w:r>
    </w:p>
    <w:p>
      <w:pPr>
        <w:pStyle w:val="141"/>
        <w:ind w:firstLine="420"/>
        <w:rPr>
          <w:rFonts w:hint="eastAsia" w:ascii="宋体" w:hAnsi="宋体" w:eastAsia="宋体" w:cs="宋体"/>
          <w:kern w:val="2"/>
          <w:sz w:val="24"/>
          <w:szCs w:val="24"/>
        </w:rPr>
      </w:pP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rPr>
              <m:t>m</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b</m:t>
            </m:r>
            <m:ctrlPr>
              <w:rPr>
                <w:rFonts w:hint="eastAsia" w:ascii="Cambria Math" w:hAnsi="Cambria Math" w:eastAsia="宋体" w:cs="宋体"/>
                <w:i/>
                <w:kern w:val="2"/>
                <w:sz w:val="24"/>
                <w:szCs w:val="24"/>
              </w:rPr>
            </m:ctrlPr>
          </m:sub>
        </m:sSub>
      </m:oMath>
      <w:r>
        <w:rPr>
          <w:rFonts w:hint="eastAsia" w:ascii="宋体" w:hAnsi="宋体" w:eastAsia="宋体" w:cs="宋体"/>
          <w:kern w:val="2"/>
          <w:sz w:val="24"/>
          <w:szCs w:val="24"/>
        </w:rPr>
        <w:t>——</w:t>
      </w:r>
      <w:r>
        <w:rPr>
          <w:rFonts w:hint="eastAsia" w:ascii="宋体" w:hAnsi="宋体" w:eastAsia="宋体" w:cs="宋体"/>
          <w:sz w:val="24"/>
          <w:szCs w:val="24"/>
        </w:rPr>
        <w:t>钻井液杯和杯盖内的残留量，单位为克（g）；</w:t>
      </w:r>
    </w:p>
    <w:p>
      <w:pPr>
        <w:pStyle w:val="141"/>
        <w:ind w:firstLine="420"/>
        <w:rPr>
          <w:rFonts w:hint="eastAsia" w:ascii="宋体" w:hAnsi="宋体" w:eastAsia="宋体" w:cs="宋体"/>
          <w:sz w:val="24"/>
          <w:szCs w:val="24"/>
        </w:rPr>
      </w:pPr>
      <m:oMath>
        <m:r>
          <m:rPr/>
          <w:rPr>
            <w:rFonts w:hint="eastAsia" w:ascii="Cambria Math" w:hAnsi="Cambria Math" w:eastAsia="宋体" w:cs="宋体"/>
            <w:sz w:val="24"/>
            <w:szCs w:val="24"/>
          </w:rPr>
          <m:t>ρ</m:t>
        </m:r>
      </m:oMath>
      <w:r>
        <w:rPr>
          <w:rFonts w:hint="eastAsia" w:ascii="宋体" w:hAnsi="宋体" w:eastAsia="宋体" w:cs="宋体"/>
          <w:sz w:val="24"/>
          <w:szCs w:val="24"/>
        </w:rPr>
        <w:t xml:space="preserve">  </w:t>
      </w:r>
      <w:r>
        <w:rPr>
          <w:rFonts w:hint="eastAsia" w:ascii="宋体" w:hAnsi="宋体" w:eastAsia="宋体" w:cs="宋体"/>
          <w:kern w:val="2"/>
          <w:sz w:val="24"/>
          <w:szCs w:val="24"/>
        </w:rPr>
        <w:t>——</w:t>
      </w:r>
      <w:r>
        <w:rPr>
          <w:rFonts w:hint="eastAsia" w:ascii="宋体" w:hAnsi="宋体" w:eastAsia="宋体" w:cs="宋体"/>
          <w:sz w:val="24"/>
          <w:szCs w:val="24"/>
        </w:rPr>
        <w:t>钻井液杯内蒸馏水的密度值，</w:t>
      </w:r>
      <w:bookmarkStart w:id="50" w:name="_Hlk67404733"/>
      <w:r>
        <w:rPr>
          <w:rFonts w:hint="eastAsia" w:ascii="宋体" w:hAnsi="宋体" w:eastAsia="宋体" w:cs="宋体"/>
          <w:sz w:val="24"/>
          <w:szCs w:val="24"/>
        </w:rPr>
        <w:t>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bookmarkEnd w:id="50"/>
      <w:r>
        <w:rPr>
          <w:rFonts w:hint="eastAsia" w:ascii="宋体" w:hAnsi="宋体" w:eastAsia="宋体" w:cs="宋体"/>
          <w:sz w:val="24"/>
          <w:szCs w:val="24"/>
        </w:rPr>
        <w:t>。</w:t>
      </w:r>
    </w:p>
    <w:p>
      <w:pPr>
        <w:pStyle w:val="151"/>
        <w:ind w:left="0"/>
        <w:rPr>
          <w:rFonts w:hint="eastAsia" w:ascii="宋体" w:hAnsi="宋体" w:eastAsia="宋体" w:cs="宋体"/>
          <w:sz w:val="24"/>
          <w:szCs w:val="24"/>
        </w:rPr>
      </w:pPr>
      <w:r>
        <w:rPr>
          <w:rFonts w:hint="eastAsia" w:ascii="宋体" w:hAnsi="宋体" w:eastAsia="宋体" w:cs="宋体"/>
          <w:sz w:val="24"/>
          <w:szCs w:val="24"/>
        </w:rPr>
        <w:t>计算得出的杯容量，应符合5.3的要求。</w:t>
      </w:r>
    </w:p>
    <w:p>
      <w:pPr>
        <w:pStyle w:val="147"/>
        <w:spacing w:before="120" w:after="120"/>
        <w:rPr>
          <w:rFonts w:hint="eastAsia" w:ascii="黑体" w:hAnsi="黑体" w:eastAsia="黑体" w:cs="黑体"/>
          <w:sz w:val="24"/>
          <w:szCs w:val="24"/>
        </w:rPr>
      </w:pPr>
      <w:r>
        <w:rPr>
          <w:rFonts w:hint="eastAsia" w:ascii="黑体" w:hAnsi="黑体" w:eastAsia="黑体" w:cs="黑体"/>
          <w:sz w:val="24"/>
          <w:szCs w:val="24"/>
        </w:rPr>
        <w:t>灵敏限</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将密度计清洗晾干，在杯中放入M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级砝码，移动游码至上限值附近，使杠杆平衡（气泡位于中线）；在杯盖的中心加放能打破杠杆平衡即</w:t>
      </w:r>
      <w:r>
        <w:rPr>
          <w:rFonts w:hint="eastAsia" w:asciiTheme="minorEastAsia" w:hAnsiTheme="minorEastAsia" w:eastAsiaTheme="minorEastAsia" w:cstheme="minorEastAsia"/>
          <w:sz w:val="24"/>
          <w:szCs w:val="24"/>
          <w:lang w:val="en-US" w:eastAsia="zh-CN"/>
        </w:rPr>
        <w:t>肉眼观察气泡移动</w:t>
      </w:r>
      <w:r>
        <w:rPr>
          <w:rFonts w:hint="eastAsia" w:asciiTheme="minorEastAsia" w:hAnsiTheme="minorEastAsia" w:eastAsiaTheme="minorEastAsia" w:cstheme="minorEastAsia"/>
          <w:sz w:val="24"/>
          <w:szCs w:val="24"/>
        </w:rPr>
        <w:t>的砝码质量，该质量值为密度计的灵敏限，应符合表1的规定。</w:t>
      </w:r>
    </w:p>
    <w:p>
      <w:pPr>
        <w:pStyle w:val="147"/>
        <w:spacing w:before="120" w:after="120"/>
        <w:rPr>
          <w:rFonts w:hint="eastAsia" w:ascii="黑体" w:hAnsi="黑体" w:eastAsia="黑体" w:cs="黑体"/>
          <w:sz w:val="24"/>
          <w:szCs w:val="24"/>
        </w:rPr>
      </w:pPr>
      <w:r>
        <w:rPr>
          <w:rFonts w:hint="eastAsia" w:ascii="黑体" w:hAnsi="黑体" w:eastAsia="黑体" w:cs="黑体"/>
          <w:sz w:val="24"/>
          <w:szCs w:val="24"/>
        </w:rPr>
        <w:t>示值误差</w:t>
      </w:r>
    </w:p>
    <w:p>
      <w:pPr>
        <w:pStyle w:val="152"/>
        <w:spacing w:before="120" w:after="120"/>
        <w:ind w:left="0"/>
        <w:rPr>
          <w:rFonts w:hint="eastAsia" w:ascii="黑体" w:hAnsi="黑体" w:eastAsia="黑体" w:cs="黑体"/>
          <w:sz w:val="24"/>
          <w:szCs w:val="24"/>
        </w:rPr>
      </w:pPr>
      <w:r>
        <w:rPr>
          <w:rFonts w:hint="eastAsia" w:ascii="黑体" w:hAnsi="黑体" w:eastAsia="黑体" w:cs="黑体"/>
          <w:sz w:val="24"/>
          <w:szCs w:val="24"/>
        </w:rPr>
        <w:t>校准点的确定</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首次校准和修理后的密度计，按表2规定的五个点校准；使用中的密度计，按表2规定带星号的两点校准。</w:t>
      </w:r>
    </w:p>
    <w:p>
      <w:pPr>
        <w:pStyle w:val="152"/>
        <w:spacing w:before="120" w:after="120"/>
        <w:ind w:left="0"/>
        <w:rPr>
          <w:rFonts w:hint="eastAsia" w:ascii="黑体" w:hAnsi="黑体" w:eastAsia="黑体" w:cs="黑体"/>
          <w:sz w:val="24"/>
          <w:szCs w:val="24"/>
        </w:rPr>
      </w:pPr>
      <w:r>
        <w:rPr>
          <w:rFonts w:hint="eastAsia" w:ascii="黑体" w:hAnsi="黑体" w:eastAsia="黑体" w:cs="黑体"/>
          <w:sz w:val="24"/>
          <w:szCs w:val="24"/>
        </w:rPr>
        <w:t>“1.00 g/cm</w:t>
      </w:r>
      <w:r>
        <w:rPr>
          <w:rFonts w:hint="eastAsia" w:ascii="黑体" w:hAnsi="黑体" w:eastAsia="黑体" w:cs="黑体"/>
          <w:sz w:val="24"/>
          <w:szCs w:val="24"/>
          <w:vertAlign w:val="superscript"/>
        </w:rPr>
        <w:t>3</w:t>
      </w:r>
      <w:r>
        <w:rPr>
          <w:rFonts w:hint="eastAsia" w:ascii="黑体" w:hAnsi="黑体" w:eastAsia="黑体" w:cs="黑体"/>
          <w:sz w:val="24"/>
          <w:szCs w:val="24"/>
        </w:rPr>
        <w:t>”的校准</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“1.00 g/cm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”的校准应符合以下要求：</w:t>
      </w:r>
    </w:p>
    <w:p>
      <w:pPr>
        <w:pStyle w:val="155"/>
        <w:ind w:left="850" w:hanging="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将密度计各部位</w:t>
      </w:r>
      <w:r>
        <w:rPr>
          <w:rFonts w:hint="eastAsia" w:asciiTheme="minorEastAsia" w:hAnsiTheme="minorEastAsia" w:eastAsiaTheme="minorEastAsia" w:cstheme="minorEastAsia"/>
          <w:sz w:val="24"/>
          <w:szCs w:val="24"/>
          <w:lang w:val="en-US" w:eastAsia="zh-CN"/>
        </w:rPr>
        <w:t>洗净</w:t>
      </w:r>
      <w:r>
        <w:rPr>
          <w:rFonts w:hint="eastAsia" w:asciiTheme="minorEastAsia" w:hAnsiTheme="minorEastAsia" w:eastAsiaTheme="minorEastAsia" w:cstheme="minorEastAsia"/>
          <w:sz w:val="24"/>
          <w:szCs w:val="24"/>
        </w:rPr>
        <w:t>、擦干。向杯内缓慢注满蒸馏水，除去气泡，轻轻旋转，盖严杯盖，擦干杯及杯盖外表面。将刀口轻轻放置在刀承上，移动游码，对准“1.00 g/cm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”，若不平衡，可增减平衡柱内的铅粒，使杠杆平衡（气泡位于中线）。</w:t>
      </w:r>
    </w:p>
    <w:p>
      <w:pPr>
        <w:pStyle w:val="155"/>
        <w:ind w:left="850" w:hanging="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将杯内蒸馏水倒入烧杯内，用天平称量蒸馏水质量，再加上杯及杯盖内表面的残留量（一般胶木制杯取0.21 g，金属制杯取0.32 g）,得出杯容纳蒸馏水的总质量，用M表示。</w:t>
      </w:r>
    </w:p>
    <w:p>
      <w:pPr>
        <w:pStyle w:val="152"/>
        <w:spacing w:before="120" w:after="120"/>
        <w:ind w:left="0"/>
        <w:rPr>
          <w:rFonts w:hint="eastAsia" w:ascii="黑体" w:hAnsi="黑体" w:eastAsia="黑体" w:cs="黑体"/>
          <w:sz w:val="24"/>
          <w:szCs w:val="24"/>
        </w:rPr>
      </w:pPr>
      <w:r>
        <w:rPr>
          <w:rFonts w:hint="eastAsia" w:ascii="黑体" w:hAnsi="黑体" w:eastAsia="黑体" w:cs="黑体"/>
          <w:sz w:val="24"/>
          <w:szCs w:val="24"/>
        </w:rPr>
        <w:t>其他点校准</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其他点校准应符合以下要求：</w:t>
      </w:r>
    </w:p>
    <w:p>
      <w:pPr>
        <w:pStyle w:val="155"/>
        <w:numPr>
          <w:ilvl w:val="0"/>
          <w:numId w:val="16"/>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将钻井液杯</w:t>
      </w:r>
      <w:r>
        <w:rPr>
          <w:rFonts w:hint="eastAsia" w:asciiTheme="minorEastAsia" w:hAnsiTheme="minorEastAsia" w:eastAsiaTheme="minorEastAsia" w:cstheme="minorEastAsia"/>
          <w:sz w:val="24"/>
          <w:szCs w:val="24"/>
          <w:lang w:val="en-US" w:eastAsia="zh-CN"/>
        </w:rPr>
        <w:t>洗净、擦干</w:t>
      </w:r>
      <w:r>
        <w:rPr>
          <w:rFonts w:hint="eastAsia" w:asciiTheme="minorEastAsia" w:hAnsiTheme="minorEastAsia" w:eastAsiaTheme="minorEastAsia" w:cstheme="minorEastAsia"/>
          <w:sz w:val="24"/>
          <w:szCs w:val="24"/>
        </w:rPr>
        <w:t>。在杯内放入“M×n”( M—钻井液杯容纳蒸馏水质量；n—密度计校准点的数值)相应质量的M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级砝码，盖上杯盖。将刀口轻轻放置在刀承上，在杯盖中心放上差值砝码（“M×n”减去相应的M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级砝码的差值），移动游码，使杠杆平衡（气泡位于中线），记录测得值。</w:t>
      </w:r>
    </w:p>
    <w:p>
      <w:pPr>
        <w:pStyle w:val="15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以同样方法，重新放置M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级砝码和差值砝码，进行第二次和第三次校准，三次测得值的平均值与对应点的差值，应符合表2的规定</w:t>
      </w:r>
      <w:r>
        <w:rPr>
          <w:rFonts w:hint="eastAsia" w:asciiTheme="minorEastAsia" w:hAnsiTheme="minorEastAsia" w:eastAsiaTheme="minorEastAsia" w:cstheme="minorEastAsia"/>
          <w:sz w:val="24"/>
          <w:szCs w:val="24"/>
          <w:lang w:eastAsia="zh-CN"/>
        </w:rPr>
        <w:t>。</w:t>
      </w:r>
    </w:p>
    <w:p>
      <w:pPr>
        <w:pStyle w:val="140"/>
        <w:spacing w:before="240" w:after="240"/>
        <w:rPr>
          <w:rFonts w:hint="eastAsia" w:ascii="黑体" w:hAnsi="黑体" w:eastAsia="黑体" w:cs="黑体"/>
          <w:sz w:val="24"/>
          <w:szCs w:val="24"/>
        </w:rPr>
      </w:pPr>
      <w:bookmarkStart w:id="51" w:name="_Toc91170714"/>
      <w:bookmarkStart w:id="52" w:name="_Toc91169894"/>
      <w:r>
        <w:rPr>
          <w:rFonts w:hint="eastAsia" w:ascii="黑体" w:hAnsi="黑体" w:eastAsia="黑体" w:cs="黑体"/>
          <w:sz w:val="24"/>
          <w:szCs w:val="24"/>
        </w:rPr>
        <w:t>校准结果</w:t>
      </w:r>
      <w:bookmarkEnd w:id="51"/>
      <w:bookmarkEnd w:id="52"/>
    </w:p>
    <w:p>
      <w:pPr>
        <w:pStyle w:val="14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密度计校准结果应符合附录C的格式，属于资料性附录。</w:t>
      </w:r>
    </w:p>
    <w:p>
      <w:pPr>
        <w:pStyle w:val="14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密度计校准证书应符合附录D的格式，属于资料性附录。</w:t>
      </w:r>
    </w:p>
    <w:p>
      <w:pPr>
        <w:pStyle w:val="140"/>
        <w:spacing w:before="240" w:after="240"/>
        <w:rPr>
          <w:rFonts w:hint="eastAsia" w:ascii="黑体" w:hAnsi="黑体" w:eastAsia="黑体" w:cs="黑体"/>
          <w:sz w:val="24"/>
          <w:szCs w:val="24"/>
        </w:rPr>
      </w:pPr>
      <w:bookmarkStart w:id="53" w:name="_Toc91169895"/>
      <w:bookmarkStart w:id="54" w:name="_Toc91170715"/>
      <w:r>
        <w:rPr>
          <w:rFonts w:hint="eastAsia" w:ascii="黑体" w:hAnsi="黑体" w:eastAsia="黑体" w:cs="黑体"/>
          <w:sz w:val="24"/>
          <w:szCs w:val="24"/>
        </w:rPr>
        <w:t>复校时间间隔</w:t>
      </w:r>
      <w:bookmarkEnd w:id="53"/>
      <w:bookmarkEnd w:id="54"/>
    </w:p>
    <w:p>
      <w:pPr>
        <w:pStyle w:val="141"/>
        <w:ind w:firstLine="420"/>
        <w:rPr>
          <w:rFonts w:hint="default" w:asciiTheme="minorEastAsia" w:hAnsiTheme="minorEastAsia" w:eastAsiaTheme="minorEastAsia" w:cstheme="minorEastAsia"/>
          <w:sz w:val="24"/>
          <w:szCs w:val="24"/>
          <w:lang w:val="en-US" w:eastAsia="zh-CN"/>
        </w:rPr>
        <w:sectPr>
          <w:footerReference r:id="rId6" w:type="default"/>
          <w:pgSz w:w="11906" w:h="16838"/>
          <w:pgMar w:top="2410" w:right="1134" w:bottom="1134" w:left="1134" w:header="1418" w:footer="1134" w:gutter="284"/>
          <w:pgNumType w:fmt="decimal" w:start="1"/>
          <w:cols w:space="425" w:num="1"/>
          <w:formProt w:val="0"/>
          <w:docGrid w:linePitch="312" w:charSpace="0"/>
        </w:sectPr>
      </w:pPr>
      <w:r>
        <w:rPr>
          <w:rFonts w:hint="eastAsia" w:asciiTheme="minorEastAsia" w:hAnsiTheme="minorEastAsia" w:eastAsiaTheme="minorEastAsia" w:cstheme="minorEastAsia"/>
          <w:sz w:val="24"/>
          <w:szCs w:val="24"/>
        </w:rPr>
        <w:t>建议复校时间间隔为6个月。</w:t>
      </w:r>
      <w:r>
        <w:rPr>
          <w:rFonts w:hint="eastAsia" w:asciiTheme="minorEastAsia" w:hAnsiTheme="minorEastAsia" w:eastAsiaTheme="minorEastAsia" w:cstheme="minorEastAsia"/>
          <w:sz w:val="24"/>
          <w:szCs w:val="24"/>
          <w:lang w:val="en-US" w:eastAsia="zh-CN"/>
        </w:rPr>
        <w:t>由于复效时间间隔的长短是由仪器的使用情况、使用者、仪器本身质量等诸多因素所决定，因此，送校单位可根据实际使用情况自主决定复效时间间隔。</w:t>
      </w:r>
    </w:p>
    <w:p>
      <w:pPr>
        <w:pStyle w:val="156"/>
        <w:rPr>
          <w:vanish w:val="0"/>
        </w:rPr>
      </w:pPr>
      <w:bookmarkStart w:id="55" w:name="BookMark5"/>
    </w:p>
    <w:p>
      <w:pPr>
        <w:pStyle w:val="157"/>
        <w:rPr>
          <w:vanish w:val="0"/>
        </w:rPr>
      </w:pPr>
    </w:p>
    <w:p>
      <w:pPr>
        <w:pStyle w:val="158"/>
        <w:numPr>
          <w:ilvl w:val="0"/>
          <w:numId w:val="0"/>
        </w:numPr>
        <w:spacing w:before="60" w:after="120"/>
        <w:jc w:val="both"/>
        <w:rPr>
          <w:rFonts w:hint="default" w:eastAsia="黑体"/>
          <w:lang w:val="en-US" w:eastAsia="zh-CN"/>
        </w:rPr>
      </w:pPr>
      <w:bookmarkStart w:id="56" w:name="_Toc91170716"/>
      <w:bookmarkStart w:id="57" w:name="_Toc91169896"/>
      <w:r>
        <w:rPr>
          <w:rFonts w:hint="eastAsia"/>
          <w:lang w:val="en-US" w:eastAsia="zh-CN"/>
        </w:rPr>
        <w:t>附录A</w:t>
      </w:r>
    </w:p>
    <w:p>
      <w:pPr>
        <w:pStyle w:val="158"/>
        <w:numPr>
          <w:ilvl w:val="0"/>
          <w:numId w:val="0"/>
        </w:numPr>
        <w:spacing w:before="60" w:after="120"/>
        <w:jc w:val="center"/>
      </w:pPr>
      <w:r>
        <w:br w:type="textWrapping"/>
      </w:r>
      <w:r>
        <w:rPr>
          <w:rFonts w:hint="eastAsia"/>
          <w:sz w:val="28"/>
          <w:szCs w:val="28"/>
        </w:rPr>
        <w:t>纯水在标准大气压下的密度值</w:t>
      </w:r>
      <w:bookmarkEnd w:id="56"/>
      <w:bookmarkEnd w:id="57"/>
    </w:p>
    <w:p>
      <w:pPr>
        <w:pStyle w:val="141"/>
        <w:ind w:firstLine="420"/>
        <w:rPr>
          <w:rFonts w:hint="eastAsia" w:ascii="宋体" w:hAnsi="宋体" w:eastAsia="宋体" w:cs="宋体"/>
          <w:sz w:val="24"/>
          <w:szCs w:val="24"/>
        </w:rPr>
      </w:pPr>
      <w:r>
        <w:rPr>
          <w:rFonts w:hint="eastAsia" w:ascii="宋体" w:hAnsi="宋体" w:eastAsia="宋体" w:cs="宋体"/>
          <w:sz w:val="24"/>
          <w:szCs w:val="24"/>
        </w:rPr>
        <w:t>纯水在标准大气压下的密度值见表A.1。</w:t>
      </w:r>
    </w:p>
    <w:p>
      <w:pPr>
        <w:pStyle w:val="159"/>
        <w:spacing w:before="120" w:after="120"/>
      </w:pPr>
      <w:r>
        <w:rPr>
          <w:rFonts w:hint="eastAsia"/>
        </w:rPr>
        <w:t>纯水在标准大气压下的密度值</w:t>
      </w:r>
    </w:p>
    <w:tbl>
      <w:tblPr>
        <w:tblStyle w:val="30"/>
        <w:tblW w:w="5020" w:type="pct"/>
        <w:jc w:val="center"/>
        <w:tblLayout w:type="autofit"/>
        <w:tblCellMar>
          <w:top w:w="0" w:type="dxa"/>
          <w:left w:w="10" w:type="dxa"/>
          <w:bottom w:w="0" w:type="dxa"/>
          <w:right w:w="10" w:type="dxa"/>
        </w:tblCellMar>
      </w:tblPr>
      <w:tblGrid>
        <w:gridCol w:w="2391"/>
        <w:gridCol w:w="2392"/>
        <w:gridCol w:w="48"/>
        <w:gridCol w:w="2188"/>
        <w:gridCol w:w="2392"/>
      </w:tblGrid>
      <w:tr>
        <w:tblPrEx>
          <w:tblCellMar>
            <w:top w:w="0" w:type="dxa"/>
            <w:left w:w="10" w:type="dxa"/>
            <w:bottom w:w="0" w:type="dxa"/>
            <w:right w:w="10" w:type="dxa"/>
          </w:tblCellMar>
        </w:tblPrEx>
        <w:trPr>
          <w:trHeight w:val="734" w:hRule="exact"/>
          <w:jc w:val="center"/>
        </w:trPr>
        <w:tc>
          <w:tcPr>
            <w:tcW w:w="1244" w:type="pct"/>
            <w:tcBorders>
              <w:top w:val="single" w:color="auto" w:sz="8"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温度</w:t>
            </w:r>
            <w:r>
              <w:rPr>
                <w:rFonts w:hint="eastAsia" w:ascii="宋体" w:hAnsi="宋体" w:eastAsia="宋体" w:cs="宋体"/>
                <w:color w:val="000000"/>
                <w:kern w:val="0"/>
                <w:sz w:val="21"/>
                <w:szCs w:val="21"/>
                <w:lang w:val="zh-TW" w:bidi="zh-TW"/>
              </w:rPr>
              <w:t xml:space="preserve"> /</w:t>
            </w:r>
            <w:r>
              <w:rPr>
                <w:rFonts w:hint="eastAsia" w:ascii="宋体" w:hAnsi="宋体" w:eastAsia="宋体" w:cs="宋体"/>
                <w:color w:val="000000"/>
                <w:kern w:val="0"/>
                <w:sz w:val="21"/>
                <w:szCs w:val="21"/>
                <w:lang w:bidi="en-US"/>
              </w:rPr>
              <w:t>℃</w:t>
            </w:r>
          </w:p>
        </w:tc>
        <w:tc>
          <w:tcPr>
            <w:tcW w:w="1244" w:type="pct"/>
            <w:tcBorders>
              <w:top w:val="single" w:color="auto" w:sz="8" w:space="0"/>
              <w:left w:val="single" w:color="auto" w:sz="4" w:space="0"/>
              <w:righ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val="zh-TW" w:bidi="zh-TW"/>
              </w:rPr>
              <w:t>密度值 /（</w:t>
            </w:r>
            <w:r>
              <w:rPr>
                <w:rFonts w:hint="eastAsia" w:ascii="宋体" w:hAnsi="宋体" w:eastAsia="宋体" w:cs="宋体"/>
                <w:color w:val="000000"/>
                <w:kern w:val="0"/>
                <w:sz w:val="21"/>
                <w:szCs w:val="21"/>
                <w:lang w:eastAsia="en-US" w:bidi="en-US"/>
              </w:rPr>
              <w:t>g/cm</w:t>
            </w:r>
            <w:r>
              <w:rPr>
                <w:rFonts w:hint="eastAsia" w:ascii="宋体" w:hAnsi="宋体" w:eastAsia="宋体" w:cs="宋体"/>
                <w:color w:val="000000"/>
                <w:kern w:val="0"/>
                <w:sz w:val="21"/>
                <w:szCs w:val="21"/>
                <w:vertAlign w:val="superscript"/>
                <w:lang w:eastAsia="en-US" w:bidi="en-US"/>
              </w:rPr>
              <w:t>3</w:t>
            </w:r>
            <w:r>
              <w:rPr>
                <w:rFonts w:hint="eastAsia" w:ascii="宋体" w:hAnsi="宋体" w:eastAsia="宋体" w:cs="宋体"/>
                <w:color w:val="000000"/>
                <w:kern w:val="0"/>
                <w:sz w:val="21"/>
                <w:szCs w:val="21"/>
                <w:lang w:val="zh-TW" w:bidi="zh-TW"/>
              </w:rPr>
              <w:t>）</w:t>
            </w:r>
          </w:p>
        </w:tc>
        <w:tc>
          <w:tcPr>
            <w:tcW w:w="25" w:type="pct"/>
            <w:tcBorders>
              <w:top w:val="single" w:color="auto" w:sz="4" w:space="0"/>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8"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温度</w:t>
            </w:r>
            <w:r>
              <w:rPr>
                <w:rFonts w:hint="eastAsia" w:ascii="宋体" w:hAnsi="宋体" w:eastAsia="宋体" w:cs="宋体"/>
                <w:color w:val="000000"/>
                <w:kern w:val="0"/>
                <w:sz w:val="21"/>
                <w:szCs w:val="21"/>
                <w:lang w:val="zh-TW" w:bidi="zh-TW"/>
              </w:rPr>
              <w:t xml:space="preserve"> </w:t>
            </w:r>
            <w:r>
              <w:rPr>
                <w:rFonts w:hint="eastAsia" w:ascii="宋体" w:hAnsi="宋体" w:eastAsia="宋体" w:cs="宋体"/>
                <w:color w:val="000000"/>
                <w:kern w:val="0"/>
                <w:sz w:val="21"/>
                <w:szCs w:val="21"/>
                <w:lang w:val="zh-TW" w:eastAsia="zh-TW" w:bidi="zh-TW"/>
              </w:rPr>
              <w:t>/</w:t>
            </w:r>
            <w:r>
              <w:rPr>
                <w:rFonts w:hint="eastAsia" w:ascii="宋体" w:hAnsi="宋体" w:eastAsia="宋体" w:cs="宋体"/>
                <w:color w:val="000000"/>
                <w:kern w:val="0"/>
                <w:sz w:val="21"/>
                <w:szCs w:val="21"/>
                <w:lang w:bidi="en-US"/>
              </w:rPr>
              <w:t>℃</w:t>
            </w:r>
          </w:p>
        </w:tc>
        <w:tc>
          <w:tcPr>
            <w:tcW w:w="1244" w:type="pct"/>
            <w:tcBorders>
              <w:top w:val="single" w:color="auto" w:sz="8"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val="zh-TW" w:bidi="zh-TW"/>
              </w:rPr>
              <w:t xml:space="preserve">密度值 </w:t>
            </w:r>
            <w:r>
              <w:rPr>
                <w:rFonts w:hint="eastAsia" w:ascii="宋体" w:hAnsi="宋体" w:eastAsia="宋体" w:cs="宋体"/>
                <w:color w:val="000000"/>
                <w:kern w:val="0"/>
                <w:sz w:val="21"/>
                <w:szCs w:val="21"/>
                <w:lang w:val="zh-TW" w:eastAsia="zh-TW" w:bidi="zh-TW"/>
              </w:rPr>
              <w:t>/</w:t>
            </w:r>
            <w:r>
              <w:rPr>
                <w:rFonts w:hint="eastAsia" w:ascii="宋体" w:hAnsi="宋体" w:eastAsia="宋体" w:cs="宋体"/>
                <w:color w:val="000000"/>
                <w:kern w:val="0"/>
                <w:sz w:val="21"/>
                <w:szCs w:val="21"/>
                <w:lang w:val="zh-TW" w:bidi="zh-TW"/>
              </w:rPr>
              <w:t>（</w:t>
            </w:r>
            <w:r>
              <w:rPr>
                <w:rFonts w:hint="eastAsia" w:ascii="宋体" w:hAnsi="宋体" w:eastAsia="宋体" w:cs="宋体"/>
                <w:color w:val="000000"/>
                <w:kern w:val="0"/>
                <w:sz w:val="21"/>
                <w:szCs w:val="21"/>
                <w:lang w:eastAsia="en-US" w:bidi="en-US"/>
              </w:rPr>
              <w:t>g/cm</w:t>
            </w:r>
            <w:r>
              <w:rPr>
                <w:rFonts w:hint="eastAsia" w:ascii="宋体" w:hAnsi="宋体" w:eastAsia="宋体" w:cs="宋体"/>
                <w:color w:val="000000"/>
                <w:kern w:val="0"/>
                <w:sz w:val="21"/>
                <w:szCs w:val="21"/>
                <w:vertAlign w:val="superscript"/>
                <w:lang w:eastAsia="en-US" w:bidi="en-US"/>
              </w:rPr>
              <w:t>3</w:t>
            </w:r>
            <w:r>
              <w:rPr>
                <w:rFonts w:hint="eastAsia" w:ascii="宋体" w:hAnsi="宋体" w:eastAsia="宋体" w:cs="宋体"/>
                <w:color w:val="000000"/>
                <w:kern w:val="0"/>
                <w:sz w:val="21"/>
                <w:szCs w:val="21"/>
                <w:lang w:val="zh-TW" w:bidi="zh-TW"/>
              </w:rPr>
              <w:t>）</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4</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0.99997</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25</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val="zh-TW" w:bidi="zh-TW"/>
              </w:rPr>
              <w:t>0.99704</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5</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0.99996</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26</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0.99678</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6</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0.99994</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27</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0.99651</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7</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0.99990</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28</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0.99623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8</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0.99985</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29</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0.99594</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9</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0.99978</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30</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0.99565</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10</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0.99970</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bidi="en-US"/>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31</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0.99534</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11</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0.99960</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32</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0.99502</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12</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0.99950</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33</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0.99470</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13</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0.99938</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34</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0.99437</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14</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0.99924</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35</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0.99403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15</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0.99910</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36</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0.99368</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16</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0.99894</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37</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val="zh-TW" w:bidi="zh-TW"/>
              </w:rPr>
              <w:t>0.99333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17</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0.99877</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38</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0.99296</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18</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0.99859</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39</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0.99259</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19</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0.99840</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40</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0.99221</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20</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0.99820</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41</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0.99183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21</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0.99799</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42</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0.99143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22</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0.99777</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43</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0.99103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23</w:t>
            </w:r>
          </w:p>
        </w:tc>
        <w:tc>
          <w:tcPr>
            <w:tcW w:w="1244" w:type="pct"/>
            <w:tcBorders>
              <w:top w:val="single" w:color="auto" w:sz="4" w:space="0"/>
              <w:left w:val="single" w:color="auto" w:sz="4"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0.99754</w:t>
            </w:r>
          </w:p>
        </w:tc>
        <w:tc>
          <w:tcPr>
            <w:tcW w:w="25" w:type="pct"/>
            <w:tcBorders>
              <w:top w:val="nil"/>
              <w:left w:val="single" w:color="auto" w:sz="4" w:space="0"/>
              <w:bottom w:val="nil"/>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44</w:t>
            </w:r>
          </w:p>
        </w:tc>
        <w:tc>
          <w:tcPr>
            <w:tcW w:w="1244" w:type="pct"/>
            <w:tcBorders>
              <w:top w:val="single" w:color="auto" w:sz="4" w:space="0"/>
              <w:left w:val="single" w:color="auto" w:sz="4"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0.99063</w:t>
            </w:r>
          </w:p>
        </w:tc>
      </w:tr>
      <w:tr>
        <w:tblPrEx>
          <w:tblCellMar>
            <w:top w:w="0" w:type="dxa"/>
            <w:left w:w="10" w:type="dxa"/>
            <w:bottom w:w="0" w:type="dxa"/>
            <w:right w:w="10" w:type="dxa"/>
          </w:tblCellMar>
        </w:tblPrEx>
        <w:trPr>
          <w:trHeight w:val="454" w:hRule="exact"/>
          <w:jc w:val="center"/>
        </w:trPr>
        <w:tc>
          <w:tcPr>
            <w:tcW w:w="1244" w:type="pct"/>
            <w:tcBorders>
              <w:top w:val="single" w:color="auto" w:sz="4" w:space="0"/>
              <w:left w:val="single" w:color="auto" w:sz="8" w:space="0"/>
              <w:bottom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kern w:val="0"/>
                <w:sz w:val="21"/>
                <w:szCs w:val="21"/>
                <w:lang w:val="zh-TW" w:bidi="zh-TW"/>
              </w:rPr>
              <w:t>24</w:t>
            </w:r>
          </w:p>
        </w:tc>
        <w:tc>
          <w:tcPr>
            <w:tcW w:w="1244" w:type="pct"/>
            <w:tcBorders>
              <w:top w:val="single" w:color="auto" w:sz="4" w:space="0"/>
              <w:left w:val="single" w:color="auto" w:sz="4" w:space="0"/>
              <w:bottom w:val="single" w:color="auto" w:sz="8" w:space="0"/>
              <w:right w:val="single" w:color="auto" w:sz="4" w:space="0"/>
            </w:tcBorders>
            <w:shd w:val="clear" w:color="auto" w:fill="FFFFFF"/>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color w:val="000000"/>
                <w:sz w:val="21"/>
                <w:szCs w:val="21"/>
                <w:lang w:bidi="en-US"/>
              </w:rPr>
              <w:t>0.99730</w:t>
            </w:r>
          </w:p>
        </w:tc>
        <w:tc>
          <w:tcPr>
            <w:tcW w:w="25" w:type="pct"/>
            <w:tcBorders>
              <w:top w:val="nil"/>
              <w:left w:val="single" w:color="auto" w:sz="4" w:space="0"/>
              <w:bottom w:val="single" w:color="auto" w:sz="4" w:space="0"/>
              <w:right w:val="single" w:color="auto" w:sz="4" w:space="0"/>
            </w:tcBorders>
            <w:shd w:val="clear" w:color="auto" w:fill="FFFFFF"/>
          </w:tcPr>
          <w:p>
            <w:pPr>
              <w:numPr>
                <w:ilvl w:val="0"/>
                <w:numId w:val="17"/>
              </w:numPr>
              <w:adjustRightInd/>
              <w:spacing w:line="240" w:lineRule="auto"/>
              <w:jc w:val="center"/>
              <w:rPr>
                <w:rFonts w:hint="eastAsia" w:ascii="宋体" w:hAnsi="宋体" w:eastAsia="宋体" w:cs="宋体"/>
                <w:color w:val="000000"/>
                <w:kern w:val="0"/>
                <w:sz w:val="21"/>
                <w:szCs w:val="21"/>
                <w:lang w:val="zh-TW" w:eastAsia="zh-TW" w:bidi="zh-TW"/>
              </w:rPr>
            </w:pPr>
          </w:p>
        </w:tc>
        <w:tc>
          <w:tcPr>
            <w:tcW w:w="1138" w:type="pct"/>
            <w:tcBorders>
              <w:top w:val="single" w:color="auto" w:sz="4" w:space="0"/>
              <w:left w:val="single" w:color="auto" w:sz="4" w:space="0"/>
              <w:bottom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eastAsia="zh-TW" w:bidi="zh-TW"/>
              </w:rPr>
            </w:pPr>
            <w:r>
              <w:rPr>
                <w:rFonts w:hint="eastAsia" w:ascii="宋体" w:hAnsi="宋体" w:eastAsia="宋体" w:cs="宋体"/>
                <w:color w:val="000000"/>
                <w:kern w:val="0"/>
                <w:sz w:val="21"/>
                <w:szCs w:val="21"/>
                <w:lang w:val="zh-TW" w:eastAsia="zh-TW" w:bidi="zh-TW"/>
              </w:rPr>
              <w:t>45</w:t>
            </w:r>
          </w:p>
        </w:tc>
        <w:tc>
          <w:tcPr>
            <w:tcW w:w="1244" w:type="pct"/>
            <w:tcBorders>
              <w:top w:val="single" w:color="auto" w:sz="4" w:space="0"/>
              <w:left w:val="single" w:color="auto" w:sz="4" w:space="0"/>
              <w:bottom w:val="single" w:color="auto" w:sz="8" w:space="0"/>
              <w:right w:val="single" w:color="auto" w:sz="8" w:space="0"/>
            </w:tcBorders>
            <w:shd w:val="clear" w:color="auto" w:fill="FFFFFF"/>
            <w:vAlign w:val="center"/>
          </w:tcPr>
          <w:p>
            <w:pPr>
              <w:adjustRightInd/>
              <w:spacing w:line="240" w:lineRule="auto"/>
              <w:ind w:left="363"/>
              <w:jc w:val="center"/>
              <w:rPr>
                <w:rFonts w:hint="eastAsia" w:ascii="宋体" w:hAnsi="宋体" w:eastAsia="宋体" w:cs="宋体"/>
                <w:kern w:val="0"/>
                <w:sz w:val="21"/>
                <w:szCs w:val="21"/>
                <w:lang w:val="zh-TW" w:bidi="zh-TW"/>
              </w:rPr>
            </w:pPr>
            <w:r>
              <w:rPr>
                <w:rFonts w:hint="eastAsia" w:ascii="宋体" w:hAnsi="宋体" w:eastAsia="宋体" w:cs="宋体"/>
                <w:color w:val="000000"/>
                <w:kern w:val="0"/>
                <w:sz w:val="21"/>
                <w:szCs w:val="21"/>
                <w:lang w:bidi="en-US"/>
              </w:rPr>
              <w:t>0.99021</w:t>
            </w:r>
          </w:p>
        </w:tc>
      </w:tr>
    </w:tbl>
    <w:p>
      <w:pPr>
        <w:pStyle w:val="141"/>
        <w:ind w:firstLine="420"/>
      </w:pPr>
    </w:p>
    <w:p>
      <w:pPr>
        <w:pStyle w:val="141"/>
        <w:ind w:firstLine="420"/>
        <w:sectPr>
          <w:headerReference r:id="rId7" w:type="default"/>
          <w:footerReference r:id="rId9" w:type="default"/>
          <w:headerReference r:id="rId8" w:type="even"/>
          <w:footerReference r:id="rId10" w:type="even"/>
          <w:pgSz w:w="11906" w:h="16838"/>
          <w:pgMar w:top="2410" w:right="1134" w:bottom="1134" w:left="1134" w:header="1418" w:footer="1134" w:gutter="284"/>
          <w:pgNumType w:fmt="decimal"/>
          <w:cols w:space="425" w:num="1"/>
          <w:formProt w:val="0"/>
          <w:docGrid w:linePitch="312" w:charSpace="0"/>
        </w:sectPr>
      </w:pPr>
    </w:p>
    <w:p>
      <w:pPr>
        <w:pStyle w:val="156"/>
        <w:rPr>
          <w:vanish w:val="0"/>
        </w:rPr>
      </w:pPr>
    </w:p>
    <w:p>
      <w:pPr>
        <w:pStyle w:val="157"/>
        <w:rPr>
          <w:vanish w:val="0"/>
        </w:rPr>
      </w:pPr>
    </w:p>
    <w:p>
      <w:pPr>
        <w:pStyle w:val="158"/>
        <w:numPr>
          <w:ilvl w:val="0"/>
          <w:numId w:val="0"/>
        </w:numPr>
        <w:spacing w:before="60" w:after="120"/>
        <w:jc w:val="both"/>
        <w:rPr>
          <w:rFonts w:hint="eastAsia" w:asciiTheme="minorEastAsia" w:hAnsiTheme="minorEastAsia" w:eastAsiaTheme="minorEastAsia" w:cstheme="minorEastAsia"/>
          <w:sz w:val="24"/>
          <w:szCs w:val="24"/>
          <w:lang w:val="en-US" w:eastAsia="zh-CN"/>
        </w:rPr>
      </w:pPr>
      <w:bookmarkStart w:id="58" w:name="_Toc91170717"/>
      <w:bookmarkStart w:id="59" w:name="_Toc91169897"/>
      <w:r>
        <w:rPr>
          <w:rFonts w:hint="eastAsia" w:asciiTheme="minorEastAsia" w:hAnsiTheme="minorEastAsia" w:eastAsiaTheme="minorEastAsia" w:cstheme="minorEastAsia"/>
          <w:sz w:val="24"/>
          <w:szCs w:val="24"/>
          <w:lang w:val="en-US" w:eastAsia="zh-CN"/>
        </w:rPr>
        <w:t>附录B</w:t>
      </w:r>
    </w:p>
    <w:p>
      <w:pPr>
        <w:pStyle w:val="158"/>
        <w:numPr>
          <w:ilvl w:val="0"/>
          <w:numId w:val="0"/>
        </w:numPr>
        <w:spacing w:before="60" w:after="120"/>
        <w:jc w:val="center"/>
        <w:rPr>
          <w:rFonts w:hint="default" w:asciiTheme="minorEastAsia" w:hAnsiTheme="minorEastAsia" w:eastAsiaTheme="minorEastAsia" w:cstheme="minorEastAsia"/>
          <w:sz w:val="28"/>
          <w:szCs w:val="28"/>
          <w:lang w:val="en-US" w:eastAsia="zh-CN"/>
        </w:rPr>
      </w:pPr>
      <w:r>
        <w:rPr>
          <w:rFonts w:hint="eastAsia" w:ascii="黑体" w:hAnsi="黑体" w:eastAsia="黑体" w:cs="黑体"/>
          <w:sz w:val="28"/>
          <w:szCs w:val="28"/>
        </w:rPr>
        <w:t>钻井液密度计示值误差测量不确定度评定</w:t>
      </w:r>
      <w:bookmarkEnd w:id="58"/>
      <w:bookmarkEnd w:id="59"/>
      <w:r>
        <w:rPr>
          <w:rFonts w:hint="eastAsia" w:ascii="黑体" w:hAnsi="黑体" w:eastAsia="黑体" w:cs="黑体"/>
          <w:sz w:val="28"/>
          <w:szCs w:val="28"/>
          <w:lang w:val="en-US" w:eastAsia="zh-CN"/>
        </w:rPr>
        <w:t>与表示</w:t>
      </w:r>
    </w:p>
    <w:p>
      <w:pPr>
        <w:pStyle w:val="160"/>
        <w:spacing w:before="120" w:after="120"/>
        <w:rPr>
          <w:rFonts w:hint="eastAsia" w:ascii="黑体" w:hAnsi="黑体" w:eastAsia="黑体" w:cs="黑体"/>
          <w:sz w:val="24"/>
          <w:szCs w:val="24"/>
        </w:rPr>
      </w:pPr>
      <w:bookmarkStart w:id="60" w:name="_Toc91169898"/>
      <w:bookmarkStart w:id="61" w:name="_Toc91170718"/>
      <w:r>
        <w:rPr>
          <w:rFonts w:hint="eastAsia" w:ascii="黑体" w:hAnsi="黑体" w:eastAsia="黑体" w:cs="黑体"/>
          <w:sz w:val="24"/>
          <w:szCs w:val="24"/>
        </w:rPr>
        <w:t>钻井液密度计示值误差测量不确定度评定</w:t>
      </w:r>
      <w:bookmarkEnd w:id="60"/>
      <w:bookmarkEnd w:id="61"/>
    </w:p>
    <w:p>
      <w:pPr>
        <w:pStyle w:val="161"/>
        <w:spacing w:before="120" w:after="120"/>
        <w:rPr>
          <w:rFonts w:hint="eastAsia" w:ascii="黑体" w:hAnsi="黑体" w:eastAsia="黑体" w:cs="黑体"/>
          <w:sz w:val="24"/>
          <w:szCs w:val="24"/>
        </w:rPr>
      </w:pPr>
      <w:r>
        <w:rPr>
          <w:rFonts w:hint="eastAsia" w:ascii="黑体" w:hAnsi="黑体" w:eastAsia="黑体" w:cs="黑体"/>
          <w:sz w:val="24"/>
          <w:szCs w:val="24"/>
        </w:rPr>
        <w:t>测量方法</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杯内缓慢注满蒸馏水，除去气泡，轻轻旋转，盖严杯盖，擦干杯及杯盖外表面，取下杯盖，将杯盖底面的蒸馏水刮入杯内，将杯内蒸馏水倒入烧杯内，用天平称量蒸馏水质量，再加上杯及杯盖内表面的残留量（一般胶木制杯取0.21 g，金属制杯取0.32 g），得出杯容纳蒸馏水的质量，再用温度计测水温，查询水的密度值按公式计算出钻井液杯的容量，应符合140 ml±1 ml。首先对1.00 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进行校准，将密度计各部位清洗擦干，向杯内缓慢注满蒸馏水，除去气泡，轻轻旋转，盖严杯盖，擦干杯及杯盖外表面，将刀口轻轻放在刀承上，移动游码，对准“1.00 g/cm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若不平衡，可增减平衡柱内的铅粒，使杠杆平衡（气泡位于中线）。将杯内蒸馏水倒入烧杯内，用天平称量蒸馏水质量，再加上杯及杯盖内表面的残留量（一般胶木制杯取0.21 g，金属制杯取0.32 g），得出杯容纳的总质量。再对其他点进行校准，将钻井液杯擦干净，在杯内放入与相应质量的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级砝码，盖上杯盖，将刀口轻轻放在刀承上，在杯盖中心放上差值砝码，移动游码，使杠杆平衡（气泡位于中线），记录测得值。以同样方法重新放置M</w:t>
      </w:r>
      <w:r>
        <w:rPr>
          <w:rFonts w:hint="eastAsia" w:asciiTheme="minorEastAsia" w:hAnsiTheme="minorEastAsia" w:eastAsiaTheme="minorEastAsia" w:cstheme="minorEastAsia"/>
          <w:sz w:val="24"/>
          <w:szCs w:val="24"/>
          <w:vertAlign w:val="subscript"/>
        </w:rPr>
        <w:t>1</w:t>
      </w:r>
      <w:r>
        <w:rPr>
          <w:rFonts w:hint="eastAsia" w:asciiTheme="minorEastAsia" w:hAnsiTheme="minorEastAsia" w:eastAsiaTheme="minorEastAsia" w:cstheme="minorEastAsia"/>
          <w:sz w:val="24"/>
          <w:szCs w:val="24"/>
        </w:rPr>
        <w:t>级砝码和差值砝码，进行第二次和第三次校准，三次测得值的平均值与对应点的差值应符合密度计示值误差的规定。</w:t>
      </w:r>
    </w:p>
    <w:p>
      <w:pPr>
        <w:pStyle w:val="161"/>
        <w:spacing w:before="120" w:after="120"/>
        <w:rPr>
          <w:rFonts w:hint="eastAsia" w:asciiTheme="minorEastAsia" w:hAnsiTheme="minorEastAsia" w:eastAsiaTheme="minorEastAsia" w:cstheme="minorEastAsia"/>
          <w:sz w:val="24"/>
          <w:szCs w:val="24"/>
        </w:rPr>
      </w:pPr>
      <w:r>
        <w:rPr>
          <w:rFonts w:hint="eastAsia" w:ascii="黑体" w:hAnsi="黑体" w:eastAsia="黑体" w:cs="黑体"/>
          <w:sz w:val="24"/>
          <w:szCs w:val="24"/>
        </w:rPr>
        <w:t>测量条件</w:t>
      </w:r>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测量条件应符合以下要求：</w:t>
      </w:r>
    </w:p>
    <w:p>
      <w:pPr>
        <w:pStyle w:val="155"/>
        <w:numPr>
          <w:ilvl w:val="0"/>
          <w:numId w:val="18"/>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环境温度：20 ℃±5 ℃；</w:t>
      </w:r>
    </w:p>
    <w:p>
      <w:pPr>
        <w:pStyle w:val="15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相对湿度：≤75%；</w:t>
      </w:r>
    </w:p>
    <w:p>
      <w:pPr>
        <w:pStyle w:val="15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校准介质：</w:t>
      </w:r>
      <w:r>
        <w:rPr>
          <w:rFonts w:hint="eastAsia" w:asciiTheme="minorEastAsia" w:hAnsiTheme="minorEastAsia" w:eastAsiaTheme="minorEastAsia" w:cstheme="minorEastAsia"/>
          <w:sz w:val="24"/>
          <w:szCs w:val="24"/>
          <w:lang w:val="en-US" w:eastAsia="zh-CN"/>
        </w:rPr>
        <w:t>纯</w:t>
      </w:r>
      <w:r>
        <w:rPr>
          <w:rFonts w:hint="eastAsia" w:asciiTheme="minorEastAsia" w:hAnsiTheme="minorEastAsia" w:eastAsiaTheme="minorEastAsia" w:cstheme="minorEastAsia"/>
          <w:sz w:val="24"/>
          <w:szCs w:val="24"/>
        </w:rPr>
        <w:t>水；</w:t>
      </w:r>
    </w:p>
    <w:p>
      <w:pPr>
        <w:pStyle w:val="161"/>
        <w:spacing w:before="120" w:after="120"/>
        <w:rPr>
          <w:rFonts w:hint="eastAsia" w:ascii="黑体" w:hAnsi="黑体" w:eastAsia="黑体" w:cs="黑体"/>
          <w:sz w:val="24"/>
          <w:szCs w:val="24"/>
        </w:rPr>
      </w:pPr>
      <w:r>
        <w:rPr>
          <w:rFonts w:hint="eastAsia" w:ascii="黑体" w:hAnsi="黑体" w:eastAsia="黑体" w:cs="黑体"/>
          <w:sz w:val="24"/>
          <w:szCs w:val="24"/>
        </w:rPr>
        <w:t>钻井液密度计示值误差测量模型</w:t>
      </w:r>
    </w:p>
    <w:p>
      <w:pPr>
        <w:pStyle w:val="141"/>
        <w:ind w:firstLine="420"/>
        <w:rPr>
          <w:rFonts w:hint="eastAsia" w:ascii="宋体" w:hAnsi="宋体" w:eastAsia="宋体" w:cs="宋体"/>
          <w:sz w:val="24"/>
          <w:szCs w:val="24"/>
        </w:rPr>
      </w:pPr>
      <w:r>
        <w:rPr>
          <w:rFonts w:hint="eastAsia" w:ascii="宋体" w:hAnsi="宋体" w:eastAsia="宋体" w:cs="宋体"/>
          <w:sz w:val="24"/>
          <w:szCs w:val="24"/>
        </w:rPr>
        <w:t>测量模型以基本误差的形式给出：</w:t>
      </w:r>
    </w:p>
    <w:p>
      <w:pPr>
        <w:pStyle w:val="153"/>
        <w:rPr>
          <w:rFonts w:hint="eastAsia" w:ascii="宋体" w:hAnsi="宋体" w:eastAsia="宋体" w:cs="宋体"/>
          <w:sz w:val="24"/>
          <w:szCs w:val="24"/>
        </w:rPr>
      </w:pPr>
      <w:r>
        <w:rPr>
          <w:rFonts w:hint="eastAsia" w:ascii="宋体" w:hAnsi="宋体" w:eastAsia="宋体" w:cs="宋体"/>
          <w:sz w:val="24"/>
          <w:szCs w:val="24"/>
        </w:rPr>
        <w:tab/>
      </w:r>
      <m:oMath>
        <m:r>
          <m:rPr/>
          <w:rPr>
            <w:rFonts w:hint="eastAsia" w:ascii="Cambria Math" w:hAnsi="Cambria Math" w:eastAsia="宋体" w:cs="宋体"/>
            <w:sz w:val="24"/>
            <w:szCs w:val="24"/>
          </w:rPr>
          <m:t>∆</m:t>
        </m:r>
        <m:r>
          <m:rPr/>
          <w:rPr>
            <w:rFonts w:hint="eastAsia" w:ascii="Cambria Math" w:hAnsi="Cambria Math" w:eastAsia="宋体" w:cs="宋体"/>
            <w:sz w:val="24"/>
            <w:szCs w:val="24"/>
            <w:lang w:val="en-US" w:eastAsia="zh-CN"/>
          </w:rPr>
          <m:t>ρ</m:t>
        </m:r>
        <m:r>
          <m:rPr>
            <m:sty m:val="p"/>
          </m:rPr>
          <w:rPr>
            <w:rFonts w:hint="eastAsia" w:ascii="Cambria Math" w:hAnsi="Cambria Math" w:eastAsia="宋体" w:cs="宋体"/>
            <w:sz w:val="24"/>
            <w:szCs w:val="24"/>
          </w:rPr>
          <m:t>=</m:t>
        </m:r>
        <m:sSub>
          <m:sSubPr>
            <m:ctrlPr>
              <w:rPr>
                <w:rFonts w:hint="eastAsia" w:ascii="Cambria Math" w:hAnsi="Cambria Math" w:eastAsia="宋体" w:cs="宋体"/>
                <w:b w:val="0"/>
                <w:i w:val="0"/>
                <w:sz w:val="24"/>
                <w:szCs w:val="24"/>
              </w:rPr>
            </m:ctrlPr>
          </m:sSubPr>
          <m:e>
            <m:r>
              <m:rPr/>
              <w:rPr>
                <w:rFonts w:hint="eastAsia" w:ascii="Cambria Math" w:hAnsi="Cambria Math" w:eastAsia="宋体" w:cs="宋体"/>
                <w:sz w:val="24"/>
                <w:szCs w:val="24"/>
                <w:lang w:val="en-US" w:eastAsia="zh-CN"/>
              </w:rPr>
              <m:t>ρ</m:t>
            </m:r>
            <m:ctrlPr>
              <w:rPr>
                <w:rFonts w:hint="eastAsia" w:ascii="Cambria Math" w:hAnsi="Cambria Math" w:eastAsia="宋体" w:cs="宋体"/>
                <w:b w:val="0"/>
                <w:i w:val="0"/>
                <w:sz w:val="24"/>
                <w:szCs w:val="24"/>
              </w:rPr>
            </m:ctrlPr>
          </m:e>
          <m:sub>
            <m:r>
              <m:rPr>
                <m:sty m:val="p"/>
              </m:rPr>
              <w:rPr>
                <w:rFonts w:hint="eastAsia" w:ascii="Cambria Math" w:hAnsi="Cambria Math" w:eastAsia="宋体" w:cs="宋体"/>
                <w:sz w:val="24"/>
                <w:szCs w:val="24"/>
                <w:lang w:val="en-US" w:eastAsia="zh-CN"/>
              </w:rPr>
              <m:t>m</m:t>
            </m:r>
            <m:ctrlPr>
              <w:rPr>
                <w:rFonts w:hint="eastAsia" w:ascii="Cambria Math" w:hAnsi="Cambria Math" w:eastAsia="宋体" w:cs="宋体"/>
                <w:b w:val="0"/>
                <w:i w:val="0"/>
                <w:sz w:val="24"/>
                <w:szCs w:val="24"/>
              </w:rPr>
            </m:ctrlPr>
          </m:sub>
        </m:sSub>
        <m:r>
          <m:rPr/>
          <w:rPr>
            <w:rFonts w:hint="eastAsia" w:ascii="Cambria Math" w:hAnsi="Cambria Math" w:eastAsia="宋体" w:cs="宋体"/>
            <w:sz w:val="24"/>
            <w:szCs w:val="24"/>
          </w:rPr>
          <m:t>−</m:t>
        </m:r>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lang w:val="en-US" w:eastAsia="zh-CN"/>
              </w:rPr>
              <m:t>ρ</m:t>
            </m:r>
            <m:ctrlPr>
              <w:rPr>
                <w:rFonts w:hint="eastAsia" w:ascii="Cambria Math" w:hAnsi="Cambria Math" w:eastAsia="宋体" w:cs="宋体"/>
                <w:i/>
                <w:sz w:val="24"/>
                <w:szCs w:val="24"/>
              </w:rPr>
            </m:ctrlPr>
          </m:e>
          <m:sub>
            <m:r>
              <m:rPr/>
              <w:rPr>
                <w:rFonts w:hint="eastAsia" w:ascii="Cambria Math" w:hAnsi="Cambria Math" w:eastAsia="宋体" w:cs="宋体"/>
                <w:sz w:val="24"/>
                <w:szCs w:val="24"/>
                <w:lang w:val="en-US" w:eastAsia="zh-CN"/>
              </w:rPr>
              <m:t>s</m:t>
            </m:r>
            <m:ctrlPr>
              <w:rPr>
                <w:rFonts w:hint="eastAsia" w:ascii="Cambria Math" w:hAnsi="Cambria Math" w:eastAsia="宋体" w:cs="宋体"/>
                <w:i/>
                <w:sz w:val="24"/>
                <w:szCs w:val="24"/>
              </w:rPr>
            </m:ctrlPr>
          </m:sub>
        </m:sSub>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fulu_equation_132847182553330139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154"/>
        <w:ind w:firstLine="420"/>
        <w:rPr>
          <w:rFonts w:hint="eastAsia" w:ascii="宋体" w:hAnsi="宋体" w:eastAsia="宋体" w:cs="宋体"/>
          <w:sz w:val="24"/>
          <w:szCs w:val="24"/>
        </w:rPr>
      </w:pPr>
      <w:r>
        <w:rPr>
          <w:rFonts w:hint="eastAsia" w:ascii="宋体" w:hAnsi="宋体" w:eastAsia="宋体" w:cs="宋体"/>
          <w:sz w:val="24"/>
          <w:szCs w:val="24"/>
        </w:rPr>
        <w:t>式中：</w:t>
      </w:r>
    </w:p>
    <w:p>
      <w:pPr>
        <w:pStyle w:val="141"/>
        <w:ind w:firstLine="420"/>
        <w:rPr>
          <w:rFonts w:hint="eastAsia" w:ascii="宋体" w:hAnsi="宋体" w:eastAsia="宋体" w:cs="宋体"/>
          <w:sz w:val="24"/>
          <w:szCs w:val="24"/>
        </w:rPr>
      </w:pPr>
      <m:oMath>
        <m:r>
          <m:rPr/>
          <w:rPr>
            <w:rFonts w:hint="eastAsia" w:ascii="Cambria Math" w:hAnsi="Cambria Math" w:eastAsia="宋体" w:cs="宋体"/>
            <w:sz w:val="24"/>
            <w:szCs w:val="24"/>
          </w:rPr>
          <m:t>∆</m:t>
        </m:r>
        <m:r>
          <m:rPr/>
          <w:rPr>
            <w:rFonts w:hint="eastAsia" w:ascii="Cambria Math" w:hAnsi="Cambria Math" w:eastAsia="宋体" w:cs="宋体"/>
            <w:sz w:val="24"/>
            <w:szCs w:val="24"/>
            <w:lang w:val="en-US" w:eastAsia="zh-CN"/>
          </w:rPr>
          <m:t>ρ</m:t>
        </m:r>
      </m:oMath>
      <w:r>
        <w:rPr>
          <w:rFonts w:hint="eastAsia" w:ascii="宋体" w:hAnsi="宋体" w:eastAsia="宋体" w:cs="宋体"/>
          <w:sz w:val="24"/>
          <w:szCs w:val="24"/>
        </w:rPr>
        <w:t>——示值误差，单位为克每立方厘米（g/cm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r>
        <w:rPr>
          <w:rFonts w:hint="eastAsia" w:ascii="宋体" w:hAnsi="宋体" w:eastAsia="宋体" w:cs="宋体"/>
          <w:color w:val="000000"/>
          <w:sz w:val="24"/>
          <w:szCs w:val="24"/>
        </w:rPr>
        <w:t>；</w:t>
      </w:r>
    </w:p>
    <w:p>
      <w:pPr>
        <w:pStyle w:val="141"/>
        <w:ind w:firstLine="420"/>
        <w:rPr>
          <w:rFonts w:hint="eastAsia" w:ascii="宋体" w:hAnsi="宋体" w:eastAsia="宋体" w:cs="宋体"/>
          <w:sz w:val="24"/>
          <w:szCs w:val="24"/>
        </w:rPr>
      </w:pPr>
      <m:oMath>
        <m:sSub>
          <m:sSubPr>
            <m:ctrlPr>
              <w:rPr>
                <w:rFonts w:hint="eastAsia" w:ascii="Cambria Math" w:hAnsi="Cambria Math" w:eastAsia="宋体" w:cs="宋体"/>
                <w:kern w:val="2"/>
                <w:sz w:val="24"/>
                <w:szCs w:val="24"/>
              </w:rPr>
            </m:ctrlPr>
          </m:sSubPr>
          <m:e>
            <m:r>
              <m:rPr/>
              <w:rPr>
                <w:rFonts w:hint="eastAsia" w:ascii="Cambria Math" w:hAnsi="Cambria Math" w:eastAsia="宋体" w:cs="宋体"/>
                <w:sz w:val="24"/>
                <w:szCs w:val="24"/>
                <w:lang w:val="en-US" w:eastAsia="zh-CN"/>
              </w:rPr>
              <m:t>ρ</m:t>
            </m:r>
            <m:ctrlPr>
              <w:rPr>
                <w:rFonts w:hint="eastAsia" w:ascii="Cambria Math" w:hAnsi="Cambria Math" w:eastAsia="宋体" w:cs="宋体"/>
                <w:kern w:val="2"/>
                <w:sz w:val="24"/>
                <w:szCs w:val="24"/>
              </w:rPr>
            </m:ctrlPr>
          </m:e>
          <m:sub>
            <m:r>
              <m:rPr/>
              <w:rPr>
                <w:rFonts w:hint="eastAsia" w:ascii="Cambria Math" w:hAnsi="Cambria Math" w:eastAsia="宋体" w:cs="宋体"/>
                <w:sz w:val="24"/>
                <w:szCs w:val="24"/>
              </w:rPr>
              <m:t>m</m:t>
            </m:r>
            <m:ctrlPr>
              <w:rPr>
                <w:rFonts w:hint="eastAsia" w:ascii="Cambria Math" w:hAnsi="Cambria Math" w:eastAsia="宋体" w:cs="宋体"/>
                <w:kern w:val="2"/>
                <w:sz w:val="24"/>
                <w:szCs w:val="24"/>
              </w:rPr>
            </m:ctrlPr>
          </m:sub>
        </m:sSub>
      </m:oMath>
      <w:r>
        <w:rPr>
          <w:rFonts w:hint="eastAsia" w:ascii="宋体" w:hAnsi="宋体" w:eastAsia="宋体" w:cs="宋体"/>
          <w:sz w:val="24"/>
          <w:szCs w:val="24"/>
        </w:rPr>
        <w:t>——校准点上的被校示值，单位为克每立方厘米（g/cm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r>
        <w:rPr>
          <w:rFonts w:hint="eastAsia" w:ascii="宋体" w:hAnsi="宋体" w:eastAsia="宋体" w:cs="宋体"/>
          <w:color w:val="000000"/>
          <w:sz w:val="24"/>
          <w:szCs w:val="24"/>
        </w:rPr>
        <w:t>；</w:t>
      </w:r>
    </w:p>
    <w:p>
      <w:pPr>
        <w:pStyle w:val="141"/>
        <w:ind w:firstLine="420"/>
        <w:rPr>
          <w:rFonts w:hint="eastAsia" w:ascii="宋体" w:hAnsi="宋体" w:eastAsia="宋体" w:cs="宋体"/>
          <w:sz w:val="24"/>
          <w:szCs w:val="24"/>
        </w:rPr>
      </w:pPr>
      <m:oMath>
        <m:sSub>
          <m:sSubPr>
            <m:ctrlPr>
              <w:rPr>
                <w:rFonts w:hint="eastAsia" w:ascii="Cambria Math" w:hAnsi="Cambria Math" w:eastAsia="宋体" w:cs="宋体"/>
                <w:i/>
                <w:kern w:val="2"/>
                <w:sz w:val="24"/>
                <w:szCs w:val="24"/>
              </w:rPr>
            </m:ctrlPr>
          </m:sSubPr>
          <m:e>
            <m:r>
              <m:rPr/>
              <w:rPr>
                <w:rFonts w:hint="eastAsia" w:ascii="Cambria Math" w:hAnsi="Cambria Math" w:eastAsia="宋体" w:cs="宋体"/>
                <w:sz w:val="24"/>
                <w:szCs w:val="24"/>
                <w:lang w:val="en-US" w:eastAsia="zh-CN"/>
              </w:rPr>
              <m:t>ρ</m:t>
            </m:r>
            <m:ctrlPr>
              <w:rPr>
                <w:rFonts w:hint="eastAsia" w:ascii="Cambria Math" w:hAnsi="Cambria Math" w:eastAsia="宋体" w:cs="宋体"/>
                <w:i/>
                <w:kern w:val="2"/>
                <w:sz w:val="24"/>
                <w:szCs w:val="24"/>
              </w:rPr>
            </m:ctrlPr>
          </m:e>
          <m:sub>
            <m:r>
              <m:rPr/>
              <w:rPr>
                <w:rFonts w:hint="eastAsia" w:ascii="Cambria Math" w:hAnsi="Cambria Math" w:eastAsia="宋体" w:cs="宋体"/>
                <w:sz w:val="24"/>
                <w:szCs w:val="24"/>
              </w:rPr>
              <m:t>s</m:t>
            </m:r>
            <m:ctrlPr>
              <w:rPr>
                <w:rFonts w:hint="eastAsia" w:ascii="Cambria Math" w:hAnsi="Cambria Math" w:eastAsia="宋体" w:cs="宋体"/>
                <w:i/>
                <w:kern w:val="2"/>
                <w:sz w:val="24"/>
                <w:szCs w:val="24"/>
              </w:rPr>
            </m:ctrlPr>
          </m:sub>
        </m:sSub>
      </m:oMath>
      <w:r>
        <w:rPr>
          <w:rFonts w:hint="eastAsia" w:ascii="宋体" w:hAnsi="宋体" w:eastAsia="宋体" w:cs="宋体"/>
          <w:sz w:val="24"/>
          <w:szCs w:val="24"/>
        </w:rPr>
        <w:t> ——校准点上的标准值，单位为克每立方厘米（g/cm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r>
        <w:rPr>
          <w:rFonts w:hint="eastAsia" w:ascii="宋体" w:hAnsi="宋体" w:eastAsia="宋体" w:cs="宋体"/>
          <w:color w:val="000000"/>
          <w:sz w:val="24"/>
          <w:szCs w:val="24"/>
        </w:rPr>
        <w:t>。</w:t>
      </w:r>
    </w:p>
    <w:p>
      <w:pPr>
        <w:pStyle w:val="160"/>
        <w:spacing w:before="120" w:after="120"/>
        <w:rPr>
          <w:rFonts w:hint="eastAsia" w:ascii="黑体" w:hAnsi="黑体" w:eastAsia="黑体" w:cs="黑体"/>
          <w:sz w:val="24"/>
          <w:szCs w:val="24"/>
        </w:rPr>
      </w:pPr>
      <w:bookmarkStart w:id="62" w:name="_Toc91169899"/>
      <w:bookmarkStart w:id="63" w:name="_Toc91170719"/>
      <w:r>
        <w:rPr>
          <w:rFonts w:hint="eastAsia" w:ascii="黑体" w:hAnsi="黑体" w:eastAsia="黑体" w:cs="黑体"/>
          <w:sz w:val="24"/>
          <w:szCs w:val="24"/>
        </w:rPr>
        <w:t>示值误差不确定度评定</w:t>
      </w:r>
      <w:bookmarkEnd w:id="62"/>
      <w:bookmarkEnd w:id="63"/>
    </w:p>
    <w:p>
      <w:pPr>
        <w:pStyle w:val="141"/>
        <w:ind w:firstLine="420"/>
        <w:rPr>
          <w:rFonts w:hint="eastAsia" w:ascii="宋体" w:hAnsi="宋体" w:eastAsia="宋体" w:cs="宋体"/>
          <w:sz w:val="24"/>
          <w:szCs w:val="24"/>
        </w:rPr>
      </w:pPr>
      <w:r>
        <w:rPr>
          <w:rFonts w:hint="eastAsia" w:ascii="宋体" w:hAnsi="宋体" w:eastAsia="宋体" w:cs="宋体"/>
          <w:sz w:val="24"/>
          <w:szCs w:val="24"/>
        </w:rPr>
        <w:t>示值误差测量不确定度的来源为以下三方面：</w:t>
      </w:r>
    </w:p>
    <w:p>
      <w:pPr>
        <w:pStyle w:val="155"/>
        <w:numPr>
          <w:ilvl w:val="0"/>
          <w:numId w:val="19"/>
        </w:numPr>
        <w:rPr>
          <w:rFonts w:hint="eastAsia" w:ascii="宋体" w:hAnsi="宋体" w:eastAsia="宋体" w:cs="宋体"/>
          <w:sz w:val="24"/>
          <w:szCs w:val="24"/>
        </w:rPr>
      </w:pPr>
      <w:r>
        <w:rPr>
          <w:rFonts w:hint="eastAsia" w:ascii="宋体" w:hAnsi="宋体" w:eastAsia="宋体" w:cs="宋体"/>
          <w:sz w:val="24"/>
          <w:szCs w:val="24"/>
        </w:rPr>
        <w:t>钻井液密度计示值引入的标准不确定度</w:t>
      </w:r>
      <m:oMath>
        <m:sSub>
          <m:sSubPr>
            <m:ctrlPr>
              <w:rPr>
                <w:rFonts w:hint="eastAsia" w:ascii="Cambria Math" w:hAnsi="Cambria Math" w:eastAsia="宋体" w:cs="宋体"/>
                <w:i/>
                <w:color w:val="000000"/>
                <w:sz w:val="24"/>
                <w:szCs w:val="24"/>
              </w:rPr>
            </m:ctrlPr>
          </m:sSubPr>
          <m:e>
            <m:r>
              <m:rPr/>
              <w:rPr>
                <w:rFonts w:hint="eastAsia" w:ascii="Cambria Math" w:hAnsi="Cambria Math" w:eastAsia="宋体" w:cs="宋体"/>
                <w:color w:val="000000"/>
                <w:sz w:val="24"/>
                <w:szCs w:val="24"/>
              </w:rPr>
              <m:t>u</m:t>
            </m:r>
            <m:ctrlPr>
              <w:rPr>
                <w:rFonts w:hint="eastAsia" w:ascii="Cambria Math" w:hAnsi="Cambria Math" w:eastAsia="宋体" w:cs="宋体"/>
                <w:i/>
                <w:color w:val="000000"/>
                <w:sz w:val="24"/>
                <w:szCs w:val="24"/>
              </w:rPr>
            </m:ctrlPr>
          </m:e>
          <m:sub>
            <m:r>
              <m:rPr/>
              <w:rPr>
                <w:rFonts w:hint="eastAsia" w:ascii="Cambria Math" w:hAnsi="Cambria Math" w:eastAsia="宋体" w:cs="宋体"/>
                <w:color w:val="000000"/>
                <w:sz w:val="24"/>
                <w:szCs w:val="24"/>
              </w:rPr>
              <m:t>1</m:t>
            </m:r>
            <m:ctrlPr>
              <w:rPr>
                <w:rFonts w:hint="eastAsia" w:ascii="Cambria Math" w:hAnsi="Cambria Math" w:eastAsia="宋体" w:cs="宋体"/>
                <w:i/>
                <w:color w:val="000000"/>
                <w:sz w:val="24"/>
                <w:szCs w:val="24"/>
              </w:rPr>
            </m:ctrlPr>
          </m:sub>
        </m:sSub>
      </m:oMath>
      <w:r>
        <w:rPr>
          <w:rFonts w:hint="eastAsia" w:ascii="宋体" w:hAnsi="宋体" w:eastAsia="宋体" w:cs="宋体"/>
          <w:sz w:val="24"/>
          <w:szCs w:val="24"/>
        </w:rPr>
        <w:t>。</w:t>
      </w:r>
    </w:p>
    <w:p>
      <w:pPr>
        <w:pStyle w:val="155"/>
        <w:rPr>
          <w:rFonts w:hint="eastAsia" w:ascii="宋体" w:hAnsi="宋体" w:eastAsia="宋体" w:cs="宋体"/>
          <w:sz w:val="24"/>
          <w:szCs w:val="24"/>
        </w:rPr>
      </w:pPr>
      <w:r>
        <w:rPr>
          <w:rFonts w:hint="eastAsia" w:ascii="宋体" w:hAnsi="宋体" w:eastAsia="宋体" w:cs="宋体"/>
          <w:sz w:val="24"/>
          <w:szCs w:val="24"/>
        </w:rPr>
        <w:t>天平溯源引入的标准不确定度</w:t>
      </w:r>
      <m:oMath>
        <m:sSub>
          <m:sSubPr>
            <m:ctrlPr>
              <w:rPr>
                <w:rFonts w:hint="eastAsia" w:ascii="Cambria Math" w:hAnsi="Cambria Math" w:eastAsia="宋体" w:cs="宋体"/>
                <w:i/>
                <w:color w:val="000000"/>
                <w:sz w:val="24"/>
                <w:szCs w:val="24"/>
              </w:rPr>
            </m:ctrlPr>
          </m:sSubPr>
          <m:e>
            <m:r>
              <m:rPr/>
              <w:rPr>
                <w:rFonts w:hint="eastAsia" w:ascii="Cambria Math" w:hAnsi="Cambria Math" w:eastAsia="宋体" w:cs="宋体"/>
                <w:color w:val="000000"/>
                <w:sz w:val="24"/>
                <w:szCs w:val="24"/>
              </w:rPr>
              <m:t>u</m:t>
            </m:r>
            <m:ctrlPr>
              <w:rPr>
                <w:rFonts w:hint="eastAsia" w:ascii="Cambria Math" w:hAnsi="Cambria Math" w:eastAsia="宋体" w:cs="宋体"/>
                <w:i/>
                <w:color w:val="000000"/>
                <w:sz w:val="24"/>
                <w:szCs w:val="24"/>
              </w:rPr>
            </m:ctrlPr>
          </m:e>
          <m:sub>
            <m:r>
              <m:rPr/>
              <w:rPr>
                <w:rFonts w:hint="eastAsia" w:ascii="Cambria Math" w:hAnsi="Cambria Math" w:eastAsia="宋体" w:cs="宋体"/>
                <w:color w:val="000000"/>
                <w:sz w:val="24"/>
                <w:szCs w:val="24"/>
              </w:rPr>
              <m:t>2</m:t>
            </m:r>
            <m:ctrlPr>
              <w:rPr>
                <w:rFonts w:hint="eastAsia" w:ascii="Cambria Math" w:hAnsi="Cambria Math" w:eastAsia="宋体" w:cs="宋体"/>
                <w:i/>
                <w:color w:val="000000"/>
                <w:sz w:val="24"/>
                <w:szCs w:val="24"/>
              </w:rPr>
            </m:ctrlPr>
          </m:sub>
        </m:sSub>
      </m:oMath>
      <w:r>
        <w:rPr>
          <w:rFonts w:hint="eastAsia" w:ascii="宋体" w:hAnsi="宋体" w:eastAsia="宋体" w:cs="宋体"/>
          <w:sz w:val="24"/>
          <w:szCs w:val="24"/>
        </w:rPr>
        <w:t>。</w:t>
      </w:r>
    </w:p>
    <w:p>
      <w:pPr>
        <w:pStyle w:val="155"/>
        <w:rPr>
          <w:rFonts w:hint="eastAsia" w:ascii="宋体" w:hAnsi="宋体" w:eastAsia="宋体" w:cs="宋体"/>
          <w:sz w:val="24"/>
          <w:szCs w:val="24"/>
        </w:rPr>
      </w:pPr>
      <w:r>
        <w:rPr>
          <w:rFonts w:hint="eastAsia" w:ascii="宋体" w:hAnsi="宋体" w:eastAsia="宋体" w:cs="宋体"/>
          <w:sz w:val="24"/>
          <w:szCs w:val="24"/>
        </w:rPr>
        <w:t>环境温度引入的不确定度</w:t>
      </w:r>
      <m:oMath>
        <m:sSub>
          <m:sSubPr>
            <m:ctrlPr>
              <w:rPr>
                <w:rFonts w:hint="eastAsia" w:ascii="Cambria Math" w:hAnsi="Cambria Math" w:eastAsia="宋体" w:cs="宋体"/>
                <w:i/>
                <w:color w:val="000000"/>
                <w:sz w:val="24"/>
                <w:szCs w:val="24"/>
              </w:rPr>
            </m:ctrlPr>
          </m:sSubPr>
          <m:e>
            <m:r>
              <m:rPr/>
              <w:rPr>
                <w:rFonts w:hint="eastAsia" w:ascii="Cambria Math" w:hAnsi="Cambria Math" w:eastAsia="宋体" w:cs="宋体"/>
                <w:color w:val="000000"/>
                <w:sz w:val="24"/>
                <w:szCs w:val="24"/>
              </w:rPr>
              <m:t>u</m:t>
            </m:r>
            <m:ctrlPr>
              <w:rPr>
                <w:rFonts w:hint="eastAsia" w:ascii="Cambria Math" w:hAnsi="Cambria Math" w:eastAsia="宋体" w:cs="宋体"/>
                <w:i/>
                <w:color w:val="000000"/>
                <w:sz w:val="24"/>
                <w:szCs w:val="24"/>
              </w:rPr>
            </m:ctrlPr>
          </m:e>
          <m:sub>
            <m:r>
              <m:rPr/>
              <w:rPr>
                <w:rFonts w:hint="eastAsia" w:ascii="Cambria Math" w:hAnsi="Cambria Math" w:eastAsia="宋体" w:cs="宋体"/>
                <w:color w:val="000000"/>
                <w:sz w:val="24"/>
                <w:szCs w:val="24"/>
              </w:rPr>
              <m:t>3</m:t>
            </m:r>
            <m:ctrlPr>
              <w:rPr>
                <w:rFonts w:hint="eastAsia" w:ascii="Cambria Math" w:hAnsi="Cambria Math" w:eastAsia="宋体" w:cs="宋体"/>
                <w:i/>
                <w:color w:val="000000"/>
                <w:sz w:val="24"/>
                <w:szCs w:val="24"/>
              </w:rPr>
            </m:ctrlPr>
          </m:sub>
        </m:sSub>
      </m:oMath>
      <w:r>
        <w:rPr>
          <w:rFonts w:hint="eastAsia" w:ascii="宋体" w:hAnsi="宋体" w:eastAsia="宋体" w:cs="宋体"/>
          <w:sz w:val="24"/>
          <w:szCs w:val="24"/>
        </w:rPr>
        <w:t>。</w:t>
      </w:r>
    </w:p>
    <w:p>
      <w:pPr>
        <w:pStyle w:val="161"/>
        <w:spacing w:before="120" w:after="120"/>
        <w:rPr>
          <w:rFonts w:hint="eastAsia" w:ascii="黑体" w:hAnsi="黑体" w:eastAsia="黑体" w:cs="黑体"/>
          <w:sz w:val="24"/>
          <w:szCs w:val="24"/>
        </w:rPr>
      </w:pPr>
      <w:r>
        <w:rPr>
          <w:rFonts w:hint="eastAsia" w:ascii="黑体" w:hAnsi="黑体" w:eastAsia="黑体" w:cs="黑体"/>
          <w:sz w:val="24"/>
          <w:szCs w:val="24"/>
        </w:rPr>
        <w:t>钻井液密度计示值引入的标准不确定度</w:t>
      </w:r>
      <m:oMath>
        <m:sSub>
          <m:sSubPr>
            <m:ctrlPr>
              <w:rPr>
                <w:rFonts w:hint="eastAsia" w:ascii="Cambria Math" w:hAnsi="Cambria Math" w:eastAsia="黑体" w:cs="黑体"/>
                <w:b w:val="0"/>
                <w:bCs/>
                <w:i/>
                <w:color w:val="000000"/>
                <w:sz w:val="24"/>
                <w:szCs w:val="24"/>
              </w:rPr>
            </m:ctrlPr>
          </m:sSubPr>
          <m:e>
            <m:r>
              <m:rPr/>
              <w:rPr>
                <w:rFonts w:hint="eastAsia" w:ascii="Cambria Math" w:hAnsi="Cambria Math" w:eastAsia="黑体" w:cs="黑体"/>
                <w:color w:val="000000"/>
                <w:sz w:val="24"/>
                <w:szCs w:val="24"/>
              </w:rPr>
              <m:t>u</m:t>
            </m:r>
            <m:ctrlPr>
              <w:rPr>
                <w:rFonts w:hint="eastAsia" w:ascii="Cambria Math" w:hAnsi="Cambria Math" w:eastAsia="黑体" w:cs="黑体"/>
                <w:b w:val="0"/>
                <w:bCs/>
                <w:i/>
                <w:color w:val="000000"/>
                <w:sz w:val="24"/>
                <w:szCs w:val="24"/>
              </w:rPr>
            </m:ctrlPr>
          </m:e>
          <m:sub>
            <m:r>
              <m:rPr/>
              <w:rPr>
                <w:rFonts w:hint="eastAsia" w:ascii="Cambria Math" w:hAnsi="Cambria Math" w:eastAsia="黑体" w:cs="黑体"/>
                <w:color w:val="000000"/>
                <w:sz w:val="24"/>
                <w:szCs w:val="24"/>
              </w:rPr>
              <m:t>1</m:t>
            </m:r>
            <m:ctrlPr>
              <w:rPr>
                <w:rFonts w:hint="eastAsia" w:ascii="Cambria Math" w:hAnsi="Cambria Math" w:eastAsia="黑体" w:cs="黑体"/>
                <w:b w:val="0"/>
                <w:bCs/>
                <w:i/>
                <w:color w:val="000000"/>
                <w:sz w:val="24"/>
                <w:szCs w:val="24"/>
              </w:rPr>
            </m:ctrlPr>
          </m:sub>
        </m:sSub>
      </m:oMath>
    </w:p>
    <w:p>
      <w:pPr>
        <w:pStyle w:val="162"/>
        <w:spacing w:line="24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以测量范围为0.96 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～3.0 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的钻井液密度计为例，选择3.00 </w:t>
      </w:r>
      <w:r>
        <w:rPr>
          <w:rFonts w:hint="eastAsia" w:asciiTheme="minorEastAsia" w:hAnsiTheme="minorEastAsia" w:eastAsiaTheme="minorEastAsia" w:cstheme="minorEastAsia"/>
          <w:kern w:val="0"/>
          <w:sz w:val="24"/>
          <w:szCs w:val="24"/>
        </w:rPr>
        <w:t>g/cm</w:t>
      </w:r>
      <w:r>
        <w:rPr>
          <w:rFonts w:hint="eastAsia" w:asciiTheme="minorEastAsia" w:hAnsiTheme="minorEastAsia" w:eastAsiaTheme="minorEastAsia" w:cstheme="minorEastAsia"/>
          <w:sz w:val="24"/>
          <w:szCs w:val="24"/>
          <w:vertAlign w:val="superscript"/>
        </w:rPr>
        <w:t>3</w:t>
      </w:r>
      <w:r>
        <w:rPr>
          <w:rFonts w:hint="eastAsia" w:asciiTheme="minorEastAsia" w:hAnsiTheme="minorEastAsia" w:eastAsiaTheme="minorEastAsia" w:cstheme="minorEastAsia"/>
          <w:sz w:val="24"/>
          <w:szCs w:val="24"/>
        </w:rPr>
        <w:t>位置在重复性条件下进行6次测量，测量结果见表</w:t>
      </w:r>
      <w:r>
        <w:rPr>
          <w:rFonts w:hint="eastAsia" w:asciiTheme="minorEastAsia" w:hAnsiTheme="minorEastAsia" w:eastAsiaTheme="minorEastAsia" w:cstheme="minorEastAsia"/>
          <w:kern w:val="0"/>
          <w:sz w:val="24"/>
          <w:szCs w:val="24"/>
        </w:rPr>
        <w:t>B</w:t>
      </w:r>
      <w:r>
        <w:rPr>
          <w:rFonts w:hint="eastAsia" w:asciiTheme="minorEastAsia" w:hAnsiTheme="minorEastAsia" w:eastAsiaTheme="minorEastAsia" w:cstheme="minorEastAsia"/>
          <w:sz w:val="24"/>
          <w:szCs w:val="24"/>
        </w:rPr>
        <w:t>.1。</w:t>
      </w:r>
    </w:p>
    <w:p>
      <w:pPr>
        <w:pStyle w:val="159"/>
        <w:spacing w:before="120" w:after="120"/>
      </w:pPr>
      <w:r>
        <w:rPr>
          <w:rFonts w:hint="eastAsia"/>
        </w:rPr>
        <w:t>测量结果</w:t>
      </w:r>
    </w:p>
    <w:tbl>
      <w:tblPr>
        <w:tblStyle w:val="30"/>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2121"/>
        <w:gridCol w:w="1241"/>
        <w:gridCol w:w="1242"/>
        <w:gridCol w:w="1241"/>
        <w:gridCol w:w="1242"/>
        <w:gridCol w:w="1241"/>
        <w:gridCol w:w="124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108" w:type="pct"/>
            <w:tcBorders>
              <w:top w:val="single" w:color="auto" w:sz="8" w:space="0"/>
              <w:left w:val="single" w:color="auto" w:sz="8" w:space="0"/>
              <w:bottom w:val="single" w:color="auto" w:sz="4" w:space="0"/>
              <w:right w:val="single" w:color="auto" w:sz="4" w:space="0"/>
            </w:tcBorders>
            <w:vAlign w:val="center"/>
          </w:tcPr>
          <w:p>
            <w:pPr>
              <w:widowControl/>
              <w:adjustRightInd/>
              <w:spacing w:line="240" w:lineRule="auto"/>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序号</w:t>
            </w:r>
          </w:p>
        </w:tc>
        <w:tc>
          <w:tcPr>
            <w:tcW w:w="648"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1</w:t>
            </w:r>
          </w:p>
        </w:tc>
        <w:tc>
          <w:tcPr>
            <w:tcW w:w="649"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2</w:t>
            </w:r>
          </w:p>
        </w:tc>
        <w:tc>
          <w:tcPr>
            <w:tcW w:w="648"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w:t>
            </w:r>
          </w:p>
        </w:tc>
        <w:tc>
          <w:tcPr>
            <w:tcW w:w="649"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w:t>
            </w:r>
          </w:p>
        </w:tc>
        <w:tc>
          <w:tcPr>
            <w:tcW w:w="648" w:type="pct"/>
            <w:tcBorders>
              <w:top w:val="single" w:color="auto" w:sz="8" w:space="0"/>
              <w:left w:val="single" w:color="auto" w:sz="4" w:space="0"/>
              <w:bottom w:val="single" w:color="auto" w:sz="4" w:space="0"/>
              <w:right w:val="single" w:color="auto" w:sz="4"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w:t>
            </w:r>
          </w:p>
        </w:tc>
        <w:tc>
          <w:tcPr>
            <w:tcW w:w="649" w:type="pct"/>
            <w:tcBorders>
              <w:top w:val="single" w:color="auto" w:sz="8" w:space="0"/>
              <w:left w:val="single" w:color="auto" w:sz="4" w:space="0"/>
              <w:bottom w:val="single" w:color="auto" w:sz="4" w:space="0"/>
              <w:right w:val="single" w:color="auto" w:sz="8"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1108" w:type="pct"/>
            <w:tcBorders>
              <w:top w:val="single" w:color="auto" w:sz="4" w:space="0"/>
              <w:left w:val="single" w:color="auto" w:sz="8" w:space="0"/>
              <w:bottom w:val="single" w:color="auto" w:sz="8" w:space="0"/>
              <w:right w:val="single" w:color="auto" w:sz="4" w:space="0"/>
            </w:tcBorders>
            <w:vAlign w:val="center"/>
          </w:tcPr>
          <w:p>
            <w:pPr>
              <w:widowControl/>
              <w:adjustRightInd/>
              <w:spacing w:line="240" w:lineRule="auto"/>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示值（</w:t>
            </w:r>
            <w:r>
              <w:rPr>
                <w:rFonts w:hint="eastAsia" w:ascii="宋体" w:hAnsi="宋体" w:eastAsia="宋体" w:cs="宋体"/>
                <w:kern w:val="0"/>
                <w:sz w:val="21"/>
                <w:szCs w:val="21"/>
              </w:rPr>
              <w:t>g/cm</w:t>
            </w:r>
            <w:r>
              <w:rPr>
                <w:rFonts w:hint="eastAsia" w:ascii="宋体" w:hAnsi="宋体" w:eastAsia="宋体" w:cs="宋体"/>
                <w:kern w:val="0"/>
                <w:sz w:val="21"/>
                <w:szCs w:val="21"/>
                <w:vertAlign w:val="superscript"/>
              </w:rPr>
              <w:t>3</w:t>
            </w:r>
            <w:r>
              <w:rPr>
                <w:rFonts w:hint="eastAsia" w:ascii="宋体" w:hAnsi="宋体" w:eastAsia="宋体" w:cs="宋体"/>
                <w:color w:val="000000"/>
                <w:kern w:val="0"/>
                <w:sz w:val="21"/>
                <w:szCs w:val="21"/>
              </w:rPr>
              <w:t>）</w:t>
            </w:r>
          </w:p>
        </w:tc>
        <w:tc>
          <w:tcPr>
            <w:tcW w:w="648"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3.004</w:t>
            </w:r>
          </w:p>
        </w:tc>
        <w:tc>
          <w:tcPr>
            <w:tcW w:w="649"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3.004</w:t>
            </w:r>
          </w:p>
        </w:tc>
        <w:tc>
          <w:tcPr>
            <w:tcW w:w="648"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3.000</w:t>
            </w:r>
          </w:p>
        </w:tc>
        <w:tc>
          <w:tcPr>
            <w:tcW w:w="649"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3.002</w:t>
            </w:r>
          </w:p>
        </w:tc>
        <w:tc>
          <w:tcPr>
            <w:tcW w:w="648" w:type="pct"/>
            <w:tcBorders>
              <w:top w:val="single" w:color="auto" w:sz="4" w:space="0"/>
              <w:left w:val="single" w:color="auto" w:sz="4" w:space="0"/>
              <w:bottom w:val="single" w:color="auto" w:sz="8" w:space="0"/>
              <w:right w:val="single" w:color="auto" w:sz="4"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3.002</w:t>
            </w:r>
          </w:p>
        </w:tc>
        <w:tc>
          <w:tcPr>
            <w:tcW w:w="649" w:type="pct"/>
            <w:tcBorders>
              <w:top w:val="single" w:color="auto" w:sz="4" w:space="0"/>
              <w:left w:val="single" w:color="auto" w:sz="4" w:space="0"/>
              <w:bottom w:val="single" w:color="auto" w:sz="8" w:space="0"/>
              <w:right w:val="single" w:color="auto" w:sz="8" w:space="0"/>
            </w:tcBorders>
            <w:vAlign w:val="center"/>
          </w:tcPr>
          <w:p>
            <w:pPr>
              <w:widowControl/>
              <w:adjustRightInd/>
              <w:spacing w:line="240" w:lineRule="auto"/>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3.002</w:t>
            </w:r>
          </w:p>
        </w:tc>
      </w:tr>
    </w:tbl>
    <w:p>
      <w:pPr>
        <w:pStyle w:val="162"/>
        <w:spacing w:before="240" w:beforeLines="100" w:line="240" w:lineRule="auto"/>
        <w:rPr>
          <w:rFonts w:hint="eastAsia" w:ascii="宋体" w:hAnsi="宋体" w:eastAsia="宋体" w:cs="宋体"/>
          <w:sz w:val="24"/>
          <w:szCs w:val="24"/>
        </w:rPr>
      </w:pPr>
      <w:r>
        <w:rPr>
          <w:rFonts w:hint="eastAsia" w:ascii="宋体" w:hAnsi="宋体" w:eastAsia="宋体" w:cs="宋体"/>
          <w:sz w:val="24"/>
          <w:szCs w:val="24"/>
        </w:rPr>
        <w:t>各点测量值的算术平均值为：</w:t>
      </w:r>
    </w:p>
    <w:p>
      <w:pPr>
        <w:pStyle w:val="153"/>
        <w:rPr>
          <w:rFonts w:hint="eastAsia" w:ascii="宋体" w:hAnsi="宋体" w:eastAsia="宋体" w:cs="宋体"/>
          <w:sz w:val="24"/>
          <w:szCs w:val="24"/>
        </w:rPr>
      </w:pPr>
      <w:r>
        <w:rPr>
          <w:rFonts w:hint="eastAsia" w:ascii="宋体" w:hAnsi="宋体" w:eastAsia="宋体" w:cs="宋体"/>
          <w:sz w:val="24"/>
          <w:szCs w:val="24"/>
        </w:rPr>
        <w:tab/>
      </w:r>
      <m:oMath>
        <m:acc>
          <m:accPr>
            <m:chr m:val="̅"/>
            <m:ctrlPr>
              <w:rPr>
                <w:rFonts w:hint="eastAsia" w:ascii="Cambria Math" w:hAnsi="Cambria Math" w:eastAsia="宋体" w:cs="宋体"/>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sz w:val="24"/>
                <w:szCs w:val="24"/>
              </w:rPr>
            </m:ctrlPr>
          </m:e>
        </m:acc>
        <m:r>
          <m:rPr/>
          <w:rPr>
            <w:rFonts w:hint="eastAsia" w:ascii="Cambria Math" w:hAnsi="Cambria Math" w:eastAsia="宋体" w:cs="宋体"/>
            <w:sz w:val="24"/>
            <w:szCs w:val="24"/>
          </w:rPr>
          <m:t>=</m:t>
        </m:r>
        <m:f>
          <m:fPr>
            <m:ctrlPr>
              <w:rPr>
                <w:rFonts w:hint="eastAsia" w:ascii="Cambria Math" w:hAnsi="Cambria Math" w:eastAsia="宋体" w:cs="宋体"/>
                <w:i/>
                <w:sz w:val="24"/>
                <w:szCs w:val="24"/>
              </w:rPr>
            </m:ctrlPr>
          </m:fPr>
          <m:num>
            <m:r>
              <m:rPr/>
              <w:rPr>
                <w:rFonts w:hint="eastAsia" w:ascii="Cambria Math" w:hAnsi="Cambria Math" w:eastAsia="宋体" w:cs="宋体"/>
                <w:sz w:val="24"/>
                <w:szCs w:val="24"/>
              </w:rPr>
              <m:t>1</m:t>
            </m:r>
            <m:ctrlPr>
              <w:rPr>
                <w:rFonts w:hint="eastAsia" w:ascii="Cambria Math" w:hAnsi="Cambria Math" w:eastAsia="宋体" w:cs="宋体"/>
                <w:i/>
                <w:sz w:val="24"/>
                <w:szCs w:val="24"/>
              </w:rPr>
            </m:ctrlPr>
          </m:num>
          <m:den>
            <m:r>
              <m:rPr/>
              <w:rPr>
                <w:rFonts w:hint="eastAsia" w:ascii="Cambria Math" w:hAnsi="Cambria Math" w:eastAsia="宋体" w:cs="宋体"/>
                <w:sz w:val="24"/>
                <w:szCs w:val="24"/>
              </w:rPr>
              <m:t>n</m:t>
            </m:r>
            <m:ctrlPr>
              <w:rPr>
                <w:rFonts w:hint="eastAsia" w:ascii="Cambria Math" w:hAnsi="Cambria Math" w:eastAsia="宋体" w:cs="宋体"/>
                <w:i/>
                <w:sz w:val="24"/>
                <w:szCs w:val="24"/>
              </w:rPr>
            </m:ctrlPr>
          </m:den>
        </m:f>
        <m:nary>
          <m:naryPr>
            <m:chr m:val="∑"/>
            <m:limLoc m:val="subSup"/>
            <m:ctrlPr>
              <w:rPr>
                <w:rFonts w:hint="eastAsia" w:ascii="Cambria Math" w:hAnsi="Cambria Math" w:eastAsia="宋体" w:cs="宋体"/>
                <w:i/>
                <w:sz w:val="24"/>
                <w:szCs w:val="24"/>
              </w:rPr>
            </m:ctrlPr>
          </m:naryPr>
          <m:sub>
            <m:r>
              <m:rPr/>
              <w:rPr>
                <w:rFonts w:hint="eastAsia" w:ascii="Cambria Math" w:hAnsi="Cambria Math" w:eastAsia="宋体" w:cs="宋体"/>
                <w:sz w:val="24"/>
                <w:szCs w:val="24"/>
              </w:rPr>
              <m:t>i=1</m:t>
            </m:r>
            <m:ctrlPr>
              <w:rPr>
                <w:rFonts w:hint="eastAsia" w:ascii="Cambria Math" w:hAnsi="Cambria Math" w:eastAsia="宋体" w:cs="宋体"/>
                <w:i/>
                <w:sz w:val="24"/>
                <w:szCs w:val="24"/>
              </w:rPr>
            </m:ctrlPr>
          </m:sub>
          <m:sup>
            <m:r>
              <m:rPr/>
              <w:rPr>
                <w:rFonts w:hint="eastAsia" w:ascii="Cambria Math" w:hAnsi="Cambria Math" w:eastAsia="宋体" w:cs="宋体"/>
                <w:sz w:val="24"/>
                <w:szCs w:val="24"/>
              </w:rPr>
              <m:t>n</m:t>
            </m:r>
            <m:ctrlPr>
              <w:rPr>
                <w:rFonts w:hint="eastAsia" w:ascii="Cambria Math" w:hAnsi="Cambria Math" w:eastAsia="宋体" w:cs="宋体"/>
                <w:i/>
                <w:sz w:val="24"/>
                <w:szCs w:val="24"/>
              </w:rPr>
            </m:ctrlPr>
          </m:sup>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i/>
                    <w:sz w:val="24"/>
                    <w:szCs w:val="24"/>
                  </w:rPr>
                </m:ctrlPr>
              </m:sub>
            </m:sSub>
            <m:ctrlPr>
              <w:rPr>
                <w:rFonts w:hint="eastAsia" w:ascii="Cambria Math" w:hAnsi="Cambria Math" w:eastAsia="宋体" w:cs="宋体"/>
                <w:i/>
                <w:sz w:val="24"/>
                <w:szCs w:val="24"/>
              </w:rPr>
            </m:ctrlPr>
          </m:e>
        </m:nary>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fulu_equation_132847182553330139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162"/>
        <w:numPr>
          <w:ilvl w:val="0"/>
          <w:numId w:val="0"/>
        </w:num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式中：</w:t>
      </w:r>
    </w:p>
    <w:p>
      <w:pPr>
        <w:spacing w:line="240" w:lineRule="auto"/>
        <w:ind w:firstLine="480" w:firstLineChars="200"/>
        <w:rPr>
          <w:rFonts w:hint="eastAsia" w:ascii="宋体" w:hAnsi="宋体" w:eastAsia="宋体" w:cs="宋体"/>
          <w:sz w:val="24"/>
          <w:szCs w:val="24"/>
        </w:rPr>
      </w:pPr>
      <m:oMath>
        <m:acc>
          <m:accPr>
            <m:chr m:val="̅"/>
            <m:ctrlPr>
              <w:rPr>
                <w:rFonts w:hint="eastAsia" w:ascii="Cambria Math" w:hAnsi="Cambria Math" w:eastAsia="宋体" w:cs="宋体"/>
                <w:kern w:val="21"/>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kern w:val="21"/>
                <w:sz w:val="24"/>
                <w:szCs w:val="24"/>
              </w:rPr>
            </m:ctrlPr>
          </m:e>
        </m:acc>
      </m:oMath>
      <w:r>
        <w:rPr>
          <w:rFonts w:hint="eastAsia" w:ascii="宋体" w:hAnsi="宋体" w:eastAsia="宋体" w:cs="宋体"/>
          <w:sz w:val="24"/>
          <w:szCs w:val="24"/>
        </w:rPr>
        <w:t> ——算数平均值，单位为克每立方厘米（g/cm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r>
        <w:rPr>
          <w:rFonts w:hint="eastAsia" w:ascii="宋体" w:hAnsi="宋体" w:eastAsia="宋体" w:cs="宋体"/>
          <w:color w:val="000000"/>
          <w:sz w:val="24"/>
          <w:szCs w:val="24"/>
        </w:rPr>
        <w:t>；</w:t>
      </w:r>
    </w:p>
    <w:p>
      <w:pPr>
        <w:spacing w:line="240" w:lineRule="auto"/>
        <w:ind w:firstLine="480" w:firstLineChars="200"/>
        <w:rPr>
          <w:rFonts w:hint="eastAsia" w:ascii="宋体" w:hAnsi="宋体" w:eastAsia="宋体" w:cs="宋体"/>
          <w:sz w:val="24"/>
          <w:szCs w:val="24"/>
        </w:rPr>
      </w:pPr>
      <m:oMath>
        <m:sSub>
          <m:sSubPr>
            <m:ctrlPr>
              <w:rPr>
                <w:rFonts w:hint="eastAsia" w:ascii="Cambria Math" w:hAnsi="Cambria Math" w:eastAsia="宋体" w:cs="宋体"/>
                <w:i/>
                <w:kern w:val="21"/>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kern w:val="21"/>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i/>
                <w:kern w:val="21"/>
                <w:sz w:val="24"/>
                <w:szCs w:val="24"/>
              </w:rPr>
            </m:ctrlPr>
          </m:sub>
        </m:sSub>
      </m:oMath>
      <w:r>
        <w:rPr>
          <w:rFonts w:hint="eastAsia" w:ascii="宋体" w:hAnsi="宋体" w:eastAsia="宋体" w:cs="宋体"/>
          <w:sz w:val="24"/>
          <w:szCs w:val="24"/>
        </w:rPr>
        <w:t>——校准点上的被校示值，单位为克每立方厘米（g/cm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r>
        <w:rPr>
          <w:rFonts w:hint="eastAsia" w:ascii="宋体" w:hAnsi="宋体" w:eastAsia="宋体" w:cs="宋体"/>
          <w:color w:val="000000"/>
          <w:sz w:val="24"/>
          <w:szCs w:val="24"/>
        </w:rPr>
        <w:t>。</w:t>
      </w:r>
    </w:p>
    <w:p>
      <w:pPr>
        <w:pStyle w:val="162"/>
        <w:spacing w:line="240" w:lineRule="auto"/>
        <w:rPr>
          <w:rFonts w:hint="eastAsia" w:ascii="宋体" w:hAnsi="宋体" w:eastAsia="宋体" w:cs="宋体"/>
          <w:sz w:val="24"/>
          <w:szCs w:val="24"/>
        </w:rPr>
      </w:pPr>
      <w:r>
        <w:rPr>
          <w:rFonts w:hint="eastAsia" w:ascii="宋体" w:hAnsi="宋体" w:eastAsia="宋体" w:cs="宋体"/>
          <w:sz w:val="24"/>
          <w:szCs w:val="24"/>
        </w:rPr>
        <w:t>由贝塞尔公式，得出单次实验标准偏差：</w:t>
      </w:r>
    </w:p>
    <w:p>
      <w:pPr>
        <w:pStyle w:val="153"/>
        <w:rPr>
          <w:rFonts w:hint="eastAsia" w:ascii="宋体" w:hAnsi="宋体" w:eastAsia="宋体" w:cs="宋体"/>
          <w:sz w:val="24"/>
          <w:szCs w:val="24"/>
        </w:rPr>
      </w:pPr>
      <w:r>
        <w:rPr>
          <w:rFonts w:hint="eastAsia" w:ascii="宋体" w:hAnsi="宋体" w:eastAsia="宋体" w:cs="宋体"/>
          <w:sz w:val="24"/>
          <w:szCs w:val="24"/>
        </w:rPr>
        <w:tab/>
      </w:r>
      <m:oMath>
        <m:r>
          <m:rPr/>
          <w:rPr>
            <w:rFonts w:hint="eastAsia" w:ascii="Cambria Math" w:hAnsi="Cambria Math" w:eastAsia="宋体" w:cs="宋体"/>
            <w:sz w:val="24"/>
            <w:szCs w:val="24"/>
          </w:rPr>
          <m:t>S</m:t>
        </m:r>
        <m:r>
          <m:rPr>
            <m:sty m:val="p"/>
          </m:rPr>
          <w:rPr>
            <w:rFonts w:hint="eastAsia" w:ascii="Cambria Math" w:hAnsi="Cambria Math" w:eastAsia="宋体" w:cs="宋体"/>
            <w:sz w:val="24"/>
            <w:szCs w:val="24"/>
          </w:rPr>
          <m:t>=</m:t>
        </m:r>
        <m:rad>
          <m:radPr>
            <m:degHide m:val="1"/>
            <m:ctrlPr>
              <w:rPr>
                <w:rFonts w:hint="eastAsia" w:ascii="Cambria Math" w:hAnsi="Cambria Math" w:eastAsia="宋体" w:cs="宋体"/>
                <w:sz w:val="24"/>
                <w:szCs w:val="24"/>
              </w:rPr>
            </m:ctrlPr>
          </m:radPr>
          <m:deg>
            <m:ctrlPr>
              <w:rPr>
                <w:rFonts w:hint="eastAsia" w:ascii="Cambria Math" w:hAnsi="Cambria Math" w:eastAsia="宋体" w:cs="宋体"/>
                <w:sz w:val="24"/>
                <w:szCs w:val="24"/>
              </w:rPr>
            </m:ctrlPr>
          </m:deg>
          <m:e>
            <m:f>
              <m:fPr>
                <m:ctrlPr>
                  <w:rPr>
                    <w:rFonts w:hint="eastAsia" w:ascii="Cambria Math" w:hAnsi="Cambria Math" w:eastAsia="宋体" w:cs="宋体"/>
                    <w:i/>
                    <w:sz w:val="24"/>
                    <w:szCs w:val="24"/>
                  </w:rPr>
                </m:ctrlPr>
              </m:fPr>
              <m:num>
                <m:nary>
                  <m:naryPr>
                    <m:chr m:val="∑"/>
                    <m:limLoc m:val="subSup"/>
                    <m:ctrlPr>
                      <w:rPr>
                        <w:rFonts w:hint="eastAsia" w:ascii="Cambria Math" w:hAnsi="Cambria Math" w:eastAsia="宋体" w:cs="宋体"/>
                        <w:i/>
                        <w:sz w:val="24"/>
                        <w:szCs w:val="24"/>
                      </w:rPr>
                    </m:ctrlPr>
                  </m:naryPr>
                  <m:sub>
                    <m:r>
                      <m:rPr/>
                      <w:rPr>
                        <w:rFonts w:hint="eastAsia" w:ascii="Cambria Math" w:hAnsi="Cambria Math" w:eastAsia="宋体" w:cs="宋体"/>
                        <w:sz w:val="24"/>
                        <w:szCs w:val="24"/>
                      </w:rPr>
                      <m:t>i</m:t>
                    </m:r>
                    <m:ctrlPr>
                      <w:rPr>
                        <w:rFonts w:hint="eastAsia" w:ascii="Cambria Math" w:hAnsi="Cambria Math" w:eastAsia="宋体" w:cs="宋体"/>
                        <w:i/>
                        <w:sz w:val="24"/>
                        <w:szCs w:val="24"/>
                      </w:rPr>
                    </m:ctrlPr>
                  </m:sub>
                  <m:sup>
                    <m:r>
                      <m:rPr/>
                      <w:rPr>
                        <w:rFonts w:hint="eastAsia" w:ascii="Cambria Math" w:hAnsi="Cambria Math" w:eastAsia="宋体" w:cs="宋体"/>
                        <w:sz w:val="24"/>
                        <w:szCs w:val="24"/>
                      </w:rPr>
                      <m:t>n</m:t>
                    </m:r>
                    <m:ctrlPr>
                      <w:rPr>
                        <w:rFonts w:hint="eastAsia" w:ascii="Cambria Math" w:hAnsi="Cambria Math" w:eastAsia="宋体" w:cs="宋体"/>
                        <w:i/>
                        <w:sz w:val="24"/>
                        <w:szCs w:val="24"/>
                      </w:rPr>
                    </m:ctrlPr>
                  </m:sup>
                  <m:e>
                    <m:sSup>
                      <m:sSupPr>
                        <m:ctrlPr>
                          <w:rPr>
                            <w:rFonts w:hint="eastAsia" w:ascii="Cambria Math" w:hAnsi="Cambria Math" w:eastAsia="宋体" w:cs="宋体"/>
                            <w:i/>
                            <w:sz w:val="24"/>
                            <w:szCs w:val="24"/>
                          </w:rPr>
                        </m:ctrlPr>
                      </m:sSupPr>
                      <m:e>
                        <m:d>
                          <m:dPr>
                            <m:ctrlPr>
                              <w:rPr>
                                <w:rFonts w:hint="eastAsia" w:ascii="Cambria Math" w:hAnsi="Cambria Math" w:eastAsia="宋体" w:cs="宋体"/>
                                <w:i/>
                                <w:sz w:val="24"/>
                                <w:szCs w:val="24"/>
                              </w:rPr>
                            </m:ctrlPr>
                          </m:dPr>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i/>
                                    <w:sz w:val="24"/>
                                    <w:szCs w:val="24"/>
                                  </w:rPr>
                                </m:ctrlPr>
                              </m:sub>
                            </m:sSub>
                            <m:r>
                              <m:rPr/>
                              <w:rPr>
                                <w:rFonts w:hint="eastAsia" w:ascii="Cambria Math" w:hAnsi="Cambria Math" w:eastAsia="宋体" w:cs="宋体"/>
                                <w:sz w:val="24"/>
                                <w:szCs w:val="24"/>
                              </w:rPr>
                              <m:t>−</m:t>
                            </m:r>
                            <m:acc>
                              <m:accPr>
                                <m:chr m:val="̅"/>
                                <m:ctrlPr>
                                  <w:rPr>
                                    <w:rFonts w:hint="eastAsia" w:ascii="Cambria Math" w:hAnsi="Cambria Math" w:eastAsia="宋体" w:cs="宋体"/>
                                    <w:i/>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i/>
                                    <w:sz w:val="24"/>
                                    <w:szCs w:val="24"/>
                                  </w:rPr>
                                </m:ctrlPr>
                              </m:e>
                            </m:acc>
                            <m:ctrlPr>
                              <w:rPr>
                                <w:rFonts w:hint="eastAsia" w:ascii="Cambria Math" w:hAnsi="Cambria Math" w:eastAsia="宋体" w:cs="宋体"/>
                                <w:i/>
                                <w:sz w:val="24"/>
                                <w:szCs w:val="24"/>
                              </w:rPr>
                            </m:ctrlPr>
                          </m:e>
                        </m:d>
                        <m:ctrlPr>
                          <w:rPr>
                            <w:rFonts w:hint="eastAsia" w:ascii="Cambria Math" w:hAnsi="Cambria Math" w:eastAsia="宋体" w:cs="宋体"/>
                            <w:i/>
                            <w:sz w:val="24"/>
                            <w:szCs w:val="24"/>
                          </w:rPr>
                        </m:ctrlPr>
                      </m:e>
                      <m:sup>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p>
                    </m:sSup>
                    <m:ctrlPr>
                      <w:rPr>
                        <w:rFonts w:hint="eastAsia" w:ascii="Cambria Math" w:hAnsi="Cambria Math" w:eastAsia="宋体" w:cs="宋体"/>
                        <w:i/>
                        <w:sz w:val="24"/>
                        <w:szCs w:val="24"/>
                      </w:rPr>
                    </m:ctrlPr>
                  </m:e>
                </m:nary>
                <m:ctrlPr>
                  <w:rPr>
                    <w:rFonts w:hint="eastAsia" w:ascii="Cambria Math" w:hAnsi="Cambria Math" w:eastAsia="宋体" w:cs="宋体"/>
                    <w:i/>
                    <w:sz w:val="24"/>
                    <w:szCs w:val="24"/>
                  </w:rPr>
                </m:ctrlPr>
              </m:num>
              <m:den>
                <m:r>
                  <m:rPr/>
                  <w:rPr>
                    <w:rFonts w:hint="eastAsia" w:ascii="Cambria Math" w:hAnsi="Cambria Math" w:eastAsia="宋体" w:cs="宋体"/>
                    <w:sz w:val="24"/>
                    <w:szCs w:val="24"/>
                  </w:rPr>
                  <m:t>n−1</m:t>
                </m:r>
                <m:ctrlPr>
                  <w:rPr>
                    <w:rFonts w:hint="eastAsia" w:ascii="Cambria Math" w:hAnsi="Cambria Math" w:eastAsia="宋体" w:cs="宋体"/>
                    <w:i/>
                    <w:sz w:val="24"/>
                    <w:szCs w:val="24"/>
                  </w:rPr>
                </m:ctrlPr>
              </m:den>
            </m:f>
            <m:ctrlPr>
              <w:rPr>
                <w:rFonts w:hint="eastAsia" w:ascii="Cambria Math" w:hAnsi="Cambria Math" w:eastAsia="宋体" w:cs="宋体"/>
                <w:sz w:val="24"/>
                <w:szCs w:val="24"/>
              </w:rPr>
            </m:ctrlPr>
          </m:e>
        </m:rad>
      </m:oMath>
      <w:r>
        <w:rPr>
          <w:rFonts w:hint="eastAsia" w:ascii="宋体" w:hAnsi="宋体" w:eastAsia="宋体" w:cs="宋体"/>
          <w:sz w:val="24"/>
          <w:szCs w:val="24"/>
        </w:rPr>
        <w:tab/>
      </w:r>
      <w:r>
        <w:rPr>
          <w:rFonts w:hint="eastAsia" w:ascii="宋体" w:hAnsi="宋体" w:eastAsia="宋体" w:cs="宋体"/>
          <w:sz w:val="24"/>
          <w:szCs w:val="24"/>
        </w:rPr>
        <w:t>(B.</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seq fulu_equation_132847182553330139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t>)</w:t>
      </w:r>
    </w:p>
    <w:p>
      <w:pPr>
        <w:pStyle w:val="162"/>
        <w:numPr>
          <w:ilvl w:val="0"/>
          <w:numId w:val="0"/>
        </w:numPr>
        <w:ind w:firstLine="480" w:firstLineChars="200"/>
        <w:jc w:val="left"/>
        <w:rPr>
          <w:rFonts w:hint="eastAsia" w:ascii="宋体" w:hAnsi="宋体" w:eastAsia="宋体" w:cs="宋体"/>
          <w:sz w:val="24"/>
          <w:szCs w:val="24"/>
        </w:rPr>
      </w:pPr>
      <w:r>
        <w:rPr>
          <w:rFonts w:hint="eastAsia" w:ascii="宋体" w:hAnsi="宋体" w:eastAsia="宋体" w:cs="宋体"/>
          <w:sz w:val="24"/>
          <w:szCs w:val="24"/>
        </w:rPr>
        <w:t>式中：</w:t>
      </w:r>
    </w:p>
    <w:p>
      <w:pPr>
        <w:pStyle w:val="162"/>
        <w:numPr>
          <w:ilvl w:val="0"/>
          <w:numId w:val="0"/>
        </w:numPr>
        <w:spacing w:line="240" w:lineRule="auto"/>
        <w:ind w:firstLine="480" w:firstLineChars="200"/>
        <w:jc w:val="left"/>
        <w:rPr>
          <w:rFonts w:hint="eastAsia" w:ascii="宋体" w:hAnsi="宋体" w:eastAsia="宋体" w:cs="宋体"/>
          <w:sz w:val="24"/>
          <w:szCs w:val="24"/>
        </w:rPr>
      </w:pPr>
      <m:oMath>
        <m:r>
          <m:rPr/>
          <w:rPr>
            <w:rFonts w:hint="eastAsia" w:ascii="Cambria Math" w:hAnsi="Cambria Math" w:eastAsia="宋体" w:cs="宋体"/>
            <w:sz w:val="24"/>
            <w:szCs w:val="24"/>
          </w:rPr>
          <m:t>S</m:t>
        </m:r>
      </m:oMath>
      <w:r>
        <w:rPr>
          <w:rFonts w:hint="eastAsia" w:ascii="宋体" w:hAnsi="宋体" w:eastAsia="宋体" w:cs="宋体"/>
          <w:sz w:val="24"/>
          <w:szCs w:val="24"/>
        </w:rPr>
        <w:t xml:space="preserve"> ——单次实验标准偏差，单位为克每立方厘米（</w:t>
      </w:r>
      <w:r>
        <w:rPr>
          <w:rFonts w:hint="eastAsia" w:ascii="宋体" w:hAnsi="宋体" w:eastAsia="宋体" w:cs="宋体"/>
          <w:kern w:val="0"/>
          <w:sz w:val="24"/>
          <w:szCs w:val="24"/>
        </w:rPr>
        <w:t>g/cm</w:t>
      </w:r>
      <w:r>
        <w:rPr>
          <w:rFonts w:hint="eastAsia" w:ascii="宋体" w:hAnsi="宋体" w:eastAsia="宋体" w:cs="宋体"/>
          <w:sz w:val="24"/>
          <w:szCs w:val="24"/>
          <w:vertAlign w:val="superscript"/>
        </w:rPr>
        <w:t>3</w:t>
      </w:r>
      <w:r>
        <w:rPr>
          <w:rFonts w:hint="eastAsia" w:ascii="宋体" w:hAnsi="宋体" w:eastAsia="宋体" w:cs="宋体"/>
          <w:sz w:val="24"/>
          <w:szCs w:val="24"/>
        </w:rPr>
        <w:t>）</w:t>
      </w:r>
      <w:r>
        <w:rPr>
          <w:rFonts w:hint="eastAsia" w:ascii="宋体" w:hAnsi="宋体" w:eastAsia="宋体" w:cs="宋体"/>
          <w:color w:val="000000"/>
          <w:sz w:val="24"/>
          <w:szCs w:val="24"/>
        </w:rPr>
        <w:t>；</w:t>
      </w:r>
    </w:p>
    <w:p>
      <w:pPr>
        <w:pStyle w:val="155"/>
        <w:numPr>
          <w:ilvl w:val="0"/>
          <w:numId w:val="0"/>
        </w:numPr>
        <w:ind w:firstLine="480" w:firstLineChars="200"/>
        <w:rPr>
          <w:rFonts w:hint="eastAsia" w:ascii="宋体" w:hAnsi="宋体" w:eastAsia="宋体" w:cs="宋体"/>
          <w:kern w:val="21"/>
          <w:sz w:val="24"/>
          <w:szCs w:val="24"/>
        </w:rPr>
      </w:pPr>
      <m:oMath>
        <m:sSub>
          <m:sSubPr>
            <m:ctrlPr>
              <w:rPr>
                <w:rFonts w:hint="eastAsia" w:ascii="Cambria Math" w:hAnsi="Cambria Math" w:eastAsia="宋体" w:cs="宋体"/>
                <w:i/>
                <w:kern w:val="21"/>
                <w:sz w:val="24"/>
                <w:szCs w:val="24"/>
              </w:rPr>
            </m:ctrlPr>
          </m:sSubPr>
          <m:e>
            <m:r>
              <m:rPr/>
              <w:rPr>
                <w:rFonts w:hint="eastAsia" w:ascii="Cambria Math" w:hAnsi="Cambria Math" w:eastAsia="宋体" w:cs="宋体"/>
                <w:sz w:val="24"/>
                <w:szCs w:val="24"/>
              </w:rPr>
              <m:t>P</m:t>
            </m:r>
            <m:ctrlPr>
              <w:rPr>
                <w:rFonts w:hint="eastAsia" w:ascii="Cambria Math" w:hAnsi="Cambria Math" w:eastAsia="宋体" w:cs="宋体"/>
                <w:i/>
                <w:kern w:val="21"/>
                <w:sz w:val="24"/>
                <w:szCs w:val="24"/>
              </w:rPr>
            </m:ctrlPr>
          </m:e>
          <m:sub>
            <m:r>
              <m:rPr/>
              <w:rPr>
                <w:rFonts w:hint="eastAsia" w:ascii="Cambria Math" w:hAnsi="Cambria Math" w:eastAsia="宋体" w:cs="宋体"/>
                <w:sz w:val="24"/>
                <w:szCs w:val="24"/>
              </w:rPr>
              <m:t>i</m:t>
            </m:r>
            <m:ctrlPr>
              <w:rPr>
                <w:rFonts w:hint="eastAsia" w:ascii="Cambria Math" w:hAnsi="Cambria Math" w:eastAsia="宋体" w:cs="宋体"/>
                <w:i/>
                <w:kern w:val="21"/>
                <w:sz w:val="24"/>
                <w:szCs w:val="24"/>
              </w:rPr>
            </m:ctrlPr>
          </m:sub>
        </m:sSub>
      </m:oMath>
      <w:r>
        <w:rPr>
          <w:rFonts w:hint="eastAsia" w:ascii="宋体" w:hAnsi="宋体" w:eastAsia="宋体" w:cs="宋体"/>
          <w:kern w:val="21"/>
          <w:sz w:val="24"/>
          <w:szCs w:val="24"/>
        </w:rPr>
        <w:t>——</w:t>
      </w:r>
      <w:r>
        <w:rPr>
          <w:rFonts w:hint="eastAsia" w:ascii="宋体" w:hAnsi="宋体" w:eastAsia="宋体" w:cs="宋体"/>
          <w:sz w:val="24"/>
          <w:szCs w:val="24"/>
        </w:rPr>
        <w:t>校准点上的被校示值，单位为克每立方厘米（g/cm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p>
    <w:p>
      <w:pPr>
        <w:pStyle w:val="155"/>
        <w:numPr>
          <w:ilvl w:val="0"/>
          <w:numId w:val="0"/>
        </w:numPr>
        <w:ind w:left="851" w:hanging="426"/>
        <w:rPr>
          <w:rFonts w:hint="eastAsia" w:ascii="宋体" w:hAnsi="宋体" w:eastAsia="宋体" w:cs="宋体"/>
          <w:sz w:val="24"/>
          <w:szCs w:val="24"/>
        </w:rPr>
      </w:pPr>
      <m:oMath>
        <m:acc>
          <m:accPr>
            <m:chr m:val="̅"/>
            <m:ctrlPr>
              <w:rPr>
                <w:rFonts w:hint="eastAsia" w:ascii="Cambria Math" w:hAnsi="Cambria Math" w:eastAsia="宋体" w:cs="宋体"/>
                <w:kern w:val="21"/>
                <w:sz w:val="24"/>
                <w:szCs w:val="24"/>
              </w:rPr>
            </m:ctrlPr>
          </m:accPr>
          <m:e>
            <m:r>
              <m:rPr/>
              <w:rPr>
                <w:rFonts w:hint="eastAsia" w:ascii="Cambria Math" w:hAnsi="Cambria Math" w:eastAsia="宋体" w:cs="宋体"/>
                <w:sz w:val="24"/>
                <w:szCs w:val="24"/>
              </w:rPr>
              <m:t>P</m:t>
            </m:r>
            <m:ctrlPr>
              <w:rPr>
                <w:rFonts w:hint="eastAsia" w:ascii="Cambria Math" w:hAnsi="Cambria Math" w:eastAsia="宋体" w:cs="宋体"/>
                <w:kern w:val="21"/>
                <w:sz w:val="24"/>
                <w:szCs w:val="24"/>
              </w:rPr>
            </m:ctrlPr>
          </m:e>
        </m:acc>
      </m:oMath>
      <w:r>
        <w:rPr>
          <w:rFonts w:hint="eastAsia" w:ascii="宋体" w:hAnsi="宋体" w:eastAsia="宋体" w:cs="宋体"/>
          <w:sz w:val="24"/>
          <w:szCs w:val="24"/>
        </w:rPr>
        <w:t> </w:t>
      </w:r>
      <w:r>
        <w:rPr>
          <w:rFonts w:hint="eastAsia" w:ascii="宋体" w:hAnsi="宋体" w:eastAsia="宋体" w:cs="宋体"/>
          <w:kern w:val="21"/>
          <w:sz w:val="24"/>
          <w:szCs w:val="24"/>
        </w:rPr>
        <w:t>——</w:t>
      </w:r>
      <w:r>
        <w:rPr>
          <w:rFonts w:hint="eastAsia" w:ascii="宋体" w:hAnsi="宋体" w:eastAsia="宋体" w:cs="宋体"/>
          <w:sz w:val="24"/>
          <w:szCs w:val="24"/>
        </w:rPr>
        <w:t>算数平均值，单位为克每立方厘米（g/cm</w:t>
      </w:r>
      <w:r>
        <w:rPr>
          <w:rFonts w:hint="eastAsia" w:ascii="宋体" w:hAnsi="宋体" w:eastAsia="宋体" w:cs="宋体"/>
          <w:sz w:val="24"/>
          <w:szCs w:val="24"/>
          <w:vertAlign w:val="superscript"/>
        </w:rPr>
        <w:t>3</w:t>
      </w:r>
      <w:r>
        <w:rPr>
          <w:rFonts w:hint="eastAsia" w:ascii="宋体" w:hAnsi="宋体" w:eastAsia="宋体" w:cs="宋体"/>
          <w:sz w:val="24"/>
          <w:szCs w:val="24"/>
        </w:rPr>
        <w:t>）。</w:t>
      </w:r>
    </w:p>
    <w:p>
      <w:pPr>
        <w:pStyle w:val="162"/>
        <w:spacing w:line="240" w:lineRule="auto"/>
        <w:rPr>
          <w:rFonts w:hint="eastAsia" w:ascii="宋体" w:hAnsi="宋体" w:eastAsia="宋体" w:cs="宋体"/>
          <w:sz w:val="24"/>
          <w:szCs w:val="24"/>
        </w:rPr>
      </w:pPr>
      <w:r>
        <w:rPr>
          <w:rFonts w:hint="eastAsia" w:ascii="宋体" w:hAnsi="宋体" w:eastAsia="宋体" w:cs="宋体"/>
          <w:sz w:val="21"/>
          <w:szCs w:val="21"/>
        </w:rPr>
        <w:t>由</w:t>
      </w:r>
      <w:r>
        <w:rPr>
          <w:rFonts w:hint="eastAsia" w:ascii="宋体" w:hAnsi="宋体" w:eastAsia="宋体" w:cs="宋体"/>
          <w:sz w:val="24"/>
          <w:szCs w:val="24"/>
        </w:rPr>
        <w:t>示值重复性引入的</w:t>
      </w:r>
      <w:r>
        <w:rPr>
          <w:rFonts w:hint="eastAsia" w:ascii="宋体" w:hAnsi="宋体" w:eastAsia="宋体" w:cs="宋体"/>
          <w:sz w:val="24"/>
          <w:szCs w:val="24"/>
          <w:lang w:val="en-US" w:eastAsia="zh-CN"/>
        </w:rPr>
        <w:t>相对</w:t>
      </w:r>
      <w:r>
        <w:rPr>
          <w:rFonts w:hint="eastAsia" w:ascii="宋体" w:hAnsi="宋体" w:eastAsia="宋体" w:cs="宋体"/>
          <w:sz w:val="24"/>
          <w:szCs w:val="24"/>
        </w:rPr>
        <w:t>不确定度分量</w:t>
      </w:r>
      <m:oMath>
        <m:sSub>
          <m:sSubPr>
            <m:ctrlPr>
              <w:rPr>
                <w:rFonts w:hint="eastAsia" w:ascii="Cambria Math" w:hAnsi="Cambria Math" w:eastAsia="宋体" w:cs="宋体"/>
                <w:i/>
                <w:color w:val="000000"/>
                <w:sz w:val="24"/>
                <w:szCs w:val="24"/>
              </w:rPr>
            </m:ctrlPr>
          </m:sSubPr>
          <m:e>
            <m:r>
              <m:rPr/>
              <w:rPr>
                <w:rFonts w:hint="eastAsia" w:ascii="Cambria Math" w:hAnsi="Cambria Math" w:eastAsia="宋体" w:cs="宋体"/>
                <w:color w:val="000000"/>
                <w:sz w:val="24"/>
                <w:szCs w:val="24"/>
              </w:rPr>
              <m:t>u</m:t>
            </m:r>
            <m:ctrlPr>
              <w:rPr>
                <w:rFonts w:hint="eastAsia" w:ascii="Cambria Math" w:hAnsi="Cambria Math" w:eastAsia="宋体" w:cs="宋体"/>
                <w:i/>
                <w:color w:val="000000"/>
                <w:sz w:val="24"/>
                <w:szCs w:val="24"/>
              </w:rPr>
            </m:ctrlPr>
          </m:e>
          <m:sub>
            <m:r>
              <m:rPr/>
              <w:rPr>
                <w:rFonts w:hint="eastAsia" w:ascii="Cambria Math" w:hAnsi="Cambria Math" w:eastAsia="宋体" w:cs="宋体"/>
                <w:color w:val="000000"/>
                <w:sz w:val="24"/>
                <w:szCs w:val="24"/>
              </w:rPr>
              <m:t>1</m:t>
            </m:r>
            <m:ctrlPr>
              <w:rPr>
                <w:rFonts w:hint="eastAsia" w:ascii="Cambria Math" w:hAnsi="Cambria Math" w:eastAsia="宋体" w:cs="宋体"/>
                <w:i/>
                <w:color w:val="000000"/>
                <w:sz w:val="24"/>
                <w:szCs w:val="24"/>
              </w:rPr>
            </m:ctrlPr>
          </m:sub>
        </m:sSub>
      </m:oMath>
      <w:r>
        <w:rPr>
          <w:rFonts w:hint="eastAsia" w:ascii="宋体" w:hAnsi="宋体" w:eastAsia="宋体" w:cs="宋体"/>
          <w:sz w:val="24"/>
          <w:szCs w:val="24"/>
        </w:rPr>
        <w:t>如下所示，均为正态分布：</w:t>
      </w:r>
    </w:p>
    <w:p>
      <w:pPr>
        <w:pStyle w:val="153"/>
        <w:rPr>
          <w:rFonts w:hint="eastAsia" w:ascii="宋体" w:hAnsi="宋体" w:eastAsia="宋体" w:cs="宋体"/>
          <w:sz w:val="21"/>
          <w:szCs w:val="21"/>
        </w:rPr>
      </w:pPr>
      <w:r>
        <w:rPr>
          <w:rFonts w:hint="eastAsia" w:ascii="宋体" w:hAnsi="宋体" w:eastAsia="宋体" w:cs="宋体"/>
          <w:sz w:val="24"/>
          <w:szCs w:val="24"/>
        </w:rPr>
        <w:tab/>
      </w:r>
      <m:oMath>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1</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m:t>
        </m:r>
        <m:f>
          <m:fPr>
            <m:ctrlPr>
              <w:rPr>
                <w:rFonts w:hint="eastAsia" w:ascii="Cambria Math" w:hAnsi="Cambria Math" w:eastAsia="宋体" w:cs="宋体"/>
                <w:i/>
                <w:sz w:val="24"/>
                <w:szCs w:val="24"/>
              </w:rPr>
            </m:ctrlPr>
          </m:fPr>
          <m:num>
            <m:r>
              <m:rPr>
                <m:sty m:val="p"/>
              </m:rPr>
              <w:rPr>
                <w:rFonts w:hint="eastAsia" w:ascii="Cambria Math" w:hAnsi="Cambria Math" w:eastAsia="宋体" w:cs="宋体"/>
                <w:sz w:val="24"/>
                <w:szCs w:val="24"/>
                <w:lang w:val="en-US" w:eastAsia="zh-CN"/>
              </w:rPr>
              <m:t>s</m:t>
            </m:r>
            <m:r>
              <m:rPr>
                <m:sty m:val="p"/>
              </m:rPr>
              <w:rPr>
                <w:rFonts w:hint="eastAsia" w:ascii="Cambria Math" w:hAnsi="Cambria Math" w:eastAsia="宋体" w:cs="宋体"/>
                <w:sz w:val="24"/>
                <w:szCs w:val="24"/>
              </w:rPr>
              <m:t>/</m:t>
            </m:r>
            <m:r>
              <m:rPr>
                <m:sty m:val="p"/>
              </m:rPr>
              <w:rPr>
                <w:rFonts w:hint="eastAsia" w:ascii="Cambria Math" w:hAnsi="Cambria Math" w:eastAsia="宋体" w:cs="宋体"/>
                <w:sz w:val="24"/>
                <w:szCs w:val="24"/>
                <w:lang w:val="en-US" w:eastAsia="zh-CN"/>
              </w:rPr>
              <m:t>满量程</m:t>
            </m:r>
            <m:ctrlPr>
              <w:rPr>
                <w:rFonts w:hint="eastAsia" w:ascii="Cambria Math" w:hAnsi="Cambria Math" w:eastAsia="宋体" w:cs="宋体"/>
                <w:i/>
                <w:sz w:val="24"/>
                <w:szCs w:val="24"/>
              </w:rPr>
            </m:ctrlPr>
          </m:num>
          <m:den>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r>
                  <m:rPr/>
                  <w:rPr>
                    <w:rFonts w:hint="eastAsia" w:ascii="Cambria Math" w:hAnsi="Cambria Math" w:eastAsia="宋体" w:cs="宋体"/>
                    <w:sz w:val="24"/>
                    <w:szCs w:val="24"/>
                  </w:rPr>
                  <m:t>n</m:t>
                </m:r>
                <m:ctrlPr>
                  <w:rPr>
                    <w:rFonts w:hint="eastAsia" w:ascii="Cambria Math" w:hAnsi="Cambria Math" w:eastAsia="宋体" w:cs="宋体"/>
                    <w:i/>
                    <w:sz w:val="24"/>
                    <w:szCs w:val="24"/>
                  </w:rPr>
                </m:ctrlPr>
              </m:e>
            </m:rad>
            <m:ctrlPr>
              <w:rPr>
                <w:rFonts w:hint="eastAsia" w:ascii="Cambria Math" w:hAnsi="Cambria Math" w:eastAsia="宋体" w:cs="宋体"/>
                <w:i/>
                <w:sz w:val="24"/>
                <w:szCs w:val="24"/>
              </w:rPr>
            </m:ctrlPr>
          </m:den>
        </m:f>
        <m:r>
          <m:rPr/>
          <w:rPr>
            <w:rFonts w:hint="eastAsia" w:ascii="Cambria Math" w:hAnsi="Cambria Math" w:eastAsia="宋体" w:cs="宋体"/>
            <w:sz w:val="24"/>
            <w:szCs w:val="24"/>
          </w:rPr>
          <m:t>×</m:t>
        </m:r>
        <m:r>
          <m:rPr/>
          <w:rPr>
            <w:rFonts w:hint="eastAsia" w:ascii="Cambria Math" w:hAnsi="Cambria Math" w:eastAsia="宋体" w:cs="宋体"/>
            <w:sz w:val="24"/>
            <w:szCs w:val="24"/>
            <w:lang w:val="en-US" w:eastAsia="zh-CN"/>
          </w:rPr>
          <m:t>100%</m:t>
        </m:r>
      </m:oMath>
      <w:r>
        <w:rPr>
          <w:rFonts w:hint="eastAsia" w:ascii="宋体" w:hAnsi="宋体" w:eastAsia="宋体" w:cs="宋体"/>
          <w:sz w:val="24"/>
          <w:szCs w:val="24"/>
        </w:rPr>
        <w:tab/>
      </w: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seq fulu_equation_132847182553330139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w:t>
      </w:r>
    </w:p>
    <w:p>
      <w:pPr>
        <w:pStyle w:val="161"/>
        <w:spacing w:before="120" w:after="120"/>
        <w:rPr>
          <w:rFonts w:hint="eastAsia" w:ascii="黑体" w:hAnsi="黑体" w:eastAsia="黑体" w:cs="黑体"/>
          <w:sz w:val="24"/>
          <w:szCs w:val="24"/>
        </w:rPr>
      </w:pPr>
      <w:r>
        <w:rPr>
          <w:rFonts w:hint="eastAsia" w:ascii="黑体" w:hAnsi="黑体" w:eastAsia="黑体" w:cs="黑体"/>
          <w:sz w:val="24"/>
          <w:szCs w:val="24"/>
        </w:rPr>
        <w:t>天平溯源引入的标准不确定度</w:t>
      </w:r>
      <m:oMath>
        <m:sSub>
          <m:sSubPr>
            <m:ctrlPr>
              <w:rPr>
                <w:rFonts w:hint="eastAsia" w:ascii="Cambria Math" w:hAnsi="Cambria Math" w:eastAsia="黑体" w:cs="黑体"/>
                <w:b w:val="0"/>
                <w:bCs/>
                <w:i/>
                <w:color w:val="000000"/>
                <w:sz w:val="24"/>
                <w:szCs w:val="24"/>
              </w:rPr>
            </m:ctrlPr>
          </m:sSubPr>
          <m:e>
            <m:r>
              <m:rPr/>
              <w:rPr>
                <w:rFonts w:hint="eastAsia" w:ascii="Cambria Math" w:hAnsi="Cambria Math" w:eastAsia="黑体" w:cs="黑体"/>
                <w:color w:val="000000"/>
                <w:sz w:val="24"/>
                <w:szCs w:val="24"/>
              </w:rPr>
              <m:t>u</m:t>
            </m:r>
            <m:ctrlPr>
              <w:rPr>
                <w:rFonts w:hint="eastAsia" w:ascii="Cambria Math" w:hAnsi="Cambria Math" w:eastAsia="黑体" w:cs="黑体"/>
                <w:b w:val="0"/>
                <w:bCs/>
                <w:i/>
                <w:color w:val="000000"/>
                <w:sz w:val="24"/>
                <w:szCs w:val="24"/>
              </w:rPr>
            </m:ctrlPr>
          </m:e>
          <m:sub>
            <m:r>
              <m:rPr/>
              <w:rPr>
                <w:rFonts w:hint="eastAsia" w:ascii="Cambria Math" w:hAnsi="Cambria Math" w:eastAsia="黑体" w:cs="黑体"/>
                <w:color w:val="000000"/>
                <w:sz w:val="24"/>
                <w:szCs w:val="24"/>
              </w:rPr>
              <m:t>2</m:t>
            </m:r>
            <m:ctrlPr>
              <w:rPr>
                <w:rFonts w:hint="eastAsia" w:ascii="Cambria Math" w:hAnsi="Cambria Math" w:eastAsia="黑体" w:cs="黑体"/>
                <w:b w:val="0"/>
                <w:bCs/>
                <w:i/>
                <w:color w:val="000000"/>
                <w:sz w:val="24"/>
                <w:szCs w:val="24"/>
              </w:rPr>
            </m:ctrlPr>
          </m:sub>
        </m:sSub>
      </m:oMath>
    </w:p>
    <w:p>
      <w:pPr>
        <w:pStyle w:val="141"/>
        <w:ind w:firstLine="420"/>
        <w:rPr>
          <w:rFonts w:hint="eastAsia" w:ascii="宋体" w:hAnsi="宋体" w:eastAsia="宋体" w:cs="宋体"/>
          <w:sz w:val="24"/>
          <w:szCs w:val="24"/>
        </w:rPr>
      </w:pPr>
      <w:r>
        <w:rPr>
          <w:rFonts w:hint="eastAsia" w:ascii="宋体" w:hAnsi="宋体" w:eastAsia="宋体" w:cs="宋体"/>
          <w:sz w:val="24"/>
          <w:szCs w:val="24"/>
        </w:rPr>
        <w:t>根据电子天平校准证书最大允许误差为±0.0</w:t>
      </w:r>
      <w:r>
        <w:rPr>
          <w:rFonts w:hint="eastAsia" w:ascii="宋体" w:hAnsi="宋体" w:eastAsia="宋体" w:cs="宋体"/>
          <w:sz w:val="24"/>
          <w:szCs w:val="24"/>
          <w:lang w:val="en-US" w:eastAsia="zh-CN"/>
        </w:rPr>
        <w:t>0</w:t>
      </w:r>
      <w:r>
        <w:rPr>
          <w:rFonts w:hint="eastAsia" w:ascii="宋体" w:hAnsi="宋体" w:eastAsia="宋体" w:cs="宋体"/>
          <w:sz w:val="24"/>
          <w:szCs w:val="24"/>
        </w:rPr>
        <w:t>1 g，</w:t>
      </w:r>
      <w:r>
        <w:rPr>
          <w:rFonts w:hint="eastAsia" w:ascii="宋体" w:hAnsi="宋体" w:eastAsia="宋体" w:cs="宋体"/>
          <w:sz w:val="24"/>
          <w:szCs w:val="24"/>
          <w:lang w:val="en-US" w:eastAsia="zh-CN"/>
        </w:rPr>
        <w:t>最大量程为500</w:t>
      </w:r>
      <w:r>
        <w:rPr>
          <w:rFonts w:hint="eastAsia" w:ascii="宋体" w:hAnsi="宋体" w:eastAsia="宋体" w:cs="宋体"/>
          <w:sz w:val="24"/>
          <w:szCs w:val="24"/>
        </w:rPr>
        <w:t>g</w:t>
      </w:r>
      <w:r>
        <w:rPr>
          <w:rFonts w:hint="eastAsia" w:ascii="宋体" w:hAnsi="宋体" w:eastAsia="宋体" w:cs="宋体"/>
          <w:sz w:val="24"/>
          <w:szCs w:val="24"/>
          <w:lang w:eastAsia="zh-CN"/>
        </w:rPr>
        <w:t>，</w:t>
      </w:r>
      <w:r>
        <w:rPr>
          <w:rFonts w:hint="eastAsia" w:ascii="宋体" w:hAnsi="宋体" w:eastAsia="宋体" w:cs="宋体"/>
          <w:sz w:val="24"/>
          <w:szCs w:val="24"/>
        </w:rPr>
        <w:t>可视为矩形分布，即</w:t>
      </w:r>
      <m:oMath>
        <m:r>
          <m:rPr/>
          <w:rPr>
            <w:rFonts w:hint="eastAsia" w:ascii="Cambria Math" w:hAnsi="Cambria Math" w:eastAsia="宋体" w:cs="宋体"/>
            <w:sz w:val="24"/>
            <w:szCs w:val="24"/>
          </w:rPr>
          <m:t>k</m:t>
        </m:r>
      </m:oMath>
      <w:r>
        <w:rPr>
          <w:rFonts w:hint="eastAsia" w:ascii="宋体" w:hAnsi="宋体" w:eastAsia="宋体" w:cs="宋体"/>
          <w:sz w:val="24"/>
          <w:szCs w:val="24"/>
        </w:rPr>
        <w:t xml:space="preserve"> </w:t>
      </w:r>
      <m:oMath>
        <m:r>
          <m:rPr>
            <m:sty m:val="p"/>
          </m:rPr>
          <w:rPr>
            <w:rFonts w:hint="eastAsia" w:ascii="Cambria Math" w:hAnsi="Cambria Math" w:eastAsia="宋体" w:cs="宋体"/>
            <w:sz w:val="24"/>
            <w:szCs w:val="24"/>
          </w:rPr>
          <m:t>=</m:t>
        </m:r>
      </m:oMath>
      <w:r>
        <w:rPr>
          <w:rFonts w:hint="eastAsia" w:ascii="宋体" w:hAnsi="宋体" w:eastAsia="宋体" w:cs="宋体"/>
          <w:sz w:val="24"/>
          <w:szCs w:val="24"/>
        </w:rPr>
        <w:t xml:space="preserve"> </w:t>
      </w:r>
      <m:oMath>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r>
              <m:rPr/>
              <w:rPr>
                <w:rFonts w:hint="eastAsia" w:ascii="Cambria Math" w:hAnsi="Cambria Math" w:eastAsia="宋体" w:cs="宋体"/>
                <w:sz w:val="24"/>
                <w:szCs w:val="24"/>
              </w:rPr>
              <m:t>3</m:t>
            </m:r>
            <m:ctrlPr>
              <w:rPr>
                <w:rFonts w:hint="eastAsia" w:ascii="Cambria Math" w:hAnsi="Cambria Math" w:eastAsia="宋体" w:cs="宋体"/>
                <w:i/>
                <w:sz w:val="24"/>
                <w:szCs w:val="24"/>
              </w:rPr>
            </m:ctrlPr>
          </m:e>
        </m:rad>
      </m:oMath>
      <w:r>
        <w:rPr>
          <w:rFonts w:hint="eastAsia" w:ascii="宋体" w:hAnsi="宋体" w:eastAsia="宋体" w:cs="宋体"/>
          <w:sz w:val="24"/>
          <w:szCs w:val="24"/>
        </w:rPr>
        <w:t>，因为称量采用的是直接法，所以天平溯源引入的</w:t>
      </w:r>
      <w:r>
        <w:rPr>
          <w:rFonts w:hint="eastAsia" w:ascii="宋体" w:hAnsi="宋体" w:eastAsia="宋体" w:cs="宋体"/>
          <w:sz w:val="24"/>
          <w:szCs w:val="24"/>
          <w:lang w:val="en-US" w:eastAsia="zh-CN"/>
        </w:rPr>
        <w:t>相对</w:t>
      </w:r>
      <w:r>
        <w:rPr>
          <w:rFonts w:hint="eastAsia" w:ascii="宋体" w:hAnsi="宋体" w:eastAsia="宋体" w:cs="宋体"/>
          <w:sz w:val="24"/>
          <w:szCs w:val="24"/>
        </w:rPr>
        <w:t>不确定度为：</w:t>
      </w:r>
    </w:p>
    <w:p>
      <w:pPr>
        <w:pStyle w:val="141"/>
        <w:wordWrap w:val="0"/>
        <w:ind w:firstLine="420"/>
        <w:jc w:val="right"/>
        <w:rPr>
          <w:rFonts w:hint="eastAsia" w:ascii="宋体" w:hAnsi="宋体" w:eastAsia="宋体" w:cs="宋体"/>
          <w:sz w:val="24"/>
          <w:szCs w:val="24"/>
        </w:rPr>
      </w:pPr>
      <w:r>
        <w:rPr>
          <w:rFonts w:hint="eastAsia" w:ascii="宋体" w:hAnsi="宋体" w:eastAsia="宋体" w:cs="宋体"/>
          <w:sz w:val="24"/>
          <w:szCs w:val="24"/>
        </w:rPr>
        <w:t xml:space="preserve">    </w:t>
      </w:r>
    </w:p>
    <w:p>
      <w:pPr>
        <w:pStyle w:val="153"/>
        <w:rPr>
          <w:rFonts w:hint="eastAsia" w:ascii="宋体" w:hAnsi="宋体" w:eastAsia="宋体" w:cs="宋体"/>
          <w:sz w:val="21"/>
          <w:szCs w:val="21"/>
        </w:rPr>
      </w:pPr>
      <w:r>
        <w:rPr>
          <w:rFonts w:hint="eastAsia" w:ascii="宋体" w:hAnsi="宋体" w:eastAsia="宋体" w:cs="宋体"/>
          <w:sz w:val="24"/>
          <w:szCs w:val="24"/>
        </w:rPr>
        <w:tab/>
      </w:r>
      <m:oMath>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2</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m:t>
        </m:r>
        <m:f>
          <m:fPr>
            <m:ctrlPr>
              <w:rPr>
                <w:rFonts w:hint="eastAsia" w:ascii="Cambria Math" w:hAnsi="Cambria Math" w:eastAsia="宋体" w:cs="宋体"/>
                <w:i/>
                <w:sz w:val="24"/>
                <w:szCs w:val="24"/>
              </w:rPr>
            </m:ctrlPr>
          </m:fPr>
          <m:num>
            <m:r>
              <m:rPr>
                <m:sty m:val="p"/>
              </m:rPr>
              <w:rPr>
                <w:rFonts w:hint="eastAsia" w:ascii="Cambria Math" w:hAnsi="Cambria Math" w:eastAsia="宋体" w:cs="宋体"/>
                <w:sz w:val="24"/>
                <w:szCs w:val="24"/>
              </w:rPr>
              <m:t>最大允许误差/</m:t>
            </m:r>
            <m:r>
              <m:rPr>
                <m:sty m:val="p"/>
              </m:rPr>
              <w:rPr>
                <w:rFonts w:hint="eastAsia" w:ascii="Cambria Math" w:hAnsi="Cambria Math" w:eastAsia="宋体" w:cs="宋体"/>
                <w:sz w:val="24"/>
                <w:szCs w:val="24"/>
                <w:lang w:val="en-US" w:eastAsia="zh-CN"/>
              </w:rPr>
              <m:t>满量程</m:t>
            </m:r>
            <m:ctrlPr>
              <w:rPr>
                <w:rFonts w:hint="eastAsia" w:ascii="Cambria Math" w:hAnsi="Cambria Math" w:eastAsia="宋体" w:cs="宋体"/>
                <w:i/>
                <w:sz w:val="24"/>
                <w:szCs w:val="24"/>
              </w:rPr>
            </m:ctrlPr>
          </m:num>
          <m:den>
            <m:rad>
              <m:radPr>
                <m:degHide m:val="1"/>
                <m:ctrlPr>
                  <w:rPr>
                    <w:rFonts w:hint="eastAsia" w:ascii="Cambria Math" w:hAnsi="Cambria Math" w:eastAsia="宋体" w:cs="宋体"/>
                    <w:i/>
                    <w:sz w:val="24"/>
                    <w:szCs w:val="24"/>
                  </w:rPr>
                </m:ctrlPr>
              </m:radPr>
              <m:deg>
                <m:ctrlPr>
                  <w:rPr>
                    <w:rFonts w:hint="eastAsia" w:ascii="Cambria Math" w:hAnsi="Cambria Math" w:eastAsia="宋体" w:cs="宋体"/>
                    <w:i/>
                    <w:sz w:val="24"/>
                    <w:szCs w:val="24"/>
                  </w:rPr>
                </m:ctrlPr>
              </m:deg>
              <m:e>
                <m:r>
                  <m:rPr/>
                  <w:rPr>
                    <w:rFonts w:hint="eastAsia" w:ascii="Cambria Math" w:hAnsi="Cambria Math" w:eastAsia="宋体" w:cs="宋体"/>
                    <w:sz w:val="24"/>
                    <w:szCs w:val="24"/>
                  </w:rPr>
                  <m:t>3</m:t>
                </m:r>
                <m:ctrlPr>
                  <w:rPr>
                    <w:rFonts w:hint="eastAsia" w:ascii="Cambria Math" w:hAnsi="Cambria Math" w:eastAsia="宋体" w:cs="宋体"/>
                    <w:i/>
                    <w:sz w:val="24"/>
                    <w:szCs w:val="24"/>
                  </w:rPr>
                </m:ctrlPr>
              </m:e>
            </m:rad>
            <m:ctrlPr>
              <w:rPr>
                <w:rFonts w:hint="eastAsia" w:ascii="Cambria Math" w:hAnsi="Cambria Math" w:eastAsia="宋体" w:cs="宋体"/>
                <w:i/>
                <w:sz w:val="24"/>
                <w:szCs w:val="24"/>
              </w:rPr>
            </m:ctrlPr>
          </m:den>
        </m:f>
        <m:r>
          <m:rPr/>
          <w:rPr>
            <w:rFonts w:hint="eastAsia" w:ascii="Cambria Math" w:hAnsi="Cambria Math" w:eastAsia="宋体" w:cs="宋体"/>
            <w:sz w:val="24"/>
            <w:szCs w:val="24"/>
          </w:rPr>
          <m:t>×</m:t>
        </m:r>
        <m:r>
          <m:rPr/>
          <w:rPr>
            <w:rFonts w:hint="eastAsia" w:ascii="Cambria Math" w:hAnsi="Cambria Math" w:eastAsia="宋体" w:cs="宋体"/>
            <w:sz w:val="24"/>
            <w:szCs w:val="24"/>
            <w:lang w:val="en-US" w:eastAsia="zh-CN"/>
          </w:rPr>
          <m:t>100%</m:t>
        </m:r>
      </m:oMath>
      <w:r>
        <w:rPr>
          <w:rFonts w:hint="eastAsia" w:ascii="宋体" w:hAnsi="宋体" w:eastAsia="宋体" w:cs="宋体"/>
          <w:sz w:val="24"/>
          <w:szCs w:val="24"/>
        </w:rPr>
        <w:tab/>
      </w: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seq fulu_equation_132847182553330139  </w:instrText>
      </w:r>
      <w:r>
        <w:rPr>
          <w:rFonts w:hint="eastAsia" w:ascii="宋体" w:hAnsi="宋体" w:eastAsia="宋体" w:cs="宋体"/>
          <w:sz w:val="21"/>
          <w:szCs w:val="21"/>
        </w:rPr>
        <w:fldChar w:fldCharType="separate"/>
      </w:r>
      <w:r>
        <w:rPr>
          <w:rFonts w:hint="eastAsia" w:ascii="宋体" w:hAnsi="宋体" w:eastAsia="宋体" w:cs="宋体"/>
          <w:sz w:val="21"/>
          <w:szCs w:val="21"/>
        </w:rPr>
        <w:t>5</w:t>
      </w:r>
      <w:r>
        <w:rPr>
          <w:rFonts w:hint="eastAsia" w:ascii="宋体" w:hAnsi="宋体" w:eastAsia="宋体" w:cs="宋体"/>
          <w:sz w:val="21"/>
          <w:szCs w:val="21"/>
        </w:rPr>
        <w:fldChar w:fldCharType="end"/>
      </w:r>
      <w:r>
        <w:rPr>
          <w:rFonts w:hint="eastAsia" w:ascii="宋体" w:hAnsi="宋体" w:eastAsia="宋体" w:cs="宋体"/>
          <w:sz w:val="21"/>
          <w:szCs w:val="21"/>
        </w:rPr>
        <w:t>)</w:t>
      </w:r>
    </w:p>
    <w:p>
      <w:pPr>
        <w:pStyle w:val="161"/>
        <w:spacing w:before="120" w:after="120"/>
        <w:rPr>
          <w:rFonts w:hint="eastAsia" w:ascii="黑体" w:hAnsi="黑体" w:eastAsia="黑体" w:cs="黑体"/>
          <w:sz w:val="24"/>
          <w:szCs w:val="24"/>
        </w:rPr>
      </w:pPr>
      <w:r>
        <w:rPr>
          <w:rFonts w:hint="eastAsia" w:ascii="黑体" w:hAnsi="黑体" w:eastAsia="黑体" w:cs="黑体"/>
          <w:sz w:val="24"/>
          <w:szCs w:val="24"/>
        </w:rPr>
        <w:t>环境温度引入的不确定度</w:t>
      </w:r>
      <m:oMath>
        <m:sSub>
          <m:sSubPr>
            <m:ctrlPr>
              <w:rPr>
                <w:rFonts w:hint="eastAsia" w:ascii="Cambria Math" w:hAnsi="Cambria Math" w:eastAsia="黑体" w:cs="黑体"/>
                <w:b w:val="0"/>
                <w:bCs/>
                <w:i/>
                <w:color w:val="000000"/>
                <w:sz w:val="24"/>
                <w:szCs w:val="24"/>
              </w:rPr>
            </m:ctrlPr>
          </m:sSubPr>
          <m:e>
            <m:r>
              <m:rPr/>
              <w:rPr>
                <w:rFonts w:hint="eastAsia" w:ascii="Cambria Math" w:hAnsi="Cambria Math" w:eastAsia="黑体" w:cs="黑体"/>
                <w:color w:val="000000"/>
                <w:sz w:val="24"/>
                <w:szCs w:val="24"/>
              </w:rPr>
              <m:t>u</m:t>
            </m:r>
            <m:ctrlPr>
              <w:rPr>
                <w:rFonts w:hint="eastAsia" w:ascii="Cambria Math" w:hAnsi="Cambria Math" w:eastAsia="黑体" w:cs="黑体"/>
                <w:b w:val="0"/>
                <w:bCs/>
                <w:i/>
                <w:color w:val="000000"/>
                <w:sz w:val="24"/>
                <w:szCs w:val="24"/>
              </w:rPr>
            </m:ctrlPr>
          </m:e>
          <m:sub>
            <m:r>
              <m:rPr/>
              <w:rPr>
                <w:rFonts w:hint="eastAsia" w:ascii="Cambria Math" w:hAnsi="Cambria Math" w:eastAsia="黑体" w:cs="黑体"/>
                <w:color w:val="000000"/>
                <w:sz w:val="24"/>
                <w:szCs w:val="24"/>
              </w:rPr>
              <m:t>3</m:t>
            </m:r>
            <m:ctrlPr>
              <w:rPr>
                <w:rFonts w:hint="eastAsia" w:ascii="Cambria Math" w:hAnsi="Cambria Math" w:eastAsia="黑体" w:cs="黑体"/>
                <w:b w:val="0"/>
                <w:bCs/>
                <w:i/>
                <w:color w:val="000000"/>
                <w:sz w:val="24"/>
                <w:szCs w:val="24"/>
              </w:rPr>
            </m:ctrlPr>
          </m:sub>
        </m:sSub>
      </m:oMath>
    </w:p>
    <w:p>
      <w:pPr>
        <w:pStyle w:val="141"/>
        <w:ind w:firstLine="420"/>
        <w:rPr>
          <w:rFonts w:hint="eastAsia" w:ascii="宋体" w:hAnsi="宋体" w:eastAsia="宋体" w:cs="宋体"/>
          <w:sz w:val="24"/>
          <w:szCs w:val="24"/>
        </w:rPr>
      </w:pPr>
      <w:r>
        <w:rPr>
          <w:rFonts w:hint="eastAsia" w:ascii="宋体" w:hAnsi="宋体" w:eastAsia="宋体" w:cs="宋体"/>
          <w:sz w:val="24"/>
          <w:szCs w:val="24"/>
        </w:rPr>
        <w:t>环境温度因素包括：温度测量误差和测量过程中的环境温度波动两个方面，环境温度变化对钻井液密度计测量值影响不显著，此项可以忽略，即：</w:t>
      </w:r>
    </w:p>
    <w:p>
      <w:pPr>
        <w:pStyle w:val="153"/>
        <w:rPr>
          <w:rFonts w:hint="eastAsia" w:ascii="宋体" w:hAnsi="宋体" w:eastAsia="宋体" w:cs="宋体"/>
          <w:sz w:val="21"/>
          <w:szCs w:val="21"/>
        </w:rPr>
      </w:pPr>
      <w:r>
        <w:rPr>
          <w:rFonts w:hint="eastAsia" w:ascii="宋体" w:hAnsi="宋体" w:eastAsia="宋体" w:cs="宋体"/>
          <w:sz w:val="24"/>
          <w:szCs w:val="24"/>
        </w:rPr>
        <w:tab/>
      </w:r>
      <m:oMath>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3</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=0</m:t>
        </m:r>
      </m:oMath>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seq fulu_equation_132847182553330139  </w:instrText>
      </w:r>
      <w:r>
        <w:rPr>
          <w:rFonts w:hint="eastAsia" w:ascii="宋体" w:hAnsi="宋体" w:eastAsia="宋体" w:cs="宋体"/>
          <w:sz w:val="21"/>
          <w:szCs w:val="21"/>
        </w:rPr>
        <w:fldChar w:fldCharType="separate"/>
      </w:r>
      <w:r>
        <w:rPr>
          <w:rFonts w:hint="eastAsia" w:ascii="宋体" w:hAnsi="宋体" w:eastAsia="宋体" w:cs="宋体"/>
          <w:sz w:val="21"/>
          <w:szCs w:val="21"/>
        </w:rPr>
        <w:t>6</w:t>
      </w:r>
      <w:r>
        <w:rPr>
          <w:rFonts w:hint="eastAsia" w:ascii="宋体" w:hAnsi="宋体" w:eastAsia="宋体" w:cs="宋体"/>
          <w:sz w:val="21"/>
          <w:szCs w:val="21"/>
        </w:rPr>
        <w:fldChar w:fldCharType="end"/>
      </w:r>
      <w:r>
        <w:rPr>
          <w:rFonts w:hint="eastAsia" w:ascii="宋体" w:hAnsi="宋体" w:eastAsia="宋体" w:cs="宋体"/>
          <w:sz w:val="21"/>
          <w:szCs w:val="21"/>
        </w:rPr>
        <w:t>)</w:t>
      </w:r>
    </w:p>
    <w:p>
      <w:pPr>
        <w:pStyle w:val="160"/>
        <w:spacing w:before="120" w:after="120"/>
        <w:rPr>
          <w:rFonts w:hint="eastAsia" w:ascii="黑体" w:hAnsi="黑体" w:eastAsia="黑体" w:cs="黑体"/>
          <w:sz w:val="24"/>
          <w:szCs w:val="24"/>
        </w:rPr>
      </w:pPr>
      <w:bookmarkStart w:id="64" w:name="_Toc91170720"/>
      <w:bookmarkStart w:id="65" w:name="_Toc91169900"/>
      <w:r>
        <w:rPr>
          <w:rFonts w:hint="eastAsia" w:ascii="黑体" w:hAnsi="黑体" w:eastAsia="黑体" w:cs="黑体"/>
          <w:sz w:val="24"/>
          <w:szCs w:val="24"/>
        </w:rPr>
        <w:t>合成标准不确定度</w:t>
      </w:r>
      <w:bookmarkEnd w:id="64"/>
      <w:bookmarkEnd w:id="65"/>
    </w:p>
    <w:p>
      <w:pPr>
        <w:pStyle w:val="141"/>
        <w:ind w:firstLine="420"/>
        <w:rPr>
          <w:rFonts w:hint="eastAsia" w:ascii="宋体" w:hAnsi="宋体" w:eastAsia="宋体" w:cs="宋体"/>
          <w:sz w:val="24"/>
          <w:szCs w:val="24"/>
        </w:rPr>
      </w:pPr>
      <w:r>
        <w:rPr>
          <w:rFonts w:hint="eastAsia" w:ascii="宋体" w:hAnsi="宋体" w:eastAsia="宋体" w:cs="宋体"/>
          <w:sz w:val="24"/>
          <w:szCs w:val="24"/>
        </w:rPr>
        <w:t>上述标准不确定度分量是互不相关的，合成标准不确定度为：</w:t>
      </w:r>
    </w:p>
    <w:p>
      <w:pPr>
        <w:pStyle w:val="153"/>
        <w:rPr>
          <w:rFonts w:hint="eastAsia" w:ascii="宋体" w:hAnsi="宋体" w:eastAsia="宋体" w:cs="宋体"/>
          <w:sz w:val="21"/>
          <w:szCs w:val="21"/>
        </w:rPr>
      </w:pPr>
      <w:r>
        <w:rPr>
          <w:rFonts w:hint="eastAsia" w:ascii="宋体" w:hAnsi="宋体" w:eastAsia="宋体" w:cs="宋体"/>
          <w:sz w:val="24"/>
          <w:szCs w:val="24"/>
        </w:rPr>
        <w:tab/>
      </w:r>
      <m:oMath>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c</m:t>
            </m:r>
            <m:ctrlPr>
              <w:rPr>
                <w:rFonts w:hint="eastAsia" w:ascii="Cambria Math" w:hAnsi="Cambria Math" w:eastAsia="宋体" w:cs="宋体"/>
                <w:sz w:val="24"/>
                <w:szCs w:val="24"/>
              </w:rPr>
            </m:ctrlPr>
          </m:sub>
        </m:sSub>
        <m:r>
          <m:rPr>
            <m:sty m:val="p"/>
          </m:rPr>
          <w:rPr>
            <w:rFonts w:hint="eastAsia" w:ascii="Cambria Math" w:hAnsi="Cambria Math" w:eastAsia="宋体" w:cs="宋体"/>
            <w:sz w:val="24"/>
            <w:szCs w:val="24"/>
          </w:rPr>
          <m:t>=</m:t>
        </m:r>
        <m:rad>
          <m:radPr>
            <m:degHide m:val="1"/>
            <m:ctrlPr>
              <w:rPr>
                <w:rFonts w:hint="eastAsia" w:ascii="Cambria Math" w:hAnsi="Cambria Math" w:eastAsia="宋体" w:cs="宋体"/>
                <w:sz w:val="24"/>
                <w:szCs w:val="24"/>
              </w:rPr>
            </m:ctrlPr>
          </m:radPr>
          <m:deg>
            <m:ctrlPr>
              <w:rPr>
                <w:rFonts w:hint="eastAsia" w:ascii="Cambria Math" w:hAnsi="Cambria Math" w:eastAsia="宋体" w:cs="宋体"/>
                <w:sz w:val="24"/>
                <w:szCs w:val="24"/>
              </w:rPr>
            </m:ctrlPr>
          </m:deg>
          <m:e>
            <m:sSup>
              <m:sSupPr>
                <m:ctrlPr>
                  <w:rPr>
                    <w:rFonts w:hint="eastAsia" w:ascii="Cambria Math" w:hAnsi="Cambria Math" w:eastAsia="宋体" w:cs="宋体"/>
                    <w:i/>
                    <w:sz w:val="24"/>
                    <w:szCs w:val="24"/>
                  </w:rPr>
                </m:ctrlPr>
              </m:sSupPr>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1</m:t>
                    </m:r>
                    <m:ctrlPr>
                      <w:rPr>
                        <w:rFonts w:hint="eastAsia" w:ascii="Cambria Math" w:hAnsi="Cambria Math" w:eastAsia="宋体" w:cs="宋体"/>
                        <w:i/>
                        <w:sz w:val="24"/>
                        <w:szCs w:val="24"/>
                      </w:rPr>
                    </m:ctrlPr>
                  </m:sub>
                </m:sSub>
                <m:ctrlPr>
                  <w:rPr>
                    <w:rFonts w:hint="eastAsia" w:ascii="Cambria Math" w:hAnsi="Cambria Math" w:eastAsia="宋体" w:cs="宋体"/>
                    <w:i/>
                    <w:sz w:val="24"/>
                    <w:szCs w:val="24"/>
                  </w:rPr>
                </m:ctrlPr>
              </m:e>
              <m:sup>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p>
            </m:sSup>
            <m:r>
              <m:rPr/>
              <w:rPr>
                <w:rFonts w:hint="eastAsia" w:ascii="Cambria Math" w:hAnsi="Cambria Math" w:eastAsia="宋体" w:cs="宋体"/>
                <w:sz w:val="24"/>
                <w:szCs w:val="24"/>
              </w:rPr>
              <m:t>+</m:t>
            </m:r>
            <m:sSup>
              <m:sSupPr>
                <m:ctrlPr>
                  <w:rPr>
                    <w:rFonts w:hint="eastAsia" w:ascii="Cambria Math" w:hAnsi="Cambria Math" w:eastAsia="宋体" w:cs="宋体"/>
                    <w:i/>
                    <w:sz w:val="24"/>
                    <w:szCs w:val="24"/>
                  </w:rPr>
                </m:ctrlPr>
              </m:sSupPr>
              <m:e>
                <m:sSub>
                  <m:sSubPr>
                    <m:ctrlPr>
                      <w:rPr>
                        <w:rFonts w:hint="eastAsia" w:ascii="Cambria Math" w:hAnsi="Cambria Math" w:eastAsia="宋体" w:cs="宋体"/>
                        <w:i/>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i/>
                        <w:sz w:val="24"/>
                        <w:szCs w:val="24"/>
                      </w:rPr>
                    </m:ctrlPr>
                  </m:e>
                  <m:sub>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b>
                </m:sSub>
                <m:ctrlPr>
                  <w:rPr>
                    <w:rFonts w:hint="eastAsia" w:ascii="Cambria Math" w:hAnsi="Cambria Math" w:eastAsia="宋体" w:cs="宋体"/>
                    <w:i/>
                    <w:sz w:val="24"/>
                    <w:szCs w:val="24"/>
                  </w:rPr>
                </m:ctrlPr>
              </m:e>
              <m:sup>
                <m:r>
                  <m:rPr/>
                  <w:rPr>
                    <w:rFonts w:hint="eastAsia" w:ascii="Cambria Math" w:hAnsi="Cambria Math" w:eastAsia="宋体" w:cs="宋体"/>
                    <w:sz w:val="24"/>
                    <w:szCs w:val="24"/>
                  </w:rPr>
                  <m:t>2</m:t>
                </m:r>
                <m:ctrlPr>
                  <w:rPr>
                    <w:rFonts w:hint="eastAsia" w:ascii="Cambria Math" w:hAnsi="Cambria Math" w:eastAsia="宋体" w:cs="宋体"/>
                    <w:i/>
                    <w:sz w:val="24"/>
                    <w:szCs w:val="24"/>
                  </w:rPr>
                </m:ctrlPr>
              </m:sup>
            </m:sSup>
            <m:ctrlPr>
              <w:rPr>
                <w:rFonts w:hint="eastAsia" w:ascii="Cambria Math" w:hAnsi="Cambria Math" w:eastAsia="宋体" w:cs="宋体"/>
                <w:sz w:val="24"/>
                <w:szCs w:val="24"/>
              </w:rPr>
            </m:ctrlPr>
          </m:e>
        </m:rad>
      </m:oMath>
      <w:r>
        <w:rPr>
          <w:rFonts w:hint="eastAsia" w:ascii="宋体" w:hAnsi="宋体" w:eastAsia="宋体" w:cs="宋体"/>
          <w:sz w:val="21"/>
          <w:szCs w:val="21"/>
        </w:rPr>
        <w:tab/>
      </w: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seq fulu_equation_132847182553330139  </w:instrText>
      </w:r>
      <w:r>
        <w:rPr>
          <w:rFonts w:hint="eastAsia" w:ascii="宋体" w:hAnsi="宋体" w:eastAsia="宋体" w:cs="宋体"/>
          <w:sz w:val="21"/>
          <w:szCs w:val="21"/>
        </w:rPr>
        <w:fldChar w:fldCharType="separate"/>
      </w:r>
      <w:r>
        <w:rPr>
          <w:rFonts w:hint="eastAsia" w:ascii="宋体" w:hAnsi="宋体" w:eastAsia="宋体" w:cs="宋体"/>
          <w:sz w:val="21"/>
          <w:szCs w:val="21"/>
        </w:rPr>
        <w:t>7</w:t>
      </w:r>
      <w:r>
        <w:rPr>
          <w:rFonts w:hint="eastAsia" w:ascii="宋体" w:hAnsi="宋体" w:eastAsia="宋体" w:cs="宋体"/>
          <w:sz w:val="21"/>
          <w:szCs w:val="21"/>
        </w:rPr>
        <w:fldChar w:fldCharType="end"/>
      </w:r>
      <w:r>
        <w:rPr>
          <w:rFonts w:hint="eastAsia" w:ascii="宋体" w:hAnsi="宋体" w:eastAsia="宋体" w:cs="宋体"/>
          <w:sz w:val="21"/>
          <w:szCs w:val="21"/>
        </w:rPr>
        <w:t>)</w:t>
      </w:r>
    </w:p>
    <w:p>
      <w:pPr>
        <w:pStyle w:val="160"/>
        <w:spacing w:before="120" w:after="120"/>
        <w:rPr>
          <w:rFonts w:hint="eastAsia" w:ascii="黑体" w:hAnsi="黑体" w:eastAsia="黑体" w:cs="黑体"/>
          <w:sz w:val="24"/>
          <w:szCs w:val="24"/>
        </w:rPr>
      </w:pPr>
      <w:bookmarkStart w:id="66" w:name="_Toc91170721"/>
      <w:bookmarkStart w:id="67" w:name="_Toc91169901"/>
      <w:r>
        <w:rPr>
          <w:rFonts w:hint="eastAsia" w:ascii="黑体" w:hAnsi="黑体" w:eastAsia="黑体" w:cs="黑体"/>
          <w:sz w:val="24"/>
          <w:szCs w:val="24"/>
        </w:rPr>
        <w:t>扩展不确定度</w:t>
      </w:r>
      <w:bookmarkEnd w:id="66"/>
      <w:bookmarkEnd w:id="67"/>
    </w:p>
    <w:p>
      <w:pPr>
        <w:pStyle w:val="141"/>
        <w:ind w:firstLine="420"/>
        <w:rPr>
          <w:rFonts w:hint="eastAsia" w:ascii="宋体" w:hAnsi="宋体" w:eastAsia="宋体" w:cs="宋体"/>
          <w:sz w:val="24"/>
          <w:szCs w:val="24"/>
        </w:rPr>
      </w:pPr>
      <w:r>
        <w:rPr>
          <w:rFonts w:hint="eastAsia" w:ascii="宋体" w:hAnsi="宋体" w:eastAsia="宋体" w:cs="宋体"/>
          <w:sz w:val="24"/>
          <w:szCs w:val="24"/>
        </w:rPr>
        <w:t>计算钻井液密度计示值误差扩展不确定度，包含概率</w:t>
      </w:r>
      <m:oMath>
        <m:r>
          <m:rPr>
            <m:sty m:val="p"/>
          </m:rPr>
          <w:rPr>
            <w:rFonts w:hint="eastAsia" w:ascii="Cambria Math" w:hAnsi="Cambria Math" w:eastAsia="宋体" w:cs="宋体"/>
            <w:sz w:val="24"/>
            <w:szCs w:val="24"/>
          </w:rPr>
          <m:t>p=</m:t>
        </m:r>
      </m:oMath>
      <w:r>
        <w:rPr>
          <w:rFonts w:hint="eastAsia" w:ascii="宋体" w:hAnsi="宋体" w:eastAsia="宋体" w:cs="宋体"/>
          <w:sz w:val="24"/>
          <w:szCs w:val="24"/>
        </w:rPr>
        <w:t>95%，取包含因子</w:t>
      </w:r>
      <m:oMath>
        <m:r>
          <m:rPr/>
          <w:rPr>
            <w:rFonts w:hint="eastAsia" w:ascii="Cambria Math" w:hAnsi="Cambria Math" w:eastAsia="宋体" w:cs="宋体"/>
            <w:sz w:val="24"/>
            <w:szCs w:val="24"/>
          </w:rPr>
          <m:t>k</m:t>
        </m:r>
      </m:oMath>
      <w:r>
        <w:rPr>
          <w:rFonts w:hint="eastAsia" w:ascii="宋体" w:hAnsi="宋体" w:eastAsia="宋体" w:cs="宋体"/>
          <w:sz w:val="24"/>
          <w:szCs w:val="24"/>
        </w:rPr>
        <w:t xml:space="preserve"> </w:t>
      </w:r>
      <m:oMath>
        <m:r>
          <m:rPr>
            <m:sty m:val="p"/>
          </m:rPr>
          <w:rPr>
            <w:rFonts w:hint="eastAsia" w:ascii="Cambria Math" w:hAnsi="Cambria Math" w:eastAsia="宋体" w:cs="宋体"/>
            <w:sz w:val="24"/>
            <w:szCs w:val="24"/>
          </w:rPr>
          <m:t>=</m:t>
        </m:r>
      </m:oMath>
      <w:r>
        <w:rPr>
          <w:rFonts w:hint="eastAsia" w:ascii="宋体" w:hAnsi="宋体" w:eastAsia="宋体" w:cs="宋体"/>
          <w:sz w:val="24"/>
          <w:szCs w:val="24"/>
        </w:rPr>
        <w:t>2，则误差扩展不确定度为：</w:t>
      </w:r>
    </w:p>
    <w:p>
      <w:pPr>
        <w:pStyle w:val="153"/>
        <w:rPr>
          <w:rFonts w:hint="eastAsia" w:ascii="宋体" w:hAnsi="宋体" w:eastAsia="宋体" w:cs="宋体"/>
          <w:sz w:val="21"/>
          <w:szCs w:val="21"/>
        </w:rPr>
      </w:pPr>
      <w:r>
        <w:rPr>
          <w:rFonts w:hint="eastAsia" w:ascii="宋体" w:hAnsi="宋体" w:eastAsia="宋体" w:cs="宋体"/>
          <w:sz w:val="24"/>
          <w:szCs w:val="24"/>
        </w:rPr>
        <w:tab/>
      </w:r>
      <m:oMath>
        <m:r>
          <m:rPr/>
          <w:rPr>
            <w:rFonts w:hint="eastAsia" w:ascii="Cambria Math" w:hAnsi="Cambria Math" w:eastAsia="宋体" w:cs="宋体"/>
            <w:sz w:val="24"/>
            <w:szCs w:val="24"/>
          </w:rPr>
          <m:t>U</m:t>
        </m:r>
        <m:r>
          <m:rPr>
            <m:sty m:val="p"/>
          </m:rPr>
          <w:rPr>
            <w:rFonts w:hint="eastAsia" w:ascii="Cambria Math" w:hAnsi="Cambria Math" w:eastAsia="宋体" w:cs="宋体"/>
            <w:sz w:val="24"/>
            <w:szCs w:val="24"/>
          </w:rPr>
          <m:t>=</m:t>
        </m:r>
        <m:sSub>
          <m:sSubPr>
            <m:ctrlPr>
              <w:rPr>
                <w:rFonts w:hint="eastAsia" w:ascii="Cambria Math" w:hAnsi="Cambria Math" w:eastAsia="宋体" w:cs="宋体"/>
                <w:sz w:val="24"/>
                <w:szCs w:val="24"/>
              </w:rPr>
            </m:ctrlPr>
          </m:sSubPr>
          <m:e>
            <m:r>
              <m:rPr/>
              <w:rPr>
                <w:rFonts w:hint="eastAsia" w:ascii="Cambria Math" w:hAnsi="Cambria Math" w:eastAsia="宋体" w:cs="宋体"/>
                <w:sz w:val="24"/>
                <w:szCs w:val="24"/>
              </w:rPr>
              <m:t>u</m:t>
            </m:r>
            <m:ctrlPr>
              <w:rPr>
                <w:rFonts w:hint="eastAsia" w:ascii="Cambria Math" w:hAnsi="Cambria Math" w:eastAsia="宋体" w:cs="宋体"/>
                <w:sz w:val="24"/>
                <w:szCs w:val="24"/>
              </w:rPr>
            </m:ctrlPr>
          </m:e>
          <m:sub>
            <m:r>
              <m:rPr/>
              <w:rPr>
                <w:rFonts w:hint="eastAsia" w:ascii="Cambria Math" w:hAnsi="Cambria Math" w:eastAsia="宋体" w:cs="宋体"/>
                <w:sz w:val="24"/>
                <w:szCs w:val="24"/>
              </w:rPr>
              <m:t>c</m:t>
            </m:r>
            <m:ctrlPr>
              <w:rPr>
                <w:rFonts w:hint="eastAsia" w:ascii="Cambria Math" w:hAnsi="Cambria Math" w:eastAsia="宋体" w:cs="宋体"/>
                <w:sz w:val="24"/>
                <w:szCs w:val="24"/>
              </w:rPr>
            </m:ctrlPr>
          </m:sub>
        </m:sSub>
        <m:r>
          <m:rPr/>
          <w:rPr>
            <w:rFonts w:hint="eastAsia" w:ascii="Cambria Math" w:hAnsi="Cambria Math" w:eastAsia="宋体" w:cs="宋体"/>
            <w:sz w:val="24"/>
            <w:szCs w:val="24"/>
          </w:rPr>
          <m:t>×k</m:t>
        </m:r>
      </m:oMath>
      <w:r>
        <w:rPr>
          <w:rFonts w:hint="eastAsia" w:ascii="宋体" w:hAnsi="宋体" w:eastAsia="宋体" w:cs="宋体"/>
          <w:sz w:val="24"/>
          <w:szCs w:val="24"/>
        </w:rPr>
        <w:tab/>
      </w: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seq fulu_equation_132847182553330139  </w:instrText>
      </w:r>
      <w:r>
        <w:rPr>
          <w:rFonts w:hint="eastAsia" w:ascii="宋体" w:hAnsi="宋体" w:eastAsia="宋体" w:cs="宋体"/>
          <w:sz w:val="21"/>
          <w:szCs w:val="21"/>
        </w:rPr>
        <w:fldChar w:fldCharType="separate"/>
      </w:r>
      <w:r>
        <w:rPr>
          <w:rFonts w:hint="eastAsia" w:ascii="宋体" w:hAnsi="宋体" w:eastAsia="宋体" w:cs="宋体"/>
          <w:sz w:val="21"/>
          <w:szCs w:val="21"/>
        </w:rPr>
        <w:t>8</w:t>
      </w:r>
      <w:r>
        <w:rPr>
          <w:rFonts w:hint="eastAsia" w:ascii="宋体" w:hAnsi="宋体" w:eastAsia="宋体" w:cs="宋体"/>
          <w:sz w:val="21"/>
          <w:szCs w:val="21"/>
        </w:rPr>
        <w:fldChar w:fldCharType="end"/>
      </w:r>
      <w:r>
        <w:rPr>
          <w:rFonts w:hint="eastAsia" w:ascii="宋体" w:hAnsi="宋体" w:eastAsia="宋体" w:cs="宋体"/>
          <w:sz w:val="21"/>
          <w:szCs w:val="21"/>
        </w:rPr>
        <w:t>)</w:t>
      </w:r>
    </w:p>
    <w:p>
      <w:pPr>
        <w:pStyle w:val="154"/>
        <w:ind w:firstLine="420"/>
        <w:rPr>
          <w:rFonts w:hint="eastAsia" w:ascii="宋体" w:hAnsi="宋体" w:eastAsia="宋体" w:cs="宋体"/>
          <w:sz w:val="21"/>
          <w:szCs w:val="21"/>
        </w:rPr>
      </w:pPr>
    </w:p>
    <w:p>
      <w:pPr>
        <w:pStyle w:val="141"/>
        <w:ind w:left="0" w:leftChars="0" w:firstLine="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附录C</w:t>
      </w:r>
    </w:p>
    <w:p>
      <w:pPr>
        <w:pStyle w:val="156"/>
        <w:rPr>
          <w:rFonts w:hint="eastAsia" w:asciiTheme="minorEastAsia" w:hAnsiTheme="minorEastAsia" w:eastAsiaTheme="minorEastAsia" w:cstheme="minorEastAsia"/>
          <w:vanish w:val="0"/>
          <w:sz w:val="24"/>
          <w:szCs w:val="24"/>
        </w:rPr>
      </w:pPr>
    </w:p>
    <w:p>
      <w:pPr>
        <w:pStyle w:val="157"/>
        <w:rPr>
          <w:rFonts w:hint="eastAsia" w:asciiTheme="minorEastAsia" w:hAnsiTheme="minorEastAsia" w:eastAsiaTheme="minorEastAsia" w:cstheme="minorEastAsia"/>
          <w:vanish w:val="0"/>
          <w:sz w:val="24"/>
          <w:szCs w:val="24"/>
        </w:rPr>
      </w:pPr>
    </w:p>
    <w:p>
      <w:pPr>
        <w:pStyle w:val="158"/>
        <w:numPr>
          <w:ilvl w:val="0"/>
          <w:numId w:val="0"/>
        </w:numPr>
        <w:spacing w:before="60" w:after="120"/>
        <w:jc w:val="center"/>
        <w:rPr>
          <w:rFonts w:hint="eastAsia" w:ascii="黑体" w:hAnsi="黑体" w:eastAsia="黑体" w:cs="黑体"/>
          <w:sz w:val="28"/>
          <w:szCs w:val="28"/>
        </w:rPr>
      </w:pPr>
      <w:bookmarkStart w:id="68" w:name="_Toc91170722"/>
      <w:bookmarkStart w:id="69" w:name="_Toc91169902"/>
      <w:r>
        <w:rPr>
          <w:rFonts w:hint="eastAsia" w:ascii="黑体" w:hAnsi="黑体" w:eastAsia="黑体" w:cs="黑体"/>
          <w:sz w:val="28"/>
          <w:szCs w:val="28"/>
        </w:rPr>
        <w:t>钻井液密度计校准记录格式</w:t>
      </w:r>
      <w:bookmarkEnd w:id="68"/>
      <w:bookmarkEnd w:id="69"/>
    </w:p>
    <w:p>
      <w:pPr>
        <w:pStyle w:val="141"/>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钻井液密度计校准记录格式见表C.1。</w:t>
      </w:r>
    </w:p>
    <w:p>
      <w:pPr>
        <w:pStyle w:val="159"/>
        <w:spacing w:before="120" w:after="120"/>
        <w:rPr>
          <w:rFonts w:hint="eastAsia" w:ascii="黑体" w:hAnsi="黑体" w:eastAsia="黑体" w:cs="黑体"/>
          <w:sz w:val="21"/>
          <w:szCs w:val="21"/>
        </w:rPr>
      </w:pPr>
      <w:r>
        <w:rPr>
          <w:rFonts w:hint="eastAsia" w:ascii="黑体" w:hAnsi="黑体" w:eastAsia="黑体" w:cs="黑体"/>
          <w:sz w:val="21"/>
          <w:szCs w:val="21"/>
        </w:rPr>
        <w:t>钻井液密度计校准记录</w:t>
      </w:r>
    </w:p>
    <w:p>
      <w:pPr>
        <w:pStyle w:val="141"/>
        <w:ind w:firstLineChars="111"/>
        <w:rPr>
          <w:sz w:val="21"/>
          <w:szCs w:val="21"/>
        </w:rPr>
      </w:pPr>
      <w:r>
        <w:rPr>
          <w:rFonts w:hint="eastAsia"/>
          <w:sz w:val="21"/>
          <w:szCs w:val="21"/>
        </w:rPr>
        <w:t xml:space="preserve">样品编号： </w:t>
      </w:r>
      <w:r>
        <w:rPr>
          <w:sz w:val="21"/>
          <w:szCs w:val="21"/>
        </w:rPr>
        <w:t xml:space="preserve">                                                         </w:t>
      </w:r>
      <w:r>
        <w:rPr>
          <w:rFonts w:hint="eastAsia"/>
          <w:sz w:val="21"/>
          <w:szCs w:val="21"/>
        </w:rPr>
        <w:t>记录编号：</w:t>
      </w:r>
    </w:p>
    <w:tbl>
      <w:tblPr>
        <w:tblStyle w:val="30"/>
        <w:tblW w:w="946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21"/>
        <w:gridCol w:w="888"/>
        <w:gridCol w:w="487"/>
        <w:gridCol w:w="696"/>
        <w:gridCol w:w="1035"/>
        <w:gridCol w:w="739"/>
        <w:gridCol w:w="53"/>
        <w:gridCol w:w="686"/>
        <w:gridCol w:w="739"/>
        <w:gridCol w:w="890"/>
        <w:gridCol w:w="236"/>
        <w:gridCol w:w="947"/>
        <w:gridCol w:w="11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462" w:type="dxa"/>
            <w:gridSpan w:val="13"/>
            <w:tcBorders>
              <w:top w:val="single" w:color="auto" w:sz="8" w:space="0"/>
              <w:left w:val="single" w:color="auto" w:sz="8" w:space="0"/>
              <w:right w:val="single" w:color="auto" w:sz="8" w:space="0"/>
            </w:tcBorders>
            <w:shd w:val="clear" w:color="auto" w:fill="auto"/>
          </w:tcPr>
          <w:p>
            <w:pPr>
              <w:adjustRightInd/>
              <w:spacing w:line="240" w:lineRule="auto"/>
              <w:jc w:val="center"/>
              <w:rPr>
                <w:rFonts w:ascii="Times New Roman" w:hAnsi="Times New Roman"/>
                <w:sz w:val="18"/>
                <w:szCs w:val="18"/>
              </w:rPr>
            </w:pPr>
            <w:r>
              <w:rPr>
                <w:rFonts w:hint="eastAsia" w:ascii="黑体" w:hAnsi="黑体" w:eastAsia="黑体" w:cs="黑体"/>
                <w:b/>
                <w:sz w:val="21"/>
                <w:szCs w:val="21"/>
              </w:rPr>
              <w:t>计量器具信息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计量器具名称</w:t>
            </w:r>
          </w:p>
        </w:tc>
        <w:tc>
          <w:tcPr>
            <w:tcW w:w="2523" w:type="dxa"/>
            <w:gridSpan w:val="4"/>
            <w:shd w:val="clear" w:color="auto" w:fill="auto"/>
            <w:vAlign w:val="center"/>
          </w:tcPr>
          <w:p>
            <w:pPr>
              <w:adjustRightInd/>
              <w:spacing w:line="240" w:lineRule="auto"/>
              <w:jc w:val="center"/>
              <w:rPr>
                <w:rFonts w:hint="eastAsia" w:ascii="宋体" w:hAnsi="宋体" w:eastAsia="宋体" w:cs="宋体"/>
                <w:sz w:val="21"/>
                <w:szCs w:val="21"/>
              </w:rPr>
            </w:pP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校准编号</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委托单位</w:t>
            </w:r>
          </w:p>
        </w:tc>
        <w:tc>
          <w:tcPr>
            <w:tcW w:w="7166" w:type="dxa"/>
            <w:gridSpan w:val="10"/>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型号/规格</w:t>
            </w:r>
          </w:p>
        </w:tc>
        <w:tc>
          <w:tcPr>
            <w:tcW w:w="2523" w:type="dxa"/>
            <w:gridSpan w:val="4"/>
            <w:shd w:val="clear" w:color="auto" w:fill="auto"/>
            <w:vAlign w:val="center"/>
          </w:tcPr>
          <w:p>
            <w:pPr>
              <w:adjustRightInd/>
              <w:spacing w:line="240" w:lineRule="auto"/>
              <w:jc w:val="center"/>
              <w:rPr>
                <w:rFonts w:hint="eastAsia" w:ascii="宋体" w:hAnsi="宋体" w:eastAsia="宋体" w:cs="宋体"/>
                <w:sz w:val="21"/>
                <w:szCs w:val="21"/>
              </w:rPr>
            </w:pP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制造厂家</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出厂编号</w:t>
            </w:r>
          </w:p>
        </w:tc>
        <w:tc>
          <w:tcPr>
            <w:tcW w:w="2523" w:type="dxa"/>
            <w:gridSpan w:val="4"/>
            <w:shd w:val="clear" w:color="auto" w:fill="auto"/>
            <w:vAlign w:val="center"/>
          </w:tcPr>
          <w:p>
            <w:pPr>
              <w:adjustRightInd/>
              <w:spacing w:line="240" w:lineRule="auto"/>
              <w:jc w:val="center"/>
              <w:rPr>
                <w:rFonts w:hint="eastAsia" w:ascii="宋体" w:hAnsi="宋体" w:eastAsia="宋体" w:cs="宋体"/>
                <w:sz w:val="21"/>
                <w:szCs w:val="21"/>
              </w:rPr>
            </w:pP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准确度等级</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462" w:type="dxa"/>
            <w:gridSpan w:val="13"/>
            <w:tcBorders>
              <w:left w:val="single" w:color="auto" w:sz="8" w:space="0"/>
              <w:right w:val="single" w:color="auto" w:sz="8" w:space="0"/>
            </w:tcBorders>
            <w:shd w:val="clear" w:color="auto" w:fill="auto"/>
            <w:vAlign w:val="center"/>
          </w:tcPr>
          <w:p>
            <w:pPr>
              <w:adjustRightInd/>
              <w:spacing w:line="240" w:lineRule="auto"/>
              <w:jc w:val="center"/>
              <w:rPr>
                <w:rFonts w:ascii="Times New Roman" w:hAnsi="Times New Roman"/>
                <w:sz w:val="18"/>
                <w:szCs w:val="18"/>
              </w:rPr>
            </w:pPr>
            <w:r>
              <w:rPr>
                <w:rFonts w:hint="eastAsia" w:ascii="黑体" w:hAnsi="黑体" w:eastAsia="黑体" w:cs="黑体"/>
                <w:b/>
                <w:sz w:val="21"/>
                <w:szCs w:val="21"/>
              </w:rPr>
              <w:t>计量标准信息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技术依据</w:t>
            </w:r>
          </w:p>
        </w:tc>
        <w:tc>
          <w:tcPr>
            <w:tcW w:w="7166" w:type="dxa"/>
            <w:gridSpan w:val="10"/>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所用的计量标准名称</w:t>
            </w:r>
          </w:p>
        </w:tc>
        <w:tc>
          <w:tcPr>
            <w:tcW w:w="2523" w:type="dxa"/>
            <w:gridSpan w:val="4"/>
            <w:shd w:val="clear" w:color="auto" w:fill="auto"/>
            <w:vAlign w:val="center"/>
          </w:tcPr>
          <w:p>
            <w:pPr>
              <w:adjustRightInd/>
              <w:spacing w:line="240" w:lineRule="auto"/>
              <w:jc w:val="center"/>
              <w:rPr>
                <w:rFonts w:hint="eastAsia" w:ascii="宋体" w:hAnsi="宋体" w:eastAsia="宋体" w:cs="宋体"/>
                <w:sz w:val="21"/>
                <w:szCs w:val="21"/>
              </w:rPr>
            </w:pP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校准方法</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标准器送检日期</w:t>
            </w:r>
          </w:p>
        </w:tc>
        <w:tc>
          <w:tcPr>
            <w:tcW w:w="2523" w:type="dxa"/>
            <w:gridSpan w:val="4"/>
            <w:shd w:val="clear" w:color="auto" w:fill="auto"/>
            <w:vAlign w:val="center"/>
          </w:tcPr>
          <w:p>
            <w:pPr>
              <w:adjustRightInd/>
              <w:spacing w:line="240" w:lineRule="auto"/>
              <w:jc w:val="center"/>
              <w:rPr>
                <w:rFonts w:hint="eastAsia" w:ascii="宋体" w:hAnsi="宋体" w:eastAsia="宋体" w:cs="宋体"/>
                <w:sz w:val="21"/>
                <w:szCs w:val="21"/>
              </w:rPr>
            </w:pP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标准器校准单位</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819" w:type="dxa"/>
            <w:gridSpan w:val="7"/>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标准器测量范围</w:t>
            </w:r>
          </w:p>
        </w:tc>
        <w:tc>
          <w:tcPr>
            <w:tcW w:w="4643" w:type="dxa"/>
            <w:gridSpan w:val="6"/>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819" w:type="dxa"/>
            <w:gridSpan w:val="7"/>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标准器不确定度/准确度等级/最大允许误差</w:t>
            </w:r>
          </w:p>
        </w:tc>
        <w:tc>
          <w:tcPr>
            <w:tcW w:w="4643" w:type="dxa"/>
            <w:gridSpan w:val="6"/>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819" w:type="dxa"/>
            <w:gridSpan w:val="7"/>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计量标准考核证书编号</w:t>
            </w:r>
          </w:p>
        </w:tc>
        <w:tc>
          <w:tcPr>
            <w:tcW w:w="4643" w:type="dxa"/>
            <w:gridSpan w:val="6"/>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4819" w:type="dxa"/>
            <w:gridSpan w:val="7"/>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计量标准考核证书有效期</w:t>
            </w:r>
          </w:p>
        </w:tc>
        <w:tc>
          <w:tcPr>
            <w:tcW w:w="4643" w:type="dxa"/>
            <w:gridSpan w:val="6"/>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trPr>
        <w:tc>
          <w:tcPr>
            <w:tcW w:w="9462" w:type="dxa"/>
            <w:gridSpan w:val="13"/>
            <w:tcBorders>
              <w:left w:val="single" w:color="auto" w:sz="8" w:space="0"/>
              <w:right w:val="single" w:color="auto" w:sz="8" w:space="0"/>
            </w:tcBorders>
            <w:shd w:val="clear" w:color="auto" w:fill="auto"/>
            <w:vAlign w:val="center"/>
          </w:tcPr>
          <w:p>
            <w:pPr>
              <w:adjustRightInd/>
              <w:spacing w:line="240" w:lineRule="auto"/>
              <w:jc w:val="center"/>
              <w:rPr>
                <w:rFonts w:ascii="Times New Roman" w:hAnsi="Times New Roman"/>
                <w:sz w:val="18"/>
                <w:szCs w:val="18"/>
              </w:rPr>
            </w:pPr>
            <w:r>
              <w:rPr>
                <w:rFonts w:hint="eastAsia" w:ascii="黑体" w:hAnsi="黑体" w:eastAsia="黑体" w:cs="黑体"/>
                <w:b/>
                <w:sz w:val="21"/>
                <w:szCs w:val="21"/>
              </w:rPr>
              <w:t>校准记录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温度要求</w:t>
            </w:r>
            <w:r>
              <w:rPr>
                <w:rFonts w:hint="eastAsia" w:ascii="宋体" w:hAnsi="宋体" w:eastAsia="宋体" w:cs="宋体"/>
                <w:color w:val="000000"/>
                <w:sz w:val="21"/>
                <w:szCs w:val="21"/>
              </w:rPr>
              <w:t>20</w:t>
            </w:r>
            <w:r>
              <w:rPr>
                <w:rFonts w:hint="eastAsia" w:ascii="宋体" w:hAnsi="宋体" w:eastAsia="宋体" w:cs="宋体"/>
                <w:sz w:val="21"/>
                <w:szCs w:val="21"/>
              </w:rPr>
              <w:t> </w:t>
            </w:r>
            <w:r>
              <w:rPr>
                <w:rFonts w:hint="eastAsia" w:ascii="宋体" w:hAnsi="宋体" w:eastAsia="宋体" w:cs="宋体"/>
                <w:color w:val="000000"/>
                <w:sz w:val="21"/>
                <w:szCs w:val="21"/>
              </w:rPr>
              <w:t>℃±5</w:t>
            </w:r>
            <w:r>
              <w:rPr>
                <w:rFonts w:hint="eastAsia" w:ascii="宋体" w:hAnsi="宋体" w:eastAsia="宋体" w:cs="宋体"/>
                <w:sz w:val="21"/>
                <w:szCs w:val="21"/>
              </w:rPr>
              <w:t> </w:t>
            </w:r>
            <w:r>
              <w:rPr>
                <w:rFonts w:hint="eastAsia" w:ascii="宋体" w:hAnsi="宋体" w:eastAsia="宋体" w:cs="宋体"/>
                <w:color w:val="000000"/>
                <w:sz w:val="21"/>
                <w:szCs w:val="21"/>
              </w:rPr>
              <w:t>℃</w:t>
            </w:r>
          </w:p>
        </w:tc>
        <w:tc>
          <w:tcPr>
            <w:tcW w:w="2523" w:type="dxa"/>
            <w:gridSpan w:val="4"/>
            <w:shd w:val="clear" w:color="auto" w:fill="auto"/>
            <w:vAlign w:val="center"/>
          </w:tcPr>
          <w:p>
            <w:pPr>
              <w:adjustRightInd/>
              <w:spacing w:line="240" w:lineRule="auto"/>
              <w:ind w:firstLine="1050" w:firstLineChars="500"/>
              <w:rPr>
                <w:rFonts w:hint="eastAsia" w:ascii="宋体" w:hAnsi="宋体" w:eastAsia="宋体" w:cs="宋体"/>
                <w:sz w:val="21"/>
                <w:szCs w:val="21"/>
              </w:rPr>
            </w:pPr>
            <w:r>
              <w:rPr>
                <w:rFonts w:hint="eastAsia" w:ascii="宋体" w:hAnsi="宋体" w:eastAsia="宋体" w:cs="宋体"/>
                <w:sz w:val="21"/>
                <w:szCs w:val="21"/>
              </w:rPr>
              <w:t>℃</w:t>
            </w: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湿度要求≤</w:t>
            </w:r>
            <w:r>
              <w:rPr>
                <w:rFonts w:hint="eastAsia" w:ascii="宋体" w:hAnsi="宋体" w:eastAsia="宋体" w:cs="宋体"/>
                <w:color w:val="000000"/>
                <w:sz w:val="21"/>
                <w:szCs w:val="21"/>
              </w:rPr>
              <w:t>75%</w:t>
            </w:r>
            <w:r>
              <w:rPr>
                <w:rFonts w:hint="eastAsia" w:ascii="宋体" w:hAnsi="宋体" w:eastAsia="宋体" w:cs="宋体"/>
                <w:sz w:val="21"/>
                <w:szCs w:val="21"/>
              </w:rPr>
              <w:t> </w:t>
            </w:r>
            <w:r>
              <w:rPr>
                <w:rFonts w:hint="eastAsia" w:ascii="宋体" w:hAnsi="宋体" w:eastAsia="宋体" w:cs="宋体"/>
                <w:color w:val="000000"/>
                <w:sz w:val="21"/>
                <w:szCs w:val="21"/>
              </w:rPr>
              <w:t>RH</w:t>
            </w:r>
          </w:p>
        </w:tc>
        <w:tc>
          <w:tcPr>
            <w:tcW w:w="2092" w:type="dxa"/>
            <w:gridSpan w:val="2"/>
            <w:tcBorders>
              <w:right w:val="single" w:color="auto" w:sz="8" w:space="0"/>
            </w:tcBorders>
            <w:shd w:val="clear" w:color="auto" w:fill="auto"/>
            <w:vAlign w:val="center"/>
          </w:tcPr>
          <w:p>
            <w:pPr>
              <w:adjustRightInd/>
              <w:spacing w:line="240" w:lineRule="auto"/>
              <w:ind w:firstLine="1260" w:firstLineChars="600"/>
              <w:rPr>
                <w:rFonts w:hint="eastAsia" w:ascii="宋体" w:hAnsi="宋体" w:eastAsia="宋体" w:cs="宋体"/>
                <w:sz w:val="21"/>
                <w:szCs w:val="21"/>
              </w:rPr>
            </w:pPr>
            <w:r>
              <w:rPr>
                <w:rFonts w:hint="eastAsia" w:ascii="宋体" w:hAnsi="宋体" w:eastAsia="宋体" w:cs="宋体"/>
                <w:color w:val="000000"/>
                <w:sz w:val="21"/>
                <w:szCs w:val="21"/>
              </w:rPr>
              <w:t>%</w:t>
            </w:r>
            <w:r>
              <w:rPr>
                <w:rFonts w:hint="eastAsia" w:ascii="宋体" w:hAnsi="宋体" w:eastAsia="宋体" w:cs="宋体"/>
                <w:sz w:val="21"/>
                <w:szCs w:val="21"/>
              </w:rPr>
              <w:t> RH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校准日期</w:t>
            </w:r>
          </w:p>
        </w:tc>
        <w:tc>
          <w:tcPr>
            <w:tcW w:w="2523" w:type="dxa"/>
            <w:gridSpan w:val="4"/>
            <w:shd w:val="clear" w:color="auto" w:fill="auto"/>
            <w:vAlign w:val="center"/>
          </w:tcPr>
          <w:p>
            <w:pPr>
              <w:adjustRightInd/>
              <w:spacing w:line="240" w:lineRule="auto"/>
              <w:ind w:firstLine="735" w:firstLineChars="350"/>
              <w:rPr>
                <w:rFonts w:hint="eastAsia" w:ascii="宋体" w:hAnsi="宋体" w:eastAsia="宋体" w:cs="宋体"/>
                <w:sz w:val="21"/>
                <w:szCs w:val="21"/>
              </w:rPr>
            </w:pPr>
            <w:r>
              <w:rPr>
                <w:rFonts w:hint="eastAsia" w:ascii="宋体" w:hAnsi="宋体" w:eastAsia="宋体" w:cs="宋体"/>
                <w:sz w:val="21"/>
                <w:szCs w:val="21"/>
              </w:rPr>
              <w:t>年  月  日</w:t>
            </w: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校准地点</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钻井液杯容量 /mL</w:t>
            </w:r>
          </w:p>
        </w:tc>
        <w:tc>
          <w:tcPr>
            <w:tcW w:w="2523" w:type="dxa"/>
            <w:gridSpan w:val="4"/>
            <w:shd w:val="clear" w:color="auto" w:fill="auto"/>
            <w:vAlign w:val="center"/>
          </w:tcPr>
          <w:p>
            <w:pPr>
              <w:adjustRightInd/>
              <w:spacing w:line="240" w:lineRule="auto"/>
              <w:ind w:firstLine="525" w:firstLineChars="250"/>
              <w:jc w:val="center"/>
              <w:rPr>
                <w:rFonts w:hint="eastAsia" w:ascii="宋体" w:hAnsi="宋体" w:eastAsia="宋体" w:cs="宋体"/>
                <w:sz w:val="21"/>
                <w:szCs w:val="21"/>
              </w:rPr>
            </w:pP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测量范围 /（g/cm</w:t>
            </w:r>
            <w:r>
              <w:rPr>
                <w:rFonts w:hint="eastAsia" w:ascii="宋体" w:hAnsi="宋体" w:eastAsia="宋体" w:cs="宋体"/>
                <w:sz w:val="21"/>
                <w:szCs w:val="21"/>
                <w:vertAlign w:val="superscript"/>
              </w:rPr>
              <w:t>3</w:t>
            </w:r>
            <w:r>
              <w:rPr>
                <w:rFonts w:hint="eastAsia" w:ascii="宋体" w:hAnsi="宋体" w:eastAsia="宋体" w:cs="宋体"/>
                <w:sz w:val="21"/>
                <w:szCs w:val="21"/>
              </w:rPr>
              <w:t>）</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水准泡</w:t>
            </w:r>
          </w:p>
        </w:tc>
        <w:tc>
          <w:tcPr>
            <w:tcW w:w="2523" w:type="dxa"/>
            <w:gridSpan w:val="4"/>
            <w:shd w:val="clear" w:color="auto" w:fill="auto"/>
            <w:vAlign w:val="center"/>
          </w:tcPr>
          <w:p>
            <w:pPr>
              <w:adjustRightInd/>
              <w:spacing w:line="240" w:lineRule="auto"/>
              <w:ind w:firstLine="525" w:firstLineChars="250"/>
              <w:jc w:val="center"/>
              <w:rPr>
                <w:rFonts w:hint="eastAsia" w:ascii="宋体" w:hAnsi="宋体" w:eastAsia="宋体" w:cs="宋体"/>
                <w:sz w:val="21"/>
                <w:szCs w:val="21"/>
              </w:rPr>
            </w:pPr>
          </w:p>
        </w:tc>
        <w:tc>
          <w:tcPr>
            <w:tcW w:w="2551" w:type="dxa"/>
            <w:gridSpan w:val="4"/>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灵敏限</w:t>
            </w:r>
          </w:p>
        </w:tc>
        <w:tc>
          <w:tcPr>
            <w:tcW w:w="2092" w:type="dxa"/>
            <w:gridSpan w:val="2"/>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2296" w:type="dxa"/>
            <w:gridSpan w:val="3"/>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外观检查</w:t>
            </w:r>
          </w:p>
        </w:tc>
        <w:tc>
          <w:tcPr>
            <w:tcW w:w="7166" w:type="dxa"/>
            <w:gridSpan w:val="10"/>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21" w:type="dxa"/>
            <w:vMerge w:val="restart"/>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示值误差校准</w:t>
            </w:r>
          </w:p>
        </w:tc>
        <w:tc>
          <w:tcPr>
            <w:tcW w:w="888" w:type="dxa"/>
            <w:vMerge w:val="restart"/>
            <w:shd w:val="clear" w:color="auto" w:fill="auto"/>
            <w:vAlign w:val="center"/>
          </w:tcPr>
          <w:p>
            <w:pPr>
              <w:adjustRightInd/>
              <w:spacing w:line="240" w:lineRule="auto"/>
              <w:rPr>
                <w:rFonts w:hint="eastAsia" w:ascii="宋体" w:hAnsi="宋体" w:eastAsia="宋体" w:cs="宋体"/>
                <w:sz w:val="21"/>
                <w:szCs w:val="21"/>
              </w:rPr>
            </w:pPr>
            <w:r>
              <w:rPr>
                <w:rFonts w:hint="eastAsia" w:ascii="宋体" w:hAnsi="宋体" w:eastAsia="宋体" w:cs="宋体"/>
                <w:sz w:val="21"/>
                <w:szCs w:val="21"/>
              </w:rPr>
              <w:t>校准点</w:t>
            </w:r>
          </w:p>
        </w:tc>
        <w:tc>
          <w:tcPr>
            <w:tcW w:w="1183" w:type="dxa"/>
            <w:gridSpan w:val="2"/>
            <w:vMerge w:val="restar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z w:val="21"/>
                <w:szCs w:val="21"/>
                <w:vertAlign w:val="subscript"/>
              </w:rPr>
              <w:t>1</w:t>
            </w:r>
            <w:r>
              <w:rPr>
                <w:rFonts w:hint="eastAsia" w:ascii="宋体" w:hAnsi="宋体" w:eastAsia="宋体" w:cs="宋体"/>
                <w:sz w:val="21"/>
                <w:szCs w:val="21"/>
              </w:rPr>
              <w:t>级砝码</w:t>
            </w:r>
          </w:p>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质量  /g</w:t>
            </w:r>
          </w:p>
        </w:tc>
        <w:tc>
          <w:tcPr>
            <w:tcW w:w="1035" w:type="dxa"/>
            <w:vMerge w:val="restart"/>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修正砝码质量  /g</w:t>
            </w:r>
          </w:p>
        </w:tc>
        <w:tc>
          <w:tcPr>
            <w:tcW w:w="3107" w:type="dxa"/>
            <w:gridSpan w:val="5"/>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测得值 /（g/cm</w:t>
            </w:r>
            <w:r>
              <w:rPr>
                <w:rFonts w:hint="eastAsia" w:ascii="宋体" w:hAnsi="宋体" w:eastAsia="宋体" w:cs="宋体"/>
                <w:sz w:val="21"/>
                <w:szCs w:val="21"/>
                <w:vertAlign w:val="superscript"/>
              </w:rPr>
              <w:t>3</w:t>
            </w:r>
            <w:r>
              <w:rPr>
                <w:rFonts w:hint="eastAsia" w:ascii="宋体" w:hAnsi="宋体" w:eastAsia="宋体" w:cs="宋体"/>
                <w:sz w:val="21"/>
                <w:szCs w:val="21"/>
              </w:rPr>
              <w:t>）</w:t>
            </w:r>
          </w:p>
        </w:tc>
        <w:tc>
          <w:tcPr>
            <w:tcW w:w="1183" w:type="dxa"/>
            <w:gridSpan w:val="2"/>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示值误差</w:t>
            </w:r>
          </w:p>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/（g/cm</w:t>
            </w:r>
            <w:r>
              <w:rPr>
                <w:rFonts w:hint="eastAsia" w:ascii="宋体" w:hAnsi="宋体" w:eastAsia="宋体" w:cs="宋体"/>
                <w:sz w:val="21"/>
                <w:szCs w:val="21"/>
                <w:vertAlign w:val="superscript"/>
              </w:rPr>
              <w:t>3</w:t>
            </w:r>
            <w:r>
              <w:rPr>
                <w:rFonts w:hint="eastAsia" w:ascii="宋体" w:hAnsi="宋体" w:eastAsia="宋体" w:cs="宋体"/>
                <w:sz w:val="21"/>
                <w:szCs w:val="21"/>
              </w:rPr>
              <w:t>）</w:t>
            </w:r>
          </w:p>
        </w:tc>
        <w:tc>
          <w:tcPr>
            <w:tcW w:w="1145" w:type="dxa"/>
            <w:tcBorders>
              <w:righ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测量结果不确定度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21" w:type="dxa"/>
            <w:vMerge w:val="continue"/>
            <w:tcBorders>
              <w:left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c>
          <w:tcPr>
            <w:tcW w:w="888" w:type="dxa"/>
            <w:vMerge w:val="continue"/>
            <w:shd w:val="clear" w:color="auto" w:fill="auto"/>
            <w:vAlign w:val="center"/>
          </w:tcPr>
          <w:p>
            <w:pPr>
              <w:adjustRightInd/>
              <w:spacing w:line="240" w:lineRule="auto"/>
              <w:jc w:val="center"/>
              <w:rPr>
                <w:rFonts w:hint="eastAsia" w:ascii="宋体" w:hAnsi="宋体" w:eastAsia="宋体" w:cs="宋体"/>
                <w:sz w:val="21"/>
                <w:szCs w:val="21"/>
              </w:rPr>
            </w:pPr>
          </w:p>
        </w:tc>
        <w:tc>
          <w:tcPr>
            <w:tcW w:w="1183" w:type="dxa"/>
            <w:gridSpan w:val="2"/>
            <w:vMerge w:val="continue"/>
            <w:shd w:val="clear" w:color="auto" w:fill="auto"/>
            <w:vAlign w:val="center"/>
          </w:tcPr>
          <w:p>
            <w:pPr>
              <w:adjustRightInd/>
              <w:spacing w:line="240" w:lineRule="auto"/>
              <w:jc w:val="center"/>
              <w:rPr>
                <w:rFonts w:hint="eastAsia" w:ascii="宋体" w:hAnsi="宋体" w:eastAsia="宋体" w:cs="宋体"/>
                <w:sz w:val="21"/>
                <w:szCs w:val="21"/>
              </w:rPr>
            </w:pPr>
          </w:p>
        </w:tc>
        <w:tc>
          <w:tcPr>
            <w:tcW w:w="1035" w:type="dxa"/>
            <w:vMerge w:val="continue"/>
            <w:shd w:val="clear" w:color="auto" w:fill="auto"/>
            <w:vAlign w:val="center"/>
          </w:tcPr>
          <w:p>
            <w:pPr>
              <w:adjustRightInd/>
              <w:spacing w:line="240" w:lineRule="auto"/>
              <w:jc w:val="center"/>
              <w:rPr>
                <w:rFonts w:hint="eastAsia" w:ascii="宋体" w:hAnsi="宋体" w:eastAsia="宋体" w:cs="宋体"/>
                <w:sz w:val="21"/>
                <w:szCs w:val="21"/>
              </w:rPr>
            </w:pPr>
          </w:p>
        </w:tc>
        <w:tc>
          <w:tcPr>
            <w:tcW w:w="739" w:type="dxa"/>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739" w:type="dxa"/>
            <w:gridSpan w:val="2"/>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739" w:type="dxa"/>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890" w:type="dxa"/>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平均值</w:t>
            </w: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145" w:type="dxa"/>
            <w:tcBorders>
              <w:righ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21" w:type="dxa"/>
            <w:vMerge w:val="continue"/>
            <w:tcBorders>
              <w:lef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c>
          <w:tcPr>
            <w:tcW w:w="888"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035"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890"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145" w:type="dxa"/>
            <w:tcBorders>
              <w:righ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921" w:type="dxa"/>
            <w:vMerge w:val="continue"/>
            <w:tcBorders>
              <w:lef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c>
          <w:tcPr>
            <w:tcW w:w="888"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035"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890"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145" w:type="dxa"/>
            <w:tcBorders>
              <w:righ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921" w:type="dxa"/>
            <w:vMerge w:val="continue"/>
            <w:tcBorders>
              <w:lef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c>
          <w:tcPr>
            <w:tcW w:w="888"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035"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890"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145" w:type="dxa"/>
            <w:tcBorders>
              <w:righ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21" w:type="dxa"/>
            <w:vMerge w:val="continue"/>
            <w:tcBorders>
              <w:lef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c>
          <w:tcPr>
            <w:tcW w:w="888"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035"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890"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145" w:type="dxa"/>
            <w:tcBorders>
              <w:righ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921" w:type="dxa"/>
            <w:vMerge w:val="continue"/>
            <w:tcBorders>
              <w:lef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c>
          <w:tcPr>
            <w:tcW w:w="888"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035"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739" w:type="dxa"/>
            <w:shd w:val="clear" w:color="auto" w:fill="auto"/>
            <w:vAlign w:val="center"/>
          </w:tcPr>
          <w:p>
            <w:pPr>
              <w:adjustRightInd/>
              <w:spacing w:line="240" w:lineRule="auto"/>
              <w:jc w:val="left"/>
              <w:rPr>
                <w:rFonts w:hint="eastAsia" w:ascii="宋体" w:hAnsi="宋体" w:eastAsia="宋体" w:cs="宋体"/>
                <w:sz w:val="21"/>
                <w:szCs w:val="21"/>
              </w:rPr>
            </w:pPr>
          </w:p>
        </w:tc>
        <w:tc>
          <w:tcPr>
            <w:tcW w:w="890" w:type="dxa"/>
            <w:shd w:val="clear" w:color="auto" w:fill="auto"/>
            <w:vAlign w:val="center"/>
          </w:tcPr>
          <w:p>
            <w:pPr>
              <w:adjustRightInd/>
              <w:spacing w:line="240" w:lineRule="auto"/>
              <w:jc w:val="left"/>
              <w:rPr>
                <w:rFonts w:hint="eastAsia" w:ascii="宋体" w:hAnsi="宋体" w:eastAsia="宋体" w:cs="宋体"/>
                <w:sz w:val="21"/>
                <w:szCs w:val="21"/>
              </w:rPr>
            </w:pPr>
          </w:p>
        </w:tc>
        <w:tc>
          <w:tcPr>
            <w:tcW w:w="1183" w:type="dxa"/>
            <w:gridSpan w:val="2"/>
            <w:shd w:val="clear" w:color="auto" w:fill="auto"/>
            <w:vAlign w:val="center"/>
          </w:tcPr>
          <w:p>
            <w:pPr>
              <w:adjustRightInd/>
              <w:spacing w:line="240" w:lineRule="auto"/>
              <w:jc w:val="left"/>
              <w:rPr>
                <w:rFonts w:hint="eastAsia" w:ascii="宋体" w:hAnsi="宋体" w:eastAsia="宋体" w:cs="宋体"/>
                <w:sz w:val="21"/>
                <w:szCs w:val="21"/>
              </w:rPr>
            </w:pPr>
          </w:p>
        </w:tc>
        <w:tc>
          <w:tcPr>
            <w:tcW w:w="1145" w:type="dxa"/>
            <w:tcBorders>
              <w:righ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1809" w:type="dxa"/>
            <w:gridSpan w:val="2"/>
            <w:tcBorders>
              <w:left w:val="single" w:color="auto" w:sz="8" w:space="0"/>
              <w:bottom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校准人</w:t>
            </w:r>
          </w:p>
        </w:tc>
        <w:tc>
          <w:tcPr>
            <w:tcW w:w="2218" w:type="dxa"/>
            <w:gridSpan w:val="3"/>
            <w:tcBorders>
              <w:bottom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p>
        </w:tc>
        <w:tc>
          <w:tcPr>
            <w:tcW w:w="3107" w:type="dxa"/>
            <w:gridSpan w:val="5"/>
            <w:tcBorders>
              <w:bottom w:val="single" w:color="auto" w:sz="8" w:space="0"/>
            </w:tcBorders>
            <w:shd w:val="clear" w:color="auto" w:fill="auto"/>
            <w:vAlign w:val="center"/>
          </w:tcPr>
          <w:p>
            <w:pPr>
              <w:adjustRightInd/>
              <w:spacing w:line="240" w:lineRule="auto"/>
              <w:jc w:val="center"/>
              <w:rPr>
                <w:rFonts w:hint="eastAsia" w:ascii="宋体" w:hAnsi="宋体" w:eastAsia="宋体" w:cs="宋体"/>
                <w:sz w:val="21"/>
                <w:szCs w:val="21"/>
              </w:rPr>
            </w:pPr>
            <w:r>
              <w:rPr>
                <w:rFonts w:hint="eastAsia" w:ascii="宋体" w:hAnsi="宋体" w:eastAsia="宋体" w:cs="宋体"/>
                <w:sz w:val="21"/>
                <w:szCs w:val="21"/>
              </w:rPr>
              <w:t>核验人</w:t>
            </w:r>
          </w:p>
        </w:tc>
        <w:tc>
          <w:tcPr>
            <w:tcW w:w="2328" w:type="dxa"/>
            <w:gridSpan w:val="3"/>
            <w:tcBorders>
              <w:bottom w:val="single" w:color="auto" w:sz="8" w:space="0"/>
              <w:right w:val="single" w:color="auto" w:sz="8" w:space="0"/>
            </w:tcBorders>
            <w:shd w:val="clear" w:color="auto" w:fill="auto"/>
            <w:vAlign w:val="center"/>
          </w:tcPr>
          <w:p>
            <w:pPr>
              <w:adjustRightInd/>
              <w:spacing w:line="240" w:lineRule="auto"/>
              <w:jc w:val="left"/>
              <w:rPr>
                <w:rFonts w:hint="eastAsia" w:ascii="宋体" w:hAnsi="宋体" w:eastAsia="宋体" w:cs="宋体"/>
                <w:sz w:val="21"/>
                <w:szCs w:val="21"/>
              </w:rPr>
            </w:pPr>
          </w:p>
        </w:tc>
      </w:tr>
    </w:tbl>
    <w:p>
      <w:pPr>
        <w:pStyle w:val="141"/>
        <w:ind w:firstLine="42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decimal"/>
          <w:cols w:space="425" w:num="1"/>
          <w:formProt w:val="0"/>
          <w:docGrid w:linePitch="312" w:charSpace="0"/>
        </w:sectPr>
      </w:pPr>
    </w:p>
    <w:p>
      <w:pPr>
        <w:pStyle w:val="156"/>
        <w:rPr>
          <w:vanish w:val="0"/>
        </w:rPr>
      </w:pPr>
    </w:p>
    <w:p>
      <w:pPr>
        <w:pStyle w:val="157"/>
        <w:rPr>
          <w:vanish w:val="0"/>
        </w:rPr>
      </w:pPr>
    </w:p>
    <w:p>
      <w:pPr>
        <w:pStyle w:val="158"/>
        <w:numPr>
          <w:ilvl w:val="0"/>
          <w:numId w:val="0"/>
        </w:numPr>
        <w:spacing w:before="60" w:after="120"/>
        <w:jc w:val="both"/>
        <w:rPr>
          <w:rFonts w:hint="eastAsia" w:ascii="黑体" w:hAnsi="黑体" w:eastAsia="黑体" w:cs="黑体"/>
          <w:sz w:val="21"/>
          <w:szCs w:val="21"/>
        </w:rPr>
      </w:pPr>
      <w:r>
        <w:rPr>
          <w:rFonts w:hint="eastAsia" w:asciiTheme="minorEastAsia" w:hAnsiTheme="minorEastAsia" w:eastAsiaTheme="minorEastAsia" w:cstheme="minorEastAsia"/>
          <w:sz w:val="24"/>
          <w:szCs w:val="24"/>
          <w:lang w:val="en-US" w:eastAsia="zh-CN"/>
        </w:rPr>
        <w:t>附录D</w:t>
      </w:r>
      <w:r>
        <w:rPr>
          <w:rFonts w:hint="eastAsia" w:asciiTheme="minorEastAsia" w:hAnsiTheme="minorEastAsia" w:eastAsiaTheme="minorEastAsia" w:cstheme="minorEastAsia"/>
          <w:sz w:val="24"/>
          <w:szCs w:val="24"/>
        </w:rPr>
        <w:br w:type="textWrapping"/>
      </w:r>
      <w:bookmarkStart w:id="70" w:name="_Toc91170723"/>
      <w:bookmarkStart w:id="71" w:name="_Toc91169903"/>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lang w:val="en-US" w:eastAsia="zh-CN"/>
        </w:rPr>
        <w:t xml:space="preserve">                           </w:t>
      </w:r>
      <w:r>
        <w:rPr>
          <w:rFonts w:hint="eastAsia" w:ascii="黑体" w:hAnsi="黑体" w:eastAsia="黑体" w:cs="黑体"/>
          <w:sz w:val="21"/>
          <w:szCs w:val="21"/>
          <w:lang w:val="en-US" w:eastAsia="zh-CN"/>
        </w:rPr>
        <w:t xml:space="preserve">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钻井液密度计校准证书格式</w:t>
      </w:r>
      <w:bookmarkEnd w:id="70"/>
      <w:bookmarkEnd w:id="71"/>
    </w:p>
    <w:p>
      <w:pPr>
        <w:pStyle w:val="141"/>
        <w:tabs>
          <w:tab w:val="left" w:pos="7211"/>
        </w:tabs>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钻井液密度计校准证书格式见表D.1和表D.2。</w:t>
      </w:r>
      <w:r>
        <w:rPr>
          <w:rFonts w:hint="eastAsia" w:asciiTheme="minorEastAsia" w:hAnsiTheme="minorEastAsia" w:eastAsiaTheme="minorEastAsia" w:cstheme="minorEastAsia"/>
          <w:sz w:val="24"/>
          <w:szCs w:val="24"/>
        </w:rPr>
        <w:tab/>
      </w:r>
    </w:p>
    <w:p>
      <w:pPr>
        <w:pStyle w:val="159"/>
        <w:spacing w:before="120" w:after="120"/>
      </w:pPr>
      <w:r>
        <w:rPr>
          <w:rFonts w:hint="eastAsia"/>
        </w:rPr>
        <w:t>钻井液密度计校准证书正面格式</w:t>
      </w:r>
    </w:p>
    <w:tbl>
      <w:tblPr>
        <w:tblStyle w:val="3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
        <w:gridCol w:w="8364"/>
        <w:gridCol w:w="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4" w:hRule="atLeast"/>
        </w:trPr>
        <w:tc>
          <w:tcPr>
            <w:tcW w:w="9072" w:type="dxa"/>
            <w:gridSpan w:val="3"/>
            <w:tcBorders>
              <w:top w:val="single" w:color="auto" w:sz="8" w:space="0"/>
              <w:left w:val="single" w:color="auto" w:sz="8" w:space="0"/>
              <w:bottom w:val="nil"/>
              <w:right w:val="single" w:color="auto" w:sz="8" w:space="0"/>
            </w:tcBorders>
          </w:tcPr>
          <w:p>
            <w:pPr>
              <w:adjustRightInd/>
              <w:spacing w:before="360" w:beforeLines="150" w:after="360" w:afterLines="150" w:line="600" w:lineRule="exact"/>
              <w:jc w:val="center"/>
              <w:rPr>
                <w:rFonts w:ascii="Times New Roman" w:hAnsi="Times New Roman" w:eastAsia="黑体"/>
                <w:b/>
                <w:sz w:val="56"/>
                <w:szCs w:val="72"/>
              </w:rPr>
            </w:pPr>
            <w:bookmarkStart w:id="72" w:name="_Hlk55977631"/>
            <w:bookmarkStart w:id="73" w:name="_Hlk55981093"/>
            <w:r>
              <w:rPr>
                <w:rFonts w:ascii="Times New Roman" w:hAnsi="Times New Roman" w:eastAsia="黑体"/>
                <w:b/>
                <w:sz w:val="56"/>
                <w:szCs w:val="72"/>
              </w:rPr>
              <w:t>校准证书</w:t>
            </w:r>
          </w:p>
          <w:bookmarkEnd w:id="72"/>
          <w:p>
            <w:pPr>
              <w:adjustRightInd/>
              <w:spacing w:after="240" w:afterLines="100" w:line="600" w:lineRule="exact"/>
              <w:jc w:val="center"/>
              <w:rPr>
                <w:rFonts w:ascii="Times New Roman" w:hAnsi="Times New Roman"/>
                <w:sz w:val="28"/>
                <w:szCs w:val="28"/>
              </w:rPr>
            </w:pPr>
            <w:r>
              <w:rPr>
                <w:rFonts w:ascii="Times New Roman" w:hAnsi="Times New Roman"/>
                <w:sz w:val="28"/>
                <w:szCs w:val="28"/>
              </w:rPr>
              <w:t>证书编号：</w:t>
            </w:r>
          </w:p>
          <w:tbl>
            <w:tblPr>
              <w:tblStyle w:val="30"/>
              <w:tblW w:w="0" w:type="auto"/>
              <w:jc w:val="center"/>
              <w:tblLayout w:type="autofit"/>
              <w:tblCellMar>
                <w:top w:w="0" w:type="dxa"/>
                <w:left w:w="108" w:type="dxa"/>
                <w:bottom w:w="0" w:type="dxa"/>
                <w:right w:w="108" w:type="dxa"/>
              </w:tblCellMar>
            </w:tblPr>
            <w:tblGrid>
              <w:gridCol w:w="2127"/>
              <w:gridCol w:w="4356"/>
            </w:tblGrid>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adjustRightInd/>
                    <w:spacing w:line="360" w:lineRule="auto"/>
                    <w:jc w:val="distribute"/>
                    <w:rPr>
                      <w:rFonts w:ascii="Times New Roman" w:hAnsi="Times New Roman"/>
                      <w:sz w:val="28"/>
                      <w:szCs w:val="28"/>
                    </w:rPr>
                  </w:pPr>
                  <w:r>
                    <w:rPr>
                      <w:rFonts w:ascii="Times New Roman" w:hAnsi="Times New Roman"/>
                      <w:sz w:val="28"/>
                      <w:szCs w:val="28"/>
                    </w:rPr>
                    <w:t>送检单位：</w:t>
                  </w:r>
                </w:p>
              </w:tc>
              <w:tc>
                <w:tcPr>
                  <w:tcW w:w="4356" w:type="dxa"/>
                  <w:tcBorders>
                    <w:bottom w:val="single" w:color="auto" w:sz="4" w:space="0"/>
                  </w:tcBorders>
                  <w:shd w:val="clear" w:color="auto" w:fill="auto"/>
                  <w:vAlign w:val="center"/>
                </w:tcPr>
                <w:p>
                  <w:pPr>
                    <w:adjustRightInd/>
                    <w:spacing w:line="360" w:lineRule="auto"/>
                    <w:jc w:val="center"/>
                    <w:rPr>
                      <w:rFonts w:ascii="Times New Roman" w:hAnsi="Times New Roman"/>
                      <w:sz w:val="28"/>
                      <w:szCs w:val="28"/>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adjustRightInd/>
                    <w:spacing w:line="360" w:lineRule="auto"/>
                    <w:jc w:val="distribute"/>
                    <w:rPr>
                      <w:rFonts w:ascii="Times New Roman" w:hAnsi="Times New Roman"/>
                      <w:sz w:val="28"/>
                      <w:szCs w:val="28"/>
                    </w:rPr>
                  </w:pPr>
                  <w:r>
                    <w:rPr>
                      <w:rFonts w:ascii="Times New Roman" w:hAnsi="Times New Roman"/>
                      <w:sz w:val="28"/>
                      <w:szCs w:val="28"/>
                    </w:rPr>
                    <w:t>器具名称：</w:t>
                  </w:r>
                </w:p>
              </w:tc>
              <w:tc>
                <w:tcPr>
                  <w:tcW w:w="4356" w:type="dxa"/>
                  <w:tcBorders>
                    <w:top w:val="single" w:color="auto" w:sz="4" w:space="0"/>
                    <w:bottom w:val="single" w:color="auto" w:sz="4" w:space="0"/>
                  </w:tcBorders>
                  <w:shd w:val="clear" w:color="auto" w:fill="auto"/>
                  <w:vAlign w:val="center"/>
                </w:tcPr>
                <w:p>
                  <w:pPr>
                    <w:adjustRightInd/>
                    <w:spacing w:line="360" w:lineRule="auto"/>
                    <w:jc w:val="center"/>
                    <w:rPr>
                      <w:rFonts w:ascii="Times New Roman" w:hAnsi="Times New Roman"/>
                      <w:sz w:val="28"/>
                      <w:szCs w:val="28"/>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adjustRightInd/>
                    <w:spacing w:line="360" w:lineRule="auto"/>
                    <w:jc w:val="distribute"/>
                    <w:rPr>
                      <w:rFonts w:ascii="Times New Roman" w:hAnsi="Times New Roman"/>
                      <w:sz w:val="28"/>
                      <w:szCs w:val="28"/>
                    </w:rPr>
                  </w:pPr>
                  <w:r>
                    <w:rPr>
                      <w:rFonts w:ascii="Times New Roman" w:hAnsi="Times New Roman"/>
                      <w:sz w:val="28"/>
                      <w:szCs w:val="28"/>
                    </w:rPr>
                    <w:t>型号规格：</w:t>
                  </w:r>
                </w:p>
              </w:tc>
              <w:tc>
                <w:tcPr>
                  <w:tcW w:w="4356" w:type="dxa"/>
                  <w:tcBorders>
                    <w:top w:val="single" w:color="auto" w:sz="4" w:space="0"/>
                    <w:bottom w:val="single" w:color="auto" w:sz="4" w:space="0"/>
                  </w:tcBorders>
                  <w:shd w:val="clear" w:color="auto" w:fill="auto"/>
                  <w:vAlign w:val="center"/>
                </w:tcPr>
                <w:p>
                  <w:pPr>
                    <w:adjustRightInd/>
                    <w:spacing w:line="360" w:lineRule="auto"/>
                    <w:ind w:firstLine="1960" w:firstLineChars="700"/>
                    <w:rPr>
                      <w:rFonts w:ascii="Times New Roman" w:hAnsi="Times New Roman"/>
                      <w:sz w:val="28"/>
                      <w:szCs w:val="28"/>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adjustRightInd/>
                    <w:spacing w:line="360" w:lineRule="auto"/>
                    <w:jc w:val="distribute"/>
                    <w:rPr>
                      <w:rFonts w:ascii="Times New Roman" w:hAnsi="Times New Roman"/>
                      <w:sz w:val="28"/>
                      <w:szCs w:val="28"/>
                    </w:rPr>
                  </w:pPr>
                  <w:r>
                    <w:rPr>
                      <w:rFonts w:hint="eastAsia" w:ascii="Times New Roman" w:hAnsi="Times New Roman"/>
                      <w:sz w:val="28"/>
                      <w:szCs w:val="28"/>
                    </w:rPr>
                    <w:t>测量范围：</w:t>
                  </w:r>
                </w:p>
              </w:tc>
              <w:tc>
                <w:tcPr>
                  <w:tcW w:w="4356" w:type="dxa"/>
                  <w:tcBorders>
                    <w:top w:val="single" w:color="auto" w:sz="4" w:space="0"/>
                    <w:bottom w:val="single" w:color="auto" w:sz="4" w:space="0"/>
                  </w:tcBorders>
                  <w:shd w:val="clear" w:color="auto" w:fill="auto"/>
                  <w:vAlign w:val="center"/>
                </w:tcPr>
                <w:p>
                  <w:pPr>
                    <w:adjustRightInd/>
                    <w:spacing w:line="360" w:lineRule="auto"/>
                    <w:ind w:firstLine="1960" w:firstLineChars="700"/>
                    <w:rPr>
                      <w:rFonts w:ascii="Times New Roman" w:hAnsi="Times New Roman"/>
                      <w:sz w:val="28"/>
                      <w:szCs w:val="28"/>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adjustRightInd/>
                    <w:spacing w:line="360" w:lineRule="auto"/>
                    <w:jc w:val="distribute"/>
                    <w:rPr>
                      <w:rFonts w:ascii="Times New Roman" w:hAnsi="Times New Roman"/>
                      <w:sz w:val="28"/>
                      <w:szCs w:val="28"/>
                    </w:rPr>
                  </w:pPr>
                  <w:r>
                    <w:rPr>
                      <w:rFonts w:ascii="Times New Roman" w:hAnsi="Times New Roman"/>
                      <w:sz w:val="28"/>
                      <w:szCs w:val="28"/>
                    </w:rPr>
                    <w:t>出厂编号：</w:t>
                  </w:r>
                </w:p>
              </w:tc>
              <w:tc>
                <w:tcPr>
                  <w:tcW w:w="4356" w:type="dxa"/>
                  <w:tcBorders>
                    <w:top w:val="single" w:color="auto" w:sz="4" w:space="0"/>
                    <w:bottom w:val="single" w:color="auto" w:sz="4" w:space="0"/>
                  </w:tcBorders>
                  <w:shd w:val="clear" w:color="auto" w:fill="auto"/>
                  <w:vAlign w:val="center"/>
                </w:tcPr>
                <w:p>
                  <w:pPr>
                    <w:adjustRightInd/>
                    <w:spacing w:line="360" w:lineRule="auto"/>
                    <w:ind w:firstLine="2100" w:firstLineChars="750"/>
                    <w:rPr>
                      <w:rFonts w:ascii="Times New Roman" w:hAnsi="Times New Roman"/>
                      <w:sz w:val="28"/>
                      <w:szCs w:val="28"/>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adjustRightInd/>
                    <w:spacing w:line="360" w:lineRule="auto"/>
                    <w:jc w:val="distribute"/>
                    <w:rPr>
                      <w:rFonts w:ascii="Times New Roman" w:hAnsi="Times New Roman"/>
                      <w:sz w:val="28"/>
                      <w:szCs w:val="28"/>
                    </w:rPr>
                  </w:pPr>
                  <w:r>
                    <w:rPr>
                      <w:rFonts w:ascii="Times New Roman" w:hAnsi="Times New Roman"/>
                      <w:sz w:val="28"/>
                      <w:szCs w:val="28"/>
                    </w:rPr>
                    <w:t>制造单位：</w:t>
                  </w:r>
                </w:p>
              </w:tc>
              <w:tc>
                <w:tcPr>
                  <w:tcW w:w="4356" w:type="dxa"/>
                  <w:tcBorders>
                    <w:top w:val="single" w:color="auto" w:sz="4" w:space="0"/>
                    <w:bottom w:val="single" w:color="auto" w:sz="4" w:space="0"/>
                  </w:tcBorders>
                  <w:shd w:val="clear" w:color="auto" w:fill="auto"/>
                  <w:vAlign w:val="center"/>
                </w:tcPr>
                <w:p>
                  <w:pPr>
                    <w:adjustRightInd/>
                    <w:spacing w:line="360" w:lineRule="auto"/>
                    <w:ind w:firstLine="1680" w:firstLineChars="600"/>
                    <w:rPr>
                      <w:rFonts w:ascii="Times New Roman" w:hAnsi="Times New Roman"/>
                      <w:sz w:val="28"/>
                      <w:szCs w:val="28"/>
                    </w:rPr>
                  </w:pPr>
                </w:p>
              </w:tc>
            </w:tr>
            <w:tr>
              <w:tblPrEx>
                <w:tblCellMar>
                  <w:top w:w="0" w:type="dxa"/>
                  <w:left w:w="108" w:type="dxa"/>
                  <w:bottom w:w="0" w:type="dxa"/>
                  <w:right w:w="108" w:type="dxa"/>
                </w:tblCellMar>
              </w:tblPrEx>
              <w:trPr>
                <w:trHeight w:val="539" w:hRule="exact"/>
                <w:jc w:val="center"/>
              </w:trPr>
              <w:tc>
                <w:tcPr>
                  <w:tcW w:w="2127" w:type="dxa"/>
                  <w:shd w:val="clear" w:color="auto" w:fill="auto"/>
                  <w:vAlign w:val="center"/>
                </w:tcPr>
                <w:p>
                  <w:pPr>
                    <w:adjustRightInd/>
                    <w:spacing w:line="360" w:lineRule="auto"/>
                    <w:jc w:val="distribute"/>
                    <w:rPr>
                      <w:rFonts w:ascii="Times New Roman" w:hAnsi="Times New Roman"/>
                      <w:sz w:val="28"/>
                      <w:szCs w:val="28"/>
                    </w:rPr>
                  </w:pPr>
                  <w:r>
                    <w:rPr>
                      <w:rFonts w:ascii="Times New Roman" w:hAnsi="Times New Roman"/>
                      <w:sz w:val="28"/>
                      <w:szCs w:val="28"/>
                    </w:rPr>
                    <w:t>校准依据：</w:t>
                  </w:r>
                </w:p>
              </w:tc>
              <w:tc>
                <w:tcPr>
                  <w:tcW w:w="4356" w:type="dxa"/>
                  <w:tcBorders>
                    <w:top w:val="single" w:color="auto" w:sz="4" w:space="0"/>
                    <w:bottom w:val="single" w:color="auto" w:sz="4" w:space="0"/>
                  </w:tcBorders>
                  <w:shd w:val="clear" w:color="auto" w:fill="auto"/>
                  <w:vAlign w:val="center"/>
                </w:tcPr>
                <w:p>
                  <w:pPr>
                    <w:adjustRightInd/>
                    <w:spacing w:line="360" w:lineRule="auto"/>
                    <w:jc w:val="center"/>
                    <w:rPr>
                      <w:rFonts w:ascii="Times New Roman" w:hAnsi="Times New Roman"/>
                      <w:sz w:val="28"/>
                      <w:szCs w:val="28"/>
                    </w:rPr>
                  </w:pPr>
                </w:p>
                <w:p>
                  <w:pPr>
                    <w:adjustRightInd/>
                    <w:spacing w:line="360" w:lineRule="auto"/>
                    <w:jc w:val="center"/>
                    <w:rPr>
                      <w:rFonts w:ascii="Times New Roman" w:hAnsi="Times New Roman"/>
                      <w:sz w:val="28"/>
                      <w:szCs w:val="28"/>
                    </w:rPr>
                  </w:pPr>
                </w:p>
              </w:tc>
            </w:tr>
          </w:tbl>
          <w:p>
            <w:pPr>
              <w:widowControl/>
              <w:tabs>
                <w:tab w:val="center" w:pos="4201"/>
                <w:tab w:val="right" w:leader="dot" w:pos="9298"/>
              </w:tabs>
              <w:autoSpaceDE w:val="0"/>
              <w:autoSpaceDN w:val="0"/>
              <w:adjustRightInd/>
              <w:spacing w:line="240" w:lineRule="auto"/>
              <w:rPr>
                <w:rFonts w:ascii="Times New Roman" w:hAnsi="Times New Roman"/>
                <w:kern w:val="0"/>
                <w:szCs w:val="20"/>
              </w:rPr>
            </w:pPr>
          </w:p>
          <w:p>
            <w:pPr>
              <w:wordWrap w:val="0"/>
              <w:adjustRightInd/>
              <w:spacing w:line="240" w:lineRule="auto"/>
              <w:ind w:right="1797" w:firstLine="140" w:firstLineChars="50"/>
              <w:jc w:val="right"/>
              <w:rPr>
                <w:rFonts w:ascii="Times New Roman" w:hAnsi="Times New Roman"/>
                <w:sz w:val="28"/>
                <w:szCs w:val="28"/>
              </w:rPr>
            </w:pPr>
            <w:r>
              <w:rPr>
                <w:rFonts w:ascii="Times New Roman" w:hAnsi="Times New Roman"/>
                <w:sz w:val="28"/>
                <w:szCs w:val="28"/>
              </w:rPr>
              <w:t>批准人：</w:t>
            </w:r>
          </w:p>
          <w:p>
            <w:pPr>
              <w:wordWrap w:val="0"/>
              <w:adjustRightInd/>
              <w:spacing w:line="240" w:lineRule="auto"/>
              <w:ind w:right="1797"/>
              <w:jc w:val="right"/>
              <w:rPr>
                <w:rFonts w:ascii="Times New Roman" w:hAnsi="Times New Roman"/>
                <w:sz w:val="28"/>
                <w:szCs w:val="28"/>
              </w:rPr>
            </w:pPr>
            <w:r>
              <w:rPr>
                <w:rFonts w:hint="eastAsia" w:ascii="Times New Roman" w:hAnsi="Times New Roman"/>
                <w:sz w:val="28"/>
                <w:szCs w:val="28"/>
              </w:rPr>
              <w:t>核验</w:t>
            </w:r>
            <w:r>
              <w:rPr>
                <w:rFonts w:ascii="Times New Roman" w:hAnsi="Times New Roman"/>
                <w:sz w:val="28"/>
                <w:szCs w:val="28"/>
              </w:rPr>
              <w:t>人：</w:t>
            </w:r>
          </w:p>
          <w:p>
            <w:pPr>
              <w:wordWrap w:val="0"/>
              <w:adjustRightInd/>
              <w:spacing w:line="240" w:lineRule="auto"/>
              <w:ind w:right="1797"/>
              <w:jc w:val="right"/>
              <w:rPr>
                <w:rFonts w:ascii="Times New Roman" w:hAnsi="Times New Roman"/>
                <w:sz w:val="28"/>
                <w:szCs w:val="28"/>
              </w:rPr>
            </w:pPr>
            <w:r>
              <w:rPr>
                <w:rFonts w:ascii="Times New Roman" w:hAnsi="Times New Roman"/>
                <w:sz w:val="28"/>
                <w:szCs w:val="28"/>
              </w:rPr>
              <w:t>校准人：</w:t>
            </w:r>
          </w:p>
          <w:p>
            <w:pPr>
              <w:widowControl/>
              <w:tabs>
                <w:tab w:val="center" w:pos="4201"/>
                <w:tab w:val="right" w:leader="dot" w:pos="9298"/>
              </w:tabs>
              <w:autoSpaceDE w:val="0"/>
              <w:autoSpaceDN w:val="0"/>
              <w:adjustRightInd/>
              <w:spacing w:line="240" w:lineRule="auto"/>
              <w:ind w:firstLine="560" w:firstLineChars="200"/>
              <w:rPr>
                <w:rFonts w:ascii="Times New Roman" w:hAnsi="Times New Roman"/>
                <w:kern w:val="0"/>
                <w:szCs w:val="20"/>
              </w:rPr>
            </w:pPr>
            <w:r>
              <w:rPr>
                <w:rFonts w:ascii="Times New Roman" w:hAnsi="Times New Roman"/>
                <w:kern w:val="0"/>
                <w:sz w:val="28"/>
                <w:szCs w:val="32"/>
              </w:rPr>
              <w:t>校准日期：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exact"/>
        </w:trPr>
        <w:tc>
          <w:tcPr>
            <w:tcW w:w="425" w:type="dxa"/>
            <w:tcBorders>
              <w:top w:val="nil"/>
              <w:left w:val="single" w:color="auto" w:sz="8" w:space="0"/>
              <w:bottom w:val="single" w:color="auto" w:sz="8" w:space="0"/>
              <w:right w:val="nil"/>
            </w:tcBorders>
          </w:tcPr>
          <w:p>
            <w:pPr>
              <w:adjustRightInd/>
              <w:spacing w:before="360" w:beforeLines="150" w:after="360" w:afterLines="150" w:line="360" w:lineRule="auto"/>
              <w:jc w:val="center"/>
              <w:rPr>
                <w:rFonts w:ascii="Times New Roman" w:hAnsi="Times New Roman" w:eastAsia="黑体"/>
                <w:b/>
                <w:sz w:val="18"/>
                <w:szCs w:val="18"/>
              </w:rPr>
            </w:pPr>
          </w:p>
        </w:tc>
        <w:tc>
          <w:tcPr>
            <w:tcW w:w="8364" w:type="dxa"/>
            <w:tcBorders>
              <w:top w:val="single" w:color="auto" w:sz="12" w:space="0"/>
              <w:left w:val="nil"/>
              <w:bottom w:val="single" w:color="auto" w:sz="8" w:space="0"/>
              <w:right w:val="nil"/>
            </w:tcBorders>
          </w:tcPr>
          <w:p>
            <w:pPr>
              <w:adjustRightInd/>
              <w:spacing w:line="240" w:lineRule="auto"/>
              <w:jc w:val="left"/>
              <w:rPr>
                <w:rFonts w:ascii="Times New Roman" w:hAnsi="Times New Roman" w:eastAsia="仿宋"/>
                <w:bCs/>
                <w:sz w:val="15"/>
                <w:szCs w:val="15"/>
              </w:rPr>
            </w:pPr>
            <w:r>
              <w:rPr>
                <w:rFonts w:ascii="Times New Roman" w:hAnsi="Times New Roman" w:eastAsia="仿宋"/>
                <w:bCs/>
                <w:sz w:val="15"/>
                <w:szCs w:val="15"/>
              </w:rPr>
              <w:t>本证书出具的的检测数据通过国家计量检定系统可溯源至国家计量基（标）准。</w:t>
            </w:r>
          </w:p>
          <w:p>
            <w:pPr>
              <w:adjustRightInd/>
              <w:spacing w:line="240" w:lineRule="auto"/>
              <w:jc w:val="left"/>
              <w:rPr>
                <w:rFonts w:ascii="Times New Roman" w:hAnsi="Times New Roman" w:eastAsia="仿宋"/>
                <w:bCs/>
                <w:sz w:val="15"/>
                <w:szCs w:val="15"/>
              </w:rPr>
            </w:pPr>
            <w:r>
              <w:rPr>
                <w:rFonts w:ascii="Times New Roman" w:hAnsi="Times New Roman" w:eastAsia="仿宋"/>
                <w:bCs/>
                <w:sz w:val="15"/>
                <w:szCs w:val="15"/>
              </w:rPr>
              <w:t>地址：</w:t>
            </w:r>
          </w:p>
          <w:p>
            <w:pPr>
              <w:adjustRightInd/>
              <w:spacing w:line="240" w:lineRule="auto"/>
              <w:jc w:val="left"/>
              <w:rPr>
                <w:rFonts w:ascii="Times New Roman" w:hAnsi="Times New Roman" w:eastAsia="仿宋"/>
                <w:bCs/>
                <w:sz w:val="15"/>
                <w:szCs w:val="15"/>
              </w:rPr>
            </w:pPr>
            <w:r>
              <w:rPr>
                <w:rFonts w:ascii="Times New Roman" w:hAnsi="Times New Roman" w:eastAsia="仿宋"/>
                <w:bCs/>
                <w:sz w:val="15"/>
                <w:szCs w:val="15"/>
              </w:rPr>
              <w:t>电话：邮箱：</w:t>
            </w:r>
          </w:p>
          <w:p>
            <w:pPr>
              <w:adjustRightInd/>
              <w:spacing w:line="240" w:lineRule="auto"/>
              <w:jc w:val="center"/>
              <w:rPr>
                <w:rFonts w:ascii="Times New Roman" w:hAnsi="Times New Roman" w:eastAsia="黑体"/>
                <w:b/>
                <w:sz w:val="18"/>
                <w:szCs w:val="18"/>
              </w:rPr>
            </w:pPr>
            <w:r>
              <w:rPr>
                <w:rFonts w:ascii="Times New Roman" w:hAnsi="Times New Roman" w:eastAsia="仿宋"/>
                <w:bCs/>
                <w:sz w:val="15"/>
                <w:szCs w:val="15"/>
              </w:rPr>
              <w:t>第1页，共2页</w:t>
            </w:r>
          </w:p>
        </w:tc>
        <w:tc>
          <w:tcPr>
            <w:tcW w:w="283" w:type="dxa"/>
            <w:tcBorders>
              <w:top w:val="nil"/>
              <w:left w:val="nil"/>
              <w:bottom w:val="single" w:color="auto" w:sz="8" w:space="0"/>
              <w:right w:val="single" w:color="auto" w:sz="8" w:space="0"/>
            </w:tcBorders>
          </w:tcPr>
          <w:p>
            <w:pPr>
              <w:adjustRightInd/>
              <w:spacing w:before="360" w:beforeLines="150" w:after="360" w:afterLines="150" w:line="360" w:lineRule="auto"/>
              <w:jc w:val="center"/>
              <w:rPr>
                <w:rFonts w:ascii="Times New Roman" w:hAnsi="Times New Roman" w:eastAsia="黑体"/>
                <w:b/>
                <w:sz w:val="18"/>
                <w:szCs w:val="18"/>
              </w:rPr>
            </w:pPr>
          </w:p>
        </w:tc>
      </w:tr>
      <w:bookmarkEnd w:id="73"/>
    </w:tbl>
    <w:p>
      <w:pPr>
        <w:pStyle w:val="141"/>
        <w:ind w:firstLine="420"/>
      </w:pPr>
    </w:p>
    <w:p>
      <w:pPr>
        <w:pStyle w:val="141"/>
        <w:ind w:firstLine="420"/>
      </w:pPr>
    </w:p>
    <w:p>
      <w:pPr>
        <w:pStyle w:val="141"/>
        <w:ind w:firstLine="420"/>
      </w:pPr>
    </w:p>
    <w:p>
      <w:pPr>
        <w:pStyle w:val="159"/>
        <w:spacing w:before="120" w:after="120"/>
      </w:pPr>
      <w:r>
        <w:rPr>
          <w:rFonts w:hint="eastAsia"/>
        </w:rPr>
        <w:t>钻井液密度计校准证书背面格式</w:t>
      </w:r>
    </w:p>
    <w:tbl>
      <w:tblPr>
        <w:tblStyle w:val="30"/>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16" w:hRule="atLeast"/>
        </w:trPr>
        <w:tc>
          <w:tcPr>
            <w:tcW w:w="5000" w:type="pct"/>
            <w:tcBorders>
              <w:top w:val="single" w:color="auto" w:sz="8" w:space="0"/>
              <w:left w:val="single" w:color="auto" w:sz="8" w:space="0"/>
              <w:bottom w:val="single" w:color="auto" w:sz="8" w:space="0"/>
              <w:right w:val="single" w:color="auto" w:sz="8" w:space="0"/>
            </w:tcBorders>
            <w:shd w:val="clear" w:color="auto" w:fill="auto"/>
          </w:tcPr>
          <w:p>
            <w:pPr>
              <w:wordWrap w:val="0"/>
              <w:adjustRightInd/>
              <w:spacing w:before="120" w:beforeLines="50" w:after="120" w:afterLines="50" w:line="240" w:lineRule="auto"/>
              <w:ind w:right="420"/>
              <w:rPr>
                <w:rFonts w:ascii="Times New Roman" w:hAnsi="Times New Roman" w:eastAsia="仿宋_GB2312"/>
                <w:bCs/>
              </w:rPr>
            </w:pPr>
            <w:r>
              <w:rPr>
                <w:rFonts w:ascii="Times New Roman" w:hAnsi="Times New Roman"/>
                <w:bCs/>
                <w:kern w:val="0"/>
              </w:rPr>
              <w:t>本次校准所使用的计量标准装置均溯源至国家计量基准</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9"/>
              <w:gridCol w:w="2129"/>
              <w:gridCol w:w="1560"/>
              <w:gridCol w:w="1985"/>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4" w:type="pct"/>
                  <w:shd w:val="clear" w:color="auto" w:fill="auto"/>
                  <w:vAlign w:val="center"/>
                </w:tcPr>
                <w:p>
                  <w:pPr>
                    <w:adjustRightInd/>
                    <w:spacing w:line="240" w:lineRule="auto"/>
                    <w:jc w:val="center"/>
                    <w:rPr>
                      <w:rFonts w:ascii="Times New Roman" w:hAnsi="Times New Roman"/>
                    </w:rPr>
                  </w:pPr>
                  <w:r>
                    <w:rPr>
                      <w:rFonts w:ascii="Times New Roman" w:hAnsi="Times New Roman"/>
                    </w:rPr>
                    <w:t>校准所使用的计量标准装置名称</w:t>
                  </w:r>
                </w:p>
              </w:tc>
              <w:tc>
                <w:tcPr>
                  <w:tcW w:w="1139" w:type="pct"/>
                  <w:shd w:val="clear" w:color="auto" w:fill="auto"/>
                  <w:vAlign w:val="center"/>
                </w:tcPr>
                <w:p>
                  <w:pPr>
                    <w:adjustRightInd/>
                    <w:spacing w:line="240" w:lineRule="auto"/>
                    <w:jc w:val="center"/>
                    <w:rPr>
                      <w:rFonts w:ascii="Times New Roman" w:hAnsi="Times New Roman"/>
                    </w:rPr>
                  </w:pPr>
                  <w:r>
                    <w:rPr>
                      <w:rFonts w:ascii="Times New Roman" w:hAnsi="Times New Roman"/>
                    </w:rPr>
                    <w:t>计量标准证书号</w:t>
                  </w:r>
                </w:p>
              </w:tc>
              <w:tc>
                <w:tcPr>
                  <w:tcW w:w="835" w:type="pct"/>
                  <w:shd w:val="clear" w:color="auto" w:fill="auto"/>
                  <w:vAlign w:val="center"/>
                </w:tcPr>
                <w:p>
                  <w:pPr>
                    <w:adjustRightInd/>
                    <w:spacing w:line="240" w:lineRule="auto"/>
                    <w:jc w:val="center"/>
                    <w:rPr>
                      <w:rFonts w:ascii="Times New Roman" w:hAnsi="Times New Roman"/>
                    </w:rPr>
                  </w:pPr>
                  <w:r>
                    <w:rPr>
                      <w:rFonts w:ascii="Times New Roman" w:hAnsi="Times New Roman"/>
                    </w:rPr>
                    <w:t>测量范围</w:t>
                  </w:r>
                </w:p>
              </w:tc>
              <w:tc>
                <w:tcPr>
                  <w:tcW w:w="1062" w:type="pct"/>
                  <w:shd w:val="clear" w:color="auto" w:fill="auto"/>
                  <w:vAlign w:val="center"/>
                </w:tcPr>
                <w:p>
                  <w:pPr>
                    <w:adjustRightInd/>
                    <w:spacing w:line="240" w:lineRule="auto"/>
                    <w:jc w:val="center"/>
                    <w:rPr>
                      <w:rFonts w:ascii="Times New Roman" w:hAnsi="Times New Roman"/>
                    </w:rPr>
                  </w:pPr>
                  <w:r>
                    <w:rPr>
                      <w:rFonts w:ascii="Times New Roman" w:hAnsi="Times New Roman"/>
                    </w:rPr>
                    <w:t>不确定度/准确度等级/最大允许误差</w:t>
                  </w:r>
                </w:p>
              </w:tc>
              <w:tc>
                <w:tcPr>
                  <w:tcW w:w="981" w:type="pct"/>
                  <w:shd w:val="clear" w:color="auto" w:fill="auto"/>
                  <w:vAlign w:val="center"/>
                </w:tcPr>
                <w:p>
                  <w:pPr>
                    <w:adjustRightInd/>
                    <w:spacing w:line="240" w:lineRule="auto"/>
                    <w:jc w:val="center"/>
                    <w:rPr>
                      <w:rFonts w:ascii="Times New Roman" w:hAnsi="Times New Roman"/>
                    </w:rPr>
                  </w:pPr>
                  <w:r>
                    <w:rPr>
                      <w:rFonts w:ascii="Times New Roman" w:hAnsi="Times New Roman"/>
                    </w:rPr>
                    <w:t>校准地点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984" w:type="pct"/>
                  <w:shd w:val="clear" w:color="auto" w:fill="auto"/>
                  <w:vAlign w:val="center"/>
                </w:tcPr>
                <w:p>
                  <w:pPr>
                    <w:adjustRightInd/>
                    <w:spacing w:line="240" w:lineRule="auto"/>
                    <w:jc w:val="center"/>
                    <w:rPr>
                      <w:rFonts w:ascii="Times New Roman" w:hAnsi="Times New Roman"/>
                    </w:rPr>
                  </w:pPr>
                </w:p>
              </w:tc>
              <w:tc>
                <w:tcPr>
                  <w:tcW w:w="1139" w:type="pct"/>
                  <w:shd w:val="clear" w:color="auto" w:fill="auto"/>
                  <w:vAlign w:val="center"/>
                </w:tcPr>
                <w:p>
                  <w:pPr>
                    <w:adjustRightInd/>
                    <w:spacing w:line="240" w:lineRule="auto"/>
                    <w:jc w:val="center"/>
                    <w:rPr>
                      <w:rFonts w:ascii="Times New Roman" w:hAnsi="Times New Roman"/>
                    </w:rPr>
                  </w:pPr>
                </w:p>
              </w:tc>
              <w:tc>
                <w:tcPr>
                  <w:tcW w:w="835" w:type="pct"/>
                  <w:shd w:val="clear" w:color="auto" w:fill="auto"/>
                  <w:vAlign w:val="center"/>
                </w:tcPr>
                <w:p>
                  <w:pPr>
                    <w:adjustRightInd/>
                    <w:spacing w:line="240" w:lineRule="auto"/>
                    <w:jc w:val="center"/>
                    <w:rPr>
                      <w:rFonts w:ascii="Times New Roman" w:hAnsi="Times New Roman"/>
                    </w:rPr>
                  </w:pPr>
                </w:p>
              </w:tc>
              <w:tc>
                <w:tcPr>
                  <w:tcW w:w="1062" w:type="pct"/>
                  <w:shd w:val="clear" w:color="auto" w:fill="auto"/>
                  <w:vAlign w:val="center"/>
                </w:tcPr>
                <w:p>
                  <w:pPr>
                    <w:adjustRightInd/>
                    <w:spacing w:line="240" w:lineRule="auto"/>
                    <w:jc w:val="center"/>
                    <w:rPr>
                      <w:rFonts w:ascii="Times New Roman" w:hAnsi="Times New Roman"/>
                    </w:rPr>
                  </w:pPr>
                </w:p>
              </w:tc>
              <w:tc>
                <w:tcPr>
                  <w:tcW w:w="981" w:type="pct"/>
                  <w:shd w:val="clear" w:color="auto" w:fill="auto"/>
                </w:tcPr>
                <w:p>
                  <w:pPr>
                    <w:adjustRightInd/>
                    <w:spacing w:line="240"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22" w:type="pct"/>
                  <w:gridSpan w:val="2"/>
                  <w:shd w:val="clear" w:color="auto" w:fill="auto"/>
                  <w:vAlign w:val="center"/>
                </w:tcPr>
                <w:p>
                  <w:pPr>
                    <w:adjustRightInd/>
                    <w:spacing w:line="240" w:lineRule="auto"/>
                    <w:jc w:val="center"/>
                    <w:rPr>
                      <w:rFonts w:ascii="Times New Roman" w:hAnsi="Times New Roman"/>
                    </w:rPr>
                  </w:pPr>
                  <w:r>
                    <w:rPr>
                      <w:rFonts w:ascii="Times New Roman" w:hAnsi="Times New Roman"/>
                    </w:rPr>
                    <w:t>校准时的环境条件</w:t>
                  </w:r>
                </w:p>
              </w:tc>
              <w:tc>
                <w:tcPr>
                  <w:tcW w:w="2878" w:type="pct"/>
                  <w:gridSpan w:val="3"/>
                  <w:shd w:val="clear" w:color="auto" w:fill="auto"/>
                  <w:vAlign w:val="center"/>
                </w:tcPr>
                <w:p>
                  <w:pPr>
                    <w:adjustRightInd/>
                    <w:spacing w:line="240" w:lineRule="auto"/>
                    <w:jc w:val="center"/>
                    <w:rPr>
                      <w:rFonts w:ascii="Times New Roman" w:hAnsi="Times New Roman"/>
                    </w:rPr>
                  </w:pPr>
                  <w:r>
                    <w:rPr>
                      <w:rFonts w:ascii="Times New Roman" w:hAnsi="Times New Roman"/>
                    </w:rPr>
                    <w:t>温度：   ℃；湿度：     RH ；其他：</w:t>
                  </w:r>
                </w:p>
              </w:tc>
            </w:tr>
          </w:tbl>
          <w:p>
            <w:pPr>
              <w:adjustRightInd/>
              <w:spacing w:before="120" w:beforeLines="50" w:after="120" w:afterLines="50" w:line="480" w:lineRule="auto"/>
              <w:jc w:val="center"/>
              <w:rPr>
                <w:rFonts w:ascii="Times New Roman" w:hAnsi="Times New Roman"/>
                <w:sz w:val="32"/>
                <w:szCs w:val="32"/>
              </w:rPr>
            </w:pPr>
            <w:r>
              <w:rPr>
                <w:rFonts w:ascii="Times New Roman" w:hAnsi="Times New Roman"/>
                <w:sz w:val="32"/>
                <w:szCs w:val="32"/>
              </w:rPr>
              <w:t>校准结果</w:t>
            </w:r>
          </w:p>
          <w:p>
            <w:pPr>
              <w:adjustRightInd/>
              <w:spacing w:line="360" w:lineRule="auto"/>
              <w:ind w:firstLine="480" w:firstLineChars="200"/>
              <w:jc w:val="left"/>
              <w:rPr>
                <w:rFonts w:ascii="宋体" w:hAnsi="宋体" w:cs="宋体"/>
                <w:sz w:val="24"/>
                <w:szCs w:val="24"/>
              </w:rPr>
            </w:pPr>
            <w:r>
              <w:rPr>
                <w:rFonts w:hint="eastAsia" w:ascii="宋体" w:hAnsi="宋体" w:cs="宋体"/>
                <w:sz w:val="24"/>
                <w:szCs w:val="24"/>
              </w:rPr>
              <w:t>外观检查：</w:t>
            </w:r>
          </w:p>
          <w:p>
            <w:pPr>
              <w:adjustRightInd/>
              <w:spacing w:line="360" w:lineRule="auto"/>
              <w:ind w:firstLine="480" w:firstLineChars="200"/>
              <w:jc w:val="left"/>
              <w:rPr>
                <w:rFonts w:ascii="宋体" w:hAnsi="宋体" w:cs="宋体"/>
                <w:sz w:val="24"/>
                <w:szCs w:val="24"/>
              </w:rPr>
            </w:pPr>
            <w:r>
              <w:rPr>
                <w:rFonts w:hint="eastAsia" w:ascii="宋体" w:hAnsi="宋体" w:cs="宋体"/>
                <w:sz w:val="24"/>
                <w:szCs w:val="24"/>
              </w:rPr>
              <w:t>钻井液杯容量 /</w:t>
            </w:r>
            <w:r>
              <w:rPr>
                <w:rFonts w:ascii="Times New Roman" w:hAnsi="Times New Roman"/>
                <w:sz w:val="24"/>
                <w:szCs w:val="24"/>
              </w:rPr>
              <w:t>mL</w:t>
            </w:r>
            <w:r>
              <w:rPr>
                <w:rFonts w:hint="eastAsia" w:ascii="宋体" w:hAnsi="宋体" w:cs="宋体"/>
                <w:sz w:val="24"/>
                <w:szCs w:val="24"/>
              </w:rPr>
              <w:t xml:space="preserve">：  </w:t>
            </w:r>
          </w:p>
          <w:p>
            <w:pPr>
              <w:adjustRightInd/>
              <w:spacing w:line="360" w:lineRule="auto"/>
              <w:ind w:firstLine="480" w:firstLineChars="200"/>
              <w:jc w:val="left"/>
              <w:rPr>
                <w:rFonts w:ascii="宋体" w:hAnsi="宋体" w:cs="宋体"/>
                <w:sz w:val="24"/>
                <w:szCs w:val="24"/>
              </w:rPr>
            </w:pPr>
            <w:r>
              <w:rPr>
                <w:rFonts w:hint="eastAsia" w:ascii="宋体" w:hAnsi="宋体" w:cs="宋体"/>
                <w:sz w:val="24"/>
                <w:szCs w:val="24"/>
              </w:rPr>
              <w:t>水准泡：</w:t>
            </w:r>
          </w:p>
          <w:p>
            <w:pPr>
              <w:adjustRightInd/>
              <w:spacing w:line="360" w:lineRule="auto"/>
              <w:ind w:firstLine="480" w:firstLineChars="200"/>
              <w:jc w:val="left"/>
              <w:rPr>
                <w:rFonts w:ascii="宋体" w:hAnsi="宋体" w:cs="宋体"/>
                <w:sz w:val="24"/>
                <w:szCs w:val="24"/>
              </w:rPr>
            </w:pPr>
            <w:r>
              <w:rPr>
                <w:rFonts w:hint="eastAsia" w:ascii="宋体" w:hAnsi="宋体" w:cs="宋体"/>
                <w:sz w:val="24"/>
                <w:szCs w:val="24"/>
              </w:rPr>
              <w:t>灵敏限 /</w:t>
            </w:r>
            <w:r>
              <w:rPr>
                <w:rFonts w:ascii="Times New Roman" w:hAnsi="Times New Roman"/>
                <w:sz w:val="24"/>
                <w:szCs w:val="24"/>
              </w:rPr>
              <w:t>g</w:t>
            </w:r>
            <w:r>
              <w:rPr>
                <w:rFonts w:hint="eastAsia" w:ascii="宋体" w:hAnsi="宋体" w:cs="宋体"/>
                <w:sz w:val="24"/>
                <w:szCs w:val="24"/>
              </w:rPr>
              <w:t>：</w:t>
            </w:r>
          </w:p>
          <w:tbl>
            <w:tblPr>
              <w:tblStyle w:val="30"/>
              <w:tblW w:w="0" w:type="auto"/>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1"/>
              <w:gridCol w:w="1206"/>
              <w:gridCol w:w="1912"/>
              <w:gridCol w:w="1701"/>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1" w:type="dxa"/>
                  <w:shd w:val="clear" w:color="auto" w:fill="auto"/>
                  <w:vAlign w:val="center"/>
                </w:tcPr>
                <w:p>
                  <w:pPr>
                    <w:adjustRightInd/>
                    <w:spacing w:line="240" w:lineRule="auto"/>
                    <w:jc w:val="center"/>
                    <w:rPr>
                      <w:rFonts w:ascii="Times New Roman" w:hAnsi="Times New Roman"/>
                      <w:sz w:val="24"/>
                      <w:szCs w:val="24"/>
                    </w:rPr>
                  </w:pPr>
                  <w:r>
                    <w:rPr>
                      <w:rFonts w:ascii="Times New Roman" w:hAnsi="Times New Roman"/>
                      <w:sz w:val="24"/>
                      <w:szCs w:val="24"/>
                    </w:rPr>
                    <w:t>序号</w:t>
                  </w:r>
                </w:p>
              </w:tc>
              <w:tc>
                <w:tcPr>
                  <w:tcW w:w="1206" w:type="dxa"/>
                  <w:shd w:val="clear" w:color="auto" w:fill="auto"/>
                  <w:vAlign w:val="center"/>
                </w:tcPr>
                <w:p>
                  <w:pPr>
                    <w:adjustRightInd/>
                    <w:spacing w:line="240" w:lineRule="auto"/>
                    <w:jc w:val="center"/>
                    <w:rPr>
                      <w:rFonts w:ascii="Times New Roman" w:hAnsi="Times New Roman"/>
                      <w:sz w:val="24"/>
                      <w:szCs w:val="24"/>
                    </w:rPr>
                  </w:pPr>
                  <w:r>
                    <w:rPr>
                      <w:rFonts w:ascii="Times New Roman" w:hAnsi="Times New Roman"/>
                      <w:sz w:val="24"/>
                      <w:szCs w:val="24"/>
                    </w:rPr>
                    <w:t>校准点</w:t>
                  </w:r>
                </w:p>
              </w:tc>
              <w:tc>
                <w:tcPr>
                  <w:tcW w:w="1912" w:type="dxa"/>
                  <w:shd w:val="clear" w:color="auto" w:fill="auto"/>
                  <w:vAlign w:val="center"/>
                </w:tcPr>
                <w:p>
                  <w:pPr>
                    <w:adjustRightInd/>
                    <w:spacing w:line="240" w:lineRule="auto"/>
                    <w:jc w:val="center"/>
                    <w:rPr>
                      <w:rFonts w:ascii="Times New Roman" w:hAnsi="Times New Roman"/>
                      <w:sz w:val="24"/>
                      <w:szCs w:val="24"/>
                    </w:rPr>
                  </w:pPr>
                  <w:r>
                    <w:rPr>
                      <w:rFonts w:ascii="Times New Roman" w:hAnsi="Times New Roman"/>
                      <w:sz w:val="24"/>
                      <w:szCs w:val="24"/>
                    </w:rPr>
                    <w:t>技术要求</w:t>
                  </w:r>
                </w:p>
              </w:tc>
              <w:tc>
                <w:tcPr>
                  <w:tcW w:w="1701" w:type="dxa"/>
                  <w:shd w:val="clear" w:color="auto" w:fill="auto"/>
                  <w:vAlign w:val="center"/>
                </w:tcPr>
                <w:p>
                  <w:pPr>
                    <w:adjustRightInd/>
                    <w:spacing w:line="240" w:lineRule="auto"/>
                    <w:jc w:val="center"/>
                    <w:rPr>
                      <w:rFonts w:ascii="Times New Roman" w:hAnsi="Times New Roman"/>
                      <w:sz w:val="24"/>
                      <w:szCs w:val="24"/>
                    </w:rPr>
                  </w:pPr>
                  <w:r>
                    <w:rPr>
                      <w:rFonts w:ascii="Times New Roman" w:hAnsi="Times New Roman"/>
                      <w:sz w:val="24"/>
                      <w:szCs w:val="24"/>
                    </w:rPr>
                    <w:t>校准结果</w:t>
                  </w:r>
                </w:p>
              </w:tc>
              <w:tc>
                <w:tcPr>
                  <w:tcW w:w="2552" w:type="dxa"/>
                  <w:shd w:val="clear" w:color="auto" w:fill="auto"/>
                  <w:vAlign w:val="center"/>
                </w:tcPr>
                <w:p>
                  <w:pPr>
                    <w:adjustRightInd/>
                    <w:spacing w:line="240" w:lineRule="auto"/>
                    <w:jc w:val="center"/>
                    <w:rPr>
                      <w:rFonts w:ascii="Times New Roman" w:hAnsi="Times New Roman"/>
                      <w:sz w:val="24"/>
                      <w:szCs w:val="24"/>
                    </w:rPr>
                  </w:pPr>
                  <w:r>
                    <w:rPr>
                      <w:rFonts w:hint="eastAsia" w:ascii="Times New Roman" w:hAnsi="Times New Roman"/>
                      <w:sz w:val="24"/>
                      <w:szCs w:val="24"/>
                    </w:rPr>
                    <w:t>测量结果</w:t>
                  </w:r>
                  <w:r>
                    <w:rPr>
                      <w:rFonts w:ascii="Times New Roman" w:hAnsi="Times New Roman"/>
                      <w:sz w:val="24"/>
                      <w:szCs w:val="24"/>
                    </w:rPr>
                    <w:t>不确定度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1" w:type="dxa"/>
                  <w:shd w:val="clear" w:color="auto" w:fill="auto"/>
                  <w:vAlign w:val="center"/>
                </w:tcPr>
                <w:p>
                  <w:pPr>
                    <w:adjustRightInd/>
                    <w:spacing w:line="240" w:lineRule="auto"/>
                    <w:jc w:val="center"/>
                    <w:rPr>
                      <w:rFonts w:ascii="Times New Roman" w:hAnsi="Times New Roman"/>
                      <w:sz w:val="28"/>
                      <w:szCs w:val="28"/>
                    </w:rPr>
                  </w:pPr>
                </w:p>
              </w:tc>
              <w:tc>
                <w:tcPr>
                  <w:tcW w:w="1206" w:type="dxa"/>
                  <w:shd w:val="clear" w:color="auto" w:fill="auto"/>
                  <w:vAlign w:val="center"/>
                </w:tcPr>
                <w:p>
                  <w:pPr>
                    <w:adjustRightInd/>
                    <w:spacing w:line="240" w:lineRule="auto"/>
                    <w:jc w:val="center"/>
                    <w:rPr>
                      <w:rFonts w:ascii="Times New Roman" w:hAnsi="Times New Roman"/>
                      <w:sz w:val="28"/>
                      <w:szCs w:val="28"/>
                    </w:rPr>
                  </w:pPr>
                </w:p>
              </w:tc>
              <w:tc>
                <w:tcPr>
                  <w:tcW w:w="1912" w:type="dxa"/>
                  <w:shd w:val="clear" w:color="auto" w:fill="auto"/>
                  <w:vAlign w:val="center"/>
                </w:tcPr>
                <w:p>
                  <w:pPr>
                    <w:adjustRightInd/>
                    <w:spacing w:line="240" w:lineRule="auto"/>
                    <w:jc w:val="center"/>
                    <w:rPr>
                      <w:rFonts w:ascii="Times New Roman" w:hAnsi="Times New Roman"/>
                      <w:sz w:val="28"/>
                      <w:szCs w:val="28"/>
                    </w:rPr>
                  </w:pPr>
                </w:p>
              </w:tc>
              <w:tc>
                <w:tcPr>
                  <w:tcW w:w="1701" w:type="dxa"/>
                  <w:shd w:val="clear" w:color="auto" w:fill="auto"/>
                  <w:vAlign w:val="center"/>
                </w:tcPr>
                <w:p>
                  <w:pPr>
                    <w:adjustRightInd/>
                    <w:spacing w:line="240" w:lineRule="auto"/>
                    <w:jc w:val="center"/>
                    <w:rPr>
                      <w:rFonts w:ascii="Times New Roman" w:hAnsi="Times New Roman"/>
                      <w:sz w:val="28"/>
                      <w:szCs w:val="28"/>
                    </w:rPr>
                  </w:pPr>
                </w:p>
              </w:tc>
              <w:tc>
                <w:tcPr>
                  <w:tcW w:w="2552" w:type="dxa"/>
                  <w:shd w:val="clear" w:color="auto" w:fill="auto"/>
                  <w:vAlign w:val="center"/>
                </w:tcPr>
                <w:p>
                  <w:pPr>
                    <w:adjustRightInd/>
                    <w:spacing w:line="240" w:lineRule="auto"/>
                    <w:jc w:val="center"/>
                    <w:rPr>
                      <w:rFonts w:ascii="Times New Roman" w:hAnsi="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1" w:type="dxa"/>
                  <w:shd w:val="clear" w:color="auto" w:fill="auto"/>
                  <w:vAlign w:val="center"/>
                </w:tcPr>
                <w:p>
                  <w:pPr>
                    <w:adjustRightInd/>
                    <w:spacing w:line="240" w:lineRule="auto"/>
                    <w:jc w:val="center"/>
                    <w:rPr>
                      <w:rFonts w:ascii="Times New Roman" w:hAnsi="Times New Roman"/>
                      <w:sz w:val="28"/>
                      <w:szCs w:val="28"/>
                    </w:rPr>
                  </w:pPr>
                </w:p>
              </w:tc>
              <w:tc>
                <w:tcPr>
                  <w:tcW w:w="1206" w:type="dxa"/>
                  <w:shd w:val="clear" w:color="auto" w:fill="auto"/>
                  <w:vAlign w:val="center"/>
                </w:tcPr>
                <w:p>
                  <w:pPr>
                    <w:adjustRightInd/>
                    <w:spacing w:line="240" w:lineRule="auto"/>
                    <w:jc w:val="center"/>
                    <w:rPr>
                      <w:rFonts w:ascii="Times New Roman" w:hAnsi="Times New Roman"/>
                      <w:sz w:val="28"/>
                      <w:szCs w:val="28"/>
                    </w:rPr>
                  </w:pPr>
                </w:p>
              </w:tc>
              <w:tc>
                <w:tcPr>
                  <w:tcW w:w="1912" w:type="dxa"/>
                  <w:shd w:val="clear" w:color="auto" w:fill="auto"/>
                  <w:vAlign w:val="center"/>
                </w:tcPr>
                <w:p>
                  <w:pPr>
                    <w:adjustRightInd/>
                    <w:spacing w:line="240" w:lineRule="auto"/>
                    <w:jc w:val="center"/>
                    <w:rPr>
                      <w:rFonts w:ascii="Times New Roman" w:hAnsi="Times New Roman"/>
                      <w:sz w:val="28"/>
                      <w:szCs w:val="28"/>
                    </w:rPr>
                  </w:pPr>
                </w:p>
              </w:tc>
              <w:tc>
                <w:tcPr>
                  <w:tcW w:w="1701" w:type="dxa"/>
                  <w:shd w:val="clear" w:color="auto" w:fill="auto"/>
                  <w:vAlign w:val="center"/>
                </w:tcPr>
                <w:p>
                  <w:pPr>
                    <w:adjustRightInd/>
                    <w:spacing w:line="240" w:lineRule="auto"/>
                    <w:jc w:val="center"/>
                    <w:rPr>
                      <w:rFonts w:ascii="Times New Roman" w:hAnsi="Times New Roman"/>
                      <w:sz w:val="28"/>
                      <w:szCs w:val="28"/>
                    </w:rPr>
                  </w:pPr>
                </w:p>
              </w:tc>
              <w:tc>
                <w:tcPr>
                  <w:tcW w:w="2552" w:type="dxa"/>
                  <w:shd w:val="clear" w:color="auto" w:fill="auto"/>
                  <w:vAlign w:val="center"/>
                </w:tcPr>
                <w:p>
                  <w:pPr>
                    <w:adjustRightInd/>
                    <w:spacing w:line="240" w:lineRule="auto"/>
                    <w:jc w:val="center"/>
                    <w:rPr>
                      <w:rFonts w:ascii="Times New Roman" w:hAnsi="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1" w:type="dxa"/>
                  <w:shd w:val="clear" w:color="auto" w:fill="auto"/>
                  <w:vAlign w:val="center"/>
                </w:tcPr>
                <w:p>
                  <w:pPr>
                    <w:adjustRightInd/>
                    <w:spacing w:line="240" w:lineRule="auto"/>
                    <w:jc w:val="center"/>
                    <w:rPr>
                      <w:rFonts w:ascii="Times New Roman" w:hAnsi="Times New Roman"/>
                      <w:sz w:val="28"/>
                      <w:szCs w:val="28"/>
                    </w:rPr>
                  </w:pPr>
                </w:p>
              </w:tc>
              <w:tc>
                <w:tcPr>
                  <w:tcW w:w="1206" w:type="dxa"/>
                  <w:shd w:val="clear" w:color="auto" w:fill="auto"/>
                  <w:vAlign w:val="center"/>
                </w:tcPr>
                <w:p>
                  <w:pPr>
                    <w:adjustRightInd/>
                    <w:spacing w:line="240" w:lineRule="auto"/>
                    <w:jc w:val="center"/>
                    <w:rPr>
                      <w:rFonts w:ascii="Times New Roman" w:hAnsi="Times New Roman"/>
                      <w:sz w:val="28"/>
                      <w:szCs w:val="28"/>
                    </w:rPr>
                  </w:pPr>
                </w:p>
              </w:tc>
              <w:tc>
                <w:tcPr>
                  <w:tcW w:w="1912" w:type="dxa"/>
                  <w:shd w:val="clear" w:color="auto" w:fill="auto"/>
                  <w:vAlign w:val="center"/>
                </w:tcPr>
                <w:p>
                  <w:pPr>
                    <w:adjustRightInd/>
                    <w:spacing w:line="240" w:lineRule="auto"/>
                    <w:jc w:val="center"/>
                    <w:rPr>
                      <w:rFonts w:ascii="Times New Roman" w:hAnsi="Times New Roman"/>
                      <w:sz w:val="28"/>
                      <w:szCs w:val="28"/>
                    </w:rPr>
                  </w:pPr>
                </w:p>
              </w:tc>
              <w:tc>
                <w:tcPr>
                  <w:tcW w:w="1701" w:type="dxa"/>
                  <w:shd w:val="clear" w:color="auto" w:fill="auto"/>
                  <w:vAlign w:val="center"/>
                </w:tcPr>
                <w:p>
                  <w:pPr>
                    <w:adjustRightInd/>
                    <w:spacing w:line="240" w:lineRule="auto"/>
                    <w:jc w:val="center"/>
                    <w:rPr>
                      <w:rFonts w:ascii="Times New Roman" w:hAnsi="Times New Roman"/>
                      <w:sz w:val="28"/>
                      <w:szCs w:val="28"/>
                    </w:rPr>
                  </w:pPr>
                </w:p>
              </w:tc>
              <w:tc>
                <w:tcPr>
                  <w:tcW w:w="2552" w:type="dxa"/>
                  <w:shd w:val="clear" w:color="auto" w:fill="auto"/>
                  <w:vAlign w:val="center"/>
                </w:tcPr>
                <w:p>
                  <w:pPr>
                    <w:adjustRightInd/>
                    <w:spacing w:line="240" w:lineRule="auto"/>
                    <w:jc w:val="center"/>
                    <w:rPr>
                      <w:rFonts w:ascii="Times New Roman" w:hAnsi="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1" w:type="dxa"/>
                  <w:shd w:val="clear" w:color="auto" w:fill="auto"/>
                  <w:vAlign w:val="center"/>
                </w:tcPr>
                <w:p>
                  <w:pPr>
                    <w:adjustRightInd/>
                    <w:spacing w:line="240" w:lineRule="auto"/>
                    <w:jc w:val="center"/>
                    <w:rPr>
                      <w:rFonts w:ascii="Times New Roman" w:hAnsi="Times New Roman"/>
                      <w:sz w:val="28"/>
                      <w:szCs w:val="28"/>
                    </w:rPr>
                  </w:pPr>
                </w:p>
              </w:tc>
              <w:tc>
                <w:tcPr>
                  <w:tcW w:w="1206" w:type="dxa"/>
                  <w:shd w:val="clear" w:color="auto" w:fill="auto"/>
                  <w:vAlign w:val="center"/>
                </w:tcPr>
                <w:p>
                  <w:pPr>
                    <w:adjustRightInd/>
                    <w:spacing w:line="240" w:lineRule="auto"/>
                    <w:jc w:val="center"/>
                    <w:rPr>
                      <w:rFonts w:ascii="Times New Roman" w:hAnsi="Times New Roman"/>
                      <w:sz w:val="28"/>
                      <w:szCs w:val="28"/>
                    </w:rPr>
                  </w:pPr>
                </w:p>
              </w:tc>
              <w:tc>
                <w:tcPr>
                  <w:tcW w:w="1912" w:type="dxa"/>
                  <w:shd w:val="clear" w:color="auto" w:fill="auto"/>
                  <w:vAlign w:val="center"/>
                </w:tcPr>
                <w:p>
                  <w:pPr>
                    <w:adjustRightInd/>
                    <w:spacing w:line="240" w:lineRule="auto"/>
                    <w:jc w:val="center"/>
                    <w:rPr>
                      <w:rFonts w:ascii="Times New Roman" w:hAnsi="Times New Roman"/>
                      <w:sz w:val="28"/>
                      <w:szCs w:val="28"/>
                    </w:rPr>
                  </w:pPr>
                </w:p>
              </w:tc>
              <w:tc>
                <w:tcPr>
                  <w:tcW w:w="1701" w:type="dxa"/>
                  <w:shd w:val="clear" w:color="auto" w:fill="auto"/>
                  <w:vAlign w:val="center"/>
                </w:tcPr>
                <w:p>
                  <w:pPr>
                    <w:adjustRightInd/>
                    <w:spacing w:line="240" w:lineRule="auto"/>
                    <w:jc w:val="center"/>
                    <w:rPr>
                      <w:rFonts w:ascii="Times New Roman" w:hAnsi="Times New Roman"/>
                      <w:sz w:val="28"/>
                      <w:szCs w:val="28"/>
                    </w:rPr>
                  </w:pPr>
                </w:p>
              </w:tc>
              <w:tc>
                <w:tcPr>
                  <w:tcW w:w="2552" w:type="dxa"/>
                  <w:shd w:val="clear" w:color="auto" w:fill="auto"/>
                  <w:vAlign w:val="center"/>
                </w:tcPr>
                <w:p>
                  <w:pPr>
                    <w:adjustRightInd/>
                    <w:spacing w:line="240" w:lineRule="auto"/>
                    <w:jc w:val="center"/>
                    <w:rPr>
                      <w:rFonts w:ascii="Times New Roman" w:hAnsi="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851" w:type="dxa"/>
                  <w:shd w:val="clear" w:color="auto" w:fill="auto"/>
                  <w:vAlign w:val="center"/>
                </w:tcPr>
                <w:p>
                  <w:pPr>
                    <w:adjustRightInd/>
                    <w:spacing w:line="240" w:lineRule="auto"/>
                    <w:jc w:val="center"/>
                    <w:rPr>
                      <w:rFonts w:ascii="Times New Roman" w:hAnsi="Times New Roman"/>
                      <w:sz w:val="28"/>
                      <w:szCs w:val="28"/>
                    </w:rPr>
                  </w:pPr>
                </w:p>
              </w:tc>
              <w:tc>
                <w:tcPr>
                  <w:tcW w:w="1206" w:type="dxa"/>
                  <w:shd w:val="clear" w:color="auto" w:fill="auto"/>
                  <w:vAlign w:val="center"/>
                </w:tcPr>
                <w:p>
                  <w:pPr>
                    <w:adjustRightInd/>
                    <w:spacing w:line="240" w:lineRule="auto"/>
                    <w:jc w:val="center"/>
                    <w:rPr>
                      <w:rFonts w:ascii="Times New Roman" w:hAnsi="Times New Roman"/>
                      <w:sz w:val="28"/>
                      <w:szCs w:val="28"/>
                    </w:rPr>
                  </w:pPr>
                </w:p>
              </w:tc>
              <w:tc>
                <w:tcPr>
                  <w:tcW w:w="1912" w:type="dxa"/>
                  <w:shd w:val="clear" w:color="auto" w:fill="auto"/>
                  <w:vAlign w:val="center"/>
                </w:tcPr>
                <w:p>
                  <w:pPr>
                    <w:adjustRightInd/>
                    <w:spacing w:line="240" w:lineRule="auto"/>
                    <w:jc w:val="center"/>
                    <w:rPr>
                      <w:rFonts w:ascii="Times New Roman" w:hAnsi="Times New Roman"/>
                      <w:sz w:val="28"/>
                      <w:szCs w:val="28"/>
                    </w:rPr>
                  </w:pPr>
                </w:p>
              </w:tc>
              <w:tc>
                <w:tcPr>
                  <w:tcW w:w="1701" w:type="dxa"/>
                  <w:shd w:val="clear" w:color="auto" w:fill="auto"/>
                  <w:vAlign w:val="center"/>
                </w:tcPr>
                <w:p>
                  <w:pPr>
                    <w:adjustRightInd/>
                    <w:spacing w:line="240" w:lineRule="auto"/>
                    <w:jc w:val="center"/>
                    <w:rPr>
                      <w:rFonts w:ascii="Times New Roman" w:hAnsi="Times New Roman"/>
                      <w:sz w:val="28"/>
                      <w:szCs w:val="28"/>
                    </w:rPr>
                  </w:pPr>
                </w:p>
              </w:tc>
              <w:tc>
                <w:tcPr>
                  <w:tcW w:w="2552" w:type="dxa"/>
                  <w:shd w:val="clear" w:color="auto" w:fill="auto"/>
                  <w:vAlign w:val="center"/>
                </w:tcPr>
                <w:p>
                  <w:pPr>
                    <w:adjustRightInd/>
                    <w:spacing w:line="240" w:lineRule="auto"/>
                    <w:jc w:val="center"/>
                    <w:rPr>
                      <w:rFonts w:ascii="Times New Roman" w:hAnsi="Times New Roman"/>
                      <w:sz w:val="28"/>
                      <w:szCs w:val="28"/>
                    </w:rPr>
                  </w:pPr>
                </w:p>
              </w:tc>
            </w:tr>
          </w:tbl>
          <w:p>
            <w:pPr>
              <w:adjustRightInd/>
              <w:spacing w:line="240" w:lineRule="auto"/>
              <w:ind w:firstLine="720" w:firstLineChars="300"/>
              <w:rPr>
                <w:rFonts w:ascii="Times New Roman" w:hAnsi="Times New Roman"/>
                <w:sz w:val="24"/>
                <w:szCs w:val="24"/>
              </w:rPr>
            </w:pPr>
            <w:r>
              <w:rPr>
                <w:rFonts w:ascii="Times New Roman" w:hAnsi="Times New Roman"/>
                <w:sz w:val="24"/>
                <w:szCs w:val="24"/>
              </w:rPr>
              <w:t>以下空白。</w:t>
            </w:r>
          </w:p>
          <w:p>
            <w:pPr>
              <w:adjustRightInd/>
              <w:spacing w:line="240" w:lineRule="auto"/>
              <w:jc w:val="left"/>
              <w:rPr>
                <w:rFonts w:ascii="Times New Roman" w:hAnsi="Times New Roman" w:eastAsia="仿宋"/>
                <w:color w:val="242424"/>
                <w:kern w:val="0"/>
                <w:sz w:val="15"/>
                <w:szCs w:val="15"/>
                <w:lang w:bidi="zh-TW"/>
              </w:rPr>
            </w:pPr>
          </w:p>
          <w:tbl>
            <w:tblPr>
              <w:tblStyle w:val="30"/>
              <w:tblpPr w:leftFromText="180" w:rightFromText="180" w:vertAnchor="text" w:horzAnchor="page" w:tblpX="101" w:tblpY="223"/>
              <w:tblOverlap w:val="never"/>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339"/>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exact"/>
              </w:trPr>
              <w:tc>
                <w:tcPr>
                  <w:tcW w:w="9339" w:type="dxa"/>
                  <w:tcBorders>
                    <w:top w:val="single" w:color="auto" w:sz="12" w:space="0"/>
                  </w:tcBorders>
                  <w:shd w:val="clear" w:color="auto" w:fill="auto"/>
                </w:tcPr>
                <w:p>
                  <w:pPr>
                    <w:adjustRightInd/>
                    <w:spacing w:line="240" w:lineRule="auto"/>
                    <w:jc w:val="left"/>
                    <w:rPr>
                      <w:rFonts w:ascii="Times New Roman" w:hAnsi="Times New Roman" w:eastAsia="仿宋"/>
                      <w:color w:val="242424"/>
                      <w:kern w:val="0"/>
                      <w:sz w:val="15"/>
                      <w:szCs w:val="15"/>
                      <w:lang w:bidi="zh-TW"/>
                    </w:rPr>
                  </w:pPr>
                </w:p>
              </w:tc>
            </w:tr>
          </w:tbl>
          <w:p>
            <w:pPr>
              <w:adjustRightInd/>
              <w:spacing w:line="240" w:lineRule="auto"/>
              <w:jc w:val="left"/>
              <w:rPr>
                <w:rFonts w:ascii="Times New Roman" w:hAnsi="Times New Roman" w:eastAsia="仿宋"/>
                <w:color w:val="242424"/>
                <w:kern w:val="0"/>
                <w:sz w:val="15"/>
                <w:szCs w:val="15"/>
                <w:lang w:bidi="zh-TW"/>
              </w:rPr>
            </w:pPr>
            <w:r>
              <w:rPr>
                <w:rFonts w:ascii="Times New Roman" w:hAnsi="Times New Roman" w:eastAsia="仿宋"/>
                <w:color w:val="242424"/>
                <w:kern w:val="0"/>
                <w:sz w:val="15"/>
                <w:szCs w:val="15"/>
                <w:lang w:bidi="zh-TW"/>
              </w:rPr>
              <w:t>声明：</w:t>
            </w:r>
          </w:p>
          <w:p>
            <w:pPr>
              <w:adjustRightInd/>
              <w:spacing w:line="240" w:lineRule="auto"/>
              <w:jc w:val="left"/>
              <w:rPr>
                <w:rFonts w:ascii="宋体" w:hAnsi="宋体" w:eastAsia="仿宋" w:cs="宋体"/>
                <w:color w:val="242424"/>
                <w:kern w:val="0"/>
                <w:sz w:val="15"/>
                <w:szCs w:val="15"/>
                <w:lang w:val="zh-TW" w:bidi="zh-TW"/>
              </w:rPr>
            </w:pPr>
          </w:p>
          <w:p>
            <w:pPr>
              <w:adjustRightInd/>
              <w:spacing w:line="240" w:lineRule="auto"/>
              <w:jc w:val="left"/>
              <w:rPr>
                <w:rFonts w:ascii="宋体" w:hAnsi="宋体" w:eastAsia="仿宋" w:cs="宋体"/>
                <w:color w:val="242424"/>
                <w:kern w:val="0"/>
                <w:sz w:val="15"/>
                <w:szCs w:val="15"/>
                <w:lang w:val="zh-TW" w:bidi="zh-TW"/>
              </w:rPr>
            </w:pPr>
          </w:p>
          <w:p>
            <w:pPr>
              <w:adjustRightInd/>
              <w:spacing w:line="240" w:lineRule="auto"/>
              <w:jc w:val="left"/>
              <w:rPr>
                <w:rFonts w:ascii="宋体" w:hAnsi="宋体" w:eastAsia="仿宋" w:cs="宋体"/>
                <w:color w:val="242424"/>
                <w:kern w:val="0"/>
                <w:sz w:val="15"/>
                <w:szCs w:val="15"/>
                <w:lang w:val="zh-TW" w:bidi="zh-TW"/>
              </w:rPr>
            </w:pPr>
          </w:p>
          <w:p>
            <w:pPr>
              <w:adjustRightInd/>
              <w:spacing w:line="240" w:lineRule="auto"/>
              <w:jc w:val="center"/>
              <w:rPr>
                <w:rFonts w:ascii="宋体" w:hAnsi="宋体" w:cs="宋体"/>
                <w:kern w:val="0"/>
                <w:sz w:val="15"/>
                <w:szCs w:val="15"/>
                <w:lang w:val="zh-TW" w:eastAsia="zh-TW" w:bidi="zh-TW"/>
              </w:rPr>
            </w:pPr>
            <w:r>
              <w:rPr>
                <w:rFonts w:ascii="宋体" w:hAnsi="宋体" w:eastAsia="仿宋" w:cs="宋体"/>
                <w:color w:val="242424"/>
                <w:kern w:val="0"/>
                <w:sz w:val="15"/>
                <w:szCs w:val="15"/>
                <w:lang w:val="zh-TW" w:eastAsia="zh-TW" w:bidi="zh-TW"/>
              </w:rPr>
              <w:t>第2页，共2页</w:t>
            </w:r>
          </w:p>
        </w:tc>
      </w:tr>
      <w:bookmarkEnd w:id="55"/>
    </w:tbl>
    <w:p>
      <w:pPr>
        <w:pStyle w:val="141"/>
        <w:ind w:firstLine="0" w:firstLineChars="0"/>
        <w:jc w:val="center"/>
        <w:rPr>
          <w:rFonts w:ascii="宋体" w:hAnsi="宋体" w:eastAsia="宋体" w:cs="宋体"/>
        </w:rPr>
      </w:pPr>
      <w:bookmarkStart w:id="74"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4"/>
    </w:p>
    <w:sectPr>
      <w:headerReference r:id="rId15" w:type="default"/>
      <w:footerReference r:id="rId16" w:type="default"/>
      <w:pgSz w:w="11906" w:h="16838"/>
      <w:pgMar w:top="1134" w:right="1134" w:bottom="1134" w:left="1418" w:header="851" w:footer="992" w:gutter="0"/>
      <w:pgNumType w:fmt="decimal" w:chapSep="period"/>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r>
      <w:fldChar w:fldCharType="begin"/>
    </w:r>
    <w:r>
      <w:instrText xml:space="preserve"> PAGE   \* MERGEFORMAT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5"/>
                          </w:pPr>
                          <w:r>
                            <w:fldChar w:fldCharType="begin"/>
                          </w:r>
                          <w:r>
                            <w:instrText xml:space="preserve">PAGE   \* MERGEFORMAT</w:instrText>
                          </w:r>
                          <w:r>
                            <w:fldChar w:fldCharType="separate"/>
                          </w:r>
                          <w:r>
                            <w:rPr>
                              <w:lang w:val="zh-CN"/>
                            </w:rPr>
                            <w:t>5</w:t>
                          </w:r>
                          <w: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3XQ9kyQEAAJkDAAAOAAAAAAAAAAEAIAAAAB4BAABkcnMvZTJvRG9j&#10;LnhtbFBLBQYAAAAABgAGAFkBAABZBQAAAAA=&#10;">
              <v:fill on="f" focussize="0,0"/>
              <v:stroke on="f"/>
              <v:imagedata o:title=""/>
              <o:lock v:ext="edit" aspectratio="f"/>
              <v:textbox inset="0mm,0mm,0mm,0mm" style="mso-fit-shape-to-text:t;">
                <w:txbxContent>
                  <w:p>
                    <w:pPr>
                      <w:pStyle w:val="165"/>
                    </w:pPr>
                    <w:r>
                      <w:fldChar w:fldCharType="begin"/>
                    </w:r>
                    <w:r>
                      <w:instrText xml:space="preserve">PAGE   \* MERGEFORMAT</w:instrText>
                    </w:r>
                    <w:r>
                      <w:fldChar w:fldCharType="separate"/>
                    </w:r>
                    <w:r>
                      <w:rPr>
                        <w:lang w:val="zh-CN"/>
                      </w:rP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5"/>
                          </w:pPr>
                          <w:r>
                            <w:fldChar w:fldCharType="begin"/>
                          </w:r>
                          <w:r>
                            <w:instrText xml:space="preserve">PAGE   \* MERGEFORMAT</w:instrText>
                          </w:r>
                          <w:r>
                            <w:fldChar w:fldCharType="separate"/>
                          </w:r>
                          <w:r>
                            <w:rPr>
                              <w:lang w:val="zh-CN"/>
                            </w:rPr>
                            <w:t>I</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pPr>
                      <w:pStyle w:val="165"/>
                    </w:pPr>
                    <w:r>
                      <w:fldChar w:fldCharType="begin"/>
                    </w:r>
                    <w:r>
                      <w:instrText xml:space="preserve">PAGE   \* MERGEFORMAT</w:instrText>
                    </w:r>
                    <w:r>
                      <w:fldChar w:fldCharType="separate"/>
                    </w:r>
                    <w:r>
                      <w:rPr>
                        <w:lang w:val="zh-CN"/>
                      </w:rPr>
                      <w:t>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r>
      <w:fldChar w:fldCharType="begin"/>
    </w:r>
    <w:r>
      <w:instrText xml:space="preserve"> PAGE   \* MERGEFORMAT \* MERGEFORMAT </w:instrText>
    </w:r>
    <w:r>
      <w:fldChar w:fldCharType="separate"/>
    </w:r>
    <w: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5"/>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5"/>
                          </w:pPr>
                          <w:r>
                            <w:fldChar w:fldCharType="begin"/>
                          </w:r>
                          <w:r>
                            <w:instrText xml:space="preserve">PAGE   \* MERGEFORMAT</w:instrText>
                          </w:r>
                          <w:r>
                            <w:fldChar w:fldCharType="separate"/>
                          </w:r>
                          <w:r>
                            <w:rPr>
                              <w:lang w:val="zh-CN"/>
                            </w:rPr>
                            <w:t>7</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4QsZskBAACZAwAADgAAAGRycy9lMm9Eb2MueG1srVPNjtMwEL4j8Q6W&#10;79TZg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ThCxmyQEAAJkDAAAOAAAAAAAAAAEAIAAAAB4BAABkcnMvZTJvRG9j&#10;LnhtbFBLBQYAAAAABgAGAFkBAABZBQAAAAA=&#10;">
              <v:fill on="f" focussize="0,0"/>
              <v:stroke on="f"/>
              <v:imagedata o:title=""/>
              <o:lock v:ext="edit" aspectratio="f"/>
              <v:textbox inset="0mm,0mm,0mm,0mm" style="mso-fit-shape-to-text:t;">
                <w:txbxContent>
                  <w:p>
                    <w:pPr>
                      <w:pStyle w:val="165"/>
                    </w:pPr>
                    <w:r>
                      <w:fldChar w:fldCharType="begin"/>
                    </w:r>
                    <w:r>
                      <w:instrText xml:space="preserve">PAGE   \* MERGEFORMAT</w:instrText>
                    </w:r>
                    <w:r>
                      <w:fldChar w:fldCharType="separate"/>
                    </w:r>
                    <w:r>
                      <w:rPr>
                        <w:lang w:val="zh-CN"/>
                      </w:rP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6"/>
    </w:pPr>
    <w:r>
      <w:fldChar w:fldCharType="begin"/>
    </w:r>
    <w:r>
      <w:instrText xml:space="preserve"> PAGE   \* MERGEFORMAT \* MERGEFORMAT </w:instrText>
    </w:r>
    <w:r>
      <w:fldChar w:fldCharType="separate"/>
    </w:r>
    <w:r>
      <w:t>8</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lfHAKyQEAAJkDAAAOAAAAAAAAAAEAIAAAAB4BAABkcnMvZTJvRG9j&#10;LnhtbFBLBQYAAAAABgAGAFkBAABZBQ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4"/>
      <w:keepNext w:val="0"/>
      <w:keepLines w:val="0"/>
      <w:pageBreakBefore w:val="0"/>
      <w:widowControl/>
      <w:kinsoku/>
      <w:wordWrap/>
      <w:overflowPunct/>
      <w:topLinePunct w:val="0"/>
      <w:autoSpaceDE/>
      <w:autoSpaceDN/>
      <w:bidi w:val="0"/>
      <w:adjustRightInd/>
      <w:snapToGrid w:val="0"/>
      <w:spacing w:after="0" w:line="240" w:lineRule="atLeast"/>
      <w:jc w:val="center"/>
      <w:textAlignment w:val="auto"/>
    </w:pPr>
    <w:r>
      <w:rPr>
        <w:rFonts w:hint="eastAsia" w:ascii="黑体" w:hAnsi="黑体"/>
      </w:rPr>
      <w:t>JJF XXXX</w:t>
    </w:r>
    <w:r>
      <w:rPr>
        <w:rFonts w:hint="eastAsia"/>
      </w:rPr>
      <w:t>—X</w:t>
    </w:r>
    <w:r>
      <w:t>XXX</w:t>
    </w:r>
    <w:r>
      <w:rPr>
        <w:rFonts w:hAnsi="黑体"/>
        <w:sz w:val="28"/>
        <w:szCs w:val="28"/>
      </w:rPr>
      <w:pict>
        <v:rect id="_x0000_i1028" o:spt="1" style="height:1.5pt;width:467.7pt;" fillcolor="#000000" filled="t" stroked="f" coordsize="21600,21600" o:hr="t" o:hrstd="t" o:hrnoshade="t" o:hralign="center">
          <v:path/>
          <v:fill on="t" color2="#FFFFFF" focussize="0,0"/>
          <v:stroke on="f"/>
          <v:imagedata o:title=""/>
          <o:lock v:ext="edit" aspectratio="f"/>
          <w10:wrap type="none"/>
          <w10:anchorlock/>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4"/>
      <w:jc w:val="left"/>
    </w:pPr>
    <w:r>
      <w:rPr>
        <w:rFonts w:ascii="Times New Roman" w:hAnsi="Times New Roman"/>
        <w:b/>
      </w:rPr>
      <w:t>SY/T</w:t>
    </w:r>
    <w:r>
      <w:t xml:space="preserve"> 6676</w:t>
    </w:r>
    <w:r>
      <w:rPr>
        <w:rFonts w:hint="eastAsia"/>
      </w:rPr>
      <w:t>—X</w:t>
    </w:r>
    <w:r>
      <w:t>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4"/>
      <w:jc w:val="center"/>
    </w:pPr>
    <w:r>
      <w:rPr>
        <w:rFonts w:hint="eastAsia" w:ascii="黑体" w:hAnsi="黑体"/>
      </w:rPr>
      <w:t>JJF XXXX</w:t>
    </w:r>
    <w:r>
      <w:rPr>
        <w:rFonts w:hint="eastAsia"/>
      </w:rPr>
      <w:t>—X</w:t>
    </w:r>
    <w:r>
      <w:t>XXX</w:t>
    </w:r>
  </w:p>
  <w:p>
    <w:pPr>
      <w:pStyle w:val="17"/>
    </w:pPr>
    <w:r>
      <w:rPr>
        <w:rFonts w:hAnsi="黑体"/>
        <w:sz w:val="28"/>
        <w:szCs w:val="28"/>
      </w:rPr>
      <w:pict>
        <v:rect id="_x0000_i1029" o:spt="1" style="height:1.5pt;width:467.7pt;" fillcolor="#000000" filled="t" stroked="f" coordsize="21600,21600" o:hr="t" o:hrstd="t" o:hrnoshade="t" o:hralign="center">
          <v:path/>
          <v:fill on="t" color2="#FFFFFF" focussize="0,0"/>
          <v:stroke on="f"/>
          <v:imagedata o:title=""/>
          <o:lock v:ext="edit" aspectratio="f"/>
          <w10:wrap type="none"/>
          <w10:anchorlock/>
        </v:rect>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4"/>
      <w:jc w:val="left"/>
    </w:pPr>
    <w:r>
      <w:rPr>
        <w:rFonts w:ascii="Times New Roman" w:hAnsi="Times New Roman"/>
        <w:b/>
      </w:rPr>
      <w:t>SY/T</w:t>
    </w:r>
    <w:r>
      <w:t xml:space="preserve"> 6676</w:t>
    </w:r>
    <w:r>
      <w:rPr>
        <w:rFonts w:hint="eastAsia"/>
      </w:rPr>
      <w:t>—X</w:t>
    </w:r>
    <w:r>
      <w:t>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4"/>
      <w:jc w:val="center"/>
    </w:pPr>
    <w:r>
      <w:rPr>
        <w:rFonts w:hint="eastAsia" w:ascii="黑体" w:hAnsi="黑体"/>
      </w:rPr>
      <w:t>JJF XXXX</w:t>
    </w:r>
    <w:r>
      <w:rPr>
        <w:rFonts w:hint="eastAsia"/>
      </w:rPr>
      <w:t>—X</w:t>
    </w:r>
    <w:r>
      <w:t>XXX</w:t>
    </w:r>
  </w:p>
  <w:p>
    <w:r>
      <w:rPr>
        <w:rFonts w:hAnsi="黑体"/>
        <w:sz w:val="28"/>
        <w:szCs w:val="28"/>
      </w:rPr>
      <w:pict>
        <v:rect id="_x0000_i1030" o:spt="1" style="height:1.5pt;width:467.7pt;" fillcolor="#000000" filled="t" stroked="f" coordsize="21600,21600" o:hr="t" o:hrstd="t" o:hrnoshade="t" o:hralign="center">
          <v:path/>
          <v:fill on="t" color2="#FFFFFF" focussize="0,0"/>
          <v:stroke on="f"/>
          <v:imagedata o:title=""/>
          <o:lock v:ext="edit" aspectratio="f"/>
          <w10:wrap type="none"/>
          <w10:anchorlock/>
        </v:rect>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7"/>
    </w:pPr>
    <w:r>
      <w:fldChar w:fldCharType="begin"/>
    </w:r>
    <w:r>
      <w:instrText xml:space="preserve"> STYLEREF  标准文件_文件编号 \* MERGEFORMAT </w:instrText>
    </w:r>
    <w:r>
      <w:fldChar w:fldCharType="separate"/>
    </w:r>
    <w:r>
      <w:rPr>
        <w:b/>
      </w:rPr>
      <w:t>错误！未定义样式。</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hAnsi="黑体"/>
        <w:sz w:val="28"/>
        <w:szCs w:val="28"/>
      </w:rPr>
    </w:pPr>
    <w:r>
      <w:rPr>
        <w:rFonts w:hint="eastAsia" w:hAnsi="黑体"/>
      </w:rPr>
      <w:t>JJF XXXX</w:t>
    </w:r>
    <w:r>
      <w:rPr>
        <w:rFonts w:hAnsi="黑体"/>
      </w:rPr>
      <w:t>—</w:t>
    </w:r>
    <w:r>
      <w:rPr>
        <w:rFonts w:hint="eastAsia" w:hAnsi="黑体"/>
      </w:rPr>
      <w:t>XXXX</w:t>
    </w:r>
    <w:r>
      <w:rPr>
        <w:rFonts w:hAnsi="黑体"/>
        <w:sz w:val="28"/>
        <w:szCs w:val="28"/>
      </w:rPr>
      <w:pict>
        <v:rect id="_x0000_i1031" o:spt="1" style="height:1.5pt;width:467.7pt;" fillcolor="#000000" filled="t" stroked="f" coordsize="21600,21600" o:hr="t" o:hrstd="t" o:hrnoshade="t" o:hralign="center">
          <v:path/>
          <v:fill on="t" focussize="0,0"/>
          <v:stroke on="f"/>
          <v:imagedata o:title=""/>
          <o:lock v:ext="edit"/>
          <w10:wrap type="none"/>
          <w10:anchorlock/>
        </v:rect>
      </w:pic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E2B46"/>
    <w:multiLevelType w:val="multilevel"/>
    <w:tmpl w:val="0DDE2B46"/>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
    <w:nsid w:val="1DBF583A"/>
    <w:multiLevelType w:val="multilevel"/>
    <w:tmpl w:val="1DBF583A"/>
    <w:lvl w:ilvl="0" w:tentative="0">
      <w:start w:val="1"/>
      <w:numFmt w:val="decimal"/>
      <w:pStyle w:val="6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tentative="0">
      <w:start w:val="1"/>
      <w:numFmt w:val="decimal"/>
      <w:pStyle w:val="42"/>
      <w:suff w:val="nothing"/>
      <w:lvlText w:val="%1　"/>
      <w:lvlJc w:val="left"/>
      <w:pPr>
        <w:ind w:left="0" w:firstLine="0"/>
      </w:pPr>
      <w:rPr>
        <w:rFonts w:hint="eastAsia" w:ascii="黑体" w:hAnsi="Times New Roman" w:eastAsia="黑体"/>
        <w:b w:val="0"/>
        <w:i w:val="0"/>
        <w:sz w:val="24"/>
        <w:szCs w:val="24"/>
      </w:rPr>
    </w:lvl>
    <w:lvl w:ilvl="1" w:tentative="0">
      <w:start w:val="1"/>
      <w:numFmt w:val="decimal"/>
      <w:pStyle w:val="39"/>
      <w:suff w:val="nothing"/>
      <w:lvlText w:val="%1.%2　"/>
      <w:lvlJc w:val="left"/>
      <w:pPr>
        <w:ind w:left="42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4"/>
        <w:szCs w:val="24"/>
        <w:u w:val="none"/>
        <w:vertAlign w:val="baseline"/>
      </w:rPr>
    </w:lvl>
    <w:lvl w:ilvl="2" w:tentative="0">
      <w:start w:val="1"/>
      <w:numFmt w:val="decimal"/>
      <w:pStyle w:val="43"/>
      <w:suff w:val="nothing"/>
      <w:lvlText w:val="%1.%2.%3　"/>
      <w:lvlJc w:val="left"/>
      <w:pPr>
        <w:ind w:left="0" w:firstLine="0"/>
      </w:pPr>
      <w:rPr>
        <w:rFonts w:hint="eastAsia" w:ascii="黑体" w:hAnsi="Times New Roman" w:eastAsia="黑体"/>
        <w:b w:val="0"/>
        <w:i w:val="0"/>
        <w:sz w:val="24"/>
        <w:szCs w:val="24"/>
      </w:rPr>
    </w:lvl>
    <w:lvl w:ilvl="3" w:tentative="0">
      <w:start w:val="1"/>
      <w:numFmt w:val="decimal"/>
      <w:pStyle w:val="48"/>
      <w:suff w:val="nothing"/>
      <w:lvlText w:val="%1.%2.%3.%4　"/>
      <w:lvlJc w:val="left"/>
      <w:pPr>
        <w:ind w:left="0" w:firstLine="0"/>
      </w:pPr>
      <w:rPr>
        <w:rFonts w:hint="eastAsia" w:ascii="黑体" w:hAnsi="Times New Roman" w:eastAsia="黑体"/>
        <w:b w:val="0"/>
        <w:i w:val="0"/>
        <w:sz w:val="24"/>
        <w:szCs w:val="24"/>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tentative="0">
      <w:start w:val="1"/>
      <w:numFmt w:val="upperLetter"/>
      <w:pStyle w:val="95"/>
      <w:suff w:val="space"/>
      <w:lvlText w:val="%1"/>
      <w:lvlJc w:val="left"/>
      <w:pPr>
        <w:ind w:left="623" w:hanging="425"/>
      </w:pPr>
      <w:rPr>
        <w:rFonts w:hint="eastAsia"/>
      </w:rPr>
    </w:lvl>
    <w:lvl w:ilvl="1" w:tentative="0">
      <w:start w:val="1"/>
      <w:numFmt w:val="decimal"/>
      <w:pStyle w:val="9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tentative="0">
      <w:start w:val="1"/>
      <w:numFmt w:val="none"/>
      <w:pStyle w:val="45"/>
      <w:suff w:val="nothing"/>
      <w:lvlText w:val="%1——"/>
      <w:lvlJc w:val="left"/>
      <w:pPr>
        <w:ind w:left="833" w:hanging="408"/>
      </w:pPr>
      <w:rPr>
        <w:rFonts w:hint="eastAsia"/>
      </w:rPr>
    </w:lvl>
    <w:lvl w:ilvl="1" w:tentative="0">
      <w:start w:val="1"/>
      <w:numFmt w:val="bullet"/>
      <w:pStyle w:val="46"/>
      <w:lvlText w:val=""/>
      <w:lvlJc w:val="left"/>
      <w:pPr>
        <w:tabs>
          <w:tab w:val="left" w:pos="760"/>
        </w:tabs>
        <w:ind w:left="1264" w:hanging="413"/>
      </w:pPr>
      <w:rPr>
        <w:rFonts w:hint="default" w:ascii="Symbol" w:hAnsi="Symbol"/>
        <w:color w:val="auto"/>
      </w:rPr>
    </w:lvl>
    <w:lvl w:ilvl="2" w:tentative="0">
      <w:start w:val="1"/>
      <w:numFmt w:val="bullet"/>
      <w:pStyle w:val="5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6">
    <w:nsid w:val="44C50F90"/>
    <w:multiLevelType w:val="multilevel"/>
    <w:tmpl w:val="44C50F90"/>
    <w:lvl w:ilvl="0" w:tentative="0">
      <w:start w:val="1"/>
      <w:numFmt w:val="lowerLetter"/>
      <w:pStyle w:val="5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1"/>
      <w:lvlText w:val="%2)"/>
      <w:lvlJc w:val="left"/>
      <w:pPr>
        <w:tabs>
          <w:tab w:val="left" w:pos="1260"/>
        </w:tabs>
        <w:ind w:left="1259" w:hanging="419"/>
      </w:pPr>
      <w:rPr>
        <w:rFonts w:hint="eastAsia"/>
      </w:rPr>
    </w:lvl>
    <w:lvl w:ilvl="2" w:tentative="0">
      <w:start w:val="1"/>
      <w:numFmt w:val="decimal"/>
      <w:pStyle w:val="5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48802D1C"/>
    <w:multiLevelType w:val="multilevel"/>
    <w:tmpl w:val="48802D1C"/>
    <w:lvl w:ilvl="0" w:tentative="0">
      <w:start w:val="1"/>
      <w:numFmt w:val="upperLetter"/>
      <w:pStyle w:val="156"/>
      <w:lvlText w:val="%1"/>
      <w:lvlJc w:val="left"/>
      <w:pPr>
        <w:ind w:left="420" w:hanging="420"/>
      </w:pPr>
      <w:rPr>
        <w:rFonts w:hint="eastAsia"/>
      </w:rPr>
    </w:lvl>
    <w:lvl w:ilvl="1" w:tentative="0">
      <w:start w:val="1"/>
      <w:numFmt w:val="decimal"/>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8">
    <w:nsid w:val="557C2AF5"/>
    <w:multiLevelType w:val="multilevel"/>
    <w:tmpl w:val="557C2AF5"/>
    <w:lvl w:ilvl="0" w:tentative="0">
      <w:start w:val="1"/>
      <w:numFmt w:val="decimal"/>
      <w:pStyle w:val="14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9">
    <w:nsid w:val="5603797C"/>
    <w:multiLevelType w:val="multilevel"/>
    <w:tmpl w:val="5603797C"/>
    <w:lvl w:ilvl="0" w:tentative="0">
      <w:start w:val="1"/>
      <w:numFmt w:val="upperLetter"/>
      <w:pStyle w:val="157"/>
      <w:suff w:val="space"/>
      <w:lvlText w:val="%1"/>
      <w:lvlJc w:val="left"/>
      <w:pPr>
        <w:ind w:left="425" w:hanging="425"/>
      </w:pPr>
      <w:rPr>
        <w:rFonts w:hint="eastAsia"/>
      </w:rPr>
    </w:lvl>
    <w:lvl w:ilvl="1" w:tentative="0">
      <w:start w:val="1"/>
      <w:numFmt w:val="decimal"/>
      <w:pStyle w:val="15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60B55DC2"/>
    <w:multiLevelType w:val="multilevel"/>
    <w:tmpl w:val="60B55DC2"/>
    <w:lvl w:ilvl="0" w:tentative="0">
      <w:start w:val="1"/>
      <w:numFmt w:val="upperLetter"/>
      <w:pStyle w:val="83"/>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1">
    <w:nsid w:val="646260FA"/>
    <w:multiLevelType w:val="multilevel"/>
    <w:tmpl w:val="646260FA"/>
    <w:lvl w:ilvl="0" w:tentative="0">
      <w:start w:val="1"/>
      <w:numFmt w:val="decimal"/>
      <w:pStyle w:val="14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657D3FBC"/>
    <w:multiLevelType w:val="multilevel"/>
    <w:tmpl w:val="657D3FBC"/>
    <w:lvl w:ilvl="0" w:tentative="0">
      <w:start w:val="1"/>
      <w:numFmt w:val="upperLetter"/>
      <w:pStyle w:val="81"/>
      <w:suff w:val="nothing"/>
      <w:lvlText w:val="附　录　%1"/>
      <w:lvlJc w:val="left"/>
      <w:pPr>
        <w:ind w:left="4962" w:firstLine="0"/>
      </w:pPr>
      <w:rPr>
        <w:rFonts w:hint="eastAsia" w:ascii="黑体" w:hAnsi="Times New Roman" w:eastAsia="黑体"/>
        <w:b w:val="0"/>
        <w:i w:val="0"/>
        <w:spacing w:val="0"/>
        <w:w w:val="100"/>
        <w:sz w:val="21"/>
      </w:rPr>
    </w:lvl>
    <w:lvl w:ilvl="1" w:tentative="0">
      <w:start w:val="1"/>
      <w:numFmt w:val="decimal"/>
      <w:pStyle w:val="9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61"/>
      <w:suff w:val="nothing"/>
      <w:lvlText w:val="%1.%2.%3　"/>
      <w:lvlJc w:val="left"/>
      <w:pPr>
        <w:ind w:left="0" w:firstLine="0"/>
      </w:pPr>
      <w:rPr>
        <w:rFonts w:hint="eastAsia" w:ascii="黑体" w:hAnsi="Times New Roman" w:eastAsia="黑体"/>
        <w:b w:val="0"/>
        <w:i w:val="0"/>
        <w:sz w:val="21"/>
      </w:rPr>
    </w:lvl>
    <w:lvl w:ilvl="3" w:tentative="0">
      <w:start w:val="1"/>
      <w:numFmt w:val="decimal"/>
      <w:pStyle w:val="85"/>
      <w:suff w:val="nothing"/>
      <w:lvlText w:val="%1.%2.%3.%4　"/>
      <w:lvlJc w:val="left"/>
      <w:pPr>
        <w:ind w:left="0" w:firstLine="0"/>
      </w:pPr>
      <w:rPr>
        <w:rFonts w:hint="eastAsia" w:ascii="黑体" w:hAnsi="Times New Roman" w:eastAsia="黑体"/>
        <w:b w:val="0"/>
        <w:i w:val="0"/>
        <w:sz w:val="21"/>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93"/>
      <w:suff w:val="nothing"/>
      <w:lvlText w:val="%1.%2.%3.%4.%5.%6　"/>
      <w:lvlJc w:val="left"/>
      <w:pPr>
        <w:ind w:left="0" w:firstLine="0"/>
      </w:pPr>
      <w:rPr>
        <w:rFonts w:hint="eastAsia" w:ascii="黑体" w:hAnsi="Times New Roman" w:eastAsia="黑体"/>
        <w:b w:val="0"/>
        <w:i w:val="0"/>
        <w:sz w:val="21"/>
      </w:rPr>
    </w:lvl>
    <w:lvl w:ilvl="6" w:tentative="0">
      <w:start w:val="1"/>
      <w:numFmt w:val="decimal"/>
      <w:pStyle w:val="9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40"/>
      <w:suff w:val="nothing"/>
      <w:lvlText w:val="%1%2　"/>
      <w:lvlJc w:val="left"/>
      <w:pPr>
        <w:ind w:left="0" w:firstLine="0"/>
      </w:pPr>
      <w:rPr>
        <w:rFonts w:hint="eastAsia" w:ascii="黑体" w:eastAsia="黑体"/>
        <w:b w:val="0"/>
        <w:i w:val="0"/>
        <w:sz w:val="21"/>
      </w:rPr>
    </w:lvl>
    <w:lvl w:ilvl="2" w:tentative="0">
      <w:start w:val="1"/>
      <w:numFmt w:val="decimal"/>
      <w:pStyle w:val="14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14:cntxtalts w14:val="0"/>
      </w:rPr>
    </w:lvl>
    <w:lvl w:ilvl="3" w:tentative="0">
      <w:start w:val="1"/>
      <w:numFmt w:val="decimal"/>
      <w:pStyle w:val="147"/>
      <w:suff w:val="nothing"/>
      <w:lvlText w:val="%1%2.%3.%4　"/>
      <w:lvlJc w:val="left"/>
      <w:pPr>
        <w:ind w:left="0" w:firstLine="0"/>
      </w:pPr>
      <w:rPr>
        <w:rFonts w:hint="eastAsia" w:ascii="黑体" w:eastAsia="黑体"/>
        <w:b w:val="0"/>
        <w:i w:val="0"/>
        <w:sz w:val="21"/>
      </w:rPr>
    </w:lvl>
    <w:lvl w:ilvl="4" w:tentative="0">
      <w:start w:val="1"/>
      <w:numFmt w:val="decimal"/>
      <w:pStyle w:val="152"/>
      <w:suff w:val="nothing"/>
      <w:lvlText w:val="%1%2.%3.%4.%5　"/>
      <w:lvlJc w:val="left"/>
      <w:pPr>
        <w:ind w:left="71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9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5">
    <w:nsid w:val="6DBF04F4"/>
    <w:multiLevelType w:val="multilevel"/>
    <w:tmpl w:val="6DBF04F4"/>
    <w:lvl w:ilvl="0" w:tentative="0">
      <w:start w:val="1"/>
      <w:numFmt w:val="none"/>
      <w:pStyle w:val="15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5"/>
  </w:num>
  <w:num w:numId="2">
    <w:abstractNumId w:val="2"/>
  </w:num>
  <w:num w:numId="3">
    <w:abstractNumId w:val="4"/>
  </w:num>
  <w:num w:numId="4">
    <w:abstractNumId w:val="6"/>
  </w:num>
  <w:num w:numId="5">
    <w:abstractNumId w:val="1"/>
  </w:num>
  <w:num w:numId="6">
    <w:abstractNumId w:val="12"/>
  </w:num>
  <w:num w:numId="7">
    <w:abstractNumId w:val="10"/>
  </w:num>
  <w:num w:numId="8">
    <w:abstractNumId w:val="14"/>
  </w:num>
  <w:num w:numId="9">
    <w:abstractNumId w:val="3"/>
  </w:num>
  <w:num w:numId="10">
    <w:abstractNumId w:val="13"/>
  </w:num>
  <w:num w:numId="11">
    <w:abstractNumId w:val="8"/>
  </w:num>
  <w:num w:numId="12">
    <w:abstractNumId w:val="11"/>
  </w:num>
  <w:num w:numId="13">
    <w:abstractNumId w:val="15"/>
  </w:num>
  <w:num w:numId="14">
    <w:abstractNumId w:val="7"/>
  </w:num>
  <w:num w:numId="15">
    <w:abstractNumId w:val="9"/>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ZmU4YTdkM2UzNGY0MWI4ZmUzNTE4YzU5ZDIyNWQifQ=="/>
  </w:docVars>
  <w:rsids>
    <w:rsidRoot w:val="00172A27"/>
    <w:rsid w:val="00000244"/>
    <w:rsid w:val="0000185F"/>
    <w:rsid w:val="00004D3B"/>
    <w:rsid w:val="0000586F"/>
    <w:rsid w:val="000122B1"/>
    <w:rsid w:val="00012E85"/>
    <w:rsid w:val="00013D86"/>
    <w:rsid w:val="00013E02"/>
    <w:rsid w:val="0002143C"/>
    <w:rsid w:val="0002364F"/>
    <w:rsid w:val="00025A65"/>
    <w:rsid w:val="00026C31"/>
    <w:rsid w:val="00027280"/>
    <w:rsid w:val="00030099"/>
    <w:rsid w:val="000320A7"/>
    <w:rsid w:val="0003381A"/>
    <w:rsid w:val="00035925"/>
    <w:rsid w:val="00051138"/>
    <w:rsid w:val="00055988"/>
    <w:rsid w:val="00066E73"/>
    <w:rsid w:val="00067CDF"/>
    <w:rsid w:val="00074FBE"/>
    <w:rsid w:val="00083A09"/>
    <w:rsid w:val="0009005E"/>
    <w:rsid w:val="00092857"/>
    <w:rsid w:val="000967A1"/>
    <w:rsid w:val="000A20A9"/>
    <w:rsid w:val="000A48B1"/>
    <w:rsid w:val="000B3143"/>
    <w:rsid w:val="000B3215"/>
    <w:rsid w:val="000C6B05"/>
    <w:rsid w:val="000C6DD6"/>
    <w:rsid w:val="000C73D4"/>
    <w:rsid w:val="000D10D8"/>
    <w:rsid w:val="000D1658"/>
    <w:rsid w:val="000D3D4C"/>
    <w:rsid w:val="000D4216"/>
    <w:rsid w:val="000D4F51"/>
    <w:rsid w:val="000D50B9"/>
    <w:rsid w:val="000D718B"/>
    <w:rsid w:val="000D73A6"/>
    <w:rsid w:val="000E0C46"/>
    <w:rsid w:val="000E2058"/>
    <w:rsid w:val="000E242F"/>
    <w:rsid w:val="000E4EA1"/>
    <w:rsid w:val="000F030C"/>
    <w:rsid w:val="000F129C"/>
    <w:rsid w:val="000F4B7A"/>
    <w:rsid w:val="000F6A6F"/>
    <w:rsid w:val="0010020C"/>
    <w:rsid w:val="001016DC"/>
    <w:rsid w:val="001056DE"/>
    <w:rsid w:val="00106E02"/>
    <w:rsid w:val="001124C0"/>
    <w:rsid w:val="00130464"/>
    <w:rsid w:val="0013175F"/>
    <w:rsid w:val="001512B4"/>
    <w:rsid w:val="001620A5"/>
    <w:rsid w:val="00164E53"/>
    <w:rsid w:val="00166052"/>
    <w:rsid w:val="0016699D"/>
    <w:rsid w:val="00175159"/>
    <w:rsid w:val="00176208"/>
    <w:rsid w:val="0018211B"/>
    <w:rsid w:val="00183A32"/>
    <w:rsid w:val="001840D3"/>
    <w:rsid w:val="001900F8"/>
    <w:rsid w:val="00191258"/>
    <w:rsid w:val="00192680"/>
    <w:rsid w:val="00193037"/>
    <w:rsid w:val="00193A2C"/>
    <w:rsid w:val="001A0F07"/>
    <w:rsid w:val="001A288E"/>
    <w:rsid w:val="001B3922"/>
    <w:rsid w:val="001B561D"/>
    <w:rsid w:val="001B6DC2"/>
    <w:rsid w:val="001B7D22"/>
    <w:rsid w:val="001C07EE"/>
    <w:rsid w:val="001C149C"/>
    <w:rsid w:val="001C21AC"/>
    <w:rsid w:val="001C47BA"/>
    <w:rsid w:val="001C59EA"/>
    <w:rsid w:val="001C7058"/>
    <w:rsid w:val="001D406C"/>
    <w:rsid w:val="001D41EE"/>
    <w:rsid w:val="001D69B0"/>
    <w:rsid w:val="001E0380"/>
    <w:rsid w:val="001E13B1"/>
    <w:rsid w:val="001F2345"/>
    <w:rsid w:val="001F26DC"/>
    <w:rsid w:val="001F3A19"/>
    <w:rsid w:val="001F5A03"/>
    <w:rsid w:val="001F7FA8"/>
    <w:rsid w:val="00203C6D"/>
    <w:rsid w:val="00215DE7"/>
    <w:rsid w:val="00227887"/>
    <w:rsid w:val="00230056"/>
    <w:rsid w:val="00234467"/>
    <w:rsid w:val="00237D8D"/>
    <w:rsid w:val="00240758"/>
    <w:rsid w:val="00241DA2"/>
    <w:rsid w:val="0024259F"/>
    <w:rsid w:val="00247FEE"/>
    <w:rsid w:val="00250E7D"/>
    <w:rsid w:val="00251AF0"/>
    <w:rsid w:val="002532B9"/>
    <w:rsid w:val="002565D5"/>
    <w:rsid w:val="002620FB"/>
    <w:rsid w:val="002622C0"/>
    <w:rsid w:val="00264AE7"/>
    <w:rsid w:val="0027423D"/>
    <w:rsid w:val="002778AE"/>
    <w:rsid w:val="0028269A"/>
    <w:rsid w:val="00283590"/>
    <w:rsid w:val="00286973"/>
    <w:rsid w:val="00292275"/>
    <w:rsid w:val="00294E70"/>
    <w:rsid w:val="002A1924"/>
    <w:rsid w:val="002A3BC1"/>
    <w:rsid w:val="002A7420"/>
    <w:rsid w:val="002B0F12"/>
    <w:rsid w:val="002B1308"/>
    <w:rsid w:val="002B4554"/>
    <w:rsid w:val="002B77F6"/>
    <w:rsid w:val="002C29AF"/>
    <w:rsid w:val="002C72D8"/>
    <w:rsid w:val="002D11FA"/>
    <w:rsid w:val="002E0DDF"/>
    <w:rsid w:val="002E2906"/>
    <w:rsid w:val="002E5635"/>
    <w:rsid w:val="002E64C3"/>
    <w:rsid w:val="002E6A2C"/>
    <w:rsid w:val="002F1D8C"/>
    <w:rsid w:val="002F21DA"/>
    <w:rsid w:val="00301F39"/>
    <w:rsid w:val="00310AC0"/>
    <w:rsid w:val="00316811"/>
    <w:rsid w:val="00320496"/>
    <w:rsid w:val="00320820"/>
    <w:rsid w:val="00325926"/>
    <w:rsid w:val="003268A3"/>
    <w:rsid w:val="00327A8A"/>
    <w:rsid w:val="003322BD"/>
    <w:rsid w:val="003360B9"/>
    <w:rsid w:val="00336610"/>
    <w:rsid w:val="0033710A"/>
    <w:rsid w:val="003378D2"/>
    <w:rsid w:val="00343F73"/>
    <w:rsid w:val="00345060"/>
    <w:rsid w:val="0034681B"/>
    <w:rsid w:val="0035323B"/>
    <w:rsid w:val="003609D2"/>
    <w:rsid w:val="00362317"/>
    <w:rsid w:val="00363F22"/>
    <w:rsid w:val="00374FAB"/>
    <w:rsid w:val="0037542A"/>
    <w:rsid w:val="00375564"/>
    <w:rsid w:val="00383191"/>
    <w:rsid w:val="00384873"/>
    <w:rsid w:val="00386DED"/>
    <w:rsid w:val="003912E7"/>
    <w:rsid w:val="003934AB"/>
    <w:rsid w:val="00393947"/>
    <w:rsid w:val="003942AC"/>
    <w:rsid w:val="003959F0"/>
    <w:rsid w:val="003A2275"/>
    <w:rsid w:val="003A5BD3"/>
    <w:rsid w:val="003A6796"/>
    <w:rsid w:val="003A6A4F"/>
    <w:rsid w:val="003A7088"/>
    <w:rsid w:val="003B00DF"/>
    <w:rsid w:val="003B1275"/>
    <w:rsid w:val="003B1778"/>
    <w:rsid w:val="003B242F"/>
    <w:rsid w:val="003B24AE"/>
    <w:rsid w:val="003C090F"/>
    <w:rsid w:val="003C11CB"/>
    <w:rsid w:val="003C4176"/>
    <w:rsid w:val="003C75F3"/>
    <w:rsid w:val="003C78A3"/>
    <w:rsid w:val="003E1867"/>
    <w:rsid w:val="003E5729"/>
    <w:rsid w:val="003F4EE0"/>
    <w:rsid w:val="00402153"/>
    <w:rsid w:val="00402FC1"/>
    <w:rsid w:val="004032B8"/>
    <w:rsid w:val="00406CDB"/>
    <w:rsid w:val="00421F77"/>
    <w:rsid w:val="00424C71"/>
    <w:rsid w:val="00425082"/>
    <w:rsid w:val="00430E71"/>
    <w:rsid w:val="00431DEB"/>
    <w:rsid w:val="004321E3"/>
    <w:rsid w:val="004325CE"/>
    <w:rsid w:val="004444AB"/>
    <w:rsid w:val="00446B29"/>
    <w:rsid w:val="00453F9A"/>
    <w:rsid w:val="004600F0"/>
    <w:rsid w:val="00471E91"/>
    <w:rsid w:val="00474675"/>
    <w:rsid w:val="0047470C"/>
    <w:rsid w:val="004752C6"/>
    <w:rsid w:val="0048130A"/>
    <w:rsid w:val="00484356"/>
    <w:rsid w:val="00487280"/>
    <w:rsid w:val="004A2295"/>
    <w:rsid w:val="004A249C"/>
    <w:rsid w:val="004A35F9"/>
    <w:rsid w:val="004A4337"/>
    <w:rsid w:val="004B24C1"/>
    <w:rsid w:val="004B6A33"/>
    <w:rsid w:val="004C265D"/>
    <w:rsid w:val="004C292F"/>
    <w:rsid w:val="004E4E24"/>
    <w:rsid w:val="004E5FAD"/>
    <w:rsid w:val="004F165B"/>
    <w:rsid w:val="004F2D97"/>
    <w:rsid w:val="004F5462"/>
    <w:rsid w:val="004F5E61"/>
    <w:rsid w:val="004F6783"/>
    <w:rsid w:val="004F7C90"/>
    <w:rsid w:val="00510280"/>
    <w:rsid w:val="00511FDC"/>
    <w:rsid w:val="00513D73"/>
    <w:rsid w:val="00514A43"/>
    <w:rsid w:val="005174E5"/>
    <w:rsid w:val="00521167"/>
    <w:rsid w:val="00522393"/>
    <w:rsid w:val="00522620"/>
    <w:rsid w:val="0052445E"/>
    <w:rsid w:val="00525656"/>
    <w:rsid w:val="00531914"/>
    <w:rsid w:val="00534C02"/>
    <w:rsid w:val="0054264B"/>
    <w:rsid w:val="00543786"/>
    <w:rsid w:val="00546737"/>
    <w:rsid w:val="005533D7"/>
    <w:rsid w:val="005703DE"/>
    <w:rsid w:val="0057073C"/>
    <w:rsid w:val="005837CE"/>
    <w:rsid w:val="0058464E"/>
    <w:rsid w:val="00584A70"/>
    <w:rsid w:val="005928CE"/>
    <w:rsid w:val="0059446D"/>
    <w:rsid w:val="0059473C"/>
    <w:rsid w:val="00596A86"/>
    <w:rsid w:val="005A01CB"/>
    <w:rsid w:val="005A10B0"/>
    <w:rsid w:val="005A10BD"/>
    <w:rsid w:val="005A15B5"/>
    <w:rsid w:val="005A1E9B"/>
    <w:rsid w:val="005A3658"/>
    <w:rsid w:val="005A42BB"/>
    <w:rsid w:val="005A5157"/>
    <w:rsid w:val="005A58FF"/>
    <w:rsid w:val="005A5EAF"/>
    <w:rsid w:val="005A64C0"/>
    <w:rsid w:val="005B0E03"/>
    <w:rsid w:val="005B3C11"/>
    <w:rsid w:val="005B7A05"/>
    <w:rsid w:val="005C1C28"/>
    <w:rsid w:val="005C4269"/>
    <w:rsid w:val="005C42C3"/>
    <w:rsid w:val="005C6DB5"/>
    <w:rsid w:val="005D1C65"/>
    <w:rsid w:val="005D2053"/>
    <w:rsid w:val="005D575A"/>
    <w:rsid w:val="005D7347"/>
    <w:rsid w:val="005E19E7"/>
    <w:rsid w:val="00602B2D"/>
    <w:rsid w:val="0061716C"/>
    <w:rsid w:val="00622BAA"/>
    <w:rsid w:val="006243A1"/>
    <w:rsid w:val="00632E56"/>
    <w:rsid w:val="00635CBA"/>
    <w:rsid w:val="00642004"/>
    <w:rsid w:val="0064338B"/>
    <w:rsid w:val="00643D6F"/>
    <w:rsid w:val="00646542"/>
    <w:rsid w:val="006504F4"/>
    <w:rsid w:val="00654BC9"/>
    <w:rsid w:val="006552FD"/>
    <w:rsid w:val="00656CD0"/>
    <w:rsid w:val="00660D11"/>
    <w:rsid w:val="00661975"/>
    <w:rsid w:val="00663AF3"/>
    <w:rsid w:val="006647D3"/>
    <w:rsid w:val="006660C0"/>
    <w:rsid w:val="00666B6C"/>
    <w:rsid w:val="00682682"/>
    <w:rsid w:val="00682702"/>
    <w:rsid w:val="00685717"/>
    <w:rsid w:val="006875FF"/>
    <w:rsid w:val="00690C4D"/>
    <w:rsid w:val="00692368"/>
    <w:rsid w:val="00693E2F"/>
    <w:rsid w:val="006A2C81"/>
    <w:rsid w:val="006A2EBC"/>
    <w:rsid w:val="006A3187"/>
    <w:rsid w:val="006A51F3"/>
    <w:rsid w:val="006A5EA0"/>
    <w:rsid w:val="006A783B"/>
    <w:rsid w:val="006A7B33"/>
    <w:rsid w:val="006B4E13"/>
    <w:rsid w:val="006B75DD"/>
    <w:rsid w:val="006C5257"/>
    <w:rsid w:val="006C5944"/>
    <w:rsid w:val="006C67E0"/>
    <w:rsid w:val="006C7ABA"/>
    <w:rsid w:val="006D0D60"/>
    <w:rsid w:val="006D1122"/>
    <w:rsid w:val="006D3C00"/>
    <w:rsid w:val="006E3675"/>
    <w:rsid w:val="006E4A7F"/>
    <w:rsid w:val="006F7593"/>
    <w:rsid w:val="00704DF6"/>
    <w:rsid w:val="0070651C"/>
    <w:rsid w:val="007077DC"/>
    <w:rsid w:val="007132A3"/>
    <w:rsid w:val="00714815"/>
    <w:rsid w:val="00714BFA"/>
    <w:rsid w:val="00716421"/>
    <w:rsid w:val="00716641"/>
    <w:rsid w:val="007229EE"/>
    <w:rsid w:val="00724EFB"/>
    <w:rsid w:val="0073570D"/>
    <w:rsid w:val="007419C3"/>
    <w:rsid w:val="007467A7"/>
    <w:rsid w:val="007469DD"/>
    <w:rsid w:val="0074741B"/>
    <w:rsid w:val="0074759E"/>
    <w:rsid w:val="007478EA"/>
    <w:rsid w:val="00747BE5"/>
    <w:rsid w:val="00751AE9"/>
    <w:rsid w:val="007535F9"/>
    <w:rsid w:val="007537CA"/>
    <w:rsid w:val="0075415C"/>
    <w:rsid w:val="00763502"/>
    <w:rsid w:val="007635C7"/>
    <w:rsid w:val="00782E97"/>
    <w:rsid w:val="0078712D"/>
    <w:rsid w:val="007913AB"/>
    <w:rsid w:val="0079143C"/>
    <w:rsid w:val="007914F7"/>
    <w:rsid w:val="007A0F5E"/>
    <w:rsid w:val="007B1625"/>
    <w:rsid w:val="007B706E"/>
    <w:rsid w:val="007B71EB"/>
    <w:rsid w:val="007C04B2"/>
    <w:rsid w:val="007C1342"/>
    <w:rsid w:val="007C402A"/>
    <w:rsid w:val="007C6205"/>
    <w:rsid w:val="007C686A"/>
    <w:rsid w:val="007C728E"/>
    <w:rsid w:val="007C746D"/>
    <w:rsid w:val="007D2C53"/>
    <w:rsid w:val="007D3D60"/>
    <w:rsid w:val="007D77F9"/>
    <w:rsid w:val="007D7909"/>
    <w:rsid w:val="007E1980"/>
    <w:rsid w:val="007E4B76"/>
    <w:rsid w:val="007E5EA8"/>
    <w:rsid w:val="007E7B2B"/>
    <w:rsid w:val="007F0CF1"/>
    <w:rsid w:val="007F12A5"/>
    <w:rsid w:val="007F4CF1"/>
    <w:rsid w:val="007F758D"/>
    <w:rsid w:val="007F7D52"/>
    <w:rsid w:val="0080654C"/>
    <w:rsid w:val="008071C6"/>
    <w:rsid w:val="0081412D"/>
    <w:rsid w:val="008147E3"/>
    <w:rsid w:val="00817A00"/>
    <w:rsid w:val="00825057"/>
    <w:rsid w:val="00831F1C"/>
    <w:rsid w:val="00834D36"/>
    <w:rsid w:val="00835DB3"/>
    <w:rsid w:val="0083617B"/>
    <w:rsid w:val="008371BD"/>
    <w:rsid w:val="00837612"/>
    <w:rsid w:val="008504A8"/>
    <w:rsid w:val="00851785"/>
    <w:rsid w:val="0085282E"/>
    <w:rsid w:val="00854BA0"/>
    <w:rsid w:val="0087198C"/>
    <w:rsid w:val="00872C1F"/>
    <w:rsid w:val="00872DC4"/>
    <w:rsid w:val="00873B42"/>
    <w:rsid w:val="008856D8"/>
    <w:rsid w:val="00886DCF"/>
    <w:rsid w:val="00892E82"/>
    <w:rsid w:val="008C1B58"/>
    <w:rsid w:val="008C39AE"/>
    <w:rsid w:val="008C590D"/>
    <w:rsid w:val="008D1AD9"/>
    <w:rsid w:val="008D20DF"/>
    <w:rsid w:val="008D49D4"/>
    <w:rsid w:val="008D69DE"/>
    <w:rsid w:val="008E031B"/>
    <w:rsid w:val="008E49B5"/>
    <w:rsid w:val="008E7029"/>
    <w:rsid w:val="008E7EF6"/>
    <w:rsid w:val="008F1F98"/>
    <w:rsid w:val="008F3783"/>
    <w:rsid w:val="008F6758"/>
    <w:rsid w:val="008F7518"/>
    <w:rsid w:val="00903124"/>
    <w:rsid w:val="009040DD"/>
    <w:rsid w:val="00905B47"/>
    <w:rsid w:val="0091331C"/>
    <w:rsid w:val="00917564"/>
    <w:rsid w:val="00923A9A"/>
    <w:rsid w:val="00924CD1"/>
    <w:rsid w:val="009279DE"/>
    <w:rsid w:val="00930116"/>
    <w:rsid w:val="0093102B"/>
    <w:rsid w:val="00932566"/>
    <w:rsid w:val="0093624C"/>
    <w:rsid w:val="0094212C"/>
    <w:rsid w:val="0094445E"/>
    <w:rsid w:val="009459FB"/>
    <w:rsid w:val="00947873"/>
    <w:rsid w:val="009509FB"/>
    <w:rsid w:val="00950CBB"/>
    <w:rsid w:val="00954689"/>
    <w:rsid w:val="00961158"/>
    <w:rsid w:val="009617C9"/>
    <w:rsid w:val="00961C93"/>
    <w:rsid w:val="00963D34"/>
    <w:rsid w:val="00965324"/>
    <w:rsid w:val="0097091E"/>
    <w:rsid w:val="00972E97"/>
    <w:rsid w:val="009760D3"/>
    <w:rsid w:val="00977132"/>
    <w:rsid w:val="009778DD"/>
    <w:rsid w:val="00981A4B"/>
    <w:rsid w:val="00981CC6"/>
    <w:rsid w:val="00982501"/>
    <w:rsid w:val="009877D3"/>
    <w:rsid w:val="00993AB8"/>
    <w:rsid w:val="00994E8F"/>
    <w:rsid w:val="0099503E"/>
    <w:rsid w:val="009951DC"/>
    <w:rsid w:val="009959BB"/>
    <w:rsid w:val="00997158"/>
    <w:rsid w:val="009A3A7C"/>
    <w:rsid w:val="009A5E95"/>
    <w:rsid w:val="009B01BF"/>
    <w:rsid w:val="009B2ADB"/>
    <w:rsid w:val="009B39B7"/>
    <w:rsid w:val="009B603A"/>
    <w:rsid w:val="009C108A"/>
    <w:rsid w:val="009C1742"/>
    <w:rsid w:val="009C2D0E"/>
    <w:rsid w:val="009C3DAC"/>
    <w:rsid w:val="009C42E0"/>
    <w:rsid w:val="009C616D"/>
    <w:rsid w:val="009C7851"/>
    <w:rsid w:val="009D5362"/>
    <w:rsid w:val="009E1415"/>
    <w:rsid w:val="009E6116"/>
    <w:rsid w:val="009E6C8B"/>
    <w:rsid w:val="009F13CE"/>
    <w:rsid w:val="009F46B7"/>
    <w:rsid w:val="009F7AA8"/>
    <w:rsid w:val="00A02E43"/>
    <w:rsid w:val="00A065F9"/>
    <w:rsid w:val="00A0691A"/>
    <w:rsid w:val="00A06E15"/>
    <w:rsid w:val="00A07BF4"/>
    <w:rsid w:val="00A07F34"/>
    <w:rsid w:val="00A10D91"/>
    <w:rsid w:val="00A22154"/>
    <w:rsid w:val="00A25C38"/>
    <w:rsid w:val="00A350FA"/>
    <w:rsid w:val="00A36BBE"/>
    <w:rsid w:val="00A4307A"/>
    <w:rsid w:val="00A43CDC"/>
    <w:rsid w:val="00A47EBB"/>
    <w:rsid w:val="00A51CDD"/>
    <w:rsid w:val="00A52B64"/>
    <w:rsid w:val="00A55C1A"/>
    <w:rsid w:val="00A56E51"/>
    <w:rsid w:val="00A572FC"/>
    <w:rsid w:val="00A60E83"/>
    <w:rsid w:val="00A617CE"/>
    <w:rsid w:val="00A6730D"/>
    <w:rsid w:val="00A71625"/>
    <w:rsid w:val="00A71B9B"/>
    <w:rsid w:val="00A72543"/>
    <w:rsid w:val="00A751C7"/>
    <w:rsid w:val="00A87844"/>
    <w:rsid w:val="00A968ED"/>
    <w:rsid w:val="00A97220"/>
    <w:rsid w:val="00AA038C"/>
    <w:rsid w:val="00AA1901"/>
    <w:rsid w:val="00AA7A09"/>
    <w:rsid w:val="00AB0E63"/>
    <w:rsid w:val="00AB3B50"/>
    <w:rsid w:val="00AB4456"/>
    <w:rsid w:val="00AB7684"/>
    <w:rsid w:val="00AB7C7F"/>
    <w:rsid w:val="00AC05B1"/>
    <w:rsid w:val="00AD0566"/>
    <w:rsid w:val="00AD15C1"/>
    <w:rsid w:val="00AD356C"/>
    <w:rsid w:val="00AD3AC7"/>
    <w:rsid w:val="00AD7C4F"/>
    <w:rsid w:val="00AE2914"/>
    <w:rsid w:val="00AE389E"/>
    <w:rsid w:val="00AE6D15"/>
    <w:rsid w:val="00B0167E"/>
    <w:rsid w:val="00B01AE9"/>
    <w:rsid w:val="00B04182"/>
    <w:rsid w:val="00B05B01"/>
    <w:rsid w:val="00B07AE3"/>
    <w:rsid w:val="00B11430"/>
    <w:rsid w:val="00B14EF2"/>
    <w:rsid w:val="00B173B7"/>
    <w:rsid w:val="00B23353"/>
    <w:rsid w:val="00B353EB"/>
    <w:rsid w:val="00B439C4"/>
    <w:rsid w:val="00B449E8"/>
    <w:rsid w:val="00B4535E"/>
    <w:rsid w:val="00B47E88"/>
    <w:rsid w:val="00B51F7B"/>
    <w:rsid w:val="00B52A8C"/>
    <w:rsid w:val="00B557B5"/>
    <w:rsid w:val="00B6347C"/>
    <w:rsid w:val="00B636A8"/>
    <w:rsid w:val="00B665C6"/>
    <w:rsid w:val="00B75374"/>
    <w:rsid w:val="00B778EF"/>
    <w:rsid w:val="00B805AF"/>
    <w:rsid w:val="00B869EC"/>
    <w:rsid w:val="00B909B7"/>
    <w:rsid w:val="00B9397A"/>
    <w:rsid w:val="00B95604"/>
    <w:rsid w:val="00B9633D"/>
    <w:rsid w:val="00BA2988"/>
    <w:rsid w:val="00BA2EBE"/>
    <w:rsid w:val="00BA348D"/>
    <w:rsid w:val="00BA3A61"/>
    <w:rsid w:val="00BA6F27"/>
    <w:rsid w:val="00BB0F28"/>
    <w:rsid w:val="00BB458A"/>
    <w:rsid w:val="00BC1E9D"/>
    <w:rsid w:val="00BD00D3"/>
    <w:rsid w:val="00BD1659"/>
    <w:rsid w:val="00BD3AA9"/>
    <w:rsid w:val="00BD42D0"/>
    <w:rsid w:val="00BD4A18"/>
    <w:rsid w:val="00BD6B6A"/>
    <w:rsid w:val="00BD6DB2"/>
    <w:rsid w:val="00BE11CF"/>
    <w:rsid w:val="00BE21AB"/>
    <w:rsid w:val="00BE39B3"/>
    <w:rsid w:val="00BE55CB"/>
    <w:rsid w:val="00BF397E"/>
    <w:rsid w:val="00BF5544"/>
    <w:rsid w:val="00BF617A"/>
    <w:rsid w:val="00BF71D7"/>
    <w:rsid w:val="00C00CD5"/>
    <w:rsid w:val="00C03259"/>
    <w:rsid w:val="00C0379D"/>
    <w:rsid w:val="00C03931"/>
    <w:rsid w:val="00C05FE3"/>
    <w:rsid w:val="00C07894"/>
    <w:rsid w:val="00C13BD4"/>
    <w:rsid w:val="00C15122"/>
    <w:rsid w:val="00C17432"/>
    <w:rsid w:val="00C2136D"/>
    <w:rsid w:val="00C21407"/>
    <w:rsid w:val="00C214EE"/>
    <w:rsid w:val="00C2314B"/>
    <w:rsid w:val="00C24971"/>
    <w:rsid w:val="00C25D7A"/>
    <w:rsid w:val="00C26BE5"/>
    <w:rsid w:val="00C26E4D"/>
    <w:rsid w:val="00C27909"/>
    <w:rsid w:val="00C27B03"/>
    <w:rsid w:val="00C30FD8"/>
    <w:rsid w:val="00C314E1"/>
    <w:rsid w:val="00C34397"/>
    <w:rsid w:val="00C4095D"/>
    <w:rsid w:val="00C42498"/>
    <w:rsid w:val="00C5529F"/>
    <w:rsid w:val="00C601D2"/>
    <w:rsid w:val="00C65BCC"/>
    <w:rsid w:val="00C66970"/>
    <w:rsid w:val="00C72046"/>
    <w:rsid w:val="00C7281D"/>
    <w:rsid w:val="00C72CCA"/>
    <w:rsid w:val="00C74FEA"/>
    <w:rsid w:val="00C8691C"/>
    <w:rsid w:val="00C93BE1"/>
    <w:rsid w:val="00C978EB"/>
    <w:rsid w:val="00C97A35"/>
    <w:rsid w:val="00CA168A"/>
    <w:rsid w:val="00CA357E"/>
    <w:rsid w:val="00CA44F9"/>
    <w:rsid w:val="00CA4A69"/>
    <w:rsid w:val="00CA5532"/>
    <w:rsid w:val="00CA6313"/>
    <w:rsid w:val="00CC3E0C"/>
    <w:rsid w:val="00CC58D3"/>
    <w:rsid w:val="00CC784D"/>
    <w:rsid w:val="00CD113B"/>
    <w:rsid w:val="00CE30DA"/>
    <w:rsid w:val="00CE6761"/>
    <w:rsid w:val="00CF23D9"/>
    <w:rsid w:val="00CF3826"/>
    <w:rsid w:val="00CF5A49"/>
    <w:rsid w:val="00D01519"/>
    <w:rsid w:val="00D0337B"/>
    <w:rsid w:val="00D059DA"/>
    <w:rsid w:val="00D079B2"/>
    <w:rsid w:val="00D1113F"/>
    <w:rsid w:val="00D114E9"/>
    <w:rsid w:val="00D21992"/>
    <w:rsid w:val="00D30173"/>
    <w:rsid w:val="00D34C48"/>
    <w:rsid w:val="00D4074C"/>
    <w:rsid w:val="00D410D6"/>
    <w:rsid w:val="00D429C6"/>
    <w:rsid w:val="00D450B0"/>
    <w:rsid w:val="00D47748"/>
    <w:rsid w:val="00D54CC3"/>
    <w:rsid w:val="00D56184"/>
    <w:rsid w:val="00D6041A"/>
    <w:rsid w:val="00D60998"/>
    <w:rsid w:val="00D6328B"/>
    <w:rsid w:val="00D633EB"/>
    <w:rsid w:val="00D73B76"/>
    <w:rsid w:val="00D81654"/>
    <w:rsid w:val="00D823BB"/>
    <w:rsid w:val="00D82FF7"/>
    <w:rsid w:val="00D847FE"/>
    <w:rsid w:val="00D86D7E"/>
    <w:rsid w:val="00D964EA"/>
    <w:rsid w:val="00D966D0"/>
    <w:rsid w:val="00DA0C59"/>
    <w:rsid w:val="00DA3991"/>
    <w:rsid w:val="00DA4102"/>
    <w:rsid w:val="00DA6204"/>
    <w:rsid w:val="00DB197E"/>
    <w:rsid w:val="00DB4780"/>
    <w:rsid w:val="00DB4A79"/>
    <w:rsid w:val="00DB7E6C"/>
    <w:rsid w:val="00DC48EC"/>
    <w:rsid w:val="00DC4FCA"/>
    <w:rsid w:val="00DC5CED"/>
    <w:rsid w:val="00DD2BF2"/>
    <w:rsid w:val="00DD4458"/>
    <w:rsid w:val="00DD5A29"/>
    <w:rsid w:val="00DD5D9D"/>
    <w:rsid w:val="00DE3440"/>
    <w:rsid w:val="00DE35CB"/>
    <w:rsid w:val="00DE3B9E"/>
    <w:rsid w:val="00DF21E9"/>
    <w:rsid w:val="00DF5690"/>
    <w:rsid w:val="00DF72CA"/>
    <w:rsid w:val="00E00F14"/>
    <w:rsid w:val="00E06386"/>
    <w:rsid w:val="00E06428"/>
    <w:rsid w:val="00E24EB4"/>
    <w:rsid w:val="00E30402"/>
    <w:rsid w:val="00E320ED"/>
    <w:rsid w:val="00E33AFB"/>
    <w:rsid w:val="00E34218"/>
    <w:rsid w:val="00E36BC4"/>
    <w:rsid w:val="00E3717C"/>
    <w:rsid w:val="00E403FF"/>
    <w:rsid w:val="00E40895"/>
    <w:rsid w:val="00E46282"/>
    <w:rsid w:val="00E46668"/>
    <w:rsid w:val="00E5216E"/>
    <w:rsid w:val="00E56CC4"/>
    <w:rsid w:val="00E66F7B"/>
    <w:rsid w:val="00E71528"/>
    <w:rsid w:val="00E73296"/>
    <w:rsid w:val="00E82344"/>
    <w:rsid w:val="00E84C82"/>
    <w:rsid w:val="00E84D64"/>
    <w:rsid w:val="00E87408"/>
    <w:rsid w:val="00E914C4"/>
    <w:rsid w:val="00E91C2E"/>
    <w:rsid w:val="00E92D55"/>
    <w:rsid w:val="00E934F5"/>
    <w:rsid w:val="00E96961"/>
    <w:rsid w:val="00EA22B6"/>
    <w:rsid w:val="00EA72EC"/>
    <w:rsid w:val="00EA7D7A"/>
    <w:rsid w:val="00EB11CB"/>
    <w:rsid w:val="00EB1DE7"/>
    <w:rsid w:val="00EB275A"/>
    <w:rsid w:val="00EB786A"/>
    <w:rsid w:val="00EC1578"/>
    <w:rsid w:val="00EC1C72"/>
    <w:rsid w:val="00EC3CC9"/>
    <w:rsid w:val="00EC680A"/>
    <w:rsid w:val="00ED79F1"/>
    <w:rsid w:val="00EE0F20"/>
    <w:rsid w:val="00EE1D66"/>
    <w:rsid w:val="00EE2BED"/>
    <w:rsid w:val="00EE2FC7"/>
    <w:rsid w:val="00EE3250"/>
    <w:rsid w:val="00EE374B"/>
    <w:rsid w:val="00F017E8"/>
    <w:rsid w:val="00F11BB5"/>
    <w:rsid w:val="00F11C31"/>
    <w:rsid w:val="00F1417B"/>
    <w:rsid w:val="00F142DC"/>
    <w:rsid w:val="00F152D5"/>
    <w:rsid w:val="00F20B69"/>
    <w:rsid w:val="00F21AE2"/>
    <w:rsid w:val="00F22951"/>
    <w:rsid w:val="00F2693E"/>
    <w:rsid w:val="00F32652"/>
    <w:rsid w:val="00F34B99"/>
    <w:rsid w:val="00F35FE4"/>
    <w:rsid w:val="00F36767"/>
    <w:rsid w:val="00F41E4A"/>
    <w:rsid w:val="00F52DAB"/>
    <w:rsid w:val="00F543F0"/>
    <w:rsid w:val="00F76DEE"/>
    <w:rsid w:val="00F77A53"/>
    <w:rsid w:val="00F80E93"/>
    <w:rsid w:val="00F81D29"/>
    <w:rsid w:val="00F91C4D"/>
    <w:rsid w:val="00F92FD9"/>
    <w:rsid w:val="00FA147C"/>
    <w:rsid w:val="00FA19B1"/>
    <w:rsid w:val="00FA6684"/>
    <w:rsid w:val="00FA731E"/>
    <w:rsid w:val="00FB2103"/>
    <w:rsid w:val="00FB2B38"/>
    <w:rsid w:val="00FB6891"/>
    <w:rsid w:val="00FC47CE"/>
    <w:rsid w:val="00FC5652"/>
    <w:rsid w:val="00FC6358"/>
    <w:rsid w:val="00FD2370"/>
    <w:rsid w:val="00FD320D"/>
    <w:rsid w:val="00FD382B"/>
    <w:rsid w:val="00FD5A9F"/>
    <w:rsid w:val="00FD6B46"/>
    <w:rsid w:val="00FD7E15"/>
    <w:rsid w:val="00FE1F6F"/>
    <w:rsid w:val="00FE23DE"/>
    <w:rsid w:val="00FE358F"/>
    <w:rsid w:val="00FF7A0F"/>
    <w:rsid w:val="01177115"/>
    <w:rsid w:val="014B69DF"/>
    <w:rsid w:val="02881AEB"/>
    <w:rsid w:val="04D86049"/>
    <w:rsid w:val="05873907"/>
    <w:rsid w:val="06BB6814"/>
    <w:rsid w:val="06C97E23"/>
    <w:rsid w:val="07885F8F"/>
    <w:rsid w:val="07D173AB"/>
    <w:rsid w:val="0A4B6EF0"/>
    <w:rsid w:val="0A7A582D"/>
    <w:rsid w:val="0D6B62F1"/>
    <w:rsid w:val="0FAC0838"/>
    <w:rsid w:val="122910F0"/>
    <w:rsid w:val="14B4303F"/>
    <w:rsid w:val="16843D4D"/>
    <w:rsid w:val="1ED37A0C"/>
    <w:rsid w:val="1F1938F9"/>
    <w:rsid w:val="21007A73"/>
    <w:rsid w:val="210B5500"/>
    <w:rsid w:val="212C7A87"/>
    <w:rsid w:val="22BC56C6"/>
    <w:rsid w:val="235524BF"/>
    <w:rsid w:val="28E462BA"/>
    <w:rsid w:val="2F0B2AA1"/>
    <w:rsid w:val="31424714"/>
    <w:rsid w:val="36DE73C6"/>
    <w:rsid w:val="38394934"/>
    <w:rsid w:val="38FF3947"/>
    <w:rsid w:val="3AC0271A"/>
    <w:rsid w:val="3F852E96"/>
    <w:rsid w:val="42214C43"/>
    <w:rsid w:val="431B4806"/>
    <w:rsid w:val="454B5587"/>
    <w:rsid w:val="467A4324"/>
    <w:rsid w:val="4A385316"/>
    <w:rsid w:val="4AA4064E"/>
    <w:rsid w:val="4C046C2F"/>
    <w:rsid w:val="4D432C3D"/>
    <w:rsid w:val="4EA5382D"/>
    <w:rsid w:val="4FE730BF"/>
    <w:rsid w:val="505231E1"/>
    <w:rsid w:val="51E81EF9"/>
    <w:rsid w:val="52C33C21"/>
    <w:rsid w:val="53DF0045"/>
    <w:rsid w:val="55542D04"/>
    <w:rsid w:val="555830EF"/>
    <w:rsid w:val="580E0826"/>
    <w:rsid w:val="58CF446B"/>
    <w:rsid w:val="59767C0D"/>
    <w:rsid w:val="5C554682"/>
    <w:rsid w:val="5DD54DE6"/>
    <w:rsid w:val="5DDF6C98"/>
    <w:rsid w:val="603D4C25"/>
    <w:rsid w:val="61580A7F"/>
    <w:rsid w:val="64D11D40"/>
    <w:rsid w:val="66322BAE"/>
    <w:rsid w:val="67091004"/>
    <w:rsid w:val="677B1AAD"/>
    <w:rsid w:val="68015305"/>
    <w:rsid w:val="68971B84"/>
    <w:rsid w:val="6C271AA5"/>
    <w:rsid w:val="6D190C5C"/>
    <w:rsid w:val="715E57B6"/>
    <w:rsid w:val="71D07D19"/>
    <w:rsid w:val="73F20AE2"/>
    <w:rsid w:val="75422581"/>
    <w:rsid w:val="755D0218"/>
    <w:rsid w:val="76216B2C"/>
    <w:rsid w:val="77E31995"/>
    <w:rsid w:val="77F92A26"/>
    <w:rsid w:val="78D663FE"/>
    <w:rsid w:val="78E94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index 6"/>
    <w:basedOn w:val="1"/>
    <w:next w:val="1"/>
    <w:qFormat/>
    <w:uiPriority w:val="0"/>
    <w:pPr>
      <w:ind w:left="1260" w:hanging="210"/>
      <w:jc w:val="left"/>
    </w:pPr>
    <w:rPr>
      <w:rFonts w:ascii="Calibri" w:hAnsi="Calibri"/>
      <w:sz w:val="20"/>
      <w:szCs w:val="20"/>
    </w:rPr>
  </w:style>
  <w:style w:type="paragraph" w:styleId="8">
    <w:name w:val="index 4"/>
    <w:basedOn w:val="1"/>
    <w:next w:val="1"/>
    <w:qFormat/>
    <w:uiPriority w:val="0"/>
    <w:pPr>
      <w:ind w:left="840" w:hanging="210"/>
      <w:jc w:val="left"/>
    </w:pPr>
    <w:rPr>
      <w:rFonts w:ascii="Calibri" w:hAnsi="Calibri"/>
      <w:sz w:val="20"/>
      <w:szCs w:val="20"/>
    </w:rPr>
  </w:style>
  <w:style w:type="paragraph" w:styleId="9">
    <w:name w:val="toc 5"/>
    <w:basedOn w:val="1"/>
    <w:next w:val="1"/>
    <w:semiHidden/>
    <w:qFormat/>
    <w:uiPriority w:val="0"/>
    <w:pPr>
      <w:tabs>
        <w:tab w:val="right" w:leader="dot" w:pos="9241"/>
      </w:tabs>
      <w:ind w:firstLine="300" w:firstLineChars="300"/>
      <w:jc w:val="left"/>
    </w:pPr>
    <w:rPr>
      <w:rFonts w:ascii="宋体"/>
      <w:szCs w:val="21"/>
    </w:rPr>
  </w:style>
  <w:style w:type="paragraph" w:styleId="10">
    <w:name w:val="toc 3"/>
    <w:basedOn w:val="1"/>
    <w:next w:val="1"/>
    <w:semiHidden/>
    <w:qFormat/>
    <w:uiPriority w:val="0"/>
    <w:pPr>
      <w:tabs>
        <w:tab w:val="right" w:leader="dot" w:pos="9241"/>
      </w:tabs>
      <w:ind w:firstLine="102" w:firstLineChars="100"/>
      <w:jc w:val="left"/>
    </w:pPr>
    <w:rPr>
      <w:rFonts w:ascii="宋体"/>
      <w:szCs w:val="21"/>
    </w:rPr>
  </w:style>
  <w:style w:type="paragraph" w:styleId="11">
    <w:name w:val="Plain Text"/>
    <w:basedOn w:val="1"/>
    <w:link w:val="134"/>
    <w:qFormat/>
    <w:uiPriority w:val="0"/>
    <w:rPr>
      <w:rFonts w:ascii="宋体" w:hAnsi="Courier New"/>
      <w:szCs w:val="20"/>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136"/>
    <w:qFormat/>
    <w:uiPriority w:val="99"/>
    <w:rPr>
      <w:sz w:val="18"/>
      <w:szCs w:val="18"/>
    </w:rPr>
  </w:style>
  <w:style w:type="paragraph" w:styleId="16">
    <w:name w:val="footer"/>
    <w:basedOn w:val="1"/>
    <w:link w:val="138"/>
    <w:qFormat/>
    <w:uiPriority w:val="99"/>
    <w:pPr>
      <w:snapToGrid w:val="0"/>
      <w:ind w:right="210" w:rightChars="100"/>
      <w:jc w:val="right"/>
    </w:pPr>
    <w:rPr>
      <w:sz w:val="18"/>
      <w:szCs w:val="18"/>
    </w:rPr>
  </w:style>
  <w:style w:type="paragraph" w:styleId="17">
    <w:name w:val="header"/>
    <w:basedOn w:val="1"/>
    <w:link w:val="137"/>
    <w:qFormat/>
    <w:uiPriority w:val="99"/>
    <w:pPr>
      <w:snapToGrid w:val="0"/>
      <w:jc w:val="left"/>
    </w:pPr>
    <w:rPr>
      <w:sz w:val="18"/>
      <w:szCs w:val="18"/>
    </w:rPr>
  </w:style>
  <w:style w:type="paragraph" w:styleId="18">
    <w:name w:val="toc 1"/>
    <w:basedOn w:val="1"/>
    <w:next w:val="1"/>
    <w:semiHidden/>
    <w:qFormat/>
    <w:uiPriority w:val="0"/>
    <w:pPr>
      <w:tabs>
        <w:tab w:val="right" w:leader="dot" w:pos="9241"/>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38"/>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semiHidden/>
    <w:qFormat/>
    <w:uiPriority w:val="0"/>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3">
    <w:name w:val="endnote reference"/>
    <w:basedOn w:val="32"/>
    <w:semiHidden/>
    <w:qFormat/>
    <w:uiPriority w:val="0"/>
    <w:rPr>
      <w:vertAlign w:val="superscript"/>
    </w:rPr>
  </w:style>
  <w:style w:type="character" w:styleId="34">
    <w:name w:val="page number"/>
    <w:basedOn w:val="32"/>
    <w:qFormat/>
    <w:uiPriority w:val="99"/>
    <w:rPr>
      <w:rFonts w:ascii="Times New Roman" w:hAnsi="Times New Roman" w:eastAsia="宋体"/>
      <w:sz w:val="18"/>
    </w:rPr>
  </w:style>
  <w:style w:type="character" w:styleId="35">
    <w:name w:val="FollowedHyperlink"/>
    <w:basedOn w:val="32"/>
    <w:qFormat/>
    <w:uiPriority w:val="0"/>
    <w:rPr>
      <w:color w:val="800080"/>
      <w:u w:val="single"/>
    </w:rPr>
  </w:style>
  <w:style w:type="character" w:styleId="36">
    <w:name w:val="Hyperlink"/>
    <w:basedOn w:val="32"/>
    <w:qFormat/>
    <w:uiPriority w:val="0"/>
    <w:rPr>
      <w:color w:val="0000FF"/>
      <w:spacing w:val="0"/>
      <w:w w:val="100"/>
      <w:szCs w:val="21"/>
      <w:u w:val="single"/>
    </w:rPr>
  </w:style>
  <w:style w:type="character" w:styleId="37">
    <w:name w:val="footnote reference"/>
    <w:basedOn w:val="32"/>
    <w:semiHidden/>
    <w:qFormat/>
    <w:uiPriority w:val="0"/>
    <w:rPr>
      <w:vertAlign w:val="superscript"/>
    </w:rPr>
  </w:style>
  <w:style w:type="character" w:customStyle="1" w:styleId="38">
    <w:name w:val="段 Char"/>
    <w:basedOn w:val="32"/>
    <w:link w:val="22"/>
    <w:qFormat/>
    <w:uiPriority w:val="99"/>
    <w:rPr>
      <w:rFonts w:ascii="宋体"/>
      <w:sz w:val="21"/>
      <w:lang w:val="en-US" w:eastAsia="zh-CN" w:bidi="ar-SA"/>
    </w:rPr>
  </w:style>
  <w:style w:type="paragraph" w:customStyle="1" w:styleId="39">
    <w:name w:val="一级条标题"/>
    <w:next w:val="22"/>
    <w:link w:val="168"/>
    <w:qFormat/>
    <w:uiPriority w:val="99"/>
    <w:pPr>
      <w:numPr>
        <w:ilvl w:val="1"/>
        <w:numId w:val="2"/>
      </w:numPr>
      <w:spacing w:before="50" w:beforeLines="50" w:after="50" w:afterLines="50"/>
      <w:outlineLvl w:val="2"/>
    </w:pPr>
    <w:rPr>
      <w:rFonts w:ascii="黑体" w:hAnsi="黑体" w:eastAsia="黑体" w:cs="Times New Roman"/>
      <w:sz w:val="21"/>
      <w:szCs w:val="21"/>
      <w:lang w:val="en-US" w:eastAsia="zh-CN" w:bidi="ar-SA"/>
    </w:rPr>
  </w:style>
  <w:style w:type="paragraph" w:customStyle="1" w:styleId="40">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41">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2">
    <w:name w:val="章标题"/>
    <w:next w:val="22"/>
    <w:qFormat/>
    <w:uiPriority w:val="99"/>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3">
    <w:name w:val="二级条标题"/>
    <w:basedOn w:val="39"/>
    <w:next w:val="22"/>
    <w:qFormat/>
    <w:uiPriority w:val="99"/>
    <w:pPr>
      <w:numPr>
        <w:ilvl w:val="2"/>
      </w:numPr>
      <w:spacing w:before="50" w:after="50"/>
      <w:outlineLvl w:val="3"/>
    </w:pPr>
  </w:style>
  <w:style w:type="paragraph" w:customStyle="1" w:styleId="4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5">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6">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7">
    <w:name w:val="目次、标准名称标题"/>
    <w:basedOn w:val="1"/>
    <w:next w:val="22"/>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8">
    <w:name w:val="三级条标题"/>
    <w:basedOn w:val="43"/>
    <w:next w:val="22"/>
    <w:qFormat/>
    <w:uiPriority w:val="99"/>
    <w:pPr>
      <w:numPr>
        <w:ilvl w:val="3"/>
      </w:numPr>
      <w:outlineLvl w:val="4"/>
    </w:pPr>
  </w:style>
  <w:style w:type="paragraph" w:customStyle="1" w:styleId="49">
    <w:name w:val="示例"/>
    <w:next w:val="50"/>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1">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52">
    <w:name w:val="四级条标题"/>
    <w:basedOn w:val="48"/>
    <w:next w:val="22"/>
    <w:qFormat/>
    <w:uiPriority w:val="99"/>
    <w:pPr>
      <w:numPr>
        <w:ilvl w:val="4"/>
      </w:numPr>
      <w:outlineLvl w:val="5"/>
    </w:pPr>
  </w:style>
  <w:style w:type="paragraph" w:customStyle="1" w:styleId="53">
    <w:name w:val="五级条标题"/>
    <w:basedOn w:val="52"/>
    <w:next w:val="22"/>
    <w:qFormat/>
    <w:uiPriority w:val="99"/>
    <w:pPr>
      <w:numPr>
        <w:ilvl w:val="5"/>
      </w:numPr>
      <w:outlineLvl w:val="6"/>
    </w:pPr>
  </w:style>
  <w:style w:type="paragraph" w:customStyle="1" w:styleId="54">
    <w:name w:val="注："/>
    <w:next w:val="22"/>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5">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6">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57">
    <w:name w:val="列项◆（三级）"/>
    <w:basedOn w:val="1"/>
    <w:qFormat/>
    <w:uiPriority w:val="0"/>
    <w:pPr>
      <w:numPr>
        <w:ilvl w:val="2"/>
        <w:numId w:val="3"/>
      </w:numPr>
    </w:pPr>
    <w:rPr>
      <w:rFonts w:ascii="宋体"/>
      <w:szCs w:val="21"/>
    </w:rPr>
  </w:style>
  <w:style w:type="paragraph" w:customStyle="1" w:styleId="58">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59">
    <w:name w:val="示例×："/>
    <w:basedOn w:val="42"/>
    <w:qFormat/>
    <w:uiPriority w:val="0"/>
    <w:pPr>
      <w:numPr>
        <w:numId w:val="0"/>
      </w:numPr>
      <w:spacing w:beforeLines="0" w:afterLines="0"/>
      <w:ind w:firstLine="363"/>
      <w:outlineLvl w:val="9"/>
    </w:pPr>
    <w:rPr>
      <w:rFonts w:ascii="宋体" w:eastAsia="宋体"/>
      <w:sz w:val="18"/>
      <w:szCs w:val="18"/>
    </w:rPr>
  </w:style>
  <w:style w:type="paragraph" w:customStyle="1" w:styleId="60">
    <w:name w:val="二级无"/>
    <w:basedOn w:val="43"/>
    <w:qFormat/>
    <w:uiPriority w:val="99"/>
    <w:pPr>
      <w:spacing w:beforeLines="0" w:afterLines="0"/>
    </w:pPr>
    <w:rPr>
      <w:rFonts w:ascii="宋体" w:eastAsia="宋体"/>
    </w:rPr>
  </w:style>
  <w:style w:type="paragraph" w:customStyle="1" w:styleId="61">
    <w:name w:val="注：（正文）"/>
    <w:basedOn w:val="54"/>
    <w:next w:val="22"/>
    <w:qFormat/>
    <w:uiPriority w:val="0"/>
  </w:style>
  <w:style w:type="paragraph" w:customStyle="1" w:styleId="62">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6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4">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6">
    <w:name w:val="标准书眉_偶数页"/>
    <w:basedOn w:val="41"/>
    <w:next w:val="1"/>
    <w:qFormat/>
    <w:uiPriority w:val="0"/>
    <w:pPr>
      <w:jc w:val="left"/>
    </w:pPr>
  </w:style>
  <w:style w:type="paragraph" w:customStyle="1" w:styleId="67">
    <w:name w:val="标准书眉一"/>
    <w:qFormat/>
    <w:uiPriority w:val="0"/>
    <w:pPr>
      <w:jc w:val="both"/>
    </w:pPr>
    <w:rPr>
      <w:rFonts w:ascii="Times New Roman" w:hAnsi="Times New Roman" w:eastAsia="宋体" w:cs="Times New Roman"/>
      <w:lang w:val="en-US" w:eastAsia="zh-CN" w:bidi="ar-SA"/>
    </w:rPr>
  </w:style>
  <w:style w:type="paragraph" w:customStyle="1" w:styleId="68">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9">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0">
    <w:name w:val="发布"/>
    <w:basedOn w:val="32"/>
    <w:qFormat/>
    <w:uiPriority w:val="0"/>
    <w:rPr>
      <w:rFonts w:ascii="黑体" w:eastAsia="黑体"/>
      <w:spacing w:val="85"/>
      <w:w w:val="100"/>
      <w:position w:val="3"/>
      <w:sz w:val="28"/>
      <w:szCs w:val="28"/>
    </w:rPr>
  </w:style>
  <w:style w:type="paragraph" w:customStyle="1" w:styleId="71">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封面标准英文名称"/>
    <w:basedOn w:val="75"/>
    <w:qFormat/>
    <w:uiPriority w:val="0"/>
    <w:pPr>
      <w:framePr w:wrap="around"/>
      <w:spacing w:before="370" w:line="400" w:lineRule="exact"/>
    </w:pPr>
    <w:rPr>
      <w:rFonts w:ascii="Times New Roman"/>
      <w:sz w:val="28"/>
      <w:szCs w:val="28"/>
    </w:rPr>
  </w:style>
  <w:style w:type="paragraph" w:customStyle="1" w:styleId="77">
    <w:name w:val="封面一致性程度标识"/>
    <w:basedOn w:val="76"/>
    <w:qFormat/>
    <w:uiPriority w:val="0"/>
    <w:pPr>
      <w:framePr w:wrap="around"/>
      <w:spacing w:before="440"/>
    </w:pPr>
    <w:rPr>
      <w:rFonts w:ascii="宋体" w:eastAsia="宋体"/>
    </w:rPr>
  </w:style>
  <w:style w:type="paragraph" w:customStyle="1" w:styleId="78">
    <w:name w:val="封面标准文稿类别"/>
    <w:basedOn w:val="77"/>
    <w:qFormat/>
    <w:uiPriority w:val="0"/>
    <w:pPr>
      <w:framePr w:wrap="around"/>
      <w:spacing w:after="160" w:line="240" w:lineRule="auto"/>
    </w:pPr>
    <w:rPr>
      <w:sz w:val="24"/>
    </w:rPr>
  </w:style>
  <w:style w:type="paragraph" w:customStyle="1" w:styleId="79">
    <w:name w:val="封面标准文稿编辑信息"/>
    <w:basedOn w:val="78"/>
    <w:qFormat/>
    <w:uiPriority w:val="0"/>
    <w:pPr>
      <w:framePr w:wrap="around"/>
      <w:spacing w:before="180" w:line="180" w:lineRule="exact"/>
    </w:pPr>
    <w:rPr>
      <w:sz w:val="21"/>
    </w:rPr>
  </w:style>
  <w:style w:type="paragraph" w:customStyle="1" w:styleId="80">
    <w:name w:val="封面正文"/>
    <w:qFormat/>
    <w:uiPriority w:val="0"/>
    <w:pPr>
      <w:jc w:val="both"/>
    </w:pPr>
    <w:rPr>
      <w:rFonts w:ascii="Times New Roman" w:hAnsi="Times New Roman" w:eastAsia="宋体" w:cs="Times New Roman"/>
      <w:lang w:val="en-US" w:eastAsia="zh-CN" w:bidi="ar-SA"/>
    </w:rPr>
  </w:style>
  <w:style w:type="paragraph" w:customStyle="1" w:styleId="81">
    <w:name w:val="附录标识"/>
    <w:basedOn w:val="1"/>
    <w:next w:val="22"/>
    <w:qFormat/>
    <w:uiPriority w:val="99"/>
    <w:pPr>
      <w:keepNext/>
      <w:widowControl/>
      <w:numPr>
        <w:ilvl w:val="0"/>
        <w:numId w:val="6"/>
      </w:numPr>
      <w:shd w:val="clear" w:color="FFFFFF" w:fill="FFFFFF"/>
      <w:tabs>
        <w:tab w:val="left" w:pos="360"/>
        <w:tab w:val="left" w:pos="6405"/>
      </w:tabs>
      <w:spacing w:before="640" w:after="280"/>
      <w:ind w:left="4305"/>
      <w:jc w:val="center"/>
      <w:outlineLvl w:val="0"/>
    </w:pPr>
    <w:rPr>
      <w:rFonts w:ascii="黑体" w:eastAsia="黑体"/>
      <w:kern w:val="0"/>
      <w:szCs w:val="20"/>
    </w:rPr>
  </w:style>
  <w:style w:type="paragraph" w:customStyle="1" w:styleId="82">
    <w:name w:val="附录标题"/>
    <w:basedOn w:val="22"/>
    <w:next w:val="22"/>
    <w:qFormat/>
    <w:uiPriority w:val="0"/>
    <w:pPr>
      <w:ind w:firstLine="0" w:firstLineChars="0"/>
      <w:jc w:val="center"/>
    </w:pPr>
    <w:rPr>
      <w:rFonts w:ascii="黑体" w:eastAsia="黑体"/>
    </w:rPr>
  </w:style>
  <w:style w:type="paragraph" w:customStyle="1" w:styleId="83">
    <w:name w:val="附录表标号"/>
    <w:basedOn w:val="1"/>
    <w:next w:val="22"/>
    <w:qFormat/>
    <w:uiPriority w:val="99"/>
    <w:pPr>
      <w:numPr>
        <w:ilvl w:val="0"/>
        <w:numId w:val="7"/>
      </w:numPr>
      <w:tabs>
        <w:tab w:val="clear" w:pos="0"/>
      </w:tabs>
      <w:spacing w:line="14" w:lineRule="exact"/>
      <w:ind w:left="811" w:hanging="448"/>
      <w:jc w:val="center"/>
      <w:outlineLvl w:val="0"/>
    </w:pPr>
    <w:rPr>
      <w:color w:val="FFFFFF"/>
    </w:rPr>
  </w:style>
  <w:style w:type="paragraph" w:customStyle="1" w:styleId="84">
    <w:name w:val="附录表标题"/>
    <w:basedOn w:val="1"/>
    <w:next w:val="22"/>
    <w:qFormat/>
    <w:uiPriority w:val="99"/>
    <w:pPr>
      <w:numPr>
        <w:ilvl w:val="1"/>
        <w:numId w:val="7"/>
      </w:numPr>
      <w:tabs>
        <w:tab w:val="left" w:pos="180"/>
      </w:tabs>
      <w:spacing w:beforeLines="50" w:afterLines="50"/>
      <w:ind w:left="0" w:firstLine="0"/>
      <w:jc w:val="center"/>
    </w:pPr>
    <w:rPr>
      <w:rFonts w:ascii="黑体" w:eastAsia="黑体"/>
      <w:szCs w:val="21"/>
    </w:rPr>
  </w:style>
  <w:style w:type="paragraph" w:customStyle="1" w:styleId="85">
    <w:name w:val="附录二级条标题"/>
    <w:basedOn w:val="1"/>
    <w:next w:val="22"/>
    <w:qFormat/>
    <w:uiPriority w:val="99"/>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6">
    <w:name w:val="附录二级无"/>
    <w:basedOn w:val="85"/>
    <w:qFormat/>
    <w:uiPriority w:val="0"/>
    <w:pPr>
      <w:tabs>
        <w:tab w:val="clear" w:pos="360"/>
      </w:tabs>
      <w:spacing w:beforeLines="0" w:afterLines="0"/>
    </w:pPr>
    <w:rPr>
      <w:rFonts w:ascii="宋体" w:eastAsia="宋体"/>
      <w:szCs w:val="21"/>
    </w:rPr>
  </w:style>
  <w:style w:type="paragraph" w:customStyle="1" w:styleId="87">
    <w:name w:val="附录公式"/>
    <w:basedOn w:val="22"/>
    <w:next w:val="22"/>
    <w:link w:val="88"/>
    <w:qFormat/>
    <w:uiPriority w:val="0"/>
  </w:style>
  <w:style w:type="character" w:customStyle="1" w:styleId="88">
    <w:name w:val="附录公式 Char"/>
    <w:basedOn w:val="38"/>
    <w:link w:val="87"/>
    <w:qFormat/>
    <w:uiPriority w:val="0"/>
  </w:style>
  <w:style w:type="paragraph" w:customStyle="1" w:styleId="89">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0">
    <w:name w:val="附录三级条标题"/>
    <w:basedOn w:val="85"/>
    <w:next w:val="22"/>
    <w:qFormat/>
    <w:uiPriority w:val="99"/>
    <w:pPr>
      <w:numPr>
        <w:ilvl w:val="4"/>
      </w:numPr>
      <w:outlineLvl w:val="4"/>
    </w:pPr>
  </w:style>
  <w:style w:type="paragraph" w:customStyle="1" w:styleId="91">
    <w:name w:val="附录三级无"/>
    <w:basedOn w:val="90"/>
    <w:qFormat/>
    <w:uiPriority w:val="0"/>
    <w:pPr>
      <w:tabs>
        <w:tab w:val="clear" w:pos="360"/>
      </w:tabs>
      <w:spacing w:beforeLines="0" w:afterLines="0"/>
    </w:pPr>
    <w:rPr>
      <w:rFonts w:ascii="宋体" w:eastAsia="宋体"/>
      <w:szCs w:val="21"/>
    </w:rPr>
  </w:style>
  <w:style w:type="paragraph" w:customStyle="1" w:styleId="92">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93">
    <w:name w:val="附录四级条标题"/>
    <w:basedOn w:val="90"/>
    <w:next w:val="22"/>
    <w:qFormat/>
    <w:uiPriority w:val="99"/>
    <w:pPr>
      <w:numPr>
        <w:ilvl w:val="5"/>
      </w:numPr>
      <w:outlineLvl w:val="5"/>
    </w:pPr>
  </w:style>
  <w:style w:type="paragraph" w:customStyle="1" w:styleId="94">
    <w:name w:val="附录四级无"/>
    <w:basedOn w:val="93"/>
    <w:qFormat/>
    <w:uiPriority w:val="0"/>
    <w:pPr>
      <w:tabs>
        <w:tab w:val="clear" w:pos="360"/>
      </w:tabs>
      <w:spacing w:beforeLines="0" w:afterLines="0"/>
    </w:pPr>
    <w:rPr>
      <w:rFonts w:ascii="宋体" w:eastAsia="宋体"/>
      <w:szCs w:val="21"/>
    </w:rPr>
  </w:style>
  <w:style w:type="paragraph" w:customStyle="1" w:styleId="95">
    <w:name w:val="附录图标号"/>
    <w:basedOn w:val="1"/>
    <w:qFormat/>
    <w:uiPriority w:val="0"/>
    <w:pPr>
      <w:keepNext/>
      <w:pageBreakBefore/>
      <w:widowControl/>
      <w:numPr>
        <w:ilvl w:val="0"/>
        <w:numId w:val="9"/>
      </w:numPr>
      <w:spacing w:line="14" w:lineRule="exact"/>
      <w:ind w:left="0" w:firstLine="363"/>
      <w:jc w:val="center"/>
      <w:outlineLvl w:val="0"/>
    </w:pPr>
    <w:rPr>
      <w:color w:val="FFFFFF"/>
    </w:rPr>
  </w:style>
  <w:style w:type="paragraph" w:customStyle="1" w:styleId="96">
    <w:name w:val="附录图标题"/>
    <w:basedOn w:val="1"/>
    <w:next w:val="22"/>
    <w:qFormat/>
    <w:uiPriority w:val="0"/>
    <w:pPr>
      <w:numPr>
        <w:ilvl w:val="1"/>
        <w:numId w:val="9"/>
      </w:numPr>
      <w:tabs>
        <w:tab w:val="left" w:pos="363"/>
      </w:tabs>
      <w:spacing w:beforeLines="50" w:afterLines="50"/>
      <w:ind w:left="0" w:firstLine="0"/>
      <w:jc w:val="center"/>
    </w:pPr>
    <w:rPr>
      <w:rFonts w:ascii="黑体" w:eastAsia="黑体"/>
      <w:szCs w:val="21"/>
    </w:rPr>
  </w:style>
  <w:style w:type="paragraph" w:customStyle="1" w:styleId="97">
    <w:name w:val="附录五级条标题"/>
    <w:basedOn w:val="93"/>
    <w:next w:val="22"/>
    <w:qFormat/>
    <w:uiPriority w:val="99"/>
    <w:pPr>
      <w:numPr>
        <w:ilvl w:val="6"/>
      </w:numPr>
      <w:outlineLvl w:val="6"/>
    </w:pPr>
  </w:style>
  <w:style w:type="paragraph" w:customStyle="1" w:styleId="98">
    <w:name w:val="附录五级无"/>
    <w:basedOn w:val="97"/>
    <w:qFormat/>
    <w:uiPriority w:val="0"/>
    <w:pPr>
      <w:tabs>
        <w:tab w:val="clear" w:pos="360"/>
      </w:tabs>
      <w:spacing w:beforeLines="0" w:afterLines="0"/>
    </w:pPr>
    <w:rPr>
      <w:rFonts w:ascii="宋体" w:eastAsia="宋体"/>
      <w:szCs w:val="21"/>
    </w:rPr>
  </w:style>
  <w:style w:type="paragraph" w:customStyle="1" w:styleId="99">
    <w:name w:val="附录章标题"/>
    <w:next w:val="22"/>
    <w:qFormat/>
    <w:uiPriority w:val="99"/>
    <w:pPr>
      <w:numPr>
        <w:ilvl w:val="1"/>
        <w:numId w:val="6"/>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0">
    <w:name w:val="附录一级条标题"/>
    <w:basedOn w:val="99"/>
    <w:next w:val="22"/>
    <w:qFormat/>
    <w:uiPriority w:val="99"/>
    <w:pPr>
      <w:numPr>
        <w:ilvl w:val="2"/>
      </w:numPr>
      <w:autoSpaceDN w:val="0"/>
      <w:spacing w:beforeLines="50" w:afterLines="50"/>
      <w:outlineLvl w:val="2"/>
    </w:pPr>
  </w:style>
  <w:style w:type="paragraph" w:customStyle="1" w:styleId="101">
    <w:name w:val="附录一级无"/>
    <w:basedOn w:val="100"/>
    <w:qFormat/>
    <w:uiPriority w:val="99"/>
    <w:pPr>
      <w:tabs>
        <w:tab w:val="clear" w:pos="360"/>
      </w:tabs>
      <w:spacing w:beforeLines="0" w:afterLines="0"/>
    </w:pPr>
    <w:rPr>
      <w:rFonts w:ascii="宋体" w:eastAsia="宋体"/>
      <w:szCs w:val="21"/>
    </w:rPr>
  </w:style>
  <w:style w:type="paragraph" w:customStyle="1" w:styleId="102">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0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6">
    <w:name w:val="其他标准标志"/>
    <w:basedOn w:val="63"/>
    <w:qFormat/>
    <w:uiPriority w:val="0"/>
    <w:pPr>
      <w:framePr w:w="6101" w:wrap="around" w:vAnchor="page" w:hAnchor="page" w:x="4673" w:y="942"/>
    </w:pPr>
    <w:rPr>
      <w:w w:val="130"/>
    </w:rPr>
  </w:style>
  <w:style w:type="paragraph" w:customStyle="1" w:styleId="10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8">
    <w:name w:val="其他发布部门"/>
    <w:basedOn w:val="71"/>
    <w:qFormat/>
    <w:uiPriority w:val="0"/>
    <w:pPr>
      <w:framePr w:wrap="around" w:y="15310"/>
      <w:spacing w:line="0" w:lineRule="atLeast"/>
    </w:pPr>
    <w:rPr>
      <w:rFonts w:ascii="黑体" w:eastAsia="黑体"/>
      <w:b w:val="0"/>
    </w:rPr>
  </w:style>
  <w:style w:type="paragraph" w:customStyle="1" w:styleId="109">
    <w:name w:val="前言、引言标题"/>
    <w:next w:val="22"/>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0">
    <w:name w:val="三级无"/>
    <w:basedOn w:val="48"/>
    <w:qFormat/>
    <w:uiPriority w:val="99"/>
    <w:pPr>
      <w:spacing w:beforeLines="0" w:afterLines="0"/>
    </w:pPr>
    <w:rPr>
      <w:rFonts w:ascii="宋体" w:eastAsia="宋体"/>
    </w:rPr>
  </w:style>
  <w:style w:type="paragraph" w:customStyle="1" w:styleId="111">
    <w:name w:val="实施日期"/>
    <w:basedOn w:val="72"/>
    <w:qFormat/>
    <w:uiPriority w:val="0"/>
    <w:pPr>
      <w:framePr w:wrap="around" w:vAnchor="page" w:hAnchor="text"/>
      <w:jc w:val="right"/>
    </w:pPr>
  </w:style>
  <w:style w:type="paragraph" w:customStyle="1" w:styleId="112">
    <w:name w:val="示例后文字"/>
    <w:basedOn w:val="22"/>
    <w:next w:val="22"/>
    <w:qFormat/>
    <w:uiPriority w:val="0"/>
    <w:pPr>
      <w:ind w:firstLine="360"/>
    </w:pPr>
    <w:rPr>
      <w:sz w:val="18"/>
    </w:rPr>
  </w:style>
  <w:style w:type="paragraph" w:customStyle="1" w:styleId="113">
    <w:name w:val="首示例"/>
    <w:next w:val="22"/>
    <w:link w:val="114"/>
    <w:qFormat/>
    <w:uiPriority w:val="0"/>
    <w:pPr>
      <w:tabs>
        <w:tab w:val="left" w:pos="360"/>
      </w:tabs>
    </w:pPr>
    <w:rPr>
      <w:rFonts w:ascii="宋体" w:hAnsi="宋体" w:eastAsia="宋体" w:cs="Times New Roman"/>
      <w:kern w:val="2"/>
      <w:sz w:val="18"/>
      <w:szCs w:val="18"/>
      <w:lang w:val="en-US" w:eastAsia="zh-CN" w:bidi="ar-SA"/>
    </w:rPr>
  </w:style>
  <w:style w:type="character" w:customStyle="1" w:styleId="114">
    <w:name w:val="首示例 Char"/>
    <w:basedOn w:val="32"/>
    <w:link w:val="113"/>
    <w:qFormat/>
    <w:uiPriority w:val="0"/>
    <w:rPr>
      <w:rFonts w:ascii="宋体" w:hAnsi="宋体"/>
      <w:kern w:val="2"/>
      <w:sz w:val="18"/>
      <w:szCs w:val="18"/>
      <w:lang w:val="en-US" w:eastAsia="zh-CN" w:bidi="ar-SA"/>
    </w:rPr>
  </w:style>
  <w:style w:type="paragraph" w:customStyle="1" w:styleId="115">
    <w:name w:val="四级无"/>
    <w:basedOn w:val="52"/>
    <w:qFormat/>
    <w:uiPriority w:val="0"/>
    <w:pPr>
      <w:spacing w:beforeLines="0" w:afterLines="0"/>
    </w:pPr>
    <w:rPr>
      <w:rFonts w:ascii="宋体" w:eastAsia="宋体"/>
    </w:rPr>
  </w:style>
  <w:style w:type="paragraph" w:customStyle="1" w:styleId="116">
    <w:name w:val="条文脚注"/>
    <w:basedOn w:val="23"/>
    <w:qFormat/>
    <w:uiPriority w:val="0"/>
    <w:pPr>
      <w:numPr>
        <w:numId w:val="0"/>
      </w:numPr>
      <w:jc w:val="both"/>
    </w:pPr>
  </w:style>
  <w:style w:type="paragraph" w:customStyle="1" w:styleId="117">
    <w:name w:val="图标脚注说明"/>
    <w:basedOn w:val="22"/>
    <w:qFormat/>
    <w:uiPriority w:val="0"/>
    <w:pPr>
      <w:ind w:left="840" w:hanging="420" w:firstLineChars="0"/>
    </w:pPr>
    <w:rPr>
      <w:sz w:val="18"/>
      <w:szCs w:val="18"/>
    </w:rPr>
  </w:style>
  <w:style w:type="paragraph" w:customStyle="1" w:styleId="118">
    <w:name w:val="图表脚注说明"/>
    <w:basedOn w:val="1"/>
    <w:qFormat/>
    <w:uiPriority w:val="0"/>
    <w:pPr>
      <w:ind w:left="544" w:hanging="181"/>
    </w:pPr>
    <w:rPr>
      <w:rFonts w:ascii="宋体"/>
      <w:sz w:val="18"/>
      <w:szCs w:val="18"/>
    </w:rPr>
  </w:style>
  <w:style w:type="paragraph" w:customStyle="1" w:styleId="119">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1">
    <w:name w:val="五级无"/>
    <w:basedOn w:val="53"/>
    <w:qFormat/>
    <w:uiPriority w:val="0"/>
    <w:pPr>
      <w:spacing w:beforeLines="0" w:afterLines="0"/>
    </w:pPr>
    <w:rPr>
      <w:rFonts w:ascii="宋体" w:eastAsia="宋体"/>
    </w:rPr>
  </w:style>
  <w:style w:type="paragraph" w:customStyle="1" w:styleId="122">
    <w:name w:val="一级无"/>
    <w:basedOn w:val="39"/>
    <w:qFormat/>
    <w:uiPriority w:val="99"/>
    <w:pPr>
      <w:spacing w:beforeLines="0" w:afterLines="0"/>
    </w:pPr>
    <w:rPr>
      <w:rFonts w:ascii="宋体" w:eastAsia="宋体"/>
    </w:rPr>
  </w:style>
  <w:style w:type="paragraph" w:customStyle="1" w:styleId="123">
    <w:name w:val="正文表标题"/>
    <w:next w:val="22"/>
    <w:qFormat/>
    <w:uiPriority w:val="99"/>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4">
    <w:name w:val="正文公式编号制表符"/>
    <w:basedOn w:val="22"/>
    <w:next w:val="22"/>
    <w:qFormat/>
    <w:uiPriority w:val="99"/>
    <w:pPr>
      <w:ind w:firstLine="0" w:firstLineChars="0"/>
    </w:pPr>
  </w:style>
  <w:style w:type="paragraph" w:customStyle="1" w:styleId="125">
    <w:name w:val="正文图标题"/>
    <w:next w:val="22"/>
    <w:qFormat/>
    <w:uiPriority w:val="99"/>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6">
    <w:name w:val="终结线"/>
    <w:basedOn w:val="1"/>
    <w:qFormat/>
    <w:uiPriority w:val="99"/>
    <w:pPr>
      <w:framePr w:hSpace="181" w:vSpace="181" w:wrap="around" w:vAnchor="text" w:hAnchor="margin" w:xAlign="center" w:y="285"/>
    </w:pPr>
  </w:style>
  <w:style w:type="paragraph" w:customStyle="1" w:styleId="127">
    <w:name w:val="其他发布日期"/>
    <w:basedOn w:val="72"/>
    <w:qFormat/>
    <w:uiPriority w:val="0"/>
    <w:pPr>
      <w:framePr w:wrap="around" w:vAnchor="page" w:hAnchor="text" w:x="1419"/>
    </w:pPr>
  </w:style>
  <w:style w:type="paragraph" w:customStyle="1" w:styleId="128">
    <w:name w:val="其他实施日期"/>
    <w:basedOn w:val="111"/>
    <w:qFormat/>
    <w:uiPriority w:val="0"/>
    <w:pPr>
      <w:framePr w:wrap="around"/>
    </w:pPr>
  </w:style>
  <w:style w:type="paragraph" w:customStyle="1" w:styleId="129">
    <w:name w:val="封面标准名称2"/>
    <w:basedOn w:val="75"/>
    <w:qFormat/>
    <w:uiPriority w:val="0"/>
    <w:pPr>
      <w:framePr w:wrap="around" w:y="4469"/>
      <w:spacing w:beforeLines="630"/>
    </w:pPr>
  </w:style>
  <w:style w:type="paragraph" w:customStyle="1" w:styleId="130">
    <w:name w:val="封面标准英文名称2"/>
    <w:basedOn w:val="76"/>
    <w:qFormat/>
    <w:uiPriority w:val="0"/>
    <w:pPr>
      <w:framePr w:wrap="around" w:y="4469"/>
    </w:pPr>
  </w:style>
  <w:style w:type="paragraph" w:customStyle="1" w:styleId="131">
    <w:name w:val="封面一致性程度标识2"/>
    <w:basedOn w:val="77"/>
    <w:qFormat/>
    <w:uiPriority w:val="0"/>
    <w:pPr>
      <w:framePr w:wrap="around" w:y="4469"/>
    </w:pPr>
  </w:style>
  <w:style w:type="paragraph" w:customStyle="1" w:styleId="132">
    <w:name w:val="封面标准文稿类别2"/>
    <w:basedOn w:val="78"/>
    <w:qFormat/>
    <w:uiPriority w:val="0"/>
    <w:pPr>
      <w:framePr w:wrap="around" w:y="4469"/>
    </w:pPr>
  </w:style>
  <w:style w:type="paragraph" w:customStyle="1" w:styleId="133">
    <w:name w:val="封面标准文稿编辑信息2"/>
    <w:basedOn w:val="79"/>
    <w:qFormat/>
    <w:uiPriority w:val="0"/>
    <w:pPr>
      <w:framePr w:wrap="around" w:y="4469"/>
    </w:pPr>
  </w:style>
  <w:style w:type="character" w:customStyle="1" w:styleId="134">
    <w:name w:val="纯文本 Char"/>
    <w:basedOn w:val="32"/>
    <w:link w:val="11"/>
    <w:qFormat/>
    <w:uiPriority w:val="0"/>
    <w:rPr>
      <w:rFonts w:ascii="宋体" w:hAnsi="Courier New" w:eastAsia="宋体"/>
      <w:kern w:val="2"/>
      <w:sz w:val="21"/>
      <w:lang w:val="en-US" w:eastAsia="zh-CN" w:bidi="ar-SA"/>
    </w:rPr>
  </w:style>
  <w:style w:type="paragraph" w:customStyle="1" w:styleId="135">
    <w:name w:val="Char Char Char Char Char Char Char Char Char Char"/>
    <w:basedOn w:val="1"/>
    <w:qFormat/>
    <w:uiPriority w:val="0"/>
    <w:rPr>
      <w:szCs w:val="21"/>
    </w:rPr>
  </w:style>
  <w:style w:type="character" w:customStyle="1" w:styleId="136">
    <w:name w:val="批注框文本 Char"/>
    <w:basedOn w:val="32"/>
    <w:link w:val="15"/>
    <w:qFormat/>
    <w:uiPriority w:val="99"/>
    <w:rPr>
      <w:kern w:val="2"/>
      <w:sz w:val="18"/>
      <w:szCs w:val="18"/>
    </w:rPr>
  </w:style>
  <w:style w:type="character" w:customStyle="1" w:styleId="137">
    <w:name w:val="页眉 Char"/>
    <w:basedOn w:val="32"/>
    <w:link w:val="17"/>
    <w:qFormat/>
    <w:uiPriority w:val="99"/>
    <w:rPr>
      <w:kern w:val="2"/>
      <w:sz w:val="18"/>
      <w:szCs w:val="18"/>
    </w:rPr>
  </w:style>
  <w:style w:type="character" w:customStyle="1" w:styleId="138">
    <w:name w:val="页脚 Char"/>
    <w:basedOn w:val="32"/>
    <w:link w:val="16"/>
    <w:qFormat/>
    <w:uiPriority w:val="99"/>
    <w:rPr>
      <w:kern w:val="2"/>
      <w:sz w:val="18"/>
      <w:szCs w:val="18"/>
    </w:rPr>
  </w:style>
  <w:style w:type="paragraph" w:styleId="139">
    <w:name w:val="List Paragraph"/>
    <w:basedOn w:val="1"/>
    <w:qFormat/>
    <w:uiPriority w:val="34"/>
    <w:pPr>
      <w:ind w:firstLine="420" w:firstLineChars="200"/>
    </w:pPr>
    <w:rPr>
      <w:rFonts w:ascii="Calibri" w:hAnsi="Calibri"/>
      <w:szCs w:val="22"/>
    </w:rPr>
  </w:style>
  <w:style w:type="paragraph" w:customStyle="1" w:styleId="140">
    <w:name w:val="标准文件_章标题"/>
    <w:next w:val="141"/>
    <w:qFormat/>
    <w:uiPriority w:val="0"/>
    <w:pPr>
      <w:numPr>
        <w:ilvl w:val="1"/>
        <w:numId w:val="10"/>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4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2">
    <w:name w:val="标准文件_术语条一"/>
    <w:basedOn w:val="143"/>
    <w:next w:val="141"/>
    <w:qFormat/>
    <w:uiPriority w:val="0"/>
  </w:style>
  <w:style w:type="paragraph" w:customStyle="1" w:styleId="143">
    <w:name w:val="标准文件_一级无标题"/>
    <w:basedOn w:val="144"/>
    <w:qFormat/>
    <w:uiPriority w:val="0"/>
    <w:pPr>
      <w:spacing w:before="0" w:beforeLines="0" w:after="0" w:afterLines="0"/>
      <w:outlineLvl w:val="9"/>
    </w:pPr>
    <w:rPr>
      <w:rFonts w:ascii="宋体" w:eastAsia="宋体"/>
    </w:rPr>
  </w:style>
  <w:style w:type="paragraph" w:customStyle="1" w:styleId="144">
    <w:name w:val="标准文件_一级条标题"/>
    <w:basedOn w:val="140"/>
    <w:next w:val="141"/>
    <w:qFormat/>
    <w:uiPriority w:val="0"/>
    <w:pPr>
      <w:numPr>
        <w:ilvl w:val="2"/>
      </w:numPr>
      <w:spacing w:before="50" w:beforeLines="50" w:after="50" w:afterLines="50"/>
      <w:outlineLvl w:val="1"/>
    </w:pPr>
  </w:style>
  <w:style w:type="paragraph" w:customStyle="1" w:styleId="145">
    <w:name w:val="标准文件_正文图标题"/>
    <w:next w:val="141"/>
    <w:qFormat/>
    <w:uiPriority w:val="0"/>
    <w:pPr>
      <w:numPr>
        <w:ilvl w:val="0"/>
        <w:numId w:val="11"/>
      </w:numPr>
      <w:spacing w:before="50" w:beforeLines="50" w:after="50" w:afterLines="50"/>
      <w:jc w:val="center"/>
    </w:pPr>
    <w:rPr>
      <w:rFonts w:ascii="黑体" w:hAnsi="Times New Roman" w:eastAsia="黑体" w:cs="Times New Roman"/>
      <w:sz w:val="21"/>
      <w:lang w:val="en-US" w:eastAsia="zh-CN" w:bidi="ar-SA"/>
    </w:rPr>
  </w:style>
  <w:style w:type="paragraph" w:customStyle="1" w:styleId="146">
    <w:name w:val="标准文件_二级无标题"/>
    <w:basedOn w:val="147"/>
    <w:qFormat/>
    <w:uiPriority w:val="0"/>
    <w:pPr>
      <w:spacing w:before="0" w:beforeLines="0" w:after="0" w:afterLines="0"/>
      <w:outlineLvl w:val="9"/>
    </w:pPr>
    <w:rPr>
      <w:rFonts w:ascii="宋体" w:eastAsia="宋体"/>
    </w:rPr>
  </w:style>
  <w:style w:type="paragraph" w:customStyle="1" w:styleId="147">
    <w:name w:val="标准文件_二级条标题"/>
    <w:next w:val="141"/>
    <w:qFormat/>
    <w:uiPriority w:val="0"/>
    <w:pPr>
      <w:widowControl w:val="0"/>
      <w:numPr>
        <w:ilvl w:val="3"/>
        <w:numId w:val="10"/>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48">
    <w:name w:val="标准文件_正文表标题"/>
    <w:next w:val="141"/>
    <w:qFormat/>
    <w:uiPriority w:val="0"/>
    <w:pPr>
      <w:numPr>
        <w:ilvl w:val="0"/>
        <w:numId w:val="12"/>
      </w:numPr>
      <w:tabs>
        <w:tab w:val="left" w:pos="0"/>
      </w:tabs>
      <w:spacing w:before="50" w:beforeLines="50" w:after="50" w:afterLines="50"/>
      <w:jc w:val="center"/>
    </w:pPr>
    <w:rPr>
      <w:rFonts w:ascii="黑体" w:hAnsi="Times New Roman" w:eastAsia="黑体" w:cs="Times New Roman"/>
      <w:sz w:val="21"/>
      <w:lang w:val="en-US" w:eastAsia="zh-CN" w:bidi="ar-SA"/>
    </w:rPr>
  </w:style>
  <w:style w:type="table" w:customStyle="1" w:styleId="149">
    <w:name w:val="网格型1"/>
    <w:basedOn w:val="30"/>
    <w:qFormat/>
    <w:uiPriority w:val="39"/>
    <w:rPr>
      <w:rFonts w:ascii="宋体" w:hAnsi="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50">
    <w:name w:val="标准文件_注："/>
    <w:next w:val="141"/>
    <w:qFormat/>
    <w:uiPriority w:val="0"/>
    <w:pPr>
      <w:widowControl w:val="0"/>
      <w:numPr>
        <w:ilvl w:val="0"/>
        <w:numId w:val="13"/>
      </w:numPr>
      <w:autoSpaceDE w:val="0"/>
      <w:autoSpaceDN w:val="0"/>
      <w:jc w:val="both"/>
    </w:pPr>
    <w:rPr>
      <w:rFonts w:ascii="宋体" w:hAnsi="Times New Roman" w:eastAsia="宋体" w:cs="Times New Roman"/>
      <w:sz w:val="18"/>
      <w:szCs w:val="18"/>
      <w:lang w:val="en-US" w:eastAsia="zh-CN" w:bidi="ar-SA"/>
    </w:rPr>
  </w:style>
  <w:style w:type="paragraph" w:customStyle="1" w:styleId="151">
    <w:name w:val="标准文件_三级无标题"/>
    <w:basedOn w:val="152"/>
    <w:qFormat/>
    <w:uiPriority w:val="0"/>
    <w:pPr>
      <w:spacing w:before="0" w:beforeLines="0" w:after="0" w:afterLines="0"/>
      <w:outlineLvl w:val="9"/>
    </w:pPr>
    <w:rPr>
      <w:rFonts w:ascii="宋体" w:eastAsia="宋体"/>
    </w:rPr>
  </w:style>
  <w:style w:type="paragraph" w:customStyle="1" w:styleId="152">
    <w:name w:val="标准文件_三级条标题"/>
    <w:basedOn w:val="147"/>
    <w:next w:val="141"/>
    <w:qFormat/>
    <w:uiPriority w:val="0"/>
    <w:pPr>
      <w:widowControl/>
      <w:numPr>
        <w:ilvl w:val="4"/>
      </w:numPr>
      <w:outlineLvl w:val="3"/>
    </w:pPr>
  </w:style>
  <w:style w:type="paragraph" w:customStyle="1" w:styleId="153">
    <w:name w:val="标准文件_正文公式"/>
    <w:basedOn w:val="1"/>
    <w:next w:val="154"/>
    <w:qFormat/>
    <w:uiPriority w:val="0"/>
    <w:pPr>
      <w:tabs>
        <w:tab w:val="center" w:pos="4678"/>
        <w:tab w:val="right" w:leader="middleDot" w:pos="9356"/>
      </w:tabs>
      <w:spacing w:line="240" w:lineRule="auto"/>
    </w:pPr>
    <w:rPr>
      <w:rFonts w:ascii="宋体" w:hAnsi="宋体"/>
    </w:rPr>
  </w:style>
  <w:style w:type="paragraph" w:customStyle="1" w:styleId="154">
    <w:name w:val="标准文件_标准正文"/>
    <w:basedOn w:val="1"/>
    <w:next w:val="141"/>
    <w:qFormat/>
    <w:uiPriority w:val="0"/>
    <w:pPr>
      <w:snapToGrid w:val="0"/>
      <w:ind w:firstLine="200" w:firstLineChars="200"/>
    </w:pPr>
    <w:rPr>
      <w:kern w:val="0"/>
    </w:rPr>
  </w:style>
  <w:style w:type="paragraph" w:customStyle="1" w:styleId="155">
    <w:name w:val="标准文件_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156">
    <w:name w:val="标准文件_附录图标号"/>
    <w:basedOn w:val="141"/>
    <w:next w:val="141"/>
    <w:qFormat/>
    <w:uiPriority w:val="0"/>
    <w:pPr>
      <w:numPr>
        <w:ilvl w:val="0"/>
        <w:numId w:val="14"/>
      </w:numPr>
      <w:spacing w:line="14" w:lineRule="exact"/>
      <w:ind w:firstLine="0" w:firstLineChars="0"/>
      <w:jc w:val="center"/>
    </w:pPr>
    <w:rPr>
      <w:rFonts w:ascii="黑体" w:hAnsi="黑体" w:eastAsia="黑体"/>
      <w:vanish/>
      <w:sz w:val="2"/>
      <w:szCs w:val="21"/>
    </w:rPr>
  </w:style>
  <w:style w:type="paragraph" w:customStyle="1" w:styleId="157">
    <w:name w:val="标准文件_附录表标号"/>
    <w:basedOn w:val="141"/>
    <w:next w:val="141"/>
    <w:qFormat/>
    <w:uiPriority w:val="0"/>
    <w:pPr>
      <w:numPr>
        <w:ilvl w:val="0"/>
        <w:numId w:val="15"/>
      </w:numPr>
      <w:spacing w:line="14" w:lineRule="exact"/>
      <w:ind w:firstLine="0" w:firstLineChars="0"/>
      <w:jc w:val="center"/>
    </w:pPr>
    <w:rPr>
      <w:rFonts w:eastAsia="黑体"/>
      <w:vanish/>
      <w:sz w:val="2"/>
    </w:rPr>
  </w:style>
  <w:style w:type="paragraph" w:customStyle="1" w:styleId="158">
    <w:name w:val="标准文件_附录标识"/>
    <w:next w:val="141"/>
    <w:qFormat/>
    <w:uiPriority w:val="0"/>
    <w:pPr>
      <w:numPr>
        <w:ilvl w:val="0"/>
        <w:numId w:val="6"/>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159">
    <w:name w:val="标准文件_附录表标题"/>
    <w:next w:val="141"/>
    <w:qFormat/>
    <w:uiPriority w:val="0"/>
    <w:pPr>
      <w:numPr>
        <w:ilvl w:val="1"/>
        <w:numId w:val="1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160">
    <w:name w:val="标准文件_附录一级条标题"/>
    <w:next w:val="141"/>
    <w:qFormat/>
    <w:uiPriority w:val="0"/>
    <w:pPr>
      <w:widowControl w:val="0"/>
      <w:numPr>
        <w:ilvl w:val="1"/>
        <w:numId w:val="6"/>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61">
    <w:name w:val="标准文件_附录二级条标题"/>
    <w:basedOn w:val="160"/>
    <w:next w:val="141"/>
    <w:qFormat/>
    <w:uiPriority w:val="0"/>
    <w:pPr>
      <w:widowControl/>
      <w:numPr>
        <w:ilvl w:val="2"/>
      </w:numPr>
      <w:wordWrap w:val="0"/>
      <w:overflowPunct w:val="0"/>
      <w:autoSpaceDE w:val="0"/>
      <w:autoSpaceDN w:val="0"/>
      <w:textAlignment w:val="baseline"/>
      <w:outlineLvl w:val="3"/>
    </w:pPr>
  </w:style>
  <w:style w:type="paragraph" w:customStyle="1" w:styleId="162">
    <w:name w:val="标准文件_附录三级无标题"/>
    <w:basedOn w:val="163"/>
    <w:qFormat/>
    <w:uiPriority w:val="0"/>
    <w:pPr>
      <w:spacing w:before="0" w:beforeLines="0" w:after="0" w:afterLines="0" w:line="276" w:lineRule="auto"/>
      <w:outlineLvl w:val="9"/>
    </w:pPr>
    <w:rPr>
      <w:rFonts w:ascii="宋体" w:eastAsia="宋体"/>
    </w:rPr>
  </w:style>
  <w:style w:type="paragraph" w:customStyle="1" w:styleId="163">
    <w:name w:val="标准文件_附录三级条标题"/>
    <w:next w:val="141"/>
    <w:qFormat/>
    <w:uiPriority w:val="0"/>
    <w:pPr>
      <w:widowControl w:val="0"/>
      <w:numPr>
        <w:ilvl w:val="3"/>
        <w:numId w:val="6"/>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1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6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6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167">
    <w:name w:val="标准文件_页眉偶数页"/>
    <w:basedOn w:val="164"/>
    <w:next w:val="1"/>
    <w:qFormat/>
    <w:uiPriority w:val="0"/>
    <w:pPr>
      <w:jc w:val="left"/>
    </w:pPr>
  </w:style>
  <w:style w:type="character" w:customStyle="1" w:styleId="168">
    <w:name w:val="一级条标题 Char"/>
    <w:link w:val="39"/>
    <w:qFormat/>
    <w:uiPriority w:val="99"/>
    <w:rPr>
      <w:rFonts w:ascii="黑体" w:hAnsi="黑体"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4.jpeg"/><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emf"/><Relationship Id="rId18" Type="http://schemas.openxmlformats.org/officeDocument/2006/relationships/image" Target="media/image1.emf"/><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BD48EF-0AA7-4E68-BF43-FDC2A3CDF0A7}">
  <ds:schemaRefs/>
</ds:datastoreItem>
</file>

<file path=docProps/app.xml><?xml version="1.0" encoding="utf-8"?>
<Properties xmlns="http://schemas.openxmlformats.org/officeDocument/2006/extended-properties" xmlns:vt="http://schemas.openxmlformats.org/officeDocument/2006/docPropsVTypes">
  <Template>《电子式井斜仪校准方法》报批稿</Template>
  <Company>zle</Company>
  <Pages>1</Pages>
  <Words>7507</Words>
  <Characters>8300</Characters>
  <Lines>1</Lines>
  <Paragraphs>1</Paragraphs>
  <TotalTime>1</TotalTime>
  <ScaleCrop>false</ScaleCrop>
  <LinksUpToDate>false</LinksUpToDate>
  <CharactersWithSpaces>9696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2022-08-01T07:46:00Z</dcterms:created>
  <dc:creator>微软用户</dc:creator>
  <cp:lastModifiedBy>叶艳艳</cp:lastModifiedBy>
  <cp:lastPrinted>2020-10-23T00:45:00Z</cp:lastPrinted>
  <dcterms:modified xsi:type="dcterms:W3CDTF">2023-08-04T07:05:29Z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D603A555D17146B7BB5948FF5C74E432</vt:lpwstr>
  </property>
</Properties>
</file>