
<file path=[Content_Types].xml><?xml version="1.0" encoding="utf-8"?>
<Types xmlns="http://schemas.openxmlformats.org/package/2006/content-types">
  <Default Extension="xml" ContentType="application/xml"/>
  <Default Extension="wmf" ContentType="image/x-wmf"/>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5" Type="http://schemas.openxmlformats.org/officeDocument/2006/relationships/officeDocument" Target="word/document.xml"/><Relationship Id="rId1" Type="http://schemas.openxmlformats.org/package/2006/relationships/metadata/thumbnail" Target="docProps/thumbnail.wmf"/><Relationship Id="rId3" Type="http://schemas.openxmlformats.org/package/2006/relationships/metadata/core-properties" Target="docProps/core.xml"/><Relationship Id="rId2" Type="http://schemas.openxmlformats.org/officeDocument/2006/relationships/extended-properties" Target="docProps/app.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before="2160" w:beforeLines="600"/>
        <w:jc w:val="center"/>
        <w:rPr>
          <w:rFonts w:ascii="黑体" w:hAnsi="宋体" w:eastAsia="黑体"/>
          <w:sz w:val="52"/>
          <w:szCs w:val="52"/>
        </w:rPr>
      </w:pPr>
      <w:r>
        <w:rPr>
          <w:rFonts w:hint="eastAsia" w:ascii="黑体" w:hAnsi="宋体" w:eastAsia="黑体"/>
          <w:sz w:val="52"/>
          <w:szCs w:val="52"/>
        </w:rPr>
        <w:t>《指重表在线校准规范》</w:t>
      </w:r>
    </w:p>
    <w:p>
      <w:pPr>
        <w:jc w:val="center"/>
        <w:rPr>
          <w:rFonts w:ascii="宋体" w:hAnsi="宋体"/>
          <w:sz w:val="36"/>
          <w:szCs w:val="36"/>
        </w:rPr>
      </w:pPr>
      <w:r>
        <w:rPr>
          <w:rFonts w:hint="eastAsia" w:ascii="宋体" w:hAnsi="宋体"/>
          <w:sz w:val="36"/>
          <w:szCs w:val="36"/>
        </w:rPr>
        <w:t>（征求意见稿）</w:t>
      </w:r>
    </w:p>
    <w:p>
      <w:pPr>
        <w:jc w:val="center"/>
        <w:rPr>
          <w:rFonts w:ascii="黑体" w:hAnsi="宋体" w:eastAsia="黑体"/>
          <w:sz w:val="52"/>
          <w:szCs w:val="52"/>
        </w:rPr>
      </w:pPr>
      <w:r>
        <w:rPr>
          <w:rFonts w:hint="eastAsia" w:ascii="黑体" w:hAnsi="宋体" w:eastAsia="黑体"/>
          <w:sz w:val="52"/>
          <w:szCs w:val="52"/>
        </w:rPr>
        <w:t>编制说明</w:t>
      </w:r>
    </w:p>
    <w:p>
      <w:pPr>
        <w:jc w:val="center"/>
        <w:rPr>
          <w:rFonts w:ascii="黑体" w:hAnsi="宋体" w:eastAsia="黑体"/>
          <w:sz w:val="36"/>
          <w:szCs w:val="36"/>
        </w:rPr>
      </w:pPr>
    </w:p>
    <w:p>
      <w:pPr>
        <w:jc w:val="center"/>
        <w:rPr>
          <w:rFonts w:ascii="黑体" w:hAnsi="宋体" w:eastAsia="黑体"/>
          <w:sz w:val="36"/>
          <w:szCs w:val="36"/>
        </w:rPr>
      </w:pPr>
    </w:p>
    <w:p>
      <w:pPr>
        <w:jc w:val="center"/>
        <w:rPr>
          <w:rFonts w:ascii="黑体" w:hAnsi="宋体" w:eastAsia="黑体"/>
          <w:sz w:val="36"/>
          <w:szCs w:val="36"/>
        </w:rPr>
      </w:pPr>
    </w:p>
    <w:p>
      <w:pPr>
        <w:jc w:val="center"/>
        <w:rPr>
          <w:rFonts w:ascii="黑体" w:hAnsi="宋体" w:eastAsia="黑体"/>
          <w:sz w:val="36"/>
          <w:szCs w:val="36"/>
        </w:rPr>
      </w:pPr>
    </w:p>
    <w:p>
      <w:pPr>
        <w:jc w:val="center"/>
        <w:rPr>
          <w:rFonts w:ascii="黑体" w:hAnsi="宋体" w:eastAsia="黑体"/>
          <w:sz w:val="36"/>
          <w:szCs w:val="36"/>
        </w:rPr>
      </w:pPr>
    </w:p>
    <w:p>
      <w:pPr>
        <w:jc w:val="center"/>
        <w:rPr>
          <w:rFonts w:ascii="黑体" w:hAnsi="宋体" w:eastAsia="黑体"/>
          <w:sz w:val="36"/>
          <w:szCs w:val="36"/>
        </w:rPr>
      </w:pPr>
    </w:p>
    <w:p>
      <w:pPr>
        <w:jc w:val="center"/>
        <w:rPr>
          <w:rFonts w:ascii="黑体" w:hAnsi="宋体" w:eastAsia="黑体"/>
          <w:sz w:val="36"/>
          <w:szCs w:val="36"/>
        </w:rPr>
      </w:pPr>
    </w:p>
    <w:p>
      <w:pPr>
        <w:jc w:val="center"/>
        <w:rPr>
          <w:rFonts w:ascii="宋体" w:hAnsi="宋体"/>
          <w:sz w:val="36"/>
          <w:szCs w:val="36"/>
        </w:rPr>
      </w:pPr>
      <w:r>
        <w:rPr>
          <w:rFonts w:hint="eastAsia" w:ascii="宋体" w:hAnsi="宋体"/>
          <w:sz w:val="36"/>
          <w:szCs w:val="36"/>
        </w:rPr>
        <w:t>《指重表在线校准规范》起草工作组</w:t>
      </w:r>
    </w:p>
    <w:p>
      <w:pPr>
        <w:jc w:val="center"/>
        <w:rPr>
          <w:rFonts w:ascii="宋体" w:hAnsi="宋体"/>
          <w:sz w:val="36"/>
          <w:szCs w:val="36"/>
        </w:rPr>
        <w:sectPr>
          <w:footerReference r:id="rId3" w:type="default"/>
          <w:pgSz w:w="11906" w:h="16838"/>
          <w:pgMar w:top="1701" w:right="1247" w:bottom="1701" w:left="1247" w:header="709" w:footer="709" w:gutter="0"/>
          <w:pgNumType w:start="1"/>
          <w:cols w:space="708" w:num="1"/>
          <w:docGrid w:type="lines" w:linePitch="360" w:charSpace="0"/>
        </w:sectPr>
      </w:pPr>
      <w:r>
        <w:rPr>
          <w:rFonts w:hint="eastAsia" w:ascii="宋体" w:hAnsi="宋体"/>
          <w:sz w:val="36"/>
          <w:szCs w:val="36"/>
        </w:rPr>
        <w:t>二○二三年六月十五日</w:t>
      </w:r>
    </w:p>
    <w:p>
      <w:pPr>
        <w:snapToGrid w:val="0"/>
        <w:jc w:val="center"/>
        <w:rPr>
          <w:rFonts w:ascii="黑体" w:hAnsi="宋体" w:eastAsia="黑体"/>
          <w:sz w:val="32"/>
          <w:szCs w:val="32"/>
        </w:rPr>
      </w:pPr>
      <w:r>
        <w:rPr>
          <w:rFonts w:hint="eastAsia" w:ascii="黑体" w:hAnsi="宋体" w:eastAsia="黑体"/>
          <w:sz w:val="32"/>
          <w:szCs w:val="32"/>
        </w:rPr>
        <w:t>《指重表在线校准规范》</w:t>
      </w:r>
      <w:r>
        <w:rPr>
          <w:rFonts w:ascii="黑体" w:hAnsi="宋体" w:eastAsia="黑体"/>
          <w:sz w:val="32"/>
          <w:szCs w:val="32"/>
        </w:rPr>
        <w:br w:type="textWrapping"/>
      </w:r>
      <w:r>
        <w:rPr>
          <w:rFonts w:hint="eastAsia" w:ascii="黑体" w:hAnsi="宋体" w:eastAsia="黑体"/>
          <w:sz w:val="32"/>
          <w:szCs w:val="32"/>
        </w:rPr>
        <w:t>（征求意见稿）</w:t>
      </w:r>
    </w:p>
    <w:p>
      <w:pPr>
        <w:snapToGrid w:val="0"/>
        <w:jc w:val="center"/>
        <w:rPr>
          <w:rFonts w:ascii="黑体" w:hAnsi="宋体" w:eastAsia="黑体"/>
          <w:sz w:val="32"/>
          <w:szCs w:val="32"/>
        </w:rPr>
      </w:pPr>
      <w:r>
        <w:rPr>
          <w:rFonts w:hint="eastAsia" w:ascii="黑体" w:hAnsi="宋体" w:eastAsia="黑体"/>
          <w:sz w:val="32"/>
          <w:szCs w:val="32"/>
        </w:rPr>
        <w:t>编制说明</w:t>
      </w:r>
    </w:p>
    <w:p>
      <w:pPr>
        <w:spacing w:before="360" w:beforeLines="100" w:line="600" w:lineRule="exact"/>
        <w:rPr>
          <w:rFonts w:ascii="宋体" w:hAnsi="宋体"/>
          <w:b/>
          <w:sz w:val="24"/>
        </w:rPr>
      </w:pPr>
      <w:r>
        <w:rPr>
          <w:rFonts w:hint="eastAsia" w:ascii="宋体" w:hAnsi="宋体"/>
          <w:b/>
          <w:sz w:val="24"/>
        </w:rPr>
        <w:t>一、任务来源及工作简要过程</w:t>
      </w:r>
    </w:p>
    <w:p>
      <w:pPr>
        <w:spacing w:line="360" w:lineRule="auto"/>
        <w:rPr>
          <w:rFonts w:ascii="宋体" w:hAnsi="宋体"/>
          <w:sz w:val="24"/>
        </w:rPr>
      </w:pPr>
      <w:r>
        <w:rPr>
          <w:rFonts w:hint="eastAsia" w:ascii="宋体" w:hAnsi="宋体"/>
          <w:sz w:val="24"/>
        </w:rPr>
        <w:t>1、任务来源</w:t>
      </w:r>
    </w:p>
    <w:p>
      <w:pPr>
        <w:spacing w:line="360" w:lineRule="auto"/>
        <w:ind w:firstLine="480" w:firstLineChars="200"/>
        <w:rPr>
          <w:rFonts w:ascii="宋体" w:hAnsi="宋体"/>
          <w:sz w:val="24"/>
        </w:rPr>
      </w:pPr>
      <w:r>
        <w:rPr>
          <w:rFonts w:hint="eastAsia" w:ascii="宋体" w:hAnsi="宋体"/>
          <w:sz w:val="24"/>
        </w:rPr>
        <w:t>本规范根据市监计量发[20</w:t>
      </w:r>
      <w:r>
        <w:rPr>
          <w:rFonts w:ascii="宋体" w:hAnsi="宋体"/>
          <w:sz w:val="24"/>
        </w:rPr>
        <w:t>2</w:t>
      </w:r>
      <w:r>
        <w:rPr>
          <w:rFonts w:hint="eastAsia" w:ascii="宋体" w:hAnsi="宋体"/>
          <w:sz w:val="24"/>
        </w:rPr>
        <w:t>2]70号文件《市场监管总局办公厅关于印发2022年国家计量技术规范项目制定、修订及宣贯计划的通知》的要求，制定指重表在线校准规范。任务下达时间2</w:t>
      </w:r>
      <w:r>
        <w:rPr>
          <w:rFonts w:ascii="宋体" w:hAnsi="宋体"/>
          <w:sz w:val="24"/>
        </w:rPr>
        <w:t>02</w:t>
      </w:r>
      <w:r>
        <w:rPr>
          <w:rFonts w:hint="eastAsia" w:ascii="宋体" w:hAnsi="宋体"/>
          <w:sz w:val="24"/>
        </w:rPr>
        <w:t>2年7月。设立申报国家计量技术规范项目《指重表在线校准规范》，负责起草单位为中石化胜利石油工程有限公司山东胜工检测技术有限公司，计划于2</w:t>
      </w:r>
      <w:r>
        <w:rPr>
          <w:rFonts w:ascii="宋体" w:hAnsi="宋体"/>
          <w:sz w:val="24"/>
        </w:rPr>
        <w:t>02</w:t>
      </w:r>
      <w:r>
        <w:rPr>
          <w:rFonts w:hint="eastAsia" w:ascii="宋体" w:hAnsi="宋体"/>
          <w:sz w:val="24"/>
        </w:rPr>
        <w:t>3年1</w:t>
      </w:r>
      <w:r>
        <w:rPr>
          <w:rFonts w:ascii="宋体" w:hAnsi="宋体"/>
          <w:sz w:val="24"/>
        </w:rPr>
        <w:t>2</w:t>
      </w:r>
      <w:r>
        <w:rPr>
          <w:rFonts w:hint="eastAsia" w:ascii="宋体" w:hAnsi="宋体"/>
          <w:sz w:val="24"/>
        </w:rPr>
        <w:t>月底完成标准修订任务</w:t>
      </w:r>
      <w:r>
        <w:rPr>
          <w:rFonts w:ascii="宋体" w:hAnsi="宋体"/>
          <w:sz w:val="24"/>
        </w:rPr>
        <w:t>。</w:t>
      </w:r>
    </w:p>
    <w:p>
      <w:pPr>
        <w:spacing w:line="360" w:lineRule="auto"/>
        <w:rPr>
          <w:rFonts w:ascii="宋体" w:hAnsi="宋体"/>
          <w:sz w:val="24"/>
        </w:rPr>
      </w:pPr>
      <w:r>
        <w:rPr>
          <w:rFonts w:hint="eastAsia" w:ascii="宋体" w:hAnsi="宋体"/>
          <w:sz w:val="24"/>
        </w:rPr>
        <w:t>2、制订背景</w:t>
      </w:r>
    </w:p>
    <w:p>
      <w:pPr>
        <w:spacing w:line="360" w:lineRule="auto"/>
        <w:ind w:firstLine="480" w:firstLineChars="200"/>
        <w:rPr>
          <w:sz w:val="24"/>
        </w:rPr>
      </w:pPr>
      <w:r>
        <w:rPr>
          <w:rFonts w:hint="eastAsia" w:ascii="宋体" w:hAnsi="宋体"/>
          <w:sz w:val="24"/>
        </w:rPr>
        <w:t>指重表产品标准GB/T 24263-2009《石油钻井指重表》、SY/T 6911-2012 《石油钻修井电子指重表》发布实施已十余年。相应的校准方法标准SY/T 7075-2016《石油钻修井指重表校准方法》发布实施以来，在规范指重表的校准方面发挥了重要作用。</w:t>
      </w:r>
      <w:r>
        <w:rPr>
          <w:rFonts w:hint="eastAsia"/>
          <w:sz w:val="24"/>
        </w:rPr>
        <w:t>指重表原有的实验室检定方式，存在拆卸、搬运、检定过程中人员工作量大检定周期长等问题。</w:t>
      </w:r>
      <w:r>
        <w:rPr>
          <w:rFonts w:hint="eastAsia" w:ascii="宋体" w:hAnsi="宋体"/>
          <w:sz w:val="24"/>
        </w:rPr>
        <w:t>随着在线校准技术的发展和校准检测新装备的推广应用，再结合近年来《GB/T 1.1-2020 标准化工作导则 第1部分：标准化文件的结构和起草规则》的实施，《JJF</w:t>
      </w:r>
      <w:r>
        <w:rPr>
          <w:rFonts w:ascii="宋体" w:hAnsi="宋体"/>
          <w:sz w:val="24"/>
        </w:rPr>
        <w:t xml:space="preserve"> </w:t>
      </w:r>
      <w:r>
        <w:rPr>
          <w:rFonts w:hint="eastAsia" w:ascii="宋体" w:hAnsi="宋体"/>
          <w:sz w:val="24"/>
        </w:rPr>
        <w:t>1071-2010 国家计量校准规范编写规则》、《JJF</w:t>
      </w:r>
      <w:r>
        <w:rPr>
          <w:rFonts w:ascii="宋体" w:hAnsi="宋体"/>
          <w:sz w:val="24"/>
        </w:rPr>
        <w:t xml:space="preserve"> </w:t>
      </w:r>
      <w:r>
        <w:rPr>
          <w:rFonts w:hint="eastAsia" w:ascii="宋体" w:hAnsi="宋体"/>
          <w:sz w:val="24"/>
        </w:rPr>
        <w:t>1033-2016 计量校准考核规范》等关于计量校准工作的基础性规范文件相应变化，</w:t>
      </w:r>
      <w:r>
        <w:rPr>
          <w:rFonts w:hint="eastAsia"/>
          <w:sz w:val="24"/>
        </w:rPr>
        <w:t>为了缓解计量送检工作对正常生产的影响，提高量传工作效率，有必要开展指重表在线校准规范立项起草工作，满足指重表的在线校准需要。</w:t>
      </w:r>
    </w:p>
    <w:p>
      <w:pPr>
        <w:spacing w:line="360" w:lineRule="auto"/>
        <w:rPr>
          <w:rFonts w:ascii="宋体" w:hAnsi="宋体"/>
          <w:sz w:val="24"/>
        </w:rPr>
      </w:pPr>
      <w:r>
        <w:rPr>
          <w:rFonts w:ascii="宋体" w:hAnsi="宋体"/>
          <w:sz w:val="24"/>
        </w:rPr>
        <w:t>3</w:t>
      </w:r>
      <w:r>
        <w:rPr>
          <w:rFonts w:hint="eastAsia" w:ascii="宋体" w:hAnsi="宋体"/>
          <w:sz w:val="24"/>
        </w:rPr>
        <w:t>、工作过程</w:t>
      </w:r>
    </w:p>
    <w:p>
      <w:pPr>
        <w:spacing w:line="360" w:lineRule="auto"/>
        <w:ind w:firstLine="480" w:firstLineChars="200"/>
        <w:rPr>
          <w:rFonts w:ascii="宋体" w:hAnsi="宋体"/>
          <w:sz w:val="24"/>
        </w:rPr>
      </w:pPr>
      <w:r>
        <w:rPr>
          <w:rFonts w:hint="eastAsia" w:ascii="宋体" w:hAnsi="宋体"/>
          <w:sz w:val="24"/>
        </w:rPr>
        <w:t>本标准制修订任务下达后，山东胜工检测技术有限公司于2022年7月22日成立了《指重表在线校准规范》起草工作组。按照标准制、修订工作程序的要求，本标准编写工作组对制订标准的进度计划、人员分工、现场试验等各项工作进行了落实。2022年8月开始收集查阅了国内外关于指重表制造标准、检定规程、检测方法等方面的资料，并对目前国内指重表检测现状及现行的检定规程进行了综合分析和调研工作；10月讨论整理并编制指重表在线校准方法。为了保证方法的适用性，工作组进行了大量现场试验，</w:t>
      </w:r>
      <w:r>
        <w:rPr>
          <w:rFonts w:hint="eastAsia"/>
          <w:sz w:val="24"/>
        </w:rPr>
        <w:t>并对数据进行了分析，以试验数据验证该方法的有效性。</w:t>
      </w:r>
      <w:r>
        <w:rPr>
          <w:rFonts w:hint="eastAsia" w:ascii="宋体" w:hAnsi="宋体"/>
          <w:sz w:val="24"/>
        </w:rPr>
        <w:t>在标准起草过程中，工作组成员对相关的国家标准、行业标准、技术规范进行了广泛搜集和认真研究，2022年11月中旬完成了标准草案，并于2023年6月</w:t>
      </w:r>
      <w:r>
        <w:rPr>
          <w:rFonts w:ascii="宋体" w:hAnsi="宋体"/>
          <w:sz w:val="24"/>
        </w:rPr>
        <w:t>15</w:t>
      </w:r>
      <w:r>
        <w:rPr>
          <w:rFonts w:hint="eastAsia" w:ascii="宋体" w:hAnsi="宋体"/>
          <w:sz w:val="24"/>
        </w:rPr>
        <w:t>日对标准草案做了进一步的修改和完善，形成了征求意见稿。</w:t>
      </w:r>
    </w:p>
    <w:p>
      <w:pPr>
        <w:spacing w:line="360" w:lineRule="auto"/>
        <w:rPr>
          <w:rFonts w:ascii="宋体" w:hAnsi="宋体"/>
          <w:sz w:val="24"/>
        </w:rPr>
      </w:pPr>
      <w:r>
        <w:rPr>
          <w:rFonts w:ascii="宋体" w:hAnsi="宋体"/>
          <w:sz w:val="24"/>
        </w:rPr>
        <w:t>4</w:t>
      </w:r>
      <w:r>
        <w:rPr>
          <w:rFonts w:hint="eastAsia" w:ascii="宋体" w:hAnsi="宋体"/>
          <w:sz w:val="24"/>
        </w:rPr>
        <w:t>、主要参加单位和工作组成员</w:t>
      </w:r>
    </w:p>
    <w:p>
      <w:pPr>
        <w:spacing w:before="100" w:beforeAutospacing="1" w:line="480" w:lineRule="exact"/>
        <w:ind w:firstLine="480" w:firstLineChars="200"/>
        <w:rPr>
          <w:rFonts w:ascii="宋体" w:hAnsi="宋体"/>
          <w:sz w:val="24"/>
        </w:rPr>
      </w:pPr>
      <w:r>
        <w:rPr>
          <w:rFonts w:hint="eastAsia" w:ascii="宋体" w:hAnsi="宋体"/>
          <w:sz w:val="24"/>
        </w:rPr>
        <w:t>主要参加单位和工作组成员见表1：</w:t>
      </w:r>
    </w:p>
    <w:tbl>
      <w:tblPr>
        <w:tblStyle w:val="7"/>
        <w:tblW w:w="9570" w:type="dxa"/>
        <w:tblInd w:w="0" w:type="dxa"/>
        <w:tblBorders>
          <w:top w:val="single" w:color="000000" w:sz="4" w:space="0"/>
          <w:left w:val="none" w:color="auto" w:sz="0" w:space="0"/>
          <w:bottom w:val="single" w:color="000000" w:sz="4" w:space="0"/>
          <w:right w:val="none" w:color="auto" w:sz="0" w:space="0"/>
          <w:insideH w:val="single" w:color="000000" w:sz="4" w:space="0"/>
          <w:insideV w:val="single" w:color="000000" w:sz="4" w:space="0"/>
        </w:tblBorders>
        <w:tblLayout w:type="fixed"/>
        <w:tblCellMar>
          <w:top w:w="0" w:type="dxa"/>
          <w:left w:w="108" w:type="dxa"/>
          <w:bottom w:w="0" w:type="dxa"/>
          <w:right w:w="108" w:type="dxa"/>
        </w:tblCellMar>
      </w:tblPr>
      <w:tblGrid>
        <w:gridCol w:w="725"/>
        <w:gridCol w:w="4856"/>
        <w:gridCol w:w="1515"/>
        <w:gridCol w:w="1564"/>
        <w:gridCol w:w="910"/>
      </w:tblGrid>
      <w:tr>
        <w:tblPrEx>
          <w:tblBorders>
            <w:top w:val="single" w:color="000000" w:sz="4" w:space="0"/>
            <w:left w:val="none" w:color="auto" w:sz="0" w:space="0"/>
            <w:bottom w:val="single" w:color="000000" w:sz="4"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04" w:hRule="atLeast"/>
        </w:trPr>
        <w:tc>
          <w:tcPr>
            <w:tcW w:w="725" w:type="dxa"/>
            <w:tcBorders>
              <w:left w:val="single" w:color="000000" w:sz="4" w:space="0"/>
            </w:tcBorders>
            <w:vAlign w:val="center"/>
          </w:tcPr>
          <w:p>
            <w:pPr>
              <w:spacing w:before="100" w:beforeAutospacing="1" w:after="100" w:afterAutospacing="1"/>
              <w:jc w:val="center"/>
              <w:rPr>
                <w:rFonts w:ascii="宋体" w:hAnsi="宋体"/>
                <w:color w:val="000000"/>
                <w:sz w:val="24"/>
              </w:rPr>
            </w:pPr>
            <w:r>
              <w:rPr>
                <w:rFonts w:hint="eastAsia" w:ascii="宋体" w:hAnsi="宋体"/>
                <w:color w:val="000000"/>
                <w:sz w:val="24"/>
              </w:rPr>
              <w:t>序号</w:t>
            </w:r>
          </w:p>
        </w:tc>
        <w:tc>
          <w:tcPr>
            <w:tcW w:w="4856" w:type="dxa"/>
            <w:vAlign w:val="center"/>
          </w:tcPr>
          <w:p>
            <w:pPr>
              <w:spacing w:before="100" w:beforeAutospacing="1" w:after="100" w:afterAutospacing="1"/>
              <w:jc w:val="center"/>
              <w:rPr>
                <w:rFonts w:ascii="宋体" w:hAnsi="宋体"/>
                <w:color w:val="000000"/>
                <w:sz w:val="24"/>
              </w:rPr>
            </w:pPr>
            <w:r>
              <w:rPr>
                <w:rFonts w:hint="eastAsia" w:ascii="宋体" w:hAnsi="宋体"/>
                <w:color w:val="000000"/>
                <w:sz w:val="24"/>
              </w:rPr>
              <w:t>参加单位</w:t>
            </w:r>
          </w:p>
        </w:tc>
        <w:tc>
          <w:tcPr>
            <w:tcW w:w="1515" w:type="dxa"/>
            <w:vAlign w:val="center"/>
          </w:tcPr>
          <w:p>
            <w:pPr>
              <w:spacing w:before="100" w:beforeAutospacing="1" w:after="100" w:afterAutospacing="1"/>
              <w:jc w:val="center"/>
              <w:rPr>
                <w:rFonts w:ascii="宋体" w:hAnsi="宋体"/>
                <w:color w:val="000000"/>
                <w:sz w:val="24"/>
              </w:rPr>
            </w:pPr>
            <w:r>
              <w:rPr>
                <w:rFonts w:hint="eastAsia" w:ascii="宋体" w:hAnsi="宋体"/>
                <w:color w:val="000000"/>
                <w:sz w:val="24"/>
              </w:rPr>
              <w:t>成员姓名</w:t>
            </w:r>
          </w:p>
        </w:tc>
        <w:tc>
          <w:tcPr>
            <w:tcW w:w="1564" w:type="dxa"/>
            <w:vAlign w:val="center"/>
          </w:tcPr>
          <w:p>
            <w:pPr>
              <w:spacing w:before="100" w:beforeAutospacing="1" w:after="100" w:afterAutospacing="1"/>
              <w:jc w:val="center"/>
              <w:rPr>
                <w:rFonts w:ascii="宋体" w:hAnsi="宋体"/>
                <w:color w:val="000000"/>
                <w:sz w:val="24"/>
              </w:rPr>
            </w:pPr>
            <w:r>
              <w:rPr>
                <w:rFonts w:hint="eastAsia" w:ascii="宋体" w:hAnsi="宋体"/>
                <w:color w:val="000000"/>
                <w:sz w:val="24"/>
              </w:rPr>
              <w:t>主要分工</w:t>
            </w:r>
          </w:p>
        </w:tc>
        <w:tc>
          <w:tcPr>
            <w:tcW w:w="910" w:type="dxa"/>
            <w:tcBorders>
              <w:right w:val="single" w:color="000000" w:sz="4" w:space="0"/>
            </w:tcBorders>
            <w:vAlign w:val="center"/>
          </w:tcPr>
          <w:p>
            <w:pPr>
              <w:spacing w:before="100" w:beforeAutospacing="1" w:after="100" w:afterAutospacing="1"/>
              <w:jc w:val="center"/>
              <w:rPr>
                <w:rFonts w:ascii="宋体" w:hAnsi="宋体"/>
                <w:color w:val="000000"/>
                <w:sz w:val="24"/>
              </w:rPr>
            </w:pPr>
            <w:r>
              <w:rPr>
                <w:rFonts w:hint="eastAsia" w:ascii="宋体" w:hAnsi="宋体"/>
                <w:color w:val="000000"/>
                <w:sz w:val="24"/>
              </w:rPr>
              <w:t>备注</w:t>
            </w:r>
          </w:p>
        </w:tc>
      </w:tr>
      <w:tr>
        <w:tblPrEx>
          <w:tblBorders>
            <w:top w:val="single" w:color="000000" w:sz="4" w:space="0"/>
            <w:left w:val="none" w:color="auto" w:sz="0" w:space="0"/>
            <w:bottom w:val="single" w:color="000000" w:sz="4"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04" w:hRule="atLeast"/>
        </w:trPr>
        <w:tc>
          <w:tcPr>
            <w:tcW w:w="725" w:type="dxa"/>
            <w:tcBorders>
              <w:left w:val="single" w:color="000000" w:sz="4" w:space="0"/>
            </w:tcBorders>
            <w:vAlign w:val="center"/>
          </w:tcPr>
          <w:p>
            <w:pPr>
              <w:spacing w:before="100" w:beforeAutospacing="1" w:after="100" w:afterAutospacing="1"/>
              <w:jc w:val="center"/>
              <w:rPr>
                <w:rFonts w:ascii="宋体" w:hAnsi="宋体"/>
                <w:color w:val="808080"/>
                <w:sz w:val="24"/>
              </w:rPr>
            </w:pPr>
            <w:r>
              <w:rPr>
                <w:rFonts w:hint="eastAsia" w:ascii="宋体" w:hAnsi="宋体"/>
                <w:color w:val="808080"/>
                <w:sz w:val="24"/>
              </w:rPr>
              <w:t>1</w:t>
            </w:r>
          </w:p>
        </w:tc>
        <w:tc>
          <w:tcPr>
            <w:tcW w:w="4856" w:type="dxa"/>
            <w:vAlign w:val="center"/>
          </w:tcPr>
          <w:p>
            <w:pPr>
              <w:spacing w:before="100" w:beforeAutospacing="1" w:after="100" w:afterAutospacing="1"/>
              <w:jc w:val="center"/>
              <w:rPr>
                <w:rFonts w:ascii="宋体" w:hAnsi="宋体"/>
                <w:color w:val="808080"/>
                <w:sz w:val="24"/>
              </w:rPr>
            </w:pPr>
            <w:r>
              <w:rPr>
                <w:rFonts w:hint="eastAsia" w:ascii="宋体" w:hAnsi="宋体"/>
                <w:color w:val="808080"/>
                <w:sz w:val="24"/>
              </w:rPr>
              <w:t>山东胜工检测技术有限公司</w:t>
            </w:r>
          </w:p>
        </w:tc>
        <w:tc>
          <w:tcPr>
            <w:tcW w:w="1515" w:type="dxa"/>
            <w:vAlign w:val="center"/>
          </w:tcPr>
          <w:p>
            <w:pPr>
              <w:spacing w:before="100" w:beforeAutospacing="1" w:after="100" w:afterAutospacing="1"/>
              <w:jc w:val="center"/>
              <w:rPr>
                <w:rFonts w:ascii="宋体" w:hAnsi="宋体"/>
                <w:color w:val="808080"/>
                <w:sz w:val="24"/>
              </w:rPr>
            </w:pPr>
            <w:r>
              <w:rPr>
                <w:rFonts w:hint="eastAsia" w:ascii="宋体" w:hAnsi="宋体"/>
                <w:color w:val="808080"/>
                <w:sz w:val="24"/>
              </w:rPr>
              <w:t>王智锋</w:t>
            </w:r>
          </w:p>
        </w:tc>
        <w:tc>
          <w:tcPr>
            <w:tcW w:w="1564" w:type="dxa"/>
            <w:vAlign w:val="center"/>
          </w:tcPr>
          <w:p>
            <w:pPr>
              <w:spacing w:before="100" w:beforeAutospacing="1" w:after="100" w:afterAutospacing="1"/>
              <w:jc w:val="center"/>
              <w:rPr>
                <w:rFonts w:ascii="宋体" w:hAnsi="宋体"/>
                <w:color w:val="808080"/>
                <w:sz w:val="24"/>
              </w:rPr>
            </w:pPr>
            <w:r>
              <w:rPr>
                <w:rFonts w:hint="eastAsia" w:ascii="宋体" w:hAnsi="宋体"/>
                <w:color w:val="808080"/>
                <w:sz w:val="24"/>
              </w:rPr>
              <w:t>项目负责</w:t>
            </w:r>
          </w:p>
        </w:tc>
        <w:tc>
          <w:tcPr>
            <w:tcW w:w="910" w:type="dxa"/>
            <w:tcBorders>
              <w:right w:val="single" w:color="000000" w:sz="4" w:space="0"/>
            </w:tcBorders>
            <w:vAlign w:val="center"/>
          </w:tcPr>
          <w:p>
            <w:pPr>
              <w:spacing w:before="100" w:beforeAutospacing="1" w:after="100" w:afterAutospacing="1"/>
              <w:jc w:val="center"/>
              <w:rPr>
                <w:rFonts w:ascii="宋体" w:hAnsi="宋体"/>
                <w:color w:val="808080"/>
                <w:sz w:val="24"/>
              </w:rPr>
            </w:pPr>
          </w:p>
        </w:tc>
      </w:tr>
      <w:tr>
        <w:tblPrEx>
          <w:tblBorders>
            <w:top w:val="single" w:color="000000" w:sz="4" w:space="0"/>
            <w:left w:val="none" w:color="auto" w:sz="0" w:space="0"/>
            <w:bottom w:val="single" w:color="000000" w:sz="4"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04" w:hRule="atLeast"/>
        </w:trPr>
        <w:tc>
          <w:tcPr>
            <w:tcW w:w="725" w:type="dxa"/>
            <w:tcBorders>
              <w:left w:val="single" w:color="000000" w:sz="4" w:space="0"/>
            </w:tcBorders>
            <w:vAlign w:val="center"/>
          </w:tcPr>
          <w:p>
            <w:pPr>
              <w:spacing w:before="100" w:beforeAutospacing="1" w:after="100" w:afterAutospacing="1"/>
              <w:jc w:val="center"/>
              <w:rPr>
                <w:rFonts w:ascii="宋体" w:hAnsi="宋体"/>
                <w:color w:val="808080"/>
                <w:sz w:val="24"/>
              </w:rPr>
            </w:pPr>
            <w:r>
              <w:rPr>
                <w:rFonts w:hint="eastAsia" w:ascii="宋体" w:hAnsi="宋体"/>
                <w:color w:val="808080"/>
                <w:sz w:val="24"/>
              </w:rPr>
              <w:t>2</w:t>
            </w:r>
          </w:p>
        </w:tc>
        <w:tc>
          <w:tcPr>
            <w:tcW w:w="4856" w:type="dxa"/>
            <w:vAlign w:val="center"/>
          </w:tcPr>
          <w:p>
            <w:pPr>
              <w:spacing w:before="100" w:beforeAutospacing="1" w:after="100" w:afterAutospacing="1"/>
              <w:jc w:val="center"/>
              <w:rPr>
                <w:rFonts w:ascii="宋体" w:hAnsi="宋体"/>
                <w:color w:val="808080"/>
                <w:sz w:val="24"/>
              </w:rPr>
            </w:pPr>
            <w:r>
              <w:rPr>
                <w:rFonts w:hint="eastAsia" w:ascii="宋体" w:hAnsi="宋体"/>
                <w:color w:val="808080"/>
                <w:sz w:val="24"/>
              </w:rPr>
              <w:t>中石化胜利石油工程公司井下作业公司</w:t>
            </w:r>
          </w:p>
        </w:tc>
        <w:tc>
          <w:tcPr>
            <w:tcW w:w="1515" w:type="dxa"/>
            <w:vAlign w:val="center"/>
          </w:tcPr>
          <w:p>
            <w:pPr>
              <w:spacing w:before="100" w:beforeAutospacing="1" w:after="100" w:afterAutospacing="1"/>
              <w:jc w:val="center"/>
              <w:rPr>
                <w:rFonts w:ascii="宋体" w:hAnsi="宋体"/>
                <w:color w:val="808080"/>
                <w:sz w:val="24"/>
              </w:rPr>
            </w:pPr>
            <w:r>
              <w:rPr>
                <w:rFonts w:hint="eastAsia" w:ascii="宋体" w:hAnsi="宋体"/>
                <w:color w:val="808080"/>
                <w:sz w:val="24"/>
              </w:rPr>
              <w:t>李兵</w:t>
            </w:r>
          </w:p>
        </w:tc>
        <w:tc>
          <w:tcPr>
            <w:tcW w:w="1564" w:type="dxa"/>
            <w:vAlign w:val="center"/>
          </w:tcPr>
          <w:p>
            <w:pPr>
              <w:spacing w:before="100" w:beforeAutospacing="1" w:after="100" w:afterAutospacing="1"/>
              <w:jc w:val="center"/>
              <w:rPr>
                <w:rFonts w:ascii="宋体" w:hAnsi="宋体"/>
                <w:color w:val="808080"/>
                <w:sz w:val="24"/>
              </w:rPr>
            </w:pPr>
            <w:r>
              <w:rPr>
                <w:rFonts w:hint="eastAsia" w:ascii="宋体" w:hAnsi="宋体"/>
                <w:color w:val="808080"/>
                <w:sz w:val="24"/>
              </w:rPr>
              <w:t>项目协调</w:t>
            </w:r>
          </w:p>
        </w:tc>
        <w:tc>
          <w:tcPr>
            <w:tcW w:w="910" w:type="dxa"/>
            <w:tcBorders>
              <w:right w:val="single" w:color="000000" w:sz="4" w:space="0"/>
            </w:tcBorders>
            <w:vAlign w:val="center"/>
          </w:tcPr>
          <w:p>
            <w:pPr>
              <w:spacing w:before="100" w:beforeAutospacing="1" w:after="100" w:afterAutospacing="1"/>
              <w:jc w:val="center"/>
              <w:rPr>
                <w:rFonts w:ascii="宋体" w:hAnsi="宋体"/>
                <w:color w:val="808080"/>
                <w:sz w:val="24"/>
              </w:rPr>
            </w:pPr>
          </w:p>
        </w:tc>
      </w:tr>
      <w:tr>
        <w:tblPrEx>
          <w:tblBorders>
            <w:top w:val="single" w:color="000000" w:sz="4" w:space="0"/>
            <w:left w:val="none" w:color="auto" w:sz="0" w:space="0"/>
            <w:bottom w:val="single" w:color="000000" w:sz="4"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04" w:hRule="atLeast"/>
        </w:trPr>
        <w:tc>
          <w:tcPr>
            <w:tcW w:w="725" w:type="dxa"/>
            <w:tcBorders>
              <w:left w:val="single" w:color="000000" w:sz="4" w:space="0"/>
            </w:tcBorders>
            <w:vAlign w:val="center"/>
          </w:tcPr>
          <w:p>
            <w:pPr>
              <w:spacing w:before="100" w:beforeAutospacing="1" w:after="100" w:afterAutospacing="1"/>
              <w:jc w:val="center"/>
              <w:rPr>
                <w:rFonts w:ascii="宋体" w:hAnsi="宋体"/>
                <w:color w:val="808080"/>
                <w:sz w:val="24"/>
              </w:rPr>
            </w:pPr>
            <w:r>
              <w:rPr>
                <w:rFonts w:hint="eastAsia" w:ascii="宋体" w:hAnsi="宋体"/>
                <w:color w:val="808080"/>
                <w:sz w:val="24"/>
              </w:rPr>
              <w:t>3</w:t>
            </w:r>
          </w:p>
        </w:tc>
        <w:tc>
          <w:tcPr>
            <w:tcW w:w="4856" w:type="dxa"/>
            <w:vAlign w:val="center"/>
          </w:tcPr>
          <w:p>
            <w:pPr>
              <w:spacing w:before="100" w:beforeAutospacing="1" w:after="100" w:afterAutospacing="1"/>
              <w:jc w:val="center"/>
              <w:rPr>
                <w:rFonts w:ascii="宋体" w:hAnsi="宋体"/>
                <w:color w:val="808080"/>
                <w:sz w:val="24"/>
              </w:rPr>
            </w:pPr>
            <w:r>
              <w:rPr>
                <w:rFonts w:hint="eastAsia" w:ascii="宋体" w:hAnsi="宋体"/>
                <w:color w:val="808080"/>
                <w:sz w:val="24"/>
              </w:rPr>
              <w:t>大庆石油管理局有限公司技术监督中心</w:t>
            </w:r>
          </w:p>
        </w:tc>
        <w:tc>
          <w:tcPr>
            <w:tcW w:w="1515" w:type="dxa"/>
            <w:vAlign w:val="center"/>
          </w:tcPr>
          <w:p>
            <w:pPr>
              <w:spacing w:before="100" w:beforeAutospacing="1" w:after="100" w:afterAutospacing="1"/>
              <w:jc w:val="center"/>
              <w:rPr>
                <w:rFonts w:ascii="宋体" w:hAnsi="宋体"/>
                <w:color w:val="808080"/>
                <w:sz w:val="24"/>
              </w:rPr>
            </w:pPr>
            <w:r>
              <w:rPr>
                <w:rFonts w:hint="eastAsia" w:ascii="宋体" w:hAnsi="宋体"/>
                <w:color w:val="808080"/>
                <w:sz w:val="24"/>
              </w:rPr>
              <w:t>袁海滨</w:t>
            </w:r>
          </w:p>
        </w:tc>
        <w:tc>
          <w:tcPr>
            <w:tcW w:w="1564" w:type="dxa"/>
            <w:vAlign w:val="center"/>
          </w:tcPr>
          <w:p>
            <w:pPr>
              <w:spacing w:before="100" w:beforeAutospacing="1" w:after="100" w:afterAutospacing="1"/>
              <w:jc w:val="center"/>
              <w:rPr>
                <w:rFonts w:ascii="宋体" w:hAnsi="宋体"/>
                <w:color w:val="808080"/>
                <w:sz w:val="24"/>
              </w:rPr>
            </w:pPr>
            <w:r>
              <w:rPr>
                <w:rFonts w:hint="eastAsia" w:ascii="宋体" w:hAnsi="宋体"/>
                <w:color w:val="808080"/>
                <w:sz w:val="24"/>
              </w:rPr>
              <w:t>标准制定</w:t>
            </w:r>
          </w:p>
        </w:tc>
        <w:tc>
          <w:tcPr>
            <w:tcW w:w="910" w:type="dxa"/>
            <w:tcBorders>
              <w:right w:val="single" w:color="000000" w:sz="4" w:space="0"/>
            </w:tcBorders>
            <w:vAlign w:val="center"/>
          </w:tcPr>
          <w:p>
            <w:pPr>
              <w:spacing w:before="100" w:beforeAutospacing="1" w:after="100" w:afterAutospacing="1"/>
              <w:jc w:val="center"/>
              <w:rPr>
                <w:rFonts w:ascii="宋体" w:hAnsi="宋体"/>
                <w:color w:val="808080"/>
                <w:sz w:val="24"/>
              </w:rPr>
            </w:pPr>
          </w:p>
        </w:tc>
      </w:tr>
      <w:tr>
        <w:tblPrEx>
          <w:tblBorders>
            <w:top w:val="single" w:color="000000" w:sz="4" w:space="0"/>
            <w:left w:val="none" w:color="auto" w:sz="0" w:space="0"/>
            <w:bottom w:val="single" w:color="000000" w:sz="4"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04" w:hRule="atLeast"/>
        </w:trPr>
        <w:tc>
          <w:tcPr>
            <w:tcW w:w="725" w:type="dxa"/>
            <w:tcBorders>
              <w:left w:val="single" w:color="000000" w:sz="4" w:space="0"/>
            </w:tcBorders>
            <w:vAlign w:val="center"/>
          </w:tcPr>
          <w:p>
            <w:pPr>
              <w:spacing w:before="100" w:beforeAutospacing="1" w:after="100" w:afterAutospacing="1"/>
              <w:jc w:val="center"/>
              <w:rPr>
                <w:rFonts w:ascii="宋体" w:hAnsi="宋体"/>
                <w:color w:val="808080"/>
                <w:sz w:val="24"/>
              </w:rPr>
            </w:pPr>
            <w:r>
              <w:rPr>
                <w:rFonts w:hint="eastAsia" w:ascii="宋体" w:hAnsi="宋体"/>
                <w:color w:val="808080"/>
                <w:sz w:val="24"/>
              </w:rPr>
              <w:t>4</w:t>
            </w:r>
          </w:p>
        </w:tc>
        <w:tc>
          <w:tcPr>
            <w:tcW w:w="4856" w:type="dxa"/>
            <w:vAlign w:val="center"/>
          </w:tcPr>
          <w:p>
            <w:pPr>
              <w:spacing w:before="100" w:beforeAutospacing="1" w:after="100" w:afterAutospacing="1"/>
              <w:jc w:val="center"/>
              <w:rPr>
                <w:rFonts w:ascii="宋体" w:hAnsi="宋体"/>
                <w:color w:val="808080"/>
                <w:sz w:val="24"/>
              </w:rPr>
            </w:pPr>
            <w:r>
              <w:rPr>
                <w:rFonts w:hint="eastAsia" w:ascii="宋体" w:hAnsi="宋体"/>
                <w:color w:val="808080"/>
                <w:sz w:val="24"/>
              </w:rPr>
              <w:t>山东胜工检测技术有限公司</w:t>
            </w:r>
          </w:p>
        </w:tc>
        <w:tc>
          <w:tcPr>
            <w:tcW w:w="1515" w:type="dxa"/>
            <w:vAlign w:val="center"/>
          </w:tcPr>
          <w:p>
            <w:pPr>
              <w:spacing w:before="100" w:beforeAutospacing="1" w:after="100" w:afterAutospacing="1"/>
              <w:jc w:val="center"/>
              <w:rPr>
                <w:rFonts w:ascii="宋体" w:hAnsi="宋体"/>
                <w:color w:val="808080"/>
                <w:sz w:val="24"/>
              </w:rPr>
            </w:pPr>
            <w:r>
              <w:rPr>
                <w:rFonts w:hint="eastAsia" w:ascii="宋体" w:hAnsi="宋体"/>
                <w:color w:val="808080"/>
                <w:sz w:val="24"/>
              </w:rPr>
              <w:t>鲁金峰</w:t>
            </w:r>
          </w:p>
        </w:tc>
        <w:tc>
          <w:tcPr>
            <w:tcW w:w="1564" w:type="dxa"/>
            <w:vAlign w:val="center"/>
          </w:tcPr>
          <w:p>
            <w:pPr>
              <w:spacing w:before="100" w:beforeAutospacing="1" w:after="100" w:afterAutospacing="1"/>
              <w:jc w:val="center"/>
              <w:rPr>
                <w:rFonts w:ascii="宋体" w:hAnsi="宋体"/>
                <w:color w:val="808080"/>
                <w:sz w:val="24"/>
              </w:rPr>
            </w:pPr>
            <w:r>
              <w:rPr>
                <w:rFonts w:hint="eastAsia" w:ascii="宋体" w:hAnsi="宋体"/>
                <w:color w:val="808080"/>
                <w:sz w:val="24"/>
              </w:rPr>
              <w:t>标准参与</w:t>
            </w:r>
          </w:p>
        </w:tc>
        <w:tc>
          <w:tcPr>
            <w:tcW w:w="910" w:type="dxa"/>
            <w:tcBorders>
              <w:right w:val="single" w:color="000000" w:sz="4" w:space="0"/>
            </w:tcBorders>
            <w:vAlign w:val="center"/>
          </w:tcPr>
          <w:p>
            <w:pPr>
              <w:spacing w:before="100" w:beforeAutospacing="1" w:after="100" w:afterAutospacing="1"/>
              <w:jc w:val="center"/>
              <w:rPr>
                <w:rFonts w:ascii="宋体" w:hAnsi="宋体"/>
                <w:color w:val="808080"/>
                <w:sz w:val="24"/>
              </w:rPr>
            </w:pPr>
          </w:p>
        </w:tc>
      </w:tr>
      <w:tr>
        <w:tblPrEx>
          <w:tblBorders>
            <w:top w:val="single" w:color="000000" w:sz="4" w:space="0"/>
            <w:left w:val="none" w:color="auto" w:sz="0" w:space="0"/>
            <w:bottom w:val="single" w:color="000000" w:sz="4"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04" w:hRule="atLeast"/>
        </w:trPr>
        <w:tc>
          <w:tcPr>
            <w:tcW w:w="725" w:type="dxa"/>
            <w:tcBorders>
              <w:left w:val="single" w:color="000000" w:sz="4" w:space="0"/>
            </w:tcBorders>
            <w:vAlign w:val="center"/>
          </w:tcPr>
          <w:p>
            <w:pPr>
              <w:spacing w:before="100" w:beforeAutospacing="1" w:after="100" w:afterAutospacing="1"/>
              <w:jc w:val="center"/>
              <w:rPr>
                <w:rFonts w:ascii="宋体" w:hAnsi="宋体"/>
                <w:color w:val="808080"/>
                <w:sz w:val="24"/>
              </w:rPr>
            </w:pPr>
            <w:r>
              <w:rPr>
                <w:rFonts w:hint="eastAsia" w:ascii="宋体" w:hAnsi="宋体"/>
                <w:color w:val="808080"/>
                <w:sz w:val="24"/>
              </w:rPr>
              <w:t>5</w:t>
            </w:r>
          </w:p>
        </w:tc>
        <w:tc>
          <w:tcPr>
            <w:tcW w:w="4856" w:type="dxa"/>
            <w:vAlign w:val="center"/>
          </w:tcPr>
          <w:p>
            <w:pPr>
              <w:spacing w:before="100" w:beforeAutospacing="1" w:after="100" w:afterAutospacing="1"/>
              <w:jc w:val="center"/>
              <w:rPr>
                <w:rFonts w:ascii="宋体" w:hAnsi="宋体"/>
                <w:color w:val="808080"/>
                <w:sz w:val="24"/>
              </w:rPr>
            </w:pPr>
            <w:r>
              <w:rPr>
                <w:rFonts w:hint="eastAsia" w:ascii="宋体" w:hAnsi="宋体"/>
                <w:color w:val="808080"/>
                <w:sz w:val="24"/>
              </w:rPr>
              <w:t>湖北江汉石油仪器仪表股份有限公司</w:t>
            </w:r>
          </w:p>
        </w:tc>
        <w:tc>
          <w:tcPr>
            <w:tcW w:w="1515" w:type="dxa"/>
            <w:vAlign w:val="center"/>
          </w:tcPr>
          <w:p>
            <w:pPr>
              <w:spacing w:before="100" w:beforeAutospacing="1" w:after="100" w:afterAutospacing="1"/>
              <w:jc w:val="center"/>
              <w:rPr>
                <w:rFonts w:ascii="宋体" w:hAnsi="宋体"/>
                <w:color w:val="808080"/>
                <w:sz w:val="24"/>
              </w:rPr>
            </w:pPr>
            <w:r>
              <w:rPr>
                <w:rFonts w:hint="eastAsia" w:ascii="宋体" w:hAnsi="宋体"/>
                <w:color w:val="808080"/>
                <w:sz w:val="24"/>
              </w:rPr>
              <w:t>皮运松</w:t>
            </w:r>
          </w:p>
        </w:tc>
        <w:tc>
          <w:tcPr>
            <w:tcW w:w="1564" w:type="dxa"/>
            <w:vAlign w:val="center"/>
          </w:tcPr>
          <w:p>
            <w:pPr>
              <w:spacing w:before="100" w:beforeAutospacing="1" w:after="100" w:afterAutospacing="1"/>
              <w:jc w:val="center"/>
              <w:rPr>
                <w:rFonts w:ascii="宋体" w:hAnsi="宋体"/>
                <w:color w:val="808080"/>
                <w:sz w:val="24"/>
              </w:rPr>
            </w:pPr>
            <w:r>
              <w:rPr>
                <w:rFonts w:hint="eastAsia" w:ascii="宋体" w:hAnsi="宋体"/>
                <w:color w:val="808080"/>
                <w:sz w:val="24"/>
              </w:rPr>
              <w:t>标准参与</w:t>
            </w:r>
          </w:p>
        </w:tc>
        <w:tc>
          <w:tcPr>
            <w:tcW w:w="910" w:type="dxa"/>
            <w:tcBorders>
              <w:right w:val="single" w:color="000000" w:sz="4" w:space="0"/>
            </w:tcBorders>
            <w:vAlign w:val="center"/>
          </w:tcPr>
          <w:p>
            <w:pPr>
              <w:spacing w:before="100" w:beforeAutospacing="1" w:after="100" w:afterAutospacing="1"/>
              <w:jc w:val="center"/>
              <w:rPr>
                <w:rFonts w:ascii="宋体" w:hAnsi="宋体"/>
                <w:color w:val="808080"/>
                <w:sz w:val="24"/>
              </w:rPr>
            </w:pPr>
          </w:p>
        </w:tc>
      </w:tr>
      <w:tr>
        <w:tblPrEx>
          <w:tblBorders>
            <w:top w:val="single" w:color="000000" w:sz="4" w:space="0"/>
            <w:left w:val="none" w:color="auto" w:sz="0" w:space="0"/>
            <w:bottom w:val="single" w:color="000000" w:sz="4"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04" w:hRule="atLeast"/>
        </w:trPr>
        <w:tc>
          <w:tcPr>
            <w:tcW w:w="725" w:type="dxa"/>
            <w:tcBorders>
              <w:left w:val="single" w:color="000000" w:sz="4" w:space="0"/>
            </w:tcBorders>
            <w:vAlign w:val="center"/>
          </w:tcPr>
          <w:p>
            <w:pPr>
              <w:spacing w:before="100" w:beforeAutospacing="1" w:after="100" w:afterAutospacing="1"/>
              <w:jc w:val="center"/>
              <w:rPr>
                <w:rFonts w:ascii="宋体" w:hAnsi="宋体"/>
                <w:color w:val="808080"/>
                <w:sz w:val="24"/>
              </w:rPr>
            </w:pPr>
            <w:r>
              <w:rPr>
                <w:rFonts w:hint="eastAsia" w:ascii="宋体" w:hAnsi="宋体"/>
                <w:color w:val="808080"/>
                <w:sz w:val="24"/>
              </w:rPr>
              <w:t>6</w:t>
            </w:r>
          </w:p>
        </w:tc>
        <w:tc>
          <w:tcPr>
            <w:tcW w:w="4856" w:type="dxa"/>
            <w:vAlign w:val="center"/>
          </w:tcPr>
          <w:p>
            <w:pPr>
              <w:spacing w:before="100" w:beforeAutospacing="1" w:after="100" w:afterAutospacing="1"/>
              <w:jc w:val="center"/>
              <w:rPr>
                <w:rFonts w:ascii="宋体" w:hAnsi="宋体"/>
                <w:color w:val="808080"/>
                <w:sz w:val="24"/>
              </w:rPr>
            </w:pPr>
            <w:r>
              <w:rPr>
                <w:rFonts w:hint="eastAsia" w:ascii="宋体" w:hAnsi="宋体"/>
                <w:color w:val="808080"/>
                <w:sz w:val="24"/>
              </w:rPr>
              <w:t>大庆石油管理局有限公司技术监督中心</w:t>
            </w:r>
          </w:p>
        </w:tc>
        <w:tc>
          <w:tcPr>
            <w:tcW w:w="1515" w:type="dxa"/>
            <w:vAlign w:val="center"/>
          </w:tcPr>
          <w:p>
            <w:pPr>
              <w:spacing w:before="100" w:beforeAutospacing="1" w:after="100" w:afterAutospacing="1"/>
              <w:jc w:val="center"/>
              <w:rPr>
                <w:rFonts w:ascii="宋体" w:hAnsi="宋体"/>
                <w:color w:val="808080"/>
                <w:sz w:val="24"/>
              </w:rPr>
            </w:pPr>
            <w:r>
              <w:rPr>
                <w:rFonts w:hint="eastAsia" w:ascii="宋体" w:hAnsi="宋体"/>
                <w:color w:val="808080"/>
                <w:sz w:val="24"/>
              </w:rPr>
              <w:t>陈剑</w:t>
            </w:r>
          </w:p>
        </w:tc>
        <w:tc>
          <w:tcPr>
            <w:tcW w:w="1564" w:type="dxa"/>
            <w:vAlign w:val="center"/>
          </w:tcPr>
          <w:p>
            <w:pPr>
              <w:spacing w:before="100" w:beforeAutospacing="1" w:after="100" w:afterAutospacing="1"/>
              <w:jc w:val="center"/>
              <w:rPr>
                <w:rFonts w:ascii="宋体" w:hAnsi="宋体"/>
                <w:color w:val="808080"/>
                <w:sz w:val="24"/>
              </w:rPr>
            </w:pPr>
            <w:r>
              <w:rPr>
                <w:rFonts w:hint="eastAsia" w:ascii="宋体" w:hAnsi="宋体"/>
                <w:color w:val="808080"/>
                <w:sz w:val="24"/>
              </w:rPr>
              <w:t>标准参与</w:t>
            </w:r>
          </w:p>
        </w:tc>
        <w:tc>
          <w:tcPr>
            <w:tcW w:w="910" w:type="dxa"/>
            <w:tcBorders>
              <w:right w:val="single" w:color="000000" w:sz="4" w:space="0"/>
            </w:tcBorders>
            <w:vAlign w:val="center"/>
          </w:tcPr>
          <w:p>
            <w:pPr>
              <w:spacing w:before="100" w:beforeAutospacing="1" w:after="100" w:afterAutospacing="1"/>
              <w:jc w:val="center"/>
              <w:rPr>
                <w:rFonts w:ascii="宋体" w:hAnsi="宋体"/>
                <w:color w:val="808080"/>
                <w:sz w:val="24"/>
              </w:rPr>
            </w:pPr>
          </w:p>
        </w:tc>
      </w:tr>
      <w:tr>
        <w:tblPrEx>
          <w:tblBorders>
            <w:top w:val="single" w:color="000000" w:sz="4" w:space="0"/>
            <w:left w:val="none" w:color="auto" w:sz="0" w:space="0"/>
            <w:bottom w:val="single" w:color="000000" w:sz="4"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04" w:hRule="atLeast"/>
        </w:trPr>
        <w:tc>
          <w:tcPr>
            <w:tcW w:w="725" w:type="dxa"/>
            <w:tcBorders>
              <w:left w:val="single" w:color="000000" w:sz="4" w:space="0"/>
            </w:tcBorders>
            <w:vAlign w:val="center"/>
          </w:tcPr>
          <w:p>
            <w:pPr>
              <w:spacing w:before="100" w:beforeAutospacing="1" w:after="100" w:afterAutospacing="1"/>
              <w:jc w:val="center"/>
              <w:rPr>
                <w:rFonts w:ascii="宋体" w:hAnsi="宋体"/>
                <w:color w:val="808080"/>
                <w:sz w:val="24"/>
              </w:rPr>
            </w:pPr>
            <w:r>
              <w:rPr>
                <w:rFonts w:hint="eastAsia" w:ascii="宋体" w:hAnsi="宋体"/>
                <w:color w:val="808080"/>
                <w:sz w:val="24"/>
              </w:rPr>
              <w:t>7</w:t>
            </w:r>
          </w:p>
        </w:tc>
        <w:tc>
          <w:tcPr>
            <w:tcW w:w="4856" w:type="dxa"/>
            <w:vAlign w:val="center"/>
          </w:tcPr>
          <w:p>
            <w:pPr>
              <w:spacing w:before="100" w:beforeAutospacing="1" w:after="100" w:afterAutospacing="1"/>
              <w:jc w:val="center"/>
              <w:rPr>
                <w:rFonts w:ascii="宋体" w:hAnsi="宋体"/>
                <w:color w:val="808080"/>
                <w:sz w:val="24"/>
              </w:rPr>
            </w:pPr>
            <w:r>
              <w:rPr>
                <w:rFonts w:hint="eastAsia" w:ascii="宋体" w:hAnsi="宋体"/>
                <w:color w:val="808080"/>
                <w:sz w:val="24"/>
              </w:rPr>
              <w:t>山东胜工检测技术有限公司</w:t>
            </w:r>
          </w:p>
        </w:tc>
        <w:tc>
          <w:tcPr>
            <w:tcW w:w="1515" w:type="dxa"/>
            <w:vAlign w:val="center"/>
          </w:tcPr>
          <w:p>
            <w:pPr>
              <w:spacing w:before="100" w:beforeAutospacing="1" w:after="100" w:afterAutospacing="1"/>
              <w:jc w:val="center"/>
              <w:rPr>
                <w:rFonts w:ascii="宋体" w:hAnsi="宋体"/>
                <w:color w:val="808080"/>
                <w:sz w:val="24"/>
              </w:rPr>
            </w:pPr>
            <w:r>
              <w:rPr>
                <w:rFonts w:hint="eastAsia" w:ascii="宋体" w:hAnsi="宋体"/>
                <w:color w:val="808080"/>
                <w:sz w:val="24"/>
              </w:rPr>
              <w:t>陈思伟</w:t>
            </w:r>
          </w:p>
        </w:tc>
        <w:tc>
          <w:tcPr>
            <w:tcW w:w="1564" w:type="dxa"/>
            <w:vAlign w:val="center"/>
          </w:tcPr>
          <w:p>
            <w:pPr>
              <w:spacing w:before="100" w:beforeAutospacing="1" w:after="100" w:afterAutospacing="1"/>
              <w:jc w:val="center"/>
              <w:rPr>
                <w:rFonts w:ascii="宋体" w:hAnsi="宋体"/>
                <w:color w:val="808080"/>
                <w:sz w:val="24"/>
              </w:rPr>
            </w:pPr>
            <w:r>
              <w:rPr>
                <w:rFonts w:hint="eastAsia" w:ascii="宋体" w:hAnsi="宋体"/>
                <w:color w:val="808080"/>
                <w:sz w:val="24"/>
              </w:rPr>
              <w:t>标准参与</w:t>
            </w:r>
          </w:p>
        </w:tc>
        <w:tc>
          <w:tcPr>
            <w:tcW w:w="910" w:type="dxa"/>
            <w:tcBorders>
              <w:right w:val="single" w:color="000000" w:sz="4" w:space="0"/>
            </w:tcBorders>
            <w:vAlign w:val="center"/>
          </w:tcPr>
          <w:p>
            <w:pPr>
              <w:spacing w:before="100" w:beforeAutospacing="1" w:after="100" w:afterAutospacing="1"/>
              <w:jc w:val="center"/>
              <w:rPr>
                <w:rFonts w:ascii="宋体" w:hAnsi="宋体"/>
                <w:color w:val="808080"/>
                <w:sz w:val="24"/>
              </w:rPr>
            </w:pPr>
          </w:p>
        </w:tc>
      </w:tr>
    </w:tbl>
    <w:p>
      <w:pPr>
        <w:spacing w:line="360" w:lineRule="auto"/>
        <w:rPr>
          <w:rFonts w:ascii="宋体" w:hAnsi="宋体"/>
          <w:b/>
          <w:sz w:val="24"/>
        </w:rPr>
      </w:pPr>
    </w:p>
    <w:p>
      <w:pPr>
        <w:spacing w:line="360" w:lineRule="auto"/>
        <w:rPr>
          <w:rFonts w:ascii="宋体" w:hAnsi="宋体"/>
          <w:b/>
          <w:sz w:val="24"/>
        </w:rPr>
      </w:pPr>
      <w:r>
        <w:rPr>
          <w:rFonts w:hint="eastAsia" w:ascii="宋体" w:hAnsi="宋体"/>
          <w:b/>
          <w:sz w:val="24"/>
        </w:rPr>
        <w:t>二、编制原则</w:t>
      </w:r>
    </w:p>
    <w:p>
      <w:pPr>
        <w:snapToGrid w:val="0"/>
        <w:spacing w:line="360" w:lineRule="auto"/>
        <w:ind w:firstLine="480" w:firstLineChars="200"/>
        <w:rPr>
          <w:rFonts w:ascii="宋体" w:hAnsi="宋体"/>
          <w:sz w:val="24"/>
        </w:rPr>
      </w:pPr>
      <w:r>
        <w:rPr>
          <w:rFonts w:hint="eastAsia" w:ascii="宋体" w:hAnsi="宋体"/>
          <w:sz w:val="24"/>
        </w:rPr>
        <w:t>本标准按照</w:t>
      </w:r>
      <w:r>
        <w:rPr>
          <w:rFonts w:ascii="宋体" w:hAnsi="宋体"/>
          <w:sz w:val="24"/>
        </w:rPr>
        <w:t>GB/T 1.1</w:t>
      </w:r>
      <w:r>
        <w:rPr>
          <w:rFonts w:hint="eastAsia" w:ascii="宋体" w:hAnsi="宋体"/>
          <w:sz w:val="24"/>
        </w:rPr>
        <w:t>—</w:t>
      </w:r>
      <w:r>
        <w:rPr>
          <w:rFonts w:ascii="宋体" w:hAnsi="宋体"/>
          <w:sz w:val="24"/>
        </w:rPr>
        <w:t>2020</w:t>
      </w:r>
      <w:r>
        <w:rPr>
          <w:rFonts w:hint="eastAsia" w:ascii="宋体" w:hAnsi="宋体"/>
          <w:sz w:val="24"/>
        </w:rPr>
        <w:t>《标准化工作导则 第1部分：标准的结构和编写》及SY/T 6741—2016《石油专用计量器具校准方法编写规则》给出的规则起草，对《指重表在线校准规范》进行制订。</w:t>
      </w:r>
    </w:p>
    <w:p>
      <w:pPr>
        <w:snapToGrid w:val="0"/>
        <w:spacing w:line="360" w:lineRule="auto"/>
        <w:ind w:firstLine="480" w:firstLineChars="200"/>
        <w:rPr>
          <w:rFonts w:ascii="宋体" w:hAnsi="宋体"/>
          <w:sz w:val="24"/>
        </w:rPr>
      </w:pPr>
      <w:r>
        <w:rPr>
          <w:rFonts w:hint="eastAsia" w:ascii="宋体" w:hAnsi="宋体"/>
          <w:sz w:val="24"/>
        </w:rPr>
        <w:t>以计量法律法规为依据，根据现场使用情况，遵循服务生产、操作有效、避免差异等原则，对石油行业普遍使用的指重表在线校准规范进行编写。</w:t>
      </w:r>
    </w:p>
    <w:p>
      <w:pPr>
        <w:spacing w:line="360" w:lineRule="auto"/>
        <w:rPr>
          <w:rFonts w:ascii="宋体" w:hAnsi="宋体"/>
          <w:b/>
          <w:sz w:val="24"/>
        </w:rPr>
      </w:pPr>
      <w:r>
        <w:rPr>
          <w:rFonts w:hint="eastAsia" w:ascii="宋体" w:hAnsi="宋体"/>
          <w:b/>
          <w:sz w:val="24"/>
        </w:rPr>
        <w:t>三、编制内容</w:t>
      </w:r>
    </w:p>
    <w:p>
      <w:pPr>
        <w:snapToGrid w:val="0"/>
        <w:spacing w:line="360" w:lineRule="auto"/>
        <w:ind w:firstLine="480" w:firstLineChars="200"/>
        <w:rPr>
          <w:rFonts w:ascii="宋体" w:hAnsi="宋体"/>
          <w:sz w:val="24"/>
        </w:rPr>
      </w:pPr>
      <w:r>
        <w:rPr>
          <w:rFonts w:hint="eastAsia" w:ascii="宋体" w:hAnsi="宋体"/>
          <w:sz w:val="24"/>
        </w:rPr>
        <w:t>本规范是对《指重表在线校准规范》的制订，主要技术内容如下：</w:t>
      </w:r>
    </w:p>
    <w:p>
      <w:pPr>
        <w:snapToGrid w:val="0"/>
        <w:spacing w:line="360" w:lineRule="auto"/>
        <w:rPr>
          <w:rFonts w:ascii="宋体" w:hAnsi="宋体"/>
          <w:sz w:val="24"/>
        </w:rPr>
      </w:pPr>
      <w:bookmarkStart w:id="0" w:name="_Toc24884218"/>
      <w:bookmarkStart w:id="1" w:name="_Toc26986530"/>
      <w:bookmarkStart w:id="2" w:name="_Toc26986771"/>
      <w:bookmarkStart w:id="3" w:name="_Toc17233333"/>
      <w:bookmarkStart w:id="4" w:name="_Toc91169878"/>
      <w:bookmarkStart w:id="5" w:name="_Toc26648465"/>
      <w:bookmarkStart w:id="6" w:name="_Toc24884211"/>
      <w:bookmarkStart w:id="7" w:name="_Toc26718930"/>
      <w:bookmarkStart w:id="8" w:name="_Toc17233325"/>
      <w:bookmarkStart w:id="9" w:name="_Toc91170698"/>
      <w:r>
        <w:rPr>
          <w:rFonts w:hint="eastAsia" w:ascii="宋体" w:hAnsi="宋体"/>
          <w:sz w:val="24"/>
        </w:rPr>
        <w:t>1、本规范规定了范围</w:t>
      </w:r>
      <w:bookmarkEnd w:id="0"/>
      <w:bookmarkEnd w:id="1"/>
      <w:bookmarkEnd w:id="2"/>
      <w:bookmarkEnd w:id="3"/>
      <w:bookmarkEnd w:id="4"/>
      <w:bookmarkEnd w:id="5"/>
      <w:bookmarkEnd w:id="6"/>
      <w:bookmarkEnd w:id="7"/>
      <w:bookmarkEnd w:id="8"/>
      <w:bookmarkEnd w:id="9"/>
    </w:p>
    <w:p>
      <w:pPr>
        <w:snapToGrid w:val="0"/>
        <w:spacing w:line="360" w:lineRule="auto"/>
        <w:ind w:firstLine="480" w:firstLineChars="200"/>
        <w:rPr>
          <w:rFonts w:ascii="宋体" w:hAnsi="宋体"/>
          <w:sz w:val="24"/>
        </w:rPr>
      </w:pPr>
      <w:bookmarkStart w:id="10" w:name="_Toc91170699"/>
      <w:bookmarkStart w:id="11" w:name="_Toc26986531"/>
      <w:bookmarkStart w:id="12" w:name="_Toc26986772"/>
      <w:bookmarkStart w:id="13" w:name="_Toc26718931"/>
      <w:bookmarkStart w:id="14" w:name="_Toc91169879"/>
      <w:r>
        <w:rPr>
          <w:rFonts w:hint="eastAsia" w:ascii="宋体" w:hAnsi="宋体"/>
          <w:sz w:val="24"/>
        </w:rPr>
        <w:t>本文件规定了使用中以C型弹簧管为感压元件，利用指针在标度盘上指示其值的在役石油钻（修）井指重表（以下简称指重表）的现场在线校准条件、校准项目和校准方法。</w:t>
      </w:r>
    </w:p>
    <w:p>
      <w:pPr>
        <w:snapToGrid w:val="0"/>
        <w:spacing w:line="360" w:lineRule="auto"/>
        <w:ind w:firstLine="480" w:firstLineChars="200"/>
        <w:rPr>
          <w:rFonts w:ascii="宋体" w:hAnsi="宋体"/>
          <w:sz w:val="24"/>
        </w:rPr>
      </w:pPr>
      <w:r>
        <w:rPr>
          <w:rFonts w:hint="eastAsia" w:ascii="宋体" w:hAnsi="宋体"/>
          <w:sz w:val="24"/>
        </w:rPr>
        <w:t>本文件适用于在使用现场进行使用量程范围内的在线校准。</w:t>
      </w:r>
    </w:p>
    <w:p>
      <w:pPr>
        <w:snapToGrid w:val="0"/>
        <w:spacing w:line="360" w:lineRule="auto"/>
        <w:rPr>
          <w:rFonts w:ascii="宋体" w:hAnsi="宋体"/>
          <w:sz w:val="24"/>
        </w:rPr>
      </w:pPr>
      <w:r>
        <w:rPr>
          <w:rFonts w:hint="eastAsia" w:ascii="宋体" w:hAnsi="宋体"/>
          <w:sz w:val="24"/>
        </w:rPr>
        <w:t>2、本规范规定了规范性引用文件</w:t>
      </w:r>
      <w:bookmarkEnd w:id="10"/>
      <w:bookmarkEnd w:id="11"/>
      <w:bookmarkEnd w:id="12"/>
      <w:bookmarkEnd w:id="13"/>
      <w:bookmarkEnd w:id="14"/>
    </w:p>
    <w:p>
      <w:pPr>
        <w:snapToGrid w:val="0"/>
        <w:spacing w:line="360" w:lineRule="auto"/>
        <w:ind w:firstLine="480" w:firstLineChars="200"/>
        <w:rPr>
          <w:rFonts w:ascii="宋体" w:hAnsi="宋体"/>
          <w:sz w:val="24"/>
        </w:rPr>
      </w:pPr>
      <w:r>
        <w:rPr>
          <w:rFonts w:hint="eastAsia" w:ascii="宋体" w:hAnsi="宋体"/>
          <w:sz w:val="24"/>
        </w:rPr>
        <w:t>下列文件中的内容通过文中的规范性引用而构成本文件必不可少的条款。其中，注日期的引用文件，仅该日期对应的版本适用于本文件；不注日期的引用文件，其最新版本（包括所有的修改单）适用于本文件。</w:t>
      </w:r>
    </w:p>
    <w:p>
      <w:pPr>
        <w:snapToGrid w:val="0"/>
        <w:spacing w:line="360" w:lineRule="auto"/>
        <w:ind w:firstLine="480" w:firstLineChars="200"/>
        <w:rPr>
          <w:rFonts w:ascii="宋体" w:hAnsi="宋体"/>
          <w:sz w:val="24"/>
        </w:rPr>
      </w:pPr>
      <w:r>
        <w:rPr>
          <w:rFonts w:hint="eastAsia" w:ascii="宋体" w:hAnsi="宋体"/>
          <w:sz w:val="24"/>
        </w:rPr>
        <w:t>GB/T 24263  《石油钻井指重表》</w:t>
      </w:r>
    </w:p>
    <w:p>
      <w:pPr>
        <w:snapToGrid w:val="0"/>
        <w:spacing w:line="360" w:lineRule="auto"/>
        <w:ind w:firstLine="480" w:firstLineChars="200"/>
        <w:rPr>
          <w:rFonts w:ascii="宋体" w:hAnsi="宋体"/>
          <w:sz w:val="24"/>
        </w:rPr>
      </w:pPr>
      <w:r>
        <w:rPr>
          <w:rFonts w:hint="eastAsia" w:ascii="宋体" w:hAnsi="宋体"/>
          <w:sz w:val="24"/>
        </w:rPr>
        <w:t>SY/T 7075    《石油钻修井指重表校准方法》</w:t>
      </w:r>
    </w:p>
    <w:p>
      <w:pPr>
        <w:snapToGrid w:val="0"/>
        <w:spacing w:line="360" w:lineRule="auto"/>
        <w:ind w:firstLine="480" w:firstLineChars="200"/>
        <w:rPr>
          <w:rFonts w:ascii="宋体" w:hAnsi="宋体"/>
          <w:sz w:val="24"/>
        </w:rPr>
      </w:pPr>
      <w:r>
        <w:rPr>
          <w:rFonts w:hint="eastAsia" w:ascii="宋体" w:hAnsi="宋体"/>
          <w:sz w:val="24"/>
        </w:rPr>
        <w:t>JJG 455 工作测力仪规范</w:t>
      </w:r>
    </w:p>
    <w:p>
      <w:pPr>
        <w:snapToGrid w:val="0"/>
        <w:spacing w:line="360" w:lineRule="auto"/>
        <w:rPr>
          <w:rFonts w:ascii="宋体" w:hAnsi="宋体"/>
          <w:sz w:val="24"/>
        </w:rPr>
      </w:pPr>
      <w:bookmarkStart w:id="15" w:name="_Toc91169880"/>
      <w:bookmarkStart w:id="16" w:name="_Toc91170700"/>
      <w:r>
        <w:rPr>
          <w:rFonts w:hint="eastAsia" w:ascii="宋体" w:hAnsi="宋体"/>
          <w:sz w:val="24"/>
        </w:rPr>
        <w:t>3、本规范规定了术语和定义</w:t>
      </w:r>
      <w:bookmarkEnd w:id="15"/>
      <w:bookmarkEnd w:id="16"/>
    </w:p>
    <w:p>
      <w:pPr>
        <w:snapToGrid w:val="0"/>
        <w:spacing w:line="360" w:lineRule="auto"/>
        <w:ind w:firstLine="480" w:firstLineChars="200"/>
        <w:rPr>
          <w:rFonts w:ascii="宋体" w:hAnsi="宋体"/>
          <w:sz w:val="24"/>
        </w:rPr>
      </w:pPr>
      <w:r>
        <w:rPr>
          <w:rFonts w:hint="eastAsia" w:ascii="宋体" w:hAnsi="宋体"/>
          <w:sz w:val="24"/>
        </w:rPr>
        <w:t>石油钻（修）井指重表在线校准规范界定的以及下列术语和定义适用于本文件。包括在线校准、使用量程、死绳、死绳固定器、重量指示仪、回程误差、轻敲位移、灵敏限、初始载荷。</w:t>
      </w:r>
      <w:r>
        <w:rPr>
          <w:rFonts w:hint="eastAsia" w:ascii="宋体" w:hAnsi="宋体"/>
          <w:sz w:val="24"/>
        </w:rPr>
        <w:br w:type="textWrapping"/>
      </w:r>
      <w:bookmarkStart w:id="17" w:name="_Toc91169881"/>
      <w:bookmarkStart w:id="18" w:name="_Toc91170701"/>
      <w:r>
        <w:rPr>
          <w:rFonts w:hint="eastAsia" w:ascii="宋体" w:hAnsi="宋体"/>
          <w:sz w:val="24"/>
        </w:rPr>
        <w:t xml:space="preserve"> 4、本规范规定了概述</w:t>
      </w:r>
      <w:bookmarkEnd w:id="17"/>
      <w:bookmarkEnd w:id="18"/>
    </w:p>
    <w:p>
      <w:pPr>
        <w:snapToGrid w:val="0"/>
        <w:spacing w:line="360" w:lineRule="auto"/>
        <w:ind w:firstLine="480" w:firstLineChars="200"/>
        <w:rPr>
          <w:rFonts w:ascii="宋体" w:hAnsi="宋体"/>
          <w:sz w:val="24"/>
        </w:rPr>
      </w:pPr>
      <w:bookmarkStart w:id="19" w:name="_Toc91170704"/>
      <w:bookmarkStart w:id="20" w:name="_Toc91169884"/>
      <w:r>
        <w:rPr>
          <w:rFonts w:hint="eastAsia" w:ascii="宋体" w:hAnsi="宋体"/>
          <w:sz w:val="24"/>
        </w:rPr>
        <w:t>指重表主要由死绳固定器、重量指示仪和记录仪组成。死绳固定器由绳轮、轴、底座、传感器组成，重量指示仪包括悬重指示仪、钻压指示仪和记录仪，如图1所示。</w:t>
      </w:r>
    </w:p>
    <w:p>
      <w:pPr>
        <w:snapToGrid w:val="0"/>
        <w:spacing w:line="360" w:lineRule="auto"/>
        <w:ind w:firstLine="480" w:firstLineChars="200"/>
        <w:rPr>
          <w:rFonts w:ascii="宋体" w:hAnsi="宋体"/>
          <w:sz w:val="24"/>
        </w:rPr>
      </w:pPr>
      <w:r>
        <w:rPr>
          <w:rFonts w:hint="eastAsia" w:ascii="宋体" w:hAnsi="宋体"/>
          <w:sz w:val="24"/>
        </w:rPr>
        <w:t>死绳拉力经绳轮按固定比例传递给传感器并转化成液体压力，该压力作用于弹簧管感压元件，经放大机构带动指针和记录笔偏转，从而以力值的方式指示和记录在仪表表盘上。</w:t>
      </w:r>
    </w:p>
    <w:p>
      <w:pPr>
        <w:pStyle w:val="13"/>
      </w:pPr>
      <w:r>
        <w:drawing>
          <wp:inline distT="0" distB="0" distL="0" distR="0">
            <wp:extent cx="4972050" cy="2962275"/>
            <wp:effectExtent l="0" t="0" r="0" b="9525"/>
            <wp:docPr id="1026" name="图片 3"/>
            <wp:cNvGraphicFramePr/>
            <a:graphic xmlns:a="http://schemas.openxmlformats.org/drawingml/2006/main">
              <a:graphicData uri="http://schemas.openxmlformats.org/drawingml/2006/picture">
                <pic:pic xmlns:pic="http://schemas.openxmlformats.org/drawingml/2006/picture">
                  <pic:nvPicPr>
                    <pic:cNvPr id="1026" name="图片 3"/>
                    <pic:cNvPicPr/>
                  </pic:nvPicPr>
                  <pic:blipFill>
                    <a:blip r:embed="rId7" cstate="print"/>
                    <a:srcRect/>
                    <a:stretch>
                      <a:fillRect/>
                    </a:stretch>
                  </pic:blipFill>
                  <pic:spPr>
                    <a:xfrm>
                      <a:off x="0" y="0"/>
                      <a:ext cx="4972050" cy="2962275"/>
                    </a:xfrm>
                    <a:prstGeom prst="rect">
                      <a:avLst/>
                    </a:prstGeom>
                    <a:ln>
                      <a:noFill/>
                    </a:ln>
                  </pic:spPr>
                </pic:pic>
              </a:graphicData>
            </a:graphic>
          </wp:inline>
        </w:drawing>
      </w:r>
    </w:p>
    <w:p>
      <w:pPr>
        <w:pStyle w:val="20"/>
        <w:spacing w:before="156" w:after="156"/>
        <w:ind w:left="1140" w:firstLine="0" w:firstLineChars="0"/>
        <w:jc w:val="center"/>
        <w:rPr>
          <w:sz w:val="18"/>
          <w:szCs w:val="18"/>
        </w:rPr>
      </w:pPr>
      <w:r>
        <w:rPr>
          <w:rFonts w:hint="eastAsia"/>
          <w:sz w:val="18"/>
          <w:szCs w:val="18"/>
        </w:rPr>
        <w:t>1.绳轮 2.固定器 3.传感器 4.传压管线 5.重量指示仪 6.记录仪 7.死绳</w:t>
      </w:r>
    </w:p>
    <w:p>
      <w:pPr>
        <w:spacing w:before="156" w:after="156"/>
        <w:jc w:val="center"/>
        <w:rPr>
          <w:sz w:val="18"/>
          <w:szCs w:val="18"/>
        </w:rPr>
      </w:pPr>
      <w:r>
        <w:rPr>
          <w:rFonts w:hint="eastAsia"/>
          <w:sz w:val="18"/>
          <w:szCs w:val="18"/>
        </w:rPr>
        <w:t>图1</w:t>
      </w:r>
    </w:p>
    <w:p>
      <w:pPr>
        <w:snapToGrid w:val="0"/>
        <w:spacing w:line="360" w:lineRule="auto"/>
        <w:rPr>
          <w:rFonts w:ascii="宋体" w:hAnsi="宋体"/>
          <w:sz w:val="24"/>
        </w:rPr>
      </w:pPr>
      <w:r>
        <w:rPr>
          <w:rFonts w:hint="eastAsia" w:ascii="宋体" w:hAnsi="宋体"/>
          <w:sz w:val="24"/>
        </w:rPr>
        <w:t>5、本规范规定了</w:t>
      </w:r>
      <w:bookmarkEnd w:id="19"/>
      <w:bookmarkEnd w:id="20"/>
      <w:r>
        <w:rPr>
          <w:rFonts w:hint="eastAsia" w:ascii="宋体" w:hAnsi="宋体"/>
          <w:sz w:val="24"/>
        </w:rPr>
        <w:t>计量特性</w:t>
      </w:r>
    </w:p>
    <w:p>
      <w:pPr>
        <w:snapToGrid w:val="0"/>
        <w:spacing w:line="360" w:lineRule="auto"/>
        <w:ind w:firstLine="480" w:firstLineChars="200"/>
        <w:rPr>
          <w:rFonts w:ascii="宋体" w:hAnsi="宋体"/>
          <w:sz w:val="24"/>
        </w:rPr>
      </w:pPr>
      <w:bookmarkStart w:id="21" w:name="_Toc91169885"/>
      <w:bookmarkStart w:id="22" w:name="_Toc91170705"/>
      <w:r>
        <w:rPr>
          <w:rFonts w:hint="eastAsia" w:ascii="宋体" w:hAnsi="宋体"/>
          <w:sz w:val="24"/>
        </w:rPr>
        <w:t>5.1外观</w:t>
      </w:r>
      <w:bookmarkEnd w:id="21"/>
      <w:bookmarkEnd w:id="22"/>
      <w:bookmarkStart w:id="23" w:name="_Toc91169886"/>
      <w:bookmarkStart w:id="24" w:name="_Toc91170706"/>
    </w:p>
    <w:p>
      <w:pPr>
        <w:snapToGrid w:val="0"/>
        <w:spacing w:line="360" w:lineRule="auto"/>
        <w:ind w:firstLine="480" w:firstLineChars="200"/>
        <w:rPr>
          <w:rFonts w:ascii="宋体" w:hAnsi="宋体"/>
          <w:sz w:val="24"/>
        </w:rPr>
      </w:pPr>
      <w:r>
        <w:rPr>
          <w:rFonts w:hint="eastAsia" w:ascii="宋体" w:hAnsi="宋体"/>
          <w:sz w:val="24"/>
        </w:rPr>
        <w:t>5.1.1应有铭牌，铭牌上应有：名称、型号、规格、产品编号、制造日期、制造厂家。</w:t>
      </w:r>
    </w:p>
    <w:p>
      <w:pPr>
        <w:snapToGrid w:val="0"/>
        <w:spacing w:line="360" w:lineRule="auto"/>
        <w:ind w:firstLine="480" w:firstLineChars="200"/>
        <w:rPr>
          <w:rFonts w:ascii="宋体" w:hAnsi="宋体"/>
          <w:sz w:val="24"/>
        </w:rPr>
      </w:pPr>
      <w:r>
        <w:rPr>
          <w:rFonts w:hint="eastAsia" w:ascii="宋体" w:hAnsi="宋体"/>
          <w:sz w:val="24"/>
        </w:rPr>
        <w:t>5.1.2外观应清洁完整，无锈蚀、脱漆、明显划痕和其他影响计量性能的缺陷。</w:t>
      </w:r>
    </w:p>
    <w:p>
      <w:pPr>
        <w:snapToGrid w:val="0"/>
        <w:spacing w:line="360" w:lineRule="auto"/>
        <w:ind w:firstLine="480" w:firstLineChars="200"/>
        <w:rPr>
          <w:rFonts w:ascii="宋体" w:hAnsi="宋体"/>
          <w:sz w:val="24"/>
        </w:rPr>
      </w:pPr>
      <w:r>
        <w:rPr>
          <w:rFonts w:hint="eastAsia" w:ascii="宋体" w:hAnsi="宋体"/>
          <w:sz w:val="24"/>
        </w:rPr>
        <w:t>5.1.3零部件齐全完好、装配牢固、活动部位润滑良好、转动灵活。</w:t>
      </w:r>
    </w:p>
    <w:p>
      <w:pPr>
        <w:snapToGrid w:val="0"/>
        <w:spacing w:line="360" w:lineRule="auto"/>
        <w:ind w:firstLine="480" w:firstLineChars="200"/>
        <w:rPr>
          <w:rFonts w:ascii="宋体" w:hAnsi="宋体"/>
          <w:sz w:val="24"/>
        </w:rPr>
      </w:pPr>
      <w:r>
        <w:rPr>
          <w:rFonts w:hint="eastAsia" w:ascii="宋体" w:hAnsi="宋体"/>
          <w:sz w:val="24"/>
        </w:rPr>
        <w:t>5.1.4标度盘刻度和标识应清晰、正确和完整。</w:t>
      </w:r>
    </w:p>
    <w:p>
      <w:pPr>
        <w:snapToGrid w:val="0"/>
        <w:spacing w:line="360" w:lineRule="auto"/>
        <w:ind w:firstLine="480" w:firstLineChars="200"/>
        <w:rPr>
          <w:rFonts w:ascii="宋体" w:hAnsi="宋体"/>
          <w:sz w:val="24"/>
        </w:rPr>
      </w:pPr>
      <w:r>
        <w:rPr>
          <w:rFonts w:hint="eastAsia" w:ascii="宋体" w:hAnsi="宋体"/>
          <w:sz w:val="24"/>
        </w:rPr>
        <w:t>5.1.5重量指示仪指针应平直，安装牢固，不得有卡阻现象。</w:t>
      </w:r>
    </w:p>
    <w:p>
      <w:pPr>
        <w:snapToGrid w:val="0"/>
        <w:spacing w:line="360" w:lineRule="auto"/>
        <w:ind w:firstLine="480" w:firstLineChars="200"/>
        <w:rPr>
          <w:rFonts w:ascii="宋体" w:hAnsi="宋体"/>
          <w:sz w:val="24"/>
        </w:rPr>
      </w:pPr>
      <w:r>
        <w:rPr>
          <w:rFonts w:hint="eastAsia" w:ascii="宋体" w:hAnsi="宋体"/>
          <w:sz w:val="24"/>
        </w:rPr>
        <w:t>5.1.6记录仪面板四角对称的纸挡片应完好无损，间隙适当，压纸装置应保证记录纸在旋转时无卡阻现象；仪表指针及记录笔的移动在全程范围内应平稳，不得有跳动和卡阻现象。</w:t>
      </w:r>
    </w:p>
    <w:bookmarkEnd w:id="23"/>
    <w:bookmarkEnd w:id="24"/>
    <w:p>
      <w:pPr>
        <w:snapToGrid w:val="0"/>
        <w:spacing w:line="360" w:lineRule="auto"/>
        <w:ind w:firstLine="480" w:firstLineChars="200"/>
        <w:rPr>
          <w:rFonts w:ascii="宋体" w:hAnsi="宋体"/>
          <w:sz w:val="24"/>
        </w:rPr>
      </w:pPr>
      <w:bookmarkStart w:id="25" w:name="_Toc113977959"/>
      <w:r>
        <w:rPr>
          <w:rFonts w:hint="eastAsia" w:ascii="宋体" w:hAnsi="宋体"/>
          <w:sz w:val="24"/>
        </w:rPr>
        <w:t>5.2基本误差</w:t>
      </w:r>
      <w:bookmarkEnd w:id="25"/>
    </w:p>
    <w:p>
      <w:pPr>
        <w:snapToGrid w:val="0"/>
        <w:spacing w:line="360" w:lineRule="auto"/>
        <w:ind w:firstLine="480" w:firstLineChars="200"/>
        <w:rPr>
          <w:rFonts w:ascii="宋体" w:hAnsi="宋体"/>
          <w:sz w:val="24"/>
        </w:rPr>
      </w:pPr>
      <w:r>
        <w:rPr>
          <w:rFonts w:hint="eastAsia" w:ascii="宋体" w:hAnsi="宋体"/>
          <w:sz w:val="24"/>
        </w:rPr>
        <w:t>指重表基本误差，以相对误差来表示，其值应满足表1要求。</w:t>
      </w:r>
    </w:p>
    <w:p>
      <w:pPr>
        <w:pStyle w:val="55"/>
        <w:spacing w:before="180" w:after="180"/>
        <w:jc w:val="center"/>
      </w:pPr>
      <w:r>
        <w:rPr>
          <w:rFonts w:hint="eastAsia"/>
        </w:rPr>
        <w:t>表1指重表基本误差</w:t>
      </w:r>
      <w:bookmarkStart w:id="26" w:name="_Toc113977960"/>
    </w:p>
    <w:tbl>
      <w:tblPr>
        <w:tblStyle w:val="7"/>
        <w:tblW w:w="5838"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657"/>
        <w:gridCol w:w="1344"/>
        <w:gridCol w:w="1342"/>
        <w:gridCol w:w="1495"/>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59" w:hRule="atLeast"/>
          <w:jc w:val="center"/>
        </w:trPr>
        <w:tc>
          <w:tcPr>
            <w:tcW w:w="1657" w:type="dxa"/>
            <w:vMerge w:val="restart"/>
            <w:shd w:val="clear" w:color="auto" w:fill="auto"/>
            <w:vAlign w:val="center"/>
          </w:tcPr>
          <w:p>
            <w:pPr>
              <w:pStyle w:val="20"/>
              <w:ind w:firstLine="0" w:firstLineChars="0"/>
              <w:jc w:val="center"/>
              <w:rPr>
                <w:kern w:val="0"/>
                <w:szCs w:val="21"/>
              </w:rPr>
            </w:pPr>
            <w:r>
              <w:rPr>
                <w:rFonts w:hint="eastAsia"/>
                <w:kern w:val="0"/>
                <w:szCs w:val="21"/>
              </w:rPr>
              <w:t>项目</w:t>
            </w:r>
          </w:p>
        </w:tc>
        <w:tc>
          <w:tcPr>
            <w:tcW w:w="4181" w:type="dxa"/>
            <w:gridSpan w:val="3"/>
            <w:shd w:val="clear" w:color="auto" w:fill="auto"/>
          </w:tcPr>
          <w:p>
            <w:pPr>
              <w:pStyle w:val="20"/>
              <w:ind w:firstLine="0" w:firstLineChars="0"/>
              <w:jc w:val="center"/>
              <w:rPr>
                <w:kern w:val="0"/>
                <w:szCs w:val="21"/>
              </w:rPr>
            </w:pPr>
            <w:r>
              <w:rPr>
                <w:rFonts w:hint="eastAsia"/>
                <w:kern w:val="0"/>
                <w:szCs w:val="21"/>
              </w:rPr>
              <w:t>最大允许误差</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12" w:hRule="atLeast"/>
          <w:jc w:val="center"/>
        </w:trPr>
        <w:tc>
          <w:tcPr>
            <w:tcW w:w="1657" w:type="dxa"/>
            <w:vMerge w:val="continue"/>
            <w:shd w:val="clear" w:color="auto" w:fill="auto"/>
          </w:tcPr>
          <w:p>
            <w:pPr>
              <w:pStyle w:val="20"/>
              <w:ind w:firstLine="0" w:firstLineChars="0"/>
              <w:jc w:val="center"/>
              <w:rPr>
                <w:kern w:val="0"/>
                <w:szCs w:val="21"/>
              </w:rPr>
            </w:pPr>
          </w:p>
        </w:tc>
        <w:tc>
          <w:tcPr>
            <w:tcW w:w="1344" w:type="dxa"/>
            <w:shd w:val="clear" w:color="auto" w:fill="auto"/>
          </w:tcPr>
          <w:p>
            <w:pPr>
              <w:jc w:val="center"/>
              <w:rPr>
                <w:rFonts w:ascii="宋体"/>
                <w:kern w:val="0"/>
                <w:szCs w:val="21"/>
              </w:rPr>
            </w:pPr>
            <w:r>
              <w:rPr>
                <w:rFonts w:hint="eastAsia" w:ascii="宋体"/>
                <w:kern w:val="0"/>
                <w:szCs w:val="21"/>
              </w:rPr>
              <w:t>1级</w:t>
            </w:r>
          </w:p>
        </w:tc>
        <w:tc>
          <w:tcPr>
            <w:tcW w:w="1342" w:type="dxa"/>
            <w:shd w:val="clear" w:color="auto" w:fill="auto"/>
          </w:tcPr>
          <w:p>
            <w:pPr>
              <w:pStyle w:val="20"/>
              <w:ind w:firstLine="0" w:firstLineChars="0"/>
              <w:jc w:val="center"/>
              <w:rPr>
                <w:kern w:val="0"/>
                <w:szCs w:val="21"/>
              </w:rPr>
            </w:pPr>
            <w:r>
              <w:rPr>
                <w:rFonts w:hint="eastAsia"/>
                <w:kern w:val="0"/>
                <w:szCs w:val="21"/>
              </w:rPr>
              <w:t>1.5级</w:t>
            </w:r>
          </w:p>
        </w:tc>
        <w:tc>
          <w:tcPr>
            <w:tcW w:w="1495" w:type="dxa"/>
            <w:shd w:val="clear" w:color="auto" w:fill="auto"/>
          </w:tcPr>
          <w:p>
            <w:pPr>
              <w:pStyle w:val="20"/>
              <w:ind w:firstLine="0" w:firstLineChars="0"/>
              <w:jc w:val="center"/>
              <w:rPr>
                <w:kern w:val="0"/>
                <w:szCs w:val="21"/>
              </w:rPr>
            </w:pPr>
            <w:r>
              <w:rPr>
                <w:rFonts w:hint="eastAsia"/>
                <w:kern w:val="0"/>
                <w:szCs w:val="21"/>
              </w:rPr>
              <w:t>2.0级</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81" w:hRule="atLeast"/>
          <w:jc w:val="center"/>
        </w:trPr>
        <w:tc>
          <w:tcPr>
            <w:tcW w:w="1657" w:type="dxa"/>
            <w:shd w:val="clear" w:color="auto" w:fill="auto"/>
            <w:vAlign w:val="center"/>
          </w:tcPr>
          <w:p>
            <w:pPr>
              <w:jc w:val="center"/>
              <w:rPr>
                <w:rFonts w:ascii="宋体"/>
                <w:kern w:val="0"/>
                <w:szCs w:val="21"/>
              </w:rPr>
            </w:pPr>
            <w:r>
              <w:rPr>
                <w:rFonts w:hint="eastAsia" w:ascii="宋体"/>
                <w:kern w:val="0"/>
                <w:szCs w:val="21"/>
              </w:rPr>
              <w:t>死绳固定器</w:t>
            </w:r>
          </w:p>
        </w:tc>
        <w:tc>
          <w:tcPr>
            <w:tcW w:w="1344" w:type="dxa"/>
            <w:shd w:val="clear" w:color="auto" w:fill="auto"/>
            <w:vAlign w:val="center"/>
          </w:tcPr>
          <w:p>
            <w:pPr>
              <w:jc w:val="center"/>
              <w:rPr>
                <w:rFonts w:ascii="宋体"/>
                <w:kern w:val="0"/>
                <w:szCs w:val="21"/>
              </w:rPr>
            </w:pPr>
            <w:r>
              <w:rPr>
                <w:rFonts w:hint="eastAsia" w:ascii="宋体"/>
                <w:kern w:val="0"/>
                <w:szCs w:val="21"/>
              </w:rPr>
              <w:t>±0.5%</w:t>
            </w:r>
          </w:p>
        </w:tc>
        <w:tc>
          <w:tcPr>
            <w:tcW w:w="1342" w:type="dxa"/>
            <w:shd w:val="clear" w:color="auto" w:fill="auto"/>
            <w:vAlign w:val="center"/>
          </w:tcPr>
          <w:p>
            <w:pPr>
              <w:jc w:val="center"/>
              <w:rPr>
                <w:rFonts w:ascii="宋体"/>
                <w:kern w:val="0"/>
                <w:szCs w:val="21"/>
              </w:rPr>
            </w:pPr>
            <w:r>
              <w:rPr>
                <w:rFonts w:hint="eastAsia" w:ascii="宋体"/>
                <w:kern w:val="0"/>
                <w:szCs w:val="21"/>
              </w:rPr>
              <w:t>±1.0%</w:t>
            </w:r>
          </w:p>
        </w:tc>
        <w:tc>
          <w:tcPr>
            <w:tcW w:w="1495" w:type="dxa"/>
            <w:shd w:val="clear" w:color="auto" w:fill="auto"/>
            <w:vAlign w:val="center"/>
          </w:tcPr>
          <w:p>
            <w:pPr>
              <w:jc w:val="center"/>
              <w:rPr>
                <w:rFonts w:ascii="宋体"/>
                <w:kern w:val="0"/>
                <w:szCs w:val="21"/>
              </w:rPr>
            </w:pPr>
            <w:r>
              <w:rPr>
                <w:rFonts w:hint="eastAsia" w:ascii="宋体"/>
                <w:kern w:val="0"/>
                <w:szCs w:val="21"/>
              </w:rPr>
              <w:t>±1.0%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15" w:hRule="atLeast"/>
          <w:jc w:val="center"/>
        </w:trPr>
        <w:tc>
          <w:tcPr>
            <w:tcW w:w="1657" w:type="dxa"/>
            <w:shd w:val="clear" w:color="auto" w:fill="auto"/>
            <w:vAlign w:val="center"/>
          </w:tcPr>
          <w:p>
            <w:pPr>
              <w:jc w:val="center"/>
              <w:rPr>
                <w:rFonts w:ascii="宋体"/>
                <w:kern w:val="0"/>
                <w:szCs w:val="21"/>
              </w:rPr>
            </w:pPr>
            <w:r>
              <w:rPr>
                <w:rFonts w:hint="eastAsia" w:ascii="宋体"/>
                <w:kern w:val="0"/>
                <w:szCs w:val="21"/>
              </w:rPr>
              <w:t>重量指示仪</w:t>
            </w:r>
          </w:p>
        </w:tc>
        <w:tc>
          <w:tcPr>
            <w:tcW w:w="1344" w:type="dxa"/>
            <w:shd w:val="clear" w:color="auto" w:fill="auto"/>
            <w:vAlign w:val="center"/>
          </w:tcPr>
          <w:p>
            <w:pPr>
              <w:jc w:val="center"/>
              <w:rPr>
                <w:rFonts w:ascii="宋体"/>
                <w:kern w:val="0"/>
                <w:szCs w:val="21"/>
              </w:rPr>
            </w:pPr>
            <w:r>
              <w:rPr>
                <w:rFonts w:hint="eastAsia" w:ascii="宋体"/>
                <w:kern w:val="0"/>
                <w:szCs w:val="21"/>
              </w:rPr>
              <w:t>±1.5%</w:t>
            </w:r>
          </w:p>
        </w:tc>
        <w:tc>
          <w:tcPr>
            <w:tcW w:w="1342" w:type="dxa"/>
            <w:shd w:val="clear" w:color="auto" w:fill="auto"/>
            <w:vAlign w:val="center"/>
          </w:tcPr>
          <w:p>
            <w:pPr>
              <w:jc w:val="center"/>
              <w:rPr>
                <w:rFonts w:ascii="宋体"/>
                <w:kern w:val="0"/>
                <w:szCs w:val="21"/>
              </w:rPr>
            </w:pPr>
            <w:r>
              <w:rPr>
                <w:rFonts w:hint="eastAsia" w:ascii="宋体"/>
                <w:kern w:val="0"/>
                <w:szCs w:val="21"/>
              </w:rPr>
              <w:t>±2.0%</w:t>
            </w:r>
          </w:p>
        </w:tc>
        <w:tc>
          <w:tcPr>
            <w:tcW w:w="1495" w:type="dxa"/>
            <w:shd w:val="clear" w:color="auto" w:fill="auto"/>
            <w:vAlign w:val="center"/>
          </w:tcPr>
          <w:p>
            <w:pPr>
              <w:jc w:val="center"/>
              <w:rPr>
                <w:rFonts w:ascii="宋体"/>
                <w:kern w:val="0"/>
                <w:szCs w:val="21"/>
              </w:rPr>
            </w:pPr>
            <w:r>
              <w:rPr>
                <w:rFonts w:hint="eastAsia" w:ascii="宋体"/>
                <w:kern w:val="0"/>
                <w:szCs w:val="21"/>
              </w:rPr>
              <w:t>±2.0%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07" w:hRule="atLeast"/>
          <w:jc w:val="center"/>
        </w:trPr>
        <w:tc>
          <w:tcPr>
            <w:tcW w:w="1657" w:type="dxa"/>
            <w:shd w:val="clear" w:color="auto" w:fill="auto"/>
            <w:vAlign w:val="center"/>
          </w:tcPr>
          <w:p>
            <w:pPr>
              <w:jc w:val="center"/>
              <w:rPr>
                <w:rFonts w:ascii="宋体"/>
                <w:kern w:val="0"/>
                <w:szCs w:val="21"/>
              </w:rPr>
            </w:pPr>
            <w:r>
              <w:rPr>
                <w:rFonts w:hint="eastAsia" w:ascii="宋体"/>
                <w:kern w:val="0"/>
                <w:szCs w:val="21"/>
              </w:rPr>
              <w:t>指重表</w:t>
            </w:r>
          </w:p>
        </w:tc>
        <w:tc>
          <w:tcPr>
            <w:tcW w:w="1344" w:type="dxa"/>
            <w:shd w:val="clear" w:color="auto" w:fill="auto"/>
            <w:vAlign w:val="center"/>
          </w:tcPr>
          <w:p>
            <w:pPr>
              <w:jc w:val="center"/>
              <w:rPr>
                <w:rFonts w:ascii="宋体"/>
                <w:kern w:val="0"/>
                <w:szCs w:val="21"/>
              </w:rPr>
            </w:pPr>
            <w:r>
              <w:rPr>
                <w:rFonts w:hint="eastAsia" w:ascii="宋体"/>
                <w:kern w:val="0"/>
                <w:szCs w:val="21"/>
              </w:rPr>
              <w:t>±1.5%</w:t>
            </w:r>
          </w:p>
        </w:tc>
        <w:tc>
          <w:tcPr>
            <w:tcW w:w="1342" w:type="dxa"/>
            <w:shd w:val="clear" w:color="auto" w:fill="auto"/>
            <w:vAlign w:val="center"/>
          </w:tcPr>
          <w:p>
            <w:pPr>
              <w:jc w:val="center"/>
              <w:rPr>
                <w:rFonts w:ascii="宋体"/>
                <w:kern w:val="0"/>
                <w:szCs w:val="21"/>
              </w:rPr>
            </w:pPr>
            <w:r>
              <w:rPr>
                <w:rFonts w:hint="eastAsia" w:ascii="宋体"/>
                <w:kern w:val="0"/>
                <w:szCs w:val="21"/>
              </w:rPr>
              <w:t>±2.0%</w:t>
            </w:r>
          </w:p>
        </w:tc>
        <w:tc>
          <w:tcPr>
            <w:tcW w:w="1495" w:type="dxa"/>
            <w:shd w:val="clear" w:color="auto" w:fill="auto"/>
            <w:vAlign w:val="center"/>
          </w:tcPr>
          <w:p>
            <w:pPr>
              <w:jc w:val="center"/>
              <w:rPr>
                <w:rFonts w:ascii="宋体"/>
                <w:kern w:val="0"/>
                <w:szCs w:val="21"/>
              </w:rPr>
            </w:pPr>
            <w:r>
              <w:rPr>
                <w:rFonts w:hint="eastAsia" w:ascii="宋体"/>
                <w:kern w:val="0"/>
                <w:szCs w:val="21"/>
              </w:rPr>
              <w:t>±2.5%</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13" w:hRule="atLeast"/>
          <w:jc w:val="center"/>
        </w:trPr>
        <w:tc>
          <w:tcPr>
            <w:tcW w:w="1657" w:type="dxa"/>
            <w:shd w:val="clear" w:color="auto" w:fill="auto"/>
            <w:vAlign w:val="center"/>
          </w:tcPr>
          <w:p>
            <w:pPr>
              <w:jc w:val="center"/>
              <w:rPr>
                <w:rFonts w:ascii="宋体"/>
                <w:kern w:val="0"/>
                <w:szCs w:val="21"/>
              </w:rPr>
            </w:pPr>
            <w:r>
              <w:rPr>
                <w:rFonts w:hint="eastAsia" w:ascii="宋体"/>
                <w:kern w:val="0"/>
                <w:szCs w:val="21"/>
              </w:rPr>
              <w:t>重量记录仪</w:t>
            </w:r>
          </w:p>
        </w:tc>
        <w:tc>
          <w:tcPr>
            <w:tcW w:w="4181" w:type="dxa"/>
            <w:gridSpan w:val="3"/>
            <w:shd w:val="clear" w:color="auto" w:fill="auto"/>
            <w:vAlign w:val="center"/>
          </w:tcPr>
          <w:p>
            <w:pPr>
              <w:jc w:val="center"/>
              <w:rPr>
                <w:rFonts w:ascii="宋体"/>
                <w:kern w:val="0"/>
                <w:szCs w:val="21"/>
              </w:rPr>
            </w:pPr>
            <w:r>
              <w:rPr>
                <w:rFonts w:hint="eastAsia" w:ascii="宋体"/>
                <w:kern w:val="0"/>
                <w:szCs w:val="21"/>
              </w:rPr>
              <w:t>±2.5%</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13" w:hRule="atLeast"/>
          <w:jc w:val="center"/>
        </w:trPr>
        <w:tc>
          <w:tcPr>
            <w:tcW w:w="1657" w:type="dxa"/>
            <w:shd w:val="clear" w:color="auto" w:fill="auto"/>
            <w:vAlign w:val="center"/>
          </w:tcPr>
          <w:p>
            <w:pPr>
              <w:jc w:val="center"/>
              <w:rPr>
                <w:rFonts w:ascii="宋体"/>
                <w:kern w:val="0"/>
                <w:szCs w:val="21"/>
              </w:rPr>
            </w:pPr>
            <w:r>
              <w:rPr>
                <w:rFonts w:hint="eastAsia" w:ascii="宋体"/>
                <w:kern w:val="0"/>
                <w:szCs w:val="21"/>
              </w:rPr>
              <w:t>重量记录系统</w:t>
            </w:r>
          </w:p>
        </w:tc>
        <w:tc>
          <w:tcPr>
            <w:tcW w:w="4181" w:type="dxa"/>
            <w:gridSpan w:val="3"/>
            <w:shd w:val="clear" w:color="auto" w:fill="auto"/>
            <w:vAlign w:val="center"/>
          </w:tcPr>
          <w:p>
            <w:pPr>
              <w:jc w:val="center"/>
              <w:rPr>
                <w:rFonts w:ascii="宋体"/>
                <w:kern w:val="0"/>
                <w:szCs w:val="21"/>
              </w:rPr>
            </w:pPr>
            <w:r>
              <w:rPr>
                <w:rFonts w:hint="eastAsia" w:ascii="宋体"/>
                <w:kern w:val="0"/>
                <w:szCs w:val="21"/>
              </w:rPr>
              <w:t>±3.0%</w:t>
            </w:r>
          </w:p>
        </w:tc>
      </w:tr>
    </w:tbl>
    <w:p>
      <w:pPr>
        <w:snapToGrid w:val="0"/>
        <w:spacing w:line="360" w:lineRule="auto"/>
        <w:ind w:firstLine="480" w:firstLineChars="200"/>
        <w:rPr>
          <w:rFonts w:ascii="宋体" w:hAnsi="宋体"/>
          <w:sz w:val="24"/>
        </w:rPr>
      </w:pPr>
      <w:r>
        <w:rPr>
          <w:rFonts w:hint="eastAsia" w:ascii="宋体" w:hAnsi="宋体"/>
          <w:sz w:val="24"/>
        </w:rPr>
        <w:t>5.3 回程误差</w:t>
      </w:r>
      <w:bookmarkEnd w:id="26"/>
    </w:p>
    <w:p>
      <w:pPr>
        <w:snapToGrid w:val="0"/>
        <w:spacing w:line="360" w:lineRule="auto"/>
        <w:ind w:firstLine="480" w:firstLineChars="200"/>
        <w:rPr>
          <w:rFonts w:ascii="宋体" w:hAnsi="宋体"/>
          <w:sz w:val="24"/>
        </w:rPr>
      </w:pPr>
      <w:r>
        <w:rPr>
          <w:rFonts w:hint="eastAsia" w:ascii="宋体" w:hAnsi="宋体"/>
          <w:sz w:val="24"/>
        </w:rPr>
        <w:t>重量指示仪回程误差应不大于基本误差的绝对值。</w:t>
      </w:r>
    </w:p>
    <w:p>
      <w:pPr>
        <w:snapToGrid w:val="0"/>
        <w:spacing w:line="360" w:lineRule="auto"/>
        <w:ind w:firstLine="480" w:firstLineChars="200"/>
        <w:rPr>
          <w:rFonts w:ascii="宋体" w:hAnsi="宋体"/>
          <w:sz w:val="24"/>
        </w:rPr>
      </w:pPr>
      <w:bookmarkStart w:id="27" w:name="_Toc113977961"/>
      <w:r>
        <w:rPr>
          <w:rFonts w:hint="eastAsia" w:ascii="宋体" w:hAnsi="宋体"/>
          <w:sz w:val="24"/>
        </w:rPr>
        <w:t>5.4 轻敲位移</w:t>
      </w:r>
      <w:bookmarkEnd w:id="27"/>
    </w:p>
    <w:p>
      <w:pPr>
        <w:snapToGrid w:val="0"/>
        <w:spacing w:line="360" w:lineRule="auto"/>
        <w:ind w:firstLine="480" w:firstLineChars="200"/>
        <w:rPr>
          <w:rFonts w:ascii="宋体" w:hAnsi="宋体"/>
          <w:sz w:val="24"/>
        </w:rPr>
      </w:pPr>
      <w:r>
        <w:rPr>
          <w:rFonts w:hint="eastAsia" w:ascii="宋体" w:hAnsi="宋体"/>
          <w:sz w:val="24"/>
        </w:rPr>
        <w:t>在载荷范围内的任意位置上，用轻敲（使指针能自由摆动）重量指示仪外壳时，示值的变动量应不大于最大允许误差绝对值的1/2。</w:t>
      </w:r>
    </w:p>
    <w:p>
      <w:pPr>
        <w:snapToGrid w:val="0"/>
        <w:spacing w:line="360" w:lineRule="auto"/>
        <w:ind w:firstLine="480" w:firstLineChars="200"/>
        <w:rPr>
          <w:rFonts w:ascii="宋体" w:hAnsi="宋体"/>
          <w:sz w:val="24"/>
        </w:rPr>
      </w:pPr>
      <w:bookmarkStart w:id="28" w:name="_Toc113977962"/>
      <w:r>
        <w:rPr>
          <w:rFonts w:hint="eastAsia" w:ascii="宋体" w:hAnsi="宋体"/>
          <w:sz w:val="24"/>
        </w:rPr>
        <w:t>5.5 灵敏限</w:t>
      </w:r>
      <w:bookmarkEnd w:id="28"/>
    </w:p>
    <w:p>
      <w:pPr>
        <w:snapToGrid w:val="0"/>
        <w:spacing w:line="360" w:lineRule="auto"/>
        <w:ind w:firstLine="480" w:firstLineChars="200"/>
        <w:rPr>
          <w:rFonts w:ascii="宋体" w:hAnsi="宋体"/>
          <w:color w:val="auto"/>
          <w:sz w:val="24"/>
        </w:rPr>
      </w:pPr>
      <w:r>
        <w:rPr>
          <w:rFonts w:hint="eastAsia" w:ascii="宋体" w:hAnsi="宋体"/>
          <w:sz w:val="24"/>
        </w:rPr>
        <w:t>灵敏</w:t>
      </w:r>
      <w:r>
        <w:rPr>
          <w:rFonts w:hint="eastAsia" w:ascii="宋体" w:hAnsi="宋体"/>
          <w:color w:val="auto"/>
          <w:sz w:val="24"/>
        </w:rPr>
        <w:t>限值应不大于指重表最大载荷的0.5%，单位为千牛（kN）。</w:t>
      </w:r>
    </w:p>
    <w:p>
      <w:pPr>
        <w:snapToGrid w:val="0"/>
        <w:spacing w:line="360" w:lineRule="auto"/>
        <w:ind w:firstLine="480" w:firstLineChars="200"/>
        <w:rPr>
          <w:rFonts w:ascii="宋体" w:hAnsi="宋体"/>
          <w:color w:val="auto"/>
          <w:sz w:val="24"/>
        </w:rPr>
      </w:pPr>
      <w:bookmarkStart w:id="29" w:name="_Toc113977963"/>
      <w:r>
        <w:rPr>
          <w:rFonts w:hint="eastAsia" w:ascii="宋体" w:hAnsi="宋体"/>
          <w:color w:val="auto"/>
          <w:sz w:val="24"/>
        </w:rPr>
        <w:t>5.6 指针偏转平稳性</w:t>
      </w:r>
      <w:bookmarkEnd w:id="29"/>
    </w:p>
    <w:p>
      <w:pPr>
        <w:snapToGrid w:val="0"/>
        <w:spacing w:line="360" w:lineRule="auto"/>
        <w:ind w:firstLine="480" w:firstLineChars="200"/>
        <w:rPr>
          <w:rFonts w:ascii="宋体" w:hAnsi="宋体"/>
          <w:color w:val="auto"/>
          <w:sz w:val="24"/>
        </w:rPr>
      </w:pPr>
      <w:r>
        <w:rPr>
          <w:rFonts w:hint="eastAsia" w:ascii="宋体" w:hAnsi="宋体"/>
          <w:color w:val="auto"/>
          <w:sz w:val="24"/>
        </w:rPr>
        <w:t>在测量过程中，重量指示仪的指针不应有跳动和停滞现象。</w:t>
      </w:r>
    </w:p>
    <w:p>
      <w:pPr>
        <w:snapToGrid w:val="0"/>
        <w:spacing w:line="360" w:lineRule="auto"/>
        <w:ind w:firstLine="480" w:firstLineChars="200"/>
        <w:rPr>
          <w:rFonts w:ascii="宋体" w:hAnsi="宋体"/>
          <w:color w:val="auto"/>
          <w:sz w:val="24"/>
        </w:rPr>
      </w:pPr>
      <w:bookmarkStart w:id="30" w:name="_Toc113977964"/>
      <w:r>
        <w:rPr>
          <w:rFonts w:hint="eastAsia" w:ascii="宋体" w:hAnsi="宋体"/>
          <w:color w:val="auto"/>
          <w:sz w:val="24"/>
        </w:rPr>
        <w:t>5.7密封性能</w:t>
      </w:r>
      <w:bookmarkEnd w:id="30"/>
    </w:p>
    <w:p>
      <w:pPr>
        <w:snapToGrid w:val="0"/>
        <w:spacing w:line="360" w:lineRule="auto"/>
        <w:ind w:firstLine="480" w:firstLineChars="200"/>
        <w:rPr>
          <w:rFonts w:ascii="宋体" w:hAnsi="宋体"/>
          <w:color w:val="auto"/>
          <w:sz w:val="24"/>
        </w:rPr>
      </w:pPr>
      <w:r>
        <w:rPr>
          <w:rFonts w:hint="eastAsia" w:ascii="宋体" w:hAnsi="宋体"/>
          <w:color w:val="auto"/>
          <w:sz w:val="24"/>
        </w:rPr>
        <w:t>在测量上限时，使用中的指重表稳压5min，各部位不得有渗漏。</w:t>
      </w:r>
    </w:p>
    <w:p>
      <w:pPr>
        <w:snapToGrid w:val="0"/>
        <w:spacing w:line="360" w:lineRule="auto"/>
        <w:ind w:firstLine="480" w:firstLineChars="200"/>
        <w:rPr>
          <w:rFonts w:ascii="宋体" w:hAnsi="宋体"/>
          <w:color w:val="auto"/>
          <w:sz w:val="24"/>
        </w:rPr>
      </w:pPr>
      <w:bookmarkStart w:id="31" w:name="_Toc113977965"/>
      <w:r>
        <w:rPr>
          <w:rFonts w:hint="eastAsia" w:ascii="宋体" w:hAnsi="宋体"/>
          <w:color w:val="auto"/>
          <w:sz w:val="24"/>
        </w:rPr>
        <w:t>5.8 记录时钟</w:t>
      </w:r>
      <w:bookmarkEnd w:id="31"/>
    </w:p>
    <w:p>
      <w:pPr>
        <w:snapToGrid w:val="0"/>
        <w:spacing w:line="360" w:lineRule="auto"/>
        <w:ind w:firstLine="480" w:firstLineChars="200"/>
        <w:rPr>
          <w:rFonts w:ascii="宋体" w:hAnsi="宋体"/>
          <w:color w:val="auto"/>
          <w:sz w:val="24"/>
        </w:rPr>
      </w:pPr>
      <w:r>
        <w:rPr>
          <w:rFonts w:hint="eastAsia" w:ascii="宋体" w:hAnsi="宋体"/>
          <w:color w:val="auto"/>
          <w:sz w:val="24"/>
        </w:rPr>
        <w:t>记录仪时钟走时均匀，满弦运行时间大于24h，误差小于5min/d。</w:t>
      </w:r>
      <w:bookmarkStart w:id="32" w:name="_Toc91170710"/>
      <w:bookmarkStart w:id="33" w:name="_Toc91169890"/>
    </w:p>
    <w:p>
      <w:pPr>
        <w:snapToGrid w:val="0"/>
        <w:spacing w:line="360" w:lineRule="auto"/>
        <w:rPr>
          <w:rFonts w:ascii="宋体" w:hAnsi="宋体"/>
          <w:color w:val="auto"/>
          <w:sz w:val="24"/>
        </w:rPr>
      </w:pPr>
      <w:r>
        <w:rPr>
          <w:rFonts w:hint="eastAsia" w:ascii="宋体" w:hAnsi="宋体"/>
          <w:color w:val="auto"/>
          <w:sz w:val="24"/>
        </w:rPr>
        <w:t>6、本规范规定了校准条件</w:t>
      </w:r>
      <w:bookmarkEnd w:id="32"/>
      <w:bookmarkEnd w:id="33"/>
    </w:p>
    <w:p>
      <w:pPr>
        <w:snapToGrid w:val="0"/>
        <w:spacing w:line="360" w:lineRule="auto"/>
        <w:ind w:firstLine="480" w:firstLineChars="200"/>
        <w:rPr>
          <w:rFonts w:ascii="宋体" w:hAnsi="宋体"/>
          <w:color w:val="auto"/>
          <w:sz w:val="24"/>
        </w:rPr>
      </w:pPr>
      <w:bookmarkStart w:id="34" w:name="_Toc113977967"/>
      <w:bookmarkStart w:id="35" w:name="_Toc91169891"/>
      <w:bookmarkStart w:id="36" w:name="_Toc91170711"/>
      <w:r>
        <w:rPr>
          <w:rFonts w:hint="eastAsia" w:ascii="宋体" w:hAnsi="宋体"/>
          <w:color w:val="auto"/>
          <w:sz w:val="24"/>
        </w:rPr>
        <w:t>6.1校准环境</w:t>
      </w:r>
      <w:bookmarkEnd w:id="34"/>
    </w:p>
    <w:p>
      <w:pPr>
        <w:snapToGrid w:val="0"/>
        <w:spacing w:line="360" w:lineRule="auto"/>
        <w:ind w:firstLine="480" w:firstLineChars="200"/>
        <w:rPr>
          <w:rFonts w:ascii="宋体" w:hAnsi="宋体"/>
          <w:color w:val="auto"/>
          <w:sz w:val="24"/>
        </w:rPr>
      </w:pPr>
      <w:r>
        <w:rPr>
          <w:rFonts w:hint="eastAsia" w:ascii="宋体" w:hAnsi="宋体"/>
          <w:color w:val="auto"/>
          <w:sz w:val="24"/>
        </w:rPr>
        <w:t>环境温度5℃～40℃。</w:t>
      </w:r>
    </w:p>
    <w:p>
      <w:pPr>
        <w:snapToGrid w:val="0"/>
        <w:spacing w:line="360" w:lineRule="auto"/>
        <w:ind w:firstLine="480" w:firstLineChars="200"/>
        <w:rPr>
          <w:rFonts w:ascii="宋体" w:hAnsi="宋体"/>
          <w:color w:val="auto"/>
          <w:sz w:val="24"/>
        </w:rPr>
      </w:pPr>
      <w:r>
        <w:rPr>
          <w:rFonts w:hint="eastAsia" w:ascii="宋体" w:hAnsi="宋体"/>
          <w:color w:val="auto"/>
          <w:sz w:val="24"/>
        </w:rPr>
        <w:t>6.1.1检测时周围应无影响检测结果的震动、电磁场或其他干扰。</w:t>
      </w:r>
    </w:p>
    <w:p>
      <w:pPr>
        <w:snapToGrid w:val="0"/>
        <w:spacing w:line="360" w:lineRule="auto"/>
        <w:ind w:firstLine="480" w:firstLineChars="200"/>
        <w:rPr>
          <w:rFonts w:ascii="宋体" w:hAnsi="宋体"/>
          <w:color w:val="auto"/>
          <w:sz w:val="24"/>
        </w:rPr>
      </w:pPr>
      <w:r>
        <w:rPr>
          <w:rFonts w:hint="eastAsia" w:ascii="宋体" w:hAnsi="宋体"/>
          <w:color w:val="auto"/>
          <w:sz w:val="24"/>
        </w:rPr>
        <w:t>6.1.2场地及操作者满足相关安全规程要求。</w:t>
      </w:r>
    </w:p>
    <w:p>
      <w:pPr>
        <w:snapToGrid w:val="0"/>
        <w:spacing w:line="360" w:lineRule="auto"/>
        <w:ind w:firstLine="480" w:firstLineChars="200"/>
        <w:rPr>
          <w:rFonts w:ascii="宋体" w:hAnsi="宋体"/>
          <w:color w:val="auto"/>
          <w:sz w:val="24"/>
        </w:rPr>
      </w:pPr>
      <w:r>
        <w:rPr>
          <w:rFonts w:hint="eastAsia" w:ascii="宋体" w:hAnsi="宋体"/>
          <w:color w:val="auto"/>
          <w:sz w:val="24"/>
        </w:rPr>
        <w:t>6.1.3设备运行正常，游车系统无卡滞现象。</w:t>
      </w:r>
    </w:p>
    <w:p>
      <w:pPr>
        <w:snapToGrid w:val="0"/>
        <w:spacing w:line="360" w:lineRule="auto"/>
        <w:ind w:firstLine="480" w:firstLineChars="200"/>
        <w:rPr>
          <w:rFonts w:ascii="宋体" w:hAnsi="宋体"/>
          <w:color w:val="auto"/>
          <w:sz w:val="24"/>
        </w:rPr>
      </w:pPr>
      <w:bookmarkStart w:id="37" w:name="_Toc113977968"/>
      <w:r>
        <w:rPr>
          <w:rFonts w:hint="eastAsia" w:ascii="宋体" w:hAnsi="宋体"/>
          <w:color w:val="auto"/>
          <w:sz w:val="24"/>
        </w:rPr>
        <w:t>6.2 校准设备</w:t>
      </w:r>
      <w:bookmarkEnd w:id="37"/>
    </w:p>
    <w:p>
      <w:pPr>
        <w:snapToGrid w:val="0"/>
        <w:spacing w:line="360" w:lineRule="auto"/>
        <w:ind w:firstLine="480" w:firstLineChars="200"/>
        <w:rPr>
          <w:rFonts w:ascii="宋体" w:hAnsi="宋体"/>
          <w:color w:val="auto"/>
          <w:sz w:val="24"/>
        </w:rPr>
      </w:pPr>
      <w:r>
        <w:rPr>
          <w:rFonts w:hint="eastAsia" w:ascii="宋体" w:hAnsi="宋体"/>
          <w:color w:val="auto"/>
          <w:sz w:val="24"/>
        </w:rPr>
        <w:t>校准用主要设备参照表2。</w:t>
      </w:r>
    </w:p>
    <w:p>
      <w:pPr>
        <w:jc w:val="center"/>
        <w:rPr>
          <w:rFonts w:ascii="黑体" w:hAnsi="黑体" w:eastAsia="黑体"/>
          <w:color w:val="auto"/>
        </w:rPr>
      </w:pPr>
      <w:r>
        <w:rPr>
          <w:rFonts w:hint="eastAsia" w:ascii="黑体" w:hAnsi="黑体" w:eastAsia="黑体"/>
          <w:color w:val="auto"/>
        </w:rPr>
        <w:t>表2 指重表在线校准设备</w:t>
      </w:r>
    </w:p>
    <w:tbl>
      <w:tblPr>
        <w:tblStyle w:val="7"/>
        <w:tblW w:w="7655"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709"/>
        <w:gridCol w:w="1985"/>
        <w:gridCol w:w="2409"/>
        <w:gridCol w:w="2552"/>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709" w:type="dxa"/>
            <w:shd w:val="clear" w:color="auto" w:fill="auto"/>
            <w:vAlign w:val="center"/>
          </w:tcPr>
          <w:p>
            <w:pPr>
              <w:jc w:val="center"/>
              <w:rPr>
                <w:rFonts w:ascii="宋体"/>
                <w:color w:val="auto"/>
                <w:kern w:val="0"/>
                <w:szCs w:val="21"/>
              </w:rPr>
            </w:pPr>
            <w:r>
              <w:rPr>
                <w:rFonts w:hint="eastAsia" w:ascii="宋体"/>
                <w:color w:val="auto"/>
                <w:kern w:val="0"/>
                <w:szCs w:val="21"/>
              </w:rPr>
              <w:t>序号</w:t>
            </w:r>
          </w:p>
        </w:tc>
        <w:tc>
          <w:tcPr>
            <w:tcW w:w="1985" w:type="dxa"/>
            <w:shd w:val="clear" w:color="auto" w:fill="auto"/>
            <w:vAlign w:val="center"/>
          </w:tcPr>
          <w:p>
            <w:pPr>
              <w:jc w:val="center"/>
              <w:rPr>
                <w:rFonts w:ascii="宋体"/>
                <w:color w:val="auto"/>
                <w:kern w:val="0"/>
                <w:szCs w:val="21"/>
              </w:rPr>
            </w:pPr>
            <w:r>
              <w:rPr>
                <w:rFonts w:hint="eastAsia" w:ascii="宋体"/>
                <w:color w:val="auto"/>
                <w:kern w:val="0"/>
                <w:szCs w:val="21"/>
              </w:rPr>
              <w:t>设备名称</w:t>
            </w:r>
          </w:p>
        </w:tc>
        <w:tc>
          <w:tcPr>
            <w:tcW w:w="2409" w:type="dxa"/>
            <w:shd w:val="clear" w:color="auto" w:fill="auto"/>
            <w:vAlign w:val="center"/>
          </w:tcPr>
          <w:p>
            <w:pPr>
              <w:jc w:val="center"/>
              <w:rPr>
                <w:rFonts w:ascii="宋体"/>
                <w:color w:val="auto"/>
                <w:kern w:val="0"/>
                <w:szCs w:val="21"/>
              </w:rPr>
            </w:pPr>
            <w:r>
              <w:rPr>
                <w:rFonts w:hint="eastAsia" w:ascii="宋体"/>
                <w:color w:val="auto"/>
                <w:kern w:val="0"/>
                <w:szCs w:val="21"/>
              </w:rPr>
              <w:t>测量范围</w:t>
            </w:r>
          </w:p>
        </w:tc>
        <w:tc>
          <w:tcPr>
            <w:tcW w:w="2552" w:type="dxa"/>
            <w:shd w:val="clear" w:color="auto" w:fill="auto"/>
            <w:vAlign w:val="center"/>
          </w:tcPr>
          <w:p>
            <w:pPr>
              <w:jc w:val="center"/>
              <w:rPr>
                <w:rFonts w:ascii="宋体"/>
                <w:color w:val="auto"/>
                <w:kern w:val="0"/>
                <w:szCs w:val="21"/>
              </w:rPr>
            </w:pPr>
            <w:r>
              <w:rPr>
                <w:rFonts w:hint="eastAsia" w:ascii="宋体"/>
                <w:color w:val="auto"/>
                <w:kern w:val="0"/>
                <w:szCs w:val="21"/>
              </w:rPr>
              <w:t>不确定度或准确度等级或最大允许误差</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89" w:hRule="atLeast"/>
          <w:jc w:val="center"/>
        </w:trPr>
        <w:tc>
          <w:tcPr>
            <w:tcW w:w="709" w:type="dxa"/>
            <w:shd w:val="clear" w:color="auto" w:fill="auto"/>
            <w:vAlign w:val="center"/>
          </w:tcPr>
          <w:p>
            <w:pPr>
              <w:jc w:val="center"/>
              <w:rPr>
                <w:rFonts w:ascii="宋体"/>
                <w:color w:val="auto"/>
                <w:kern w:val="0"/>
                <w:szCs w:val="21"/>
              </w:rPr>
            </w:pPr>
            <w:r>
              <w:rPr>
                <w:rFonts w:hint="eastAsia" w:ascii="宋体"/>
                <w:color w:val="auto"/>
                <w:kern w:val="0"/>
                <w:szCs w:val="21"/>
              </w:rPr>
              <w:t>1</w:t>
            </w:r>
          </w:p>
        </w:tc>
        <w:tc>
          <w:tcPr>
            <w:tcW w:w="1985" w:type="dxa"/>
            <w:shd w:val="clear" w:color="auto" w:fill="auto"/>
            <w:vAlign w:val="center"/>
          </w:tcPr>
          <w:p>
            <w:pPr>
              <w:jc w:val="center"/>
              <w:rPr>
                <w:rFonts w:ascii="宋体"/>
                <w:color w:val="auto"/>
                <w:kern w:val="0"/>
                <w:szCs w:val="21"/>
              </w:rPr>
            </w:pPr>
            <w:r>
              <w:rPr>
                <w:rFonts w:hint="eastAsia" w:ascii="宋体"/>
                <w:color w:val="auto"/>
                <w:kern w:val="0"/>
                <w:szCs w:val="21"/>
              </w:rPr>
              <w:t>悬重测量仪</w:t>
            </w:r>
          </w:p>
        </w:tc>
        <w:tc>
          <w:tcPr>
            <w:tcW w:w="2409" w:type="dxa"/>
            <w:shd w:val="clear" w:color="auto" w:fill="auto"/>
            <w:vAlign w:val="center"/>
          </w:tcPr>
          <w:p>
            <w:pPr>
              <w:jc w:val="center"/>
              <w:rPr>
                <w:rFonts w:ascii="宋体"/>
                <w:color w:val="auto"/>
                <w:kern w:val="0"/>
                <w:szCs w:val="21"/>
              </w:rPr>
            </w:pPr>
            <w:r>
              <w:rPr>
                <w:rFonts w:hint="eastAsia" w:ascii="宋体"/>
                <w:color w:val="auto"/>
                <w:kern w:val="0"/>
                <w:szCs w:val="21"/>
              </w:rPr>
              <w:t>满足实际测量范围要求kN</w:t>
            </w:r>
          </w:p>
        </w:tc>
        <w:tc>
          <w:tcPr>
            <w:tcW w:w="2552" w:type="dxa"/>
            <w:shd w:val="clear" w:color="auto" w:fill="auto"/>
            <w:vAlign w:val="center"/>
          </w:tcPr>
          <w:p>
            <w:pPr>
              <w:jc w:val="center"/>
              <w:rPr>
                <w:rFonts w:ascii="宋体"/>
                <w:color w:val="auto"/>
                <w:kern w:val="0"/>
                <w:szCs w:val="21"/>
              </w:rPr>
            </w:pPr>
            <w:r>
              <w:rPr>
                <w:rFonts w:hint="eastAsia" w:ascii="宋体"/>
                <w:color w:val="auto"/>
                <w:kern w:val="0"/>
                <w:szCs w:val="21"/>
              </w:rPr>
              <w:t>0.5级</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14" w:hRule="atLeast"/>
          <w:jc w:val="center"/>
        </w:trPr>
        <w:tc>
          <w:tcPr>
            <w:tcW w:w="709" w:type="dxa"/>
            <w:shd w:val="clear" w:color="auto" w:fill="auto"/>
            <w:vAlign w:val="center"/>
          </w:tcPr>
          <w:p>
            <w:pPr>
              <w:jc w:val="center"/>
              <w:rPr>
                <w:rFonts w:ascii="宋体"/>
                <w:color w:val="auto"/>
                <w:kern w:val="0"/>
                <w:szCs w:val="21"/>
              </w:rPr>
            </w:pPr>
            <w:r>
              <w:rPr>
                <w:rFonts w:hint="eastAsia" w:ascii="宋体"/>
                <w:color w:val="auto"/>
                <w:kern w:val="0"/>
                <w:szCs w:val="21"/>
              </w:rPr>
              <w:t>2</w:t>
            </w:r>
          </w:p>
        </w:tc>
        <w:tc>
          <w:tcPr>
            <w:tcW w:w="1985" w:type="dxa"/>
            <w:shd w:val="clear" w:color="auto" w:fill="auto"/>
            <w:vAlign w:val="center"/>
          </w:tcPr>
          <w:p>
            <w:pPr>
              <w:jc w:val="center"/>
              <w:rPr>
                <w:rFonts w:ascii="宋体"/>
                <w:color w:val="auto"/>
                <w:kern w:val="0"/>
                <w:szCs w:val="21"/>
              </w:rPr>
            </w:pPr>
            <w:r>
              <w:rPr>
                <w:rFonts w:hint="eastAsia" w:ascii="宋体"/>
                <w:color w:val="auto"/>
                <w:kern w:val="0"/>
                <w:szCs w:val="21"/>
              </w:rPr>
              <w:t>旁压式张力计</w:t>
            </w:r>
          </w:p>
        </w:tc>
        <w:tc>
          <w:tcPr>
            <w:tcW w:w="2409" w:type="dxa"/>
            <w:shd w:val="clear" w:color="auto" w:fill="auto"/>
            <w:vAlign w:val="center"/>
          </w:tcPr>
          <w:p>
            <w:pPr>
              <w:jc w:val="center"/>
              <w:rPr>
                <w:rFonts w:ascii="宋体"/>
                <w:color w:val="auto"/>
                <w:kern w:val="0"/>
                <w:szCs w:val="21"/>
              </w:rPr>
            </w:pPr>
            <w:r>
              <w:rPr>
                <w:rFonts w:hint="eastAsia" w:ascii="宋体"/>
                <w:color w:val="auto"/>
                <w:kern w:val="0"/>
                <w:szCs w:val="21"/>
              </w:rPr>
              <w:t>（0～</w:t>
            </w:r>
            <w:r>
              <w:rPr>
                <w:rFonts w:ascii="宋体"/>
                <w:color w:val="auto"/>
                <w:kern w:val="0"/>
                <w:szCs w:val="21"/>
              </w:rPr>
              <w:t>50</w:t>
            </w:r>
            <w:r>
              <w:rPr>
                <w:rFonts w:hint="eastAsia" w:ascii="宋体"/>
                <w:color w:val="auto"/>
                <w:kern w:val="0"/>
                <w:szCs w:val="21"/>
              </w:rPr>
              <w:t>）kN</w:t>
            </w:r>
          </w:p>
        </w:tc>
        <w:tc>
          <w:tcPr>
            <w:tcW w:w="2552" w:type="dxa"/>
            <w:shd w:val="clear" w:color="auto" w:fill="auto"/>
            <w:vAlign w:val="center"/>
          </w:tcPr>
          <w:p>
            <w:pPr>
              <w:jc w:val="center"/>
              <w:rPr>
                <w:rFonts w:ascii="宋体"/>
                <w:color w:val="auto"/>
                <w:kern w:val="0"/>
                <w:szCs w:val="21"/>
              </w:rPr>
            </w:pPr>
            <w:r>
              <w:rPr>
                <w:rFonts w:hint="eastAsia" w:ascii="宋体"/>
                <w:color w:val="auto"/>
                <w:kern w:val="0"/>
                <w:szCs w:val="21"/>
              </w:rPr>
              <w:t>0.5级</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07" w:hRule="atLeast"/>
          <w:jc w:val="center"/>
        </w:trPr>
        <w:tc>
          <w:tcPr>
            <w:tcW w:w="709" w:type="dxa"/>
            <w:shd w:val="clear" w:color="auto" w:fill="auto"/>
            <w:vAlign w:val="center"/>
          </w:tcPr>
          <w:p>
            <w:pPr>
              <w:jc w:val="center"/>
              <w:rPr>
                <w:rFonts w:ascii="宋体"/>
                <w:color w:val="auto"/>
                <w:kern w:val="0"/>
                <w:szCs w:val="21"/>
              </w:rPr>
            </w:pPr>
            <w:r>
              <w:rPr>
                <w:rFonts w:hint="eastAsia" w:ascii="宋体"/>
                <w:color w:val="auto"/>
                <w:kern w:val="0"/>
                <w:szCs w:val="21"/>
              </w:rPr>
              <w:t>3</w:t>
            </w:r>
          </w:p>
        </w:tc>
        <w:tc>
          <w:tcPr>
            <w:tcW w:w="1985" w:type="dxa"/>
            <w:shd w:val="clear" w:color="auto" w:fill="auto"/>
            <w:vAlign w:val="center"/>
          </w:tcPr>
          <w:p>
            <w:pPr>
              <w:jc w:val="center"/>
              <w:rPr>
                <w:rFonts w:ascii="宋体"/>
                <w:color w:val="auto"/>
                <w:kern w:val="0"/>
                <w:szCs w:val="21"/>
              </w:rPr>
            </w:pPr>
            <w:r>
              <w:rPr>
                <w:rFonts w:hint="eastAsia" w:ascii="宋体"/>
                <w:color w:val="auto"/>
                <w:kern w:val="0"/>
                <w:szCs w:val="21"/>
              </w:rPr>
              <w:t>压力校验仪</w:t>
            </w:r>
          </w:p>
        </w:tc>
        <w:tc>
          <w:tcPr>
            <w:tcW w:w="2409" w:type="dxa"/>
            <w:shd w:val="clear" w:color="auto" w:fill="auto"/>
            <w:vAlign w:val="center"/>
          </w:tcPr>
          <w:p>
            <w:pPr>
              <w:jc w:val="center"/>
              <w:rPr>
                <w:rFonts w:ascii="宋体"/>
                <w:color w:val="auto"/>
                <w:kern w:val="0"/>
                <w:szCs w:val="21"/>
              </w:rPr>
            </w:pPr>
            <w:r>
              <w:rPr>
                <w:rFonts w:hint="eastAsia" w:ascii="宋体"/>
                <w:color w:val="auto"/>
                <w:kern w:val="0"/>
                <w:szCs w:val="21"/>
              </w:rPr>
              <w:t>（0～10）MPa</w:t>
            </w:r>
          </w:p>
        </w:tc>
        <w:tc>
          <w:tcPr>
            <w:tcW w:w="2552" w:type="dxa"/>
            <w:shd w:val="clear" w:color="auto" w:fill="auto"/>
            <w:vAlign w:val="center"/>
          </w:tcPr>
          <w:p>
            <w:pPr>
              <w:jc w:val="center"/>
              <w:rPr>
                <w:rFonts w:ascii="宋体"/>
                <w:color w:val="auto"/>
                <w:kern w:val="0"/>
                <w:szCs w:val="21"/>
              </w:rPr>
            </w:pPr>
            <w:r>
              <w:rPr>
                <w:rFonts w:hint="eastAsia" w:ascii="宋体"/>
                <w:color w:val="auto"/>
                <w:kern w:val="0"/>
                <w:szCs w:val="21"/>
              </w:rPr>
              <w:t>0.25级</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07" w:hRule="atLeast"/>
          <w:jc w:val="center"/>
        </w:trPr>
        <w:tc>
          <w:tcPr>
            <w:tcW w:w="709" w:type="dxa"/>
            <w:shd w:val="clear" w:color="auto" w:fill="auto"/>
            <w:vAlign w:val="center"/>
          </w:tcPr>
          <w:p>
            <w:pPr>
              <w:jc w:val="center"/>
              <w:rPr>
                <w:rFonts w:ascii="宋体"/>
                <w:color w:val="auto"/>
                <w:kern w:val="0"/>
                <w:szCs w:val="21"/>
              </w:rPr>
            </w:pPr>
            <w:r>
              <w:rPr>
                <w:rFonts w:hint="eastAsia" w:ascii="宋体"/>
                <w:color w:val="auto"/>
                <w:kern w:val="0"/>
                <w:szCs w:val="21"/>
              </w:rPr>
              <w:t>4</w:t>
            </w:r>
          </w:p>
        </w:tc>
        <w:tc>
          <w:tcPr>
            <w:tcW w:w="1985" w:type="dxa"/>
            <w:shd w:val="clear" w:color="auto" w:fill="auto"/>
            <w:vAlign w:val="center"/>
          </w:tcPr>
          <w:p>
            <w:pPr>
              <w:jc w:val="center"/>
              <w:rPr>
                <w:rFonts w:ascii="宋体"/>
                <w:color w:val="auto"/>
                <w:kern w:val="0"/>
                <w:szCs w:val="21"/>
              </w:rPr>
            </w:pPr>
            <w:r>
              <w:rPr>
                <w:rFonts w:hint="eastAsia" w:ascii="宋体"/>
                <w:color w:val="auto"/>
                <w:kern w:val="0"/>
                <w:szCs w:val="21"/>
              </w:rPr>
              <w:t>数字式压力表</w:t>
            </w:r>
          </w:p>
        </w:tc>
        <w:tc>
          <w:tcPr>
            <w:tcW w:w="2409" w:type="dxa"/>
            <w:shd w:val="clear" w:color="auto" w:fill="auto"/>
            <w:vAlign w:val="center"/>
          </w:tcPr>
          <w:p>
            <w:pPr>
              <w:jc w:val="center"/>
              <w:rPr>
                <w:rFonts w:ascii="宋体"/>
                <w:color w:val="auto"/>
                <w:kern w:val="0"/>
                <w:szCs w:val="21"/>
              </w:rPr>
            </w:pPr>
            <w:r>
              <w:rPr>
                <w:rFonts w:hint="eastAsia" w:ascii="宋体"/>
                <w:color w:val="auto"/>
                <w:kern w:val="0"/>
                <w:szCs w:val="21"/>
              </w:rPr>
              <w:t>（0～10）MPa</w:t>
            </w:r>
          </w:p>
        </w:tc>
        <w:tc>
          <w:tcPr>
            <w:tcW w:w="2552" w:type="dxa"/>
            <w:shd w:val="clear" w:color="auto" w:fill="auto"/>
            <w:vAlign w:val="center"/>
          </w:tcPr>
          <w:p>
            <w:pPr>
              <w:jc w:val="center"/>
              <w:rPr>
                <w:rFonts w:ascii="宋体"/>
                <w:color w:val="auto"/>
                <w:kern w:val="0"/>
                <w:szCs w:val="21"/>
              </w:rPr>
            </w:pPr>
            <w:r>
              <w:rPr>
                <w:rFonts w:hint="eastAsia" w:ascii="宋体"/>
                <w:color w:val="auto"/>
                <w:kern w:val="0"/>
                <w:szCs w:val="21"/>
              </w:rPr>
              <w:t>0.05级</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04" w:hRule="atLeast"/>
          <w:jc w:val="center"/>
        </w:trPr>
        <w:tc>
          <w:tcPr>
            <w:tcW w:w="709" w:type="dxa"/>
            <w:shd w:val="clear" w:color="auto" w:fill="auto"/>
            <w:vAlign w:val="center"/>
          </w:tcPr>
          <w:p>
            <w:pPr>
              <w:jc w:val="center"/>
              <w:rPr>
                <w:rFonts w:ascii="宋体"/>
                <w:color w:val="auto"/>
                <w:kern w:val="0"/>
                <w:szCs w:val="21"/>
              </w:rPr>
            </w:pPr>
            <w:r>
              <w:rPr>
                <w:rFonts w:hint="eastAsia" w:ascii="宋体"/>
                <w:color w:val="auto"/>
                <w:kern w:val="0"/>
                <w:szCs w:val="21"/>
              </w:rPr>
              <w:t>5</w:t>
            </w:r>
          </w:p>
        </w:tc>
        <w:tc>
          <w:tcPr>
            <w:tcW w:w="1985" w:type="dxa"/>
            <w:shd w:val="clear" w:color="auto" w:fill="auto"/>
            <w:vAlign w:val="center"/>
          </w:tcPr>
          <w:p>
            <w:pPr>
              <w:jc w:val="center"/>
              <w:rPr>
                <w:rFonts w:ascii="宋体"/>
                <w:color w:val="auto"/>
                <w:kern w:val="0"/>
                <w:szCs w:val="21"/>
              </w:rPr>
            </w:pPr>
            <w:r>
              <w:rPr>
                <w:rFonts w:hint="eastAsia" w:ascii="宋体"/>
                <w:color w:val="auto"/>
                <w:kern w:val="0"/>
                <w:szCs w:val="21"/>
              </w:rPr>
              <w:t>计时器</w:t>
            </w:r>
          </w:p>
        </w:tc>
        <w:tc>
          <w:tcPr>
            <w:tcW w:w="2409" w:type="dxa"/>
            <w:shd w:val="clear" w:color="auto" w:fill="auto"/>
            <w:vAlign w:val="center"/>
          </w:tcPr>
          <w:p>
            <w:pPr>
              <w:jc w:val="center"/>
              <w:rPr>
                <w:rFonts w:ascii="宋体"/>
                <w:color w:val="auto"/>
                <w:kern w:val="0"/>
                <w:szCs w:val="21"/>
              </w:rPr>
            </w:pPr>
            <w:r>
              <w:rPr>
                <w:rFonts w:ascii="宋体"/>
                <w:color w:val="auto"/>
                <w:kern w:val="0"/>
                <w:szCs w:val="21"/>
              </w:rPr>
              <w:t>(</w:t>
            </w:r>
            <w:r>
              <w:rPr>
                <w:rFonts w:hint="eastAsia" w:ascii="宋体"/>
                <w:color w:val="auto"/>
                <w:kern w:val="0"/>
                <w:szCs w:val="21"/>
              </w:rPr>
              <w:t>0～24）h</w:t>
            </w:r>
          </w:p>
        </w:tc>
        <w:tc>
          <w:tcPr>
            <w:tcW w:w="2552" w:type="dxa"/>
            <w:shd w:val="clear" w:color="auto" w:fill="auto"/>
            <w:vAlign w:val="center"/>
          </w:tcPr>
          <w:p>
            <w:pPr>
              <w:jc w:val="center"/>
              <w:rPr>
                <w:rFonts w:ascii="宋体"/>
                <w:color w:val="auto"/>
                <w:kern w:val="0"/>
                <w:szCs w:val="21"/>
              </w:rPr>
            </w:pPr>
            <w:r>
              <w:rPr>
                <w:rFonts w:hint="eastAsia" w:ascii="宋体"/>
                <w:color w:val="auto"/>
                <w:kern w:val="0"/>
                <w:szCs w:val="21"/>
              </w:rPr>
              <w:t>±30s/d</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04" w:hRule="atLeast"/>
          <w:jc w:val="center"/>
        </w:trPr>
        <w:tc>
          <w:tcPr>
            <w:tcW w:w="709" w:type="dxa"/>
            <w:shd w:val="clear" w:color="auto" w:fill="auto"/>
            <w:vAlign w:val="center"/>
          </w:tcPr>
          <w:p>
            <w:pPr>
              <w:jc w:val="center"/>
              <w:rPr>
                <w:rFonts w:ascii="宋体"/>
                <w:color w:val="auto"/>
                <w:kern w:val="0"/>
                <w:szCs w:val="21"/>
              </w:rPr>
            </w:pPr>
            <w:r>
              <w:rPr>
                <w:rFonts w:hint="eastAsia" w:ascii="宋体"/>
                <w:color w:val="auto"/>
                <w:kern w:val="0"/>
                <w:szCs w:val="21"/>
              </w:rPr>
              <w:t>6</w:t>
            </w:r>
          </w:p>
        </w:tc>
        <w:tc>
          <w:tcPr>
            <w:tcW w:w="1985" w:type="dxa"/>
            <w:shd w:val="clear" w:color="auto" w:fill="auto"/>
            <w:vAlign w:val="center"/>
          </w:tcPr>
          <w:p>
            <w:pPr>
              <w:jc w:val="center"/>
              <w:rPr>
                <w:rFonts w:ascii="宋体"/>
                <w:color w:val="auto"/>
                <w:kern w:val="0"/>
                <w:szCs w:val="21"/>
              </w:rPr>
            </w:pPr>
            <w:r>
              <w:rPr>
                <w:rFonts w:hint="eastAsia" w:ascii="宋体"/>
                <w:color w:val="auto"/>
                <w:kern w:val="0"/>
                <w:szCs w:val="21"/>
              </w:rPr>
              <w:t>温度计</w:t>
            </w:r>
          </w:p>
        </w:tc>
        <w:tc>
          <w:tcPr>
            <w:tcW w:w="2409" w:type="dxa"/>
            <w:shd w:val="clear" w:color="auto" w:fill="auto"/>
            <w:vAlign w:val="center"/>
          </w:tcPr>
          <w:p>
            <w:pPr>
              <w:jc w:val="center"/>
              <w:rPr>
                <w:rFonts w:ascii="宋体"/>
                <w:color w:val="auto"/>
                <w:kern w:val="0"/>
                <w:szCs w:val="21"/>
              </w:rPr>
            </w:pPr>
            <w:r>
              <w:rPr>
                <w:rFonts w:hint="eastAsia" w:ascii="宋体"/>
                <w:color w:val="auto"/>
                <w:kern w:val="0"/>
                <w:szCs w:val="21"/>
              </w:rPr>
              <w:t>（0～50）℃</w:t>
            </w:r>
          </w:p>
        </w:tc>
        <w:tc>
          <w:tcPr>
            <w:tcW w:w="2552" w:type="dxa"/>
            <w:shd w:val="clear" w:color="auto" w:fill="auto"/>
            <w:vAlign w:val="center"/>
          </w:tcPr>
          <w:p>
            <w:pPr>
              <w:jc w:val="center"/>
              <w:rPr>
                <w:rFonts w:ascii="宋体"/>
                <w:color w:val="auto"/>
                <w:kern w:val="0"/>
                <w:szCs w:val="21"/>
              </w:rPr>
            </w:pPr>
            <w:r>
              <w:rPr>
                <w:rFonts w:hint="eastAsia" w:ascii="宋体"/>
                <w:color w:val="auto"/>
                <w:kern w:val="0"/>
                <w:szCs w:val="21"/>
              </w:rPr>
              <w:t>±0.5%</w:t>
            </w:r>
          </w:p>
        </w:tc>
      </w:tr>
    </w:tbl>
    <w:p>
      <w:pPr>
        <w:jc w:val="center"/>
        <w:rPr>
          <w:rFonts w:ascii="黑体" w:hAnsi="黑体" w:eastAsia="黑体"/>
          <w:color w:val="auto"/>
        </w:rPr>
      </w:pPr>
    </w:p>
    <w:p>
      <w:pPr>
        <w:snapToGrid w:val="0"/>
        <w:spacing w:line="360" w:lineRule="auto"/>
        <w:ind w:firstLine="480" w:firstLineChars="200"/>
        <w:rPr>
          <w:rFonts w:ascii="宋体" w:hAnsi="宋体"/>
          <w:color w:val="auto"/>
          <w:sz w:val="24"/>
        </w:rPr>
      </w:pPr>
      <w:bookmarkStart w:id="38" w:name="_Toc113977969"/>
      <w:r>
        <w:rPr>
          <w:rFonts w:hint="eastAsia" w:ascii="宋体" w:hAnsi="宋体"/>
          <w:color w:val="auto"/>
          <w:sz w:val="24"/>
        </w:rPr>
        <w:t>6.3 校准用传压介质</w:t>
      </w:r>
      <w:bookmarkEnd w:id="38"/>
    </w:p>
    <w:p>
      <w:pPr>
        <w:snapToGrid w:val="0"/>
        <w:spacing w:line="360" w:lineRule="auto"/>
        <w:ind w:firstLine="480" w:firstLineChars="200"/>
        <w:rPr>
          <w:rFonts w:ascii="宋体" w:hAnsi="宋体"/>
          <w:color w:val="auto"/>
          <w:sz w:val="24"/>
        </w:rPr>
      </w:pPr>
      <w:r>
        <w:rPr>
          <w:rFonts w:hint="eastAsia" w:ascii="宋体" w:hAnsi="宋体"/>
          <w:color w:val="auto"/>
          <w:sz w:val="24"/>
        </w:rPr>
        <w:t>校准中所用传压介质应与所用介质一致。</w:t>
      </w:r>
    </w:p>
    <w:p>
      <w:pPr>
        <w:snapToGrid w:val="0"/>
        <w:spacing w:line="360" w:lineRule="auto"/>
        <w:rPr>
          <w:rFonts w:ascii="宋体" w:hAnsi="宋体"/>
          <w:color w:val="auto"/>
          <w:sz w:val="24"/>
        </w:rPr>
      </w:pPr>
      <w:r>
        <w:rPr>
          <w:rFonts w:hint="eastAsia" w:ascii="宋体" w:hAnsi="宋体"/>
          <w:color w:val="auto"/>
          <w:sz w:val="24"/>
        </w:rPr>
        <w:t>7、本规范规定了</w:t>
      </w:r>
      <w:bookmarkEnd w:id="35"/>
      <w:bookmarkEnd w:id="36"/>
      <w:bookmarkStart w:id="39" w:name="_Toc138496520"/>
      <w:bookmarkStart w:id="40" w:name="_Toc113977970"/>
      <w:r>
        <w:rPr>
          <w:rFonts w:hint="eastAsia" w:ascii="宋体" w:hAnsi="宋体"/>
          <w:color w:val="auto"/>
          <w:sz w:val="24"/>
        </w:rPr>
        <w:t>校准项目</w:t>
      </w:r>
      <w:bookmarkEnd w:id="39"/>
      <w:bookmarkEnd w:id="40"/>
      <w:r>
        <w:rPr>
          <w:rFonts w:hint="eastAsia" w:ascii="宋体" w:hAnsi="宋体"/>
          <w:color w:val="auto"/>
          <w:sz w:val="24"/>
        </w:rPr>
        <w:t>和校准方法</w:t>
      </w:r>
    </w:p>
    <w:p>
      <w:pPr>
        <w:snapToGrid w:val="0"/>
        <w:spacing w:line="360" w:lineRule="auto"/>
        <w:ind w:firstLine="480" w:firstLineChars="200"/>
        <w:rPr>
          <w:rFonts w:ascii="宋体" w:hAnsi="宋体"/>
          <w:color w:val="auto"/>
          <w:sz w:val="24"/>
        </w:rPr>
      </w:pPr>
      <w:r>
        <w:rPr>
          <w:rFonts w:hint="eastAsia" w:ascii="宋体" w:hAnsi="宋体"/>
          <w:color w:val="auto"/>
          <w:sz w:val="24"/>
        </w:rPr>
        <w:t xml:space="preserve">校准项目内容包括： </w:t>
      </w:r>
    </w:p>
    <w:p>
      <w:pPr>
        <w:snapToGrid w:val="0"/>
        <w:spacing w:line="360" w:lineRule="auto"/>
        <w:ind w:firstLine="480" w:firstLineChars="200"/>
        <w:rPr>
          <w:rFonts w:ascii="宋体" w:hAnsi="宋体"/>
          <w:color w:val="auto"/>
          <w:sz w:val="24"/>
        </w:rPr>
      </w:pPr>
      <w:r>
        <w:rPr>
          <w:rFonts w:hint="eastAsia" w:ascii="宋体" w:hAnsi="宋体"/>
          <w:color w:val="auto"/>
          <w:sz w:val="24"/>
        </w:rPr>
        <w:t>外观；</w:t>
      </w:r>
    </w:p>
    <w:p>
      <w:pPr>
        <w:snapToGrid w:val="0"/>
        <w:spacing w:line="360" w:lineRule="auto"/>
        <w:ind w:firstLine="480" w:firstLineChars="200"/>
        <w:rPr>
          <w:rFonts w:ascii="宋体" w:hAnsi="宋体"/>
          <w:color w:val="auto"/>
          <w:sz w:val="24"/>
        </w:rPr>
      </w:pPr>
      <w:r>
        <w:rPr>
          <w:rFonts w:hint="eastAsia" w:ascii="宋体" w:hAnsi="宋体"/>
          <w:color w:val="auto"/>
          <w:sz w:val="24"/>
        </w:rPr>
        <w:t>基本误差；</w:t>
      </w:r>
    </w:p>
    <w:p>
      <w:pPr>
        <w:snapToGrid w:val="0"/>
        <w:spacing w:line="360" w:lineRule="auto"/>
        <w:ind w:firstLine="480" w:firstLineChars="200"/>
        <w:rPr>
          <w:rFonts w:ascii="宋体" w:hAnsi="宋体"/>
          <w:color w:val="auto"/>
          <w:sz w:val="24"/>
        </w:rPr>
      </w:pPr>
      <w:r>
        <w:rPr>
          <w:rFonts w:hint="eastAsia" w:ascii="宋体" w:hAnsi="宋体"/>
          <w:color w:val="auto"/>
          <w:sz w:val="24"/>
        </w:rPr>
        <w:t>回程误差（重量指示仪单独校准）；</w:t>
      </w:r>
    </w:p>
    <w:p>
      <w:pPr>
        <w:snapToGrid w:val="0"/>
        <w:spacing w:line="360" w:lineRule="auto"/>
        <w:ind w:firstLine="480" w:firstLineChars="200"/>
        <w:rPr>
          <w:rFonts w:ascii="宋体" w:hAnsi="宋体"/>
          <w:color w:val="auto"/>
          <w:sz w:val="24"/>
        </w:rPr>
      </w:pPr>
      <w:r>
        <w:rPr>
          <w:rFonts w:hint="eastAsia" w:ascii="宋体" w:hAnsi="宋体"/>
          <w:color w:val="auto"/>
          <w:sz w:val="24"/>
        </w:rPr>
        <w:t>轻敲位移；</w:t>
      </w:r>
    </w:p>
    <w:p>
      <w:pPr>
        <w:snapToGrid w:val="0"/>
        <w:spacing w:line="360" w:lineRule="auto"/>
        <w:ind w:firstLine="480" w:firstLineChars="200"/>
        <w:rPr>
          <w:rFonts w:ascii="宋体" w:hAnsi="宋体"/>
          <w:color w:val="auto"/>
          <w:sz w:val="24"/>
        </w:rPr>
      </w:pPr>
      <w:r>
        <w:rPr>
          <w:rFonts w:hint="eastAsia" w:ascii="宋体" w:hAnsi="宋体"/>
          <w:color w:val="auto"/>
          <w:sz w:val="24"/>
        </w:rPr>
        <w:t>灵敏限（重量指示仪单独校准）；</w:t>
      </w:r>
    </w:p>
    <w:p>
      <w:pPr>
        <w:snapToGrid w:val="0"/>
        <w:spacing w:line="360" w:lineRule="auto"/>
        <w:ind w:firstLine="480" w:firstLineChars="200"/>
        <w:rPr>
          <w:rFonts w:ascii="宋体" w:hAnsi="宋体"/>
          <w:color w:val="auto"/>
          <w:sz w:val="24"/>
        </w:rPr>
      </w:pPr>
      <w:r>
        <w:rPr>
          <w:rFonts w:hint="eastAsia" w:ascii="宋体" w:hAnsi="宋体"/>
          <w:color w:val="auto"/>
          <w:sz w:val="24"/>
        </w:rPr>
        <w:t>指针偏转平稳性；</w:t>
      </w:r>
    </w:p>
    <w:p>
      <w:pPr>
        <w:snapToGrid w:val="0"/>
        <w:spacing w:line="360" w:lineRule="auto"/>
        <w:ind w:firstLine="480" w:firstLineChars="200"/>
        <w:rPr>
          <w:rFonts w:ascii="宋体" w:hAnsi="宋体"/>
          <w:color w:val="auto"/>
          <w:sz w:val="24"/>
        </w:rPr>
      </w:pPr>
      <w:r>
        <w:rPr>
          <w:rFonts w:hint="eastAsia" w:ascii="宋体" w:hAnsi="宋体"/>
          <w:color w:val="auto"/>
          <w:sz w:val="24"/>
        </w:rPr>
        <w:t>密封性能；</w:t>
      </w:r>
    </w:p>
    <w:p>
      <w:pPr>
        <w:snapToGrid w:val="0"/>
        <w:spacing w:line="360" w:lineRule="auto"/>
        <w:ind w:firstLine="480" w:firstLineChars="200"/>
        <w:rPr>
          <w:rFonts w:ascii="宋体" w:hAnsi="宋体"/>
          <w:color w:val="auto"/>
          <w:sz w:val="24"/>
        </w:rPr>
      </w:pPr>
      <w:r>
        <w:rPr>
          <w:rFonts w:hint="eastAsia" w:ascii="宋体" w:hAnsi="宋体"/>
          <w:color w:val="auto"/>
          <w:sz w:val="24"/>
        </w:rPr>
        <w:t>记录仪时钟误差。</w:t>
      </w:r>
    </w:p>
    <w:p>
      <w:pPr>
        <w:pStyle w:val="55"/>
        <w:spacing w:before="360" w:beforeLines="100" w:after="180"/>
        <w:ind w:firstLine="480" w:firstLineChars="200"/>
        <w:jc w:val="left"/>
        <w:rPr>
          <w:rFonts w:ascii="宋体" w:hAnsi="宋体" w:eastAsia="宋体" w:cs="宋体"/>
          <w:color w:val="auto"/>
          <w:sz w:val="24"/>
          <w:szCs w:val="24"/>
        </w:rPr>
      </w:pPr>
      <w:bookmarkStart w:id="41" w:name="_Toc91169894"/>
      <w:bookmarkStart w:id="42" w:name="_Toc91170714"/>
      <w:r>
        <w:rPr>
          <w:rFonts w:hint="eastAsia" w:ascii="宋体" w:hAnsi="宋体" w:eastAsia="宋体"/>
          <w:color w:val="auto"/>
          <w:kern w:val="2"/>
          <w:sz w:val="24"/>
          <w:szCs w:val="24"/>
        </w:rPr>
        <w:t>7.1外观检查</w:t>
      </w:r>
    </w:p>
    <w:p>
      <w:pPr>
        <w:pStyle w:val="20"/>
        <w:spacing w:before="156" w:after="156"/>
        <w:ind w:left="375" w:firstLine="0" w:firstLineChars="0"/>
        <w:rPr>
          <w:rFonts w:ascii="宋体" w:hAnsi="宋体" w:eastAsia="宋体" w:cs="宋体"/>
          <w:color w:val="auto"/>
          <w:sz w:val="24"/>
          <w:szCs w:val="24"/>
        </w:rPr>
      </w:pPr>
      <w:r>
        <w:rPr>
          <w:rFonts w:hint="eastAsia" w:ascii="宋体" w:hAnsi="宋体" w:eastAsia="宋体" w:cs="宋体"/>
          <w:color w:val="auto"/>
          <w:sz w:val="24"/>
          <w:szCs w:val="24"/>
        </w:rPr>
        <w:t>目测检查被校准指重表外观，应符合5.1要求。</w:t>
      </w:r>
    </w:p>
    <w:p>
      <w:pPr>
        <w:pStyle w:val="55"/>
        <w:spacing w:before="360" w:beforeLines="100" w:after="180"/>
        <w:ind w:firstLine="480" w:firstLineChars="200"/>
        <w:jc w:val="left"/>
        <w:rPr>
          <w:rFonts w:ascii="宋体" w:hAnsi="宋体" w:eastAsia="宋体" w:cs="宋体"/>
          <w:color w:val="auto"/>
          <w:sz w:val="24"/>
          <w:szCs w:val="24"/>
        </w:rPr>
      </w:pPr>
      <w:bookmarkStart w:id="43" w:name="_Toc113977973"/>
      <w:r>
        <w:rPr>
          <w:rFonts w:hint="eastAsia" w:ascii="宋体" w:hAnsi="宋体" w:eastAsia="宋体" w:cs="宋体"/>
          <w:color w:val="auto"/>
          <w:sz w:val="24"/>
          <w:szCs w:val="24"/>
        </w:rPr>
        <w:t>7.2基本误差校准</w:t>
      </w:r>
      <w:bookmarkEnd w:id="43"/>
    </w:p>
    <w:p>
      <w:pPr>
        <w:pStyle w:val="26"/>
        <w:numPr>
          <w:ilvl w:val="3"/>
          <w:numId w:val="0"/>
        </w:numPr>
        <w:spacing w:before="180" w:after="180"/>
        <w:ind w:firstLine="480" w:firstLineChars="200"/>
        <w:rPr>
          <w:rFonts w:ascii="宋体" w:hAnsi="宋体" w:eastAsia="宋体" w:cs="宋体"/>
          <w:color w:val="auto"/>
          <w:sz w:val="24"/>
          <w:szCs w:val="24"/>
        </w:rPr>
      </w:pPr>
      <w:r>
        <w:rPr>
          <w:rFonts w:hint="eastAsia" w:ascii="宋体" w:hAnsi="宋体" w:eastAsia="宋体" w:cs="宋体"/>
          <w:color w:val="auto"/>
          <w:sz w:val="24"/>
          <w:szCs w:val="24"/>
        </w:rPr>
        <w:t>7.2.1重量指示仪校准</w:t>
      </w:r>
    </w:p>
    <w:p>
      <w:pPr>
        <w:pStyle w:val="26"/>
        <w:numPr>
          <w:ilvl w:val="3"/>
          <w:numId w:val="0"/>
        </w:numPr>
        <w:spacing w:before="180" w:after="180"/>
        <w:ind w:firstLine="480" w:firstLineChars="200"/>
        <w:rPr>
          <w:rFonts w:ascii="宋体" w:hAnsi="宋体" w:eastAsia="宋体" w:cs="宋体"/>
          <w:color w:val="auto"/>
          <w:sz w:val="24"/>
          <w:szCs w:val="24"/>
        </w:rPr>
      </w:pPr>
      <w:r>
        <w:rPr>
          <w:rFonts w:hint="eastAsia" w:ascii="宋体" w:hAnsi="宋体" w:eastAsia="宋体" w:cs="宋体"/>
          <w:color w:val="auto"/>
          <w:sz w:val="24"/>
          <w:szCs w:val="24"/>
        </w:rPr>
        <w:t>7.2.1.1校准试验点选择</w:t>
      </w:r>
    </w:p>
    <w:p>
      <w:pPr>
        <w:ind w:firstLine="480" w:firstLineChars="200"/>
        <w:rPr>
          <w:rFonts w:ascii="宋体" w:hAnsi="宋体" w:cs="宋体"/>
          <w:color w:val="auto"/>
          <w:sz w:val="24"/>
        </w:rPr>
      </w:pPr>
      <w:r>
        <w:rPr>
          <w:rFonts w:hint="eastAsia" w:ascii="宋体" w:hAnsi="宋体" w:cs="宋体"/>
          <w:color w:val="auto"/>
          <w:sz w:val="24"/>
        </w:rPr>
        <w:t>校准试验点根据死绳固定器额定输出压力范围按整数不少于5点均匀选取，包括上限和下限，可参照表4。</w:t>
      </w:r>
    </w:p>
    <w:p>
      <w:pPr>
        <w:pStyle w:val="20"/>
        <w:spacing w:before="156" w:after="156"/>
        <w:ind w:left="284" w:firstLine="0" w:firstLineChars="0"/>
        <w:jc w:val="center"/>
        <w:rPr>
          <w:rFonts w:ascii="黑体" w:hAnsi="黑体" w:eastAsia="黑体"/>
          <w:color w:val="auto"/>
        </w:rPr>
      </w:pPr>
      <w:r>
        <w:rPr>
          <w:rFonts w:hint="eastAsia" w:ascii="黑体" w:hAnsi="黑体" w:eastAsia="黑体"/>
          <w:color w:val="auto"/>
        </w:rPr>
        <w:t>表4 校准试验点选择</w:t>
      </w:r>
    </w:p>
    <w:tbl>
      <w:tblPr>
        <w:tblStyle w:val="8"/>
        <w:tblW w:w="9356" w:type="dxa"/>
        <w:tblInd w:w="108"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709"/>
        <w:gridCol w:w="2552"/>
        <w:gridCol w:w="6095"/>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64" w:hRule="atLeast"/>
        </w:trPr>
        <w:tc>
          <w:tcPr>
            <w:tcW w:w="709" w:type="dxa"/>
            <w:vAlign w:val="center"/>
          </w:tcPr>
          <w:p>
            <w:pPr>
              <w:jc w:val="center"/>
              <w:rPr>
                <w:rFonts w:ascii="宋体"/>
                <w:color w:val="auto"/>
                <w:kern w:val="0"/>
                <w:sz w:val="18"/>
                <w:szCs w:val="18"/>
              </w:rPr>
            </w:pPr>
            <w:r>
              <w:rPr>
                <w:rFonts w:hint="eastAsia" w:ascii="宋体"/>
                <w:color w:val="auto"/>
                <w:kern w:val="0"/>
                <w:sz w:val="18"/>
                <w:szCs w:val="18"/>
              </w:rPr>
              <w:t>序号</w:t>
            </w:r>
          </w:p>
        </w:tc>
        <w:tc>
          <w:tcPr>
            <w:tcW w:w="2552" w:type="dxa"/>
            <w:vAlign w:val="center"/>
          </w:tcPr>
          <w:p>
            <w:pPr>
              <w:jc w:val="center"/>
              <w:rPr>
                <w:rFonts w:ascii="宋体"/>
                <w:color w:val="auto"/>
                <w:kern w:val="0"/>
                <w:sz w:val="18"/>
                <w:szCs w:val="18"/>
              </w:rPr>
            </w:pPr>
            <w:r>
              <w:rPr>
                <w:rFonts w:hint="eastAsia" w:ascii="宋体"/>
                <w:color w:val="auto"/>
                <w:kern w:val="0"/>
                <w:sz w:val="18"/>
                <w:szCs w:val="18"/>
              </w:rPr>
              <w:t>死绳固定器输出压力（MPa）</w:t>
            </w:r>
          </w:p>
        </w:tc>
        <w:tc>
          <w:tcPr>
            <w:tcW w:w="6095" w:type="dxa"/>
            <w:vAlign w:val="center"/>
          </w:tcPr>
          <w:p>
            <w:pPr>
              <w:jc w:val="center"/>
              <w:rPr>
                <w:rFonts w:ascii="宋体"/>
                <w:color w:val="auto"/>
                <w:kern w:val="0"/>
                <w:sz w:val="18"/>
                <w:szCs w:val="18"/>
              </w:rPr>
            </w:pPr>
            <w:r>
              <w:rPr>
                <w:rFonts w:hint="eastAsia" w:ascii="宋体"/>
                <w:color w:val="auto"/>
                <w:kern w:val="0"/>
                <w:sz w:val="18"/>
                <w:szCs w:val="18"/>
              </w:rPr>
              <w:t>校准点（MPa）</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13" w:hRule="atLeast"/>
        </w:trPr>
        <w:tc>
          <w:tcPr>
            <w:tcW w:w="709" w:type="dxa"/>
            <w:vAlign w:val="center"/>
          </w:tcPr>
          <w:p>
            <w:pPr>
              <w:jc w:val="center"/>
              <w:rPr>
                <w:rFonts w:ascii="宋体"/>
                <w:color w:val="auto"/>
                <w:kern w:val="0"/>
                <w:sz w:val="18"/>
                <w:szCs w:val="18"/>
              </w:rPr>
            </w:pPr>
            <w:r>
              <w:rPr>
                <w:rFonts w:hint="eastAsia" w:ascii="宋体"/>
                <w:color w:val="auto"/>
                <w:kern w:val="0"/>
                <w:sz w:val="18"/>
                <w:szCs w:val="18"/>
              </w:rPr>
              <w:t>1</w:t>
            </w:r>
          </w:p>
        </w:tc>
        <w:tc>
          <w:tcPr>
            <w:tcW w:w="2552" w:type="dxa"/>
            <w:vAlign w:val="center"/>
          </w:tcPr>
          <w:p>
            <w:pPr>
              <w:jc w:val="center"/>
              <w:rPr>
                <w:rFonts w:ascii="宋体"/>
                <w:color w:val="auto"/>
                <w:kern w:val="0"/>
                <w:sz w:val="18"/>
                <w:szCs w:val="18"/>
              </w:rPr>
            </w:pPr>
            <w:r>
              <w:rPr>
                <w:rFonts w:hint="eastAsia" w:ascii="宋体"/>
                <w:color w:val="auto"/>
                <w:kern w:val="0"/>
                <w:sz w:val="18"/>
                <w:szCs w:val="18"/>
              </w:rPr>
              <w:t>9</w:t>
            </w:r>
          </w:p>
        </w:tc>
        <w:tc>
          <w:tcPr>
            <w:tcW w:w="6095" w:type="dxa"/>
            <w:vAlign w:val="center"/>
          </w:tcPr>
          <w:p>
            <w:pPr>
              <w:jc w:val="center"/>
              <w:rPr>
                <w:rFonts w:ascii="宋体"/>
                <w:color w:val="auto"/>
                <w:kern w:val="0"/>
                <w:sz w:val="18"/>
                <w:szCs w:val="18"/>
              </w:rPr>
            </w:pPr>
            <w:r>
              <w:rPr>
                <w:rFonts w:hint="eastAsia" w:ascii="宋体"/>
                <w:color w:val="auto"/>
                <w:kern w:val="0"/>
                <w:sz w:val="18"/>
                <w:szCs w:val="18"/>
              </w:rPr>
              <w:t>0，1，2，3，4，5，6，7，8，9</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19" w:hRule="atLeast"/>
        </w:trPr>
        <w:tc>
          <w:tcPr>
            <w:tcW w:w="709" w:type="dxa"/>
            <w:vAlign w:val="center"/>
          </w:tcPr>
          <w:p>
            <w:pPr>
              <w:jc w:val="center"/>
              <w:rPr>
                <w:rFonts w:ascii="宋体"/>
                <w:color w:val="auto"/>
                <w:kern w:val="0"/>
                <w:sz w:val="18"/>
                <w:szCs w:val="18"/>
              </w:rPr>
            </w:pPr>
            <w:r>
              <w:rPr>
                <w:rFonts w:hint="eastAsia" w:ascii="宋体"/>
                <w:color w:val="auto"/>
                <w:kern w:val="0"/>
                <w:sz w:val="18"/>
                <w:szCs w:val="18"/>
              </w:rPr>
              <w:t>2</w:t>
            </w:r>
          </w:p>
        </w:tc>
        <w:tc>
          <w:tcPr>
            <w:tcW w:w="2552" w:type="dxa"/>
            <w:vAlign w:val="center"/>
          </w:tcPr>
          <w:p>
            <w:pPr>
              <w:jc w:val="center"/>
              <w:rPr>
                <w:rFonts w:ascii="宋体"/>
                <w:color w:val="auto"/>
                <w:kern w:val="0"/>
                <w:sz w:val="18"/>
                <w:szCs w:val="18"/>
              </w:rPr>
            </w:pPr>
            <w:r>
              <w:rPr>
                <w:rFonts w:hint="eastAsia" w:ascii="宋体"/>
                <w:color w:val="auto"/>
                <w:kern w:val="0"/>
                <w:sz w:val="18"/>
                <w:szCs w:val="18"/>
              </w:rPr>
              <w:t>7.49</w:t>
            </w:r>
          </w:p>
        </w:tc>
        <w:tc>
          <w:tcPr>
            <w:tcW w:w="6095" w:type="dxa"/>
            <w:vAlign w:val="center"/>
          </w:tcPr>
          <w:p>
            <w:pPr>
              <w:jc w:val="center"/>
              <w:rPr>
                <w:rFonts w:ascii="宋体"/>
                <w:color w:val="auto"/>
                <w:kern w:val="0"/>
                <w:sz w:val="18"/>
                <w:szCs w:val="18"/>
              </w:rPr>
            </w:pPr>
            <w:r>
              <w:rPr>
                <w:rFonts w:hint="eastAsia" w:ascii="宋体"/>
                <w:color w:val="auto"/>
                <w:kern w:val="0"/>
                <w:sz w:val="18"/>
                <w:szCs w:val="18"/>
              </w:rPr>
              <w:t>0，1，2，3，4，5，6，7，7.49</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11" w:hRule="atLeast"/>
        </w:trPr>
        <w:tc>
          <w:tcPr>
            <w:tcW w:w="709" w:type="dxa"/>
            <w:vAlign w:val="center"/>
          </w:tcPr>
          <w:p>
            <w:pPr>
              <w:jc w:val="center"/>
              <w:rPr>
                <w:rFonts w:ascii="宋体"/>
                <w:color w:val="auto"/>
                <w:kern w:val="0"/>
                <w:sz w:val="18"/>
                <w:szCs w:val="18"/>
              </w:rPr>
            </w:pPr>
            <w:r>
              <w:rPr>
                <w:rFonts w:hint="eastAsia" w:ascii="宋体"/>
                <w:color w:val="auto"/>
                <w:kern w:val="0"/>
                <w:sz w:val="18"/>
                <w:szCs w:val="18"/>
              </w:rPr>
              <w:t>3</w:t>
            </w:r>
          </w:p>
        </w:tc>
        <w:tc>
          <w:tcPr>
            <w:tcW w:w="2552" w:type="dxa"/>
            <w:vAlign w:val="center"/>
          </w:tcPr>
          <w:p>
            <w:pPr>
              <w:jc w:val="center"/>
              <w:rPr>
                <w:rFonts w:ascii="宋体"/>
                <w:color w:val="auto"/>
                <w:kern w:val="0"/>
                <w:sz w:val="18"/>
                <w:szCs w:val="18"/>
              </w:rPr>
            </w:pPr>
            <w:r>
              <w:rPr>
                <w:rFonts w:hint="eastAsia" w:ascii="宋体"/>
                <w:color w:val="auto"/>
                <w:kern w:val="0"/>
                <w:sz w:val="18"/>
                <w:szCs w:val="18"/>
              </w:rPr>
              <w:t>6.83</w:t>
            </w:r>
          </w:p>
        </w:tc>
        <w:tc>
          <w:tcPr>
            <w:tcW w:w="6095" w:type="dxa"/>
            <w:vAlign w:val="center"/>
          </w:tcPr>
          <w:p>
            <w:pPr>
              <w:jc w:val="center"/>
              <w:rPr>
                <w:rFonts w:ascii="宋体"/>
                <w:color w:val="auto"/>
                <w:kern w:val="0"/>
                <w:sz w:val="18"/>
                <w:szCs w:val="18"/>
              </w:rPr>
            </w:pPr>
            <w:r>
              <w:rPr>
                <w:rFonts w:hint="eastAsia" w:ascii="宋体"/>
                <w:color w:val="auto"/>
                <w:kern w:val="0"/>
                <w:sz w:val="18"/>
                <w:szCs w:val="18"/>
              </w:rPr>
              <w:t>0，1，2，3，4，5，6，6.83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18" w:hRule="atLeast"/>
        </w:trPr>
        <w:tc>
          <w:tcPr>
            <w:tcW w:w="709" w:type="dxa"/>
            <w:vAlign w:val="center"/>
          </w:tcPr>
          <w:p>
            <w:pPr>
              <w:jc w:val="center"/>
              <w:rPr>
                <w:rFonts w:ascii="宋体"/>
                <w:color w:val="auto"/>
                <w:kern w:val="0"/>
                <w:sz w:val="18"/>
                <w:szCs w:val="18"/>
              </w:rPr>
            </w:pPr>
            <w:r>
              <w:rPr>
                <w:rFonts w:hint="eastAsia" w:ascii="宋体"/>
                <w:color w:val="auto"/>
                <w:kern w:val="0"/>
                <w:sz w:val="18"/>
                <w:szCs w:val="18"/>
              </w:rPr>
              <w:t>4</w:t>
            </w:r>
          </w:p>
        </w:tc>
        <w:tc>
          <w:tcPr>
            <w:tcW w:w="2552" w:type="dxa"/>
            <w:vAlign w:val="center"/>
          </w:tcPr>
          <w:p>
            <w:pPr>
              <w:jc w:val="center"/>
              <w:rPr>
                <w:rFonts w:ascii="宋体"/>
                <w:color w:val="auto"/>
                <w:kern w:val="0"/>
                <w:sz w:val="18"/>
                <w:szCs w:val="18"/>
              </w:rPr>
            </w:pPr>
            <w:r>
              <w:rPr>
                <w:rFonts w:hint="eastAsia" w:ascii="宋体"/>
                <w:color w:val="auto"/>
                <w:kern w:val="0"/>
                <w:sz w:val="18"/>
                <w:szCs w:val="18"/>
              </w:rPr>
              <w:t>6</w:t>
            </w:r>
          </w:p>
        </w:tc>
        <w:tc>
          <w:tcPr>
            <w:tcW w:w="6095" w:type="dxa"/>
            <w:vAlign w:val="center"/>
          </w:tcPr>
          <w:p>
            <w:pPr>
              <w:jc w:val="center"/>
              <w:rPr>
                <w:rFonts w:ascii="宋体"/>
                <w:color w:val="auto"/>
                <w:kern w:val="0"/>
                <w:sz w:val="18"/>
                <w:szCs w:val="18"/>
              </w:rPr>
            </w:pPr>
            <w:r>
              <w:rPr>
                <w:rFonts w:hint="eastAsia" w:ascii="宋体"/>
                <w:color w:val="auto"/>
                <w:kern w:val="0"/>
                <w:sz w:val="18"/>
                <w:szCs w:val="18"/>
              </w:rPr>
              <w:t>0，1，2，3，4，5，6</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10" w:hRule="atLeast"/>
        </w:trPr>
        <w:tc>
          <w:tcPr>
            <w:tcW w:w="709" w:type="dxa"/>
            <w:vAlign w:val="center"/>
          </w:tcPr>
          <w:p>
            <w:pPr>
              <w:jc w:val="center"/>
              <w:rPr>
                <w:rFonts w:ascii="宋体"/>
                <w:color w:val="auto"/>
                <w:kern w:val="0"/>
                <w:sz w:val="18"/>
                <w:szCs w:val="18"/>
              </w:rPr>
            </w:pPr>
            <w:r>
              <w:rPr>
                <w:rFonts w:hint="eastAsia" w:ascii="宋体"/>
                <w:color w:val="auto"/>
                <w:kern w:val="0"/>
                <w:sz w:val="18"/>
                <w:szCs w:val="18"/>
              </w:rPr>
              <w:t>5</w:t>
            </w:r>
          </w:p>
        </w:tc>
        <w:tc>
          <w:tcPr>
            <w:tcW w:w="2552" w:type="dxa"/>
            <w:vAlign w:val="center"/>
          </w:tcPr>
          <w:p>
            <w:pPr>
              <w:jc w:val="center"/>
              <w:rPr>
                <w:rFonts w:ascii="宋体"/>
                <w:color w:val="auto"/>
                <w:kern w:val="0"/>
                <w:sz w:val="18"/>
                <w:szCs w:val="18"/>
              </w:rPr>
            </w:pPr>
            <w:r>
              <w:rPr>
                <w:rFonts w:hint="eastAsia" w:ascii="宋体"/>
                <w:color w:val="auto"/>
                <w:kern w:val="0"/>
                <w:sz w:val="18"/>
                <w:szCs w:val="18"/>
              </w:rPr>
              <w:t>5.2</w:t>
            </w:r>
          </w:p>
        </w:tc>
        <w:tc>
          <w:tcPr>
            <w:tcW w:w="6095" w:type="dxa"/>
            <w:vAlign w:val="center"/>
          </w:tcPr>
          <w:p>
            <w:pPr>
              <w:jc w:val="center"/>
              <w:rPr>
                <w:rFonts w:ascii="宋体"/>
                <w:color w:val="auto"/>
                <w:kern w:val="0"/>
                <w:sz w:val="18"/>
                <w:szCs w:val="18"/>
              </w:rPr>
            </w:pPr>
            <w:r>
              <w:rPr>
                <w:rFonts w:hint="eastAsia" w:ascii="宋体"/>
                <w:color w:val="auto"/>
                <w:kern w:val="0"/>
                <w:sz w:val="18"/>
                <w:szCs w:val="18"/>
              </w:rPr>
              <w:t>0，1，2，3，4，5.2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15" w:hRule="atLeast"/>
        </w:trPr>
        <w:tc>
          <w:tcPr>
            <w:tcW w:w="709" w:type="dxa"/>
            <w:vAlign w:val="center"/>
          </w:tcPr>
          <w:p>
            <w:pPr>
              <w:jc w:val="center"/>
              <w:rPr>
                <w:rFonts w:ascii="宋体"/>
                <w:color w:val="auto"/>
                <w:kern w:val="0"/>
                <w:sz w:val="18"/>
                <w:szCs w:val="18"/>
              </w:rPr>
            </w:pPr>
            <w:r>
              <w:rPr>
                <w:rFonts w:hint="eastAsia" w:ascii="宋体"/>
                <w:color w:val="auto"/>
                <w:kern w:val="0"/>
                <w:sz w:val="18"/>
                <w:szCs w:val="18"/>
              </w:rPr>
              <w:t>6</w:t>
            </w:r>
          </w:p>
        </w:tc>
        <w:tc>
          <w:tcPr>
            <w:tcW w:w="2552" w:type="dxa"/>
            <w:vAlign w:val="center"/>
          </w:tcPr>
          <w:p>
            <w:pPr>
              <w:jc w:val="center"/>
              <w:rPr>
                <w:rFonts w:ascii="宋体"/>
                <w:color w:val="auto"/>
                <w:kern w:val="0"/>
                <w:sz w:val="18"/>
                <w:szCs w:val="18"/>
              </w:rPr>
            </w:pPr>
            <w:r>
              <w:rPr>
                <w:rFonts w:hint="eastAsia" w:ascii="宋体"/>
                <w:color w:val="auto"/>
                <w:kern w:val="0"/>
                <w:sz w:val="18"/>
                <w:szCs w:val="18"/>
              </w:rPr>
              <w:t>4.2</w:t>
            </w:r>
          </w:p>
        </w:tc>
        <w:tc>
          <w:tcPr>
            <w:tcW w:w="6095" w:type="dxa"/>
            <w:vAlign w:val="center"/>
          </w:tcPr>
          <w:p>
            <w:pPr>
              <w:jc w:val="center"/>
              <w:rPr>
                <w:rFonts w:ascii="宋体"/>
                <w:color w:val="auto"/>
                <w:kern w:val="0"/>
                <w:sz w:val="18"/>
                <w:szCs w:val="18"/>
              </w:rPr>
            </w:pPr>
            <w:r>
              <w:rPr>
                <w:rFonts w:hint="eastAsia" w:ascii="宋体"/>
                <w:color w:val="auto"/>
                <w:kern w:val="0"/>
                <w:sz w:val="18"/>
                <w:szCs w:val="18"/>
              </w:rPr>
              <w:t>0，1，2，3，4.2</w:t>
            </w:r>
          </w:p>
        </w:tc>
      </w:tr>
    </w:tbl>
    <w:p>
      <w:pPr>
        <w:pStyle w:val="26"/>
        <w:numPr>
          <w:ilvl w:val="3"/>
          <w:numId w:val="0"/>
        </w:numPr>
        <w:spacing w:before="180" w:after="180"/>
        <w:rPr>
          <w:rFonts w:ascii="宋体" w:hAnsi="宋体" w:eastAsia="宋体" w:cs="宋体"/>
          <w:color w:val="auto"/>
          <w:sz w:val="24"/>
          <w:szCs w:val="24"/>
        </w:rPr>
      </w:pPr>
      <w:r>
        <w:rPr>
          <w:rFonts w:hint="eastAsia" w:ascii="宋体" w:hAnsi="宋体" w:eastAsia="宋体" w:cs="宋体"/>
          <w:color w:val="auto"/>
          <w:sz w:val="24"/>
          <w:szCs w:val="24"/>
        </w:rPr>
        <w:t>7.2.1.2校准过程</w:t>
      </w:r>
    </w:p>
    <w:p>
      <w:pPr>
        <w:pStyle w:val="20"/>
        <w:ind w:left="420" w:firstLine="0" w:firstLineChars="0"/>
        <w:rPr>
          <w:rFonts w:ascii="宋体" w:hAnsi="宋体" w:eastAsia="宋体" w:cs="宋体"/>
          <w:color w:val="auto"/>
          <w:sz w:val="24"/>
          <w:szCs w:val="24"/>
        </w:rPr>
      </w:pPr>
      <w:r>
        <w:rPr>
          <w:rFonts w:hint="eastAsia" w:ascii="宋体" w:hAnsi="宋体" w:eastAsia="宋体" w:cs="宋体"/>
          <w:color w:val="auto"/>
          <w:sz w:val="24"/>
          <w:szCs w:val="24"/>
        </w:rPr>
        <w:t>1）校准标准器与仪器连接，如图2所示；</w:t>
      </w:r>
    </w:p>
    <w:p>
      <w:pPr>
        <w:pStyle w:val="20"/>
        <w:spacing w:before="156" w:after="156"/>
        <w:ind w:left="360" w:firstLine="0" w:firstLineChars="0"/>
        <w:jc w:val="center"/>
        <w:rPr>
          <w:color w:val="auto"/>
          <w:sz w:val="18"/>
          <w:szCs w:val="18"/>
        </w:rPr>
      </w:pPr>
      <w:r>
        <w:rPr>
          <w:rFonts w:hint="eastAsia"/>
          <w:color w:val="auto"/>
        </w:rPr>
        <w:drawing>
          <wp:inline distT="0" distB="0" distL="0" distR="0">
            <wp:extent cx="3200400" cy="2292350"/>
            <wp:effectExtent l="0" t="0" r="0" b="12700"/>
            <wp:docPr id="1027" name="图片 10"/>
            <wp:cNvGraphicFramePr/>
            <a:graphic xmlns:a="http://schemas.openxmlformats.org/drawingml/2006/main">
              <a:graphicData uri="http://schemas.openxmlformats.org/drawingml/2006/picture">
                <pic:pic xmlns:pic="http://schemas.openxmlformats.org/drawingml/2006/picture">
                  <pic:nvPicPr>
                    <pic:cNvPr id="1027" name="图片 10"/>
                    <pic:cNvPicPr/>
                  </pic:nvPicPr>
                  <pic:blipFill>
                    <a:blip r:embed="rId8" cstate="print"/>
                    <a:srcRect/>
                    <a:stretch>
                      <a:fillRect/>
                    </a:stretch>
                  </pic:blipFill>
                  <pic:spPr>
                    <a:xfrm>
                      <a:off x="0" y="0"/>
                      <a:ext cx="3200400" cy="2292350"/>
                    </a:xfrm>
                    <a:prstGeom prst="rect">
                      <a:avLst/>
                    </a:prstGeom>
                    <a:ln>
                      <a:noFill/>
                    </a:ln>
                  </pic:spPr>
                </pic:pic>
              </a:graphicData>
            </a:graphic>
          </wp:inline>
        </w:drawing>
      </w:r>
    </w:p>
    <w:p>
      <w:pPr>
        <w:pStyle w:val="20"/>
        <w:spacing w:before="156" w:after="156"/>
        <w:ind w:left="720" w:firstLine="0" w:firstLineChars="0"/>
        <w:jc w:val="center"/>
        <w:rPr>
          <w:color w:val="auto"/>
          <w:sz w:val="18"/>
          <w:szCs w:val="18"/>
        </w:rPr>
      </w:pPr>
      <w:r>
        <w:rPr>
          <w:rFonts w:hint="eastAsia"/>
          <w:color w:val="auto"/>
          <w:sz w:val="18"/>
          <w:szCs w:val="18"/>
        </w:rPr>
        <w:t>1.校验仪 2.传压管线 3.重量指示仪 4.记录仪</w:t>
      </w:r>
    </w:p>
    <w:p>
      <w:pPr>
        <w:pStyle w:val="20"/>
        <w:spacing w:before="156" w:after="156"/>
        <w:ind w:left="720" w:firstLine="0" w:firstLineChars="0"/>
        <w:jc w:val="center"/>
        <w:rPr>
          <w:color w:val="auto"/>
          <w:sz w:val="18"/>
          <w:szCs w:val="18"/>
        </w:rPr>
      </w:pPr>
      <w:r>
        <w:rPr>
          <w:rFonts w:hint="eastAsia"/>
          <w:color w:val="auto"/>
          <w:sz w:val="18"/>
          <w:szCs w:val="18"/>
        </w:rPr>
        <w:t>图2</w:t>
      </w:r>
    </w:p>
    <w:p>
      <w:pPr>
        <w:pStyle w:val="20"/>
        <w:ind w:left="420" w:firstLine="0" w:firstLineChars="0"/>
        <w:rPr>
          <w:rFonts w:ascii="宋体" w:hAnsi="宋体" w:eastAsia="宋体" w:cs="宋体"/>
          <w:color w:val="auto"/>
          <w:sz w:val="24"/>
          <w:szCs w:val="24"/>
        </w:rPr>
      </w:pPr>
      <w:r>
        <w:rPr>
          <w:rFonts w:hint="eastAsia" w:ascii="宋体" w:hAnsi="宋体" w:eastAsia="宋体" w:cs="宋体"/>
          <w:color w:val="auto"/>
          <w:sz w:val="24"/>
          <w:szCs w:val="24"/>
        </w:rPr>
        <w:t>2）记录实时温度、湿度；</w:t>
      </w:r>
    </w:p>
    <w:p>
      <w:pPr>
        <w:pStyle w:val="20"/>
        <w:ind w:left="420" w:firstLine="0" w:firstLineChars="0"/>
        <w:rPr>
          <w:rFonts w:ascii="宋体" w:hAnsi="宋体" w:eastAsia="宋体" w:cs="宋体"/>
          <w:color w:val="auto"/>
          <w:sz w:val="24"/>
          <w:szCs w:val="24"/>
        </w:rPr>
      </w:pPr>
      <w:r>
        <w:rPr>
          <w:rFonts w:hint="eastAsia" w:ascii="宋体" w:hAnsi="宋体" w:eastAsia="宋体" w:cs="宋体"/>
          <w:color w:val="auto"/>
          <w:sz w:val="24"/>
          <w:szCs w:val="24"/>
        </w:rPr>
        <w:t>3）通过加压、卸压方式排除液路中空气，并使校验仪上标准表和重量指示仪指针回零；</w:t>
      </w:r>
    </w:p>
    <w:p>
      <w:pPr>
        <w:pStyle w:val="20"/>
        <w:ind w:left="420" w:firstLine="0" w:firstLineChars="0"/>
        <w:rPr>
          <w:rFonts w:ascii="宋体" w:hAnsi="宋体" w:eastAsia="宋体" w:cs="宋体"/>
          <w:color w:val="auto"/>
          <w:sz w:val="24"/>
          <w:szCs w:val="24"/>
        </w:rPr>
      </w:pPr>
      <w:r>
        <w:rPr>
          <w:rFonts w:hint="eastAsia" w:ascii="宋体" w:hAnsi="宋体" w:eastAsia="宋体" w:cs="宋体"/>
          <w:color w:val="auto"/>
          <w:sz w:val="24"/>
          <w:szCs w:val="24"/>
        </w:rPr>
        <w:t>4）加压至额定压力，进行密封试验，稳压5min，无泄漏后卸压回零；</w:t>
      </w:r>
    </w:p>
    <w:p>
      <w:pPr>
        <w:pStyle w:val="20"/>
        <w:ind w:left="420" w:firstLine="0" w:firstLineChars="0"/>
        <w:rPr>
          <w:rFonts w:ascii="宋体" w:hAnsi="宋体" w:eastAsia="宋体" w:cs="宋体"/>
          <w:color w:val="auto"/>
          <w:sz w:val="24"/>
          <w:szCs w:val="24"/>
        </w:rPr>
      </w:pPr>
      <w:r>
        <w:rPr>
          <w:rFonts w:hint="eastAsia" w:ascii="宋体" w:hAnsi="宋体" w:eastAsia="宋体" w:cs="宋体"/>
          <w:color w:val="auto"/>
          <w:sz w:val="24"/>
          <w:szCs w:val="24"/>
        </w:rPr>
        <w:t>5）按选定的校准点校准，试验时应由零点均匀缓慢地增压，直至测量上限（正行程），然后再均匀缓慢地减压到零点（反行程），其中每个校准点需轻敲后保持1min，分别记录重量指示仪和记录仪各点的示值，重复三次。</w:t>
      </w:r>
    </w:p>
    <w:p>
      <w:pPr>
        <w:pStyle w:val="26"/>
        <w:numPr>
          <w:ilvl w:val="3"/>
          <w:numId w:val="0"/>
        </w:numPr>
        <w:spacing w:before="180" w:after="180"/>
        <w:rPr>
          <w:rFonts w:ascii="宋体" w:hAnsi="宋体" w:eastAsia="宋体" w:cs="宋体"/>
          <w:color w:val="auto"/>
          <w:sz w:val="24"/>
          <w:szCs w:val="24"/>
        </w:rPr>
      </w:pPr>
      <w:r>
        <w:rPr>
          <w:rFonts w:hint="eastAsia" w:ascii="宋体" w:hAnsi="宋体" w:eastAsia="宋体" w:cs="宋体"/>
          <w:color w:val="auto"/>
          <w:sz w:val="24"/>
          <w:szCs w:val="24"/>
        </w:rPr>
        <w:t>7.2.1.3压力与对应标准拉力计算</w:t>
      </w:r>
    </w:p>
    <w:p>
      <w:pPr>
        <w:ind w:firstLine="480" w:firstLineChars="200"/>
        <w:rPr>
          <w:rFonts w:ascii="宋体" w:hAnsi="宋体" w:cs="宋体"/>
          <w:color w:val="auto"/>
          <w:sz w:val="24"/>
        </w:rPr>
      </w:pPr>
      <w:r>
        <w:rPr>
          <w:rFonts w:hint="eastAsia" w:ascii="宋体" w:hAnsi="宋体" w:cs="宋体"/>
          <w:color w:val="auto"/>
          <w:sz w:val="24"/>
        </w:rPr>
        <w:t>各校准点的压力所对应的理论力值按公式（1）计算：</w:t>
      </w:r>
    </w:p>
    <w:p>
      <w:pPr>
        <w:pStyle w:val="20"/>
        <w:spacing w:before="156" w:after="156"/>
        <w:ind w:left="720" w:firstLine="0" w:firstLineChars="0"/>
        <w:jc w:val="center"/>
        <w:rPr>
          <w:rFonts w:ascii="宋体" w:hAnsi="宋体" w:eastAsia="宋体" w:cs="宋体"/>
          <w:color w:val="auto"/>
          <w:sz w:val="24"/>
          <w:szCs w:val="24"/>
        </w:rPr>
      </w:pPr>
      <m:oMath>
        <m:sSub>
          <m:sSubPr>
            <m:ctrlPr>
              <w:rPr>
                <w:rFonts w:hint="eastAsia" w:ascii="Cambria Math" w:hAnsi="Cambria Math" w:eastAsia="宋体" w:cs="宋体"/>
                <w:color w:val="auto"/>
                <w:sz w:val="24"/>
                <w:szCs w:val="24"/>
              </w:rPr>
            </m:ctrlPr>
          </m:sSubPr>
          <m:e>
            <m:r>
              <m:rPr/>
              <w:rPr>
                <w:rFonts w:hint="eastAsia" w:ascii="Cambria Math" w:hAnsi="Cambria Math" w:eastAsia="宋体" w:cs="宋体"/>
                <w:color w:val="auto"/>
                <w:sz w:val="24"/>
                <w:szCs w:val="24"/>
              </w:rPr>
              <m:t>F</m:t>
            </m:r>
            <m:ctrlPr>
              <w:rPr>
                <w:rFonts w:hint="eastAsia" w:ascii="Cambria Math" w:hAnsi="Cambria Math" w:eastAsia="宋体" w:cs="宋体"/>
                <w:color w:val="auto"/>
                <w:sz w:val="24"/>
                <w:szCs w:val="24"/>
              </w:rPr>
            </m:ctrlPr>
          </m:e>
          <m:sub>
            <m:r>
              <m:rPr/>
              <w:rPr>
                <w:rFonts w:hint="eastAsia" w:ascii="Cambria Math" w:hAnsi="Cambria Math" w:eastAsia="宋体" w:cs="宋体"/>
                <w:color w:val="auto"/>
                <w:sz w:val="24"/>
                <w:szCs w:val="24"/>
              </w:rPr>
              <m:t>i</m:t>
            </m:r>
            <m:ctrlPr>
              <w:rPr>
                <w:rFonts w:hint="eastAsia" w:ascii="Cambria Math" w:hAnsi="Cambria Math" w:eastAsia="宋体" w:cs="宋体"/>
                <w:color w:val="auto"/>
                <w:sz w:val="24"/>
                <w:szCs w:val="24"/>
              </w:rPr>
            </m:ctrlPr>
          </m:sub>
        </m:sSub>
        <m:r>
          <m:rPr/>
          <w:rPr>
            <w:rFonts w:hint="eastAsia" w:ascii="Cambria Math" w:hAnsi="Cambria Math" w:eastAsia="宋体" w:cs="宋体"/>
            <w:color w:val="auto"/>
            <w:sz w:val="24"/>
            <w:szCs w:val="24"/>
          </w:rPr>
          <m:t>=</m:t>
        </m:r>
        <m:f>
          <m:fPr>
            <m:ctrlPr>
              <w:rPr>
                <w:rFonts w:hint="eastAsia" w:ascii="Cambria Math" w:hAnsi="Cambria Math" w:eastAsia="宋体" w:cs="宋体"/>
                <w:i/>
                <w:color w:val="auto"/>
                <w:sz w:val="24"/>
                <w:szCs w:val="24"/>
              </w:rPr>
            </m:ctrlPr>
          </m:fPr>
          <m:num>
            <m:sSub>
              <m:sSubPr>
                <m:ctrlPr>
                  <w:rPr>
                    <w:rFonts w:hint="eastAsia" w:ascii="Cambria Math" w:hAnsi="Cambria Math" w:eastAsia="宋体" w:cs="宋体"/>
                    <w:i/>
                    <w:color w:val="auto"/>
                    <w:sz w:val="24"/>
                    <w:szCs w:val="24"/>
                  </w:rPr>
                </m:ctrlPr>
              </m:sSubPr>
              <m:e>
                <m:r>
                  <m:rPr/>
                  <w:rPr>
                    <w:rFonts w:hint="eastAsia" w:ascii="Cambria Math" w:hAnsi="Cambria Math" w:eastAsia="宋体" w:cs="宋体"/>
                    <w:color w:val="auto"/>
                    <w:sz w:val="24"/>
                    <w:szCs w:val="24"/>
                  </w:rPr>
                  <m:t>P</m:t>
                </m:r>
                <m:ctrlPr>
                  <w:rPr>
                    <w:rFonts w:hint="eastAsia" w:ascii="Cambria Math" w:hAnsi="Cambria Math" w:eastAsia="宋体" w:cs="宋体"/>
                    <w:i/>
                    <w:color w:val="auto"/>
                    <w:sz w:val="24"/>
                    <w:szCs w:val="24"/>
                  </w:rPr>
                </m:ctrlPr>
              </m:e>
              <m:sub>
                <m:r>
                  <m:rPr/>
                  <w:rPr>
                    <w:rFonts w:hint="eastAsia" w:ascii="Cambria Math" w:hAnsi="Cambria Math" w:eastAsia="宋体" w:cs="宋体"/>
                    <w:color w:val="auto"/>
                    <w:sz w:val="24"/>
                    <w:szCs w:val="24"/>
                  </w:rPr>
                  <m:t>i</m:t>
                </m:r>
                <m:ctrlPr>
                  <w:rPr>
                    <w:rFonts w:hint="eastAsia" w:ascii="Cambria Math" w:hAnsi="Cambria Math" w:eastAsia="宋体" w:cs="宋体"/>
                    <w:i/>
                    <w:color w:val="auto"/>
                    <w:sz w:val="24"/>
                    <w:szCs w:val="24"/>
                  </w:rPr>
                </m:ctrlPr>
              </m:sub>
            </m:sSub>
            <m:sSub>
              <m:sSubPr>
                <m:ctrlPr>
                  <w:rPr>
                    <w:rFonts w:hint="eastAsia" w:ascii="Cambria Math" w:hAnsi="Cambria Math" w:eastAsia="宋体" w:cs="宋体"/>
                    <w:i/>
                    <w:color w:val="auto"/>
                    <w:sz w:val="24"/>
                    <w:szCs w:val="24"/>
                  </w:rPr>
                </m:ctrlPr>
              </m:sSubPr>
              <m:e>
                <m:r>
                  <m:rPr/>
                  <w:rPr>
                    <w:rFonts w:hint="eastAsia" w:ascii="Cambria Math" w:hAnsi="Cambria Math" w:eastAsia="宋体" w:cs="宋体"/>
                    <w:color w:val="auto"/>
                    <w:sz w:val="24"/>
                    <w:szCs w:val="24"/>
                  </w:rPr>
                  <m:t>×F</m:t>
                </m:r>
                <m:ctrlPr>
                  <w:rPr>
                    <w:rFonts w:hint="eastAsia" w:ascii="Cambria Math" w:hAnsi="Cambria Math" w:eastAsia="宋体" w:cs="宋体"/>
                    <w:i/>
                    <w:color w:val="auto"/>
                    <w:sz w:val="24"/>
                    <w:szCs w:val="24"/>
                  </w:rPr>
                </m:ctrlPr>
              </m:e>
              <m:sub>
                <m:r>
                  <m:rPr>
                    <m:sty m:val="p"/>
                  </m:rPr>
                  <w:rPr>
                    <w:rFonts w:hint="eastAsia" w:ascii="Cambria Math" w:hAnsi="Cambria Math" w:eastAsia="宋体" w:cs="宋体"/>
                    <w:color w:val="auto"/>
                    <w:sz w:val="24"/>
                    <w:szCs w:val="24"/>
                  </w:rPr>
                  <m:t>max</m:t>
                </m:r>
                <m:ctrlPr>
                  <w:rPr>
                    <w:rFonts w:hint="eastAsia" w:ascii="Cambria Math" w:hAnsi="Cambria Math" w:eastAsia="宋体" w:cs="宋体"/>
                    <w:i/>
                    <w:color w:val="auto"/>
                    <w:sz w:val="24"/>
                    <w:szCs w:val="24"/>
                  </w:rPr>
                </m:ctrlPr>
              </m:sub>
            </m:sSub>
            <m:ctrlPr>
              <w:rPr>
                <w:rFonts w:hint="eastAsia" w:ascii="Cambria Math" w:hAnsi="Cambria Math" w:eastAsia="宋体" w:cs="宋体"/>
                <w:i/>
                <w:color w:val="auto"/>
                <w:sz w:val="24"/>
                <w:szCs w:val="24"/>
              </w:rPr>
            </m:ctrlPr>
          </m:num>
          <m:den>
            <m:r>
              <m:rPr/>
              <w:rPr>
                <w:rFonts w:hint="eastAsia" w:ascii="Cambria Math" w:hAnsi="Cambria Math" w:eastAsia="宋体" w:cs="宋体"/>
                <w:color w:val="auto"/>
                <w:sz w:val="24"/>
                <w:szCs w:val="24"/>
              </w:rPr>
              <m:t>P</m:t>
            </m:r>
            <m:ctrlPr>
              <w:rPr>
                <w:rFonts w:hint="eastAsia" w:ascii="Cambria Math" w:hAnsi="Cambria Math" w:eastAsia="宋体" w:cs="宋体"/>
                <w:i/>
                <w:color w:val="auto"/>
                <w:sz w:val="24"/>
                <w:szCs w:val="24"/>
              </w:rPr>
            </m:ctrlPr>
          </m:den>
        </m:f>
      </m:oMath>
      <w:r>
        <w:rPr>
          <w:rFonts w:hint="eastAsia" w:ascii="宋体" w:hAnsi="宋体" w:eastAsia="宋体" w:cs="宋体"/>
          <w:color w:val="auto"/>
          <w:sz w:val="24"/>
          <w:szCs w:val="24"/>
        </w:rPr>
        <w:t xml:space="preserve">  ···························（1）</w:t>
      </w:r>
    </w:p>
    <w:p>
      <w:pPr>
        <w:ind w:firstLine="480" w:firstLineChars="200"/>
        <w:jc w:val="left"/>
        <w:rPr>
          <w:rFonts w:ascii="宋体" w:hAnsi="宋体" w:cs="宋体"/>
          <w:color w:val="auto"/>
          <w:sz w:val="24"/>
        </w:rPr>
      </w:pPr>
      <w:r>
        <w:rPr>
          <w:rFonts w:hint="eastAsia" w:ascii="宋体" w:hAnsi="宋体" w:cs="宋体"/>
          <w:color w:val="auto"/>
          <w:sz w:val="24"/>
        </w:rPr>
        <w:t>F</w:t>
      </w:r>
      <w:r>
        <w:rPr>
          <w:rFonts w:hint="eastAsia" w:ascii="宋体" w:hAnsi="宋体" w:cs="宋体"/>
          <w:color w:val="auto"/>
          <w:sz w:val="24"/>
          <w:vertAlign w:val="subscript"/>
        </w:rPr>
        <w:t>i</w:t>
      </w:r>
      <w:r>
        <w:rPr>
          <w:rFonts w:hint="eastAsia" w:ascii="宋体" w:hAnsi="宋体" w:cs="宋体"/>
          <w:color w:val="auto"/>
          <w:sz w:val="24"/>
        </w:rPr>
        <w:t>—第i校准点拉力；</w:t>
      </w:r>
    </w:p>
    <w:p>
      <w:pPr>
        <w:ind w:firstLine="480" w:firstLineChars="200"/>
        <w:jc w:val="left"/>
        <w:rPr>
          <w:rFonts w:ascii="宋体" w:hAnsi="宋体" w:cs="宋体"/>
          <w:color w:val="auto"/>
          <w:sz w:val="24"/>
        </w:rPr>
      </w:pPr>
      <w:r>
        <w:rPr>
          <w:rFonts w:hint="eastAsia" w:ascii="宋体" w:hAnsi="宋体" w:cs="宋体"/>
          <w:color w:val="auto"/>
          <w:sz w:val="24"/>
        </w:rPr>
        <w:t>P</w:t>
      </w:r>
      <w:r>
        <w:rPr>
          <w:rFonts w:hint="eastAsia" w:ascii="宋体" w:hAnsi="宋体" w:cs="宋体"/>
          <w:color w:val="auto"/>
          <w:sz w:val="24"/>
          <w:vertAlign w:val="subscript"/>
        </w:rPr>
        <w:t>i</w:t>
      </w:r>
      <w:r>
        <w:rPr>
          <w:rFonts w:hint="eastAsia" w:ascii="宋体" w:hAnsi="宋体" w:cs="宋体"/>
          <w:color w:val="auto"/>
          <w:sz w:val="24"/>
        </w:rPr>
        <w:t>—第i校准点标准压力；</w:t>
      </w:r>
    </w:p>
    <w:p>
      <w:pPr>
        <w:ind w:firstLine="480" w:firstLineChars="200"/>
        <w:jc w:val="left"/>
        <w:rPr>
          <w:rFonts w:ascii="宋体" w:hAnsi="宋体" w:cs="宋体"/>
          <w:color w:val="auto"/>
          <w:sz w:val="24"/>
        </w:rPr>
      </w:pPr>
      <w:r>
        <w:rPr>
          <w:rFonts w:hint="eastAsia" w:ascii="宋体" w:hAnsi="宋体" w:cs="宋体"/>
          <w:color w:val="auto"/>
          <w:sz w:val="24"/>
        </w:rPr>
        <w:t>F</w:t>
      </w:r>
      <w:r>
        <w:rPr>
          <w:rFonts w:hint="eastAsia" w:ascii="宋体" w:hAnsi="宋体" w:cs="宋体"/>
          <w:color w:val="auto"/>
          <w:sz w:val="24"/>
          <w:vertAlign w:val="subscript"/>
        </w:rPr>
        <w:t>max</w:t>
      </w:r>
      <w:r>
        <w:rPr>
          <w:rFonts w:hint="eastAsia" w:ascii="宋体" w:hAnsi="宋体" w:cs="宋体"/>
          <w:color w:val="auto"/>
          <w:sz w:val="24"/>
        </w:rPr>
        <w:t>—指重表的最大载荷；</w:t>
      </w:r>
    </w:p>
    <w:p>
      <w:pPr>
        <w:ind w:firstLine="480" w:firstLineChars="200"/>
        <w:jc w:val="left"/>
        <w:rPr>
          <w:rFonts w:ascii="宋体" w:hAnsi="宋体" w:cs="宋体"/>
          <w:color w:val="auto"/>
          <w:sz w:val="24"/>
        </w:rPr>
      </w:pPr>
      <w:r>
        <w:rPr>
          <w:rFonts w:hint="eastAsia" w:ascii="宋体" w:hAnsi="宋体" w:cs="宋体"/>
          <w:color w:val="auto"/>
          <w:sz w:val="24"/>
        </w:rPr>
        <w:t>P—传感器额定压力。</w:t>
      </w:r>
    </w:p>
    <w:p>
      <w:pPr>
        <w:pStyle w:val="26"/>
        <w:numPr>
          <w:ilvl w:val="3"/>
          <w:numId w:val="0"/>
        </w:numPr>
        <w:spacing w:before="180" w:after="180"/>
        <w:rPr>
          <w:rFonts w:ascii="宋体" w:hAnsi="宋体" w:eastAsia="宋体" w:cs="宋体"/>
          <w:color w:val="auto"/>
          <w:sz w:val="24"/>
          <w:szCs w:val="24"/>
        </w:rPr>
      </w:pPr>
      <w:r>
        <w:rPr>
          <w:rFonts w:hint="eastAsia" w:ascii="宋体" w:hAnsi="宋体" w:eastAsia="宋体" w:cs="宋体"/>
          <w:color w:val="auto"/>
          <w:sz w:val="24"/>
          <w:szCs w:val="24"/>
        </w:rPr>
        <w:t>7.2.1.4重量指示仪示值基本误差</w:t>
      </w:r>
    </w:p>
    <w:p>
      <w:pPr>
        <w:pStyle w:val="20"/>
        <w:spacing w:before="156" w:after="156"/>
        <w:ind w:left="720" w:firstLine="0" w:firstLineChars="0"/>
        <w:rPr>
          <w:rFonts w:ascii="宋体" w:hAnsi="宋体" w:eastAsia="宋体" w:cs="宋体"/>
          <w:color w:val="auto"/>
          <w:sz w:val="24"/>
          <w:szCs w:val="24"/>
        </w:rPr>
      </w:pPr>
      <w:r>
        <w:rPr>
          <w:rFonts w:hint="eastAsia" w:ascii="宋体" w:hAnsi="宋体" w:eastAsia="宋体" w:cs="宋体"/>
          <w:color w:val="auto"/>
          <w:sz w:val="24"/>
          <w:szCs w:val="24"/>
        </w:rPr>
        <w:t>重量指示仪示值基本误差按公式（2）计算：</w:t>
      </w:r>
    </w:p>
    <w:p>
      <w:pPr>
        <w:pStyle w:val="20"/>
        <w:spacing w:before="156" w:after="156"/>
        <w:ind w:left="720" w:firstLine="0" w:firstLineChars="0"/>
        <w:jc w:val="center"/>
        <w:rPr>
          <w:rFonts w:ascii="宋体" w:hAnsi="宋体" w:eastAsia="宋体" w:cs="宋体"/>
          <w:color w:val="auto"/>
          <w:sz w:val="24"/>
          <w:szCs w:val="24"/>
        </w:rPr>
      </w:pPr>
      <m:oMath>
        <m:r>
          <m:rPr/>
          <w:rPr>
            <w:rFonts w:hint="eastAsia" w:ascii="Cambria Math" w:hAnsi="Cambria Math" w:eastAsia="宋体" w:cs="宋体"/>
            <w:color w:val="auto"/>
            <w:sz w:val="24"/>
            <w:szCs w:val="24"/>
          </w:rPr>
          <m:t>∆</m:t>
        </m:r>
        <m:sSub>
          <m:sSubPr>
            <m:ctrlPr>
              <w:rPr>
                <w:rFonts w:hint="eastAsia" w:ascii="Cambria Math" w:hAnsi="Cambria Math" w:eastAsia="宋体" w:cs="宋体"/>
                <w:i/>
                <w:color w:val="auto"/>
                <w:sz w:val="24"/>
                <w:szCs w:val="24"/>
              </w:rPr>
            </m:ctrlPr>
          </m:sSubPr>
          <m:e>
            <m:r>
              <m:rPr/>
              <w:rPr>
                <w:rFonts w:hint="eastAsia" w:ascii="Cambria Math" w:hAnsi="Cambria Math" w:eastAsia="宋体" w:cs="宋体"/>
                <w:color w:val="auto"/>
                <w:sz w:val="24"/>
                <w:szCs w:val="24"/>
              </w:rPr>
              <m:t>F</m:t>
            </m:r>
            <m:ctrlPr>
              <w:rPr>
                <w:rFonts w:hint="eastAsia" w:ascii="Cambria Math" w:hAnsi="Cambria Math" w:eastAsia="宋体" w:cs="宋体"/>
                <w:i/>
                <w:color w:val="auto"/>
                <w:sz w:val="24"/>
                <w:szCs w:val="24"/>
              </w:rPr>
            </m:ctrlPr>
          </m:e>
          <m:sub>
            <m:r>
              <m:rPr/>
              <w:rPr>
                <w:rFonts w:hint="eastAsia" w:ascii="Cambria Math" w:hAnsi="Cambria Math" w:eastAsia="宋体" w:cs="宋体"/>
                <w:color w:val="auto"/>
                <w:sz w:val="24"/>
                <w:szCs w:val="24"/>
              </w:rPr>
              <m:t>i</m:t>
            </m:r>
            <m:ctrlPr>
              <w:rPr>
                <w:rFonts w:hint="eastAsia" w:ascii="Cambria Math" w:hAnsi="Cambria Math" w:eastAsia="宋体" w:cs="宋体"/>
                <w:i/>
                <w:color w:val="auto"/>
                <w:sz w:val="24"/>
                <w:szCs w:val="24"/>
              </w:rPr>
            </m:ctrlPr>
          </m:sub>
        </m:sSub>
        <m:r>
          <m:rPr/>
          <w:rPr>
            <w:rFonts w:hint="eastAsia" w:ascii="Cambria Math" w:hAnsi="Cambria Math" w:eastAsia="宋体" w:cs="宋体"/>
            <w:color w:val="auto"/>
            <w:sz w:val="24"/>
            <w:szCs w:val="24"/>
          </w:rPr>
          <m:t>=</m:t>
        </m:r>
        <m:f>
          <m:fPr>
            <m:ctrlPr>
              <w:rPr>
                <w:rFonts w:hint="eastAsia" w:ascii="Cambria Math" w:hAnsi="Cambria Math" w:eastAsia="宋体" w:cs="宋体"/>
                <w:i/>
                <w:color w:val="auto"/>
                <w:sz w:val="24"/>
                <w:szCs w:val="24"/>
              </w:rPr>
            </m:ctrlPr>
          </m:fPr>
          <m:num>
            <m:acc>
              <m:accPr>
                <m:chr m:val="̅"/>
                <m:ctrlPr>
                  <w:rPr>
                    <w:rFonts w:hint="eastAsia" w:ascii="Cambria Math" w:hAnsi="Cambria Math" w:eastAsia="宋体" w:cs="宋体"/>
                    <w:i/>
                    <w:color w:val="auto"/>
                    <w:sz w:val="24"/>
                    <w:szCs w:val="24"/>
                  </w:rPr>
                </m:ctrlPr>
              </m:accPr>
              <m:e>
                <m:sSubSup>
                  <m:sSubSupPr>
                    <m:ctrlPr>
                      <w:rPr>
                        <w:rFonts w:hint="eastAsia" w:ascii="Cambria Math" w:hAnsi="Cambria Math" w:eastAsia="宋体" w:cs="宋体"/>
                        <w:i/>
                        <w:color w:val="auto"/>
                        <w:sz w:val="24"/>
                        <w:szCs w:val="24"/>
                      </w:rPr>
                    </m:ctrlPr>
                  </m:sSubSupPr>
                  <m:e>
                    <m:r>
                      <m:rPr/>
                      <w:rPr>
                        <w:rFonts w:hint="eastAsia" w:ascii="Cambria Math" w:hAnsi="Cambria Math" w:eastAsia="宋体" w:cs="宋体"/>
                        <w:color w:val="auto"/>
                        <w:sz w:val="24"/>
                        <w:szCs w:val="24"/>
                      </w:rPr>
                      <m:t>F</m:t>
                    </m:r>
                    <m:ctrlPr>
                      <w:rPr>
                        <w:rFonts w:hint="eastAsia" w:ascii="Cambria Math" w:hAnsi="Cambria Math" w:eastAsia="宋体" w:cs="宋体"/>
                        <w:i/>
                        <w:color w:val="auto"/>
                        <w:sz w:val="24"/>
                        <w:szCs w:val="24"/>
                      </w:rPr>
                    </m:ctrlPr>
                  </m:e>
                  <m:sub>
                    <m:r>
                      <m:rPr/>
                      <w:rPr>
                        <w:rFonts w:hint="eastAsia" w:ascii="Cambria Math" w:hAnsi="Cambria Math" w:eastAsia="宋体" w:cs="宋体"/>
                        <w:color w:val="auto"/>
                        <w:sz w:val="24"/>
                        <w:szCs w:val="24"/>
                      </w:rPr>
                      <m:t>i</m:t>
                    </m:r>
                    <m:ctrlPr>
                      <w:rPr>
                        <w:rFonts w:hint="eastAsia" w:ascii="Cambria Math" w:hAnsi="Cambria Math" w:eastAsia="宋体" w:cs="宋体"/>
                        <w:i/>
                        <w:color w:val="auto"/>
                        <w:sz w:val="24"/>
                        <w:szCs w:val="24"/>
                      </w:rPr>
                    </m:ctrlPr>
                  </m:sub>
                  <m:sup>
                    <m:r>
                      <m:rPr>
                        <m:sty m:val="p"/>
                      </m:rPr>
                      <w:rPr>
                        <w:rFonts w:hint="eastAsia" w:ascii="Cambria Math" w:hAnsi="Cambria Math" w:eastAsia="宋体" w:cs="宋体"/>
                        <w:color w:val="auto"/>
                        <w:sz w:val="24"/>
                        <w:szCs w:val="24"/>
                      </w:rPr>
                      <m:t>'</m:t>
                    </m:r>
                    <m:ctrlPr>
                      <w:rPr>
                        <w:rFonts w:hint="eastAsia" w:ascii="Cambria Math" w:hAnsi="Cambria Math" w:eastAsia="宋体" w:cs="宋体"/>
                        <w:i/>
                        <w:color w:val="auto"/>
                        <w:sz w:val="24"/>
                        <w:szCs w:val="24"/>
                      </w:rPr>
                    </m:ctrlPr>
                  </m:sup>
                </m:sSubSup>
                <m:ctrlPr>
                  <w:rPr>
                    <w:rFonts w:hint="eastAsia" w:ascii="Cambria Math" w:hAnsi="Cambria Math" w:eastAsia="宋体" w:cs="宋体"/>
                    <w:i/>
                    <w:color w:val="auto"/>
                    <w:sz w:val="24"/>
                    <w:szCs w:val="24"/>
                  </w:rPr>
                </m:ctrlPr>
              </m:e>
            </m:acc>
            <m:r>
              <m:rPr/>
              <w:rPr>
                <w:rFonts w:hint="eastAsia" w:ascii="Cambria Math" w:hAnsi="Cambria Math" w:eastAsia="宋体" w:cs="宋体"/>
                <w:color w:val="auto"/>
                <w:sz w:val="24"/>
                <w:szCs w:val="24"/>
              </w:rPr>
              <m:t xml:space="preserve"> −</m:t>
            </m:r>
            <m:sSub>
              <m:sSubPr>
                <m:ctrlPr>
                  <w:rPr>
                    <w:rFonts w:hint="eastAsia" w:ascii="Cambria Math" w:hAnsi="Cambria Math" w:eastAsia="宋体" w:cs="宋体"/>
                    <w:color w:val="auto"/>
                    <w:sz w:val="24"/>
                    <w:szCs w:val="24"/>
                  </w:rPr>
                </m:ctrlPr>
              </m:sSubPr>
              <m:e>
                <m:r>
                  <m:rPr/>
                  <w:rPr>
                    <w:rFonts w:hint="eastAsia" w:ascii="Cambria Math" w:hAnsi="Cambria Math" w:eastAsia="宋体" w:cs="宋体"/>
                    <w:color w:val="auto"/>
                    <w:sz w:val="24"/>
                    <w:szCs w:val="24"/>
                  </w:rPr>
                  <m:t>F</m:t>
                </m:r>
                <m:ctrlPr>
                  <w:rPr>
                    <w:rFonts w:hint="eastAsia" w:ascii="Cambria Math" w:hAnsi="Cambria Math" w:eastAsia="宋体" w:cs="宋体"/>
                    <w:color w:val="auto"/>
                    <w:sz w:val="24"/>
                    <w:szCs w:val="24"/>
                  </w:rPr>
                </m:ctrlPr>
              </m:e>
              <m:sub>
                <m:r>
                  <m:rPr/>
                  <w:rPr>
                    <w:rFonts w:hint="eastAsia" w:ascii="Cambria Math" w:hAnsi="Cambria Math" w:eastAsia="宋体" w:cs="宋体"/>
                    <w:color w:val="auto"/>
                    <w:sz w:val="24"/>
                    <w:szCs w:val="24"/>
                  </w:rPr>
                  <m:t>i</m:t>
                </m:r>
                <m:ctrlPr>
                  <w:rPr>
                    <w:rFonts w:hint="eastAsia" w:ascii="Cambria Math" w:hAnsi="Cambria Math" w:eastAsia="宋体" w:cs="宋体"/>
                    <w:color w:val="auto"/>
                    <w:sz w:val="24"/>
                    <w:szCs w:val="24"/>
                  </w:rPr>
                </m:ctrlPr>
              </m:sub>
            </m:sSub>
            <m:ctrlPr>
              <w:rPr>
                <w:rFonts w:hint="eastAsia" w:ascii="Cambria Math" w:hAnsi="Cambria Math" w:eastAsia="宋体" w:cs="宋体"/>
                <w:i/>
                <w:color w:val="auto"/>
                <w:sz w:val="24"/>
                <w:szCs w:val="24"/>
              </w:rPr>
            </m:ctrlPr>
          </m:num>
          <m:den>
            <m:sSub>
              <m:sSubPr>
                <m:ctrlPr>
                  <w:rPr>
                    <w:rFonts w:hint="eastAsia" w:ascii="Cambria Math" w:hAnsi="Cambria Math" w:eastAsia="宋体" w:cs="宋体"/>
                    <w:i/>
                    <w:color w:val="auto"/>
                    <w:sz w:val="24"/>
                    <w:szCs w:val="24"/>
                  </w:rPr>
                </m:ctrlPr>
              </m:sSubPr>
              <m:e>
                <m:r>
                  <m:rPr/>
                  <w:rPr>
                    <w:rFonts w:hint="eastAsia" w:ascii="Cambria Math" w:hAnsi="Cambria Math" w:eastAsia="宋体" w:cs="宋体"/>
                    <w:color w:val="auto"/>
                    <w:sz w:val="24"/>
                    <w:szCs w:val="24"/>
                  </w:rPr>
                  <m:t>F</m:t>
                </m:r>
                <m:ctrlPr>
                  <w:rPr>
                    <w:rFonts w:hint="eastAsia" w:ascii="Cambria Math" w:hAnsi="Cambria Math" w:eastAsia="宋体" w:cs="宋体"/>
                    <w:i/>
                    <w:color w:val="auto"/>
                    <w:sz w:val="24"/>
                    <w:szCs w:val="24"/>
                  </w:rPr>
                </m:ctrlPr>
              </m:e>
              <m:sub>
                <m:r>
                  <m:rPr/>
                  <w:rPr>
                    <w:rFonts w:hint="eastAsia" w:ascii="Cambria Math" w:hAnsi="Cambria Math" w:eastAsia="宋体" w:cs="宋体"/>
                    <w:color w:val="auto"/>
                    <w:sz w:val="24"/>
                    <w:szCs w:val="24"/>
                  </w:rPr>
                  <m:t>i</m:t>
                </m:r>
                <m:ctrlPr>
                  <w:rPr>
                    <w:rFonts w:hint="eastAsia" w:ascii="Cambria Math" w:hAnsi="Cambria Math" w:eastAsia="宋体" w:cs="宋体"/>
                    <w:i/>
                    <w:color w:val="auto"/>
                    <w:sz w:val="24"/>
                    <w:szCs w:val="24"/>
                  </w:rPr>
                </m:ctrlPr>
              </m:sub>
            </m:sSub>
            <m:ctrlPr>
              <w:rPr>
                <w:rFonts w:hint="eastAsia" w:ascii="Cambria Math" w:hAnsi="Cambria Math" w:eastAsia="宋体" w:cs="宋体"/>
                <w:i/>
                <w:color w:val="auto"/>
                <w:sz w:val="24"/>
                <w:szCs w:val="24"/>
              </w:rPr>
            </m:ctrlPr>
          </m:den>
        </m:f>
        <m:r>
          <m:rPr/>
          <w:rPr>
            <w:rFonts w:hint="eastAsia" w:ascii="Cambria Math" w:hAnsi="Cambria Math" w:eastAsia="宋体" w:cs="宋体"/>
            <w:color w:val="auto"/>
            <w:sz w:val="24"/>
            <w:szCs w:val="24"/>
          </w:rPr>
          <m:t>×100%</m:t>
        </m:r>
      </m:oMath>
      <w:r>
        <w:rPr>
          <w:rFonts w:hint="eastAsia" w:ascii="宋体" w:hAnsi="宋体" w:eastAsia="宋体" w:cs="宋体"/>
          <w:color w:val="auto"/>
          <w:sz w:val="24"/>
          <w:szCs w:val="24"/>
        </w:rPr>
        <w:t xml:space="preserve"> ························（2）</w:t>
      </w:r>
    </w:p>
    <w:p>
      <w:pPr>
        <w:jc w:val="left"/>
        <w:rPr>
          <w:rFonts w:ascii="宋体" w:hAnsi="宋体" w:cs="宋体"/>
          <w:color w:val="auto"/>
          <w:sz w:val="24"/>
        </w:rPr>
      </w:pPr>
      <m:oMath>
        <m:r>
          <m:rPr>
            <m:sty m:val="p"/>
          </m:rPr>
          <w:rPr>
            <w:rFonts w:hint="eastAsia" w:ascii="Cambria Math" w:hAnsi="Cambria Math" w:cs="宋体"/>
            <w:color w:val="auto"/>
            <w:sz w:val="24"/>
          </w:rPr>
          <m:t xml:space="preserve">        ∆</m:t>
        </m:r>
        <m:sSub>
          <m:sSubPr>
            <m:ctrlPr>
              <w:rPr>
                <w:rFonts w:hint="eastAsia" w:ascii="Cambria Math" w:hAnsi="Cambria Math" w:cs="宋体"/>
                <w:color w:val="auto"/>
                <w:sz w:val="24"/>
              </w:rPr>
            </m:ctrlPr>
          </m:sSubPr>
          <m:e>
            <m:r>
              <m:rPr>
                <m:sty m:val="p"/>
              </m:rPr>
              <w:rPr>
                <w:rFonts w:hint="eastAsia" w:ascii="Cambria Math" w:hAnsi="Cambria Math" w:cs="宋体"/>
                <w:color w:val="auto"/>
                <w:sz w:val="24"/>
              </w:rPr>
              <m:t>F</m:t>
            </m:r>
            <m:ctrlPr>
              <w:rPr>
                <w:rFonts w:hint="eastAsia" w:ascii="Cambria Math" w:hAnsi="Cambria Math" w:cs="宋体"/>
                <w:color w:val="auto"/>
                <w:sz w:val="24"/>
              </w:rPr>
            </m:ctrlPr>
          </m:e>
          <m:sub>
            <m:r>
              <m:rPr>
                <m:sty m:val="p"/>
              </m:rPr>
              <w:rPr>
                <w:rFonts w:hint="eastAsia" w:ascii="Cambria Math" w:hAnsi="Cambria Math" w:cs="宋体"/>
                <w:color w:val="auto"/>
                <w:sz w:val="24"/>
              </w:rPr>
              <m:t>i</m:t>
            </m:r>
            <m:ctrlPr>
              <w:rPr>
                <w:rFonts w:hint="eastAsia" w:ascii="Cambria Math" w:hAnsi="Cambria Math" w:cs="宋体"/>
                <w:color w:val="auto"/>
                <w:sz w:val="24"/>
              </w:rPr>
            </m:ctrlPr>
          </m:sub>
        </m:sSub>
      </m:oMath>
      <w:r>
        <w:rPr>
          <w:rFonts w:hint="eastAsia" w:ascii="宋体" w:hAnsi="宋体" w:cs="宋体"/>
          <w:color w:val="auto"/>
          <w:sz w:val="24"/>
        </w:rPr>
        <w:t>—第i校准点基本误差；</w:t>
      </w:r>
    </w:p>
    <w:p>
      <w:pPr>
        <w:ind w:firstLine="480" w:firstLineChars="200"/>
        <w:jc w:val="left"/>
        <w:rPr>
          <w:rFonts w:ascii="宋体" w:hAnsi="宋体" w:cs="宋体"/>
          <w:color w:val="auto"/>
          <w:sz w:val="24"/>
        </w:rPr>
      </w:pPr>
      <m:oMath>
        <m:acc>
          <m:accPr>
            <m:chr m:val="̅"/>
            <m:ctrlPr>
              <w:rPr>
                <w:rFonts w:hint="eastAsia" w:ascii="Cambria Math" w:hAnsi="Cambria Math" w:cs="宋体"/>
                <w:color w:val="auto"/>
                <w:sz w:val="24"/>
              </w:rPr>
            </m:ctrlPr>
          </m:accPr>
          <m:e>
            <m:sSubSup>
              <m:sSubSupPr>
                <m:ctrlPr>
                  <w:rPr>
                    <w:rFonts w:hint="eastAsia" w:ascii="Cambria Math" w:hAnsi="Cambria Math" w:cs="宋体"/>
                    <w:color w:val="auto"/>
                    <w:sz w:val="24"/>
                  </w:rPr>
                </m:ctrlPr>
              </m:sSubSupPr>
              <m:e>
                <m:r>
                  <m:rPr>
                    <m:sty m:val="p"/>
                  </m:rPr>
                  <w:rPr>
                    <w:rFonts w:hint="eastAsia" w:ascii="Cambria Math" w:hAnsi="Cambria Math" w:cs="宋体"/>
                    <w:color w:val="auto"/>
                    <w:sz w:val="24"/>
                  </w:rPr>
                  <m:t>F</m:t>
                </m:r>
                <m:ctrlPr>
                  <w:rPr>
                    <w:rFonts w:hint="eastAsia" w:ascii="Cambria Math" w:hAnsi="Cambria Math" w:cs="宋体"/>
                    <w:color w:val="auto"/>
                    <w:sz w:val="24"/>
                  </w:rPr>
                </m:ctrlPr>
              </m:e>
              <m:sub>
                <m:r>
                  <m:rPr>
                    <m:sty m:val="p"/>
                  </m:rPr>
                  <w:rPr>
                    <w:rFonts w:hint="eastAsia" w:ascii="Cambria Math" w:hAnsi="Cambria Math" w:cs="宋体"/>
                    <w:color w:val="auto"/>
                    <w:sz w:val="24"/>
                  </w:rPr>
                  <m:t>i</m:t>
                </m:r>
                <m:ctrlPr>
                  <w:rPr>
                    <w:rFonts w:hint="eastAsia" w:ascii="Cambria Math" w:hAnsi="Cambria Math" w:cs="宋体"/>
                    <w:color w:val="auto"/>
                    <w:sz w:val="24"/>
                  </w:rPr>
                </m:ctrlPr>
              </m:sub>
              <m:sup>
                <m:r>
                  <m:rPr>
                    <m:sty m:val="p"/>
                  </m:rPr>
                  <w:rPr>
                    <w:rFonts w:hint="eastAsia" w:ascii="Cambria Math" w:hAnsi="Cambria Math" w:cs="宋体"/>
                    <w:color w:val="auto"/>
                    <w:sz w:val="24"/>
                  </w:rPr>
                  <m:t>'</m:t>
                </m:r>
                <m:ctrlPr>
                  <w:rPr>
                    <w:rFonts w:hint="eastAsia" w:ascii="Cambria Math" w:hAnsi="Cambria Math" w:cs="宋体"/>
                    <w:color w:val="auto"/>
                    <w:sz w:val="24"/>
                  </w:rPr>
                </m:ctrlPr>
              </m:sup>
            </m:sSubSup>
            <m:ctrlPr>
              <w:rPr>
                <w:rFonts w:hint="eastAsia" w:ascii="Cambria Math" w:hAnsi="Cambria Math" w:cs="宋体"/>
                <w:color w:val="auto"/>
                <w:sz w:val="24"/>
              </w:rPr>
            </m:ctrlPr>
          </m:e>
        </m:acc>
      </m:oMath>
      <w:r>
        <w:rPr>
          <w:rFonts w:hint="eastAsia" w:ascii="宋体" w:hAnsi="宋体" w:cs="宋体"/>
          <w:color w:val="auto"/>
          <w:sz w:val="24"/>
        </w:rPr>
        <w:t>—第i校准点重量指示仪示值均值；</w:t>
      </w:r>
    </w:p>
    <w:p>
      <w:pPr>
        <w:ind w:firstLine="480" w:firstLineChars="200"/>
        <w:jc w:val="left"/>
        <w:rPr>
          <w:rFonts w:ascii="宋体" w:hAnsi="宋体" w:cs="宋体"/>
          <w:color w:val="auto"/>
          <w:sz w:val="24"/>
        </w:rPr>
      </w:pPr>
      <m:oMath>
        <m:sSub>
          <m:sSubPr>
            <m:ctrlPr>
              <w:rPr>
                <w:rFonts w:hint="eastAsia" w:ascii="Cambria Math" w:hAnsi="Cambria Math" w:cs="宋体"/>
                <w:color w:val="auto"/>
                <w:sz w:val="24"/>
              </w:rPr>
            </m:ctrlPr>
          </m:sSubPr>
          <m:e>
            <m:r>
              <m:rPr>
                <m:sty m:val="p"/>
              </m:rPr>
              <w:rPr>
                <w:rFonts w:hint="eastAsia" w:ascii="Cambria Math" w:hAnsi="Cambria Math" w:cs="宋体"/>
                <w:color w:val="auto"/>
                <w:sz w:val="24"/>
              </w:rPr>
              <m:t>F</m:t>
            </m:r>
            <m:ctrlPr>
              <w:rPr>
                <w:rFonts w:hint="eastAsia" w:ascii="Cambria Math" w:hAnsi="Cambria Math" w:cs="宋体"/>
                <w:color w:val="auto"/>
                <w:sz w:val="24"/>
              </w:rPr>
            </m:ctrlPr>
          </m:e>
          <m:sub>
            <m:r>
              <m:rPr>
                <m:sty m:val="p"/>
              </m:rPr>
              <w:rPr>
                <w:rFonts w:hint="eastAsia" w:ascii="Cambria Math" w:hAnsi="Cambria Math" w:cs="宋体"/>
                <w:color w:val="auto"/>
                <w:sz w:val="24"/>
              </w:rPr>
              <m:t>i</m:t>
            </m:r>
            <m:ctrlPr>
              <w:rPr>
                <w:rFonts w:hint="eastAsia" w:ascii="Cambria Math" w:hAnsi="Cambria Math" w:cs="宋体"/>
                <w:color w:val="auto"/>
                <w:sz w:val="24"/>
              </w:rPr>
            </m:ctrlPr>
          </m:sub>
        </m:sSub>
      </m:oMath>
      <w:r>
        <w:rPr>
          <w:rFonts w:hint="eastAsia" w:ascii="宋体" w:hAnsi="宋体" w:cs="宋体"/>
          <w:color w:val="auto"/>
          <w:sz w:val="24"/>
        </w:rPr>
        <w:t>—第i校准点的约定真值。</w:t>
      </w:r>
    </w:p>
    <w:p>
      <w:pPr>
        <w:ind w:firstLine="480" w:firstLineChars="200"/>
        <w:jc w:val="left"/>
        <w:rPr>
          <w:rFonts w:ascii="宋体" w:hAnsi="宋体" w:cs="宋体"/>
          <w:color w:val="auto"/>
          <w:sz w:val="24"/>
        </w:rPr>
      </w:pPr>
      <w:r>
        <w:rPr>
          <w:rFonts w:hint="eastAsia" w:ascii="宋体" w:hAnsi="宋体" w:cs="宋体"/>
          <w:color w:val="auto"/>
          <w:sz w:val="24"/>
        </w:rPr>
        <w:t>重量指示仪示值基本误差应符合5.2要求。</w:t>
      </w:r>
    </w:p>
    <w:p>
      <w:pPr>
        <w:pStyle w:val="26"/>
        <w:numPr>
          <w:ilvl w:val="3"/>
          <w:numId w:val="0"/>
        </w:numPr>
        <w:spacing w:before="180" w:after="180"/>
        <w:rPr>
          <w:rFonts w:ascii="宋体" w:hAnsi="宋体" w:eastAsia="宋体" w:cs="宋体"/>
          <w:color w:val="auto"/>
          <w:sz w:val="24"/>
          <w:szCs w:val="24"/>
        </w:rPr>
      </w:pPr>
      <w:bookmarkStart w:id="44" w:name="_Toc113977975"/>
      <w:r>
        <w:rPr>
          <w:rFonts w:hint="eastAsia" w:ascii="宋体" w:hAnsi="宋体" w:eastAsia="宋体" w:cs="宋体"/>
          <w:color w:val="auto"/>
          <w:sz w:val="24"/>
          <w:szCs w:val="24"/>
        </w:rPr>
        <w:t>7.2.2死绳固定器使用量程内输</w:t>
      </w:r>
      <w:bookmarkEnd w:id="44"/>
      <w:r>
        <w:rPr>
          <w:rFonts w:hint="eastAsia" w:ascii="宋体" w:hAnsi="宋体" w:eastAsia="宋体" w:cs="宋体"/>
          <w:color w:val="auto"/>
          <w:sz w:val="24"/>
          <w:szCs w:val="24"/>
        </w:rPr>
        <w:t>出校准</w:t>
      </w:r>
    </w:p>
    <w:p>
      <w:pPr>
        <w:pStyle w:val="13"/>
        <w:jc w:val="center"/>
        <w:rPr>
          <w:color w:val="auto"/>
        </w:rPr>
      </w:pPr>
      <w:r>
        <w:rPr>
          <w:rFonts w:hint="eastAsia"/>
          <w:color w:val="auto"/>
        </w:rPr>
        <w:drawing>
          <wp:inline distT="0" distB="0" distL="0" distR="0">
            <wp:extent cx="2295525" cy="2985770"/>
            <wp:effectExtent l="0" t="0" r="9525" b="5080"/>
            <wp:docPr id="1028" name="图片 17"/>
            <wp:cNvGraphicFramePr/>
            <a:graphic xmlns:a="http://schemas.openxmlformats.org/drawingml/2006/main">
              <a:graphicData uri="http://schemas.openxmlformats.org/drawingml/2006/picture">
                <pic:pic xmlns:pic="http://schemas.openxmlformats.org/drawingml/2006/picture">
                  <pic:nvPicPr>
                    <pic:cNvPr id="1028" name="图片 17"/>
                    <pic:cNvPicPr/>
                  </pic:nvPicPr>
                  <pic:blipFill>
                    <a:blip r:embed="rId9" cstate="print"/>
                    <a:srcRect/>
                    <a:stretch>
                      <a:fillRect/>
                    </a:stretch>
                  </pic:blipFill>
                  <pic:spPr>
                    <a:xfrm>
                      <a:off x="0" y="0"/>
                      <a:ext cx="2295525" cy="2985770"/>
                    </a:xfrm>
                    <a:prstGeom prst="rect">
                      <a:avLst/>
                    </a:prstGeom>
                    <a:ln>
                      <a:noFill/>
                    </a:ln>
                  </pic:spPr>
                </pic:pic>
              </a:graphicData>
            </a:graphic>
          </wp:inline>
        </w:drawing>
      </w:r>
    </w:p>
    <w:p>
      <w:pPr>
        <w:spacing w:before="156" w:after="156"/>
        <w:rPr>
          <w:color w:val="auto"/>
          <w:sz w:val="18"/>
          <w:szCs w:val="18"/>
        </w:rPr>
      </w:pPr>
      <w:r>
        <w:rPr>
          <w:rFonts w:hint="eastAsia"/>
          <w:color w:val="auto"/>
          <w:sz w:val="18"/>
          <w:szCs w:val="18"/>
        </w:rPr>
        <w:t>1.死绳固定器 2.传感器 3.传压管线 4.标准压力表 5.死绳 6.旁压式张力计 7.游车系统 8.方钻杆 9.悬重测量仪 10.钻杆</w:t>
      </w:r>
    </w:p>
    <w:p>
      <w:pPr>
        <w:pStyle w:val="20"/>
        <w:spacing w:before="156" w:after="156"/>
        <w:ind w:left="735" w:firstLine="0" w:firstLineChars="0"/>
        <w:jc w:val="center"/>
        <w:rPr>
          <w:rFonts w:ascii="Times New Roman" w:hAnsi="Times New Roman"/>
          <w:color w:val="auto"/>
          <w:sz w:val="18"/>
          <w:szCs w:val="18"/>
        </w:rPr>
      </w:pPr>
      <w:r>
        <w:rPr>
          <w:rFonts w:hint="eastAsia" w:ascii="Times New Roman" w:hAnsi="Times New Roman"/>
          <w:color w:val="auto"/>
          <w:sz w:val="18"/>
          <w:szCs w:val="18"/>
        </w:rPr>
        <w:t>图3</w:t>
      </w:r>
    </w:p>
    <w:p>
      <w:pPr>
        <w:pStyle w:val="26"/>
        <w:numPr>
          <w:ilvl w:val="3"/>
          <w:numId w:val="0"/>
        </w:numPr>
        <w:spacing w:before="180" w:after="180"/>
        <w:rPr>
          <w:rFonts w:ascii="宋体" w:hAnsi="宋体" w:eastAsia="宋体" w:cs="宋体"/>
          <w:color w:val="auto"/>
          <w:sz w:val="24"/>
          <w:szCs w:val="24"/>
        </w:rPr>
      </w:pPr>
      <w:r>
        <w:rPr>
          <w:rFonts w:hint="eastAsia" w:ascii="宋体" w:hAnsi="宋体" w:eastAsia="宋体" w:cs="宋体"/>
          <w:color w:val="auto"/>
          <w:sz w:val="24"/>
          <w:szCs w:val="24"/>
        </w:rPr>
        <w:t>7.2.2.1校准试验点选择</w:t>
      </w:r>
    </w:p>
    <w:p>
      <w:pPr>
        <w:ind w:firstLine="480" w:firstLineChars="200"/>
        <w:rPr>
          <w:rFonts w:ascii="宋体" w:hAnsi="宋体" w:cs="宋体"/>
          <w:color w:val="auto"/>
          <w:sz w:val="24"/>
        </w:rPr>
      </w:pPr>
      <w:r>
        <w:rPr>
          <w:rFonts w:hint="eastAsia" w:ascii="宋体" w:hAnsi="宋体" w:cs="宋体"/>
          <w:color w:val="auto"/>
          <w:sz w:val="24"/>
        </w:rPr>
        <w:t>校准试验点根据使用过程中最大载荷范围按整数不少于5点均匀选取，包括上限和下限，其中，零点以后第一点应大于或等于初始载荷、最大载荷不得使钻杆移动。</w:t>
      </w:r>
    </w:p>
    <w:p>
      <w:pPr>
        <w:pStyle w:val="26"/>
        <w:numPr>
          <w:ilvl w:val="3"/>
          <w:numId w:val="0"/>
        </w:numPr>
        <w:spacing w:before="180" w:after="180"/>
        <w:rPr>
          <w:rFonts w:ascii="宋体" w:hAnsi="宋体" w:eastAsia="宋体" w:cs="宋体"/>
          <w:color w:val="auto"/>
          <w:sz w:val="24"/>
          <w:szCs w:val="24"/>
        </w:rPr>
      </w:pPr>
      <w:r>
        <w:rPr>
          <w:rFonts w:hint="eastAsia" w:ascii="宋体" w:hAnsi="宋体" w:eastAsia="宋体" w:cs="宋体"/>
          <w:color w:val="auto"/>
          <w:sz w:val="24"/>
          <w:szCs w:val="24"/>
        </w:rPr>
        <w:t>7.2.2.2校准过程</w:t>
      </w:r>
    </w:p>
    <w:p>
      <w:pPr>
        <w:pStyle w:val="20"/>
        <w:spacing w:before="156" w:after="156"/>
        <w:ind w:left="420" w:firstLine="0" w:firstLineChars="0"/>
        <w:rPr>
          <w:rFonts w:ascii="宋体" w:hAnsi="宋体" w:eastAsia="宋体" w:cs="宋体"/>
          <w:color w:val="auto"/>
          <w:sz w:val="24"/>
          <w:szCs w:val="24"/>
        </w:rPr>
      </w:pPr>
      <w:r>
        <w:rPr>
          <w:rFonts w:hint="eastAsia" w:ascii="宋体" w:hAnsi="宋体" w:eastAsia="宋体" w:cs="宋体"/>
          <w:color w:val="auto"/>
          <w:sz w:val="24"/>
          <w:szCs w:val="24"/>
        </w:rPr>
        <w:t>1）校准标准器与仪器连接，如图3所示。将悬重传感器连接至方钻杆下端；旁压式张力计通电稳定后清零，安装在死绳上，并调整压紧螺钉至限定的位置；标准压力表与传感器通过排空后的传压管线连接，标准压力表与传感器应处于等高位置。</w:t>
      </w:r>
    </w:p>
    <w:p>
      <w:pPr>
        <w:pStyle w:val="20"/>
        <w:spacing w:before="156" w:after="156"/>
        <w:ind w:left="420" w:firstLine="0" w:firstLineChars="0"/>
        <w:rPr>
          <w:rFonts w:ascii="宋体" w:hAnsi="宋体" w:eastAsia="宋体" w:cs="宋体"/>
          <w:color w:val="auto"/>
          <w:sz w:val="24"/>
          <w:szCs w:val="24"/>
        </w:rPr>
      </w:pPr>
      <w:r>
        <w:rPr>
          <w:rFonts w:hint="eastAsia" w:ascii="宋体" w:hAnsi="宋体" w:eastAsia="宋体" w:cs="宋体"/>
          <w:color w:val="auto"/>
          <w:sz w:val="24"/>
          <w:szCs w:val="24"/>
        </w:rPr>
        <w:t>2）记录实时温度和湿度；</w:t>
      </w:r>
    </w:p>
    <w:p>
      <w:pPr>
        <w:pStyle w:val="20"/>
        <w:spacing w:before="156" w:after="156"/>
        <w:ind w:left="420" w:firstLine="0" w:firstLineChars="0"/>
        <w:rPr>
          <w:rFonts w:ascii="宋体" w:hAnsi="宋体" w:eastAsia="宋体" w:cs="宋体"/>
          <w:color w:val="auto"/>
          <w:sz w:val="24"/>
          <w:szCs w:val="24"/>
        </w:rPr>
      </w:pPr>
      <w:r>
        <w:rPr>
          <w:rFonts w:hint="eastAsia" w:ascii="宋体" w:hAnsi="宋体" w:eastAsia="宋体" w:cs="宋体"/>
          <w:color w:val="auto"/>
          <w:sz w:val="24"/>
          <w:szCs w:val="24"/>
        </w:rPr>
        <w:t>3）读取旁压式张力计示值，此值×钢丝绳股数为初始载荷，再读取标准压力表示值，此值为初始载荷输出压力；悬重测量仪通电，显示值稳定后清零。记录各示值；</w:t>
      </w:r>
    </w:p>
    <w:p>
      <w:pPr>
        <w:pStyle w:val="20"/>
        <w:spacing w:before="156" w:after="156"/>
        <w:ind w:left="420" w:firstLine="0" w:firstLineChars="0"/>
        <w:rPr>
          <w:rFonts w:ascii="宋体" w:hAnsi="宋体" w:eastAsia="宋体" w:cs="宋体"/>
          <w:color w:val="auto"/>
          <w:sz w:val="24"/>
          <w:szCs w:val="24"/>
        </w:rPr>
      </w:pPr>
      <w:r>
        <w:rPr>
          <w:rFonts w:hint="eastAsia" w:ascii="宋体" w:hAnsi="宋体" w:eastAsia="宋体" w:cs="宋体"/>
          <w:color w:val="auto"/>
          <w:sz w:val="24"/>
          <w:szCs w:val="24"/>
        </w:rPr>
        <w:t>4）关闭旁压式张力计电源并拆下；</w:t>
      </w:r>
    </w:p>
    <w:p>
      <w:pPr>
        <w:pStyle w:val="20"/>
        <w:spacing w:before="156" w:after="156"/>
        <w:ind w:left="420" w:firstLine="0" w:firstLineChars="0"/>
        <w:rPr>
          <w:rFonts w:ascii="宋体" w:hAnsi="宋体" w:eastAsia="宋体" w:cs="宋体"/>
          <w:color w:val="auto"/>
          <w:sz w:val="24"/>
          <w:szCs w:val="24"/>
        </w:rPr>
      </w:pPr>
      <w:r>
        <w:rPr>
          <w:rFonts w:hint="eastAsia" w:ascii="宋体" w:hAnsi="宋体" w:eastAsia="宋体" w:cs="宋体"/>
          <w:color w:val="auto"/>
          <w:sz w:val="24"/>
          <w:szCs w:val="24"/>
        </w:rPr>
        <w:t>5）将悬重测量仪下端连接到方钻杆上；</w:t>
      </w:r>
    </w:p>
    <w:p>
      <w:pPr>
        <w:pStyle w:val="20"/>
        <w:spacing w:before="156" w:after="156"/>
        <w:ind w:left="420" w:firstLine="0" w:firstLineChars="0"/>
        <w:rPr>
          <w:rFonts w:ascii="宋体" w:hAnsi="宋体" w:eastAsia="宋体" w:cs="宋体"/>
          <w:color w:val="auto"/>
          <w:sz w:val="24"/>
          <w:szCs w:val="24"/>
        </w:rPr>
      </w:pPr>
      <w:r>
        <w:rPr>
          <w:rFonts w:hint="eastAsia" w:ascii="宋体" w:hAnsi="宋体" w:eastAsia="宋体" w:cs="宋体"/>
          <w:color w:val="auto"/>
          <w:sz w:val="24"/>
          <w:szCs w:val="24"/>
        </w:rPr>
        <w:t>6）密封性试验：司钻操作，加载至最大校准点并稳定5min，系统应无泄漏现象；</w:t>
      </w:r>
    </w:p>
    <w:p>
      <w:pPr>
        <w:pStyle w:val="20"/>
        <w:spacing w:before="156" w:after="156"/>
        <w:ind w:left="420" w:firstLine="0" w:firstLineChars="0"/>
        <w:rPr>
          <w:rFonts w:ascii="宋体" w:hAnsi="宋体" w:eastAsia="宋体" w:cs="宋体"/>
          <w:color w:val="auto"/>
          <w:sz w:val="24"/>
          <w:szCs w:val="24"/>
        </w:rPr>
      </w:pPr>
      <w:r>
        <w:rPr>
          <w:rFonts w:hint="eastAsia" w:ascii="宋体" w:hAnsi="宋体" w:eastAsia="宋体" w:cs="宋体"/>
          <w:color w:val="auto"/>
          <w:sz w:val="24"/>
          <w:szCs w:val="24"/>
        </w:rPr>
        <w:t>7）司钻操作，使标准压力表指针在选定的校准点稳定进行校准，试验时应由初始载荷点均匀缓慢地增加载荷至测量上限（正行程），然后再均匀缓慢地减压到零点（反行程），其中每个校准点需轻敲标准压力表后保持1min，分别记录标准压力表和悬重测量仪各点的示值，重复三次；</w:t>
      </w:r>
    </w:p>
    <w:p>
      <w:pPr>
        <w:pStyle w:val="20"/>
        <w:spacing w:before="156" w:after="156"/>
        <w:ind w:left="420" w:firstLine="0" w:firstLineChars="0"/>
        <w:rPr>
          <w:rFonts w:ascii="宋体" w:hAnsi="宋体" w:eastAsia="宋体" w:cs="宋体"/>
          <w:color w:val="auto"/>
          <w:sz w:val="24"/>
          <w:szCs w:val="24"/>
        </w:rPr>
      </w:pPr>
      <w:r>
        <w:rPr>
          <w:rFonts w:hint="eastAsia" w:ascii="宋体" w:hAnsi="宋体" w:eastAsia="宋体" w:cs="宋体"/>
          <w:color w:val="auto"/>
          <w:sz w:val="24"/>
          <w:szCs w:val="24"/>
        </w:rPr>
        <w:t>8）快速卸下与传感器连接的传压管线；</w:t>
      </w:r>
    </w:p>
    <w:p>
      <w:pPr>
        <w:pStyle w:val="20"/>
        <w:spacing w:before="156" w:after="156"/>
        <w:ind w:left="420" w:firstLine="0" w:firstLineChars="0"/>
        <w:rPr>
          <w:rFonts w:ascii="宋体" w:hAnsi="宋体" w:eastAsia="宋体" w:cs="宋体"/>
          <w:color w:val="auto"/>
          <w:sz w:val="24"/>
          <w:szCs w:val="24"/>
        </w:rPr>
      </w:pPr>
      <w:r>
        <w:rPr>
          <w:rFonts w:hint="eastAsia" w:ascii="宋体" w:hAnsi="宋体" w:eastAsia="宋体" w:cs="宋体"/>
          <w:color w:val="auto"/>
          <w:sz w:val="24"/>
          <w:szCs w:val="24"/>
        </w:rPr>
        <w:t>9）关闭悬重测量仪电源并卸下。</w:t>
      </w:r>
    </w:p>
    <w:p>
      <w:pPr>
        <w:pStyle w:val="26"/>
        <w:numPr>
          <w:ilvl w:val="3"/>
          <w:numId w:val="0"/>
        </w:numPr>
        <w:spacing w:before="180" w:after="180"/>
        <w:rPr>
          <w:rFonts w:ascii="宋体" w:hAnsi="宋体" w:eastAsia="宋体" w:cs="宋体"/>
          <w:color w:val="auto"/>
          <w:sz w:val="24"/>
          <w:szCs w:val="24"/>
        </w:rPr>
      </w:pPr>
      <w:r>
        <w:rPr>
          <w:rFonts w:hint="eastAsia" w:ascii="宋体" w:hAnsi="宋体" w:eastAsia="宋体" w:cs="宋体"/>
          <w:color w:val="auto"/>
          <w:sz w:val="24"/>
          <w:szCs w:val="24"/>
        </w:rPr>
        <w:t>7.2.2.3死绳固定器使用量程输出压力计算</w:t>
      </w:r>
    </w:p>
    <w:p>
      <w:pPr>
        <w:ind w:firstLine="480" w:firstLineChars="200"/>
        <w:rPr>
          <w:rFonts w:ascii="宋体" w:hAnsi="宋体" w:cs="宋体"/>
          <w:color w:val="auto"/>
          <w:sz w:val="24"/>
        </w:rPr>
      </w:pPr>
      <w:r>
        <w:rPr>
          <w:rFonts w:hint="eastAsia" w:ascii="宋体" w:hAnsi="宋体" w:cs="宋体"/>
          <w:color w:val="auto"/>
          <w:sz w:val="24"/>
        </w:rPr>
        <w:t>各校准点的压力所对应的理论力值按公式（1）计算。</w:t>
      </w:r>
    </w:p>
    <w:p>
      <w:pPr>
        <w:pStyle w:val="26"/>
        <w:numPr>
          <w:ilvl w:val="3"/>
          <w:numId w:val="0"/>
        </w:numPr>
        <w:spacing w:before="180" w:after="180"/>
        <w:rPr>
          <w:rFonts w:ascii="宋体" w:hAnsi="宋体" w:eastAsia="宋体" w:cs="宋体"/>
          <w:color w:val="auto"/>
          <w:sz w:val="24"/>
          <w:szCs w:val="24"/>
        </w:rPr>
      </w:pPr>
      <w:r>
        <w:rPr>
          <w:rFonts w:hint="eastAsia" w:ascii="宋体" w:hAnsi="宋体" w:eastAsia="宋体" w:cs="宋体"/>
          <w:color w:val="auto"/>
          <w:sz w:val="24"/>
          <w:szCs w:val="24"/>
        </w:rPr>
        <w:t>7.2.2.4死绳固定器基本误差</w:t>
      </w:r>
    </w:p>
    <w:p>
      <w:pPr>
        <w:ind w:firstLine="480" w:firstLineChars="200"/>
        <w:jc w:val="left"/>
        <w:rPr>
          <w:rFonts w:ascii="宋体" w:hAnsi="宋体" w:cs="宋体"/>
          <w:color w:val="auto"/>
          <w:sz w:val="24"/>
        </w:rPr>
      </w:pPr>
      <w:r>
        <w:rPr>
          <w:rFonts w:hint="eastAsia" w:ascii="宋体" w:hAnsi="宋体" w:cs="宋体"/>
          <w:color w:val="auto"/>
          <w:sz w:val="24"/>
        </w:rPr>
        <w:t>死绳固定器基本误差按公式（2）计算。</w:t>
      </w:r>
    </w:p>
    <w:p>
      <w:pPr>
        <w:ind w:firstLine="480" w:firstLineChars="200"/>
        <w:jc w:val="left"/>
        <w:rPr>
          <w:rFonts w:ascii="宋体" w:hAnsi="宋体" w:cs="宋体"/>
          <w:color w:val="auto"/>
          <w:sz w:val="24"/>
        </w:rPr>
      </w:pPr>
      <w:r>
        <w:rPr>
          <w:rFonts w:hint="eastAsia" w:ascii="宋体" w:hAnsi="宋体" w:cs="宋体"/>
          <w:color w:val="auto"/>
          <w:sz w:val="24"/>
        </w:rPr>
        <w:t>死绳固定器基本误差应符合5.2要求。</w:t>
      </w:r>
    </w:p>
    <w:p>
      <w:pPr>
        <w:pStyle w:val="26"/>
        <w:numPr>
          <w:ilvl w:val="3"/>
          <w:numId w:val="0"/>
        </w:numPr>
        <w:spacing w:before="180" w:after="180"/>
        <w:rPr>
          <w:rFonts w:ascii="宋体" w:hAnsi="宋体" w:eastAsia="宋体" w:cs="宋体"/>
          <w:color w:val="auto"/>
          <w:sz w:val="24"/>
          <w:szCs w:val="24"/>
        </w:rPr>
      </w:pPr>
      <w:bookmarkStart w:id="45" w:name="_Toc113977976"/>
      <w:r>
        <w:rPr>
          <w:rFonts w:hint="eastAsia" w:ascii="宋体" w:hAnsi="宋体" w:eastAsia="宋体" w:cs="宋体"/>
          <w:color w:val="auto"/>
          <w:sz w:val="24"/>
          <w:szCs w:val="24"/>
        </w:rPr>
        <w:t>7.2.3指重表系统校准</w:t>
      </w:r>
      <w:bookmarkEnd w:id="45"/>
    </w:p>
    <w:p>
      <w:pPr>
        <w:pStyle w:val="26"/>
        <w:numPr>
          <w:ilvl w:val="3"/>
          <w:numId w:val="0"/>
        </w:numPr>
        <w:spacing w:before="180" w:after="180"/>
        <w:rPr>
          <w:rFonts w:ascii="宋体" w:hAnsi="宋体" w:eastAsia="宋体" w:cs="宋体"/>
          <w:color w:val="auto"/>
          <w:sz w:val="24"/>
          <w:szCs w:val="24"/>
        </w:rPr>
      </w:pPr>
      <w:r>
        <w:rPr>
          <w:rFonts w:hint="eastAsia" w:ascii="宋体" w:hAnsi="宋体" w:eastAsia="宋体" w:cs="宋体"/>
          <w:color w:val="auto"/>
          <w:sz w:val="24"/>
          <w:szCs w:val="24"/>
        </w:rPr>
        <w:t>7.2.3.1校准试验点选择</w:t>
      </w:r>
    </w:p>
    <w:p>
      <w:pPr>
        <w:pStyle w:val="26"/>
        <w:numPr>
          <w:ilvl w:val="0"/>
          <w:numId w:val="0"/>
        </w:numPr>
        <w:spacing w:before="180" w:after="180"/>
        <w:ind w:firstLine="480" w:firstLineChars="200"/>
        <w:rPr>
          <w:rFonts w:ascii="宋体" w:hAnsi="宋体" w:eastAsia="宋体" w:cs="宋体"/>
          <w:color w:val="auto"/>
          <w:kern w:val="2"/>
          <w:sz w:val="24"/>
          <w:szCs w:val="24"/>
        </w:rPr>
      </w:pPr>
      <w:r>
        <w:rPr>
          <w:rFonts w:hint="eastAsia" w:ascii="宋体" w:hAnsi="宋体" w:eastAsia="宋体" w:cs="宋体"/>
          <w:color w:val="auto"/>
          <w:kern w:val="2"/>
          <w:sz w:val="24"/>
          <w:szCs w:val="24"/>
        </w:rPr>
        <w:t>校准试验点根据使用过程中最大载荷范围按整数不少于5点均匀选取，包括上限和下限，其中，零点以后第一点应大于或等于初始载荷、最大载荷不得使钻杆移动。</w:t>
      </w:r>
    </w:p>
    <w:p>
      <w:pPr>
        <w:pStyle w:val="26"/>
        <w:numPr>
          <w:ilvl w:val="3"/>
          <w:numId w:val="0"/>
        </w:numPr>
        <w:spacing w:before="180" w:after="180"/>
        <w:rPr>
          <w:rFonts w:ascii="宋体" w:hAnsi="宋体" w:eastAsia="宋体" w:cs="宋体"/>
          <w:color w:val="auto"/>
          <w:sz w:val="24"/>
          <w:szCs w:val="24"/>
        </w:rPr>
      </w:pPr>
      <w:r>
        <w:rPr>
          <w:rFonts w:hint="eastAsia" w:ascii="宋体" w:hAnsi="宋体" w:eastAsia="宋体" w:cs="宋体"/>
          <w:color w:val="auto"/>
          <w:sz w:val="24"/>
          <w:szCs w:val="24"/>
        </w:rPr>
        <w:t>7.2.3.2校准过程</w:t>
      </w:r>
    </w:p>
    <w:p>
      <w:pPr>
        <w:pStyle w:val="20"/>
        <w:spacing w:before="156" w:after="156"/>
        <w:ind w:left="426" w:firstLine="0" w:firstLineChars="0"/>
        <w:rPr>
          <w:rFonts w:ascii="宋体" w:hAnsi="宋体" w:eastAsia="宋体" w:cs="宋体"/>
          <w:color w:val="auto"/>
          <w:sz w:val="24"/>
          <w:szCs w:val="24"/>
        </w:rPr>
      </w:pPr>
      <w:r>
        <w:rPr>
          <w:rFonts w:hint="eastAsia" w:ascii="宋体" w:hAnsi="宋体" w:eastAsia="宋体" w:cs="宋体"/>
          <w:color w:val="auto"/>
          <w:sz w:val="24"/>
          <w:szCs w:val="24"/>
        </w:rPr>
        <w:t>1）校准标准器与仪器连接，如图4所示。将悬重传感器连接至方钻杆下端；旁压式张力计通电稳定后清零，安装在死绳上，并调整压紧螺钉至限定的位置；</w:t>
      </w:r>
    </w:p>
    <w:p>
      <w:pPr>
        <w:pStyle w:val="20"/>
        <w:spacing w:before="156" w:after="156"/>
        <w:ind w:left="420" w:firstLine="0" w:firstLineChars="0"/>
        <w:rPr>
          <w:rFonts w:ascii="宋体" w:hAnsi="宋体" w:eastAsia="宋体" w:cs="宋体"/>
          <w:color w:val="auto"/>
          <w:sz w:val="24"/>
          <w:szCs w:val="24"/>
        </w:rPr>
      </w:pPr>
      <w:r>
        <w:rPr>
          <w:rFonts w:hint="eastAsia" w:ascii="宋体" w:hAnsi="宋体" w:eastAsia="宋体" w:cs="宋体"/>
          <w:color w:val="auto"/>
          <w:sz w:val="24"/>
          <w:szCs w:val="24"/>
        </w:rPr>
        <w:t>2）记录实时温度和湿度；</w:t>
      </w:r>
    </w:p>
    <w:p>
      <w:pPr>
        <w:pStyle w:val="20"/>
        <w:spacing w:before="156" w:after="156"/>
        <w:ind w:left="420" w:firstLine="0" w:firstLineChars="0"/>
        <w:rPr>
          <w:rFonts w:ascii="宋体" w:hAnsi="宋体" w:eastAsia="宋体" w:cs="宋体"/>
          <w:color w:val="auto"/>
          <w:sz w:val="24"/>
          <w:szCs w:val="24"/>
        </w:rPr>
      </w:pPr>
      <w:r>
        <w:rPr>
          <w:rFonts w:hint="eastAsia" w:ascii="宋体" w:hAnsi="宋体" w:eastAsia="宋体" w:cs="宋体"/>
          <w:color w:val="auto"/>
          <w:sz w:val="24"/>
          <w:szCs w:val="24"/>
        </w:rPr>
        <w:t>3）读取旁压式张力计示值，此值×钢丝绳股数为初始载荷，再读取重量指示仪及记录仪示值；悬重测量仪通电，显示值稳定后清零。记录各示值；</w:t>
      </w:r>
    </w:p>
    <w:p>
      <w:pPr>
        <w:pStyle w:val="13"/>
        <w:rPr>
          <w:color w:val="auto"/>
        </w:rPr>
      </w:pPr>
    </w:p>
    <w:p>
      <w:pPr>
        <w:pStyle w:val="13"/>
        <w:jc w:val="center"/>
        <w:rPr>
          <w:color w:val="auto"/>
        </w:rPr>
      </w:pPr>
      <w:r>
        <w:rPr>
          <w:color w:val="auto"/>
        </w:rPr>
        <w:drawing>
          <wp:inline distT="0" distB="0" distL="0" distR="0">
            <wp:extent cx="2751455" cy="3200400"/>
            <wp:effectExtent l="0" t="0" r="10795" b="0"/>
            <wp:docPr id="1029" name="图片 12"/>
            <wp:cNvGraphicFramePr/>
            <a:graphic xmlns:a="http://schemas.openxmlformats.org/drawingml/2006/main">
              <a:graphicData uri="http://schemas.openxmlformats.org/drawingml/2006/picture">
                <pic:pic xmlns:pic="http://schemas.openxmlformats.org/drawingml/2006/picture">
                  <pic:nvPicPr>
                    <pic:cNvPr id="1029" name="图片 12"/>
                    <pic:cNvPicPr/>
                  </pic:nvPicPr>
                  <pic:blipFill>
                    <a:blip r:embed="rId10" cstate="print"/>
                    <a:srcRect/>
                    <a:stretch>
                      <a:fillRect/>
                    </a:stretch>
                  </pic:blipFill>
                  <pic:spPr>
                    <a:xfrm>
                      <a:off x="0" y="0"/>
                      <a:ext cx="2751455" cy="3200400"/>
                    </a:xfrm>
                    <a:prstGeom prst="rect">
                      <a:avLst/>
                    </a:prstGeom>
                    <a:ln>
                      <a:noFill/>
                    </a:ln>
                  </pic:spPr>
                </pic:pic>
              </a:graphicData>
            </a:graphic>
          </wp:inline>
        </w:drawing>
      </w:r>
    </w:p>
    <w:p>
      <w:pPr>
        <w:ind w:left="375"/>
        <w:jc w:val="center"/>
        <w:rPr>
          <w:color w:val="auto"/>
          <w:sz w:val="18"/>
          <w:szCs w:val="18"/>
        </w:rPr>
      </w:pPr>
      <w:r>
        <w:rPr>
          <w:rFonts w:hint="eastAsia"/>
          <w:color w:val="auto"/>
          <w:sz w:val="18"/>
          <w:szCs w:val="18"/>
        </w:rPr>
        <w:t>1死绳固定器 2.传感器 3.传压管线 4.重量指示仪 5.记录仪 6.死绳 7.旁压式张力计 8.游车系统 9.方钻杆 10.悬重测量仪 11.钻杆</w:t>
      </w:r>
    </w:p>
    <w:p>
      <w:pPr>
        <w:pStyle w:val="20"/>
        <w:spacing w:before="156" w:after="156"/>
        <w:ind w:left="735" w:firstLine="0" w:firstLineChars="0"/>
        <w:jc w:val="center"/>
        <w:rPr>
          <w:color w:val="auto"/>
          <w:sz w:val="18"/>
          <w:szCs w:val="18"/>
        </w:rPr>
      </w:pPr>
      <w:r>
        <w:rPr>
          <w:rFonts w:hint="eastAsia"/>
          <w:color w:val="auto"/>
          <w:sz w:val="18"/>
          <w:szCs w:val="18"/>
        </w:rPr>
        <w:t>图4</w:t>
      </w:r>
    </w:p>
    <w:p>
      <w:pPr>
        <w:pStyle w:val="20"/>
        <w:spacing w:before="156" w:after="156"/>
        <w:ind w:left="420" w:firstLine="0" w:firstLineChars="0"/>
        <w:rPr>
          <w:rFonts w:ascii="宋体" w:hAnsi="宋体" w:eastAsia="宋体" w:cs="宋体"/>
          <w:color w:val="auto"/>
          <w:sz w:val="24"/>
          <w:szCs w:val="24"/>
        </w:rPr>
      </w:pPr>
      <w:r>
        <w:rPr>
          <w:rFonts w:hint="eastAsia" w:ascii="宋体" w:hAnsi="宋体" w:eastAsia="宋体" w:cs="宋体"/>
          <w:color w:val="auto"/>
          <w:sz w:val="24"/>
          <w:szCs w:val="24"/>
        </w:rPr>
        <w:t>4）关闭旁压式张力计电源并拆下；</w:t>
      </w:r>
    </w:p>
    <w:p>
      <w:pPr>
        <w:pStyle w:val="20"/>
        <w:spacing w:before="156" w:after="156"/>
        <w:ind w:left="420" w:firstLine="0" w:firstLineChars="0"/>
        <w:rPr>
          <w:rFonts w:ascii="宋体" w:hAnsi="宋体" w:eastAsia="宋体" w:cs="宋体"/>
          <w:color w:val="auto"/>
          <w:sz w:val="24"/>
          <w:szCs w:val="24"/>
        </w:rPr>
      </w:pPr>
      <w:r>
        <w:rPr>
          <w:rFonts w:hint="eastAsia" w:ascii="宋体" w:hAnsi="宋体" w:eastAsia="宋体" w:cs="宋体"/>
          <w:color w:val="auto"/>
          <w:sz w:val="24"/>
          <w:szCs w:val="24"/>
        </w:rPr>
        <w:t>5）将悬重测量仪下端连接到方钻杆上；</w:t>
      </w:r>
    </w:p>
    <w:p>
      <w:pPr>
        <w:pStyle w:val="20"/>
        <w:spacing w:before="156" w:after="156"/>
        <w:ind w:left="420" w:firstLine="0" w:firstLineChars="0"/>
        <w:rPr>
          <w:rFonts w:ascii="宋体" w:hAnsi="宋体" w:eastAsia="宋体" w:cs="宋体"/>
          <w:color w:val="auto"/>
          <w:sz w:val="24"/>
          <w:szCs w:val="24"/>
        </w:rPr>
      </w:pPr>
      <w:r>
        <w:rPr>
          <w:rFonts w:hint="eastAsia" w:ascii="宋体" w:hAnsi="宋体" w:eastAsia="宋体" w:cs="宋体"/>
          <w:color w:val="auto"/>
          <w:sz w:val="24"/>
          <w:szCs w:val="24"/>
        </w:rPr>
        <w:t>6）密封性试验：司钻操作，加载至最大校准点并稳定5min，系统应无泄漏现象；</w:t>
      </w:r>
    </w:p>
    <w:p>
      <w:pPr>
        <w:pStyle w:val="20"/>
        <w:spacing w:before="156" w:after="156"/>
        <w:ind w:left="420" w:firstLine="0" w:firstLineChars="0"/>
        <w:rPr>
          <w:rFonts w:ascii="宋体" w:hAnsi="宋体" w:eastAsia="宋体" w:cs="宋体"/>
          <w:color w:val="auto"/>
          <w:sz w:val="24"/>
          <w:szCs w:val="24"/>
        </w:rPr>
      </w:pPr>
      <w:r>
        <w:rPr>
          <w:rFonts w:hint="eastAsia" w:ascii="宋体" w:hAnsi="宋体" w:eastAsia="宋体" w:cs="宋体"/>
          <w:color w:val="auto"/>
          <w:sz w:val="24"/>
          <w:szCs w:val="24"/>
        </w:rPr>
        <w:t>7）司钻操作，使重量指示仪指针在选定的校准点稳定进行校准，试验时应由初始载荷点均匀缓慢地增加载荷至测量上限（正行程），然后再均匀缓慢地减压到零点（反行程），其中每个校准点需轻敲后保持1min，分别记录重量指示仪和记录仪及悬重测量仪各点的示值；</w:t>
      </w:r>
    </w:p>
    <w:p>
      <w:pPr>
        <w:pStyle w:val="20"/>
        <w:spacing w:before="156" w:after="156"/>
        <w:ind w:left="420" w:firstLine="0" w:firstLineChars="0"/>
        <w:rPr>
          <w:rFonts w:ascii="宋体" w:hAnsi="宋体" w:eastAsia="宋体" w:cs="宋体"/>
          <w:color w:val="auto"/>
          <w:sz w:val="24"/>
          <w:szCs w:val="24"/>
        </w:rPr>
      </w:pPr>
      <w:r>
        <w:rPr>
          <w:rFonts w:hint="eastAsia" w:ascii="宋体" w:hAnsi="宋体" w:eastAsia="宋体" w:cs="宋体"/>
          <w:color w:val="auto"/>
          <w:sz w:val="24"/>
          <w:szCs w:val="24"/>
        </w:rPr>
        <w:t>8）关闭悬重测量仪电源并卸下。</w:t>
      </w:r>
    </w:p>
    <w:p>
      <w:pPr>
        <w:pStyle w:val="23"/>
        <w:numPr>
          <w:ilvl w:val="1"/>
          <w:numId w:val="0"/>
        </w:numPr>
        <w:tabs>
          <w:tab w:val="left" w:pos="426"/>
        </w:tabs>
        <w:spacing w:before="180" w:after="180"/>
        <w:rPr>
          <w:rFonts w:ascii="宋体" w:hAnsi="宋体" w:eastAsia="宋体" w:cs="宋体"/>
          <w:color w:val="auto"/>
          <w:sz w:val="24"/>
          <w:szCs w:val="24"/>
        </w:rPr>
      </w:pPr>
      <w:r>
        <w:rPr>
          <w:rFonts w:hint="eastAsia" w:ascii="宋体" w:hAnsi="宋体" w:eastAsia="宋体" w:cs="宋体"/>
          <w:color w:val="auto"/>
          <w:sz w:val="24"/>
          <w:szCs w:val="24"/>
        </w:rPr>
        <w:t>7.2.3.3指重表系统基本误差</w:t>
      </w:r>
    </w:p>
    <w:p>
      <w:pPr>
        <w:pStyle w:val="26"/>
        <w:numPr>
          <w:ilvl w:val="0"/>
          <w:numId w:val="0"/>
        </w:numPr>
        <w:spacing w:before="180" w:after="180"/>
        <w:ind w:firstLine="480" w:firstLineChars="200"/>
        <w:rPr>
          <w:rFonts w:ascii="宋体" w:hAnsi="宋体" w:eastAsia="宋体" w:cs="宋体"/>
          <w:color w:val="auto"/>
          <w:kern w:val="2"/>
          <w:sz w:val="24"/>
          <w:szCs w:val="24"/>
        </w:rPr>
      </w:pPr>
      <w:r>
        <w:rPr>
          <w:rFonts w:hint="eastAsia" w:ascii="宋体" w:hAnsi="宋体" w:eastAsia="宋体" w:cs="宋体"/>
          <w:color w:val="auto"/>
          <w:kern w:val="2"/>
          <w:sz w:val="24"/>
          <w:szCs w:val="24"/>
        </w:rPr>
        <w:t>指重表系统基本误差按公式（3）计算：</w:t>
      </w:r>
    </w:p>
    <w:p>
      <w:pPr>
        <w:pStyle w:val="20"/>
        <w:spacing w:before="156" w:after="156"/>
        <w:ind w:left="720" w:firstLine="0" w:firstLineChars="0"/>
        <w:jc w:val="center"/>
        <w:rPr>
          <w:rFonts w:ascii="宋体" w:hAnsi="宋体" w:eastAsia="宋体" w:cs="宋体"/>
          <w:color w:val="auto"/>
          <w:sz w:val="24"/>
          <w:szCs w:val="24"/>
        </w:rPr>
      </w:pPr>
      <m:oMath>
        <m:r>
          <m:rPr/>
          <w:rPr>
            <w:rFonts w:hint="eastAsia" w:ascii="Cambria Math" w:hAnsi="Cambria Math" w:eastAsia="宋体" w:cs="宋体"/>
            <w:color w:val="auto"/>
            <w:sz w:val="24"/>
            <w:szCs w:val="24"/>
          </w:rPr>
          <m:t>∆</m:t>
        </m:r>
        <m:sSub>
          <m:sSubPr>
            <m:ctrlPr>
              <w:rPr>
                <w:rFonts w:hint="eastAsia" w:ascii="Cambria Math" w:hAnsi="Cambria Math" w:eastAsia="宋体" w:cs="宋体"/>
                <w:i/>
                <w:color w:val="auto"/>
                <w:sz w:val="24"/>
                <w:szCs w:val="24"/>
              </w:rPr>
            </m:ctrlPr>
          </m:sSubPr>
          <m:e>
            <m:r>
              <m:rPr/>
              <w:rPr>
                <w:rFonts w:hint="eastAsia" w:ascii="Cambria Math" w:hAnsi="Cambria Math" w:eastAsia="宋体" w:cs="宋体"/>
                <w:color w:val="auto"/>
                <w:sz w:val="24"/>
                <w:szCs w:val="24"/>
              </w:rPr>
              <m:t>F</m:t>
            </m:r>
            <m:ctrlPr>
              <w:rPr>
                <w:rFonts w:hint="eastAsia" w:ascii="Cambria Math" w:hAnsi="Cambria Math" w:eastAsia="宋体" w:cs="宋体"/>
                <w:i/>
                <w:color w:val="auto"/>
                <w:sz w:val="24"/>
                <w:szCs w:val="24"/>
              </w:rPr>
            </m:ctrlPr>
          </m:e>
          <m:sub>
            <m:r>
              <m:rPr/>
              <w:rPr>
                <w:rFonts w:hint="eastAsia" w:ascii="Cambria Math" w:hAnsi="Cambria Math" w:eastAsia="宋体" w:cs="宋体"/>
                <w:color w:val="auto"/>
                <w:sz w:val="24"/>
                <w:szCs w:val="24"/>
              </w:rPr>
              <m:t>n</m:t>
            </m:r>
            <m:ctrlPr>
              <w:rPr>
                <w:rFonts w:hint="eastAsia" w:ascii="Cambria Math" w:hAnsi="Cambria Math" w:eastAsia="宋体" w:cs="宋体"/>
                <w:i/>
                <w:color w:val="auto"/>
                <w:sz w:val="24"/>
                <w:szCs w:val="24"/>
              </w:rPr>
            </m:ctrlPr>
          </m:sub>
        </m:sSub>
        <m:r>
          <m:rPr/>
          <w:rPr>
            <w:rFonts w:hint="eastAsia" w:ascii="Cambria Math" w:hAnsi="Cambria Math" w:eastAsia="宋体" w:cs="宋体"/>
            <w:color w:val="auto"/>
            <w:sz w:val="24"/>
            <w:szCs w:val="24"/>
          </w:rPr>
          <m:t>=</m:t>
        </m:r>
        <m:f>
          <m:fPr>
            <m:ctrlPr>
              <w:rPr>
                <w:rFonts w:hint="eastAsia" w:ascii="Cambria Math" w:hAnsi="Cambria Math" w:eastAsia="宋体" w:cs="宋体"/>
                <w:i/>
                <w:color w:val="auto"/>
                <w:sz w:val="24"/>
                <w:szCs w:val="24"/>
              </w:rPr>
            </m:ctrlPr>
          </m:fPr>
          <m:num>
            <m:bar>
              <m:barPr>
                <m:pos m:val="top"/>
                <m:ctrlPr>
                  <w:rPr>
                    <w:rFonts w:hint="eastAsia" w:ascii="Cambria Math" w:hAnsi="Cambria Math" w:eastAsia="宋体" w:cs="宋体"/>
                    <w:i/>
                    <w:color w:val="auto"/>
                    <w:sz w:val="24"/>
                    <w:szCs w:val="24"/>
                  </w:rPr>
                </m:ctrlPr>
              </m:barPr>
              <m:e>
                <m:sSubSup>
                  <m:sSubSupPr>
                    <m:ctrlPr>
                      <w:rPr>
                        <w:rFonts w:hint="eastAsia" w:ascii="Cambria Math" w:hAnsi="Cambria Math" w:eastAsia="宋体" w:cs="宋体"/>
                        <w:i/>
                        <w:color w:val="auto"/>
                        <w:sz w:val="24"/>
                        <w:szCs w:val="24"/>
                      </w:rPr>
                    </m:ctrlPr>
                  </m:sSubSupPr>
                  <m:e>
                    <m:r>
                      <m:rPr/>
                      <w:rPr>
                        <w:rFonts w:hint="eastAsia" w:ascii="Cambria Math" w:hAnsi="Cambria Math" w:eastAsia="宋体" w:cs="宋体"/>
                        <w:color w:val="auto"/>
                        <w:sz w:val="24"/>
                        <w:szCs w:val="24"/>
                      </w:rPr>
                      <m:t>F</m:t>
                    </m:r>
                    <m:ctrlPr>
                      <w:rPr>
                        <w:rFonts w:hint="eastAsia" w:ascii="Cambria Math" w:hAnsi="Cambria Math" w:eastAsia="宋体" w:cs="宋体"/>
                        <w:i/>
                        <w:color w:val="auto"/>
                        <w:sz w:val="24"/>
                        <w:szCs w:val="24"/>
                      </w:rPr>
                    </m:ctrlPr>
                  </m:e>
                  <m:sub>
                    <m:r>
                      <m:rPr/>
                      <w:rPr>
                        <w:rFonts w:hint="eastAsia" w:ascii="Cambria Math" w:hAnsi="Cambria Math" w:eastAsia="宋体" w:cs="宋体"/>
                        <w:color w:val="auto"/>
                        <w:sz w:val="24"/>
                        <w:szCs w:val="24"/>
                      </w:rPr>
                      <m:t>n</m:t>
                    </m:r>
                    <m:ctrlPr>
                      <w:rPr>
                        <w:rFonts w:hint="eastAsia" w:ascii="Cambria Math" w:hAnsi="Cambria Math" w:eastAsia="宋体" w:cs="宋体"/>
                        <w:i/>
                        <w:color w:val="auto"/>
                        <w:sz w:val="24"/>
                        <w:szCs w:val="24"/>
                      </w:rPr>
                    </m:ctrlPr>
                  </m:sub>
                  <m:sup>
                    <m:r>
                      <m:rPr>
                        <m:sty m:val="p"/>
                      </m:rPr>
                      <w:rPr>
                        <w:rFonts w:hint="eastAsia" w:ascii="Cambria Math" w:hAnsi="Cambria Math" w:eastAsia="宋体" w:cs="宋体"/>
                        <w:color w:val="auto"/>
                        <w:sz w:val="24"/>
                        <w:szCs w:val="24"/>
                      </w:rPr>
                      <m:t>'</m:t>
                    </m:r>
                    <m:ctrlPr>
                      <w:rPr>
                        <w:rFonts w:hint="eastAsia" w:ascii="Cambria Math" w:hAnsi="Cambria Math" w:eastAsia="宋体" w:cs="宋体"/>
                        <w:i/>
                        <w:color w:val="auto"/>
                        <w:sz w:val="24"/>
                        <w:szCs w:val="24"/>
                      </w:rPr>
                    </m:ctrlPr>
                  </m:sup>
                </m:sSubSup>
                <m:ctrlPr>
                  <w:rPr>
                    <w:rFonts w:hint="eastAsia" w:ascii="Cambria Math" w:hAnsi="Cambria Math" w:eastAsia="宋体" w:cs="宋体"/>
                    <w:i/>
                    <w:color w:val="auto"/>
                    <w:sz w:val="24"/>
                    <w:szCs w:val="24"/>
                  </w:rPr>
                </m:ctrlPr>
              </m:e>
            </m:bar>
            <m:r>
              <m:rPr/>
              <w:rPr>
                <w:rFonts w:hint="eastAsia" w:ascii="Cambria Math" w:hAnsi="Cambria Math" w:eastAsia="宋体" w:cs="宋体"/>
                <w:color w:val="auto"/>
                <w:sz w:val="24"/>
                <w:szCs w:val="24"/>
              </w:rPr>
              <m:t xml:space="preserve"> −</m:t>
            </m:r>
            <m:sSub>
              <m:sSubPr>
                <m:ctrlPr>
                  <w:rPr>
                    <w:rFonts w:hint="eastAsia" w:ascii="Cambria Math" w:hAnsi="Cambria Math" w:eastAsia="宋体" w:cs="宋体"/>
                    <w:color w:val="auto"/>
                    <w:sz w:val="24"/>
                    <w:szCs w:val="24"/>
                  </w:rPr>
                </m:ctrlPr>
              </m:sSubPr>
              <m:e>
                <m:r>
                  <m:rPr/>
                  <w:rPr>
                    <w:rFonts w:hint="eastAsia" w:ascii="Cambria Math" w:hAnsi="Cambria Math" w:eastAsia="宋体" w:cs="宋体"/>
                    <w:color w:val="auto"/>
                    <w:sz w:val="24"/>
                    <w:szCs w:val="24"/>
                  </w:rPr>
                  <m:t>F</m:t>
                </m:r>
                <m:ctrlPr>
                  <w:rPr>
                    <w:rFonts w:hint="eastAsia" w:ascii="Cambria Math" w:hAnsi="Cambria Math" w:eastAsia="宋体" w:cs="宋体"/>
                    <w:color w:val="auto"/>
                    <w:sz w:val="24"/>
                    <w:szCs w:val="24"/>
                  </w:rPr>
                </m:ctrlPr>
              </m:e>
              <m:sub>
                <m:r>
                  <m:rPr/>
                  <w:rPr>
                    <w:rFonts w:hint="eastAsia" w:ascii="Cambria Math" w:hAnsi="Cambria Math" w:eastAsia="宋体" w:cs="宋体"/>
                    <w:color w:val="auto"/>
                    <w:sz w:val="24"/>
                    <w:szCs w:val="24"/>
                  </w:rPr>
                  <m:t>n</m:t>
                </m:r>
                <m:ctrlPr>
                  <w:rPr>
                    <w:rFonts w:hint="eastAsia" w:ascii="Cambria Math" w:hAnsi="Cambria Math" w:eastAsia="宋体" w:cs="宋体"/>
                    <w:color w:val="auto"/>
                    <w:sz w:val="24"/>
                    <w:szCs w:val="24"/>
                  </w:rPr>
                </m:ctrlPr>
              </m:sub>
            </m:sSub>
            <m:ctrlPr>
              <w:rPr>
                <w:rFonts w:hint="eastAsia" w:ascii="Cambria Math" w:hAnsi="Cambria Math" w:eastAsia="宋体" w:cs="宋体"/>
                <w:i/>
                <w:color w:val="auto"/>
                <w:sz w:val="24"/>
                <w:szCs w:val="24"/>
              </w:rPr>
            </m:ctrlPr>
          </m:num>
          <m:den>
            <m:sSub>
              <m:sSubPr>
                <m:ctrlPr>
                  <w:rPr>
                    <w:rFonts w:hint="eastAsia" w:ascii="Cambria Math" w:hAnsi="Cambria Math" w:eastAsia="宋体" w:cs="宋体"/>
                    <w:i/>
                    <w:color w:val="auto"/>
                    <w:sz w:val="24"/>
                    <w:szCs w:val="24"/>
                  </w:rPr>
                </m:ctrlPr>
              </m:sSubPr>
              <m:e>
                <m:r>
                  <m:rPr/>
                  <w:rPr>
                    <w:rFonts w:hint="eastAsia" w:ascii="Cambria Math" w:hAnsi="Cambria Math" w:eastAsia="宋体" w:cs="宋体"/>
                    <w:color w:val="auto"/>
                    <w:sz w:val="24"/>
                    <w:szCs w:val="24"/>
                  </w:rPr>
                  <m:t>F</m:t>
                </m:r>
                <m:ctrlPr>
                  <w:rPr>
                    <w:rFonts w:hint="eastAsia" w:ascii="Cambria Math" w:hAnsi="Cambria Math" w:eastAsia="宋体" w:cs="宋体"/>
                    <w:i/>
                    <w:color w:val="auto"/>
                    <w:sz w:val="24"/>
                    <w:szCs w:val="24"/>
                  </w:rPr>
                </m:ctrlPr>
              </m:e>
              <m:sub>
                <m:r>
                  <m:rPr/>
                  <w:rPr>
                    <w:rFonts w:hint="eastAsia" w:ascii="Cambria Math" w:hAnsi="Cambria Math" w:eastAsia="宋体" w:cs="宋体"/>
                    <w:color w:val="auto"/>
                    <w:sz w:val="24"/>
                    <w:szCs w:val="24"/>
                  </w:rPr>
                  <m:t>n</m:t>
                </m:r>
                <m:ctrlPr>
                  <w:rPr>
                    <w:rFonts w:hint="eastAsia" w:ascii="Cambria Math" w:hAnsi="Cambria Math" w:eastAsia="宋体" w:cs="宋体"/>
                    <w:i/>
                    <w:color w:val="auto"/>
                    <w:sz w:val="24"/>
                    <w:szCs w:val="24"/>
                  </w:rPr>
                </m:ctrlPr>
              </m:sub>
            </m:sSub>
            <m:ctrlPr>
              <w:rPr>
                <w:rFonts w:hint="eastAsia" w:ascii="Cambria Math" w:hAnsi="Cambria Math" w:eastAsia="宋体" w:cs="宋体"/>
                <w:i/>
                <w:color w:val="auto"/>
                <w:sz w:val="24"/>
                <w:szCs w:val="24"/>
              </w:rPr>
            </m:ctrlPr>
          </m:den>
        </m:f>
        <m:r>
          <m:rPr/>
          <w:rPr>
            <w:rFonts w:hint="eastAsia" w:ascii="Cambria Math" w:hAnsi="Cambria Math" w:eastAsia="宋体" w:cs="宋体"/>
            <w:color w:val="auto"/>
            <w:sz w:val="24"/>
            <w:szCs w:val="24"/>
          </w:rPr>
          <m:t>×100%</m:t>
        </m:r>
      </m:oMath>
      <w:r>
        <w:rPr>
          <w:rFonts w:hint="eastAsia" w:ascii="宋体" w:hAnsi="宋体" w:eastAsia="宋体" w:cs="宋体"/>
          <w:color w:val="auto"/>
          <w:sz w:val="24"/>
          <w:szCs w:val="24"/>
        </w:rPr>
        <w:t xml:space="preserve"> ························（3）</w:t>
      </w:r>
    </w:p>
    <w:p>
      <w:pPr>
        <w:ind w:firstLine="480" w:firstLineChars="200"/>
        <w:rPr>
          <w:rFonts w:ascii="宋体" w:hAnsi="宋体" w:cs="宋体"/>
          <w:color w:val="auto"/>
          <w:sz w:val="24"/>
        </w:rPr>
      </w:pPr>
    </w:p>
    <w:p>
      <w:pPr>
        <w:jc w:val="left"/>
        <w:rPr>
          <w:rFonts w:ascii="宋体" w:hAnsi="宋体" w:cs="宋体"/>
          <w:color w:val="auto"/>
          <w:sz w:val="24"/>
        </w:rPr>
      </w:pPr>
      <m:oMath>
        <m:r>
          <m:rPr>
            <m:sty m:val="p"/>
          </m:rPr>
          <w:rPr>
            <w:rFonts w:hint="eastAsia" w:ascii="Cambria Math" w:hAnsi="Cambria Math" w:cs="宋体"/>
            <w:color w:val="auto"/>
            <w:sz w:val="24"/>
          </w:rPr>
          <m:t xml:space="preserve">         ∆</m:t>
        </m:r>
        <m:sSub>
          <m:sSubPr>
            <m:ctrlPr>
              <w:rPr>
                <w:rFonts w:hint="eastAsia" w:ascii="Cambria Math" w:hAnsi="Cambria Math" w:cs="宋体"/>
                <w:color w:val="auto"/>
                <w:sz w:val="24"/>
              </w:rPr>
            </m:ctrlPr>
          </m:sSubPr>
          <m:e>
            <m:r>
              <m:rPr>
                <m:sty m:val="p"/>
              </m:rPr>
              <w:rPr>
                <w:rFonts w:hint="eastAsia" w:ascii="Cambria Math" w:hAnsi="Cambria Math" w:cs="宋体"/>
                <w:color w:val="auto"/>
                <w:sz w:val="24"/>
              </w:rPr>
              <m:t>F</m:t>
            </m:r>
            <m:ctrlPr>
              <w:rPr>
                <w:rFonts w:hint="eastAsia" w:ascii="Cambria Math" w:hAnsi="Cambria Math" w:cs="宋体"/>
                <w:color w:val="auto"/>
                <w:sz w:val="24"/>
              </w:rPr>
            </m:ctrlPr>
          </m:e>
          <m:sub>
            <m:r>
              <m:rPr>
                <m:sty m:val="p"/>
              </m:rPr>
              <w:rPr>
                <w:rFonts w:hint="eastAsia" w:ascii="Cambria Math" w:hAnsi="Cambria Math" w:cs="宋体"/>
                <w:color w:val="auto"/>
                <w:sz w:val="24"/>
              </w:rPr>
              <m:t>n</m:t>
            </m:r>
            <m:ctrlPr>
              <w:rPr>
                <w:rFonts w:hint="eastAsia" w:ascii="Cambria Math" w:hAnsi="Cambria Math" w:cs="宋体"/>
                <w:color w:val="auto"/>
                <w:sz w:val="24"/>
              </w:rPr>
            </m:ctrlPr>
          </m:sub>
        </m:sSub>
      </m:oMath>
      <w:r>
        <w:rPr>
          <w:rFonts w:hint="eastAsia" w:ascii="宋体" w:hAnsi="宋体" w:cs="宋体"/>
          <w:color w:val="auto"/>
          <w:sz w:val="24"/>
        </w:rPr>
        <w:t>—第n校准点基本误差；</w:t>
      </w:r>
    </w:p>
    <w:p>
      <w:pPr>
        <w:jc w:val="left"/>
        <w:rPr>
          <w:rFonts w:ascii="Cambria Math" w:hAnsi="Cambria Math" w:cs="宋体"/>
          <w:color w:val="auto"/>
          <w:sz w:val="24"/>
        </w:rPr>
      </w:pPr>
      <m:oMath>
        <m:r>
          <m:rPr>
            <m:sty m:val="p"/>
          </m:rPr>
          <w:rPr>
            <w:rFonts w:hint="eastAsia" w:ascii="Cambria Math" w:hAnsi="Cambria Math" w:cs="宋体"/>
            <w:color w:val="auto"/>
            <w:sz w:val="24"/>
          </w:rPr>
          <m:t xml:space="preserve">         </m:t>
        </m:r>
        <m:bar>
          <m:barPr>
            <m:pos m:val="top"/>
            <m:ctrlPr>
              <w:rPr>
                <w:rFonts w:hint="eastAsia" w:ascii="Cambria Math" w:hAnsi="Cambria Math" w:cs="宋体"/>
                <w:color w:val="auto"/>
                <w:sz w:val="24"/>
              </w:rPr>
            </m:ctrlPr>
          </m:barPr>
          <m:e>
            <m:sSubSup>
              <m:sSubSupPr>
                <m:ctrlPr>
                  <w:rPr>
                    <w:rFonts w:hint="eastAsia" w:ascii="Cambria Math" w:hAnsi="Cambria Math" w:cs="宋体"/>
                    <w:color w:val="auto"/>
                    <w:sz w:val="24"/>
                  </w:rPr>
                </m:ctrlPr>
              </m:sSubSupPr>
              <m:e>
                <m:r>
                  <m:rPr>
                    <m:sty m:val="p"/>
                  </m:rPr>
                  <w:rPr>
                    <w:rFonts w:hint="eastAsia" w:ascii="Cambria Math" w:hAnsi="Cambria Math" w:cs="宋体"/>
                    <w:color w:val="auto"/>
                    <w:sz w:val="24"/>
                  </w:rPr>
                  <m:t>F</m:t>
                </m:r>
                <m:ctrlPr>
                  <w:rPr>
                    <w:rFonts w:hint="eastAsia" w:ascii="Cambria Math" w:hAnsi="Cambria Math" w:cs="宋体"/>
                    <w:color w:val="auto"/>
                    <w:sz w:val="24"/>
                  </w:rPr>
                </m:ctrlPr>
              </m:e>
              <m:sub>
                <m:r>
                  <m:rPr>
                    <m:sty m:val="p"/>
                  </m:rPr>
                  <w:rPr>
                    <w:rFonts w:hint="eastAsia" w:ascii="Cambria Math" w:hAnsi="Cambria Math" w:cs="宋体"/>
                    <w:color w:val="auto"/>
                    <w:sz w:val="24"/>
                  </w:rPr>
                  <m:t>n</m:t>
                </m:r>
                <m:ctrlPr>
                  <w:rPr>
                    <w:rFonts w:hint="eastAsia" w:ascii="Cambria Math" w:hAnsi="Cambria Math" w:cs="宋体"/>
                    <w:color w:val="auto"/>
                    <w:sz w:val="24"/>
                  </w:rPr>
                </m:ctrlPr>
              </m:sub>
              <m:sup>
                <m:r>
                  <m:rPr>
                    <m:sty m:val="p"/>
                  </m:rPr>
                  <w:rPr>
                    <w:rFonts w:hint="eastAsia" w:ascii="Cambria Math" w:hAnsi="Cambria Math" w:cs="宋体"/>
                    <w:color w:val="auto"/>
                    <w:sz w:val="24"/>
                  </w:rPr>
                  <m:t>'</m:t>
                </m:r>
                <m:ctrlPr>
                  <w:rPr>
                    <w:rFonts w:hint="eastAsia" w:ascii="Cambria Math" w:hAnsi="Cambria Math" w:cs="宋体"/>
                    <w:color w:val="auto"/>
                    <w:sz w:val="24"/>
                  </w:rPr>
                </m:ctrlPr>
              </m:sup>
            </m:sSubSup>
            <m:ctrlPr>
              <w:rPr>
                <w:rFonts w:hint="eastAsia" w:ascii="Cambria Math" w:hAnsi="Cambria Math" w:cs="宋体"/>
                <w:color w:val="auto"/>
                <w:sz w:val="24"/>
              </w:rPr>
            </m:ctrlPr>
          </m:e>
        </m:bar>
      </m:oMath>
      <w:r>
        <w:rPr>
          <w:rFonts w:hint="eastAsia" w:ascii="Cambria Math" w:hAnsi="Cambria Math" w:cs="宋体"/>
          <w:color w:val="auto"/>
          <w:sz w:val="24"/>
        </w:rPr>
        <w:t>—第n校准点悬重测量仪示值与初始载荷之和的算术平均值；</w:t>
      </w:r>
    </w:p>
    <w:p>
      <w:pPr>
        <w:jc w:val="left"/>
        <w:rPr>
          <w:rFonts w:ascii="宋体" w:hAnsi="宋体" w:cs="宋体"/>
          <w:color w:val="auto"/>
          <w:sz w:val="24"/>
        </w:rPr>
      </w:pPr>
      <m:oMath>
        <m:sSub>
          <m:sSubPr>
            <m:ctrlPr>
              <w:rPr>
                <w:rFonts w:hint="eastAsia" w:ascii="Cambria Math" w:hAnsi="Cambria Math" w:cs="宋体"/>
                <w:color w:val="auto"/>
                <w:sz w:val="24"/>
              </w:rPr>
            </m:ctrlPr>
          </m:sSubPr>
          <m:e>
            <m:r>
              <m:rPr>
                <m:sty m:val="p"/>
              </m:rPr>
              <w:rPr>
                <w:rFonts w:hint="eastAsia" w:ascii="Cambria Math" w:hAnsi="Cambria Math" w:cs="宋体"/>
                <w:color w:val="auto"/>
                <w:sz w:val="24"/>
              </w:rPr>
              <m:t xml:space="preserve">         F</m:t>
            </m:r>
            <m:ctrlPr>
              <w:rPr>
                <w:rFonts w:hint="eastAsia" w:ascii="Cambria Math" w:hAnsi="Cambria Math" w:cs="宋体"/>
                <w:color w:val="auto"/>
                <w:sz w:val="24"/>
              </w:rPr>
            </m:ctrlPr>
          </m:e>
          <m:sub>
            <m:r>
              <m:rPr>
                <m:sty m:val="p"/>
              </m:rPr>
              <w:rPr>
                <w:rFonts w:hint="eastAsia" w:ascii="Cambria Math" w:hAnsi="Cambria Math" w:cs="宋体"/>
                <w:color w:val="auto"/>
                <w:sz w:val="24"/>
              </w:rPr>
              <m:t>n</m:t>
            </m:r>
            <m:ctrlPr>
              <w:rPr>
                <w:rFonts w:hint="eastAsia" w:ascii="Cambria Math" w:hAnsi="Cambria Math" w:cs="宋体"/>
                <w:color w:val="auto"/>
                <w:sz w:val="24"/>
              </w:rPr>
            </m:ctrlPr>
          </m:sub>
        </m:sSub>
      </m:oMath>
      <w:r>
        <w:rPr>
          <w:rFonts w:hint="eastAsia" w:ascii="宋体" w:hAnsi="宋体" w:cs="宋体"/>
          <w:color w:val="auto"/>
          <w:sz w:val="24"/>
        </w:rPr>
        <w:t>—第n校准点的约定真值。</w:t>
      </w:r>
    </w:p>
    <w:p>
      <w:pPr>
        <w:ind w:firstLine="480" w:firstLineChars="200"/>
        <w:jc w:val="left"/>
        <w:rPr>
          <w:rFonts w:ascii="宋体" w:hAnsi="宋体" w:cs="宋体"/>
          <w:color w:val="auto"/>
          <w:sz w:val="24"/>
        </w:rPr>
      </w:pPr>
      <w:r>
        <w:rPr>
          <w:rFonts w:hint="eastAsia" w:ascii="宋体" w:hAnsi="宋体" w:cs="宋体"/>
          <w:color w:val="auto"/>
          <w:sz w:val="24"/>
        </w:rPr>
        <w:t>指重表系统基本误差应符合5.2要求。</w:t>
      </w:r>
    </w:p>
    <w:p>
      <w:pPr>
        <w:pStyle w:val="23"/>
        <w:numPr>
          <w:ilvl w:val="1"/>
          <w:numId w:val="0"/>
        </w:numPr>
        <w:tabs>
          <w:tab w:val="left" w:pos="426"/>
        </w:tabs>
        <w:spacing w:before="180" w:after="180"/>
        <w:rPr>
          <w:rFonts w:ascii="宋体" w:hAnsi="宋体" w:eastAsia="宋体" w:cs="宋体"/>
          <w:color w:val="auto"/>
          <w:sz w:val="24"/>
          <w:szCs w:val="24"/>
        </w:rPr>
      </w:pPr>
      <w:bookmarkStart w:id="46" w:name="_Toc113977977"/>
      <w:r>
        <w:rPr>
          <w:rFonts w:hint="eastAsia" w:ascii="宋体" w:hAnsi="宋体" w:eastAsia="宋体" w:cs="宋体"/>
          <w:color w:val="auto"/>
          <w:sz w:val="24"/>
          <w:szCs w:val="24"/>
        </w:rPr>
        <w:t>7.3回程误差</w:t>
      </w:r>
      <w:bookmarkEnd w:id="46"/>
    </w:p>
    <w:p>
      <w:pPr>
        <w:pStyle w:val="26"/>
        <w:numPr>
          <w:ilvl w:val="0"/>
          <w:numId w:val="0"/>
        </w:numPr>
        <w:spacing w:before="180" w:after="180"/>
        <w:ind w:firstLine="480" w:firstLineChars="200"/>
        <w:rPr>
          <w:rFonts w:ascii="宋体" w:hAnsi="宋体" w:eastAsia="宋体" w:cs="宋体"/>
          <w:color w:val="auto"/>
          <w:kern w:val="2"/>
          <w:sz w:val="24"/>
          <w:szCs w:val="24"/>
        </w:rPr>
      </w:pPr>
      <w:r>
        <w:rPr>
          <w:rFonts w:hint="eastAsia" w:ascii="宋体" w:hAnsi="宋体" w:eastAsia="宋体" w:cs="宋体"/>
          <w:color w:val="auto"/>
          <w:kern w:val="2"/>
          <w:sz w:val="24"/>
          <w:szCs w:val="24"/>
        </w:rPr>
        <w:t>在7.2.1.2和7.2.3.2校准过程中，同一校准点，正、反行程轻敲后的示值之差绝对值应符合5.3的规定。</w:t>
      </w:r>
    </w:p>
    <w:p>
      <w:pPr>
        <w:pStyle w:val="23"/>
        <w:numPr>
          <w:ilvl w:val="1"/>
          <w:numId w:val="0"/>
        </w:numPr>
        <w:tabs>
          <w:tab w:val="left" w:pos="426"/>
        </w:tabs>
        <w:spacing w:before="180" w:after="180"/>
        <w:rPr>
          <w:rFonts w:ascii="宋体" w:hAnsi="宋体" w:eastAsia="宋体" w:cs="宋体"/>
          <w:color w:val="auto"/>
          <w:sz w:val="24"/>
          <w:szCs w:val="24"/>
        </w:rPr>
      </w:pPr>
      <w:bookmarkStart w:id="47" w:name="_Toc113977978"/>
      <w:r>
        <w:rPr>
          <w:rFonts w:hint="eastAsia" w:ascii="宋体" w:hAnsi="宋体" w:eastAsia="宋体" w:cs="宋体"/>
          <w:color w:val="auto"/>
          <w:sz w:val="24"/>
          <w:szCs w:val="24"/>
        </w:rPr>
        <w:t>7.4轻敲位移</w:t>
      </w:r>
      <w:bookmarkEnd w:id="47"/>
    </w:p>
    <w:p>
      <w:pPr>
        <w:pStyle w:val="13"/>
        <w:ind w:firstLine="480"/>
        <w:rPr>
          <w:rFonts w:hAnsi="宋体" w:cs="宋体"/>
          <w:color w:val="auto"/>
          <w:sz w:val="24"/>
          <w:szCs w:val="24"/>
        </w:rPr>
      </w:pPr>
      <w:r>
        <w:rPr>
          <w:rFonts w:hint="eastAsia" w:hAnsi="宋体" w:cs="宋体"/>
          <w:color w:val="auto"/>
          <w:sz w:val="24"/>
          <w:szCs w:val="24"/>
        </w:rPr>
        <w:t>在</w:t>
      </w:r>
      <w:r>
        <w:rPr>
          <w:rFonts w:hint="eastAsia" w:hAnsi="宋体" w:cs="宋体"/>
          <w:color w:val="auto"/>
          <w:kern w:val="2"/>
          <w:sz w:val="24"/>
          <w:szCs w:val="24"/>
        </w:rPr>
        <w:t>7.2.1.2和7.2.3.2</w:t>
      </w:r>
      <w:r>
        <w:rPr>
          <w:rFonts w:hint="eastAsia" w:hAnsi="宋体" w:cs="宋体"/>
          <w:color w:val="auto"/>
          <w:sz w:val="24"/>
          <w:szCs w:val="24"/>
        </w:rPr>
        <w:t>校准过程中，在同一校准点，轻敲前后的示值之差，应符合5.4的规定。</w:t>
      </w:r>
    </w:p>
    <w:p>
      <w:pPr>
        <w:pStyle w:val="23"/>
        <w:numPr>
          <w:ilvl w:val="1"/>
          <w:numId w:val="0"/>
        </w:numPr>
        <w:tabs>
          <w:tab w:val="left" w:pos="426"/>
        </w:tabs>
        <w:spacing w:before="180" w:after="180"/>
        <w:rPr>
          <w:rFonts w:ascii="宋体" w:hAnsi="宋体" w:eastAsia="宋体" w:cs="宋体"/>
          <w:color w:val="auto"/>
          <w:sz w:val="24"/>
          <w:szCs w:val="24"/>
        </w:rPr>
      </w:pPr>
      <w:bookmarkStart w:id="48" w:name="_Toc113977979"/>
      <w:r>
        <w:rPr>
          <w:rFonts w:hint="eastAsia" w:ascii="宋体" w:hAnsi="宋体" w:eastAsia="宋体" w:cs="宋体"/>
          <w:color w:val="auto"/>
          <w:sz w:val="24"/>
          <w:szCs w:val="24"/>
        </w:rPr>
        <w:t>7.5灵敏限</w:t>
      </w:r>
      <w:bookmarkEnd w:id="48"/>
    </w:p>
    <w:p>
      <w:pPr>
        <w:pStyle w:val="23"/>
        <w:numPr>
          <w:ilvl w:val="1"/>
          <w:numId w:val="0"/>
        </w:numPr>
        <w:tabs>
          <w:tab w:val="left" w:pos="426"/>
        </w:tabs>
        <w:spacing w:before="180" w:after="180"/>
        <w:rPr>
          <w:rFonts w:ascii="宋体" w:hAnsi="宋体" w:eastAsia="宋体" w:cs="宋体"/>
          <w:color w:val="auto"/>
          <w:sz w:val="24"/>
          <w:szCs w:val="24"/>
        </w:rPr>
      </w:pPr>
      <w:r>
        <w:rPr>
          <w:rFonts w:hint="eastAsia" w:ascii="宋体" w:hAnsi="宋体" w:eastAsia="宋体" w:cs="宋体"/>
          <w:color w:val="auto"/>
          <w:sz w:val="24"/>
          <w:szCs w:val="24"/>
        </w:rPr>
        <w:t>7.5.1重量指示仪灵敏限测定</w:t>
      </w:r>
    </w:p>
    <w:p>
      <w:pPr>
        <w:ind w:firstLine="480" w:firstLineChars="200"/>
        <w:rPr>
          <w:rFonts w:ascii="宋体" w:hAnsi="宋体" w:cs="宋体"/>
          <w:color w:val="auto"/>
          <w:sz w:val="24"/>
        </w:rPr>
      </w:pPr>
      <w:r>
        <w:rPr>
          <w:rFonts w:hint="eastAsia" w:ascii="宋体" w:hAnsi="宋体" w:cs="宋体"/>
          <w:color w:val="auto"/>
          <w:sz w:val="24"/>
        </w:rPr>
        <w:t>按照7.2.1.2的校准过程，在压力校验仪上安装数字式压力表，分别在满量程的约20%，50%，80%的位置上，通过校验仪施加压力载荷，使重量指示仪指针开始有明显移动。记录指针变动前后的压力变化量，重量指示仪灵敏限按公式（4）计算，结果应满足5.5的规定。</w:t>
      </w:r>
    </w:p>
    <w:p>
      <w:pPr>
        <w:pStyle w:val="20"/>
        <w:ind w:left="720" w:firstLine="0" w:firstLineChars="0"/>
        <w:jc w:val="center"/>
        <w:rPr>
          <w:rFonts w:ascii="宋体" w:hAnsi="宋体" w:eastAsia="宋体" w:cs="宋体"/>
          <w:color w:val="auto"/>
          <w:sz w:val="24"/>
          <w:szCs w:val="24"/>
        </w:rPr>
      </w:pPr>
      <m:oMath>
        <m:sSub>
          <m:sSubPr>
            <m:ctrlPr>
              <w:rPr>
                <w:rFonts w:hint="eastAsia" w:ascii="Cambria Math" w:hAnsi="Cambria Math" w:eastAsia="宋体" w:cs="宋体"/>
                <w:i/>
                <w:color w:val="auto"/>
                <w:sz w:val="24"/>
                <w:szCs w:val="24"/>
              </w:rPr>
            </m:ctrlPr>
          </m:sSubPr>
          <m:e>
            <m:r>
              <m:rPr/>
              <w:rPr>
                <w:rFonts w:hint="eastAsia" w:ascii="Cambria Math" w:hAnsi="Cambria Math" w:eastAsia="宋体" w:cs="宋体"/>
                <w:color w:val="auto"/>
                <w:sz w:val="24"/>
                <w:szCs w:val="24"/>
              </w:rPr>
              <m:t>F</m:t>
            </m:r>
            <m:ctrlPr>
              <w:rPr>
                <w:rFonts w:hint="eastAsia" w:ascii="Cambria Math" w:hAnsi="Cambria Math" w:eastAsia="宋体" w:cs="宋体"/>
                <w:i/>
                <w:color w:val="auto"/>
                <w:sz w:val="24"/>
                <w:szCs w:val="24"/>
              </w:rPr>
            </m:ctrlPr>
          </m:e>
          <m:sub>
            <m:r>
              <m:rPr/>
              <w:rPr>
                <w:rFonts w:hint="eastAsia" w:ascii="Cambria Math" w:hAnsi="Cambria Math" w:eastAsia="宋体" w:cs="宋体"/>
                <w:color w:val="auto"/>
                <w:sz w:val="24"/>
                <w:szCs w:val="24"/>
              </w:rPr>
              <m:t>L</m:t>
            </m:r>
            <m:ctrlPr>
              <w:rPr>
                <w:rFonts w:hint="eastAsia" w:ascii="Cambria Math" w:hAnsi="Cambria Math" w:eastAsia="宋体" w:cs="宋体"/>
                <w:i/>
                <w:color w:val="auto"/>
                <w:sz w:val="24"/>
                <w:szCs w:val="24"/>
              </w:rPr>
            </m:ctrlPr>
          </m:sub>
        </m:sSub>
        <m:r>
          <m:rPr/>
          <w:rPr>
            <w:rFonts w:hint="eastAsia" w:ascii="Cambria Math" w:hAnsi="Cambria Math" w:eastAsia="宋体" w:cs="宋体"/>
            <w:color w:val="auto"/>
            <w:sz w:val="24"/>
            <w:szCs w:val="24"/>
          </w:rPr>
          <m:t>=</m:t>
        </m:r>
        <m:f>
          <m:fPr>
            <m:ctrlPr>
              <w:rPr>
                <w:rFonts w:hint="eastAsia" w:ascii="Cambria Math" w:hAnsi="Cambria Math" w:eastAsia="宋体" w:cs="宋体"/>
                <w:i/>
                <w:color w:val="auto"/>
                <w:sz w:val="24"/>
                <w:szCs w:val="24"/>
              </w:rPr>
            </m:ctrlPr>
          </m:fPr>
          <m:num>
            <m:sSub>
              <m:sSubPr>
                <m:ctrlPr>
                  <w:rPr>
                    <w:rFonts w:hint="eastAsia" w:ascii="Cambria Math" w:hAnsi="Cambria Math" w:eastAsia="宋体" w:cs="宋体"/>
                    <w:i/>
                    <w:color w:val="auto"/>
                    <w:sz w:val="24"/>
                    <w:szCs w:val="24"/>
                  </w:rPr>
                </m:ctrlPr>
              </m:sSubPr>
              <m:e>
                <m:sSub>
                  <m:sSubPr>
                    <m:ctrlPr>
                      <w:rPr>
                        <w:rFonts w:hint="eastAsia" w:ascii="Cambria Math" w:hAnsi="Cambria Math" w:eastAsia="宋体" w:cs="宋体"/>
                        <w:i/>
                        <w:color w:val="auto"/>
                        <w:sz w:val="24"/>
                        <w:szCs w:val="24"/>
                      </w:rPr>
                    </m:ctrlPr>
                  </m:sSubPr>
                  <m:e>
                    <m:r>
                      <m:rPr/>
                      <w:rPr>
                        <w:rFonts w:hint="eastAsia" w:ascii="Cambria Math" w:hAnsi="Cambria Math" w:eastAsia="宋体" w:cs="宋体"/>
                        <w:color w:val="auto"/>
                        <w:sz w:val="24"/>
                        <w:szCs w:val="24"/>
                      </w:rPr>
                      <m:t>∆P</m:t>
                    </m:r>
                    <m:ctrlPr>
                      <w:rPr>
                        <w:rFonts w:hint="eastAsia" w:ascii="Cambria Math" w:hAnsi="Cambria Math" w:eastAsia="宋体" w:cs="宋体"/>
                        <w:i/>
                        <w:color w:val="auto"/>
                        <w:sz w:val="24"/>
                        <w:szCs w:val="24"/>
                      </w:rPr>
                    </m:ctrlPr>
                  </m:e>
                  <m:sub>
                    <m:r>
                      <m:rPr/>
                      <w:rPr>
                        <w:rFonts w:hint="eastAsia" w:ascii="Cambria Math" w:hAnsi="Cambria Math" w:eastAsia="宋体" w:cs="宋体"/>
                        <w:color w:val="auto"/>
                        <w:sz w:val="24"/>
                        <w:szCs w:val="24"/>
                      </w:rPr>
                      <m:t>L</m:t>
                    </m:r>
                    <m:ctrlPr>
                      <w:rPr>
                        <w:rFonts w:hint="eastAsia" w:ascii="Cambria Math" w:hAnsi="Cambria Math" w:eastAsia="宋体" w:cs="宋体"/>
                        <w:i/>
                        <w:color w:val="auto"/>
                        <w:sz w:val="24"/>
                        <w:szCs w:val="24"/>
                      </w:rPr>
                    </m:ctrlPr>
                  </m:sub>
                </m:sSub>
                <m:r>
                  <m:rPr/>
                  <w:rPr>
                    <w:rFonts w:hint="eastAsia" w:ascii="Cambria Math" w:hAnsi="Cambria Math" w:eastAsia="宋体" w:cs="宋体"/>
                    <w:color w:val="auto"/>
                    <w:sz w:val="24"/>
                    <w:szCs w:val="24"/>
                  </w:rPr>
                  <m:t>×F</m:t>
                </m:r>
                <m:ctrlPr>
                  <w:rPr>
                    <w:rFonts w:hint="eastAsia" w:ascii="Cambria Math" w:hAnsi="Cambria Math" w:eastAsia="宋体" w:cs="宋体"/>
                    <w:i/>
                    <w:color w:val="auto"/>
                    <w:sz w:val="24"/>
                    <w:szCs w:val="24"/>
                  </w:rPr>
                </m:ctrlPr>
              </m:e>
              <m:sub>
                <m:r>
                  <m:rPr/>
                  <w:rPr>
                    <w:rFonts w:hint="eastAsia" w:ascii="Cambria Math" w:hAnsi="Cambria Math" w:eastAsia="宋体" w:cs="宋体"/>
                    <w:color w:val="auto"/>
                    <w:sz w:val="24"/>
                    <w:szCs w:val="24"/>
                  </w:rPr>
                  <m:t>max</m:t>
                </m:r>
                <m:ctrlPr>
                  <w:rPr>
                    <w:rFonts w:hint="eastAsia" w:ascii="Cambria Math" w:hAnsi="Cambria Math" w:eastAsia="宋体" w:cs="宋体"/>
                    <w:i/>
                    <w:color w:val="auto"/>
                    <w:sz w:val="24"/>
                    <w:szCs w:val="24"/>
                  </w:rPr>
                </m:ctrlPr>
              </m:sub>
            </m:sSub>
            <m:ctrlPr>
              <w:rPr>
                <w:rFonts w:hint="eastAsia" w:ascii="Cambria Math" w:hAnsi="Cambria Math" w:eastAsia="宋体" w:cs="宋体"/>
                <w:i/>
                <w:color w:val="auto"/>
                <w:sz w:val="24"/>
                <w:szCs w:val="24"/>
              </w:rPr>
            </m:ctrlPr>
          </m:num>
          <m:den>
            <m:r>
              <m:rPr/>
              <w:rPr>
                <w:rFonts w:hint="eastAsia" w:ascii="Cambria Math" w:hAnsi="Cambria Math" w:eastAsia="宋体" w:cs="宋体"/>
                <w:color w:val="auto"/>
                <w:sz w:val="24"/>
                <w:szCs w:val="24"/>
              </w:rPr>
              <m:t>P</m:t>
            </m:r>
            <m:ctrlPr>
              <w:rPr>
                <w:rFonts w:hint="eastAsia" w:ascii="Cambria Math" w:hAnsi="Cambria Math" w:eastAsia="宋体" w:cs="宋体"/>
                <w:i/>
                <w:color w:val="auto"/>
                <w:sz w:val="24"/>
                <w:szCs w:val="24"/>
              </w:rPr>
            </m:ctrlPr>
          </m:den>
        </m:f>
      </m:oMath>
      <w:r>
        <w:rPr>
          <w:rFonts w:hint="eastAsia" w:ascii="宋体" w:hAnsi="宋体" w:eastAsia="宋体" w:cs="宋体"/>
          <w:i/>
          <w:color w:val="auto"/>
          <w:sz w:val="24"/>
          <w:szCs w:val="24"/>
        </w:rPr>
        <w:t xml:space="preserve"> </w:t>
      </w:r>
      <w:r>
        <w:rPr>
          <w:rFonts w:hint="eastAsia" w:ascii="宋体" w:hAnsi="宋体" w:eastAsia="宋体" w:cs="宋体"/>
          <w:color w:val="auto"/>
          <w:sz w:val="24"/>
          <w:szCs w:val="24"/>
        </w:rPr>
        <w:t>···························（4）</w:t>
      </w:r>
    </w:p>
    <w:p>
      <w:pPr>
        <w:pStyle w:val="20"/>
        <w:ind w:left="567" w:firstLine="0" w:firstLineChars="0"/>
        <w:rPr>
          <w:rFonts w:ascii="宋体" w:hAnsi="宋体" w:eastAsia="宋体" w:cs="宋体"/>
          <w:color w:val="auto"/>
          <w:sz w:val="24"/>
          <w:szCs w:val="24"/>
        </w:rPr>
      </w:pPr>
      <m:oMath>
        <m:sSub>
          <m:sSubPr>
            <m:ctrlPr>
              <w:rPr>
                <w:rFonts w:hint="eastAsia" w:ascii="Cambria Math" w:hAnsi="Cambria Math" w:eastAsia="宋体" w:cs="宋体"/>
                <w:color w:val="auto"/>
                <w:sz w:val="24"/>
                <w:szCs w:val="24"/>
              </w:rPr>
            </m:ctrlPr>
          </m:sSubPr>
          <m:e>
            <m:r>
              <m:rPr>
                <m:sty m:val="p"/>
              </m:rPr>
              <w:rPr>
                <w:rFonts w:hint="eastAsia" w:ascii="Cambria Math" w:hAnsi="Cambria Math" w:eastAsia="宋体" w:cs="宋体"/>
                <w:color w:val="auto"/>
                <w:sz w:val="24"/>
                <w:szCs w:val="24"/>
              </w:rPr>
              <m:t>F</m:t>
            </m:r>
            <m:ctrlPr>
              <w:rPr>
                <w:rFonts w:hint="eastAsia" w:ascii="Cambria Math" w:hAnsi="Cambria Math" w:eastAsia="宋体" w:cs="宋体"/>
                <w:color w:val="auto"/>
                <w:sz w:val="24"/>
                <w:szCs w:val="24"/>
              </w:rPr>
            </m:ctrlPr>
          </m:e>
          <m:sub>
            <m:r>
              <m:rPr>
                <m:sty m:val="p"/>
              </m:rPr>
              <w:rPr>
                <w:rFonts w:hint="eastAsia" w:ascii="Cambria Math" w:hAnsi="Cambria Math" w:eastAsia="宋体" w:cs="宋体"/>
                <w:color w:val="auto"/>
                <w:sz w:val="24"/>
                <w:szCs w:val="24"/>
              </w:rPr>
              <m:t>L</m:t>
            </m:r>
            <m:ctrlPr>
              <w:rPr>
                <w:rFonts w:hint="eastAsia" w:ascii="Cambria Math" w:hAnsi="Cambria Math" w:eastAsia="宋体" w:cs="宋体"/>
                <w:color w:val="auto"/>
                <w:sz w:val="24"/>
                <w:szCs w:val="24"/>
              </w:rPr>
            </m:ctrlPr>
          </m:sub>
        </m:sSub>
      </m:oMath>
      <w:r>
        <w:rPr>
          <w:rFonts w:hint="eastAsia" w:ascii="宋体" w:hAnsi="宋体" w:eastAsia="宋体" w:cs="宋体"/>
          <w:color w:val="auto"/>
          <w:sz w:val="24"/>
          <w:szCs w:val="24"/>
        </w:rPr>
        <w:t>—重量指示仪灵敏限（kN）；</w:t>
      </w:r>
    </w:p>
    <w:p>
      <w:pPr>
        <w:pStyle w:val="20"/>
        <w:ind w:left="567" w:firstLine="0" w:firstLineChars="0"/>
        <w:rPr>
          <w:rFonts w:ascii="宋体" w:hAnsi="宋体" w:eastAsia="宋体" w:cs="宋体"/>
          <w:color w:val="auto"/>
          <w:sz w:val="24"/>
          <w:szCs w:val="24"/>
        </w:rPr>
      </w:pPr>
      <m:oMath>
        <m:sSub>
          <m:sSubPr>
            <m:ctrlPr>
              <w:rPr>
                <w:rFonts w:hint="eastAsia" w:ascii="Cambria Math" w:hAnsi="Cambria Math" w:eastAsia="宋体" w:cs="宋体"/>
                <w:color w:val="auto"/>
                <w:sz w:val="24"/>
                <w:szCs w:val="24"/>
              </w:rPr>
            </m:ctrlPr>
          </m:sSubPr>
          <m:e>
            <m:r>
              <m:rPr>
                <m:sty m:val="p"/>
              </m:rPr>
              <w:rPr>
                <w:rFonts w:hint="eastAsia" w:ascii="Cambria Math" w:hAnsi="Cambria Math" w:eastAsia="宋体" w:cs="宋体"/>
                <w:color w:val="auto"/>
                <w:sz w:val="24"/>
                <w:szCs w:val="24"/>
              </w:rPr>
              <m:t>∆P</m:t>
            </m:r>
            <m:ctrlPr>
              <w:rPr>
                <w:rFonts w:hint="eastAsia" w:ascii="Cambria Math" w:hAnsi="Cambria Math" w:eastAsia="宋体" w:cs="宋体"/>
                <w:color w:val="auto"/>
                <w:sz w:val="24"/>
                <w:szCs w:val="24"/>
              </w:rPr>
            </m:ctrlPr>
          </m:e>
          <m:sub>
            <m:r>
              <m:rPr>
                <m:sty m:val="p"/>
              </m:rPr>
              <w:rPr>
                <w:rFonts w:hint="eastAsia" w:ascii="Cambria Math" w:hAnsi="Cambria Math" w:eastAsia="宋体" w:cs="宋体"/>
                <w:color w:val="auto"/>
                <w:sz w:val="24"/>
                <w:szCs w:val="24"/>
              </w:rPr>
              <m:t>L</m:t>
            </m:r>
            <m:ctrlPr>
              <w:rPr>
                <w:rFonts w:hint="eastAsia" w:ascii="Cambria Math" w:hAnsi="Cambria Math" w:eastAsia="宋体" w:cs="宋体"/>
                <w:color w:val="auto"/>
                <w:sz w:val="24"/>
                <w:szCs w:val="24"/>
              </w:rPr>
            </m:ctrlPr>
          </m:sub>
        </m:sSub>
      </m:oMath>
      <w:r>
        <w:rPr>
          <w:rFonts w:hint="eastAsia" w:ascii="宋体" w:hAnsi="宋体" w:eastAsia="宋体" w:cs="宋体"/>
          <w:color w:val="auto"/>
          <w:sz w:val="24"/>
          <w:szCs w:val="24"/>
        </w:rPr>
        <w:t>—使重量指示仪指针开始有明显移动的前后压力变化量。</w:t>
      </w:r>
    </w:p>
    <w:p>
      <w:pPr>
        <w:pStyle w:val="23"/>
        <w:numPr>
          <w:ilvl w:val="1"/>
          <w:numId w:val="0"/>
        </w:numPr>
        <w:tabs>
          <w:tab w:val="left" w:pos="426"/>
        </w:tabs>
        <w:spacing w:before="180" w:after="180"/>
        <w:rPr>
          <w:rFonts w:ascii="宋体" w:hAnsi="宋体" w:eastAsia="宋体" w:cs="宋体"/>
          <w:color w:val="auto"/>
          <w:sz w:val="24"/>
          <w:szCs w:val="24"/>
        </w:rPr>
      </w:pPr>
      <w:r>
        <w:rPr>
          <w:rFonts w:hint="eastAsia" w:ascii="宋体" w:hAnsi="宋体" w:eastAsia="宋体" w:cs="宋体"/>
          <w:color w:val="auto"/>
          <w:sz w:val="24"/>
          <w:szCs w:val="24"/>
        </w:rPr>
        <w:t>7.5.2指重表系统灵敏限测定</w:t>
      </w:r>
      <w:bookmarkStart w:id="56" w:name="_GoBack"/>
      <w:bookmarkEnd w:id="56"/>
    </w:p>
    <w:p>
      <w:pPr>
        <w:ind w:firstLine="480" w:firstLineChars="200"/>
        <w:rPr>
          <w:rFonts w:ascii="宋体" w:hAnsi="宋体" w:cs="宋体"/>
          <w:color w:val="auto"/>
          <w:sz w:val="24"/>
        </w:rPr>
      </w:pPr>
      <w:r>
        <w:rPr>
          <w:rFonts w:hint="eastAsia" w:ascii="宋体" w:hAnsi="宋体" w:cs="宋体"/>
          <w:color w:val="auto"/>
          <w:sz w:val="24"/>
        </w:rPr>
        <w:t>在7.2.3.2校准过程中，分别在校准量程的约20%，50%，80%的位置上，通过司钻操作，施加载荷，使重量指示仪指针开始有明显移动，记录重量指示仪指针变动前后悬重测量仪的示值变化量，指重表系统灵敏限按公式（5）计算，结果应满足5.5的规定。</w:t>
      </w:r>
    </w:p>
    <w:p>
      <w:pPr>
        <w:pStyle w:val="20"/>
        <w:ind w:left="720" w:firstLine="0" w:firstLineChars="0"/>
        <w:jc w:val="center"/>
        <w:rPr>
          <w:rFonts w:ascii="宋体" w:hAnsi="宋体" w:eastAsia="宋体" w:cs="宋体"/>
          <w:color w:val="auto"/>
          <w:sz w:val="24"/>
          <w:szCs w:val="24"/>
        </w:rPr>
      </w:pPr>
      <m:oMath>
        <m:sSubSup>
          <m:sSubSupPr>
            <m:ctrlPr>
              <w:rPr>
                <w:rFonts w:hint="eastAsia" w:ascii="Cambria Math" w:hAnsi="Cambria Math" w:eastAsia="宋体" w:cs="宋体"/>
                <w:color w:val="auto"/>
                <w:sz w:val="24"/>
                <w:szCs w:val="24"/>
              </w:rPr>
            </m:ctrlPr>
          </m:sSubSupPr>
          <m:e>
            <m:r>
              <m:rPr/>
              <w:rPr>
                <w:rFonts w:hint="eastAsia" w:ascii="Cambria Math" w:hAnsi="Cambria Math" w:eastAsia="宋体" w:cs="宋体"/>
                <w:color w:val="auto"/>
                <w:sz w:val="24"/>
                <w:szCs w:val="24"/>
              </w:rPr>
              <m:t>F</m:t>
            </m:r>
            <m:ctrlPr>
              <w:rPr>
                <w:rFonts w:hint="eastAsia" w:ascii="Cambria Math" w:hAnsi="Cambria Math" w:eastAsia="宋体" w:cs="宋体"/>
                <w:color w:val="auto"/>
                <w:sz w:val="24"/>
                <w:szCs w:val="24"/>
              </w:rPr>
            </m:ctrlPr>
          </m:e>
          <m:sub>
            <m:r>
              <m:rPr/>
              <w:rPr>
                <w:rFonts w:hint="eastAsia" w:ascii="Cambria Math" w:hAnsi="Cambria Math" w:eastAsia="宋体" w:cs="宋体"/>
                <w:color w:val="auto"/>
                <w:sz w:val="24"/>
                <w:szCs w:val="24"/>
              </w:rPr>
              <m:t>L</m:t>
            </m:r>
            <m:ctrlPr>
              <w:rPr>
                <w:rFonts w:hint="eastAsia" w:ascii="Cambria Math" w:hAnsi="Cambria Math" w:eastAsia="宋体" w:cs="宋体"/>
                <w:color w:val="auto"/>
                <w:sz w:val="24"/>
                <w:szCs w:val="24"/>
              </w:rPr>
            </m:ctrlPr>
          </m:sub>
          <m:sup>
            <m:r>
              <m:rPr>
                <m:sty m:val="p"/>
              </m:rPr>
              <w:rPr>
                <w:rFonts w:hint="eastAsia" w:ascii="Cambria Math" w:hAnsi="Cambria Math" w:eastAsia="宋体" w:cs="宋体"/>
                <w:color w:val="auto"/>
                <w:sz w:val="24"/>
                <w:szCs w:val="24"/>
              </w:rPr>
              <m:t>'</m:t>
            </m:r>
            <m:ctrlPr>
              <w:rPr>
                <w:rFonts w:hint="eastAsia" w:ascii="Cambria Math" w:hAnsi="Cambria Math" w:eastAsia="宋体" w:cs="宋体"/>
                <w:color w:val="auto"/>
                <w:sz w:val="24"/>
                <w:szCs w:val="24"/>
              </w:rPr>
            </m:ctrlPr>
          </m:sup>
        </m:sSubSup>
        <m:r>
          <m:rPr/>
          <w:rPr>
            <w:rFonts w:hint="eastAsia" w:ascii="Cambria Math" w:hAnsi="Cambria Math" w:eastAsia="宋体" w:cs="宋体"/>
            <w:color w:val="auto"/>
            <w:sz w:val="24"/>
            <w:szCs w:val="24"/>
          </w:rPr>
          <m:t>=</m:t>
        </m:r>
        <m:f>
          <m:fPr>
            <m:ctrlPr>
              <w:rPr>
                <w:rFonts w:hint="eastAsia" w:ascii="Cambria Math" w:hAnsi="Cambria Math" w:eastAsia="宋体" w:cs="宋体"/>
                <w:i/>
                <w:color w:val="auto"/>
                <w:sz w:val="24"/>
                <w:szCs w:val="24"/>
              </w:rPr>
            </m:ctrlPr>
          </m:fPr>
          <m:num>
            <m:r>
              <m:rPr/>
              <w:rPr>
                <w:rFonts w:hint="eastAsia" w:ascii="Cambria Math" w:hAnsi="Cambria Math" w:eastAsia="宋体" w:cs="宋体"/>
                <w:color w:val="auto"/>
                <w:sz w:val="24"/>
                <w:szCs w:val="24"/>
              </w:rPr>
              <m:t>∆f</m:t>
            </m:r>
            <m:ctrlPr>
              <w:rPr>
                <w:rFonts w:hint="eastAsia" w:ascii="Cambria Math" w:hAnsi="Cambria Math" w:eastAsia="宋体" w:cs="宋体"/>
                <w:i/>
                <w:color w:val="auto"/>
                <w:sz w:val="24"/>
                <w:szCs w:val="24"/>
              </w:rPr>
            </m:ctrlPr>
          </m:num>
          <m:den>
            <m:sSub>
              <m:sSubPr>
                <m:ctrlPr>
                  <w:rPr>
                    <w:rFonts w:hint="eastAsia" w:ascii="Cambria Math" w:hAnsi="Cambria Math" w:eastAsia="宋体" w:cs="宋体"/>
                    <w:i/>
                    <w:color w:val="auto"/>
                    <w:sz w:val="24"/>
                    <w:szCs w:val="24"/>
                  </w:rPr>
                </m:ctrlPr>
              </m:sSubPr>
              <m:e>
                <m:r>
                  <m:rPr/>
                  <w:rPr>
                    <w:rFonts w:hint="eastAsia" w:ascii="Cambria Math" w:hAnsi="Cambria Math" w:eastAsia="宋体" w:cs="宋体"/>
                    <w:color w:val="auto"/>
                    <w:sz w:val="24"/>
                    <w:szCs w:val="24"/>
                  </w:rPr>
                  <m:t>F</m:t>
                </m:r>
                <m:ctrlPr>
                  <w:rPr>
                    <w:rFonts w:hint="eastAsia" w:ascii="Cambria Math" w:hAnsi="Cambria Math" w:eastAsia="宋体" w:cs="宋体"/>
                    <w:i/>
                    <w:color w:val="auto"/>
                    <w:sz w:val="24"/>
                    <w:szCs w:val="24"/>
                  </w:rPr>
                </m:ctrlPr>
              </m:e>
              <m:sub>
                <m:r>
                  <m:rPr/>
                  <w:rPr>
                    <w:rFonts w:hint="eastAsia" w:ascii="Cambria Math" w:hAnsi="Cambria Math" w:eastAsia="宋体" w:cs="宋体"/>
                    <w:color w:val="auto"/>
                    <w:sz w:val="24"/>
                    <w:szCs w:val="24"/>
                  </w:rPr>
                  <m:t>max</m:t>
                </m:r>
                <m:ctrlPr>
                  <w:rPr>
                    <w:rFonts w:hint="eastAsia" w:ascii="Cambria Math" w:hAnsi="Cambria Math" w:eastAsia="宋体" w:cs="宋体"/>
                    <w:i/>
                    <w:color w:val="auto"/>
                    <w:sz w:val="24"/>
                    <w:szCs w:val="24"/>
                  </w:rPr>
                </m:ctrlPr>
              </m:sub>
            </m:sSub>
            <m:ctrlPr>
              <w:rPr>
                <w:rFonts w:hint="eastAsia" w:ascii="Cambria Math" w:hAnsi="Cambria Math" w:eastAsia="宋体" w:cs="宋体"/>
                <w:i/>
                <w:color w:val="auto"/>
                <w:sz w:val="24"/>
                <w:szCs w:val="24"/>
              </w:rPr>
            </m:ctrlPr>
          </m:den>
        </m:f>
      </m:oMath>
      <w:r>
        <w:rPr>
          <w:rFonts w:hint="eastAsia" w:ascii="宋体" w:hAnsi="宋体" w:eastAsia="宋体" w:cs="宋体"/>
          <w:color w:val="auto"/>
          <w:sz w:val="24"/>
          <w:szCs w:val="24"/>
        </w:rPr>
        <w:t>·····························（5）</w:t>
      </w:r>
    </w:p>
    <w:p>
      <w:pPr>
        <w:pStyle w:val="20"/>
        <w:ind w:left="720" w:firstLine="0" w:firstLineChars="0"/>
        <w:jc w:val="left"/>
        <w:rPr>
          <w:rFonts w:ascii="宋体" w:hAnsi="宋体" w:eastAsia="宋体" w:cs="宋体"/>
          <w:color w:val="auto"/>
          <w:sz w:val="24"/>
          <w:szCs w:val="24"/>
        </w:rPr>
      </w:pPr>
      <m:oMath>
        <m:sSubSup>
          <m:sSubSupPr>
            <m:ctrlPr>
              <w:rPr>
                <w:rFonts w:hint="eastAsia" w:ascii="Cambria Math" w:hAnsi="Cambria Math" w:eastAsia="宋体" w:cs="宋体"/>
                <w:color w:val="auto"/>
                <w:sz w:val="24"/>
                <w:szCs w:val="24"/>
              </w:rPr>
            </m:ctrlPr>
          </m:sSubSupPr>
          <m:e>
            <m:r>
              <m:rPr/>
              <w:rPr>
                <w:rFonts w:hint="eastAsia" w:ascii="Cambria Math" w:hAnsi="Cambria Math" w:eastAsia="宋体" w:cs="宋体"/>
                <w:color w:val="auto"/>
                <w:sz w:val="24"/>
                <w:szCs w:val="24"/>
              </w:rPr>
              <m:t>F</m:t>
            </m:r>
            <m:ctrlPr>
              <w:rPr>
                <w:rFonts w:hint="eastAsia" w:ascii="Cambria Math" w:hAnsi="Cambria Math" w:eastAsia="宋体" w:cs="宋体"/>
                <w:color w:val="auto"/>
                <w:sz w:val="24"/>
                <w:szCs w:val="24"/>
              </w:rPr>
            </m:ctrlPr>
          </m:e>
          <m:sub>
            <m:r>
              <m:rPr/>
              <w:rPr>
                <w:rFonts w:hint="eastAsia" w:ascii="Cambria Math" w:hAnsi="Cambria Math" w:eastAsia="宋体" w:cs="宋体"/>
                <w:color w:val="auto"/>
                <w:sz w:val="24"/>
                <w:szCs w:val="24"/>
              </w:rPr>
              <m:t>L</m:t>
            </m:r>
            <m:ctrlPr>
              <w:rPr>
                <w:rFonts w:hint="eastAsia" w:ascii="Cambria Math" w:hAnsi="Cambria Math" w:eastAsia="宋体" w:cs="宋体"/>
                <w:color w:val="auto"/>
                <w:sz w:val="24"/>
                <w:szCs w:val="24"/>
              </w:rPr>
            </m:ctrlPr>
          </m:sub>
          <m:sup>
            <m:r>
              <m:rPr>
                <m:sty m:val="p"/>
              </m:rPr>
              <w:rPr>
                <w:rFonts w:hint="eastAsia" w:ascii="Cambria Math" w:hAnsi="Cambria Math" w:eastAsia="宋体" w:cs="宋体"/>
                <w:color w:val="auto"/>
                <w:sz w:val="24"/>
                <w:szCs w:val="24"/>
              </w:rPr>
              <m:t>'</m:t>
            </m:r>
            <m:ctrlPr>
              <w:rPr>
                <w:rFonts w:hint="eastAsia" w:ascii="Cambria Math" w:hAnsi="Cambria Math" w:eastAsia="宋体" w:cs="宋体"/>
                <w:color w:val="auto"/>
                <w:sz w:val="24"/>
                <w:szCs w:val="24"/>
              </w:rPr>
            </m:ctrlPr>
          </m:sup>
        </m:sSubSup>
      </m:oMath>
      <w:r>
        <w:rPr>
          <w:rFonts w:hint="eastAsia" w:ascii="宋体" w:hAnsi="宋体" w:eastAsia="宋体" w:cs="宋体"/>
          <w:color w:val="auto"/>
          <w:sz w:val="24"/>
          <w:szCs w:val="24"/>
        </w:rPr>
        <w:t>—指重表系统灵敏限（kN）；</w:t>
      </w:r>
    </w:p>
    <w:p>
      <w:pPr>
        <w:pStyle w:val="20"/>
        <w:ind w:left="720" w:firstLine="0" w:firstLineChars="0"/>
        <w:jc w:val="left"/>
        <w:rPr>
          <w:rFonts w:ascii="宋体" w:hAnsi="宋体" w:eastAsia="宋体" w:cs="宋体"/>
          <w:color w:val="auto"/>
          <w:sz w:val="24"/>
          <w:szCs w:val="24"/>
        </w:rPr>
      </w:pPr>
      <m:oMath>
        <m:r>
          <m:rPr/>
          <w:rPr>
            <w:rFonts w:hint="eastAsia" w:ascii="Cambria Math" w:hAnsi="Cambria Math" w:eastAsia="宋体" w:cs="宋体"/>
            <w:color w:val="auto"/>
            <w:sz w:val="24"/>
            <w:szCs w:val="24"/>
          </w:rPr>
          <m:t>∆f</m:t>
        </m:r>
      </m:oMath>
      <w:r>
        <w:rPr>
          <w:rFonts w:hint="eastAsia" w:ascii="宋体" w:hAnsi="宋体" w:eastAsia="宋体" w:cs="宋体"/>
          <w:color w:val="auto"/>
          <w:sz w:val="24"/>
          <w:szCs w:val="24"/>
        </w:rPr>
        <w:t>—重量指示仪指针变动前后悬重测量仪的示值变化量。</w:t>
      </w:r>
    </w:p>
    <w:p>
      <w:pPr>
        <w:pStyle w:val="23"/>
        <w:numPr>
          <w:ilvl w:val="1"/>
          <w:numId w:val="0"/>
        </w:numPr>
        <w:tabs>
          <w:tab w:val="left" w:pos="426"/>
        </w:tabs>
        <w:spacing w:before="180" w:after="180"/>
        <w:rPr>
          <w:rFonts w:ascii="宋体" w:hAnsi="宋体" w:eastAsia="宋体" w:cs="宋体"/>
          <w:color w:val="auto"/>
          <w:sz w:val="24"/>
          <w:szCs w:val="24"/>
        </w:rPr>
      </w:pPr>
      <w:bookmarkStart w:id="49" w:name="_Toc113977980"/>
      <w:r>
        <w:rPr>
          <w:rFonts w:hint="eastAsia" w:ascii="宋体" w:hAnsi="宋体" w:eastAsia="宋体" w:cs="宋体"/>
          <w:color w:val="auto"/>
          <w:sz w:val="24"/>
          <w:szCs w:val="24"/>
        </w:rPr>
        <w:t>7.6指针偏转平稳性</w:t>
      </w:r>
      <w:bookmarkEnd w:id="49"/>
    </w:p>
    <w:p>
      <w:pPr>
        <w:ind w:firstLine="480" w:firstLineChars="200"/>
        <w:rPr>
          <w:rFonts w:ascii="宋体" w:hAnsi="宋体" w:cs="宋体"/>
          <w:b/>
          <w:color w:val="auto"/>
          <w:sz w:val="24"/>
        </w:rPr>
      </w:pPr>
      <w:r>
        <w:rPr>
          <w:rFonts w:hint="eastAsia" w:ascii="宋体" w:hAnsi="宋体" w:cs="宋体"/>
          <w:color w:val="auto"/>
          <w:sz w:val="24"/>
        </w:rPr>
        <w:t>在校准过程中，目测检查指针偏转的平稳性，指针不应有跳动和停滞现象，应符合5.6的规定。</w:t>
      </w:r>
    </w:p>
    <w:p>
      <w:pPr>
        <w:pStyle w:val="23"/>
        <w:numPr>
          <w:ilvl w:val="1"/>
          <w:numId w:val="0"/>
        </w:numPr>
        <w:tabs>
          <w:tab w:val="left" w:pos="426"/>
        </w:tabs>
        <w:spacing w:before="180" w:after="180"/>
        <w:rPr>
          <w:rFonts w:ascii="宋体" w:hAnsi="宋体" w:eastAsia="宋体" w:cs="宋体"/>
          <w:color w:val="auto"/>
          <w:sz w:val="24"/>
          <w:szCs w:val="24"/>
        </w:rPr>
      </w:pPr>
      <w:bookmarkStart w:id="50" w:name="_Toc113977981"/>
      <w:r>
        <w:rPr>
          <w:rFonts w:hint="eastAsia" w:ascii="宋体" w:hAnsi="宋体" w:eastAsia="宋体" w:cs="宋体"/>
          <w:color w:val="auto"/>
          <w:sz w:val="24"/>
          <w:szCs w:val="24"/>
        </w:rPr>
        <w:t>7.7密封性能</w:t>
      </w:r>
      <w:bookmarkEnd w:id="50"/>
    </w:p>
    <w:p>
      <w:pPr>
        <w:ind w:firstLine="480" w:firstLineChars="200"/>
        <w:rPr>
          <w:rFonts w:ascii="宋体" w:hAnsi="宋体" w:cs="宋体"/>
          <w:color w:val="auto"/>
          <w:sz w:val="24"/>
        </w:rPr>
      </w:pPr>
      <w:r>
        <w:rPr>
          <w:rFonts w:hint="eastAsia" w:ascii="宋体" w:hAnsi="宋体" w:cs="宋体"/>
          <w:color w:val="auto"/>
          <w:sz w:val="24"/>
        </w:rPr>
        <w:t>重量指示仪的密封性在7.2.1.2的校准过程中进行，指重表系统的密封性在7.2.3.2校准过程中进行，试验结果应符合5.7规定。</w:t>
      </w:r>
    </w:p>
    <w:p>
      <w:pPr>
        <w:pStyle w:val="23"/>
        <w:numPr>
          <w:ilvl w:val="1"/>
          <w:numId w:val="0"/>
        </w:numPr>
        <w:tabs>
          <w:tab w:val="left" w:pos="426"/>
        </w:tabs>
        <w:spacing w:before="180" w:after="180"/>
        <w:rPr>
          <w:rFonts w:ascii="宋体" w:hAnsi="宋体" w:eastAsia="宋体" w:cs="宋体"/>
          <w:color w:val="auto"/>
          <w:sz w:val="24"/>
          <w:szCs w:val="24"/>
        </w:rPr>
      </w:pPr>
      <w:bookmarkStart w:id="51" w:name="_Toc113977982"/>
      <w:r>
        <w:rPr>
          <w:rFonts w:hint="eastAsia" w:ascii="宋体" w:hAnsi="宋体" w:eastAsia="宋体" w:cs="宋体"/>
          <w:color w:val="auto"/>
          <w:sz w:val="24"/>
          <w:szCs w:val="24"/>
        </w:rPr>
        <w:t>7.8记录时钟</w:t>
      </w:r>
      <w:bookmarkEnd w:id="51"/>
    </w:p>
    <w:p>
      <w:pPr>
        <w:ind w:firstLine="480" w:firstLineChars="200"/>
        <w:rPr>
          <w:rFonts w:ascii="宋体" w:hAnsi="宋体" w:cs="宋体"/>
          <w:color w:val="auto"/>
          <w:sz w:val="24"/>
        </w:rPr>
      </w:pPr>
      <w:r>
        <w:rPr>
          <w:rFonts w:hint="eastAsia" w:ascii="宋体" w:hAnsi="宋体" w:cs="宋体"/>
          <w:color w:val="auto"/>
          <w:sz w:val="24"/>
        </w:rPr>
        <w:t>用计时器比对，记录仪时钟走时误差应符合5.8的规定。</w:t>
      </w:r>
    </w:p>
    <w:p>
      <w:pPr>
        <w:pStyle w:val="51"/>
        <w:numPr>
          <w:ilvl w:val="1"/>
          <w:numId w:val="0"/>
        </w:numPr>
        <w:spacing w:before="360" w:after="360"/>
        <w:rPr>
          <w:rFonts w:ascii="宋体" w:hAnsi="宋体" w:eastAsia="宋体" w:cs="宋体"/>
          <w:color w:val="auto"/>
          <w:sz w:val="24"/>
          <w:szCs w:val="24"/>
        </w:rPr>
      </w:pPr>
      <w:r>
        <w:rPr>
          <w:rFonts w:hint="eastAsia" w:ascii="宋体" w:hAnsi="宋体" w:eastAsia="宋体" w:cs="宋体"/>
          <w:color w:val="auto"/>
          <w:sz w:val="24"/>
          <w:szCs w:val="24"/>
        </w:rPr>
        <w:t>8、本规范规定了校准结果</w:t>
      </w:r>
      <w:bookmarkEnd w:id="41"/>
      <w:bookmarkEnd w:id="42"/>
      <w:r>
        <w:rPr>
          <w:rFonts w:hint="eastAsia" w:ascii="宋体" w:hAnsi="宋体" w:eastAsia="宋体" w:cs="宋体"/>
          <w:color w:val="auto"/>
          <w:sz w:val="24"/>
          <w:szCs w:val="24"/>
        </w:rPr>
        <w:t>表达</w:t>
      </w:r>
    </w:p>
    <w:p>
      <w:pPr>
        <w:pStyle w:val="51"/>
        <w:numPr>
          <w:ilvl w:val="1"/>
          <w:numId w:val="0"/>
        </w:numPr>
        <w:spacing w:before="360" w:after="360"/>
        <w:rPr>
          <w:rFonts w:ascii="宋体" w:hAnsi="宋体" w:eastAsia="宋体" w:cs="宋体"/>
          <w:color w:val="auto"/>
          <w:sz w:val="24"/>
          <w:szCs w:val="24"/>
        </w:rPr>
      </w:pPr>
      <w:bookmarkStart w:id="52" w:name="_Toc113977984"/>
      <w:r>
        <w:rPr>
          <w:rFonts w:hint="eastAsia" w:ascii="宋体" w:hAnsi="宋体" w:eastAsia="宋体" w:cs="宋体"/>
          <w:color w:val="auto"/>
          <w:sz w:val="24"/>
          <w:szCs w:val="24"/>
        </w:rPr>
        <w:t>8.1校准记录</w:t>
      </w:r>
      <w:bookmarkEnd w:id="52"/>
    </w:p>
    <w:p>
      <w:pPr>
        <w:ind w:firstLine="480" w:firstLineChars="200"/>
        <w:rPr>
          <w:rFonts w:ascii="宋体" w:hAnsi="宋体" w:cs="宋体"/>
          <w:color w:val="auto"/>
          <w:sz w:val="24"/>
        </w:rPr>
      </w:pPr>
      <w:r>
        <w:rPr>
          <w:rFonts w:hint="eastAsia" w:ascii="宋体" w:hAnsi="宋体" w:cs="宋体"/>
          <w:color w:val="auto"/>
          <w:sz w:val="24"/>
        </w:rPr>
        <w:t>原始校准数据应填入校准记录中（格式参照附录A中）。其中，重量指示仪的“记录仪”“钻压指示”可按表A.1更换名称即可。</w:t>
      </w:r>
    </w:p>
    <w:p>
      <w:pPr>
        <w:pStyle w:val="51"/>
        <w:numPr>
          <w:ilvl w:val="1"/>
          <w:numId w:val="0"/>
        </w:numPr>
        <w:spacing w:before="360" w:after="360"/>
        <w:rPr>
          <w:rFonts w:ascii="宋体" w:hAnsi="宋体" w:eastAsia="宋体" w:cs="宋体"/>
          <w:color w:val="auto"/>
          <w:sz w:val="24"/>
          <w:szCs w:val="24"/>
        </w:rPr>
      </w:pPr>
      <w:bookmarkStart w:id="53" w:name="_Toc113977985"/>
      <w:r>
        <w:rPr>
          <w:rFonts w:hint="eastAsia" w:ascii="宋体" w:hAnsi="宋体" w:eastAsia="宋体" w:cs="宋体"/>
          <w:color w:val="auto"/>
          <w:sz w:val="24"/>
          <w:szCs w:val="24"/>
        </w:rPr>
        <w:t>8.2校准结果的处理</w:t>
      </w:r>
      <w:bookmarkEnd w:id="53"/>
    </w:p>
    <w:p>
      <w:pPr>
        <w:pStyle w:val="25"/>
        <w:numPr>
          <w:ilvl w:val="2"/>
          <w:numId w:val="10"/>
        </w:numPr>
        <w:spacing w:before="180" w:after="180"/>
        <w:ind w:left="424" w:leftChars="202"/>
        <w:rPr>
          <w:rFonts w:ascii="宋体" w:hAnsi="宋体" w:eastAsia="宋体" w:cs="宋体"/>
          <w:color w:val="auto"/>
          <w:kern w:val="2"/>
          <w:sz w:val="24"/>
          <w:szCs w:val="24"/>
        </w:rPr>
      </w:pPr>
      <w:r>
        <w:rPr>
          <w:rFonts w:hint="eastAsia" w:ascii="宋体" w:hAnsi="宋体" w:eastAsia="宋体" w:cs="宋体"/>
          <w:color w:val="auto"/>
          <w:kern w:val="2"/>
          <w:sz w:val="24"/>
          <w:szCs w:val="24"/>
        </w:rPr>
        <w:t>对已校准的指重表出具校准证书。</w:t>
      </w:r>
    </w:p>
    <w:p>
      <w:pPr>
        <w:pStyle w:val="25"/>
        <w:numPr>
          <w:ilvl w:val="2"/>
          <w:numId w:val="0"/>
        </w:numPr>
        <w:spacing w:before="180" w:after="180"/>
        <w:ind w:firstLine="480" w:firstLineChars="200"/>
        <w:rPr>
          <w:rFonts w:ascii="宋体" w:hAnsi="宋体" w:eastAsia="宋体" w:cs="宋体"/>
          <w:color w:val="auto"/>
          <w:kern w:val="2"/>
          <w:sz w:val="24"/>
          <w:szCs w:val="24"/>
        </w:rPr>
      </w:pPr>
      <w:r>
        <w:rPr>
          <w:rFonts w:hint="eastAsia" w:ascii="宋体" w:hAnsi="宋体" w:eastAsia="宋体" w:cs="宋体"/>
          <w:color w:val="auto"/>
          <w:kern w:val="2"/>
          <w:sz w:val="24"/>
          <w:szCs w:val="24"/>
        </w:rPr>
        <w:t>2)系统校准的，校准证书封面中的仪器名称为“指重表”；只校准重量指示仪或死绳固定器的校准证书封面中的仪器名称为“指重表指示仪”或“死绳固定器”。</w:t>
      </w:r>
    </w:p>
    <w:p>
      <w:pPr>
        <w:pStyle w:val="25"/>
        <w:numPr>
          <w:ilvl w:val="2"/>
          <w:numId w:val="0"/>
        </w:numPr>
        <w:spacing w:before="180" w:after="180"/>
        <w:ind w:firstLine="480" w:firstLineChars="200"/>
        <w:rPr>
          <w:rFonts w:ascii="宋体" w:hAnsi="宋体" w:eastAsia="宋体" w:cs="宋体"/>
          <w:color w:val="auto"/>
          <w:kern w:val="2"/>
          <w:sz w:val="24"/>
          <w:szCs w:val="24"/>
        </w:rPr>
      </w:pPr>
      <w:r>
        <w:rPr>
          <w:rFonts w:hint="eastAsia" w:ascii="宋体" w:hAnsi="宋体" w:eastAsia="宋体" w:cs="宋体"/>
          <w:color w:val="auto"/>
          <w:kern w:val="2"/>
          <w:sz w:val="24"/>
          <w:szCs w:val="24"/>
        </w:rPr>
        <w:t>3)校准证书正文中给出所有校准项目的校准结果。正文格式及内容参考附录D。</w:t>
      </w:r>
    </w:p>
    <w:p>
      <w:pPr>
        <w:pStyle w:val="54"/>
        <w:spacing w:before="180" w:after="180"/>
        <w:rPr>
          <w:rFonts w:hAnsi="宋体" w:cs="宋体"/>
          <w:color w:val="auto"/>
          <w:sz w:val="24"/>
          <w:szCs w:val="24"/>
        </w:rPr>
      </w:pPr>
    </w:p>
    <w:p>
      <w:pPr>
        <w:pStyle w:val="51"/>
        <w:numPr>
          <w:ilvl w:val="1"/>
          <w:numId w:val="0"/>
        </w:numPr>
        <w:spacing w:before="360" w:after="360"/>
        <w:rPr>
          <w:rFonts w:ascii="宋体" w:hAnsi="宋体" w:eastAsia="宋体" w:cs="宋体"/>
          <w:color w:val="auto"/>
          <w:sz w:val="24"/>
          <w:szCs w:val="24"/>
        </w:rPr>
      </w:pPr>
      <w:bookmarkStart w:id="54" w:name="_Toc91169895"/>
      <w:bookmarkStart w:id="55" w:name="_Toc91170715"/>
      <w:r>
        <w:rPr>
          <w:rFonts w:hint="eastAsia" w:ascii="宋体" w:hAnsi="宋体" w:eastAsia="宋体" w:cs="宋体"/>
          <w:color w:val="auto"/>
          <w:sz w:val="24"/>
          <w:szCs w:val="24"/>
        </w:rPr>
        <w:t>9、本规范规定了复校时间间隔</w:t>
      </w:r>
      <w:bookmarkEnd w:id="54"/>
      <w:bookmarkEnd w:id="55"/>
    </w:p>
    <w:p>
      <w:pPr>
        <w:ind w:firstLine="480" w:firstLineChars="200"/>
        <w:rPr>
          <w:rFonts w:ascii="宋体" w:hAnsi="宋体" w:cs="宋体"/>
          <w:color w:val="auto"/>
          <w:sz w:val="24"/>
        </w:rPr>
      </w:pPr>
      <w:r>
        <w:rPr>
          <w:rFonts w:hint="eastAsia" w:ascii="宋体" w:hAnsi="宋体" w:cs="宋体"/>
          <w:color w:val="auto"/>
          <w:sz w:val="24"/>
        </w:rPr>
        <w:t>复校时间间隔由用户根据使用情况自行确定，建议复校时间间隔不超过1年。</w:t>
      </w:r>
    </w:p>
    <w:p>
      <w:pPr>
        <w:pStyle w:val="52"/>
        <w:ind w:firstLine="480"/>
        <w:rPr>
          <w:rFonts w:hAnsi="宋体" w:cs="宋体"/>
          <w:color w:val="auto"/>
          <w:sz w:val="24"/>
          <w:szCs w:val="24"/>
        </w:rPr>
      </w:pPr>
    </w:p>
    <w:p>
      <w:pPr>
        <w:pStyle w:val="52"/>
        <w:ind w:firstLine="0" w:firstLineChars="0"/>
        <w:rPr>
          <w:rFonts w:hAnsi="宋体" w:cs="宋体"/>
          <w:color w:val="auto"/>
          <w:sz w:val="24"/>
          <w:szCs w:val="24"/>
        </w:rPr>
      </w:pPr>
      <w:r>
        <w:rPr>
          <w:rFonts w:hint="eastAsia" w:hAnsi="宋体" w:cs="宋体"/>
          <w:color w:val="auto"/>
          <w:sz w:val="24"/>
          <w:szCs w:val="24"/>
        </w:rPr>
        <w:t>11、本校准规范提供了指重表在线校准规范的不确定度评定示例。</w:t>
      </w:r>
    </w:p>
    <w:p>
      <w:pPr>
        <w:pStyle w:val="52"/>
        <w:ind w:firstLine="0" w:firstLineChars="0"/>
        <w:rPr>
          <w:rFonts w:hAnsi="宋体" w:cs="宋体"/>
          <w:color w:val="auto"/>
          <w:sz w:val="24"/>
          <w:szCs w:val="24"/>
        </w:rPr>
      </w:pPr>
    </w:p>
    <w:p>
      <w:pPr>
        <w:spacing w:before="360" w:beforeLines="100" w:line="360" w:lineRule="auto"/>
        <w:rPr>
          <w:rFonts w:ascii="宋体" w:hAnsi="宋体"/>
          <w:b/>
          <w:color w:val="auto"/>
          <w:sz w:val="28"/>
          <w:szCs w:val="28"/>
        </w:rPr>
      </w:pPr>
      <w:r>
        <w:rPr>
          <w:rFonts w:hint="eastAsia" w:ascii="宋体" w:hAnsi="宋体"/>
          <w:b/>
          <w:color w:val="auto"/>
          <w:sz w:val="28"/>
          <w:szCs w:val="28"/>
        </w:rPr>
        <w:t>四、采标情况</w:t>
      </w:r>
    </w:p>
    <w:p>
      <w:pPr>
        <w:spacing w:line="360" w:lineRule="auto"/>
        <w:ind w:firstLine="480" w:firstLineChars="200"/>
        <w:rPr>
          <w:rFonts w:ascii="宋体" w:hAnsi="宋体"/>
          <w:sz w:val="24"/>
        </w:rPr>
      </w:pPr>
      <w:r>
        <w:rPr>
          <w:rFonts w:hint="eastAsia" w:ascii="宋体" w:hAnsi="宋体"/>
          <w:sz w:val="24"/>
        </w:rPr>
        <w:t>本规范不违背现行的法律、法规、政策及相关标准，同时参照了标准SY/T 7075—2016《石油钻修井指重表校准方法》及标准</w:t>
      </w:r>
      <w:r>
        <w:rPr>
          <w:rFonts w:ascii="宋体" w:hAnsi="宋体"/>
          <w:sz w:val="24"/>
        </w:rPr>
        <w:t xml:space="preserve">JJF 1059.1 </w:t>
      </w:r>
      <w:r>
        <w:rPr>
          <w:rFonts w:hint="eastAsia" w:ascii="宋体" w:hAnsi="宋体"/>
          <w:sz w:val="24"/>
        </w:rPr>
        <w:t>《测量不确定度评定与表示》。</w:t>
      </w:r>
    </w:p>
    <w:p>
      <w:pPr>
        <w:spacing w:before="360" w:beforeLines="100" w:line="360" w:lineRule="auto"/>
        <w:rPr>
          <w:rFonts w:ascii="宋体" w:hAnsi="宋体"/>
          <w:b/>
          <w:sz w:val="28"/>
          <w:szCs w:val="28"/>
        </w:rPr>
      </w:pPr>
      <w:r>
        <w:rPr>
          <w:rFonts w:hint="eastAsia" w:ascii="宋体" w:hAnsi="宋体"/>
          <w:b/>
          <w:sz w:val="28"/>
          <w:szCs w:val="28"/>
        </w:rPr>
        <w:t>五、主要试验验证情况和预期达到的效果</w:t>
      </w:r>
    </w:p>
    <w:p>
      <w:pPr>
        <w:spacing w:line="360" w:lineRule="auto"/>
        <w:ind w:firstLine="482" w:firstLineChars="200"/>
        <w:jc w:val="left"/>
        <w:rPr>
          <w:rFonts w:ascii="宋体" w:hAnsi="宋体" w:cs="宋体"/>
          <w:b/>
          <w:sz w:val="24"/>
        </w:rPr>
      </w:pPr>
      <w:r>
        <w:rPr>
          <w:rFonts w:hint="eastAsia" w:ascii="宋体" w:hAnsi="宋体" w:cs="宋体"/>
          <w:b/>
          <w:sz w:val="24"/>
        </w:rPr>
        <w:t>1、试验对象</w:t>
      </w:r>
    </w:p>
    <w:p>
      <w:pPr>
        <w:spacing w:line="360" w:lineRule="auto"/>
        <w:ind w:firstLine="480" w:firstLineChars="200"/>
        <w:jc w:val="left"/>
        <w:rPr>
          <w:rFonts w:ascii="宋体" w:hAnsi="宋体" w:cs="宋体"/>
          <w:sz w:val="24"/>
        </w:rPr>
      </w:pPr>
      <w:r>
        <w:rPr>
          <w:rFonts w:hint="eastAsia" w:ascii="宋体" w:hAnsi="宋体" w:cs="宋体"/>
          <w:sz w:val="24"/>
        </w:rPr>
        <w:t>检测地点：济阳坳陷东营凹陷 井号：纯斜422#</w:t>
      </w:r>
    </w:p>
    <w:p>
      <w:pPr>
        <w:spacing w:line="360" w:lineRule="auto"/>
        <w:ind w:firstLine="480" w:firstLineChars="200"/>
        <w:jc w:val="left"/>
        <w:rPr>
          <w:rFonts w:ascii="宋体" w:hAnsi="宋体" w:cs="宋体"/>
          <w:sz w:val="24"/>
        </w:rPr>
      </w:pPr>
      <w:r>
        <w:rPr>
          <w:rFonts w:hint="eastAsia" w:ascii="宋体" w:hAnsi="宋体" w:cs="宋体"/>
          <w:sz w:val="24"/>
        </w:rPr>
        <w:t>指重表重量指示仪：</w:t>
      </w:r>
    </w:p>
    <w:p>
      <w:pPr>
        <w:spacing w:line="360" w:lineRule="auto"/>
        <w:ind w:firstLine="480" w:firstLineChars="200"/>
        <w:jc w:val="left"/>
        <w:rPr>
          <w:rFonts w:ascii="宋体" w:hAnsi="宋体" w:cs="宋体"/>
          <w:sz w:val="24"/>
        </w:rPr>
      </w:pPr>
      <w:r>
        <w:rPr>
          <w:rFonts w:hint="eastAsia" w:ascii="宋体" w:hAnsi="宋体" w:cs="宋体"/>
          <w:sz w:val="24"/>
        </w:rPr>
        <w:t>型号规格：JZ400B</w:t>
      </w:r>
    </w:p>
    <w:p>
      <w:pPr>
        <w:spacing w:line="360" w:lineRule="auto"/>
        <w:ind w:firstLine="480" w:firstLineChars="200"/>
        <w:jc w:val="left"/>
        <w:rPr>
          <w:rFonts w:ascii="宋体" w:hAnsi="宋体" w:cs="宋体"/>
          <w:sz w:val="24"/>
        </w:rPr>
      </w:pPr>
      <w:r>
        <w:rPr>
          <w:rFonts w:hint="eastAsia" w:ascii="宋体" w:hAnsi="宋体" w:cs="宋体"/>
          <w:sz w:val="24"/>
        </w:rPr>
        <w:t>出厂编号：17009</w:t>
      </w:r>
    </w:p>
    <w:p>
      <w:pPr>
        <w:spacing w:line="360" w:lineRule="auto"/>
        <w:ind w:firstLine="480" w:firstLineChars="200"/>
        <w:jc w:val="left"/>
        <w:rPr>
          <w:rFonts w:ascii="宋体" w:hAnsi="宋体" w:cs="宋体"/>
          <w:sz w:val="24"/>
        </w:rPr>
      </w:pPr>
      <w:r>
        <w:rPr>
          <w:rFonts w:hint="eastAsia" w:ascii="宋体" w:hAnsi="宋体" w:cs="宋体"/>
          <w:sz w:val="24"/>
        </w:rPr>
        <w:t>出厂日期：/</w:t>
      </w:r>
    </w:p>
    <w:p>
      <w:pPr>
        <w:spacing w:line="360" w:lineRule="auto"/>
        <w:ind w:firstLine="480" w:firstLineChars="200"/>
        <w:jc w:val="left"/>
        <w:rPr>
          <w:rFonts w:ascii="宋体" w:hAnsi="宋体" w:cs="宋体"/>
          <w:sz w:val="24"/>
        </w:rPr>
      </w:pPr>
      <w:r>
        <w:rPr>
          <w:rFonts w:hint="eastAsia" w:ascii="宋体" w:hAnsi="宋体" w:cs="宋体"/>
          <w:sz w:val="24"/>
        </w:rPr>
        <w:t>最大死绳拉力：340kN</w:t>
      </w:r>
    </w:p>
    <w:p>
      <w:pPr>
        <w:spacing w:line="360" w:lineRule="auto"/>
        <w:ind w:firstLine="480" w:firstLineChars="200"/>
        <w:jc w:val="left"/>
        <w:rPr>
          <w:rFonts w:ascii="宋体" w:hAnsi="宋体" w:cs="宋体"/>
          <w:sz w:val="24"/>
        </w:rPr>
      </w:pPr>
      <w:r>
        <w:rPr>
          <w:rFonts w:hint="eastAsia" w:ascii="宋体" w:hAnsi="宋体" w:cs="宋体"/>
          <w:sz w:val="24"/>
        </w:rPr>
        <w:t>配套表盘：股绳：10  测量范围： 0kN～3400kN</w:t>
      </w:r>
    </w:p>
    <w:p>
      <w:pPr>
        <w:spacing w:line="360" w:lineRule="auto"/>
        <w:ind w:firstLine="480" w:firstLineChars="200"/>
        <w:jc w:val="left"/>
        <w:rPr>
          <w:rFonts w:ascii="宋体" w:hAnsi="宋体" w:cs="宋体"/>
          <w:sz w:val="24"/>
        </w:rPr>
      </w:pPr>
      <w:r>
        <w:rPr>
          <w:rFonts w:hint="eastAsia" w:ascii="宋体" w:hAnsi="宋体" w:cs="宋体"/>
          <w:sz w:val="24"/>
        </w:rPr>
        <w:t>死绳固定器：/</w:t>
      </w:r>
    </w:p>
    <w:p>
      <w:pPr>
        <w:spacing w:line="360" w:lineRule="auto"/>
        <w:ind w:firstLine="480" w:firstLineChars="200"/>
        <w:jc w:val="left"/>
        <w:rPr>
          <w:rFonts w:ascii="宋体" w:hAnsi="宋体" w:cs="宋体"/>
          <w:sz w:val="24"/>
        </w:rPr>
      </w:pPr>
      <w:r>
        <w:rPr>
          <w:rFonts w:hint="eastAsia" w:ascii="宋体" w:hAnsi="宋体" w:cs="宋体"/>
          <w:sz w:val="24"/>
        </w:rPr>
        <w:t xml:space="preserve">型号规格：JZG34A </w:t>
      </w:r>
    </w:p>
    <w:p>
      <w:pPr>
        <w:spacing w:line="360" w:lineRule="auto"/>
        <w:ind w:firstLine="480" w:firstLineChars="200"/>
        <w:jc w:val="left"/>
        <w:rPr>
          <w:rFonts w:ascii="宋体" w:hAnsi="宋体" w:cs="宋体"/>
          <w:sz w:val="24"/>
        </w:rPr>
      </w:pPr>
      <w:r>
        <w:rPr>
          <w:rFonts w:hint="eastAsia" w:ascii="宋体" w:hAnsi="宋体" w:cs="宋体"/>
          <w:sz w:val="24"/>
        </w:rPr>
        <w:t>出厂编号： /</w:t>
      </w:r>
    </w:p>
    <w:p>
      <w:pPr>
        <w:spacing w:line="360" w:lineRule="auto"/>
        <w:ind w:firstLine="480" w:firstLineChars="200"/>
        <w:jc w:val="left"/>
        <w:rPr>
          <w:rFonts w:ascii="宋体" w:hAnsi="宋体" w:cs="宋体"/>
          <w:sz w:val="24"/>
        </w:rPr>
      </w:pPr>
      <w:r>
        <w:rPr>
          <w:rFonts w:hint="eastAsia" w:ascii="宋体" w:hAnsi="宋体" w:cs="宋体"/>
          <w:sz w:val="24"/>
        </w:rPr>
        <w:t>出厂日期： /</w:t>
      </w:r>
    </w:p>
    <w:p>
      <w:pPr>
        <w:spacing w:line="360" w:lineRule="auto"/>
        <w:ind w:firstLine="480" w:firstLineChars="200"/>
        <w:jc w:val="left"/>
        <w:rPr>
          <w:rFonts w:ascii="宋体" w:hAnsi="宋体" w:cs="宋体"/>
          <w:sz w:val="24"/>
        </w:rPr>
      </w:pPr>
      <w:r>
        <w:rPr>
          <w:rFonts w:hint="eastAsia" w:ascii="宋体" w:hAnsi="宋体" w:cs="宋体"/>
          <w:sz w:val="24"/>
        </w:rPr>
        <w:t>最大死绳拉力：340kN</w:t>
      </w:r>
    </w:p>
    <w:p>
      <w:pPr>
        <w:spacing w:line="360" w:lineRule="auto"/>
        <w:ind w:firstLine="480" w:firstLineChars="200"/>
        <w:jc w:val="left"/>
        <w:rPr>
          <w:rFonts w:ascii="宋体" w:hAnsi="宋体" w:cs="宋体"/>
          <w:sz w:val="24"/>
        </w:rPr>
      </w:pPr>
      <w:r>
        <w:rPr>
          <w:rFonts w:hint="eastAsia" w:ascii="宋体" w:hAnsi="宋体" w:cs="宋体"/>
          <w:sz w:val="24"/>
        </w:rPr>
        <w:t xml:space="preserve">配套表盘 股绳：10 </w:t>
      </w:r>
    </w:p>
    <w:p>
      <w:pPr>
        <w:spacing w:line="360" w:lineRule="auto"/>
        <w:ind w:firstLine="480" w:firstLineChars="200"/>
        <w:jc w:val="left"/>
        <w:rPr>
          <w:rFonts w:ascii="宋体" w:hAnsi="宋体" w:cs="宋体"/>
          <w:sz w:val="24"/>
        </w:rPr>
      </w:pPr>
      <w:r>
        <w:rPr>
          <w:rFonts w:hint="eastAsia" w:ascii="宋体" w:hAnsi="宋体" w:cs="宋体"/>
          <w:sz w:val="24"/>
        </w:rPr>
        <w:t>测量范围：0kN ～3400 kN</w:t>
      </w:r>
    </w:p>
    <w:p>
      <w:pPr>
        <w:spacing w:line="360" w:lineRule="auto"/>
        <w:ind w:firstLine="482" w:firstLineChars="200"/>
        <w:jc w:val="left"/>
        <w:rPr>
          <w:rFonts w:ascii="宋体" w:hAnsi="宋体" w:cs="宋体"/>
          <w:b/>
          <w:sz w:val="24"/>
        </w:rPr>
      </w:pPr>
      <w:r>
        <w:rPr>
          <w:rFonts w:hint="eastAsia" w:ascii="宋体" w:hAnsi="宋体" w:cs="宋体"/>
          <w:b/>
          <w:sz w:val="24"/>
        </w:rPr>
        <w:t>2、检测设备</w:t>
      </w:r>
    </w:p>
    <w:p>
      <w:pPr>
        <w:spacing w:line="360" w:lineRule="auto"/>
        <w:ind w:firstLine="480" w:firstLineChars="200"/>
        <w:jc w:val="left"/>
        <w:rPr>
          <w:rFonts w:ascii="宋体" w:hAnsi="宋体" w:cs="宋体"/>
          <w:sz w:val="24"/>
        </w:rPr>
      </w:pPr>
      <w:r>
        <w:rPr>
          <w:rFonts w:hint="eastAsia" w:ascii="宋体" w:hAnsi="宋体" w:cs="宋体"/>
          <w:sz w:val="24"/>
        </w:rPr>
        <w:t>1）温度计</w:t>
      </w:r>
    </w:p>
    <w:p>
      <w:pPr>
        <w:spacing w:line="360" w:lineRule="auto"/>
        <w:ind w:firstLine="480" w:firstLineChars="200"/>
        <w:jc w:val="left"/>
        <w:rPr>
          <w:rFonts w:ascii="宋体" w:hAnsi="宋体" w:cs="宋体"/>
          <w:sz w:val="24"/>
        </w:rPr>
      </w:pPr>
      <w:r>
        <w:rPr>
          <w:rFonts w:hint="eastAsia" w:ascii="宋体" w:hAnsi="宋体" w:cs="宋体"/>
          <w:sz w:val="24"/>
        </w:rPr>
        <w:t>2) SXN250型无线悬重测量仪，(0～1500)kN.m,±0.5%</w:t>
      </w:r>
    </w:p>
    <w:p>
      <w:pPr>
        <w:spacing w:line="360" w:lineRule="auto"/>
        <w:ind w:firstLine="480" w:firstLineChars="200"/>
        <w:jc w:val="left"/>
        <w:rPr>
          <w:rFonts w:ascii="宋体" w:hAnsi="宋体" w:cs="宋体"/>
          <w:sz w:val="24"/>
        </w:rPr>
      </w:pPr>
      <w:r>
        <w:rPr>
          <w:rFonts w:hint="eastAsia" w:ascii="宋体" w:hAnsi="宋体" w:cs="宋体"/>
          <w:sz w:val="24"/>
        </w:rPr>
        <w:t>3）FUN-20T张力仪(0～50)kN,±0.5%FS（以额定载荷的％计）（仅用于初始力的检测）</w:t>
      </w:r>
    </w:p>
    <w:p>
      <w:pPr>
        <w:spacing w:line="360" w:lineRule="auto"/>
        <w:ind w:firstLine="458" w:firstLineChars="190"/>
        <w:rPr>
          <w:rFonts w:ascii="宋体" w:hAnsi="宋体" w:cs="宋体"/>
          <w:b/>
          <w:sz w:val="24"/>
        </w:rPr>
      </w:pPr>
      <w:r>
        <w:rPr>
          <w:rFonts w:hint="eastAsia" w:ascii="宋体" w:hAnsi="宋体" w:cs="宋体"/>
          <w:b/>
          <w:sz w:val="24"/>
        </w:rPr>
        <w:t>3、试验环境</w:t>
      </w:r>
    </w:p>
    <w:p>
      <w:pPr>
        <w:spacing w:line="360" w:lineRule="auto"/>
        <w:ind w:firstLine="480" w:firstLineChars="200"/>
        <w:jc w:val="left"/>
        <w:rPr>
          <w:rFonts w:ascii="宋体" w:hAnsi="宋体" w:cs="宋体"/>
          <w:sz w:val="24"/>
        </w:rPr>
      </w:pPr>
      <w:r>
        <w:rPr>
          <w:rFonts w:hint="eastAsia" w:ascii="宋体" w:hAnsi="宋体" w:cs="宋体"/>
          <w:sz w:val="24"/>
        </w:rPr>
        <w:t>在线钻机实时环境：24℃</w:t>
      </w:r>
    </w:p>
    <w:p>
      <w:pPr>
        <w:spacing w:line="360" w:lineRule="auto"/>
        <w:ind w:firstLine="422" w:firstLineChars="200"/>
        <w:jc w:val="left"/>
        <w:rPr>
          <w:rFonts w:ascii="宋体" w:hAnsi="宋体" w:cs="宋体"/>
          <w:b/>
          <w:szCs w:val="28"/>
        </w:rPr>
      </w:pPr>
      <w:r>
        <w:rPr>
          <w:rFonts w:hint="eastAsia" w:ascii="宋体" w:hAnsi="宋体" w:cs="宋体"/>
          <w:b/>
          <w:szCs w:val="28"/>
        </w:rPr>
        <w:t>4、试验数据及结果</w:t>
      </w:r>
    </w:p>
    <w:p>
      <w:pPr>
        <w:spacing w:line="360" w:lineRule="auto"/>
        <w:ind w:firstLine="480" w:firstLineChars="200"/>
        <w:jc w:val="left"/>
        <w:rPr>
          <w:rFonts w:ascii="宋体" w:hAnsi="宋体" w:cs="宋体"/>
          <w:sz w:val="24"/>
        </w:rPr>
      </w:pPr>
      <w:r>
        <w:rPr>
          <w:rFonts w:hint="eastAsia" w:ascii="宋体" w:hAnsi="宋体" w:cs="宋体"/>
          <w:sz w:val="24"/>
        </w:rPr>
        <w:t>试验数据详见指重表指示仪在线校准记录、指重表系统在线检测记录、系统校准曲线图。</w:t>
      </w:r>
    </w:p>
    <w:p>
      <w:pPr>
        <w:spacing w:line="360" w:lineRule="auto"/>
        <w:ind w:firstLine="480" w:firstLineChars="200"/>
        <w:jc w:val="left"/>
        <w:rPr>
          <w:rFonts w:ascii="宋体" w:hAnsi="宋体" w:cs="宋体"/>
          <w:sz w:val="24"/>
        </w:rPr>
      </w:pPr>
      <w:r>
        <w:rPr>
          <w:rFonts w:hint="eastAsia" w:ascii="宋体" w:hAnsi="宋体" w:cs="宋体"/>
          <w:sz w:val="24"/>
        </w:rPr>
        <w:t>系统测试扩展不确定度：2%（k=2）</w:t>
      </w:r>
    </w:p>
    <w:p>
      <w:pPr>
        <w:spacing w:line="360" w:lineRule="auto"/>
        <w:jc w:val="left"/>
        <w:rPr>
          <w:rFonts w:ascii="宋体" w:hAnsi="宋体" w:cs="宋体"/>
          <w:sz w:val="24"/>
        </w:rPr>
      </w:pPr>
      <w:r>
        <w:rPr>
          <w:rFonts w:hint="eastAsia" w:ascii="宋体" w:hAnsi="宋体" w:cs="宋体"/>
          <w:sz w:val="24"/>
        </w:rPr>
        <w:t>依据：SY/T 7075-2016《石油钻修井指重表校准方法》中，基本误差要求（使用中和维修后）。无线悬重测量仪：数据稳定，本次在线测试范围内达到技术要求。</w:t>
      </w:r>
    </w:p>
    <w:p>
      <w:pPr>
        <w:ind w:firstLine="480" w:firstLineChars="200"/>
        <w:jc w:val="left"/>
        <w:rPr>
          <w:rFonts w:ascii="宋体" w:hAnsi="宋体" w:cs="宋体"/>
          <w:sz w:val="24"/>
        </w:rPr>
      </w:pPr>
    </w:p>
    <w:p>
      <w:pPr>
        <w:spacing w:line="360" w:lineRule="auto"/>
        <w:jc w:val="center"/>
        <w:rPr>
          <w:rFonts w:ascii="宋体" w:hAnsi="宋体" w:cs="宋体"/>
          <w:sz w:val="24"/>
        </w:rPr>
      </w:pPr>
      <w:r>
        <w:rPr>
          <w:rFonts w:hint="eastAsia" w:ascii="宋体" w:hAnsi="宋体" w:cs="宋体"/>
          <w:sz w:val="24"/>
        </w:rPr>
        <w:drawing>
          <wp:inline distT="0" distB="0" distL="0" distR="0">
            <wp:extent cx="3729355" cy="1551940"/>
            <wp:effectExtent l="9525" t="9525" r="13970" b="19685"/>
            <wp:docPr id="1030" name="图片 9"/>
            <wp:cNvGraphicFramePr/>
            <a:graphic xmlns:a="http://schemas.openxmlformats.org/drawingml/2006/main">
              <a:graphicData uri="http://schemas.openxmlformats.org/drawingml/2006/picture">
                <pic:pic xmlns:pic="http://schemas.openxmlformats.org/drawingml/2006/picture">
                  <pic:nvPicPr>
                    <pic:cNvPr id="1030" name="图片 9"/>
                    <pic:cNvPicPr/>
                  </pic:nvPicPr>
                  <pic:blipFill>
                    <a:blip r:embed="rId11" cstate="print"/>
                    <a:srcRect/>
                    <a:stretch>
                      <a:fillRect/>
                    </a:stretch>
                  </pic:blipFill>
                  <pic:spPr>
                    <a:xfrm>
                      <a:off x="0" y="0"/>
                      <a:ext cx="3729355" cy="1551940"/>
                    </a:xfrm>
                    <a:prstGeom prst="rect">
                      <a:avLst/>
                    </a:prstGeom>
                    <a:ln w="9525" cap="flat" cmpd="sng">
                      <a:solidFill>
                        <a:srgbClr val="000000"/>
                      </a:solidFill>
                      <a:prstDash val="solid"/>
                      <a:round/>
                    </a:ln>
                  </pic:spPr>
                </pic:pic>
              </a:graphicData>
            </a:graphic>
          </wp:inline>
        </w:drawing>
      </w:r>
    </w:p>
    <w:p>
      <w:pPr>
        <w:spacing w:line="360" w:lineRule="auto"/>
        <w:ind w:firstLine="413" w:firstLineChars="196"/>
        <w:jc w:val="left"/>
        <w:rPr>
          <w:rFonts w:ascii="宋体" w:hAnsi="宋体" w:cs="宋体"/>
          <w:b/>
          <w:szCs w:val="28"/>
        </w:rPr>
      </w:pPr>
      <w:r>
        <w:rPr>
          <w:rFonts w:hint="eastAsia" w:ascii="宋体" w:hAnsi="宋体" w:cs="宋体"/>
          <w:b/>
          <w:szCs w:val="28"/>
        </w:rPr>
        <w:t>5、误差分析、解决措施</w:t>
      </w:r>
    </w:p>
    <w:p>
      <w:pPr>
        <w:spacing w:line="360" w:lineRule="auto"/>
        <w:ind w:firstLine="480" w:firstLineChars="200"/>
        <w:jc w:val="left"/>
        <w:rPr>
          <w:rFonts w:ascii="宋体" w:hAnsi="宋体" w:cs="宋体"/>
          <w:sz w:val="24"/>
        </w:rPr>
      </w:pPr>
      <w:r>
        <w:rPr>
          <w:rFonts w:hint="eastAsia" w:ascii="宋体" w:hAnsi="宋体" w:cs="宋体"/>
          <w:sz w:val="24"/>
        </w:rPr>
        <w:t>1）初始重量：悬重传感器与指重表绳轮之间的钢丝绳、大钩、滑轮组、水龙头等件的重量，通过张力仪记录初始悬重，张力仪选用 (0～100)kN±0.5%FS，满足测试要求。</w:t>
      </w:r>
    </w:p>
    <w:p>
      <w:pPr>
        <w:spacing w:line="360" w:lineRule="auto"/>
        <w:ind w:firstLine="480" w:firstLineChars="200"/>
        <w:jc w:val="left"/>
        <w:rPr>
          <w:rFonts w:ascii="宋体" w:hAnsi="宋体" w:cs="宋体"/>
          <w:sz w:val="24"/>
        </w:rPr>
      </w:pPr>
      <w:r>
        <w:rPr>
          <w:rFonts w:hint="eastAsia" w:ascii="宋体" w:hAnsi="宋体" w:cs="宋体"/>
          <w:sz w:val="24"/>
        </w:rPr>
        <w:t>2）由于测试过程均处于静止状态，钢丝绳长度也无变化，因此，死绳拉力忽略摩擦力影响，其初始重量是一定的。</w:t>
      </w:r>
    </w:p>
    <w:p>
      <w:pPr>
        <w:spacing w:line="360" w:lineRule="auto"/>
        <w:ind w:firstLine="480" w:firstLineChars="200"/>
        <w:jc w:val="left"/>
        <w:rPr>
          <w:rFonts w:ascii="宋体" w:hAnsi="宋体" w:cs="宋体"/>
          <w:sz w:val="24"/>
        </w:rPr>
      </w:pPr>
      <w:r>
        <w:rPr>
          <w:rFonts w:hint="eastAsia" w:ascii="宋体" w:hAnsi="宋体" w:cs="宋体"/>
          <w:sz w:val="24"/>
        </w:rPr>
        <w:t>3）指重表杠杆比：设计和出厂时已验证，包含于系统误差，无需再考虑。</w:t>
      </w:r>
    </w:p>
    <w:p>
      <w:pPr>
        <w:spacing w:line="360" w:lineRule="auto"/>
        <w:ind w:firstLine="480" w:firstLineChars="200"/>
        <w:jc w:val="left"/>
        <w:rPr>
          <w:rFonts w:ascii="宋体" w:hAnsi="宋体" w:cs="宋体"/>
          <w:sz w:val="24"/>
        </w:rPr>
      </w:pPr>
      <w:r>
        <w:rPr>
          <w:rFonts w:hint="eastAsia" w:ascii="宋体" w:hAnsi="宋体" w:cs="宋体"/>
          <w:sz w:val="24"/>
        </w:rPr>
        <w:t>4）温度影响：由于实时温度在24℃±0.5℃（实际检测时间约30分钟）,本次测试无明显影响。</w:t>
      </w:r>
    </w:p>
    <w:p>
      <w:pPr>
        <w:spacing w:line="360" w:lineRule="auto"/>
        <w:ind w:firstLine="413" w:firstLineChars="196"/>
        <w:jc w:val="left"/>
        <w:rPr>
          <w:rFonts w:ascii="宋体" w:hAnsi="宋体" w:cs="宋体"/>
          <w:b/>
          <w:szCs w:val="28"/>
        </w:rPr>
      </w:pPr>
      <w:r>
        <w:rPr>
          <w:rFonts w:hint="eastAsia" w:ascii="宋体" w:hAnsi="宋体" w:cs="宋体"/>
          <w:b/>
          <w:szCs w:val="28"/>
        </w:rPr>
        <w:t>6、量值传递情况</w:t>
      </w:r>
    </w:p>
    <w:p>
      <w:pPr>
        <w:spacing w:line="360" w:lineRule="auto"/>
        <w:ind w:firstLine="480" w:firstLineChars="200"/>
        <w:jc w:val="left"/>
        <w:rPr>
          <w:rFonts w:ascii="宋体" w:hAnsi="宋体" w:cs="宋体"/>
          <w:sz w:val="24"/>
        </w:rPr>
      </w:pPr>
      <w:r>
        <w:rPr>
          <w:rFonts w:hint="eastAsia" w:ascii="宋体" w:hAnsi="宋体" w:cs="宋体"/>
          <w:sz w:val="24"/>
        </w:rPr>
        <mc:AlternateContent>
          <mc:Choice Requires="wps">
            <w:drawing>
              <wp:anchor distT="0" distB="0" distL="0" distR="0" simplePos="0" relativeHeight="251659264" behindDoc="0" locked="0" layoutInCell="1" allowOverlap="1">
                <wp:simplePos x="0" y="0"/>
                <wp:positionH relativeFrom="column">
                  <wp:posOffset>1766570</wp:posOffset>
                </wp:positionH>
                <wp:positionV relativeFrom="paragraph">
                  <wp:posOffset>113030</wp:posOffset>
                </wp:positionV>
                <wp:extent cx="298450" cy="0"/>
                <wp:effectExtent l="0" t="76200" r="25400" b="114300"/>
                <wp:wrapNone/>
                <wp:docPr id="1031" name="直接箭头连接符 12"/>
                <wp:cNvGraphicFramePr/>
                <a:graphic xmlns:a="http://schemas.openxmlformats.org/drawingml/2006/main">
                  <a:graphicData uri="http://schemas.microsoft.com/office/word/2010/wordprocessingShape">
                    <wps:wsp>
                      <wps:cNvCnPr/>
                      <wps:spPr>
                        <a:xfrm>
                          <a:off x="0" y="0"/>
                          <a:ext cx="298450" cy="0"/>
                        </a:xfrm>
                        <a:prstGeom prst="straightConnector1">
                          <a:avLst/>
                        </a:prstGeom>
                        <a:ln w="9525" cap="flat" cmpd="sng">
                          <a:solidFill>
                            <a:srgbClr val="4A7DBA"/>
                          </a:solidFill>
                          <a:prstDash val="solid"/>
                          <a:round/>
                          <a:tailEnd type="arrow" w="med" len="med"/>
                        </a:ln>
                      </wps:spPr>
                      <wps:bodyPr/>
                    </wps:wsp>
                  </a:graphicData>
                </a:graphic>
              </wp:anchor>
            </w:drawing>
          </mc:Choice>
          <mc:Fallback>
            <w:pict>
              <v:shape id="直接箭头连接符 12" o:spid="_x0000_s1026" o:spt="32" type="#_x0000_t32" style="position:absolute;left:0pt;margin-left:139.1pt;margin-top:8.9pt;height:0pt;width:23.5pt;z-index:251659264;mso-width-relative:page;mso-height-relative:page;" filled="f" stroked="t" coordsize="21600,21600" o:gfxdata="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A2jBIQ0gAAAAkBAAAPAAAAAAAAAAEAIAAAACIAAABkcnMvZG93bnJl&#10;di54bWxQSwECFAAUAAAACACHTuJAfuNzrQMCAADQAwAADgAAAAAAAAABACAAAAAhAQAAZHJzL2Uy&#10;b0RvYy54bWxQSwUGAAAAAAYABgBZAQAAlgUAAAAA&#10;">
                <v:fill on="f" focussize="0,0"/>
                <v:stroke color="#4A7DBA" joinstyle="round" endarrow="open"/>
                <v:imagedata o:title=""/>
                <o:lock v:ext="edit" aspectratio="f"/>
              </v:shape>
            </w:pict>
          </mc:Fallback>
        </mc:AlternateContent>
      </w:r>
      <w:r>
        <w:rPr>
          <w:rFonts w:hint="eastAsia" w:ascii="宋体" w:hAnsi="宋体" w:cs="宋体"/>
          <w:sz w:val="24"/>
        </w:rPr>
        <mc:AlternateContent>
          <mc:Choice Requires="wps">
            <w:drawing>
              <wp:anchor distT="0" distB="0" distL="0" distR="0" simplePos="0" relativeHeight="251659264" behindDoc="0" locked="0" layoutInCell="1" allowOverlap="1">
                <wp:simplePos x="0" y="0"/>
                <wp:positionH relativeFrom="column">
                  <wp:posOffset>4141470</wp:posOffset>
                </wp:positionH>
                <wp:positionV relativeFrom="paragraph">
                  <wp:posOffset>113030</wp:posOffset>
                </wp:positionV>
                <wp:extent cx="298450" cy="0"/>
                <wp:effectExtent l="0" t="76200" r="25400" b="114300"/>
                <wp:wrapNone/>
                <wp:docPr id="1032" name="直接箭头连接符 13"/>
                <wp:cNvGraphicFramePr/>
                <a:graphic xmlns:a="http://schemas.openxmlformats.org/drawingml/2006/main">
                  <a:graphicData uri="http://schemas.microsoft.com/office/word/2010/wordprocessingShape">
                    <wps:wsp>
                      <wps:cNvCnPr/>
                      <wps:spPr>
                        <a:xfrm>
                          <a:off x="0" y="0"/>
                          <a:ext cx="298450" cy="0"/>
                        </a:xfrm>
                        <a:prstGeom prst="straightConnector1">
                          <a:avLst/>
                        </a:prstGeom>
                        <a:ln w="9525" cap="flat" cmpd="sng">
                          <a:solidFill>
                            <a:srgbClr val="4A7DBA"/>
                          </a:solidFill>
                          <a:prstDash val="solid"/>
                          <a:round/>
                          <a:tailEnd type="arrow" w="med" len="med"/>
                        </a:ln>
                      </wps:spPr>
                      <wps:bodyPr/>
                    </wps:wsp>
                  </a:graphicData>
                </a:graphic>
              </wp:anchor>
            </w:drawing>
          </mc:Choice>
          <mc:Fallback>
            <w:pict>
              <v:shape id="直接箭头连接符 13" o:spid="_x0000_s1026" o:spt="32" type="#_x0000_t32" style="position:absolute;left:0pt;margin-left:326.1pt;margin-top:8.9pt;height:0pt;width:23.5pt;z-index:251659264;mso-width-relative:page;mso-height-relative:page;" filled="f" stroked="t" coordsize="21600,21600" o:gfxdata="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DBSuDc0gAAAAkBAAAPAAAAAAAAAAEAIAAAACIAAABkcnMvZG93bnJl&#10;di54bWxQSwECFAAUAAAACACHTuJAZd6eGwMCAADQAwAADgAAAAAAAAABACAAAAAhAQAAZHJzL2Uy&#10;b0RvYy54bWxQSwUGAAAAAAYABgBZAQAAlgUAAAAA&#10;">
                <v:fill on="f" focussize="0,0"/>
                <v:stroke color="#4A7DBA" joinstyle="round" endarrow="open"/>
                <v:imagedata o:title=""/>
                <o:lock v:ext="edit" aspectratio="f"/>
              </v:shape>
            </w:pict>
          </mc:Fallback>
        </mc:AlternateContent>
      </w:r>
      <w:r>
        <w:rPr>
          <w:rFonts w:hint="eastAsia" w:ascii="宋体" w:hAnsi="宋体" w:cs="宋体"/>
          <w:sz w:val="24"/>
        </w:rPr>
        <w:t>活塞式压力计±0.05%    便携式指重表校验仪±0.25%FS    指重表指示仪±1%FS。</w:t>
      </w:r>
    </w:p>
    <w:p>
      <w:pPr>
        <w:spacing w:line="360" w:lineRule="auto"/>
        <w:ind w:firstLine="480" w:firstLineChars="200"/>
        <w:jc w:val="left"/>
        <w:rPr>
          <w:rFonts w:ascii="宋体" w:hAnsi="宋体" w:cs="宋体"/>
          <w:sz w:val="24"/>
        </w:rPr>
      </w:pPr>
      <w:r>
        <w:rPr>
          <w:rFonts w:hint="eastAsia" w:ascii="宋体" w:hAnsi="宋体" w:cs="宋体"/>
          <w:sz w:val="24"/>
        </w:rPr>
        <mc:AlternateContent>
          <mc:Choice Requires="wps">
            <w:drawing>
              <wp:anchor distT="0" distB="0" distL="0" distR="0" simplePos="0" relativeHeight="251659264" behindDoc="0" locked="0" layoutInCell="1" allowOverlap="1">
                <wp:simplePos x="0" y="0"/>
                <wp:positionH relativeFrom="column">
                  <wp:posOffset>3718560</wp:posOffset>
                </wp:positionH>
                <wp:positionV relativeFrom="paragraph">
                  <wp:posOffset>123825</wp:posOffset>
                </wp:positionV>
                <wp:extent cx="298450" cy="0"/>
                <wp:effectExtent l="0" t="76200" r="25400" b="114300"/>
                <wp:wrapNone/>
                <wp:docPr id="1033" name="直接箭头连接符 11"/>
                <wp:cNvGraphicFramePr/>
                <a:graphic xmlns:a="http://schemas.openxmlformats.org/drawingml/2006/main">
                  <a:graphicData uri="http://schemas.microsoft.com/office/word/2010/wordprocessingShape">
                    <wps:wsp>
                      <wps:cNvCnPr/>
                      <wps:spPr>
                        <a:xfrm>
                          <a:off x="0" y="0"/>
                          <a:ext cx="298450" cy="0"/>
                        </a:xfrm>
                        <a:prstGeom prst="straightConnector1">
                          <a:avLst/>
                        </a:prstGeom>
                        <a:ln w="9525" cap="flat" cmpd="sng">
                          <a:solidFill>
                            <a:srgbClr val="4A7DBA"/>
                          </a:solidFill>
                          <a:prstDash val="solid"/>
                          <a:round/>
                          <a:tailEnd type="arrow" w="med" len="med"/>
                        </a:ln>
                      </wps:spPr>
                      <wps:bodyPr/>
                    </wps:wsp>
                  </a:graphicData>
                </a:graphic>
              </wp:anchor>
            </w:drawing>
          </mc:Choice>
          <mc:Fallback>
            <w:pict>
              <v:shape id="直接箭头连接符 11" o:spid="_x0000_s1026" o:spt="32" type="#_x0000_t32" style="position:absolute;left:0pt;margin-left:292.8pt;margin-top:9.75pt;height:0pt;width:23.5pt;z-index:251659264;mso-width-relative:page;mso-height-relative:page;" filled="f" stroked="t" coordsize="21600,21600" o:gfxdata="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K6GL53UAAAACQEAAA8AAAAAAAAAAQAgAAAAIgAAAGRycy9kb3du&#10;cmV2LnhtbFBLAQIUABQAAAAIAIdO4kBFB+IKAwIAANADAAAOAAAAAAAAAAEAIAAAACMBAABkcnMv&#10;ZTJvRG9jLnhtbFBLBQYAAAAABgAGAFkBAACYBQAAAAA=&#10;">
                <v:fill on="f" focussize="0,0"/>
                <v:stroke color="#4A7DBA" joinstyle="round" endarrow="open"/>
                <v:imagedata o:title=""/>
                <o:lock v:ext="edit" aspectratio="f"/>
              </v:shape>
            </w:pict>
          </mc:Fallback>
        </mc:AlternateContent>
      </w:r>
      <w:r>
        <w:rPr>
          <w:rFonts w:hint="eastAsia" w:ascii="宋体" w:hAnsi="宋体" w:cs="宋体"/>
          <w:sz w:val="24"/>
        </w:rPr>
        <mc:AlternateContent>
          <mc:Choice Requires="wps">
            <w:drawing>
              <wp:anchor distT="0" distB="0" distL="0" distR="0" simplePos="0" relativeHeight="251659264" behindDoc="0" locked="0" layoutInCell="1" allowOverlap="1">
                <wp:simplePos x="0" y="0"/>
                <wp:positionH relativeFrom="column">
                  <wp:posOffset>1842770</wp:posOffset>
                </wp:positionH>
                <wp:positionV relativeFrom="paragraph">
                  <wp:posOffset>123825</wp:posOffset>
                </wp:positionV>
                <wp:extent cx="298450" cy="0"/>
                <wp:effectExtent l="0" t="76200" r="25400" b="114300"/>
                <wp:wrapNone/>
                <wp:docPr id="1034" name="直接箭头连接符 10"/>
                <wp:cNvGraphicFramePr/>
                <a:graphic xmlns:a="http://schemas.openxmlformats.org/drawingml/2006/main">
                  <a:graphicData uri="http://schemas.microsoft.com/office/word/2010/wordprocessingShape">
                    <wps:wsp>
                      <wps:cNvCnPr/>
                      <wps:spPr>
                        <a:xfrm>
                          <a:off x="0" y="0"/>
                          <a:ext cx="298450" cy="0"/>
                        </a:xfrm>
                        <a:prstGeom prst="straightConnector1">
                          <a:avLst/>
                        </a:prstGeom>
                        <a:ln w="9525" cap="flat" cmpd="sng">
                          <a:solidFill>
                            <a:srgbClr val="4A7DBA"/>
                          </a:solidFill>
                          <a:prstDash val="solid"/>
                          <a:round/>
                          <a:tailEnd type="arrow" w="med" len="med"/>
                        </a:ln>
                      </wps:spPr>
                      <wps:bodyPr/>
                    </wps:wsp>
                  </a:graphicData>
                </a:graphic>
              </wp:anchor>
            </w:drawing>
          </mc:Choice>
          <mc:Fallback>
            <w:pict>
              <v:shape id="直接箭头连接符 10" o:spid="_x0000_s1026" o:spt="32" type="#_x0000_t32" style="position:absolute;left:0pt;margin-left:145.1pt;margin-top:9.75pt;height:0pt;width:23.5pt;z-index:251659264;mso-width-relative:page;mso-height-relative:page;" filled="f" stroked="t" coordsize="21600,21600" o:gfxdata="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">
                <v:fill on="f" focussize="0,0"/>
                <v:stroke color="#4A7DBA" joinstyle="round" endarrow="open"/>
                <v:imagedata o:title=""/>
                <o:lock v:ext="edit" aspectratio="f"/>
              </v:shape>
            </w:pict>
          </mc:Fallback>
        </mc:AlternateContent>
      </w:r>
      <w:r>
        <w:rPr>
          <w:rFonts w:hint="eastAsia" w:ascii="宋体" w:hAnsi="宋体" w:cs="宋体"/>
          <w:sz w:val="24"/>
        </w:rPr>
        <w:t>标准拉力试验机±0.1%    无线悬重传感器±0.5%     指重表系统±1.5%。</w:t>
      </w:r>
    </w:p>
    <w:p>
      <w:pPr>
        <w:spacing w:line="360" w:lineRule="auto"/>
        <w:ind w:firstLine="480" w:firstLineChars="200"/>
        <w:jc w:val="left"/>
        <w:rPr>
          <w:rFonts w:ascii="宋体" w:hAnsi="宋体" w:cs="宋体"/>
          <w:sz w:val="24"/>
        </w:rPr>
      </w:pPr>
      <w:r>
        <w:rPr>
          <w:rFonts w:hint="eastAsia" w:ascii="宋体" w:hAnsi="宋体" w:cs="宋体"/>
          <w:sz w:val="24"/>
        </w:rPr>
        <mc:AlternateContent>
          <mc:Choice Requires="wps">
            <w:drawing>
              <wp:anchor distT="0" distB="0" distL="0" distR="0" simplePos="0" relativeHeight="251659264" behindDoc="0" locked="0" layoutInCell="1" allowOverlap="1">
                <wp:simplePos x="0" y="0"/>
                <wp:positionH relativeFrom="column">
                  <wp:posOffset>3090545</wp:posOffset>
                </wp:positionH>
                <wp:positionV relativeFrom="paragraph">
                  <wp:posOffset>123825</wp:posOffset>
                </wp:positionV>
                <wp:extent cx="298450" cy="0"/>
                <wp:effectExtent l="0" t="76200" r="25400" b="114300"/>
                <wp:wrapNone/>
                <wp:docPr id="1035" name="直接箭头连接符 2"/>
                <wp:cNvGraphicFramePr/>
                <a:graphic xmlns:a="http://schemas.openxmlformats.org/drawingml/2006/main">
                  <a:graphicData uri="http://schemas.microsoft.com/office/word/2010/wordprocessingShape">
                    <wps:wsp>
                      <wps:cNvCnPr/>
                      <wps:spPr>
                        <a:xfrm>
                          <a:off x="0" y="0"/>
                          <a:ext cx="298450" cy="0"/>
                        </a:xfrm>
                        <a:prstGeom prst="straightConnector1">
                          <a:avLst/>
                        </a:prstGeom>
                        <a:ln w="9525" cap="flat" cmpd="sng">
                          <a:solidFill>
                            <a:srgbClr val="4A7DBA"/>
                          </a:solidFill>
                          <a:prstDash val="solid"/>
                          <a:round/>
                          <a:tailEnd type="arrow" w="med" len="med"/>
                        </a:ln>
                      </wps:spPr>
                      <wps:bodyPr/>
                    </wps:wsp>
                  </a:graphicData>
                </a:graphic>
              </wp:anchor>
            </w:drawing>
          </mc:Choice>
          <mc:Fallback>
            <w:pict>
              <v:shape id="直接箭头连接符 2" o:spid="_x0000_s1026" o:spt="32" type="#_x0000_t32" style="position:absolute;left:0pt;margin-left:243.35pt;margin-top:9.75pt;height:0pt;width:23.5pt;z-index:251659264;mso-width-relative:page;mso-height-relative:page;" filled="f" stroked="t" coordsize="21600,21600" o:gfxdata="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HgILcrVAAAACQEAAA8AAAAAAAAAAQAgAAAAIgAAAGRycy9kb3du&#10;cmV2LnhtbFBLAQIUABQAAAAIAIdO4kBM7S1sAgIAAM8DAAAOAAAAAAAAAAEAIAAAACQBAABkcnMv&#10;ZTJvRG9jLnhtbFBLBQYAAAAABgAGAFkBAACYBQAAAAA=&#10;">
                <v:fill on="f" focussize="0,0"/>
                <v:stroke color="#4A7DBA" joinstyle="round" endarrow="open"/>
                <v:imagedata o:title=""/>
                <o:lock v:ext="edit" aspectratio="f"/>
              </v:shape>
            </w:pict>
          </mc:Fallback>
        </mc:AlternateContent>
      </w:r>
      <w:r>
        <w:rPr>
          <w:rFonts w:hint="eastAsia" w:ascii="宋体" w:hAnsi="宋体" w:cs="宋体"/>
          <w:sz w:val="24"/>
        </w:rPr>
        <mc:AlternateContent>
          <mc:Choice Requires="wps">
            <w:drawing>
              <wp:anchor distT="0" distB="0" distL="0" distR="0" simplePos="0" relativeHeight="251659264" behindDoc="0" locked="0" layoutInCell="1" allowOverlap="1">
                <wp:simplePos x="0" y="0"/>
                <wp:positionH relativeFrom="column">
                  <wp:posOffset>1842770</wp:posOffset>
                </wp:positionH>
                <wp:positionV relativeFrom="paragraph">
                  <wp:posOffset>123825</wp:posOffset>
                </wp:positionV>
                <wp:extent cx="298450" cy="0"/>
                <wp:effectExtent l="0" t="76200" r="25400" b="114300"/>
                <wp:wrapNone/>
                <wp:docPr id="1036" name="直接箭头连接符 14"/>
                <wp:cNvGraphicFramePr/>
                <a:graphic xmlns:a="http://schemas.openxmlformats.org/drawingml/2006/main">
                  <a:graphicData uri="http://schemas.microsoft.com/office/word/2010/wordprocessingShape">
                    <wps:wsp>
                      <wps:cNvCnPr/>
                      <wps:spPr>
                        <a:xfrm>
                          <a:off x="0" y="0"/>
                          <a:ext cx="298450" cy="0"/>
                        </a:xfrm>
                        <a:prstGeom prst="straightConnector1">
                          <a:avLst/>
                        </a:prstGeom>
                        <a:ln w="9525" cap="flat" cmpd="sng">
                          <a:solidFill>
                            <a:srgbClr val="4A7DBA"/>
                          </a:solidFill>
                          <a:prstDash val="solid"/>
                          <a:round/>
                          <a:tailEnd type="arrow" w="med" len="med"/>
                        </a:ln>
                      </wps:spPr>
                      <wps:bodyPr/>
                    </wps:wsp>
                  </a:graphicData>
                </a:graphic>
              </wp:anchor>
            </w:drawing>
          </mc:Choice>
          <mc:Fallback>
            <w:pict>
              <v:shape id="直接箭头连接符 14" o:spid="_x0000_s1026" o:spt="32" type="#_x0000_t32" style="position:absolute;left:0pt;margin-left:145.1pt;margin-top:9.75pt;height:0pt;width:23.5pt;z-index:251659264;mso-width-relative:page;mso-height-relative:page;" filled="f" stroked="t" coordsize="21600,21600" o:gfxdata="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HRExWTUAAAACQEAAA8AAAAAAAAAAQAgAAAAIgAAAGRycy9kb3du&#10;cmV2LnhtbFBLAQIUABQAAAAIAIdO4kDBY/kyAwIAANADAAAOAAAAAAAAAAEAIAAAACMBAABkcnMv&#10;ZTJvRG9jLnhtbFBLBQYAAAAABgAGAFkBAACYBQAAAAA=&#10;">
                <v:fill on="f" focussize="0,0"/>
                <v:stroke color="#4A7DBA" joinstyle="round" endarrow="open"/>
                <v:imagedata o:title=""/>
                <o:lock v:ext="edit" aspectratio="f"/>
              </v:shape>
            </w:pict>
          </mc:Fallback>
        </mc:AlternateContent>
      </w:r>
      <w:r>
        <w:rPr>
          <w:rFonts w:hint="eastAsia" w:ascii="宋体" w:hAnsi="宋体" w:cs="宋体"/>
          <w:sz w:val="24"/>
        </w:rPr>
        <w:t>标准拉力试验机±0.1%    张力仪±0.5%     指重表系统±1.5%。</w:t>
      </w:r>
    </w:p>
    <w:p>
      <w:pPr>
        <w:spacing w:line="360" w:lineRule="auto"/>
        <w:ind w:firstLine="480" w:firstLineChars="200"/>
        <w:jc w:val="left"/>
        <w:rPr>
          <w:rFonts w:ascii="宋体" w:hAnsi="宋体" w:cs="宋体"/>
          <w:sz w:val="24"/>
        </w:rPr>
      </w:pPr>
      <w:r>
        <w:rPr>
          <w:rFonts w:hint="eastAsia" w:ascii="宋体" w:hAnsi="宋体" w:cs="宋体"/>
          <w:sz w:val="24"/>
        </w:rPr>
        <w:t>综上所述：通过现场试验，指重表在线测试仪整体性能满足设计和使用要求。</w:t>
      </w:r>
    </w:p>
    <w:p>
      <w:pPr>
        <w:spacing w:line="360" w:lineRule="auto"/>
        <w:ind w:firstLine="413" w:firstLineChars="196"/>
        <w:jc w:val="left"/>
        <w:rPr>
          <w:rFonts w:ascii="宋体" w:hAnsi="宋体" w:cs="宋体"/>
          <w:b/>
          <w:szCs w:val="28"/>
        </w:rPr>
      </w:pPr>
      <w:r>
        <w:rPr>
          <w:rFonts w:hint="eastAsia" w:ascii="宋体" w:hAnsi="宋体" w:cs="宋体"/>
          <w:b/>
          <w:szCs w:val="28"/>
        </w:rPr>
        <w:t>7、指重表系统不确定度分析</w:t>
      </w:r>
    </w:p>
    <w:p>
      <w:pPr>
        <w:spacing w:line="360" w:lineRule="auto"/>
        <w:ind w:firstLine="413" w:firstLineChars="196"/>
        <w:jc w:val="left"/>
        <w:rPr>
          <w:rFonts w:ascii="宋体" w:hAnsi="宋体" w:cs="宋体"/>
          <w:b/>
          <w:szCs w:val="28"/>
        </w:rPr>
      </w:pPr>
      <w:r>
        <w:rPr>
          <w:rFonts w:hint="eastAsia" w:ascii="宋体" w:hAnsi="宋体" w:cs="宋体"/>
          <w:b/>
          <w:szCs w:val="28"/>
        </w:rPr>
        <w:t>7.1 测量条件和方法</w:t>
      </w:r>
    </w:p>
    <w:p>
      <w:pPr>
        <w:spacing w:line="360" w:lineRule="auto"/>
        <w:ind w:firstLine="480" w:firstLineChars="200"/>
        <w:jc w:val="left"/>
        <w:rPr>
          <w:rFonts w:ascii="宋体" w:hAnsi="宋体" w:cs="宋体"/>
          <w:sz w:val="24"/>
        </w:rPr>
      </w:pPr>
      <w:r>
        <w:rPr>
          <w:rFonts w:hint="eastAsia" w:ascii="宋体" w:hAnsi="宋体" w:cs="宋体"/>
          <w:sz w:val="24"/>
        </w:rPr>
        <w:t>1）测量依据：SY/T 7075-2016《石油钻修井指重表校准方法》。</w:t>
      </w:r>
    </w:p>
    <w:p>
      <w:pPr>
        <w:spacing w:line="360" w:lineRule="auto"/>
        <w:ind w:firstLine="480" w:firstLineChars="200"/>
        <w:jc w:val="left"/>
        <w:rPr>
          <w:rFonts w:ascii="宋体" w:hAnsi="宋体" w:cs="宋体"/>
          <w:sz w:val="24"/>
        </w:rPr>
      </w:pPr>
      <w:r>
        <w:rPr>
          <w:rFonts w:hint="eastAsia" w:ascii="宋体" w:hAnsi="宋体" w:cs="宋体"/>
          <w:sz w:val="24"/>
        </w:rPr>
        <w:t>2）环境条件：温度（20±5）℃。</w:t>
      </w:r>
    </w:p>
    <w:p>
      <w:pPr>
        <w:spacing w:line="360" w:lineRule="auto"/>
        <w:ind w:firstLine="480" w:firstLineChars="200"/>
        <w:jc w:val="left"/>
        <w:rPr>
          <w:rFonts w:ascii="宋体" w:hAnsi="宋体" w:cs="宋体"/>
          <w:sz w:val="24"/>
        </w:rPr>
      </w:pPr>
      <w:r>
        <w:rPr>
          <w:rFonts w:hint="eastAsia" w:ascii="宋体" w:hAnsi="宋体" w:cs="宋体"/>
          <w:sz w:val="24"/>
        </w:rPr>
        <w:t>3）测量标准器：悬重测量仪（0～1500）kN,准确度等级0.5级，张力仪（0～100）kN,误差±0.5%。</w:t>
      </w:r>
    </w:p>
    <w:p>
      <w:pPr>
        <w:spacing w:line="360" w:lineRule="auto"/>
        <w:ind w:firstLine="480" w:firstLineChars="200"/>
        <w:jc w:val="left"/>
        <w:rPr>
          <w:rFonts w:ascii="宋体" w:hAnsi="宋体" w:cs="宋体"/>
          <w:sz w:val="24"/>
        </w:rPr>
      </w:pPr>
      <w:r>
        <w:rPr>
          <w:rFonts w:hint="eastAsia" w:ascii="宋体" w:hAnsi="宋体" w:cs="宋体"/>
          <w:sz w:val="24"/>
        </w:rPr>
        <w:t>4）被测对象：钻机悬重系统（含游车、指重表重量指示仪，测量范围（0～3400）kN，分度值10kN，压力范围（0～6）MPa，基本误差等级1级（最大允许误差±1.0%）。</w:t>
      </w:r>
    </w:p>
    <w:p>
      <w:pPr>
        <w:spacing w:line="360" w:lineRule="auto"/>
        <w:ind w:firstLine="480" w:firstLineChars="200"/>
        <w:jc w:val="left"/>
        <w:rPr>
          <w:rFonts w:ascii="宋体" w:hAnsi="宋体" w:cs="宋体"/>
          <w:sz w:val="24"/>
        </w:rPr>
      </w:pPr>
      <w:r>
        <w:rPr>
          <w:rFonts w:hint="eastAsia" w:ascii="宋体" w:hAnsi="宋体" w:cs="宋体"/>
          <w:sz w:val="24"/>
        </w:rPr>
        <w:t>5）压力值与指重表重量指示仪值对应关系：</w:t>
      </w:r>
    </w:p>
    <w:p>
      <w:pPr>
        <w:pStyle w:val="20"/>
        <w:ind w:left="360" w:firstLine="0" w:firstLineChars="0"/>
        <w:rPr>
          <w:rFonts w:ascii="宋体" w:hAnsi="宋体" w:eastAsia="宋体" w:cs="宋体"/>
          <w:sz w:val="24"/>
          <w:szCs w:val="24"/>
        </w:rPr>
      </w:pPr>
      <m:oMathPara>
        <m:oMath>
          <m:sSub>
            <m:sSubPr>
              <m:ctrlPr>
                <w:rPr>
                  <w:rFonts w:hint="eastAsia" w:ascii="Cambria Math" w:hAnsi="Cambria Math" w:eastAsia="宋体" w:cs="宋体"/>
                  <w:sz w:val="24"/>
                  <w:szCs w:val="24"/>
                </w:rPr>
              </m:ctrlPr>
            </m:sSubPr>
            <m:e>
              <m:r>
                <m:rPr/>
                <w:rPr>
                  <w:rFonts w:hint="eastAsia" w:ascii="Cambria Math" w:hAnsi="Cambria Math" w:eastAsia="宋体" w:cs="宋体"/>
                  <w:sz w:val="24"/>
                  <w:szCs w:val="24"/>
                </w:rPr>
                <m:t>F</m:t>
              </m:r>
              <m:ctrlPr>
                <w:rPr>
                  <w:rFonts w:hint="eastAsia" w:ascii="Cambria Math" w:hAnsi="Cambria Math" w:eastAsia="宋体" w:cs="宋体"/>
                  <w:sz w:val="24"/>
                  <w:szCs w:val="24"/>
                </w:rPr>
              </m:ctrlPr>
            </m:e>
            <m:sub>
              <m:r>
                <m:rPr>
                  <m:sty m:val="p"/>
                </m:rPr>
                <w:rPr>
                  <w:rFonts w:hint="eastAsia" w:ascii="Cambria Math" w:hAnsi="Cambria Math" w:eastAsia="宋体" w:cs="宋体"/>
                  <w:sz w:val="24"/>
                  <w:szCs w:val="24"/>
                </w:rPr>
                <m:t>仪</m:t>
              </m:r>
              <m:r>
                <m:rPr/>
                <w:rPr>
                  <w:rFonts w:hint="eastAsia" w:ascii="Cambria Math" w:hAnsi="Cambria Math" w:eastAsia="宋体" w:cs="宋体"/>
                  <w:sz w:val="24"/>
                  <w:szCs w:val="24"/>
                </w:rPr>
                <m:t>i</m:t>
              </m:r>
              <m:ctrlPr>
                <w:rPr>
                  <w:rFonts w:hint="eastAsia" w:ascii="Cambria Math" w:hAnsi="Cambria Math" w:eastAsia="宋体" w:cs="宋体"/>
                  <w:sz w:val="24"/>
                  <w:szCs w:val="24"/>
                </w:rPr>
              </m:ctrlPr>
            </m:sub>
          </m:sSub>
          <m:r>
            <m:rPr/>
            <w:rPr>
              <w:rFonts w:hint="eastAsia" w:ascii="Cambria Math" w:hAnsi="Cambria Math" w:eastAsia="宋体" w:cs="宋体"/>
              <w:sz w:val="24"/>
              <w:szCs w:val="24"/>
            </w:rPr>
            <m:t>=</m:t>
          </m:r>
          <m:f>
            <m:fPr>
              <m:ctrlPr>
                <w:rPr>
                  <w:rFonts w:hint="eastAsia" w:ascii="Cambria Math" w:hAnsi="Cambria Math" w:eastAsia="宋体" w:cs="宋体"/>
                  <w:i/>
                  <w:sz w:val="24"/>
                  <w:szCs w:val="24"/>
                </w:rPr>
              </m:ctrlPr>
            </m:fPr>
            <m:num>
              <m:sSub>
                <m:sSubPr>
                  <m:ctrlPr>
                    <w:rPr>
                      <w:rFonts w:hint="eastAsia" w:ascii="Cambria Math" w:hAnsi="Cambria Math" w:eastAsia="宋体" w:cs="宋体"/>
                      <w:i/>
                      <w:sz w:val="24"/>
                      <w:szCs w:val="24"/>
                    </w:rPr>
                  </m:ctrlPr>
                </m:sSubPr>
                <m:e>
                  <m:r>
                    <m:rPr/>
                    <w:rPr>
                      <w:rFonts w:hint="eastAsia" w:ascii="Cambria Math" w:hAnsi="Cambria Math" w:eastAsia="宋体" w:cs="宋体"/>
                      <w:sz w:val="24"/>
                      <w:szCs w:val="24"/>
                    </w:rPr>
                    <m:t>P</m:t>
                  </m:r>
                  <m:ctrlPr>
                    <w:rPr>
                      <w:rFonts w:hint="eastAsia" w:ascii="Cambria Math" w:hAnsi="Cambria Math" w:eastAsia="宋体" w:cs="宋体"/>
                      <w:i/>
                      <w:sz w:val="24"/>
                      <w:szCs w:val="24"/>
                    </w:rPr>
                  </m:ctrlPr>
                </m:e>
                <m:sub>
                  <m:r>
                    <m:rPr/>
                    <w:rPr>
                      <w:rFonts w:hint="eastAsia" w:ascii="Cambria Math" w:hAnsi="Cambria Math" w:eastAsia="宋体" w:cs="宋体"/>
                      <w:sz w:val="24"/>
                      <w:szCs w:val="24"/>
                    </w:rPr>
                    <m:t>i</m:t>
                  </m:r>
                  <m:ctrlPr>
                    <w:rPr>
                      <w:rFonts w:hint="eastAsia" w:ascii="Cambria Math" w:hAnsi="Cambria Math" w:eastAsia="宋体" w:cs="宋体"/>
                      <w:i/>
                      <w:sz w:val="24"/>
                      <w:szCs w:val="24"/>
                    </w:rPr>
                  </m:ctrlPr>
                </m:sub>
              </m:sSub>
              <m:ctrlPr>
                <w:rPr>
                  <w:rFonts w:hint="eastAsia" w:ascii="Cambria Math" w:hAnsi="Cambria Math" w:eastAsia="宋体" w:cs="宋体"/>
                  <w:i/>
                  <w:sz w:val="24"/>
                  <w:szCs w:val="24"/>
                </w:rPr>
              </m:ctrlPr>
            </m:num>
            <m:den>
              <m:sSub>
                <m:sSubPr>
                  <m:ctrlPr>
                    <w:rPr>
                      <w:rFonts w:hint="eastAsia" w:ascii="Cambria Math" w:hAnsi="Cambria Math" w:eastAsia="宋体" w:cs="宋体"/>
                      <w:i/>
                      <w:sz w:val="24"/>
                      <w:szCs w:val="24"/>
                    </w:rPr>
                  </m:ctrlPr>
                </m:sSubPr>
                <m:e>
                  <m:r>
                    <m:rPr/>
                    <w:rPr>
                      <w:rFonts w:hint="eastAsia" w:ascii="Cambria Math" w:hAnsi="Cambria Math" w:eastAsia="宋体" w:cs="宋体"/>
                      <w:sz w:val="24"/>
                      <w:szCs w:val="24"/>
                    </w:rPr>
                    <m:t>P</m:t>
                  </m:r>
                  <m:ctrlPr>
                    <w:rPr>
                      <w:rFonts w:hint="eastAsia" w:ascii="Cambria Math" w:hAnsi="Cambria Math" w:eastAsia="宋体" w:cs="宋体"/>
                      <w:i/>
                      <w:sz w:val="24"/>
                      <w:szCs w:val="24"/>
                    </w:rPr>
                  </m:ctrlPr>
                </m:e>
                <m:sub>
                  <m:r>
                    <m:rPr>
                      <m:sty m:val="p"/>
                    </m:rPr>
                    <w:rPr>
                      <w:rFonts w:hint="eastAsia" w:ascii="Cambria Math" w:hAnsi="Cambria Math" w:eastAsia="宋体" w:cs="宋体"/>
                      <w:sz w:val="24"/>
                      <w:szCs w:val="24"/>
                    </w:rPr>
                    <m:t>max</m:t>
                  </m:r>
                  <m:ctrlPr>
                    <w:rPr>
                      <w:rFonts w:hint="eastAsia" w:ascii="Cambria Math" w:hAnsi="Cambria Math" w:eastAsia="宋体" w:cs="宋体"/>
                      <w:i/>
                      <w:sz w:val="24"/>
                      <w:szCs w:val="24"/>
                    </w:rPr>
                  </m:ctrlPr>
                </m:sub>
              </m:sSub>
              <m:ctrlPr>
                <w:rPr>
                  <w:rFonts w:hint="eastAsia" w:ascii="Cambria Math" w:hAnsi="Cambria Math" w:eastAsia="宋体" w:cs="宋体"/>
                  <w:i/>
                  <w:sz w:val="24"/>
                  <w:szCs w:val="24"/>
                </w:rPr>
              </m:ctrlPr>
            </m:den>
          </m:f>
          <m:r>
            <m:rPr/>
            <w:rPr>
              <w:rFonts w:hint="eastAsia" w:ascii="Cambria Math" w:hAnsi="Cambria Math" w:eastAsia="宋体" w:cs="宋体"/>
              <w:sz w:val="24"/>
              <w:szCs w:val="24"/>
            </w:rPr>
            <m:t>×W</m:t>
          </m:r>
        </m:oMath>
      </m:oMathPara>
    </w:p>
    <w:p>
      <w:pPr>
        <w:spacing w:line="360" w:lineRule="auto"/>
        <w:ind w:firstLine="480" w:firstLineChars="200"/>
        <w:jc w:val="left"/>
        <w:rPr>
          <w:rFonts w:ascii="宋体" w:hAnsi="宋体" w:cs="宋体"/>
          <w:sz w:val="24"/>
        </w:rPr>
      </w:pPr>
      <w:r>
        <w:rPr>
          <w:rFonts w:hint="eastAsia" w:ascii="宋体" w:hAnsi="宋体" w:cs="宋体"/>
          <w:sz w:val="24"/>
        </w:rPr>
        <w:t>式中：</w:t>
      </w:r>
    </w:p>
    <w:p>
      <w:pPr>
        <w:pStyle w:val="20"/>
        <w:spacing w:line="360" w:lineRule="auto"/>
        <w:ind w:left="357" w:firstLine="0" w:firstLineChars="0"/>
        <w:rPr>
          <w:rFonts w:ascii="宋体" w:hAnsi="宋体" w:eastAsia="宋体" w:cs="宋体"/>
          <w:sz w:val="24"/>
          <w:szCs w:val="24"/>
        </w:rPr>
      </w:pPr>
      <m:oMath>
        <m:sSub>
          <m:sSubPr>
            <m:ctrlPr>
              <w:rPr>
                <w:rFonts w:hint="eastAsia" w:ascii="Cambria Math" w:hAnsi="Cambria Math" w:eastAsia="宋体" w:cs="宋体"/>
                <w:sz w:val="24"/>
                <w:szCs w:val="24"/>
              </w:rPr>
            </m:ctrlPr>
          </m:sSubPr>
          <m:e>
            <m:r>
              <m:rPr/>
              <w:rPr>
                <w:rFonts w:hint="eastAsia" w:ascii="Cambria Math" w:hAnsi="Cambria Math" w:eastAsia="宋体" w:cs="宋体"/>
                <w:sz w:val="24"/>
                <w:szCs w:val="24"/>
              </w:rPr>
              <m:t>F</m:t>
            </m:r>
            <m:ctrlPr>
              <w:rPr>
                <w:rFonts w:hint="eastAsia" w:ascii="Cambria Math" w:hAnsi="Cambria Math" w:eastAsia="宋体" w:cs="宋体"/>
                <w:sz w:val="24"/>
                <w:szCs w:val="24"/>
              </w:rPr>
            </m:ctrlPr>
          </m:e>
          <m:sub>
            <m:r>
              <m:rPr>
                <m:sty m:val="p"/>
              </m:rPr>
              <w:rPr>
                <w:rFonts w:hint="eastAsia" w:ascii="Cambria Math" w:hAnsi="Cambria Math" w:eastAsia="宋体" w:cs="宋体"/>
                <w:sz w:val="24"/>
                <w:szCs w:val="24"/>
              </w:rPr>
              <m:t>仪</m:t>
            </m:r>
            <m:r>
              <m:rPr/>
              <w:rPr>
                <w:rFonts w:hint="eastAsia" w:ascii="Cambria Math" w:hAnsi="Cambria Math" w:eastAsia="宋体" w:cs="宋体"/>
                <w:sz w:val="24"/>
                <w:szCs w:val="24"/>
              </w:rPr>
              <m:t>i</m:t>
            </m:r>
            <m:ctrlPr>
              <w:rPr>
                <w:rFonts w:hint="eastAsia" w:ascii="Cambria Math" w:hAnsi="Cambria Math" w:eastAsia="宋体" w:cs="宋体"/>
                <w:sz w:val="24"/>
                <w:szCs w:val="24"/>
              </w:rPr>
            </m:ctrlPr>
          </m:sub>
        </m:sSub>
      </m:oMath>
      <w:r>
        <w:rPr>
          <w:rFonts w:hint="eastAsia" w:ascii="宋体" w:hAnsi="宋体" w:eastAsia="宋体" w:cs="宋体"/>
          <w:i/>
          <w:sz w:val="24"/>
          <w:szCs w:val="24"/>
        </w:rPr>
        <w:t>—</w:t>
      </w:r>
      <w:r>
        <w:rPr>
          <w:rFonts w:hint="eastAsia" w:ascii="宋体" w:hAnsi="宋体" w:eastAsia="宋体" w:cs="宋体"/>
          <w:sz w:val="24"/>
          <w:szCs w:val="24"/>
        </w:rPr>
        <w:t>第i点标准重量值kN</w:t>
      </w:r>
    </w:p>
    <w:p>
      <w:pPr>
        <w:pStyle w:val="20"/>
        <w:spacing w:line="360" w:lineRule="auto"/>
        <w:ind w:left="357" w:firstLine="0" w:firstLineChars="0"/>
        <w:rPr>
          <w:rFonts w:ascii="宋体" w:hAnsi="宋体" w:eastAsia="宋体" w:cs="宋体"/>
          <w:sz w:val="24"/>
          <w:szCs w:val="24"/>
        </w:rPr>
      </w:pPr>
      <w:r>
        <w:rPr>
          <w:rFonts w:hint="eastAsia" w:ascii="宋体" w:hAnsi="宋体" w:eastAsia="宋体" w:cs="宋体"/>
          <w:i/>
          <w:sz w:val="24"/>
          <w:szCs w:val="24"/>
        </w:rPr>
        <w:t>P</w:t>
      </w:r>
      <w:r>
        <w:rPr>
          <w:rFonts w:hint="eastAsia" w:ascii="宋体" w:hAnsi="宋体" w:eastAsia="宋体" w:cs="宋体"/>
          <w:i/>
          <w:sz w:val="24"/>
          <w:szCs w:val="24"/>
          <w:vertAlign w:val="subscript"/>
        </w:rPr>
        <w:t>i</w:t>
      </w:r>
      <w:r>
        <w:rPr>
          <w:rFonts w:hint="eastAsia" w:ascii="宋体" w:hAnsi="宋体" w:eastAsia="宋体" w:cs="宋体"/>
          <w:sz w:val="24"/>
          <w:szCs w:val="24"/>
        </w:rPr>
        <w:t>—第i点标准压力MPa</w:t>
      </w:r>
    </w:p>
    <w:p>
      <w:pPr>
        <w:pStyle w:val="20"/>
        <w:spacing w:line="360" w:lineRule="auto"/>
        <w:ind w:left="357" w:firstLine="0" w:firstLineChars="0"/>
        <w:rPr>
          <w:rFonts w:ascii="宋体" w:hAnsi="宋体" w:eastAsia="宋体" w:cs="宋体"/>
          <w:sz w:val="24"/>
          <w:szCs w:val="24"/>
        </w:rPr>
      </w:pPr>
      <w:r>
        <w:rPr>
          <w:rFonts w:hint="eastAsia" w:ascii="宋体" w:hAnsi="宋体" w:eastAsia="宋体" w:cs="宋体"/>
          <w:i/>
          <w:sz w:val="24"/>
          <w:szCs w:val="24"/>
        </w:rPr>
        <w:t>P</w:t>
      </w:r>
      <w:r>
        <w:rPr>
          <w:rFonts w:hint="eastAsia" w:ascii="宋体" w:hAnsi="宋体" w:eastAsia="宋体" w:cs="宋体"/>
          <w:i/>
          <w:sz w:val="24"/>
          <w:szCs w:val="24"/>
          <w:vertAlign w:val="subscript"/>
        </w:rPr>
        <w:t>max</w:t>
      </w:r>
      <w:r>
        <w:rPr>
          <w:rFonts w:hint="eastAsia" w:ascii="宋体" w:hAnsi="宋体" w:eastAsia="宋体" w:cs="宋体"/>
          <w:sz w:val="24"/>
          <w:szCs w:val="24"/>
        </w:rPr>
        <w:t>—满量程压力MPa</w:t>
      </w:r>
    </w:p>
    <w:p>
      <w:pPr>
        <w:pStyle w:val="20"/>
        <w:spacing w:line="360" w:lineRule="auto"/>
        <w:ind w:left="357" w:firstLine="0" w:firstLineChars="0"/>
        <w:rPr>
          <w:rFonts w:ascii="宋体" w:hAnsi="宋体" w:eastAsia="宋体" w:cs="宋体"/>
          <w:sz w:val="24"/>
          <w:szCs w:val="24"/>
        </w:rPr>
      </w:pPr>
      <w:r>
        <w:rPr>
          <w:rFonts w:hint="eastAsia" w:ascii="宋体" w:hAnsi="宋体" w:eastAsia="宋体" w:cs="宋体"/>
          <w:i/>
          <w:sz w:val="24"/>
          <w:szCs w:val="24"/>
        </w:rPr>
        <w:t>W</w:t>
      </w:r>
      <w:r>
        <w:rPr>
          <w:rFonts w:hint="eastAsia" w:ascii="宋体" w:hAnsi="宋体" w:eastAsia="宋体" w:cs="宋体"/>
          <w:sz w:val="24"/>
          <w:szCs w:val="24"/>
        </w:rPr>
        <w:t>—指重表重量指示仪量程kN</w:t>
      </w:r>
    </w:p>
    <w:p>
      <w:pPr>
        <w:spacing w:line="360" w:lineRule="auto"/>
        <w:ind w:firstLine="480" w:firstLineChars="200"/>
        <w:jc w:val="left"/>
        <w:rPr>
          <w:rFonts w:ascii="宋体" w:hAnsi="宋体" w:cs="宋体"/>
          <w:sz w:val="24"/>
        </w:rPr>
      </w:pPr>
      <w:r>
        <w:rPr>
          <w:rFonts w:hint="eastAsia" w:ascii="宋体" w:hAnsi="宋体" w:cs="宋体"/>
          <w:sz w:val="24"/>
        </w:rPr>
        <w:t>6）测量方法：</w:t>
      </w:r>
    </w:p>
    <w:p>
      <w:pPr>
        <w:spacing w:line="360" w:lineRule="auto"/>
        <w:ind w:firstLine="480" w:firstLineChars="200"/>
        <w:jc w:val="left"/>
        <w:rPr>
          <w:rFonts w:ascii="宋体" w:hAnsi="宋体" w:cs="宋体"/>
          <w:sz w:val="24"/>
        </w:rPr>
      </w:pPr>
      <w:r>
        <w:rPr>
          <w:rFonts w:hint="eastAsia" w:ascii="宋体" w:hAnsi="宋体" w:cs="宋体"/>
          <w:sz w:val="24"/>
        </w:rPr>
        <w:fldChar w:fldCharType="begin"/>
      </w:r>
      <w:r>
        <w:rPr>
          <w:rFonts w:hint="eastAsia" w:ascii="宋体" w:hAnsi="宋体" w:cs="宋体"/>
          <w:sz w:val="24"/>
        </w:rPr>
        <w:instrText xml:space="preserve"> = 1 \* GB2 </w:instrText>
      </w:r>
      <w:r>
        <w:rPr>
          <w:rFonts w:hint="eastAsia" w:ascii="宋体" w:hAnsi="宋体" w:cs="宋体"/>
          <w:sz w:val="24"/>
        </w:rPr>
        <w:fldChar w:fldCharType="separate"/>
      </w:r>
      <w:r>
        <w:rPr>
          <w:rFonts w:hint="eastAsia" w:ascii="宋体" w:hAnsi="宋体" w:cs="宋体"/>
          <w:sz w:val="24"/>
        </w:rPr>
        <w:t>⑴</w:t>
      </w:r>
      <w:r>
        <w:rPr>
          <w:rFonts w:hint="eastAsia" w:ascii="宋体" w:hAnsi="宋体" w:cs="宋体"/>
          <w:sz w:val="24"/>
        </w:rPr>
        <w:fldChar w:fldCharType="end"/>
      </w:r>
      <w:r>
        <w:rPr>
          <w:rFonts w:hint="eastAsia" w:ascii="宋体" w:hAnsi="宋体" w:cs="宋体"/>
          <w:sz w:val="24"/>
        </w:rPr>
        <w:t xml:space="preserve"> 重量指示仪校准</w:t>
      </w:r>
    </w:p>
    <w:p>
      <w:pPr>
        <w:spacing w:line="360" w:lineRule="auto"/>
        <w:ind w:firstLine="480" w:firstLineChars="200"/>
        <w:jc w:val="left"/>
        <w:rPr>
          <w:rFonts w:ascii="宋体" w:hAnsi="宋体" w:cs="宋体"/>
          <w:sz w:val="24"/>
        </w:rPr>
      </w:pPr>
      <w:r>
        <w:rPr>
          <w:rFonts w:hint="eastAsia" w:ascii="宋体" w:hAnsi="宋体" w:cs="宋体"/>
          <w:sz w:val="24"/>
        </w:rPr>
        <w:t>在满量程内均分6点，加、减压三次，分别记录正、反行程指重表重量指示仪示值，取测量结果最大误差点的示值与标准器比较。</w:t>
      </w:r>
    </w:p>
    <w:p>
      <w:pPr>
        <w:spacing w:line="360" w:lineRule="auto"/>
        <w:ind w:firstLine="360" w:firstLineChars="150"/>
        <w:jc w:val="left"/>
        <w:rPr>
          <w:rFonts w:ascii="宋体" w:hAnsi="宋体" w:cs="宋体"/>
          <w:sz w:val="24"/>
        </w:rPr>
      </w:pPr>
      <w:r>
        <w:rPr>
          <w:rFonts w:hint="eastAsia" w:ascii="宋体" w:hAnsi="宋体" w:cs="宋体"/>
          <w:sz w:val="24"/>
        </w:rPr>
        <w:t>（2）系统悬重检测</w:t>
      </w:r>
    </w:p>
    <w:p>
      <w:pPr>
        <w:spacing w:line="360" w:lineRule="auto"/>
        <w:ind w:firstLine="480" w:firstLineChars="200"/>
        <w:jc w:val="left"/>
        <w:rPr>
          <w:rFonts w:ascii="宋体" w:hAnsi="宋体" w:cs="宋体"/>
          <w:sz w:val="24"/>
        </w:rPr>
      </w:pPr>
      <w:r>
        <w:rPr>
          <w:rFonts w:hint="eastAsia" w:ascii="宋体" w:hAnsi="宋体" w:cs="宋体"/>
          <w:sz w:val="24"/>
        </w:rPr>
        <w:t>在已经施工范围内，选取5点，加、减压三次，分别记录正、反行程指重表重量指示仪示值，取测量结果最大误差点的示值与标准器比较。</w:t>
      </w:r>
    </w:p>
    <w:p>
      <w:pPr>
        <w:spacing w:line="360" w:lineRule="auto"/>
        <w:ind w:firstLine="413" w:firstLineChars="196"/>
        <w:jc w:val="left"/>
        <w:rPr>
          <w:rFonts w:ascii="宋体" w:hAnsi="宋体" w:cs="宋体"/>
          <w:b/>
          <w:szCs w:val="28"/>
        </w:rPr>
      </w:pPr>
      <w:r>
        <w:rPr>
          <w:rFonts w:hint="eastAsia" w:ascii="宋体" w:hAnsi="宋体" w:cs="宋体"/>
          <w:b/>
          <w:szCs w:val="28"/>
        </w:rPr>
        <w:t>7.2 数学模型</w:t>
      </w:r>
    </w:p>
    <w:p>
      <w:pPr>
        <w:jc w:val="center"/>
        <w:rPr>
          <w:rFonts w:ascii="宋体" w:hAnsi="宋体" w:cs="宋体"/>
          <w:b/>
          <w:sz w:val="24"/>
        </w:rPr>
      </w:pPr>
      <m:oMathPara>
        <m:oMath>
          <m:r>
            <m:rPr>
              <m:sty m:val="bi"/>
            </m:rPr>
            <w:rPr>
              <w:rFonts w:hint="eastAsia" w:ascii="Cambria Math" w:hAnsi="Cambria Math" w:cs="宋体"/>
              <w:sz w:val="24"/>
            </w:rPr>
            <m:t>∆</m:t>
          </m:r>
          <m:sSub>
            <m:sSubPr>
              <m:ctrlPr>
                <w:rPr>
                  <w:rFonts w:hint="eastAsia" w:ascii="Cambria Math" w:hAnsi="Cambria Math" w:cs="宋体"/>
                  <w:b/>
                  <w:i/>
                  <w:sz w:val="24"/>
                </w:rPr>
              </m:ctrlPr>
            </m:sSubPr>
            <m:e>
              <m:r>
                <m:rPr>
                  <m:sty m:val="bi"/>
                </m:rPr>
                <w:rPr>
                  <w:rFonts w:hint="eastAsia" w:ascii="Cambria Math" w:hAnsi="Cambria Math" w:cs="宋体"/>
                  <w:sz w:val="24"/>
                </w:rPr>
                <m:t>F</m:t>
              </m:r>
              <m:ctrlPr>
                <w:rPr>
                  <w:rFonts w:hint="eastAsia" w:ascii="Cambria Math" w:hAnsi="Cambria Math" w:cs="宋体"/>
                  <w:b/>
                  <w:i/>
                  <w:sz w:val="24"/>
                </w:rPr>
              </m:ctrlPr>
            </m:e>
            <m:sub>
              <m:r>
                <m:rPr>
                  <m:sty m:val="bi"/>
                </m:rPr>
                <w:rPr>
                  <w:rFonts w:hint="eastAsia" w:ascii="Cambria Math" w:hAnsi="Cambria Math" w:cs="宋体"/>
                  <w:sz w:val="24"/>
                </w:rPr>
                <m:t>n</m:t>
              </m:r>
              <m:ctrlPr>
                <w:rPr>
                  <w:rFonts w:hint="eastAsia" w:ascii="Cambria Math" w:hAnsi="Cambria Math" w:cs="宋体"/>
                  <w:b/>
                  <w:i/>
                  <w:sz w:val="24"/>
                </w:rPr>
              </m:ctrlPr>
            </m:sub>
          </m:sSub>
          <m:r>
            <m:rPr>
              <m:sty m:val="bi"/>
            </m:rPr>
            <w:rPr>
              <w:rFonts w:hint="eastAsia" w:ascii="Cambria Math" w:hAnsi="Cambria Math" w:cs="宋体"/>
              <w:sz w:val="24"/>
            </w:rPr>
            <m:t>=</m:t>
          </m:r>
          <m:f>
            <m:fPr>
              <m:ctrlPr>
                <w:rPr>
                  <w:rFonts w:hint="eastAsia" w:ascii="Cambria Math" w:hAnsi="Cambria Math" w:cs="宋体"/>
                  <w:b/>
                  <w:i/>
                  <w:sz w:val="24"/>
                </w:rPr>
              </m:ctrlPr>
            </m:fPr>
            <m:num>
              <m:bar>
                <m:barPr>
                  <m:pos m:val="top"/>
                  <m:ctrlPr>
                    <w:rPr>
                      <w:rFonts w:hint="eastAsia" w:ascii="Cambria Math" w:hAnsi="Cambria Math" w:cs="宋体"/>
                      <w:b/>
                      <w:i/>
                      <w:sz w:val="24"/>
                    </w:rPr>
                  </m:ctrlPr>
                </m:barPr>
                <m:e>
                  <m:sSubSup>
                    <m:sSubSupPr>
                      <m:ctrlPr>
                        <w:rPr>
                          <w:rFonts w:hint="eastAsia" w:ascii="Cambria Math" w:hAnsi="Cambria Math" w:cs="宋体"/>
                          <w:b/>
                          <w:i/>
                          <w:sz w:val="24"/>
                        </w:rPr>
                      </m:ctrlPr>
                    </m:sSubSupPr>
                    <m:e>
                      <m:r>
                        <m:rPr>
                          <m:sty m:val="bi"/>
                        </m:rPr>
                        <w:rPr>
                          <w:rFonts w:hint="eastAsia" w:ascii="Cambria Math" w:hAnsi="Cambria Math" w:cs="宋体"/>
                          <w:sz w:val="24"/>
                        </w:rPr>
                        <m:t>F</m:t>
                      </m:r>
                      <m:ctrlPr>
                        <w:rPr>
                          <w:rFonts w:hint="eastAsia" w:ascii="Cambria Math" w:hAnsi="Cambria Math" w:cs="宋体"/>
                          <w:b/>
                          <w:i/>
                          <w:sz w:val="24"/>
                        </w:rPr>
                      </m:ctrlPr>
                    </m:e>
                    <m:sub>
                      <m:r>
                        <m:rPr>
                          <m:sty m:val="bi"/>
                        </m:rPr>
                        <w:rPr>
                          <w:rFonts w:hint="eastAsia" w:ascii="Cambria Math" w:hAnsi="Cambria Math" w:cs="宋体"/>
                          <w:sz w:val="24"/>
                        </w:rPr>
                        <m:t>n</m:t>
                      </m:r>
                      <m:ctrlPr>
                        <w:rPr>
                          <w:rFonts w:hint="eastAsia" w:ascii="Cambria Math" w:hAnsi="Cambria Math" w:cs="宋体"/>
                          <w:b/>
                          <w:i/>
                          <w:sz w:val="24"/>
                        </w:rPr>
                      </m:ctrlPr>
                    </m:sub>
                    <m:sup>
                      <m:r>
                        <m:rPr>
                          <m:sty m:val="b"/>
                        </m:rPr>
                        <w:rPr>
                          <w:rFonts w:hint="eastAsia" w:ascii="Cambria Math" w:hAnsi="Cambria Math" w:cs="宋体"/>
                          <w:sz w:val="24"/>
                        </w:rPr>
                        <m:t>'</m:t>
                      </m:r>
                      <m:ctrlPr>
                        <w:rPr>
                          <w:rFonts w:hint="eastAsia" w:ascii="Cambria Math" w:hAnsi="Cambria Math" w:cs="宋体"/>
                          <w:b/>
                          <w:i/>
                          <w:sz w:val="24"/>
                        </w:rPr>
                      </m:ctrlPr>
                    </m:sup>
                  </m:sSubSup>
                  <m:ctrlPr>
                    <w:rPr>
                      <w:rFonts w:hint="eastAsia" w:ascii="Cambria Math" w:hAnsi="Cambria Math" w:cs="宋体"/>
                      <w:b/>
                      <w:i/>
                      <w:sz w:val="24"/>
                    </w:rPr>
                  </m:ctrlPr>
                </m:e>
              </m:bar>
              <m:r>
                <m:rPr>
                  <m:sty m:val="bi"/>
                </m:rPr>
                <w:rPr>
                  <w:rFonts w:hint="eastAsia" w:ascii="Cambria Math" w:hAnsi="Cambria Math" w:cs="宋体"/>
                  <w:sz w:val="24"/>
                </w:rPr>
                <m:t xml:space="preserve"> −</m:t>
              </m:r>
              <m:sSub>
                <m:sSubPr>
                  <m:ctrlPr>
                    <w:rPr>
                      <w:rFonts w:hint="eastAsia" w:ascii="Cambria Math" w:hAnsi="Cambria Math" w:cs="宋体"/>
                      <w:b/>
                      <w:sz w:val="24"/>
                    </w:rPr>
                  </m:ctrlPr>
                </m:sSubPr>
                <m:e>
                  <m:r>
                    <m:rPr>
                      <m:sty m:val="bi"/>
                    </m:rPr>
                    <w:rPr>
                      <w:rFonts w:hint="eastAsia" w:ascii="Cambria Math" w:hAnsi="Cambria Math" w:cs="宋体"/>
                      <w:sz w:val="24"/>
                    </w:rPr>
                    <m:t>F</m:t>
                  </m:r>
                  <m:ctrlPr>
                    <w:rPr>
                      <w:rFonts w:hint="eastAsia" w:ascii="Cambria Math" w:hAnsi="Cambria Math" w:cs="宋体"/>
                      <w:b/>
                      <w:sz w:val="24"/>
                    </w:rPr>
                  </m:ctrlPr>
                </m:e>
                <m:sub>
                  <m:r>
                    <m:rPr>
                      <m:sty m:val="bi"/>
                    </m:rPr>
                    <w:rPr>
                      <w:rFonts w:hint="eastAsia" w:ascii="Cambria Math" w:hAnsi="Cambria Math" w:cs="宋体"/>
                      <w:sz w:val="24"/>
                    </w:rPr>
                    <m:t>n</m:t>
                  </m:r>
                  <m:ctrlPr>
                    <w:rPr>
                      <w:rFonts w:hint="eastAsia" w:ascii="Cambria Math" w:hAnsi="Cambria Math" w:cs="宋体"/>
                      <w:b/>
                      <w:sz w:val="24"/>
                    </w:rPr>
                  </m:ctrlPr>
                </m:sub>
              </m:sSub>
              <m:ctrlPr>
                <w:rPr>
                  <w:rFonts w:hint="eastAsia" w:ascii="Cambria Math" w:hAnsi="Cambria Math" w:cs="宋体"/>
                  <w:b/>
                  <w:i/>
                  <w:sz w:val="24"/>
                </w:rPr>
              </m:ctrlPr>
            </m:num>
            <m:den>
              <m:sSub>
                <m:sSubPr>
                  <m:ctrlPr>
                    <w:rPr>
                      <w:rFonts w:hint="eastAsia" w:ascii="Cambria Math" w:hAnsi="Cambria Math" w:cs="宋体"/>
                      <w:b/>
                      <w:i/>
                      <w:sz w:val="24"/>
                    </w:rPr>
                  </m:ctrlPr>
                </m:sSubPr>
                <m:e>
                  <m:r>
                    <m:rPr>
                      <m:sty m:val="bi"/>
                    </m:rPr>
                    <w:rPr>
                      <w:rFonts w:hint="eastAsia" w:ascii="Cambria Math" w:hAnsi="Cambria Math" w:cs="宋体"/>
                      <w:sz w:val="24"/>
                    </w:rPr>
                    <m:t>F</m:t>
                  </m:r>
                  <m:ctrlPr>
                    <w:rPr>
                      <w:rFonts w:hint="eastAsia" w:ascii="Cambria Math" w:hAnsi="Cambria Math" w:cs="宋体"/>
                      <w:b/>
                      <w:i/>
                      <w:sz w:val="24"/>
                    </w:rPr>
                  </m:ctrlPr>
                </m:e>
                <m:sub>
                  <m:r>
                    <m:rPr>
                      <m:sty m:val="bi"/>
                    </m:rPr>
                    <w:rPr>
                      <w:rFonts w:hint="eastAsia" w:ascii="Cambria Math" w:hAnsi="Cambria Math" w:cs="宋体"/>
                      <w:sz w:val="24"/>
                    </w:rPr>
                    <m:t>n</m:t>
                  </m:r>
                  <m:ctrlPr>
                    <w:rPr>
                      <w:rFonts w:hint="eastAsia" w:ascii="Cambria Math" w:hAnsi="Cambria Math" w:cs="宋体"/>
                      <w:b/>
                      <w:i/>
                      <w:sz w:val="24"/>
                    </w:rPr>
                  </m:ctrlPr>
                </m:sub>
              </m:sSub>
              <m:ctrlPr>
                <w:rPr>
                  <w:rFonts w:hint="eastAsia" w:ascii="Cambria Math" w:hAnsi="Cambria Math" w:cs="宋体"/>
                  <w:b/>
                  <w:i/>
                  <w:sz w:val="24"/>
                </w:rPr>
              </m:ctrlPr>
            </m:den>
          </m:f>
          <m:r>
            <m:rPr>
              <m:sty m:val="bi"/>
            </m:rPr>
            <w:rPr>
              <w:rFonts w:hint="eastAsia" w:ascii="Cambria Math" w:hAnsi="Cambria Math" w:cs="宋体"/>
              <w:sz w:val="24"/>
            </w:rPr>
            <m:t>×100%</m:t>
          </m:r>
        </m:oMath>
      </m:oMathPara>
    </w:p>
    <w:p>
      <w:pPr>
        <w:spacing w:line="360" w:lineRule="auto"/>
        <w:ind w:firstLine="413" w:firstLineChars="196"/>
        <w:jc w:val="left"/>
        <w:rPr>
          <w:rFonts w:ascii="宋体" w:hAnsi="宋体" w:cs="宋体"/>
          <w:b/>
          <w:szCs w:val="28"/>
        </w:rPr>
      </w:pPr>
      <w:r>
        <w:rPr>
          <w:rFonts w:hint="eastAsia" w:ascii="宋体" w:hAnsi="宋体" w:cs="宋体"/>
          <w:b/>
          <w:szCs w:val="28"/>
        </w:rPr>
        <w:t>7.3 标准测量不确定度评定</w:t>
      </w:r>
    </w:p>
    <w:p>
      <w:pPr>
        <w:spacing w:line="360" w:lineRule="auto"/>
        <w:ind w:firstLine="480" w:firstLineChars="200"/>
        <w:jc w:val="left"/>
        <w:rPr>
          <w:rFonts w:ascii="宋体" w:hAnsi="宋体" w:cs="宋体"/>
          <w:sz w:val="24"/>
        </w:rPr>
      </w:pPr>
      <w:r>
        <w:rPr>
          <w:rFonts w:hint="eastAsia" w:ascii="宋体" w:hAnsi="宋体" w:cs="宋体"/>
          <w:sz w:val="24"/>
        </w:rPr>
        <w:t>1）输入量</w:t>
      </w:r>
      <m:oMath>
        <m:sSub>
          <m:sSubPr>
            <m:ctrlPr>
              <w:rPr>
                <w:rFonts w:hint="eastAsia" w:ascii="Cambria Math" w:hAnsi="Cambria Math" w:cs="宋体"/>
                <w:sz w:val="24"/>
              </w:rPr>
            </m:ctrlPr>
          </m:sSubPr>
          <m:e>
            <m:r>
              <m:rPr/>
              <w:rPr>
                <w:rFonts w:hint="eastAsia" w:ascii="Cambria Math" w:hAnsi="Cambria Math" w:cs="宋体"/>
                <w:sz w:val="24"/>
              </w:rPr>
              <m:t>F</m:t>
            </m:r>
            <m:ctrlPr>
              <w:rPr>
                <w:rFonts w:hint="eastAsia" w:ascii="Cambria Math" w:hAnsi="Cambria Math" w:cs="宋体"/>
                <w:sz w:val="24"/>
              </w:rPr>
            </m:ctrlPr>
          </m:e>
          <m:sub>
            <m:r>
              <m:rPr>
                <m:sty m:val="p"/>
              </m:rPr>
              <w:rPr>
                <w:rFonts w:hint="eastAsia" w:ascii="Cambria Math" w:hAnsi="Cambria Math" w:cs="宋体"/>
                <w:sz w:val="24"/>
              </w:rPr>
              <m:t>仪</m:t>
            </m:r>
            <m:r>
              <m:rPr/>
              <w:rPr>
                <w:rFonts w:hint="eastAsia" w:ascii="Cambria Math" w:hAnsi="Cambria Math" w:cs="宋体"/>
                <w:sz w:val="24"/>
              </w:rPr>
              <m:t>i</m:t>
            </m:r>
            <m:ctrlPr>
              <w:rPr>
                <w:rFonts w:hint="eastAsia" w:ascii="Cambria Math" w:hAnsi="Cambria Math" w:cs="宋体"/>
                <w:sz w:val="24"/>
              </w:rPr>
            </m:ctrlPr>
          </m:sub>
        </m:sSub>
      </m:oMath>
      <w:r>
        <w:rPr>
          <w:rFonts w:hint="eastAsia" w:ascii="宋体" w:hAnsi="宋体" w:cs="宋体"/>
          <w:sz w:val="24"/>
        </w:rPr>
        <w:t>的标准不确定度μ</w:t>
      </w:r>
      <w:r>
        <w:rPr>
          <w:rFonts w:hint="eastAsia" w:ascii="宋体" w:hAnsi="宋体" w:cs="宋体"/>
          <w:sz w:val="24"/>
          <w:vertAlign w:val="subscript"/>
        </w:rPr>
        <w:t>仪</w:t>
      </w:r>
    </w:p>
    <w:p>
      <w:pPr>
        <w:spacing w:line="360" w:lineRule="auto"/>
        <w:ind w:firstLine="480" w:firstLineChars="200"/>
        <w:jc w:val="left"/>
        <w:rPr>
          <w:rFonts w:ascii="宋体" w:hAnsi="宋体" w:cs="宋体"/>
          <w:sz w:val="24"/>
        </w:rPr>
      </w:pPr>
      <w:r>
        <w:rPr>
          <w:rFonts w:hint="eastAsia" w:ascii="宋体" w:hAnsi="宋体" w:cs="宋体"/>
          <w:sz w:val="24"/>
        </w:rPr>
        <w:t>（1）指重表重量指示仪重复测量引入的不确定度分量μ</w:t>
      </w:r>
      <w:r>
        <w:rPr>
          <w:rFonts w:hint="eastAsia" w:ascii="宋体" w:hAnsi="宋体" w:cs="宋体"/>
          <w:sz w:val="24"/>
          <w:vertAlign w:val="subscript"/>
        </w:rPr>
        <w:t>仪1</w:t>
      </w:r>
    </w:p>
    <w:p>
      <w:pPr>
        <w:spacing w:line="360" w:lineRule="auto"/>
        <w:ind w:firstLine="480" w:firstLineChars="200"/>
        <w:jc w:val="left"/>
        <w:rPr>
          <w:rFonts w:ascii="宋体" w:hAnsi="宋体" w:cs="宋体"/>
          <w:sz w:val="24"/>
        </w:rPr>
      </w:pPr>
      <w:r>
        <w:rPr>
          <w:rFonts w:hint="eastAsia" w:ascii="宋体" w:hAnsi="宋体" w:cs="宋体"/>
          <w:sz w:val="24"/>
        </w:rPr>
        <w:t>指重表重量指示仪不确定度为1%。</w:t>
      </w:r>
    </w:p>
    <w:p>
      <w:pPr>
        <w:spacing w:line="360" w:lineRule="auto"/>
        <w:ind w:firstLine="480" w:firstLineChars="200"/>
        <w:jc w:val="left"/>
        <w:rPr>
          <w:rFonts w:ascii="宋体" w:hAnsi="宋体" w:cs="宋体"/>
          <w:sz w:val="24"/>
        </w:rPr>
      </w:pPr>
      <w:r>
        <w:rPr>
          <w:rFonts w:hint="eastAsia" w:ascii="宋体" w:hAnsi="宋体" w:cs="宋体"/>
          <w:sz w:val="24"/>
        </w:rPr>
        <w:t>则μ</w:t>
      </w:r>
      <w:r>
        <w:rPr>
          <w:rFonts w:hint="eastAsia" w:ascii="宋体" w:hAnsi="宋体" w:cs="宋体"/>
          <w:sz w:val="24"/>
          <w:vertAlign w:val="subscript"/>
        </w:rPr>
        <w:t>仪1</w:t>
      </w:r>
      <m:oMath>
        <m:r>
          <m:rPr>
            <m:sty m:val="p"/>
          </m:rPr>
          <w:rPr>
            <w:rFonts w:hint="eastAsia" w:ascii="Cambria Math" w:hAnsi="Cambria Math" w:cs="宋体"/>
            <w:sz w:val="24"/>
          </w:rPr>
          <m:t>=</m:t>
        </m:r>
        <m:f>
          <m:fPr>
            <m:ctrlPr>
              <w:rPr>
                <w:rFonts w:hint="eastAsia" w:ascii="Cambria Math" w:hAnsi="Cambria Math" w:cs="宋体"/>
                <w:sz w:val="24"/>
              </w:rPr>
            </m:ctrlPr>
          </m:fPr>
          <m:num>
            <m:r>
              <m:rPr>
                <m:sty m:val="p"/>
              </m:rPr>
              <w:rPr>
                <w:rFonts w:hint="eastAsia" w:ascii="Cambria Math" w:hAnsi="Cambria Math" w:cs="宋体"/>
                <w:sz w:val="24"/>
              </w:rPr>
              <m:t>1%</m:t>
            </m:r>
            <m:ctrlPr>
              <w:rPr>
                <w:rFonts w:hint="eastAsia" w:ascii="Cambria Math" w:hAnsi="Cambria Math" w:cs="宋体"/>
                <w:sz w:val="24"/>
              </w:rPr>
            </m:ctrlPr>
          </m:num>
          <m:den>
            <m:rad>
              <m:radPr>
                <m:degHide m:val="1"/>
                <m:ctrlPr>
                  <w:rPr>
                    <w:rFonts w:hint="eastAsia" w:ascii="Cambria Math" w:hAnsi="Cambria Math" w:cs="宋体"/>
                    <w:sz w:val="24"/>
                  </w:rPr>
                </m:ctrlPr>
              </m:radPr>
              <m:deg>
                <m:ctrlPr>
                  <w:rPr>
                    <w:rFonts w:hint="eastAsia" w:ascii="Cambria Math" w:hAnsi="Cambria Math" w:cs="宋体"/>
                    <w:sz w:val="24"/>
                  </w:rPr>
                </m:ctrlPr>
              </m:deg>
              <m:e>
                <m:r>
                  <m:rPr>
                    <m:sty m:val="p"/>
                  </m:rPr>
                  <w:rPr>
                    <w:rFonts w:hint="eastAsia" w:ascii="Cambria Math" w:hAnsi="Cambria Math" w:cs="宋体"/>
                    <w:sz w:val="24"/>
                  </w:rPr>
                  <m:t>3</m:t>
                </m:r>
                <m:ctrlPr>
                  <w:rPr>
                    <w:rFonts w:hint="eastAsia" w:ascii="Cambria Math" w:hAnsi="Cambria Math" w:cs="宋体"/>
                    <w:sz w:val="24"/>
                  </w:rPr>
                </m:ctrlPr>
              </m:e>
            </m:rad>
            <m:ctrlPr>
              <w:rPr>
                <w:rFonts w:hint="eastAsia" w:ascii="Cambria Math" w:hAnsi="Cambria Math" w:cs="宋体"/>
                <w:sz w:val="24"/>
              </w:rPr>
            </m:ctrlPr>
          </m:den>
        </m:f>
        <m:r>
          <m:rPr/>
          <w:rPr>
            <w:rFonts w:hint="eastAsia" w:ascii="Cambria Math" w:hAnsi="Cambria Math" w:cs="宋体"/>
            <w:sz w:val="24"/>
          </w:rPr>
          <m:t>=</m:t>
        </m:r>
      </m:oMath>
      <w:r>
        <w:rPr>
          <w:rFonts w:hint="eastAsia" w:ascii="宋体" w:hAnsi="宋体" w:cs="宋体"/>
          <w:sz w:val="24"/>
        </w:rPr>
        <w:t>0.00577 kN</w:t>
      </w:r>
    </w:p>
    <w:p>
      <w:pPr>
        <w:spacing w:line="360" w:lineRule="auto"/>
        <w:ind w:firstLine="480" w:firstLineChars="200"/>
        <w:jc w:val="left"/>
        <w:rPr>
          <w:rFonts w:ascii="宋体" w:hAnsi="宋体" w:cs="宋体"/>
          <w:sz w:val="24"/>
        </w:rPr>
      </w:pPr>
      <w:r>
        <w:rPr>
          <w:rFonts w:hint="eastAsia" w:ascii="宋体" w:hAnsi="宋体" w:cs="宋体"/>
          <w:sz w:val="24"/>
        </w:rPr>
        <w:t>（2）系统测试时重量指示仪重复测量引入的不确定度分量μ</w:t>
      </w:r>
      <w:r>
        <w:rPr>
          <w:rFonts w:hint="eastAsia" w:ascii="宋体" w:hAnsi="宋体" w:cs="宋体"/>
          <w:sz w:val="24"/>
          <w:vertAlign w:val="subscript"/>
        </w:rPr>
        <w:t>仪2</w:t>
      </w:r>
    </w:p>
    <w:p>
      <w:pPr>
        <w:spacing w:line="360" w:lineRule="auto"/>
        <w:ind w:firstLine="480" w:firstLineChars="200"/>
        <w:jc w:val="left"/>
        <w:rPr>
          <w:rFonts w:ascii="宋体" w:hAnsi="宋体" w:cs="宋体"/>
          <w:sz w:val="24"/>
        </w:rPr>
      </w:pPr>
      <w:r>
        <w:rPr>
          <w:rFonts w:hint="eastAsia" w:ascii="宋体" w:hAnsi="宋体" w:cs="宋体"/>
          <w:sz w:val="24"/>
        </w:rPr>
        <w:t>不确定度类型为A类，概率分布为正态分布</w:t>
      </w:r>
    </w:p>
    <w:p>
      <w:pPr>
        <w:spacing w:line="360" w:lineRule="auto"/>
        <w:ind w:firstLine="480" w:firstLineChars="200"/>
        <w:jc w:val="left"/>
        <w:rPr>
          <w:rFonts w:ascii="宋体" w:hAnsi="宋体" w:cs="宋体"/>
          <w:b/>
          <w:sz w:val="32"/>
          <w:szCs w:val="32"/>
        </w:rPr>
      </w:pPr>
      <w:r>
        <w:rPr>
          <w:rFonts w:hint="eastAsia" w:ascii="宋体" w:hAnsi="宋体" w:cs="宋体"/>
          <w:sz w:val="24"/>
        </w:rPr>
        <w:t>测试数据，见指重表系统在线检测记录。</w:t>
      </w:r>
    </w:p>
    <w:p>
      <w:pPr>
        <w:spacing w:line="360" w:lineRule="auto"/>
        <w:ind w:firstLine="480" w:firstLineChars="200"/>
        <w:jc w:val="left"/>
        <w:rPr>
          <w:rFonts w:ascii="宋体" w:hAnsi="宋体" w:cs="宋体"/>
          <w:sz w:val="24"/>
        </w:rPr>
      </w:pPr>
      <w:r>
        <w:rPr>
          <w:rFonts w:hint="eastAsia" w:ascii="宋体" w:hAnsi="宋体" w:cs="宋体"/>
          <w:sz w:val="24"/>
        </w:rPr>
        <w:t>测量标准器重复三次测量指重表重量指示仪，示值误差最大处为19.45×10kN上。</w:t>
      </w:r>
    </w:p>
    <w:p>
      <w:pPr>
        <w:spacing w:line="360" w:lineRule="auto"/>
        <w:ind w:firstLine="480" w:firstLineChars="200"/>
        <w:jc w:val="left"/>
        <w:rPr>
          <w:rFonts w:ascii="宋体" w:hAnsi="宋体" w:cs="宋体"/>
          <w:sz w:val="24"/>
        </w:rPr>
      </w:pPr>
      <w:r>
        <w:rPr>
          <w:rFonts w:hint="eastAsia" w:ascii="宋体" w:hAnsi="宋体" w:cs="宋体"/>
          <w:sz w:val="24"/>
        </w:rPr>
        <w:t>则最大差值：R=3.5kN</w:t>
      </w:r>
    </w:p>
    <w:p>
      <w:pPr>
        <w:spacing w:line="360" w:lineRule="auto"/>
        <w:ind w:firstLine="480" w:firstLineChars="200"/>
        <w:jc w:val="left"/>
        <w:rPr>
          <w:rFonts w:ascii="宋体" w:hAnsi="宋体" w:cs="宋体"/>
          <w:sz w:val="24"/>
        </w:rPr>
      </w:pPr>
      <w:r>
        <w:rPr>
          <w:rFonts w:hint="eastAsia" w:ascii="宋体" w:hAnsi="宋体" w:cs="宋体"/>
          <w:sz w:val="24"/>
        </w:rPr>
        <w:t>运用极差法估计单次试验标准差，极差系数C取为1.69。</w:t>
      </w:r>
    </w:p>
    <w:p>
      <w:pPr>
        <w:ind w:firstLine="480" w:firstLineChars="200"/>
        <w:jc w:val="center"/>
        <w:rPr>
          <w:rFonts w:ascii="宋体" w:hAnsi="宋体" w:cs="宋体"/>
          <w:i/>
          <w:sz w:val="24"/>
        </w:rPr>
      </w:pPr>
      <m:oMathPara>
        <m:oMath>
          <m:r>
            <m:rPr/>
            <w:rPr>
              <w:rFonts w:hint="eastAsia" w:ascii="Cambria Math" w:hAnsi="Cambria Math" w:cs="宋体"/>
              <w:sz w:val="24"/>
            </w:rPr>
            <m:t>s=</m:t>
          </m:r>
          <m:f>
            <m:fPr>
              <m:ctrlPr>
                <w:rPr>
                  <w:rFonts w:hint="eastAsia" w:ascii="Cambria Math" w:hAnsi="Cambria Math" w:cs="宋体"/>
                  <w:i/>
                  <w:sz w:val="24"/>
                </w:rPr>
              </m:ctrlPr>
            </m:fPr>
            <m:num>
              <m:r>
                <m:rPr/>
                <w:rPr>
                  <w:rFonts w:hint="eastAsia" w:ascii="Cambria Math" w:hAnsi="Cambria Math" w:cs="宋体"/>
                  <w:sz w:val="24"/>
                </w:rPr>
                <m:t>R</m:t>
              </m:r>
              <m:ctrlPr>
                <w:rPr>
                  <w:rFonts w:hint="eastAsia" w:ascii="Cambria Math" w:hAnsi="Cambria Math" w:cs="宋体"/>
                  <w:i/>
                  <w:sz w:val="24"/>
                </w:rPr>
              </m:ctrlPr>
            </m:num>
            <m:den>
              <m:r>
                <m:rPr/>
                <w:rPr>
                  <w:rFonts w:hint="eastAsia" w:ascii="Cambria Math" w:hAnsi="Cambria Math" w:cs="宋体"/>
                  <w:sz w:val="24"/>
                </w:rPr>
                <m:t>C</m:t>
              </m:r>
              <m:ctrlPr>
                <w:rPr>
                  <w:rFonts w:hint="eastAsia" w:ascii="Cambria Math" w:hAnsi="Cambria Math" w:cs="宋体"/>
                  <w:i/>
                  <w:sz w:val="24"/>
                </w:rPr>
              </m:ctrlPr>
            </m:den>
          </m:f>
          <m:r>
            <m:rPr/>
            <w:rPr>
              <w:rFonts w:hint="eastAsia" w:ascii="Cambria Math" w:hAnsi="Cambria Math" w:cs="宋体"/>
              <w:sz w:val="24"/>
            </w:rPr>
            <m:t>=</m:t>
          </m:r>
          <m:f>
            <m:fPr>
              <m:ctrlPr>
                <w:rPr>
                  <w:rFonts w:hint="eastAsia" w:ascii="Cambria Math" w:hAnsi="Cambria Math" w:cs="宋体"/>
                  <w:i/>
                  <w:sz w:val="24"/>
                </w:rPr>
              </m:ctrlPr>
            </m:fPr>
            <m:num>
              <m:r>
                <m:rPr/>
                <w:rPr>
                  <w:rFonts w:hint="eastAsia" w:ascii="Cambria Math" w:hAnsi="Cambria Math" w:cs="宋体"/>
                  <w:sz w:val="24"/>
                </w:rPr>
                <m:t>3.5</m:t>
              </m:r>
              <m:ctrlPr>
                <w:rPr>
                  <w:rFonts w:hint="eastAsia" w:ascii="Cambria Math" w:hAnsi="Cambria Math" w:cs="宋体"/>
                  <w:i/>
                  <w:sz w:val="24"/>
                </w:rPr>
              </m:ctrlPr>
            </m:num>
            <m:den>
              <m:r>
                <m:rPr/>
                <w:rPr>
                  <w:rFonts w:hint="eastAsia" w:ascii="Cambria Math" w:hAnsi="Cambria Math" w:cs="宋体"/>
                  <w:sz w:val="24"/>
                </w:rPr>
                <m:t>1.69</m:t>
              </m:r>
              <m:ctrlPr>
                <w:rPr>
                  <w:rFonts w:hint="eastAsia" w:ascii="Cambria Math" w:hAnsi="Cambria Math" w:cs="宋体"/>
                  <w:i/>
                  <w:sz w:val="24"/>
                </w:rPr>
              </m:ctrlPr>
            </m:den>
          </m:f>
          <m:r>
            <m:rPr/>
            <w:rPr>
              <w:rFonts w:hint="eastAsia" w:ascii="Cambria Math" w:hAnsi="Cambria Math" w:cs="宋体"/>
              <w:sz w:val="24"/>
            </w:rPr>
            <m:t>=2.07</m:t>
          </m:r>
          <m:r>
            <m:rPr>
              <m:sty m:val="p"/>
            </m:rPr>
            <w:rPr>
              <w:rFonts w:hint="eastAsia" w:ascii="Cambria Math" w:hAnsi="Cambria Math" w:cs="宋体"/>
              <w:sz w:val="24"/>
            </w:rPr>
            <m:t>（kN）</m:t>
          </m:r>
        </m:oMath>
      </m:oMathPara>
    </w:p>
    <w:p>
      <w:pPr>
        <w:ind w:firstLine="480" w:firstLineChars="200"/>
        <w:jc w:val="left"/>
        <w:rPr>
          <w:rFonts w:ascii="宋体" w:hAnsi="宋体" w:cs="宋体"/>
          <w:sz w:val="24"/>
        </w:rPr>
      </w:pPr>
      <w:r>
        <w:rPr>
          <w:rFonts w:hint="eastAsia" w:ascii="宋体" w:hAnsi="宋体" w:cs="宋体"/>
          <w:sz w:val="24"/>
        </w:rPr>
        <w:t>则：</w:t>
      </w:r>
    </w:p>
    <w:p>
      <w:pPr>
        <w:ind w:firstLine="420"/>
        <w:jc w:val="center"/>
        <w:rPr>
          <w:rFonts w:ascii="宋体" w:hAnsi="宋体" w:cs="宋体"/>
          <w:sz w:val="24"/>
        </w:rPr>
      </w:pPr>
      <w:r>
        <w:rPr>
          <w:rFonts w:hint="eastAsia" w:ascii="宋体" w:hAnsi="宋体" w:cs="宋体"/>
          <w:sz w:val="24"/>
        </w:rPr>
        <w:t>μ</w:t>
      </w:r>
      <w:r>
        <w:rPr>
          <w:rFonts w:hint="eastAsia" w:ascii="宋体" w:hAnsi="宋体" w:cs="宋体"/>
          <w:sz w:val="24"/>
          <w:vertAlign w:val="subscript"/>
        </w:rPr>
        <w:t>仪2</w:t>
      </w:r>
      <w:r>
        <w:rPr>
          <w:rFonts w:hint="eastAsia" w:ascii="宋体" w:hAnsi="宋体" w:cs="宋体"/>
          <w:sz w:val="24"/>
        </w:rPr>
        <w:t>=</w:t>
      </w:r>
      <m:oMath>
        <m:f>
          <m:fPr>
            <m:ctrlPr>
              <w:rPr>
                <w:rFonts w:hint="eastAsia" w:ascii="Cambria Math" w:hAnsi="Cambria Math" w:cs="宋体"/>
                <w:sz w:val="24"/>
              </w:rPr>
            </m:ctrlPr>
          </m:fPr>
          <m:num>
            <m:f>
              <m:fPr>
                <m:ctrlPr>
                  <w:rPr>
                    <w:rFonts w:hint="eastAsia" w:ascii="Cambria Math" w:hAnsi="Cambria Math" w:cs="宋体"/>
                    <w:sz w:val="24"/>
                  </w:rPr>
                </m:ctrlPr>
              </m:fPr>
              <m:num>
                <m:r>
                  <m:rPr>
                    <m:sty m:val="p"/>
                  </m:rPr>
                  <w:rPr>
                    <w:rFonts w:hint="eastAsia" w:ascii="Cambria Math" w:hAnsi="Cambria Math" w:cs="宋体"/>
                    <w:sz w:val="24"/>
                  </w:rPr>
                  <m:t>s</m:t>
                </m:r>
                <m:ctrlPr>
                  <w:rPr>
                    <w:rFonts w:hint="eastAsia" w:ascii="Cambria Math" w:hAnsi="Cambria Math" w:cs="宋体"/>
                    <w:sz w:val="24"/>
                  </w:rPr>
                </m:ctrlPr>
              </m:num>
              <m:den>
                <m:rad>
                  <m:radPr>
                    <m:degHide m:val="1"/>
                    <m:ctrlPr>
                      <w:rPr>
                        <w:rFonts w:hint="eastAsia" w:ascii="Cambria Math" w:hAnsi="Cambria Math" w:cs="宋体"/>
                        <w:sz w:val="24"/>
                      </w:rPr>
                    </m:ctrlPr>
                  </m:radPr>
                  <m:deg>
                    <m:ctrlPr>
                      <w:rPr>
                        <w:rFonts w:hint="eastAsia" w:ascii="Cambria Math" w:hAnsi="Cambria Math" w:cs="宋体"/>
                        <w:sz w:val="24"/>
                      </w:rPr>
                    </m:ctrlPr>
                  </m:deg>
                  <m:e>
                    <m:r>
                      <m:rPr>
                        <m:sty m:val="p"/>
                      </m:rPr>
                      <w:rPr>
                        <w:rFonts w:hint="eastAsia" w:ascii="Cambria Math" w:hAnsi="Cambria Math" w:cs="宋体"/>
                        <w:sz w:val="24"/>
                      </w:rPr>
                      <m:t>3</m:t>
                    </m:r>
                    <m:ctrlPr>
                      <w:rPr>
                        <w:rFonts w:hint="eastAsia" w:ascii="Cambria Math" w:hAnsi="Cambria Math" w:cs="宋体"/>
                        <w:sz w:val="24"/>
                      </w:rPr>
                    </m:ctrlPr>
                  </m:e>
                </m:rad>
                <m:ctrlPr>
                  <w:rPr>
                    <w:rFonts w:hint="eastAsia" w:ascii="Cambria Math" w:hAnsi="Cambria Math" w:cs="宋体"/>
                    <w:sz w:val="24"/>
                  </w:rPr>
                </m:ctrlPr>
              </m:den>
            </m:f>
            <m:ctrlPr>
              <w:rPr>
                <w:rFonts w:hint="eastAsia" w:ascii="Cambria Math" w:hAnsi="Cambria Math" w:cs="宋体"/>
                <w:sz w:val="24"/>
              </w:rPr>
            </m:ctrlPr>
          </m:num>
          <m:den>
            <m:sSub>
              <m:sSubPr>
                <m:ctrlPr>
                  <w:rPr>
                    <w:rFonts w:hint="eastAsia" w:ascii="Cambria Math" w:hAnsi="Cambria Math" w:cs="宋体"/>
                    <w:b/>
                    <w:i/>
                    <w:sz w:val="24"/>
                  </w:rPr>
                </m:ctrlPr>
              </m:sSubPr>
              <m:e>
                <m:r>
                  <m:rPr>
                    <m:sty m:val="bi"/>
                  </m:rPr>
                  <w:rPr>
                    <w:rFonts w:hint="eastAsia" w:ascii="Cambria Math" w:hAnsi="Cambria Math" w:cs="宋体"/>
                    <w:sz w:val="24"/>
                  </w:rPr>
                  <m:t>F</m:t>
                </m:r>
                <m:ctrlPr>
                  <w:rPr>
                    <w:rFonts w:hint="eastAsia" w:ascii="Cambria Math" w:hAnsi="Cambria Math" w:cs="宋体"/>
                    <w:b/>
                    <w:i/>
                    <w:sz w:val="24"/>
                  </w:rPr>
                </m:ctrlPr>
              </m:e>
              <m:sub>
                <m:r>
                  <m:rPr>
                    <m:sty m:val="bi"/>
                  </m:rPr>
                  <w:rPr>
                    <w:rFonts w:hint="eastAsia" w:ascii="Cambria Math" w:hAnsi="Cambria Math" w:cs="宋体"/>
                    <w:sz w:val="24"/>
                  </w:rPr>
                  <m:t>n</m:t>
                </m:r>
                <m:ctrlPr>
                  <w:rPr>
                    <w:rFonts w:hint="eastAsia" w:ascii="Cambria Math" w:hAnsi="Cambria Math" w:cs="宋体"/>
                    <w:b/>
                    <w:i/>
                    <w:sz w:val="24"/>
                  </w:rPr>
                </m:ctrlPr>
              </m:sub>
            </m:sSub>
            <m:ctrlPr>
              <w:rPr>
                <w:rFonts w:hint="eastAsia" w:ascii="Cambria Math" w:hAnsi="Cambria Math" w:cs="宋体"/>
                <w:sz w:val="24"/>
              </w:rPr>
            </m:ctrlPr>
          </m:den>
        </m:f>
      </m:oMath>
      <w:r>
        <w:rPr>
          <w:rFonts w:hint="eastAsia" w:ascii="宋体" w:hAnsi="宋体" w:cs="宋体"/>
          <w:sz w:val="24"/>
        </w:rPr>
        <w:t>=0.00614</w:t>
      </w:r>
      <m:oMath>
        <m:r>
          <m:rPr>
            <m:sty m:val="p"/>
          </m:rPr>
          <w:rPr>
            <w:rFonts w:hint="eastAsia" w:ascii="Cambria Math" w:hAnsi="Cambria Math" w:cs="宋体"/>
            <w:sz w:val="24"/>
          </w:rPr>
          <m:t>（kN）</m:t>
        </m:r>
      </m:oMath>
    </w:p>
    <w:p>
      <w:pPr>
        <w:spacing w:line="360" w:lineRule="auto"/>
        <w:ind w:firstLine="544" w:firstLineChars="227"/>
        <w:jc w:val="left"/>
        <w:rPr>
          <w:rFonts w:ascii="宋体" w:hAnsi="宋体" w:cs="宋体"/>
          <w:sz w:val="24"/>
        </w:rPr>
      </w:pPr>
      <w:r>
        <w:rPr>
          <w:rFonts w:hint="eastAsia" w:ascii="宋体" w:hAnsi="宋体" w:cs="宋体"/>
          <w:sz w:val="24"/>
        </w:rPr>
        <w:t>2）输入量F</w:t>
      </w:r>
      <w:r>
        <w:rPr>
          <w:rFonts w:hint="eastAsia" w:ascii="宋体" w:hAnsi="宋体" w:cs="宋体"/>
          <w:sz w:val="24"/>
          <w:vertAlign w:val="subscript"/>
        </w:rPr>
        <w:t>标</w:t>
      </w:r>
      <w:r>
        <w:rPr>
          <w:rFonts w:hint="eastAsia" w:ascii="宋体" w:hAnsi="宋体" w:cs="宋体"/>
          <w:sz w:val="24"/>
        </w:rPr>
        <w:t>的标准不确定度μ</w:t>
      </w:r>
      <w:r>
        <w:rPr>
          <w:rFonts w:hint="eastAsia" w:ascii="宋体" w:hAnsi="宋体" w:cs="宋体"/>
          <w:sz w:val="24"/>
          <w:vertAlign w:val="subscript"/>
        </w:rPr>
        <w:t>标</w:t>
      </w:r>
    </w:p>
    <w:p>
      <w:pPr>
        <w:spacing w:line="360" w:lineRule="auto"/>
        <w:ind w:firstLine="544" w:firstLineChars="227"/>
        <w:jc w:val="left"/>
        <w:rPr>
          <w:rFonts w:ascii="宋体" w:hAnsi="宋体" w:cs="宋体"/>
          <w:sz w:val="24"/>
        </w:rPr>
      </w:pPr>
      <w:r>
        <w:rPr>
          <w:rFonts w:hint="eastAsia" w:ascii="宋体" w:hAnsi="宋体" w:cs="宋体"/>
          <w:sz w:val="24"/>
        </w:rPr>
        <w:t>（1）标准器无线悬重测量仪准确度引入的不确定度分量μ</w:t>
      </w:r>
      <w:r>
        <w:rPr>
          <w:rFonts w:hint="eastAsia" w:ascii="宋体" w:hAnsi="宋体" w:cs="宋体"/>
          <w:sz w:val="24"/>
          <w:vertAlign w:val="subscript"/>
        </w:rPr>
        <w:t>标1</w:t>
      </w:r>
    </w:p>
    <w:p>
      <w:pPr>
        <w:spacing w:line="360" w:lineRule="auto"/>
        <w:ind w:firstLine="544" w:firstLineChars="227"/>
        <w:jc w:val="left"/>
        <w:rPr>
          <w:rFonts w:ascii="宋体" w:hAnsi="宋体" w:cs="宋体"/>
          <w:sz w:val="24"/>
        </w:rPr>
      </w:pPr>
      <w:r>
        <w:rPr>
          <w:rFonts w:hint="eastAsia" w:ascii="宋体" w:hAnsi="宋体" w:cs="宋体"/>
          <w:sz w:val="24"/>
        </w:rPr>
        <w:t>不确定度类型为B类，概率分布为均布</w:t>
      </w:r>
    </w:p>
    <w:p>
      <w:pPr>
        <w:spacing w:line="360" w:lineRule="auto"/>
        <w:ind w:firstLine="544" w:firstLineChars="227"/>
        <w:jc w:val="left"/>
        <w:rPr>
          <w:rFonts w:ascii="宋体" w:hAnsi="宋体" w:cs="宋体"/>
          <w:sz w:val="24"/>
        </w:rPr>
      </w:pPr>
      <w:r>
        <w:rPr>
          <w:rFonts w:hint="eastAsia" w:ascii="宋体" w:hAnsi="宋体" w:cs="宋体"/>
          <w:sz w:val="24"/>
        </w:rPr>
        <w:t>悬重测量仪（0～1500）kN,准确度等级0.5级</w:t>
      </w:r>
    </w:p>
    <w:p>
      <w:pPr>
        <w:ind w:firstLine="544" w:firstLineChars="227"/>
        <w:jc w:val="left"/>
        <w:rPr>
          <w:rFonts w:ascii="宋体" w:hAnsi="宋体" w:cs="宋体"/>
          <w:sz w:val="24"/>
        </w:rPr>
      </w:pPr>
      <w:r>
        <w:rPr>
          <w:rFonts w:hint="eastAsia" w:ascii="宋体" w:hAnsi="宋体" w:cs="宋体"/>
          <w:sz w:val="24"/>
        </w:rPr>
        <w:t>μ</w:t>
      </w:r>
      <w:r>
        <w:rPr>
          <w:rFonts w:hint="eastAsia" w:ascii="宋体" w:hAnsi="宋体" w:cs="宋体"/>
          <w:sz w:val="24"/>
          <w:vertAlign w:val="subscript"/>
        </w:rPr>
        <w:t>标1</w:t>
      </w:r>
      <m:oMath>
        <m:r>
          <m:rPr>
            <m:sty m:val="p"/>
          </m:rPr>
          <w:rPr>
            <w:rFonts w:hint="eastAsia" w:ascii="Cambria Math" w:hAnsi="Cambria Math" w:cs="宋体"/>
            <w:sz w:val="24"/>
          </w:rPr>
          <m:t>=</m:t>
        </m:r>
        <m:f>
          <m:fPr>
            <m:ctrlPr>
              <w:rPr>
                <w:rFonts w:hint="eastAsia" w:ascii="Cambria Math" w:hAnsi="Cambria Math" w:cs="宋体"/>
                <w:sz w:val="24"/>
              </w:rPr>
            </m:ctrlPr>
          </m:fPr>
          <m:num>
            <m:r>
              <m:rPr>
                <m:sty m:val="p"/>
              </m:rPr>
              <w:rPr>
                <w:rFonts w:hint="eastAsia" w:ascii="Cambria Math" w:hAnsi="Cambria Math" w:cs="宋体"/>
                <w:sz w:val="24"/>
              </w:rPr>
              <m:t>0.5%</m:t>
            </m:r>
            <m:ctrlPr>
              <w:rPr>
                <w:rFonts w:hint="eastAsia" w:ascii="Cambria Math" w:hAnsi="Cambria Math" w:cs="宋体"/>
                <w:sz w:val="24"/>
              </w:rPr>
            </m:ctrlPr>
          </m:num>
          <m:den>
            <m:rad>
              <m:radPr>
                <m:degHide m:val="1"/>
                <m:ctrlPr>
                  <w:rPr>
                    <w:rFonts w:hint="eastAsia" w:ascii="Cambria Math" w:hAnsi="Cambria Math" w:cs="宋体"/>
                    <w:sz w:val="24"/>
                  </w:rPr>
                </m:ctrlPr>
              </m:radPr>
              <m:deg>
                <m:ctrlPr>
                  <w:rPr>
                    <w:rFonts w:hint="eastAsia" w:ascii="Cambria Math" w:hAnsi="Cambria Math" w:cs="宋体"/>
                    <w:sz w:val="24"/>
                  </w:rPr>
                </m:ctrlPr>
              </m:deg>
              <m:e>
                <m:r>
                  <m:rPr>
                    <m:sty m:val="p"/>
                  </m:rPr>
                  <w:rPr>
                    <w:rFonts w:hint="eastAsia" w:ascii="Cambria Math" w:hAnsi="Cambria Math" w:cs="宋体"/>
                    <w:sz w:val="24"/>
                  </w:rPr>
                  <m:t>3</m:t>
                </m:r>
                <m:ctrlPr>
                  <w:rPr>
                    <w:rFonts w:hint="eastAsia" w:ascii="Cambria Math" w:hAnsi="Cambria Math" w:cs="宋体"/>
                    <w:sz w:val="24"/>
                  </w:rPr>
                </m:ctrlPr>
              </m:e>
            </m:rad>
            <m:ctrlPr>
              <w:rPr>
                <w:rFonts w:hint="eastAsia" w:ascii="Cambria Math" w:hAnsi="Cambria Math" w:cs="宋体"/>
                <w:sz w:val="24"/>
              </w:rPr>
            </m:ctrlPr>
          </m:den>
        </m:f>
        <m:r>
          <m:rPr/>
          <w:rPr>
            <w:rFonts w:hint="eastAsia" w:ascii="Cambria Math" w:hAnsi="Cambria Math" w:cs="宋体"/>
            <w:sz w:val="24"/>
          </w:rPr>
          <m:t>=</m:t>
        </m:r>
      </m:oMath>
      <w:r>
        <w:rPr>
          <w:rFonts w:hint="eastAsia" w:ascii="宋体" w:hAnsi="宋体" w:cs="宋体"/>
          <w:sz w:val="24"/>
        </w:rPr>
        <w:t>0.0029</w:t>
      </w:r>
      <m:oMath>
        <m:r>
          <m:rPr>
            <m:sty m:val="p"/>
          </m:rPr>
          <w:rPr>
            <w:rFonts w:hint="eastAsia" w:ascii="Cambria Math" w:hAnsi="Cambria Math" w:cs="宋体"/>
            <w:sz w:val="24"/>
          </w:rPr>
          <m:t>（kN）</m:t>
        </m:r>
      </m:oMath>
    </w:p>
    <w:p>
      <w:pPr>
        <w:spacing w:line="360" w:lineRule="auto"/>
        <w:ind w:firstLine="544" w:firstLineChars="227"/>
        <w:jc w:val="left"/>
        <w:rPr>
          <w:rFonts w:ascii="宋体" w:hAnsi="宋体" w:cs="宋体"/>
          <w:sz w:val="24"/>
        </w:rPr>
      </w:pPr>
      <w:r>
        <w:rPr>
          <w:rFonts w:hint="eastAsia" w:ascii="宋体" w:hAnsi="宋体" w:cs="宋体"/>
          <w:sz w:val="24"/>
        </w:rPr>
        <w:t>（2）标准器张力仪准确度引入的不确定度分量μ</w:t>
      </w:r>
      <w:r>
        <w:rPr>
          <w:rFonts w:hint="eastAsia" w:ascii="宋体" w:hAnsi="宋体" w:cs="宋体"/>
          <w:sz w:val="24"/>
          <w:vertAlign w:val="subscript"/>
        </w:rPr>
        <w:t>标2</w:t>
      </w:r>
    </w:p>
    <w:p>
      <w:pPr>
        <w:spacing w:line="360" w:lineRule="auto"/>
        <w:ind w:firstLine="544" w:firstLineChars="227"/>
        <w:jc w:val="left"/>
        <w:rPr>
          <w:rFonts w:ascii="宋体" w:hAnsi="宋体" w:cs="宋体"/>
          <w:sz w:val="24"/>
        </w:rPr>
      </w:pPr>
      <w:r>
        <w:rPr>
          <w:rFonts w:hint="eastAsia" w:ascii="宋体" w:hAnsi="宋体" w:cs="宋体"/>
          <w:sz w:val="24"/>
        </w:rPr>
        <w:t>不确定度类型为B类，概率分布为均布</w:t>
      </w:r>
    </w:p>
    <w:p>
      <w:pPr>
        <w:spacing w:line="360" w:lineRule="auto"/>
        <w:ind w:firstLine="544" w:firstLineChars="227"/>
        <w:jc w:val="left"/>
        <w:rPr>
          <w:rFonts w:ascii="宋体" w:hAnsi="宋体" w:cs="宋体"/>
          <w:sz w:val="24"/>
        </w:rPr>
      </w:pPr>
      <w:r>
        <w:rPr>
          <w:rFonts w:hint="eastAsia" w:ascii="宋体" w:hAnsi="宋体" w:cs="宋体"/>
          <w:sz w:val="24"/>
        </w:rPr>
        <w:t>张力仪不确定度±0.5%</w:t>
      </w:r>
    </w:p>
    <w:p>
      <w:pPr>
        <w:ind w:firstLine="544" w:firstLineChars="227"/>
        <w:jc w:val="left"/>
        <w:rPr>
          <w:rFonts w:ascii="宋体" w:hAnsi="宋体" w:cs="宋体"/>
          <w:sz w:val="24"/>
        </w:rPr>
      </w:pPr>
      <w:r>
        <w:rPr>
          <w:rFonts w:hint="eastAsia" w:ascii="宋体" w:hAnsi="宋体" w:cs="宋体"/>
          <w:sz w:val="24"/>
        </w:rPr>
        <w:t>μ</w:t>
      </w:r>
      <w:r>
        <w:rPr>
          <w:rFonts w:hint="eastAsia" w:ascii="宋体" w:hAnsi="宋体" w:cs="宋体"/>
          <w:sz w:val="24"/>
          <w:vertAlign w:val="subscript"/>
        </w:rPr>
        <w:t>标2</w:t>
      </w:r>
      <m:oMath>
        <m:r>
          <m:rPr>
            <m:sty m:val="p"/>
          </m:rPr>
          <w:rPr>
            <w:rFonts w:hint="eastAsia" w:ascii="Cambria Math" w:hAnsi="Cambria Math" w:cs="宋体"/>
            <w:sz w:val="24"/>
          </w:rPr>
          <m:t>=</m:t>
        </m:r>
        <m:f>
          <m:fPr>
            <m:ctrlPr>
              <w:rPr>
                <w:rFonts w:hint="eastAsia" w:ascii="Cambria Math" w:hAnsi="Cambria Math" w:cs="宋体"/>
                <w:sz w:val="24"/>
              </w:rPr>
            </m:ctrlPr>
          </m:fPr>
          <m:num>
            <m:r>
              <m:rPr>
                <m:sty m:val="p"/>
              </m:rPr>
              <w:rPr>
                <w:rFonts w:hint="eastAsia" w:ascii="Cambria Math" w:hAnsi="Cambria Math" w:cs="宋体"/>
                <w:sz w:val="24"/>
              </w:rPr>
              <m:t>0.5%</m:t>
            </m:r>
            <m:ctrlPr>
              <w:rPr>
                <w:rFonts w:hint="eastAsia" w:ascii="Cambria Math" w:hAnsi="Cambria Math" w:cs="宋体"/>
                <w:sz w:val="24"/>
              </w:rPr>
            </m:ctrlPr>
          </m:num>
          <m:den>
            <m:rad>
              <m:radPr>
                <m:degHide m:val="1"/>
                <m:ctrlPr>
                  <w:rPr>
                    <w:rFonts w:hint="eastAsia" w:ascii="Cambria Math" w:hAnsi="Cambria Math" w:cs="宋体"/>
                    <w:i/>
                    <w:sz w:val="24"/>
                  </w:rPr>
                </m:ctrlPr>
              </m:radPr>
              <m:deg>
                <m:ctrlPr>
                  <w:rPr>
                    <w:rFonts w:hint="eastAsia" w:ascii="Cambria Math" w:hAnsi="Cambria Math" w:cs="宋体"/>
                    <w:i/>
                    <w:sz w:val="24"/>
                  </w:rPr>
                </m:ctrlPr>
              </m:deg>
              <m:e>
                <m:r>
                  <m:rPr/>
                  <w:rPr>
                    <w:rFonts w:hint="eastAsia" w:ascii="Cambria Math" w:hAnsi="Cambria Math" w:cs="宋体"/>
                    <w:sz w:val="24"/>
                  </w:rPr>
                  <m:t>3</m:t>
                </m:r>
                <m:ctrlPr>
                  <w:rPr>
                    <w:rFonts w:hint="eastAsia" w:ascii="Cambria Math" w:hAnsi="Cambria Math" w:cs="宋体"/>
                    <w:i/>
                    <w:sz w:val="24"/>
                  </w:rPr>
                </m:ctrlPr>
              </m:e>
            </m:rad>
            <m:ctrlPr>
              <w:rPr>
                <w:rFonts w:hint="eastAsia" w:ascii="Cambria Math" w:hAnsi="Cambria Math" w:cs="宋体"/>
                <w:sz w:val="24"/>
              </w:rPr>
            </m:ctrlPr>
          </m:den>
        </m:f>
        <m:r>
          <m:rPr/>
          <w:rPr>
            <w:rFonts w:hint="eastAsia" w:ascii="Cambria Math" w:hAnsi="Cambria Math" w:cs="宋体"/>
            <w:sz w:val="24"/>
          </w:rPr>
          <m:t>=</m:t>
        </m:r>
      </m:oMath>
      <w:r>
        <w:rPr>
          <w:rFonts w:hint="eastAsia" w:ascii="宋体" w:hAnsi="宋体" w:cs="宋体"/>
          <w:sz w:val="24"/>
        </w:rPr>
        <w:t>0.0029</w:t>
      </w:r>
      <m:oMath>
        <m:r>
          <m:rPr>
            <m:sty m:val="p"/>
          </m:rPr>
          <w:rPr>
            <w:rFonts w:hint="eastAsia" w:ascii="Cambria Math" w:hAnsi="Cambria Math" w:cs="宋体"/>
            <w:sz w:val="24"/>
          </w:rPr>
          <m:t>（kN）</m:t>
        </m:r>
      </m:oMath>
    </w:p>
    <w:p>
      <w:pPr>
        <w:spacing w:line="360" w:lineRule="auto"/>
        <w:ind w:firstLine="544" w:firstLineChars="227"/>
        <w:jc w:val="left"/>
        <w:rPr>
          <w:rFonts w:ascii="宋体" w:hAnsi="宋体" w:cs="宋体"/>
          <w:sz w:val="24"/>
        </w:rPr>
      </w:pPr>
      <w:r>
        <w:rPr>
          <w:rFonts w:hint="eastAsia" w:ascii="宋体" w:hAnsi="宋体" w:cs="宋体"/>
          <w:sz w:val="24"/>
        </w:rPr>
        <w:t>3）温度对指重表系统和标准器的影响引入的不确定度分量</w:t>
      </w:r>
    </w:p>
    <w:p>
      <w:pPr>
        <w:spacing w:line="360" w:lineRule="auto"/>
        <w:ind w:firstLine="544" w:firstLineChars="227"/>
        <w:jc w:val="left"/>
        <w:rPr>
          <w:rFonts w:ascii="宋体" w:hAnsi="宋体" w:cs="宋体"/>
          <w:sz w:val="24"/>
        </w:rPr>
      </w:pPr>
      <w:r>
        <w:rPr>
          <w:rFonts w:hint="eastAsia" w:ascii="宋体" w:hAnsi="宋体" w:cs="宋体"/>
          <w:sz w:val="24"/>
        </w:rPr>
        <w:t>（1）标准器悬重测量仪标定温度（20±5）℃，温度影响系数k为0.00025</w:t>
      </w:r>
      <m:oMath>
        <m:sSub>
          <m:sSubPr>
            <m:ctrlPr>
              <w:rPr>
                <w:rFonts w:hint="eastAsia" w:ascii="Cambria Math" w:hAnsi="Cambria Math" w:cs="宋体"/>
                <w:sz w:val="24"/>
              </w:rPr>
            </m:ctrlPr>
          </m:sSubPr>
          <m:e>
            <m:r>
              <m:rPr>
                <m:sty m:val="p"/>
              </m:rPr>
              <w:rPr>
                <w:rFonts w:hint="eastAsia" w:ascii="Cambria Math" w:hAnsi="Cambria Math" w:cs="宋体"/>
                <w:sz w:val="24"/>
              </w:rPr>
              <m:t>F</m:t>
            </m:r>
            <m:ctrlPr>
              <w:rPr>
                <w:rFonts w:hint="eastAsia" w:ascii="Cambria Math" w:hAnsi="Cambria Math" w:cs="宋体"/>
                <w:sz w:val="24"/>
              </w:rPr>
            </m:ctrlPr>
          </m:e>
          <m:sub>
            <m:r>
              <m:rPr/>
              <w:rPr>
                <w:rFonts w:hint="eastAsia" w:ascii="Cambria Math" w:hAnsi="Cambria Math" w:cs="宋体"/>
                <w:sz w:val="24"/>
              </w:rPr>
              <m:t>m</m:t>
            </m:r>
            <m:ctrlPr>
              <w:rPr>
                <w:rFonts w:hint="eastAsia" w:ascii="Cambria Math" w:hAnsi="Cambria Math" w:cs="宋体"/>
                <w:sz w:val="24"/>
              </w:rPr>
            </m:ctrlPr>
          </m:sub>
        </m:sSub>
      </m:oMath>
      <w:r>
        <w:rPr>
          <w:rFonts w:hint="eastAsia" w:ascii="宋体" w:hAnsi="宋体" w:cs="宋体"/>
          <w:sz w:val="24"/>
        </w:rPr>
        <w:t>/℃。</w:t>
      </w:r>
    </w:p>
    <w:p>
      <w:pPr>
        <w:spacing w:line="360" w:lineRule="auto"/>
        <w:ind w:firstLine="544" w:firstLineChars="227"/>
        <w:jc w:val="left"/>
        <w:rPr>
          <w:rFonts w:ascii="宋体" w:hAnsi="宋体" w:cs="宋体"/>
          <w:sz w:val="24"/>
        </w:rPr>
      </w:pPr>
      <w:r>
        <w:rPr>
          <w:rFonts w:hint="eastAsia" w:ascii="宋体" w:hAnsi="宋体" w:cs="宋体"/>
          <w:sz w:val="24"/>
        </w:rPr>
        <w:t>本次测量在规定范围内，忽略悬重测量仪温度影响。</w:t>
      </w:r>
    </w:p>
    <w:p>
      <w:pPr>
        <w:spacing w:line="360" w:lineRule="auto"/>
        <w:ind w:firstLine="544" w:firstLineChars="227"/>
        <w:jc w:val="left"/>
        <w:rPr>
          <w:rFonts w:ascii="宋体" w:hAnsi="宋体" w:cs="宋体"/>
          <w:sz w:val="24"/>
        </w:rPr>
      </w:pPr>
      <w:r>
        <w:rPr>
          <w:rFonts w:hint="eastAsia" w:ascii="宋体" w:hAnsi="宋体" w:cs="宋体"/>
          <w:sz w:val="24"/>
        </w:rPr>
        <w:t>（2）标准器张力仪标定温度（20±5）℃，温度影响系数k为0.00005F·S/℃</w:t>
      </w:r>
    </w:p>
    <w:p>
      <w:pPr>
        <w:spacing w:line="360" w:lineRule="auto"/>
        <w:ind w:firstLine="544" w:firstLineChars="227"/>
        <w:jc w:val="left"/>
        <w:rPr>
          <w:rFonts w:ascii="宋体" w:hAnsi="宋体" w:cs="宋体"/>
          <w:sz w:val="24"/>
        </w:rPr>
      </w:pPr>
      <w:r>
        <w:rPr>
          <w:rFonts w:hint="eastAsia" w:ascii="宋体" w:hAnsi="宋体" w:cs="宋体"/>
          <w:sz w:val="24"/>
        </w:rPr>
        <w:t>本次测量在规定范围内，忽略张力仪温度影响。</w:t>
      </w:r>
    </w:p>
    <w:p>
      <w:pPr>
        <w:spacing w:line="360" w:lineRule="auto"/>
        <w:ind w:firstLine="544" w:firstLineChars="227"/>
        <w:jc w:val="left"/>
        <w:rPr>
          <w:rFonts w:ascii="宋体" w:hAnsi="宋体" w:cs="宋体"/>
          <w:sz w:val="24"/>
        </w:rPr>
      </w:pPr>
      <w:r>
        <w:rPr>
          <w:rFonts w:hint="eastAsia" w:ascii="宋体" w:hAnsi="宋体" w:cs="宋体"/>
          <w:sz w:val="24"/>
        </w:rPr>
        <w:t>3) 合成相对标准不确定度μ</w:t>
      </w:r>
      <w:r>
        <w:rPr>
          <w:rFonts w:hint="eastAsia" w:ascii="宋体" w:hAnsi="宋体" w:cs="宋体"/>
          <w:sz w:val="24"/>
          <w:vertAlign w:val="subscript"/>
        </w:rPr>
        <w:t>C</w:t>
      </w:r>
    </w:p>
    <w:p>
      <w:pPr>
        <w:ind w:firstLine="544" w:firstLineChars="227"/>
        <w:jc w:val="left"/>
        <w:rPr>
          <w:rFonts w:ascii="宋体" w:hAnsi="宋体" w:cs="宋体"/>
          <w:sz w:val="24"/>
        </w:rPr>
      </w:pPr>
      <w:r>
        <w:rPr>
          <w:rFonts w:hint="eastAsia" w:ascii="宋体" w:hAnsi="宋体" w:cs="宋体"/>
          <w:sz w:val="24"/>
        </w:rPr>
        <w:t>μ</w:t>
      </w:r>
      <w:r>
        <w:rPr>
          <w:rFonts w:hint="eastAsia" w:ascii="宋体" w:hAnsi="宋体" w:cs="宋体"/>
          <w:sz w:val="24"/>
          <w:vertAlign w:val="subscript"/>
        </w:rPr>
        <w:t>c</w:t>
      </w:r>
      <w:r>
        <w:rPr>
          <w:rFonts w:hint="eastAsia" w:ascii="宋体" w:hAnsi="宋体" w:cs="宋体"/>
          <w:sz w:val="24"/>
        </w:rPr>
        <w:t>=</w:t>
      </w:r>
      <m:oMath>
        <m:rad>
          <m:radPr>
            <m:degHide m:val="1"/>
            <m:ctrlPr>
              <w:rPr>
                <w:rFonts w:hint="eastAsia" w:ascii="Cambria Math" w:hAnsi="Cambria Math" w:cs="宋体"/>
                <w:sz w:val="24"/>
              </w:rPr>
            </m:ctrlPr>
          </m:radPr>
          <m:deg>
            <m:ctrlPr>
              <w:rPr>
                <w:rFonts w:hint="eastAsia" w:ascii="Cambria Math" w:hAnsi="Cambria Math" w:cs="宋体"/>
                <w:sz w:val="24"/>
              </w:rPr>
            </m:ctrlPr>
          </m:deg>
          <m:e>
            <m:sSubSup>
              <m:sSubSupPr>
                <m:ctrlPr>
                  <w:rPr>
                    <w:rFonts w:hint="eastAsia" w:ascii="Cambria Math" w:hAnsi="Cambria Math" w:cs="宋体"/>
                    <w:sz w:val="24"/>
                  </w:rPr>
                </m:ctrlPr>
              </m:sSubSupPr>
              <m:e>
                <m:r>
                  <m:rPr>
                    <m:sty m:val="p"/>
                  </m:rPr>
                  <w:rPr>
                    <w:rFonts w:hint="eastAsia" w:ascii="Cambria Math" w:hAnsi="Cambria Math" w:cs="宋体"/>
                    <w:sz w:val="24"/>
                  </w:rPr>
                  <m:t>μ</m:t>
                </m:r>
                <m:ctrlPr>
                  <w:rPr>
                    <w:rFonts w:hint="eastAsia" w:ascii="Cambria Math" w:hAnsi="Cambria Math" w:cs="宋体"/>
                    <w:sz w:val="24"/>
                  </w:rPr>
                </m:ctrlPr>
              </m:e>
              <m:sub>
                <m:r>
                  <m:rPr>
                    <m:sty m:val="p"/>
                  </m:rPr>
                  <w:rPr>
                    <w:rFonts w:hint="eastAsia" w:ascii="Cambria Math" w:hAnsi="Cambria Math" w:cs="宋体"/>
                    <w:sz w:val="24"/>
                  </w:rPr>
                  <m:t>仪1</m:t>
                </m:r>
                <m:ctrlPr>
                  <w:rPr>
                    <w:rFonts w:hint="eastAsia" w:ascii="Cambria Math" w:hAnsi="Cambria Math" w:cs="宋体"/>
                    <w:sz w:val="24"/>
                  </w:rPr>
                </m:ctrlPr>
              </m:sub>
              <m:sup>
                <m:r>
                  <m:rPr>
                    <m:sty m:val="p"/>
                  </m:rPr>
                  <w:rPr>
                    <w:rFonts w:hint="eastAsia" w:ascii="Cambria Math" w:hAnsi="Cambria Math" w:cs="宋体"/>
                    <w:sz w:val="24"/>
                  </w:rPr>
                  <m:t>2</m:t>
                </m:r>
                <m:ctrlPr>
                  <w:rPr>
                    <w:rFonts w:hint="eastAsia" w:ascii="Cambria Math" w:hAnsi="Cambria Math" w:cs="宋体"/>
                    <w:sz w:val="24"/>
                  </w:rPr>
                </m:ctrlPr>
              </m:sup>
            </m:sSubSup>
            <m:r>
              <m:rPr>
                <m:sty m:val="p"/>
              </m:rPr>
              <w:rPr>
                <w:rFonts w:hint="eastAsia" w:ascii="Cambria Math" w:hAnsi="Cambria Math" w:cs="宋体"/>
                <w:sz w:val="24"/>
              </w:rPr>
              <m:t>+</m:t>
            </m:r>
            <m:sSubSup>
              <m:sSubSupPr>
                <m:ctrlPr>
                  <w:rPr>
                    <w:rFonts w:hint="eastAsia" w:ascii="Cambria Math" w:hAnsi="Cambria Math" w:cs="宋体"/>
                    <w:sz w:val="24"/>
                  </w:rPr>
                </m:ctrlPr>
              </m:sSubSupPr>
              <m:e>
                <m:r>
                  <m:rPr>
                    <m:sty m:val="p"/>
                  </m:rPr>
                  <w:rPr>
                    <w:rFonts w:hint="eastAsia" w:ascii="Cambria Math" w:hAnsi="Cambria Math" w:cs="宋体"/>
                    <w:sz w:val="24"/>
                  </w:rPr>
                  <m:t>μ</m:t>
                </m:r>
                <m:ctrlPr>
                  <w:rPr>
                    <w:rFonts w:hint="eastAsia" w:ascii="Cambria Math" w:hAnsi="Cambria Math" w:cs="宋体"/>
                    <w:sz w:val="24"/>
                  </w:rPr>
                </m:ctrlPr>
              </m:e>
              <m:sub>
                <m:r>
                  <m:rPr>
                    <m:sty m:val="p"/>
                  </m:rPr>
                  <w:rPr>
                    <w:rFonts w:hint="eastAsia" w:ascii="Cambria Math" w:hAnsi="Cambria Math" w:cs="宋体"/>
                    <w:sz w:val="24"/>
                  </w:rPr>
                  <m:t>仪2</m:t>
                </m:r>
                <m:ctrlPr>
                  <w:rPr>
                    <w:rFonts w:hint="eastAsia" w:ascii="Cambria Math" w:hAnsi="Cambria Math" w:cs="宋体"/>
                    <w:sz w:val="24"/>
                  </w:rPr>
                </m:ctrlPr>
              </m:sub>
              <m:sup>
                <m:r>
                  <m:rPr>
                    <m:sty m:val="p"/>
                  </m:rPr>
                  <w:rPr>
                    <w:rFonts w:hint="eastAsia" w:ascii="Cambria Math" w:hAnsi="Cambria Math" w:cs="宋体"/>
                    <w:sz w:val="24"/>
                  </w:rPr>
                  <m:t>2</m:t>
                </m:r>
                <m:ctrlPr>
                  <w:rPr>
                    <w:rFonts w:hint="eastAsia" w:ascii="Cambria Math" w:hAnsi="Cambria Math" w:cs="宋体"/>
                    <w:sz w:val="24"/>
                  </w:rPr>
                </m:ctrlPr>
              </m:sup>
            </m:sSubSup>
            <m:r>
              <m:rPr>
                <m:sty m:val="p"/>
              </m:rPr>
              <w:rPr>
                <w:rFonts w:hint="eastAsia" w:ascii="Cambria Math" w:hAnsi="Cambria Math" w:cs="宋体"/>
                <w:sz w:val="24"/>
              </w:rPr>
              <m:t>+</m:t>
            </m:r>
            <m:sSubSup>
              <m:sSubSupPr>
                <m:ctrlPr>
                  <w:rPr>
                    <w:rFonts w:hint="eastAsia" w:ascii="Cambria Math" w:hAnsi="Cambria Math" w:cs="宋体"/>
                    <w:sz w:val="24"/>
                  </w:rPr>
                </m:ctrlPr>
              </m:sSubSupPr>
              <m:e>
                <m:r>
                  <m:rPr>
                    <m:sty m:val="p"/>
                  </m:rPr>
                  <w:rPr>
                    <w:rFonts w:hint="eastAsia" w:ascii="Cambria Math" w:hAnsi="Cambria Math" w:cs="宋体"/>
                    <w:sz w:val="24"/>
                  </w:rPr>
                  <m:t>μ</m:t>
                </m:r>
                <m:ctrlPr>
                  <w:rPr>
                    <w:rFonts w:hint="eastAsia" w:ascii="Cambria Math" w:hAnsi="Cambria Math" w:cs="宋体"/>
                    <w:sz w:val="24"/>
                  </w:rPr>
                </m:ctrlPr>
              </m:e>
              <m:sub>
                <m:r>
                  <m:rPr>
                    <m:sty m:val="p"/>
                  </m:rPr>
                  <w:rPr>
                    <w:rFonts w:hint="eastAsia" w:ascii="Cambria Math" w:hAnsi="Cambria Math" w:cs="宋体"/>
                    <w:sz w:val="24"/>
                  </w:rPr>
                  <m:t>标1</m:t>
                </m:r>
                <m:ctrlPr>
                  <w:rPr>
                    <w:rFonts w:hint="eastAsia" w:ascii="Cambria Math" w:hAnsi="Cambria Math" w:cs="宋体"/>
                    <w:sz w:val="24"/>
                  </w:rPr>
                </m:ctrlPr>
              </m:sub>
              <m:sup>
                <m:r>
                  <m:rPr>
                    <m:sty m:val="p"/>
                  </m:rPr>
                  <w:rPr>
                    <w:rFonts w:hint="eastAsia" w:ascii="Cambria Math" w:hAnsi="Cambria Math" w:cs="宋体"/>
                    <w:sz w:val="24"/>
                  </w:rPr>
                  <m:t>2</m:t>
                </m:r>
                <m:ctrlPr>
                  <w:rPr>
                    <w:rFonts w:hint="eastAsia" w:ascii="Cambria Math" w:hAnsi="Cambria Math" w:cs="宋体"/>
                    <w:sz w:val="24"/>
                  </w:rPr>
                </m:ctrlPr>
              </m:sup>
            </m:sSubSup>
            <m:r>
              <m:rPr>
                <m:sty m:val="p"/>
              </m:rPr>
              <w:rPr>
                <w:rFonts w:hint="eastAsia" w:ascii="Cambria Math" w:hAnsi="Cambria Math" w:cs="宋体"/>
                <w:sz w:val="24"/>
              </w:rPr>
              <m:t>+</m:t>
            </m:r>
            <m:sSubSup>
              <m:sSubSupPr>
                <m:ctrlPr>
                  <w:rPr>
                    <w:rFonts w:hint="eastAsia" w:ascii="Cambria Math" w:hAnsi="Cambria Math" w:cs="宋体"/>
                    <w:sz w:val="24"/>
                  </w:rPr>
                </m:ctrlPr>
              </m:sSubSupPr>
              <m:e>
                <m:r>
                  <m:rPr>
                    <m:sty m:val="p"/>
                  </m:rPr>
                  <w:rPr>
                    <w:rFonts w:hint="eastAsia" w:ascii="Cambria Math" w:hAnsi="Cambria Math" w:cs="宋体"/>
                    <w:sz w:val="24"/>
                  </w:rPr>
                  <m:t>μ</m:t>
                </m:r>
                <m:ctrlPr>
                  <w:rPr>
                    <w:rFonts w:hint="eastAsia" w:ascii="Cambria Math" w:hAnsi="Cambria Math" w:cs="宋体"/>
                    <w:sz w:val="24"/>
                  </w:rPr>
                </m:ctrlPr>
              </m:e>
              <m:sub>
                <m:r>
                  <m:rPr>
                    <m:sty m:val="p"/>
                  </m:rPr>
                  <w:rPr>
                    <w:rFonts w:hint="eastAsia" w:ascii="Cambria Math" w:hAnsi="Cambria Math" w:cs="宋体"/>
                    <w:sz w:val="24"/>
                  </w:rPr>
                  <m:t>标2</m:t>
                </m:r>
                <m:ctrlPr>
                  <w:rPr>
                    <w:rFonts w:hint="eastAsia" w:ascii="Cambria Math" w:hAnsi="Cambria Math" w:cs="宋体"/>
                    <w:sz w:val="24"/>
                  </w:rPr>
                </m:ctrlPr>
              </m:sub>
              <m:sup>
                <m:r>
                  <m:rPr>
                    <m:sty m:val="p"/>
                  </m:rPr>
                  <w:rPr>
                    <w:rFonts w:hint="eastAsia" w:ascii="Cambria Math" w:hAnsi="Cambria Math" w:cs="宋体"/>
                    <w:sz w:val="24"/>
                  </w:rPr>
                  <m:t>2</m:t>
                </m:r>
                <m:ctrlPr>
                  <w:rPr>
                    <w:rFonts w:hint="eastAsia" w:ascii="Cambria Math" w:hAnsi="Cambria Math" w:cs="宋体"/>
                    <w:sz w:val="24"/>
                  </w:rPr>
                </m:ctrlPr>
              </m:sup>
            </m:sSubSup>
            <m:ctrlPr>
              <w:rPr>
                <w:rFonts w:hint="eastAsia" w:ascii="Cambria Math" w:hAnsi="Cambria Math" w:cs="宋体"/>
                <w:sz w:val="24"/>
              </w:rPr>
            </m:ctrlPr>
          </m:e>
        </m:rad>
        <m:r>
          <m:rPr>
            <m:sty m:val="p"/>
          </m:rPr>
          <w:rPr>
            <w:rFonts w:hint="eastAsia" w:ascii="Cambria Math" w:hAnsi="Cambria Math" w:cs="宋体"/>
            <w:sz w:val="24"/>
          </w:rPr>
          <m:t>=</m:t>
        </m:r>
      </m:oMath>
      <w:r>
        <w:rPr>
          <w:rFonts w:hint="eastAsia" w:ascii="宋体" w:hAnsi="宋体" w:cs="宋体"/>
          <w:sz w:val="24"/>
        </w:rPr>
        <w:t>0.00957</w:t>
      </w:r>
    </w:p>
    <w:p>
      <w:pPr>
        <w:spacing w:line="360" w:lineRule="auto"/>
        <w:ind w:firstLine="544" w:firstLineChars="227"/>
        <w:jc w:val="left"/>
        <w:rPr>
          <w:rFonts w:ascii="宋体" w:hAnsi="宋体" w:cs="宋体"/>
          <w:sz w:val="24"/>
        </w:rPr>
      </w:pPr>
      <w:r>
        <w:rPr>
          <w:rFonts w:hint="eastAsia" w:ascii="宋体" w:hAnsi="宋体" w:cs="宋体"/>
          <w:sz w:val="24"/>
        </w:rPr>
        <w:t>4）相对扩展不确定度</w:t>
      </w:r>
    </w:p>
    <w:p>
      <w:pPr>
        <w:spacing w:line="360" w:lineRule="auto"/>
        <w:ind w:firstLine="544" w:firstLineChars="227"/>
        <w:jc w:val="left"/>
        <w:rPr>
          <w:rFonts w:ascii="宋体" w:hAnsi="宋体" w:cs="宋体"/>
          <w:sz w:val="24"/>
        </w:rPr>
      </w:pPr>
      <w:r>
        <w:rPr>
          <w:rFonts w:hint="eastAsia" w:ascii="宋体" w:hAnsi="宋体" w:cs="宋体"/>
          <w:sz w:val="24"/>
        </w:rPr>
        <w:t>取k=2，则</w:t>
      </w:r>
    </w:p>
    <w:p>
      <w:pPr>
        <w:spacing w:line="360" w:lineRule="auto"/>
        <w:ind w:firstLine="544" w:firstLineChars="227"/>
        <w:jc w:val="left"/>
        <w:rPr>
          <w:rFonts w:ascii="宋体" w:hAnsi="宋体" w:cs="宋体"/>
          <w:sz w:val="24"/>
        </w:rPr>
      </w:pPr>
      <w:r>
        <w:rPr>
          <w:rFonts w:hint="eastAsia" w:ascii="宋体" w:hAnsi="宋体" w:cs="宋体"/>
          <w:sz w:val="24"/>
        </w:rPr>
        <w:t>U</w:t>
      </w:r>
      <w:r>
        <w:rPr>
          <w:rFonts w:hint="eastAsia" w:ascii="宋体" w:hAnsi="宋体" w:cs="宋体"/>
          <w:sz w:val="24"/>
          <w:vertAlign w:val="subscript"/>
        </w:rPr>
        <w:t>rel</w:t>
      </w:r>
      <w:r>
        <w:rPr>
          <w:rFonts w:hint="eastAsia" w:ascii="宋体" w:hAnsi="宋体" w:cs="宋体"/>
          <w:sz w:val="24"/>
        </w:rPr>
        <w:t>=kμc=2x0.00957=</w:t>
      </w:r>
      <w:r>
        <w:rPr>
          <w:rFonts w:hint="eastAsia" w:ascii="宋体" w:hAnsi="宋体" w:cs="宋体"/>
          <w:color w:val="FF0000"/>
          <w:sz w:val="24"/>
        </w:rPr>
        <w:t>1.92%</w:t>
      </w:r>
    </w:p>
    <w:p>
      <w:pPr>
        <w:spacing w:line="360" w:lineRule="auto"/>
        <w:ind w:firstLine="482" w:firstLineChars="200"/>
        <w:jc w:val="left"/>
        <w:rPr>
          <w:rFonts w:ascii="宋体" w:hAnsi="宋体" w:cs="宋体"/>
          <w:b/>
          <w:sz w:val="24"/>
        </w:rPr>
      </w:pPr>
      <w:r>
        <w:rPr>
          <w:rFonts w:hint="eastAsia" w:ascii="宋体" w:hAnsi="宋体" w:cs="宋体"/>
          <w:b/>
          <w:sz w:val="24"/>
        </w:rPr>
        <w:t>8、评定报告</w:t>
      </w:r>
    </w:p>
    <w:p>
      <w:pPr>
        <w:spacing w:line="360" w:lineRule="auto"/>
        <w:ind w:firstLine="544" w:firstLineChars="227"/>
        <w:jc w:val="left"/>
        <w:rPr>
          <w:rFonts w:ascii="宋体" w:hAnsi="宋体" w:cs="宋体"/>
          <w:sz w:val="24"/>
        </w:rPr>
      </w:pPr>
      <w:r>
        <w:rPr>
          <w:rFonts w:hint="eastAsia" w:ascii="宋体" w:hAnsi="宋体" w:cs="宋体"/>
          <w:sz w:val="24"/>
        </w:rPr>
        <w:t xml:space="preserve">本次在24℃环境条件下测试的指重表系统悬重测量结果相对扩展不确定度为U=2% ，k=2。  </w:t>
      </w:r>
    </w:p>
    <w:p>
      <w:pPr>
        <w:spacing w:line="360" w:lineRule="auto"/>
        <w:ind w:firstLine="480" w:firstLineChars="200"/>
        <w:jc w:val="left"/>
        <w:rPr>
          <w:rFonts w:ascii="宋体" w:hAnsi="宋体" w:cs="宋体"/>
          <w:sz w:val="24"/>
        </w:rPr>
      </w:pPr>
      <w:r>
        <w:rPr>
          <w:rFonts w:hint="eastAsia" w:ascii="宋体" w:hAnsi="宋体" w:cs="宋体"/>
          <w:sz w:val="24"/>
        </w:rPr>
        <w:t>参考文献：</w:t>
      </w:r>
    </w:p>
    <w:p>
      <w:pPr>
        <w:spacing w:line="360" w:lineRule="auto"/>
        <w:ind w:firstLine="480" w:firstLineChars="200"/>
        <w:jc w:val="left"/>
        <w:rPr>
          <w:rFonts w:ascii="宋体" w:hAnsi="宋体" w:cs="宋体"/>
          <w:sz w:val="24"/>
        </w:rPr>
      </w:pPr>
      <w:r>
        <w:rPr>
          <w:rFonts w:hint="eastAsia" w:ascii="宋体" w:hAnsi="宋体" w:cs="宋体"/>
          <w:sz w:val="24"/>
        </w:rPr>
        <w:t>[1] GB/T 27418—2017《测量不确定度评定和表示》</w:t>
      </w:r>
    </w:p>
    <w:p>
      <w:pPr>
        <w:spacing w:line="360" w:lineRule="auto"/>
        <w:ind w:firstLine="480" w:firstLineChars="200"/>
        <w:jc w:val="left"/>
        <w:rPr>
          <w:rFonts w:ascii="宋体" w:hAnsi="宋体" w:cs="宋体"/>
          <w:sz w:val="24"/>
        </w:rPr>
      </w:pPr>
      <w:r>
        <w:rPr>
          <w:rFonts w:hint="eastAsia" w:ascii="宋体" w:hAnsi="宋体" w:cs="宋体"/>
          <w:sz w:val="24"/>
        </w:rPr>
        <w:t>[2] GB/T 24263-2009 《石油钻井指重表》</w:t>
      </w:r>
    </w:p>
    <w:p>
      <w:pPr>
        <w:spacing w:line="360" w:lineRule="auto"/>
        <w:ind w:firstLine="480" w:firstLineChars="200"/>
        <w:rPr>
          <w:rFonts w:ascii="宋体" w:hAnsi="宋体" w:cs="宋体"/>
          <w:sz w:val="24"/>
        </w:rPr>
      </w:pPr>
      <w:r>
        <w:rPr>
          <w:rFonts w:hint="eastAsia" w:ascii="宋体" w:hAnsi="宋体" w:cs="宋体"/>
          <w:sz w:val="24"/>
        </w:rPr>
        <w:t>[3] SY/T 7075-2016《石油钻修井指重表校准方法》</w:t>
      </w:r>
    </w:p>
    <w:p>
      <w:pPr>
        <w:ind w:firstLine="470" w:firstLineChars="196"/>
        <w:jc w:val="left"/>
        <w:rPr>
          <w:rFonts w:ascii="宋体" w:hAnsi="宋体"/>
          <w:color w:val="000000"/>
          <w:sz w:val="24"/>
        </w:rPr>
      </w:pPr>
    </w:p>
    <w:p>
      <w:pPr>
        <w:spacing w:line="360" w:lineRule="auto"/>
        <w:ind w:firstLine="482" w:firstLineChars="200"/>
        <w:jc w:val="left"/>
        <w:rPr>
          <w:rFonts w:ascii="宋体" w:hAnsi="宋体" w:cs="宋体"/>
          <w:b/>
          <w:sz w:val="24"/>
        </w:rPr>
      </w:pPr>
      <w:r>
        <w:rPr>
          <w:rFonts w:hint="eastAsia" w:ascii="宋体" w:hAnsi="宋体" w:cs="宋体"/>
          <w:b/>
          <w:sz w:val="24"/>
        </w:rPr>
        <w:t>9、校准证书</w:t>
      </w:r>
    </w:p>
    <w:p>
      <w:pPr>
        <w:spacing w:line="360" w:lineRule="auto"/>
        <w:ind w:firstLine="544" w:firstLineChars="227"/>
        <w:jc w:val="left"/>
        <w:rPr>
          <w:rFonts w:ascii="宋体" w:hAnsi="宋体" w:cs="宋体"/>
          <w:sz w:val="24"/>
        </w:rPr>
      </w:pPr>
      <w:r>
        <w:rPr>
          <w:rFonts w:hint="eastAsia" w:ascii="宋体" w:hAnsi="宋体" w:cs="宋体"/>
          <w:sz w:val="24"/>
        </w:rPr>
        <w:t>指重表现场测试方法应用的指重表试验机由第三方湖北省计量测试技术研究院进行了校准，并出具了校准证书，确认了该方法及装置的计量性能能够满足现场测试要求。</w:t>
      </w:r>
    </w:p>
    <w:p>
      <w:pPr>
        <w:spacing w:line="360" w:lineRule="auto"/>
        <w:ind w:firstLine="480" w:firstLineChars="200"/>
        <w:rPr>
          <w:rFonts w:ascii="宋体" w:hAnsi="宋体" w:cs="宋体"/>
          <w:sz w:val="24"/>
        </w:rPr>
      </w:pPr>
    </w:p>
    <w:p>
      <w:pPr>
        <w:jc w:val="center"/>
      </w:pPr>
      <w:r>
        <w:drawing>
          <wp:inline distT="0" distB="0" distL="0" distR="0">
            <wp:extent cx="5029200" cy="7362190"/>
            <wp:effectExtent l="0" t="0" r="0" b="9525"/>
            <wp:docPr id="1037" name="图片 1"/>
            <wp:cNvGraphicFramePr/>
            <a:graphic xmlns:a="http://schemas.openxmlformats.org/drawingml/2006/main">
              <a:graphicData uri="http://schemas.openxmlformats.org/drawingml/2006/picture">
                <pic:pic xmlns:pic="http://schemas.openxmlformats.org/drawingml/2006/picture">
                  <pic:nvPicPr>
                    <pic:cNvPr id="1037" name="图片 1"/>
                    <pic:cNvPicPr/>
                  </pic:nvPicPr>
                  <pic:blipFill>
                    <a:blip r:embed="rId12" cstate="print"/>
                    <a:srcRect/>
                    <a:stretch>
                      <a:fillRect/>
                    </a:stretch>
                  </pic:blipFill>
                  <pic:spPr>
                    <a:xfrm>
                      <a:off x="0" y="0"/>
                      <a:ext cx="5029200" cy="7362824"/>
                    </a:xfrm>
                    <a:prstGeom prst="rect">
                      <a:avLst/>
                    </a:prstGeom>
                    <a:ln>
                      <a:noFill/>
                    </a:ln>
                  </pic:spPr>
                </pic:pic>
              </a:graphicData>
            </a:graphic>
          </wp:inline>
        </w:drawing>
      </w:r>
    </w:p>
    <w:p/>
    <w:p/>
    <w:p/>
    <w:p/>
    <w:p/>
    <w:p/>
    <w:p>
      <w:pPr>
        <w:jc w:val="center"/>
      </w:pPr>
      <w:r>
        <w:drawing>
          <wp:inline distT="0" distB="0" distL="0" distR="0">
            <wp:extent cx="5057775" cy="7333615"/>
            <wp:effectExtent l="0" t="0" r="9525" b="0"/>
            <wp:docPr id="1038" name="图片 2"/>
            <wp:cNvGraphicFramePr/>
            <a:graphic xmlns:a="http://schemas.openxmlformats.org/drawingml/2006/main">
              <a:graphicData uri="http://schemas.openxmlformats.org/drawingml/2006/picture">
                <pic:pic xmlns:pic="http://schemas.openxmlformats.org/drawingml/2006/picture">
                  <pic:nvPicPr>
                    <pic:cNvPr id="1038" name="图片 2"/>
                    <pic:cNvPicPr/>
                  </pic:nvPicPr>
                  <pic:blipFill>
                    <a:blip r:embed="rId13" cstate="print"/>
                    <a:srcRect/>
                    <a:stretch>
                      <a:fillRect/>
                    </a:stretch>
                  </pic:blipFill>
                  <pic:spPr>
                    <a:xfrm>
                      <a:off x="0" y="0"/>
                      <a:ext cx="5057775" cy="7334249"/>
                    </a:xfrm>
                    <a:prstGeom prst="rect">
                      <a:avLst/>
                    </a:prstGeom>
                    <a:ln>
                      <a:noFill/>
                    </a:ln>
                  </pic:spPr>
                </pic:pic>
              </a:graphicData>
            </a:graphic>
          </wp:inline>
        </w:drawing>
      </w:r>
    </w:p>
    <w:p/>
    <w:p/>
    <w:p/>
    <w:p/>
    <w:p/>
    <w:p/>
    <w:p>
      <w:pPr>
        <w:jc w:val="center"/>
      </w:pPr>
      <w:r>
        <w:drawing>
          <wp:inline distT="0" distB="0" distL="0" distR="0">
            <wp:extent cx="5000625" cy="7305675"/>
            <wp:effectExtent l="0" t="0" r="9525" b="9525"/>
            <wp:docPr id="1039" name="图片 3"/>
            <wp:cNvGraphicFramePr/>
            <a:graphic xmlns:a="http://schemas.openxmlformats.org/drawingml/2006/main">
              <a:graphicData uri="http://schemas.openxmlformats.org/drawingml/2006/picture">
                <pic:pic xmlns:pic="http://schemas.openxmlformats.org/drawingml/2006/picture">
                  <pic:nvPicPr>
                    <pic:cNvPr id="1039" name="图片 3"/>
                    <pic:cNvPicPr/>
                  </pic:nvPicPr>
                  <pic:blipFill>
                    <a:blip r:embed="rId14" cstate="print"/>
                    <a:srcRect/>
                    <a:stretch>
                      <a:fillRect/>
                    </a:stretch>
                  </pic:blipFill>
                  <pic:spPr>
                    <a:xfrm>
                      <a:off x="0" y="0"/>
                      <a:ext cx="5000625" cy="7305675"/>
                    </a:xfrm>
                    <a:prstGeom prst="rect">
                      <a:avLst/>
                    </a:prstGeom>
                    <a:ln>
                      <a:noFill/>
                    </a:ln>
                  </pic:spPr>
                </pic:pic>
              </a:graphicData>
            </a:graphic>
          </wp:inline>
        </w:drawing>
      </w:r>
      <w:r>
        <w:drawing>
          <wp:inline distT="0" distB="0" distL="0" distR="0">
            <wp:extent cx="4991100" cy="7296150"/>
            <wp:effectExtent l="0" t="0" r="0" b="0"/>
            <wp:docPr id="1040" name="图片 4"/>
            <wp:cNvGraphicFramePr/>
            <a:graphic xmlns:a="http://schemas.openxmlformats.org/drawingml/2006/main">
              <a:graphicData uri="http://schemas.openxmlformats.org/drawingml/2006/picture">
                <pic:pic xmlns:pic="http://schemas.openxmlformats.org/drawingml/2006/picture">
                  <pic:nvPicPr>
                    <pic:cNvPr id="1040" name="图片 4"/>
                    <pic:cNvPicPr/>
                  </pic:nvPicPr>
                  <pic:blipFill>
                    <a:blip r:embed="rId15" cstate="print"/>
                    <a:srcRect/>
                    <a:stretch>
                      <a:fillRect/>
                    </a:stretch>
                  </pic:blipFill>
                  <pic:spPr>
                    <a:xfrm>
                      <a:off x="0" y="0"/>
                      <a:ext cx="4991100" cy="7296150"/>
                    </a:xfrm>
                    <a:prstGeom prst="rect">
                      <a:avLst/>
                    </a:prstGeom>
                    <a:ln>
                      <a:noFill/>
                    </a:ln>
                  </pic:spPr>
                </pic:pic>
              </a:graphicData>
            </a:graphic>
          </wp:inline>
        </w:drawing>
      </w:r>
    </w:p>
    <w:p>
      <w:pPr>
        <w:jc w:val="center"/>
      </w:pPr>
    </w:p>
    <w:p>
      <w:pPr>
        <w:jc w:val="center"/>
      </w:pPr>
    </w:p>
    <w:p>
      <w:pPr>
        <w:jc w:val="center"/>
      </w:pPr>
    </w:p>
    <w:p>
      <w:pPr>
        <w:jc w:val="center"/>
      </w:pPr>
    </w:p>
    <w:p>
      <w:pPr>
        <w:jc w:val="center"/>
      </w:pPr>
    </w:p>
    <w:p>
      <w:pPr>
        <w:jc w:val="center"/>
      </w:pPr>
    </w:p>
    <w:p>
      <w:pPr>
        <w:spacing w:before="360" w:beforeLines="100" w:line="600" w:lineRule="exact"/>
        <w:rPr>
          <w:rFonts w:ascii="宋体" w:hAnsi="宋体"/>
          <w:b/>
          <w:sz w:val="28"/>
          <w:szCs w:val="28"/>
        </w:rPr>
      </w:pPr>
      <w:r>
        <w:rPr>
          <w:rFonts w:hint="eastAsia" w:ascii="宋体" w:hAnsi="宋体"/>
          <w:b/>
          <w:sz w:val="28"/>
          <w:szCs w:val="28"/>
        </w:rPr>
        <w:t>六、与现行法律、法规、政策及相关标准的协调性</w:t>
      </w:r>
    </w:p>
    <w:p>
      <w:pPr>
        <w:spacing w:before="100" w:beforeAutospacing="1" w:line="480" w:lineRule="exact"/>
        <w:ind w:firstLine="480" w:firstLineChars="200"/>
        <w:rPr>
          <w:rFonts w:ascii="宋体" w:hAnsi="宋体"/>
          <w:sz w:val="24"/>
        </w:rPr>
      </w:pPr>
      <w:r>
        <w:rPr>
          <w:rFonts w:hint="eastAsia" w:ascii="宋体" w:hAnsi="宋体"/>
          <w:sz w:val="24"/>
        </w:rPr>
        <w:t>本规范不仅符合现行法律、法规、政策要求，而且充分考虑了指重表测试的有关行业规范与要求，与相关行业标准具有很好的协调性、配套性。</w:t>
      </w:r>
    </w:p>
    <w:p>
      <w:pPr>
        <w:spacing w:before="360" w:beforeLines="100" w:line="360" w:lineRule="auto"/>
        <w:rPr>
          <w:rFonts w:ascii="宋体" w:hAnsi="宋体"/>
          <w:b/>
          <w:sz w:val="28"/>
          <w:szCs w:val="28"/>
        </w:rPr>
      </w:pPr>
      <w:r>
        <w:rPr>
          <w:rFonts w:hint="eastAsia" w:ascii="宋体" w:hAnsi="宋体"/>
          <w:b/>
          <w:sz w:val="28"/>
          <w:szCs w:val="28"/>
        </w:rPr>
        <w:t>七、贯彻标准的要求和措施建议</w:t>
      </w:r>
    </w:p>
    <w:p>
      <w:pPr>
        <w:autoSpaceDE w:val="0"/>
        <w:autoSpaceDN w:val="0"/>
        <w:spacing w:line="360" w:lineRule="auto"/>
        <w:ind w:firstLine="480" w:firstLineChars="200"/>
        <w:rPr>
          <w:rFonts w:ascii="宋体" w:hAnsi="宋体"/>
          <w:color w:val="000000"/>
          <w:sz w:val="24"/>
        </w:rPr>
      </w:pPr>
      <w:r>
        <w:rPr>
          <w:rFonts w:hint="eastAsia" w:ascii="宋体" w:hAnsi="宋体"/>
          <w:sz w:val="24"/>
        </w:rPr>
        <w:t>建议本规范发布后，各油田技术监督主管部门、计量业务管理部门以及各个指重表使用单位及时进行标准宣贯，加深使用本规范的各方对本规范条文的理解。同时，在本规范实施过程中，各油田技术监督主管部门还应加强对本标准实施效果的跟踪检查，积极促进指重表在线校准工作。</w:t>
      </w:r>
      <w:r>
        <w:rPr>
          <w:rFonts w:hint="eastAsia" w:ascii="宋体" w:hAnsi="宋体"/>
          <w:color w:val="000000"/>
          <w:sz w:val="24"/>
        </w:rPr>
        <w:t>在使用新标准后，随着石油工业科技的快速发展，标准水平和仪器制造水平都会有新的的提高，应及时修订本标准，满足新技术的需要。</w:t>
      </w:r>
    </w:p>
    <w:p>
      <w:pPr>
        <w:spacing w:before="360" w:beforeLines="100" w:line="600" w:lineRule="exact"/>
        <w:rPr>
          <w:rFonts w:ascii="宋体" w:hAnsi="宋体"/>
          <w:b/>
          <w:sz w:val="28"/>
          <w:szCs w:val="28"/>
        </w:rPr>
      </w:pPr>
      <w:r>
        <w:rPr>
          <w:rFonts w:hint="eastAsia" w:ascii="宋体" w:hAnsi="宋体"/>
          <w:b/>
          <w:sz w:val="28"/>
          <w:szCs w:val="28"/>
        </w:rPr>
        <w:t>八、废止现行行业标准的建议</w:t>
      </w:r>
    </w:p>
    <w:p>
      <w:pPr>
        <w:spacing w:before="360" w:beforeLines="100" w:line="600" w:lineRule="exact"/>
        <w:ind w:firstLine="480" w:firstLineChars="200"/>
        <w:rPr>
          <w:rFonts w:ascii="宋体" w:hAnsi="宋体"/>
          <w:sz w:val="24"/>
        </w:rPr>
      </w:pPr>
      <w:r>
        <w:rPr>
          <w:rFonts w:hint="eastAsia" w:ascii="宋体" w:hAnsi="宋体"/>
          <w:sz w:val="24"/>
        </w:rPr>
        <w:t>无</w:t>
      </w:r>
    </w:p>
    <w:p>
      <w:pPr>
        <w:spacing w:before="360" w:beforeLines="100" w:line="600" w:lineRule="exact"/>
        <w:rPr>
          <w:rFonts w:ascii="宋体" w:hAnsi="宋体"/>
          <w:b/>
          <w:sz w:val="28"/>
          <w:szCs w:val="28"/>
        </w:rPr>
      </w:pPr>
      <w:r>
        <w:rPr>
          <w:rFonts w:hint="eastAsia" w:ascii="宋体" w:hAnsi="宋体"/>
          <w:b/>
          <w:sz w:val="28"/>
          <w:szCs w:val="28"/>
        </w:rPr>
        <w:t>九、重要内容的解释和其他应予以说明的事项</w:t>
      </w:r>
    </w:p>
    <w:p>
      <w:pPr>
        <w:spacing w:before="100" w:beforeAutospacing="1" w:line="480" w:lineRule="exact"/>
        <w:ind w:firstLine="480" w:firstLineChars="200"/>
        <w:rPr>
          <w:rFonts w:ascii="宋体" w:hAnsi="宋体"/>
          <w:sz w:val="24"/>
        </w:rPr>
      </w:pPr>
      <w:r>
        <w:rPr>
          <w:rFonts w:hint="eastAsia" w:ascii="宋体" w:hAnsi="宋体"/>
          <w:sz w:val="24"/>
        </w:rPr>
        <w:t>无</w:t>
      </w:r>
    </w:p>
    <w:p>
      <w:pPr>
        <w:spacing w:line="600" w:lineRule="exact"/>
        <w:ind w:firstLine="629"/>
        <w:jc w:val="right"/>
        <w:rPr>
          <w:rFonts w:ascii="宋体" w:hAnsi="宋体"/>
          <w:color w:val="000000"/>
          <w:sz w:val="24"/>
        </w:rPr>
      </w:pPr>
      <w:r>
        <w:rPr>
          <w:rFonts w:hint="eastAsia" w:ascii="宋体" w:hAnsi="宋体"/>
          <w:color w:val="000000"/>
          <w:sz w:val="24"/>
        </w:rPr>
        <w:t>《指重表在线校准规范》起草工作组</w:t>
      </w:r>
    </w:p>
    <w:p>
      <w:pPr>
        <w:spacing w:line="600" w:lineRule="exact"/>
        <w:ind w:firstLine="629"/>
        <w:jc w:val="right"/>
        <w:rPr>
          <w:rFonts w:ascii="宋体" w:hAnsi="宋体"/>
          <w:sz w:val="24"/>
        </w:rPr>
      </w:pPr>
      <w:r>
        <w:rPr>
          <w:rFonts w:ascii="宋体" w:hAnsi="宋体"/>
          <w:color w:val="000000"/>
          <w:sz w:val="24"/>
        </w:rPr>
        <w:t>202</w:t>
      </w:r>
      <w:r>
        <w:rPr>
          <w:rFonts w:hint="eastAsia" w:ascii="宋体" w:hAnsi="宋体"/>
          <w:color w:val="000000"/>
          <w:sz w:val="24"/>
        </w:rPr>
        <w:t>3年6月15日</w:t>
      </w:r>
    </w:p>
    <w:sectPr>
      <w:headerReference r:id="rId4" w:type="default"/>
      <w:footerReference r:id="rId5" w:type="default"/>
      <w:pgSz w:w="11906" w:h="16838"/>
      <w:pgMar w:top="1134" w:right="1134" w:bottom="1134" w:left="1134" w:header="709" w:footer="709" w:gutter="0"/>
      <w:cols w:space="708" w:num="1"/>
      <w:docGrid w:type="lines" w:linePitch="360"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003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panose1 w:val="02010609030101010101"/>
    <w:charset w:val="86"/>
    <w:family w:val="modern"/>
    <w:pitch w:val="default"/>
    <w:sig w:usb0="00000001" w:usb1="080E0000" w:usb2="00000000" w:usb3="00000000" w:csb0="00040000" w:csb1="00000000"/>
  </w:font>
  <w:font w:name="等线">
    <w:panose1 w:val="02010600030101010101"/>
    <w:charset w:val="86"/>
    <w:family w:val="auto"/>
    <w:pitch w:val="default"/>
    <w:sig w:usb0="A00002BF" w:usb1="38CF7CFA" w:usb2="00000016" w:usb3="00000000" w:csb0="0004000F" w:csb1="00000000"/>
  </w:font>
  <w:font w:name="Verdana">
    <w:panose1 w:val="020B0604030504040204"/>
    <w:charset w:val="00"/>
    <w:family w:val="swiss"/>
    <w:pitch w:val="default"/>
    <w:sig w:usb0="A00006FF" w:usb1="4000205B" w:usb2="00000010" w:usb3="00000000" w:csb0="2000019F" w:csb1="00000000"/>
  </w:font>
  <w:font w:name="微软雅黑">
    <w:panose1 w:val="020B0503020204020204"/>
    <w:charset w:val="86"/>
    <w:family w:val="swiss"/>
    <w:pitch w:val="default"/>
    <w:sig w:usb0="80000287" w:usb1="2ACF3C50" w:usb2="00000016" w:usb3="00000000" w:csb0="0004001F" w:csb1="00000000"/>
  </w:font>
  <w:font w:name="Cambria Math">
    <w:panose1 w:val="02040503050406030204"/>
    <w:charset w:val="00"/>
    <w:family w:val="roman"/>
    <w:pitch w:val="default"/>
    <w:sig w:usb0="E00006FF" w:usb1="420024FF" w:usb2="02000000" w:usb3="00000000" w:csb0="2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jc w:val="center"/>
    </w:pPr>
    <w:r>
      <w:fldChar w:fldCharType="begin"/>
    </w:r>
    <w:r>
      <w:instrText xml:space="preserve">PAGE   \* MERGEFORMAT</w:instrText>
    </w:r>
    <w:r>
      <w:fldChar w:fldCharType="separate"/>
    </w:r>
    <w:r>
      <w:rPr>
        <w:lang w:val="zh-CN"/>
      </w:rPr>
      <w:t>1</w:t>
    </w:r>
    <w:r>
      <w:fldChar w:fldCharType="end"/>
    </w:r>
  </w:p>
  <w:p>
    <w:pPr>
      <w:pStyle w:val="4"/>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6"/>
    </w:pPr>
    <w:r>
      <mc:AlternateContent>
        <mc:Choice Requires="wps">
          <w:drawing>
            <wp:anchor distT="0" distB="0" distL="0" distR="0" simplePos="0" relativeHeight="251659264" behindDoc="0" locked="0" layoutInCell="1" allowOverlap="1">
              <wp:simplePos x="0" y="0"/>
              <wp:positionH relativeFrom="margin">
                <wp:align>right</wp:align>
              </wp:positionH>
              <wp:positionV relativeFrom="paragraph">
                <wp:posOffset>0</wp:posOffset>
              </wp:positionV>
              <wp:extent cx="1828800" cy="1828800"/>
              <wp:effectExtent l="0" t="0" r="0" b="0"/>
              <wp:wrapNone/>
              <wp:docPr id="4097" name="文本框 5"/>
              <wp:cNvGraphicFramePr/>
              <a:graphic xmlns:a="http://schemas.openxmlformats.org/drawingml/2006/main">
                <a:graphicData uri="http://schemas.microsoft.com/office/word/2010/wordprocessingShape">
                  <wps:wsp>
                    <wps:cNvSpPr/>
                    <wps:spPr>
                      <a:xfrm>
                        <a:off x="0" y="0"/>
                        <a:ext cx="1828800" cy="1828800"/>
                      </a:xfrm>
                      <a:prstGeom prst="rect">
                        <a:avLst/>
                      </a:prstGeom>
                      <a:ln>
                        <a:noFill/>
                      </a:ln>
                    </wps:spPr>
                    <wps:txbx>
                      <w:txbxContent>
                        <w:p>
                          <w:pPr>
                            <w:pStyle w:val="66"/>
                          </w:pPr>
                          <w:r>
                            <w:fldChar w:fldCharType="begin"/>
                          </w:r>
                          <w:r>
                            <w:instrText xml:space="preserve">PAGE   \* MERGEFORMAT</w:instrText>
                          </w:r>
                          <w:r>
                            <w:fldChar w:fldCharType="separate"/>
                          </w:r>
                          <w:r>
                            <w:rPr>
                              <w:lang w:val="zh-CN"/>
                            </w:rPr>
                            <w:t>21</w:t>
                          </w:r>
                          <w:r>
                            <w:fldChar w:fldCharType="end"/>
                          </w:r>
                        </w:p>
                      </w:txbxContent>
                    </wps:txbx>
                    <wps:bodyPr wrap="none" lIns="0" tIns="0" rIns="0" bIns="0">
                      <a:spAutoFit/>
                    </wps:bodyPr>
                  </wps:wsp>
                </a:graphicData>
              </a:graphic>
            </wp:anchor>
          </w:drawing>
        </mc:Choice>
        <mc:Fallback>
          <w:pict>
            <v:rect id="文本框 5" o:spid="_x0000_s1026" o:spt="1" style="position:absolute;left:0pt;margin-top:0pt;height:144pt;width:144pt;mso-position-horizontal:right;mso-position-horizontal-relative:margin;mso-wrap-style:none;z-index:251659264;mso-width-relative:page;mso-height-relative:page;" filled="f" stroked="f" coordsize="21600,21600" o:gfxdata="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">
              <v:fill on="f" focussize="0,0"/>
              <v:stroke on="f"/>
              <v:imagedata o:title=""/>
              <o:lock v:ext="edit" aspectratio="f"/>
              <v:textbox inset="0mm,0mm,0mm,0mm" style="mso-fit-shape-to-text:t;">
                <w:txbxContent>
                  <w:p>
                    <w:pPr>
                      <w:pStyle w:val="66"/>
                    </w:pPr>
                    <w:r>
                      <w:fldChar w:fldCharType="begin"/>
                    </w:r>
                    <w:r>
                      <w:instrText xml:space="preserve">PAGE   \* MERGEFORMAT</w:instrText>
                    </w:r>
                    <w:r>
                      <w:fldChar w:fldCharType="separate"/>
                    </w:r>
                    <w:r>
                      <w:rPr>
                        <w:lang w:val="zh-CN"/>
                      </w:rPr>
                      <w:t>21</w:t>
                    </w:r>
                    <w:r>
                      <w:fldChar w:fldCharType="end"/>
                    </w:r>
                  </w:p>
                </w:txbxContent>
              </v:textbox>
            </v:rect>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jc w:val="lef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000001"/>
    <w:multiLevelType w:val="multilevel"/>
    <w:tmpl w:val="00000001"/>
    <w:lvl w:ilvl="0" w:tentative="0">
      <w:start w:val="1"/>
      <w:numFmt w:val="decimal"/>
      <w:pStyle w:val="50"/>
      <w:suff w:val="nothing"/>
      <w:lvlText w:val="注%1："/>
      <w:lvlJc w:val="left"/>
      <w:pPr>
        <w:ind w:left="811" w:hanging="448"/>
      </w:pPr>
      <w:rPr>
        <w:rFonts w:hint="eastAsia" w:ascii="黑体" w:eastAsia="黑体"/>
        <w:b w:val="0"/>
        <w:i w:val="0"/>
        <w:sz w:val="18"/>
        <w:szCs w:val="18"/>
        <w:vertAlign w:val="baseline"/>
      </w:rPr>
    </w:lvl>
    <w:lvl w:ilvl="1" w:tentative="0">
      <w:start w:val="1"/>
      <w:numFmt w:val="lowerLetter"/>
      <w:lvlText w:val="%2)"/>
      <w:lvlJc w:val="left"/>
      <w:pPr>
        <w:tabs>
          <w:tab w:val="left" w:pos="180"/>
        </w:tabs>
        <w:ind w:left="1172" w:hanging="629"/>
      </w:pPr>
      <w:rPr>
        <w:rFonts w:hint="eastAsia"/>
        <w:vertAlign w:val="baseline"/>
      </w:rPr>
    </w:lvl>
    <w:lvl w:ilvl="2" w:tentative="0">
      <w:start w:val="1"/>
      <w:numFmt w:val="lowerRoman"/>
      <w:lvlText w:val="%3."/>
      <w:lvlJc w:val="right"/>
      <w:pPr>
        <w:tabs>
          <w:tab w:val="left" w:pos="180"/>
        </w:tabs>
        <w:ind w:left="1172" w:hanging="629"/>
      </w:pPr>
      <w:rPr>
        <w:rFonts w:hint="eastAsia"/>
        <w:vertAlign w:val="baseline"/>
      </w:rPr>
    </w:lvl>
    <w:lvl w:ilvl="3" w:tentative="0">
      <w:start w:val="1"/>
      <w:numFmt w:val="decimal"/>
      <w:lvlText w:val="%4."/>
      <w:lvlJc w:val="left"/>
      <w:pPr>
        <w:tabs>
          <w:tab w:val="left" w:pos="180"/>
        </w:tabs>
        <w:ind w:left="1172" w:hanging="629"/>
      </w:pPr>
      <w:rPr>
        <w:rFonts w:hint="eastAsia"/>
        <w:vertAlign w:val="baseline"/>
      </w:rPr>
    </w:lvl>
    <w:lvl w:ilvl="4" w:tentative="0">
      <w:start w:val="1"/>
      <w:numFmt w:val="lowerLetter"/>
      <w:lvlText w:val="%5)"/>
      <w:lvlJc w:val="left"/>
      <w:pPr>
        <w:tabs>
          <w:tab w:val="left" w:pos="180"/>
        </w:tabs>
        <w:ind w:left="1172" w:hanging="629"/>
      </w:pPr>
      <w:rPr>
        <w:rFonts w:hint="eastAsia"/>
        <w:vertAlign w:val="baseline"/>
      </w:rPr>
    </w:lvl>
    <w:lvl w:ilvl="5" w:tentative="0">
      <w:start w:val="1"/>
      <w:numFmt w:val="lowerRoman"/>
      <w:lvlText w:val="%6."/>
      <w:lvlJc w:val="right"/>
      <w:pPr>
        <w:tabs>
          <w:tab w:val="left" w:pos="180"/>
        </w:tabs>
        <w:ind w:left="1172" w:hanging="629"/>
      </w:pPr>
      <w:rPr>
        <w:rFonts w:hint="eastAsia"/>
        <w:vertAlign w:val="baseline"/>
      </w:rPr>
    </w:lvl>
    <w:lvl w:ilvl="6" w:tentative="0">
      <w:start w:val="1"/>
      <w:numFmt w:val="decimal"/>
      <w:lvlText w:val="%7."/>
      <w:lvlJc w:val="left"/>
      <w:pPr>
        <w:tabs>
          <w:tab w:val="left" w:pos="180"/>
        </w:tabs>
        <w:ind w:left="1172" w:hanging="629"/>
      </w:pPr>
      <w:rPr>
        <w:rFonts w:hint="eastAsia"/>
        <w:vertAlign w:val="baseline"/>
      </w:rPr>
    </w:lvl>
    <w:lvl w:ilvl="7" w:tentative="0">
      <w:start w:val="1"/>
      <w:numFmt w:val="lowerLetter"/>
      <w:lvlText w:val="%8)"/>
      <w:lvlJc w:val="left"/>
      <w:pPr>
        <w:tabs>
          <w:tab w:val="left" w:pos="180"/>
        </w:tabs>
        <w:ind w:left="1172" w:hanging="629"/>
      </w:pPr>
      <w:rPr>
        <w:rFonts w:hint="eastAsia"/>
        <w:vertAlign w:val="baseline"/>
      </w:rPr>
    </w:lvl>
    <w:lvl w:ilvl="8" w:tentative="0">
      <w:start w:val="1"/>
      <w:numFmt w:val="lowerRoman"/>
      <w:lvlText w:val="%9."/>
      <w:lvlJc w:val="right"/>
      <w:pPr>
        <w:tabs>
          <w:tab w:val="left" w:pos="180"/>
        </w:tabs>
        <w:ind w:left="1172" w:hanging="629"/>
      </w:pPr>
      <w:rPr>
        <w:rFonts w:hint="eastAsia"/>
        <w:vertAlign w:val="baseline"/>
      </w:rPr>
    </w:lvl>
  </w:abstractNum>
  <w:abstractNum w:abstractNumId="1">
    <w:nsid w:val="00000002"/>
    <w:multiLevelType w:val="multilevel"/>
    <w:tmpl w:val="00000002"/>
    <w:lvl w:ilvl="0" w:tentative="0">
      <w:start w:val="1"/>
      <w:numFmt w:val="decimal"/>
      <w:pStyle w:val="24"/>
      <w:suff w:val="nothing"/>
      <w:lvlText w:val="%1　"/>
      <w:lvlJc w:val="left"/>
      <w:pPr>
        <w:ind w:left="0" w:firstLine="0"/>
      </w:pPr>
      <w:rPr>
        <w:rFonts w:hint="eastAsia" w:ascii="黑体" w:hAnsi="Times New Roman" w:eastAsia="黑体"/>
        <w:b w:val="0"/>
        <w:i w:val="0"/>
        <w:sz w:val="21"/>
        <w:szCs w:val="21"/>
      </w:rPr>
    </w:lvl>
    <w:lvl w:ilvl="1" w:tentative="0">
      <w:start w:val="1"/>
      <w:numFmt w:val="decimal"/>
      <w:pStyle w:val="23"/>
      <w:suff w:val="nothing"/>
      <w:lvlText w:val="%1.%2　"/>
      <w:lvlJc w:val="left"/>
      <w:pPr>
        <w:ind w:left="0" w:firstLine="0"/>
      </w:pPr>
      <w:rPr>
        <w:rFonts w:hint="eastAsia" w:ascii="黑体" w:hAnsi="Times New Roman" w:eastAsia="黑体" w:cs="Times New Roman"/>
        <w:b w:val="0"/>
        <w:bCs w:val="0"/>
        <w:i w:val="0"/>
        <w:iCs w:val="0"/>
        <w:caps w:val="0"/>
        <w:outline w:val="0"/>
        <w:emboss w:val="0"/>
        <w:imprint w:val="0"/>
        <w:vanish w:val="0"/>
        <w:spacing w:val="0"/>
        <w:kern w:val="0"/>
        <w:position w:val="0"/>
        <w:sz w:val="21"/>
        <w:szCs w:val="21"/>
        <w:u w:val="none"/>
        <w:vertAlign w:val="baseline"/>
        <w14:shadow w14:blurRad="0" w14:dist="0" w14:dir="0" w14:sx="100000" w14:sy="100000" w14:kx="0" w14:ky="0" w14:algn="none">
          <w14:srgbClr w14:val="808080"/>
        </w14:shadow>
      </w:rPr>
    </w:lvl>
    <w:lvl w:ilvl="2" w:tentative="0">
      <w:start w:val="1"/>
      <w:numFmt w:val="decimal"/>
      <w:pStyle w:val="25"/>
      <w:suff w:val="nothing"/>
      <w:lvlText w:val="%1.%2.%3　"/>
      <w:lvlJc w:val="left"/>
      <w:pPr>
        <w:ind w:left="0" w:firstLine="0"/>
      </w:pPr>
      <w:rPr>
        <w:rFonts w:hint="eastAsia" w:ascii="黑体" w:hAnsi="Times New Roman" w:eastAsia="黑体"/>
        <w:b w:val="0"/>
        <w:i w:val="0"/>
        <w:sz w:val="21"/>
      </w:rPr>
    </w:lvl>
    <w:lvl w:ilvl="3" w:tentative="0">
      <w:start w:val="1"/>
      <w:numFmt w:val="decimal"/>
      <w:pStyle w:val="26"/>
      <w:suff w:val="nothing"/>
      <w:lvlText w:val="%1.%2.%3.%4　"/>
      <w:lvlJc w:val="left"/>
      <w:pPr>
        <w:ind w:left="0" w:firstLine="0"/>
      </w:pPr>
      <w:rPr>
        <w:rFonts w:hint="eastAsia" w:ascii="黑体" w:hAnsi="Times New Roman" w:eastAsia="黑体"/>
        <w:b w:val="0"/>
        <w:i w:val="0"/>
        <w:sz w:val="21"/>
      </w:rPr>
    </w:lvl>
    <w:lvl w:ilvl="4" w:tentative="0">
      <w:start w:val="1"/>
      <w:numFmt w:val="decimal"/>
      <w:pStyle w:val="27"/>
      <w:suff w:val="nothing"/>
      <w:lvlText w:val="%1.%2.%3.%4.%5　"/>
      <w:lvlJc w:val="left"/>
      <w:pPr>
        <w:ind w:left="0" w:firstLine="0"/>
      </w:pPr>
      <w:rPr>
        <w:rFonts w:hint="eastAsia" w:ascii="黑体" w:hAnsi="Times New Roman" w:eastAsia="黑体"/>
        <w:b w:val="0"/>
        <w:i w:val="0"/>
        <w:sz w:val="21"/>
      </w:rPr>
    </w:lvl>
    <w:lvl w:ilvl="5" w:tentative="0">
      <w:start w:val="1"/>
      <w:numFmt w:val="decimal"/>
      <w:pStyle w:val="28"/>
      <w:suff w:val="nothing"/>
      <w:lvlText w:val="%1.%2.%3.%4.%5.%6　"/>
      <w:lvlJc w:val="left"/>
      <w:pPr>
        <w:ind w:left="0" w:firstLine="0"/>
      </w:pPr>
      <w:rPr>
        <w:rFonts w:hint="eastAsia" w:ascii="黑体" w:hAnsi="Times New Roman" w:eastAsia="黑体"/>
        <w:b w:val="0"/>
        <w:i w:val="0"/>
        <w:sz w:val="21"/>
      </w:rPr>
    </w:lvl>
    <w:lvl w:ilvl="6" w:tentative="0">
      <w:start w:val="1"/>
      <w:numFmt w:val="decimal"/>
      <w:suff w:val="nothing"/>
      <w:lvlText w:val="%1%2.%3.%4.%5.%6.%7　"/>
      <w:lvlJc w:val="left"/>
      <w:pPr>
        <w:ind w:left="0" w:firstLine="0"/>
      </w:pPr>
      <w:rPr>
        <w:rFonts w:hint="eastAsia" w:ascii="黑体" w:hAnsi="Times New Roman" w:eastAsia="黑体"/>
        <w:b w:val="0"/>
        <w:i w:val="0"/>
        <w:sz w:val="21"/>
      </w:rPr>
    </w:lvl>
    <w:lvl w:ilvl="7" w:tentative="0">
      <w:start w:val="1"/>
      <w:numFmt w:val="decimal"/>
      <w:lvlText w:val="%1.%2.%3.%4.%5.%6.%7.%8"/>
      <w:lvlJc w:val="left"/>
      <w:pPr>
        <w:tabs>
          <w:tab w:val="left" w:pos="4351"/>
        </w:tabs>
        <w:ind w:left="3969" w:hanging="1418"/>
      </w:pPr>
    </w:lvl>
    <w:lvl w:ilvl="8" w:tentative="0">
      <w:start w:val="1"/>
      <w:numFmt w:val="decimal"/>
      <w:lvlText w:val="%1.%2.%3.%4.%5.%6.%7.%8.%9"/>
      <w:lvlJc w:val="left"/>
      <w:pPr>
        <w:tabs>
          <w:tab w:val="left" w:pos="4777"/>
        </w:tabs>
        <w:ind w:left="4677" w:hanging="1700"/>
      </w:pPr>
    </w:lvl>
  </w:abstractNum>
  <w:abstractNum w:abstractNumId="2">
    <w:nsid w:val="00000003"/>
    <w:multiLevelType w:val="multilevel"/>
    <w:tmpl w:val="00000003"/>
    <w:lvl w:ilvl="0" w:tentative="0">
      <w:start w:val="1"/>
      <w:numFmt w:val="lowerLetter"/>
      <w:pStyle w:val="65"/>
      <w:lvlText w:val="%1)"/>
      <w:lvlJc w:val="left"/>
      <w:pPr>
        <w:tabs>
          <w:tab w:val="left" w:pos="840"/>
        </w:tabs>
        <w:ind w:left="839" w:hanging="419"/>
      </w:pPr>
      <w:rPr>
        <w:rFonts w:hint="eastAsia" w:ascii="宋体" w:eastAsia="宋体"/>
        <w:b w:val="0"/>
        <w:i w:val="0"/>
        <w:sz w:val="21"/>
        <w:szCs w:val="21"/>
      </w:rPr>
    </w:lvl>
    <w:lvl w:ilvl="1" w:tentative="0">
      <w:start w:val="1"/>
      <w:numFmt w:val="decimal"/>
      <w:lvlText w:val="%2)"/>
      <w:lvlJc w:val="left"/>
      <w:pPr>
        <w:tabs>
          <w:tab w:val="left" w:pos="1260"/>
        </w:tabs>
        <w:ind w:left="1259" w:hanging="419"/>
      </w:pPr>
      <w:rPr>
        <w:rFonts w:hint="eastAsia"/>
      </w:rPr>
    </w:lvl>
    <w:lvl w:ilvl="2" w:tentative="0">
      <w:start w:val="1"/>
      <w:numFmt w:val="decimal"/>
      <w:lvlText w:val="(%3)"/>
      <w:lvlJc w:val="left"/>
      <w:pPr>
        <w:tabs>
          <w:tab w:val="left" w:pos="0"/>
        </w:tabs>
        <w:ind w:left="1679" w:hanging="420"/>
      </w:pPr>
      <w:rPr>
        <w:rFonts w:hint="eastAsia" w:ascii="宋体" w:eastAsia="宋体"/>
        <w:b w:val="0"/>
        <w:i w:val="0"/>
        <w:sz w:val="21"/>
        <w:szCs w:val="21"/>
      </w:rPr>
    </w:lvl>
    <w:lvl w:ilvl="3" w:tentative="0">
      <w:start w:val="1"/>
      <w:numFmt w:val="decimal"/>
      <w:lvlText w:val="%4."/>
      <w:lvlJc w:val="left"/>
      <w:pPr>
        <w:tabs>
          <w:tab w:val="left" w:pos="2100"/>
        </w:tabs>
        <w:ind w:left="2099" w:hanging="419"/>
      </w:pPr>
      <w:rPr>
        <w:rFonts w:hint="eastAsia"/>
      </w:rPr>
    </w:lvl>
    <w:lvl w:ilvl="4" w:tentative="0">
      <w:start w:val="1"/>
      <w:numFmt w:val="lowerLetter"/>
      <w:lvlText w:val="%5)"/>
      <w:lvlJc w:val="left"/>
      <w:pPr>
        <w:tabs>
          <w:tab w:val="left" w:pos="2520"/>
        </w:tabs>
        <w:ind w:left="2519" w:hanging="419"/>
      </w:pPr>
      <w:rPr>
        <w:rFonts w:hint="eastAsia"/>
      </w:rPr>
    </w:lvl>
    <w:lvl w:ilvl="5" w:tentative="0">
      <w:start w:val="1"/>
      <w:numFmt w:val="lowerRoman"/>
      <w:lvlText w:val="%6."/>
      <w:lvlJc w:val="right"/>
      <w:pPr>
        <w:tabs>
          <w:tab w:val="left" w:pos="2940"/>
        </w:tabs>
        <w:ind w:left="2939" w:hanging="419"/>
      </w:pPr>
      <w:rPr>
        <w:rFonts w:hint="eastAsia"/>
      </w:rPr>
    </w:lvl>
    <w:lvl w:ilvl="6" w:tentative="0">
      <w:start w:val="1"/>
      <w:numFmt w:val="decimal"/>
      <w:lvlText w:val="%7."/>
      <w:lvlJc w:val="left"/>
      <w:pPr>
        <w:tabs>
          <w:tab w:val="left" w:pos="3360"/>
        </w:tabs>
        <w:ind w:left="3359" w:hanging="419"/>
      </w:pPr>
      <w:rPr>
        <w:rFonts w:hint="eastAsia"/>
      </w:rPr>
    </w:lvl>
    <w:lvl w:ilvl="7" w:tentative="0">
      <w:start w:val="1"/>
      <w:numFmt w:val="lowerLetter"/>
      <w:lvlText w:val="%8)"/>
      <w:lvlJc w:val="left"/>
      <w:pPr>
        <w:tabs>
          <w:tab w:val="left" w:pos="3780"/>
        </w:tabs>
        <w:ind w:left="3779" w:hanging="419"/>
      </w:pPr>
      <w:rPr>
        <w:rFonts w:hint="eastAsia"/>
      </w:rPr>
    </w:lvl>
    <w:lvl w:ilvl="8" w:tentative="0">
      <w:start w:val="1"/>
      <w:numFmt w:val="lowerRoman"/>
      <w:lvlText w:val="%9."/>
      <w:lvlJc w:val="right"/>
      <w:pPr>
        <w:tabs>
          <w:tab w:val="left" w:pos="4200"/>
        </w:tabs>
        <w:ind w:left="4199" w:hanging="419"/>
      </w:pPr>
      <w:rPr>
        <w:rFonts w:hint="eastAsia"/>
      </w:rPr>
    </w:lvl>
  </w:abstractNum>
  <w:abstractNum w:abstractNumId="3">
    <w:nsid w:val="00000004"/>
    <w:multiLevelType w:val="multilevel"/>
    <w:tmpl w:val="00000004"/>
    <w:lvl w:ilvl="0" w:tentative="0">
      <w:start w:val="1"/>
      <w:numFmt w:val="decimal"/>
      <w:pStyle w:val="56"/>
      <w:suff w:val="nothing"/>
      <w:lvlText w:val="图%1　"/>
      <w:lvlJc w:val="left"/>
      <w:pPr>
        <w:ind w:left="0" w:firstLine="0"/>
      </w:pPr>
      <w:rPr>
        <w:rFonts w:hint="eastAsia" w:ascii="黑体" w:hAnsi="Times New Roman" w:eastAsia="黑体"/>
        <w:b w:val="0"/>
        <w:i w:val="0"/>
        <w:sz w:val="21"/>
      </w:rPr>
    </w:lvl>
    <w:lvl w:ilvl="1" w:tentative="0">
      <w:start w:val="1"/>
      <w:numFmt w:val="decimal"/>
      <w:suff w:val="nothing"/>
      <w:lvlText w:val="%1%2　"/>
      <w:lvlJc w:val="left"/>
      <w:pPr>
        <w:ind w:left="0" w:firstLine="0"/>
      </w:pPr>
      <w:rPr>
        <w:rFonts w:hint="default" w:ascii="Times New Roman" w:hAnsi="Times New Roman" w:eastAsia="黑体"/>
        <w:b w:val="0"/>
        <w:i w:val="0"/>
        <w:sz w:val="21"/>
      </w:rPr>
    </w:lvl>
    <w:lvl w:ilvl="2" w:tentative="0">
      <w:start w:val="1"/>
      <w:numFmt w:val="decimal"/>
      <w:suff w:val="nothing"/>
      <w:lvlText w:val="%1%2.%3　"/>
      <w:lvlJc w:val="left"/>
      <w:pPr>
        <w:ind w:left="0" w:firstLine="0"/>
      </w:pPr>
      <w:rPr>
        <w:rFonts w:hint="default" w:ascii="Times New Roman" w:hAnsi="Times New Roman" w:eastAsia="黑体"/>
        <w:b w:val="0"/>
        <w:i w:val="0"/>
        <w:sz w:val="21"/>
      </w:rPr>
    </w:lvl>
    <w:lvl w:ilvl="3" w:tentative="0">
      <w:start w:val="1"/>
      <w:numFmt w:val="decimal"/>
      <w:suff w:val="nothing"/>
      <w:lvlText w:val="%1%2.%3.%4　"/>
      <w:lvlJc w:val="left"/>
      <w:pPr>
        <w:ind w:left="0" w:firstLine="0"/>
      </w:pPr>
      <w:rPr>
        <w:rFonts w:hint="default" w:ascii="Times New Roman" w:hAnsi="Times New Roman" w:eastAsia="黑体"/>
        <w:b w:val="0"/>
        <w:i w:val="0"/>
        <w:sz w:val="21"/>
      </w:rPr>
    </w:lvl>
    <w:lvl w:ilvl="4" w:tentative="0">
      <w:start w:val="1"/>
      <w:numFmt w:val="decimal"/>
      <w:suff w:val="nothing"/>
      <w:lvlText w:val="%1%2.%3.%4.%5　"/>
      <w:lvlJc w:val="left"/>
      <w:pPr>
        <w:ind w:left="0" w:firstLine="0"/>
      </w:pPr>
      <w:rPr>
        <w:rFonts w:hint="default" w:ascii="Times New Roman" w:hAnsi="Times New Roman" w:eastAsia="黑体"/>
        <w:b w:val="0"/>
        <w:i w:val="0"/>
        <w:sz w:val="21"/>
      </w:rPr>
    </w:lvl>
    <w:lvl w:ilvl="5" w:tentative="0">
      <w:start w:val="1"/>
      <w:numFmt w:val="decimal"/>
      <w:suff w:val="nothing"/>
      <w:lvlText w:val="%1%2.%3.%4.%5.%6　"/>
      <w:lvlJc w:val="left"/>
      <w:pPr>
        <w:ind w:left="0" w:firstLine="0"/>
      </w:pPr>
      <w:rPr>
        <w:rFonts w:hint="default" w:ascii="Times New Roman" w:hAnsi="Times New Roman" w:eastAsia="黑体"/>
        <w:b w:val="0"/>
        <w:i w:val="0"/>
        <w:sz w:val="21"/>
      </w:rPr>
    </w:lvl>
    <w:lvl w:ilvl="6" w:tentative="0">
      <w:start w:val="1"/>
      <w:numFmt w:val="decimal"/>
      <w:suff w:val="nothing"/>
      <w:lvlText w:val="%1%2.%3.%4.%5.%6.%7　"/>
      <w:lvlJc w:val="left"/>
      <w:pPr>
        <w:ind w:left="0" w:firstLine="0"/>
      </w:pPr>
      <w:rPr>
        <w:rFonts w:hint="default" w:ascii="Times New Roman" w:hAnsi="Times New Roman"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abstractNum w:abstractNumId="4">
    <w:nsid w:val="00000005"/>
    <w:multiLevelType w:val="multilevel"/>
    <w:tmpl w:val="00000005"/>
    <w:lvl w:ilvl="0" w:tentative="0">
      <w:start w:val="1"/>
      <w:numFmt w:val="upperLetter"/>
      <w:pStyle w:val="33"/>
      <w:lvlText w:val="%1"/>
      <w:lvlJc w:val="left"/>
      <w:pPr>
        <w:tabs>
          <w:tab w:val="left" w:pos="0"/>
        </w:tabs>
        <w:ind w:left="0" w:hanging="425"/>
      </w:pPr>
      <w:rPr>
        <w:rFonts w:hint="eastAsia"/>
      </w:rPr>
    </w:lvl>
    <w:lvl w:ilvl="1" w:tentative="0">
      <w:start w:val="1"/>
      <w:numFmt w:val="decimal"/>
      <w:pStyle w:val="34"/>
      <w:suff w:val="nothing"/>
      <w:lvlText w:val="表%1.%2　"/>
      <w:lvlJc w:val="left"/>
      <w:pPr>
        <w:ind w:left="567" w:hanging="567"/>
      </w:pPr>
      <w:rPr>
        <w:rFonts w:hint="eastAsia"/>
      </w:rPr>
    </w:lvl>
    <w:lvl w:ilvl="2" w:tentative="0">
      <w:start w:val="1"/>
      <w:numFmt w:val="decimal"/>
      <w:lvlText w:val="%1.%2.%3"/>
      <w:lvlJc w:val="left"/>
      <w:pPr>
        <w:tabs>
          <w:tab w:val="left" w:pos="993"/>
        </w:tabs>
        <w:ind w:left="993" w:hanging="567"/>
      </w:pPr>
      <w:rPr>
        <w:rFonts w:hint="eastAsia"/>
      </w:rPr>
    </w:lvl>
    <w:lvl w:ilvl="3" w:tentative="0">
      <w:start w:val="1"/>
      <w:numFmt w:val="decimal"/>
      <w:lvlText w:val="%1.%2.%3.%4"/>
      <w:lvlJc w:val="left"/>
      <w:pPr>
        <w:tabs>
          <w:tab w:val="left" w:pos="2291"/>
        </w:tabs>
        <w:ind w:left="1559" w:hanging="708"/>
      </w:pPr>
      <w:rPr>
        <w:rFonts w:hint="eastAsia"/>
      </w:rPr>
    </w:lvl>
    <w:lvl w:ilvl="4" w:tentative="0">
      <w:start w:val="1"/>
      <w:numFmt w:val="decimal"/>
      <w:lvlText w:val="%1.%2.%3.%4.%5"/>
      <w:lvlJc w:val="left"/>
      <w:pPr>
        <w:tabs>
          <w:tab w:val="left" w:pos="3076"/>
        </w:tabs>
        <w:ind w:left="2126" w:hanging="850"/>
      </w:pPr>
      <w:rPr>
        <w:rFonts w:hint="eastAsia"/>
      </w:rPr>
    </w:lvl>
    <w:lvl w:ilvl="5" w:tentative="0">
      <w:start w:val="1"/>
      <w:numFmt w:val="decimal"/>
      <w:lvlText w:val="%1.%2.%3.%4.%5.%6"/>
      <w:lvlJc w:val="left"/>
      <w:pPr>
        <w:tabs>
          <w:tab w:val="left" w:pos="3861"/>
        </w:tabs>
        <w:ind w:left="2835" w:hanging="1134"/>
      </w:pPr>
      <w:rPr>
        <w:rFonts w:hint="eastAsia"/>
      </w:rPr>
    </w:lvl>
    <w:lvl w:ilvl="6" w:tentative="0">
      <w:start w:val="1"/>
      <w:numFmt w:val="decimal"/>
      <w:lvlText w:val="%1.%2.%3.%4.%5.%6.%7"/>
      <w:lvlJc w:val="left"/>
      <w:pPr>
        <w:tabs>
          <w:tab w:val="left" w:pos="4646"/>
        </w:tabs>
        <w:ind w:left="3402" w:hanging="1276"/>
      </w:pPr>
      <w:rPr>
        <w:rFonts w:hint="eastAsia"/>
      </w:rPr>
    </w:lvl>
    <w:lvl w:ilvl="7" w:tentative="0">
      <w:start w:val="1"/>
      <w:numFmt w:val="decimal"/>
      <w:lvlText w:val="%1.%2.%3.%4.%5.%6.%7.%8"/>
      <w:lvlJc w:val="left"/>
      <w:pPr>
        <w:tabs>
          <w:tab w:val="left" w:pos="5431"/>
        </w:tabs>
        <w:ind w:left="3969" w:hanging="1418"/>
      </w:pPr>
      <w:rPr>
        <w:rFonts w:hint="eastAsia"/>
      </w:rPr>
    </w:lvl>
    <w:lvl w:ilvl="8" w:tentative="0">
      <w:start w:val="1"/>
      <w:numFmt w:val="decimal"/>
      <w:lvlText w:val="%1.%2.%3.%4.%5.%6.%7.%8.%9"/>
      <w:lvlJc w:val="left"/>
      <w:pPr>
        <w:tabs>
          <w:tab w:val="left" w:pos="6217"/>
        </w:tabs>
        <w:ind w:left="4677" w:hanging="1700"/>
      </w:pPr>
      <w:rPr>
        <w:rFonts w:hint="eastAsia"/>
      </w:rPr>
    </w:lvl>
  </w:abstractNum>
  <w:abstractNum w:abstractNumId="5">
    <w:nsid w:val="00000006"/>
    <w:multiLevelType w:val="multilevel"/>
    <w:tmpl w:val="00000006"/>
    <w:lvl w:ilvl="0" w:tentative="0">
      <w:start w:val="1"/>
      <w:numFmt w:val="decimal"/>
      <w:pStyle w:val="59"/>
      <w:suff w:val="nothing"/>
      <w:lvlText w:val="表%1　"/>
      <w:lvlJc w:val="left"/>
      <w:pPr>
        <w:ind w:left="0" w:firstLine="0"/>
      </w:pPr>
      <w:rPr>
        <w:rFonts w:hint="eastAsia" w:ascii="黑体" w:hAnsi="Times New Roman" w:eastAsia="黑体"/>
        <w:b w:val="0"/>
        <w:i w:val="0"/>
        <w:sz w:val="21"/>
      </w:rPr>
    </w:lvl>
    <w:lvl w:ilvl="1" w:tentative="0">
      <w:start w:val="1"/>
      <w:numFmt w:val="decimal"/>
      <w:lvlText w:val="%1.%2"/>
      <w:lvlJc w:val="left"/>
      <w:pPr>
        <w:tabs>
          <w:tab w:val="left" w:pos="992"/>
        </w:tabs>
        <w:ind w:left="992" w:hanging="567"/>
      </w:pPr>
      <w:rPr>
        <w:rFonts w:hint="eastAsia"/>
      </w:rPr>
    </w:lvl>
    <w:lvl w:ilvl="2" w:tentative="0">
      <w:start w:val="1"/>
      <w:numFmt w:val="decimal"/>
      <w:lvlText w:val="%1.%2.%3"/>
      <w:lvlJc w:val="left"/>
      <w:pPr>
        <w:tabs>
          <w:tab w:val="left" w:pos="1418"/>
        </w:tabs>
        <w:ind w:left="1418" w:hanging="567"/>
      </w:pPr>
      <w:rPr>
        <w:rFonts w:hint="eastAsia"/>
      </w:rPr>
    </w:lvl>
    <w:lvl w:ilvl="3" w:tentative="0">
      <w:start w:val="1"/>
      <w:numFmt w:val="decimal"/>
      <w:lvlText w:val="%1.%2.%3.%4"/>
      <w:lvlJc w:val="left"/>
      <w:pPr>
        <w:tabs>
          <w:tab w:val="left" w:pos="1984"/>
        </w:tabs>
        <w:ind w:left="1984" w:hanging="708"/>
      </w:pPr>
      <w:rPr>
        <w:rFonts w:hint="eastAsia"/>
      </w:rPr>
    </w:lvl>
    <w:lvl w:ilvl="4" w:tentative="0">
      <w:start w:val="1"/>
      <w:numFmt w:val="decimal"/>
      <w:lvlText w:val="%1.%2.%3.%4.%5"/>
      <w:lvlJc w:val="left"/>
      <w:pPr>
        <w:tabs>
          <w:tab w:val="left" w:pos="2551"/>
        </w:tabs>
        <w:ind w:left="2551" w:hanging="850"/>
      </w:pPr>
      <w:rPr>
        <w:rFonts w:hint="eastAsia"/>
      </w:rPr>
    </w:lvl>
    <w:lvl w:ilvl="5" w:tentative="0">
      <w:start w:val="1"/>
      <w:numFmt w:val="decimal"/>
      <w:lvlText w:val="%1.%2.%3.%4.%5.%6"/>
      <w:lvlJc w:val="left"/>
      <w:pPr>
        <w:tabs>
          <w:tab w:val="left" w:pos="3260"/>
        </w:tabs>
        <w:ind w:left="3260" w:hanging="1134"/>
      </w:pPr>
      <w:rPr>
        <w:rFonts w:hint="eastAsia"/>
      </w:rPr>
    </w:lvl>
    <w:lvl w:ilvl="6" w:tentative="0">
      <w:start w:val="1"/>
      <w:numFmt w:val="decimal"/>
      <w:lvlText w:val="%1.%2.%3.%4.%5.%6.%7"/>
      <w:lvlJc w:val="left"/>
      <w:pPr>
        <w:tabs>
          <w:tab w:val="left" w:pos="3827"/>
        </w:tabs>
        <w:ind w:left="3827" w:hanging="1276"/>
      </w:pPr>
      <w:rPr>
        <w:rFonts w:hint="eastAsia"/>
      </w:rPr>
    </w:lvl>
    <w:lvl w:ilvl="7" w:tentative="0">
      <w:start w:val="1"/>
      <w:numFmt w:val="decimal"/>
      <w:lvlText w:val="%1.%2.%3.%4.%5.%6.%7.%8"/>
      <w:lvlJc w:val="left"/>
      <w:pPr>
        <w:tabs>
          <w:tab w:val="left" w:pos="4394"/>
        </w:tabs>
        <w:ind w:left="4394" w:hanging="1418"/>
      </w:pPr>
      <w:rPr>
        <w:rFonts w:hint="eastAsia"/>
      </w:rPr>
    </w:lvl>
    <w:lvl w:ilvl="8" w:tentative="0">
      <w:start w:val="1"/>
      <w:numFmt w:val="decimal"/>
      <w:lvlText w:val="%1.%2.%3.%4.%5.%6.%7.%8.%9"/>
      <w:lvlJc w:val="left"/>
      <w:pPr>
        <w:tabs>
          <w:tab w:val="left" w:pos="5102"/>
        </w:tabs>
        <w:ind w:left="5102" w:hanging="1700"/>
      </w:pPr>
      <w:rPr>
        <w:rFonts w:hint="eastAsia"/>
      </w:rPr>
    </w:lvl>
  </w:abstractNum>
  <w:abstractNum w:abstractNumId="6">
    <w:nsid w:val="00000007"/>
    <w:multiLevelType w:val="multilevel"/>
    <w:tmpl w:val="00000007"/>
    <w:lvl w:ilvl="0" w:tentative="0">
      <w:start w:val="1"/>
      <w:numFmt w:val="upperLetter"/>
      <w:pStyle w:val="32"/>
      <w:suff w:val="nothing"/>
      <w:lvlText w:val="附　录　%1"/>
      <w:lvlJc w:val="left"/>
      <w:pPr>
        <w:ind w:left="0" w:firstLine="0"/>
      </w:pPr>
      <w:rPr>
        <w:rFonts w:hint="eastAsia" w:ascii="黑体" w:hAnsi="Times New Roman" w:eastAsia="黑体"/>
        <w:b w:val="0"/>
        <w:i w:val="0"/>
        <w:spacing w:val="0"/>
        <w:w w:val="100"/>
        <w:sz w:val="21"/>
      </w:rPr>
    </w:lvl>
    <w:lvl w:ilvl="1" w:tentative="0">
      <w:start w:val="1"/>
      <w:numFmt w:val="decimal"/>
      <w:pStyle w:val="39"/>
      <w:suff w:val="nothing"/>
      <w:lvlText w:val="%1.%2　"/>
      <w:lvlJc w:val="left"/>
      <w:pPr>
        <w:ind w:left="0" w:firstLine="0"/>
      </w:pPr>
      <w:rPr>
        <w:rFonts w:hint="eastAsia" w:ascii="黑体" w:hAnsi="Times New Roman" w:eastAsia="黑体"/>
        <w:b w:val="0"/>
        <w:i w:val="0"/>
        <w:snapToGrid/>
        <w:spacing w:val="0"/>
        <w:w w:val="100"/>
        <w:kern w:val="21"/>
        <w:sz w:val="21"/>
      </w:rPr>
    </w:lvl>
    <w:lvl w:ilvl="2" w:tentative="0">
      <w:start w:val="1"/>
      <w:numFmt w:val="decimal"/>
      <w:pStyle w:val="40"/>
      <w:suff w:val="nothing"/>
      <w:lvlText w:val="%1.%2.%3　"/>
      <w:lvlJc w:val="left"/>
      <w:pPr>
        <w:ind w:left="0" w:firstLine="0"/>
      </w:pPr>
      <w:rPr>
        <w:rFonts w:hint="eastAsia" w:ascii="黑体" w:hAnsi="Times New Roman" w:eastAsia="黑体"/>
        <w:b w:val="0"/>
        <w:i w:val="0"/>
        <w:sz w:val="21"/>
      </w:rPr>
    </w:lvl>
    <w:lvl w:ilvl="3" w:tentative="0">
      <w:start w:val="1"/>
      <w:numFmt w:val="decimal"/>
      <w:pStyle w:val="35"/>
      <w:suff w:val="nothing"/>
      <w:lvlText w:val="%1.%2.%3.%4　"/>
      <w:lvlJc w:val="left"/>
      <w:pPr>
        <w:ind w:left="0" w:firstLine="0"/>
      </w:pPr>
      <w:rPr>
        <w:rFonts w:hint="eastAsia" w:ascii="黑体" w:hAnsi="Times New Roman" w:eastAsia="黑体"/>
        <w:b w:val="0"/>
        <w:i w:val="0"/>
        <w:sz w:val="21"/>
      </w:rPr>
    </w:lvl>
    <w:lvl w:ilvl="4" w:tentative="0">
      <w:start w:val="1"/>
      <w:numFmt w:val="decimal"/>
      <w:pStyle w:val="36"/>
      <w:suff w:val="nothing"/>
      <w:lvlText w:val="%1.%2.%3.%4.%5　"/>
      <w:lvlJc w:val="left"/>
      <w:pPr>
        <w:ind w:left="0" w:firstLine="0"/>
      </w:pPr>
      <w:rPr>
        <w:rFonts w:hint="eastAsia" w:ascii="黑体" w:hAnsi="Times New Roman" w:eastAsia="黑体"/>
        <w:b w:val="0"/>
        <w:i w:val="0"/>
        <w:sz w:val="21"/>
      </w:rPr>
    </w:lvl>
    <w:lvl w:ilvl="5" w:tentative="0">
      <w:start w:val="1"/>
      <w:numFmt w:val="decimal"/>
      <w:pStyle w:val="37"/>
      <w:suff w:val="nothing"/>
      <w:lvlText w:val="%1.%2.%3.%4.%5.%6　"/>
      <w:lvlJc w:val="left"/>
      <w:pPr>
        <w:ind w:left="0" w:firstLine="0"/>
      </w:pPr>
      <w:rPr>
        <w:rFonts w:hint="eastAsia" w:ascii="黑体" w:hAnsi="Times New Roman" w:eastAsia="黑体"/>
        <w:b w:val="0"/>
        <w:i w:val="0"/>
        <w:sz w:val="21"/>
      </w:rPr>
    </w:lvl>
    <w:lvl w:ilvl="6" w:tentative="0">
      <w:start w:val="1"/>
      <w:numFmt w:val="decimal"/>
      <w:pStyle w:val="38"/>
      <w:suff w:val="nothing"/>
      <w:lvlText w:val="%1.%2.%3.%4.%5.%6.%7　"/>
      <w:lvlJc w:val="left"/>
      <w:pPr>
        <w:ind w:left="0" w:firstLine="0"/>
      </w:pPr>
      <w:rPr>
        <w:rFonts w:hint="eastAsia" w:ascii="黑体" w:hAnsi="Times New Roman" w:eastAsia="黑体"/>
        <w:b w:val="0"/>
        <w:i w:val="0"/>
        <w:sz w:val="21"/>
      </w:rPr>
    </w:lvl>
    <w:lvl w:ilvl="7" w:tentative="0">
      <w:start w:val="1"/>
      <w:numFmt w:val="decimal"/>
      <w:lvlText w:val="%1.%2.%3.%4.%5.%6.%7.%8"/>
      <w:lvlJc w:val="left"/>
      <w:pPr>
        <w:tabs>
          <w:tab w:val="left" w:pos="4394"/>
        </w:tabs>
        <w:ind w:left="4394" w:hanging="1418"/>
      </w:pPr>
      <w:rPr>
        <w:rFonts w:hint="eastAsia"/>
      </w:rPr>
    </w:lvl>
    <w:lvl w:ilvl="8" w:tentative="0">
      <w:start w:val="1"/>
      <w:numFmt w:val="decimal"/>
      <w:lvlText w:val="%1.%2.%3.%4.%5.%6.%7.%8.%9"/>
      <w:lvlJc w:val="left"/>
      <w:pPr>
        <w:tabs>
          <w:tab w:val="left" w:pos="5102"/>
        </w:tabs>
        <w:ind w:left="5102" w:hanging="1700"/>
      </w:pPr>
      <w:rPr>
        <w:rFonts w:hint="eastAsia"/>
      </w:rPr>
    </w:lvl>
  </w:abstractNum>
  <w:abstractNum w:abstractNumId="7">
    <w:nsid w:val="00000008"/>
    <w:multiLevelType w:val="multilevel"/>
    <w:tmpl w:val="00000008"/>
    <w:lvl w:ilvl="0" w:tentative="0">
      <w:start w:val="1"/>
      <w:numFmt w:val="none"/>
      <w:suff w:val="nothing"/>
      <w:lvlText w:val="%1"/>
      <w:lvlJc w:val="left"/>
      <w:pPr>
        <w:ind w:left="0" w:firstLine="0"/>
      </w:pPr>
      <w:rPr>
        <w:rFonts w:hint="eastAsia"/>
      </w:rPr>
    </w:lvl>
    <w:lvl w:ilvl="1" w:tentative="0">
      <w:start w:val="1"/>
      <w:numFmt w:val="decimal"/>
      <w:pStyle w:val="51"/>
      <w:suff w:val="nothing"/>
      <w:lvlText w:val="%1%2　"/>
      <w:lvlJc w:val="left"/>
      <w:pPr>
        <w:ind w:left="0" w:firstLine="0"/>
      </w:pPr>
      <w:rPr>
        <w:rFonts w:hint="eastAsia" w:ascii="黑体" w:eastAsia="黑体"/>
        <w:b w:val="0"/>
        <w:i w:val="0"/>
        <w:sz w:val="21"/>
      </w:rPr>
    </w:lvl>
    <w:lvl w:ilvl="2" w:tentative="0">
      <w:start w:val="1"/>
      <w:numFmt w:val="decimal"/>
      <w:suff w:val="nothing"/>
      <w:lvlText w:val="%1%2.%3　"/>
      <w:lvlJc w:val="left"/>
      <w:pPr>
        <w:ind w:left="0" w:firstLine="0"/>
      </w:pPr>
      <w:rPr>
        <w:rFonts w:hint="eastAsia" w:ascii="黑体" w:hAnsi="Times New Roman" w:eastAsia="黑体" w:cs="Times New Roman"/>
        <w:b w:val="0"/>
        <w:bCs w:val="0"/>
        <w:i w:val="0"/>
        <w:iCs w:val="0"/>
        <w:caps w:val="0"/>
        <w:smallCaps w:val="0"/>
        <w:vanish w:val="0"/>
        <w:color w:val="000000"/>
        <w:spacing w:val="0"/>
        <w:kern w:val="0"/>
        <w:position w:val="0"/>
        <w:sz w:val="21"/>
        <w:u w:val="none"/>
        <w:vertAlign w:val="baseline"/>
        <w14:ligatures w14:val="none"/>
        <w14:numForm w14:val="default"/>
        <w14:numSpacing w14:val="default"/>
      </w:rPr>
    </w:lvl>
    <w:lvl w:ilvl="3" w:tentative="0">
      <w:start w:val="1"/>
      <w:numFmt w:val="decimal"/>
      <w:pStyle w:val="58"/>
      <w:suff w:val="nothing"/>
      <w:lvlText w:val="%1%2.%3.%4　"/>
      <w:lvlJc w:val="left"/>
      <w:pPr>
        <w:ind w:left="0" w:firstLine="0"/>
      </w:pPr>
      <w:rPr>
        <w:rFonts w:hint="eastAsia" w:ascii="黑体" w:eastAsia="黑体"/>
        <w:b w:val="0"/>
        <w:i w:val="0"/>
        <w:sz w:val="21"/>
      </w:rPr>
    </w:lvl>
    <w:lvl w:ilvl="4" w:tentative="0">
      <w:start w:val="1"/>
      <w:numFmt w:val="decimal"/>
      <w:suff w:val="nothing"/>
      <w:lvlText w:val="%1%2.%3.%4.%5　"/>
      <w:lvlJc w:val="left"/>
      <w:pPr>
        <w:ind w:left="710" w:firstLine="0"/>
      </w:pPr>
      <w:rPr>
        <w:rFonts w:hint="eastAsia" w:ascii="黑体" w:eastAsia="黑体"/>
        <w:b w:val="0"/>
        <w:i w:val="0"/>
        <w:sz w:val="21"/>
      </w:rPr>
    </w:lvl>
    <w:lvl w:ilvl="5" w:tentative="0">
      <w:start w:val="1"/>
      <w:numFmt w:val="decimal"/>
      <w:suff w:val="nothing"/>
      <w:lvlText w:val="%1%2.%3.%4.%5.%6　"/>
      <w:lvlJc w:val="left"/>
      <w:pPr>
        <w:ind w:left="0" w:firstLine="0"/>
      </w:pPr>
      <w:rPr>
        <w:rFonts w:hint="eastAsia" w:ascii="黑体" w:eastAsia="黑体"/>
        <w:b w:val="0"/>
        <w:i w:val="0"/>
        <w:sz w:val="21"/>
      </w:rPr>
    </w:lvl>
    <w:lvl w:ilvl="6" w:tentative="0">
      <w:start w:val="1"/>
      <w:numFmt w:val="decimal"/>
      <w:suff w:val="nothing"/>
      <w:lvlText w:val="%1%2.%3.%4.%5.%6.%7　"/>
      <w:lvlJc w:val="left"/>
      <w:pPr>
        <w:ind w:left="0" w:firstLine="0"/>
      </w:pPr>
      <w:rPr>
        <w:rFonts w:hint="eastAsia" w:ascii="黑体"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abstractNum w:abstractNumId="8">
    <w:nsid w:val="00000009"/>
    <w:multiLevelType w:val="multilevel"/>
    <w:tmpl w:val="00000009"/>
    <w:lvl w:ilvl="0" w:tentative="0">
      <w:start w:val="1"/>
      <w:numFmt w:val="none"/>
      <w:pStyle w:val="60"/>
      <w:suff w:val="nothing"/>
      <w:lvlText w:val="%1注："/>
      <w:lvlJc w:val="left"/>
      <w:pPr>
        <w:ind w:left="726" w:hanging="363"/>
      </w:pPr>
      <w:rPr>
        <w:rFonts w:hint="eastAsia" w:ascii="黑体" w:hAnsi="Times New Roman" w:eastAsia="黑体"/>
        <w:b w:val="0"/>
        <w:i w:val="0"/>
        <w:sz w:val="18"/>
      </w:rPr>
    </w:lvl>
    <w:lvl w:ilvl="1" w:tentative="0">
      <w:start w:val="1"/>
      <w:numFmt w:val="lowerLetter"/>
      <w:lvlText w:val="%2)"/>
      <w:lvlJc w:val="left"/>
      <w:pPr>
        <w:tabs>
          <w:tab w:val="left" w:pos="1140"/>
        </w:tabs>
        <w:ind w:left="726" w:hanging="363"/>
      </w:pPr>
      <w:rPr>
        <w:rFonts w:hint="eastAsia"/>
      </w:rPr>
    </w:lvl>
    <w:lvl w:ilvl="2" w:tentative="0">
      <w:start w:val="1"/>
      <w:numFmt w:val="lowerRoman"/>
      <w:lvlText w:val="%3."/>
      <w:lvlJc w:val="right"/>
      <w:pPr>
        <w:tabs>
          <w:tab w:val="left" w:pos="1140"/>
        </w:tabs>
        <w:ind w:left="726" w:hanging="363"/>
      </w:pPr>
      <w:rPr>
        <w:rFonts w:hint="eastAsia"/>
      </w:rPr>
    </w:lvl>
    <w:lvl w:ilvl="3" w:tentative="0">
      <w:start w:val="1"/>
      <w:numFmt w:val="decimal"/>
      <w:lvlText w:val="%4."/>
      <w:lvlJc w:val="left"/>
      <w:pPr>
        <w:tabs>
          <w:tab w:val="left" w:pos="1140"/>
        </w:tabs>
        <w:ind w:left="726" w:hanging="363"/>
      </w:pPr>
      <w:rPr>
        <w:rFonts w:hint="eastAsia"/>
      </w:rPr>
    </w:lvl>
    <w:lvl w:ilvl="4" w:tentative="0">
      <w:start w:val="1"/>
      <w:numFmt w:val="lowerLetter"/>
      <w:lvlText w:val="%5)"/>
      <w:lvlJc w:val="left"/>
      <w:pPr>
        <w:tabs>
          <w:tab w:val="left" w:pos="1140"/>
        </w:tabs>
        <w:ind w:left="726" w:hanging="363"/>
      </w:pPr>
      <w:rPr>
        <w:rFonts w:hint="eastAsia"/>
      </w:rPr>
    </w:lvl>
    <w:lvl w:ilvl="5" w:tentative="0">
      <w:start w:val="1"/>
      <w:numFmt w:val="lowerRoman"/>
      <w:lvlText w:val="%6."/>
      <w:lvlJc w:val="right"/>
      <w:pPr>
        <w:tabs>
          <w:tab w:val="left" w:pos="1140"/>
        </w:tabs>
        <w:ind w:left="726" w:hanging="363"/>
      </w:pPr>
      <w:rPr>
        <w:rFonts w:hint="eastAsia"/>
      </w:rPr>
    </w:lvl>
    <w:lvl w:ilvl="6" w:tentative="0">
      <w:start w:val="1"/>
      <w:numFmt w:val="decimal"/>
      <w:lvlText w:val="%7."/>
      <w:lvlJc w:val="left"/>
      <w:pPr>
        <w:tabs>
          <w:tab w:val="left" w:pos="1140"/>
        </w:tabs>
        <w:ind w:left="726" w:hanging="363"/>
      </w:pPr>
      <w:rPr>
        <w:rFonts w:hint="eastAsia"/>
      </w:rPr>
    </w:lvl>
    <w:lvl w:ilvl="7" w:tentative="0">
      <w:start w:val="1"/>
      <w:numFmt w:val="lowerLetter"/>
      <w:lvlText w:val="%8)"/>
      <w:lvlJc w:val="left"/>
      <w:pPr>
        <w:tabs>
          <w:tab w:val="left" w:pos="1140"/>
        </w:tabs>
        <w:ind w:left="726" w:hanging="363"/>
      </w:pPr>
      <w:rPr>
        <w:rFonts w:hint="eastAsia"/>
      </w:rPr>
    </w:lvl>
    <w:lvl w:ilvl="8" w:tentative="0">
      <w:start w:val="1"/>
      <w:numFmt w:val="lowerRoman"/>
      <w:lvlText w:val="%9."/>
      <w:lvlJc w:val="right"/>
      <w:pPr>
        <w:tabs>
          <w:tab w:val="left" w:pos="1140"/>
        </w:tabs>
        <w:ind w:left="726" w:hanging="363"/>
      </w:pPr>
      <w:rPr>
        <w:rFonts w:hint="eastAsia"/>
      </w:rPr>
    </w:lvl>
  </w:abstractNum>
  <w:abstractNum w:abstractNumId="9">
    <w:nsid w:val="25B654F3"/>
    <w:multiLevelType w:val="multilevel"/>
    <w:tmpl w:val="25B654F3"/>
    <w:lvl w:ilvl="0" w:tentative="0">
      <w:start w:val="1"/>
      <w:numFmt w:val="decimal"/>
      <w:lvlText w:val="E%1"/>
      <w:lvlJc w:val="left"/>
      <w:pPr>
        <w:ind w:left="0" w:firstLine="0"/>
      </w:pPr>
      <w:rPr>
        <w:rFonts w:hint="eastAsia"/>
        <w:b w:val="0"/>
        <w:i w:val="0"/>
        <w:sz w:val="21"/>
        <w:szCs w:val="21"/>
      </w:rPr>
    </w:lvl>
    <w:lvl w:ilvl="1" w:tentative="0">
      <w:start w:val="3"/>
      <w:numFmt w:val="decimal"/>
      <w:lvlText w:val="%2.4"/>
      <w:lvlJc w:val="left"/>
      <w:pPr>
        <w:ind w:left="0" w:firstLine="0"/>
      </w:pPr>
      <w:rPr>
        <w:rFonts w:hint="eastAsia"/>
        <w:b w:val="0"/>
        <w:bCs w:val="0"/>
        <w:i w:val="0"/>
        <w:iCs w:val="0"/>
        <w:caps w:val="0"/>
        <w:vanish w:val="0"/>
        <w:color w:val="000000"/>
        <w:spacing w:val="0"/>
        <w:kern w:val="0"/>
        <w:position w:val="0"/>
        <w:sz w:val="21"/>
        <w:szCs w:val="21"/>
        <w:u w:val="none"/>
        <w:vertAlign w:val="baseline"/>
      </w:rPr>
    </w:lvl>
    <w:lvl w:ilvl="2" w:tentative="0">
      <w:start w:val="1"/>
      <w:numFmt w:val="decimal"/>
      <w:suff w:val="nothing"/>
      <w:lvlText w:val="%3）"/>
      <w:lvlJc w:val="left"/>
      <w:pPr>
        <w:ind w:left="0" w:firstLine="0"/>
      </w:pPr>
      <w:rPr>
        <w:rFonts w:hint="eastAsia" w:ascii="黑体" w:hAnsi="Times New Roman" w:eastAsia="黑体" w:cs="Times New Roman"/>
        <w:b w:val="0"/>
        <w:i w:val="0"/>
        <w:sz w:val="21"/>
      </w:rPr>
    </w:lvl>
    <w:lvl w:ilvl="3" w:tentative="0">
      <w:start w:val="1"/>
      <w:numFmt w:val="decimal"/>
      <w:suff w:val="nothing"/>
      <w:lvlText w:val="%1.%2.%3.%4　"/>
      <w:lvlJc w:val="left"/>
      <w:pPr>
        <w:ind w:left="0" w:firstLine="0"/>
      </w:pPr>
      <w:rPr>
        <w:rFonts w:hint="eastAsia" w:ascii="黑体" w:hAnsi="Times New Roman" w:eastAsia="黑体" w:cs="Times New Roman"/>
        <w:b w:val="0"/>
        <w:i w:val="0"/>
        <w:sz w:val="21"/>
      </w:rPr>
    </w:lvl>
    <w:lvl w:ilvl="4" w:tentative="0">
      <w:start w:val="1"/>
      <w:numFmt w:val="decimal"/>
      <w:suff w:val="nothing"/>
      <w:lvlText w:val="%1.%2.%3.%4.%5　"/>
      <w:lvlJc w:val="left"/>
      <w:pPr>
        <w:ind w:left="0" w:firstLine="0"/>
      </w:pPr>
      <w:rPr>
        <w:rFonts w:hint="eastAsia" w:ascii="黑体" w:hAnsi="Times New Roman" w:eastAsia="黑体" w:cs="Times New Roman"/>
        <w:b w:val="0"/>
        <w:i w:val="0"/>
        <w:sz w:val="21"/>
      </w:rPr>
    </w:lvl>
    <w:lvl w:ilvl="5" w:tentative="0">
      <w:start w:val="1"/>
      <w:numFmt w:val="decimal"/>
      <w:suff w:val="nothing"/>
      <w:lvlText w:val="%1.%2.%3.%4.%5.%6　"/>
      <w:lvlJc w:val="left"/>
      <w:pPr>
        <w:ind w:left="0" w:firstLine="0"/>
      </w:pPr>
      <w:rPr>
        <w:rFonts w:hint="eastAsia" w:ascii="黑体" w:hAnsi="Times New Roman" w:eastAsia="黑体" w:cs="Times New Roman"/>
        <w:b w:val="0"/>
        <w:i w:val="0"/>
        <w:sz w:val="21"/>
      </w:rPr>
    </w:lvl>
    <w:lvl w:ilvl="6" w:tentative="0">
      <w:start w:val="1"/>
      <w:numFmt w:val="decimal"/>
      <w:suff w:val="nothing"/>
      <w:lvlText w:val="%1%2.%3.%4.%5.%6.%7　"/>
      <w:lvlJc w:val="left"/>
      <w:pPr>
        <w:ind w:left="0" w:firstLine="0"/>
      </w:pPr>
      <w:rPr>
        <w:rFonts w:hint="eastAsia" w:ascii="黑体" w:hAnsi="Times New Roman" w:eastAsia="黑体" w:cs="Times New Roman"/>
        <w:b w:val="0"/>
        <w:i w:val="0"/>
        <w:sz w:val="21"/>
      </w:rPr>
    </w:lvl>
    <w:lvl w:ilvl="7" w:tentative="0">
      <w:start w:val="1"/>
      <w:numFmt w:val="decimal"/>
      <w:lvlText w:val="%1.%2.%3.%4.%5.%6.%7.%8"/>
      <w:lvlJc w:val="left"/>
      <w:pPr>
        <w:tabs>
          <w:tab w:val="left" w:pos="4351"/>
        </w:tabs>
        <w:ind w:left="3969" w:hanging="1418"/>
      </w:pPr>
      <w:rPr>
        <w:rFonts w:hint="eastAsia" w:cs="Times New Roman"/>
      </w:rPr>
    </w:lvl>
    <w:lvl w:ilvl="8" w:tentative="0">
      <w:start w:val="1"/>
      <w:numFmt w:val="decimal"/>
      <w:lvlText w:val="%1.%2.%3.%4.%5.%6.%7.%8.%9"/>
      <w:lvlJc w:val="left"/>
      <w:pPr>
        <w:tabs>
          <w:tab w:val="left" w:pos="4777"/>
        </w:tabs>
        <w:ind w:left="4677" w:hanging="1700"/>
      </w:pPr>
      <w:rPr>
        <w:rFonts w:hint="eastAsia" w:cs="Times New Roman"/>
      </w:rPr>
    </w:lvl>
  </w:abstractNum>
  <w:num w:numId="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6"/>
  </w:num>
  <w:num w:numId="3">
    <w:abstractNumId w:val="4"/>
  </w:num>
  <w:num w:numId="4">
    <w:abstractNumId w:val="0"/>
  </w:num>
  <w:num w:numId="5">
    <w:abstractNumId w:val="7"/>
  </w:num>
  <w:num w:numId="6">
    <w:abstractNumId w:val="3"/>
  </w:num>
  <w:num w:numId="7">
    <w:abstractNumId w:val="5"/>
  </w:num>
  <w:num w:numId="8">
    <w:abstractNumId w:val="8"/>
  </w:num>
  <w:num w:numId="9">
    <w:abstractNumId w:val="2"/>
  </w:num>
  <w:num w:numId="10">
    <w:abstractNumId w:val="9"/>
    <w:lvlOverride w:ilvl="0">
      <w:startOverride w:val="1"/>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bordersDoNotSurroundHeader w:val="1"/>
  <w:bordersDoNotSurroundFooter w:val="1"/>
  <w:documentProtection w:enforcement="0"/>
  <w:defaultTabStop w:val="720"/>
  <w:drawingGridHorizontalSpacing w:val="105"/>
  <w:noPunctuationKerning w:val="1"/>
  <w:characterSpacingControl w:val="doNotCompress"/>
  <w:compat>
    <w:doNotExpandShiftReturn/>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D7AE4"/>
    <w:rsid w:val="003D7AE4"/>
    <w:rsid w:val="005A4215"/>
    <w:rsid w:val="00F13FAC"/>
    <w:rsid w:val="20490826"/>
    <w:rsid w:val="649442D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nhideWhenUsed="0" w:uiPriority="99" w:semiHidden="0" w:name="header"/>
    <w:lsdException w:qFormat="1" w:unhideWhenUsed="0"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qFormat="1" w:unhideWhenUsed="0" w:uiPriority="0" w:semiHidden="0"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nhideWhenUsed="0"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99" w:semiHidden="0" w:name="Balloon Text"/>
    <w:lsdException w:qFormat="1" w:unhideWhenUsed="0" w:uiPriority="39" w:semiHidden="0" w:name="Table Grid"/>
    <w:lsdException w:uiPriority="99" w:name="Table Theme"/>
    <w:lsdException w:qFormat="1" w:unhideWhenUsed="0" w:uiPriority="99" w:semiHidden="0" w:name="Placeholder Text"/>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character" w:default="1" w:styleId="9">
    <w:name w:val="Default Paragraph Font"/>
    <w:semiHidden/>
    <w:unhideWhenUsed/>
    <w:uiPriority w:val="1"/>
  </w:style>
  <w:style w:type="table" w:default="1" w:styleId="7">
    <w:name w:val="Normal Table"/>
    <w:semiHidden/>
    <w:unhideWhenUsed/>
    <w:qFormat/>
    <w:uiPriority w:val="99"/>
    <w:tblPr>
      <w:tblCellMar>
        <w:top w:w="0" w:type="dxa"/>
        <w:left w:w="108" w:type="dxa"/>
        <w:bottom w:w="0" w:type="dxa"/>
        <w:right w:w="108" w:type="dxa"/>
      </w:tblCellMar>
    </w:tblPr>
  </w:style>
  <w:style w:type="paragraph" w:styleId="2">
    <w:name w:val="Body Text Indent 2"/>
    <w:basedOn w:val="1"/>
    <w:link w:val="15"/>
    <w:qFormat/>
    <w:uiPriority w:val="0"/>
    <w:pPr>
      <w:ind w:firstLine="630"/>
    </w:pPr>
    <w:rPr>
      <w:rFonts w:ascii="仿宋_GB2312" w:hAnsi="宋体" w:eastAsia="仿宋_GB2312"/>
      <w:color w:val="000000"/>
      <w:sz w:val="28"/>
      <w:szCs w:val="28"/>
    </w:rPr>
  </w:style>
  <w:style w:type="paragraph" w:styleId="3">
    <w:name w:val="Balloon Text"/>
    <w:basedOn w:val="1"/>
    <w:link w:val="46"/>
    <w:qFormat/>
    <w:uiPriority w:val="99"/>
    <w:rPr>
      <w:rFonts w:ascii="等线" w:hAnsi="等线" w:eastAsia="等线"/>
      <w:sz w:val="18"/>
      <w:szCs w:val="18"/>
    </w:rPr>
  </w:style>
  <w:style w:type="paragraph" w:styleId="4">
    <w:name w:val="footer"/>
    <w:basedOn w:val="1"/>
    <w:link w:val="11"/>
    <w:qFormat/>
    <w:uiPriority w:val="99"/>
    <w:pPr>
      <w:tabs>
        <w:tab w:val="center" w:pos="4153"/>
        <w:tab w:val="right" w:pos="8306"/>
      </w:tabs>
      <w:snapToGrid w:val="0"/>
      <w:jc w:val="left"/>
    </w:pPr>
    <w:rPr>
      <w:sz w:val="18"/>
      <w:szCs w:val="18"/>
    </w:rPr>
  </w:style>
  <w:style w:type="paragraph" w:styleId="5">
    <w:name w:val="header"/>
    <w:basedOn w:val="1"/>
    <w:link w:val="10"/>
    <w:qFormat/>
    <w:uiPriority w:val="99"/>
    <w:pPr>
      <w:pBdr>
        <w:bottom w:val="single" w:color="auto" w:sz="6" w:space="1"/>
      </w:pBdr>
      <w:tabs>
        <w:tab w:val="center" w:pos="4153"/>
        <w:tab w:val="right" w:pos="8306"/>
      </w:tabs>
      <w:snapToGrid w:val="0"/>
      <w:jc w:val="center"/>
    </w:pPr>
    <w:rPr>
      <w:sz w:val="18"/>
      <w:szCs w:val="18"/>
    </w:rPr>
  </w:style>
  <w:style w:type="paragraph" w:styleId="6">
    <w:name w:val="Normal (Web)"/>
    <w:basedOn w:val="1"/>
    <w:qFormat/>
    <w:uiPriority w:val="99"/>
    <w:pPr>
      <w:widowControl/>
      <w:spacing w:before="100" w:beforeAutospacing="1" w:after="100" w:afterAutospacing="1"/>
      <w:jc w:val="left"/>
    </w:pPr>
    <w:rPr>
      <w:rFonts w:ascii="宋体" w:hAnsi="宋体" w:cs="宋体"/>
      <w:kern w:val="0"/>
      <w:sz w:val="24"/>
    </w:rPr>
  </w:style>
  <w:style w:type="table" w:styleId="8">
    <w:name w:val="Table Grid"/>
    <w:basedOn w:val="7"/>
    <w:qFormat/>
    <w:uiPriority w:val="39"/>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
  </w:style>
  <w:style w:type="character" w:customStyle="1" w:styleId="10">
    <w:name w:val="页眉 Char"/>
    <w:link w:val="5"/>
    <w:qFormat/>
    <w:uiPriority w:val="99"/>
    <w:rPr>
      <w:rFonts w:ascii="Times New Roman" w:hAnsi="Times New Roman" w:eastAsia="宋体"/>
      <w:kern w:val="2"/>
      <w:sz w:val="18"/>
      <w:szCs w:val="18"/>
    </w:rPr>
  </w:style>
  <w:style w:type="character" w:customStyle="1" w:styleId="11">
    <w:name w:val="页脚 Char"/>
    <w:link w:val="4"/>
    <w:qFormat/>
    <w:uiPriority w:val="99"/>
    <w:rPr>
      <w:rFonts w:ascii="Times New Roman" w:hAnsi="Times New Roman" w:eastAsia="宋体"/>
      <w:kern w:val="2"/>
      <w:sz w:val="18"/>
      <w:szCs w:val="18"/>
    </w:rPr>
  </w:style>
  <w:style w:type="paragraph" w:customStyle="1" w:styleId="12">
    <w:name w:val="Char"/>
    <w:basedOn w:val="1"/>
    <w:qFormat/>
    <w:uiPriority w:val="0"/>
    <w:pPr>
      <w:widowControl/>
      <w:spacing w:after="160" w:line="240" w:lineRule="exact"/>
      <w:jc w:val="left"/>
    </w:pPr>
    <w:rPr>
      <w:rFonts w:ascii="Verdana" w:hAnsi="Verdana"/>
      <w:kern w:val="0"/>
      <w:sz w:val="20"/>
      <w:szCs w:val="20"/>
      <w:lang w:eastAsia="en-US"/>
    </w:rPr>
  </w:style>
  <w:style w:type="paragraph" w:customStyle="1" w:styleId="13">
    <w:name w:val="段"/>
    <w:link w:val="14"/>
    <w:qFormat/>
    <w:uiPriority w:val="0"/>
    <w:pPr>
      <w:tabs>
        <w:tab w:val="center" w:pos="4201"/>
        <w:tab w:val="right" w:leader="dot" w:pos="9298"/>
      </w:tabs>
      <w:autoSpaceDE w:val="0"/>
      <w:autoSpaceDN w:val="0"/>
      <w:ind w:firstLine="420" w:firstLineChars="200"/>
      <w:jc w:val="both"/>
    </w:pPr>
    <w:rPr>
      <w:rFonts w:ascii="宋体" w:hAnsi="Times New Roman" w:eastAsia="宋体" w:cs="Times New Roman"/>
      <w:sz w:val="21"/>
      <w:lang w:val="en-US" w:eastAsia="zh-CN" w:bidi="ar-SA"/>
    </w:rPr>
  </w:style>
  <w:style w:type="character" w:customStyle="1" w:styleId="14">
    <w:name w:val="段 Char"/>
    <w:link w:val="13"/>
    <w:qFormat/>
    <w:uiPriority w:val="0"/>
    <w:rPr>
      <w:rFonts w:ascii="宋体" w:hAnsi="Times New Roman" w:eastAsia="宋体"/>
      <w:sz w:val="21"/>
      <w:lang w:bidi="ar-SA"/>
    </w:rPr>
  </w:style>
  <w:style w:type="character" w:customStyle="1" w:styleId="15">
    <w:name w:val="正文文本缩进 2 Char"/>
    <w:link w:val="2"/>
    <w:qFormat/>
    <w:uiPriority w:val="0"/>
    <w:rPr>
      <w:rFonts w:ascii="仿宋_GB2312" w:hAnsi="宋体" w:eastAsia="仿宋_GB2312"/>
      <w:color w:val="000000"/>
      <w:kern w:val="2"/>
      <w:sz w:val="28"/>
      <w:szCs w:val="28"/>
    </w:rPr>
  </w:style>
  <w:style w:type="paragraph" w:customStyle="1" w:styleId="16">
    <w:name w:val="注："/>
    <w:next w:val="13"/>
    <w:qFormat/>
    <w:uiPriority w:val="0"/>
    <w:pPr>
      <w:widowControl w:val="0"/>
      <w:autoSpaceDE w:val="0"/>
      <w:autoSpaceDN w:val="0"/>
      <w:ind w:left="726" w:hanging="363"/>
      <w:jc w:val="both"/>
    </w:pPr>
    <w:rPr>
      <w:rFonts w:ascii="宋体" w:hAnsi="Times New Roman" w:eastAsia="宋体" w:cs="Times New Roman"/>
      <w:sz w:val="18"/>
      <w:szCs w:val="18"/>
      <w:lang w:val="en-US" w:eastAsia="zh-CN" w:bidi="ar-SA"/>
    </w:rPr>
  </w:style>
  <w:style w:type="character" w:customStyle="1" w:styleId="17">
    <w:name w:val="页脚 字符"/>
    <w:qFormat/>
    <w:uiPriority w:val="99"/>
  </w:style>
  <w:style w:type="character" w:customStyle="1" w:styleId="18">
    <w:name w:val="Body text|1_"/>
    <w:link w:val="19"/>
    <w:qFormat/>
    <w:uiPriority w:val="0"/>
    <w:rPr>
      <w:rFonts w:ascii="宋体" w:hAnsi="宋体" w:cs="宋体"/>
      <w:lang w:val="zh-TW" w:eastAsia="zh-TW" w:bidi="zh-TW"/>
    </w:rPr>
  </w:style>
  <w:style w:type="paragraph" w:customStyle="1" w:styleId="19">
    <w:name w:val="Body text|1"/>
    <w:basedOn w:val="1"/>
    <w:link w:val="18"/>
    <w:qFormat/>
    <w:uiPriority w:val="0"/>
    <w:pPr>
      <w:spacing w:line="336" w:lineRule="auto"/>
      <w:jc w:val="left"/>
    </w:pPr>
    <w:rPr>
      <w:rFonts w:ascii="宋体" w:hAnsi="宋体" w:eastAsia="微软雅黑" w:cs="宋体"/>
      <w:kern w:val="0"/>
      <w:sz w:val="20"/>
      <w:szCs w:val="20"/>
      <w:lang w:val="zh-TW" w:eastAsia="zh-TW" w:bidi="zh-TW"/>
    </w:rPr>
  </w:style>
  <w:style w:type="paragraph" w:styleId="20">
    <w:name w:val="List Paragraph"/>
    <w:basedOn w:val="1"/>
    <w:qFormat/>
    <w:uiPriority w:val="34"/>
    <w:pPr>
      <w:ind w:firstLine="420" w:firstLineChars="200"/>
    </w:pPr>
    <w:rPr>
      <w:rFonts w:ascii="等线" w:hAnsi="等线" w:eastAsia="等线"/>
      <w:szCs w:val="22"/>
    </w:rPr>
  </w:style>
  <w:style w:type="character" w:customStyle="1" w:styleId="21">
    <w:name w:val="Picture caption|1_"/>
    <w:link w:val="22"/>
    <w:qFormat/>
    <w:uiPriority w:val="0"/>
    <w:rPr>
      <w:rFonts w:ascii="宋体" w:hAnsi="宋体" w:eastAsia="宋体" w:cs="宋体"/>
      <w:color w:val="242424"/>
      <w:sz w:val="18"/>
      <w:szCs w:val="18"/>
      <w:lang w:val="zh-TW" w:eastAsia="zh-TW" w:bidi="zh-TW"/>
    </w:rPr>
  </w:style>
  <w:style w:type="paragraph" w:customStyle="1" w:styleId="22">
    <w:name w:val="Picture caption|1"/>
    <w:basedOn w:val="1"/>
    <w:link w:val="21"/>
    <w:qFormat/>
    <w:uiPriority w:val="0"/>
    <w:pPr>
      <w:spacing w:after="60"/>
      <w:jc w:val="center"/>
    </w:pPr>
    <w:rPr>
      <w:rFonts w:ascii="宋体" w:hAnsi="宋体" w:cs="宋体"/>
      <w:color w:val="242424"/>
      <w:kern w:val="0"/>
      <w:sz w:val="18"/>
      <w:szCs w:val="18"/>
      <w:lang w:val="zh-TW" w:eastAsia="zh-TW" w:bidi="zh-TW"/>
    </w:rPr>
  </w:style>
  <w:style w:type="paragraph" w:customStyle="1" w:styleId="23">
    <w:name w:val="一级条标题"/>
    <w:next w:val="13"/>
    <w:qFormat/>
    <w:uiPriority w:val="0"/>
    <w:pPr>
      <w:numPr>
        <w:ilvl w:val="1"/>
        <w:numId w:val="1"/>
      </w:numPr>
      <w:spacing w:beforeLines="50" w:afterLines="50"/>
      <w:outlineLvl w:val="2"/>
    </w:pPr>
    <w:rPr>
      <w:rFonts w:ascii="黑体" w:hAnsi="Times New Roman" w:eastAsia="黑体" w:cs="Times New Roman"/>
      <w:sz w:val="21"/>
      <w:szCs w:val="21"/>
      <w:lang w:val="en-US" w:eastAsia="zh-CN" w:bidi="ar-SA"/>
    </w:rPr>
  </w:style>
  <w:style w:type="paragraph" w:customStyle="1" w:styleId="24">
    <w:name w:val="章标题"/>
    <w:next w:val="13"/>
    <w:qFormat/>
    <w:uiPriority w:val="0"/>
    <w:pPr>
      <w:numPr>
        <w:ilvl w:val="0"/>
        <w:numId w:val="1"/>
      </w:numPr>
      <w:spacing w:beforeLines="100" w:afterLines="100"/>
      <w:jc w:val="both"/>
      <w:outlineLvl w:val="1"/>
    </w:pPr>
    <w:rPr>
      <w:rFonts w:ascii="黑体" w:hAnsi="Times New Roman" w:eastAsia="黑体" w:cs="Times New Roman"/>
      <w:sz w:val="21"/>
      <w:lang w:val="en-US" w:eastAsia="zh-CN" w:bidi="ar-SA"/>
    </w:rPr>
  </w:style>
  <w:style w:type="paragraph" w:customStyle="1" w:styleId="25">
    <w:name w:val="二级条标题"/>
    <w:basedOn w:val="23"/>
    <w:next w:val="13"/>
    <w:qFormat/>
    <w:uiPriority w:val="0"/>
    <w:pPr>
      <w:numPr>
        <w:ilvl w:val="2"/>
      </w:numPr>
      <w:outlineLvl w:val="3"/>
    </w:pPr>
  </w:style>
  <w:style w:type="paragraph" w:customStyle="1" w:styleId="26">
    <w:name w:val="三级条标题"/>
    <w:basedOn w:val="25"/>
    <w:next w:val="13"/>
    <w:qFormat/>
    <w:uiPriority w:val="0"/>
    <w:pPr>
      <w:numPr>
        <w:ilvl w:val="3"/>
      </w:numPr>
      <w:outlineLvl w:val="4"/>
    </w:pPr>
  </w:style>
  <w:style w:type="paragraph" w:customStyle="1" w:styleId="27">
    <w:name w:val="四级条标题"/>
    <w:basedOn w:val="26"/>
    <w:next w:val="1"/>
    <w:qFormat/>
    <w:uiPriority w:val="0"/>
    <w:pPr>
      <w:numPr>
        <w:ilvl w:val="4"/>
      </w:numPr>
      <w:outlineLvl w:val="5"/>
    </w:pPr>
  </w:style>
  <w:style w:type="paragraph" w:customStyle="1" w:styleId="28">
    <w:name w:val="五级条标题"/>
    <w:basedOn w:val="27"/>
    <w:next w:val="1"/>
    <w:qFormat/>
    <w:uiPriority w:val="0"/>
    <w:pPr>
      <w:numPr>
        <w:ilvl w:val="5"/>
      </w:numPr>
      <w:outlineLvl w:val="6"/>
    </w:pPr>
  </w:style>
  <w:style w:type="paragraph" w:customStyle="1" w:styleId="29">
    <w:name w:val="正文表标题"/>
    <w:next w:val="13"/>
    <w:qFormat/>
    <w:uiPriority w:val="0"/>
    <w:pPr>
      <w:tabs>
        <w:tab w:val="left" w:pos="0"/>
        <w:tab w:val="left" w:pos="360"/>
      </w:tabs>
      <w:spacing w:before="156" w:beforeLines="50" w:after="156" w:afterLines="50"/>
      <w:ind w:hanging="425"/>
      <w:jc w:val="center"/>
    </w:pPr>
    <w:rPr>
      <w:rFonts w:ascii="黑体" w:hAnsi="Times New Roman" w:eastAsia="黑体" w:cs="Times New Roman"/>
      <w:sz w:val="21"/>
      <w:lang w:val="en-US" w:eastAsia="zh-CN" w:bidi="ar-SA"/>
    </w:rPr>
  </w:style>
  <w:style w:type="paragraph" w:customStyle="1" w:styleId="30">
    <w:name w:val="正文图标题"/>
    <w:next w:val="13"/>
    <w:qFormat/>
    <w:uiPriority w:val="0"/>
    <w:pPr>
      <w:tabs>
        <w:tab w:val="left" w:pos="360"/>
      </w:tabs>
      <w:spacing w:before="156" w:beforeLines="50" w:after="156" w:afterLines="50"/>
      <w:jc w:val="center"/>
    </w:pPr>
    <w:rPr>
      <w:rFonts w:ascii="黑体" w:hAnsi="Times New Roman" w:eastAsia="黑体" w:cs="Times New Roman"/>
      <w:sz w:val="21"/>
      <w:lang w:val="en-US" w:eastAsia="zh-CN" w:bidi="ar-SA"/>
    </w:rPr>
  </w:style>
  <w:style w:type="paragraph" w:customStyle="1" w:styleId="31">
    <w:name w:val="其他发布日期"/>
    <w:basedOn w:val="1"/>
    <w:qFormat/>
    <w:uiPriority w:val="0"/>
    <w:pPr>
      <w:framePr w:w="3997" w:h="471" w:hRule="exact" w:vSpace="181" w:wrap="around" w:vAnchor="page" w:hAnchor="page" w:x="1419" w:y="14097" w:anchorLock="1"/>
      <w:widowControl/>
      <w:jc w:val="left"/>
    </w:pPr>
    <w:rPr>
      <w:rFonts w:eastAsia="黑体"/>
      <w:kern w:val="0"/>
      <w:sz w:val="28"/>
      <w:szCs w:val="20"/>
    </w:rPr>
  </w:style>
  <w:style w:type="paragraph" w:customStyle="1" w:styleId="32">
    <w:name w:val="附录标识"/>
    <w:basedOn w:val="1"/>
    <w:next w:val="13"/>
    <w:qFormat/>
    <w:uiPriority w:val="0"/>
    <w:pPr>
      <w:keepNext/>
      <w:widowControl/>
      <w:numPr>
        <w:ilvl w:val="0"/>
        <w:numId w:val="2"/>
      </w:numPr>
      <w:shd w:val="clear" w:color="FFFFFF" w:fill="FFFFFF"/>
      <w:tabs>
        <w:tab w:val="left" w:pos="360"/>
        <w:tab w:val="left" w:pos="6405"/>
      </w:tabs>
      <w:spacing w:before="640" w:after="280"/>
      <w:jc w:val="center"/>
      <w:outlineLvl w:val="0"/>
    </w:pPr>
    <w:rPr>
      <w:rFonts w:ascii="黑体" w:eastAsia="黑体"/>
      <w:kern w:val="0"/>
      <w:szCs w:val="20"/>
    </w:rPr>
  </w:style>
  <w:style w:type="paragraph" w:customStyle="1" w:styleId="33">
    <w:name w:val="附录表标号"/>
    <w:basedOn w:val="1"/>
    <w:next w:val="13"/>
    <w:qFormat/>
    <w:uiPriority w:val="0"/>
    <w:pPr>
      <w:numPr>
        <w:ilvl w:val="0"/>
        <w:numId w:val="3"/>
      </w:numPr>
      <w:spacing w:line="14" w:lineRule="exact"/>
      <w:ind w:left="811" w:hanging="448"/>
      <w:jc w:val="center"/>
      <w:outlineLvl w:val="0"/>
    </w:pPr>
    <w:rPr>
      <w:color w:val="FFFFFF"/>
    </w:rPr>
  </w:style>
  <w:style w:type="paragraph" w:customStyle="1" w:styleId="34">
    <w:name w:val="附录表标题"/>
    <w:basedOn w:val="1"/>
    <w:next w:val="13"/>
    <w:qFormat/>
    <w:uiPriority w:val="0"/>
    <w:pPr>
      <w:numPr>
        <w:ilvl w:val="1"/>
        <w:numId w:val="3"/>
      </w:numPr>
      <w:tabs>
        <w:tab w:val="left" w:pos="180"/>
      </w:tabs>
      <w:spacing w:before="50" w:beforeLines="50" w:after="50" w:afterLines="50"/>
      <w:ind w:left="0" w:firstLine="0"/>
      <w:jc w:val="center"/>
    </w:pPr>
    <w:rPr>
      <w:rFonts w:ascii="黑体" w:eastAsia="黑体"/>
      <w:szCs w:val="21"/>
    </w:rPr>
  </w:style>
  <w:style w:type="paragraph" w:customStyle="1" w:styleId="35">
    <w:name w:val="附录二级条标题"/>
    <w:basedOn w:val="1"/>
    <w:next w:val="13"/>
    <w:qFormat/>
    <w:uiPriority w:val="0"/>
    <w:pPr>
      <w:widowControl/>
      <w:numPr>
        <w:ilvl w:val="3"/>
        <w:numId w:val="2"/>
      </w:numPr>
      <w:tabs>
        <w:tab w:val="left" w:pos="360"/>
      </w:tabs>
      <w:wordWrap w:val="0"/>
      <w:overflowPunct w:val="0"/>
      <w:autoSpaceDE w:val="0"/>
      <w:autoSpaceDN w:val="0"/>
      <w:spacing w:before="50" w:beforeLines="50" w:after="50" w:afterLines="50"/>
      <w:textAlignment w:val="baseline"/>
      <w:outlineLvl w:val="3"/>
    </w:pPr>
    <w:rPr>
      <w:rFonts w:ascii="黑体" w:eastAsia="黑体"/>
      <w:kern w:val="21"/>
      <w:szCs w:val="20"/>
    </w:rPr>
  </w:style>
  <w:style w:type="paragraph" w:customStyle="1" w:styleId="36">
    <w:name w:val="附录三级条标题"/>
    <w:basedOn w:val="35"/>
    <w:next w:val="13"/>
    <w:qFormat/>
    <w:uiPriority w:val="0"/>
    <w:pPr>
      <w:numPr>
        <w:ilvl w:val="4"/>
      </w:numPr>
      <w:outlineLvl w:val="4"/>
    </w:pPr>
  </w:style>
  <w:style w:type="paragraph" w:customStyle="1" w:styleId="37">
    <w:name w:val="附录四级条标题"/>
    <w:basedOn w:val="36"/>
    <w:next w:val="13"/>
    <w:qFormat/>
    <w:uiPriority w:val="0"/>
    <w:pPr>
      <w:numPr>
        <w:ilvl w:val="5"/>
      </w:numPr>
      <w:outlineLvl w:val="5"/>
    </w:pPr>
  </w:style>
  <w:style w:type="paragraph" w:customStyle="1" w:styleId="38">
    <w:name w:val="附录五级条标题"/>
    <w:basedOn w:val="37"/>
    <w:next w:val="13"/>
    <w:qFormat/>
    <w:uiPriority w:val="0"/>
    <w:pPr>
      <w:numPr>
        <w:ilvl w:val="6"/>
      </w:numPr>
      <w:outlineLvl w:val="6"/>
    </w:pPr>
  </w:style>
  <w:style w:type="paragraph" w:customStyle="1" w:styleId="39">
    <w:name w:val="附录章标题"/>
    <w:next w:val="13"/>
    <w:qFormat/>
    <w:uiPriority w:val="0"/>
    <w:pPr>
      <w:numPr>
        <w:ilvl w:val="1"/>
        <w:numId w:val="2"/>
      </w:numPr>
      <w:tabs>
        <w:tab w:val="left" w:pos="360"/>
      </w:tabs>
      <w:wordWrap w:val="0"/>
      <w:overflowPunct w:val="0"/>
      <w:autoSpaceDE w:val="0"/>
      <w:spacing w:before="100" w:beforeLines="100" w:after="100" w:afterLines="100"/>
      <w:jc w:val="both"/>
      <w:textAlignment w:val="baseline"/>
      <w:outlineLvl w:val="1"/>
    </w:pPr>
    <w:rPr>
      <w:rFonts w:ascii="黑体" w:hAnsi="Times New Roman" w:eastAsia="黑体" w:cs="Times New Roman"/>
      <w:kern w:val="21"/>
      <w:sz w:val="21"/>
      <w:lang w:val="en-US" w:eastAsia="zh-CN" w:bidi="ar-SA"/>
    </w:rPr>
  </w:style>
  <w:style w:type="paragraph" w:customStyle="1" w:styleId="40">
    <w:name w:val="附录一级条标题"/>
    <w:basedOn w:val="39"/>
    <w:next w:val="13"/>
    <w:qFormat/>
    <w:uiPriority w:val="0"/>
    <w:pPr>
      <w:numPr>
        <w:ilvl w:val="2"/>
      </w:numPr>
      <w:autoSpaceDN w:val="0"/>
      <w:spacing w:before="50" w:beforeLines="50" w:after="50" w:afterLines="50"/>
      <w:outlineLvl w:val="2"/>
    </w:pPr>
  </w:style>
  <w:style w:type="character" w:customStyle="1" w:styleId="41">
    <w:name w:val="fontstyle21"/>
    <w:qFormat/>
    <w:uiPriority w:val="0"/>
    <w:rPr>
      <w:rFonts w:hint="eastAsia" w:ascii="宋体" w:hAnsi="宋体" w:eastAsia="宋体"/>
      <w:color w:val="000000"/>
      <w:sz w:val="28"/>
      <w:szCs w:val="28"/>
    </w:rPr>
  </w:style>
  <w:style w:type="character" w:customStyle="1" w:styleId="42">
    <w:name w:val="页眉 字符"/>
    <w:qFormat/>
    <w:uiPriority w:val="99"/>
    <w:rPr>
      <w:sz w:val="18"/>
      <w:szCs w:val="18"/>
    </w:rPr>
  </w:style>
  <w:style w:type="character" w:customStyle="1" w:styleId="43">
    <w:name w:val="fontstyle01"/>
    <w:qFormat/>
    <w:uiPriority w:val="0"/>
    <w:rPr>
      <w:rFonts w:hint="default" w:ascii="Times New Roman" w:hAnsi="Times New Roman" w:cs="Times New Roman"/>
      <w:b/>
      <w:bCs/>
      <w:color w:val="000000"/>
      <w:sz w:val="28"/>
      <w:szCs w:val="28"/>
    </w:rPr>
  </w:style>
  <w:style w:type="character" w:styleId="44">
    <w:name w:val="Placeholder Text"/>
    <w:qFormat/>
    <w:uiPriority w:val="99"/>
    <w:rPr>
      <w:color w:val="808080"/>
    </w:rPr>
  </w:style>
  <w:style w:type="paragraph" w:customStyle="1" w:styleId="45">
    <w:name w:val="List Paragraph1"/>
    <w:basedOn w:val="1"/>
    <w:qFormat/>
    <w:uiPriority w:val="0"/>
    <w:pPr>
      <w:ind w:firstLine="420" w:firstLineChars="200"/>
    </w:pPr>
  </w:style>
  <w:style w:type="character" w:customStyle="1" w:styleId="46">
    <w:name w:val="批注框文本 Char"/>
    <w:link w:val="3"/>
    <w:qFormat/>
    <w:uiPriority w:val="99"/>
    <w:rPr>
      <w:rFonts w:ascii="等线" w:hAnsi="等线" w:eastAsia="等线"/>
      <w:kern w:val="2"/>
      <w:sz w:val="18"/>
      <w:szCs w:val="18"/>
    </w:rPr>
  </w:style>
  <w:style w:type="character" w:customStyle="1" w:styleId="47">
    <w:name w:val="Other|1_"/>
    <w:link w:val="48"/>
    <w:qFormat/>
    <w:uiPriority w:val="0"/>
    <w:rPr>
      <w:rFonts w:ascii="宋体" w:hAnsi="宋体" w:cs="宋体"/>
      <w:lang w:val="zh-TW" w:eastAsia="zh-TW" w:bidi="zh-TW"/>
    </w:rPr>
  </w:style>
  <w:style w:type="paragraph" w:customStyle="1" w:styleId="48">
    <w:name w:val="Other|1"/>
    <w:basedOn w:val="1"/>
    <w:link w:val="47"/>
    <w:qFormat/>
    <w:uiPriority w:val="0"/>
    <w:pPr>
      <w:spacing w:line="336" w:lineRule="auto"/>
      <w:jc w:val="left"/>
    </w:pPr>
    <w:rPr>
      <w:rFonts w:ascii="宋体" w:hAnsi="宋体" w:eastAsia="微软雅黑" w:cs="宋体"/>
      <w:kern w:val="0"/>
      <w:sz w:val="20"/>
      <w:szCs w:val="20"/>
      <w:lang w:val="zh-TW" w:eastAsia="zh-TW" w:bidi="zh-TW"/>
    </w:rPr>
  </w:style>
  <w:style w:type="table" w:customStyle="1" w:styleId="49">
    <w:name w:val="网格型1"/>
    <w:basedOn w:val="7"/>
    <w:qFormat/>
    <w:uiPriority w:val="39"/>
    <w:rPr>
      <w:rFonts w:ascii="等线" w:hAnsi="等线" w:eastAsia="等线"/>
      <w:kern w:val="2"/>
      <w:sz w:val="21"/>
      <w:szCs w:val="22"/>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paragraph" w:customStyle="1" w:styleId="50">
    <w:name w:val="注×：（正文）"/>
    <w:qFormat/>
    <w:uiPriority w:val="0"/>
    <w:pPr>
      <w:numPr>
        <w:ilvl w:val="0"/>
        <w:numId w:val="4"/>
      </w:numPr>
      <w:jc w:val="both"/>
    </w:pPr>
    <w:rPr>
      <w:rFonts w:ascii="宋体" w:hAnsi="Times New Roman" w:eastAsia="宋体" w:cs="Times New Roman"/>
      <w:sz w:val="18"/>
      <w:szCs w:val="18"/>
      <w:lang w:val="en-US" w:eastAsia="zh-CN" w:bidi="ar-SA"/>
    </w:rPr>
  </w:style>
  <w:style w:type="paragraph" w:customStyle="1" w:styleId="51">
    <w:name w:val="标准文件_章标题"/>
    <w:next w:val="52"/>
    <w:qFormat/>
    <w:uiPriority w:val="0"/>
    <w:pPr>
      <w:numPr>
        <w:ilvl w:val="1"/>
        <w:numId w:val="5"/>
      </w:numPr>
      <w:spacing w:before="100" w:beforeLines="100" w:after="100" w:afterLines="100"/>
      <w:jc w:val="both"/>
      <w:outlineLvl w:val="0"/>
    </w:pPr>
    <w:rPr>
      <w:rFonts w:ascii="黑体" w:hAnsi="Times New Roman" w:eastAsia="黑体" w:cs="Times New Roman"/>
      <w:sz w:val="21"/>
      <w:lang w:val="en-US" w:eastAsia="zh-CN" w:bidi="ar-SA"/>
    </w:rPr>
  </w:style>
  <w:style w:type="paragraph" w:customStyle="1" w:styleId="52">
    <w:name w:val="标准文件_段"/>
    <w:qFormat/>
    <w:uiPriority w:val="0"/>
    <w:pPr>
      <w:autoSpaceDE w:val="0"/>
      <w:autoSpaceDN w:val="0"/>
      <w:ind w:firstLine="200" w:firstLineChars="200"/>
      <w:jc w:val="both"/>
    </w:pPr>
    <w:rPr>
      <w:rFonts w:ascii="宋体" w:hAnsi="Times New Roman" w:eastAsia="宋体" w:cs="Times New Roman"/>
      <w:sz w:val="21"/>
      <w:lang w:val="en-US" w:eastAsia="zh-CN" w:bidi="ar-SA"/>
    </w:rPr>
  </w:style>
  <w:style w:type="paragraph" w:customStyle="1" w:styleId="53">
    <w:name w:val="标准文件_术语条一"/>
    <w:basedOn w:val="54"/>
    <w:next w:val="52"/>
    <w:qFormat/>
    <w:uiPriority w:val="0"/>
  </w:style>
  <w:style w:type="paragraph" w:customStyle="1" w:styleId="54">
    <w:name w:val="标准文件_一级无标题"/>
    <w:basedOn w:val="55"/>
    <w:qFormat/>
    <w:uiPriority w:val="0"/>
    <w:pPr>
      <w:spacing w:before="0" w:after="0"/>
      <w:outlineLvl w:val="9"/>
    </w:pPr>
    <w:rPr>
      <w:rFonts w:ascii="宋体" w:eastAsia="宋体"/>
    </w:rPr>
  </w:style>
  <w:style w:type="paragraph" w:customStyle="1" w:styleId="55">
    <w:name w:val="标准文件_一级条标题"/>
    <w:basedOn w:val="51"/>
    <w:next w:val="52"/>
    <w:qFormat/>
    <w:uiPriority w:val="0"/>
    <w:pPr>
      <w:numPr>
        <w:ilvl w:val="2"/>
        <w:numId w:val="0"/>
      </w:numPr>
      <w:spacing w:before="50" w:beforeLines="50" w:after="50" w:afterLines="50"/>
      <w:outlineLvl w:val="1"/>
    </w:pPr>
  </w:style>
  <w:style w:type="paragraph" w:customStyle="1" w:styleId="56">
    <w:name w:val="标准文件_正文图标题"/>
    <w:next w:val="52"/>
    <w:qFormat/>
    <w:uiPriority w:val="0"/>
    <w:pPr>
      <w:numPr>
        <w:ilvl w:val="0"/>
        <w:numId w:val="6"/>
      </w:numPr>
      <w:spacing w:before="50" w:beforeLines="50" w:after="50" w:afterLines="50"/>
      <w:jc w:val="center"/>
    </w:pPr>
    <w:rPr>
      <w:rFonts w:ascii="黑体" w:hAnsi="Times New Roman" w:eastAsia="黑体" w:cs="Times New Roman"/>
      <w:sz w:val="21"/>
      <w:lang w:val="en-US" w:eastAsia="zh-CN" w:bidi="ar-SA"/>
    </w:rPr>
  </w:style>
  <w:style w:type="paragraph" w:customStyle="1" w:styleId="57">
    <w:name w:val="标准文件_二级无标题"/>
    <w:basedOn w:val="58"/>
    <w:qFormat/>
    <w:uiPriority w:val="0"/>
    <w:pPr>
      <w:spacing w:before="0" w:after="0"/>
      <w:outlineLvl w:val="9"/>
    </w:pPr>
    <w:rPr>
      <w:rFonts w:ascii="宋体" w:eastAsia="宋体"/>
    </w:rPr>
  </w:style>
  <w:style w:type="paragraph" w:customStyle="1" w:styleId="58">
    <w:name w:val="标准文件_二级条标题"/>
    <w:next w:val="52"/>
    <w:qFormat/>
    <w:uiPriority w:val="0"/>
    <w:pPr>
      <w:widowControl w:val="0"/>
      <w:numPr>
        <w:ilvl w:val="3"/>
        <w:numId w:val="5"/>
      </w:numPr>
      <w:spacing w:before="50" w:beforeLines="50" w:after="50" w:afterLines="50"/>
      <w:jc w:val="both"/>
      <w:outlineLvl w:val="2"/>
    </w:pPr>
    <w:rPr>
      <w:rFonts w:ascii="黑体" w:hAnsi="Times New Roman" w:eastAsia="黑体" w:cs="Times New Roman"/>
      <w:sz w:val="21"/>
      <w:lang w:val="en-US" w:eastAsia="zh-CN" w:bidi="ar-SA"/>
    </w:rPr>
  </w:style>
  <w:style w:type="paragraph" w:customStyle="1" w:styleId="59">
    <w:name w:val="标准文件_正文表标题"/>
    <w:next w:val="52"/>
    <w:qFormat/>
    <w:uiPriority w:val="0"/>
    <w:pPr>
      <w:numPr>
        <w:ilvl w:val="0"/>
        <w:numId w:val="7"/>
      </w:numPr>
      <w:tabs>
        <w:tab w:val="left" w:pos="0"/>
      </w:tabs>
      <w:spacing w:before="50" w:beforeLines="50" w:after="50" w:afterLines="50"/>
      <w:jc w:val="center"/>
    </w:pPr>
    <w:rPr>
      <w:rFonts w:ascii="黑体" w:hAnsi="Times New Roman" w:eastAsia="黑体" w:cs="Times New Roman"/>
      <w:sz w:val="21"/>
      <w:lang w:val="en-US" w:eastAsia="zh-CN" w:bidi="ar-SA"/>
    </w:rPr>
  </w:style>
  <w:style w:type="paragraph" w:customStyle="1" w:styleId="60">
    <w:name w:val="标准文件_注："/>
    <w:next w:val="52"/>
    <w:qFormat/>
    <w:uiPriority w:val="0"/>
    <w:pPr>
      <w:widowControl w:val="0"/>
      <w:numPr>
        <w:ilvl w:val="0"/>
        <w:numId w:val="8"/>
      </w:numPr>
      <w:autoSpaceDE w:val="0"/>
      <w:autoSpaceDN w:val="0"/>
      <w:jc w:val="both"/>
    </w:pPr>
    <w:rPr>
      <w:rFonts w:ascii="宋体" w:hAnsi="Times New Roman" w:eastAsia="宋体" w:cs="Times New Roman"/>
      <w:sz w:val="18"/>
      <w:szCs w:val="18"/>
      <w:lang w:val="en-US" w:eastAsia="zh-CN" w:bidi="ar-SA"/>
    </w:rPr>
  </w:style>
  <w:style w:type="paragraph" w:customStyle="1" w:styleId="61">
    <w:name w:val="标准文件_三级无标题"/>
    <w:basedOn w:val="62"/>
    <w:qFormat/>
    <w:uiPriority w:val="0"/>
    <w:pPr>
      <w:spacing w:before="0" w:after="0"/>
      <w:outlineLvl w:val="9"/>
    </w:pPr>
    <w:rPr>
      <w:rFonts w:ascii="宋体" w:eastAsia="宋体"/>
    </w:rPr>
  </w:style>
  <w:style w:type="paragraph" w:customStyle="1" w:styleId="62">
    <w:name w:val="标准文件_三级条标题"/>
    <w:basedOn w:val="58"/>
    <w:next w:val="52"/>
    <w:qFormat/>
    <w:uiPriority w:val="0"/>
    <w:pPr>
      <w:widowControl/>
      <w:numPr>
        <w:ilvl w:val="4"/>
        <w:numId w:val="0"/>
      </w:numPr>
      <w:outlineLvl w:val="3"/>
    </w:pPr>
  </w:style>
  <w:style w:type="paragraph" w:customStyle="1" w:styleId="63">
    <w:name w:val="标准文件_正文公式"/>
    <w:basedOn w:val="1"/>
    <w:next w:val="64"/>
    <w:qFormat/>
    <w:uiPriority w:val="0"/>
    <w:pPr>
      <w:tabs>
        <w:tab w:val="center" w:pos="4678"/>
        <w:tab w:val="right" w:leader="middleDot" w:pos="9356"/>
      </w:tabs>
    </w:pPr>
    <w:rPr>
      <w:rFonts w:ascii="宋体" w:hAnsi="宋体"/>
    </w:rPr>
  </w:style>
  <w:style w:type="paragraph" w:customStyle="1" w:styleId="64">
    <w:name w:val="标准文件_标准正文"/>
    <w:basedOn w:val="1"/>
    <w:next w:val="52"/>
    <w:qFormat/>
    <w:uiPriority w:val="0"/>
    <w:pPr>
      <w:snapToGrid w:val="0"/>
      <w:ind w:firstLine="200" w:firstLineChars="200"/>
    </w:pPr>
    <w:rPr>
      <w:kern w:val="0"/>
    </w:rPr>
  </w:style>
  <w:style w:type="paragraph" w:customStyle="1" w:styleId="65">
    <w:name w:val="标准文件_字母编号列项（一级）"/>
    <w:qFormat/>
    <w:uiPriority w:val="0"/>
    <w:pPr>
      <w:numPr>
        <w:ilvl w:val="0"/>
        <w:numId w:val="9"/>
      </w:numPr>
      <w:jc w:val="both"/>
    </w:pPr>
    <w:rPr>
      <w:rFonts w:ascii="宋体" w:hAnsi="Times New Roman" w:eastAsia="宋体" w:cs="Times New Roman"/>
      <w:sz w:val="21"/>
      <w:lang w:val="en-US" w:eastAsia="zh-CN" w:bidi="ar-SA"/>
    </w:rPr>
  </w:style>
  <w:style w:type="paragraph" w:customStyle="1" w:styleId="66">
    <w:name w:val="标准文件_页脚奇数页"/>
    <w:qFormat/>
    <w:uiPriority w:val="0"/>
    <w:pPr>
      <w:ind w:right="227"/>
      <w:jc w:val="right"/>
    </w:pPr>
    <w:rPr>
      <w:rFonts w:ascii="宋体" w:hAnsi="Times New Roman" w:eastAsia="宋体" w:cs="Times New Roman"/>
      <w:sz w:val="18"/>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png"/><Relationship Id="rId7" Type="http://schemas.openxmlformats.org/officeDocument/2006/relationships/image" Target="media/image1.png"/><Relationship Id="rId6" Type="http://schemas.openxmlformats.org/officeDocument/2006/relationships/theme" Target="theme/theme1.xml"/><Relationship Id="rId5" Type="http://schemas.openxmlformats.org/officeDocument/2006/relationships/footer" Target="footer2.xml"/><Relationship Id="rId4" Type="http://schemas.openxmlformats.org/officeDocument/2006/relationships/header" Target="header1.xml"/><Relationship Id="rId3" Type="http://schemas.openxmlformats.org/officeDocument/2006/relationships/footer" Target="footer1.xml"/><Relationship Id="rId2" Type="http://schemas.openxmlformats.org/officeDocument/2006/relationships/settings" Target="settings.xml"/><Relationship Id="rId18" Type="http://schemas.openxmlformats.org/officeDocument/2006/relationships/fontTable" Target="fontTable.xml"/><Relationship Id="rId17" Type="http://schemas.openxmlformats.org/officeDocument/2006/relationships/numbering" Target="numbering.xml"/><Relationship Id="rId16" Type="http://schemas.openxmlformats.org/officeDocument/2006/relationships/customXml" Target="../customXml/item1.xml"/><Relationship Id="rId15" Type="http://schemas.openxmlformats.org/officeDocument/2006/relationships/image" Target="media/image9.png"/><Relationship Id="rId14" Type="http://schemas.openxmlformats.org/officeDocument/2006/relationships/image" Target="media/image8.png"/><Relationship Id="rId13" Type="http://schemas.openxmlformats.org/officeDocument/2006/relationships/image" Target="media/image7.png"/><Relationship Id="rId12" Type="http://schemas.openxmlformats.org/officeDocument/2006/relationships/image" Target="media/image6.png"/><Relationship Id="rId11" Type="http://schemas.openxmlformats.org/officeDocument/2006/relationships/image" Target="media/image5.png"/><Relationship Id="rId10" Type="http://schemas.openxmlformats.org/officeDocument/2006/relationships/image" Target="media/image4.png"/><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China</Company>
  <Pages>21</Pages>
  <Words>7911</Words>
  <Characters>8901</Characters>
  <Lines>69</Lines>
  <Paragraphs>19</Paragraphs>
  <TotalTime>12</TotalTime>
  <ScaleCrop>false</ScaleCrop>
  <LinksUpToDate>false</LinksUpToDate>
  <CharactersWithSpaces>9067</CharactersWithSpaces>
  <Application>WPS Office_11.8.2.10972_F1E327BC-269C-435d-A152-05C5408002CA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2021-08-30T00:51:00Z</dcterms:created>
  <dc:creator>ChinaUser</dc:creator>
  <cp:lastModifiedBy>叶艳艳</cp:lastModifiedBy>
  <dcterms:modified xsi:type="dcterms:W3CDTF">2023-08-14T03:03:12Z</dcterms:modified>
  <cp:revision>30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2052-11.8.2.10972</vt:lpwstr>
  </property>
  <property fmtid="{D5CDD505-2E9C-101B-9397-08002B2CF9AE}" pid="3" name="ICV">
    <vt:lpwstr>740C7B00D33A4D2D83C82649A7325FD7_13</vt:lpwstr>
  </property>
</Properties>
</file>