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szCs w:val="32"/>
        </w:rPr>
      </w:pPr>
      <w:bookmarkStart w:id="0" w:name="_Toc28751"/>
      <w:r>
        <w:rPr>
          <w:rFonts w:hint="eastAsia" w:ascii="宋体" w:hAnsi="宋体"/>
          <w:b/>
          <w:sz w:val="32"/>
          <w:szCs w:val="32"/>
        </w:rPr>
        <w:t>大口径插入式流量计校准规</w:t>
      </w:r>
      <w:bookmarkEnd w:id="0"/>
      <w:bookmarkStart w:id="3" w:name="_GoBack"/>
      <w:bookmarkEnd w:id="3"/>
      <w:r>
        <w:rPr>
          <w:rFonts w:hint="eastAsia" w:ascii="宋体" w:hAnsi="宋体"/>
          <w:b/>
          <w:sz w:val="32"/>
          <w:szCs w:val="32"/>
        </w:rPr>
        <w:t>范制订编写说明</w:t>
      </w:r>
    </w:p>
    <w:p>
      <w:pPr>
        <w:spacing w:line="360" w:lineRule="auto"/>
        <w:outlineLvl w:val="0"/>
        <w:rPr>
          <w:b/>
          <w:sz w:val="24"/>
        </w:rPr>
      </w:pPr>
      <w:r>
        <w:rPr>
          <w:rFonts w:hint="eastAsia"/>
          <w:b/>
          <w:sz w:val="24"/>
        </w:rPr>
        <w:t>一、任务来源</w:t>
      </w:r>
    </w:p>
    <w:p>
      <w:pPr>
        <w:spacing w:line="360" w:lineRule="auto"/>
        <w:ind w:firstLine="480" w:firstLineChars="200"/>
        <w:rPr>
          <w:sz w:val="24"/>
        </w:rPr>
      </w:pPr>
      <w:r>
        <w:rPr>
          <w:rFonts w:hint="eastAsia"/>
          <w:sz w:val="24"/>
        </w:rPr>
        <w:t>20</w:t>
      </w:r>
      <w:r>
        <w:rPr>
          <w:sz w:val="24"/>
        </w:rPr>
        <w:t>2</w:t>
      </w:r>
      <w:r>
        <w:rPr>
          <w:rFonts w:hint="eastAsia"/>
          <w:sz w:val="24"/>
          <w:lang w:val="en-US" w:eastAsia="zh-CN"/>
        </w:rPr>
        <w:t>3</w:t>
      </w:r>
      <w:r>
        <w:rPr>
          <w:rFonts w:hint="eastAsia"/>
          <w:sz w:val="24"/>
        </w:rPr>
        <w:t>年</w:t>
      </w:r>
      <w:r>
        <w:rPr>
          <w:sz w:val="24"/>
        </w:rPr>
        <w:t>6</w:t>
      </w:r>
      <w:r>
        <w:rPr>
          <w:rFonts w:hint="eastAsia"/>
          <w:sz w:val="24"/>
        </w:rPr>
        <w:t>月，《大口径插入式流量计校准规范》项目通过国家市场监督管理总局审批，由中国计量科学研究院、中国环境监测总站和郑州计量先进技术研究院等单位负责制定编写</w:t>
      </w:r>
      <w:r>
        <w:rPr>
          <w:rFonts w:hint="eastAsia"/>
          <w:sz w:val="24"/>
          <w:lang w:eastAsia="zh-CN"/>
        </w:rPr>
        <w:t>，</w:t>
      </w:r>
      <w:r>
        <w:rPr>
          <w:rFonts w:hint="eastAsia"/>
          <w:sz w:val="24"/>
          <w:lang w:val="en-US" w:eastAsia="zh-CN"/>
        </w:rPr>
        <w:t>上海计量测试研究院和广东计量科学研究院参与制定</w:t>
      </w:r>
      <w:r>
        <w:rPr>
          <w:rFonts w:hint="eastAsia"/>
          <w:sz w:val="24"/>
        </w:rPr>
        <w:t>。</w:t>
      </w:r>
    </w:p>
    <w:p>
      <w:pPr>
        <w:spacing w:line="360" w:lineRule="auto"/>
        <w:ind w:firstLine="480" w:firstLineChars="200"/>
        <w:rPr>
          <w:sz w:val="24"/>
        </w:rPr>
      </w:pPr>
      <w:r>
        <w:rPr>
          <w:rFonts w:hint="eastAsia"/>
          <w:sz w:val="24"/>
        </w:rPr>
        <w:t>本规范的技术归口单位为全国</w:t>
      </w:r>
      <w:r>
        <w:rPr>
          <w:rFonts w:hint="eastAsia"/>
          <w:sz w:val="24"/>
          <w:lang w:val="en-US" w:eastAsia="zh-CN"/>
        </w:rPr>
        <w:t>碳达峰碳中和</w:t>
      </w:r>
      <w:r>
        <w:rPr>
          <w:rFonts w:hint="eastAsia"/>
          <w:sz w:val="24"/>
        </w:rPr>
        <w:t>计量技术委员会。</w:t>
      </w:r>
    </w:p>
    <w:p>
      <w:pPr>
        <w:spacing w:line="360" w:lineRule="auto"/>
        <w:outlineLvl w:val="0"/>
        <w:rPr>
          <w:b/>
          <w:sz w:val="24"/>
        </w:rPr>
      </w:pPr>
      <w:r>
        <w:rPr>
          <w:rFonts w:hint="eastAsia"/>
          <w:b/>
          <w:sz w:val="24"/>
        </w:rPr>
        <w:t>二、规范制定的技术依据</w:t>
      </w:r>
    </w:p>
    <w:p>
      <w:pPr>
        <w:autoSpaceDE w:val="0"/>
        <w:autoSpaceDN w:val="0"/>
        <w:adjustRightInd w:val="0"/>
        <w:spacing w:line="360" w:lineRule="auto"/>
        <w:ind w:firstLine="480" w:firstLineChars="200"/>
        <w:jc w:val="left"/>
        <w:rPr>
          <w:rFonts w:hAnsi="宋体"/>
          <w:bCs/>
          <w:color w:val="00B0F0"/>
          <w:sz w:val="24"/>
        </w:rPr>
      </w:pPr>
      <w:r>
        <w:rPr>
          <w:rFonts w:hAnsi="宋体"/>
          <w:bCs/>
          <w:sz w:val="24"/>
        </w:rPr>
        <w:t>本规范引用下列文件：</w:t>
      </w:r>
      <w:r>
        <w:rPr>
          <w:rFonts w:hint="eastAsia" w:hAnsi="宋体"/>
          <w:bCs/>
          <w:color w:val="00B0F0"/>
          <w:sz w:val="24"/>
        </w:rPr>
        <w:t xml:space="preserve"> </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JJG 518 皮托管检定规程</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JJG 643 标准表法流量标准装置</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JJG 835 速度-面积法流量装置检定规程</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JJG 1038 科里奥利质量流量计</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JJF 1001 通用计量术语及定义</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JJF 1004 流量计量名词术语及定义</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bookmarkStart w:id="1" w:name="OLE_LINK2"/>
      <w:r>
        <w:rPr>
          <w:rFonts w:ascii="Times New Roman" w:hAnsi="Times New Roman" w:eastAsia="Times New Roman" w:cs="Times New Roman"/>
          <w:kern w:val="2"/>
          <w:sz w:val="24"/>
          <w:szCs w:val="24"/>
          <w:lang w:val="en-US" w:eastAsia="zh-CN" w:bidi="ar-SA"/>
        </w:rPr>
        <w:t>GB</w:t>
      </w:r>
      <w:r>
        <w:rPr>
          <w:rFonts w:ascii="Times New Roman" w:hAnsi="Times New Roman" w:eastAsia="宋体" w:cs="Times New Roman"/>
          <w:kern w:val="2"/>
          <w:sz w:val="24"/>
          <w:szCs w:val="24"/>
          <w:lang w:val="en-US" w:eastAsia="zh-CN" w:bidi="ar-SA"/>
        </w:rPr>
        <w:t>/</w:t>
      </w:r>
      <w:r>
        <w:rPr>
          <w:rFonts w:ascii="Times New Roman" w:hAnsi="Times New Roman" w:eastAsia="Times New Roman" w:cs="Times New Roman"/>
          <w:kern w:val="2"/>
          <w:sz w:val="24"/>
          <w:szCs w:val="24"/>
          <w:lang w:val="en-US" w:eastAsia="zh-CN" w:bidi="ar-SA"/>
        </w:rPr>
        <w:t>T 16157</w:t>
      </w:r>
      <w:bookmarkEnd w:id="1"/>
      <w:r>
        <w:rPr>
          <w:rFonts w:ascii="Times New Roman" w:hAnsi="Times New Roman" w:eastAsia="Times New Roman" w:cs="Times New Roman"/>
          <w:kern w:val="2"/>
          <w:sz w:val="24"/>
          <w:szCs w:val="24"/>
          <w:lang w:val="en-US" w:eastAsia="zh-CN" w:bidi="ar-SA"/>
        </w:rPr>
        <w:t xml:space="preserve"> </w:t>
      </w:r>
      <w:r>
        <w:rPr>
          <w:rFonts w:ascii="Times New Roman" w:hAnsi="Times New Roman" w:eastAsia="宋体" w:cs="Times New Roman"/>
          <w:kern w:val="2"/>
          <w:sz w:val="24"/>
          <w:szCs w:val="24"/>
          <w:lang w:val="en-US" w:eastAsia="zh-CN" w:bidi="ar-SA"/>
        </w:rPr>
        <w:t>固定污染源排气中颗粒物测定与气态污染物采样方法</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Times New Roman" w:cs="Times New Roman"/>
          <w:kern w:val="2"/>
          <w:sz w:val="24"/>
          <w:szCs w:val="24"/>
          <w:lang w:val="en-US" w:eastAsia="zh-CN" w:bidi="ar-SA"/>
        </w:rPr>
        <w:t>GB</w:t>
      </w:r>
      <w:r>
        <w:rPr>
          <w:rFonts w:ascii="Times New Roman" w:hAnsi="Times New Roman" w:eastAsia="宋体" w:cs="Times New Roman"/>
          <w:kern w:val="2"/>
          <w:sz w:val="24"/>
          <w:szCs w:val="24"/>
          <w:lang w:val="en-US" w:eastAsia="zh-CN" w:bidi="ar-SA"/>
        </w:rPr>
        <w:t>/</w:t>
      </w:r>
      <w:r>
        <w:rPr>
          <w:rFonts w:ascii="Times New Roman" w:hAnsi="Times New Roman" w:eastAsia="Times New Roman" w:cs="Times New Roman"/>
          <w:kern w:val="2"/>
          <w:sz w:val="24"/>
          <w:szCs w:val="24"/>
          <w:lang w:val="en-US" w:eastAsia="zh-CN" w:bidi="ar-SA"/>
        </w:rPr>
        <w:t xml:space="preserve">T </w:t>
      </w:r>
      <w:r>
        <w:rPr>
          <w:rFonts w:hint="eastAsia" w:ascii="Times New Roman" w:hAnsi="Times New Roman" w:eastAsia="宋体" w:cs="Times New Roman"/>
          <w:kern w:val="2"/>
          <w:sz w:val="24"/>
          <w:szCs w:val="24"/>
          <w:lang w:val="en-US" w:eastAsia="zh-CN" w:bidi="ar-SA"/>
        </w:rPr>
        <w:t>32201 气体流量计</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bookmarkStart w:id="2" w:name="OLE_LINK3"/>
      <w:r>
        <w:rPr>
          <w:rFonts w:ascii="Times New Roman" w:hAnsi="Times New Roman" w:eastAsia="宋体" w:cs="Times New Roman"/>
          <w:kern w:val="2"/>
          <w:sz w:val="24"/>
          <w:szCs w:val="24"/>
          <w:lang w:val="en-US" w:eastAsia="zh-CN" w:bidi="ar-SA"/>
        </w:rPr>
        <w:t>HJ75 固定污染源烟气（SO</w:t>
      </w:r>
      <w:r>
        <w:rPr>
          <w:rFonts w:ascii="Times New Roman" w:hAnsi="Times New Roman" w:eastAsia="宋体" w:cs="Times New Roman"/>
          <w:kern w:val="2"/>
          <w:sz w:val="24"/>
          <w:szCs w:val="24"/>
          <w:vertAlign w:val="subscript"/>
          <w:lang w:val="en-US" w:eastAsia="zh-CN" w:bidi="ar-SA"/>
        </w:rPr>
        <w:t>2</w:t>
      </w:r>
      <w:r>
        <w:rPr>
          <w:rFonts w:ascii="Times New Roman" w:hAnsi="Times New Roman" w:eastAsia="宋体" w:cs="Times New Roman"/>
          <w:kern w:val="2"/>
          <w:sz w:val="24"/>
          <w:szCs w:val="24"/>
          <w:lang w:val="en-US" w:eastAsia="zh-CN" w:bidi="ar-SA"/>
        </w:rPr>
        <w:t>、NO</w:t>
      </w:r>
      <w:r>
        <w:rPr>
          <w:rFonts w:ascii="Times New Roman" w:hAnsi="Times New Roman" w:eastAsia="宋体" w:cs="Times New Roman"/>
          <w:kern w:val="2"/>
          <w:sz w:val="24"/>
          <w:szCs w:val="24"/>
          <w:vertAlign w:val="subscript"/>
          <w:lang w:val="en-US" w:eastAsia="zh-CN" w:bidi="ar-SA"/>
        </w:rPr>
        <w:t>x</w:t>
      </w:r>
      <w:r>
        <w:rPr>
          <w:rFonts w:ascii="Times New Roman" w:hAnsi="Times New Roman" w:eastAsia="宋体" w:cs="Times New Roman"/>
          <w:kern w:val="2"/>
          <w:sz w:val="24"/>
          <w:szCs w:val="24"/>
          <w:lang w:val="en-US" w:eastAsia="zh-CN" w:bidi="ar-SA"/>
        </w:rPr>
        <w:t>、颗粒物）排放连续监测技术规范</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HJ76 固定污染源烟气（SO</w:t>
      </w:r>
      <w:r>
        <w:rPr>
          <w:rFonts w:ascii="Times New Roman" w:hAnsi="Times New Roman" w:eastAsia="宋体" w:cs="Times New Roman"/>
          <w:kern w:val="2"/>
          <w:sz w:val="24"/>
          <w:szCs w:val="24"/>
          <w:vertAlign w:val="subscript"/>
          <w:lang w:val="en-US" w:eastAsia="zh-CN" w:bidi="ar-SA"/>
        </w:rPr>
        <w:t>2</w:t>
      </w:r>
      <w:r>
        <w:rPr>
          <w:rFonts w:ascii="Times New Roman" w:hAnsi="Times New Roman" w:eastAsia="宋体" w:cs="Times New Roman"/>
          <w:kern w:val="2"/>
          <w:sz w:val="24"/>
          <w:szCs w:val="24"/>
          <w:lang w:val="en-US" w:eastAsia="zh-CN" w:bidi="ar-SA"/>
        </w:rPr>
        <w:t>、NO</w:t>
      </w:r>
      <w:r>
        <w:rPr>
          <w:rFonts w:ascii="Times New Roman" w:hAnsi="Times New Roman" w:eastAsia="宋体" w:cs="Times New Roman"/>
          <w:kern w:val="2"/>
          <w:sz w:val="24"/>
          <w:szCs w:val="24"/>
          <w:vertAlign w:val="subscript"/>
          <w:lang w:val="en-US" w:eastAsia="zh-CN" w:bidi="ar-SA"/>
        </w:rPr>
        <w:t>x</w:t>
      </w:r>
      <w:r>
        <w:rPr>
          <w:rFonts w:ascii="Times New Roman" w:hAnsi="Times New Roman" w:eastAsia="宋体" w:cs="Times New Roman"/>
          <w:kern w:val="2"/>
          <w:sz w:val="24"/>
          <w:szCs w:val="24"/>
          <w:lang w:val="en-US" w:eastAsia="zh-CN" w:bidi="ar-SA"/>
        </w:rPr>
        <w:t>、颗粒物）排放连续监测系统技术要求及检测方法</w:t>
      </w:r>
    </w:p>
    <w:bookmarkEnd w:id="2"/>
    <w:p>
      <w:pPr>
        <w:widowControl w:val="0"/>
        <w:spacing w:line="440" w:lineRule="exact"/>
        <w:ind w:firstLine="480" w:firstLineChars="200"/>
        <w:jc w:val="both"/>
        <w:rPr>
          <w:rFonts w:ascii="Times New Roman" w:hAnsi="Times New Roman" w:eastAsia="宋体" w:cs="Times New Roman"/>
          <w:kern w:val="2"/>
          <w:sz w:val="24"/>
          <w:szCs w:val="22"/>
          <w:lang w:val="en-US" w:eastAsia="zh-CN" w:bidi="ar-SA"/>
        </w:rPr>
      </w:pPr>
      <w:r>
        <w:rPr>
          <w:rFonts w:ascii="Times New Roman" w:hAnsi="Times New Roman" w:eastAsia="宋体" w:cs="Times New Roman"/>
          <w:kern w:val="2"/>
          <w:sz w:val="24"/>
          <w:szCs w:val="24"/>
          <w:lang w:val="en-US" w:eastAsia="zh-CN" w:bidi="ar-SA"/>
        </w:rPr>
        <w:t>HJ/T 397 固定源废气监测技术规范</w:t>
      </w:r>
    </w:p>
    <w:p>
      <w:pPr>
        <w:spacing w:line="360" w:lineRule="auto"/>
        <w:outlineLvl w:val="0"/>
        <w:rPr>
          <w:b/>
          <w:sz w:val="24"/>
        </w:rPr>
      </w:pPr>
      <w:r>
        <w:rPr>
          <w:rFonts w:hint="eastAsia"/>
          <w:b/>
          <w:sz w:val="24"/>
        </w:rPr>
        <w:t>三、编制目的</w:t>
      </w:r>
    </w:p>
    <w:p>
      <w:pPr>
        <w:spacing w:line="360" w:lineRule="auto"/>
        <w:ind w:firstLine="424" w:firstLineChars="177"/>
        <w:rPr>
          <w:rFonts w:hint="eastAsia"/>
          <w:sz w:val="24"/>
          <w:lang w:val="en-US" w:eastAsia="zh-CN"/>
        </w:rPr>
      </w:pPr>
      <w:r>
        <w:rPr>
          <w:rFonts w:hint="eastAsia"/>
          <w:sz w:val="24"/>
          <w:lang w:val="en-US" w:eastAsia="zh-CN"/>
        </w:rPr>
        <w:t>2020年9月我国在75届联合国大会提出2030年前碳达峰、2060年前碳中和。2021年10月，为了深入贯彻落实党中央、国务院关于碳达峰、碳中和的重大战略决策，扎实推进碳达峰行动制定了《2030年前碳达峰行动方案》，方案中强调工业是碳排放的主要领域之一，对全国整体实现碳达峰具有重要影响。工业领域要加快绿色低碳转型和高质量发展，力争率先实现碳达峰。</w:t>
      </w:r>
    </w:p>
    <w:p>
      <w:pPr>
        <w:spacing w:line="360" w:lineRule="auto"/>
        <w:ind w:firstLine="424" w:firstLineChars="177"/>
        <w:rPr>
          <w:sz w:val="24"/>
          <w:highlight w:val="yellow"/>
        </w:rPr>
      </w:pPr>
      <w:r>
        <w:rPr>
          <w:rFonts w:hint="eastAsia"/>
          <w:sz w:val="24"/>
          <w:highlight w:val="yellow"/>
        </w:rPr>
        <w:t>我国能源结构尤其是工业能源主要以煤炭为主，燃煤释放的</w:t>
      </w:r>
      <w:r>
        <w:rPr>
          <w:rFonts w:hint="eastAsia"/>
          <w:sz w:val="24"/>
          <w:highlight w:val="yellow"/>
          <w:lang w:val="en-US" w:eastAsia="zh-CN"/>
        </w:rPr>
        <w:t>二氧化碳是温室气体</w:t>
      </w:r>
      <w:r>
        <w:rPr>
          <w:rFonts w:hint="eastAsia"/>
          <w:sz w:val="24"/>
          <w:highlight w:val="yellow"/>
        </w:rPr>
        <w:t>的主要成分。其中，我国二氧化</w:t>
      </w:r>
      <w:r>
        <w:rPr>
          <w:rFonts w:hint="eastAsia"/>
          <w:sz w:val="24"/>
          <w:highlight w:val="yellow"/>
          <w:lang w:val="en-US" w:eastAsia="zh-CN"/>
        </w:rPr>
        <w:t>碳</w:t>
      </w:r>
      <w:r>
        <w:rPr>
          <w:rFonts w:hint="eastAsia"/>
          <w:sz w:val="24"/>
          <w:highlight w:val="yellow"/>
        </w:rPr>
        <w:t>的排放量居世界前列。然而，国内由于相关立法和管理体系滞后，对大气污染</w:t>
      </w:r>
      <w:r>
        <w:rPr>
          <w:rFonts w:hint="eastAsia"/>
          <w:sz w:val="24"/>
          <w:highlight w:val="yellow"/>
          <w:lang w:val="en-US" w:eastAsia="zh-CN"/>
        </w:rPr>
        <w:t>和温室气体</w:t>
      </w:r>
      <w:r>
        <w:rPr>
          <w:rFonts w:hint="eastAsia"/>
          <w:sz w:val="24"/>
          <w:highlight w:val="yellow"/>
        </w:rPr>
        <w:t>的管理和防治相比欧美发达国家落后了许多年。为此，1996年全国人大通过《国民经济和社会发展“九·五”计划和2010年远景目标纲要》，提出把大气污染综合防治纳入国民经济和社会发展计划。1997年1月开始实施的《火电厂大气污染排放标准》首次强调性提出安装固定污染源连续在线监测系统（C</w:t>
      </w:r>
      <w:r>
        <w:rPr>
          <w:sz w:val="24"/>
          <w:highlight w:val="yellow"/>
        </w:rPr>
        <w:t>EMS</w:t>
      </w:r>
      <w:r>
        <w:rPr>
          <w:rFonts w:hint="eastAsia"/>
          <w:sz w:val="24"/>
          <w:highlight w:val="yellow"/>
        </w:rPr>
        <w:t>）。</w:t>
      </w:r>
    </w:p>
    <w:p>
      <w:pPr>
        <w:spacing w:line="360" w:lineRule="auto"/>
        <w:ind w:firstLine="424" w:firstLineChars="177"/>
        <w:rPr>
          <w:sz w:val="24"/>
        </w:rPr>
      </w:pPr>
      <w:r>
        <w:rPr>
          <w:rFonts w:hint="eastAsia"/>
          <w:sz w:val="24"/>
        </w:rPr>
        <w:t>经过国内近20年的发展和技术积累，C</w:t>
      </w:r>
      <w:r>
        <w:rPr>
          <w:sz w:val="24"/>
        </w:rPr>
        <w:t>EMS</w:t>
      </w:r>
      <w:r>
        <w:rPr>
          <w:rFonts w:hint="eastAsia"/>
          <w:sz w:val="24"/>
        </w:rPr>
        <w:t>已经成为衡量工业企业污染物排放量以及环保执法单位决策的重要参考依据。</w:t>
      </w:r>
    </w:p>
    <w:p>
      <w:pPr>
        <w:spacing w:line="360" w:lineRule="auto"/>
        <w:ind w:firstLine="424" w:firstLineChars="177"/>
        <w:rPr>
          <w:sz w:val="24"/>
        </w:rPr>
      </w:pPr>
      <w:r>
        <w:rPr>
          <w:rFonts w:hint="eastAsia"/>
          <w:sz w:val="24"/>
        </w:rPr>
        <w:t>在实际运行过程中，为了确保C</w:t>
      </w:r>
      <w:r>
        <w:rPr>
          <w:sz w:val="24"/>
        </w:rPr>
        <w:t>EMS</w:t>
      </w:r>
      <w:r>
        <w:rPr>
          <w:rFonts w:hint="eastAsia"/>
          <w:sz w:val="24"/>
        </w:rPr>
        <w:t>监测数据的准确性，尽可能降低由系统本身带来的误差，现场采用比对校准装置基于参比方法对C</w:t>
      </w:r>
      <w:r>
        <w:rPr>
          <w:sz w:val="24"/>
        </w:rPr>
        <w:t>EMS</w:t>
      </w:r>
      <w:r>
        <w:rPr>
          <w:rFonts w:hint="eastAsia"/>
          <w:sz w:val="24"/>
        </w:rPr>
        <w:t>烟道流量计进行校准。《固定污染源烟气排放连续监测技术规范HJ/T75》、《固定污染源排气中颗粒物测定与气态污染物采样方法GB/T16157》等相关行业和国家规范虽然对参比方法也有部分介绍，但鲜有涉及现场比对校准项目、校准方法、不确定度评定方法等内容。国内长期以来缺少对烟道流量计现场校准的专业计量技术规范，现场污染物排放量长期存在无法溯源的问题，严重影响了C</w:t>
      </w:r>
      <w:r>
        <w:rPr>
          <w:sz w:val="24"/>
        </w:rPr>
        <w:t>EMS</w:t>
      </w:r>
      <w:r>
        <w:rPr>
          <w:rFonts w:hint="eastAsia"/>
          <w:sz w:val="24"/>
        </w:rPr>
        <w:t>监测数据的准确度和可信度。</w:t>
      </w:r>
    </w:p>
    <w:p>
      <w:pPr>
        <w:spacing w:line="360" w:lineRule="auto"/>
        <w:ind w:firstLine="424" w:firstLineChars="177"/>
        <w:rPr>
          <w:sz w:val="24"/>
        </w:rPr>
      </w:pPr>
      <w:r>
        <w:rPr>
          <w:rFonts w:hint="eastAsia"/>
          <w:sz w:val="24"/>
        </w:rPr>
        <w:t>本规范主要针对C</w:t>
      </w:r>
      <w:r>
        <w:rPr>
          <w:sz w:val="24"/>
        </w:rPr>
        <w:t>EMS</w:t>
      </w:r>
      <w:r>
        <w:rPr>
          <w:rFonts w:hint="eastAsia"/>
          <w:sz w:val="24"/>
        </w:rPr>
        <w:t>烟道</w:t>
      </w:r>
      <w:r>
        <w:rPr>
          <w:rFonts w:hint="eastAsia"/>
          <w:sz w:val="24"/>
          <w:lang w:val="en-US" w:eastAsia="zh-CN"/>
        </w:rPr>
        <w:t>大口径插入式</w:t>
      </w:r>
      <w:r>
        <w:rPr>
          <w:rFonts w:hint="eastAsia"/>
          <w:sz w:val="24"/>
        </w:rPr>
        <w:t>流量计</w:t>
      </w:r>
      <w:r>
        <w:rPr>
          <w:rFonts w:hint="eastAsia"/>
          <w:sz w:val="24"/>
          <w:lang w:eastAsia="zh-CN"/>
        </w:rPr>
        <w:t>，</w:t>
      </w:r>
      <w:r>
        <w:rPr>
          <w:rFonts w:hint="eastAsia"/>
          <w:sz w:val="24"/>
          <w:lang w:val="en-US" w:eastAsia="zh-CN"/>
        </w:rPr>
        <w:t>对插入式流量计进行示值误差和校准系数以及在复杂流场下的校准。</w:t>
      </w:r>
      <w:r>
        <w:rPr>
          <w:rFonts w:hint="eastAsia"/>
          <w:sz w:val="24"/>
        </w:rPr>
        <w:t>作为对</w:t>
      </w:r>
      <w:r>
        <w:rPr>
          <w:rFonts w:hint="eastAsia" w:ascii="Times New Roman" w:eastAsia="宋体"/>
          <w:sz w:val="24"/>
          <w:lang w:val="en-US" w:eastAsia="zh-CN"/>
        </w:rPr>
        <w:t>插入式流量计</w:t>
      </w:r>
      <w:r>
        <w:rPr>
          <w:rFonts w:hint="eastAsia"/>
          <w:sz w:val="24"/>
        </w:rPr>
        <w:t>进行校准的参考，为其提供计量管理要求、计量设备要求以及计量方法的技术依据，为建立完整的污染物排放流量计量量值传递体系，提升现场C</w:t>
      </w:r>
      <w:r>
        <w:rPr>
          <w:sz w:val="24"/>
        </w:rPr>
        <w:t>EMS</w:t>
      </w:r>
      <w:r>
        <w:rPr>
          <w:rFonts w:hint="eastAsia"/>
          <w:sz w:val="24"/>
        </w:rPr>
        <w:t>校准的准确度和可信度提供支持。</w:t>
      </w:r>
    </w:p>
    <w:p>
      <w:pPr>
        <w:spacing w:line="360" w:lineRule="auto"/>
        <w:outlineLvl w:val="0"/>
        <w:rPr>
          <w:b/>
          <w:sz w:val="24"/>
        </w:rPr>
      </w:pPr>
      <w:r>
        <w:rPr>
          <w:rFonts w:hint="eastAsia"/>
          <w:b/>
          <w:sz w:val="24"/>
        </w:rPr>
        <w:t>四、编制过程</w:t>
      </w:r>
    </w:p>
    <w:p>
      <w:pPr>
        <w:spacing w:line="360" w:lineRule="auto"/>
        <w:ind w:firstLine="566" w:firstLineChars="236"/>
        <w:rPr>
          <w:sz w:val="24"/>
        </w:rPr>
      </w:pPr>
      <w:r>
        <w:rPr>
          <w:rFonts w:hint="eastAsia"/>
          <w:sz w:val="24"/>
        </w:rPr>
        <w:t>本规程主要起草单位为中国计量科学研究院和中国环境监测总站，同时</w:t>
      </w:r>
      <w:r>
        <w:rPr>
          <w:rFonts w:hint="eastAsia"/>
          <w:sz w:val="24"/>
          <w:lang w:val="en-US" w:eastAsia="zh-CN"/>
        </w:rPr>
        <w:t>广东省计量科学研究院、</w:t>
      </w:r>
      <w:r>
        <w:rPr>
          <w:rFonts w:hint="eastAsia"/>
          <w:sz w:val="24"/>
        </w:rPr>
        <w:t>上海市计量测试技术研究院和郑州计量先进技术研究院也参与了规范的起草工作。根据任务的要求，成立了以张亮（中国计量科学研究院）为项目负责人的规范编写小组，制定了工作计划，明确了任务分工及各阶段进度安排。</w:t>
      </w:r>
    </w:p>
    <w:p>
      <w:pPr>
        <w:spacing w:line="360" w:lineRule="auto"/>
        <w:ind w:firstLine="480" w:firstLineChars="200"/>
        <w:rPr>
          <w:sz w:val="24"/>
        </w:rPr>
      </w:pPr>
      <w:r>
        <w:rPr>
          <w:rFonts w:hint="eastAsia"/>
          <w:sz w:val="24"/>
        </w:rPr>
        <w:t>202</w:t>
      </w:r>
      <w:r>
        <w:rPr>
          <w:rFonts w:hint="eastAsia"/>
          <w:sz w:val="24"/>
          <w:lang w:val="en-US" w:eastAsia="zh-CN"/>
        </w:rPr>
        <w:t>3</w:t>
      </w:r>
      <w:r>
        <w:rPr>
          <w:rFonts w:hint="eastAsia"/>
          <w:sz w:val="24"/>
        </w:rPr>
        <w:t>年</w:t>
      </w:r>
      <w:r>
        <w:rPr>
          <w:sz w:val="24"/>
        </w:rPr>
        <w:t>6</w:t>
      </w:r>
      <w:r>
        <w:rPr>
          <w:rFonts w:hint="eastAsia"/>
          <w:sz w:val="24"/>
        </w:rPr>
        <w:t>月20日  完成资料初步收集。包括标准、规范、规程、国际建议等；</w:t>
      </w:r>
    </w:p>
    <w:p>
      <w:pPr>
        <w:spacing w:line="360" w:lineRule="auto"/>
        <w:ind w:firstLine="480" w:firstLineChars="200"/>
        <w:rPr>
          <w:sz w:val="24"/>
        </w:rPr>
      </w:pPr>
      <w:r>
        <w:rPr>
          <w:rFonts w:hint="eastAsia"/>
          <w:sz w:val="24"/>
        </w:rPr>
        <w:t>202</w:t>
      </w:r>
      <w:r>
        <w:rPr>
          <w:rFonts w:hint="eastAsia"/>
          <w:sz w:val="24"/>
          <w:lang w:val="en-US" w:eastAsia="zh-CN"/>
        </w:rPr>
        <w:t>3</w:t>
      </w:r>
      <w:r>
        <w:rPr>
          <w:rFonts w:hint="eastAsia"/>
          <w:sz w:val="24"/>
        </w:rPr>
        <w:t>年</w:t>
      </w:r>
      <w:r>
        <w:rPr>
          <w:rFonts w:hint="eastAsia"/>
          <w:sz w:val="24"/>
          <w:lang w:val="en-US" w:eastAsia="zh-CN"/>
        </w:rPr>
        <w:t>6</w:t>
      </w:r>
      <w:r>
        <w:rPr>
          <w:rFonts w:hint="eastAsia"/>
          <w:sz w:val="24"/>
        </w:rPr>
        <w:t>月30日  完成大纲初稿；</w:t>
      </w:r>
    </w:p>
    <w:p>
      <w:pPr>
        <w:spacing w:line="360" w:lineRule="auto"/>
        <w:ind w:firstLine="480" w:firstLineChars="200"/>
        <w:rPr>
          <w:sz w:val="24"/>
        </w:rPr>
      </w:pPr>
      <w:r>
        <w:rPr>
          <w:rFonts w:hint="eastAsia"/>
          <w:sz w:val="24"/>
        </w:rPr>
        <w:t>202</w:t>
      </w:r>
      <w:r>
        <w:rPr>
          <w:rFonts w:hint="eastAsia"/>
          <w:sz w:val="24"/>
          <w:lang w:val="en-US" w:eastAsia="zh-CN"/>
        </w:rPr>
        <w:t>3</w:t>
      </w:r>
      <w:r>
        <w:rPr>
          <w:rFonts w:hint="eastAsia"/>
          <w:sz w:val="24"/>
        </w:rPr>
        <w:t>年</w:t>
      </w:r>
      <w:r>
        <w:rPr>
          <w:sz w:val="24"/>
        </w:rPr>
        <w:t>1</w:t>
      </w:r>
      <w:r>
        <w:rPr>
          <w:rFonts w:hint="eastAsia"/>
          <w:sz w:val="24"/>
          <w:lang w:val="en-US" w:eastAsia="zh-CN"/>
        </w:rPr>
        <w:t>7</w:t>
      </w:r>
      <w:r>
        <w:rPr>
          <w:rFonts w:hint="eastAsia"/>
          <w:sz w:val="24"/>
        </w:rPr>
        <w:t>月1日—202</w:t>
      </w:r>
      <w:r>
        <w:rPr>
          <w:sz w:val="24"/>
        </w:rPr>
        <w:t>1</w:t>
      </w:r>
      <w:r>
        <w:rPr>
          <w:rFonts w:hint="eastAsia"/>
          <w:sz w:val="24"/>
        </w:rPr>
        <w:t>年</w:t>
      </w:r>
      <w:r>
        <w:rPr>
          <w:rFonts w:hint="eastAsia"/>
          <w:sz w:val="24"/>
          <w:lang w:val="en-US" w:eastAsia="zh-CN"/>
        </w:rPr>
        <w:t>7</w:t>
      </w:r>
      <w:r>
        <w:rPr>
          <w:rFonts w:hint="eastAsia"/>
          <w:sz w:val="24"/>
        </w:rPr>
        <w:t>月</w:t>
      </w:r>
      <w:r>
        <w:rPr>
          <w:rFonts w:hint="eastAsia"/>
          <w:sz w:val="24"/>
          <w:lang w:val="en-US" w:eastAsia="zh-CN"/>
        </w:rPr>
        <w:t>5</w:t>
      </w:r>
      <w:r>
        <w:rPr>
          <w:rFonts w:hint="eastAsia"/>
          <w:sz w:val="24"/>
        </w:rPr>
        <w:t>日  大纲初稿汇报并修改；</w:t>
      </w:r>
    </w:p>
    <w:p>
      <w:pPr>
        <w:spacing w:line="360" w:lineRule="auto"/>
        <w:ind w:firstLine="480" w:firstLineChars="200"/>
        <w:rPr>
          <w:sz w:val="24"/>
        </w:rPr>
      </w:pPr>
      <w:r>
        <w:rPr>
          <w:rFonts w:hint="eastAsia"/>
          <w:sz w:val="24"/>
        </w:rPr>
        <w:t>20</w:t>
      </w:r>
      <w:r>
        <w:rPr>
          <w:rFonts w:hint="eastAsia"/>
          <w:sz w:val="24"/>
          <w:lang w:val="en-US" w:eastAsia="zh-CN"/>
        </w:rPr>
        <w:t>23</w:t>
      </w:r>
      <w:r>
        <w:rPr>
          <w:rFonts w:hint="eastAsia"/>
          <w:sz w:val="24"/>
        </w:rPr>
        <w:t>年</w:t>
      </w:r>
      <w:r>
        <w:rPr>
          <w:rFonts w:hint="eastAsia"/>
          <w:sz w:val="24"/>
          <w:lang w:val="en-US" w:eastAsia="zh-CN"/>
        </w:rPr>
        <w:t>7</w:t>
      </w:r>
      <w:r>
        <w:rPr>
          <w:rFonts w:hint="eastAsia"/>
          <w:sz w:val="24"/>
        </w:rPr>
        <w:t>月20日   完成初稿并发送专家进行第一轮初步评审；</w:t>
      </w:r>
    </w:p>
    <w:p>
      <w:pPr>
        <w:spacing w:line="360" w:lineRule="auto"/>
        <w:ind w:firstLine="480" w:firstLineChars="200"/>
        <w:rPr>
          <w:sz w:val="24"/>
        </w:rPr>
      </w:pPr>
      <w:r>
        <w:rPr>
          <w:rFonts w:hint="eastAsia"/>
          <w:sz w:val="24"/>
        </w:rPr>
        <w:t>202</w:t>
      </w:r>
      <w:r>
        <w:rPr>
          <w:rFonts w:hint="eastAsia"/>
          <w:sz w:val="24"/>
          <w:lang w:val="en-US" w:eastAsia="zh-CN"/>
        </w:rPr>
        <w:t>3</w:t>
      </w:r>
      <w:r>
        <w:rPr>
          <w:rFonts w:hint="eastAsia"/>
          <w:sz w:val="24"/>
        </w:rPr>
        <w:t>年</w:t>
      </w:r>
      <w:r>
        <w:rPr>
          <w:rFonts w:hint="eastAsia"/>
          <w:sz w:val="24"/>
          <w:lang w:val="en-US" w:eastAsia="zh-CN"/>
        </w:rPr>
        <w:t>7</w:t>
      </w:r>
      <w:r>
        <w:rPr>
          <w:rFonts w:hint="eastAsia"/>
          <w:sz w:val="24"/>
        </w:rPr>
        <w:t>月30日  完成修改稿后，发送外部专家，进行第二轮外部专家评审；</w:t>
      </w:r>
    </w:p>
    <w:p>
      <w:pPr>
        <w:spacing w:line="360" w:lineRule="auto"/>
        <w:ind w:firstLine="480" w:firstLineChars="200"/>
        <w:rPr>
          <w:rFonts w:hint="eastAsia"/>
          <w:sz w:val="24"/>
        </w:rPr>
      </w:pPr>
      <w:r>
        <w:rPr>
          <w:rFonts w:hint="eastAsia"/>
          <w:sz w:val="24"/>
        </w:rPr>
        <w:t>202</w:t>
      </w:r>
      <w:r>
        <w:rPr>
          <w:rFonts w:hint="eastAsia"/>
          <w:sz w:val="24"/>
          <w:lang w:val="en-US" w:eastAsia="zh-CN"/>
        </w:rPr>
        <w:t>3</w:t>
      </w:r>
      <w:r>
        <w:rPr>
          <w:rFonts w:hint="eastAsia"/>
          <w:sz w:val="24"/>
        </w:rPr>
        <w:t>年</w:t>
      </w:r>
      <w:r>
        <w:rPr>
          <w:rFonts w:hint="eastAsia"/>
          <w:sz w:val="24"/>
          <w:lang w:val="en-US" w:eastAsia="zh-CN"/>
        </w:rPr>
        <w:t>8</w:t>
      </w:r>
      <w:r>
        <w:rPr>
          <w:rFonts w:hint="eastAsia"/>
          <w:sz w:val="24"/>
        </w:rPr>
        <w:t>月</w:t>
      </w:r>
      <w:r>
        <w:rPr>
          <w:rFonts w:hint="eastAsia"/>
          <w:sz w:val="24"/>
          <w:lang w:val="en-US" w:eastAsia="zh-CN"/>
        </w:rPr>
        <w:t>5</w:t>
      </w:r>
      <w:r>
        <w:rPr>
          <w:rFonts w:hint="eastAsia"/>
          <w:sz w:val="24"/>
        </w:rPr>
        <w:t>日   陆续收到多位专家意见并参照修改；</w:t>
      </w:r>
    </w:p>
    <w:p>
      <w:pPr>
        <w:spacing w:line="360" w:lineRule="auto"/>
        <w:ind w:firstLine="480" w:firstLineChars="200"/>
        <w:rPr>
          <w:rFonts w:hint="eastAsia"/>
          <w:sz w:val="24"/>
          <w:lang w:val="en-US" w:eastAsia="zh-CN"/>
        </w:rPr>
      </w:pPr>
      <w:r>
        <w:rPr>
          <w:rFonts w:hint="eastAsia"/>
          <w:sz w:val="24"/>
          <w:lang w:val="en-US" w:eastAsia="zh-CN"/>
        </w:rPr>
        <w:t>2023年9月  联合相关单位及企业进行校准方法的适用性验证，并对校准规范进行修改和完善。</w:t>
      </w:r>
    </w:p>
    <w:p>
      <w:pPr>
        <w:spacing w:line="360" w:lineRule="auto"/>
        <w:ind w:firstLine="480" w:firstLineChars="200"/>
        <w:rPr>
          <w:rFonts w:hint="eastAsia"/>
          <w:sz w:val="24"/>
          <w:lang w:val="en-US" w:eastAsia="zh-CN"/>
        </w:rPr>
      </w:pPr>
      <w:r>
        <w:rPr>
          <w:rFonts w:hint="eastAsia"/>
          <w:sz w:val="24"/>
          <w:lang w:val="en-US" w:eastAsia="zh-CN"/>
        </w:rPr>
        <w:t>2023年9月29日  完成报审稿，并送至</w:t>
      </w:r>
      <w:r>
        <w:rPr>
          <w:rFonts w:hint="eastAsia" w:hAnsi="宋体"/>
          <w:color w:val="000000"/>
          <w:sz w:val="28"/>
        </w:rPr>
        <w:t>全国碳达峰碳中和计量技术委员</w:t>
      </w:r>
      <w:r>
        <w:rPr>
          <w:rFonts w:hint="eastAsia"/>
          <w:sz w:val="24"/>
          <w:lang w:val="en-US" w:eastAsia="zh-CN"/>
        </w:rPr>
        <w:t>会进行初审。根据有关专家的意见进行相应的修改。</w:t>
      </w:r>
    </w:p>
    <w:p>
      <w:pPr>
        <w:spacing w:line="360" w:lineRule="auto"/>
        <w:ind w:firstLine="480" w:firstLineChars="200"/>
        <w:rPr>
          <w:rFonts w:hint="eastAsia"/>
          <w:sz w:val="24"/>
          <w:lang w:val="en-US" w:eastAsia="zh-CN"/>
        </w:rPr>
      </w:pPr>
      <w:r>
        <w:rPr>
          <w:rFonts w:hint="eastAsia"/>
          <w:sz w:val="24"/>
          <w:lang w:val="en-US" w:eastAsia="zh-CN"/>
        </w:rPr>
        <w:t>2023年x月x日  完成修改，送至</w:t>
      </w:r>
      <w:r>
        <w:rPr>
          <w:rFonts w:hint="eastAsia" w:hAnsi="宋体"/>
          <w:color w:val="000000"/>
          <w:sz w:val="28"/>
        </w:rPr>
        <w:t>全国碳达峰碳中和计量技术委员会</w:t>
      </w:r>
      <w:r>
        <w:rPr>
          <w:rFonts w:hint="eastAsia"/>
          <w:sz w:val="24"/>
          <w:lang w:val="en-US" w:eastAsia="zh-CN"/>
        </w:rPr>
        <w:t>审定。</w:t>
      </w:r>
    </w:p>
    <w:p>
      <w:pPr>
        <w:spacing w:line="360" w:lineRule="auto"/>
        <w:ind w:firstLine="480" w:firstLineChars="200"/>
        <w:rPr>
          <w:rFonts w:hint="default"/>
          <w:sz w:val="24"/>
          <w:lang w:val="en-US" w:eastAsia="zh-CN"/>
        </w:rPr>
      </w:pPr>
      <w:r>
        <w:rPr>
          <w:rFonts w:hint="eastAsia"/>
          <w:sz w:val="24"/>
          <w:lang w:val="en-US" w:eastAsia="zh-CN"/>
        </w:rPr>
        <w:t>2023年x月x日  完成终稿修改，报送审批。</w:t>
      </w:r>
    </w:p>
    <w:p>
      <w:pPr>
        <w:spacing w:line="360" w:lineRule="auto"/>
        <w:outlineLvl w:val="0"/>
        <w:rPr>
          <w:rFonts w:hint="default"/>
          <w:b/>
          <w:sz w:val="24"/>
          <w:lang w:val="en-US" w:eastAsia="zh-CN"/>
        </w:rPr>
      </w:pPr>
      <w:r>
        <w:rPr>
          <w:rFonts w:hint="eastAsia"/>
          <w:b/>
          <w:sz w:val="24"/>
          <w:lang w:val="en-US" w:eastAsia="zh-CN"/>
        </w:rPr>
        <w:t>五、规范的主要内容及技术关键</w:t>
      </w:r>
    </w:p>
    <w:p>
      <w:pPr>
        <w:spacing w:line="360" w:lineRule="auto"/>
        <w:ind w:firstLine="424" w:firstLineChars="177"/>
        <w:rPr>
          <w:sz w:val="24"/>
        </w:rPr>
      </w:pPr>
      <w:r>
        <w:rPr>
          <w:rFonts w:hint="eastAsia"/>
          <w:sz w:val="24"/>
        </w:rPr>
        <w:t>本规范主要针对</w:t>
      </w:r>
      <w:r>
        <w:rPr>
          <w:rFonts w:hint="eastAsia"/>
          <w:sz w:val="24"/>
          <w:lang w:val="en-US" w:eastAsia="zh-CN"/>
        </w:rPr>
        <w:t>大口径插入式</w:t>
      </w:r>
      <w:r>
        <w:rPr>
          <w:rFonts w:hint="eastAsia"/>
          <w:sz w:val="24"/>
        </w:rPr>
        <w:t>流量计，对</w:t>
      </w:r>
      <w:r>
        <w:rPr>
          <w:rFonts w:hint="eastAsia"/>
          <w:sz w:val="24"/>
          <w:lang w:val="en-US" w:eastAsia="zh-CN"/>
        </w:rPr>
        <w:t>流量计校准</w:t>
      </w:r>
      <w:r>
        <w:rPr>
          <w:rFonts w:hint="eastAsia"/>
          <w:sz w:val="24"/>
        </w:rPr>
        <w:t>系数、</w:t>
      </w:r>
      <w:r>
        <w:rPr>
          <w:rFonts w:hint="eastAsia"/>
          <w:sz w:val="24"/>
          <w:lang w:val="en-US" w:eastAsia="zh-CN"/>
        </w:rPr>
        <w:t>复杂流场</w:t>
      </w:r>
      <w:r>
        <w:rPr>
          <w:rFonts w:hint="eastAsia"/>
          <w:sz w:val="24"/>
        </w:rPr>
        <w:t>修正系数等重点参数进行了详细阐释，作为对</w:t>
      </w:r>
      <w:r>
        <w:rPr>
          <w:rFonts w:hint="eastAsia"/>
          <w:sz w:val="24"/>
          <w:lang w:val="en-US" w:eastAsia="zh-CN"/>
        </w:rPr>
        <w:t>大口径插入式</w:t>
      </w:r>
      <w:r>
        <w:rPr>
          <w:rFonts w:hint="eastAsia"/>
          <w:sz w:val="24"/>
        </w:rPr>
        <w:t>流量计进行校准的参考，为其提供计量管理要求、计量设备要求以及计量方法的技术依据，为建立完整的污染物</w:t>
      </w:r>
      <w:r>
        <w:rPr>
          <w:rFonts w:hint="eastAsia"/>
          <w:sz w:val="24"/>
          <w:lang w:val="en-US" w:eastAsia="zh-CN"/>
        </w:rPr>
        <w:t>和温室气体</w:t>
      </w:r>
      <w:r>
        <w:rPr>
          <w:rFonts w:hint="eastAsia"/>
          <w:sz w:val="24"/>
        </w:rPr>
        <w:t>排放流量计量量值传递体系，提升现场C</w:t>
      </w:r>
      <w:r>
        <w:rPr>
          <w:sz w:val="24"/>
        </w:rPr>
        <w:t>EMS</w:t>
      </w:r>
      <w:r>
        <w:rPr>
          <w:rFonts w:hint="eastAsia"/>
          <w:sz w:val="24"/>
          <w:lang w:val="en-US" w:eastAsia="zh-CN"/>
        </w:rPr>
        <w:t>流量</w:t>
      </w:r>
      <w:r>
        <w:rPr>
          <w:rFonts w:hint="eastAsia"/>
          <w:sz w:val="24"/>
        </w:rPr>
        <w:t>校准的准确度和可信度提供支持。</w:t>
      </w:r>
    </w:p>
    <w:p>
      <w:pPr>
        <w:spacing w:line="360" w:lineRule="auto"/>
        <w:rPr>
          <w:rFonts w:hint="eastAsia"/>
          <w:sz w:val="24"/>
          <w:lang w:val="en-US" w:eastAsia="zh-CN"/>
        </w:rPr>
      </w:pPr>
      <w:r>
        <w:rPr>
          <w:rFonts w:hint="eastAsia"/>
          <w:sz w:val="24"/>
          <w:lang w:val="en-US" w:eastAsia="zh-CN"/>
        </w:rPr>
        <w:t>1）适用范围</w:t>
      </w:r>
    </w:p>
    <w:p>
      <w:pPr>
        <w:keepNext w:val="0"/>
        <w:keepLines w:val="0"/>
        <w:pageBreakBefore w:val="0"/>
        <w:widowControl w:val="0"/>
        <w:kinsoku/>
        <w:wordWrap/>
        <w:overflowPunct/>
        <w:topLinePunct w:val="0"/>
        <w:autoSpaceDE/>
        <w:autoSpaceDN/>
        <w:bidi w:val="0"/>
        <w:adjustRightInd/>
        <w:snapToGrid/>
        <w:spacing w:line="440" w:lineRule="exact"/>
        <w:ind w:firstLine="480"/>
        <w:jc w:val="left"/>
        <w:textAlignment w:val="auto"/>
        <w:rPr>
          <w:rFonts w:ascii="Times New Roman" w:hAnsi="Times New Roman" w:eastAsia="宋体" w:cs="Times New Roman"/>
          <w:kern w:val="2"/>
          <w:sz w:val="24"/>
          <w:szCs w:val="24"/>
          <w:lang w:val="en-US" w:eastAsia="zh-CN" w:bidi="ar-SA"/>
        </w:rPr>
      </w:pPr>
      <w:r>
        <w:rPr>
          <w:rFonts w:hint="eastAsia"/>
          <w:kern w:val="0"/>
          <w:sz w:val="24"/>
          <w:szCs w:val="24"/>
          <w:lang w:val="en-US" w:eastAsia="zh-CN"/>
        </w:rPr>
        <w:t>大口径插入式流量计</w:t>
      </w:r>
      <w:r>
        <w:rPr>
          <w:rFonts w:ascii="Times New Roman" w:hAnsi="Times New Roman" w:eastAsia="宋体" w:cs="Times New Roman"/>
          <w:kern w:val="2"/>
          <w:sz w:val="24"/>
          <w:szCs w:val="24"/>
          <w:lang w:val="en-US" w:eastAsia="zh-CN" w:bidi="ar-SA"/>
        </w:rPr>
        <w:t>适用于</w:t>
      </w:r>
      <w:r>
        <w:rPr>
          <w:rFonts w:hint="eastAsia" w:ascii="Times New Roman" w:hAnsi="Times New Roman" w:eastAsia="宋体" w:cs="Times New Roman"/>
          <w:kern w:val="2"/>
          <w:sz w:val="24"/>
          <w:szCs w:val="24"/>
          <w:lang w:val="en-US" w:eastAsia="zh-CN" w:bidi="ar-SA"/>
        </w:rPr>
        <w:t>安装在水力</w:t>
      </w:r>
      <w:r>
        <w:rPr>
          <w:rFonts w:hint="default" w:ascii="Times New Roman" w:hAnsi="Times New Roman" w:eastAsia="宋体" w:cs="Times New Roman"/>
          <w:kern w:val="2"/>
          <w:sz w:val="24"/>
          <w:szCs w:val="24"/>
          <w:lang w:val="en-US" w:eastAsia="zh-CN" w:bidi="ar-SA"/>
        </w:rPr>
        <w:t>直径</w:t>
      </w:r>
      <w:r>
        <w:rPr>
          <w:rFonts w:hint="eastAsia" w:ascii="Times New Roman" w:hAnsi="Times New Roman" w:eastAsia="宋体" w:cs="Times New Roman"/>
          <w:kern w:val="2"/>
          <w:sz w:val="24"/>
          <w:szCs w:val="24"/>
          <w:lang w:val="en-US" w:eastAsia="zh-CN" w:bidi="ar-SA"/>
        </w:rPr>
        <w:t>≥</w:t>
      </w:r>
      <w:r>
        <w:rPr>
          <w:rFonts w:hint="eastAsia" w:cs="Times New Roman"/>
          <w:kern w:val="2"/>
          <w:sz w:val="24"/>
          <w:szCs w:val="24"/>
          <w:lang w:val="en-US" w:eastAsia="zh-CN" w:bidi="ar-SA"/>
        </w:rPr>
        <w:t>4</w:t>
      </w:r>
      <w:r>
        <w:rPr>
          <w:rFonts w:hint="eastAsia" w:ascii="Times New Roman" w:hAnsi="Times New Roman" w:eastAsia="宋体" w:cs="Times New Roman"/>
          <w:kern w:val="2"/>
          <w:sz w:val="24"/>
          <w:szCs w:val="24"/>
          <w:lang w:val="en-US" w:eastAsia="zh-CN" w:bidi="ar-SA"/>
        </w:rPr>
        <w:t>00mm的圆形或矩形烟道中烟</w:t>
      </w:r>
      <w:r>
        <w:rPr>
          <w:rFonts w:ascii="Times New Roman" w:hAnsi="Times New Roman" w:eastAsia="宋体" w:cs="Times New Roman"/>
          <w:kern w:val="2"/>
          <w:sz w:val="24"/>
          <w:szCs w:val="24"/>
          <w:lang w:val="en-US" w:eastAsia="zh-CN" w:bidi="ar-SA"/>
        </w:rPr>
        <w:t>气排放连续监测</w:t>
      </w:r>
      <w:r>
        <w:rPr>
          <w:rFonts w:hint="default" w:ascii="Times New Roman" w:hAnsi="Times New Roman" w:eastAsia="宋体" w:cs="Times New Roman"/>
          <w:kern w:val="2"/>
          <w:sz w:val="24"/>
          <w:szCs w:val="24"/>
          <w:lang w:val="en-US" w:eastAsia="zh-CN" w:bidi="ar-SA"/>
        </w:rPr>
        <w:t>系统</w:t>
      </w:r>
      <w:r>
        <w:rPr>
          <w:rFonts w:hint="eastAsia" w:ascii="Times New Roman" w:hAnsi="Times New Roman" w:eastAsia="宋体" w:cs="Times New Roman"/>
          <w:kern w:val="2"/>
          <w:sz w:val="24"/>
          <w:szCs w:val="24"/>
          <w:lang w:val="en-US" w:eastAsia="zh-CN" w:bidi="ar-SA"/>
        </w:rPr>
        <w:t>用</w:t>
      </w:r>
      <w:r>
        <w:rPr>
          <w:rFonts w:hint="eastAsia" w:cs="Times New Roman"/>
          <w:kern w:val="2"/>
          <w:sz w:val="24"/>
          <w:szCs w:val="24"/>
          <w:lang w:val="en-US" w:eastAsia="zh-CN" w:bidi="ar-SA"/>
        </w:rPr>
        <w:t>大口径插入式</w:t>
      </w:r>
      <w:r>
        <w:rPr>
          <w:rFonts w:hint="default" w:ascii="Times New Roman" w:hAnsi="Times New Roman" w:eastAsia="宋体" w:cs="Times New Roman"/>
          <w:kern w:val="2"/>
          <w:sz w:val="24"/>
          <w:szCs w:val="24"/>
          <w:lang w:val="en-US" w:eastAsia="zh-CN" w:bidi="ar-SA"/>
        </w:rPr>
        <w:t>流量</w:t>
      </w:r>
      <w:r>
        <w:rPr>
          <w:rFonts w:hint="eastAsia" w:ascii="Times New Roman" w:hAnsi="Times New Roman" w:eastAsia="宋体" w:cs="Times New Roman"/>
          <w:kern w:val="2"/>
          <w:sz w:val="24"/>
          <w:szCs w:val="24"/>
          <w:lang w:val="en-US" w:eastAsia="zh-CN" w:bidi="ar-SA"/>
        </w:rPr>
        <w:t>计的</w:t>
      </w:r>
      <w:r>
        <w:rPr>
          <w:rFonts w:ascii="Times New Roman" w:hAnsi="Times New Roman" w:eastAsia="宋体" w:cs="Times New Roman"/>
          <w:kern w:val="2"/>
          <w:sz w:val="24"/>
          <w:szCs w:val="24"/>
          <w:lang w:val="en-US" w:eastAsia="zh-CN" w:bidi="ar-SA"/>
        </w:rPr>
        <w:t>校准。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32"/>
          <w:lang w:val="en-US" w:eastAsia="zh-CN"/>
        </w:rPr>
      </w:pPr>
      <w:r>
        <w:rPr>
          <w:rFonts w:hint="eastAsia"/>
          <w:sz w:val="24"/>
          <w:szCs w:val="32"/>
          <w:lang w:val="en-US" w:eastAsia="zh-CN"/>
        </w:rPr>
        <w:t>2）计量特性的确定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kern w:val="0"/>
          <w:sz w:val="24"/>
          <w:szCs w:val="24"/>
          <w:lang w:val="en-US" w:eastAsia="zh-CN"/>
        </w:rPr>
      </w:pPr>
      <w:r>
        <w:rPr>
          <w:rFonts w:hint="eastAsia"/>
          <w:kern w:val="0"/>
          <w:sz w:val="24"/>
          <w:szCs w:val="24"/>
          <w:lang w:val="en-US" w:eastAsia="zh-CN"/>
        </w:rPr>
        <w:t>大口径插入式流量计是烟道或管道中自动测量流量的仪器，主要采集烟道或管道内的速度值，经过换算成烟道或管道内的流量值。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kern w:val="0"/>
          <w:sz w:val="24"/>
          <w:szCs w:val="24"/>
          <w:lang w:val="en-US" w:eastAsia="zh-CN"/>
        </w:rPr>
      </w:pPr>
      <w:r>
        <w:rPr>
          <w:rFonts w:hint="eastAsia"/>
          <w:kern w:val="0"/>
          <w:sz w:val="24"/>
          <w:szCs w:val="24"/>
          <w:lang w:val="en-US" w:eastAsia="zh-CN"/>
        </w:rPr>
        <w:t>根据大口径插入式流量计的技术特点，确定流量计的计量特性。</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center"/>
        <w:textAlignment w:val="auto"/>
        <w:rPr>
          <w:rFonts w:hint="default" w:ascii="Times New Roman" w:hAnsi="Times New Roman" w:eastAsia="黑体" w:cs="Times New Roman"/>
          <w:kern w:val="0"/>
          <w:sz w:val="21"/>
          <w:szCs w:val="21"/>
          <w:lang w:val="en-US" w:eastAsia="zh-CN"/>
        </w:rPr>
      </w:pPr>
      <w:r>
        <w:rPr>
          <w:rFonts w:hint="default" w:ascii="Times New Roman" w:hAnsi="Times New Roman" w:eastAsia="黑体" w:cs="Times New Roman"/>
          <w:kern w:val="0"/>
          <w:sz w:val="21"/>
          <w:szCs w:val="21"/>
          <w:lang w:val="en-US" w:eastAsia="zh-CN"/>
        </w:rPr>
        <w:t xml:space="preserve">表1  </w:t>
      </w:r>
      <w:r>
        <w:rPr>
          <w:rFonts w:hint="eastAsia" w:eastAsia="黑体" w:cs="Times New Roman"/>
          <w:kern w:val="0"/>
          <w:sz w:val="21"/>
          <w:szCs w:val="21"/>
          <w:lang w:val="en-US" w:eastAsia="zh-CN"/>
        </w:rPr>
        <w:t>风洞装置</w:t>
      </w:r>
      <w:r>
        <w:rPr>
          <w:rFonts w:hint="default" w:ascii="Times New Roman" w:hAnsi="Times New Roman" w:eastAsia="黑体" w:cs="Times New Roman"/>
          <w:kern w:val="0"/>
          <w:sz w:val="21"/>
          <w:szCs w:val="21"/>
          <w:lang w:val="en-US" w:eastAsia="zh-CN"/>
        </w:rPr>
        <w:t>的技术参数</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1593"/>
        <w:gridCol w:w="3903"/>
        <w:gridCol w:w="2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pStyle w:val="10"/>
              <w:spacing w:line="440" w:lineRule="exact"/>
              <w:ind w:firstLine="0" w:firstLine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序号</w:t>
            </w:r>
          </w:p>
        </w:tc>
        <w:tc>
          <w:tcPr>
            <w:tcW w:w="1688" w:type="dxa"/>
            <w:vAlign w:val="center"/>
          </w:tcPr>
          <w:p>
            <w:pPr>
              <w:pStyle w:val="10"/>
              <w:spacing w:line="440" w:lineRule="exact"/>
              <w:ind w:firstLine="0" w:firstLine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设备名称</w:t>
            </w:r>
          </w:p>
        </w:tc>
        <w:tc>
          <w:tcPr>
            <w:tcW w:w="4074" w:type="dxa"/>
            <w:vAlign w:val="center"/>
          </w:tcPr>
          <w:p>
            <w:pPr>
              <w:pStyle w:val="10"/>
              <w:spacing w:line="440" w:lineRule="exact"/>
              <w:ind w:firstLine="0" w:firstLineChars="0"/>
              <w:jc w:val="center"/>
              <w:rPr>
                <w:rFonts w:hint="default" w:ascii="Times New Roman" w:hAnsi="Times New Roman" w:eastAsia="宋体" w:cs="Times New Roman"/>
                <w:kern w:val="0"/>
                <w:sz w:val="24"/>
                <w:szCs w:val="24"/>
                <w:lang w:val="en-US" w:eastAsia="zh-CN" w:bidi="ar-SA"/>
              </w:rPr>
            </w:pPr>
            <w:r>
              <w:rPr>
                <w:rFonts w:hint="eastAsia" w:ascii="Times New Roman" w:hAnsi="Times New Roman"/>
                <w:sz w:val="21"/>
                <w:szCs w:val="21"/>
                <w:lang w:val="en-US" w:eastAsia="zh-CN"/>
              </w:rPr>
              <w:t>技术要求</w:t>
            </w:r>
          </w:p>
        </w:tc>
        <w:tc>
          <w:tcPr>
            <w:tcW w:w="2242" w:type="dxa"/>
            <w:vAlign w:val="center"/>
          </w:tcPr>
          <w:p>
            <w:pPr>
              <w:pStyle w:val="10"/>
              <w:spacing w:line="440" w:lineRule="exact"/>
              <w:ind w:firstLine="0" w:firstLine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widowControl w:val="0"/>
              <w:spacing w:line="440" w:lineRule="exact"/>
              <w:ind w:firstLine="0" w:firstLine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1</w:t>
            </w:r>
          </w:p>
        </w:tc>
        <w:tc>
          <w:tcPr>
            <w:tcW w:w="1688" w:type="dxa"/>
            <w:vAlign w:val="center"/>
          </w:tcPr>
          <w:p>
            <w:pPr>
              <w:pStyle w:val="10"/>
              <w:spacing w:line="440" w:lineRule="exact"/>
              <w:ind w:firstLine="0" w:firstLineChars="0"/>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大口径气体流量标准装置</w:t>
            </w:r>
          </w:p>
        </w:tc>
        <w:tc>
          <w:tcPr>
            <w:tcW w:w="4074" w:type="dxa"/>
            <w:vAlign w:val="center"/>
          </w:tcPr>
          <w:p>
            <w:pPr>
              <w:pStyle w:val="10"/>
              <w:spacing w:line="440" w:lineRule="exact"/>
              <w:ind w:firstLine="0" w:firstLineChars="0"/>
              <w:jc w:val="left"/>
              <w:rPr>
                <w:rFonts w:ascii="Times New Roman" w:hAnsi="Times New Roman"/>
                <w:sz w:val="21"/>
                <w:szCs w:val="21"/>
              </w:rPr>
            </w:pPr>
            <w:r>
              <w:rPr>
                <w:rFonts w:hint="eastAsia" w:ascii="Times New Roman" w:hAnsi="Times New Roman"/>
                <w:sz w:val="21"/>
                <w:szCs w:val="18"/>
                <w:lang w:eastAsia="zh-CN"/>
              </w:rPr>
              <w:t>（</w:t>
            </w:r>
            <w:r>
              <w:rPr>
                <w:rFonts w:hint="eastAsia" w:ascii="Times New Roman" w:hAnsi="Times New Roman"/>
                <w:sz w:val="21"/>
                <w:szCs w:val="18"/>
              </w:rPr>
              <w:t>1）流速范围：</w:t>
            </w:r>
            <w:r>
              <w:rPr>
                <w:rFonts w:hint="eastAsia" w:ascii="Times New Roman" w:hAnsi="Times New Roman"/>
                <w:sz w:val="21"/>
                <w:szCs w:val="21"/>
              </w:rPr>
              <w:t>（</w:t>
            </w:r>
            <w:r>
              <w:rPr>
                <w:rFonts w:ascii="Times New Roman" w:hAnsi="Times New Roman"/>
                <w:sz w:val="21"/>
                <w:szCs w:val="21"/>
              </w:rPr>
              <w:t>1</w:t>
            </w:r>
            <w:r>
              <w:rPr>
                <w:rFonts w:hint="eastAsia" w:ascii="Times New Roman" w:hAnsi="Times New Roman"/>
                <w:sz w:val="21"/>
                <w:szCs w:val="21"/>
              </w:rPr>
              <w:t>~30）m/s；流量范围：（2</w:t>
            </w:r>
            <w:r>
              <w:rPr>
                <w:rFonts w:ascii="Times New Roman" w:hAnsi="Times New Roman"/>
                <w:sz w:val="21"/>
                <w:szCs w:val="21"/>
              </w:rPr>
              <w:t>520</w:t>
            </w:r>
            <w:r>
              <w:rPr>
                <w:rFonts w:hint="eastAsia" w:ascii="Times New Roman" w:hAnsi="Times New Roman"/>
                <w:sz w:val="21"/>
                <w:szCs w:val="21"/>
              </w:rPr>
              <w:t>~1</w:t>
            </w:r>
            <w:r>
              <w:rPr>
                <w:rFonts w:ascii="Times New Roman" w:hAnsi="Times New Roman"/>
                <w:sz w:val="21"/>
                <w:szCs w:val="21"/>
              </w:rPr>
              <w:t>90755</w:t>
            </w:r>
            <w:r>
              <w:rPr>
                <w:rFonts w:hint="eastAsia" w:ascii="Times New Roman" w:hAnsi="Times New Roman"/>
                <w:sz w:val="21"/>
                <w:szCs w:val="21"/>
              </w:rPr>
              <w:t>）m</w:t>
            </w:r>
            <w:r>
              <w:rPr>
                <w:rFonts w:ascii="Times New Roman" w:hAnsi="Times New Roman"/>
                <w:sz w:val="21"/>
                <w:szCs w:val="21"/>
                <w:vertAlign w:val="superscript"/>
              </w:rPr>
              <w:t>3</w:t>
            </w:r>
            <w:r>
              <w:rPr>
                <w:rFonts w:ascii="Times New Roman" w:hAnsi="Times New Roman"/>
                <w:sz w:val="21"/>
                <w:szCs w:val="21"/>
              </w:rPr>
              <w:t>/h</w:t>
            </w:r>
            <w:r>
              <w:rPr>
                <w:rFonts w:hint="eastAsia" w:ascii="Times New Roman" w:hAnsi="Times New Roman"/>
                <w:sz w:val="21"/>
                <w:szCs w:val="21"/>
              </w:rPr>
              <w:t>；</w:t>
            </w:r>
          </w:p>
          <w:p>
            <w:pPr>
              <w:pStyle w:val="10"/>
              <w:spacing w:line="440" w:lineRule="exact"/>
              <w:ind w:firstLine="0" w:firstLineChars="0"/>
              <w:jc w:val="left"/>
              <w:rPr>
                <w:rFonts w:ascii="Times New Roman" w:hAnsi="Times New Roman"/>
                <w:sz w:val="21"/>
                <w:szCs w:val="21"/>
              </w:rPr>
            </w:pPr>
            <w:r>
              <w:rPr>
                <w:rFonts w:hint="eastAsia" w:ascii="Times New Roman" w:hAnsi="Times New Roman"/>
                <w:sz w:val="21"/>
                <w:szCs w:val="18"/>
              </w:rPr>
              <w:t>（2）</w:t>
            </w:r>
            <w:r>
              <w:rPr>
                <w:rFonts w:hint="eastAsia" w:ascii="Times New Roman" w:hAnsi="Times New Roman"/>
                <w:sz w:val="21"/>
                <w:szCs w:val="21"/>
              </w:rPr>
              <w:t>流场稳定性</w:t>
            </w:r>
            <w:r>
              <w:rPr>
                <w:rFonts w:ascii="Times New Roman" w:hAnsi="Times New Roman"/>
                <w:sz w:val="21"/>
                <w:szCs w:val="21"/>
              </w:rPr>
              <w:t>≤0.5</w:t>
            </w:r>
            <w:r>
              <w:rPr>
                <w:rFonts w:hint="eastAsia" w:ascii="Times New Roman" w:hAnsi="Times New Roman"/>
                <w:sz w:val="21"/>
                <w:szCs w:val="21"/>
              </w:rPr>
              <w:t>%；</w:t>
            </w:r>
          </w:p>
          <w:p>
            <w:pPr>
              <w:pStyle w:val="10"/>
              <w:spacing w:line="440" w:lineRule="exact"/>
              <w:ind w:firstLine="0" w:firstLineChars="0"/>
              <w:jc w:val="left"/>
              <w:rPr>
                <w:rFonts w:ascii="Times New Roman" w:hAnsi="Times New Roman"/>
                <w:sz w:val="21"/>
                <w:szCs w:val="21"/>
              </w:rPr>
            </w:pPr>
            <w:r>
              <w:rPr>
                <w:rFonts w:hint="eastAsia" w:ascii="Times New Roman" w:hAnsi="Times New Roman"/>
                <w:sz w:val="21"/>
                <w:szCs w:val="21"/>
              </w:rPr>
              <w:t>（3）气体流量标准装置流量扩展不确定度不超过被校标准装置平均流速示值误差的1/</w:t>
            </w:r>
            <w:r>
              <w:rPr>
                <w:rFonts w:ascii="Times New Roman" w:hAnsi="Times New Roman"/>
                <w:sz w:val="21"/>
                <w:szCs w:val="21"/>
              </w:rPr>
              <w:t>3</w:t>
            </w:r>
            <w:r>
              <w:rPr>
                <w:rFonts w:hint="eastAsia" w:ascii="Times New Roman" w:hAnsi="Times New Roman"/>
                <w:sz w:val="21"/>
                <w:szCs w:val="21"/>
              </w:rPr>
              <w:t>；</w:t>
            </w:r>
          </w:p>
          <w:p>
            <w:pPr>
              <w:widowControl/>
              <w:jc w:val="left"/>
              <w:rPr>
                <w:rFonts w:hint="eastAsia" w:ascii="Times New Roman" w:hAnsi="Times New Roman"/>
                <w:sz w:val="21"/>
                <w:szCs w:val="21"/>
              </w:rPr>
            </w:pPr>
            <w:r>
              <w:rPr>
                <w:rFonts w:hint="eastAsia" w:ascii="Times New Roman" w:hAnsi="Times New Roman"/>
                <w:sz w:val="21"/>
                <w:szCs w:val="21"/>
              </w:rPr>
              <w:t>（4）测试段包</w:t>
            </w:r>
            <w:r>
              <w:rPr>
                <w:rFonts w:ascii="Times New Roman" w:hAnsi="Times New Roman"/>
                <w:sz w:val="21"/>
                <w:szCs w:val="21"/>
              </w:rPr>
              <w:t>括圆形和矩形管道，水力直径≥1m，长度≥21</w:t>
            </w:r>
            <w:r>
              <w:rPr>
                <w:rFonts w:hint="eastAsia" w:ascii="Times New Roman" w:hAnsi="Times New Roman"/>
                <w:sz w:val="21"/>
                <w:szCs w:val="21"/>
              </w:rPr>
              <w:t>倍的水力直径。</w:t>
            </w:r>
          </w:p>
          <w:p>
            <w:pPr>
              <w:widowControl/>
              <w:jc w:val="left"/>
              <w:rPr>
                <w:rFonts w:hint="default" w:ascii="Times New Roman" w:hAnsi="Times New Roman" w:eastAsia="宋体" w:cs="Times New Roman"/>
                <w:kern w:val="0"/>
                <w:sz w:val="24"/>
                <w:szCs w:val="24"/>
                <w:lang w:val="en-US" w:eastAsia="zh-CN" w:bidi="ar-SA"/>
              </w:rPr>
            </w:pPr>
          </w:p>
        </w:tc>
        <w:tc>
          <w:tcPr>
            <w:tcW w:w="2242" w:type="dxa"/>
            <w:vAlign w:val="center"/>
          </w:tcPr>
          <w:p>
            <w:pPr>
              <w:pStyle w:val="10"/>
              <w:spacing w:line="440" w:lineRule="exact"/>
              <w:ind w:firstLine="0" w:firstLineChars="0"/>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大口径气体流量标准装置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widowControl w:val="0"/>
              <w:spacing w:line="440" w:lineRule="exact"/>
              <w:ind w:firstLine="0" w:firstLineChars="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2</w:t>
            </w:r>
          </w:p>
        </w:tc>
        <w:tc>
          <w:tcPr>
            <w:tcW w:w="1688" w:type="dxa"/>
            <w:vAlign w:val="center"/>
          </w:tcPr>
          <w:p>
            <w:pPr>
              <w:widowControl w:val="0"/>
              <w:spacing w:line="440" w:lineRule="exact"/>
              <w:ind w:firstLine="0" w:firstLineChars="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涡流发生装置</w:t>
            </w:r>
          </w:p>
        </w:tc>
        <w:tc>
          <w:tcPr>
            <w:tcW w:w="4074" w:type="dxa"/>
            <w:vAlign w:val="center"/>
          </w:tcPr>
          <w:p>
            <w:pPr>
              <w:widowControl w:val="0"/>
              <w:spacing w:line="440" w:lineRule="exact"/>
              <w:ind w:firstLine="0" w:firstLineChars="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湍流度：1%~5%</w:t>
            </w:r>
          </w:p>
        </w:tc>
        <w:tc>
          <w:tcPr>
            <w:tcW w:w="2242" w:type="dxa"/>
            <w:vAlign w:val="center"/>
          </w:tcPr>
          <w:p>
            <w:pPr>
              <w:widowControl w:val="0"/>
              <w:spacing w:line="440" w:lineRule="exact"/>
              <w:ind w:firstLine="0" w:firstLineChars="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用于产生复杂流场</w:t>
            </w: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center"/>
        <w:textAlignment w:val="auto"/>
        <w:rPr>
          <w:rFonts w:hint="default" w:ascii="Times New Roman" w:hAnsi="Times New Roman" w:eastAsia="黑体" w:cs="Times New Roman"/>
          <w:kern w:val="0"/>
          <w:sz w:val="21"/>
          <w:szCs w:val="21"/>
          <w:lang w:val="en-US" w:eastAsia="zh-CN"/>
        </w:rPr>
      </w:pPr>
    </w:p>
    <w:p>
      <w:pPr>
        <w:spacing w:line="360" w:lineRule="auto"/>
        <w:outlineLvl w:val="0"/>
        <w:rPr>
          <w:rFonts w:hint="default"/>
          <w:b/>
          <w:sz w:val="24"/>
          <w:lang w:val="en-US" w:eastAsia="zh-CN"/>
        </w:rPr>
      </w:pPr>
      <w:r>
        <w:rPr>
          <w:rFonts w:hint="eastAsia"/>
          <w:b/>
          <w:sz w:val="24"/>
          <w:lang w:val="en-US" w:eastAsia="zh-CN"/>
        </w:rPr>
        <w:t>六、试验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以某大口径插入式超声流量计为例，进行实验室校准。将超声流量计按上游15倍下游5倍水力直径直管段进行安装</w:t>
      </w:r>
      <w:r>
        <w:rPr>
          <w:rFonts w:hint="eastAsia" w:ascii="宋体" w:hAnsi="宋体" w:cs="宋体"/>
          <w:kern w:val="0"/>
          <w:sz w:val="24"/>
          <w:szCs w:val="24"/>
          <w:lang w:val="en-US" w:eastAsia="zh-CN"/>
        </w:rPr>
        <w:t>，此时实验段流场为充分发展流量</w:t>
      </w:r>
      <w:r>
        <w:rPr>
          <w:rFonts w:hint="eastAsia" w:ascii="宋体" w:hAnsi="宋体" w:eastAsia="宋体" w:cs="宋体"/>
          <w:kern w:val="0"/>
          <w:sz w:val="24"/>
          <w:szCs w:val="24"/>
          <w:lang w:val="en-US" w:eastAsia="zh-CN"/>
        </w:rPr>
        <w:t>。</w:t>
      </w:r>
      <w:r>
        <w:rPr>
          <w:rFonts w:hint="eastAsia" w:ascii="宋体" w:hAnsi="宋体" w:cs="宋体"/>
          <w:kern w:val="0"/>
          <w:sz w:val="24"/>
          <w:szCs w:val="24"/>
          <w:lang w:val="en-US" w:eastAsia="zh-CN"/>
        </w:rPr>
        <w:t>同时记录超声和标准流量值，风洞实验段管道直径为1.5m。</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center"/>
        <w:textAlignment w:val="auto"/>
        <w:rPr>
          <w:rFonts w:hint="default" w:ascii="Times New Roman" w:hAnsi="Times New Roman" w:eastAsia="黑体" w:cs="Times New Roman"/>
          <w:kern w:val="0"/>
          <w:sz w:val="21"/>
          <w:szCs w:val="21"/>
          <w:lang w:val="en-US" w:eastAsia="zh-CN"/>
        </w:rPr>
      </w:pPr>
      <w:r>
        <w:rPr>
          <w:rFonts w:hint="default" w:ascii="Times New Roman" w:hAnsi="Times New Roman" w:eastAsia="黑体" w:cs="Times New Roman"/>
          <w:kern w:val="0"/>
          <w:sz w:val="21"/>
          <w:szCs w:val="21"/>
          <w:lang w:val="en-US" w:eastAsia="zh-CN"/>
        </w:rPr>
        <w:t>表</w:t>
      </w:r>
      <w:r>
        <w:rPr>
          <w:rFonts w:hint="eastAsia" w:eastAsia="黑体" w:cs="Times New Roman"/>
          <w:kern w:val="0"/>
          <w:sz w:val="21"/>
          <w:szCs w:val="21"/>
          <w:lang w:val="en-US" w:eastAsia="zh-CN"/>
        </w:rPr>
        <w:t>2</w:t>
      </w:r>
      <w:r>
        <w:rPr>
          <w:rFonts w:hint="default" w:ascii="Times New Roman" w:hAnsi="Times New Roman" w:eastAsia="黑体" w:cs="Times New Roman"/>
          <w:kern w:val="0"/>
          <w:sz w:val="21"/>
          <w:szCs w:val="21"/>
          <w:lang w:val="en-US" w:eastAsia="zh-CN"/>
        </w:rPr>
        <w:t xml:space="preserve"> </w:t>
      </w:r>
      <w:r>
        <w:rPr>
          <w:rFonts w:hint="eastAsia" w:eastAsia="黑体" w:cs="Times New Roman"/>
          <w:kern w:val="0"/>
          <w:sz w:val="21"/>
          <w:szCs w:val="21"/>
          <w:lang w:val="en-US" w:eastAsia="zh-CN"/>
        </w:rPr>
        <w:t>充分发展流场超声流量计校准数据</w:t>
      </w:r>
    </w:p>
    <w:tbl>
      <w:tblPr>
        <w:tblStyle w:val="5"/>
        <w:tblW w:w="85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6"/>
        <w:gridCol w:w="1376"/>
        <w:gridCol w:w="1376"/>
        <w:gridCol w:w="1231"/>
        <w:gridCol w:w="1229"/>
        <w:gridCol w:w="1177"/>
        <w:gridCol w:w="11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第一校准点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3"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rPr>
            </w:pPr>
            <w:r>
              <w:rPr>
                <w:rFonts w:hint="eastAsia" w:cs="Times New Roman"/>
                <w:i w:val="0"/>
                <w:iCs w:val="0"/>
                <w:color w:val="000000"/>
                <w:kern w:val="0"/>
                <w:sz w:val="21"/>
                <w:szCs w:val="21"/>
                <w:u w:val="none"/>
                <w:lang w:val="en-US" w:eastAsia="zh-CN" w:bidi="ar"/>
              </w:rPr>
              <w:t>记录数据次数</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标准流量</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超声流量计示值</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温度（℃）</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大气压力（kPa）</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校准系数</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重复性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1238.47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1360.87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101.11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0.91 </w:t>
            </w:r>
          </w:p>
        </w:tc>
        <w:tc>
          <w:tcPr>
            <w:tcW w:w="117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1.86</w:t>
            </w: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1246.83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1388.91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100.99</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0.90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1222.79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1391.12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1208.92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1336.70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100.84</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0.90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1223.20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1384.32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1212.53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1395.22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101.03</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0.87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1246.29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1353.86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25.32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101.15</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0.92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1221.00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1373.93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cs="Times New Roman"/>
                <w:i w:val="0"/>
                <w:iCs w:val="0"/>
                <w:color w:val="000000"/>
                <w:kern w:val="0"/>
                <w:sz w:val="21"/>
                <w:szCs w:val="21"/>
                <w:u w:val="none"/>
                <w:lang w:val="en-US" w:eastAsia="zh-CN" w:bidi="ar"/>
              </w:rPr>
              <w:t>38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101.20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0.89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9</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1223.92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1326.45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cs="Times New Roman"/>
                <w:i w:val="0"/>
                <w:iCs w:val="0"/>
                <w:color w:val="000000"/>
                <w:kern w:val="0"/>
                <w:sz w:val="21"/>
                <w:szCs w:val="21"/>
                <w:u w:val="none"/>
                <w:lang w:val="en-US" w:eastAsia="zh-CN" w:bidi="ar"/>
              </w:rPr>
              <w:t>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i w:val="0"/>
                <w:iCs w:val="0"/>
                <w:color w:val="000000"/>
                <w:kern w:val="0"/>
                <w:sz w:val="21"/>
                <w:szCs w:val="21"/>
                <w:u w:val="none"/>
                <w:lang w:val="en-US" w:eastAsia="zh-CN" w:bidi="ar"/>
              </w:rPr>
            </w:pPr>
            <w:r>
              <w:rPr>
                <w:rFonts w:hint="default" w:ascii="Times New Roman" w:hAnsi="Times New Roman" w:eastAsia="宋体" w:cs="Times New Roman"/>
                <w:position w:val="-12"/>
                <w:sz w:val="21"/>
                <w:szCs w:val="21"/>
                <w:vertAlign w:val="baseline"/>
                <w:lang w:val="en-US" w:eastAsia="zh-CN"/>
              </w:rPr>
              <w:t>101.31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0.92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1223.62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1393.59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cs="Times New Roman"/>
                <w:i w:val="0"/>
                <w:iCs w:val="0"/>
                <w:color w:val="000000"/>
                <w:kern w:val="0"/>
                <w:sz w:val="21"/>
                <w:szCs w:val="21"/>
                <w:u w:val="none"/>
                <w:lang w:val="en-US" w:eastAsia="zh-CN" w:bidi="ar"/>
              </w:rPr>
              <w:t>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i w:val="0"/>
                <w:iCs w:val="0"/>
                <w:color w:val="000000"/>
                <w:kern w:val="0"/>
                <w:sz w:val="21"/>
                <w:szCs w:val="21"/>
                <w:u w:val="none"/>
                <w:lang w:val="en-US" w:eastAsia="zh-CN" w:bidi="ar"/>
              </w:rPr>
            </w:pPr>
            <w:r>
              <w:rPr>
                <w:rFonts w:hint="default" w:ascii="Times New Roman" w:hAnsi="Times New Roman" w:eastAsia="宋体" w:cs="Times New Roman"/>
                <w:position w:val="-12"/>
                <w:sz w:val="21"/>
                <w:szCs w:val="21"/>
                <w:vertAlign w:val="baseline"/>
                <w:lang w:val="en-US" w:eastAsia="zh-CN"/>
              </w:rPr>
              <w:t>101.42</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0.88 </w:t>
            </w:r>
          </w:p>
        </w:tc>
        <w:tc>
          <w:tcPr>
            <w:tcW w:w="1177" w:type="dxa"/>
            <w:vMerge w:val="continue"/>
            <w:tcBorders>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position w:val="-12"/>
                <w:sz w:val="21"/>
                <w:szCs w:val="21"/>
                <w:vertAlign w:val="baseline"/>
                <w:lang w:val="en-US" w:eastAsia="zh-CN"/>
              </w:rPr>
            </w:pPr>
            <w:r>
              <w:rPr>
                <w:rFonts w:hint="eastAsia" w:cs="Times New Roman"/>
                <w:position w:val="-12"/>
                <w:sz w:val="21"/>
                <w:szCs w:val="21"/>
                <w:vertAlign w:val="baseline"/>
                <w:lang w:val="en-US" w:eastAsia="zh-CN"/>
              </w:rPr>
              <w:t>第二校准点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81812.88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83757.99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80885.02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82698.56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100.99</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80838.36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82838.87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80025.56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83300.83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100.84</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0.96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81988.55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82066.93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1.00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80400.11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82845.44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101.03</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81349.38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82713.64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25.32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101.15</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81785.77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82482.47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cs="Times New Roman"/>
                <w:i w:val="0"/>
                <w:iCs w:val="0"/>
                <w:color w:val="000000"/>
                <w:kern w:val="0"/>
                <w:sz w:val="21"/>
                <w:szCs w:val="21"/>
                <w:u w:val="none"/>
                <w:lang w:val="en-US" w:eastAsia="zh-CN" w:bidi="ar"/>
              </w:rPr>
              <w:t>38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101.20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0.99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9</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81253.94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82435.21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cs="Times New Roman"/>
                <w:i w:val="0"/>
                <w:iCs w:val="0"/>
                <w:color w:val="000000"/>
                <w:kern w:val="0"/>
                <w:sz w:val="21"/>
                <w:szCs w:val="21"/>
                <w:u w:val="none"/>
                <w:lang w:val="en-US" w:eastAsia="zh-CN" w:bidi="ar"/>
              </w:rPr>
              <w:t>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101.31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0.99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80312.71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82022.22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cs="Times New Roman"/>
                <w:i w:val="0"/>
                <w:iCs w:val="0"/>
                <w:color w:val="000000"/>
                <w:kern w:val="0"/>
                <w:sz w:val="21"/>
                <w:szCs w:val="21"/>
                <w:u w:val="none"/>
                <w:lang w:val="en-US" w:eastAsia="zh-CN" w:bidi="ar"/>
              </w:rPr>
              <w:t>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101.42</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position w:val="-12"/>
                <w:sz w:val="21"/>
                <w:szCs w:val="21"/>
                <w:vertAlign w:val="baseline"/>
                <w:lang w:val="en-US" w:eastAsia="zh-CN"/>
              </w:rPr>
            </w:pPr>
            <w:r>
              <w:rPr>
                <w:rFonts w:hint="eastAsia" w:cs="Times New Roman"/>
                <w:position w:val="-12"/>
                <w:sz w:val="21"/>
                <w:szCs w:val="21"/>
                <w:vertAlign w:val="baseline"/>
                <w:lang w:val="en-US" w:eastAsia="zh-CN"/>
              </w:rPr>
              <w:t>第三校准点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184056.92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187426.18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183917.73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189447.13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100.99</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184427.89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187366.81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182378.16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189897.81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100.84</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0.96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182772.76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185233.01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0.99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184409.46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189628.05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101.03</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184056.74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185036.50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25.32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101.15</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0.99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181132.96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185652.26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cs="Times New Roman"/>
                <w:i w:val="0"/>
                <w:iCs w:val="0"/>
                <w:color w:val="000000"/>
                <w:kern w:val="0"/>
                <w:sz w:val="21"/>
                <w:szCs w:val="21"/>
                <w:u w:val="none"/>
                <w:lang w:val="en-US" w:eastAsia="zh-CN" w:bidi="ar"/>
              </w:rPr>
              <w:t>38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101.20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9</w:t>
            </w:r>
          </w:p>
        </w:tc>
        <w:tc>
          <w:tcPr>
            <w:tcW w:w="137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183996.24 </w:t>
            </w:r>
          </w:p>
        </w:tc>
        <w:tc>
          <w:tcPr>
            <w:tcW w:w="137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189403.08 </w:t>
            </w:r>
          </w:p>
        </w:tc>
        <w:tc>
          <w:tcPr>
            <w:tcW w:w="123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cs="Times New Roman"/>
                <w:i w:val="0"/>
                <w:iCs w:val="0"/>
                <w:color w:val="000000"/>
                <w:kern w:val="0"/>
                <w:sz w:val="21"/>
                <w:szCs w:val="21"/>
                <w:u w:val="none"/>
                <w:lang w:val="en-US" w:eastAsia="zh-CN" w:bidi="ar"/>
              </w:rPr>
              <w:t>5</w:t>
            </w:r>
          </w:p>
        </w:tc>
        <w:tc>
          <w:tcPr>
            <w:tcW w:w="1229" w:type="dxa"/>
            <w:tcBorders>
              <w:top w:val="single" w:color="000000" w:sz="4" w:space="0"/>
              <w:left w:val="single" w:color="000000" w:sz="4" w:space="0"/>
              <w:bottom w:val="single" w:color="auto"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101.31</w:t>
            </w:r>
          </w:p>
        </w:tc>
        <w:tc>
          <w:tcPr>
            <w:tcW w:w="117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183293.74 </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189256.60 </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cs="Times New Roman"/>
                <w:i w:val="0"/>
                <w:iCs w:val="0"/>
                <w:color w:val="000000"/>
                <w:kern w:val="0"/>
                <w:sz w:val="21"/>
                <w:szCs w:val="21"/>
                <w:u w:val="none"/>
                <w:lang w:val="en-US" w:eastAsia="zh-CN" w:bidi="ar"/>
              </w:rPr>
              <w:t>6</w:t>
            </w:r>
          </w:p>
        </w:tc>
        <w:tc>
          <w:tcPr>
            <w:tcW w:w="122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101.42</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77" w:type="dxa"/>
            <w:vMerge w:val="continue"/>
            <w:tcBorders>
              <w:left w:val="single" w:color="000000" w:sz="4" w:space="0"/>
              <w:bottom w:val="single" w:color="auto" w:sz="4" w:space="0"/>
              <w:right w:val="single" w:color="000000" w:sz="4" w:space="0"/>
            </w:tcBorders>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bl>
    <w:p>
      <w:pPr>
        <w:keepNext w:val="0"/>
        <w:keepLines w:val="0"/>
        <w:pageBreakBefore w:val="0"/>
        <w:widowControl w:val="0"/>
        <w:shd w:val="clear"/>
        <w:kinsoku/>
        <w:wordWrap/>
        <w:overflowPunct/>
        <w:topLinePunct w:val="0"/>
        <w:autoSpaceDE w:val="0"/>
        <w:autoSpaceDN w:val="0"/>
        <w:bidi w:val="0"/>
        <w:adjustRightInd w:val="0"/>
        <w:snapToGrid w:val="0"/>
        <w:spacing w:line="240" w:lineRule="auto"/>
        <w:ind w:firstLine="488" w:firstLineChars="200"/>
        <w:jc w:val="both"/>
        <w:textAlignment w:val="auto"/>
        <w:rPr>
          <w:rFonts w:hint="eastAsia" w:ascii="宋体" w:hAnsi="宋体" w:eastAsia="宋体" w:cs="宋体"/>
          <w:b w:val="0"/>
          <w:bCs w:val="0"/>
          <w:spacing w:val="2"/>
          <w:sz w:val="24"/>
          <w:szCs w:val="24"/>
          <w:lang w:val="en-US" w:eastAsia="zh-CN" w:bidi="ar-SA"/>
        </w:rPr>
      </w:pPr>
      <w:r>
        <w:rPr>
          <w:rFonts w:hint="eastAsia" w:ascii="宋体" w:hAnsi="宋体" w:eastAsia="宋体" w:cs="宋体"/>
          <w:b w:val="0"/>
          <w:bCs w:val="0"/>
          <w:spacing w:val="2"/>
          <w:sz w:val="24"/>
          <w:szCs w:val="24"/>
          <w:lang w:val="en-US" w:eastAsia="zh-CN" w:bidi="ar-SA"/>
        </w:rPr>
        <w:t>在超声上游2倍水力直径位置安装涡流发生器，使测验段变成高湍流度的复杂流场。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center"/>
        <w:textAlignment w:val="auto"/>
        <w:rPr>
          <w:rFonts w:hint="default" w:ascii="Times New Roman" w:hAnsi="Times New Roman" w:eastAsia="黑体" w:cs="Times New Roman"/>
          <w:kern w:val="0"/>
          <w:sz w:val="21"/>
          <w:szCs w:val="21"/>
          <w:lang w:val="en-US" w:eastAsia="zh-CN"/>
        </w:rPr>
      </w:pPr>
      <w:r>
        <w:rPr>
          <w:rFonts w:hint="default" w:ascii="Times New Roman" w:hAnsi="Times New Roman" w:eastAsia="黑体" w:cs="Times New Roman"/>
          <w:kern w:val="0"/>
          <w:sz w:val="21"/>
          <w:szCs w:val="21"/>
          <w:lang w:val="en-US" w:eastAsia="zh-CN"/>
        </w:rPr>
        <w:t>表</w:t>
      </w:r>
      <w:r>
        <w:rPr>
          <w:rFonts w:hint="eastAsia" w:eastAsia="黑体" w:cs="Times New Roman"/>
          <w:kern w:val="0"/>
          <w:sz w:val="21"/>
          <w:szCs w:val="21"/>
          <w:lang w:val="en-US" w:eastAsia="zh-CN"/>
        </w:rPr>
        <w:t>3</w:t>
      </w:r>
      <w:r>
        <w:rPr>
          <w:rFonts w:hint="default" w:ascii="Times New Roman" w:hAnsi="Times New Roman" w:eastAsia="黑体" w:cs="Times New Roman"/>
          <w:kern w:val="0"/>
          <w:sz w:val="21"/>
          <w:szCs w:val="21"/>
          <w:lang w:val="en-US" w:eastAsia="zh-CN"/>
        </w:rPr>
        <w:t xml:space="preserve"> </w:t>
      </w:r>
      <w:r>
        <w:rPr>
          <w:rFonts w:hint="eastAsia" w:eastAsia="黑体" w:cs="Times New Roman"/>
          <w:kern w:val="0"/>
          <w:sz w:val="21"/>
          <w:szCs w:val="21"/>
          <w:lang w:val="en-US" w:eastAsia="zh-CN"/>
        </w:rPr>
        <w:t>复杂流场超声流量计校准数据</w:t>
      </w:r>
    </w:p>
    <w:tbl>
      <w:tblPr>
        <w:tblStyle w:val="5"/>
        <w:tblW w:w="85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1401"/>
        <w:gridCol w:w="1252"/>
        <w:gridCol w:w="1252"/>
        <w:gridCol w:w="1250"/>
        <w:gridCol w:w="1197"/>
        <w:gridCol w:w="11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第一校准点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3"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rPr>
            </w:pPr>
            <w:r>
              <w:rPr>
                <w:rFonts w:hint="eastAsia" w:cs="Times New Roman"/>
                <w:i w:val="0"/>
                <w:iCs w:val="0"/>
                <w:color w:val="000000"/>
                <w:kern w:val="0"/>
                <w:sz w:val="21"/>
                <w:szCs w:val="21"/>
                <w:u w:val="none"/>
                <w:lang w:val="en-US" w:eastAsia="zh-CN" w:bidi="ar"/>
              </w:rPr>
              <w:t>记录数据次数</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标准流量</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超声流量计示值</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温度（℃）</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大气压力（kPa）</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校准系数</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重复性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1238.47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1475.64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101.11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0.84 </w:t>
            </w:r>
          </w:p>
        </w:tc>
        <w:tc>
          <w:tcPr>
            <w:tcW w:w="1198"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3.33</w:t>
            </w: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1246.83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1395.05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100.99</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0.89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1222.79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1386.99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0.88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1208.92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1361.21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100.84</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0.89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1223.20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1446.30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0.85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1212.53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1442.76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101.03</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0.84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1246.29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1347.80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25.32</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101.15</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0.92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1221.00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1313.39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cs="Times New Roman"/>
                <w:i w:val="0"/>
                <w:iCs w:val="0"/>
                <w:color w:val="000000"/>
                <w:kern w:val="0"/>
                <w:sz w:val="21"/>
                <w:szCs w:val="21"/>
                <w:u w:val="none"/>
                <w:lang w:val="en-US" w:eastAsia="zh-CN" w:bidi="ar"/>
              </w:rPr>
              <w:t>38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101.20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0.93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9</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1223.92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1368.13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cs="Times New Roman"/>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i w:val="0"/>
                <w:iCs w:val="0"/>
                <w:color w:val="000000"/>
                <w:kern w:val="0"/>
                <w:sz w:val="21"/>
                <w:szCs w:val="21"/>
                <w:u w:val="none"/>
                <w:lang w:val="en-US" w:eastAsia="zh-CN" w:bidi="ar"/>
              </w:rPr>
            </w:pPr>
            <w:r>
              <w:rPr>
                <w:rFonts w:hint="default" w:ascii="Times New Roman" w:hAnsi="Times New Roman" w:eastAsia="宋体" w:cs="Times New Roman"/>
                <w:position w:val="-12"/>
                <w:sz w:val="21"/>
                <w:szCs w:val="21"/>
                <w:vertAlign w:val="baseline"/>
                <w:lang w:val="en-US" w:eastAsia="zh-CN"/>
              </w:rPr>
              <w:t>101.31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0.89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1223.62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1346.06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cs="Times New Roman"/>
                <w:i w:val="0"/>
                <w:iCs w:val="0"/>
                <w:color w:val="000000"/>
                <w:kern w:val="0"/>
                <w:sz w:val="21"/>
                <w:szCs w:val="21"/>
                <w:u w:val="none"/>
                <w:lang w:val="en-US" w:eastAsia="zh-CN" w:bidi="ar"/>
              </w:rPr>
              <w:t>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i w:val="0"/>
                <w:iCs w:val="0"/>
                <w:color w:val="000000"/>
                <w:kern w:val="0"/>
                <w:sz w:val="21"/>
                <w:szCs w:val="21"/>
                <w:u w:val="none"/>
                <w:lang w:val="en-US" w:eastAsia="zh-CN" w:bidi="ar"/>
              </w:rPr>
            </w:pPr>
            <w:r>
              <w:rPr>
                <w:rFonts w:hint="default" w:ascii="Times New Roman" w:hAnsi="Times New Roman" w:eastAsia="宋体" w:cs="Times New Roman"/>
                <w:position w:val="-12"/>
                <w:sz w:val="21"/>
                <w:szCs w:val="21"/>
                <w:vertAlign w:val="baseline"/>
                <w:lang w:val="en-US" w:eastAsia="zh-CN"/>
              </w:rPr>
              <w:t>101.42</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0.91 </w:t>
            </w:r>
          </w:p>
        </w:tc>
        <w:tc>
          <w:tcPr>
            <w:tcW w:w="1198" w:type="dxa"/>
            <w:vMerge w:val="continue"/>
            <w:tcBorders>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position w:val="-12"/>
                <w:sz w:val="21"/>
                <w:szCs w:val="21"/>
                <w:vertAlign w:val="baseline"/>
                <w:lang w:val="en-US" w:eastAsia="zh-CN"/>
              </w:rPr>
            </w:pPr>
            <w:r>
              <w:rPr>
                <w:rFonts w:hint="eastAsia" w:cs="Times New Roman"/>
                <w:position w:val="-12"/>
                <w:sz w:val="21"/>
                <w:szCs w:val="21"/>
                <w:vertAlign w:val="baseline"/>
                <w:lang w:val="en-US" w:eastAsia="zh-CN"/>
              </w:rPr>
              <w:t>第二校准点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81812.88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87399.95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0.94 </w:t>
            </w:r>
          </w:p>
        </w:tc>
        <w:tc>
          <w:tcPr>
            <w:tcW w:w="1198"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80885.02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85326.89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100.99</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0.95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80838.36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85026.73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0.95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80025.56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84970.27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100.84</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0.94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81988.55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82305.32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1.00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80400.11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83756.10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101.03</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0.96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81349.38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86649.67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25.32</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101.15</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0.94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81785.77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83993.66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cs="Times New Roman"/>
                <w:i w:val="0"/>
                <w:iCs w:val="0"/>
                <w:color w:val="000000"/>
                <w:kern w:val="0"/>
                <w:sz w:val="21"/>
                <w:szCs w:val="21"/>
                <w:u w:val="none"/>
                <w:lang w:val="en-US" w:eastAsia="zh-CN" w:bidi="ar"/>
              </w:rPr>
              <w:t>38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101.20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9</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81253.94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86268.36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cs="Times New Roman"/>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101.31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0.94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80312.71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82217.04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cs="Times New Roman"/>
                <w:i w:val="0"/>
                <w:iCs w:val="0"/>
                <w:color w:val="000000"/>
                <w:kern w:val="0"/>
                <w:sz w:val="21"/>
                <w:szCs w:val="21"/>
                <w:u w:val="none"/>
                <w:lang w:val="en-US" w:eastAsia="zh-CN" w:bidi="ar"/>
              </w:rPr>
              <w:t>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101.42</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98" w:type="dxa"/>
            <w:vMerge w:val="continue"/>
            <w:tcBorders>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cs="Times New Roman"/>
                <w:position w:val="-12"/>
                <w:sz w:val="21"/>
                <w:szCs w:val="21"/>
                <w:vertAlign w:val="baseline"/>
                <w:lang w:val="en-US" w:eastAsia="zh-CN"/>
              </w:rPr>
            </w:pPr>
            <w:r>
              <w:rPr>
                <w:rFonts w:hint="eastAsia" w:cs="Times New Roman"/>
                <w:position w:val="-12"/>
                <w:sz w:val="21"/>
                <w:szCs w:val="21"/>
                <w:vertAlign w:val="baseline"/>
                <w:lang w:val="en-US" w:eastAsia="zh-CN"/>
              </w:rPr>
              <w:t>第三校准点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184056.92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193395.56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0.95 </w:t>
            </w:r>
          </w:p>
        </w:tc>
        <w:tc>
          <w:tcPr>
            <w:tcW w:w="1198"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183917.73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184768.52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100.99</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1.00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184427.89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189212.52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182378.16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185332.72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100.84</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182772.76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187654.65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184409.46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186684.83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101.03</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0.99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184056.74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188407.72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25.32</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101.15</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181132.96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186247.82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cs="Times New Roman"/>
                <w:i w:val="0"/>
                <w:iCs w:val="0"/>
                <w:color w:val="000000"/>
                <w:kern w:val="0"/>
                <w:sz w:val="21"/>
                <w:szCs w:val="21"/>
                <w:u w:val="none"/>
                <w:lang w:val="en-US" w:eastAsia="zh-CN" w:bidi="ar"/>
              </w:rPr>
              <w:t>38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101.20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9</w:t>
            </w:r>
          </w:p>
        </w:tc>
        <w:tc>
          <w:tcPr>
            <w:tcW w:w="140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183996.24 </w:t>
            </w:r>
          </w:p>
        </w:tc>
        <w:tc>
          <w:tcPr>
            <w:tcW w:w="12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188517.46 </w:t>
            </w:r>
          </w:p>
        </w:tc>
        <w:tc>
          <w:tcPr>
            <w:tcW w:w="12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cs="Times New Roman"/>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auto"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101.31</w:t>
            </w:r>
          </w:p>
        </w:tc>
        <w:tc>
          <w:tcPr>
            <w:tcW w:w="119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10</w:t>
            </w: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183293.74 </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190201.23 </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cs="Times New Roman"/>
                <w:i w:val="0"/>
                <w:iCs w:val="0"/>
                <w:color w:val="000000"/>
                <w:kern w:val="0"/>
                <w:sz w:val="21"/>
                <w:szCs w:val="21"/>
                <w:u w:val="none"/>
                <w:lang w:val="en-US" w:eastAsia="zh-CN" w:bidi="ar"/>
              </w:rPr>
              <w:t>6</w:t>
            </w:r>
          </w:p>
        </w:tc>
        <w:tc>
          <w:tcPr>
            <w:tcW w:w="125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101.42</w:t>
            </w:r>
          </w:p>
        </w:tc>
        <w:tc>
          <w:tcPr>
            <w:tcW w:w="11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0.96 </w:t>
            </w:r>
          </w:p>
        </w:tc>
        <w:tc>
          <w:tcPr>
            <w:tcW w:w="1198" w:type="dxa"/>
            <w:vMerge w:val="continue"/>
            <w:tcBorders>
              <w:left w:val="single" w:color="000000" w:sz="4" w:space="0"/>
              <w:bottom w:val="single" w:color="auto" w:sz="4" w:space="0"/>
              <w:right w:val="single" w:color="000000" w:sz="4" w:space="0"/>
            </w:tcBorders>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kern w:val="0"/>
          <w:sz w:val="24"/>
          <w:szCs w:val="24"/>
          <w:lang w:val="en-US" w:eastAsia="zh-CN"/>
        </w:rPr>
      </w:pPr>
      <w:r>
        <w:rPr>
          <w:rFonts w:hint="eastAsia"/>
          <w:kern w:val="0"/>
          <w:sz w:val="24"/>
          <w:szCs w:val="24"/>
          <w:lang w:val="en-US" w:eastAsia="zh-CN"/>
        </w:rPr>
        <w:t>在实验室对大口径插入式超声流量计进行校准。从上述数据可以了解超声流量计在充分发展流场和复杂流场下的校准系数变化以及重复性的变化情况。为超声在烟道中安装提供基础的校准数据。减小测量误差。从而保证流量的测量的准确性。</w:t>
      </w:r>
    </w:p>
    <w:p>
      <w:pPr>
        <w:spacing w:line="360" w:lineRule="auto"/>
        <w:outlineLvl w:val="0"/>
        <w:rPr>
          <w:rFonts w:hint="eastAsia"/>
          <w:b/>
          <w:sz w:val="24"/>
          <w:lang w:val="en-US" w:eastAsia="zh-CN"/>
        </w:rPr>
      </w:pPr>
      <w:r>
        <w:rPr>
          <w:rFonts w:hint="eastAsia"/>
          <w:b/>
          <w:sz w:val="24"/>
          <w:lang w:val="en-US" w:eastAsia="zh-CN"/>
        </w:rPr>
        <w:t>七、其它说明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kern w:val="0"/>
          <w:sz w:val="24"/>
          <w:szCs w:val="24"/>
          <w:lang w:val="en-US" w:eastAsia="zh-CN"/>
        </w:rPr>
      </w:pPr>
      <w:r>
        <w:rPr>
          <w:rFonts w:hint="eastAsia"/>
          <w:kern w:val="0"/>
          <w:sz w:val="24"/>
          <w:szCs w:val="24"/>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hY2E0MGU5ODdiNDEyOTgxNmVjYTJiM2Q3MDdkZTgifQ=="/>
  </w:docVars>
  <w:rsids>
    <w:rsidRoot w:val="001A40A4"/>
    <w:rsid w:val="000B4428"/>
    <w:rsid w:val="00103896"/>
    <w:rsid w:val="0013461A"/>
    <w:rsid w:val="00185479"/>
    <w:rsid w:val="001A40A4"/>
    <w:rsid w:val="002309C6"/>
    <w:rsid w:val="00275926"/>
    <w:rsid w:val="00281087"/>
    <w:rsid w:val="004B39FA"/>
    <w:rsid w:val="00550D51"/>
    <w:rsid w:val="00567F98"/>
    <w:rsid w:val="00587E21"/>
    <w:rsid w:val="005C2C41"/>
    <w:rsid w:val="006C23D5"/>
    <w:rsid w:val="006D1276"/>
    <w:rsid w:val="007A33D2"/>
    <w:rsid w:val="007F7199"/>
    <w:rsid w:val="008F0F0E"/>
    <w:rsid w:val="009123D7"/>
    <w:rsid w:val="009323BA"/>
    <w:rsid w:val="00960B7F"/>
    <w:rsid w:val="00974C1F"/>
    <w:rsid w:val="009C7049"/>
    <w:rsid w:val="00A254D8"/>
    <w:rsid w:val="00AA14AB"/>
    <w:rsid w:val="00AC1CBB"/>
    <w:rsid w:val="00B078BF"/>
    <w:rsid w:val="00C023D6"/>
    <w:rsid w:val="00C51DF8"/>
    <w:rsid w:val="00C62E1A"/>
    <w:rsid w:val="00C813C0"/>
    <w:rsid w:val="00C86E4D"/>
    <w:rsid w:val="00C916CA"/>
    <w:rsid w:val="00F14374"/>
    <w:rsid w:val="00F9354A"/>
    <w:rsid w:val="02661E94"/>
    <w:rsid w:val="033A1A41"/>
    <w:rsid w:val="03D07AF0"/>
    <w:rsid w:val="043578CA"/>
    <w:rsid w:val="08D23334"/>
    <w:rsid w:val="0BFC53FE"/>
    <w:rsid w:val="0D701D0F"/>
    <w:rsid w:val="10BD7F7B"/>
    <w:rsid w:val="112964DE"/>
    <w:rsid w:val="13F84916"/>
    <w:rsid w:val="14171240"/>
    <w:rsid w:val="1D975BCD"/>
    <w:rsid w:val="20747598"/>
    <w:rsid w:val="21B571B8"/>
    <w:rsid w:val="22EA3DA9"/>
    <w:rsid w:val="240F3CE2"/>
    <w:rsid w:val="244E0498"/>
    <w:rsid w:val="28622C8B"/>
    <w:rsid w:val="287945A5"/>
    <w:rsid w:val="28A3341B"/>
    <w:rsid w:val="317165EF"/>
    <w:rsid w:val="31D47084"/>
    <w:rsid w:val="37296972"/>
    <w:rsid w:val="3CCD42E3"/>
    <w:rsid w:val="50C7345E"/>
    <w:rsid w:val="50D85CC1"/>
    <w:rsid w:val="55A00D61"/>
    <w:rsid w:val="58B362E7"/>
    <w:rsid w:val="593E0421"/>
    <w:rsid w:val="5AE72286"/>
    <w:rsid w:val="5E5E3550"/>
    <w:rsid w:val="614349DD"/>
    <w:rsid w:val="63001CFF"/>
    <w:rsid w:val="663563B1"/>
    <w:rsid w:val="6ABB7828"/>
    <w:rsid w:val="6FB77DCF"/>
    <w:rsid w:val="6FE94C2B"/>
    <w:rsid w:val="70744280"/>
    <w:rsid w:val="71320CD4"/>
    <w:rsid w:val="745F63BF"/>
    <w:rsid w:val="75C32C4B"/>
    <w:rsid w:val="76807151"/>
    <w:rsid w:val="77FC30BA"/>
    <w:rsid w:val="79633779"/>
    <w:rsid w:val="7E1E4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1"/>
    <w:qFormat/>
    <w:uiPriority w:val="0"/>
    <w:pPr>
      <w:spacing w:after="120"/>
      <w:ind w:left="420" w:leftChars="200"/>
    </w:pPr>
    <w:rPr>
      <w:szCs w:val="20"/>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No Spacing"/>
    <w:qFormat/>
    <w:uiPriority w:val="1"/>
    <w:pPr>
      <w:widowControl w:val="0"/>
      <w:spacing w:line="300" w:lineRule="auto"/>
      <w:ind w:firstLine="200" w:firstLineChars="200"/>
      <w:jc w:val="both"/>
    </w:pPr>
    <w:rPr>
      <w:rFonts w:ascii="等线" w:hAnsi="等线" w:eastAsia="宋体" w:cs="Times New Roman"/>
      <w:kern w:val="2"/>
      <w:sz w:val="24"/>
      <w:szCs w:val="22"/>
      <w:lang w:val="en-US" w:eastAsia="zh-CN" w:bidi="ar-SA"/>
    </w:rPr>
  </w:style>
  <w:style w:type="character" w:customStyle="1" w:styleId="11">
    <w:name w:val="正文文本缩进 字符"/>
    <w:basedOn w:val="7"/>
    <w:link w:val="2"/>
    <w:qFormat/>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84B0E-91B5-49A9-AD13-CC27CEAEE3E3}">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2325</Words>
  <Characters>3312</Characters>
  <Lines>11</Lines>
  <Paragraphs>3</Paragraphs>
  <TotalTime>0</TotalTime>
  <ScaleCrop>false</ScaleCrop>
  <LinksUpToDate>false</LinksUpToDate>
  <CharactersWithSpaces>3505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2020-05-27T05:31:00Z</dcterms:created>
  <dc:creator>Administrator</dc:creator>
  <cp:lastModifiedBy>蓝色天空</cp:lastModifiedBy>
  <dcterms:modified xsi:type="dcterms:W3CDTF">2023-11-03T01:36:01Z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7D66ADA3BE1240DB8A1717F510AA8F8A_13</vt:lpwstr>
  </property>
</Properties>
</file>