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52"/>
        </w:rPr>
      </w:pPr>
      <w:bookmarkStart w:id="0" w:name="_Toc2781878"/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hint="eastAsia"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国家计量技术规范</w:t>
      </w:r>
    </w:p>
    <w:p>
      <w:pPr>
        <w:jc w:val="center"/>
        <w:rPr>
          <w:rFonts w:hint="eastAsia"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《太阳能集热器的热性能测试计量》</w:t>
      </w:r>
    </w:p>
    <w:p>
      <w:pPr>
        <w:jc w:val="center"/>
        <w:rPr>
          <w:rFonts w:hint="eastAsia"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不确定度</w:t>
      </w:r>
      <w:r>
        <w:rPr>
          <w:rFonts w:hint="eastAsia" w:eastAsia="黑体"/>
          <w:sz w:val="44"/>
          <w:szCs w:val="44"/>
          <w:lang w:val="en-US" w:eastAsia="zh-CN"/>
        </w:rPr>
        <w:t>评定</w:t>
      </w:r>
      <w:r>
        <w:rPr>
          <w:rFonts w:hint="eastAsia" w:eastAsia="黑体"/>
          <w:sz w:val="44"/>
          <w:szCs w:val="44"/>
        </w:rPr>
        <w:t>报告</w:t>
      </w:r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          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          </w:t>
      </w:r>
    </w:p>
    <w:p>
      <w:pPr>
        <w:jc w:val="both"/>
        <w:rPr>
          <w:rFonts w:eastAsia="黑体"/>
          <w:sz w:val="52"/>
        </w:rPr>
      </w:pPr>
    </w:p>
    <w:p>
      <w:pPr>
        <w:jc w:val="center"/>
        <w:rPr>
          <w:rFonts w:eastAsia="黑体"/>
          <w:sz w:val="52"/>
        </w:rPr>
      </w:pPr>
    </w:p>
    <w:p>
      <w:pPr>
        <w:rPr>
          <w:rFonts w:eastAsia="黑体"/>
          <w:sz w:val="52"/>
        </w:rPr>
      </w:pPr>
    </w:p>
    <w:p>
      <w:pPr>
        <w:rPr>
          <w:rFonts w:eastAsia="黑体"/>
          <w:sz w:val="52"/>
        </w:rPr>
      </w:pP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规范编制组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20</w:t>
      </w:r>
      <w:r>
        <w:rPr>
          <w:rFonts w:eastAsia="黑体"/>
          <w:sz w:val="28"/>
          <w:szCs w:val="28"/>
        </w:rPr>
        <w:t>20</w:t>
      </w:r>
      <w:r>
        <w:rPr>
          <w:rFonts w:hint="eastAsia" w:eastAsia="黑体"/>
          <w:sz w:val="28"/>
          <w:szCs w:val="28"/>
        </w:rPr>
        <w:t>年12月</w:t>
      </w:r>
      <w:r>
        <w:rPr>
          <w:rFonts w:hint="eastAsia" w:eastAsia="黑体"/>
          <w:sz w:val="28"/>
          <w:szCs w:val="28"/>
          <w:lang w:val="en-US" w:eastAsia="zh-CN"/>
        </w:rPr>
        <w:t>20</w:t>
      </w:r>
      <w:r>
        <w:rPr>
          <w:rFonts w:hint="eastAsia" w:eastAsia="黑体"/>
          <w:sz w:val="28"/>
          <w:szCs w:val="28"/>
        </w:rPr>
        <w:t>日</w:t>
      </w:r>
    </w:p>
    <w:p>
      <w:pPr>
        <w:jc w:val="center"/>
        <w:rPr>
          <w:rFonts w:eastAsia="黑体"/>
          <w:sz w:val="28"/>
          <w:szCs w:val="28"/>
        </w:rPr>
      </w:pPr>
    </w:p>
    <w:p>
      <w:pPr>
        <w:jc w:val="center"/>
        <w:rPr>
          <w:rFonts w:eastAsia="黑体"/>
          <w:sz w:val="28"/>
          <w:szCs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国家计量技术规范《太阳能集热器的热性能测试计量》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不确定度</w:t>
      </w:r>
      <w:r>
        <w:rPr>
          <w:rFonts w:hint="eastAsia" w:eastAsia="黑体"/>
          <w:sz w:val="30"/>
          <w:szCs w:val="30"/>
          <w:lang w:val="en-US" w:eastAsia="zh-CN"/>
        </w:rPr>
        <w:t>评定</w:t>
      </w:r>
      <w:r>
        <w:rPr>
          <w:rFonts w:hint="eastAsia" w:eastAsia="黑体"/>
          <w:sz w:val="30"/>
          <w:szCs w:val="30"/>
        </w:rPr>
        <w:t>报告</w:t>
      </w:r>
    </w:p>
    <w:p>
      <w:pPr>
        <w:pStyle w:val="7"/>
        <w:numPr>
          <w:ilvl w:val="0"/>
          <w:numId w:val="2"/>
        </w:numPr>
        <w:spacing w:before="312" w:after="312"/>
        <w:ind w:left="426" w:hanging="426" w:hangingChars="202"/>
        <w:rPr>
          <w:rFonts w:ascii="Times New Roman"/>
          <w:b/>
        </w:rPr>
      </w:pPr>
      <w:r>
        <w:rPr>
          <w:rFonts w:hint="eastAsia" w:ascii="Times New Roman"/>
          <w:b/>
        </w:rPr>
        <w:t>单轴跟踪式抛物面聚光型太阳能集热器系统的热性能计量不确定度</w:t>
      </w:r>
      <w:bookmarkEnd w:id="0"/>
    </w:p>
    <w:p>
      <w:pPr>
        <w:spacing w:line="276" w:lineRule="auto"/>
        <w:ind w:firstLine="371" w:firstLineChars="177"/>
        <w:jc w:val="left"/>
        <w:rPr>
          <w:rFonts w:ascii="Times New Roman"/>
        </w:rPr>
      </w:pPr>
      <w:r>
        <w:rPr>
          <w:rFonts w:ascii="Times New Roman"/>
        </w:rPr>
        <w:t>不确定度分析是一个完整</w:t>
      </w:r>
      <w:r>
        <w:rPr>
          <w:rFonts w:hint="eastAsia" w:ascii="Times New Roman"/>
        </w:rPr>
        <w:t>太阳能集热器热性能计量系</w:t>
      </w:r>
      <w:r>
        <w:rPr>
          <w:rFonts w:ascii="Times New Roman"/>
        </w:rPr>
        <w:t>统的基本组成之一。</w:t>
      </w:r>
      <w:r>
        <w:rPr>
          <w:rFonts w:hint="eastAsia" w:ascii="Times New Roman"/>
        </w:rPr>
        <w:t>其不确定度分析主要步骤为：</w:t>
      </w:r>
    </w:p>
    <w:p>
      <w:pPr>
        <w:spacing w:before="156" w:beforeLines="50" w:after="156" w:afterLines="50" w:line="276" w:lineRule="auto"/>
        <w:jc w:val="left"/>
        <w:rPr>
          <w:rFonts w:ascii="Times New Roman" w:hAnsi="Times New Roman" w:cs="Times New Roman"/>
          <w:b/>
          <w:kern w:val="0"/>
          <w:szCs w:val="21"/>
        </w:rPr>
      </w:pPr>
      <w:r>
        <w:rPr>
          <w:rFonts w:hint="eastAsia" w:ascii="Times New Roman"/>
          <w:b/>
        </w:rPr>
        <w:t>步骤8-1：确定单个变量的不确定度：</w:t>
      </w:r>
      <w:bookmarkStart w:id="6" w:name="_GoBack"/>
      <w:bookmarkEnd w:id="6"/>
    </w:p>
    <w:p>
      <w:pPr>
        <w:spacing w:line="276" w:lineRule="auto"/>
        <w:ind w:firstLine="373" w:firstLineChars="177"/>
        <w:jc w:val="left"/>
        <w:rPr>
          <w:rFonts w:ascii="Times New Roman" w:hAnsi="Times New Roman" w:cs="Times New Roman"/>
          <w:b/>
          <w:szCs w:val="21"/>
        </w:rPr>
      </w:pPr>
      <w:bookmarkStart w:id="1" w:name="_Toc1213"/>
      <w:r>
        <w:rPr>
          <w:rFonts w:ascii="Times New Roman" w:hAnsi="Times New Roman" w:cs="Times New Roman"/>
          <w:b/>
          <w:szCs w:val="21"/>
        </w:rPr>
        <w:t xml:space="preserve"> (1) </w:t>
      </w:r>
      <w:r>
        <w:rPr>
          <w:rFonts w:hint="eastAsia" w:ascii="Times New Roman" w:hAnsi="Times New Roman" w:cs="Times New Roman"/>
          <w:b/>
          <w:szCs w:val="21"/>
        </w:rPr>
        <w:t>传热流体</w:t>
      </w:r>
      <w:r>
        <w:rPr>
          <w:rFonts w:ascii="Times New Roman" w:hAnsi="Times New Roman" w:cs="Times New Roman"/>
          <w:b/>
          <w:szCs w:val="21"/>
        </w:rPr>
        <w:t>在</w:t>
      </w:r>
      <w:r>
        <w:rPr>
          <w:rFonts w:hint="eastAsia" w:ascii="Times New Roman" w:hAnsi="Times New Roman" w:cs="Times New Roman"/>
          <w:b/>
          <w:szCs w:val="21"/>
        </w:rPr>
        <w:t>管道</w:t>
      </w:r>
      <w:r>
        <w:rPr>
          <w:rFonts w:ascii="Times New Roman" w:hAnsi="Times New Roman" w:cs="Times New Roman"/>
          <w:b/>
          <w:szCs w:val="21"/>
        </w:rPr>
        <w:t>中</w:t>
      </w:r>
      <w:r>
        <w:rPr>
          <w:rFonts w:hint="eastAsia" w:ascii="Times New Roman" w:hAnsi="Times New Roman" w:cs="Times New Roman"/>
          <w:b/>
          <w:szCs w:val="21"/>
        </w:rPr>
        <w:t>质量流量测量</w:t>
      </w:r>
      <w:r>
        <w:rPr>
          <w:rFonts w:ascii="Times New Roman" w:hAnsi="Times New Roman" w:cs="Times New Roman"/>
          <w:b/>
          <w:szCs w:val="21"/>
        </w:rPr>
        <w:t>的不确定度</w:t>
      </w:r>
      <w:r>
        <w:rPr>
          <w:rFonts w:ascii="Times New Roman" w:hAnsi="Times New Roman" w:cs="Times New Roman"/>
          <w:b/>
          <w:i/>
          <w:szCs w:val="21"/>
        </w:rPr>
        <w:t>U(</w:t>
      </w:r>
      <m:oMath>
        <m:acc>
          <m:accPr>
            <m:chr m:val="̇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m:rPr/>
              <w:rPr>
                <w:rFonts w:ascii="Cambria Math" w:hAnsi="Cambria Math" w:cs="Times New Roman"/>
              </w:rPr>
              <m:t>m</m:t>
            </m:r>
            <m:ctrlPr>
              <w:rPr>
                <w:rFonts w:ascii="Cambria Math" w:hAnsi="Cambria Math" w:cs="Times New Roman"/>
                <w:i/>
              </w:rPr>
            </m:ctrlPr>
          </m:e>
        </m:acc>
      </m:oMath>
      <w:r>
        <w:rPr>
          <w:rFonts w:ascii="Times New Roman" w:hAnsi="Times New Roman" w:cs="Times New Roman"/>
          <w:b/>
          <w:i/>
          <w:szCs w:val="21"/>
        </w:rPr>
        <w:t>)</w:t>
      </w:r>
      <w:r>
        <w:rPr>
          <w:rFonts w:ascii="Times New Roman" w:hAnsi="Times New Roman" w:cs="Times New Roman"/>
          <w:b/>
          <w:szCs w:val="21"/>
        </w:rPr>
        <w:t>：</w:t>
      </w:r>
      <w:bookmarkEnd w:id="1"/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bookmarkStart w:id="2" w:name="_Toc9434"/>
      <w:r>
        <w:rPr>
          <w:rFonts w:ascii="Times New Roman" w:hAnsi="Times New Roman" w:cs="Times New Roman"/>
          <w:szCs w:val="21"/>
        </w:rPr>
        <w:t>可通过所选用的</w:t>
      </w:r>
      <w:r>
        <w:rPr>
          <w:rFonts w:hint="eastAsia" w:ascii="Times New Roman" w:hAnsi="Times New Roman" w:cs="Times New Roman"/>
          <w:szCs w:val="21"/>
        </w:rPr>
        <w:t>质量流量</w:t>
      </w:r>
      <w:r>
        <w:rPr>
          <w:rFonts w:ascii="Times New Roman" w:hAnsi="Times New Roman" w:cs="Times New Roman"/>
          <w:szCs w:val="21"/>
        </w:rPr>
        <w:t>计量仪器的准确度等级确定，如</w:t>
      </w:r>
      <w:r>
        <w:rPr>
          <w:rFonts w:hint="eastAsia" w:ascii="Times New Roman" w:hAnsi="Times New Roman" w:cs="Times New Roman"/>
          <w:szCs w:val="21"/>
        </w:rPr>
        <w:t>±</w:t>
      </w:r>
      <w:r>
        <w:rPr>
          <w:rFonts w:ascii="Times New Roman" w:hAnsi="Times New Roman" w:cs="Times New Roman"/>
          <w:szCs w:val="21"/>
        </w:rPr>
        <w:t>2%等。该不确定度需要通过以下两部分资料信息确认：</w:t>
      </w:r>
      <w:bookmarkEnd w:id="2"/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bookmarkStart w:id="3" w:name="_Toc14259"/>
      <w:r>
        <w:rPr>
          <w:rFonts w:ascii="Times New Roman" w:hAnsi="Times New Roman" w:cs="Times New Roman"/>
          <w:szCs w:val="21"/>
        </w:rPr>
        <w:t>(i) 设备铭牌（或技术说明书）；</w:t>
      </w:r>
      <w:bookmarkEnd w:id="3"/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bookmarkStart w:id="4" w:name="_Toc19979"/>
      <w:r>
        <w:rPr>
          <w:rFonts w:ascii="Times New Roman" w:hAnsi="Times New Roman" w:cs="Times New Roman"/>
          <w:szCs w:val="21"/>
        </w:rPr>
        <w:t>(ii) 校准证书、检定证书或其他文件提供的数据。</w:t>
      </w:r>
      <w:bookmarkEnd w:id="4"/>
    </w:p>
    <w:p>
      <w:pPr>
        <w:spacing w:line="276" w:lineRule="auto"/>
        <w:ind w:firstLine="373" w:firstLineChars="177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(2) </w:t>
      </w:r>
      <w:r>
        <w:rPr>
          <w:rFonts w:hint="eastAsia" w:ascii="Times New Roman" w:hAnsi="Times New Roman" w:cs="Times New Roman"/>
          <w:b/>
          <w:szCs w:val="21"/>
        </w:rPr>
        <w:t>传热流体</w:t>
      </w:r>
      <w:r>
        <w:rPr>
          <w:rFonts w:ascii="Times New Roman" w:hAnsi="Times New Roman" w:cs="Times New Roman"/>
          <w:b/>
          <w:szCs w:val="21"/>
        </w:rPr>
        <w:t>在</w:t>
      </w:r>
      <w:r>
        <w:rPr>
          <w:rFonts w:hint="eastAsia" w:ascii="Times New Roman" w:hAnsi="Times New Roman" w:cs="Times New Roman"/>
          <w:b/>
          <w:szCs w:val="21"/>
        </w:rPr>
        <w:t>管道</w:t>
      </w:r>
      <w:r>
        <w:rPr>
          <w:rFonts w:ascii="Times New Roman" w:hAnsi="Times New Roman" w:cs="Times New Roman"/>
          <w:b/>
          <w:szCs w:val="21"/>
        </w:rPr>
        <w:t>中</w:t>
      </w:r>
      <w:r>
        <w:rPr>
          <w:rFonts w:hint="eastAsia" w:ascii="Times New Roman" w:hAnsi="Times New Roman" w:cs="Times New Roman"/>
          <w:b/>
          <w:szCs w:val="21"/>
        </w:rPr>
        <w:t>温度测量</w:t>
      </w:r>
      <w:r>
        <w:rPr>
          <w:rFonts w:ascii="Times New Roman" w:hAnsi="Times New Roman" w:cs="Times New Roman"/>
          <w:b/>
          <w:szCs w:val="21"/>
        </w:rPr>
        <w:t>的不确定度</w:t>
      </w:r>
      <w:r>
        <w:rPr>
          <w:rFonts w:ascii="Times New Roman" w:hAnsi="Times New Roman" w:cs="Times New Roman"/>
          <w:b/>
          <w:i/>
          <w:szCs w:val="21"/>
        </w:rPr>
        <w:t>U(</w:t>
      </w:r>
      <w:r>
        <w:rPr>
          <w:rFonts w:hint="eastAsia" w:ascii="Times New Roman" w:hAnsi="Times New Roman" w:cs="Times New Roman"/>
          <w:b/>
          <w:i/>
          <w:szCs w:val="21"/>
        </w:rPr>
        <w:t>t</w:t>
      </w:r>
      <w:r>
        <w:rPr>
          <w:rFonts w:ascii="Times New Roman" w:hAnsi="Times New Roman" w:cs="Times New Roman"/>
          <w:b/>
          <w:i/>
          <w:szCs w:val="21"/>
        </w:rPr>
        <w:t>)</w:t>
      </w:r>
      <w:r>
        <w:rPr>
          <w:rFonts w:ascii="Times New Roman" w:hAnsi="Times New Roman" w:cs="Times New Roman"/>
          <w:b/>
          <w:szCs w:val="21"/>
        </w:rPr>
        <w:t>：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可通过所选用的</w:t>
      </w:r>
      <w:r>
        <w:rPr>
          <w:rFonts w:hint="eastAsia" w:ascii="Times New Roman" w:hAnsi="Times New Roman" w:cs="Times New Roman"/>
          <w:szCs w:val="21"/>
        </w:rPr>
        <w:t>温度</w:t>
      </w:r>
      <w:r>
        <w:rPr>
          <w:rFonts w:ascii="Times New Roman" w:hAnsi="Times New Roman" w:cs="Times New Roman"/>
          <w:szCs w:val="21"/>
        </w:rPr>
        <w:t>计量仪器的准确度等级确定，如</w:t>
      </w:r>
      <w:r>
        <w:rPr>
          <w:rFonts w:ascii="Times New Roman" w:hAnsi="Times New Roman" w:cs="Times New Roman"/>
        </w:rPr>
        <w:t>±0.</w:t>
      </w:r>
      <w:r>
        <w:rPr>
          <w:rFonts w:ascii="Times New Roman" w:hAnsi="Times New Roman" w:cs="Times New Roman"/>
          <w:szCs w:val="21"/>
        </w:rPr>
        <w:t>2</w:t>
      </w:r>
      <w:r>
        <w:rPr>
          <w:rFonts w:hint="eastAsia" w:ascii="宋体" w:hAnsi="宋体" w:eastAsia="宋体" w:cs="宋体"/>
        </w:rPr>
        <w:t>℃、</w:t>
      </w:r>
      <w:r>
        <w:rPr>
          <w:rFonts w:ascii="Times New Roman" w:hAnsi="Times New Roman" w:cs="Times New Roman"/>
        </w:rPr>
        <w:t>±0.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宋体" w:hAnsi="宋体" w:eastAsia="宋体" w:cs="宋体"/>
        </w:rPr>
        <w:t>℃</w:t>
      </w:r>
      <w:r>
        <w:rPr>
          <w:rFonts w:ascii="Times New Roman" w:hAnsi="Times New Roman" w:cs="Times New Roman"/>
          <w:szCs w:val="21"/>
        </w:rPr>
        <w:t>等。该不确定度需要通过以下两部分资料信息确认：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(i) 设备铭牌（或技术说明书）；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(ii) 校准证书、检定证书或其他文件提供的数据。</w:t>
      </w:r>
    </w:p>
    <w:p>
      <w:pPr>
        <w:spacing w:line="276" w:lineRule="auto"/>
        <w:ind w:firstLine="373" w:firstLineChars="177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(3)</w:t>
      </w:r>
      <w:r>
        <w:rPr>
          <w:rFonts w:hint="eastAsia" w:ascii="Times New Roman" w:hAnsi="Times New Roman" w:cs="Times New Roman"/>
          <w:b/>
          <w:szCs w:val="21"/>
        </w:rPr>
        <w:t xml:space="preserve"> 太阳直射辐照度测量</w:t>
      </w:r>
      <w:r>
        <w:rPr>
          <w:rFonts w:ascii="Times New Roman" w:hAnsi="Times New Roman" w:cs="Times New Roman"/>
          <w:b/>
          <w:szCs w:val="21"/>
        </w:rPr>
        <w:t>的不确定度</w:t>
      </w:r>
      <w:r>
        <w:rPr>
          <w:rFonts w:ascii="Times New Roman" w:hAnsi="Times New Roman" w:cs="Times New Roman"/>
          <w:b/>
          <w:i/>
          <w:szCs w:val="21"/>
        </w:rPr>
        <w:t>U(</w:t>
      </w:r>
      <w:r>
        <w:rPr>
          <w:rFonts w:ascii="Times New Roman" w:hAnsi="Times New Roman" w:cs="Times New Roman"/>
          <w:i/>
          <w:kern w:val="0"/>
          <w:szCs w:val="20"/>
        </w:rPr>
        <w:t>E</w:t>
      </w:r>
      <w:r>
        <w:rPr>
          <w:rFonts w:ascii="Times New Roman" w:hAnsi="Times New Roman" w:cs="Times New Roman"/>
          <w:kern w:val="0"/>
          <w:szCs w:val="20"/>
          <w:vertAlign w:val="subscript"/>
        </w:rPr>
        <w:t>S,D</w:t>
      </w:r>
      <w:r>
        <w:rPr>
          <w:rFonts w:ascii="Times New Roman" w:hAnsi="Times New Roman" w:cs="Times New Roman"/>
          <w:b/>
          <w:i/>
          <w:szCs w:val="21"/>
        </w:rPr>
        <w:t>)</w:t>
      </w:r>
      <w:r>
        <w:rPr>
          <w:rFonts w:ascii="Times New Roman" w:hAnsi="Times New Roman" w:cs="Times New Roman"/>
          <w:b/>
          <w:szCs w:val="21"/>
        </w:rPr>
        <w:t>：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可通过所选用的</w:t>
      </w:r>
      <w:r>
        <w:rPr>
          <w:rFonts w:hint="eastAsia" w:ascii="Times New Roman" w:hAnsi="Times New Roman" w:cs="Times New Roman"/>
          <w:szCs w:val="21"/>
        </w:rPr>
        <w:t>太阳直射</w:t>
      </w:r>
      <w:r>
        <w:rPr>
          <w:rFonts w:ascii="Times New Roman" w:hAnsi="Times New Roman" w:cs="Times New Roman"/>
          <w:szCs w:val="21"/>
        </w:rPr>
        <w:t>计量仪器的准确度等级确定，如</w:t>
      </w:r>
      <w:r>
        <w:rPr>
          <w:rFonts w:ascii="Times New Roman" w:hAnsi="Times New Roman" w:cs="Times New Roman"/>
        </w:rPr>
        <w:t>±</w:t>
      </w:r>
      <w:r>
        <w:rPr>
          <w:rFonts w:hint="eastAsia" w:ascii="Times New Roman" w:hAnsi="Times New Roman" w:cs="Times New Roman"/>
          <w:szCs w:val="21"/>
        </w:rPr>
        <w:t>1.0%</w:t>
      </w:r>
      <w:r>
        <w:rPr>
          <w:rFonts w:hint="eastAsia" w:ascii="宋体" w:hAnsi="宋体" w:eastAsia="宋体" w:cs="宋体"/>
        </w:rPr>
        <w:t>、</w:t>
      </w:r>
      <w:r>
        <w:rPr>
          <w:rFonts w:ascii="Times New Roman" w:hAnsi="Times New Roman" w:cs="Times New Roman"/>
        </w:rPr>
        <w:t>±</w:t>
      </w:r>
      <w:r>
        <w:rPr>
          <w:rFonts w:hint="eastAsia" w:ascii="Times New Roman" w:hAnsi="Times New Roman" w:cs="Times New Roman"/>
          <w:szCs w:val="21"/>
        </w:rPr>
        <w:t>1.5%</w:t>
      </w:r>
      <w:r>
        <w:rPr>
          <w:rFonts w:ascii="Times New Roman" w:hAnsi="Times New Roman" w:cs="Times New Roman"/>
          <w:szCs w:val="21"/>
        </w:rPr>
        <w:t>等。该不确定度需要通过以下两部分资料信息确认：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(i) 设备铭牌（或技术说明书）；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(ii) 校准证书、检定证书或其他文件提供的数据。</w:t>
      </w:r>
    </w:p>
    <w:p>
      <w:pPr>
        <w:spacing w:line="276" w:lineRule="auto"/>
        <w:ind w:firstLine="373" w:firstLineChars="177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(4)</w:t>
      </w:r>
      <w:r>
        <w:rPr>
          <w:rFonts w:hint="eastAsia" w:ascii="Times New Roman" w:hAnsi="Times New Roman" w:cs="Times New Roman"/>
          <w:b/>
          <w:szCs w:val="21"/>
        </w:rPr>
        <w:t>聚光器采光面积测量</w:t>
      </w:r>
      <w:r>
        <w:rPr>
          <w:rFonts w:ascii="Times New Roman" w:hAnsi="Times New Roman" w:cs="Times New Roman"/>
          <w:b/>
          <w:szCs w:val="21"/>
        </w:rPr>
        <w:t>的不确定度</w:t>
      </w:r>
      <w:r>
        <w:rPr>
          <w:rFonts w:ascii="Times New Roman" w:hAnsi="Times New Roman" w:cs="Times New Roman"/>
          <w:b/>
          <w:i/>
          <w:szCs w:val="21"/>
        </w:rPr>
        <w:t>U(</w:t>
      </w:r>
      <w:r>
        <w:rPr>
          <w:rFonts w:hint="eastAsia" w:ascii="Times New Roman" w:hAnsi="Times New Roman" w:cs="Times New Roman"/>
          <w:b/>
          <w:i/>
          <w:szCs w:val="21"/>
        </w:rPr>
        <w:t>A</w:t>
      </w:r>
      <w:r>
        <w:rPr>
          <w:rFonts w:hint="eastAsia" w:ascii="Times New Roman" w:hAnsi="Times New Roman" w:cs="Times New Roman"/>
          <w:kern w:val="0"/>
          <w:szCs w:val="20"/>
          <w:vertAlign w:val="subscript"/>
        </w:rPr>
        <w:t>a</w:t>
      </w:r>
      <w:r>
        <w:rPr>
          <w:rFonts w:ascii="Times New Roman" w:hAnsi="Times New Roman" w:cs="Times New Roman"/>
          <w:b/>
          <w:i/>
          <w:szCs w:val="21"/>
        </w:rPr>
        <w:t>)</w:t>
      </w:r>
      <w:r>
        <w:rPr>
          <w:rFonts w:ascii="Times New Roman" w:hAnsi="Times New Roman" w:cs="Times New Roman"/>
          <w:b/>
          <w:szCs w:val="21"/>
        </w:rPr>
        <w:t>：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(i) 若该变量数值由</w:t>
      </w:r>
      <w:r>
        <w:rPr>
          <w:rFonts w:hint="eastAsia" w:ascii="Times New Roman" w:hAnsi="Times New Roman" w:cs="Times New Roman"/>
          <w:szCs w:val="21"/>
        </w:rPr>
        <w:t>集热器生产厂家</w:t>
      </w:r>
      <w:r>
        <w:rPr>
          <w:rFonts w:ascii="Times New Roman" w:hAnsi="Times New Roman" w:cs="Times New Roman"/>
          <w:szCs w:val="21"/>
        </w:rPr>
        <w:t>直接</w:t>
      </w:r>
      <w:r>
        <w:rPr>
          <w:rFonts w:hint="eastAsia" w:ascii="Times New Roman" w:hAnsi="Times New Roman" w:cs="Times New Roman"/>
          <w:szCs w:val="21"/>
        </w:rPr>
        <w:t>提供</w:t>
      </w:r>
      <w:r>
        <w:rPr>
          <w:rFonts w:ascii="Times New Roman" w:hAnsi="Times New Roman" w:cs="Times New Roman"/>
          <w:szCs w:val="21"/>
        </w:rPr>
        <w:t>，则不确定度</w:t>
      </w:r>
      <w:r>
        <w:rPr>
          <w:rFonts w:ascii="Times New Roman" w:hAnsi="Times New Roman" w:cs="Times New Roman"/>
          <w:i/>
          <w:szCs w:val="21"/>
        </w:rPr>
        <w:t>U(</w:t>
      </w:r>
      <w:r>
        <w:rPr>
          <w:rFonts w:hint="eastAsia" w:ascii="Times New Roman" w:hAnsi="Times New Roman" w:cs="Times New Roman"/>
          <w:b/>
          <w:i/>
          <w:szCs w:val="21"/>
        </w:rPr>
        <w:t>A</w:t>
      </w:r>
      <w:r>
        <w:rPr>
          <w:rFonts w:hint="eastAsia" w:ascii="Times New Roman" w:hAnsi="Times New Roman" w:cs="Times New Roman"/>
          <w:kern w:val="0"/>
          <w:szCs w:val="20"/>
          <w:vertAlign w:val="subscript"/>
        </w:rPr>
        <w:t>a</w:t>
      </w:r>
      <w:r>
        <w:rPr>
          <w:rFonts w:ascii="Times New Roman" w:hAnsi="Times New Roman" w:cs="Times New Roman"/>
          <w:i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 可通过</w:t>
      </w:r>
      <w:r>
        <w:rPr>
          <w:rFonts w:hint="eastAsia" w:ascii="Times New Roman" w:hAnsi="Times New Roman" w:cs="Times New Roman"/>
          <w:szCs w:val="21"/>
        </w:rPr>
        <w:t>生产厂家的生产使用说明书中的数据来</w:t>
      </w:r>
      <w:r>
        <w:rPr>
          <w:rFonts w:ascii="Times New Roman" w:hAnsi="Times New Roman" w:cs="Times New Roman"/>
          <w:szCs w:val="21"/>
        </w:rPr>
        <w:t>确定；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(ii) 若该变量数值使用</w:t>
      </w:r>
      <w:r>
        <w:rPr>
          <w:rFonts w:hint="eastAsia" w:ascii="Times New Roman" w:hAnsi="Times New Roman" w:cs="Times New Roman"/>
          <w:szCs w:val="21"/>
        </w:rPr>
        <w:t>聚光器的</w:t>
      </w:r>
      <w:r>
        <w:rPr>
          <w:rFonts w:ascii="Times New Roman" w:hAnsi="Times New Roman" w:cs="Times New Roman"/>
          <w:szCs w:val="21"/>
        </w:rPr>
        <w:t>总长</w:t>
      </w:r>
      <w:r>
        <w:rPr>
          <w:rFonts w:hint="eastAsia" w:ascii="Times New Roman" w:hAnsi="Times New Roman" w:cs="Times New Roman"/>
          <w:szCs w:val="21"/>
        </w:rPr>
        <w:t>度和宽度</w:t>
      </w:r>
      <w:r>
        <w:rPr>
          <w:rFonts w:ascii="Times New Roman" w:hAnsi="Times New Roman" w:cs="Times New Roman"/>
          <w:szCs w:val="21"/>
        </w:rPr>
        <w:t>值计算，则不确定度</w:t>
      </w:r>
      <w:r>
        <w:rPr>
          <w:rFonts w:ascii="Times New Roman" w:hAnsi="Times New Roman" w:cs="Times New Roman"/>
          <w:i/>
          <w:szCs w:val="21"/>
        </w:rPr>
        <w:t>U(</w:t>
      </w:r>
      <w:r>
        <w:rPr>
          <w:rFonts w:hint="eastAsia" w:ascii="Times New Roman" w:hAnsi="Times New Roman" w:cs="Times New Roman"/>
          <w:b/>
          <w:i/>
          <w:szCs w:val="21"/>
        </w:rPr>
        <w:t>A</w:t>
      </w:r>
      <w:r>
        <w:rPr>
          <w:rFonts w:hint="eastAsia" w:ascii="Times New Roman" w:hAnsi="Times New Roman" w:cs="Times New Roman"/>
          <w:kern w:val="0"/>
          <w:szCs w:val="20"/>
          <w:vertAlign w:val="subscript"/>
        </w:rPr>
        <w:t>a</w:t>
      </w:r>
      <w:r>
        <w:rPr>
          <w:rFonts w:ascii="Times New Roman" w:hAnsi="Times New Roman" w:cs="Times New Roman"/>
          <w:i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 可根据</w:t>
      </w:r>
      <w:r>
        <w:rPr>
          <w:rFonts w:hint="eastAsia" w:ascii="Times New Roman" w:hAnsi="Times New Roman" w:cs="Times New Roman"/>
          <w:szCs w:val="21"/>
        </w:rPr>
        <w:t>长度</w:t>
      </w:r>
      <w:r>
        <w:rPr>
          <w:rFonts w:ascii="Times New Roman" w:hAnsi="Times New Roman" w:cs="Times New Roman"/>
          <w:szCs w:val="21"/>
        </w:rPr>
        <w:t>计量仪器的不确定度</w:t>
      </w:r>
      <w:r>
        <w:rPr>
          <w:rFonts w:hint="eastAsia" w:ascii="Times New Roman" w:hAnsi="Times New Roman" w:cs="Times New Roman"/>
          <w:szCs w:val="21"/>
        </w:rPr>
        <w:t>登记确定。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szCs w:val="21"/>
        </w:rPr>
      </w:pPr>
    </w:p>
    <w:p>
      <w:pPr>
        <w:spacing w:before="156" w:beforeLines="50" w:after="156" w:afterLines="50" w:line="276" w:lineRule="auto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步骤8-2：将单个变量的不确定度合并为</w:t>
      </w:r>
      <w:r>
        <w:rPr>
          <w:rFonts w:hint="eastAsia" w:ascii="Times New Roman" w:hAnsi="Times New Roman" w:cs="Times New Roman"/>
          <w:b/>
          <w:szCs w:val="21"/>
        </w:rPr>
        <w:t>太阳能集热器热性能</w:t>
      </w:r>
      <w:r>
        <w:rPr>
          <w:rFonts w:ascii="Times New Roman" w:hAnsi="Times New Roman" w:cs="Times New Roman"/>
          <w:b/>
          <w:szCs w:val="21"/>
        </w:rPr>
        <w:t>的总不确定度：</w:t>
      </w:r>
    </w:p>
    <w:p>
      <w:pPr>
        <w:spacing w:line="276" w:lineRule="auto"/>
        <w:ind w:firstLine="373" w:firstLineChars="177"/>
        <w:jc w:val="left"/>
        <w:rPr>
          <w:rFonts w:cs="Times New Roman" w:asciiTheme="minorEastAsia" w:hAnsiTheme="minorEastAsia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(1) </w:t>
      </w:r>
      <w:r>
        <w:rPr>
          <w:rFonts w:cs="Times New Roman" w:asciiTheme="minorEastAsia" w:hAnsiTheme="minorEastAsia"/>
          <w:b/>
          <w:kern w:val="0"/>
          <w:szCs w:val="21"/>
        </w:rPr>
        <w:t>应用乘除运算的误差传递公式，计算</w:t>
      </w:r>
      <w:r>
        <w:rPr>
          <w:rFonts w:hint="eastAsia" w:ascii="Times New Roman" w:hAnsi="Times New Roman" w:cs="Times New Roman"/>
          <w:b/>
          <w:szCs w:val="21"/>
        </w:rPr>
        <w:t>太阳能集热器热性能</w:t>
      </w:r>
      <w:r>
        <w:rPr>
          <w:rFonts w:cs="Times New Roman" w:asciiTheme="minorEastAsia" w:hAnsiTheme="minorEastAsia"/>
          <w:b/>
          <w:szCs w:val="21"/>
        </w:rPr>
        <w:t>的不确定度</w:t>
      </w:r>
      <w:r>
        <w:rPr>
          <w:rFonts w:cs="Times New Roman" w:asciiTheme="minorEastAsia" w:hAnsiTheme="minorEastAsia"/>
          <w:b/>
          <w:i/>
          <w:szCs w:val="21"/>
        </w:rPr>
        <w:t>U(</w:t>
      </w:r>
      <w:r>
        <w:rPr>
          <w:rFonts w:hint="eastAsia" w:cs="Times New Roman" w:asciiTheme="minorEastAsia" w:hAnsiTheme="minorEastAsia"/>
          <w:b/>
          <w:i/>
          <w:szCs w:val="21"/>
        </w:rPr>
        <w:t>R（</w:t>
      </w:r>
      <w:r>
        <w:rPr>
          <w:rFonts w:ascii="Times New Roman" w:hAnsi="Times New Roman" w:cs="Times New Roman"/>
        </w:rPr>
        <w:t>θ</w:t>
      </w:r>
      <w:r>
        <w:rPr>
          <w:rFonts w:hint="eastAsia" w:cs="Times New Roman" w:asciiTheme="minorEastAsia" w:hAnsiTheme="minorEastAsia"/>
          <w:b/>
          <w:i/>
          <w:szCs w:val="21"/>
        </w:rPr>
        <w:t>）</w:t>
      </w:r>
      <w:r>
        <w:rPr>
          <w:rFonts w:cs="Times New Roman" w:asciiTheme="minorEastAsia" w:hAnsiTheme="minorEastAsia"/>
          <w:b/>
          <w:i/>
          <w:szCs w:val="21"/>
        </w:rPr>
        <w:t>)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当某一估计值为</w:t>
      </w:r>
      <w:r>
        <w:rPr>
          <w:rFonts w:ascii="Times New Roman" w:hAnsi="Times New Roman" w:cs="Times New Roman"/>
          <w:i/>
          <w:kern w:val="0"/>
          <w:szCs w:val="21"/>
        </w:rPr>
        <w:t>n</w:t>
      </w:r>
      <w:r>
        <w:rPr>
          <w:rFonts w:ascii="Times New Roman" w:hAnsi="Times New Roman" w:cs="Times New Roman"/>
          <w:kern w:val="0"/>
          <w:szCs w:val="21"/>
        </w:rPr>
        <w:t>个估计值之积时，该估计值的不确定度采用下式计算：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Cs/>
          <w:position w:val="-30"/>
          <w:szCs w:val="21"/>
        </w:rPr>
        <w:object>
          <v:shape id="_x0000_i1025" o:spt="75" type="#_x0000_t75" style="height:34.8pt;width:177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  <w:bCs/>
          <w:szCs w:val="21"/>
        </w:rPr>
        <w:t xml:space="preserve">  </w:t>
      </w:r>
      <w:r>
        <w:rPr>
          <w:rFonts w:hint="eastAsia" w:ascii="宋体" w:hAnsi="宋体"/>
          <w:position w:val="-6"/>
          <w:szCs w:val="21"/>
          <w:lang w:val="en-GB"/>
        </w:rPr>
        <w:t xml:space="preserve">                  </w:t>
      </w:r>
      <w:r>
        <w:rPr>
          <w:rFonts w:ascii="宋体" w:hAnsi="宋体"/>
          <w:position w:val="-6"/>
          <w:szCs w:val="21"/>
          <w:lang w:val="en-GB"/>
        </w:rPr>
        <w:t xml:space="preserve">  </w:t>
      </w:r>
      <w:r>
        <w:rPr>
          <w:rFonts w:hint="eastAsia" w:ascii="宋体" w:hAnsi="宋体"/>
          <w:position w:val="-6"/>
          <w:szCs w:val="21"/>
          <w:lang w:val="en-GB"/>
        </w:rPr>
        <w:t xml:space="preserve">           </w:t>
      </w:r>
      <w:r>
        <w:rPr>
          <w:rFonts w:ascii="宋体" w:hAnsi="宋体"/>
          <w:position w:val="-6"/>
          <w:szCs w:val="21"/>
          <w:lang w:val="en-GB"/>
        </w:rPr>
        <w:t xml:space="preserve"> </w:t>
      </w:r>
      <w:r>
        <w:rPr>
          <w:rFonts w:hint="eastAsia" w:ascii="宋体" w:hAnsi="宋体"/>
          <w:position w:val="-6"/>
          <w:szCs w:val="21"/>
          <w:lang w:val="en-GB"/>
        </w:rPr>
        <w:t xml:space="preserve"> </w:t>
      </w:r>
      <w:r>
        <w:rPr>
          <w:rFonts w:ascii="宋体" w:hAnsi="宋体"/>
          <w:position w:val="-6"/>
          <w:szCs w:val="21"/>
          <w:lang w:val="en-GB"/>
        </w:rPr>
        <w:t>（</w:t>
      </w:r>
      <w:r>
        <w:rPr>
          <w:rFonts w:hint="eastAsia" w:ascii="宋体" w:hAnsi="宋体"/>
          <w:position w:val="-6"/>
          <w:szCs w:val="21"/>
          <w:lang w:val="en-GB"/>
        </w:rPr>
        <w:t>公式</w:t>
      </w:r>
      <w:r>
        <w:rPr>
          <w:rFonts w:hint="eastAsia" w:ascii="Times New Roman" w:hAnsi="Times New Roman" w:cs="Times New Roman"/>
          <w:position w:val="-6"/>
          <w:szCs w:val="21"/>
        </w:rPr>
        <w:t>7</w:t>
      </w:r>
      <w:r>
        <w:rPr>
          <w:rFonts w:hint="eastAsia" w:ascii="宋体" w:hAnsi="宋体"/>
          <w:position w:val="-6"/>
          <w:szCs w:val="21"/>
          <w:lang w:val="en-GB"/>
        </w:rPr>
        <w:t>）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式中：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c</w:t>
      </w:r>
      <w:r>
        <w:rPr>
          <w:rFonts w:hint="eastAsia" w:ascii="Times New Roman" w:hAnsi="Times New Roman" w:cs="Times New Roman"/>
          <w:i/>
          <w:szCs w:val="21"/>
          <w:vertAlign w:val="subscript"/>
        </w:rPr>
        <w:t xml:space="preserve">  </w:t>
      </w:r>
      <w:r>
        <w:rPr>
          <w:rFonts w:hint="eastAsia" w:ascii="Times New Roman" w:hAnsi="Times New Roman" w:cs="Times New Roman"/>
          <w:kern w:val="0"/>
          <w:szCs w:val="20"/>
        </w:rPr>
        <w:t xml:space="preserve">—— </w:t>
      </w:r>
      <w:r>
        <w:rPr>
          <w:rFonts w:ascii="Times New Roman" w:hAnsi="Times New Roman" w:cs="Times New Roman"/>
          <w:i/>
          <w:kern w:val="0"/>
          <w:szCs w:val="21"/>
        </w:rPr>
        <w:t>n</w:t>
      </w:r>
      <w:r>
        <w:rPr>
          <w:rFonts w:ascii="Times New Roman" w:hAnsi="Times New Roman" w:cs="Times New Roman"/>
          <w:kern w:val="0"/>
          <w:szCs w:val="21"/>
        </w:rPr>
        <w:t>个估计值之积的不确定度(%)</w:t>
      </w:r>
      <w:r>
        <w:rPr>
          <w:rFonts w:hint="eastAsia" w:ascii="Times New Roman" w:hAnsi="Times New Roman" w:cs="Times New Roman"/>
          <w:kern w:val="0"/>
          <w:szCs w:val="21"/>
        </w:rPr>
        <w:t>；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s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i/>
          <w:szCs w:val="21"/>
        </w:rPr>
        <w:t>…U</w:t>
      </w:r>
      <w:r>
        <w:rPr>
          <w:rFonts w:ascii="Times New Roman" w:hAnsi="Times New Roman" w:cs="Times New Roman"/>
          <w:i/>
          <w:szCs w:val="21"/>
          <w:vertAlign w:val="subscript"/>
        </w:rPr>
        <w:t>sn</w:t>
      </w:r>
      <w:r>
        <w:rPr>
          <w:rFonts w:hint="eastAsia" w:ascii="Times New Roman" w:hAnsi="Times New Roman" w:cs="Times New Roman"/>
          <w:i/>
          <w:szCs w:val="21"/>
          <w:vertAlign w:val="subscript"/>
        </w:rPr>
        <w:t xml:space="preserve">  </w:t>
      </w:r>
      <w:r>
        <w:rPr>
          <w:rFonts w:hint="eastAsia" w:ascii="Times New Roman" w:hAnsi="Times New Roman" w:cs="Times New Roman"/>
          <w:kern w:val="0"/>
          <w:szCs w:val="20"/>
        </w:rPr>
        <w:t xml:space="preserve">—— </w:t>
      </w:r>
      <w:r>
        <w:rPr>
          <w:rFonts w:ascii="Times New Roman" w:hAnsi="Times New Roman" w:cs="Times New Roman"/>
          <w:i/>
          <w:kern w:val="0"/>
          <w:szCs w:val="21"/>
        </w:rPr>
        <w:t>n</w:t>
      </w:r>
      <w:r>
        <w:rPr>
          <w:rFonts w:ascii="Times New Roman" w:hAnsi="Times New Roman" w:cs="Times New Roman"/>
          <w:kern w:val="0"/>
          <w:szCs w:val="21"/>
        </w:rPr>
        <w:t>个相乘的估计值的不确定度(%)</w:t>
      </w:r>
      <w:r>
        <w:rPr>
          <w:rFonts w:hint="eastAsia" w:ascii="Times New Roman" w:hAnsi="Times New Roman" w:cs="Times New Roman"/>
          <w:kern w:val="0"/>
          <w:szCs w:val="21"/>
        </w:rPr>
        <w:t>。</w:t>
      </w:r>
    </w:p>
    <w:p>
      <w:pPr>
        <w:spacing w:line="276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由于</w:t>
      </w:r>
      <w:r>
        <w:rPr>
          <w:rFonts w:cs="Times New Roman" w:asciiTheme="minorEastAsia" w:hAnsiTheme="minorEastAsia"/>
          <w:b/>
          <w:i/>
          <w:szCs w:val="21"/>
        </w:rPr>
        <w:t>U(</w:t>
      </w:r>
      <w:r>
        <w:rPr>
          <w:rFonts w:hint="eastAsia" w:cs="Times New Roman" w:asciiTheme="minorEastAsia" w:hAnsiTheme="minorEastAsia"/>
          <w:b/>
          <w:i/>
          <w:szCs w:val="21"/>
        </w:rPr>
        <w:t>R（</w:t>
      </w:r>
      <w:r>
        <w:rPr>
          <w:rFonts w:ascii="Times New Roman" w:hAnsi="Times New Roman" w:cs="Times New Roman"/>
        </w:rPr>
        <w:t>θ</w:t>
      </w:r>
      <w:r>
        <w:rPr>
          <w:rFonts w:hint="eastAsia" w:cs="Times New Roman" w:asciiTheme="minorEastAsia" w:hAnsiTheme="minorEastAsia"/>
          <w:b/>
          <w:i/>
          <w:szCs w:val="21"/>
        </w:rPr>
        <w:t>）</w:t>
      </w:r>
      <w:r>
        <w:rPr>
          <w:rFonts w:cs="Times New Roman" w:asciiTheme="minorEastAsia" w:hAnsiTheme="minorEastAsia"/>
          <w:b/>
          <w:i/>
          <w:szCs w:val="21"/>
        </w:rPr>
        <w:t>)</w:t>
      </w:r>
      <w:r>
        <w:rPr>
          <w:rFonts w:ascii="Times New Roman" w:hAnsi="Times New Roman" w:cs="Times New Roman"/>
          <w:szCs w:val="21"/>
        </w:rPr>
        <w:t>为四个估计值的</w:t>
      </w:r>
      <w:r>
        <w:rPr>
          <w:rFonts w:hint="eastAsia" w:ascii="Times New Roman" w:hAnsi="Times New Roman" w:cs="Times New Roman"/>
          <w:szCs w:val="21"/>
        </w:rPr>
        <w:t>乘除运算，因此其不确定</w:t>
      </w:r>
      <w:r>
        <w:rPr>
          <w:rFonts w:ascii="Times New Roman" w:hAnsi="Times New Roman" w:cs="Times New Roman"/>
          <w:kern w:val="0"/>
          <w:szCs w:val="21"/>
        </w:rPr>
        <w:t>度采用下式计算：</w:t>
      </w:r>
    </w:p>
    <w:p>
      <w:pPr>
        <w:spacing w:line="360" w:lineRule="auto"/>
        <w:ind w:firstLine="42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i/>
          <w:szCs w:val="21"/>
        </w:rPr>
        <w:t>U(</w:t>
      </w:r>
      <w:r>
        <w:rPr>
          <w:rFonts w:hint="eastAsia" w:cs="Times New Roman" w:asciiTheme="minorEastAsia" w:hAnsiTheme="minorEastAsia"/>
          <w:b/>
          <w:i/>
          <w:szCs w:val="21"/>
        </w:rPr>
        <w:t>R（</w:t>
      </w:r>
      <w:r>
        <w:rPr>
          <w:rFonts w:ascii="Times New Roman" w:hAnsi="Times New Roman" w:cs="Times New Roman"/>
        </w:rPr>
        <w:t>θ</w:t>
      </w:r>
      <w:r>
        <w:rPr>
          <w:rFonts w:hint="eastAsia" w:cs="Times New Roman" w:asciiTheme="minorEastAsia" w:hAnsiTheme="minorEastAsia"/>
          <w:b/>
          <w:i/>
          <w:szCs w:val="21"/>
        </w:rPr>
        <w:t>）</w:t>
      </w:r>
      <w:r>
        <w:rPr>
          <w:rFonts w:ascii="Times New Roman" w:hAnsi="Times New Roman" w:cs="Times New Roman"/>
          <w:i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U(AD</m:t>
                </m:r>
                <m:r>
                  <m:rPr/>
                  <w:rPr>
                    <w:rFonts w:ascii="Cambria Math" w:hAnsi="Cambria Math" w:cs="Times New Roman"/>
                    <w:szCs w:val="21"/>
                    <w:vertAlign w:val="subscript"/>
                  </w:rPr>
                  <m:t>i</m:t>
                </m:r>
                <m:r>
                  <m:rPr/>
                  <w:rPr>
                    <w:rFonts w:ascii="Cambria Math" w:hAnsi="Cambria Math" w:cs="Times New Roman"/>
                    <w:szCs w:val="21"/>
                  </w:rPr>
                  <m:t>)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U(NCV</m:t>
                </m:r>
                <m:r>
                  <m:rPr/>
                  <w:rPr>
                    <w:rFonts w:ascii="Cambria Math" w:hAnsi="Cambria Math" w:cs="Times New Roman"/>
                    <w:szCs w:val="21"/>
                    <w:vertAlign w:val="subscript"/>
                  </w:rPr>
                  <m:t>i</m:t>
                </m:r>
                <m:r>
                  <m:rPr/>
                  <w:rPr>
                    <w:rFonts w:ascii="Cambria Math" w:hAnsi="Cambria Math" w:cs="Times New Roman"/>
                    <w:szCs w:val="21"/>
                  </w:rPr>
                  <m:t>)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EF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szCs w:val="21"/>
                        <w:vertAlign w:val="subscript"/>
                      </w:rPr>
                      <m:t>i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szCs w:val="21"/>
                  </w:rPr>
                  <m:t>)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OXID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szCs w:val="21"/>
                        <w:vertAlign w:val="subscript"/>
                      </w:rPr>
                      <m:t>i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szCs w:val="21"/>
                  </w:rPr>
                  <m:t>)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p>
            </m:sSup>
            <m:ctrlPr>
              <w:rPr>
                <w:rFonts w:ascii="Cambria Math" w:hAnsi="Cambria Math" w:cs="Times New Roman"/>
                <w:szCs w:val="21"/>
              </w:rPr>
            </m:ctrlPr>
          </m:e>
        </m:rad>
      </m:oMath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/>
          <w:kern w:val="0"/>
          <w:szCs w:val="21"/>
        </w:rPr>
        <w:t>（公式</w:t>
      </w:r>
      <w:r>
        <w:rPr>
          <w:rFonts w:hint="eastAsia" w:ascii="Times New Roman" w:hAnsi="Times New Roman" w:cs="Times New Roman"/>
          <w:kern w:val="0"/>
          <w:szCs w:val="21"/>
        </w:rPr>
        <w:t>8</w:t>
      </w:r>
      <w:r>
        <w:rPr>
          <w:rFonts w:ascii="Times New Roman" w:hAnsi="Times New Roman" w:cs="Times New Roman"/>
          <w:kern w:val="0"/>
          <w:szCs w:val="21"/>
        </w:rPr>
        <w:t>）</w:t>
      </w:r>
    </w:p>
    <w:p>
      <w:pPr>
        <w:spacing w:after="156" w:afterLines="50" w:line="360" w:lineRule="auto"/>
        <w:rPr>
          <w:kern w:val="0"/>
          <w:szCs w:val="20"/>
        </w:rPr>
      </w:pPr>
      <w:r>
        <w:rPr>
          <w:rFonts w:ascii="Times New Roman"/>
          <w:b/>
          <w:szCs w:val="21"/>
        </w:rPr>
        <w:t>步骤</w:t>
      </w:r>
      <w:r>
        <w:rPr>
          <w:rFonts w:hint="eastAsia" w:ascii="Times New Roman"/>
          <w:b/>
          <w:szCs w:val="21"/>
        </w:rPr>
        <w:t>8</w:t>
      </w:r>
      <w:r>
        <w:rPr>
          <w:rFonts w:ascii="Times New Roman"/>
          <w:b/>
          <w:szCs w:val="21"/>
        </w:rPr>
        <w:t>-</w:t>
      </w:r>
      <w:r>
        <w:rPr>
          <w:rFonts w:hint="eastAsia" w:ascii="Times New Roman"/>
          <w:b/>
          <w:szCs w:val="21"/>
        </w:rPr>
        <w:t>3</w:t>
      </w:r>
      <w:r>
        <w:rPr>
          <w:rFonts w:ascii="Times New Roman"/>
          <w:b/>
          <w:szCs w:val="21"/>
        </w:rPr>
        <w:t>：</w:t>
      </w:r>
      <w:r>
        <w:rPr>
          <w:rFonts w:hint="eastAsia" w:ascii="Times New Roman"/>
          <w:b/>
          <w:szCs w:val="21"/>
        </w:rPr>
        <w:t>报告测量结果</w:t>
      </w:r>
    </w:p>
    <w:p>
      <w:pPr>
        <w:spacing w:line="276" w:lineRule="auto"/>
        <w:ind w:firstLine="371" w:firstLineChars="177"/>
        <w:jc w:val="left"/>
      </w:pPr>
      <w:r>
        <w:rPr>
          <w:rFonts w:hint="eastAsia"/>
        </w:rPr>
        <w:t>报告测量结果，包括太阳能集热器热性能计量估值结果及其测量</w:t>
      </w:r>
      <w:r>
        <w:t>不确定度</w:t>
      </w:r>
      <w:r>
        <w:rPr>
          <w:rFonts w:hint="eastAsia"/>
        </w:rPr>
        <w:t>。</w:t>
      </w:r>
    </w:p>
    <w:p>
      <w:pPr>
        <w:pStyle w:val="7"/>
        <w:numPr>
          <w:ilvl w:val="0"/>
          <w:numId w:val="2"/>
        </w:numPr>
        <w:spacing w:before="312" w:after="312"/>
        <w:ind w:left="426" w:hanging="426" w:hangingChars="202"/>
        <w:rPr>
          <w:rFonts w:ascii="Times New Roman"/>
          <w:b/>
        </w:rPr>
      </w:pPr>
      <w:bookmarkStart w:id="5" w:name="_Toc2781879"/>
      <w:r>
        <w:rPr>
          <w:rFonts w:hint="eastAsia" w:ascii="Times New Roman"/>
          <w:b/>
        </w:rPr>
        <w:t>报告信息</w:t>
      </w:r>
      <w:bookmarkEnd w:id="5"/>
    </w:p>
    <w:p>
      <w:pPr>
        <w:spacing w:line="276" w:lineRule="auto"/>
        <w:ind w:firstLine="371" w:firstLineChars="177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报告应包括下列信息：</w:t>
      </w:r>
    </w:p>
    <w:p>
      <w:pPr>
        <w:spacing w:line="276" w:lineRule="auto"/>
        <w:ind w:firstLine="371" w:firstLineChars="177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1）测试系统</w:t>
      </w:r>
      <w:r>
        <w:rPr>
          <w:rFonts w:ascii="宋体" w:hAnsi="宋体"/>
          <w:szCs w:val="21"/>
        </w:rPr>
        <w:t>的基本信息，</w:t>
      </w:r>
      <w:r>
        <w:rPr>
          <w:rFonts w:hint="eastAsia" w:ascii="宋体" w:hAnsi="宋体"/>
          <w:szCs w:val="21"/>
        </w:rPr>
        <w:t>如规格型号、装置落位位置、委托单位的地址等；</w:t>
      </w:r>
    </w:p>
    <w:p>
      <w:pPr>
        <w:spacing w:line="276" w:lineRule="auto"/>
        <w:ind w:firstLine="371" w:firstLineChars="177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2）测试</w:t>
      </w:r>
      <w:r>
        <w:rPr>
          <w:rFonts w:ascii="宋体" w:hAnsi="宋体"/>
          <w:szCs w:val="21"/>
        </w:rPr>
        <w:t>情况说明，包括</w:t>
      </w:r>
      <w:r>
        <w:rPr>
          <w:rFonts w:hint="eastAsia" w:ascii="宋体" w:hAnsi="宋体"/>
          <w:szCs w:val="21"/>
        </w:rPr>
        <w:t>测试</w:t>
      </w:r>
      <w:r>
        <w:rPr>
          <w:rFonts w:ascii="宋体" w:hAnsi="宋体"/>
          <w:szCs w:val="21"/>
        </w:rPr>
        <w:t>计划的制定与更改情况、实际监测与监测计划的一致性等；</w:t>
      </w:r>
    </w:p>
    <w:p>
      <w:pPr>
        <w:spacing w:line="276" w:lineRule="auto"/>
        <w:ind w:firstLine="371" w:firstLineChars="177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3）测试和计算信息；</w:t>
      </w:r>
    </w:p>
    <w:p>
      <w:pPr>
        <w:spacing w:line="276" w:lineRule="auto"/>
        <w:ind w:firstLine="371" w:firstLineChars="177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4）不确定性产生的原因及降低不确定性的方法说明；</w:t>
      </w:r>
    </w:p>
    <w:p>
      <w:pPr>
        <w:spacing w:line="276" w:lineRule="auto"/>
        <w:ind w:firstLine="371" w:firstLineChars="177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5）其他应说明的情况；</w:t>
      </w:r>
    </w:p>
    <w:p>
      <w:pPr>
        <w:spacing w:line="276" w:lineRule="auto"/>
        <w:ind w:firstLine="371" w:firstLineChars="177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/>
          <w:szCs w:val="21"/>
        </w:rPr>
        <w:t>6）真实性声明。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7"/>
      <w:suff w:val="nothing"/>
      <w:lvlText w:val="%1　"/>
      <w:lvlJc w:val="left"/>
      <w:rPr>
        <w:rFonts w:hint="eastAsia" w:ascii="黑体" w:hAnsi="Times New Roman" w:eastAsia="黑体" w:cs="Times New Roman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1">
    <w:nsid w:val="76777310"/>
    <w:multiLevelType w:val="multilevel"/>
    <w:tmpl w:val="7677731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cs="Times New Roman"/>
      </w:rPr>
    </w:lvl>
    <w:lvl w:ilvl="1" w:tentative="0">
      <w:start w:val="1"/>
      <w:numFmt w:val="decimal"/>
      <w:lvlText w:val="%1.%2."/>
      <w:lvlJc w:val="left"/>
      <w:pPr>
        <w:tabs>
          <w:tab w:val="left" w:pos="709"/>
        </w:tabs>
        <w:ind w:left="709" w:hanging="567"/>
      </w:pPr>
      <w:rPr>
        <w:rFonts w:cs="Times New Roman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cs="Times New Roman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cs="Times New Roman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cs="Times New Roman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cs="Times New Roman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cs="Times New Roman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 w:tentative="1">
        <w:start w:val="1"/>
        <w:numFmt w:val="decimal"/>
        <w:lvlText w:val="%1."/>
        <w:lvlJc w:val="left"/>
        <w:pPr>
          <w:ind w:left="425" w:hanging="425"/>
        </w:pPr>
      </w:lvl>
    </w:lvlOverride>
    <w:lvlOverride w:ilvl="1">
      <w:lvl w:ilvl="1" w:tentative="1">
        <w:start w:val="1"/>
        <w:numFmt w:val="decimal"/>
        <w:lvlText w:val="%1.%2."/>
        <w:lvlJc w:val="left"/>
        <w:pPr>
          <w:ind w:left="567" w:hanging="567"/>
        </w:pPr>
      </w:lvl>
    </w:lvlOverride>
    <w:lvlOverride w:ilvl="2">
      <w:lvl w:ilvl="2" w:tentative="1">
        <w:start w:val="1"/>
        <w:numFmt w:val="decimal"/>
        <w:lvlText w:val="%1.%2.%3."/>
        <w:lvlJc w:val="left"/>
        <w:pPr>
          <w:ind w:left="709" w:hanging="709"/>
        </w:pPr>
      </w:lvl>
    </w:lvlOverride>
    <w:lvlOverride w:ilvl="3">
      <w:lvl w:ilvl="3" w:tentative="1">
        <w:start w:val="1"/>
        <w:numFmt w:val="decimal"/>
        <w:lvlText w:val="%1.%2.%3.%4."/>
        <w:lvlJc w:val="left"/>
        <w:pPr>
          <w:ind w:left="851" w:hanging="851"/>
        </w:pPr>
      </w:lvl>
    </w:lvlOverride>
    <w:lvlOverride w:ilvl="4">
      <w:lvl w:ilvl="4" w:tentative="1">
        <w:start w:val="1"/>
        <w:numFmt w:val="decimal"/>
        <w:lvlText w:val="%1.%2.%3.%4.%5."/>
        <w:lvlJc w:val="left"/>
        <w:pPr>
          <w:ind w:left="992" w:hanging="992"/>
        </w:pPr>
      </w:lvl>
    </w:lvlOverride>
    <w:lvlOverride w:ilvl="5">
      <w:lvl w:ilvl="5" w:tentative="1">
        <w:start w:val="1"/>
        <w:numFmt w:val="decimal"/>
        <w:lvlText w:val="%1.%2.%3.%4.%5.%6."/>
        <w:lvlJc w:val="left"/>
        <w:pPr>
          <w:ind w:left="1134" w:hanging="1134"/>
        </w:pPr>
      </w:lvl>
    </w:lvlOverride>
    <w:lvlOverride w:ilvl="6">
      <w:lvl w:ilvl="6" w:tentative="1">
        <w:start w:val="1"/>
        <w:numFmt w:val="decimal"/>
        <w:lvlText w:val="%1.%2.%3.%4.%5.%6.%7."/>
        <w:lvlJc w:val="left"/>
        <w:pPr>
          <w:ind w:left="1276" w:hanging="1276"/>
        </w:p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ind w:left="1418" w:hanging="1418"/>
        </w:p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ind w:left="1559" w:hanging="1559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00000000"/>
    <w:rsid w:val="2EED07B9"/>
    <w:rsid w:val="3C7A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章标题"/>
    <w:next w:val="1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2023-08-27T08:33:00Z</dcterms:created>
  <dc:creator>TH</dc:creator>
  <cp:lastModifiedBy>小溪</cp:lastModifiedBy>
  <dcterms:modified xsi:type="dcterms:W3CDTF">2023-11-28T01:03:37Z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49D0F53915BF4C4899896C95DFD24A2D_12</vt:lpwstr>
  </property>
</Properties>
</file>