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923" w:firstLineChars="3284"/>
        <w:rPr>
          <w:b/>
          <w:bCs/>
        </w:rPr>
      </w:pPr>
    </w:p>
    <w:p>
      <w:pPr>
        <w:ind w:firstLine="6923" w:firstLineChars="3284"/>
        <w:rPr>
          <w:b/>
          <w:bCs/>
        </w:rPr>
      </w:pPr>
      <w:r>
        <w:rPr>
          <w:b/>
          <w:bCs/>
        </w:rPr>
        <w:drawing>
          <wp:inline distT="0" distB="0" distL="0" distR="0">
            <wp:extent cx="1062990" cy="432435"/>
            <wp:effectExtent l="19050" t="0" r="3810" b="0"/>
            <wp:docPr id="2"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JJF"/>
                    <pic:cNvPicPr>
                      <a:picLocks noChangeAspect="1" noChangeArrowheads="1"/>
                    </pic:cNvPicPr>
                  </pic:nvPicPr>
                  <pic:blipFill>
                    <a:blip r:embed="rId12"/>
                    <a:srcRect/>
                    <a:stretch>
                      <a:fillRect/>
                    </a:stretch>
                  </pic:blipFill>
                  <pic:spPr>
                    <a:xfrm>
                      <a:off x="0" y="0"/>
                      <a:ext cx="1062990" cy="432435"/>
                    </a:xfrm>
                    <a:prstGeom prst="rect">
                      <a:avLst/>
                    </a:prstGeom>
                    <a:noFill/>
                    <a:ln w="9525">
                      <a:noFill/>
                      <a:miter lim="800000"/>
                      <a:headEnd/>
                      <a:tailEnd/>
                    </a:ln>
                  </pic:spPr>
                </pic:pic>
              </a:graphicData>
            </a:graphic>
          </wp:inline>
        </w:drawing>
      </w:r>
    </w:p>
    <w:p>
      <w:pPr>
        <w:ind w:firstLine="6923" w:firstLineChars="3284"/>
        <w:rPr>
          <w:b/>
          <w:bCs/>
        </w:rPr>
      </w:pPr>
    </w:p>
    <w:p>
      <w:pPr>
        <w:jc w:val="center"/>
        <w:rPr>
          <w:rFonts w:eastAsia="宋体-方正超大字符集"/>
          <w:b/>
          <w:bCs/>
          <w:spacing w:val="40"/>
          <w:sz w:val="52"/>
          <w:szCs w:val="52"/>
        </w:rPr>
      </w:pPr>
      <w:r>
        <w:rPr>
          <w:rFonts w:eastAsia="宋体-方正超大字符集"/>
          <w:b/>
          <w:bCs/>
          <w:spacing w:val="40"/>
          <w:sz w:val="52"/>
          <w:szCs w:val="52"/>
        </w:rPr>
        <w:t>中华人民共和国国家计量技术规范</w:t>
      </w:r>
    </w:p>
    <w:p>
      <w:pPr>
        <w:spacing w:line="400" w:lineRule="exact"/>
        <w:ind w:left="1344" w:leftChars="640" w:firstLine="5192" w:firstLineChars="1847"/>
        <w:rPr>
          <w:rFonts w:eastAsia="黑体"/>
          <w:b/>
          <w:bCs/>
          <w:sz w:val="28"/>
          <w:szCs w:val="28"/>
        </w:rPr>
      </w:pPr>
      <w:r>
        <w:rPr>
          <w:rFonts w:eastAsia="黑体"/>
          <w:b/>
          <w:bCs/>
          <w:sz w:val="28"/>
          <w:szCs w:val="28"/>
        </w:rPr>
        <w:t>JJF 1220—××××</w:t>
      </w:r>
    </w:p>
    <w:p>
      <w:pPr>
        <w:spacing w:line="400" w:lineRule="exact"/>
        <w:jc w:val="center"/>
        <w:rPr>
          <w:b/>
          <w:bCs/>
        </w:rPr>
      </w:pPr>
    </w:p>
    <w:p>
      <w:pPr>
        <w:spacing w:line="400" w:lineRule="exact"/>
        <w:jc w:val="center"/>
        <w:rPr>
          <w:rFonts w:eastAsia="Times New Roman"/>
          <w:b/>
          <w:bCs/>
        </w:rPr>
      </w:pPr>
    </w:p>
    <w:p>
      <w:pPr>
        <w:spacing w:line="400" w:lineRule="exact"/>
        <w:jc w:val="center"/>
        <w:rPr>
          <w:b/>
          <w:bCs/>
        </w:rPr>
      </w:pPr>
    </w:p>
    <w:p>
      <w:pPr>
        <w:spacing w:line="400" w:lineRule="exact"/>
        <w:jc w:val="center"/>
        <w:rPr>
          <w:b/>
          <w:bCs/>
        </w:rPr>
      </w:pPr>
    </w:p>
    <w:p>
      <w:pPr>
        <w:spacing w:line="400" w:lineRule="exact"/>
        <w:jc w:val="center"/>
        <w:rPr>
          <w:b/>
          <w:bCs/>
        </w:rPr>
      </w:pPr>
    </w:p>
    <w:p>
      <w:pPr>
        <w:spacing w:line="400" w:lineRule="exact"/>
        <w:jc w:val="center"/>
        <w:rPr>
          <w:b/>
          <w:bCs/>
        </w:rPr>
      </w:pPr>
    </w:p>
    <w:p>
      <w:pPr>
        <w:spacing w:line="400" w:lineRule="exact"/>
        <w:jc w:val="center"/>
        <w:rPr>
          <w:b/>
          <w:bCs/>
        </w:rPr>
      </w:pPr>
    </w:p>
    <w:p>
      <w:pPr>
        <w:spacing w:line="400" w:lineRule="exact"/>
        <w:jc w:val="center"/>
        <w:rPr>
          <w:b/>
          <w:bCs/>
        </w:rPr>
      </w:pPr>
    </w:p>
    <w:p>
      <w:pPr>
        <w:jc w:val="center"/>
        <w:rPr>
          <w:b/>
          <w:bCs/>
          <w:spacing w:val="20"/>
          <w:sz w:val="52"/>
          <w:szCs w:val="52"/>
        </w:rPr>
      </w:pPr>
    </w:p>
    <w:p>
      <w:pPr>
        <w:jc w:val="center"/>
        <w:rPr>
          <w:rFonts w:eastAsia="黑体"/>
          <w:sz w:val="52"/>
          <w:szCs w:val="52"/>
        </w:rPr>
      </w:pPr>
      <w:r>
        <w:rPr>
          <w:rFonts w:eastAsia="黑体"/>
          <w:sz w:val="52"/>
          <w:szCs w:val="52"/>
        </w:rPr>
        <w:t>颗粒碰撞噪声检测系统</w:t>
      </w:r>
    </w:p>
    <w:p>
      <w:pPr>
        <w:jc w:val="center"/>
        <w:rPr>
          <w:rFonts w:eastAsia="黑体"/>
          <w:sz w:val="52"/>
          <w:szCs w:val="52"/>
        </w:rPr>
      </w:pPr>
      <w:r>
        <w:rPr>
          <w:rFonts w:eastAsia="黑体"/>
          <w:sz w:val="52"/>
          <w:szCs w:val="52"/>
        </w:rPr>
        <w:t>校准规范</w:t>
      </w:r>
    </w:p>
    <w:p>
      <w:pPr>
        <w:spacing w:line="400" w:lineRule="exact"/>
        <w:jc w:val="center"/>
        <w:rPr>
          <w:sz w:val="28"/>
          <w:szCs w:val="28"/>
        </w:rPr>
      </w:pPr>
      <w:r>
        <w:rPr>
          <w:rFonts w:eastAsia="黑体"/>
          <w:sz w:val="28"/>
          <w:szCs w:val="28"/>
        </w:rPr>
        <w:t>Calibration Specification for PIND (Particle Impact Noise Detection)</w:t>
      </w:r>
    </w:p>
    <w:p>
      <w:pPr>
        <w:spacing w:line="400" w:lineRule="exact"/>
        <w:jc w:val="center"/>
        <w:rPr>
          <w:sz w:val="28"/>
          <w:szCs w:val="28"/>
        </w:rPr>
      </w:pPr>
    </w:p>
    <w:p>
      <w:pPr>
        <w:spacing w:line="400" w:lineRule="exact"/>
        <w:jc w:val="center"/>
        <w:rPr>
          <w:sz w:val="28"/>
          <w:szCs w:val="28"/>
        </w:rPr>
      </w:pPr>
      <w:r>
        <w:rPr>
          <w:sz w:val="28"/>
          <w:szCs w:val="28"/>
        </w:rPr>
        <w:t>（征求意见稿）</w:t>
      </w:r>
    </w:p>
    <w:p>
      <w:pPr>
        <w:spacing w:line="400" w:lineRule="exact"/>
        <w:jc w:val="center"/>
        <w:rPr>
          <w:sz w:val="28"/>
          <w:szCs w:val="28"/>
        </w:rP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pPr>
    </w:p>
    <w:p>
      <w:pPr>
        <w:spacing w:line="400" w:lineRule="exact"/>
        <w:jc w:val="center"/>
        <w:rPr>
          <w:rFonts w:eastAsia="黑体"/>
          <w:sz w:val="28"/>
          <w:szCs w:val="28"/>
        </w:rPr>
      </w:pPr>
      <w:r>
        <w:rPr>
          <w:rFonts w:eastAsia="黑体"/>
          <w:sz w:val="28"/>
          <w:szCs w:val="28"/>
        </w:rPr>
        <w:t>202×-×-×发布                                 202×-×-×实施</w:t>
      </w:r>
    </w:p>
    <w:p>
      <w:pPr>
        <w:spacing w:line="400" w:lineRule="exact"/>
        <w:jc w:val="center"/>
      </w:pPr>
      <w:r>
        <mc:AlternateContent>
          <mc:Choice Requires="wps">
            <w:drawing>
              <wp:anchor distT="0" distB="0" distL="114300" distR="114300" simplePos="0" relativeHeight="251661312" behindDoc="0" locked="1" layoutInCell="1" allowOverlap="1">
                <wp:simplePos x="0" y="0"/>
                <wp:positionH relativeFrom="column">
                  <wp:posOffset>195580</wp:posOffset>
                </wp:positionH>
                <wp:positionV relativeFrom="paragraph">
                  <wp:posOffset>-6307455</wp:posOffset>
                </wp:positionV>
                <wp:extent cx="6067425" cy="635"/>
                <wp:effectExtent l="0" t="0" r="9525" b="1841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0674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4pt;margin-top:-496.65pt;height:0.05pt;width:477.75pt;z-index:251661312;mso-width-relative:page;mso-height-relative:page;" filled="f" stroked="t" coordsize="21600,21600" o:gfxdata="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m+4Op2QAA&#10;AAwBAAAPAAAAAAAAAAEAIAAAACIAAABkcnMvZG93bnJldi54bWxQSwECFAAUAAAACACHTuJAagVn&#10;luQBAACsAwAADgAAAAAAAAABACAAAAAoAQAAZHJzL2Uyb0RvYy54bWxQSwUGAAAAAAYABgBZAQAA&#10;fgUAAAAA&#10;">
                <v:fill on="f" focussize="0,0"/>
                <v:stroke color="#000000" joinstyle="round"/>
                <v:imagedata o:title=""/>
                <o:lock v:ext="edit" aspectratio="f"/>
                <w10:anchorlock/>
              </v:line>
            </w:pict>
          </mc:Fallback>
        </mc:AlternateContent>
      </w:r>
      <w: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67310</wp:posOffset>
                </wp:positionV>
                <wp:extent cx="6067425" cy="635"/>
                <wp:effectExtent l="0" t="0" r="9525" b="1841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0674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5.3pt;height:0.05pt;width:477.75pt;z-index:251659264;mso-width-relative:page;mso-height-relative:page;" filled="f" stroked="t" coordsize="21600,21600" o:gfxdata="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LG1+H1AAAAAYB&#10;AAAPAAAAAAAAAAEAIAAAACIAAABkcnMvZG93bnJldi54bWxQSwECFAAUAAAACACHTuJAxVKiVeYB&#10;AACsAwAADgAAAAAAAAABACAAAAAjAQAAZHJzL2Uyb0RvYy54bWxQSwUGAAAAAAYABgBZAQAAewUA&#10;AAAA&#10;">
                <v:fill on="f" focussize="0,0"/>
                <v:stroke color="#000000" joinstyle="round"/>
                <v:imagedata o:title=""/>
                <o:lock v:ext="edit" aspectratio="f"/>
                <w10:anchorlock/>
              </v:line>
            </w:pict>
          </mc:Fallback>
        </mc:AlternateContent>
      </w:r>
    </w:p>
    <w:p>
      <w:pPr>
        <w:jc w:val="center"/>
        <w:rPr>
          <w:sz w:val="30"/>
          <w:szCs w:val="30"/>
        </w:rPr>
      </w:pPr>
      <w:r>
        <w:rPr>
          <w:rFonts w:eastAsia="宋体-方正超大字符集"/>
          <w:b/>
          <w:bCs/>
          <w:sz w:val="36"/>
          <w:szCs w:val="36"/>
        </w:rPr>
        <w:t xml:space="preserve">国 家 市 场 监 督 管 理 总 局 </w:t>
      </w:r>
      <w:r>
        <w:rPr>
          <w:rFonts w:eastAsia="黑体"/>
          <w:sz w:val="28"/>
          <w:szCs w:val="28"/>
        </w:rPr>
        <w:t>发布</w:t>
      </w:r>
    </w:p>
    <w:p>
      <w:pPr>
        <w:jc w:val="center"/>
      </w:pPr>
    </w:p>
    <w:p>
      <w:pPr>
        <w:jc w:val="center"/>
        <w:sectPr>
          <w:headerReference r:id="rId3" w:type="default"/>
          <w:footerReference r:id="rId4" w:type="default"/>
          <w:pgSz w:w="11906" w:h="16838"/>
          <w:pgMar w:top="1134" w:right="1134" w:bottom="1134" w:left="1134" w:header="624" w:footer="624" w:gutter="0"/>
          <w:pgNumType w:fmt="lowerRoman" w:start="1"/>
          <w:cols w:space="720" w:num="1"/>
          <w:docGrid w:linePitch="312" w:charSpace="0"/>
        </w:sectPr>
      </w:pPr>
    </w:p>
    <w:p>
      <w:pPr>
        <w:jc w:val="center"/>
      </w:pPr>
    </w:p>
    <w:tbl>
      <w:tblPr>
        <w:tblStyle w:val="18"/>
        <w:tblW w:w="0" w:type="auto"/>
        <w:tblInd w:w="318" w:type="dxa"/>
        <w:tblLayout w:type="autofit"/>
        <w:tblCellMar>
          <w:top w:w="0" w:type="dxa"/>
          <w:left w:w="108" w:type="dxa"/>
          <w:bottom w:w="0" w:type="dxa"/>
          <w:right w:w="108" w:type="dxa"/>
        </w:tblCellMar>
      </w:tblPr>
      <w:tblGrid>
        <w:gridCol w:w="5617"/>
        <w:gridCol w:w="3536"/>
      </w:tblGrid>
      <w:tr>
        <w:tblPrEx>
          <w:tblCellMar>
            <w:top w:w="0" w:type="dxa"/>
            <w:left w:w="108" w:type="dxa"/>
            <w:bottom w:w="0" w:type="dxa"/>
            <w:right w:w="108" w:type="dxa"/>
          </w:tblCellMar>
        </w:tblPrEx>
        <w:trPr>
          <w:trHeight w:val="1239" w:hRule="atLeast"/>
        </w:trPr>
        <w:tc>
          <w:tcPr>
            <w:tcW w:w="5617" w:type="dxa"/>
            <w:vAlign w:val="center"/>
          </w:tcPr>
          <w:p>
            <w:pPr>
              <w:spacing w:line="300" w:lineRule="auto"/>
              <w:jc w:val="center"/>
              <w:rPr>
                <w:rFonts w:eastAsia="黑体"/>
                <w:sz w:val="44"/>
                <w:szCs w:val="44"/>
              </w:rPr>
            </w:pPr>
            <w:r>
              <w:rPr>
                <w:rFonts w:eastAsia="黑体"/>
                <w:sz w:val="44"/>
                <w:szCs w:val="44"/>
              </w:rPr>
              <w:t>颗粒碰撞噪声检测系统</w:t>
            </w:r>
          </w:p>
          <w:p>
            <w:pPr>
              <w:spacing w:line="300" w:lineRule="auto"/>
              <w:jc w:val="center"/>
              <w:rPr>
                <w:rFonts w:eastAsia="黑体"/>
                <w:b/>
                <w:sz w:val="48"/>
                <w:szCs w:val="48"/>
              </w:rPr>
            </w:pPr>
            <w:r>
              <w:rPr>
                <w:rFonts w:eastAsia="黑体"/>
                <w:sz w:val="44"/>
                <w:szCs w:val="44"/>
              </w:rPr>
              <w:t>校准规范</w:t>
            </w:r>
          </w:p>
        </w:tc>
        <w:tc>
          <w:tcPr>
            <w:tcW w:w="3536" w:type="dxa"/>
            <w:vMerge w:val="restart"/>
            <w:vAlign w:val="center"/>
          </w:tcPr>
          <w:p>
            <w:pPr>
              <w:jc w:val="center"/>
              <w:rPr>
                <w:b/>
                <w:sz w:val="28"/>
                <w:szCs w:val="28"/>
              </w:rPr>
            </w:pPr>
            <w:r>
              <w:rPr>
                <w:b/>
                <w:sz w:val="28"/>
                <w:szCs w:val="28"/>
              </w:rPr>
              <mc:AlternateContent>
                <mc:Choice Requires="wps">
                  <w:drawing>
                    <wp:anchor distT="0" distB="0" distL="114300" distR="114300" simplePos="0" relativeHeight="251660288" behindDoc="0" locked="0" layoutInCell="1" allowOverlap="1">
                      <wp:simplePos x="0" y="0"/>
                      <wp:positionH relativeFrom="column">
                        <wp:posOffset>365125</wp:posOffset>
                      </wp:positionH>
                      <wp:positionV relativeFrom="paragraph">
                        <wp:posOffset>495300</wp:posOffset>
                      </wp:positionV>
                      <wp:extent cx="1379855" cy="494665"/>
                      <wp:effectExtent l="19050" t="19050" r="0" b="63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379855" cy="494665"/>
                              </a:xfrm>
                              <a:prstGeom prst="rect">
                                <a:avLst/>
                              </a:prstGeom>
                              <a:solidFill>
                                <a:srgbClr val="FFFFFF"/>
                              </a:solidFill>
                              <a:ln w="28575" cap="rnd">
                                <a:solidFill>
                                  <a:srgbClr val="000000"/>
                                </a:solidFill>
                                <a:prstDash val="sysDot"/>
                                <a:miter lim="800000"/>
                              </a:ln>
                            </wps:spPr>
                            <wps:txbx>
                              <w:txbxContent>
                                <w:p>
                                  <w:pPr>
                                    <w:spacing w:before="120" w:beforeLines="50"/>
                                    <w:jc w:val="center"/>
                                    <w:rPr>
                                      <w:rFonts w:ascii="黑体" w:eastAsia="黑体"/>
                                    </w:rPr>
                                  </w:pPr>
                                  <w:r>
                                    <w:rPr>
                                      <w:rFonts w:hint="eastAsia" w:ascii="黑体" w:eastAsia="黑体"/>
                                      <w:b/>
                                      <w:sz w:val="28"/>
                                      <w:szCs w:val="28"/>
                                    </w:rPr>
                                    <w:t>JJF 1220-××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75pt;margin-top:39pt;height:38.95pt;width:108.65pt;z-index:251660288;mso-width-relative:page;mso-height-relative:page;" fillcolor="#FFFFFF" filled="t" stroked="t" coordsize="21600,21600" o:gfxdata="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ZnHa02AAA&#10;AAkBAAAPAAAAAAAAAAEAIAAAACIAAABkcnMvZG93bnJldi54bWxQSwECFAAUAAAACACHTuJAUyv3&#10;bFcCAACsBAAADgAAAAAAAAABACAAAAAnAQAAZHJzL2Uyb0RvYy54bWxQSwUGAAAAAAYABgBZAQAA&#10;8AUAAAAA&#10;">
                      <v:fill on="t" focussize="0,0"/>
                      <v:stroke weight="2.25pt" color="#000000" miterlimit="8" joinstyle="miter" dashstyle="1 1" endcap="round"/>
                      <v:imagedata o:title=""/>
                      <o:lock v:ext="edit" aspectratio="f"/>
                      <v:textbox>
                        <w:txbxContent>
                          <w:p>
                            <w:pPr>
                              <w:spacing w:before="120" w:beforeLines="50"/>
                              <w:jc w:val="center"/>
                              <w:rPr>
                                <w:rFonts w:ascii="黑体" w:eastAsia="黑体"/>
                              </w:rPr>
                            </w:pPr>
                            <w:r>
                              <w:rPr>
                                <w:rFonts w:hint="eastAsia" w:ascii="黑体" w:eastAsia="黑体"/>
                                <w:b/>
                                <w:sz w:val="28"/>
                                <w:szCs w:val="28"/>
                              </w:rPr>
                              <w:t>JJF 1220-××</w:t>
                            </w:r>
                          </w:p>
                        </w:txbxContent>
                      </v:textbox>
                    </v:shape>
                  </w:pict>
                </mc:Fallback>
              </mc:AlternateContent>
            </w:r>
            <w:r>
              <w:rPr>
                <w:b/>
                <w:sz w:val="28"/>
                <w:szCs w:val="28"/>
              </w:rPr>
              <mc:AlternateContent>
                <mc:Choice Requires="wpc">
                  <w:drawing>
                    <wp:inline distT="0" distB="0" distL="0" distR="0">
                      <wp:extent cx="1866900" cy="693420"/>
                      <wp:effectExtent l="0" t="1905" r="635" b="0"/>
                      <wp:docPr id="110" name="画布 1"/>
                      <wp:cNvGraphicFramePr/>
                      <a:graphic xmlns:a="http://schemas.openxmlformats.org/drawingml/2006/main">
                        <a:graphicData uri="http://schemas.microsoft.com/office/word/2010/wordprocessingCanvas">
                          <wpc:wpc>
                            <wpc:bg>
                              <a:noFill/>
                            </wpc:bg>
                            <wpc:whole/>
                          </wpc:wpc>
                        </a:graphicData>
                      </a:graphic>
                    </wp:inline>
                  </w:drawing>
                </mc:Choice>
                <mc:Fallback>
                  <w:pict>
                    <v:group id="画布 1" o:spid="_x0000_s1026" o:spt="203" style="height:54.6pt;width:147pt;" coordsize="1866900,693420" editas="canvas" o:gfxdata="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">
                      <o:lock v:ext="edit" aspectratio="f"/>
                      <v:shape id="画布 1" o:spid="_x0000_s1026" style="position:absolute;left:0;top:0;height:693420;width:1866900;" filled="f" stroked="f" coordsize="21600,21600" o:gfxdata="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">
                        <v:fill on="f" focussize="0,0"/>
                        <v:stroke on="f"/>
                        <v:imagedata o:title=""/>
                        <o:lock v:ext="edit" aspectratio="f"/>
                      </v:shape>
                      <w10:wrap type="none"/>
                      <w10:anchorlock/>
                    </v:group>
                  </w:pict>
                </mc:Fallback>
              </mc:AlternateContent>
            </w:r>
          </w:p>
          <w:p>
            <w:pPr>
              <w:jc w:val="center"/>
              <w:rPr>
                <w:b/>
                <w:sz w:val="28"/>
                <w:szCs w:val="28"/>
              </w:rPr>
            </w:pPr>
          </w:p>
        </w:tc>
      </w:tr>
      <w:tr>
        <w:tblPrEx>
          <w:tblCellMar>
            <w:top w:w="0" w:type="dxa"/>
            <w:left w:w="108" w:type="dxa"/>
            <w:bottom w:w="0" w:type="dxa"/>
            <w:right w:w="108" w:type="dxa"/>
          </w:tblCellMar>
        </w:tblPrEx>
        <w:trPr>
          <w:trHeight w:val="1000" w:hRule="atLeast"/>
        </w:trPr>
        <w:tc>
          <w:tcPr>
            <w:tcW w:w="5617" w:type="dxa"/>
            <w:vAlign w:val="center"/>
          </w:tcPr>
          <w:p>
            <w:pPr>
              <w:spacing w:line="300" w:lineRule="auto"/>
              <w:jc w:val="center"/>
              <w:rPr>
                <w:sz w:val="28"/>
                <w:szCs w:val="28"/>
              </w:rPr>
            </w:pPr>
            <w:r>
              <w:rPr>
                <w:rFonts w:eastAsia="黑体"/>
                <w:sz w:val="28"/>
                <w:szCs w:val="28"/>
              </w:rPr>
              <w:t>Calibration Specification for PIND (Particle Impact Noise Detection)</w:t>
            </w:r>
          </w:p>
        </w:tc>
        <w:tc>
          <w:tcPr>
            <w:tcW w:w="3536" w:type="dxa"/>
            <w:vMerge w:val="continue"/>
          </w:tcPr>
          <w:p/>
        </w:tc>
      </w:tr>
    </w:tbl>
    <w:p/>
    <w:p>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120650</wp:posOffset>
                </wp:positionV>
                <wp:extent cx="613410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19050">
                          <a:solidFill>
                            <a:srgbClr val="000000"/>
                          </a:solidFill>
                          <a:round/>
                        </a:ln>
                      </wps:spPr>
                      <wps:bodyPr/>
                    </wps:wsp>
                  </a:graphicData>
                </a:graphic>
              </wp:anchor>
            </w:drawing>
          </mc:Choice>
          <mc:Fallback>
            <w:pict>
              <v:line id="_x0000_s1026" o:spid="_x0000_s1026" o:spt="20" style="position:absolute;left:0pt;margin-left:0pt;margin-top:9.5pt;height:0pt;width:483pt;z-index:251661312;mso-width-relative:page;mso-height-relative:page;" filled="f" stroked="t" coordsize="21600,21600" o:gfxdata="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0Iug0gAAAAYBAAAPAAAA&#10;AAAAAAEAIAAAACIAAABkcnMvZG93bnJldi54bWxQSwECFAAUAAAACACHTuJAChmyC+IBAACrAwAA&#10;DgAAAAAAAAABACAAAAAhAQAAZHJzL2Uyb0RvYy54bWxQSwUGAAAAAAYABgBZAQAAdQUAAAAA&#10;">
                <v:fill on="f" focussize="0,0"/>
                <v:stroke weight="1.5pt" color="#000000" joinstyle="round"/>
                <v:imagedata o:title=""/>
                <o:lock v:ext="edit" aspectratio="f"/>
              </v:line>
            </w:pict>
          </mc:Fallback>
        </mc:AlternateContent>
      </w:r>
    </w:p>
    <w:p>
      <w:pPr>
        <w:spacing w:line="400" w:lineRule="exact"/>
        <w:ind w:firstLine="560" w:firstLineChars="200"/>
        <w:rPr>
          <w:sz w:val="28"/>
          <w:szCs w:val="28"/>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300" w:lineRule="auto"/>
        <w:rPr>
          <w:sz w:val="24"/>
          <w:szCs w:val="24"/>
        </w:rPr>
      </w:pPr>
      <w:r>
        <w:rPr>
          <w:sz w:val="24"/>
          <w:szCs w:val="24"/>
        </w:rPr>
        <w:t>　　　</w:t>
      </w:r>
      <w:r>
        <w:rPr>
          <w:rFonts w:eastAsia="黑体"/>
          <w:b/>
          <w:bCs/>
          <w:spacing w:val="90"/>
          <w:sz w:val="28"/>
          <w:szCs w:val="28"/>
        </w:rPr>
        <w:t>归口单</w:t>
      </w:r>
      <w:r>
        <w:rPr>
          <w:rFonts w:eastAsia="黑体"/>
          <w:b/>
          <w:bCs/>
          <w:sz w:val="28"/>
          <w:szCs w:val="28"/>
        </w:rPr>
        <w:t>位：</w:t>
      </w:r>
      <w:r>
        <w:rPr>
          <w:sz w:val="28"/>
          <w:szCs w:val="28"/>
        </w:rPr>
        <w:t>全国振动冲击转速计量技术委员会</w:t>
      </w:r>
    </w:p>
    <w:p>
      <w:pPr>
        <w:spacing w:line="300" w:lineRule="auto"/>
        <w:rPr>
          <w:sz w:val="24"/>
          <w:szCs w:val="24"/>
        </w:rPr>
      </w:pPr>
    </w:p>
    <w:p>
      <w:pPr>
        <w:spacing w:line="300" w:lineRule="auto"/>
        <w:rPr>
          <w:rFonts w:hint="default" w:eastAsia="黑体"/>
          <w:sz w:val="28"/>
          <w:szCs w:val="28"/>
          <w:lang w:val="en-US" w:eastAsia="zh-CN"/>
        </w:rPr>
      </w:pPr>
      <w:r>
        <w:rPr>
          <w:sz w:val="24"/>
          <w:szCs w:val="24"/>
        </w:rPr>
        <w:t>　　　</w:t>
      </w:r>
      <w:r>
        <w:rPr>
          <w:rFonts w:eastAsia="黑体"/>
          <w:b/>
          <w:bCs/>
          <w:sz w:val="28"/>
          <w:szCs w:val="28"/>
        </w:rPr>
        <w:t>主要起草单位：</w:t>
      </w:r>
      <w:r>
        <w:rPr>
          <w:rFonts w:hint="eastAsia" w:eastAsia="黑体"/>
          <w:sz w:val="28"/>
          <w:szCs w:val="28"/>
          <w:lang w:val="en-US" w:eastAsia="zh-CN"/>
        </w:rPr>
        <w:t>XXXXXXX</w:t>
      </w:r>
    </w:p>
    <w:p>
      <w:pPr>
        <w:spacing w:line="300" w:lineRule="auto"/>
        <w:ind w:firstLine="2693" w:firstLineChars="962"/>
        <w:rPr>
          <w:sz w:val="28"/>
          <w:szCs w:val="28"/>
        </w:rPr>
      </w:pPr>
      <w:r>
        <w:rPr>
          <w:rFonts w:hint="eastAsia" w:eastAsia="黑体"/>
          <w:sz w:val="28"/>
          <w:szCs w:val="28"/>
          <w:lang w:val="en-US" w:eastAsia="zh-CN"/>
        </w:rPr>
        <w:t>XXXXXXX</w:t>
      </w:r>
    </w:p>
    <w:p>
      <w:pPr>
        <w:spacing w:line="300" w:lineRule="auto"/>
        <w:rPr>
          <w:sz w:val="24"/>
          <w:szCs w:val="24"/>
        </w:rPr>
      </w:pPr>
    </w:p>
    <w:p>
      <w:pPr>
        <w:spacing w:line="300" w:lineRule="auto"/>
        <w:rPr>
          <w:sz w:val="28"/>
          <w:szCs w:val="28"/>
        </w:rPr>
      </w:pPr>
      <w:r>
        <w:rPr>
          <w:sz w:val="24"/>
          <w:szCs w:val="24"/>
        </w:rPr>
        <w:t>　　　</w:t>
      </w:r>
      <w:r>
        <w:rPr>
          <w:rFonts w:eastAsia="黑体"/>
          <w:b/>
          <w:bCs/>
          <w:sz w:val="28"/>
          <w:szCs w:val="28"/>
        </w:rPr>
        <w:t>参加起草单位：</w:t>
      </w:r>
      <w:r>
        <w:rPr>
          <w:rFonts w:hint="eastAsia" w:eastAsia="黑体"/>
          <w:sz w:val="28"/>
          <w:szCs w:val="28"/>
          <w:lang w:val="en-US" w:eastAsia="zh-CN"/>
        </w:rPr>
        <w:t>XXXXXXX</w:t>
      </w:r>
    </w:p>
    <w:p>
      <w:pPr>
        <w:spacing w:line="300" w:lineRule="auto"/>
        <w:ind w:firstLine="2660" w:firstLineChars="950"/>
        <w:rPr>
          <w:sz w:val="28"/>
          <w:szCs w:val="28"/>
        </w:rPr>
      </w:pPr>
      <w:r>
        <w:rPr>
          <w:rFonts w:hint="eastAsia" w:eastAsia="黑体"/>
          <w:sz w:val="28"/>
          <w:szCs w:val="28"/>
          <w:lang w:val="en-US" w:eastAsia="zh-CN"/>
        </w:rPr>
        <w:t>XXXXXXX</w:t>
      </w:r>
    </w:p>
    <w:p>
      <w:pPr>
        <w:spacing w:line="300" w:lineRule="auto"/>
        <w:rPr>
          <w:sz w:val="28"/>
          <w:szCs w:val="28"/>
        </w:rPr>
      </w:pPr>
    </w:p>
    <w:p>
      <w:pPr>
        <w:spacing w:line="400" w:lineRule="exact"/>
        <w:rPr>
          <w:sz w:val="28"/>
          <w:szCs w:val="28"/>
        </w:rPr>
      </w:pPr>
    </w:p>
    <w:p>
      <w:pPr>
        <w:spacing w:line="400" w:lineRule="exact"/>
        <w:rPr>
          <w:sz w:val="28"/>
          <w:szCs w:val="28"/>
        </w:rPr>
      </w:pPr>
    </w:p>
    <w:p>
      <w:pPr>
        <w:spacing w:line="400" w:lineRule="exact"/>
        <w:rPr>
          <w:sz w:val="28"/>
          <w:szCs w:val="28"/>
        </w:rPr>
      </w:pPr>
    </w:p>
    <w:p>
      <w:pPr>
        <w:spacing w:line="400" w:lineRule="exact"/>
        <w:rPr>
          <w:sz w:val="28"/>
          <w:szCs w:val="28"/>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r>
        <w:rPr>
          <w:sz w:val="24"/>
          <w:szCs w:val="24"/>
        </w:rPr>
        <w:t>　　    　</w:t>
      </w:r>
      <w:r>
        <w:rPr>
          <w:sz w:val="28"/>
          <w:szCs w:val="28"/>
        </w:rPr>
        <w:t>本规范委托全国振动冲击转速计量技术委员会负责解释</w:t>
      </w:r>
    </w:p>
    <w:p>
      <w:pPr>
        <w:spacing w:line="300" w:lineRule="auto"/>
      </w:pPr>
      <w:r>
        <w:br w:type="page"/>
      </w:r>
    </w:p>
    <w:p>
      <w:pPr>
        <w:spacing w:line="300" w:lineRule="auto"/>
      </w:pPr>
    </w:p>
    <w:p>
      <w:pPr>
        <w:spacing w:line="300" w:lineRule="auto"/>
      </w:pPr>
    </w:p>
    <w:p>
      <w:pPr>
        <w:spacing w:line="300" w:lineRule="auto"/>
      </w:pPr>
    </w:p>
    <w:p>
      <w:pPr>
        <w:spacing w:line="300" w:lineRule="auto"/>
      </w:pPr>
    </w:p>
    <w:p>
      <w:pPr>
        <w:spacing w:line="300" w:lineRule="auto"/>
      </w:pPr>
    </w:p>
    <w:p>
      <w:pPr>
        <w:spacing w:line="300" w:lineRule="auto"/>
        <w:ind w:firstLine="465"/>
        <w:rPr>
          <w:rFonts w:hint="eastAsia" w:eastAsia="黑体"/>
          <w:sz w:val="28"/>
          <w:szCs w:val="28"/>
          <w:lang w:val="en-US" w:eastAsia="zh-CN"/>
        </w:rPr>
      </w:pPr>
      <w:r>
        <w:rPr>
          <w:rFonts w:eastAsia="黑体"/>
          <w:sz w:val="28"/>
          <w:szCs w:val="28"/>
        </w:rPr>
        <w:t>本规范主要起草人：</w:t>
      </w:r>
      <w:r>
        <w:rPr>
          <w:rFonts w:hint="eastAsia" w:eastAsia="黑体"/>
          <w:sz w:val="28"/>
          <w:szCs w:val="28"/>
          <w:lang w:val="en-US" w:eastAsia="zh-CN"/>
        </w:rPr>
        <w:t>XXXXXXXXXXXXX</w:t>
      </w:r>
    </w:p>
    <w:p>
      <w:pPr>
        <w:spacing w:line="300" w:lineRule="auto"/>
        <w:ind w:firstLine="465"/>
        <w:rPr>
          <w:rFonts w:eastAsia="黑体"/>
          <w:sz w:val="28"/>
          <w:szCs w:val="28"/>
        </w:rPr>
      </w:pPr>
      <w:r>
        <w:rPr>
          <w:rFonts w:eastAsia="黑体"/>
          <w:sz w:val="28"/>
          <w:szCs w:val="28"/>
        </w:rPr>
        <w:t xml:space="preserve">                  </w:t>
      </w:r>
      <w:r>
        <w:rPr>
          <w:rFonts w:hint="eastAsia" w:eastAsia="黑体"/>
          <w:sz w:val="28"/>
          <w:szCs w:val="28"/>
          <w:lang w:val="en-US" w:eastAsia="zh-CN"/>
        </w:rPr>
        <w:t>XXX</w:t>
      </w:r>
      <w:r>
        <w:rPr>
          <w:rFonts w:eastAsia="黑体"/>
          <w:sz w:val="28"/>
          <w:szCs w:val="28"/>
        </w:rPr>
        <w:t>(</w:t>
      </w:r>
      <w:r>
        <w:rPr>
          <w:rFonts w:hint="eastAsia" w:eastAsia="黑体"/>
          <w:sz w:val="28"/>
          <w:szCs w:val="28"/>
          <w:lang w:val="en-US" w:eastAsia="zh-CN"/>
        </w:rPr>
        <w:t>XXXXXXXXXXXXX</w:t>
      </w:r>
      <w:r>
        <w:rPr>
          <w:rFonts w:eastAsia="黑体"/>
          <w:sz w:val="28"/>
          <w:szCs w:val="28"/>
        </w:rPr>
        <w:t>)</w:t>
      </w:r>
    </w:p>
    <w:p>
      <w:pPr>
        <w:spacing w:line="300" w:lineRule="auto"/>
        <w:ind w:firstLine="465"/>
        <w:rPr>
          <w:rFonts w:eastAsia="黑体"/>
          <w:sz w:val="28"/>
          <w:szCs w:val="28"/>
        </w:rPr>
      </w:pPr>
      <w:r>
        <w:rPr>
          <w:rFonts w:eastAsia="黑体"/>
          <w:sz w:val="28"/>
          <w:szCs w:val="28"/>
        </w:rPr>
        <w:t xml:space="preserve">                  </w:t>
      </w:r>
      <w:r>
        <w:rPr>
          <w:rFonts w:hint="eastAsia" w:eastAsia="黑体"/>
          <w:sz w:val="28"/>
          <w:szCs w:val="28"/>
          <w:lang w:val="en-US" w:eastAsia="zh-CN"/>
        </w:rPr>
        <w:t>XXX</w:t>
      </w:r>
      <w:r>
        <w:rPr>
          <w:rFonts w:eastAsia="黑体"/>
          <w:sz w:val="28"/>
          <w:szCs w:val="28"/>
        </w:rPr>
        <w:t>(</w:t>
      </w:r>
      <w:r>
        <w:rPr>
          <w:rFonts w:hint="eastAsia" w:eastAsia="黑体"/>
          <w:sz w:val="28"/>
          <w:szCs w:val="28"/>
          <w:lang w:val="en-US" w:eastAsia="zh-CN"/>
        </w:rPr>
        <w:t>XXXXXXXXXXXXX</w:t>
      </w:r>
      <w:r>
        <w:rPr>
          <w:rFonts w:eastAsia="黑体"/>
          <w:sz w:val="28"/>
          <w:szCs w:val="28"/>
        </w:rPr>
        <w:t>)</w:t>
      </w:r>
    </w:p>
    <w:p>
      <w:pPr>
        <w:spacing w:line="300" w:lineRule="auto"/>
        <w:ind w:firstLine="465"/>
        <w:rPr>
          <w:rFonts w:eastAsia="黑体"/>
          <w:sz w:val="28"/>
          <w:szCs w:val="28"/>
        </w:rPr>
      </w:pPr>
      <w:r>
        <w:rPr>
          <w:rFonts w:eastAsia="黑体"/>
          <w:sz w:val="28"/>
          <w:szCs w:val="28"/>
        </w:rPr>
        <w:t xml:space="preserve">      参加起草人：</w:t>
      </w:r>
      <w:r>
        <w:rPr>
          <w:rFonts w:hint="eastAsia" w:eastAsia="黑体"/>
          <w:sz w:val="28"/>
          <w:szCs w:val="28"/>
          <w:lang w:val="en-US" w:eastAsia="zh-CN"/>
        </w:rPr>
        <w:t>X  X</w:t>
      </w:r>
      <w:r>
        <w:rPr>
          <w:rFonts w:eastAsia="黑体"/>
          <w:sz w:val="28"/>
          <w:szCs w:val="28"/>
        </w:rPr>
        <w:t>(</w:t>
      </w:r>
      <w:r>
        <w:rPr>
          <w:rFonts w:hint="eastAsia" w:eastAsia="黑体"/>
          <w:sz w:val="28"/>
          <w:szCs w:val="28"/>
          <w:lang w:val="en-US" w:eastAsia="zh-CN"/>
        </w:rPr>
        <w:t>XXXXXXXXXXXXX</w:t>
      </w:r>
      <w:r>
        <w:rPr>
          <w:rFonts w:eastAsia="黑体"/>
          <w:sz w:val="28"/>
          <w:szCs w:val="28"/>
        </w:rPr>
        <w:t>)</w:t>
      </w:r>
    </w:p>
    <w:p>
      <w:pPr>
        <w:spacing w:line="300" w:lineRule="auto"/>
        <w:ind w:firstLine="465"/>
        <w:rPr>
          <w:rFonts w:eastAsia="黑体"/>
          <w:sz w:val="28"/>
          <w:szCs w:val="28"/>
        </w:rPr>
      </w:pPr>
      <w:r>
        <w:rPr>
          <w:rFonts w:eastAsia="黑体"/>
          <w:sz w:val="28"/>
          <w:szCs w:val="28"/>
        </w:rPr>
        <w:t xml:space="preserve">                  </w:t>
      </w:r>
      <w:r>
        <w:rPr>
          <w:rFonts w:hint="eastAsia" w:eastAsia="黑体"/>
          <w:sz w:val="28"/>
          <w:szCs w:val="28"/>
          <w:lang w:val="en-US" w:eastAsia="zh-CN"/>
        </w:rPr>
        <w:t>XXX</w:t>
      </w:r>
      <w:r>
        <w:rPr>
          <w:rFonts w:eastAsia="黑体"/>
          <w:sz w:val="28"/>
          <w:szCs w:val="28"/>
        </w:rPr>
        <w:t>(</w:t>
      </w:r>
      <w:r>
        <w:rPr>
          <w:rFonts w:hint="eastAsia" w:eastAsia="黑体"/>
          <w:sz w:val="28"/>
          <w:szCs w:val="28"/>
          <w:lang w:val="en-US" w:eastAsia="zh-CN"/>
        </w:rPr>
        <w:t>XXXXXXXXXXXXX</w:t>
      </w:r>
      <w:r>
        <w:rPr>
          <w:rFonts w:eastAsia="黑体"/>
          <w:sz w:val="28"/>
          <w:szCs w:val="28"/>
        </w:rPr>
        <w:t>)</w:t>
      </w:r>
    </w:p>
    <w:p>
      <w:pPr>
        <w:spacing w:line="300" w:lineRule="auto"/>
        <w:ind w:firstLine="465"/>
        <w:rPr>
          <w:rFonts w:eastAsia="黑体"/>
          <w:sz w:val="28"/>
          <w:szCs w:val="28"/>
        </w:rPr>
      </w:pPr>
      <w:r>
        <w:rPr>
          <w:rFonts w:hint="eastAsia" w:eastAsia="黑体"/>
          <w:sz w:val="28"/>
          <w:szCs w:val="28"/>
        </w:rPr>
        <w:t xml:space="preserve"> </w:t>
      </w:r>
      <w:r>
        <w:rPr>
          <w:rFonts w:eastAsia="黑体"/>
          <w:sz w:val="28"/>
          <w:szCs w:val="28"/>
        </w:rPr>
        <w:t xml:space="preserve">                 </w:t>
      </w:r>
      <w:r>
        <w:rPr>
          <w:rFonts w:hint="eastAsia" w:eastAsia="黑体"/>
          <w:sz w:val="28"/>
          <w:szCs w:val="28"/>
          <w:lang w:val="en-US" w:eastAsia="zh-CN"/>
        </w:rPr>
        <w:t>XXX</w:t>
      </w:r>
      <w:r>
        <w:rPr>
          <w:rFonts w:eastAsia="黑体"/>
          <w:sz w:val="28"/>
          <w:szCs w:val="28"/>
        </w:rPr>
        <w:t>(</w:t>
      </w:r>
      <w:r>
        <w:rPr>
          <w:rFonts w:hint="eastAsia" w:eastAsia="黑体"/>
          <w:sz w:val="28"/>
          <w:szCs w:val="28"/>
          <w:lang w:val="en-US" w:eastAsia="zh-CN"/>
        </w:rPr>
        <w:t>XXXXXXXXXXXXX</w:t>
      </w:r>
      <w:r>
        <w:rPr>
          <w:rFonts w:eastAsia="黑体"/>
          <w:sz w:val="28"/>
          <w:szCs w:val="28"/>
        </w:rPr>
        <w:t>)</w:t>
      </w:r>
    </w:p>
    <w:p>
      <w:pPr>
        <w:spacing w:line="300" w:lineRule="auto"/>
        <w:ind w:firstLine="465"/>
        <w:rPr>
          <w:rFonts w:eastAsia="黑体"/>
          <w:sz w:val="28"/>
          <w:szCs w:val="28"/>
        </w:rPr>
      </w:pPr>
      <w:r>
        <w:rPr>
          <w:rFonts w:eastAsia="黑体"/>
          <w:sz w:val="28"/>
          <w:szCs w:val="28"/>
        </w:rPr>
        <w:t xml:space="preserve">                  </w:t>
      </w:r>
      <w:r>
        <w:rPr>
          <w:rFonts w:hint="eastAsia" w:eastAsia="黑体"/>
          <w:sz w:val="28"/>
          <w:szCs w:val="28"/>
          <w:lang w:val="en-US" w:eastAsia="zh-CN"/>
        </w:rPr>
        <w:t>XXX</w:t>
      </w:r>
      <w:r>
        <w:rPr>
          <w:rFonts w:eastAsia="黑体"/>
          <w:sz w:val="28"/>
          <w:szCs w:val="28"/>
        </w:rPr>
        <w:t>(</w:t>
      </w:r>
      <w:r>
        <w:rPr>
          <w:rFonts w:hint="eastAsia" w:eastAsia="黑体"/>
          <w:sz w:val="28"/>
          <w:szCs w:val="28"/>
          <w:lang w:val="en-US" w:eastAsia="zh-CN"/>
        </w:rPr>
        <w:t>XXXXXXXXXXXXX</w:t>
      </w:r>
      <w:r>
        <w:rPr>
          <w:rFonts w:eastAsia="黑体"/>
          <w:sz w:val="28"/>
          <w:szCs w:val="28"/>
        </w:rPr>
        <w:t>)</w:t>
      </w:r>
    </w:p>
    <w:p>
      <w:pPr>
        <w:spacing w:line="300" w:lineRule="auto"/>
        <w:ind w:firstLine="2976" w:firstLineChars="1063"/>
        <w:rPr>
          <w:rFonts w:eastAsia="黑体"/>
          <w:sz w:val="28"/>
          <w:szCs w:val="28"/>
        </w:rPr>
      </w:pPr>
    </w:p>
    <w:p>
      <w:pPr>
        <w:spacing w:line="300" w:lineRule="auto"/>
        <w:rPr>
          <w:rFonts w:eastAsia="黑体"/>
          <w:sz w:val="28"/>
          <w:szCs w:val="28"/>
        </w:rPr>
      </w:pPr>
      <w:bookmarkStart w:id="59" w:name="_GoBack"/>
      <w:bookmarkEnd w:id="59"/>
    </w:p>
    <w:p>
      <w:pPr>
        <w:spacing w:line="300" w:lineRule="auto"/>
        <w:rPr>
          <w:rFonts w:eastAsia="黑体"/>
          <w:sz w:val="28"/>
          <w:szCs w:val="28"/>
        </w:rPr>
      </w:pPr>
    </w:p>
    <w:p>
      <w:pPr>
        <w:spacing w:line="300" w:lineRule="auto"/>
        <w:rPr>
          <w:rFonts w:eastAsia="黑体"/>
          <w:sz w:val="28"/>
          <w:szCs w:val="28"/>
        </w:rPr>
      </w:pPr>
    </w:p>
    <w:p>
      <w:pPr>
        <w:spacing w:line="300" w:lineRule="auto"/>
        <w:rPr>
          <w:sz w:val="28"/>
          <w:szCs w:val="28"/>
        </w:rPr>
      </w:pPr>
    </w:p>
    <w:p>
      <w:pPr>
        <w:spacing w:line="300" w:lineRule="auto"/>
        <w:rPr>
          <w:sz w:val="28"/>
          <w:szCs w:val="28"/>
        </w:rPr>
      </w:pPr>
      <w:r>
        <w:rPr>
          <w:sz w:val="28"/>
          <w:szCs w:val="28"/>
        </w:rPr>
        <w:t>　　　　　</w:t>
      </w: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spacing w:line="300" w:lineRule="auto"/>
        <w:rPr>
          <w:sz w:val="28"/>
          <w:szCs w:val="28"/>
        </w:rPr>
      </w:pPr>
    </w:p>
    <w:p>
      <w:pPr>
        <w:jc w:val="center"/>
        <w:rPr>
          <w:rFonts w:eastAsia="黑体"/>
          <w:b/>
          <w:sz w:val="44"/>
          <w:szCs w:val="44"/>
        </w:rPr>
      </w:pPr>
      <w:r>
        <w:rPr>
          <w:rFonts w:eastAsia="黑体"/>
          <w:b/>
          <w:sz w:val="44"/>
          <w:szCs w:val="44"/>
        </w:rPr>
        <w:t>目录</w:t>
      </w:r>
    </w:p>
    <w:p>
      <w:pPr>
        <w:jc w:val="left"/>
        <w:rPr>
          <w:sz w:val="40"/>
        </w:rPr>
      </w:pPr>
    </w:p>
    <w:p>
      <w:pPr>
        <w:pStyle w:val="15"/>
        <w:rPr>
          <w:rFonts w:eastAsiaTheme="minorEastAsia"/>
          <w:sz w:val="22"/>
          <w:szCs w:val="22"/>
        </w:rPr>
      </w:pPr>
      <w:r>
        <w:rPr>
          <w:rFonts w:eastAsia="黑体"/>
        </w:rPr>
        <w:fldChar w:fldCharType="begin"/>
      </w:r>
      <w:r>
        <w:rPr>
          <w:rFonts w:eastAsia="黑体"/>
        </w:rPr>
        <w:instrText xml:space="preserve"> TOC \o "1-2" \h \z \u </w:instrText>
      </w:r>
      <w:r>
        <w:rPr>
          <w:rFonts w:eastAsia="黑体"/>
        </w:rPr>
        <w:fldChar w:fldCharType="separate"/>
      </w:r>
      <w:r>
        <w:fldChar w:fldCharType="begin"/>
      </w:r>
      <w:r>
        <w:instrText xml:space="preserve"> HYPERLINK \l "_Toc132233452" </w:instrText>
      </w:r>
      <w:r>
        <w:fldChar w:fldCharType="separate"/>
      </w:r>
      <w:r>
        <w:rPr>
          <w:rStyle w:val="22"/>
          <w:rFonts w:eastAsia="黑体"/>
          <w:spacing w:val="20"/>
        </w:rPr>
        <w:t>引言</w:t>
      </w:r>
      <w:r>
        <w:tab/>
      </w:r>
      <w:r>
        <w:fldChar w:fldCharType="begin"/>
      </w:r>
      <w:r>
        <w:instrText xml:space="preserve"> PAGEREF _Toc132233452 \h </w:instrText>
      </w:r>
      <w:r>
        <w:fldChar w:fldCharType="separate"/>
      </w:r>
      <w:r>
        <w:t>IV</w:t>
      </w:r>
      <w:r>
        <w:fldChar w:fldCharType="end"/>
      </w:r>
      <w:r>
        <w:fldChar w:fldCharType="end"/>
      </w:r>
    </w:p>
    <w:p>
      <w:pPr>
        <w:pStyle w:val="15"/>
        <w:rPr>
          <w:rFonts w:eastAsiaTheme="minorEastAsia"/>
          <w:sz w:val="22"/>
          <w:szCs w:val="22"/>
        </w:rPr>
      </w:pPr>
      <w:r>
        <w:fldChar w:fldCharType="begin"/>
      </w:r>
      <w:r>
        <w:instrText xml:space="preserve"> HYPERLINK \l "_Toc132233453" </w:instrText>
      </w:r>
      <w:r>
        <w:fldChar w:fldCharType="separate"/>
      </w:r>
      <w:r>
        <w:rPr>
          <w:rStyle w:val="22"/>
          <w:rFonts w:eastAsia="黑体"/>
        </w:rPr>
        <w:t>1</w:t>
      </w:r>
      <w:r>
        <w:rPr>
          <w:rFonts w:eastAsiaTheme="minorEastAsia"/>
          <w:sz w:val="22"/>
          <w:szCs w:val="22"/>
        </w:rPr>
        <w:tab/>
      </w:r>
      <w:r>
        <w:rPr>
          <w:rStyle w:val="22"/>
          <w:rFonts w:eastAsia="黑体"/>
        </w:rPr>
        <w:t>范围</w:t>
      </w:r>
      <w:r>
        <w:tab/>
      </w:r>
      <w:r>
        <w:fldChar w:fldCharType="begin"/>
      </w:r>
      <w:r>
        <w:instrText xml:space="preserve"> PAGEREF _Toc132233453 \h </w:instrText>
      </w:r>
      <w:r>
        <w:fldChar w:fldCharType="separate"/>
      </w:r>
      <w:r>
        <w:t>1</w:t>
      </w:r>
      <w:r>
        <w:fldChar w:fldCharType="end"/>
      </w:r>
      <w:r>
        <w:fldChar w:fldCharType="end"/>
      </w:r>
    </w:p>
    <w:p>
      <w:pPr>
        <w:pStyle w:val="15"/>
        <w:rPr>
          <w:rFonts w:eastAsiaTheme="minorEastAsia"/>
          <w:sz w:val="22"/>
          <w:szCs w:val="22"/>
        </w:rPr>
      </w:pPr>
      <w:r>
        <w:fldChar w:fldCharType="begin"/>
      </w:r>
      <w:r>
        <w:instrText xml:space="preserve"> HYPERLINK \l "_Toc132233454" </w:instrText>
      </w:r>
      <w:r>
        <w:fldChar w:fldCharType="separate"/>
      </w:r>
      <w:r>
        <w:rPr>
          <w:rStyle w:val="22"/>
          <w:rFonts w:eastAsia="黑体"/>
        </w:rPr>
        <w:t>2</w:t>
      </w:r>
      <w:r>
        <w:rPr>
          <w:rFonts w:eastAsiaTheme="minorEastAsia"/>
          <w:sz w:val="22"/>
          <w:szCs w:val="22"/>
        </w:rPr>
        <w:tab/>
      </w:r>
      <w:r>
        <w:rPr>
          <w:rStyle w:val="22"/>
          <w:rFonts w:eastAsia="黑体"/>
        </w:rPr>
        <w:t>引用文件</w:t>
      </w:r>
      <w:r>
        <w:tab/>
      </w:r>
      <w:r>
        <w:fldChar w:fldCharType="begin"/>
      </w:r>
      <w:r>
        <w:instrText xml:space="preserve"> PAGEREF _Toc132233454 \h </w:instrText>
      </w:r>
      <w:r>
        <w:fldChar w:fldCharType="separate"/>
      </w:r>
      <w:r>
        <w:t>1</w:t>
      </w:r>
      <w:r>
        <w:fldChar w:fldCharType="end"/>
      </w:r>
      <w:r>
        <w:fldChar w:fldCharType="end"/>
      </w:r>
    </w:p>
    <w:p>
      <w:pPr>
        <w:pStyle w:val="15"/>
        <w:rPr>
          <w:rFonts w:eastAsiaTheme="minorEastAsia"/>
          <w:sz w:val="22"/>
          <w:szCs w:val="22"/>
        </w:rPr>
      </w:pPr>
      <w:r>
        <w:fldChar w:fldCharType="begin"/>
      </w:r>
      <w:r>
        <w:instrText xml:space="preserve"> HYPERLINK \l "_Toc132233455" </w:instrText>
      </w:r>
      <w:r>
        <w:fldChar w:fldCharType="separate"/>
      </w:r>
      <w:r>
        <w:rPr>
          <w:rStyle w:val="22"/>
          <w:rFonts w:eastAsia="黑体"/>
        </w:rPr>
        <w:t>3</w:t>
      </w:r>
      <w:r>
        <w:rPr>
          <w:rFonts w:eastAsiaTheme="minorEastAsia"/>
          <w:sz w:val="22"/>
          <w:szCs w:val="22"/>
        </w:rPr>
        <w:tab/>
      </w:r>
      <w:r>
        <w:rPr>
          <w:rStyle w:val="22"/>
          <w:rFonts w:eastAsia="黑体"/>
        </w:rPr>
        <w:t>术语</w:t>
      </w:r>
      <w:r>
        <w:tab/>
      </w:r>
      <w:r>
        <w:fldChar w:fldCharType="begin"/>
      </w:r>
      <w:r>
        <w:instrText xml:space="preserve"> PAGEREF _Toc132233455 \h </w:instrText>
      </w:r>
      <w:r>
        <w:fldChar w:fldCharType="separate"/>
      </w:r>
      <w:r>
        <w:t>1</w:t>
      </w:r>
      <w:r>
        <w:fldChar w:fldCharType="end"/>
      </w:r>
      <w:r>
        <w:fldChar w:fldCharType="end"/>
      </w:r>
    </w:p>
    <w:p>
      <w:pPr>
        <w:pStyle w:val="15"/>
        <w:rPr>
          <w:rFonts w:eastAsiaTheme="minorEastAsia"/>
          <w:sz w:val="22"/>
          <w:szCs w:val="22"/>
        </w:rPr>
      </w:pPr>
      <w:r>
        <w:fldChar w:fldCharType="begin"/>
      </w:r>
      <w:r>
        <w:instrText xml:space="preserve"> HYPERLINK \l "_Toc132233456" </w:instrText>
      </w:r>
      <w:r>
        <w:fldChar w:fldCharType="separate"/>
      </w:r>
      <w:r>
        <w:rPr>
          <w:rStyle w:val="22"/>
          <w:rFonts w:eastAsia="黑体"/>
        </w:rPr>
        <w:t>4</w:t>
      </w:r>
      <w:r>
        <w:rPr>
          <w:rFonts w:eastAsiaTheme="minorEastAsia"/>
          <w:sz w:val="22"/>
          <w:szCs w:val="22"/>
        </w:rPr>
        <w:tab/>
      </w:r>
      <w:r>
        <w:rPr>
          <w:rStyle w:val="22"/>
          <w:rFonts w:eastAsia="黑体"/>
        </w:rPr>
        <w:t>概述</w:t>
      </w:r>
      <w:r>
        <w:tab/>
      </w:r>
      <w:r>
        <w:fldChar w:fldCharType="begin"/>
      </w:r>
      <w:r>
        <w:instrText xml:space="preserve"> PAGEREF _Toc132233456 \h </w:instrText>
      </w:r>
      <w:r>
        <w:fldChar w:fldCharType="separate"/>
      </w:r>
      <w:r>
        <w:t>1</w:t>
      </w:r>
      <w:r>
        <w:fldChar w:fldCharType="end"/>
      </w:r>
      <w:r>
        <w:fldChar w:fldCharType="end"/>
      </w:r>
    </w:p>
    <w:p>
      <w:pPr>
        <w:pStyle w:val="15"/>
        <w:rPr>
          <w:rFonts w:eastAsiaTheme="minorEastAsia"/>
          <w:sz w:val="22"/>
          <w:szCs w:val="22"/>
        </w:rPr>
      </w:pPr>
      <w:r>
        <w:fldChar w:fldCharType="begin"/>
      </w:r>
      <w:r>
        <w:instrText xml:space="preserve"> HYPERLINK \l "_Toc132233457" </w:instrText>
      </w:r>
      <w:r>
        <w:fldChar w:fldCharType="separate"/>
      </w:r>
      <w:r>
        <w:rPr>
          <w:rStyle w:val="22"/>
          <w:rFonts w:eastAsia="黑体"/>
        </w:rPr>
        <w:t>5</w:t>
      </w:r>
      <w:r>
        <w:rPr>
          <w:rFonts w:eastAsiaTheme="minorEastAsia"/>
          <w:sz w:val="22"/>
          <w:szCs w:val="22"/>
        </w:rPr>
        <w:tab/>
      </w:r>
      <w:r>
        <w:rPr>
          <w:rStyle w:val="22"/>
          <w:rFonts w:eastAsia="黑体"/>
        </w:rPr>
        <w:t>计量特性</w:t>
      </w:r>
      <w:r>
        <w:tab/>
      </w:r>
      <w:r>
        <w:fldChar w:fldCharType="begin"/>
      </w:r>
      <w:r>
        <w:instrText xml:space="preserve"> PAGEREF _Toc132233457 \h </w:instrText>
      </w:r>
      <w:r>
        <w:fldChar w:fldCharType="separate"/>
      </w:r>
      <w:r>
        <w:t>2</w:t>
      </w:r>
      <w:r>
        <w:fldChar w:fldCharType="end"/>
      </w:r>
      <w:r>
        <w:fldChar w:fldCharType="end"/>
      </w:r>
    </w:p>
    <w:p>
      <w:pPr>
        <w:pStyle w:val="15"/>
        <w:rPr>
          <w:rFonts w:eastAsiaTheme="minorEastAsia"/>
          <w:sz w:val="22"/>
          <w:szCs w:val="22"/>
        </w:rPr>
      </w:pPr>
      <w:r>
        <w:fldChar w:fldCharType="begin"/>
      </w:r>
      <w:r>
        <w:instrText xml:space="preserve"> HYPERLINK \l "_Toc132233458" </w:instrText>
      </w:r>
      <w:r>
        <w:fldChar w:fldCharType="separate"/>
      </w:r>
      <w:r>
        <w:rPr>
          <w:rStyle w:val="22"/>
          <w:rFonts w:eastAsia="黑体"/>
        </w:rPr>
        <w:t>6</w:t>
      </w:r>
      <w:r>
        <w:rPr>
          <w:rFonts w:eastAsiaTheme="minorEastAsia"/>
          <w:sz w:val="22"/>
          <w:szCs w:val="22"/>
        </w:rPr>
        <w:tab/>
      </w:r>
      <w:r>
        <w:rPr>
          <w:rStyle w:val="22"/>
          <w:rFonts w:eastAsia="黑体"/>
        </w:rPr>
        <w:t>校准条件</w:t>
      </w:r>
      <w:r>
        <w:tab/>
      </w:r>
      <w:r>
        <w:fldChar w:fldCharType="begin"/>
      </w:r>
      <w:r>
        <w:instrText xml:space="preserve"> PAGEREF _Toc132233458 \h </w:instrText>
      </w:r>
      <w:r>
        <w:fldChar w:fldCharType="separate"/>
      </w:r>
      <w:r>
        <w:t>2</w:t>
      </w:r>
      <w:r>
        <w:fldChar w:fldCharType="end"/>
      </w:r>
      <w:r>
        <w:fldChar w:fldCharType="end"/>
      </w:r>
    </w:p>
    <w:p>
      <w:pPr>
        <w:pStyle w:val="15"/>
        <w:rPr>
          <w:rFonts w:eastAsiaTheme="minorEastAsia"/>
          <w:sz w:val="22"/>
          <w:szCs w:val="22"/>
        </w:rPr>
      </w:pPr>
      <w:r>
        <w:fldChar w:fldCharType="begin"/>
      </w:r>
      <w:r>
        <w:instrText xml:space="preserve"> HYPERLINK \l "_Toc132233459" </w:instrText>
      </w:r>
      <w:r>
        <w:fldChar w:fldCharType="separate"/>
      </w:r>
      <w:r>
        <w:rPr>
          <w:rStyle w:val="22"/>
          <w:rFonts w:eastAsia="黑体"/>
        </w:rPr>
        <w:t>7</w:t>
      </w:r>
      <w:r>
        <w:rPr>
          <w:rFonts w:eastAsiaTheme="minorEastAsia"/>
          <w:sz w:val="22"/>
          <w:szCs w:val="22"/>
        </w:rPr>
        <w:tab/>
      </w:r>
      <w:r>
        <w:rPr>
          <w:rStyle w:val="22"/>
          <w:rFonts w:eastAsia="黑体"/>
        </w:rPr>
        <w:t>校准项目和校准方法</w:t>
      </w:r>
      <w:r>
        <w:tab/>
      </w:r>
      <w:r>
        <w:fldChar w:fldCharType="begin"/>
      </w:r>
      <w:r>
        <w:instrText xml:space="preserve"> PAGEREF _Toc132233459 \h </w:instrText>
      </w:r>
      <w:r>
        <w:fldChar w:fldCharType="separate"/>
      </w:r>
      <w:r>
        <w:t>3</w:t>
      </w:r>
      <w:r>
        <w:fldChar w:fldCharType="end"/>
      </w:r>
      <w:r>
        <w:fldChar w:fldCharType="end"/>
      </w:r>
    </w:p>
    <w:p>
      <w:pPr>
        <w:pStyle w:val="15"/>
        <w:rPr>
          <w:rFonts w:eastAsiaTheme="minorEastAsia"/>
          <w:sz w:val="22"/>
          <w:szCs w:val="22"/>
        </w:rPr>
      </w:pPr>
      <w:r>
        <w:fldChar w:fldCharType="begin"/>
      </w:r>
      <w:r>
        <w:instrText xml:space="preserve"> HYPERLINK \l "_Toc132233460" </w:instrText>
      </w:r>
      <w:r>
        <w:fldChar w:fldCharType="separate"/>
      </w:r>
      <w:r>
        <w:rPr>
          <w:rStyle w:val="22"/>
          <w:rFonts w:eastAsia="黑体"/>
        </w:rPr>
        <w:t>8</w:t>
      </w:r>
      <w:r>
        <w:rPr>
          <w:rFonts w:eastAsiaTheme="minorEastAsia"/>
          <w:sz w:val="22"/>
          <w:szCs w:val="22"/>
        </w:rPr>
        <w:tab/>
      </w:r>
      <w:r>
        <w:rPr>
          <w:rStyle w:val="22"/>
          <w:rFonts w:eastAsia="黑体"/>
        </w:rPr>
        <w:t>校准结果表达</w:t>
      </w:r>
      <w:r>
        <w:tab/>
      </w:r>
      <w:r>
        <w:fldChar w:fldCharType="begin"/>
      </w:r>
      <w:r>
        <w:instrText xml:space="preserve"> PAGEREF _Toc132233460 \h </w:instrText>
      </w:r>
      <w:r>
        <w:fldChar w:fldCharType="separate"/>
      </w:r>
      <w:r>
        <w:t>6</w:t>
      </w:r>
      <w:r>
        <w:fldChar w:fldCharType="end"/>
      </w:r>
      <w:r>
        <w:fldChar w:fldCharType="end"/>
      </w:r>
    </w:p>
    <w:p>
      <w:pPr>
        <w:pStyle w:val="15"/>
        <w:rPr>
          <w:rFonts w:eastAsiaTheme="minorEastAsia"/>
          <w:sz w:val="22"/>
          <w:szCs w:val="22"/>
        </w:rPr>
      </w:pPr>
      <w:r>
        <w:fldChar w:fldCharType="begin"/>
      </w:r>
      <w:r>
        <w:instrText xml:space="preserve"> HYPERLINK \l "_Toc132233461" </w:instrText>
      </w:r>
      <w:r>
        <w:fldChar w:fldCharType="separate"/>
      </w:r>
      <w:r>
        <w:rPr>
          <w:rStyle w:val="22"/>
          <w:rFonts w:eastAsia="黑体"/>
        </w:rPr>
        <w:t>9</w:t>
      </w:r>
      <w:r>
        <w:rPr>
          <w:rFonts w:eastAsiaTheme="minorEastAsia"/>
          <w:sz w:val="22"/>
          <w:szCs w:val="22"/>
        </w:rPr>
        <w:tab/>
      </w:r>
      <w:r>
        <w:rPr>
          <w:rStyle w:val="22"/>
          <w:rFonts w:eastAsia="黑体"/>
        </w:rPr>
        <w:t>复校时间间隔</w:t>
      </w:r>
      <w:r>
        <w:tab/>
      </w:r>
      <w:r>
        <w:fldChar w:fldCharType="begin"/>
      </w:r>
      <w:r>
        <w:instrText xml:space="preserve"> PAGEREF _Toc132233461 \h </w:instrText>
      </w:r>
      <w:r>
        <w:fldChar w:fldCharType="separate"/>
      </w:r>
      <w:r>
        <w:t>6</w:t>
      </w:r>
      <w:r>
        <w:fldChar w:fldCharType="end"/>
      </w:r>
      <w:r>
        <w:fldChar w:fldCharType="end"/>
      </w:r>
    </w:p>
    <w:p>
      <w:pPr>
        <w:pStyle w:val="15"/>
        <w:rPr>
          <w:rFonts w:eastAsiaTheme="minorEastAsia"/>
          <w:sz w:val="22"/>
          <w:szCs w:val="22"/>
        </w:rPr>
      </w:pPr>
      <w:r>
        <w:fldChar w:fldCharType="begin"/>
      </w:r>
      <w:r>
        <w:instrText xml:space="preserve"> HYPERLINK \l "_Toc132233462" </w:instrText>
      </w:r>
      <w:r>
        <w:fldChar w:fldCharType="separate"/>
      </w:r>
      <w:r>
        <w:rPr>
          <w:rStyle w:val="22"/>
          <w:rFonts w:eastAsia="黑体"/>
        </w:rPr>
        <w:t>附录A</w:t>
      </w:r>
      <w:r>
        <w:tab/>
      </w:r>
      <w:r>
        <w:fldChar w:fldCharType="begin"/>
      </w:r>
      <w:r>
        <w:instrText xml:space="preserve"> PAGEREF _Toc132233462 \h </w:instrText>
      </w:r>
      <w:r>
        <w:fldChar w:fldCharType="separate"/>
      </w:r>
      <w:r>
        <w:t>7</w:t>
      </w:r>
      <w:r>
        <w:fldChar w:fldCharType="end"/>
      </w:r>
      <w:r>
        <w:fldChar w:fldCharType="end"/>
      </w:r>
    </w:p>
    <w:p>
      <w:pPr>
        <w:pStyle w:val="15"/>
        <w:rPr>
          <w:rFonts w:eastAsiaTheme="minorEastAsia"/>
          <w:sz w:val="22"/>
          <w:szCs w:val="22"/>
        </w:rPr>
      </w:pPr>
      <w:r>
        <w:fldChar w:fldCharType="begin"/>
      </w:r>
      <w:r>
        <w:instrText xml:space="preserve"> HYPERLINK \l "_Toc132233463" </w:instrText>
      </w:r>
      <w:r>
        <w:fldChar w:fldCharType="separate"/>
      </w:r>
      <w:r>
        <w:rPr>
          <w:rStyle w:val="22"/>
          <w:rFonts w:eastAsia="黑体"/>
        </w:rPr>
        <w:t>附录B</w:t>
      </w:r>
      <w:r>
        <w:tab/>
      </w:r>
      <w:r>
        <w:fldChar w:fldCharType="begin"/>
      </w:r>
      <w:r>
        <w:instrText xml:space="preserve"> PAGEREF _Toc132233463 \h </w:instrText>
      </w:r>
      <w:r>
        <w:fldChar w:fldCharType="separate"/>
      </w:r>
      <w:r>
        <w:t>9</w:t>
      </w:r>
      <w:r>
        <w:fldChar w:fldCharType="end"/>
      </w:r>
      <w:r>
        <w:fldChar w:fldCharType="end"/>
      </w:r>
    </w:p>
    <w:p>
      <w:pPr>
        <w:pStyle w:val="15"/>
        <w:rPr>
          <w:rFonts w:eastAsiaTheme="minorEastAsia"/>
          <w:sz w:val="22"/>
          <w:szCs w:val="22"/>
        </w:rPr>
      </w:pPr>
      <w:r>
        <w:fldChar w:fldCharType="begin"/>
      </w:r>
      <w:r>
        <w:instrText xml:space="preserve"> HYPERLINK \l "_Toc132233464" </w:instrText>
      </w:r>
      <w:r>
        <w:fldChar w:fldCharType="separate"/>
      </w:r>
      <w:r>
        <w:rPr>
          <w:rStyle w:val="22"/>
          <w:rFonts w:eastAsia="黑体"/>
        </w:rPr>
        <w:t>附录C</w:t>
      </w:r>
      <w:r>
        <w:tab/>
      </w:r>
      <w:r>
        <w:fldChar w:fldCharType="begin"/>
      </w:r>
      <w:r>
        <w:instrText xml:space="preserve"> PAGEREF _Toc132233464 \h </w:instrText>
      </w:r>
      <w:r>
        <w:fldChar w:fldCharType="separate"/>
      </w:r>
      <w:r>
        <w:t>11</w:t>
      </w:r>
      <w:r>
        <w:fldChar w:fldCharType="end"/>
      </w:r>
      <w:r>
        <w:fldChar w:fldCharType="end"/>
      </w:r>
    </w:p>
    <w:p>
      <w:pPr>
        <w:jc w:val="left"/>
        <w:rPr>
          <w:kern w:val="0"/>
          <w:sz w:val="24"/>
          <w:szCs w:val="24"/>
        </w:rPr>
      </w:pPr>
      <w:r>
        <w:rPr>
          <w:rFonts w:eastAsia="黑体"/>
        </w:rPr>
        <w:fldChar w:fldCharType="end"/>
      </w:r>
    </w:p>
    <w:p>
      <w:pPr>
        <w:jc w:val="left"/>
        <w:rPr>
          <w:kern w:val="0"/>
          <w:sz w:val="24"/>
          <w:szCs w:val="24"/>
        </w:rPr>
      </w:pPr>
    </w:p>
    <w:p>
      <w:pPr>
        <w:jc w:val="left"/>
        <w:rPr>
          <w:kern w:val="0"/>
          <w:sz w:val="24"/>
          <w:szCs w:val="24"/>
        </w:rPr>
      </w:pPr>
    </w:p>
    <w:p>
      <w:pPr>
        <w:jc w:val="left"/>
        <w:rPr>
          <w:kern w:val="0"/>
          <w:sz w:val="24"/>
          <w:szCs w:val="24"/>
        </w:rPr>
      </w:pPr>
    </w:p>
    <w:p>
      <w:pPr>
        <w:jc w:val="left"/>
        <w:rPr>
          <w:kern w:val="0"/>
          <w:sz w:val="24"/>
          <w:szCs w:val="24"/>
        </w:rPr>
      </w:pPr>
    </w:p>
    <w:p>
      <w:pPr>
        <w:jc w:val="left"/>
        <w:rPr>
          <w:kern w:val="0"/>
          <w:sz w:val="24"/>
          <w:szCs w:val="24"/>
        </w:rPr>
      </w:pPr>
    </w:p>
    <w:p>
      <w:pPr>
        <w:jc w:val="left"/>
        <w:rPr>
          <w:b/>
          <w:bCs/>
          <w:sz w:val="36"/>
          <w:szCs w:val="36"/>
        </w:rPr>
      </w:pPr>
    </w:p>
    <w:p>
      <w:pPr>
        <w:jc w:val="left"/>
        <w:rPr>
          <w:b/>
          <w:bCs/>
          <w:sz w:val="36"/>
          <w:szCs w:val="36"/>
        </w:rPr>
      </w:pPr>
    </w:p>
    <w:p>
      <w:pPr>
        <w:spacing w:line="360" w:lineRule="auto"/>
        <w:jc w:val="center"/>
        <w:outlineLvl w:val="0"/>
        <w:rPr>
          <w:rFonts w:eastAsia="黑体"/>
          <w:spacing w:val="20"/>
          <w:sz w:val="44"/>
          <w:szCs w:val="44"/>
        </w:rPr>
      </w:pPr>
      <w:bookmarkStart w:id="0" w:name="_Toc422683919"/>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p>
    <w:p>
      <w:pPr>
        <w:spacing w:line="360" w:lineRule="auto"/>
        <w:jc w:val="center"/>
        <w:outlineLvl w:val="0"/>
        <w:rPr>
          <w:rFonts w:eastAsia="黑体"/>
          <w:spacing w:val="20"/>
          <w:sz w:val="44"/>
          <w:szCs w:val="44"/>
        </w:rPr>
      </w:pPr>
      <w:bookmarkStart w:id="1" w:name="_Toc132233452"/>
      <w:r>
        <w:rPr>
          <w:rFonts w:eastAsia="黑体"/>
          <w:spacing w:val="20"/>
          <w:sz w:val="44"/>
          <w:szCs w:val="44"/>
        </w:rPr>
        <w:t>引言</w:t>
      </w:r>
      <w:bookmarkEnd w:id="0"/>
      <w:bookmarkEnd w:id="1"/>
    </w:p>
    <w:p>
      <w:pPr>
        <w:spacing w:line="300" w:lineRule="auto"/>
        <w:ind w:firstLine="560" w:firstLineChars="200"/>
        <w:rPr>
          <w:color w:val="000000"/>
          <w:spacing w:val="20"/>
          <w:sz w:val="24"/>
          <w:szCs w:val="24"/>
        </w:rPr>
      </w:pPr>
      <w:r>
        <w:rPr>
          <w:color w:val="000000"/>
          <w:spacing w:val="20"/>
          <w:sz w:val="24"/>
          <w:szCs w:val="24"/>
        </w:rPr>
        <w:t>本规范依据JJF1071-2010 《国家计量校准规范编写规则》规定的规则编写。</w:t>
      </w:r>
    </w:p>
    <w:p>
      <w:pPr>
        <w:spacing w:line="300" w:lineRule="auto"/>
        <w:ind w:firstLine="560" w:firstLineChars="200"/>
        <w:rPr>
          <w:color w:val="000000"/>
          <w:spacing w:val="20"/>
          <w:sz w:val="24"/>
          <w:szCs w:val="24"/>
        </w:rPr>
      </w:pPr>
      <w:r>
        <w:rPr>
          <w:color w:val="000000"/>
          <w:spacing w:val="20"/>
          <w:sz w:val="24"/>
          <w:szCs w:val="24"/>
        </w:rPr>
        <w:t>本规范替代JJF1220-2009《颗粒碰撞噪声检测系统校准规范》。</w:t>
      </w:r>
    </w:p>
    <w:p>
      <w:pPr>
        <w:spacing w:line="300" w:lineRule="auto"/>
        <w:ind w:firstLine="560" w:firstLineChars="200"/>
        <w:rPr>
          <w:color w:val="000000"/>
          <w:spacing w:val="20"/>
          <w:sz w:val="24"/>
          <w:szCs w:val="24"/>
        </w:rPr>
      </w:pPr>
      <w:r>
        <w:rPr>
          <w:color w:val="000000"/>
          <w:spacing w:val="20"/>
          <w:sz w:val="24"/>
          <w:szCs w:val="24"/>
        </w:rPr>
        <w:t>本规范在制定过程中充分考虑了JJF 1156-2006《振动 冲击 转速计量术语及定义》中的术语、符号与定义，国家军用标准GJB 360B-2009《电子及电气元件试验方法》及GJB548C-2021《微电子器件试验方法和程序》文件中的检测试验方法及要求。</w:t>
      </w:r>
    </w:p>
    <w:p>
      <w:pPr>
        <w:spacing w:line="300" w:lineRule="auto"/>
        <w:ind w:firstLine="560" w:firstLineChars="200"/>
        <w:rPr>
          <w:color w:val="000000"/>
          <w:spacing w:val="20"/>
          <w:sz w:val="24"/>
          <w:szCs w:val="24"/>
        </w:rPr>
      </w:pPr>
      <w:r>
        <w:rPr>
          <w:color w:val="000000"/>
          <w:spacing w:val="20"/>
          <w:sz w:val="24"/>
          <w:szCs w:val="24"/>
        </w:rPr>
        <w:t>与JJF1220-2009相比本规范除编辑性修改外，主要内容变化如下：</w:t>
      </w:r>
    </w:p>
    <w:p>
      <w:pPr>
        <w:spacing w:line="360" w:lineRule="auto"/>
        <w:ind w:firstLine="588" w:firstLineChars="245"/>
        <w:rPr>
          <w:color w:val="000000"/>
          <w:sz w:val="24"/>
          <w:szCs w:val="24"/>
        </w:rPr>
      </w:pPr>
      <w:r>
        <w:rPr>
          <w:color w:val="000000"/>
          <w:sz w:val="24"/>
          <w:szCs w:val="24"/>
        </w:rPr>
        <w:t>——修改了术语和定义；</w:t>
      </w:r>
    </w:p>
    <w:p>
      <w:pPr>
        <w:spacing w:line="360" w:lineRule="auto"/>
        <w:ind w:firstLine="588" w:firstLineChars="245"/>
        <w:rPr>
          <w:color w:val="000000"/>
          <w:sz w:val="24"/>
          <w:szCs w:val="24"/>
        </w:rPr>
      </w:pPr>
      <w:r>
        <w:rPr>
          <w:color w:val="000000"/>
          <w:sz w:val="24"/>
          <w:szCs w:val="24"/>
        </w:rPr>
        <w:t>——修改了正弦振动加速度峰值、频率、失真度、振动试验时间的校准方法、校准用设备等；</w:t>
      </w:r>
    </w:p>
    <w:p>
      <w:pPr>
        <w:spacing w:line="360" w:lineRule="auto"/>
        <w:ind w:firstLine="588" w:firstLineChars="245"/>
        <w:rPr>
          <w:color w:val="000000"/>
          <w:sz w:val="24"/>
          <w:szCs w:val="24"/>
        </w:rPr>
      </w:pPr>
      <w:r>
        <w:rPr>
          <w:color w:val="000000"/>
          <w:sz w:val="24"/>
          <w:szCs w:val="24"/>
        </w:rPr>
        <w:t>——增加了PIND换能器声压灵敏度级的校准方法、校准用设备等；</w:t>
      </w:r>
    </w:p>
    <w:p>
      <w:pPr>
        <w:spacing w:line="300" w:lineRule="auto"/>
        <w:ind w:firstLine="560" w:firstLineChars="200"/>
        <w:rPr>
          <w:color w:val="000000"/>
          <w:spacing w:val="20"/>
          <w:sz w:val="24"/>
          <w:szCs w:val="24"/>
        </w:rPr>
      </w:pPr>
      <w:r>
        <w:rPr>
          <w:color w:val="000000"/>
          <w:spacing w:val="20"/>
          <w:sz w:val="24"/>
          <w:szCs w:val="24"/>
        </w:rPr>
        <w:t>本规范依据JJF1071-2010《国家计量校准规范编写规则》规定的规则编写。</w:t>
      </w:r>
    </w:p>
    <w:p>
      <w:pPr>
        <w:ind w:firstLine="560" w:firstLineChars="200"/>
        <w:rPr>
          <w:spacing w:val="20"/>
          <w:sz w:val="24"/>
          <w:szCs w:val="24"/>
        </w:rPr>
      </w:pPr>
    </w:p>
    <w:p>
      <w:pPr>
        <w:ind w:firstLine="560" w:firstLineChars="200"/>
        <w:rPr>
          <w:spacing w:val="20"/>
          <w:sz w:val="24"/>
          <w:szCs w:val="24"/>
        </w:rPr>
      </w:pPr>
    </w:p>
    <w:p>
      <w:pPr>
        <w:ind w:firstLine="420" w:firstLineChars="200"/>
        <w:sectPr>
          <w:headerReference r:id="rId5" w:type="default"/>
          <w:footerReference r:id="rId7" w:type="default"/>
          <w:headerReference r:id="rId6" w:type="even"/>
          <w:footerReference r:id="rId8" w:type="even"/>
          <w:pgSz w:w="11906" w:h="16838"/>
          <w:pgMar w:top="1134" w:right="1134" w:bottom="1134" w:left="1134" w:header="624" w:footer="624" w:gutter="0"/>
          <w:pgNumType w:fmt="upperRoman" w:start="1"/>
          <w:cols w:space="720" w:num="1"/>
          <w:docGrid w:linePitch="312" w:charSpace="0"/>
        </w:sectPr>
      </w:pPr>
    </w:p>
    <w:p>
      <w:pPr>
        <w:jc w:val="center"/>
        <w:rPr>
          <w:rFonts w:eastAsia="黑体"/>
          <w:bCs/>
          <w:sz w:val="32"/>
          <w:szCs w:val="32"/>
        </w:rPr>
      </w:pPr>
      <w:r>
        <w:rPr>
          <w:rFonts w:eastAsia="黑体"/>
          <w:bCs/>
          <w:sz w:val="32"/>
          <w:szCs w:val="32"/>
        </w:rPr>
        <w:t>颗粒碰撞噪声检测系统校准规范</w:t>
      </w:r>
    </w:p>
    <w:p>
      <w:pPr>
        <w:pStyle w:val="2"/>
        <w:numPr>
          <w:ilvl w:val="0"/>
          <w:numId w:val="3"/>
        </w:numPr>
        <w:spacing w:before="120" w:beforeLines="50" w:after="120" w:afterLines="50" w:line="240" w:lineRule="auto"/>
        <w:rPr>
          <w:rFonts w:eastAsia="黑体"/>
          <w:b w:val="0"/>
          <w:bCs w:val="0"/>
          <w:sz w:val="24"/>
          <w:szCs w:val="24"/>
        </w:rPr>
      </w:pPr>
      <w:bookmarkStart w:id="2" w:name="_Toc422683920"/>
      <w:bookmarkStart w:id="3" w:name="_Toc132233453"/>
      <w:r>
        <w:rPr>
          <w:rFonts w:eastAsia="黑体"/>
          <w:b w:val="0"/>
          <w:bCs w:val="0"/>
          <w:sz w:val="24"/>
          <w:szCs w:val="24"/>
        </w:rPr>
        <w:t>范围</w:t>
      </w:r>
      <w:bookmarkEnd w:id="2"/>
      <w:bookmarkEnd w:id="3"/>
    </w:p>
    <w:p>
      <w:pPr>
        <w:spacing w:line="300" w:lineRule="auto"/>
        <w:ind w:firstLine="480" w:firstLineChars="200"/>
        <w:rPr>
          <w:sz w:val="24"/>
        </w:rPr>
      </w:pPr>
      <w:bookmarkStart w:id="4" w:name="_Toc422683921"/>
      <w:r>
        <w:rPr>
          <w:sz w:val="24"/>
        </w:rPr>
        <w:t>本规范适用于颗粒碰撞噪声检测系统（又称PIND）的校准。</w:t>
      </w:r>
    </w:p>
    <w:p>
      <w:pPr>
        <w:pStyle w:val="2"/>
        <w:numPr>
          <w:ilvl w:val="0"/>
          <w:numId w:val="3"/>
        </w:numPr>
        <w:spacing w:before="120" w:beforeLines="50" w:after="120" w:afterLines="50" w:line="240" w:lineRule="auto"/>
        <w:rPr>
          <w:rFonts w:eastAsia="黑体"/>
          <w:b w:val="0"/>
          <w:bCs w:val="0"/>
          <w:sz w:val="24"/>
          <w:szCs w:val="24"/>
        </w:rPr>
      </w:pPr>
      <w:bookmarkStart w:id="5" w:name="_Toc132233454"/>
      <w:r>
        <w:rPr>
          <w:rFonts w:eastAsia="黑体"/>
          <w:b w:val="0"/>
          <w:bCs w:val="0"/>
          <w:sz w:val="24"/>
          <w:szCs w:val="24"/>
        </w:rPr>
        <w:t>引用文件</w:t>
      </w:r>
      <w:bookmarkEnd w:id="4"/>
      <w:bookmarkEnd w:id="5"/>
    </w:p>
    <w:p>
      <w:pPr>
        <w:spacing w:line="300" w:lineRule="auto"/>
        <w:ind w:firstLine="435"/>
        <w:rPr>
          <w:sz w:val="24"/>
          <w:szCs w:val="24"/>
        </w:rPr>
      </w:pPr>
      <w:r>
        <w:rPr>
          <w:sz w:val="24"/>
          <w:szCs w:val="24"/>
        </w:rPr>
        <w:t>本规范引用了下列文件：</w:t>
      </w:r>
    </w:p>
    <w:p>
      <w:pPr>
        <w:snapToGrid w:val="0"/>
        <w:spacing w:line="300" w:lineRule="auto"/>
        <w:ind w:firstLine="480" w:firstLineChars="200"/>
        <w:jc w:val="left"/>
        <w:rPr>
          <w:sz w:val="24"/>
          <w:lang w:val="zh-CN"/>
        </w:rPr>
      </w:pPr>
      <w:r>
        <w:rPr>
          <w:sz w:val="24"/>
          <w:lang w:val="zh-CN"/>
        </w:rPr>
        <w:t>JJF 1156-2006   振动冲击转速计量术语及定义</w:t>
      </w:r>
    </w:p>
    <w:p>
      <w:pPr>
        <w:snapToGrid w:val="0"/>
        <w:spacing w:line="300" w:lineRule="auto"/>
        <w:ind w:firstLine="480" w:firstLineChars="200"/>
        <w:jc w:val="left"/>
        <w:rPr>
          <w:color w:val="000000" w:themeColor="text1"/>
          <w:sz w:val="24"/>
          <w:lang w:val="zh-CN"/>
          <w14:textFill>
            <w14:solidFill>
              <w14:schemeClr w14:val="tx1"/>
            </w14:solidFill>
          </w14:textFill>
        </w:rPr>
      </w:pPr>
      <w:r>
        <w:rPr>
          <w:color w:val="000000" w:themeColor="text1"/>
          <w:sz w:val="24"/>
          <w:lang w:val="zh-CN"/>
          <w14:textFill>
            <w14:solidFill>
              <w14:schemeClr w14:val="tx1"/>
            </w14:solidFill>
          </w14:textFill>
        </w:rPr>
        <w:t>JJF 1337-2012   声发射传感器校准规范（比较法）</w:t>
      </w:r>
    </w:p>
    <w:p>
      <w:pPr>
        <w:snapToGrid w:val="0"/>
        <w:spacing w:line="300" w:lineRule="auto"/>
        <w:ind w:firstLine="480" w:firstLineChars="200"/>
        <w:jc w:val="left"/>
        <w:rPr>
          <w:sz w:val="24"/>
          <w:lang w:val="zh-CN"/>
        </w:rPr>
      </w:pPr>
      <w:r>
        <w:rPr>
          <w:sz w:val="24"/>
          <w:lang w:val="zh-CN"/>
        </w:rPr>
        <w:t>GB/T 3223-94   声学 水声换能器自由场校准方法</w:t>
      </w:r>
    </w:p>
    <w:p>
      <w:pPr>
        <w:snapToGrid w:val="0"/>
        <w:spacing w:line="300" w:lineRule="auto"/>
        <w:ind w:left="479" w:leftChars="228"/>
        <w:jc w:val="left"/>
        <w:rPr>
          <w:sz w:val="24"/>
          <w:lang w:val="zh-CN"/>
        </w:rPr>
      </w:pPr>
      <w:r>
        <w:rPr>
          <w:sz w:val="24"/>
          <w:lang w:val="zh-CN"/>
        </w:rPr>
        <w:t>GJB 360B-2009  电子及电气元件试验方法 方法217 粒子碰撞噪声检测试验</w:t>
      </w:r>
    </w:p>
    <w:p>
      <w:pPr>
        <w:snapToGrid w:val="0"/>
        <w:spacing w:line="300" w:lineRule="auto"/>
        <w:ind w:firstLine="480" w:firstLineChars="200"/>
        <w:jc w:val="left"/>
        <w:rPr>
          <w:rFonts w:hint="eastAsia"/>
          <w:sz w:val="24"/>
          <w:lang w:val="zh-CN"/>
        </w:rPr>
      </w:pPr>
      <w:r>
        <w:rPr>
          <w:sz w:val="24"/>
          <w:lang w:val="zh-CN"/>
        </w:rPr>
        <w:t>GJB 548C-2021  微电子器件试验方法和程序 方法2020.2 粒子碰撞噪声检测</w:t>
      </w:r>
    </w:p>
    <w:p>
      <w:pPr>
        <w:snapToGrid w:val="0"/>
        <w:spacing w:line="300" w:lineRule="auto"/>
        <w:ind w:firstLine="480" w:firstLineChars="200"/>
        <w:jc w:val="left"/>
        <w:rPr>
          <w:sz w:val="24"/>
          <w:lang w:val="zh-CN"/>
        </w:rPr>
      </w:pPr>
      <w:r>
        <w:rPr>
          <w:rFonts w:hint="eastAsia"/>
          <w:sz w:val="24"/>
          <w:lang w:val="zh-CN"/>
        </w:rPr>
        <w:t>GJB 65C-2021 有失效率等级的电磁继电器通用规范 3.25 粒子碰撞噪声检测试验（PIND）</w:t>
      </w:r>
    </w:p>
    <w:p>
      <w:pPr>
        <w:spacing w:line="300" w:lineRule="auto"/>
        <w:ind w:firstLine="435"/>
        <w:rPr>
          <w:sz w:val="24"/>
          <w:szCs w:val="24"/>
        </w:rPr>
      </w:pPr>
      <w:r>
        <w:rPr>
          <w:sz w:val="24"/>
          <w:szCs w:val="24"/>
        </w:rPr>
        <w:t>凡是注日期的引用文件，仅注日期的版本适用于本规范</w:t>
      </w:r>
      <w:r>
        <w:rPr>
          <w:sz w:val="24"/>
        </w:rPr>
        <w:t>；凡是不注日期的引用文件，其最新版本（包括所有的修改单）适用于本规范。</w:t>
      </w:r>
    </w:p>
    <w:p>
      <w:pPr>
        <w:pStyle w:val="2"/>
        <w:numPr>
          <w:ilvl w:val="0"/>
          <w:numId w:val="3"/>
        </w:numPr>
        <w:spacing w:before="120" w:beforeLines="50" w:after="120" w:afterLines="50" w:line="300" w:lineRule="auto"/>
        <w:rPr>
          <w:rFonts w:eastAsia="黑体"/>
          <w:b w:val="0"/>
          <w:bCs w:val="0"/>
          <w:sz w:val="24"/>
          <w:szCs w:val="24"/>
        </w:rPr>
      </w:pPr>
      <w:bookmarkStart w:id="6" w:name="_Toc132233455"/>
      <w:bookmarkStart w:id="7" w:name="_Toc422683922"/>
      <w:bookmarkStart w:id="8" w:name="_Toc238899651"/>
      <w:r>
        <w:rPr>
          <w:rFonts w:eastAsia="黑体"/>
          <w:b w:val="0"/>
          <w:bCs w:val="0"/>
          <w:sz w:val="24"/>
          <w:szCs w:val="24"/>
        </w:rPr>
        <w:t>术语</w:t>
      </w:r>
      <w:bookmarkEnd w:id="6"/>
      <w:bookmarkEnd w:id="7"/>
    </w:p>
    <w:p>
      <w:pPr>
        <w:spacing w:line="300" w:lineRule="auto"/>
        <w:ind w:left="-22"/>
        <w:rPr>
          <w:sz w:val="24"/>
          <w:szCs w:val="24"/>
        </w:rPr>
      </w:pPr>
      <w:r>
        <w:rPr>
          <w:sz w:val="24"/>
          <w:szCs w:val="24"/>
        </w:rPr>
        <w:t>3.1  PIND换能器</w:t>
      </w:r>
    </w:p>
    <w:p>
      <w:pPr>
        <w:snapToGrid w:val="0"/>
        <w:spacing w:line="300" w:lineRule="auto"/>
        <w:ind w:firstLine="480" w:firstLineChars="200"/>
        <w:jc w:val="left"/>
        <w:rPr>
          <w:sz w:val="24"/>
        </w:rPr>
      </w:pPr>
      <w:r>
        <w:rPr>
          <w:sz w:val="24"/>
        </w:rPr>
        <w:t>电能和声能相互转换的器件。将电能转换成声能的称为发射换能器；将声能转换成电能的是接收换能器。发射和接收换能器通常是分开使用的，但也可以共用一个。</w:t>
      </w:r>
    </w:p>
    <w:p>
      <w:pPr>
        <w:spacing w:line="300" w:lineRule="auto"/>
        <w:ind w:left="-22"/>
        <w:rPr>
          <w:sz w:val="24"/>
          <w:szCs w:val="24"/>
        </w:rPr>
      </w:pPr>
      <w:r>
        <w:rPr>
          <w:sz w:val="24"/>
          <w:szCs w:val="24"/>
        </w:rPr>
        <w:t>3.2  声压灵敏度级</w:t>
      </w:r>
    </w:p>
    <w:p>
      <w:pPr>
        <w:snapToGrid w:val="0"/>
        <w:spacing w:line="300" w:lineRule="auto"/>
        <w:ind w:firstLine="480" w:firstLineChars="200"/>
        <w:jc w:val="left"/>
        <w:rPr>
          <w:sz w:val="24"/>
        </w:rPr>
      </w:pPr>
      <w:r>
        <w:rPr>
          <w:sz w:val="24"/>
        </w:rPr>
        <w:t>PIND换能器声压灵敏度与参考声压灵敏度之比的常用对数乘以20，在测量频率范围内，声压灵敏度级最大值为峰值声压灵敏度级。</w:t>
      </w:r>
    </w:p>
    <w:p>
      <w:pPr>
        <w:spacing w:line="300" w:lineRule="auto"/>
        <w:ind w:left="-22"/>
        <w:rPr>
          <w:sz w:val="24"/>
          <w:szCs w:val="24"/>
        </w:rPr>
      </w:pPr>
      <w:r>
        <w:rPr>
          <w:sz w:val="24"/>
          <w:szCs w:val="24"/>
        </w:rPr>
        <w:t>3.3  标准声源</w:t>
      </w:r>
    </w:p>
    <w:p>
      <w:pPr>
        <w:snapToGrid w:val="0"/>
        <w:spacing w:line="300" w:lineRule="auto"/>
        <w:ind w:firstLine="480" w:firstLineChars="200"/>
        <w:jc w:val="left"/>
        <w:rPr>
          <w:sz w:val="24"/>
        </w:rPr>
      </w:pPr>
      <w:r>
        <w:rPr>
          <w:sz w:val="24"/>
        </w:rPr>
        <w:t>经过校准的频率和声压已知的声源。</w:t>
      </w:r>
    </w:p>
    <w:p>
      <w:pPr>
        <w:pStyle w:val="2"/>
        <w:numPr>
          <w:ilvl w:val="0"/>
          <w:numId w:val="3"/>
        </w:numPr>
        <w:spacing w:before="120" w:beforeLines="50" w:after="120" w:afterLines="50" w:line="240" w:lineRule="auto"/>
        <w:rPr>
          <w:rFonts w:eastAsia="黑体"/>
          <w:b w:val="0"/>
          <w:bCs w:val="0"/>
          <w:sz w:val="24"/>
          <w:szCs w:val="24"/>
        </w:rPr>
      </w:pPr>
      <w:bookmarkStart w:id="9" w:name="_Toc422683923"/>
      <w:bookmarkStart w:id="10" w:name="_Toc132233456"/>
      <w:r>
        <w:rPr>
          <w:rFonts w:eastAsia="黑体"/>
          <w:b w:val="0"/>
          <w:bCs w:val="0"/>
          <w:sz w:val="24"/>
          <w:szCs w:val="24"/>
        </w:rPr>
        <w:t>概述</w:t>
      </w:r>
      <w:bookmarkEnd w:id="8"/>
      <w:bookmarkEnd w:id="9"/>
      <w:bookmarkEnd w:id="10"/>
    </w:p>
    <w:p>
      <w:pPr>
        <w:snapToGrid w:val="0"/>
        <w:spacing w:line="300" w:lineRule="auto"/>
        <w:ind w:firstLine="480" w:firstLineChars="200"/>
        <w:jc w:val="left"/>
        <w:rPr>
          <w:sz w:val="24"/>
        </w:rPr>
      </w:pPr>
      <w:r>
        <w:rPr>
          <w:sz w:val="24"/>
        </w:rPr>
        <w:t>颗粒碰撞噪声检测系统（Particle Impact Noise Detection）是一种</w:t>
      </w:r>
      <w:r>
        <w:rPr>
          <w:rFonts w:hint="eastAsia"/>
          <w:sz w:val="24"/>
        </w:rPr>
        <w:t>针</w:t>
      </w:r>
      <w:r>
        <w:rPr>
          <w:sz w:val="24"/>
        </w:rPr>
        <w:t>对元器件封装后多余粒子检测的专用设备，其目的是有效检测出存在于元器件、半导体封装腔体内的松动粒子，从而提高元器件、半导体等零部件的可靠性。</w:t>
      </w:r>
    </w:p>
    <w:p>
      <w:pPr>
        <w:snapToGrid w:val="0"/>
        <w:spacing w:line="300" w:lineRule="auto"/>
        <w:ind w:firstLine="480" w:firstLineChars="200"/>
        <w:jc w:val="left"/>
        <w:rPr>
          <w:sz w:val="24"/>
        </w:rPr>
      </w:pPr>
      <w:r>
        <w:rPr>
          <w:sz w:val="24"/>
        </w:rPr>
        <w:t>颗粒碰撞噪声检测系统主要由检测单元、控制单元和激励装置等组成。检测单元中的超声传感器，对松动粒子在封装腔体内随机运动产生的应力弹性波和声波混响信号进行拾取，并经信号调理放大后，由主机处理显示，</w:t>
      </w:r>
      <w:r>
        <w:rPr>
          <w:rFonts w:hint="eastAsia"/>
          <w:sz w:val="24"/>
        </w:rPr>
        <w:t>有</w:t>
      </w:r>
      <w:r>
        <w:rPr>
          <w:sz w:val="24"/>
        </w:rPr>
        <w:t>助于得出检测结论；控制单元控制激励装置按照设定程序产生特定幅值</w:t>
      </w:r>
      <w:r>
        <w:rPr>
          <w:rFonts w:hint="eastAsia"/>
          <w:sz w:val="24"/>
        </w:rPr>
        <w:t>和</w:t>
      </w:r>
      <w:r>
        <w:rPr>
          <w:sz w:val="24"/>
        </w:rPr>
        <w:t>频率的振动、冲击运动激励，通过特定的力学冲击环境使束缚在封装中的粒子产生松动，再通过持续的力学振动环境使松动粒子在封装腔体内运动产生随机组合的移动和撞击过程。</w:t>
      </w:r>
    </w:p>
    <w:p>
      <w:pPr>
        <w:snapToGrid w:val="0"/>
        <w:spacing w:line="300" w:lineRule="auto"/>
        <w:ind w:firstLine="480" w:firstLineChars="200"/>
        <w:jc w:val="left"/>
        <w:rPr>
          <w:sz w:val="24"/>
        </w:rPr>
      </w:pPr>
      <w:r>
        <w:rPr>
          <w:sz w:val="24"/>
        </w:rPr>
        <w:t>颗粒碰撞噪声检测系统典型原理框图如图1所示：</w:t>
      </w:r>
    </w:p>
    <w:p>
      <w:pPr>
        <w:pStyle w:val="10"/>
        <w:spacing w:line="300" w:lineRule="auto"/>
        <w:jc w:val="center"/>
        <w:rPr>
          <w:rFonts w:ascii="Times New Roman" w:hAnsi="Times New Roman"/>
        </w:rPr>
      </w:pPr>
    </w:p>
    <w:p>
      <w:pPr>
        <w:pStyle w:val="10"/>
        <w:spacing w:line="300" w:lineRule="auto"/>
        <w:jc w:val="center"/>
        <w:rPr>
          <w:rFonts w:ascii="Times New Roman" w:hAnsi="Times New Roman"/>
        </w:rPr>
      </w:pPr>
    </w:p>
    <w:p>
      <w:pPr>
        <w:pStyle w:val="10"/>
        <w:spacing w:line="300" w:lineRule="auto"/>
        <w:jc w:val="center"/>
        <w:rPr>
          <w:rFonts w:ascii="Times New Roman" w:hAnsi="Times New Roman"/>
        </w:rPr>
      </w:pPr>
      <w:r>
        <w:rPr>
          <w:rFonts w:ascii="Times New Roman" w:hAnsi="Times New Roman"/>
        </w:rPr>
        <w:t xml:space="preserve">          </w:t>
      </w:r>
    </w:p>
    <w:p>
      <w:pPr>
        <w:pStyle w:val="10"/>
        <w:spacing w:line="300" w:lineRule="auto"/>
        <w:jc w:val="center"/>
        <w:rPr>
          <w:rFonts w:ascii="Times New Roman" w:hAnsi="Times New Roman"/>
        </w:rPr>
      </w:pPr>
      <w:r>
        <w:object>
          <v:shape id="_x0000_i1025" o:spt="75" type="#_x0000_t75" style="height:122.5pt;width:273.0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p>
    <w:p>
      <w:pPr>
        <w:pStyle w:val="10"/>
        <w:spacing w:line="300" w:lineRule="auto"/>
        <w:jc w:val="center"/>
        <w:rPr>
          <w:rFonts w:ascii="Times New Roman" w:hAnsi="Times New Roman"/>
        </w:rPr>
      </w:pPr>
    </w:p>
    <w:p>
      <w:pPr>
        <w:pStyle w:val="10"/>
        <w:spacing w:line="300" w:lineRule="auto"/>
        <w:jc w:val="center"/>
        <w:rPr>
          <w:rFonts w:ascii="Times New Roman" w:hAnsi="Times New Roman"/>
          <w:sz w:val="24"/>
          <w:szCs w:val="24"/>
        </w:rPr>
      </w:pPr>
      <w:r>
        <w:rPr>
          <w:rFonts w:ascii="Times New Roman" w:hAnsi="Times New Roman"/>
          <w:sz w:val="24"/>
          <w:szCs w:val="24"/>
        </w:rPr>
        <w:t>图1  PIND典型原理框图</w:t>
      </w:r>
    </w:p>
    <w:p>
      <w:pPr>
        <w:pStyle w:val="2"/>
        <w:numPr>
          <w:ilvl w:val="0"/>
          <w:numId w:val="3"/>
        </w:numPr>
        <w:spacing w:before="120" w:beforeLines="50" w:after="120" w:afterLines="50" w:line="240" w:lineRule="auto"/>
        <w:rPr>
          <w:rFonts w:eastAsia="黑体"/>
          <w:b w:val="0"/>
          <w:bCs w:val="0"/>
          <w:sz w:val="24"/>
          <w:szCs w:val="24"/>
        </w:rPr>
      </w:pPr>
      <w:bookmarkStart w:id="11" w:name="_Toc435726340"/>
      <w:bookmarkEnd w:id="11"/>
      <w:bookmarkStart w:id="12" w:name="_Toc435726341"/>
      <w:bookmarkEnd w:id="12"/>
      <w:bookmarkStart w:id="13" w:name="_Toc435726345"/>
      <w:bookmarkEnd w:id="13"/>
      <w:bookmarkStart w:id="14" w:name="_Toc435726346"/>
      <w:bookmarkEnd w:id="14"/>
      <w:bookmarkStart w:id="15" w:name="_Toc435726343"/>
      <w:bookmarkEnd w:id="15"/>
      <w:bookmarkStart w:id="16" w:name="_Toc435726344"/>
      <w:bookmarkEnd w:id="16"/>
      <w:bookmarkStart w:id="17" w:name="_Toc435726342"/>
      <w:bookmarkEnd w:id="17"/>
      <w:bookmarkStart w:id="18" w:name="_Toc422683924"/>
      <w:bookmarkStart w:id="19" w:name="_Toc132233457"/>
      <w:r>
        <w:rPr>
          <w:rFonts w:eastAsia="黑体"/>
          <w:b w:val="0"/>
          <w:bCs w:val="0"/>
          <w:sz w:val="24"/>
          <w:szCs w:val="24"/>
        </w:rPr>
        <w:t>计量特性</w:t>
      </w:r>
      <w:bookmarkEnd w:id="18"/>
      <w:bookmarkEnd w:id="19"/>
      <w:bookmarkStart w:id="20" w:name="_Toc195978140"/>
    </w:p>
    <w:p>
      <w:pPr>
        <w:spacing w:line="300" w:lineRule="auto"/>
        <w:ind w:left="-22"/>
        <w:rPr>
          <w:sz w:val="24"/>
          <w:szCs w:val="24"/>
        </w:rPr>
      </w:pPr>
      <w:bookmarkStart w:id="21" w:name="_Hlk132240951"/>
      <w:bookmarkStart w:id="22" w:name="_Toc224383110"/>
      <w:r>
        <w:rPr>
          <w:sz w:val="24"/>
          <w:szCs w:val="24"/>
        </w:rPr>
        <w:t xml:space="preserve">5.1 </w:t>
      </w:r>
      <w:bookmarkEnd w:id="21"/>
      <w:r>
        <w:rPr>
          <w:sz w:val="24"/>
          <w:szCs w:val="24"/>
        </w:rPr>
        <w:t xml:space="preserve"> 正弦振动加速度峰值示值误差</w:t>
      </w:r>
    </w:p>
    <w:p>
      <w:pPr>
        <w:spacing w:line="300" w:lineRule="auto"/>
        <w:rPr>
          <w:sz w:val="24"/>
          <w:szCs w:val="24"/>
        </w:rPr>
      </w:pPr>
      <w:r>
        <w:rPr>
          <w:sz w:val="24"/>
          <w:szCs w:val="24"/>
        </w:rPr>
        <w:t xml:space="preserve">    正弦振动加速度峰值示值误差不超过±10%。</w:t>
      </w:r>
    </w:p>
    <w:p>
      <w:pPr>
        <w:spacing w:line="300" w:lineRule="auto"/>
        <w:ind w:left="-22"/>
        <w:rPr>
          <w:sz w:val="24"/>
          <w:szCs w:val="24"/>
        </w:rPr>
      </w:pPr>
      <w:r>
        <w:rPr>
          <w:sz w:val="24"/>
          <w:szCs w:val="24"/>
        </w:rPr>
        <w:t>5.2  正弦振动频率示值误差</w:t>
      </w:r>
    </w:p>
    <w:p>
      <w:pPr>
        <w:spacing w:line="300" w:lineRule="auto"/>
        <w:rPr>
          <w:sz w:val="24"/>
          <w:szCs w:val="24"/>
        </w:rPr>
      </w:pPr>
      <w:r>
        <w:rPr>
          <w:sz w:val="24"/>
          <w:szCs w:val="24"/>
        </w:rPr>
        <w:t xml:space="preserve">    正弦振动频率示值误差不超过±8%。</w:t>
      </w:r>
    </w:p>
    <w:p>
      <w:pPr>
        <w:spacing w:line="300" w:lineRule="auto"/>
        <w:ind w:left="-22"/>
        <w:rPr>
          <w:sz w:val="24"/>
          <w:szCs w:val="24"/>
        </w:rPr>
      </w:pPr>
      <w:r>
        <w:rPr>
          <w:sz w:val="24"/>
          <w:szCs w:val="24"/>
        </w:rPr>
        <w:t>5.3  正弦振动波形失真度</w:t>
      </w:r>
    </w:p>
    <w:bookmarkEnd w:id="22"/>
    <w:p>
      <w:pPr>
        <w:spacing w:line="300" w:lineRule="auto"/>
        <w:rPr>
          <w:sz w:val="24"/>
          <w:szCs w:val="24"/>
        </w:rPr>
      </w:pPr>
      <w:bookmarkStart w:id="23" w:name="_Toc218333526"/>
      <w:bookmarkStart w:id="24" w:name="_Toc224383113"/>
      <w:bookmarkStart w:id="25" w:name="_Toc217998819"/>
      <w:r>
        <w:rPr>
          <w:sz w:val="24"/>
          <w:szCs w:val="24"/>
        </w:rPr>
        <w:t xml:space="preserve">    正弦振动波形失真度不超过10%。</w:t>
      </w:r>
    </w:p>
    <w:p>
      <w:pPr>
        <w:spacing w:line="300" w:lineRule="auto"/>
        <w:ind w:left="-22"/>
        <w:rPr>
          <w:sz w:val="24"/>
          <w:szCs w:val="24"/>
        </w:rPr>
      </w:pPr>
      <w:r>
        <w:rPr>
          <w:sz w:val="24"/>
          <w:szCs w:val="24"/>
        </w:rPr>
        <w:t xml:space="preserve">5.4 </w:t>
      </w:r>
      <w:bookmarkEnd w:id="23"/>
      <w:bookmarkEnd w:id="24"/>
      <w:bookmarkEnd w:id="25"/>
      <w:r>
        <w:rPr>
          <w:sz w:val="24"/>
          <w:szCs w:val="24"/>
        </w:rPr>
        <w:t xml:space="preserve"> 正弦振动试验时间示值误差</w:t>
      </w:r>
    </w:p>
    <w:p>
      <w:pPr>
        <w:spacing w:line="300" w:lineRule="auto"/>
        <w:ind w:left="-22"/>
        <w:rPr>
          <w:sz w:val="24"/>
          <w:szCs w:val="24"/>
        </w:rPr>
      </w:pPr>
      <w:r>
        <w:rPr>
          <w:sz w:val="24"/>
          <w:szCs w:val="24"/>
        </w:rPr>
        <w:t xml:space="preserve">    正弦振动试验时间不超过±10%。</w:t>
      </w:r>
    </w:p>
    <w:p>
      <w:pPr>
        <w:spacing w:line="300" w:lineRule="auto"/>
        <w:ind w:left="-22"/>
        <w:rPr>
          <w:sz w:val="24"/>
          <w:szCs w:val="24"/>
        </w:rPr>
      </w:pPr>
      <w:r>
        <w:rPr>
          <w:sz w:val="24"/>
          <w:szCs w:val="24"/>
        </w:rPr>
        <w:t>5.5  冲击加速度峰值示值误差</w:t>
      </w:r>
    </w:p>
    <w:p>
      <w:pPr>
        <w:spacing w:line="300" w:lineRule="auto"/>
        <w:ind w:left="-22"/>
        <w:rPr>
          <w:sz w:val="24"/>
          <w:szCs w:val="24"/>
        </w:rPr>
      </w:pPr>
      <w:r>
        <w:rPr>
          <w:sz w:val="24"/>
          <w:szCs w:val="24"/>
        </w:rPr>
        <w:t xml:space="preserve">    冲击加速度峰值示值误差不超过±20%。</w:t>
      </w:r>
    </w:p>
    <w:p>
      <w:pPr>
        <w:spacing w:line="300" w:lineRule="auto"/>
        <w:ind w:left="-22"/>
        <w:rPr>
          <w:sz w:val="24"/>
          <w:szCs w:val="24"/>
        </w:rPr>
      </w:pPr>
      <w:bookmarkStart w:id="26" w:name="_Hlk145786521"/>
      <w:r>
        <w:rPr>
          <w:sz w:val="24"/>
          <w:szCs w:val="24"/>
        </w:rPr>
        <w:t xml:space="preserve">5.6  </w:t>
      </w:r>
      <w:r>
        <w:rPr>
          <w:rFonts w:hint="eastAsia"/>
          <w:sz w:val="24"/>
          <w:szCs w:val="24"/>
        </w:rPr>
        <w:t>冲击持续时间</w:t>
      </w:r>
    </w:p>
    <w:p>
      <w:pPr>
        <w:spacing w:line="300" w:lineRule="auto"/>
        <w:ind w:left="-22" w:firstLine="480"/>
        <w:rPr>
          <w:sz w:val="24"/>
          <w:szCs w:val="24"/>
        </w:rPr>
      </w:pPr>
      <w:r>
        <w:rPr>
          <w:rFonts w:hint="eastAsia"/>
          <w:sz w:val="24"/>
          <w:szCs w:val="24"/>
        </w:rPr>
        <w:t>针对半导体分立器件、微电子器件主冲击持续时间不超过</w:t>
      </w:r>
      <w:r>
        <w:rPr>
          <w:sz w:val="24"/>
          <w:szCs w:val="24"/>
        </w:rPr>
        <w:t>100μs</w:t>
      </w:r>
      <w:r>
        <w:rPr>
          <w:rFonts w:hint="eastAsia"/>
          <w:sz w:val="24"/>
          <w:szCs w:val="24"/>
        </w:rPr>
        <w:t>。</w:t>
      </w:r>
    </w:p>
    <w:p>
      <w:pPr>
        <w:spacing w:line="300" w:lineRule="auto"/>
        <w:ind w:left="-22"/>
        <w:rPr>
          <w:rFonts w:eastAsia="仿宋_GB2312"/>
          <w:sz w:val="24"/>
          <w:szCs w:val="24"/>
        </w:rPr>
      </w:pPr>
      <w:r>
        <w:rPr>
          <w:rFonts w:eastAsia="仿宋_GB2312"/>
          <w:sz w:val="24"/>
          <w:szCs w:val="24"/>
        </w:rPr>
        <w:t xml:space="preserve">    </w:t>
      </w:r>
      <w:r>
        <w:rPr>
          <w:rFonts w:hint="eastAsia"/>
          <w:sz w:val="24"/>
          <w:szCs w:val="24"/>
        </w:rPr>
        <w:t>针对电磁继电器，冲击持续时间不超过</w:t>
      </w:r>
      <w:r>
        <w:rPr>
          <w:sz w:val="24"/>
          <w:szCs w:val="24"/>
        </w:rPr>
        <w:t>1ms</w:t>
      </w:r>
      <w:r>
        <w:rPr>
          <w:rFonts w:hint="eastAsia"/>
          <w:sz w:val="24"/>
          <w:szCs w:val="24"/>
        </w:rPr>
        <w:t>。</w:t>
      </w:r>
    </w:p>
    <w:bookmarkEnd w:id="26"/>
    <w:p>
      <w:pPr>
        <w:spacing w:line="300" w:lineRule="auto"/>
        <w:ind w:left="-22"/>
        <w:rPr>
          <w:sz w:val="24"/>
          <w:szCs w:val="24"/>
        </w:rPr>
      </w:pPr>
      <w:r>
        <w:rPr>
          <w:sz w:val="24"/>
          <w:szCs w:val="24"/>
        </w:rPr>
        <w:t>5.7  冲击加速度峰值重复性</w:t>
      </w:r>
    </w:p>
    <w:p>
      <w:pPr>
        <w:spacing w:line="300" w:lineRule="auto"/>
        <w:ind w:left="-22" w:firstLine="470"/>
        <w:rPr>
          <w:sz w:val="24"/>
          <w:szCs w:val="24"/>
        </w:rPr>
      </w:pPr>
      <w:r>
        <w:rPr>
          <w:sz w:val="24"/>
          <w:szCs w:val="24"/>
        </w:rPr>
        <w:t>冲击加速度峰值的重复性不大于10%。</w:t>
      </w:r>
    </w:p>
    <w:p>
      <w:pPr>
        <w:spacing w:line="300" w:lineRule="auto"/>
        <w:ind w:left="-22"/>
        <w:rPr>
          <w:sz w:val="24"/>
          <w:szCs w:val="24"/>
        </w:rPr>
      </w:pPr>
      <w:r>
        <w:rPr>
          <w:sz w:val="24"/>
          <w:szCs w:val="24"/>
        </w:rPr>
        <w:t>5.8  PIND换能器声压灵敏度级</w:t>
      </w:r>
    </w:p>
    <w:p>
      <w:pPr>
        <w:spacing w:line="300" w:lineRule="auto"/>
        <w:ind w:left="-21" w:leftChars="-10" w:firstLine="480" w:firstLineChars="200"/>
        <w:rPr>
          <w:sz w:val="24"/>
          <w:szCs w:val="24"/>
        </w:rPr>
      </w:pPr>
      <w:r>
        <w:rPr>
          <w:sz w:val="24"/>
          <w:szCs w:val="24"/>
        </w:rPr>
        <w:t>PIND换能器应在150kHz～160kHz频率范围内的某个频率上，峰值声压灵敏度级为（-77.5±3）dB（以1V/µbar作为参考值）。</w:t>
      </w:r>
    </w:p>
    <w:p>
      <w:pPr>
        <w:spacing w:line="300" w:lineRule="auto"/>
        <w:ind w:left="-21" w:leftChars="-10" w:firstLine="420" w:firstLineChars="200"/>
      </w:pPr>
      <w:r>
        <w:t>注：以上计量特性要求不用于合格性判别，仅供参考，也可参照国家标准、国家军用标准或厂家出厂相应条款给出的技术指标要求。</w:t>
      </w:r>
    </w:p>
    <w:bookmarkEnd w:id="20"/>
    <w:p>
      <w:pPr>
        <w:pStyle w:val="2"/>
        <w:numPr>
          <w:ilvl w:val="0"/>
          <w:numId w:val="3"/>
        </w:numPr>
        <w:spacing w:before="120" w:beforeLines="50" w:after="120" w:afterLines="50" w:line="300" w:lineRule="auto"/>
        <w:rPr>
          <w:rFonts w:eastAsia="黑体"/>
          <w:b w:val="0"/>
          <w:bCs w:val="0"/>
          <w:sz w:val="24"/>
          <w:szCs w:val="24"/>
        </w:rPr>
      </w:pPr>
      <w:bookmarkStart w:id="27" w:name="_Toc435726349"/>
      <w:bookmarkEnd w:id="27"/>
      <w:bookmarkStart w:id="28" w:name="_Toc435726348"/>
      <w:bookmarkEnd w:id="28"/>
      <w:bookmarkStart w:id="29" w:name="_Toc422683925"/>
      <w:bookmarkStart w:id="30" w:name="_Toc132233458"/>
      <w:r>
        <w:rPr>
          <w:rFonts w:eastAsia="黑体"/>
          <w:b w:val="0"/>
          <w:bCs w:val="0"/>
          <w:sz w:val="24"/>
          <w:szCs w:val="24"/>
        </w:rPr>
        <w:t>校准条件</w:t>
      </w:r>
      <w:bookmarkEnd w:id="29"/>
      <w:bookmarkEnd w:id="30"/>
    </w:p>
    <w:p>
      <w:pPr>
        <w:numPr>
          <w:ilvl w:val="1"/>
          <w:numId w:val="4"/>
        </w:numPr>
        <w:tabs>
          <w:tab w:val="left" w:pos="638"/>
        </w:tabs>
        <w:spacing w:line="300" w:lineRule="auto"/>
        <w:rPr>
          <w:sz w:val="24"/>
          <w:szCs w:val="24"/>
        </w:rPr>
      </w:pPr>
      <w:r>
        <w:rPr>
          <w:sz w:val="24"/>
          <w:szCs w:val="24"/>
        </w:rPr>
        <w:t xml:space="preserve">  环境条件</w:t>
      </w:r>
    </w:p>
    <w:p>
      <w:pPr>
        <w:spacing w:line="300" w:lineRule="auto"/>
        <w:ind w:firstLine="435"/>
        <w:rPr>
          <w:sz w:val="24"/>
          <w:szCs w:val="24"/>
        </w:rPr>
      </w:pPr>
      <w:r>
        <w:rPr>
          <w:sz w:val="24"/>
          <w:szCs w:val="24"/>
        </w:rPr>
        <w:t>环境温度：（1</w:t>
      </w:r>
      <w:r>
        <w:rPr>
          <w:sz w:val="24"/>
          <w:lang w:val="zh-CN"/>
        </w:rPr>
        <w:t>5～30</w:t>
      </w:r>
      <w:r>
        <w:rPr>
          <w:sz w:val="24"/>
          <w:szCs w:val="24"/>
        </w:rPr>
        <w:t>）℃；</w:t>
      </w:r>
    </w:p>
    <w:p>
      <w:pPr>
        <w:spacing w:line="300" w:lineRule="auto"/>
        <w:ind w:firstLine="435"/>
        <w:rPr>
          <w:sz w:val="24"/>
          <w:szCs w:val="24"/>
        </w:rPr>
      </w:pPr>
      <w:r>
        <w:rPr>
          <w:sz w:val="24"/>
          <w:szCs w:val="24"/>
        </w:rPr>
        <w:t>相对湿度：≤85％；</w:t>
      </w:r>
    </w:p>
    <w:p>
      <w:pPr>
        <w:spacing w:line="300" w:lineRule="auto"/>
        <w:ind w:firstLine="424" w:firstLineChars="177"/>
        <w:rPr>
          <w:sz w:val="24"/>
          <w:lang w:val="zh-CN"/>
        </w:rPr>
      </w:pPr>
      <w:r>
        <w:rPr>
          <w:sz w:val="24"/>
          <w:lang w:val="zh-CN"/>
        </w:rPr>
        <w:t>电源：(220±22)V、(50±1)Hz；</w:t>
      </w:r>
    </w:p>
    <w:p>
      <w:pPr>
        <w:spacing w:line="300" w:lineRule="auto"/>
        <w:ind w:firstLine="435"/>
        <w:rPr>
          <w:sz w:val="24"/>
        </w:rPr>
      </w:pPr>
      <w:r>
        <w:rPr>
          <w:sz w:val="24"/>
          <w:szCs w:val="24"/>
        </w:rPr>
        <w:t>装置及其周围环境应无明显影响校准结果的振动源，无强电场、强磁场、强声场的干扰；</w:t>
      </w:r>
      <w:r>
        <w:rPr>
          <w:sz w:val="24"/>
          <w:lang w:val="zh-CN"/>
        </w:rPr>
        <w:t>用于校准的设备应接地良好。</w:t>
      </w:r>
    </w:p>
    <w:p>
      <w:pPr>
        <w:numPr>
          <w:ilvl w:val="1"/>
          <w:numId w:val="4"/>
        </w:numPr>
        <w:spacing w:line="300" w:lineRule="auto"/>
        <w:rPr>
          <w:sz w:val="24"/>
          <w:szCs w:val="24"/>
        </w:rPr>
      </w:pPr>
      <w:r>
        <w:rPr>
          <w:sz w:val="24"/>
          <w:szCs w:val="24"/>
        </w:rPr>
        <w:t xml:space="preserve">  校准用设备</w:t>
      </w:r>
    </w:p>
    <w:p>
      <w:pPr>
        <w:spacing w:line="300" w:lineRule="auto"/>
        <w:ind w:firstLine="480" w:firstLineChars="200"/>
        <w:rPr>
          <w:sz w:val="24"/>
          <w:szCs w:val="24"/>
        </w:rPr>
      </w:pPr>
      <w:r>
        <w:rPr>
          <w:sz w:val="24"/>
          <w:szCs w:val="24"/>
        </w:rPr>
        <w:t>校准用设备见表1。</w:t>
      </w:r>
    </w:p>
    <w:p>
      <w:pPr>
        <w:widowControl/>
        <w:spacing w:line="300" w:lineRule="auto"/>
        <w:jc w:val="center"/>
        <w:rPr>
          <w:rFonts w:eastAsia="黑体"/>
        </w:rPr>
      </w:pPr>
      <w:r>
        <w:rPr>
          <w:rFonts w:eastAsia="黑体"/>
        </w:rPr>
        <w:t>表1校准用设备表</w:t>
      </w:r>
    </w:p>
    <w:tbl>
      <w:tblPr>
        <w:tblStyle w:val="18"/>
        <w:tblW w:w="85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74"/>
        <w:gridCol w:w="2564"/>
        <w:gridCol w:w="44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1" w:hRule="atLeast"/>
          <w:jc w:val="center"/>
        </w:trPr>
        <w:tc>
          <w:tcPr>
            <w:tcW w:w="1574" w:type="dxa"/>
            <w:vAlign w:val="center"/>
          </w:tcPr>
          <w:p>
            <w:pPr>
              <w:spacing w:line="300" w:lineRule="auto"/>
              <w:jc w:val="center"/>
            </w:pPr>
            <w:r>
              <w:t>设备名称</w:t>
            </w:r>
          </w:p>
        </w:tc>
        <w:tc>
          <w:tcPr>
            <w:tcW w:w="2564" w:type="dxa"/>
          </w:tcPr>
          <w:p>
            <w:pPr>
              <w:spacing w:line="300" w:lineRule="auto"/>
              <w:jc w:val="center"/>
            </w:pPr>
            <w:r>
              <w:t>组成</w:t>
            </w:r>
          </w:p>
        </w:tc>
        <w:tc>
          <w:tcPr>
            <w:tcW w:w="4436" w:type="dxa"/>
            <w:vAlign w:val="center"/>
          </w:tcPr>
          <w:p>
            <w:pPr>
              <w:spacing w:line="300" w:lineRule="auto"/>
              <w:jc w:val="center"/>
            </w:pPr>
            <w:r>
              <w:t>计量性能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97" w:hRule="atLeast"/>
          <w:jc w:val="center"/>
        </w:trPr>
        <w:tc>
          <w:tcPr>
            <w:tcW w:w="1574" w:type="dxa"/>
            <w:vAlign w:val="center"/>
          </w:tcPr>
          <w:p>
            <w:pPr>
              <w:spacing w:line="300" w:lineRule="auto"/>
            </w:pPr>
            <w:r>
              <w:rPr>
                <w:rFonts w:hint="eastAsia"/>
              </w:rPr>
              <w:t>颗粒碰撞噪声检测系统校准装置</w:t>
            </w:r>
          </w:p>
        </w:tc>
        <w:tc>
          <w:tcPr>
            <w:tcW w:w="2564" w:type="dxa"/>
            <w:vAlign w:val="center"/>
          </w:tcPr>
          <w:p>
            <w:pPr>
              <w:spacing w:line="300" w:lineRule="auto"/>
              <w:jc w:val="left"/>
            </w:pPr>
            <w:r>
              <w:t>加速度传感器、信号适调器及数据采集系统或动态信号分析仪</w:t>
            </w:r>
            <w:r>
              <w:rPr>
                <w:rFonts w:hint="eastAsia"/>
              </w:rPr>
              <w:t>、标准声源</w:t>
            </w:r>
          </w:p>
        </w:tc>
        <w:tc>
          <w:tcPr>
            <w:tcW w:w="4436" w:type="dxa"/>
            <w:vAlign w:val="center"/>
          </w:tcPr>
          <w:p>
            <w:pPr>
              <w:spacing w:line="300" w:lineRule="auto"/>
            </w:pPr>
            <w:r>
              <w:t>冲击加速度峰值测量不确定度：</w:t>
            </w:r>
            <w:r>
              <w:rPr>
                <w:i/>
              </w:rPr>
              <w:t>U</w:t>
            </w:r>
            <w:r>
              <w:rPr>
                <w:vertAlign w:val="subscript"/>
              </w:rPr>
              <w:t>rel</w:t>
            </w:r>
            <w:r>
              <w:t>≤5%（</w:t>
            </w:r>
            <w:r>
              <w:rPr>
                <w:i/>
              </w:rPr>
              <w:t>k</w:t>
            </w:r>
            <w:r>
              <w:t>=2）或加速度示值误差不超过±3%；</w:t>
            </w:r>
          </w:p>
          <w:p>
            <w:pPr>
              <w:spacing w:line="300" w:lineRule="auto"/>
            </w:pPr>
            <w:r>
              <w:t>振动加速度幅值测量不确定度：</w:t>
            </w:r>
            <w:r>
              <w:rPr>
                <w:i/>
              </w:rPr>
              <w:t>U</w:t>
            </w:r>
            <w:r>
              <w:rPr>
                <w:vertAlign w:val="subscript"/>
              </w:rPr>
              <w:t>rel</w:t>
            </w:r>
            <w:r>
              <w:t>≤3%（</w:t>
            </w:r>
            <w:r>
              <w:rPr>
                <w:i/>
              </w:rPr>
              <w:t>k</w:t>
            </w:r>
            <w:r>
              <w:t>=2），振动频率测量不确定度：</w:t>
            </w:r>
            <w:r>
              <w:rPr>
                <w:i/>
              </w:rPr>
              <w:t>U</w:t>
            </w:r>
            <w:r>
              <w:rPr>
                <w:vertAlign w:val="subscript"/>
              </w:rPr>
              <w:t>rel</w:t>
            </w:r>
            <w:r>
              <w:t>≤0.5%（</w:t>
            </w:r>
            <w:r>
              <w:rPr>
                <w:i/>
              </w:rPr>
              <w:t>k</w:t>
            </w:r>
            <w:r>
              <w:t>=2）</w:t>
            </w:r>
          </w:p>
          <w:p>
            <w:pPr>
              <w:spacing w:line="300" w:lineRule="auto"/>
            </w:pPr>
            <w:r>
              <w:t>声压灵敏度级测量不确定度：</w:t>
            </w:r>
            <w:r>
              <w:rPr>
                <w:i/>
                <w:iCs/>
              </w:rPr>
              <w:t>U</w:t>
            </w:r>
            <w:r>
              <w:t>≤1dB（</w:t>
            </w:r>
            <w:r>
              <w:rPr>
                <w:i/>
                <w:iCs/>
              </w:rPr>
              <w:t>k</w:t>
            </w:r>
            <w:r>
              <w:t>=2）</w:t>
            </w:r>
          </w:p>
        </w:tc>
      </w:tr>
    </w:tbl>
    <w:p>
      <w:pPr>
        <w:pStyle w:val="2"/>
        <w:numPr>
          <w:ilvl w:val="0"/>
          <w:numId w:val="3"/>
        </w:numPr>
        <w:spacing w:before="120" w:beforeLines="50" w:after="120" w:afterLines="50" w:line="298" w:lineRule="auto"/>
        <w:rPr>
          <w:rFonts w:eastAsia="黑体"/>
          <w:b w:val="0"/>
          <w:bCs w:val="0"/>
          <w:sz w:val="24"/>
          <w:szCs w:val="24"/>
        </w:rPr>
      </w:pPr>
      <w:bookmarkStart w:id="31" w:name="_Toc132233459"/>
      <w:bookmarkStart w:id="32" w:name="_Toc422683926"/>
      <w:r>
        <w:rPr>
          <w:rFonts w:eastAsia="黑体"/>
          <w:b w:val="0"/>
          <w:bCs w:val="0"/>
          <w:sz w:val="24"/>
          <w:szCs w:val="24"/>
        </w:rPr>
        <w:t>校准项目和校准方法</w:t>
      </w:r>
      <w:bookmarkEnd w:id="31"/>
      <w:bookmarkEnd w:id="32"/>
    </w:p>
    <w:p>
      <w:pPr>
        <w:numPr>
          <w:ilvl w:val="1"/>
          <w:numId w:val="5"/>
        </w:numPr>
        <w:tabs>
          <w:tab w:val="left" w:pos="638"/>
        </w:tabs>
        <w:spacing w:line="300" w:lineRule="auto"/>
        <w:ind w:left="357" w:hanging="357"/>
        <w:rPr>
          <w:sz w:val="24"/>
          <w:szCs w:val="24"/>
        </w:rPr>
      </w:pPr>
      <w:r>
        <w:rPr>
          <w:sz w:val="24"/>
          <w:szCs w:val="24"/>
        </w:rPr>
        <w:t xml:space="preserve">  校准项目</w:t>
      </w:r>
    </w:p>
    <w:p>
      <w:pPr>
        <w:tabs>
          <w:tab w:val="left" w:pos="638"/>
        </w:tabs>
        <w:spacing w:line="300" w:lineRule="auto"/>
        <w:ind w:left="357"/>
        <w:rPr>
          <w:sz w:val="24"/>
          <w:szCs w:val="24"/>
        </w:rPr>
      </w:pPr>
      <w:r>
        <w:rPr>
          <w:sz w:val="24"/>
          <w:szCs w:val="24"/>
        </w:rPr>
        <w:t>颗粒碰撞噪声检测系统的校准项目见章5。</w:t>
      </w:r>
    </w:p>
    <w:p>
      <w:pPr>
        <w:numPr>
          <w:ilvl w:val="1"/>
          <w:numId w:val="5"/>
        </w:numPr>
        <w:tabs>
          <w:tab w:val="left" w:pos="638"/>
        </w:tabs>
        <w:spacing w:line="300" w:lineRule="auto"/>
        <w:rPr>
          <w:sz w:val="24"/>
          <w:szCs w:val="24"/>
        </w:rPr>
      </w:pPr>
      <w:r>
        <w:rPr>
          <w:sz w:val="24"/>
          <w:szCs w:val="24"/>
        </w:rPr>
        <w:t xml:space="preserve">  校准方法</w:t>
      </w:r>
    </w:p>
    <w:p>
      <w:pPr>
        <w:tabs>
          <w:tab w:val="left" w:pos="638"/>
        </w:tabs>
        <w:spacing w:line="300" w:lineRule="auto"/>
        <w:rPr>
          <w:sz w:val="24"/>
          <w:szCs w:val="24"/>
        </w:rPr>
      </w:pPr>
      <w:r>
        <w:rPr>
          <w:sz w:val="24"/>
          <w:szCs w:val="24"/>
        </w:rPr>
        <w:t>7.2.1 外观检查</w:t>
      </w:r>
    </w:p>
    <w:p>
      <w:pPr>
        <w:tabs>
          <w:tab w:val="left" w:pos="638"/>
        </w:tabs>
        <w:spacing w:line="300" w:lineRule="auto"/>
        <w:ind w:firstLine="480" w:firstLineChars="200"/>
        <w:rPr>
          <w:sz w:val="24"/>
          <w:szCs w:val="24"/>
        </w:rPr>
      </w:pPr>
      <w:r>
        <w:rPr>
          <w:sz w:val="24"/>
          <w:szCs w:val="24"/>
        </w:rPr>
        <w:t>颗粒碰撞噪声检测系统上应标明型号规格、编号、制造厂家等基本信息；配套附件应齐全。系统各操作按键及旋钮操作清晰准确。输出输入插座不应有松动和接触不良的现象。无影响正常工作的机械损失。</w:t>
      </w:r>
    </w:p>
    <w:p>
      <w:pPr>
        <w:tabs>
          <w:tab w:val="left" w:pos="638"/>
        </w:tabs>
        <w:spacing w:line="300" w:lineRule="auto"/>
        <w:rPr>
          <w:sz w:val="24"/>
          <w:szCs w:val="24"/>
        </w:rPr>
      </w:pPr>
      <w:r>
        <w:rPr>
          <w:sz w:val="24"/>
          <w:szCs w:val="24"/>
        </w:rPr>
        <w:t>7.2.2 运行检查</w:t>
      </w:r>
    </w:p>
    <w:p>
      <w:pPr>
        <w:tabs>
          <w:tab w:val="left" w:pos="638"/>
        </w:tabs>
        <w:spacing w:line="300" w:lineRule="auto"/>
        <w:ind w:firstLine="480"/>
        <w:rPr>
          <w:sz w:val="24"/>
          <w:szCs w:val="24"/>
        </w:rPr>
      </w:pPr>
      <w:r>
        <w:rPr>
          <w:sz w:val="24"/>
          <w:szCs w:val="24"/>
        </w:rPr>
        <w:t>台面空载，将测量系统中加速度传感器粘接在台面中心位置，加速度传感器通过适调放大器接数据采集系统/动态信号分析仪的各通道。系统通电，预热15min后，将PIND设定为振动状态并运行，此时配套示波器上不应产生大于20mV的峰峰值噪声信号。</w:t>
      </w:r>
    </w:p>
    <w:p>
      <w:pPr>
        <w:tabs>
          <w:tab w:val="left" w:pos="638"/>
        </w:tabs>
        <w:spacing w:line="300" w:lineRule="auto"/>
        <w:rPr>
          <w:sz w:val="24"/>
          <w:szCs w:val="24"/>
        </w:rPr>
      </w:pPr>
      <w:r>
        <w:rPr>
          <w:sz w:val="24"/>
          <w:szCs w:val="24"/>
        </w:rPr>
        <w:t>7.2.3 校准点选取</w:t>
      </w:r>
    </w:p>
    <w:p>
      <w:pPr>
        <w:tabs>
          <w:tab w:val="left" w:pos="638"/>
        </w:tabs>
        <w:spacing w:line="300" w:lineRule="auto"/>
        <w:ind w:firstLine="480"/>
        <w:rPr>
          <w:sz w:val="24"/>
          <w:szCs w:val="24"/>
        </w:rPr>
      </w:pPr>
      <w:r>
        <w:rPr>
          <w:sz w:val="24"/>
          <w:szCs w:val="24"/>
        </w:rPr>
        <w:t>在PIND正弦振动试验范围内选取不少于四个校准点，至少包括最大、最小试验加速度峰值及最高、最低振动试验频率。在PIND冲击试验范围内选取至少一个冲击加速度校准点。</w:t>
      </w:r>
    </w:p>
    <w:p>
      <w:pPr>
        <w:tabs>
          <w:tab w:val="left" w:pos="638"/>
        </w:tabs>
        <w:spacing w:line="300" w:lineRule="auto"/>
        <w:ind w:firstLine="480"/>
      </w:pPr>
      <w:r>
        <w:t>注：应充分考虑用户的试验要求，尽量选取用户实际试验条件作为校准点</w:t>
      </w:r>
    </w:p>
    <w:p>
      <w:pPr>
        <w:tabs>
          <w:tab w:val="left" w:pos="638"/>
        </w:tabs>
        <w:spacing w:line="300" w:lineRule="auto"/>
        <w:rPr>
          <w:sz w:val="24"/>
          <w:szCs w:val="24"/>
        </w:rPr>
      </w:pPr>
      <w:r>
        <w:rPr>
          <w:sz w:val="24"/>
          <w:szCs w:val="24"/>
        </w:rPr>
        <w:t>7.2.4 正弦振动加速度峰值示值误差的校准</w:t>
      </w:r>
    </w:p>
    <w:p>
      <w:pPr>
        <w:autoSpaceDE w:val="0"/>
        <w:autoSpaceDN w:val="0"/>
        <w:adjustRightInd w:val="0"/>
        <w:spacing w:line="300" w:lineRule="auto"/>
        <w:ind w:right="-8" w:rightChars="-4" w:firstLine="480" w:firstLineChars="200"/>
        <w:rPr>
          <w:sz w:val="24"/>
          <w:lang w:val="zh-CN"/>
        </w:rPr>
      </w:pPr>
      <w:r>
        <w:rPr>
          <w:sz w:val="24"/>
          <w:szCs w:val="24"/>
        </w:rPr>
        <w:t>设定振动试验并开始振动。分别记录每个校准点</w:t>
      </w:r>
      <w:r>
        <w:rPr>
          <w:sz w:val="24"/>
          <w:lang w:val="zh-CN"/>
        </w:rPr>
        <w:t>测量得到的振动加速度峰值和PIND显示的振动加速度峰值，按照式（1）计算</w:t>
      </w:r>
      <w:r>
        <w:rPr>
          <w:sz w:val="24"/>
          <w:szCs w:val="24"/>
        </w:rPr>
        <w:t>正弦</w:t>
      </w:r>
      <w:r>
        <w:rPr>
          <w:sz w:val="24"/>
          <w:lang w:val="zh-CN"/>
        </w:rPr>
        <w:t>振动</w:t>
      </w:r>
      <w:r>
        <w:rPr>
          <w:sz w:val="24"/>
        </w:rPr>
        <w:t>加速度</w:t>
      </w:r>
      <w:r>
        <w:rPr>
          <w:sz w:val="24"/>
          <w:lang w:val="zh-CN"/>
        </w:rPr>
        <w:t>峰值的示值误差</w:t>
      </w:r>
      <w:r>
        <w:rPr>
          <w:position w:val="-10"/>
        </w:rPr>
        <w:object>
          <v:shape id="_x0000_i1026" o:spt="75" type="#_x0000_t75" style="height:15.9pt;width:15.9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sz w:val="24"/>
          <w:lang w:val="zh-CN"/>
        </w:rPr>
        <w:t>。</w:t>
      </w:r>
    </w:p>
    <w:p>
      <w:pPr>
        <w:autoSpaceDE w:val="0"/>
        <w:autoSpaceDN w:val="0"/>
        <w:adjustRightInd w:val="0"/>
        <w:spacing w:line="300" w:lineRule="auto"/>
        <w:ind w:right="2"/>
        <w:jc w:val="right"/>
        <w:rPr>
          <w:sz w:val="24"/>
          <w:lang w:val="zh-CN"/>
        </w:rPr>
      </w:pPr>
      <w:r>
        <w:rPr>
          <w:position w:val="-28"/>
          <w:sz w:val="24"/>
          <w:lang w:val="zh-CN"/>
        </w:rPr>
        <w:object>
          <v:shape id="_x0000_i1027" o:spt="75" type="#_x0000_t75" style="height:31.8pt;width:95.4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sz w:val="24"/>
          <w:lang w:val="zh-CN"/>
        </w:rPr>
        <w:t xml:space="preserve">                          （1）</w:t>
      </w:r>
    </w:p>
    <w:p>
      <w:pPr>
        <w:tabs>
          <w:tab w:val="left" w:pos="142"/>
        </w:tabs>
        <w:autoSpaceDE w:val="0"/>
        <w:autoSpaceDN w:val="0"/>
        <w:adjustRightInd w:val="0"/>
        <w:spacing w:line="300" w:lineRule="auto"/>
        <w:ind w:firstLine="480" w:firstLineChars="200"/>
        <w:rPr>
          <w:sz w:val="24"/>
          <w:lang w:val="zh-CN"/>
        </w:rPr>
      </w:pPr>
      <w:r>
        <w:rPr>
          <w:sz w:val="24"/>
          <w:lang w:val="zh-CN"/>
        </w:rPr>
        <w:t>式中：</w:t>
      </w:r>
    </w:p>
    <w:p>
      <w:pPr>
        <w:tabs>
          <w:tab w:val="left" w:pos="142"/>
        </w:tabs>
        <w:autoSpaceDE w:val="0"/>
        <w:autoSpaceDN w:val="0"/>
        <w:adjustRightInd w:val="0"/>
        <w:spacing w:line="300" w:lineRule="auto"/>
        <w:ind w:firstLine="480" w:firstLineChars="200"/>
        <w:rPr>
          <w:sz w:val="24"/>
          <w:szCs w:val="24"/>
        </w:rPr>
      </w:pPr>
      <w:r>
        <w:rPr>
          <w:position w:val="-12"/>
          <w:sz w:val="24"/>
          <w:szCs w:val="24"/>
        </w:rPr>
        <w:object>
          <v:shape id="_x0000_i1028" o:spt="75" type="#_x0000_t75" style="height:18.7pt;width:13.1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sz w:val="24"/>
          <w:szCs w:val="24"/>
        </w:rPr>
        <w:t>—第</w:t>
      </w:r>
      <w:r>
        <w:rPr>
          <w:position w:val="-6"/>
          <w:sz w:val="24"/>
          <w:szCs w:val="24"/>
        </w:rPr>
        <w:object>
          <v:shape id="_x0000_i1029" o:spt="75" type="#_x0000_t75" style="height:14.05pt;width:8.4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sz w:val="24"/>
          <w:szCs w:val="24"/>
        </w:rPr>
        <w:t>个校准点处，PIND的加速度峰值示值，g；</w:t>
      </w:r>
    </w:p>
    <w:p>
      <w:pPr>
        <w:tabs>
          <w:tab w:val="left" w:pos="142"/>
        </w:tabs>
        <w:autoSpaceDE w:val="0"/>
        <w:autoSpaceDN w:val="0"/>
        <w:adjustRightInd w:val="0"/>
        <w:spacing w:line="300" w:lineRule="auto"/>
        <w:ind w:firstLine="480" w:firstLineChars="200"/>
        <w:rPr>
          <w:sz w:val="24"/>
          <w:szCs w:val="24"/>
        </w:rPr>
      </w:pPr>
      <w:r>
        <w:rPr>
          <w:position w:val="-12"/>
          <w:sz w:val="24"/>
          <w:szCs w:val="24"/>
        </w:rPr>
        <w:object>
          <v:shape id="_x0000_i1030" o:spt="75" type="#_x0000_t75" style="height:18.7pt;width:15.9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23">
            <o:LockedField>false</o:LockedField>
          </o:OLEObject>
        </w:object>
      </w:r>
      <w:r>
        <w:rPr>
          <w:sz w:val="24"/>
          <w:szCs w:val="24"/>
        </w:rPr>
        <w:t>—第</w:t>
      </w:r>
      <w:r>
        <w:rPr>
          <w:position w:val="-6"/>
          <w:sz w:val="24"/>
          <w:szCs w:val="24"/>
        </w:rPr>
        <w:object>
          <v:shape id="_x0000_i1031" o:spt="75" type="#_x0000_t75" style="height:14.05pt;width:8.4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5">
            <o:LockedField>false</o:LockedField>
          </o:OLEObject>
        </w:object>
      </w:r>
      <w:r>
        <w:rPr>
          <w:sz w:val="24"/>
          <w:szCs w:val="24"/>
        </w:rPr>
        <w:t>个校准点处，实际测量的加速度峰值，g。</w:t>
      </w:r>
    </w:p>
    <w:p>
      <w:pPr>
        <w:tabs>
          <w:tab w:val="left" w:pos="142"/>
        </w:tabs>
        <w:autoSpaceDE w:val="0"/>
        <w:autoSpaceDN w:val="0"/>
        <w:adjustRightInd w:val="0"/>
        <w:spacing w:line="300" w:lineRule="auto"/>
        <w:ind w:firstLine="480" w:firstLineChars="200"/>
        <w:rPr>
          <w:sz w:val="24"/>
          <w:lang w:val="zh-CN"/>
        </w:rPr>
      </w:pPr>
      <w:r>
        <w:rPr>
          <w:sz w:val="24"/>
          <w:lang w:val="zh-CN"/>
        </w:rPr>
        <w:t>选取示值误差的最大值作为测量结果</w:t>
      </w:r>
    </w:p>
    <w:p>
      <w:pPr>
        <w:tabs>
          <w:tab w:val="left" w:pos="638"/>
        </w:tabs>
        <w:spacing w:line="300" w:lineRule="auto"/>
        <w:rPr>
          <w:sz w:val="24"/>
          <w:szCs w:val="24"/>
        </w:rPr>
      </w:pPr>
      <w:r>
        <w:rPr>
          <w:sz w:val="24"/>
          <w:szCs w:val="24"/>
        </w:rPr>
        <w:t>7.2.5 正弦振动频率示值误差的校准</w:t>
      </w:r>
    </w:p>
    <w:p>
      <w:pPr>
        <w:autoSpaceDE w:val="0"/>
        <w:autoSpaceDN w:val="0"/>
        <w:adjustRightInd w:val="0"/>
        <w:spacing w:line="300" w:lineRule="auto"/>
        <w:ind w:right="-29" w:rightChars="-14" w:firstLine="480" w:firstLineChars="200"/>
        <w:rPr>
          <w:sz w:val="24"/>
          <w:lang w:val="zh-CN"/>
        </w:rPr>
      </w:pPr>
      <w:r>
        <w:rPr>
          <w:sz w:val="24"/>
          <w:szCs w:val="24"/>
        </w:rPr>
        <w:t>设定振动试验并开始振动。分别记录每个校准点</w:t>
      </w:r>
      <w:r>
        <w:rPr>
          <w:sz w:val="24"/>
          <w:lang w:val="zh-CN"/>
        </w:rPr>
        <w:t>测量得到的振动频率值和PIND显示的振动频率值，按照式（2）计算</w:t>
      </w:r>
      <w:r>
        <w:rPr>
          <w:sz w:val="24"/>
          <w:szCs w:val="24"/>
        </w:rPr>
        <w:t>正弦</w:t>
      </w:r>
      <w:r>
        <w:rPr>
          <w:sz w:val="24"/>
          <w:lang w:val="zh-CN"/>
        </w:rPr>
        <w:t>振动频率的示值误差</w:t>
      </w:r>
      <w:r>
        <w:rPr>
          <w:position w:val="-10"/>
        </w:rPr>
        <w:object>
          <v:shape id="_x0000_i1032" o:spt="75" type="#_x0000_t75" style="height:15.9pt;width:13.1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sz w:val="24"/>
          <w:lang w:val="zh-CN"/>
        </w:rPr>
        <w:t>。</w:t>
      </w:r>
    </w:p>
    <w:p>
      <w:pPr>
        <w:wordWrap w:val="0"/>
        <w:autoSpaceDE w:val="0"/>
        <w:autoSpaceDN w:val="0"/>
        <w:adjustRightInd w:val="0"/>
        <w:ind w:right="-29" w:rightChars="-14"/>
        <w:jc w:val="right"/>
        <w:rPr>
          <w:sz w:val="24"/>
          <w:lang w:val="zh-CN"/>
        </w:rPr>
      </w:pPr>
      <w:r>
        <w:rPr>
          <w:position w:val="-30"/>
          <w:sz w:val="24"/>
          <w:lang w:val="zh-CN"/>
        </w:rPr>
        <w:object>
          <v:shape id="_x0000_i1033" o:spt="75" type="#_x0000_t75" style="height:32.75pt;width:98.2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sz w:val="24"/>
          <w:lang w:val="zh-CN"/>
        </w:rPr>
        <w:t xml:space="preserve">                          （2）</w:t>
      </w:r>
    </w:p>
    <w:p>
      <w:pPr>
        <w:tabs>
          <w:tab w:val="left" w:pos="142"/>
        </w:tabs>
        <w:autoSpaceDE w:val="0"/>
        <w:autoSpaceDN w:val="0"/>
        <w:adjustRightInd w:val="0"/>
        <w:spacing w:line="300" w:lineRule="auto"/>
        <w:ind w:firstLine="480" w:firstLineChars="200"/>
        <w:rPr>
          <w:sz w:val="24"/>
          <w:lang w:val="zh-CN"/>
        </w:rPr>
      </w:pPr>
      <w:r>
        <w:rPr>
          <w:sz w:val="24"/>
          <w:lang w:val="zh-CN"/>
        </w:rPr>
        <w:t>式中：</w:t>
      </w:r>
    </w:p>
    <w:p>
      <w:pPr>
        <w:tabs>
          <w:tab w:val="left" w:pos="142"/>
        </w:tabs>
        <w:autoSpaceDE w:val="0"/>
        <w:autoSpaceDN w:val="0"/>
        <w:adjustRightInd w:val="0"/>
        <w:spacing w:line="300" w:lineRule="auto"/>
        <w:ind w:firstLine="480" w:firstLineChars="200"/>
        <w:rPr>
          <w:sz w:val="24"/>
          <w:szCs w:val="24"/>
        </w:rPr>
      </w:pPr>
      <w:r>
        <w:rPr>
          <w:position w:val="-12"/>
          <w:sz w:val="24"/>
          <w:szCs w:val="24"/>
        </w:rPr>
        <w:object>
          <v:shape id="_x0000_i1034" o:spt="75" type="#_x0000_t75" style="height:18.7pt;width:13.1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rPr>
          <w:sz w:val="24"/>
          <w:szCs w:val="24"/>
        </w:rPr>
        <w:t>—第</w:t>
      </w:r>
      <w:r>
        <w:rPr>
          <w:position w:val="-6"/>
          <w:sz w:val="24"/>
          <w:szCs w:val="24"/>
        </w:rPr>
        <w:object>
          <v:shape id="_x0000_i1035" o:spt="75" type="#_x0000_t75" style="height:14.05pt;width:8.4pt;" o:ole="t" filled="f" o:preferrelative="t" stroked="f" coordsize="21600,21600">
            <v:path/>
            <v:fill on="f" focussize="0,0"/>
            <v:stroke on="f" joinstyle="miter"/>
            <v:imagedata r:id="rId22" o:title=""/>
            <o:lock v:ext="edit" aspectratio="t"/>
            <w10:wrap type="none"/>
            <w10:anchorlock/>
          </v:shape>
          <o:OLEObject Type="Embed" ProgID="Equation.DSMT4" ShapeID="_x0000_i1035" DrawAspect="Content" ObjectID="_1468075735" r:id="rId32">
            <o:LockedField>false</o:LockedField>
          </o:OLEObject>
        </w:object>
      </w:r>
      <w:r>
        <w:rPr>
          <w:sz w:val="24"/>
          <w:szCs w:val="24"/>
        </w:rPr>
        <w:t>个校准点处，PIND的振动频率示值，Hz；</w:t>
      </w:r>
    </w:p>
    <w:p>
      <w:pPr>
        <w:tabs>
          <w:tab w:val="left" w:pos="142"/>
        </w:tabs>
        <w:autoSpaceDE w:val="0"/>
        <w:autoSpaceDN w:val="0"/>
        <w:adjustRightInd w:val="0"/>
        <w:spacing w:line="300" w:lineRule="auto"/>
        <w:ind w:firstLine="480" w:firstLineChars="200"/>
        <w:rPr>
          <w:sz w:val="24"/>
          <w:szCs w:val="24"/>
        </w:rPr>
      </w:pPr>
      <w:r>
        <w:rPr>
          <w:position w:val="-12"/>
          <w:sz w:val="24"/>
          <w:szCs w:val="24"/>
        </w:rPr>
        <w:object>
          <v:shape id="_x0000_i1036" o:spt="75" type="#_x0000_t75" style="height:18.7pt;width:15.9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6" r:id="rId33">
            <o:LockedField>false</o:LockedField>
          </o:OLEObject>
        </w:object>
      </w:r>
      <w:r>
        <w:rPr>
          <w:sz w:val="24"/>
          <w:szCs w:val="24"/>
        </w:rPr>
        <w:t>—第</w:t>
      </w:r>
      <w:r>
        <w:rPr>
          <w:position w:val="-6"/>
          <w:sz w:val="24"/>
          <w:szCs w:val="24"/>
        </w:rPr>
        <w:object>
          <v:shape id="_x0000_i1037" o:spt="75" type="#_x0000_t75" style="height:14.05pt;width:8.4pt;" o:ole="t" filled="f" o:preferrelative="t" stroked="f" coordsize="21600,21600">
            <v:path/>
            <v:fill on="f" focussize="0,0"/>
            <v:stroke on="f" joinstyle="miter"/>
            <v:imagedata r:id="rId36" o:title=""/>
            <o:lock v:ext="edit" aspectratio="t"/>
            <w10:wrap type="none"/>
            <w10:anchorlock/>
          </v:shape>
          <o:OLEObject Type="Embed" ProgID="Equation.DSMT4" ShapeID="_x0000_i1037" DrawAspect="Content" ObjectID="_1468075737" r:id="rId35">
            <o:LockedField>false</o:LockedField>
          </o:OLEObject>
        </w:object>
      </w:r>
      <w:r>
        <w:rPr>
          <w:sz w:val="24"/>
          <w:szCs w:val="24"/>
        </w:rPr>
        <w:t>个校准点处，实际测量的振动频率值，Hz。</w:t>
      </w:r>
    </w:p>
    <w:p>
      <w:pPr>
        <w:tabs>
          <w:tab w:val="left" w:pos="142"/>
        </w:tabs>
        <w:autoSpaceDE w:val="0"/>
        <w:autoSpaceDN w:val="0"/>
        <w:adjustRightInd w:val="0"/>
        <w:spacing w:line="300" w:lineRule="auto"/>
        <w:ind w:firstLine="480" w:firstLineChars="200"/>
        <w:rPr>
          <w:sz w:val="24"/>
          <w:lang w:val="zh-CN"/>
        </w:rPr>
      </w:pPr>
      <w:r>
        <w:rPr>
          <w:sz w:val="24"/>
          <w:lang w:val="zh-CN"/>
        </w:rPr>
        <w:t>选取示值误差的最大值作为测量结果。</w:t>
      </w:r>
    </w:p>
    <w:p>
      <w:pPr>
        <w:tabs>
          <w:tab w:val="left" w:pos="638"/>
        </w:tabs>
        <w:spacing w:line="300" w:lineRule="auto"/>
        <w:rPr>
          <w:sz w:val="24"/>
          <w:szCs w:val="24"/>
        </w:rPr>
      </w:pPr>
      <w:r>
        <w:rPr>
          <w:sz w:val="24"/>
          <w:szCs w:val="24"/>
        </w:rPr>
        <w:t>7.2.6 正弦振动波形失真度的校准</w:t>
      </w:r>
    </w:p>
    <w:p>
      <w:pPr>
        <w:tabs>
          <w:tab w:val="left" w:pos="638"/>
        </w:tabs>
        <w:spacing w:line="300" w:lineRule="auto"/>
        <w:ind w:firstLine="480" w:firstLineChars="200"/>
        <w:rPr>
          <w:sz w:val="24"/>
          <w:szCs w:val="24"/>
        </w:rPr>
      </w:pPr>
      <w:r>
        <w:rPr>
          <w:sz w:val="24"/>
          <w:szCs w:val="24"/>
        </w:rPr>
        <w:t>设定振动试验并开始振动。通过动态信号分析仪对每个校准点传感器输出波形的谐波失真度进行测量。波形失真度一般取5次谐波，按照公式（3）计算。</w:t>
      </w:r>
    </w:p>
    <w:p>
      <w:pPr>
        <w:wordWrap w:val="0"/>
        <w:autoSpaceDE w:val="0"/>
        <w:autoSpaceDN w:val="0"/>
        <w:adjustRightInd w:val="0"/>
        <w:ind w:right="-29" w:rightChars="-14"/>
        <w:jc w:val="right"/>
        <w:rPr>
          <w:sz w:val="24"/>
          <w:lang w:val="zh-CN"/>
        </w:rPr>
      </w:pPr>
      <w:r>
        <w:rPr>
          <w:position w:val="-30"/>
          <w:sz w:val="24"/>
          <w:lang w:val="zh-CN"/>
        </w:rPr>
        <w:object>
          <v:shape id="_x0000_i1038" o:spt="75" type="#_x0000_t75" style="height:38.35pt;width:149.6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sz w:val="24"/>
          <w:lang w:val="zh-CN"/>
        </w:rPr>
        <w:t xml:space="preserve">                     （3）</w:t>
      </w:r>
    </w:p>
    <w:p>
      <w:pPr>
        <w:tabs>
          <w:tab w:val="left" w:pos="142"/>
        </w:tabs>
        <w:autoSpaceDE w:val="0"/>
        <w:autoSpaceDN w:val="0"/>
        <w:adjustRightInd w:val="0"/>
        <w:spacing w:line="300" w:lineRule="auto"/>
        <w:ind w:firstLine="480" w:firstLineChars="200"/>
        <w:rPr>
          <w:sz w:val="24"/>
          <w:lang w:val="zh-CN"/>
        </w:rPr>
      </w:pPr>
      <w:r>
        <w:rPr>
          <w:sz w:val="24"/>
          <w:lang w:val="zh-CN"/>
        </w:rPr>
        <w:t>式中：</w:t>
      </w:r>
    </w:p>
    <w:p>
      <w:pPr>
        <w:tabs>
          <w:tab w:val="left" w:pos="142"/>
        </w:tabs>
        <w:autoSpaceDE w:val="0"/>
        <w:autoSpaceDN w:val="0"/>
        <w:adjustRightInd w:val="0"/>
        <w:spacing w:line="300" w:lineRule="auto"/>
        <w:ind w:firstLine="525" w:firstLineChars="250"/>
        <w:rPr>
          <w:sz w:val="24"/>
          <w:lang w:val="zh-CN"/>
        </w:rPr>
      </w:pPr>
      <w:r>
        <w:rPr>
          <w:position w:val="-10"/>
        </w:rPr>
        <w:object>
          <v:shape id="_x0000_i1039" o:spt="75" type="#_x0000_t75" style="height:13.1pt;width:9.35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39" r:id="rId39">
            <o:LockedField>false</o:LockedField>
          </o:OLEObject>
        </w:object>
      </w:r>
      <w:r>
        <w:rPr>
          <w:sz w:val="24"/>
          <w:lang w:val="zh-CN"/>
        </w:rPr>
        <w:t>—正弦振动波形失真度，%；</w:t>
      </w:r>
    </w:p>
    <w:p>
      <w:pPr>
        <w:tabs>
          <w:tab w:val="left" w:pos="142"/>
        </w:tabs>
        <w:autoSpaceDE w:val="0"/>
        <w:autoSpaceDN w:val="0"/>
        <w:adjustRightInd w:val="0"/>
        <w:spacing w:line="300" w:lineRule="auto"/>
        <w:ind w:firstLine="480" w:firstLineChars="200"/>
        <w:rPr>
          <w:sz w:val="24"/>
          <w:lang w:val="zh-CN"/>
        </w:rPr>
      </w:pPr>
      <w:r>
        <w:rPr>
          <w:position w:val="-12"/>
          <w:sz w:val="24"/>
          <w:lang w:val="zh-CN"/>
        </w:rPr>
        <w:object>
          <v:shape id="_x0000_i1040" o:spt="75" type="#_x0000_t75" style="height:18.7pt;width:13.1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0" r:id="rId41">
            <o:LockedField>false</o:LockedField>
          </o:OLEObject>
        </w:object>
      </w:r>
      <w:r>
        <w:rPr>
          <w:sz w:val="24"/>
          <w:lang w:val="zh-CN"/>
        </w:rPr>
        <w:t>、</w:t>
      </w:r>
      <w:r>
        <w:rPr>
          <w:position w:val="-12"/>
          <w:sz w:val="24"/>
          <w:lang w:val="zh-CN"/>
        </w:rPr>
        <w:object>
          <v:shape id="_x0000_i1041" o:spt="75" type="#_x0000_t75" style="height:18.7pt;width:13.1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1" r:id="rId43">
            <o:LockedField>false</o:LockedField>
          </o:OLEObject>
        </w:object>
      </w:r>
      <w:r>
        <w:rPr>
          <w:sz w:val="24"/>
          <w:lang w:val="zh-CN"/>
        </w:rPr>
        <w:t>、</w:t>
      </w:r>
      <w:r>
        <w:rPr>
          <w:position w:val="-12"/>
          <w:sz w:val="24"/>
          <w:lang w:val="zh-CN"/>
        </w:rPr>
        <w:object>
          <v:shape id="_x0000_i1042" o:spt="75" type="#_x0000_t75" style="height:18.7pt;width:13.1pt;" o:ole="t" filled="f" o:preferrelative="t" stroked="f" coordsize="21600,21600">
            <v:path/>
            <v:fill on="f" focussize="0,0"/>
            <v:stroke on="f" joinstyle="miter"/>
            <v:imagedata r:id="rId46" o:title=""/>
            <o:lock v:ext="edit" aspectratio="t"/>
            <w10:wrap type="none"/>
            <w10:anchorlock/>
          </v:shape>
          <o:OLEObject Type="Embed" ProgID="Equation.DSMT4" ShapeID="_x0000_i1042" DrawAspect="Content" ObjectID="_1468075742" r:id="rId45">
            <o:LockedField>false</o:LockedField>
          </o:OLEObject>
        </w:object>
      </w:r>
      <w:r>
        <w:rPr>
          <w:sz w:val="24"/>
          <w:lang w:val="zh-CN"/>
        </w:rPr>
        <w:t>、</w:t>
      </w:r>
      <w:r>
        <w:rPr>
          <w:position w:val="-12"/>
          <w:sz w:val="24"/>
          <w:lang w:val="zh-CN"/>
        </w:rPr>
        <w:object>
          <v:shape id="_x0000_i1043" o:spt="75" type="#_x0000_t75" style="height:18.7pt;width:13.1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47">
            <o:LockedField>false</o:LockedField>
          </o:OLEObject>
        </w:object>
      </w:r>
      <w:r>
        <w:rPr>
          <w:sz w:val="24"/>
          <w:lang w:val="zh-CN"/>
        </w:rPr>
        <w:t>—被测正弦振动信号的2、3、4、5次谐波的幅值，g；</w:t>
      </w:r>
    </w:p>
    <w:p>
      <w:pPr>
        <w:tabs>
          <w:tab w:val="left" w:pos="142"/>
        </w:tabs>
        <w:autoSpaceDE w:val="0"/>
        <w:autoSpaceDN w:val="0"/>
        <w:adjustRightInd w:val="0"/>
        <w:spacing w:line="300" w:lineRule="auto"/>
        <w:ind w:firstLine="480" w:firstLineChars="200"/>
        <w:rPr>
          <w:sz w:val="24"/>
          <w:lang w:val="zh-CN"/>
        </w:rPr>
      </w:pPr>
      <w:r>
        <w:rPr>
          <w:position w:val="-12"/>
          <w:sz w:val="24"/>
          <w:lang w:val="zh-CN"/>
        </w:rPr>
        <w:object>
          <v:shape id="_x0000_i1044" o:spt="75" type="#_x0000_t75" style="height:18.7pt;width:9.35pt;" o:ole="t" filled="f" o:preferrelative="t" stroked="f" coordsize="21600,21600">
            <v:path/>
            <v:fill on="f" focussize="0,0"/>
            <v:stroke on="f" joinstyle="miter"/>
            <v:imagedata r:id="rId50" o:title=""/>
            <o:lock v:ext="edit" aspectratio="t"/>
            <w10:wrap type="none"/>
            <w10:anchorlock/>
          </v:shape>
          <o:OLEObject Type="Embed" ProgID="Equation.DSMT4" ShapeID="_x0000_i1044" DrawAspect="Content" ObjectID="_1468075744" r:id="rId49">
            <o:LockedField>false</o:LockedField>
          </o:OLEObject>
        </w:object>
      </w:r>
      <w:r>
        <w:rPr>
          <w:sz w:val="24"/>
          <w:lang w:val="zh-CN"/>
        </w:rPr>
        <w:t>—被测正弦振动信号的基波幅值，g。</w:t>
      </w:r>
    </w:p>
    <w:p>
      <w:pPr>
        <w:tabs>
          <w:tab w:val="left" w:pos="142"/>
        </w:tabs>
        <w:autoSpaceDE w:val="0"/>
        <w:autoSpaceDN w:val="0"/>
        <w:adjustRightInd w:val="0"/>
        <w:spacing w:line="300" w:lineRule="auto"/>
        <w:ind w:firstLine="480" w:firstLineChars="200"/>
        <w:rPr>
          <w:sz w:val="24"/>
          <w:lang w:val="zh-CN"/>
        </w:rPr>
      </w:pPr>
      <w:r>
        <w:rPr>
          <w:sz w:val="24"/>
          <w:lang w:val="zh-CN"/>
        </w:rPr>
        <w:t>选取失真度的最大值作为测量结果。</w:t>
      </w:r>
    </w:p>
    <w:p>
      <w:pPr>
        <w:tabs>
          <w:tab w:val="left" w:pos="638"/>
        </w:tabs>
        <w:spacing w:line="300" w:lineRule="auto"/>
        <w:rPr>
          <w:sz w:val="24"/>
          <w:szCs w:val="24"/>
        </w:rPr>
      </w:pPr>
      <w:r>
        <w:rPr>
          <w:sz w:val="24"/>
          <w:szCs w:val="24"/>
        </w:rPr>
        <w:t>7.2.7正弦振动试验时间示值误差的校准</w:t>
      </w:r>
    </w:p>
    <w:p>
      <w:pPr>
        <w:tabs>
          <w:tab w:val="left" w:pos="638"/>
        </w:tabs>
        <w:spacing w:line="300" w:lineRule="auto"/>
        <w:ind w:firstLine="480" w:firstLineChars="200"/>
      </w:pPr>
      <w:r>
        <w:rPr>
          <w:sz w:val="24"/>
          <w:szCs w:val="24"/>
        </w:rPr>
        <w:t>选取常用试验条件作为校准点（推荐选用10g60Hz），设定一定持续时间的振动试验并开始振动。记录完整振动过程，并读取振动试验时间，</w:t>
      </w:r>
      <w:r>
        <w:rPr>
          <w:sz w:val="24"/>
          <w:lang w:val="zh-CN"/>
        </w:rPr>
        <w:t>按照式（4）</w:t>
      </w:r>
      <w:r>
        <w:rPr>
          <w:sz w:val="24"/>
          <w:szCs w:val="24"/>
        </w:rPr>
        <w:t>计算正弦振动试验时间示值误差</w:t>
      </w:r>
      <w:r>
        <w:rPr>
          <w:position w:val="-10"/>
        </w:rPr>
        <w:object>
          <v:shape id="_x0000_i1045" o:spt="75" type="#_x0000_t75" style="height:15.9pt;width:13.1pt;" o:ole="t" filled="f" o:preferrelative="t" stroked="f" coordsize="21600,21600">
            <v:path/>
            <v:fill on="f" focussize="0,0"/>
            <v:stroke on="f" joinstyle="miter"/>
            <v:imagedata r:id="rId52" o:title=""/>
            <o:lock v:ext="edit" aspectratio="t"/>
            <w10:wrap type="none"/>
            <w10:anchorlock/>
          </v:shape>
          <o:OLEObject Type="Embed" ProgID="Equation.3" ShapeID="_x0000_i1045" DrawAspect="Content" ObjectID="_1468075745" r:id="rId51">
            <o:LockedField>false</o:LockedField>
          </o:OLEObject>
        </w:object>
      </w:r>
      <w:r>
        <w:t>。</w:t>
      </w:r>
    </w:p>
    <w:p>
      <w:pPr>
        <w:wordWrap w:val="0"/>
        <w:autoSpaceDE w:val="0"/>
        <w:autoSpaceDN w:val="0"/>
        <w:adjustRightInd w:val="0"/>
        <w:ind w:right="2"/>
        <w:jc w:val="right"/>
        <w:rPr>
          <w:sz w:val="24"/>
          <w:lang w:val="zh-CN"/>
        </w:rPr>
      </w:pPr>
      <w:r>
        <w:rPr>
          <w:position w:val="-28"/>
          <w:sz w:val="24"/>
          <w:lang w:val="zh-CN"/>
        </w:rPr>
        <w:object>
          <v:shape id="_x0000_i1046" o:spt="75" type="#_x0000_t75" style="height:29.9pt;width:86.95pt;" o:ole="t" filled="f" o:preferrelative="t" stroked="f" coordsize="21600,21600">
            <v:path/>
            <v:fill on="f" focussize="0,0"/>
            <v:stroke on="f" joinstyle="miter"/>
            <v:imagedata r:id="rId54" o:title=""/>
            <o:lock v:ext="edit" aspectratio="t"/>
            <w10:wrap type="none"/>
            <w10:anchorlock/>
          </v:shape>
          <o:OLEObject Type="Embed" ProgID="Equation.3" ShapeID="_x0000_i1046" DrawAspect="Content" ObjectID="_1468075746" r:id="rId53">
            <o:LockedField>false</o:LockedField>
          </o:OLEObject>
        </w:object>
      </w:r>
      <w:r>
        <w:rPr>
          <w:sz w:val="24"/>
          <w:lang w:val="zh-CN"/>
        </w:rPr>
        <w:t xml:space="preserve">                           （4）</w:t>
      </w:r>
    </w:p>
    <w:p>
      <w:pPr>
        <w:tabs>
          <w:tab w:val="left" w:pos="142"/>
        </w:tabs>
        <w:autoSpaceDE w:val="0"/>
        <w:autoSpaceDN w:val="0"/>
        <w:adjustRightInd w:val="0"/>
        <w:ind w:firstLine="480" w:firstLineChars="200"/>
        <w:rPr>
          <w:sz w:val="24"/>
          <w:lang w:val="zh-CN"/>
        </w:rPr>
      </w:pPr>
      <w:r>
        <w:rPr>
          <w:sz w:val="24"/>
          <w:lang w:val="zh-CN"/>
        </w:rPr>
        <w:t>式中：</w:t>
      </w:r>
    </w:p>
    <w:p>
      <w:pPr>
        <w:tabs>
          <w:tab w:val="left" w:pos="142"/>
        </w:tabs>
        <w:autoSpaceDE w:val="0"/>
        <w:autoSpaceDN w:val="0"/>
        <w:adjustRightInd w:val="0"/>
        <w:ind w:firstLine="480" w:firstLineChars="200"/>
        <w:rPr>
          <w:sz w:val="24"/>
          <w:lang w:val="zh-CN"/>
        </w:rPr>
      </w:pPr>
      <w:r>
        <w:rPr>
          <w:position w:val="-12"/>
          <w:sz w:val="24"/>
          <w:lang w:val="zh-CN"/>
        </w:rPr>
        <w:object>
          <v:shape id="_x0000_i1047" o:spt="75" type="#_x0000_t75" style="height:16.85pt;width:9.35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7" r:id="rId55">
            <o:LockedField>false</o:LockedField>
          </o:OLEObject>
        </w:object>
      </w:r>
      <w:r>
        <w:rPr>
          <w:sz w:val="24"/>
          <w:lang w:val="zh-CN"/>
        </w:rPr>
        <w:t>—振动试验时间的设定值，s；</w:t>
      </w:r>
    </w:p>
    <w:p>
      <w:pPr>
        <w:tabs>
          <w:tab w:val="left" w:pos="142"/>
        </w:tabs>
        <w:autoSpaceDE w:val="0"/>
        <w:autoSpaceDN w:val="0"/>
        <w:adjustRightInd w:val="0"/>
        <w:ind w:firstLine="480" w:firstLineChars="200"/>
        <w:rPr>
          <w:sz w:val="24"/>
          <w:lang w:val="zh-CN"/>
        </w:rPr>
      </w:pPr>
      <w:r>
        <w:rPr>
          <w:position w:val="-12"/>
          <w:sz w:val="24"/>
          <w:lang w:val="zh-CN"/>
        </w:rPr>
        <w:object>
          <v:shape id="_x0000_i1048" o:spt="75" type="#_x0000_t75" style="height:16.85pt;width:13.1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57">
            <o:LockedField>false</o:LockedField>
          </o:OLEObject>
        </w:object>
      </w:r>
      <w:r>
        <w:rPr>
          <w:sz w:val="24"/>
          <w:lang w:val="zh-CN"/>
        </w:rPr>
        <w:t>—实际测量得到的振动试验时间，s。</w:t>
      </w:r>
    </w:p>
    <w:p>
      <w:pPr>
        <w:tabs>
          <w:tab w:val="left" w:pos="142"/>
        </w:tabs>
        <w:autoSpaceDE w:val="0"/>
        <w:autoSpaceDN w:val="0"/>
        <w:adjustRightInd w:val="0"/>
        <w:spacing w:line="300" w:lineRule="auto"/>
        <w:ind w:firstLine="480" w:firstLineChars="200"/>
        <w:rPr>
          <w:sz w:val="24"/>
          <w:lang w:val="zh-CN"/>
        </w:rPr>
      </w:pPr>
      <w:r>
        <w:rPr>
          <w:sz w:val="24"/>
          <w:lang w:val="zh-CN"/>
        </w:rPr>
        <w:t>选取示值误差的最大值作为测量结果。</w:t>
      </w:r>
    </w:p>
    <w:p>
      <w:pPr>
        <w:tabs>
          <w:tab w:val="left" w:pos="142"/>
        </w:tabs>
        <w:autoSpaceDE w:val="0"/>
        <w:autoSpaceDN w:val="0"/>
        <w:adjustRightInd w:val="0"/>
        <w:rPr>
          <w:lang w:val="zh-CN"/>
        </w:rPr>
      </w:pPr>
      <w:r>
        <w:rPr>
          <w:lang w:val="zh-CN"/>
        </w:rPr>
        <w:t xml:space="preserve">    注：振动试验时间实际测量时，时间起始点和终止点处振动加速度幅值应不低于振动加速度峰值的10%。</w:t>
      </w:r>
    </w:p>
    <w:p>
      <w:pPr>
        <w:tabs>
          <w:tab w:val="left" w:pos="638"/>
          <w:tab w:val="left" w:pos="993"/>
        </w:tabs>
        <w:spacing w:line="300" w:lineRule="auto"/>
        <w:rPr>
          <w:sz w:val="24"/>
          <w:szCs w:val="24"/>
        </w:rPr>
      </w:pPr>
      <w:bookmarkStart w:id="33" w:name="_Hlk132241067"/>
      <w:r>
        <w:rPr>
          <w:sz w:val="24"/>
          <w:szCs w:val="24"/>
        </w:rPr>
        <w:t>7.2.8</w:t>
      </w:r>
      <w:bookmarkEnd w:id="33"/>
      <w:r>
        <w:rPr>
          <w:sz w:val="24"/>
          <w:szCs w:val="24"/>
        </w:rPr>
        <w:t xml:space="preserve"> 冲击加速度峰值示值误差</w:t>
      </w:r>
    </w:p>
    <w:p>
      <w:pPr>
        <w:tabs>
          <w:tab w:val="left" w:pos="142"/>
        </w:tabs>
        <w:autoSpaceDE w:val="0"/>
        <w:autoSpaceDN w:val="0"/>
        <w:adjustRightInd w:val="0"/>
        <w:spacing w:line="300" w:lineRule="auto"/>
        <w:ind w:firstLine="480" w:firstLineChars="200"/>
        <w:rPr>
          <w:sz w:val="24"/>
          <w:lang w:val="zh-CN"/>
        </w:rPr>
      </w:pPr>
      <w:r>
        <w:rPr>
          <w:sz w:val="24"/>
          <w:szCs w:val="24"/>
        </w:rPr>
        <w:t>设定冲击试验并开始连续冲击10次。分别记录每次</w:t>
      </w:r>
      <w:r>
        <w:rPr>
          <w:sz w:val="24"/>
          <w:lang w:val="zh-CN"/>
        </w:rPr>
        <w:t>测量得到的冲击加速度峰值和PIND显示的冲击加速度峰值，按照式（1）计算每次冲击</w:t>
      </w:r>
      <w:r>
        <w:rPr>
          <w:sz w:val="24"/>
        </w:rPr>
        <w:t>加速度</w:t>
      </w:r>
      <w:r>
        <w:rPr>
          <w:sz w:val="24"/>
          <w:lang w:val="zh-CN"/>
        </w:rPr>
        <w:t>峰值的示值误差</w:t>
      </w:r>
      <w:r>
        <w:rPr>
          <w:position w:val="-10"/>
        </w:rPr>
        <w:object>
          <v:shape id="_x0000_i1049" o:spt="75" type="#_x0000_t75" style="height:15.9pt;width:15.9pt;" o:ole="t" filled="f" o:preferrelative="t" stroked="f" coordsize="21600,21600">
            <v:path/>
            <v:fill on="f" focussize="0,0"/>
            <v:stroke on="f" joinstyle="miter"/>
            <v:imagedata r:id="rId16" o:title=""/>
            <o:lock v:ext="edit" aspectratio="t"/>
            <w10:wrap type="none"/>
            <w10:anchorlock/>
          </v:shape>
          <o:OLEObject Type="Embed" ProgID="Equation.3" ShapeID="_x0000_i1049" DrawAspect="Content" ObjectID="_1468075749" r:id="rId59">
            <o:LockedField>false</o:LockedField>
          </o:OLEObject>
        </w:object>
      </w:r>
      <w:r>
        <w:rPr>
          <w:sz w:val="24"/>
          <w:lang w:val="zh-CN"/>
        </w:rPr>
        <w:t>。选取示值误差的最大值作为测量结果。</w:t>
      </w:r>
    </w:p>
    <w:p>
      <w:pPr>
        <w:spacing w:line="300" w:lineRule="auto"/>
        <w:rPr>
          <w:sz w:val="24"/>
          <w:szCs w:val="24"/>
        </w:rPr>
      </w:pPr>
      <w:r>
        <w:rPr>
          <w:sz w:val="24"/>
          <w:szCs w:val="24"/>
        </w:rPr>
        <w:t>7.2.9 冲击持续时间</w:t>
      </w:r>
    </w:p>
    <w:p>
      <w:pPr>
        <w:spacing w:line="300" w:lineRule="auto"/>
        <w:ind w:left="-21" w:leftChars="-10" w:firstLine="480" w:firstLineChars="200"/>
        <w:rPr>
          <w:sz w:val="24"/>
          <w:szCs w:val="24"/>
        </w:rPr>
      </w:pPr>
      <w:r>
        <w:rPr>
          <w:sz w:val="24"/>
          <w:szCs w:val="24"/>
        </w:rPr>
        <w:t>设定冲击试验并开始冲击。记录每次测量得到的冲击加速度幅值在</w:t>
      </w:r>
      <w:r>
        <w:rPr>
          <w:rFonts w:hint="eastAsia"/>
          <w:sz w:val="24"/>
          <w:szCs w:val="24"/>
        </w:rPr>
        <w:t>50%±5%处的脉冲</w:t>
      </w:r>
      <w:r>
        <w:rPr>
          <w:sz w:val="24"/>
          <w:szCs w:val="24"/>
        </w:rPr>
        <w:t>持续时间。</w:t>
      </w:r>
    </w:p>
    <w:p>
      <w:pPr>
        <w:spacing w:line="300" w:lineRule="auto"/>
        <w:rPr>
          <w:sz w:val="24"/>
          <w:szCs w:val="24"/>
        </w:rPr>
      </w:pPr>
      <w:r>
        <w:rPr>
          <w:sz w:val="24"/>
          <w:szCs w:val="24"/>
        </w:rPr>
        <w:t>7.2.10 冲击加速度峰值重复性</w:t>
      </w:r>
    </w:p>
    <w:p>
      <w:pPr>
        <w:spacing w:line="300" w:lineRule="auto"/>
        <w:ind w:firstLine="480" w:firstLineChars="200"/>
        <w:rPr>
          <w:sz w:val="24"/>
        </w:rPr>
      </w:pPr>
      <w:r>
        <w:rPr>
          <w:sz w:val="24"/>
          <w:szCs w:val="24"/>
        </w:rPr>
        <w:t>将7.2.8中</w:t>
      </w:r>
      <w:r>
        <w:rPr>
          <w:sz w:val="24"/>
        </w:rPr>
        <w:t>记录的10次冲击加速度峰值的测量值按照式（5）、式（6）和式（7）进行重复性</w:t>
      </w:r>
      <w:r>
        <w:rPr>
          <w:position w:val="-10"/>
          <w:sz w:val="24"/>
        </w:rPr>
        <w:object>
          <v:shape id="_x0000_i1050" o:spt="75" type="#_x0000_t75" style="height:15.9pt;width:13.1pt;" o:ole="t" filled="f" o:preferrelative="t" stroked="f" coordsize="21600,21600">
            <v:path/>
            <v:fill on="f" focussize="0,0"/>
            <v:stroke on="f" joinstyle="miter"/>
            <v:imagedata r:id="rId61" o:title=""/>
            <o:lock v:ext="edit" aspectratio="t"/>
            <w10:wrap type="none"/>
            <w10:anchorlock/>
          </v:shape>
          <o:OLEObject Type="Embed" ProgID="Equation.3" ShapeID="_x0000_i1050" DrawAspect="Content" ObjectID="_1468075750" r:id="rId60">
            <o:LockedField>false</o:LockedField>
          </o:OLEObject>
        </w:object>
      </w:r>
      <w:r>
        <w:rPr>
          <w:sz w:val="24"/>
        </w:rPr>
        <w:t>的计算。</w:t>
      </w:r>
    </w:p>
    <w:p>
      <w:pPr>
        <w:wordWrap w:val="0"/>
        <w:spacing w:line="300" w:lineRule="auto"/>
        <w:ind w:firstLine="420" w:firstLineChars="200"/>
        <w:jc w:val="right"/>
      </w:pPr>
      <w:r>
        <w:rPr>
          <w:position w:val="-28"/>
        </w:rPr>
        <w:object>
          <v:shape id="_x0000_i1051" o:spt="75" type="#_x0000_t75" style="height:33.65pt;width:55.15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r>
        <w:rPr>
          <w:position w:val="-28"/>
        </w:rPr>
        <w:t xml:space="preserve">                                        </w:t>
      </w:r>
      <w:r>
        <w:rPr>
          <w:sz w:val="24"/>
          <w:szCs w:val="24"/>
        </w:rPr>
        <w:t>（5）</w:t>
      </w:r>
    </w:p>
    <w:p>
      <w:pPr>
        <w:wordWrap w:val="0"/>
        <w:spacing w:line="300" w:lineRule="auto"/>
        <w:ind w:firstLine="420" w:firstLineChars="200"/>
        <w:jc w:val="right"/>
      </w:pPr>
      <w:r>
        <w:t xml:space="preserve"> </w:t>
      </w:r>
      <w:r>
        <w:rPr>
          <w:position w:val="-24"/>
        </w:rPr>
        <w:object>
          <v:shape id="_x0000_i1052" o:spt="75" type="#_x0000_t75" style="height:51.45pt;width:85.1pt;" o:ole="t" fillcolor="#FFFFFF" filled="f" o:preferrelative="t" stroked="f" coordsize="21600,21600">
            <v:path/>
            <v:fill on="f" focussize="0,0"/>
            <v:stroke on="f" joinstyle="miter"/>
            <v:imagedata r:id="rId65" o:title=""/>
            <o:lock v:ext="edit" aspectratio="t"/>
            <w10:wrap type="none"/>
            <w10:anchorlock/>
          </v:shape>
          <o:OLEObject Type="Embed" ProgID="Equation.3" ShapeID="_x0000_i1052" DrawAspect="Content" ObjectID="_1468075752" r:id="rId64">
            <o:LockedField>false</o:LockedField>
          </o:OLEObject>
        </w:object>
      </w:r>
      <w:r>
        <w:rPr>
          <w:position w:val="-24"/>
        </w:rPr>
        <w:t xml:space="preserve">                                  </w:t>
      </w:r>
      <w:r>
        <w:rPr>
          <w:sz w:val="24"/>
          <w:szCs w:val="24"/>
        </w:rPr>
        <w:t xml:space="preserve"> （6）</w:t>
      </w:r>
    </w:p>
    <w:p>
      <w:pPr>
        <w:wordWrap w:val="0"/>
        <w:spacing w:line="300" w:lineRule="auto"/>
        <w:ind w:firstLine="420" w:firstLineChars="200"/>
        <w:jc w:val="right"/>
      </w:pPr>
      <w:r>
        <w:rPr>
          <w:position w:val="-24"/>
        </w:rPr>
        <w:object>
          <v:shape id="_x0000_i1053" o:spt="75" type="#_x0000_t75" style="height:30.85pt;width:76.7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sz w:val="24"/>
          <w:szCs w:val="24"/>
        </w:rPr>
        <w:t xml:space="preserve">                                （7）</w:t>
      </w:r>
    </w:p>
    <w:p>
      <w:pPr>
        <w:spacing w:line="300" w:lineRule="auto"/>
        <w:ind w:firstLine="480" w:firstLineChars="200"/>
        <w:rPr>
          <w:sz w:val="24"/>
        </w:rPr>
      </w:pPr>
      <w:r>
        <w:rPr>
          <w:sz w:val="24"/>
        </w:rPr>
        <w:t>式中：</w:t>
      </w:r>
    </w:p>
    <w:p>
      <w:pPr>
        <w:spacing w:line="300" w:lineRule="auto"/>
        <w:ind w:firstLine="420" w:firstLineChars="200"/>
        <w:rPr>
          <w:sz w:val="24"/>
        </w:rPr>
      </w:pPr>
      <w:r>
        <w:rPr>
          <w:position w:val="-12"/>
        </w:rPr>
        <w:object>
          <v:shape id="_x0000_i1054" o:spt="75" type="#_x0000_t75" style="height:16.85pt;width:13.1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t>——</w:t>
      </w:r>
      <w:r>
        <w:rPr>
          <w:sz w:val="24"/>
        </w:rPr>
        <w:t>各次测量值</w:t>
      </w:r>
      <w:r>
        <w:t>，g</w:t>
      </w:r>
      <w:r>
        <w:rPr>
          <w:sz w:val="24"/>
        </w:rPr>
        <w:t>；</w:t>
      </w:r>
    </w:p>
    <w:p>
      <w:pPr>
        <w:spacing w:line="300" w:lineRule="auto"/>
        <w:ind w:firstLine="420" w:firstLineChars="200"/>
        <w:rPr>
          <w:sz w:val="24"/>
        </w:rPr>
      </w:pPr>
      <w:r>
        <w:rPr>
          <w:position w:val="-6"/>
        </w:rPr>
        <w:object>
          <v:shape id="_x0000_i1055" o:spt="75" type="#_x0000_t75" style="height:13.1pt;width:9.35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t>——</w:t>
      </w:r>
      <w:r>
        <w:rPr>
          <w:sz w:val="24"/>
        </w:rPr>
        <w:t>各次测量的平均值</w:t>
      </w:r>
      <w:r>
        <w:t>，g；</w:t>
      </w:r>
    </w:p>
    <w:p>
      <w:pPr>
        <w:spacing w:line="300" w:lineRule="auto"/>
        <w:ind w:firstLine="420" w:firstLineChars="200"/>
        <w:rPr>
          <w:sz w:val="24"/>
        </w:rPr>
      </w:pPr>
      <w:r>
        <w:rPr>
          <w:position w:val="-10"/>
        </w:rPr>
        <w:object>
          <v:shape id="_x0000_i1056" o:spt="75" type="#_x0000_t75" style="height:15.9pt;width:13.1pt;" o:ole="t" filled="f" o:preferrelative="t" stroked="f" coordsize="21600,21600">
            <v:path/>
            <v:fill on="f" focussize="0,0"/>
            <v:stroke on="f" joinstyle="miter"/>
            <v:imagedata r:id="rId73" o:title=""/>
            <o:lock v:ext="edit" aspectratio="t"/>
            <w10:wrap type="none"/>
            <w10:anchorlock/>
          </v:shape>
          <o:OLEObject Type="Embed" ProgID="Equation.3" ShapeID="_x0000_i1056" DrawAspect="Content" ObjectID="_1468075756" r:id="rId72">
            <o:LockedField>false</o:LockedField>
          </o:OLEObject>
        </w:object>
      </w:r>
      <w:r>
        <w:t>——</w:t>
      </w:r>
      <w:r>
        <w:rPr>
          <w:sz w:val="24"/>
        </w:rPr>
        <w:t>各次测量的实验室标准偏差</w:t>
      </w:r>
      <w:r>
        <w:t>，g；</w:t>
      </w:r>
    </w:p>
    <w:p>
      <w:pPr>
        <w:spacing w:line="300" w:lineRule="auto"/>
        <w:ind w:firstLine="480" w:firstLineChars="200"/>
        <w:rPr>
          <w:sz w:val="24"/>
        </w:rPr>
      </w:pPr>
      <w:r>
        <w:rPr>
          <w:position w:val="-6"/>
          <w:sz w:val="24"/>
        </w:rPr>
        <w:object>
          <v:shape id="_x0000_i1057" o:spt="75" type="#_x0000_t75" style="height:11.2pt;width:9.35pt;" o:ole="t" filled="f" o:preferrelative="t" stroked="f" coordsize="21600,21600">
            <v:path/>
            <v:fill on="f" focussize="0,0"/>
            <v:stroke on="f" joinstyle="miter"/>
            <v:imagedata r:id="rId75" o:title=""/>
            <o:lock v:ext="edit" aspectratio="t"/>
            <w10:wrap type="none"/>
            <w10:anchorlock/>
          </v:shape>
          <o:OLEObject Type="Embed" ProgID="Equation.3" ShapeID="_x0000_i1057" DrawAspect="Content" ObjectID="_1468075757" r:id="rId74">
            <o:LockedField>false</o:LockedField>
          </o:OLEObject>
        </w:object>
      </w:r>
      <w:r>
        <w:rPr>
          <w:sz w:val="24"/>
        </w:rPr>
        <w:t>——测量次数。</w:t>
      </w:r>
    </w:p>
    <w:p>
      <w:pPr>
        <w:spacing w:line="300" w:lineRule="auto"/>
        <w:rPr>
          <w:sz w:val="24"/>
          <w:szCs w:val="24"/>
        </w:rPr>
      </w:pPr>
      <w:r>
        <w:rPr>
          <w:sz w:val="24"/>
          <w:szCs w:val="24"/>
        </w:rPr>
        <w:t>7.2.11 PIND换能器声压灵敏度级的校准</w:t>
      </w:r>
    </w:p>
    <w:p>
      <w:pPr>
        <w:pStyle w:val="10"/>
        <w:spacing w:line="300" w:lineRule="auto"/>
        <w:jc w:val="center"/>
        <w:rPr>
          <w:rFonts w:ascii="Times New Roman" w:hAnsi="Times New Roman"/>
        </w:rPr>
      </w:pPr>
      <w:r>
        <w:object>
          <v:shape id="_x0000_i1058" o:spt="75" type="#_x0000_t75" style="height:92.55pt;width:181.4pt;" o:ole="t" filled="f" o:preferrelative="t" stroked="f" coordsize="21600,21600">
            <v:path/>
            <v:fill on="f" focussize="0,0"/>
            <v:stroke on="f" joinstyle="miter"/>
            <v:imagedata r:id="rId77" o:title=""/>
            <o:lock v:ext="edit" aspectratio="t"/>
            <w10:wrap type="none"/>
            <w10:anchorlock/>
          </v:shape>
          <o:OLEObject Type="Embed" ProgID="Visio.Drawing.15" ShapeID="_x0000_i1058" DrawAspect="Content" ObjectID="_1468075758" r:id="rId76">
            <o:LockedField>false</o:LockedField>
          </o:OLEObject>
        </w:object>
      </w:r>
    </w:p>
    <w:p>
      <w:pPr>
        <w:spacing w:line="300" w:lineRule="auto"/>
        <w:ind w:left="819" w:leftChars="390" w:firstLine="2400" w:firstLineChars="1200"/>
        <w:rPr>
          <w:sz w:val="24"/>
          <w:szCs w:val="24"/>
        </w:rPr>
      </w:pPr>
      <w:r>
        <w:rPr>
          <w:rFonts w:eastAsia="黑体"/>
          <w:kern w:val="0"/>
          <w:sz w:val="20"/>
          <w:szCs w:val="20"/>
          <w:lang w:val="zh-CN"/>
        </w:rPr>
        <w:t>1—发射换能器      2—待测传感器</w:t>
      </w:r>
    </w:p>
    <w:p>
      <w:pPr>
        <w:pStyle w:val="10"/>
        <w:spacing w:line="300" w:lineRule="auto"/>
        <w:jc w:val="center"/>
        <w:rPr>
          <w:rFonts w:ascii="Times New Roman" w:hAnsi="Times New Roman"/>
          <w:sz w:val="24"/>
          <w:szCs w:val="24"/>
        </w:rPr>
      </w:pPr>
      <w:r>
        <w:rPr>
          <w:rFonts w:ascii="Times New Roman" w:hAnsi="Times New Roman"/>
          <w:sz w:val="24"/>
          <w:szCs w:val="24"/>
        </w:rPr>
        <w:t>图2  PIND换能器声压灵敏度级校准系统图（截面图）</w:t>
      </w:r>
    </w:p>
    <w:p>
      <w:pPr>
        <w:autoSpaceDE w:val="0"/>
        <w:autoSpaceDN w:val="0"/>
        <w:adjustRightInd w:val="0"/>
        <w:spacing w:line="300" w:lineRule="auto"/>
        <w:ind w:right="-29" w:rightChars="-14" w:firstLine="480" w:firstLineChars="200"/>
        <w:rPr>
          <w:sz w:val="24"/>
          <w:szCs w:val="24"/>
        </w:rPr>
      </w:pPr>
      <w:r>
        <w:rPr>
          <w:sz w:val="24"/>
          <w:szCs w:val="24"/>
        </w:rPr>
        <w:t>PIND换能器声压灵敏度级校准方法如图2所示，发射换能器谐振频率不低于1MHz。发射换能器与待测传感器之间使用适当的耦合剂并在发射换能器端面放置砝码，</w:t>
      </w:r>
      <w:r>
        <w:rPr>
          <w:rFonts w:hint="eastAsia"/>
          <w:sz w:val="24"/>
          <w:szCs w:val="24"/>
        </w:rPr>
        <w:t>砝码重量不超过2kg，一般以1kg为宜，静置时间不低于5分钟，以</w:t>
      </w:r>
      <w:r>
        <w:rPr>
          <w:sz w:val="24"/>
          <w:szCs w:val="24"/>
        </w:rPr>
        <w:t>保证耦合</w:t>
      </w:r>
      <w:r>
        <w:rPr>
          <w:rFonts w:hint="eastAsia"/>
          <w:sz w:val="24"/>
          <w:szCs w:val="24"/>
        </w:rPr>
        <w:t>剂与</w:t>
      </w:r>
      <w:r>
        <w:rPr>
          <w:sz w:val="24"/>
          <w:szCs w:val="24"/>
        </w:rPr>
        <w:t>发射换能器</w:t>
      </w:r>
      <w:r>
        <w:rPr>
          <w:rFonts w:hint="eastAsia"/>
          <w:sz w:val="24"/>
          <w:szCs w:val="24"/>
        </w:rPr>
        <w:t>以及</w:t>
      </w:r>
      <w:r>
        <w:rPr>
          <w:sz w:val="24"/>
          <w:szCs w:val="24"/>
        </w:rPr>
        <w:t>待测传感器</w:t>
      </w:r>
      <w:r>
        <w:rPr>
          <w:rFonts w:hint="eastAsia"/>
          <w:sz w:val="24"/>
          <w:szCs w:val="24"/>
        </w:rPr>
        <w:t>充分均匀接触。移除砝码后，</w:t>
      </w:r>
      <w:r>
        <w:rPr>
          <w:sz w:val="24"/>
          <w:szCs w:val="24"/>
        </w:rPr>
        <w:t>通过脉冲信号源对发射换能器施加不同频率的激励电压，发射换能器发出压力为</w:t>
      </w:r>
      <w:r>
        <w:rPr>
          <w:position w:val="-12"/>
        </w:rPr>
        <w:object>
          <v:shape id="_x0000_i1059" o:spt="75" type="#_x0000_t75" style="height:18.7pt;width:33.65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59" r:id="rId78">
            <o:LockedField>false</o:LockedField>
          </o:OLEObject>
        </w:object>
      </w:r>
      <w:r>
        <w:rPr>
          <w:sz w:val="24"/>
          <w:szCs w:val="24"/>
        </w:rPr>
        <w:t>的声信号，记录此时待测传感器的电压幅值响应</w:t>
      </w:r>
      <w:r>
        <w:rPr>
          <w:position w:val="-14"/>
          <w:sz w:val="24"/>
          <w:szCs w:val="24"/>
        </w:rPr>
        <w:object>
          <v:shape id="_x0000_i1060" o:spt="75" type="#_x0000_t75" style="height:19.65pt;width:37.4pt;" o:ole="t" filled="f" o:preferrelative="t" stroked="f" coordsize="21600,21600">
            <v:path/>
            <v:fill on="f" focussize="0,0"/>
            <v:stroke on="f" joinstyle="miter"/>
            <v:imagedata r:id="rId81" o:title=""/>
            <o:lock v:ext="edit" aspectratio="t"/>
            <w10:wrap type="none"/>
            <w10:anchorlock/>
          </v:shape>
          <o:OLEObject Type="Embed" ProgID="Equation.DSMT4" ShapeID="_x0000_i1060" DrawAspect="Content" ObjectID="_1468075760" r:id="rId80">
            <o:LockedField>false</o:LockedField>
          </o:OLEObject>
        </w:object>
      </w:r>
      <w:r>
        <w:rPr>
          <w:rFonts w:hint="eastAsia"/>
          <w:sz w:val="24"/>
          <w:szCs w:val="24"/>
        </w:rPr>
        <w:t>，</w:t>
      </w:r>
      <w:r>
        <w:rPr>
          <w:sz w:val="24"/>
          <w:szCs w:val="24"/>
        </w:rPr>
        <w:t>则待测传感器频率为</w:t>
      </w:r>
      <w:r>
        <w:rPr>
          <w:position w:val="-12"/>
          <w:sz w:val="24"/>
          <w:szCs w:val="24"/>
        </w:rPr>
        <w:object>
          <v:shape id="_x0000_i1061" o:spt="75" type="#_x0000_t75" style="height:16.85pt;width:15.9pt;" o:ole="t" filled="f" o:preferrelative="t" stroked="f" coordsize="21600,21600">
            <v:path/>
            <v:fill on="f" focussize="0,0"/>
            <v:stroke on="f" joinstyle="miter"/>
            <v:imagedata r:id="rId83" o:title=""/>
            <o:lock v:ext="edit" aspectratio="t"/>
            <w10:wrap type="none"/>
            <w10:anchorlock/>
          </v:shape>
          <o:OLEObject Type="Embed" ProgID="Equation.DSMT4" ShapeID="_x0000_i1061" DrawAspect="Content" ObjectID="_1468075761" r:id="rId82">
            <o:LockedField>false</o:LockedField>
          </o:OLEObject>
        </w:object>
      </w:r>
      <w:r>
        <w:rPr>
          <w:sz w:val="24"/>
          <w:szCs w:val="24"/>
        </w:rPr>
        <w:t>时的声压灵敏度由公式（8）计算得到：</w:t>
      </w:r>
    </w:p>
    <w:p>
      <w:pPr>
        <w:autoSpaceDE w:val="0"/>
        <w:autoSpaceDN w:val="0"/>
        <w:adjustRightInd w:val="0"/>
        <w:spacing w:line="300" w:lineRule="auto"/>
        <w:ind w:right="-29" w:rightChars="-14" w:firstLine="420" w:firstLineChars="200"/>
        <w:jc w:val="right"/>
        <w:rPr>
          <w:sz w:val="24"/>
          <w:szCs w:val="24"/>
        </w:rPr>
      </w:pPr>
      <w:r>
        <w:rPr>
          <w:position w:val="-32"/>
        </w:rPr>
        <w:object>
          <v:shape id="_x0000_i1062" o:spt="75" type="#_x0000_t75" style="height:37.4pt;width:81.35pt;" o:ole="t" filled="f" o:preferrelative="t" stroked="f" coordsize="21600,21600">
            <v:path/>
            <v:fill on="f" focussize="0,0"/>
            <v:stroke on="f" joinstyle="miter"/>
            <v:imagedata r:id="rId85" o:title=""/>
            <o:lock v:ext="edit" aspectratio="t"/>
            <w10:wrap type="none"/>
            <w10:anchorlock/>
          </v:shape>
          <o:OLEObject Type="Embed" ProgID="Equation.DSMT4" ShapeID="_x0000_i1062" DrawAspect="Content" ObjectID="_1468075762" r:id="rId84">
            <o:LockedField>false</o:LockedField>
          </o:OLEObject>
        </w:object>
      </w:r>
      <w:r>
        <w:rPr>
          <w:sz w:val="24"/>
          <w:szCs w:val="24"/>
        </w:rPr>
        <w:t xml:space="preserve">                            （8）</w:t>
      </w:r>
    </w:p>
    <w:p>
      <w:pPr>
        <w:autoSpaceDE w:val="0"/>
        <w:autoSpaceDN w:val="0"/>
        <w:adjustRightInd w:val="0"/>
        <w:spacing w:line="300" w:lineRule="auto"/>
        <w:ind w:right="-29" w:rightChars="-14" w:firstLine="480" w:firstLineChars="200"/>
        <w:rPr>
          <w:sz w:val="24"/>
          <w:szCs w:val="24"/>
        </w:rPr>
      </w:pPr>
      <w:r>
        <w:rPr>
          <w:sz w:val="24"/>
          <w:szCs w:val="24"/>
        </w:rPr>
        <w:t>式中：</w:t>
      </w:r>
    </w:p>
    <w:p>
      <w:pPr>
        <w:autoSpaceDE w:val="0"/>
        <w:autoSpaceDN w:val="0"/>
        <w:adjustRightInd w:val="0"/>
        <w:spacing w:line="300" w:lineRule="auto"/>
        <w:ind w:right="-29" w:rightChars="-14" w:firstLine="480" w:firstLineChars="200"/>
        <w:textAlignment w:val="center"/>
        <w:rPr>
          <w:sz w:val="24"/>
          <w:szCs w:val="24"/>
        </w:rPr>
      </w:pPr>
      <w:r>
        <w:rPr>
          <w:position w:val="-10"/>
          <w:sz w:val="24"/>
          <w:szCs w:val="24"/>
        </w:rPr>
        <w:object>
          <v:shape id="_x0000_i1063" o:spt="75" type="#_x0000_t75" style="height:19.65pt;width:34.6pt;" o:ole="t" filled="f" o:preferrelative="t" stroked="f" coordsize="21600,21600">
            <v:path/>
            <v:fill on="f" focussize="0,0"/>
            <v:stroke on="f" joinstyle="miter"/>
            <v:imagedata r:id="rId87" o:title=""/>
            <o:lock v:ext="edit" aspectratio="t"/>
            <w10:wrap type="none"/>
            <w10:anchorlock/>
          </v:shape>
          <o:OLEObject Type="Embed" ProgID="Equation.DSMT4" ShapeID="_x0000_i1063" DrawAspect="Content" ObjectID="_1468075763" r:id="rId86">
            <o:LockedField>false</o:LockedField>
          </o:OLEObject>
        </w:object>
      </w:r>
      <w:r>
        <w:rPr>
          <w:sz w:val="24"/>
          <w:szCs w:val="24"/>
        </w:rPr>
        <w:t>——待测传感器在频率为</w:t>
      </w:r>
      <w:r>
        <w:rPr>
          <w:position w:val="-10"/>
          <w:sz w:val="24"/>
          <w:szCs w:val="24"/>
        </w:rPr>
        <w:object>
          <v:shape id="_x0000_i1064" o:spt="75" type="#_x0000_t75" style="height:15.9pt;width:15.9pt;" o:ole="t" filled="f" o:preferrelative="t" stroked="f" coordsize="21600,21600">
            <v:path/>
            <v:fill on="f" focussize="0,0"/>
            <v:stroke on="f" joinstyle="miter"/>
            <v:imagedata r:id="rId89" o:title=""/>
            <o:lock v:ext="edit" aspectratio="t"/>
            <w10:wrap type="none"/>
            <w10:anchorlock/>
          </v:shape>
          <o:OLEObject Type="Embed" ProgID="Equation.3" ShapeID="_x0000_i1064" DrawAspect="Content" ObjectID="_1468075764" r:id="rId88">
            <o:LockedField>false</o:LockedField>
          </o:OLEObject>
        </w:object>
      </w:r>
      <w:r>
        <w:rPr>
          <w:sz w:val="24"/>
          <w:szCs w:val="24"/>
        </w:rPr>
        <w:t>时的声压灵敏度，V/µbar；</w:t>
      </w:r>
    </w:p>
    <w:p>
      <w:pPr>
        <w:autoSpaceDE w:val="0"/>
        <w:autoSpaceDN w:val="0"/>
        <w:adjustRightInd w:val="0"/>
        <w:spacing w:line="300" w:lineRule="auto"/>
        <w:ind w:right="-29" w:rightChars="-14" w:firstLine="480" w:firstLineChars="200"/>
        <w:textAlignment w:val="center"/>
        <w:rPr>
          <w:sz w:val="24"/>
          <w:szCs w:val="24"/>
        </w:rPr>
      </w:pPr>
      <w:r>
        <w:rPr>
          <w:position w:val="-10"/>
          <w:sz w:val="24"/>
          <w:szCs w:val="24"/>
        </w:rPr>
        <w:object>
          <v:shape id="_x0000_i1065" o:spt="75" type="#_x0000_t75" style="height:19.65pt;width:37.4pt;" o:ole="t" filled="f" o:preferrelative="t" stroked="f" coordsize="21600,21600">
            <v:path/>
            <v:fill on="f" focussize="0,0"/>
            <v:stroke on="f" joinstyle="miter"/>
            <v:imagedata r:id="rId91" o:title=""/>
            <o:lock v:ext="edit" aspectratio="t"/>
            <w10:wrap type="none"/>
            <w10:anchorlock/>
          </v:shape>
          <o:OLEObject Type="Embed" ProgID="Equation.DSMT4" ShapeID="_x0000_i1065" DrawAspect="Content" ObjectID="_1468075765" r:id="rId90">
            <o:LockedField>false</o:LockedField>
          </o:OLEObject>
        </w:object>
      </w:r>
      <w:r>
        <w:rPr>
          <w:sz w:val="24"/>
          <w:szCs w:val="24"/>
        </w:rPr>
        <w:t>——待测传感器在频率为</w:t>
      </w:r>
      <w:r>
        <w:rPr>
          <w:position w:val="-10"/>
          <w:sz w:val="24"/>
          <w:szCs w:val="24"/>
        </w:rPr>
        <w:object>
          <v:shape id="_x0000_i1066" o:spt="75" type="#_x0000_t75" style="height:15.9pt;width:15.9pt;" o:ole="t" filled="f" o:preferrelative="t" stroked="f" coordsize="21600,21600">
            <v:path/>
            <v:fill on="f" focussize="0,0"/>
            <v:stroke on="f" joinstyle="miter"/>
            <v:imagedata r:id="rId89" o:title=""/>
            <o:lock v:ext="edit" aspectratio="t"/>
            <w10:wrap type="none"/>
            <w10:anchorlock/>
          </v:shape>
          <o:OLEObject Type="Embed" ProgID="Equation.3" ShapeID="_x0000_i1066" DrawAspect="Content" ObjectID="_1468075766" r:id="rId92">
            <o:LockedField>false</o:LockedField>
          </o:OLEObject>
        </w:object>
      </w:r>
      <w:r>
        <w:rPr>
          <w:sz w:val="24"/>
          <w:szCs w:val="24"/>
        </w:rPr>
        <w:t>时的幅值响应，V；</w:t>
      </w:r>
    </w:p>
    <w:p>
      <w:pPr>
        <w:autoSpaceDE w:val="0"/>
        <w:autoSpaceDN w:val="0"/>
        <w:adjustRightInd w:val="0"/>
        <w:spacing w:line="300" w:lineRule="auto"/>
        <w:ind w:right="-29" w:rightChars="-14" w:firstLine="420" w:firstLineChars="200"/>
        <w:rPr>
          <w:sz w:val="24"/>
          <w:szCs w:val="24"/>
        </w:rPr>
      </w:pPr>
      <w:r>
        <w:rPr>
          <w:position w:val="-12"/>
        </w:rPr>
        <w:object>
          <v:shape id="_x0000_i1067" o:spt="75" type="#_x0000_t75" style="height:18.7pt;width:33.65pt;" o:ole="t" filled="f" o:preferrelative="t" stroked="f" coordsize="21600,21600">
            <v:path/>
            <v:fill on="f" focussize="0,0"/>
            <v:stroke on="f" joinstyle="miter"/>
            <v:imagedata r:id="rId79" o:title=""/>
            <o:lock v:ext="edit" aspectratio="t"/>
            <w10:wrap type="none"/>
            <w10:anchorlock/>
          </v:shape>
          <o:OLEObject Type="Embed" ProgID="Equation.DSMT4" ShapeID="_x0000_i1067" DrawAspect="Content" ObjectID="_1468075767" r:id="rId93">
            <o:LockedField>false</o:LockedField>
          </o:OLEObject>
        </w:object>
      </w:r>
      <w:r>
        <w:rPr>
          <w:sz w:val="24"/>
          <w:szCs w:val="24"/>
        </w:rPr>
        <w:t>——标准声源在频率为</w:t>
      </w:r>
      <w:r>
        <w:rPr>
          <w:position w:val="-10"/>
          <w:sz w:val="24"/>
          <w:szCs w:val="24"/>
        </w:rPr>
        <w:object>
          <v:shape id="_x0000_i1068" o:spt="75" type="#_x0000_t75" style="height:15.9pt;width:15.9pt;" o:ole="t" filled="f" o:preferrelative="t" stroked="f" coordsize="21600,21600">
            <v:path/>
            <v:fill on="f" focussize="0,0"/>
            <v:stroke on="f" joinstyle="miter"/>
            <v:imagedata r:id="rId89" o:title=""/>
            <o:lock v:ext="edit" aspectratio="t"/>
            <w10:wrap type="none"/>
            <w10:anchorlock/>
          </v:shape>
          <o:OLEObject Type="Embed" ProgID="Equation.3" ShapeID="_x0000_i1068" DrawAspect="Content" ObjectID="_1468075768" r:id="rId94">
            <o:LockedField>false</o:LockedField>
          </o:OLEObject>
        </w:object>
      </w:r>
      <w:r>
        <w:rPr>
          <w:sz w:val="24"/>
          <w:szCs w:val="24"/>
        </w:rPr>
        <w:t>时的声压值，µbar。</w:t>
      </w:r>
    </w:p>
    <w:p>
      <w:pPr>
        <w:spacing w:line="300" w:lineRule="auto"/>
        <w:ind w:firstLine="480" w:firstLineChars="200"/>
        <w:rPr>
          <w:sz w:val="24"/>
          <w:szCs w:val="24"/>
        </w:rPr>
      </w:pPr>
      <w:bookmarkStart w:id="34" w:name="_Toc422683927"/>
      <w:r>
        <w:rPr>
          <w:sz w:val="24"/>
          <w:szCs w:val="24"/>
        </w:rPr>
        <w:t>在150kHz～160kHz范围内以1kHz的频率间隔测量PIND换能器的灵敏度。根据PIND换能器各个频率点的灵敏度，得到PIND换能器声压灵敏度的频率响应，以1V/µbar为参考值计算得到每个频率点的声压灵敏度级。以频率为横坐标，以声压灵敏度级为纵坐标，绘制曲线获得PIND换能器的声压灵敏度级频率响应曲线，读取峰值声压灵敏度级及其对应的频率点</w:t>
      </w:r>
      <w:r>
        <w:rPr>
          <w:rFonts w:hint="eastAsia"/>
          <w:sz w:val="24"/>
          <w:szCs w:val="24"/>
        </w:rPr>
        <w:t>，重复测量三次，以与</w:t>
      </w:r>
      <w:r>
        <w:rPr>
          <w:sz w:val="24"/>
          <w:szCs w:val="24"/>
        </w:rPr>
        <w:t>峰值声压灵敏度级-77.5 dB（以1V/µbar作为参考值）</w:t>
      </w:r>
      <w:r>
        <w:rPr>
          <w:rFonts w:hint="eastAsia"/>
          <w:sz w:val="24"/>
          <w:szCs w:val="24"/>
        </w:rPr>
        <w:t>绝对偏差最大值为最终测量结果。</w:t>
      </w:r>
    </w:p>
    <w:p>
      <w:pPr>
        <w:pStyle w:val="2"/>
        <w:numPr>
          <w:ilvl w:val="0"/>
          <w:numId w:val="3"/>
        </w:numPr>
        <w:spacing w:before="120" w:beforeLines="50" w:after="120" w:afterLines="50" w:line="300" w:lineRule="auto"/>
        <w:rPr>
          <w:rFonts w:eastAsia="黑体"/>
          <w:b w:val="0"/>
          <w:bCs w:val="0"/>
          <w:sz w:val="24"/>
          <w:szCs w:val="24"/>
        </w:rPr>
      </w:pPr>
      <w:bookmarkStart w:id="35" w:name="_Toc132233460"/>
      <w:r>
        <w:rPr>
          <w:rFonts w:eastAsia="黑体"/>
          <w:b w:val="0"/>
          <w:bCs w:val="0"/>
          <w:sz w:val="24"/>
          <w:szCs w:val="24"/>
        </w:rPr>
        <w:t>校准结果表达</w:t>
      </w:r>
      <w:bookmarkEnd w:id="34"/>
      <w:bookmarkEnd w:id="35"/>
    </w:p>
    <w:p>
      <w:pPr>
        <w:spacing w:line="300" w:lineRule="auto"/>
        <w:ind w:firstLine="480" w:firstLineChars="200"/>
        <w:rPr>
          <w:sz w:val="24"/>
        </w:rPr>
      </w:pPr>
      <w:r>
        <w:rPr>
          <w:sz w:val="24"/>
        </w:rPr>
        <w:t>校准结果应在校准证书上反映，校准证书应至少包括以下信息：</w:t>
      </w:r>
    </w:p>
    <w:p>
      <w:pPr>
        <w:spacing w:line="300" w:lineRule="auto"/>
        <w:ind w:firstLine="480" w:firstLineChars="200"/>
        <w:rPr>
          <w:sz w:val="24"/>
        </w:rPr>
      </w:pPr>
      <w:r>
        <w:rPr>
          <w:sz w:val="24"/>
        </w:rPr>
        <w:t>a</w:t>
      </w:r>
      <w:r>
        <w:rPr>
          <w:sz w:val="24"/>
          <w:szCs w:val="24"/>
        </w:rPr>
        <w:t xml:space="preserve">) </w:t>
      </w:r>
      <w:r>
        <w:rPr>
          <w:sz w:val="24"/>
        </w:rPr>
        <w:t>标题，“校准证书”；</w:t>
      </w:r>
    </w:p>
    <w:p>
      <w:pPr>
        <w:spacing w:line="300" w:lineRule="auto"/>
        <w:ind w:firstLine="480" w:firstLineChars="200"/>
        <w:rPr>
          <w:sz w:val="24"/>
        </w:rPr>
      </w:pPr>
      <w:r>
        <w:rPr>
          <w:sz w:val="24"/>
        </w:rPr>
        <w:t>b</w:t>
      </w:r>
      <w:r>
        <w:rPr>
          <w:sz w:val="24"/>
          <w:szCs w:val="24"/>
        </w:rPr>
        <w:t xml:space="preserve">) </w:t>
      </w:r>
      <w:r>
        <w:rPr>
          <w:sz w:val="24"/>
        </w:rPr>
        <w:t>实验室名称和地址；</w:t>
      </w:r>
    </w:p>
    <w:p>
      <w:pPr>
        <w:spacing w:line="300" w:lineRule="auto"/>
        <w:ind w:firstLine="480" w:firstLineChars="200"/>
        <w:rPr>
          <w:sz w:val="24"/>
        </w:rPr>
      </w:pPr>
      <w:r>
        <w:rPr>
          <w:sz w:val="24"/>
        </w:rPr>
        <w:t>c</w:t>
      </w:r>
      <w:r>
        <w:rPr>
          <w:sz w:val="24"/>
          <w:szCs w:val="24"/>
        </w:rPr>
        <w:t xml:space="preserve">) </w:t>
      </w:r>
      <w:r>
        <w:rPr>
          <w:sz w:val="24"/>
        </w:rPr>
        <w:t>进行校准的地点（如果与实验室的地址不同）；</w:t>
      </w:r>
    </w:p>
    <w:p>
      <w:pPr>
        <w:spacing w:line="300" w:lineRule="auto"/>
        <w:ind w:firstLine="480" w:firstLineChars="200"/>
        <w:rPr>
          <w:sz w:val="24"/>
        </w:rPr>
      </w:pPr>
      <w:r>
        <w:rPr>
          <w:sz w:val="24"/>
        </w:rPr>
        <w:t>d</w:t>
      </w:r>
      <w:r>
        <w:rPr>
          <w:sz w:val="24"/>
          <w:szCs w:val="24"/>
        </w:rPr>
        <w:t xml:space="preserve">) </w:t>
      </w:r>
      <w:r>
        <w:rPr>
          <w:sz w:val="24"/>
        </w:rPr>
        <w:t>证书的唯一性标识（如编号），每页及总页数的标识；</w:t>
      </w:r>
    </w:p>
    <w:p>
      <w:pPr>
        <w:spacing w:line="300" w:lineRule="auto"/>
        <w:ind w:firstLine="480" w:firstLineChars="200"/>
        <w:rPr>
          <w:sz w:val="24"/>
        </w:rPr>
      </w:pPr>
      <w:r>
        <w:rPr>
          <w:sz w:val="24"/>
        </w:rPr>
        <w:t>e</w:t>
      </w:r>
      <w:r>
        <w:rPr>
          <w:sz w:val="24"/>
          <w:szCs w:val="24"/>
        </w:rPr>
        <w:t xml:space="preserve">) </w:t>
      </w:r>
      <w:r>
        <w:rPr>
          <w:sz w:val="24"/>
        </w:rPr>
        <w:t>客户的名称和地址；</w:t>
      </w:r>
    </w:p>
    <w:p>
      <w:pPr>
        <w:spacing w:line="300" w:lineRule="auto"/>
        <w:ind w:firstLine="480" w:firstLineChars="200"/>
        <w:rPr>
          <w:sz w:val="24"/>
        </w:rPr>
      </w:pPr>
      <w:r>
        <w:rPr>
          <w:sz w:val="24"/>
        </w:rPr>
        <w:t>f</w:t>
      </w:r>
      <w:r>
        <w:rPr>
          <w:sz w:val="24"/>
          <w:szCs w:val="24"/>
        </w:rPr>
        <w:t xml:space="preserve">) </w:t>
      </w:r>
      <w:r>
        <w:rPr>
          <w:sz w:val="24"/>
        </w:rPr>
        <w:t>进行校准的日期，如果与校准结果的有效性和应用有关时，应说明被校对象的接受日期；</w:t>
      </w:r>
    </w:p>
    <w:p>
      <w:pPr>
        <w:spacing w:line="300" w:lineRule="auto"/>
        <w:ind w:left="472" w:leftChars="224" w:hanging="2" w:hangingChars="1"/>
        <w:rPr>
          <w:sz w:val="24"/>
        </w:rPr>
      </w:pPr>
      <w:r>
        <w:rPr>
          <w:sz w:val="24"/>
        </w:rPr>
        <w:t>g</w:t>
      </w:r>
      <w:r>
        <w:rPr>
          <w:sz w:val="24"/>
          <w:szCs w:val="24"/>
        </w:rPr>
        <w:t xml:space="preserve">) </w:t>
      </w:r>
      <w:r>
        <w:rPr>
          <w:sz w:val="24"/>
        </w:rPr>
        <w:t>校准所依据的技术规范的标识，包括名称及代号；</w:t>
      </w:r>
    </w:p>
    <w:p>
      <w:pPr>
        <w:spacing w:line="300" w:lineRule="auto"/>
        <w:ind w:firstLine="480" w:firstLineChars="200"/>
        <w:rPr>
          <w:sz w:val="24"/>
        </w:rPr>
      </w:pPr>
      <w:r>
        <w:rPr>
          <w:sz w:val="24"/>
        </w:rPr>
        <w:t>h</w:t>
      </w:r>
      <w:r>
        <w:rPr>
          <w:sz w:val="24"/>
          <w:szCs w:val="24"/>
        </w:rPr>
        <w:t xml:space="preserve">) </w:t>
      </w:r>
      <w:r>
        <w:rPr>
          <w:sz w:val="24"/>
        </w:rPr>
        <w:t>本次校准所用测量标准的溯源性及有效性说明；</w:t>
      </w:r>
    </w:p>
    <w:p>
      <w:pPr>
        <w:spacing w:line="300" w:lineRule="auto"/>
        <w:ind w:firstLine="480" w:firstLineChars="200"/>
        <w:rPr>
          <w:sz w:val="24"/>
        </w:rPr>
      </w:pPr>
      <w:r>
        <w:rPr>
          <w:sz w:val="24"/>
        </w:rPr>
        <w:t>i</w:t>
      </w:r>
      <w:r>
        <w:rPr>
          <w:sz w:val="24"/>
          <w:szCs w:val="24"/>
        </w:rPr>
        <w:t xml:space="preserve">) </w:t>
      </w:r>
      <w:r>
        <w:rPr>
          <w:sz w:val="24"/>
        </w:rPr>
        <w:t>校准环境的描述；</w:t>
      </w:r>
    </w:p>
    <w:p>
      <w:pPr>
        <w:spacing w:line="300" w:lineRule="auto"/>
        <w:ind w:firstLine="480" w:firstLineChars="200"/>
        <w:rPr>
          <w:sz w:val="24"/>
        </w:rPr>
      </w:pPr>
      <w:r>
        <w:rPr>
          <w:sz w:val="24"/>
        </w:rPr>
        <w:t>j</w:t>
      </w:r>
      <w:r>
        <w:rPr>
          <w:sz w:val="24"/>
          <w:szCs w:val="24"/>
        </w:rPr>
        <w:t xml:space="preserve">) </w:t>
      </w:r>
      <w:r>
        <w:rPr>
          <w:sz w:val="24"/>
        </w:rPr>
        <w:t>校准结果及其测量不确定度的说明；</w:t>
      </w:r>
    </w:p>
    <w:p>
      <w:pPr>
        <w:spacing w:line="300" w:lineRule="auto"/>
        <w:ind w:firstLine="480" w:firstLineChars="200"/>
        <w:rPr>
          <w:color w:val="FF0000"/>
          <w:sz w:val="24"/>
        </w:rPr>
      </w:pPr>
      <w:r>
        <w:rPr>
          <w:sz w:val="24"/>
        </w:rPr>
        <w:t>k</w:t>
      </w:r>
      <w:r>
        <w:rPr>
          <w:sz w:val="24"/>
          <w:szCs w:val="24"/>
        </w:rPr>
        <w:t xml:space="preserve">) </w:t>
      </w:r>
      <w:r>
        <w:rPr>
          <w:sz w:val="24"/>
        </w:rPr>
        <w:t>校准证书签发人的签名、职务或等效标识，以及签发日期；</w:t>
      </w:r>
    </w:p>
    <w:p>
      <w:pPr>
        <w:spacing w:line="300" w:lineRule="auto"/>
        <w:ind w:firstLine="480" w:firstLineChars="200"/>
        <w:rPr>
          <w:sz w:val="24"/>
        </w:rPr>
      </w:pPr>
      <w:r>
        <w:rPr>
          <w:sz w:val="24"/>
        </w:rPr>
        <w:t>l</w:t>
      </w:r>
      <w:r>
        <w:rPr>
          <w:sz w:val="24"/>
          <w:szCs w:val="24"/>
        </w:rPr>
        <w:t xml:space="preserve">) </w:t>
      </w:r>
      <w:r>
        <w:rPr>
          <w:sz w:val="24"/>
        </w:rPr>
        <w:t>校准结果仅对被校对象有效的声明；</w:t>
      </w:r>
    </w:p>
    <w:p>
      <w:pPr>
        <w:spacing w:line="300" w:lineRule="auto"/>
        <w:ind w:firstLine="480" w:firstLineChars="200"/>
        <w:rPr>
          <w:sz w:val="24"/>
        </w:rPr>
      </w:pPr>
      <w:r>
        <w:rPr>
          <w:sz w:val="24"/>
        </w:rPr>
        <w:t>m</w:t>
      </w:r>
      <w:r>
        <w:rPr>
          <w:sz w:val="24"/>
          <w:szCs w:val="24"/>
        </w:rPr>
        <w:t xml:space="preserve">) </w:t>
      </w:r>
      <w:r>
        <w:rPr>
          <w:sz w:val="24"/>
        </w:rPr>
        <w:t>未经实验室书面批准，不得部分复制证书的声明。</w:t>
      </w:r>
    </w:p>
    <w:p>
      <w:pPr>
        <w:spacing w:line="300" w:lineRule="auto"/>
        <w:ind w:firstLine="480" w:firstLineChars="200"/>
        <w:rPr>
          <w:sz w:val="24"/>
        </w:rPr>
      </w:pPr>
      <w:r>
        <w:rPr>
          <w:sz w:val="24"/>
        </w:rPr>
        <w:t>推荐的校准证书的内容格式见附录C。</w:t>
      </w:r>
    </w:p>
    <w:p>
      <w:pPr>
        <w:pStyle w:val="2"/>
        <w:numPr>
          <w:ilvl w:val="0"/>
          <w:numId w:val="3"/>
        </w:numPr>
        <w:spacing w:before="120" w:beforeLines="50" w:after="120" w:afterLines="50" w:line="300" w:lineRule="auto"/>
        <w:rPr>
          <w:rFonts w:eastAsia="黑体"/>
          <w:b w:val="0"/>
          <w:bCs w:val="0"/>
          <w:sz w:val="24"/>
          <w:szCs w:val="24"/>
        </w:rPr>
      </w:pPr>
      <w:bookmarkStart w:id="36" w:name="_Toc132233461"/>
      <w:bookmarkStart w:id="37" w:name="_Toc422683928"/>
      <w:r>
        <w:rPr>
          <w:rFonts w:eastAsia="黑体"/>
          <w:b w:val="0"/>
          <w:bCs w:val="0"/>
          <w:sz w:val="24"/>
          <w:szCs w:val="24"/>
        </w:rPr>
        <w:t>复校时间间隔</w:t>
      </w:r>
      <w:bookmarkEnd w:id="36"/>
      <w:bookmarkEnd w:id="37"/>
    </w:p>
    <w:p>
      <w:pPr>
        <w:spacing w:line="300" w:lineRule="auto"/>
        <w:ind w:firstLine="480" w:firstLineChars="200"/>
        <w:rPr>
          <w:sz w:val="24"/>
          <w:szCs w:val="24"/>
        </w:rPr>
      </w:pPr>
      <w:r>
        <w:rPr>
          <w:sz w:val="24"/>
          <w:szCs w:val="24"/>
        </w:rPr>
        <w:t>颗粒碰撞噪声检测系统复校时间</w:t>
      </w:r>
      <w:r>
        <w:rPr>
          <w:color w:val="000000"/>
          <w:sz w:val="24"/>
          <w:szCs w:val="24"/>
        </w:rPr>
        <w:t>可根据实际使用情况，由用户自主决定，建议复校时间为1年。</w:t>
      </w:r>
    </w:p>
    <w:p>
      <w:pPr>
        <w:spacing w:line="300" w:lineRule="auto"/>
        <w:ind w:firstLine="420" w:firstLineChars="200"/>
      </w:pPr>
    </w:p>
    <w:p>
      <w:pPr>
        <w:pStyle w:val="2"/>
        <w:spacing w:line="300" w:lineRule="auto"/>
        <w:rPr>
          <w:rFonts w:eastAsia="黑体"/>
          <w:b w:val="0"/>
          <w:bCs w:val="0"/>
          <w:sz w:val="28"/>
          <w:szCs w:val="28"/>
        </w:rPr>
      </w:pPr>
      <w:r>
        <w:br w:type="page"/>
      </w:r>
      <w:bookmarkStart w:id="38" w:name="_Toc132233462"/>
      <w:r>
        <w:rPr>
          <w:rFonts w:eastAsia="黑体"/>
          <w:b w:val="0"/>
          <w:bCs w:val="0"/>
          <w:sz w:val="28"/>
          <w:szCs w:val="28"/>
        </w:rPr>
        <w:t>附录A</w:t>
      </w:r>
      <w:bookmarkEnd w:id="38"/>
    </w:p>
    <w:p>
      <w:pPr>
        <w:pStyle w:val="4"/>
        <w:spacing w:line="300" w:lineRule="auto"/>
        <w:jc w:val="center"/>
        <w:rPr>
          <w:rFonts w:eastAsia="黑体"/>
          <w:b w:val="0"/>
          <w:sz w:val="28"/>
          <w:szCs w:val="28"/>
        </w:rPr>
      </w:pPr>
      <w:r>
        <w:rPr>
          <w:rFonts w:eastAsia="黑体"/>
          <w:b w:val="0"/>
          <w:sz w:val="28"/>
          <w:szCs w:val="28"/>
        </w:rPr>
        <w:t>加速度峰值测量结果的不确定度评估</w:t>
      </w:r>
      <w:r>
        <w:rPr>
          <w:rFonts w:hint="eastAsia" w:eastAsia="黑体"/>
          <w:b w:val="0"/>
          <w:sz w:val="28"/>
          <w:szCs w:val="28"/>
        </w:rPr>
        <w:t>示例</w:t>
      </w:r>
    </w:p>
    <w:p>
      <w:pPr>
        <w:widowControl/>
        <w:spacing w:line="360" w:lineRule="auto"/>
        <w:rPr>
          <w:sz w:val="24"/>
          <w:szCs w:val="24"/>
        </w:rPr>
      </w:pPr>
      <w:bookmarkStart w:id="39" w:name="_Toc497162381"/>
      <w:bookmarkStart w:id="40" w:name="_Toc423988429"/>
      <w:r>
        <w:rPr>
          <w:sz w:val="24"/>
          <w:szCs w:val="24"/>
        </w:rPr>
        <w:t>A.1  测量模型</w:t>
      </w:r>
      <w:bookmarkEnd w:id="39"/>
    </w:p>
    <w:p>
      <w:pPr>
        <w:spacing w:line="360" w:lineRule="auto"/>
        <w:ind w:firstLine="480" w:firstLineChars="200"/>
        <w:rPr>
          <w:sz w:val="24"/>
        </w:rPr>
      </w:pPr>
      <w:bookmarkStart w:id="41" w:name="_Toc399536411"/>
      <w:bookmarkStart w:id="42" w:name="_Toc404200647"/>
      <w:bookmarkStart w:id="43" w:name="_Toc398100268"/>
      <w:bookmarkStart w:id="44" w:name="_Toc404200490"/>
      <w:bookmarkStart w:id="45" w:name="_Toc398100564"/>
      <w:bookmarkStart w:id="46" w:name="_Toc497162382"/>
      <w:bookmarkStart w:id="47" w:name="_Toc404200649"/>
      <w:bookmarkStart w:id="48" w:name="_Toc399536413"/>
      <w:bookmarkStart w:id="49" w:name="_Toc404200492"/>
      <w:bookmarkStart w:id="50" w:name="_Toc398100566"/>
      <w:r>
        <w:rPr>
          <w:sz w:val="24"/>
          <w:szCs w:val="24"/>
        </w:rPr>
        <w:t>加速度峰值由冲击/振动加速度测量系统直接测量得到加速度时域曲线，经数据处理后获得。</w:t>
      </w:r>
    </w:p>
    <w:p>
      <w:pPr>
        <w:wordWrap w:val="0"/>
        <w:spacing w:line="360" w:lineRule="auto"/>
        <w:ind w:firstLine="480" w:firstLineChars="200"/>
        <w:jc w:val="right"/>
        <w:rPr>
          <w:sz w:val="24"/>
          <w:szCs w:val="24"/>
        </w:rPr>
      </w:pPr>
      <w:r>
        <w:rPr>
          <w:position w:val="-12"/>
          <w:sz w:val="24"/>
        </w:rPr>
        <w:object>
          <v:shape id="_x0000_i1069" o:spt="75" type="#_x0000_t75" style="height:16.85pt;width:145.85pt;" o:ole="t" filled="f" o:preferrelative="t" stroked="f" coordsize="21600,21600">
            <v:path/>
            <v:fill on="f" focussize="0,0"/>
            <v:stroke on="f" joinstyle="miter"/>
            <v:imagedata r:id="rId96" o:title=""/>
            <o:lock v:ext="edit" aspectratio="t"/>
            <w10:wrap type="none"/>
            <w10:anchorlock/>
          </v:shape>
          <o:OLEObject Type="Embed" ProgID="Equation.DSMT4" ShapeID="_x0000_i1069" DrawAspect="Content" ObjectID="_1468075769" r:id="rId95">
            <o:LockedField>false</o:LockedField>
          </o:OLEObject>
        </w:object>
      </w:r>
      <w:r>
        <w:rPr>
          <w:sz w:val="24"/>
          <w:szCs w:val="24"/>
        </w:rPr>
        <w:t xml:space="preserve">                             (A</w:t>
      </w:r>
      <w:r>
        <w:rPr>
          <w:rFonts w:hint="eastAsia"/>
          <w:sz w:val="24"/>
          <w:szCs w:val="24"/>
        </w:rPr>
        <w:t>.</w:t>
      </w:r>
      <w:r>
        <w:rPr>
          <w:rFonts w:hint="eastAsia"/>
          <w:sz w:val="24"/>
        </w:rPr>
        <w:t>1</w:t>
      </w:r>
      <w:r>
        <w:rPr>
          <w:sz w:val="24"/>
          <w:szCs w:val="24"/>
        </w:rPr>
        <w:t>)</w:t>
      </w:r>
    </w:p>
    <w:p>
      <w:pPr>
        <w:spacing w:line="360" w:lineRule="auto"/>
        <w:ind w:firstLine="480" w:firstLineChars="200"/>
        <w:rPr>
          <w:sz w:val="24"/>
        </w:rPr>
      </w:pPr>
      <w:r>
        <w:rPr>
          <w:sz w:val="24"/>
        </w:rPr>
        <w:t>式中：</w:t>
      </w:r>
    </w:p>
    <w:p>
      <w:pPr>
        <w:spacing w:line="360" w:lineRule="auto"/>
        <w:ind w:firstLine="480" w:firstLineChars="200"/>
        <w:rPr>
          <w:sz w:val="24"/>
        </w:rPr>
      </w:pPr>
      <w:r>
        <w:rPr>
          <w:position w:val="-12"/>
          <w:sz w:val="24"/>
        </w:rPr>
        <w:object>
          <v:shape id="_x0000_i1070" o:spt="75" type="#_x0000_t75" style="height:16.85pt;width:13.1pt;" o:ole="t" filled="f" o:preferrelative="t" stroked="f" coordsize="21600,21600">
            <v:path/>
            <v:fill on="f" focussize="0,0"/>
            <v:stroke on="f" joinstyle="miter"/>
            <v:imagedata r:id="rId98" o:title=""/>
            <o:lock v:ext="edit" aspectratio="t"/>
            <w10:wrap type="none"/>
            <w10:anchorlock/>
          </v:shape>
          <o:OLEObject Type="Embed" ProgID="Equation.DSMT4" ShapeID="_x0000_i1070" DrawAspect="Content" ObjectID="_1468075770" r:id="rId97">
            <o:LockedField>false</o:LockedField>
          </o:OLEObject>
        </w:object>
      </w:r>
      <w:r>
        <w:rPr>
          <w:sz w:val="24"/>
        </w:rPr>
        <w:t>——加</w:t>
      </w:r>
      <w:r>
        <w:rPr>
          <w:sz w:val="24"/>
          <w:szCs w:val="24"/>
        </w:rPr>
        <w:t>速度测量系统</w:t>
      </w:r>
      <w:r>
        <w:rPr>
          <w:sz w:val="24"/>
        </w:rPr>
        <w:t>的</w:t>
      </w:r>
      <w:r>
        <w:rPr>
          <w:sz w:val="24"/>
          <w:szCs w:val="24"/>
        </w:rPr>
        <w:t>加速度峰值测量</w:t>
      </w:r>
      <w:r>
        <w:rPr>
          <w:sz w:val="24"/>
        </w:rPr>
        <w:t>结果；</w:t>
      </w:r>
    </w:p>
    <w:p>
      <w:pPr>
        <w:spacing w:line="360" w:lineRule="auto"/>
        <w:ind w:firstLine="480" w:firstLineChars="200"/>
        <w:rPr>
          <w:sz w:val="24"/>
        </w:rPr>
      </w:pPr>
      <w:r>
        <w:rPr>
          <w:position w:val="-12"/>
          <w:sz w:val="24"/>
        </w:rPr>
        <w:object>
          <v:shape id="_x0000_i1071" o:spt="75" type="#_x0000_t75" style="height:16.85pt;width:18.7pt;" o:ole="t" filled="f" o:preferrelative="t" stroked="f" coordsize="21600,21600">
            <v:path/>
            <v:fill on="f" focussize="0,0"/>
            <v:stroke on="f" joinstyle="miter"/>
            <v:imagedata r:id="rId100" o:title=""/>
            <o:lock v:ext="edit" aspectratio="t"/>
            <w10:wrap type="none"/>
            <w10:anchorlock/>
          </v:shape>
          <o:OLEObject Type="Embed" ProgID="Equation.DSMT4" ShapeID="_x0000_i1071" DrawAspect="Content" ObjectID="_1468075771" r:id="rId99">
            <o:LockedField>false</o:LockedField>
          </o:OLEObject>
        </w:object>
      </w:r>
      <w:r>
        <w:rPr>
          <w:sz w:val="24"/>
        </w:rPr>
        <w:t>——</w:t>
      </w:r>
      <w:r>
        <w:rPr>
          <w:sz w:val="24"/>
          <w:szCs w:val="24"/>
        </w:rPr>
        <w:t>加速度测量系统年稳定性</w:t>
      </w:r>
      <w:r>
        <w:rPr>
          <w:sz w:val="24"/>
        </w:rPr>
        <w:t>引入的</w:t>
      </w:r>
      <w:r>
        <w:rPr>
          <w:sz w:val="24"/>
          <w:szCs w:val="24"/>
        </w:rPr>
        <w:t>测量</w:t>
      </w:r>
      <w:r>
        <w:rPr>
          <w:sz w:val="24"/>
        </w:rPr>
        <w:t>误差；</w:t>
      </w:r>
    </w:p>
    <w:bookmarkEnd w:id="41"/>
    <w:bookmarkEnd w:id="42"/>
    <w:bookmarkEnd w:id="43"/>
    <w:bookmarkEnd w:id="44"/>
    <w:bookmarkEnd w:id="45"/>
    <w:p>
      <w:pPr>
        <w:spacing w:line="360" w:lineRule="auto"/>
        <w:ind w:firstLine="480" w:firstLineChars="200"/>
        <w:rPr>
          <w:sz w:val="24"/>
        </w:rPr>
      </w:pPr>
      <w:r>
        <w:rPr>
          <w:position w:val="-12"/>
          <w:sz w:val="24"/>
        </w:rPr>
        <w:object>
          <v:shape id="_x0000_i1072" o:spt="75" type="#_x0000_t75" style="height:16.85pt;width:20.55pt;" o:ole="t" filled="f" o:preferrelative="t" stroked="f" coordsize="21600,21600">
            <v:path/>
            <v:fill on="f" focussize="0,0"/>
            <v:stroke on="f" joinstyle="miter"/>
            <v:imagedata r:id="rId102" o:title=""/>
            <o:lock v:ext="edit" aspectratio="t"/>
            <w10:wrap type="none"/>
            <w10:anchorlock/>
          </v:shape>
          <o:OLEObject Type="Embed" ProgID="Equation.DSMT4" ShapeID="_x0000_i1072" DrawAspect="Content" ObjectID="_1468075772" r:id="rId101">
            <o:LockedField>false</o:LockedField>
          </o:OLEObject>
        </w:object>
      </w:r>
      <w:r>
        <w:rPr>
          <w:sz w:val="24"/>
        </w:rPr>
        <w:t>——</w:t>
      </w:r>
      <w:r>
        <w:rPr>
          <w:sz w:val="24"/>
          <w:szCs w:val="24"/>
        </w:rPr>
        <w:t>加速度测量系统中传感器横向灵敏度比</w:t>
      </w:r>
      <w:r>
        <w:rPr>
          <w:sz w:val="24"/>
        </w:rPr>
        <w:t>引入的</w:t>
      </w:r>
      <w:r>
        <w:rPr>
          <w:sz w:val="24"/>
          <w:szCs w:val="24"/>
        </w:rPr>
        <w:t>测量</w:t>
      </w:r>
      <w:r>
        <w:rPr>
          <w:sz w:val="24"/>
        </w:rPr>
        <w:t>误差；</w:t>
      </w:r>
    </w:p>
    <w:p>
      <w:pPr>
        <w:spacing w:line="360" w:lineRule="auto"/>
        <w:ind w:firstLine="480" w:firstLineChars="200"/>
        <w:rPr>
          <w:sz w:val="24"/>
        </w:rPr>
      </w:pPr>
      <w:r>
        <w:rPr>
          <w:position w:val="-12"/>
          <w:sz w:val="24"/>
        </w:rPr>
        <w:object>
          <v:shape id="_x0000_i1073" o:spt="75" type="#_x0000_t75" style="height:16.85pt;width:19.65pt;" o:ole="t" filled="f" o:preferrelative="t" stroked="f" coordsize="21600,21600">
            <v:path/>
            <v:fill on="f" focussize="0,0"/>
            <v:stroke on="f" joinstyle="miter"/>
            <v:imagedata r:id="rId104" o:title=""/>
            <o:lock v:ext="edit" aspectratio="t"/>
            <w10:wrap type="none"/>
            <w10:anchorlock/>
          </v:shape>
          <o:OLEObject Type="Embed" ProgID="Equation.DSMT4" ShapeID="_x0000_i1073" DrawAspect="Content" ObjectID="_1468075773" r:id="rId103">
            <o:LockedField>false</o:LockedField>
          </o:OLEObject>
        </w:object>
      </w:r>
      <w:r>
        <w:rPr>
          <w:sz w:val="24"/>
        </w:rPr>
        <w:t>——</w:t>
      </w:r>
      <w:r>
        <w:rPr>
          <w:sz w:val="24"/>
          <w:szCs w:val="24"/>
        </w:rPr>
        <w:t>环境温度引入</w:t>
      </w:r>
      <w:r>
        <w:rPr>
          <w:sz w:val="24"/>
        </w:rPr>
        <w:t>的</w:t>
      </w:r>
      <w:r>
        <w:rPr>
          <w:sz w:val="24"/>
          <w:szCs w:val="24"/>
        </w:rPr>
        <w:t>测量</w:t>
      </w:r>
      <w:r>
        <w:rPr>
          <w:sz w:val="24"/>
        </w:rPr>
        <w:t>误差；</w:t>
      </w:r>
    </w:p>
    <w:p>
      <w:pPr>
        <w:spacing w:line="360" w:lineRule="auto"/>
        <w:ind w:firstLine="480" w:firstLineChars="200"/>
        <w:rPr>
          <w:sz w:val="24"/>
        </w:rPr>
      </w:pPr>
      <w:r>
        <w:rPr>
          <w:position w:val="-12"/>
          <w:sz w:val="24"/>
        </w:rPr>
        <w:object>
          <v:shape id="_x0000_i1074" o:spt="75" type="#_x0000_t75" style="height:16.85pt;width:20.55pt;" o:ole="t" filled="f" o:preferrelative="t" stroked="f" coordsize="21600,21600">
            <v:path/>
            <v:fill on="f" focussize="0,0"/>
            <v:stroke on="f" joinstyle="miter"/>
            <v:imagedata r:id="rId106" o:title=""/>
            <o:lock v:ext="edit" aspectratio="t"/>
            <w10:wrap type="none"/>
            <w10:anchorlock/>
          </v:shape>
          <o:OLEObject Type="Embed" ProgID="Equation.DSMT4" ShapeID="_x0000_i1074" DrawAspect="Content" ObjectID="_1468075774" r:id="rId105">
            <o:LockedField>false</o:LockedField>
          </o:OLEObject>
        </w:object>
      </w:r>
      <w:r>
        <w:rPr>
          <w:sz w:val="24"/>
        </w:rPr>
        <w:t>——</w:t>
      </w:r>
      <w:r>
        <w:rPr>
          <w:sz w:val="24"/>
          <w:szCs w:val="24"/>
        </w:rPr>
        <w:t>其他影响（包括噪声、线缆抖动等）引入</w:t>
      </w:r>
      <w:r>
        <w:rPr>
          <w:sz w:val="24"/>
        </w:rPr>
        <w:t>的</w:t>
      </w:r>
      <w:r>
        <w:rPr>
          <w:sz w:val="24"/>
          <w:szCs w:val="24"/>
        </w:rPr>
        <w:t>测量</w:t>
      </w:r>
      <w:r>
        <w:rPr>
          <w:sz w:val="24"/>
        </w:rPr>
        <w:t>误差；</w:t>
      </w:r>
    </w:p>
    <w:p>
      <w:pPr>
        <w:widowControl/>
        <w:spacing w:line="360" w:lineRule="auto"/>
        <w:rPr>
          <w:sz w:val="24"/>
          <w:szCs w:val="24"/>
        </w:rPr>
      </w:pPr>
      <w:r>
        <w:rPr>
          <w:sz w:val="24"/>
          <w:szCs w:val="24"/>
        </w:rPr>
        <w:t>A.2  不确定度的来源</w:t>
      </w:r>
      <w:bookmarkEnd w:id="46"/>
    </w:p>
    <w:p>
      <w:pPr>
        <w:spacing w:line="360" w:lineRule="auto"/>
        <w:ind w:firstLine="480" w:firstLineChars="200"/>
        <w:rPr>
          <w:sz w:val="24"/>
          <w:szCs w:val="24"/>
        </w:rPr>
      </w:pPr>
      <w:r>
        <w:rPr>
          <w:sz w:val="24"/>
          <w:szCs w:val="24"/>
        </w:rPr>
        <w:t>测量不确定度的主要来源如下：</w:t>
      </w:r>
    </w:p>
    <w:p>
      <w:pPr>
        <w:spacing w:line="360" w:lineRule="auto"/>
        <w:ind w:firstLine="480" w:firstLineChars="200"/>
        <w:rPr>
          <w:sz w:val="24"/>
          <w:szCs w:val="24"/>
        </w:rPr>
      </w:pPr>
      <w:r>
        <w:rPr>
          <w:sz w:val="24"/>
          <w:szCs w:val="24"/>
        </w:rPr>
        <w:t>a) 加速度测量系统加速度峰值测量引入的相对标准不确定度分量</w:t>
      </w:r>
      <w:r>
        <w:rPr>
          <w:position w:val="-10"/>
          <w:sz w:val="24"/>
          <w:szCs w:val="24"/>
        </w:rPr>
        <w:object>
          <v:shape id="_x0000_i1075" o:spt="75" type="#_x0000_t75" style="height:18.7pt;width:13.1pt;" o:ole="t" filled="f" o:preferrelative="t" stroked="f" coordsize="21600,21600">
            <v:path/>
            <v:fill on="f" focussize="0,0"/>
            <v:stroke on="f" joinstyle="miter"/>
            <v:imagedata r:id="rId108" o:title=""/>
            <o:lock v:ext="edit" aspectratio="t"/>
            <w10:wrap type="none"/>
            <w10:anchorlock/>
          </v:shape>
          <o:OLEObject Type="Embed" ProgID="Equation.3" ShapeID="_x0000_i1075" DrawAspect="Content" ObjectID="_1468075775" r:id="rId107">
            <o:LockedField>false</o:LockedField>
          </o:OLEObject>
        </w:object>
      </w:r>
      <w:r>
        <w:rPr>
          <w:sz w:val="24"/>
          <w:szCs w:val="24"/>
        </w:rPr>
        <w:t>；</w:t>
      </w:r>
    </w:p>
    <w:p>
      <w:pPr>
        <w:spacing w:line="360" w:lineRule="auto"/>
        <w:ind w:firstLine="480" w:firstLineChars="200"/>
        <w:rPr>
          <w:sz w:val="24"/>
          <w:szCs w:val="24"/>
        </w:rPr>
      </w:pPr>
      <w:r>
        <w:rPr>
          <w:sz w:val="24"/>
          <w:szCs w:val="24"/>
        </w:rPr>
        <w:t>b) 加速度测量系统年稳定性引入的相对标准不确定度分量</w:t>
      </w:r>
      <w:r>
        <w:rPr>
          <w:position w:val="-10"/>
          <w:sz w:val="24"/>
          <w:szCs w:val="24"/>
        </w:rPr>
        <w:object>
          <v:shape id="_x0000_i1076" o:spt="75" type="#_x0000_t75" style="height:18.7pt;width:13.1pt;" o:ole="t" filled="f" o:preferrelative="t" stroked="f" coordsize="21600,21600">
            <v:path/>
            <v:fill on="f" focussize="0,0"/>
            <v:stroke on="f" joinstyle="miter"/>
            <v:imagedata r:id="rId110" o:title=""/>
            <o:lock v:ext="edit" aspectratio="t"/>
            <w10:wrap type="none"/>
            <w10:anchorlock/>
          </v:shape>
          <o:OLEObject Type="Embed" ProgID="Equation.3" ShapeID="_x0000_i1076" DrawAspect="Content" ObjectID="_1468075776" r:id="rId109">
            <o:LockedField>false</o:LockedField>
          </o:OLEObject>
        </w:object>
      </w:r>
      <w:r>
        <w:rPr>
          <w:sz w:val="24"/>
          <w:szCs w:val="24"/>
        </w:rPr>
        <w:t>；</w:t>
      </w:r>
    </w:p>
    <w:p>
      <w:pPr>
        <w:spacing w:line="360" w:lineRule="auto"/>
        <w:ind w:firstLine="480" w:firstLineChars="200"/>
        <w:rPr>
          <w:sz w:val="24"/>
          <w:szCs w:val="24"/>
        </w:rPr>
      </w:pPr>
      <w:r>
        <w:rPr>
          <w:sz w:val="24"/>
          <w:szCs w:val="24"/>
        </w:rPr>
        <w:t>c) 加速度测量系统中传感器横向灵敏度比引入的相对标准不确定度分量</w:t>
      </w:r>
      <w:r>
        <w:rPr>
          <w:position w:val="-12"/>
          <w:sz w:val="24"/>
          <w:szCs w:val="24"/>
        </w:rPr>
        <w:object>
          <v:shape id="_x0000_i1077" o:spt="75" type="#_x0000_t75" style="height:18.7pt;width:13.1pt;" o:ole="t" filled="f" o:preferrelative="t" stroked="f" coordsize="21600,21600">
            <v:path/>
            <v:fill on="f" focussize="0,0"/>
            <v:stroke on="f" joinstyle="miter"/>
            <v:imagedata r:id="rId112" o:title=""/>
            <o:lock v:ext="edit" aspectratio="t"/>
            <w10:wrap type="none"/>
            <w10:anchorlock/>
          </v:shape>
          <o:OLEObject Type="Embed" ProgID="Equation.3" ShapeID="_x0000_i1077" DrawAspect="Content" ObjectID="_1468075777" r:id="rId111">
            <o:LockedField>false</o:LockedField>
          </o:OLEObject>
        </w:object>
      </w:r>
      <w:r>
        <w:rPr>
          <w:sz w:val="24"/>
          <w:szCs w:val="24"/>
        </w:rPr>
        <w:t>；</w:t>
      </w:r>
    </w:p>
    <w:p>
      <w:pPr>
        <w:spacing w:line="360" w:lineRule="auto"/>
        <w:ind w:firstLine="480" w:firstLineChars="200"/>
        <w:rPr>
          <w:sz w:val="24"/>
          <w:szCs w:val="24"/>
        </w:rPr>
      </w:pPr>
      <w:r>
        <w:rPr>
          <w:sz w:val="24"/>
          <w:szCs w:val="24"/>
        </w:rPr>
        <w:t>d) 环境温度引入的相对标准不确定度分量</w:t>
      </w:r>
      <w:r>
        <w:rPr>
          <w:position w:val="-10"/>
          <w:sz w:val="24"/>
          <w:szCs w:val="24"/>
        </w:rPr>
        <w:object>
          <v:shape id="_x0000_i1078" o:spt="75" type="#_x0000_t75" style="height:18.7pt;width:13.1pt;" o:ole="t" filled="f" o:preferrelative="t" stroked="f" coordsize="21600,21600">
            <v:path/>
            <v:fill on="f" focussize="0,0"/>
            <v:stroke on="f" joinstyle="miter"/>
            <v:imagedata r:id="rId114" o:title=""/>
            <o:lock v:ext="edit" aspectratio="t"/>
            <w10:wrap type="none"/>
            <w10:anchorlock/>
          </v:shape>
          <o:OLEObject Type="Embed" ProgID="Equation.3" ShapeID="_x0000_i1078" DrawAspect="Content" ObjectID="_1468075778" r:id="rId113">
            <o:LockedField>false</o:LockedField>
          </o:OLEObject>
        </w:object>
      </w:r>
      <w:r>
        <w:rPr>
          <w:sz w:val="24"/>
          <w:szCs w:val="24"/>
        </w:rPr>
        <w:t>；</w:t>
      </w:r>
    </w:p>
    <w:p>
      <w:pPr>
        <w:spacing w:line="360" w:lineRule="auto"/>
        <w:ind w:firstLine="480" w:firstLineChars="200"/>
        <w:rPr>
          <w:sz w:val="24"/>
          <w:szCs w:val="24"/>
        </w:rPr>
      </w:pPr>
      <w:r>
        <w:rPr>
          <w:sz w:val="24"/>
          <w:szCs w:val="24"/>
        </w:rPr>
        <w:t>e) 其他影响（包括噪声、线缆抖动等）引入的相对标准不确定度分量</w:t>
      </w:r>
      <w:r>
        <w:rPr>
          <w:position w:val="-12"/>
          <w:sz w:val="24"/>
          <w:szCs w:val="24"/>
        </w:rPr>
        <w:object>
          <v:shape id="_x0000_i1079" o:spt="75" type="#_x0000_t75" style="height:18.7pt;width:13.1pt;" o:ole="t" filled="f" o:preferrelative="t" stroked="f" coordsize="21600,21600">
            <v:path/>
            <v:fill on="f" focussize="0,0"/>
            <v:stroke on="f" joinstyle="miter"/>
            <v:imagedata r:id="rId116" o:title=""/>
            <o:lock v:ext="edit" aspectratio="t"/>
            <w10:wrap type="none"/>
            <w10:anchorlock/>
          </v:shape>
          <o:OLEObject Type="Embed" ProgID="Equation.3" ShapeID="_x0000_i1079" DrawAspect="Content" ObjectID="_1468075779" r:id="rId115">
            <o:LockedField>false</o:LockedField>
          </o:OLEObject>
        </w:object>
      </w:r>
      <w:r>
        <w:rPr>
          <w:sz w:val="24"/>
          <w:szCs w:val="24"/>
        </w:rPr>
        <w:t>；</w:t>
      </w:r>
    </w:p>
    <w:p>
      <w:pPr>
        <w:spacing w:line="360" w:lineRule="auto"/>
        <w:ind w:firstLine="480" w:firstLineChars="200"/>
        <w:rPr>
          <w:sz w:val="24"/>
          <w:szCs w:val="24"/>
        </w:rPr>
      </w:pPr>
      <w:r>
        <w:rPr>
          <w:sz w:val="24"/>
          <w:szCs w:val="24"/>
        </w:rPr>
        <w:t>f) 因测量重复性引入的相对标准不确定度分量</w:t>
      </w:r>
      <w:r>
        <w:rPr>
          <w:position w:val="-12"/>
          <w:sz w:val="24"/>
          <w:szCs w:val="24"/>
        </w:rPr>
        <w:object>
          <v:shape id="_x0000_i1080" o:spt="75" type="#_x0000_t75" style="height:18.7pt;width:13.1pt;" o:ole="t" filled="f" o:preferrelative="t" stroked="f" coordsize="21600,21600">
            <v:path/>
            <v:fill on="f" focussize="0,0"/>
            <v:stroke on="f" joinstyle="miter"/>
            <v:imagedata r:id="rId118" o:title=""/>
            <o:lock v:ext="edit" aspectratio="t"/>
            <w10:wrap type="none"/>
            <w10:anchorlock/>
          </v:shape>
          <o:OLEObject Type="Embed" ProgID="Equation.3" ShapeID="_x0000_i1080" DrawAspect="Content" ObjectID="_1468075780" r:id="rId117">
            <o:LockedField>false</o:LockedField>
          </o:OLEObject>
        </w:object>
      </w:r>
      <w:r>
        <w:rPr>
          <w:sz w:val="24"/>
          <w:szCs w:val="24"/>
        </w:rPr>
        <w:t>。</w:t>
      </w:r>
    </w:p>
    <w:p>
      <w:pPr>
        <w:spacing w:line="360" w:lineRule="auto"/>
        <w:ind w:firstLine="480" w:firstLineChars="200"/>
        <w:rPr>
          <w:sz w:val="24"/>
          <w:szCs w:val="24"/>
        </w:rPr>
      </w:pPr>
      <w:r>
        <w:rPr>
          <w:sz w:val="24"/>
          <w:szCs w:val="24"/>
        </w:rPr>
        <w:t>由于不确定度分量间没有值得考虑的相关性，则相对合成标准不确定度计算如下：</w:t>
      </w:r>
    </w:p>
    <w:p>
      <w:pPr>
        <w:spacing w:line="360" w:lineRule="auto"/>
        <w:ind w:right="-1" w:firstLine="480" w:firstLineChars="200"/>
        <w:jc w:val="right"/>
        <w:rPr>
          <w:sz w:val="24"/>
          <w:szCs w:val="24"/>
        </w:rPr>
      </w:pPr>
      <w:r>
        <w:rPr>
          <w:position w:val="-30"/>
          <w:sz w:val="24"/>
        </w:rPr>
        <w:object>
          <v:shape id="_x0000_i1081" o:spt="75" type="#_x0000_t75" style="height:28.05pt;width:94.45pt;" o:ole="t" filled="f" o:preferrelative="t" stroked="f" coordsize="21600,21600">
            <v:path/>
            <v:fill on="f" focussize="0,0"/>
            <v:stroke on="f" joinstyle="miter"/>
            <v:imagedata r:id="rId120" o:title=""/>
            <o:lock v:ext="edit" aspectratio="t"/>
            <w10:wrap type="none"/>
            <w10:anchorlock/>
          </v:shape>
          <o:OLEObject Type="Embed" ProgID="Equation.DSMT4" ShapeID="_x0000_i1081" DrawAspect="Content" ObjectID="_1468075781" r:id="rId119">
            <o:LockedField>false</o:LockedField>
          </o:OLEObject>
        </w:object>
      </w:r>
      <w:r>
        <w:rPr>
          <w:sz w:val="24"/>
          <w:szCs w:val="24"/>
        </w:rPr>
        <w:t xml:space="preserve">                           (A.</w:t>
      </w:r>
      <w:r>
        <w:rPr>
          <w:rFonts w:hint="eastAsia"/>
          <w:sz w:val="24"/>
          <w:szCs w:val="24"/>
        </w:rPr>
        <w:t>2</w:t>
      </w:r>
      <w:r>
        <w:rPr>
          <w:sz w:val="24"/>
          <w:szCs w:val="24"/>
        </w:rPr>
        <w:t>)</w:t>
      </w:r>
    </w:p>
    <w:p>
      <w:pPr>
        <w:spacing w:line="360" w:lineRule="auto"/>
        <w:ind w:firstLine="480" w:firstLineChars="200"/>
        <w:rPr>
          <w:sz w:val="24"/>
          <w:szCs w:val="24"/>
        </w:rPr>
      </w:pPr>
      <w:r>
        <w:rPr>
          <w:sz w:val="24"/>
          <w:szCs w:val="24"/>
        </w:rPr>
        <w:t>取包含因子</w:t>
      </w:r>
      <w:r>
        <w:rPr>
          <w:position w:val="-6"/>
          <w:sz w:val="24"/>
          <w:szCs w:val="24"/>
        </w:rPr>
        <w:object>
          <v:shape id="_x0000_i1082" o:spt="75" type="#_x0000_t75" style="height:13.1pt;width:28.05pt;" o:ole="t" filled="f" o:preferrelative="t" stroked="f" coordsize="21600,21600">
            <v:path/>
            <v:fill on="f" focussize="0,0"/>
            <v:stroke on="f" joinstyle="miter"/>
            <v:imagedata r:id="rId122" o:title=""/>
            <o:lock v:ext="edit" aspectratio="t"/>
            <w10:wrap type="none"/>
            <w10:anchorlock/>
          </v:shape>
          <o:OLEObject Type="Embed" ProgID="Equation.3" ShapeID="_x0000_i1082" DrawAspect="Content" ObjectID="_1468075782" r:id="rId121">
            <o:LockedField>false</o:LockedField>
          </o:OLEObject>
        </w:object>
      </w:r>
      <w:r>
        <w:rPr>
          <w:sz w:val="24"/>
          <w:szCs w:val="24"/>
        </w:rPr>
        <w:t>，则相对扩展不确定度</w:t>
      </w:r>
      <w:r>
        <w:rPr>
          <w:position w:val="-12"/>
          <w:sz w:val="24"/>
          <w:szCs w:val="24"/>
        </w:rPr>
        <w:object>
          <v:shape id="_x0000_i1083" o:spt="75" type="#_x0000_t75" style="height:18.7pt;width:18.7pt;" o:ole="t" filled="f" o:preferrelative="t" stroked="f" coordsize="21600,21600">
            <v:path/>
            <v:fill on="f" focussize="0,0"/>
            <v:stroke on="f" joinstyle="miter"/>
            <v:imagedata r:id="rId124" o:title=""/>
            <o:lock v:ext="edit" aspectratio="t"/>
            <w10:wrap type="none"/>
            <w10:anchorlock/>
          </v:shape>
          <o:OLEObject Type="Embed" ProgID="Equation.3" ShapeID="_x0000_i1083" DrawAspect="Content" ObjectID="_1468075783" r:id="rId123">
            <o:LockedField>false</o:LockedField>
          </o:OLEObject>
        </w:object>
      </w:r>
      <w:r>
        <w:rPr>
          <w:sz w:val="24"/>
          <w:szCs w:val="24"/>
        </w:rPr>
        <w:t>计算如下：</w:t>
      </w:r>
    </w:p>
    <w:p>
      <w:pPr>
        <w:spacing w:line="360" w:lineRule="auto"/>
        <w:ind w:firstLine="480" w:firstLineChars="200"/>
        <w:jc w:val="right"/>
        <w:rPr>
          <w:sz w:val="24"/>
          <w:szCs w:val="24"/>
        </w:rPr>
      </w:pPr>
      <w:r>
        <w:rPr>
          <w:position w:val="-10"/>
          <w:sz w:val="24"/>
          <w:szCs w:val="24"/>
        </w:rPr>
        <w:object>
          <v:shape id="_x0000_i1084" o:spt="75" type="#_x0000_t75" style="height:15.9pt;width:80.4pt;" o:ole="t" filled="f" o:preferrelative="t" stroked="f" coordsize="21600,21600">
            <v:path/>
            <v:fill on="f" focussize="0,0"/>
            <v:stroke on="f" joinstyle="miter"/>
            <v:imagedata r:id="rId126" o:title=""/>
            <o:lock v:ext="edit" aspectratio="t"/>
            <w10:wrap type="none"/>
            <w10:anchorlock/>
          </v:shape>
          <o:OLEObject Type="Embed" ProgID="Equation.3" ShapeID="_x0000_i1084" DrawAspect="Content" ObjectID="_1468075784" r:id="rId125">
            <o:LockedField>false</o:LockedField>
          </o:OLEObject>
        </w:object>
      </w:r>
      <w:r>
        <w:rPr>
          <w:sz w:val="24"/>
          <w:szCs w:val="24"/>
        </w:rPr>
        <w:t xml:space="preserve">                             (A.</w:t>
      </w:r>
      <w:r>
        <w:rPr>
          <w:rFonts w:hint="eastAsia"/>
          <w:sz w:val="24"/>
          <w:szCs w:val="24"/>
        </w:rPr>
        <w:t>3</w:t>
      </w:r>
      <w:r>
        <w:rPr>
          <w:sz w:val="24"/>
          <w:szCs w:val="24"/>
        </w:rPr>
        <w:t>)</w:t>
      </w:r>
    </w:p>
    <w:p>
      <w:pPr>
        <w:widowControl/>
        <w:spacing w:line="360" w:lineRule="auto"/>
        <w:rPr>
          <w:sz w:val="24"/>
          <w:szCs w:val="24"/>
        </w:rPr>
      </w:pPr>
      <w:bookmarkStart w:id="51" w:name="_Toc497162383"/>
      <w:r>
        <w:rPr>
          <w:sz w:val="24"/>
          <w:szCs w:val="24"/>
        </w:rPr>
        <w:t>A.3  相对标准不确定度的评定</w:t>
      </w:r>
      <w:bookmarkEnd w:id="51"/>
    </w:p>
    <w:bookmarkEnd w:id="47"/>
    <w:bookmarkEnd w:id="48"/>
    <w:bookmarkEnd w:id="49"/>
    <w:bookmarkEnd w:id="50"/>
    <w:p>
      <w:pPr>
        <w:spacing w:line="360" w:lineRule="auto"/>
        <w:rPr>
          <w:sz w:val="24"/>
          <w:szCs w:val="24"/>
        </w:rPr>
      </w:pPr>
      <w:bookmarkStart w:id="52" w:name="_Toc422691908"/>
      <w:r>
        <w:rPr>
          <w:sz w:val="24"/>
          <w:szCs w:val="24"/>
        </w:rPr>
        <w:t>A.3.1 加速度测量系统加速度峰值测量校准引入的相对标准不确定度分量</w:t>
      </w:r>
      <w:r>
        <w:rPr>
          <w:position w:val="-10"/>
          <w:sz w:val="24"/>
          <w:szCs w:val="24"/>
        </w:rPr>
        <w:object>
          <v:shape id="_x0000_i1085" o:spt="75" type="#_x0000_t75" style="height:18.7pt;width:13.1pt;" o:ole="t" filled="f" o:preferrelative="t" stroked="f" coordsize="21600,21600">
            <v:path/>
            <v:fill on="f" focussize="0,0"/>
            <v:stroke on="f" joinstyle="miter"/>
            <v:imagedata r:id="rId108" o:title=""/>
            <o:lock v:ext="edit" aspectratio="t"/>
            <w10:wrap type="none"/>
            <w10:anchorlock/>
          </v:shape>
          <o:OLEObject Type="Embed" ProgID="Equation.3" ShapeID="_x0000_i1085" DrawAspect="Content" ObjectID="_1468075785" r:id="rId127">
            <o:LockedField>false</o:LockedField>
          </o:OLEObject>
        </w:object>
      </w:r>
    </w:p>
    <w:p>
      <w:pPr>
        <w:spacing w:line="360" w:lineRule="auto"/>
        <w:ind w:firstLine="480" w:firstLineChars="200"/>
        <w:rPr>
          <w:sz w:val="24"/>
          <w:szCs w:val="24"/>
        </w:rPr>
      </w:pPr>
      <w:r>
        <w:rPr>
          <w:sz w:val="24"/>
          <w:szCs w:val="24"/>
        </w:rPr>
        <w:t>加速度峰值测量不确定度——假定其不确定度不超过</w:t>
      </w:r>
      <w:r>
        <w:rPr>
          <w:position w:val="-12"/>
          <w:sz w:val="24"/>
          <w:szCs w:val="24"/>
        </w:rPr>
        <w:object>
          <v:shape id="_x0000_i1086" o:spt="75" type="#_x0000_t75" style="height:15.9pt;width:78.55pt;" o:ole="t" filled="f" o:preferrelative="t" stroked="f" coordsize="21600,21600">
            <v:path/>
            <v:fill on="f" focussize="0,0"/>
            <v:stroke on="f" joinstyle="miter"/>
            <v:imagedata r:id="rId129" o:title=""/>
            <o:lock v:ext="edit" aspectratio="t"/>
            <w10:wrap type="none"/>
            <w10:anchorlock/>
          </v:shape>
          <o:OLEObject Type="Embed" ProgID="Equation.DSMT4" ShapeID="_x0000_i1086" DrawAspect="Content" ObjectID="_1468075786" r:id="rId128">
            <o:LockedField>false</o:LockedField>
          </o:OLEObject>
        </w:object>
      </w:r>
      <w:r>
        <w:rPr>
          <w:sz w:val="24"/>
          <w:szCs w:val="24"/>
        </w:rPr>
        <w:t>，则因其引入的相对标准不确定度分量</w:t>
      </w:r>
      <w:r>
        <w:rPr>
          <w:position w:val="-10"/>
          <w:sz w:val="24"/>
          <w:szCs w:val="24"/>
        </w:rPr>
        <w:object>
          <v:shape id="_x0000_i1087" o:spt="75" type="#_x0000_t75" style="height:18.7pt;width:13.1pt;" o:ole="t" filled="f" o:preferrelative="t" stroked="f" coordsize="21600,21600">
            <v:path/>
            <v:fill on="f" focussize="0,0"/>
            <v:stroke on="f" joinstyle="miter"/>
            <v:imagedata r:id="rId108" o:title=""/>
            <o:lock v:ext="edit" aspectratio="t"/>
            <w10:wrap type="none"/>
            <w10:anchorlock/>
          </v:shape>
          <o:OLEObject Type="Embed" ProgID="Equation.3" ShapeID="_x0000_i1087" DrawAspect="Content" ObjectID="_1468075787" r:id="rId130">
            <o:LockedField>false</o:LockedField>
          </o:OLEObject>
        </w:object>
      </w:r>
      <w:r>
        <w:rPr>
          <w:sz w:val="24"/>
          <w:szCs w:val="24"/>
        </w:rPr>
        <w:t>为：</w:t>
      </w:r>
    </w:p>
    <w:p>
      <w:pPr>
        <w:wordWrap w:val="0"/>
        <w:spacing w:line="360" w:lineRule="auto"/>
        <w:ind w:firstLine="480" w:firstLineChars="200"/>
        <w:jc w:val="right"/>
        <w:rPr>
          <w:sz w:val="24"/>
          <w:szCs w:val="24"/>
        </w:rPr>
      </w:pPr>
      <w:r>
        <w:rPr>
          <w:position w:val="-24"/>
          <w:sz w:val="24"/>
          <w:szCs w:val="24"/>
        </w:rPr>
        <w:object>
          <v:shape id="_x0000_i1088" o:spt="75" type="#_x0000_t75" style="height:29.9pt;width:73.85pt;" o:ole="t" filled="f" o:preferrelative="t" stroked="f" coordsize="21600,21600">
            <v:path/>
            <v:fill on="f" focussize="0,0"/>
            <v:stroke on="f" joinstyle="miter"/>
            <v:imagedata r:id="rId132" o:title=""/>
            <o:lock v:ext="edit" aspectratio="t"/>
            <w10:wrap type="none"/>
            <w10:anchorlock/>
          </v:shape>
          <o:OLEObject Type="Embed" ProgID="Equation.DSMT4" ShapeID="_x0000_i1088" DrawAspect="Content" ObjectID="_1468075788" r:id="rId131">
            <o:LockedField>false</o:LockedField>
          </o:OLEObject>
        </w:object>
      </w:r>
      <w:r>
        <w:rPr>
          <w:sz w:val="24"/>
          <w:szCs w:val="24"/>
        </w:rPr>
        <w:t xml:space="preserve">                              (A.</w:t>
      </w:r>
      <w:r>
        <w:rPr>
          <w:rFonts w:hint="eastAsia"/>
          <w:sz w:val="24"/>
          <w:szCs w:val="24"/>
        </w:rPr>
        <w:t>4</w:t>
      </w:r>
      <w:r>
        <w:rPr>
          <w:sz w:val="24"/>
          <w:szCs w:val="24"/>
        </w:rPr>
        <w:t>)</w:t>
      </w:r>
    </w:p>
    <w:p>
      <w:pPr>
        <w:spacing w:line="360" w:lineRule="auto"/>
        <w:rPr>
          <w:sz w:val="24"/>
          <w:szCs w:val="24"/>
        </w:rPr>
      </w:pPr>
      <w:r>
        <w:rPr>
          <w:sz w:val="24"/>
          <w:szCs w:val="24"/>
        </w:rPr>
        <w:t>A.3.2 加速度测量系统年稳定性引入的相对标准不确定度分量</w:t>
      </w:r>
      <w:r>
        <w:rPr>
          <w:position w:val="-10"/>
          <w:sz w:val="24"/>
          <w:szCs w:val="24"/>
        </w:rPr>
        <w:object>
          <v:shape id="_x0000_i1089" o:spt="75" type="#_x0000_t75" style="height:18.7pt;width:13.1pt;" o:ole="t" filled="f" o:preferrelative="t" stroked="f" coordsize="21600,21600">
            <v:path/>
            <v:fill on="f" focussize="0,0"/>
            <v:stroke on="f" joinstyle="miter"/>
            <v:imagedata r:id="rId110" o:title=""/>
            <o:lock v:ext="edit" aspectratio="t"/>
            <w10:wrap type="none"/>
            <w10:anchorlock/>
          </v:shape>
          <o:OLEObject Type="Embed" ProgID="Equation.3" ShapeID="_x0000_i1089" DrawAspect="Content" ObjectID="_1468075789" r:id="rId133">
            <o:LockedField>false</o:LockedField>
          </o:OLEObject>
        </w:object>
      </w:r>
    </w:p>
    <w:p>
      <w:pPr>
        <w:spacing w:line="360" w:lineRule="auto"/>
        <w:ind w:firstLine="480" w:firstLineChars="200"/>
        <w:rPr>
          <w:sz w:val="24"/>
          <w:szCs w:val="24"/>
        </w:rPr>
      </w:pPr>
      <w:r>
        <w:rPr>
          <w:sz w:val="24"/>
          <w:szCs w:val="24"/>
        </w:rPr>
        <w:t>年稳定性不超过</w:t>
      </w:r>
      <w:r>
        <w:rPr>
          <w:position w:val="-12"/>
          <w:sz w:val="24"/>
          <w:szCs w:val="24"/>
        </w:rPr>
        <w:object>
          <v:shape id="_x0000_i1090" o:spt="75" type="#_x0000_t75" style="height:18.7pt;width:43.95pt;" o:ole="t" filled="f" o:preferrelative="t" stroked="f" coordsize="21600,21600">
            <v:path/>
            <v:fill on="f" focussize="0,0"/>
            <v:stroke on="f" joinstyle="miter"/>
            <v:imagedata r:id="rId135" o:title=""/>
            <o:lock v:ext="edit" aspectratio="t"/>
            <w10:wrap type="none"/>
            <w10:anchorlock/>
          </v:shape>
          <o:OLEObject Type="Embed" ProgID="Equation.DSMT4" ShapeID="_x0000_i1090" DrawAspect="Content" ObjectID="_1468075790" r:id="rId134">
            <o:LockedField>false</o:LockedField>
          </o:OLEObject>
        </w:object>
      </w:r>
      <w:r>
        <w:rPr>
          <w:sz w:val="24"/>
          <w:szCs w:val="24"/>
        </w:rPr>
        <w:t>，假定为均匀分布，则引入的相对标准不确定度分量</w:t>
      </w:r>
      <w:r>
        <w:rPr>
          <w:position w:val="-10"/>
          <w:sz w:val="24"/>
          <w:szCs w:val="24"/>
        </w:rPr>
        <w:object>
          <v:shape id="_x0000_i1091" o:spt="75" type="#_x0000_t75" style="height:18.7pt;width:13.1pt;" o:ole="t" filled="f" o:preferrelative="t" stroked="f" coordsize="21600,21600">
            <v:path/>
            <v:fill on="f" focussize="0,0"/>
            <v:stroke on="f" joinstyle="miter"/>
            <v:imagedata r:id="rId110" o:title=""/>
            <o:lock v:ext="edit" aspectratio="t"/>
            <w10:wrap type="none"/>
            <w10:anchorlock/>
          </v:shape>
          <o:OLEObject Type="Embed" ProgID="Equation.3" ShapeID="_x0000_i1091" DrawAspect="Content" ObjectID="_1468075791" r:id="rId136">
            <o:LockedField>false</o:LockedField>
          </o:OLEObject>
        </w:object>
      </w:r>
      <w:r>
        <w:rPr>
          <w:sz w:val="24"/>
          <w:szCs w:val="24"/>
        </w:rPr>
        <w:t>为：</w:t>
      </w:r>
    </w:p>
    <w:p>
      <w:pPr>
        <w:wordWrap w:val="0"/>
        <w:spacing w:line="360" w:lineRule="auto"/>
        <w:ind w:firstLine="480" w:firstLineChars="200"/>
        <w:jc w:val="right"/>
        <w:rPr>
          <w:sz w:val="24"/>
          <w:szCs w:val="24"/>
        </w:rPr>
      </w:pPr>
      <w:r>
        <w:rPr>
          <w:sz w:val="24"/>
          <w:szCs w:val="24"/>
        </w:rPr>
        <w:t xml:space="preserve"> </w:t>
      </w:r>
      <w:r>
        <w:rPr>
          <w:position w:val="-28"/>
          <w:sz w:val="24"/>
          <w:szCs w:val="24"/>
        </w:rPr>
        <w:object>
          <v:shape id="_x0000_i1092" o:spt="75" type="#_x0000_t75" style="height:31.8pt;width:81.35pt;" o:ole="t" filled="f" o:preferrelative="t" stroked="f" coordsize="21600,21600">
            <v:path/>
            <v:fill on="f" focussize="0,0"/>
            <v:stroke on="f" joinstyle="miter"/>
            <v:imagedata r:id="rId138" o:title=""/>
            <o:lock v:ext="edit" aspectratio="t"/>
            <w10:wrap type="none"/>
            <w10:anchorlock/>
          </v:shape>
          <o:OLEObject Type="Embed" ProgID="Equation.DSMT4" ShapeID="_x0000_i1092" DrawAspect="Content" ObjectID="_1468075792" r:id="rId137">
            <o:LockedField>false</o:LockedField>
          </o:OLEObject>
        </w:object>
      </w:r>
      <w:r>
        <w:rPr>
          <w:sz w:val="24"/>
          <w:szCs w:val="24"/>
        </w:rPr>
        <w:t xml:space="preserve">                             (A.</w:t>
      </w:r>
      <w:r>
        <w:rPr>
          <w:rFonts w:hint="eastAsia"/>
          <w:sz w:val="24"/>
          <w:szCs w:val="24"/>
        </w:rPr>
        <w:t>5</w:t>
      </w:r>
      <w:r>
        <w:rPr>
          <w:sz w:val="24"/>
          <w:szCs w:val="24"/>
        </w:rPr>
        <w:t>)</w:t>
      </w:r>
    </w:p>
    <w:p>
      <w:pPr>
        <w:spacing w:line="360" w:lineRule="auto"/>
        <w:rPr>
          <w:sz w:val="24"/>
          <w:szCs w:val="24"/>
        </w:rPr>
      </w:pPr>
      <w:r>
        <w:rPr>
          <w:sz w:val="24"/>
          <w:szCs w:val="24"/>
        </w:rPr>
        <w:t>A.3.3 加速度测量系统中传感器横向灵敏度比引入的相对标准不确定度分量</w:t>
      </w:r>
      <w:r>
        <w:rPr>
          <w:position w:val="-12"/>
          <w:sz w:val="24"/>
          <w:szCs w:val="24"/>
        </w:rPr>
        <w:object>
          <v:shape id="_x0000_i1093" o:spt="75" type="#_x0000_t75" style="height:18.7pt;width:13.1pt;" o:ole="t" filled="f" o:preferrelative="t" stroked="f" coordsize="21600,21600">
            <v:path/>
            <v:fill on="f" focussize="0,0"/>
            <v:stroke on="f" joinstyle="miter"/>
            <v:imagedata r:id="rId112" o:title=""/>
            <o:lock v:ext="edit" aspectratio="t"/>
            <w10:wrap type="none"/>
            <w10:anchorlock/>
          </v:shape>
          <o:OLEObject Type="Embed" ProgID="Equation.3" ShapeID="_x0000_i1093" DrawAspect="Content" ObjectID="_1468075793" r:id="rId139">
            <o:LockedField>false</o:LockedField>
          </o:OLEObject>
        </w:object>
      </w:r>
      <w:r>
        <w:rPr>
          <w:sz w:val="24"/>
          <w:szCs w:val="24"/>
        </w:rPr>
        <w:t>；</w:t>
      </w:r>
    </w:p>
    <w:p>
      <w:pPr>
        <w:spacing w:line="360" w:lineRule="auto"/>
        <w:ind w:firstLine="480" w:firstLineChars="200"/>
        <w:rPr>
          <w:sz w:val="24"/>
          <w:szCs w:val="24"/>
        </w:rPr>
      </w:pPr>
      <w:r>
        <w:rPr>
          <w:sz w:val="24"/>
          <w:szCs w:val="24"/>
        </w:rPr>
        <w:t>加速度传感器最大横向灵敏度比为</w:t>
      </w:r>
      <w:r>
        <w:rPr>
          <w:position w:val="-12"/>
          <w:sz w:val="24"/>
          <w:szCs w:val="24"/>
        </w:rPr>
        <w:object>
          <v:shape id="_x0000_i1094" o:spt="75" type="#_x0000_t75" style="height:18.7pt;width:40.2pt;" o:ole="t" filled="f" o:preferrelative="t" stroked="f" coordsize="21600,21600">
            <v:path/>
            <v:fill on="f" focussize="0,0"/>
            <v:stroke on="f" joinstyle="miter"/>
            <v:imagedata r:id="rId141" o:title=""/>
            <o:lock v:ext="edit" aspectratio="t"/>
            <w10:wrap type="none"/>
            <w10:anchorlock/>
          </v:shape>
          <o:OLEObject Type="Embed" ProgID="Equation.DSMT4" ShapeID="_x0000_i1094" DrawAspect="Content" ObjectID="_1468075794" r:id="rId140">
            <o:LockedField>false</o:LockedField>
          </o:OLEObject>
        </w:object>
      </w:r>
      <w:r>
        <w:rPr>
          <w:sz w:val="24"/>
          <w:szCs w:val="24"/>
        </w:rPr>
        <w:t>，台面横向运动不超过</w:t>
      </w:r>
      <w:r>
        <w:rPr>
          <w:position w:val="-12"/>
          <w:sz w:val="24"/>
          <w:szCs w:val="24"/>
        </w:rPr>
        <w:object>
          <v:shape id="_x0000_i1095" o:spt="75" type="#_x0000_t75" style="height:18.7pt;width:49.55pt;" o:ole="t" filled="f" o:preferrelative="t" stroked="f" coordsize="21600,21600">
            <v:path/>
            <v:fill on="f" focussize="0,0"/>
            <v:stroke on="f" joinstyle="miter"/>
            <v:imagedata r:id="rId143" o:title=""/>
            <o:lock v:ext="edit" aspectratio="t"/>
            <w10:wrap type="none"/>
            <w10:anchorlock/>
          </v:shape>
          <o:OLEObject Type="Embed" ProgID="Equation.DSMT4" ShapeID="_x0000_i1095" DrawAspect="Content" ObjectID="_1468075795" r:id="rId142">
            <o:LockedField>false</o:LockedField>
          </o:OLEObject>
        </w:object>
      </w:r>
      <w:r>
        <w:rPr>
          <w:sz w:val="24"/>
          <w:szCs w:val="24"/>
        </w:rPr>
        <w:t>，假定为正态分布，则引入的相对标准不确定度</w:t>
      </w:r>
      <w:r>
        <w:rPr>
          <w:position w:val="-12"/>
          <w:sz w:val="24"/>
          <w:szCs w:val="24"/>
        </w:rPr>
        <w:object>
          <v:shape id="_x0000_i1096" o:spt="75" type="#_x0000_t75" style="height:18.7pt;width:13.1pt;" o:ole="t" filled="f" o:preferrelative="t" stroked="f" coordsize="21600,21600">
            <v:path/>
            <v:fill on="f" focussize="0,0"/>
            <v:stroke on="f" joinstyle="miter"/>
            <v:imagedata r:id="rId112" o:title=""/>
            <o:lock v:ext="edit" aspectratio="t"/>
            <w10:wrap type="none"/>
            <w10:anchorlock/>
          </v:shape>
          <o:OLEObject Type="Embed" ProgID="Equation.3" ShapeID="_x0000_i1096" DrawAspect="Content" ObjectID="_1468075796" r:id="rId144">
            <o:LockedField>false</o:LockedField>
          </o:OLEObject>
        </w:object>
      </w:r>
      <w:r>
        <w:rPr>
          <w:sz w:val="24"/>
          <w:szCs w:val="24"/>
        </w:rPr>
        <w:t>为：</w:t>
      </w:r>
    </w:p>
    <w:p>
      <w:pPr>
        <w:wordWrap w:val="0"/>
        <w:spacing w:line="360" w:lineRule="auto"/>
        <w:ind w:firstLine="480" w:firstLineChars="200"/>
        <w:jc w:val="right"/>
        <w:rPr>
          <w:sz w:val="24"/>
          <w:szCs w:val="24"/>
        </w:rPr>
      </w:pPr>
      <w:r>
        <w:rPr>
          <w:position w:val="-24"/>
          <w:sz w:val="24"/>
          <w:szCs w:val="24"/>
        </w:rPr>
        <w:object>
          <v:shape id="_x0000_i1097" o:spt="75" type="#_x0000_t75" style="height:29.9pt;width:92.55pt;" o:ole="t" filled="f" o:preferrelative="t" stroked="f" coordsize="21600,21600">
            <v:path/>
            <v:fill on="f" focussize="0,0"/>
            <v:stroke on="f" joinstyle="miter"/>
            <v:imagedata r:id="rId146" o:title=""/>
            <o:lock v:ext="edit" aspectratio="t"/>
            <w10:wrap type="none"/>
            <w10:anchorlock/>
          </v:shape>
          <o:OLEObject Type="Embed" ProgID="Equation.DSMT4" ShapeID="_x0000_i1097" DrawAspect="Content" ObjectID="_1468075797" r:id="rId145">
            <o:LockedField>false</o:LockedField>
          </o:OLEObject>
        </w:object>
      </w:r>
      <w:r>
        <w:rPr>
          <w:sz w:val="24"/>
          <w:szCs w:val="24"/>
        </w:rPr>
        <w:t xml:space="preserve">                             (A.</w:t>
      </w:r>
      <w:r>
        <w:rPr>
          <w:rFonts w:hint="eastAsia"/>
          <w:sz w:val="24"/>
          <w:szCs w:val="24"/>
        </w:rPr>
        <w:t>6</w:t>
      </w:r>
      <w:r>
        <w:rPr>
          <w:sz w:val="24"/>
          <w:szCs w:val="24"/>
        </w:rPr>
        <w:t>)</w:t>
      </w:r>
    </w:p>
    <w:p>
      <w:pPr>
        <w:spacing w:line="360" w:lineRule="auto"/>
        <w:rPr>
          <w:sz w:val="24"/>
          <w:szCs w:val="24"/>
        </w:rPr>
      </w:pPr>
      <w:r>
        <w:rPr>
          <w:sz w:val="24"/>
          <w:szCs w:val="24"/>
        </w:rPr>
        <w:t>A.3.4 环境温度引入的相对标准不确定度分量</w:t>
      </w:r>
      <w:r>
        <w:rPr>
          <w:position w:val="-10"/>
          <w:sz w:val="24"/>
          <w:szCs w:val="24"/>
        </w:rPr>
        <w:object>
          <v:shape id="_x0000_i1098" o:spt="75" type="#_x0000_t75" style="height:18.7pt;width:13.1pt;" o:ole="t" filled="f" o:preferrelative="t" stroked="f" coordsize="21600,21600">
            <v:path/>
            <v:fill on="f" focussize="0,0"/>
            <v:stroke on="f" joinstyle="miter"/>
            <v:imagedata r:id="rId114" o:title=""/>
            <o:lock v:ext="edit" aspectratio="t"/>
            <w10:wrap type="none"/>
            <w10:anchorlock/>
          </v:shape>
          <o:OLEObject Type="Embed" ProgID="Equation.3" ShapeID="_x0000_i1098" DrawAspect="Content" ObjectID="_1468075798" r:id="rId147">
            <o:LockedField>false</o:LockedField>
          </o:OLEObject>
        </w:object>
      </w:r>
      <w:r>
        <w:rPr>
          <w:sz w:val="24"/>
          <w:szCs w:val="24"/>
        </w:rPr>
        <w:t>；</w:t>
      </w:r>
    </w:p>
    <w:p>
      <w:pPr>
        <w:spacing w:line="360" w:lineRule="auto"/>
        <w:ind w:firstLine="480" w:firstLineChars="200"/>
        <w:rPr>
          <w:sz w:val="24"/>
          <w:szCs w:val="24"/>
        </w:rPr>
      </w:pPr>
      <w:r>
        <w:rPr>
          <w:sz w:val="24"/>
          <w:szCs w:val="24"/>
        </w:rPr>
        <w:t>环境对测量系统中传感器及放大器增益和相移影响产生的测量误差</w:t>
      </w:r>
      <w:r>
        <w:rPr>
          <w:position w:val="-12"/>
          <w:sz w:val="24"/>
          <w:szCs w:val="24"/>
        </w:rPr>
        <w:object>
          <v:shape id="_x0000_i1099" o:spt="75" type="#_x0000_t75" style="height:18.7pt;width:63.6pt;" o:ole="t" filled="f" o:preferrelative="t" stroked="f" coordsize="21600,21600">
            <v:path/>
            <v:fill on="f" focussize="0,0"/>
            <v:stroke on="f" joinstyle="miter"/>
            <v:imagedata r:id="rId149" o:title=""/>
            <o:lock v:ext="edit" aspectratio="t"/>
            <w10:wrap type="none"/>
            <w10:anchorlock/>
          </v:shape>
          <o:OLEObject Type="Embed" ProgID="Equation.DSMT4" ShapeID="_x0000_i1099" DrawAspect="Content" ObjectID="_1468075799" r:id="rId148">
            <o:LockedField>false</o:LockedField>
          </o:OLEObject>
        </w:object>
      </w:r>
      <w:r>
        <w:rPr>
          <w:sz w:val="24"/>
          <w:szCs w:val="24"/>
        </w:rPr>
        <w:t>，假定为均匀分布，则引入的相对标准不确定度分量</w:t>
      </w:r>
      <w:r>
        <w:rPr>
          <w:position w:val="-10"/>
          <w:sz w:val="24"/>
          <w:szCs w:val="24"/>
        </w:rPr>
        <w:object>
          <v:shape id="_x0000_i1100" o:spt="75" type="#_x0000_t75" style="height:18.7pt;width:13.1pt;" o:ole="t" filled="f" o:preferrelative="t" stroked="f" coordsize="21600,21600">
            <v:path/>
            <v:fill on="f" focussize="0,0"/>
            <v:stroke on="f" joinstyle="miter"/>
            <v:imagedata r:id="rId114" o:title=""/>
            <o:lock v:ext="edit" aspectratio="t"/>
            <w10:wrap type="none"/>
            <w10:anchorlock/>
          </v:shape>
          <o:OLEObject Type="Embed" ProgID="Equation.3" ShapeID="_x0000_i1100" DrawAspect="Content" ObjectID="_1468075800" r:id="rId150">
            <o:LockedField>false</o:LockedField>
          </o:OLEObject>
        </w:object>
      </w:r>
      <w:r>
        <w:rPr>
          <w:sz w:val="24"/>
          <w:szCs w:val="24"/>
        </w:rPr>
        <w:t>为：</w:t>
      </w:r>
    </w:p>
    <w:p>
      <w:pPr>
        <w:wordWrap w:val="0"/>
        <w:spacing w:line="360" w:lineRule="auto"/>
        <w:ind w:firstLine="480" w:firstLineChars="200"/>
        <w:jc w:val="right"/>
        <w:rPr>
          <w:bCs/>
          <w:sz w:val="24"/>
          <w:szCs w:val="24"/>
        </w:rPr>
      </w:pPr>
      <w:r>
        <w:rPr>
          <w:position w:val="-28"/>
          <w:sz w:val="24"/>
          <w:szCs w:val="24"/>
        </w:rPr>
        <w:object>
          <v:shape id="_x0000_i1101" o:spt="75" type="#_x0000_t75" style="height:31.8pt;width:85.1pt;" o:ole="t" filled="f" o:preferrelative="t" stroked="f" coordsize="21600,21600">
            <v:path/>
            <v:fill on="f" focussize="0,0"/>
            <v:stroke on="f" joinstyle="miter"/>
            <v:imagedata r:id="rId152" o:title=""/>
            <o:lock v:ext="edit" aspectratio="t"/>
            <w10:wrap type="none"/>
            <w10:anchorlock/>
          </v:shape>
          <o:OLEObject Type="Embed" ProgID="Equation.DSMT4" ShapeID="_x0000_i1101" DrawAspect="Content" ObjectID="_1468075801" r:id="rId151">
            <o:LockedField>false</o:LockedField>
          </o:OLEObject>
        </w:object>
      </w:r>
      <w:r>
        <w:rPr>
          <w:sz w:val="24"/>
          <w:szCs w:val="24"/>
        </w:rPr>
        <w:t xml:space="preserve">                              (A.</w:t>
      </w:r>
      <w:r>
        <w:rPr>
          <w:rFonts w:hint="eastAsia"/>
          <w:sz w:val="24"/>
          <w:szCs w:val="24"/>
        </w:rPr>
        <w:t>7</w:t>
      </w:r>
      <w:r>
        <w:rPr>
          <w:sz w:val="24"/>
          <w:szCs w:val="24"/>
        </w:rPr>
        <w:t>)</w:t>
      </w:r>
    </w:p>
    <w:p>
      <w:pPr>
        <w:spacing w:line="360" w:lineRule="auto"/>
        <w:rPr>
          <w:sz w:val="24"/>
          <w:szCs w:val="24"/>
        </w:rPr>
      </w:pPr>
      <w:r>
        <w:rPr>
          <w:sz w:val="24"/>
          <w:szCs w:val="24"/>
        </w:rPr>
        <w:t>A.3.5 其他影响（包括噪声、线缆抖动等）引入的相对标准不确定度分量</w:t>
      </w:r>
      <w:r>
        <w:rPr>
          <w:position w:val="-12"/>
          <w:sz w:val="24"/>
          <w:szCs w:val="24"/>
        </w:rPr>
        <w:object>
          <v:shape id="_x0000_i1102" o:spt="75" type="#_x0000_t75" style="height:18.7pt;width:13.1pt;" o:ole="t" filled="f" o:preferrelative="t" stroked="f" coordsize="21600,21600">
            <v:path/>
            <v:fill on="f" focussize="0,0"/>
            <v:stroke on="f" joinstyle="miter"/>
            <v:imagedata r:id="rId116" o:title=""/>
            <o:lock v:ext="edit" aspectratio="t"/>
            <w10:wrap type="none"/>
            <w10:anchorlock/>
          </v:shape>
          <o:OLEObject Type="Embed" ProgID="Equation.3" ShapeID="_x0000_i1102" DrawAspect="Content" ObjectID="_1468075802" r:id="rId153">
            <o:LockedField>false</o:LockedField>
          </o:OLEObject>
        </w:object>
      </w:r>
      <w:r>
        <w:rPr>
          <w:sz w:val="24"/>
          <w:szCs w:val="24"/>
        </w:rPr>
        <w:t>；</w:t>
      </w:r>
    </w:p>
    <w:p>
      <w:pPr>
        <w:spacing w:line="360" w:lineRule="auto"/>
        <w:ind w:firstLine="480" w:firstLineChars="200"/>
        <w:rPr>
          <w:sz w:val="24"/>
          <w:szCs w:val="24"/>
        </w:rPr>
      </w:pPr>
      <w:r>
        <w:rPr>
          <w:sz w:val="24"/>
          <w:szCs w:val="24"/>
        </w:rPr>
        <w:t>测量系统因包括噪声、线缆抖动等在内的其他因素引入的</w:t>
      </w:r>
      <w:r>
        <w:rPr>
          <w:bCs/>
          <w:sz w:val="24"/>
          <w:szCs w:val="24"/>
        </w:rPr>
        <w:t>测量误差为</w:t>
      </w:r>
      <w:r>
        <w:rPr>
          <w:position w:val="-14"/>
          <w:sz w:val="24"/>
          <w:szCs w:val="24"/>
        </w:rPr>
        <w:object>
          <v:shape id="_x0000_i1103" o:spt="75" type="#_x0000_t75" style="height:18.7pt;width:65.45pt;" o:ole="t" filled="f" o:preferrelative="t" stroked="f" coordsize="21600,21600">
            <v:path/>
            <v:fill on="f" focussize="0,0"/>
            <v:stroke on="f" joinstyle="miter"/>
            <v:imagedata r:id="rId155" o:title=""/>
            <o:lock v:ext="edit" aspectratio="t"/>
            <w10:wrap type="none"/>
            <w10:anchorlock/>
          </v:shape>
          <o:OLEObject Type="Embed" ProgID="Equation.DSMT4" ShapeID="_x0000_i1103" DrawAspect="Content" ObjectID="_1468075803" r:id="rId154">
            <o:LockedField>false</o:LockedField>
          </o:OLEObject>
        </w:object>
      </w:r>
      <w:r>
        <w:rPr>
          <w:bCs/>
          <w:sz w:val="24"/>
          <w:szCs w:val="24"/>
        </w:rPr>
        <w:t>，假定为均匀分布，</w:t>
      </w:r>
      <w:r>
        <w:rPr>
          <w:sz w:val="24"/>
          <w:szCs w:val="24"/>
        </w:rPr>
        <w:t>则引入的相对标准不确定度</w:t>
      </w:r>
      <w:r>
        <w:rPr>
          <w:position w:val="-12"/>
          <w:sz w:val="24"/>
          <w:szCs w:val="24"/>
        </w:rPr>
        <w:object>
          <v:shape id="_x0000_i1104" o:spt="75" type="#_x0000_t75" style="height:18.7pt;width:13.1pt;" o:ole="t" filled="f" o:preferrelative="t" stroked="f" coordsize="21600,21600">
            <v:path/>
            <v:fill on="f" focussize="0,0"/>
            <v:stroke on="f" joinstyle="miter"/>
            <v:imagedata r:id="rId116" o:title=""/>
            <o:lock v:ext="edit" aspectratio="t"/>
            <w10:wrap type="none"/>
            <w10:anchorlock/>
          </v:shape>
          <o:OLEObject Type="Embed" ProgID="Equation.3" ShapeID="_x0000_i1104" DrawAspect="Content" ObjectID="_1468075804" r:id="rId156">
            <o:LockedField>false</o:LockedField>
          </o:OLEObject>
        </w:object>
      </w:r>
      <w:r>
        <w:rPr>
          <w:sz w:val="24"/>
          <w:szCs w:val="24"/>
        </w:rPr>
        <w:t>为：</w:t>
      </w:r>
    </w:p>
    <w:p>
      <w:pPr>
        <w:wordWrap w:val="0"/>
        <w:spacing w:line="360" w:lineRule="auto"/>
        <w:ind w:firstLine="480" w:firstLineChars="200"/>
        <w:jc w:val="right"/>
        <w:rPr>
          <w:sz w:val="24"/>
          <w:szCs w:val="24"/>
        </w:rPr>
      </w:pPr>
      <w:r>
        <w:rPr>
          <w:position w:val="-28"/>
          <w:sz w:val="24"/>
          <w:szCs w:val="24"/>
        </w:rPr>
        <w:object>
          <v:shape id="_x0000_i1105" o:spt="75" type="#_x0000_t75" style="height:35.55pt;width:85.1pt;" o:ole="t" filled="f" o:preferrelative="t" stroked="f" coordsize="21600,21600">
            <v:path/>
            <v:fill on="f" focussize="0,0"/>
            <v:stroke on="f" joinstyle="miter"/>
            <v:imagedata r:id="rId158" o:title=""/>
            <o:lock v:ext="edit" aspectratio="t"/>
            <w10:wrap type="none"/>
            <w10:anchorlock/>
          </v:shape>
          <o:OLEObject Type="Embed" ProgID="Equation.DSMT4" ShapeID="_x0000_i1105" DrawAspect="Content" ObjectID="_1468075805" r:id="rId157">
            <o:LockedField>false</o:LockedField>
          </o:OLEObject>
        </w:object>
      </w:r>
      <w:r>
        <w:rPr>
          <w:sz w:val="24"/>
          <w:szCs w:val="24"/>
        </w:rPr>
        <w:t xml:space="preserve">                             (A.</w:t>
      </w:r>
      <w:r>
        <w:rPr>
          <w:rFonts w:hint="eastAsia"/>
          <w:sz w:val="24"/>
          <w:szCs w:val="24"/>
        </w:rPr>
        <w:t>8</w:t>
      </w:r>
      <w:r>
        <w:rPr>
          <w:sz w:val="24"/>
          <w:szCs w:val="24"/>
        </w:rPr>
        <w:t>)</w:t>
      </w:r>
    </w:p>
    <w:p>
      <w:pPr>
        <w:spacing w:line="360" w:lineRule="auto"/>
        <w:rPr>
          <w:sz w:val="24"/>
          <w:szCs w:val="24"/>
        </w:rPr>
      </w:pPr>
      <w:r>
        <w:rPr>
          <w:sz w:val="24"/>
          <w:szCs w:val="24"/>
        </w:rPr>
        <w:t>A.3.6 因测量重复性引入的相对标准不确定度分量</w:t>
      </w:r>
      <w:r>
        <w:rPr>
          <w:position w:val="-12"/>
          <w:sz w:val="24"/>
          <w:szCs w:val="24"/>
        </w:rPr>
        <w:object>
          <v:shape id="_x0000_i1106" o:spt="75" type="#_x0000_t75" style="height:18.7pt;width:13.1pt;" o:ole="t" filled="f" o:preferrelative="t" stroked="f" coordsize="21600,21600">
            <v:path/>
            <v:fill on="f" focussize="0,0"/>
            <v:stroke on="f" joinstyle="miter"/>
            <v:imagedata r:id="rId118" o:title=""/>
            <o:lock v:ext="edit" aspectratio="t"/>
            <w10:wrap type="none"/>
            <w10:anchorlock/>
          </v:shape>
          <o:OLEObject Type="Embed" ProgID="Equation.3" ShapeID="_x0000_i1106" DrawAspect="Content" ObjectID="_1468075806" r:id="rId159">
            <o:LockedField>false</o:LockedField>
          </o:OLEObject>
        </w:object>
      </w:r>
      <w:r>
        <w:rPr>
          <w:sz w:val="24"/>
          <w:szCs w:val="24"/>
        </w:rPr>
        <w:t>；</w:t>
      </w:r>
    </w:p>
    <w:p>
      <w:pPr>
        <w:spacing w:line="360" w:lineRule="auto"/>
        <w:ind w:firstLine="480" w:firstLineChars="200"/>
        <w:rPr>
          <w:sz w:val="24"/>
          <w:szCs w:val="24"/>
        </w:rPr>
      </w:pPr>
      <w:r>
        <w:rPr>
          <w:sz w:val="24"/>
          <w:szCs w:val="24"/>
        </w:rPr>
        <w:t>因重复测量产生的重复性为</w:t>
      </w:r>
      <w:r>
        <w:rPr>
          <w:position w:val="-6"/>
          <w:sz w:val="24"/>
          <w:szCs w:val="24"/>
        </w:rPr>
        <w:object>
          <v:shape id="_x0000_i1107" o:spt="75" type="#_x0000_t75" style="height:13.1pt;width:48.6pt;" o:ole="t" filled="f" o:preferrelative="t" stroked="f" coordsize="21600,21600">
            <v:path/>
            <v:fill on="f" focussize="0,0"/>
            <v:stroke on="f" joinstyle="miter"/>
            <v:imagedata r:id="rId161" o:title=""/>
            <o:lock v:ext="edit" aspectratio="t"/>
            <w10:wrap type="none"/>
            <w10:anchorlock/>
          </v:shape>
          <o:OLEObject Type="Embed" ProgID="Equation.DSMT4" ShapeID="_x0000_i1107" DrawAspect="Content" ObjectID="_1468075807" r:id="rId160">
            <o:LockedField>false</o:LockedField>
          </o:OLEObject>
        </w:object>
      </w:r>
      <w:r>
        <w:rPr>
          <w:sz w:val="24"/>
          <w:szCs w:val="24"/>
        </w:rPr>
        <w:t>，则引入的相对标准不确定度</w:t>
      </w:r>
      <w:r>
        <w:rPr>
          <w:position w:val="-12"/>
          <w:sz w:val="24"/>
          <w:szCs w:val="24"/>
        </w:rPr>
        <w:object>
          <v:shape id="_x0000_i1108" o:spt="75" type="#_x0000_t75" style="height:18.7pt;width:13.1pt;" o:ole="t" filled="f" o:preferrelative="t" stroked="f" coordsize="21600,21600">
            <v:path/>
            <v:fill on="f" focussize="0,0"/>
            <v:stroke on="f" joinstyle="miter"/>
            <v:imagedata r:id="rId118" o:title=""/>
            <o:lock v:ext="edit" aspectratio="t"/>
            <w10:wrap type="none"/>
            <w10:anchorlock/>
          </v:shape>
          <o:OLEObject Type="Embed" ProgID="Equation.3" ShapeID="_x0000_i1108" DrawAspect="Content" ObjectID="_1468075808" r:id="rId162">
            <o:LockedField>false</o:LockedField>
          </o:OLEObject>
        </w:object>
      </w:r>
      <w:r>
        <w:rPr>
          <w:sz w:val="24"/>
          <w:szCs w:val="24"/>
        </w:rPr>
        <w:t>为：</w:t>
      </w:r>
    </w:p>
    <w:p>
      <w:pPr>
        <w:wordWrap w:val="0"/>
        <w:spacing w:line="360" w:lineRule="auto"/>
        <w:ind w:firstLine="480" w:firstLineChars="200"/>
        <w:jc w:val="right"/>
        <w:rPr>
          <w:sz w:val="24"/>
          <w:szCs w:val="24"/>
        </w:rPr>
      </w:pPr>
      <w:r>
        <w:rPr>
          <w:position w:val="-12"/>
          <w:sz w:val="24"/>
          <w:szCs w:val="24"/>
        </w:rPr>
        <w:object>
          <v:shape id="_x0000_i1109" o:spt="75" type="#_x0000_t75" style="height:18.7pt;width:67.3pt;" o:ole="t" filled="f" o:preferrelative="t" stroked="f" coordsize="21600,21600">
            <v:path/>
            <v:fill on="f" focussize="0,0"/>
            <v:stroke on="f" joinstyle="miter"/>
            <v:imagedata r:id="rId164" o:title=""/>
            <o:lock v:ext="edit" aspectratio="t"/>
            <w10:wrap type="none"/>
            <w10:anchorlock/>
          </v:shape>
          <o:OLEObject Type="Embed" ProgID="Equation.DSMT4" ShapeID="_x0000_i1109" DrawAspect="Content" ObjectID="_1468075809" r:id="rId163">
            <o:LockedField>false</o:LockedField>
          </o:OLEObject>
        </w:object>
      </w:r>
      <w:r>
        <w:rPr>
          <w:sz w:val="24"/>
          <w:szCs w:val="24"/>
        </w:rPr>
        <w:t xml:space="preserve">                               (A.</w:t>
      </w:r>
      <w:r>
        <w:rPr>
          <w:rFonts w:hint="eastAsia"/>
          <w:sz w:val="24"/>
          <w:szCs w:val="24"/>
        </w:rPr>
        <w:t>9</w:t>
      </w:r>
      <w:r>
        <w:rPr>
          <w:sz w:val="24"/>
          <w:szCs w:val="24"/>
        </w:rPr>
        <w:t>)</w:t>
      </w:r>
    </w:p>
    <w:p>
      <w:pPr>
        <w:widowControl/>
        <w:spacing w:line="360" w:lineRule="auto"/>
        <w:rPr>
          <w:sz w:val="24"/>
          <w:szCs w:val="24"/>
        </w:rPr>
      </w:pPr>
      <w:bookmarkStart w:id="53" w:name="_Toc497162384"/>
      <w:r>
        <w:rPr>
          <w:sz w:val="24"/>
          <w:szCs w:val="24"/>
        </w:rPr>
        <w:t>A.4  相对合成标准不确定度的计算</w:t>
      </w:r>
      <w:bookmarkEnd w:id="52"/>
      <w:bookmarkEnd w:id="53"/>
    </w:p>
    <w:p>
      <w:pPr>
        <w:spacing w:line="360" w:lineRule="auto"/>
        <w:rPr>
          <w:sz w:val="24"/>
          <w:szCs w:val="24"/>
        </w:rPr>
      </w:pPr>
      <w:r>
        <w:rPr>
          <w:sz w:val="24"/>
          <w:szCs w:val="24"/>
        </w:rPr>
        <w:t xml:space="preserve">    根据模型，由于不确定度分量间没有值得考虑的相关性，故</w:t>
      </w:r>
      <w:r>
        <w:rPr>
          <w:position w:val="-10"/>
          <w:sz w:val="24"/>
          <w:szCs w:val="24"/>
        </w:rPr>
        <w:object>
          <v:shape id="_x0000_i1110" o:spt="75" type="#_x0000_t75" style="height:15.9pt;width:24.3pt;" o:ole="t" filled="f" o:preferrelative="t" stroked="f" coordsize="21600,21600">
            <v:path/>
            <v:fill on="f" focussize="0,0"/>
            <v:stroke on="f" joinstyle="miter"/>
            <v:imagedata r:id="rId166" o:title=""/>
            <o:lock v:ext="edit" aspectratio="t"/>
            <w10:wrap type="none"/>
            <w10:anchorlock/>
          </v:shape>
          <o:OLEObject Type="Embed" ProgID="Equation.3" ShapeID="_x0000_i1110" DrawAspect="Content" ObjectID="_1468075810" r:id="rId165">
            <o:LockedField>false</o:LockedField>
          </o:OLEObject>
        </w:object>
      </w:r>
      <w:r>
        <w:rPr>
          <w:sz w:val="24"/>
          <w:szCs w:val="24"/>
        </w:rPr>
        <w:t>，则相对合成标准不确定度如下：</w:t>
      </w:r>
    </w:p>
    <w:p>
      <w:pPr>
        <w:wordWrap w:val="0"/>
        <w:spacing w:line="360" w:lineRule="auto"/>
        <w:ind w:firstLine="480" w:firstLineChars="200"/>
        <w:jc w:val="right"/>
        <w:rPr>
          <w:sz w:val="24"/>
          <w:szCs w:val="24"/>
        </w:rPr>
      </w:pPr>
      <w:bookmarkStart w:id="54" w:name="_Toc422691909"/>
      <w:r>
        <w:rPr>
          <w:position w:val="-30"/>
          <w:sz w:val="24"/>
          <w:szCs w:val="24"/>
        </w:rPr>
        <w:object>
          <v:shape id="_x0000_i1111" o:spt="75" type="#_x0000_t75" style="height:38.35pt;width:124.35pt;" o:ole="t" filled="f" o:preferrelative="t" stroked="f" coordsize="21600,21600">
            <v:path/>
            <v:fill on="f" focussize="0,0"/>
            <v:stroke on="f" joinstyle="miter"/>
            <v:imagedata r:id="rId168" o:title=""/>
            <o:lock v:ext="edit" aspectratio="t"/>
            <w10:wrap type="none"/>
            <w10:anchorlock/>
          </v:shape>
          <o:OLEObject Type="Embed" ProgID="Equation.DSMT4" ShapeID="_x0000_i1111" DrawAspect="Content" ObjectID="_1468075811" r:id="rId167">
            <o:LockedField>false</o:LockedField>
          </o:OLEObject>
        </w:object>
      </w:r>
      <w:r>
        <w:rPr>
          <w:sz w:val="24"/>
          <w:szCs w:val="24"/>
        </w:rPr>
        <w:t xml:space="preserve">                          (A.</w:t>
      </w:r>
      <w:r>
        <w:rPr>
          <w:rFonts w:hint="eastAsia"/>
          <w:sz w:val="24"/>
          <w:szCs w:val="24"/>
        </w:rPr>
        <w:t>10</w:t>
      </w:r>
      <w:r>
        <w:rPr>
          <w:sz w:val="24"/>
          <w:szCs w:val="24"/>
        </w:rPr>
        <w:t>)</w:t>
      </w:r>
    </w:p>
    <w:bookmarkEnd w:id="54"/>
    <w:p>
      <w:pPr>
        <w:widowControl/>
        <w:spacing w:line="360" w:lineRule="auto"/>
        <w:rPr>
          <w:sz w:val="24"/>
          <w:szCs w:val="24"/>
        </w:rPr>
      </w:pPr>
      <w:bookmarkStart w:id="55" w:name="_Toc497162385"/>
      <w:r>
        <w:rPr>
          <w:sz w:val="24"/>
          <w:szCs w:val="24"/>
        </w:rPr>
        <w:t>A.5  相对扩展不确定度的计算</w:t>
      </w:r>
      <w:bookmarkEnd w:id="55"/>
    </w:p>
    <w:p>
      <w:pPr>
        <w:spacing w:line="360" w:lineRule="auto"/>
        <w:ind w:firstLine="450"/>
        <w:rPr>
          <w:sz w:val="24"/>
          <w:szCs w:val="24"/>
        </w:rPr>
      </w:pPr>
      <w:r>
        <w:rPr>
          <w:sz w:val="24"/>
          <w:szCs w:val="24"/>
        </w:rPr>
        <w:t>取</w:t>
      </w:r>
      <w:r>
        <w:rPr>
          <w:position w:val="-6"/>
        </w:rPr>
        <w:object>
          <v:shape id="_x0000_i1112" o:spt="75" type="#_x0000_t75" style="height:14.05pt;width:28.05pt;" o:ole="t" filled="f" o:preferrelative="t" stroked="f" coordsize="21600,21600">
            <v:path/>
            <v:fill on="f" focussize="0,0"/>
            <v:stroke on="f" joinstyle="miter"/>
            <v:imagedata r:id="rId170" o:title=""/>
            <o:lock v:ext="edit" aspectratio="t"/>
            <w10:wrap type="none"/>
            <w10:anchorlock/>
          </v:shape>
          <o:OLEObject Type="Embed" ProgID="Equation.DSMT4" ShapeID="_x0000_i1112" DrawAspect="Content" ObjectID="_1468075812" r:id="rId169">
            <o:LockedField>false</o:LockedField>
          </o:OLEObject>
        </w:object>
      </w:r>
      <w:r>
        <w:rPr>
          <w:sz w:val="24"/>
          <w:szCs w:val="24"/>
        </w:rPr>
        <w:t>，则相对扩展不确定度如下：</w:t>
      </w:r>
    </w:p>
    <w:p>
      <w:pPr>
        <w:wordWrap w:val="0"/>
        <w:spacing w:line="360" w:lineRule="auto"/>
        <w:ind w:firstLine="450"/>
        <w:jc w:val="right"/>
        <w:rPr>
          <w:sz w:val="24"/>
          <w:szCs w:val="24"/>
        </w:rPr>
      </w:pPr>
      <w:r>
        <w:rPr>
          <w:color w:val="000000"/>
          <w:position w:val="-12"/>
          <w:sz w:val="24"/>
          <w:szCs w:val="24"/>
        </w:rPr>
        <w:object>
          <v:shape id="_x0000_i1113" o:spt="75" type="#_x0000_t75" style="height:19.65pt;width:86.05pt;" o:ole="t" filled="f" o:preferrelative="t" stroked="f" coordsize="21600,21600">
            <v:path/>
            <v:fill on="f" focussize="0,0"/>
            <v:stroke on="f" joinstyle="miter"/>
            <v:imagedata r:id="rId172" o:title=""/>
            <o:lock v:ext="edit" aspectratio="t"/>
            <w10:wrap type="none"/>
            <w10:anchorlock/>
          </v:shape>
          <o:OLEObject Type="Embed" ProgID="Equation.DSMT4" ShapeID="_x0000_i1113" DrawAspect="Content" ObjectID="_1468075813" r:id="rId171">
            <o:LockedField>false</o:LockedField>
          </o:OLEObject>
        </w:object>
      </w:r>
      <w:r>
        <w:rPr>
          <w:color w:val="000000"/>
          <w:sz w:val="24"/>
          <w:szCs w:val="24"/>
        </w:rPr>
        <w:t xml:space="preserve">                          </w:t>
      </w:r>
      <w:r>
        <w:rPr>
          <w:sz w:val="24"/>
          <w:szCs w:val="24"/>
        </w:rPr>
        <w:t xml:space="preserve"> (A.1</w:t>
      </w:r>
      <w:r>
        <w:rPr>
          <w:rFonts w:hint="eastAsia"/>
          <w:sz w:val="24"/>
          <w:szCs w:val="24"/>
        </w:rPr>
        <w:t>1</w:t>
      </w:r>
      <w:r>
        <w:rPr>
          <w:sz w:val="24"/>
          <w:szCs w:val="24"/>
        </w:rPr>
        <w:t>)</w:t>
      </w:r>
    </w:p>
    <w:p>
      <w:pPr>
        <w:spacing w:line="360" w:lineRule="auto"/>
        <w:ind w:firstLine="450"/>
        <w:jc w:val="right"/>
        <w:rPr>
          <w:sz w:val="24"/>
        </w:rPr>
      </w:pPr>
    </w:p>
    <w:p>
      <w:pPr>
        <w:pStyle w:val="2"/>
        <w:spacing w:line="300" w:lineRule="auto"/>
        <w:rPr>
          <w:rFonts w:eastAsia="黑体"/>
          <w:b w:val="0"/>
          <w:bCs w:val="0"/>
          <w:sz w:val="28"/>
          <w:szCs w:val="28"/>
        </w:rPr>
      </w:pPr>
      <w:r>
        <w:rPr>
          <w:sz w:val="24"/>
        </w:rPr>
        <w:br w:type="page"/>
      </w:r>
      <w:bookmarkEnd w:id="40"/>
      <w:bookmarkStart w:id="56" w:name="_Toc132233463"/>
      <w:r>
        <w:rPr>
          <w:rFonts w:hint="eastAsia" w:eastAsia="黑体"/>
          <w:b w:val="0"/>
          <w:bCs w:val="0"/>
          <w:sz w:val="28"/>
          <w:szCs w:val="28"/>
        </w:rPr>
        <w:t>附录</w:t>
      </w:r>
      <w:r>
        <w:rPr>
          <w:rFonts w:eastAsia="黑体"/>
          <w:b w:val="0"/>
          <w:bCs w:val="0"/>
          <w:sz w:val="28"/>
          <w:szCs w:val="28"/>
        </w:rPr>
        <w:t>B</w:t>
      </w:r>
      <w:bookmarkEnd w:id="56"/>
    </w:p>
    <w:p>
      <w:pPr>
        <w:pStyle w:val="4"/>
        <w:spacing w:line="300" w:lineRule="auto"/>
        <w:jc w:val="center"/>
        <w:rPr>
          <w:rFonts w:eastAsia="黑体"/>
          <w:b w:val="0"/>
          <w:sz w:val="28"/>
          <w:szCs w:val="28"/>
        </w:rPr>
      </w:pPr>
      <w:r>
        <w:rPr>
          <w:rFonts w:eastAsia="黑体"/>
          <w:b w:val="0"/>
          <w:sz w:val="28"/>
          <w:szCs w:val="28"/>
        </w:rPr>
        <w:t>PIND</w:t>
      </w:r>
      <w:r>
        <w:rPr>
          <w:rFonts w:hint="eastAsia" w:eastAsia="黑体"/>
          <w:b w:val="0"/>
          <w:sz w:val="28"/>
          <w:szCs w:val="28"/>
        </w:rPr>
        <w:t>换能器声压灵敏度级测量结果的不确定度评估示例</w:t>
      </w:r>
    </w:p>
    <w:p>
      <w:pPr>
        <w:widowControl/>
        <w:spacing w:line="360" w:lineRule="auto"/>
        <w:rPr>
          <w:rFonts w:eastAsiaTheme="minorEastAsia"/>
          <w:sz w:val="24"/>
          <w:szCs w:val="24"/>
        </w:rPr>
      </w:pPr>
      <w:bookmarkStart w:id="57" w:name="_Toc92445064"/>
      <w:r>
        <w:rPr>
          <w:rFonts w:eastAsiaTheme="minorEastAsia"/>
          <w:sz w:val="24"/>
          <w:szCs w:val="24"/>
        </w:rPr>
        <w:t>B.1  数学模型</w:t>
      </w:r>
    </w:p>
    <w:p>
      <w:pPr>
        <w:spacing w:line="360" w:lineRule="auto"/>
        <w:ind w:firstLine="480" w:firstLineChars="200"/>
        <w:rPr>
          <w:rFonts w:eastAsiaTheme="minorEastAsia"/>
          <w:sz w:val="24"/>
          <w:szCs w:val="24"/>
        </w:rPr>
      </w:pPr>
      <w:r>
        <w:rPr>
          <w:rFonts w:eastAsiaTheme="minorEastAsia"/>
          <w:sz w:val="24"/>
          <w:szCs w:val="24"/>
        </w:rPr>
        <w:t>PIND换能器声压灵敏度根据公式（8）计算得到，则其对数形式可用公式（B.1）表示：</w:t>
      </w:r>
    </w:p>
    <w:p>
      <w:pPr>
        <w:spacing w:line="360" w:lineRule="auto"/>
        <w:ind w:firstLine="480" w:firstLineChars="200"/>
        <w:jc w:val="right"/>
        <w:rPr>
          <w:rFonts w:eastAsiaTheme="minorEastAsia"/>
          <w:sz w:val="24"/>
          <w:szCs w:val="24"/>
        </w:rPr>
      </w:pPr>
      <w:r>
        <w:rPr>
          <w:rFonts w:eastAsiaTheme="minorEastAsia"/>
          <w:position w:val="-12"/>
          <w:sz w:val="24"/>
          <w:szCs w:val="24"/>
        </w:rPr>
        <w:object>
          <v:shape id="_x0000_i1114" o:spt="75" type="#_x0000_t75" style="height:18.7pt;width:225.35pt;" o:ole="t" filled="f" o:preferrelative="t" stroked="f" coordsize="21600,21600">
            <v:path/>
            <v:fill on="f" focussize="0,0"/>
            <v:stroke on="f" joinstyle="miter"/>
            <v:imagedata r:id="rId174" o:title=""/>
            <o:lock v:ext="edit" aspectratio="t"/>
            <w10:wrap type="none"/>
            <w10:anchorlock/>
          </v:shape>
          <o:OLEObject Type="Embed" ProgID="Equation.DSMT4" ShapeID="_x0000_i1114" DrawAspect="Content" ObjectID="_1468075814" r:id="rId173">
            <o:LockedField>false</o:LockedField>
          </o:OLEObject>
        </w:object>
      </w:r>
      <w:r>
        <w:rPr>
          <w:rFonts w:eastAsiaTheme="minorEastAsia"/>
          <w:position w:val="-12"/>
          <w:sz w:val="24"/>
          <w:szCs w:val="24"/>
        </w:rPr>
        <w:t xml:space="preserve">             </w:t>
      </w:r>
      <w:r>
        <w:rPr>
          <w:rFonts w:eastAsiaTheme="minorEastAsia"/>
          <w:sz w:val="24"/>
          <w:szCs w:val="24"/>
        </w:rPr>
        <w:t>(B.1)</w:t>
      </w:r>
    </w:p>
    <w:p>
      <w:pPr>
        <w:spacing w:line="360" w:lineRule="auto"/>
        <w:ind w:firstLine="480" w:firstLineChars="200"/>
        <w:rPr>
          <w:rFonts w:eastAsiaTheme="minorEastAsia"/>
          <w:sz w:val="24"/>
          <w:szCs w:val="24"/>
        </w:rPr>
      </w:pPr>
      <w:r>
        <w:rPr>
          <w:rFonts w:eastAsiaTheme="minorEastAsia"/>
          <w:sz w:val="24"/>
          <w:szCs w:val="24"/>
        </w:rPr>
        <w:t xml:space="preserve">以声压灵敏度级的形式可用公式（B.2）表示：  </w:t>
      </w:r>
    </w:p>
    <w:p>
      <w:pPr>
        <w:wordWrap w:val="0"/>
        <w:spacing w:line="360" w:lineRule="auto"/>
        <w:ind w:firstLine="420" w:firstLineChars="200"/>
        <w:jc w:val="right"/>
        <w:rPr>
          <w:rFonts w:eastAsiaTheme="minorEastAsia"/>
          <w:sz w:val="24"/>
          <w:szCs w:val="24"/>
        </w:rPr>
      </w:pPr>
      <w:r>
        <w:rPr>
          <w:position w:val="-12"/>
        </w:rPr>
        <w:object>
          <v:shape id="_x0000_i1115" o:spt="75" type="#_x0000_t75" style="height:18.7pt;width:163.65pt;" o:ole="t" filled="f" o:preferrelative="t" stroked="f" coordsize="21600,21600">
            <v:path/>
            <v:fill on="f" focussize="0,0"/>
            <v:stroke on="f" joinstyle="miter"/>
            <v:imagedata r:id="rId176" o:title=""/>
            <o:lock v:ext="edit" aspectratio="t"/>
            <w10:wrap type="none"/>
            <w10:anchorlock/>
          </v:shape>
          <o:OLEObject Type="Embed" ProgID="Equation.DSMT4" ShapeID="_x0000_i1115" DrawAspect="Content" ObjectID="_1468075815" r:id="rId175">
            <o:LockedField>false</o:LockedField>
          </o:OLEObject>
        </w:object>
      </w:r>
      <w:r>
        <w:rPr>
          <w:rFonts w:eastAsiaTheme="minorEastAsia"/>
          <w:position w:val="-12"/>
          <w:sz w:val="24"/>
          <w:szCs w:val="24"/>
        </w:rPr>
        <w:t xml:space="preserve">                   </w:t>
      </w:r>
      <w:r>
        <w:rPr>
          <w:rFonts w:eastAsiaTheme="minorEastAsia"/>
          <w:sz w:val="24"/>
          <w:szCs w:val="24"/>
        </w:rPr>
        <w:t>(B.2)</w:t>
      </w:r>
    </w:p>
    <w:p>
      <w:pPr>
        <w:widowControl/>
        <w:spacing w:line="360" w:lineRule="auto"/>
        <w:rPr>
          <w:rFonts w:eastAsiaTheme="minorEastAsia"/>
          <w:sz w:val="24"/>
          <w:szCs w:val="24"/>
        </w:rPr>
      </w:pPr>
      <w:r>
        <w:rPr>
          <w:rFonts w:eastAsiaTheme="minorEastAsia"/>
          <w:sz w:val="24"/>
          <w:szCs w:val="24"/>
        </w:rPr>
        <w:t>B.2  不确定度的来源</w:t>
      </w:r>
    </w:p>
    <w:p>
      <w:pPr>
        <w:spacing w:line="360" w:lineRule="auto"/>
        <w:ind w:firstLine="480" w:firstLineChars="200"/>
        <w:rPr>
          <w:rFonts w:eastAsiaTheme="minorEastAsia"/>
          <w:sz w:val="24"/>
          <w:szCs w:val="24"/>
        </w:rPr>
      </w:pPr>
      <w:r>
        <w:rPr>
          <w:rFonts w:eastAsiaTheme="minorEastAsia"/>
          <w:sz w:val="24"/>
          <w:szCs w:val="24"/>
        </w:rPr>
        <w:t>测量不确定度的主要来源如下：</w:t>
      </w:r>
    </w:p>
    <w:p>
      <w:pPr>
        <w:spacing w:line="360" w:lineRule="auto"/>
        <w:ind w:firstLine="480" w:firstLineChars="200"/>
        <w:rPr>
          <w:rFonts w:eastAsiaTheme="minorEastAsia"/>
          <w:sz w:val="24"/>
          <w:szCs w:val="24"/>
        </w:rPr>
      </w:pPr>
      <w:r>
        <w:rPr>
          <w:rFonts w:eastAsiaTheme="minorEastAsia"/>
          <w:sz w:val="24"/>
          <w:szCs w:val="24"/>
        </w:rPr>
        <w:t>a) 标准声源声压引入的标准不确定度分量</w:t>
      </w:r>
      <w:r>
        <w:rPr>
          <w:rFonts w:eastAsiaTheme="minorEastAsia"/>
          <w:position w:val="-10"/>
          <w:sz w:val="24"/>
          <w:szCs w:val="24"/>
        </w:rPr>
        <w:object>
          <v:shape id="_x0000_i1116" o:spt="75" type="#_x0000_t75" style="height:18.7pt;width:13.1pt;" o:ole="t" filled="f" o:preferrelative="t" stroked="f" coordsize="21600,21600">
            <v:path/>
            <v:fill on="f" focussize="0,0"/>
            <v:stroke on="f" joinstyle="miter"/>
            <v:imagedata r:id="rId108" o:title=""/>
            <o:lock v:ext="edit" aspectratio="t"/>
            <w10:wrap type="none"/>
            <w10:anchorlock/>
          </v:shape>
          <o:OLEObject Type="Embed" ProgID="Equation.3" ShapeID="_x0000_i1116" DrawAspect="Content" ObjectID="_1468075816" r:id="rId177">
            <o:LockedField>false</o:LockedField>
          </o:OLEObject>
        </w:object>
      </w:r>
      <w:r>
        <w:rPr>
          <w:rFonts w:eastAsiaTheme="minorEastAsia"/>
          <w:sz w:val="24"/>
          <w:szCs w:val="24"/>
        </w:rPr>
        <w:t>；</w:t>
      </w:r>
    </w:p>
    <w:p>
      <w:pPr>
        <w:spacing w:line="360" w:lineRule="auto"/>
        <w:ind w:firstLine="480" w:firstLineChars="200"/>
        <w:rPr>
          <w:rFonts w:eastAsiaTheme="minorEastAsia"/>
          <w:sz w:val="24"/>
          <w:szCs w:val="24"/>
        </w:rPr>
      </w:pPr>
      <w:r>
        <w:rPr>
          <w:rFonts w:eastAsiaTheme="minorEastAsia"/>
          <w:sz w:val="24"/>
          <w:szCs w:val="24"/>
        </w:rPr>
        <w:t>b) 数据修约引入的标准不确定度分量</w:t>
      </w:r>
      <w:r>
        <w:rPr>
          <w:rFonts w:eastAsiaTheme="minorEastAsia"/>
          <w:position w:val="-12"/>
          <w:sz w:val="24"/>
          <w:szCs w:val="24"/>
        </w:rPr>
        <w:object>
          <v:shape id="_x0000_i1117" o:spt="75" type="#_x0000_t75" style="height:18.7pt;width:13.1pt;" o:ole="t" filled="f" o:preferrelative="t" stroked="f" coordsize="21600,21600">
            <v:path/>
            <v:fill on="f" focussize="0,0"/>
            <v:stroke on="f" joinstyle="miter"/>
            <v:imagedata r:id="rId179" o:title=""/>
            <o:lock v:ext="edit" aspectratio="t"/>
            <w10:wrap type="none"/>
            <w10:anchorlock/>
          </v:shape>
          <o:OLEObject Type="Embed" ProgID="Equation.DSMT4" ShapeID="_x0000_i1117" DrawAspect="Content" ObjectID="_1468075817" r:id="rId178">
            <o:LockedField>false</o:LockedField>
          </o:OLEObject>
        </w:object>
      </w:r>
      <w:r>
        <w:rPr>
          <w:rFonts w:eastAsiaTheme="minorEastAsia"/>
          <w:sz w:val="24"/>
          <w:szCs w:val="24"/>
        </w:rPr>
        <w:t>；</w:t>
      </w:r>
    </w:p>
    <w:p>
      <w:pPr>
        <w:spacing w:line="360" w:lineRule="auto"/>
        <w:ind w:firstLine="480" w:firstLineChars="200"/>
        <w:rPr>
          <w:rFonts w:eastAsiaTheme="minorEastAsia"/>
          <w:sz w:val="24"/>
          <w:szCs w:val="24"/>
        </w:rPr>
      </w:pPr>
      <w:r>
        <w:rPr>
          <w:rFonts w:eastAsiaTheme="minorEastAsia"/>
          <w:sz w:val="24"/>
          <w:szCs w:val="24"/>
        </w:rPr>
        <w:t>c) 因测量重复性引入的标准不确定度分量</w:t>
      </w:r>
      <w:r>
        <w:rPr>
          <w:rFonts w:eastAsiaTheme="minorEastAsia"/>
          <w:position w:val="-12"/>
          <w:sz w:val="24"/>
          <w:szCs w:val="24"/>
        </w:rPr>
        <w:object>
          <v:shape id="_x0000_i1118" o:spt="75" type="#_x0000_t75" style="height:19.65pt;width:13.1pt;" o:ole="t" filled="f" o:preferrelative="t" stroked="f" coordsize="21600,21600">
            <v:path/>
            <v:fill on="f" focussize="0,0"/>
            <v:stroke on="f" joinstyle="miter"/>
            <v:imagedata r:id="rId181" o:title=""/>
            <o:lock v:ext="edit" aspectratio="t"/>
            <w10:wrap type="none"/>
            <w10:anchorlock/>
          </v:shape>
          <o:OLEObject Type="Embed" ProgID="Equation.DSMT4" ShapeID="_x0000_i1118" DrawAspect="Content" ObjectID="_1468075818" r:id="rId180">
            <o:LockedField>false</o:LockedField>
          </o:OLEObject>
        </w:object>
      </w:r>
      <w:r>
        <w:rPr>
          <w:rFonts w:eastAsiaTheme="minorEastAsia"/>
          <w:sz w:val="24"/>
          <w:szCs w:val="24"/>
        </w:rPr>
        <w:t>。</w:t>
      </w:r>
    </w:p>
    <w:p>
      <w:pPr>
        <w:spacing w:line="360" w:lineRule="auto"/>
        <w:ind w:firstLine="480" w:firstLineChars="200"/>
        <w:rPr>
          <w:rFonts w:eastAsiaTheme="minorEastAsia"/>
          <w:sz w:val="24"/>
          <w:szCs w:val="24"/>
        </w:rPr>
      </w:pPr>
      <w:r>
        <w:rPr>
          <w:rFonts w:eastAsiaTheme="minorEastAsia"/>
          <w:sz w:val="24"/>
          <w:szCs w:val="24"/>
        </w:rPr>
        <w:t>由于不确定度分量间没有值得考虑的相关性，则合成标准不确定度计算如下：</w:t>
      </w:r>
    </w:p>
    <w:p>
      <w:pPr>
        <w:spacing w:line="360" w:lineRule="auto"/>
        <w:ind w:firstLine="480" w:firstLineChars="200"/>
        <w:jc w:val="right"/>
        <w:rPr>
          <w:rFonts w:eastAsiaTheme="minorEastAsia"/>
          <w:sz w:val="24"/>
          <w:szCs w:val="24"/>
        </w:rPr>
      </w:pPr>
      <w:r>
        <w:rPr>
          <w:rFonts w:eastAsiaTheme="minorEastAsia"/>
          <w:position w:val="-30"/>
          <w:sz w:val="24"/>
          <w:szCs w:val="24"/>
        </w:rPr>
        <w:object>
          <v:shape id="_x0000_i1119" o:spt="75" type="#_x0000_t75" style="height:29.9pt;width:58.9pt;" o:ole="t" filled="f" o:preferrelative="t" stroked="f" coordsize="21600,21600">
            <v:path/>
            <v:fill on="f" focussize="0,0"/>
            <v:stroke on="f" joinstyle="miter"/>
            <v:imagedata r:id="rId183" o:title=""/>
            <o:lock v:ext="edit" aspectratio="t"/>
            <w10:wrap type="none"/>
            <w10:anchorlock/>
          </v:shape>
          <o:OLEObject Type="Embed" ProgID="Equation.DSMT4" ShapeID="_x0000_i1119" DrawAspect="Content" ObjectID="_1468075819" r:id="rId182">
            <o:LockedField>false</o:LockedField>
          </o:OLEObject>
        </w:object>
      </w:r>
      <w:r>
        <w:rPr>
          <w:rFonts w:eastAsiaTheme="minorEastAsia"/>
          <w:position w:val="-26"/>
          <w:sz w:val="24"/>
          <w:szCs w:val="24"/>
        </w:rPr>
        <w:t xml:space="preserve">                                </w:t>
      </w:r>
      <w:r>
        <w:rPr>
          <w:rFonts w:eastAsiaTheme="minorEastAsia"/>
          <w:sz w:val="24"/>
          <w:szCs w:val="24"/>
        </w:rPr>
        <w:t>(B.3)</w:t>
      </w:r>
    </w:p>
    <w:p>
      <w:pPr>
        <w:spacing w:line="360" w:lineRule="auto"/>
        <w:ind w:firstLine="480" w:firstLineChars="200"/>
        <w:rPr>
          <w:rFonts w:eastAsiaTheme="minorEastAsia"/>
          <w:sz w:val="24"/>
          <w:szCs w:val="24"/>
        </w:rPr>
      </w:pPr>
      <w:r>
        <w:rPr>
          <w:rFonts w:eastAsiaTheme="minorEastAsia"/>
          <w:sz w:val="24"/>
          <w:szCs w:val="24"/>
        </w:rPr>
        <w:t>取包含因子</w:t>
      </w:r>
      <w:r>
        <w:rPr>
          <w:rFonts w:eastAsiaTheme="minorEastAsia"/>
          <w:position w:val="-6"/>
          <w:sz w:val="24"/>
          <w:szCs w:val="24"/>
        </w:rPr>
        <w:object>
          <v:shape id="_x0000_i1120" o:spt="75" type="#_x0000_t75" style="height:14.05pt;width:29pt;" o:ole="t" filled="f" o:preferrelative="t" stroked="f" coordsize="21600,21600">
            <v:path/>
            <v:fill on="f" focussize="0,0"/>
            <v:stroke on="f" joinstyle="miter"/>
            <v:imagedata r:id="rId122" o:title=""/>
            <o:lock v:ext="edit" aspectratio="t"/>
            <w10:wrap type="none"/>
            <w10:anchorlock/>
          </v:shape>
          <o:OLEObject Type="Embed" ProgID="Equation.3" ShapeID="_x0000_i1120" DrawAspect="Content" ObjectID="_1468075820" r:id="rId184">
            <o:LockedField>false</o:LockedField>
          </o:OLEObject>
        </w:object>
      </w:r>
      <w:r>
        <w:rPr>
          <w:rFonts w:eastAsiaTheme="minorEastAsia"/>
          <w:sz w:val="24"/>
          <w:szCs w:val="24"/>
        </w:rPr>
        <w:t>，则扩展不确定度</w:t>
      </w:r>
      <w:r>
        <w:rPr>
          <w:rFonts w:eastAsiaTheme="minorEastAsia"/>
          <w:position w:val="-4"/>
          <w:sz w:val="24"/>
          <w:szCs w:val="24"/>
        </w:rPr>
        <w:object>
          <v:shape id="_x0000_i1121" o:spt="75" type="#_x0000_t75" style="height:13.1pt;width:11.2pt;" o:ole="t" filled="f" o:preferrelative="t" stroked="f" coordsize="21600,21600">
            <v:path/>
            <v:fill on="f" focussize="0,0"/>
            <v:stroke on="f" joinstyle="miter"/>
            <v:imagedata r:id="rId186" o:title=""/>
            <o:lock v:ext="edit" aspectratio="t"/>
            <w10:wrap type="none"/>
            <w10:anchorlock/>
          </v:shape>
          <o:OLEObject Type="Embed" ProgID="Equation.DSMT4" ShapeID="_x0000_i1121" DrawAspect="Content" ObjectID="_1468075821" r:id="rId185">
            <o:LockedField>false</o:LockedField>
          </o:OLEObject>
        </w:object>
      </w:r>
      <w:r>
        <w:rPr>
          <w:rFonts w:eastAsiaTheme="minorEastAsia"/>
          <w:sz w:val="24"/>
          <w:szCs w:val="24"/>
        </w:rPr>
        <w:t>计算如下：</w:t>
      </w:r>
    </w:p>
    <w:p>
      <w:pPr>
        <w:spacing w:line="360" w:lineRule="auto"/>
        <w:ind w:firstLine="480" w:firstLineChars="200"/>
        <w:jc w:val="right"/>
        <w:rPr>
          <w:rFonts w:eastAsiaTheme="minorEastAsia"/>
          <w:sz w:val="24"/>
          <w:szCs w:val="24"/>
        </w:rPr>
      </w:pPr>
      <w:r>
        <w:rPr>
          <w:rFonts w:eastAsiaTheme="minorEastAsia"/>
          <w:position w:val="-12"/>
          <w:sz w:val="24"/>
          <w:szCs w:val="24"/>
        </w:rPr>
        <w:object>
          <v:shape id="_x0000_i1122" o:spt="75" type="#_x0000_t75" style="height:18.7pt;width:76.7pt;" o:ole="t" filled="f" o:preferrelative="t" stroked="f" coordsize="21600,21600">
            <v:path/>
            <v:fill on="f" focussize="0,0"/>
            <v:stroke on="f" joinstyle="miter"/>
            <v:imagedata r:id="rId188" o:title=""/>
            <o:lock v:ext="edit" aspectratio="t"/>
            <w10:wrap type="none"/>
            <w10:anchorlock/>
          </v:shape>
          <o:OLEObject Type="Embed" ProgID="Equation.DSMT4" ShapeID="_x0000_i1122" DrawAspect="Content" ObjectID="_1468075822" r:id="rId187">
            <o:LockedField>false</o:LockedField>
          </o:OLEObject>
        </w:object>
      </w:r>
      <w:r>
        <w:rPr>
          <w:rFonts w:eastAsiaTheme="minorEastAsia"/>
          <w:position w:val="-12"/>
          <w:sz w:val="24"/>
          <w:szCs w:val="24"/>
        </w:rPr>
        <w:t xml:space="preserve">                            </w:t>
      </w:r>
      <w:r>
        <w:rPr>
          <w:rFonts w:eastAsiaTheme="minorEastAsia"/>
          <w:sz w:val="24"/>
          <w:szCs w:val="24"/>
        </w:rPr>
        <w:t>(B.4)</w:t>
      </w:r>
    </w:p>
    <w:p>
      <w:pPr>
        <w:widowControl/>
        <w:spacing w:line="360" w:lineRule="auto"/>
        <w:rPr>
          <w:rFonts w:eastAsiaTheme="minorEastAsia"/>
          <w:sz w:val="24"/>
          <w:szCs w:val="24"/>
        </w:rPr>
      </w:pPr>
      <w:r>
        <w:rPr>
          <w:rFonts w:eastAsiaTheme="minorEastAsia"/>
          <w:sz w:val="24"/>
          <w:szCs w:val="24"/>
        </w:rPr>
        <w:t>B.3  不确定度的评定</w:t>
      </w:r>
    </w:p>
    <w:p>
      <w:pPr>
        <w:spacing w:line="360" w:lineRule="auto"/>
        <w:rPr>
          <w:rFonts w:eastAsiaTheme="minorEastAsia"/>
          <w:sz w:val="24"/>
          <w:szCs w:val="24"/>
        </w:rPr>
      </w:pPr>
      <w:r>
        <w:rPr>
          <w:rFonts w:eastAsiaTheme="minorEastAsia"/>
          <w:sz w:val="24"/>
          <w:szCs w:val="24"/>
        </w:rPr>
        <w:t>B.3.1 标准声源声压引入的标准不确定度分量</w:t>
      </w:r>
      <w:r>
        <w:rPr>
          <w:rFonts w:eastAsiaTheme="minorEastAsia"/>
          <w:position w:val="-10"/>
          <w:sz w:val="24"/>
          <w:szCs w:val="24"/>
        </w:rPr>
        <w:object>
          <v:shape id="_x0000_i1123" o:spt="75" type="#_x0000_t75" style="height:18.7pt;width:13.1pt;" o:ole="t" filled="f" o:preferrelative="t" stroked="f" coordsize="21600,21600">
            <v:path/>
            <v:fill on="f" focussize="0,0"/>
            <v:stroke on="f" joinstyle="miter"/>
            <v:imagedata r:id="rId108" o:title=""/>
            <o:lock v:ext="edit" aspectratio="t"/>
            <w10:wrap type="none"/>
            <w10:anchorlock/>
          </v:shape>
          <o:OLEObject Type="Embed" ProgID="Equation.3" ShapeID="_x0000_i1123" DrawAspect="Content" ObjectID="_1468075823" r:id="rId189">
            <o:LockedField>false</o:LockedField>
          </o:OLEObject>
        </w:object>
      </w:r>
      <w:r>
        <w:rPr>
          <w:rFonts w:eastAsiaTheme="minorEastAsia"/>
          <w:sz w:val="24"/>
          <w:szCs w:val="24"/>
        </w:rPr>
        <w:t>；</w:t>
      </w:r>
    </w:p>
    <w:p>
      <w:pPr>
        <w:spacing w:line="360" w:lineRule="auto"/>
        <w:ind w:firstLine="480" w:firstLineChars="200"/>
        <w:rPr>
          <w:rFonts w:eastAsiaTheme="minorEastAsia"/>
          <w:sz w:val="24"/>
          <w:szCs w:val="24"/>
        </w:rPr>
      </w:pPr>
      <w:r>
        <w:rPr>
          <w:rFonts w:eastAsiaTheme="minorEastAsia"/>
          <w:sz w:val="24"/>
          <w:szCs w:val="24"/>
        </w:rPr>
        <w:t>标准声源声压经过校准确定，计算其标准不确定度为</w:t>
      </w:r>
      <w:r>
        <w:rPr>
          <w:rFonts w:hint="eastAsia" w:eastAsiaTheme="minorEastAsia"/>
          <w:sz w:val="24"/>
          <w:szCs w:val="24"/>
        </w:rPr>
        <w:t>1</w:t>
      </w:r>
      <w:r>
        <w:rPr>
          <w:rFonts w:eastAsiaTheme="minorEastAsia"/>
          <w:sz w:val="24"/>
          <w:szCs w:val="24"/>
        </w:rPr>
        <w:t>(dB)，</w:t>
      </w:r>
      <w:r>
        <w:rPr>
          <w:rFonts w:eastAsiaTheme="minorEastAsia"/>
          <w:i/>
          <w:sz w:val="24"/>
          <w:szCs w:val="24"/>
        </w:rPr>
        <w:t>k</w:t>
      </w:r>
      <w:r>
        <w:rPr>
          <w:rFonts w:eastAsiaTheme="minorEastAsia"/>
          <w:sz w:val="24"/>
          <w:szCs w:val="24"/>
        </w:rPr>
        <w:t>=</w:t>
      </w:r>
      <w:r>
        <w:rPr>
          <w:rFonts w:hint="eastAsia" w:eastAsiaTheme="minorEastAsia"/>
          <w:sz w:val="24"/>
          <w:szCs w:val="24"/>
        </w:rPr>
        <w:t>2</w:t>
      </w:r>
      <w:r>
        <w:rPr>
          <w:rFonts w:eastAsiaTheme="minorEastAsia"/>
          <w:sz w:val="24"/>
          <w:szCs w:val="24"/>
        </w:rPr>
        <w:t>，则引入的标准不确定度分量为：</w:t>
      </w:r>
    </w:p>
    <w:p>
      <w:pPr>
        <w:spacing w:line="360" w:lineRule="auto"/>
        <w:ind w:right="-1" w:firstLine="480" w:firstLineChars="200"/>
        <w:jc w:val="right"/>
        <w:rPr>
          <w:rFonts w:eastAsiaTheme="minorEastAsia"/>
          <w:sz w:val="24"/>
          <w:szCs w:val="24"/>
        </w:rPr>
      </w:pPr>
      <w:r>
        <w:rPr>
          <w:rFonts w:eastAsiaTheme="minorEastAsia"/>
          <w:sz w:val="24"/>
          <w:szCs w:val="24"/>
        </w:rPr>
        <w:t xml:space="preserve"> </w:t>
      </w:r>
      <w:r>
        <w:rPr>
          <w:rFonts w:eastAsiaTheme="minorEastAsia"/>
          <w:position w:val="-24"/>
          <w:sz w:val="24"/>
          <w:szCs w:val="24"/>
        </w:rPr>
        <w:object>
          <v:shape id="_x0000_i1124" o:spt="75" type="#_x0000_t75" style="height:32.75pt;width:81.35pt;" o:ole="t" filled="f" o:preferrelative="t" stroked="f" coordsize="21600,21600">
            <v:path/>
            <v:fill on="f" focussize="0,0"/>
            <v:stroke on="f" joinstyle="miter"/>
            <v:imagedata r:id="rId191" o:title=""/>
            <o:lock v:ext="edit" aspectratio="t"/>
            <w10:wrap type="none"/>
            <w10:anchorlock/>
          </v:shape>
          <o:OLEObject Type="Embed" ProgID="Equation.DSMT4" ShapeID="_x0000_i1124" DrawAspect="Content" ObjectID="_1468075824" r:id="rId190">
            <o:LockedField>false</o:LockedField>
          </o:OLEObject>
        </w:object>
      </w:r>
      <w:r>
        <w:rPr>
          <w:rFonts w:eastAsiaTheme="minorEastAsia"/>
          <w:sz w:val="24"/>
          <w:szCs w:val="24"/>
        </w:rPr>
        <w:t xml:space="preserve">                               (B.5)</w:t>
      </w:r>
    </w:p>
    <w:p>
      <w:pPr>
        <w:spacing w:line="360" w:lineRule="auto"/>
        <w:rPr>
          <w:rFonts w:eastAsiaTheme="minorEastAsia"/>
          <w:sz w:val="24"/>
          <w:szCs w:val="24"/>
        </w:rPr>
      </w:pPr>
      <w:r>
        <w:rPr>
          <w:rFonts w:eastAsiaTheme="minorEastAsia"/>
          <w:sz w:val="24"/>
          <w:szCs w:val="24"/>
        </w:rPr>
        <w:t>B.3.2</w:t>
      </w:r>
      <w:r>
        <w:rPr>
          <w:rFonts w:hint="eastAsia" w:eastAsiaTheme="minorEastAsia"/>
          <w:sz w:val="24"/>
          <w:szCs w:val="24"/>
        </w:rPr>
        <w:t xml:space="preserve"> </w:t>
      </w:r>
      <w:r>
        <w:rPr>
          <w:rFonts w:eastAsiaTheme="minorEastAsia"/>
          <w:sz w:val="24"/>
          <w:szCs w:val="24"/>
        </w:rPr>
        <w:t>数据修约引入的标准不确定度分量</w:t>
      </w:r>
      <w:r>
        <w:rPr>
          <w:rFonts w:eastAsiaTheme="minorEastAsia"/>
          <w:position w:val="-12"/>
          <w:sz w:val="24"/>
          <w:szCs w:val="24"/>
        </w:rPr>
        <w:object>
          <v:shape id="_x0000_i1125" o:spt="75" type="#_x0000_t75" style="height:18.7pt;width:13.1pt;" o:ole="t" filled="f" o:preferrelative="t" stroked="f" coordsize="21600,21600">
            <v:path/>
            <v:fill on="f" focussize="0,0"/>
            <v:stroke on="f" joinstyle="miter"/>
            <v:imagedata r:id="rId193" o:title=""/>
            <o:lock v:ext="edit" aspectratio="t"/>
            <w10:wrap type="none"/>
            <w10:anchorlock/>
          </v:shape>
          <o:OLEObject Type="Embed" ProgID="Equation.DSMT4" ShapeID="_x0000_i1125" DrawAspect="Content" ObjectID="_1468075825" r:id="rId192">
            <o:LockedField>false</o:LockedField>
          </o:OLEObject>
        </w:object>
      </w:r>
      <w:r>
        <w:rPr>
          <w:rFonts w:eastAsiaTheme="minorEastAsia"/>
          <w:sz w:val="24"/>
          <w:szCs w:val="24"/>
        </w:rPr>
        <w:t>；</w:t>
      </w:r>
    </w:p>
    <w:p>
      <w:pPr>
        <w:spacing w:line="360" w:lineRule="auto"/>
        <w:ind w:firstLine="480" w:firstLineChars="200"/>
        <w:rPr>
          <w:rFonts w:eastAsiaTheme="minorEastAsia"/>
          <w:sz w:val="24"/>
          <w:szCs w:val="24"/>
        </w:rPr>
      </w:pPr>
      <w:r>
        <w:rPr>
          <w:rFonts w:eastAsiaTheme="minorEastAsia"/>
          <w:sz w:val="24"/>
          <w:szCs w:val="24"/>
        </w:rPr>
        <w:t>假设计算中的修约误差为0.06(dB)，则引入的标准不确定度分量</w:t>
      </w:r>
      <w:r>
        <w:rPr>
          <w:rFonts w:eastAsiaTheme="minorEastAsia"/>
          <w:position w:val="-12"/>
          <w:sz w:val="24"/>
          <w:szCs w:val="24"/>
        </w:rPr>
        <w:object>
          <v:shape id="_x0000_i1126" o:spt="75" type="#_x0000_t75" style="height:18.7pt;width:13.1pt;" o:ole="t" filled="f" o:preferrelative="t" stroked="f" coordsize="21600,21600">
            <v:path/>
            <v:fill on="f" focussize="0,0"/>
            <v:stroke on="f" joinstyle="miter"/>
            <v:imagedata r:id="rId195" o:title=""/>
            <o:lock v:ext="edit" aspectratio="t"/>
            <w10:wrap type="none"/>
            <w10:anchorlock/>
          </v:shape>
          <o:OLEObject Type="Embed" ProgID="Equation.DSMT4" ShapeID="_x0000_i1126" DrawAspect="Content" ObjectID="_1468075826" r:id="rId194">
            <o:LockedField>false</o:LockedField>
          </o:OLEObject>
        </w:object>
      </w:r>
      <w:r>
        <w:rPr>
          <w:rFonts w:eastAsiaTheme="minorEastAsia"/>
          <w:sz w:val="24"/>
          <w:szCs w:val="24"/>
        </w:rPr>
        <w:t>为：</w:t>
      </w:r>
    </w:p>
    <w:p>
      <w:pPr>
        <w:spacing w:line="360" w:lineRule="auto"/>
        <w:ind w:firstLine="480" w:firstLineChars="200"/>
        <w:jc w:val="right"/>
        <w:rPr>
          <w:rFonts w:eastAsiaTheme="minorEastAsia"/>
          <w:sz w:val="24"/>
          <w:szCs w:val="24"/>
        </w:rPr>
      </w:pPr>
      <w:r>
        <w:rPr>
          <w:rFonts w:eastAsiaTheme="minorEastAsia"/>
          <w:position w:val="-12"/>
          <w:sz w:val="24"/>
          <w:szCs w:val="24"/>
        </w:rPr>
        <w:object>
          <v:shape id="_x0000_i1127" o:spt="75" type="#_x0000_t75" style="height:18.7pt;width:61.7pt;" o:ole="t" filled="f" o:preferrelative="t" stroked="f" coordsize="21600,21600">
            <v:path/>
            <v:fill on="f" focussize="0,0"/>
            <v:stroke on="f" joinstyle="miter"/>
            <v:imagedata r:id="rId197" o:title=""/>
            <o:lock v:ext="edit" aspectratio="t"/>
            <w10:wrap type="none"/>
            <w10:anchorlock/>
          </v:shape>
          <o:OLEObject Type="Embed" ProgID="Equation.DSMT4" ShapeID="_x0000_i1127" DrawAspect="Content" ObjectID="_1468075827" r:id="rId196">
            <o:LockedField>false</o:LockedField>
          </o:OLEObject>
        </w:object>
      </w:r>
      <w:r>
        <w:rPr>
          <w:rFonts w:eastAsiaTheme="minorEastAsia"/>
          <w:sz w:val="24"/>
          <w:szCs w:val="24"/>
        </w:rPr>
        <w:t xml:space="preserve">          </w:t>
      </w:r>
      <w:r>
        <w:rPr>
          <w:rFonts w:hint="eastAsia" w:eastAsiaTheme="minorEastAsia"/>
          <w:sz w:val="24"/>
          <w:szCs w:val="24"/>
        </w:rPr>
        <w:t xml:space="preserve">          </w:t>
      </w:r>
      <w:r>
        <w:rPr>
          <w:rFonts w:eastAsiaTheme="minorEastAsia"/>
          <w:sz w:val="24"/>
          <w:szCs w:val="24"/>
        </w:rPr>
        <w:t xml:space="preserve">             (B.6)</w:t>
      </w:r>
    </w:p>
    <w:p>
      <w:pPr>
        <w:spacing w:line="360" w:lineRule="auto"/>
        <w:rPr>
          <w:rFonts w:eastAsiaTheme="minorEastAsia"/>
          <w:sz w:val="24"/>
          <w:szCs w:val="24"/>
        </w:rPr>
      </w:pPr>
      <w:r>
        <w:rPr>
          <w:rFonts w:eastAsiaTheme="minorEastAsia"/>
          <w:sz w:val="24"/>
          <w:szCs w:val="24"/>
        </w:rPr>
        <w:t>B.3.3因测量重复性引入的标准不确定度分量</w:t>
      </w:r>
      <w:r>
        <w:rPr>
          <w:rFonts w:eastAsiaTheme="minorEastAsia"/>
          <w:position w:val="-12"/>
          <w:sz w:val="24"/>
          <w:szCs w:val="24"/>
        </w:rPr>
        <w:object>
          <v:shape id="_x0000_i1128" o:spt="75" type="#_x0000_t75" style="height:18.7pt;width:13.1pt;" o:ole="t" filled="f" o:preferrelative="t" stroked="f" coordsize="21600,21600">
            <v:path/>
            <v:fill on="f" focussize="0,0"/>
            <v:stroke on="f" joinstyle="miter"/>
            <v:imagedata r:id="rId181" o:title=""/>
            <o:lock v:ext="edit" aspectratio="t"/>
            <w10:wrap type="none"/>
            <w10:anchorlock/>
          </v:shape>
          <o:OLEObject Type="Embed" ProgID="Equation.DSMT4" ShapeID="_x0000_i1128" DrawAspect="Content" ObjectID="_1468075828" r:id="rId198">
            <o:LockedField>false</o:LockedField>
          </o:OLEObject>
        </w:object>
      </w:r>
      <w:r>
        <w:rPr>
          <w:rFonts w:eastAsiaTheme="minorEastAsia"/>
          <w:sz w:val="24"/>
          <w:szCs w:val="24"/>
        </w:rPr>
        <w:t>；</w:t>
      </w:r>
    </w:p>
    <w:p>
      <w:pPr>
        <w:spacing w:line="360" w:lineRule="auto"/>
        <w:ind w:firstLine="480" w:firstLineChars="200"/>
        <w:rPr>
          <w:rFonts w:eastAsiaTheme="minorEastAsia"/>
          <w:sz w:val="24"/>
          <w:szCs w:val="24"/>
        </w:rPr>
      </w:pPr>
      <w:r>
        <w:rPr>
          <w:rFonts w:eastAsiaTheme="minorEastAsia"/>
          <w:sz w:val="24"/>
          <w:szCs w:val="24"/>
        </w:rPr>
        <w:t>因重复测量产生的重复性为0.2(dB)，则引入的标准不确定度分量</w:t>
      </w:r>
      <w:r>
        <w:rPr>
          <w:rFonts w:eastAsiaTheme="minorEastAsia"/>
          <w:position w:val="-12"/>
          <w:sz w:val="24"/>
          <w:szCs w:val="24"/>
        </w:rPr>
        <w:object>
          <v:shape id="_x0000_i1129" o:spt="75" type="#_x0000_t75" style="height:18.7pt;width:13.1pt;" o:ole="t" filled="f" o:preferrelative="t" stroked="f" coordsize="21600,21600">
            <v:path/>
            <v:fill on="f" focussize="0,0"/>
            <v:stroke on="f" joinstyle="miter"/>
            <v:imagedata r:id="rId200" o:title=""/>
            <o:lock v:ext="edit" aspectratio="t"/>
            <w10:wrap type="none"/>
            <w10:anchorlock/>
          </v:shape>
          <o:OLEObject Type="Embed" ProgID="Equation.DSMT4" ShapeID="_x0000_i1129" DrawAspect="Content" ObjectID="_1468075829" r:id="rId199">
            <o:LockedField>false</o:LockedField>
          </o:OLEObject>
        </w:object>
      </w:r>
      <w:r>
        <w:rPr>
          <w:rFonts w:eastAsiaTheme="minorEastAsia"/>
          <w:sz w:val="24"/>
          <w:szCs w:val="24"/>
        </w:rPr>
        <w:t>为：</w:t>
      </w:r>
    </w:p>
    <w:p>
      <w:pPr>
        <w:spacing w:line="360" w:lineRule="auto"/>
        <w:ind w:firstLine="480" w:firstLineChars="200"/>
        <w:jc w:val="right"/>
        <w:rPr>
          <w:rFonts w:eastAsiaTheme="minorEastAsia"/>
          <w:sz w:val="24"/>
          <w:szCs w:val="24"/>
        </w:rPr>
      </w:pPr>
      <w:r>
        <w:rPr>
          <w:rFonts w:eastAsiaTheme="minorEastAsia"/>
          <w:position w:val="-12"/>
          <w:sz w:val="24"/>
          <w:szCs w:val="24"/>
        </w:rPr>
        <w:object>
          <v:shape id="_x0000_i1130" o:spt="75" type="#_x0000_t75" style="height:18.7pt;width:56.1pt;" o:ole="t" filled="f" o:preferrelative="t" stroked="f" coordsize="21600,21600">
            <v:path/>
            <v:fill on="f" focussize="0,0"/>
            <v:stroke on="f" joinstyle="miter"/>
            <v:imagedata r:id="rId202" o:title=""/>
            <o:lock v:ext="edit" aspectratio="t"/>
            <w10:wrap type="none"/>
            <w10:anchorlock/>
          </v:shape>
          <o:OLEObject Type="Embed" ProgID="Equation.DSMT4" ShapeID="_x0000_i1130" DrawAspect="Content" ObjectID="_1468075830" r:id="rId201">
            <o:LockedField>false</o:LockedField>
          </o:OLEObject>
        </w:object>
      </w:r>
      <w:r>
        <w:rPr>
          <w:rFonts w:eastAsiaTheme="minorEastAsia"/>
          <w:position w:val="-12"/>
          <w:sz w:val="24"/>
          <w:szCs w:val="24"/>
        </w:rPr>
        <w:t xml:space="preserve">                               </w:t>
      </w:r>
      <w:r>
        <w:rPr>
          <w:rFonts w:eastAsiaTheme="minorEastAsia"/>
          <w:sz w:val="24"/>
          <w:szCs w:val="24"/>
        </w:rPr>
        <w:t>(B.7)</w:t>
      </w:r>
    </w:p>
    <w:p>
      <w:pPr>
        <w:widowControl/>
        <w:spacing w:line="360" w:lineRule="auto"/>
        <w:rPr>
          <w:rFonts w:eastAsiaTheme="minorEastAsia"/>
          <w:sz w:val="24"/>
          <w:szCs w:val="24"/>
        </w:rPr>
      </w:pPr>
      <w:r>
        <w:rPr>
          <w:rFonts w:eastAsiaTheme="minorEastAsia"/>
          <w:sz w:val="24"/>
          <w:szCs w:val="24"/>
        </w:rPr>
        <w:t>B.4  合成标准不确定度的计算</w:t>
      </w:r>
    </w:p>
    <w:p>
      <w:pPr>
        <w:spacing w:line="360" w:lineRule="auto"/>
        <w:rPr>
          <w:rFonts w:eastAsiaTheme="minorEastAsia"/>
          <w:sz w:val="24"/>
          <w:szCs w:val="24"/>
        </w:rPr>
      </w:pPr>
      <w:r>
        <w:rPr>
          <w:rFonts w:eastAsiaTheme="minorEastAsia"/>
          <w:sz w:val="24"/>
          <w:szCs w:val="24"/>
        </w:rPr>
        <w:t xml:space="preserve">    根据模型，由于不确定度分量间没有值得考虑的相关性，故</w:t>
      </w:r>
      <w:r>
        <w:rPr>
          <w:rFonts w:eastAsiaTheme="minorEastAsia"/>
          <w:position w:val="-12"/>
          <w:sz w:val="24"/>
          <w:szCs w:val="24"/>
        </w:rPr>
        <w:object>
          <v:shape id="_x0000_i1131" o:spt="75" type="#_x0000_t75" style="height:16.85pt;width:28.05pt;" o:ole="t" filled="f" o:preferrelative="t" stroked="f" coordsize="21600,21600">
            <v:path/>
            <v:fill on="f" focussize="0,0"/>
            <v:stroke on="f" joinstyle="miter"/>
            <v:imagedata r:id="rId204" o:title=""/>
            <o:lock v:ext="edit" aspectratio="t"/>
            <w10:wrap type="none"/>
            <w10:anchorlock/>
          </v:shape>
          <o:OLEObject Type="Embed" ProgID="Equation.DSMT4" ShapeID="_x0000_i1131" DrawAspect="Content" ObjectID="_1468075831" r:id="rId203">
            <o:LockedField>false</o:LockedField>
          </o:OLEObject>
        </w:object>
      </w:r>
      <w:r>
        <w:rPr>
          <w:rFonts w:eastAsiaTheme="minorEastAsia"/>
          <w:sz w:val="24"/>
          <w:szCs w:val="24"/>
        </w:rPr>
        <w:t>，则合成标准不确定度如下：</w:t>
      </w:r>
    </w:p>
    <w:p>
      <w:pPr>
        <w:spacing w:line="360" w:lineRule="auto"/>
        <w:ind w:firstLine="480" w:firstLineChars="200"/>
        <w:jc w:val="right"/>
        <w:rPr>
          <w:rFonts w:eastAsiaTheme="minorEastAsia"/>
          <w:sz w:val="24"/>
          <w:szCs w:val="24"/>
        </w:rPr>
      </w:pPr>
      <w:r>
        <w:rPr>
          <w:rFonts w:eastAsiaTheme="minorEastAsia"/>
          <w:position w:val="-30"/>
          <w:sz w:val="24"/>
          <w:szCs w:val="24"/>
        </w:rPr>
        <w:object>
          <v:shape id="_x0000_i1132" o:spt="75" type="#_x0000_t75" style="height:37.4pt;width:125.3pt;" o:ole="t" filled="f" o:preferrelative="t" stroked="f" coordsize="21600,21600">
            <v:path/>
            <v:fill on="f" focussize="0,0"/>
            <v:stroke on="f" joinstyle="miter"/>
            <v:imagedata r:id="rId206" o:title=""/>
            <o:lock v:ext="edit" aspectratio="t"/>
            <w10:wrap type="none"/>
            <w10:anchorlock/>
          </v:shape>
          <o:OLEObject Type="Embed" ProgID="Equation.DSMT4" ShapeID="_x0000_i1132" DrawAspect="Content" ObjectID="_1468075832" r:id="rId205">
            <o:LockedField>false</o:LockedField>
          </o:OLEObject>
        </w:object>
      </w:r>
      <w:r>
        <w:rPr>
          <w:rFonts w:eastAsiaTheme="minorEastAsia"/>
          <w:sz w:val="24"/>
          <w:szCs w:val="24"/>
        </w:rPr>
        <w:t xml:space="preserve">                          (B.</w:t>
      </w:r>
      <w:r>
        <w:rPr>
          <w:rFonts w:hint="eastAsia" w:eastAsiaTheme="minorEastAsia"/>
          <w:sz w:val="24"/>
          <w:szCs w:val="24"/>
        </w:rPr>
        <w:t>8</w:t>
      </w:r>
      <w:r>
        <w:rPr>
          <w:rFonts w:eastAsiaTheme="minorEastAsia"/>
          <w:sz w:val="24"/>
          <w:szCs w:val="24"/>
        </w:rPr>
        <w:t>)</w:t>
      </w:r>
    </w:p>
    <w:p>
      <w:pPr>
        <w:widowControl/>
        <w:spacing w:line="360" w:lineRule="auto"/>
        <w:rPr>
          <w:rFonts w:eastAsiaTheme="minorEastAsia"/>
          <w:sz w:val="24"/>
          <w:szCs w:val="24"/>
        </w:rPr>
      </w:pPr>
      <w:r>
        <w:rPr>
          <w:rFonts w:eastAsiaTheme="minorEastAsia"/>
          <w:sz w:val="24"/>
          <w:szCs w:val="24"/>
        </w:rPr>
        <w:t>B.5  扩展不确定度的计算</w:t>
      </w:r>
    </w:p>
    <w:p>
      <w:pPr>
        <w:spacing w:line="360" w:lineRule="auto"/>
        <w:ind w:firstLine="450"/>
        <w:rPr>
          <w:rFonts w:eastAsiaTheme="minorEastAsia"/>
          <w:sz w:val="24"/>
          <w:szCs w:val="24"/>
        </w:rPr>
      </w:pPr>
      <w:r>
        <w:rPr>
          <w:rFonts w:eastAsiaTheme="minorEastAsia"/>
          <w:sz w:val="24"/>
          <w:szCs w:val="24"/>
        </w:rPr>
        <w:t>取</w:t>
      </w:r>
      <w:r>
        <w:rPr>
          <w:position w:val="-6"/>
        </w:rPr>
        <w:object>
          <v:shape id="_x0000_i1133" o:spt="75" type="#_x0000_t75" style="height:14.05pt;width:28.05pt;" o:ole="t" filled="f" o:preferrelative="t" stroked="f" coordsize="21600,21600">
            <v:path/>
            <v:fill on="f" focussize="0,0"/>
            <v:stroke on="f" joinstyle="miter"/>
            <v:imagedata r:id="rId170" o:title=""/>
            <o:lock v:ext="edit" aspectratio="t"/>
            <w10:wrap type="none"/>
            <w10:anchorlock/>
          </v:shape>
          <o:OLEObject Type="Embed" ProgID="Equation.DSMT4" ShapeID="_x0000_i1133" DrawAspect="Content" ObjectID="_1468075833" r:id="rId207">
            <o:LockedField>false</o:LockedField>
          </o:OLEObject>
        </w:object>
      </w:r>
      <w:r>
        <w:rPr>
          <w:rFonts w:eastAsiaTheme="minorEastAsia"/>
          <w:sz w:val="24"/>
          <w:szCs w:val="24"/>
        </w:rPr>
        <w:t>，则扩展不确定度如下：</w:t>
      </w:r>
    </w:p>
    <w:p>
      <w:pPr>
        <w:spacing w:line="360" w:lineRule="auto"/>
        <w:ind w:firstLine="450"/>
        <w:jc w:val="right"/>
        <w:rPr>
          <w:rFonts w:eastAsiaTheme="minorEastAsia"/>
          <w:sz w:val="24"/>
          <w:szCs w:val="24"/>
        </w:rPr>
      </w:pPr>
      <w:r>
        <w:rPr>
          <w:rFonts w:eastAsiaTheme="minorEastAsia"/>
          <w:color w:val="000000"/>
          <w:position w:val="-12"/>
          <w:sz w:val="24"/>
          <w:szCs w:val="24"/>
        </w:rPr>
        <w:object>
          <v:shape id="_x0000_i1134" o:spt="75" type="#_x0000_t75" style="height:16.85pt;width:81.35pt;" o:ole="t" filled="f" o:preferrelative="t" stroked="f" coordsize="21600,21600">
            <v:path/>
            <v:fill on="f" focussize="0,0"/>
            <v:stroke on="f" joinstyle="miter"/>
            <v:imagedata r:id="rId209" o:title=""/>
            <o:lock v:ext="edit" aspectratio="t"/>
            <w10:wrap type="none"/>
            <w10:anchorlock/>
          </v:shape>
          <o:OLEObject Type="Embed" ProgID="Equation.DSMT4" ShapeID="_x0000_i1134" DrawAspect="Content" ObjectID="_1468075834" r:id="rId208">
            <o:LockedField>false</o:LockedField>
          </o:OLEObject>
        </w:object>
      </w:r>
      <w:r>
        <w:rPr>
          <w:rFonts w:eastAsiaTheme="minorEastAsia"/>
          <w:sz w:val="24"/>
          <w:szCs w:val="24"/>
        </w:rPr>
        <w:t xml:space="preserve">                           (B.</w:t>
      </w:r>
      <w:r>
        <w:rPr>
          <w:rFonts w:hint="eastAsia" w:eastAsiaTheme="minorEastAsia"/>
          <w:sz w:val="24"/>
          <w:szCs w:val="24"/>
        </w:rPr>
        <w:t>9</w:t>
      </w:r>
      <w:r>
        <w:rPr>
          <w:rFonts w:eastAsiaTheme="minorEastAsia"/>
          <w:sz w:val="24"/>
          <w:szCs w:val="24"/>
        </w:rPr>
        <w:t>)</w:t>
      </w:r>
    </w:p>
    <w:p>
      <w:pPr>
        <w:pStyle w:val="2"/>
        <w:spacing w:line="300" w:lineRule="auto"/>
        <w:rPr>
          <w:rFonts w:eastAsia="黑体"/>
          <w:b w:val="0"/>
          <w:bCs w:val="0"/>
          <w:sz w:val="28"/>
          <w:szCs w:val="28"/>
        </w:rPr>
      </w:pPr>
      <w:r>
        <w:rPr>
          <w:rFonts w:eastAsiaTheme="minorEastAsia"/>
        </w:rPr>
        <w:br w:type="page"/>
      </w:r>
      <w:bookmarkStart w:id="58" w:name="_Toc132233464"/>
      <w:r>
        <w:rPr>
          <w:rFonts w:eastAsia="黑体"/>
          <w:b w:val="0"/>
          <w:bCs w:val="0"/>
          <w:sz w:val="28"/>
          <w:szCs w:val="28"/>
        </w:rPr>
        <w:t>附录C</w:t>
      </w:r>
      <w:bookmarkEnd w:id="57"/>
      <w:bookmarkEnd w:id="58"/>
    </w:p>
    <w:p>
      <w:pPr>
        <w:pStyle w:val="4"/>
        <w:spacing w:line="300" w:lineRule="auto"/>
        <w:jc w:val="center"/>
        <w:rPr>
          <w:rFonts w:eastAsia="黑体"/>
          <w:b w:val="0"/>
          <w:sz w:val="28"/>
          <w:szCs w:val="28"/>
        </w:rPr>
      </w:pPr>
      <w:r>
        <w:rPr>
          <w:rFonts w:eastAsia="黑体"/>
          <w:b w:val="0"/>
          <w:sz w:val="28"/>
          <w:szCs w:val="28"/>
        </w:rPr>
        <w:t>颗粒碰撞噪声检测系统校准证书内页格式</w:t>
      </w:r>
    </w:p>
    <w:p>
      <w:pPr>
        <w:spacing w:line="300" w:lineRule="auto"/>
        <w:rPr>
          <w:sz w:val="24"/>
          <w:szCs w:val="24"/>
        </w:rPr>
      </w:pPr>
      <w:r>
        <w:rPr>
          <w:sz w:val="24"/>
        </w:rPr>
        <w:t>C.</w:t>
      </w:r>
      <w:r>
        <w:rPr>
          <w:sz w:val="24"/>
          <w:szCs w:val="24"/>
        </w:rPr>
        <w:t>1  校准前检查</w:t>
      </w:r>
    </w:p>
    <w:p>
      <w:pPr>
        <w:spacing w:line="300" w:lineRule="auto"/>
        <w:rPr>
          <w:sz w:val="24"/>
          <w:szCs w:val="24"/>
        </w:rPr>
      </w:pPr>
      <w:r>
        <w:rPr>
          <w:sz w:val="24"/>
        </w:rPr>
        <w:t>C.</w:t>
      </w:r>
      <w:r>
        <w:rPr>
          <w:sz w:val="24"/>
          <w:szCs w:val="24"/>
        </w:rPr>
        <w:t>2  正弦振动：</w:t>
      </w:r>
    </w:p>
    <w:tbl>
      <w:tblPr>
        <w:tblStyle w:val="18"/>
        <w:tblW w:w="9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831"/>
        <w:gridCol w:w="1596"/>
        <w:gridCol w:w="1236"/>
        <w:gridCol w:w="1759"/>
        <w:gridCol w:w="123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27" w:type="dxa"/>
            <w:gridSpan w:val="2"/>
            <w:vAlign w:val="center"/>
          </w:tcPr>
          <w:p>
            <w:pPr>
              <w:jc w:val="center"/>
              <w:rPr>
                <w:sz w:val="24"/>
                <w:szCs w:val="24"/>
              </w:rPr>
            </w:pPr>
            <w:r>
              <w:rPr>
                <w:sz w:val="24"/>
                <w:szCs w:val="24"/>
              </w:rPr>
              <w:t>显  示  值</w:t>
            </w:r>
          </w:p>
        </w:tc>
        <w:tc>
          <w:tcPr>
            <w:tcW w:w="2832" w:type="dxa"/>
            <w:gridSpan w:val="2"/>
            <w:vAlign w:val="center"/>
          </w:tcPr>
          <w:p>
            <w:pPr>
              <w:jc w:val="center"/>
              <w:rPr>
                <w:sz w:val="24"/>
                <w:szCs w:val="24"/>
              </w:rPr>
            </w:pPr>
            <w:r>
              <w:rPr>
                <w:sz w:val="24"/>
                <w:szCs w:val="24"/>
              </w:rPr>
              <w:t>实  测  值</w:t>
            </w:r>
          </w:p>
        </w:tc>
        <w:tc>
          <w:tcPr>
            <w:tcW w:w="1759" w:type="dxa"/>
            <w:vMerge w:val="restart"/>
            <w:vAlign w:val="center"/>
          </w:tcPr>
          <w:p>
            <w:pPr>
              <w:jc w:val="center"/>
              <w:rPr>
                <w:sz w:val="24"/>
                <w:szCs w:val="24"/>
              </w:rPr>
            </w:pPr>
            <w:r>
              <w:rPr>
                <w:sz w:val="24"/>
                <w:szCs w:val="24"/>
              </w:rPr>
              <w:t>振动加速度</w:t>
            </w:r>
          </w:p>
          <w:p>
            <w:pPr>
              <w:jc w:val="center"/>
              <w:rPr>
                <w:sz w:val="24"/>
                <w:szCs w:val="24"/>
              </w:rPr>
            </w:pPr>
            <w:r>
              <w:rPr>
                <w:sz w:val="24"/>
                <w:szCs w:val="24"/>
              </w:rPr>
              <w:t>幅值示值误差</w:t>
            </w:r>
          </w:p>
          <w:p>
            <w:pPr>
              <w:jc w:val="center"/>
              <w:rPr>
                <w:sz w:val="24"/>
                <w:szCs w:val="24"/>
              </w:rPr>
            </w:pPr>
            <w:r>
              <w:rPr>
                <w:sz w:val="24"/>
                <w:szCs w:val="24"/>
              </w:rPr>
              <w:t>%</w:t>
            </w:r>
          </w:p>
        </w:tc>
        <w:tc>
          <w:tcPr>
            <w:tcW w:w="1230" w:type="dxa"/>
            <w:vMerge w:val="restart"/>
            <w:vAlign w:val="center"/>
          </w:tcPr>
          <w:p>
            <w:pPr>
              <w:jc w:val="center"/>
              <w:rPr>
                <w:sz w:val="24"/>
                <w:szCs w:val="24"/>
              </w:rPr>
            </w:pPr>
            <w:r>
              <w:rPr>
                <w:sz w:val="24"/>
                <w:szCs w:val="24"/>
              </w:rPr>
              <w:t>振动频率</w:t>
            </w:r>
          </w:p>
          <w:p>
            <w:pPr>
              <w:jc w:val="center"/>
              <w:rPr>
                <w:sz w:val="24"/>
                <w:szCs w:val="24"/>
              </w:rPr>
            </w:pPr>
            <w:r>
              <w:rPr>
                <w:sz w:val="24"/>
                <w:szCs w:val="24"/>
              </w:rPr>
              <w:t>示值误差</w:t>
            </w:r>
          </w:p>
          <w:p>
            <w:pPr>
              <w:jc w:val="center"/>
              <w:rPr>
                <w:sz w:val="24"/>
                <w:szCs w:val="24"/>
              </w:rPr>
            </w:pPr>
            <w:r>
              <w:rPr>
                <w:sz w:val="24"/>
                <w:szCs w:val="24"/>
              </w:rPr>
              <w:t>%</w:t>
            </w:r>
          </w:p>
        </w:tc>
        <w:tc>
          <w:tcPr>
            <w:tcW w:w="1080" w:type="dxa"/>
            <w:vMerge w:val="restart"/>
            <w:vAlign w:val="center"/>
          </w:tcPr>
          <w:p>
            <w:pPr>
              <w:jc w:val="center"/>
              <w:rPr>
                <w:sz w:val="24"/>
                <w:szCs w:val="24"/>
              </w:rPr>
            </w:pPr>
            <w:r>
              <w:rPr>
                <w:sz w:val="24"/>
                <w:szCs w:val="24"/>
              </w:rPr>
              <w:t>波形</w:t>
            </w:r>
          </w:p>
          <w:p>
            <w:pPr>
              <w:jc w:val="center"/>
              <w:rPr>
                <w:sz w:val="24"/>
                <w:szCs w:val="24"/>
              </w:rPr>
            </w:pPr>
            <w:r>
              <w:rPr>
                <w:sz w:val="24"/>
                <w:szCs w:val="24"/>
              </w:rPr>
              <w:t>失真度</w:t>
            </w:r>
          </w:p>
          <w:p>
            <w:pPr>
              <w:jc w:val="cente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vAlign w:val="center"/>
          </w:tcPr>
          <w:p>
            <w:pPr>
              <w:jc w:val="center"/>
              <w:rPr>
                <w:sz w:val="24"/>
                <w:szCs w:val="24"/>
              </w:rPr>
            </w:pPr>
            <w:r>
              <w:rPr>
                <w:sz w:val="24"/>
                <w:szCs w:val="24"/>
              </w:rPr>
              <w:t>振动加速度</w:t>
            </w:r>
          </w:p>
          <w:p>
            <w:pPr>
              <w:jc w:val="center"/>
              <w:rPr>
                <w:sz w:val="24"/>
                <w:szCs w:val="24"/>
              </w:rPr>
            </w:pPr>
            <w:r>
              <w:rPr>
                <w:sz w:val="24"/>
                <w:szCs w:val="24"/>
              </w:rPr>
              <w:t>幅值g</w:t>
            </w:r>
          </w:p>
        </w:tc>
        <w:tc>
          <w:tcPr>
            <w:tcW w:w="831" w:type="dxa"/>
            <w:vAlign w:val="center"/>
          </w:tcPr>
          <w:p>
            <w:pPr>
              <w:jc w:val="center"/>
              <w:rPr>
                <w:sz w:val="24"/>
                <w:szCs w:val="24"/>
              </w:rPr>
            </w:pPr>
            <w:r>
              <w:rPr>
                <w:sz w:val="24"/>
                <w:szCs w:val="24"/>
              </w:rPr>
              <w:t>频率</w:t>
            </w:r>
          </w:p>
          <w:p>
            <w:pPr>
              <w:jc w:val="center"/>
              <w:rPr>
                <w:sz w:val="24"/>
                <w:szCs w:val="24"/>
              </w:rPr>
            </w:pPr>
            <w:r>
              <w:rPr>
                <w:sz w:val="24"/>
                <w:szCs w:val="24"/>
              </w:rPr>
              <w:t>Hz</w:t>
            </w:r>
          </w:p>
        </w:tc>
        <w:tc>
          <w:tcPr>
            <w:tcW w:w="1596" w:type="dxa"/>
            <w:vAlign w:val="center"/>
          </w:tcPr>
          <w:p>
            <w:pPr>
              <w:jc w:val="center"/>
              <w:rPr>
                <w:sz w:val="24"/>
                <w:szCs w:val="24"/>
              </w:rPr>
            </w:pPr>
            <w:r>
              <w:rPr>
                <w:sz w:val="24"/>
                <w:szCs w:val="24"/>
              </w:rPr>
              <w:t>振动加速度</w:t>
            </w:r>
          </w:p>
          <w:p>
            <w:pPr>
              <w:jc w:val="center"/>
              <w:rPr>
                <w:sz w:val="24"/>
                <w:szCs w:val="24"/>
              </w:rPr>
            </w:pPr>
            <w:r>
              <w:rPr>
                <w:sz w:val="24"/>
                <w:szCs w:val="24"/>
              </w:rPr>
              <w:t>幅值g</w:t>
            </w:r>
          </w:p>
        </w:tc>
        <w:tc>
          <w:tcPr>
            <w:tcW w:w="1236" w:type="dxa"/>
            <w:vAlign w:val="center"/>
          </w:tcPr>
          <w:p>
            <w:pPr>
              <w:jc w:val="center"/>
              <w:rPr>
                <w:sz w:val="24"/>
                <w:szCs w:val="24"/>
              </w:rPr>
            </w:pPr>
            <w:r>
              <w:rPr>
                <w:sz w:val="24"/>
                <w:szCs w:val="24"/>
              </w:rPr>
              <w:t>频率</w:t>
            </w:r>
          </w:p>
          <w:p>
            <w:pPr>
              <w:jc w:val="center"/>
              <w:rPr>
                <w:sz w:val="24"/>
                <w:szCs w:val="24"/>
              </w:rPr>
            </w:pPr>
            <w:r>
              <w:rPr>
                <w:sz w:val="24"/>
                <w:szCs w:val="24"/>
              </w:rPr>
              <w:t>Hz</w:t>
            </w:r>
          </w:p>
        </w:tc>
        <w:tc>
          <w:tcPr>
            <w:tcW w:w="1759" w:type="dxa"/>
            <w:vMerge w:val="continue"/>
            <w:vAlign w:val="center"/>
          </w:tcPr>
          <w:p>
            <w:pPr>
              <w:jc w:val="center"/>
              <w:rPr>
                <w:sz w:val="24"/>
                <w:szCs w:val="24"/>
              </w:rPr>
            </w:pPr>
          </w:p>
        </w:tc>
        <w:tc>
          <w:tcPr>
            <w:tcW w:w="1230" w:type="dxa"/>
            <w:vMerge w:val="continue"/>
            <w:vAlign w:val="center"/>
          </w:tcPr>
          <w:p>
            <w:pPr>
              <w:jc w:val="center"/>
              <w:rPr>
                <w:sz w:val="24"/>
                <w:szCs w:val="24"/>
              </w:rPr>
            </w:pPr>
          </w:p>
        </w:tc>
        <w:tc>
          <w:tcPr>
            <w:tcW w:w="1080" w:type="dxa"/>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vAlign w:val="center"/>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6" w:type="dxa"/>
          </w:tcPr>
          <w:p>
            <w:pPr>
              <w:jc w:val="center"/>
              <w:rPr>
                <w:sz w:val="24"/>
                <w:szCs w:val="24"/>
              </w:rPr>
            </w:pPr>
          </w:p>
        </w:tc>
        <w:tc>
          <w:tcPr>
            <w:tcW w:w="831" w:type="dxa"/>
          </w:tcPr>
          <w:p>
            <w:pPr>
              <w:jc w:val="center"/>
              <w:rPr>
                <w:sz w:val="24"/>
                <w:szCs w:val="24"/>
              </w:rPr>
            </w:pPr>
          </w:p>
        </w:tc>
        <w:tc>
          <w:tcPr>
            <w:tcW w:w="1596" w:type="dxa"/>
          </w:tcPr>
          <w:p>
            <w:pPr>
              <w:jc w:val="center"/>
              <w:rPr>
                <w:sz w:val="24"/>
                <w:szCs w:val="24"/>
              </w:rPr>
            </w:pPr>
          </w:p>
        </w:tc>
        <w:tc>
          <w:tcPr>
            <w:tcW w:w="1236" w:type="dxa"/>
          </w:tcPr>
          <w:p>
            <w:pPr>
              <w:jc w:val="center"/>
              <w:rPr>
                <w:sz w:val="24"/>
                <w:szCs w:val="24"/>
              </w:rPr>
            </w:pPr>
          </w:p>
        </w:tc>
        <w:tc>
          <w:tcPr>
            <w:tcW w:w="1759" w:type="dxa"/>
            <w:vAlign w:val="center"/>
          </w:tcPr>
          <w:p>
            <w:pPr>
              <w:jc w:val="center"/>
              <w:rPr>
                <w:sz w:val="24"/>
                <w:szCs w:val="24"/>
              </w:rPr>
            </w:pPr>
          </w:p>
        </w:tc>
        <w:tc>
          <w:tcPr>
            <w:tcW w:w="1230" w:type="dxa"/>
            <w:vAlign w:val="center"/>
          </w:tcPr>
          <w:p>
            <w:pPr>
              <w:jc w:val="center"/>
              <w:rPr>
                <w:sz w:val="24"/>
                <w:szCs w:val="24"/>
              </w:rPr>
            </w:pPr>
          </w:p>
        </w:tc>
        <w:tc>
          <w:tcPr>
            <w:tcW w:w="1080" w:type="dxa"/>
          </w:tcPr>
          <w:p>
            <w:pPr>
              <w:jc w:val="center"/>
              <w:rPr>
                <w:sz w:val="24"/>
                <w:szCs w:val="24"/>
              </w:rPr>
            </w:pPr>
          </w:p>
        </w:tc>
      </w:tr>
    </w:tbl>
    <w:p>
      <w:pPr>
        <w:spacing w:line="300" w:lineRule="auto"/>
        <w:rPr>
          <w:sz w:val="24"/>
          <w:szCs w:val="24"/>
        </w:rPr>
      </w:pPr>
      <w:r>
        <w:rPr>
          <w:sz w:val="24"/>
          <w:szCs w:val="24"/>
        </w:rPr>
        <w:t>正弦振动试验时间示值误差：</w:t>
      </w:r>
      <w:r>
        <w:rPr>
          <w:rFonts w:hint="eastAsia"/>
          <w:sz w:val="24"/>
          <w:szCs w:val="24"/>
        </w:rPr>
        <w:t xml:space="preserve"> </w:t>
      </w:r>
      <w:r>
        <w:rPr>
          <w:sz w:val="24"/>
          <w:szCs w:val="24"/>
        </w:rPr>
        <w:t xml:space="preserve">   %。</w:t>
      </w:r>
    </w:p>
    <w:p>
      <w:pPr>
        <w:spacing w:line="300" w:lineRule="auto"/>
        <w:rPr>
          <w:sz w:val="24"/>
          <w:szCs w:val="24"/>
        </w:rPr>
      </w:pPr>
      <w:r>
        <w:rPr>
          <w:sz w:val="24"/>
          <w:szCs w:val="24"/>
        </w:rPr>
        <w:t>正弦振动加速度峰值校准结果的不确定度：，正弦振动频率校准结果的不确定度：</w:t>
      </w:r>
      <w:r>
        <w:rPr>
          <w:rFonts w:hint="eastAsia"/>
          <w:sz w:val="24"/>
          <w:szCs w:val="24"/>
        </w:rPr>
        <w:t xml:space="preserve"> </w:t>
      </w:r>
      <w:r>
        <w:rPr>
          <w:sz w:val="24"/>
          <w:szCs w:val="24"/>
        </w:rPr>
        <w:t xml:space="preserve">   。</w:t>
      </w:r>
    </w:p>
    <w:p>
      <w:pPr>
        <w:spacing w:line="300" w:lineRule="auto"/>
        <w:rPr>
          <w:sz w:val="24"/>
          <w:szCs w:val="24"/>
        </w:rPr>
      </w:pPr>
      <w:r>
        <w:rPr>
          <w:sz w:val="24"/>
        </w:rPr>
        <w:t>C.</w:t>
      </w:r>
      <w:r>
        <w:rPr>
          <w:sz w:val="24"/>
          <w:szCs w:val="24"/>
        </w:rPr>
        <w:t>3  冲击</w:t>
      </w:r>
    </w:p>
    <w:tbl>
      <w:tblPr>
        <w:tblStyle w:val="18"/>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2230"/>
        <w:gridCol w:w="1633"/>
        <w:gridCol w:w="2126"/>
        <w:gridCol w:w="2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1083" w:type="dxa"/>
            <w:vMerge w:val="restart"/>
            <w:vAlign w:val="center"/>
          </w:tcPr>
          <w:p>
            <w:pPr>
              <w:jc w:val="center"/>
              <w:rPr>
                <w:sz w:val="24"/>
                <w:szCs w:val="24"/>
              </w:rPr>
            </w:pPr>
            <w:r>
              <w:rPr>
                <w:sz w:val="24"/>
                <w:szCs w:val="24"/>
              </w:rPr>
              <w:t>标定点</w:t>
            </w:r>
          </w:p>
        </w:tc>
        <w:tc>
          <w:tcPr>
            <w:tcW w:w="3863" w:type="dxa"/>
            <w:gridSpan w:val="2"/>
            <w:tcBorders>
              <w:right w:val="nil"/>
            </w:tcBorders>
          </w:tcPr>
          <w:p>
            <w:pPr>
              <w:jc w:val="center"/>
              <w:rPr>
                <w:sz w:val="24"/>
                <w:szCs w:val="24"/>
              </w:rPr>
            </w:pPr>
            <w:r>
              <w:rPr>
                <w:sz w:val="24"/>
                <w:szCs w:val="24"/>
              </w:rPr>
              <w:t>标准值</w:t>
            </w:r>
          </w:p>
        </w:tc>
        <w:tc>
          <w:tcPr>
            <w:tcW w:w="2126" w:type="dxa"/>
            <w:tcBorders>
              <w:right w:val="single" w:color="auto" w:sz="4" w:space="0"/>
            </w:tcBorders>
            <w:shd w:val="clear" w:color="auto" w:fill="auto"/>
          </w:tcPr>
          <w:p>
            <w:pPr>
              <w:jc w:val="center"/>
              <w:rPr>
                <w:sz w:val="24"/>
                <w:szCs w:val="24"/>
              </w:rPr>
            </w:pPr>
            <w:r>
              <w:rPr>
                <w:sz w:val="24"/>
                <w:szCs w:val="24"/>
              </w:rPr>
              <w:t>显示值</w:t>
            </w:r>
          </w:p>
        </w:tc>
        <w:tc>
          <w:tcPr>
            <w:tcW w:w="2253" w:type="dxa"/>
            <w:vMerge w:val="restart"/>
            <w:tcBorders>
              <w:right w:val="single" w:color="auto" w:sz="4" w:space="0"/>
            </w:tcBorders>
          </w:tcPr>
          <w:p>
            <w:pPr>
              <w:widowControl/>
              <w:jc w:val="center"/>
              <w:rPr>
                <w:sz w:val="24"/>
                <w:szCs w:val="24"/>
              </w:rPr>
            </w:pPr>
            <w:r>
              <w:rPr>
                <w:sz w:val="24"/>
                <w:szCs w:val="24"/>
              </w:rPr>
              <w:t>冲击加速度峰值</w:t>
            </w:r>
          </w:p>
          <w:p>
            <w:pPr>
              <w:widowControl/>
              <w:jc w:val="center"/>
              <w:rPr>
                <w:sz w:val="24"/>
                <w:szCs w:val="24"/>
              </w:rPr>
            </w:pPr>
            <w:r>
              <w:rPr>
                <w:sz w:val="24"/>
                <w:szCs w:val="24"/>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083" w:type="dxa"/>
            <w:vMerge w:val="continue"/>
          </w:tcPr>
          <w:p>
            <w:pPr>
              <w:jc w:val="center"/>
              <w:rPr>
                <w:sz w:val="24"/>
                <w:szCs w:val="24"/>
              </w:rPr>
            </w:pPr>
          </w:p>
        </w:tc>
        <w:tc>
          <w:tcPr>
            <w:tcW w:w="2230" w:type="dxa"/>
          </w:tcPr>
          <w:p>
            <w:pPr>
              <w:jc w:val="center"/>
              <w:rPr>
                <w:sz w:val="24"/>
                <w:szCs w:val="24"/>
              </w:rPr>
            </w:pPr>
            <w:r>
              <w:rPr>
                <w:sz w:val="24"/>
                <w:szCs w:val="24"/>
              </w:rPr>
              <w:t>冲击加速度峰值g</w:t>
            </w:r>
          </w:p>
        </w:tc>
        <w:tc>
          <w:tcPr>
            <w:tcW w:w="1633" w:type="dxa"/>
            <w:tcBorders>
              <w:right w:val="nil"/>
            </w:tcBorders>
          </w:tcPr>
          <w:p>
            <w:pPr>
              <w:jc w:val="center"/>
              <w:rPr>
                <w:sz w:val="24"/>
                <w:szCs w:val="24"/>
              </w:rPr>
            </w:pPr>
            <w:r>
              <w:rPr>
                <w:sz w:val="24"/>
                <w:szCs w:val="24"/>
              </w:rPr>
              <w:t>持续时间ms</w:t>
            </w:r>
          </w:p>
        </w:tc>
        <w:tc>
          <w:tcPr>
            <w:tcW w:w="2126" w:type="dxa"/>
            <w:tcBorders>
              <w:right w:val="single" w:color="auto" w:sz="4" w:space="0"/>
            </w:tcBorders>
            <w:shd w:val="clear" w:color="auto" w:fill="auto"/>
          </w:tcPr>
          <w:p>
            <w:pPr>
              <w:jc w:val="center"/>
              <w:rPr>
                <w:sz w:val="24"/>
                <w:szCs w:val="24"/>
              </w:rPr>
            </w:pPr>
            <w:r>
              <w:rPr>
                <w:sz w:val="24"/>
                <w:szCs w:val="24"/>
              </w:rPr>
              <w:t>冲击加速度峰值g</w:t>
            </w:r>
          </w:p>
        </w:tc>
        <w:tc>
          <w:tcPr>
            <w:tcW w:w="2253" w:type="dxa"/>
            <w:vMerge w:val="continue"/>
            <w:tcBorders>
              <w:left w:val="single" w:color="auto" w:sz="4" w:space="0"/>
            </w:tcBorders>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1</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2</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3</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4</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5</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6</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7</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8</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9</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083" w:type="dxa"/>
          </w:tcPr>
          <w:p>
            <w:pPr>
              <w:jc w:val="center"/>
              <w:rPr>
                <w:sz w:val="24"/>
                <w:szCs w:val="24"/>
              </w:rPr>
            </w:pPr>
            <w:r>
              <w:rPr>
                <w:sz w:val="24"/>
                <w:szCs w:val="24"/>
              </w:rPr>
              <w:t>10</w:t>
            </w:r>
          </w:p>
        </w:tc>
        <w:tc>
          <w:tcPr>
            <w:tcW w:w="2230" w:type="dxa"/>
          </w:tcPr>
          <w:p>
            <w:pPr>
              <w:jc w:val="center"/>
              <w:rPr>
                <w:sz w:val="24"/>
                <w:szCs w:val="24"/>
              </w:rPr>
            </w:pPr>
          </w:p>
        </w:tc>
        <w:tc>
          <w:tcPr>
            <w:tcW w:w="1633" w:type="dxa"/>
            <w:tcBorders>
              <w:right w:val="nil"/>
            </w:tcBorders>
            <w:shd w:val="clear" w:color="auto" w:fill="auto"/>
          </w:tcPr>
          <w:p>
            <w:pPr>
              <w:jc w:val="center"/>
              <w:rPr>
                <w:sz w:val="24"/>
                <w:szCs w:val="24"/>
              </w:rPr>
            </w:pPr>
          </w:p>
        </w:tc>
        <w:tc>
          <w:tcPr>
            <w:tcW w:w="2126" w:type="dxa"/>
            <w:shd w:val="clear" w:color="auto" w:fill="auto"/>
          </w:tcPr>
          <w:p>
            <w:pPr>
              <w:jc w:val="center"/>
              <w:rPr>
                <w:sz w:val="24"/>
                <w:szCs w:val="24"/>
              </w:rPr>
            </w:pPr>
          </w:p>
        </w:tc>
        <w:tc>
          <w:tcPr>
            <w:tcW w:w="2253"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9325" w:type="dxa"/>
            <w:gridSpan w:val="5"/>
          </w:tcPr>
          <w:p>
            <w:pPr>
              <w:rPr>
                <w:sz w:val="24"/>
                <w:szCs w:val="24"/>
              </w:rPr>
            </w:pPr>
            <w:r>
              <w:rPr>
                <w:sz w:val="24"/>
                <w:szCs w:val="24"/>
              </w:rPr>
              <w:t>冲击加速度峰值的平均值：</w:t>
            </w:r>
            <w:r>
              <w:rPr>
                <w:rFonts w:hint="eastAsia"/>
                <w:sz w:val="24"/>
                <w:szCs w:val="24"/>
              </w:rPr>
              <w:t xml:space="preserve"> </w:t>
            </w:r>
            <w:r>
              <w:rPr>
                <w:sz w:val="24"/>
                <w:szCs w:val="24"/>
              </w:rPr>
              <w:t xml:space="preserve">   g；重复性：</w:t>
            </w:r>
            <w:r>
              <w:rPr>
                <w:rFonts w:hint="eastAsia"/>
                <w:sz w:val="24"/>
                <w:szCs w:val="24"/>
              </w:rPr>
              <w:t xml:space="preserve"> </w:t>
            </w:r>
            <w:r>
              <w:rPr>
                <w:sz w:val="24"/>
                <w:szCs w:val="24"/>
              </w:rPr>
              <w:t xml:space="preserve">   %。</w:t>
            </w:r>
          </w:p>
        </w:tc>
      </w:tr>
    </w:tbl>
    <w:p>
      <w:pPr>
        <w:spacing w:line="300" w:lineRule="auto"/>
        <w:rPr>
          <w:sz w:val="24"/>
          <w:szCs w:val="24"/>
        </w:rPr>
      </w:pPr>
      <w:r>
        <w:rPr>
          <w:sz w:val="24"/>
          <w:szCs w:val="24"/>
        </w:rPr>
        <w:t>冲击加速度峰值校准结果的不确定度：。</w:t>
      </w:r>
    </w:p>
    <w:p>
      <w:pPr>
        <w:spacing w:line="300" w:lineRule="auto"/>
        <w:rPr>
          <w:sz w:val="24"/>
          <w:szCs w:val="24"/>
        </w:rPr>
      </w:pPr>
      <w:r>
        <w:rPr>
          <w:sz w:val="24"/>
        </w:rPr>
        <w:t>C.</w:t>
      </w:r>
      <w:r>
        <w:rPr>
          <w:sz w:val="24"/>
          <w:szCs w:val="24"/>
        </w:rPr>
        <w:t>4  PIND换能器</w:t>
      </w:r>
    </w:p>
    <w:p>
      <w:pPr>
        <w:spacing w:line="300" w:lineRule="auto"/>
        <w:rPr>
          <w:sz w:val="24"/>
          <w:szCs w:val="24"/>
        </w:rPr>
      </w:pPr>
      <w:r>
        <w:rPr>
          <w:sz w:val="24"/>
          <w:szCs w:val="24"/>
        </w:rPr>
        <w:t>频率响应曲线：</w:t>
      </w:r>
      <w:r>
        <w:t xml:space="preserve">                 </w:t>
      </w:r>
      <w:r>
        <w:object>
          <v:shape id="_x0000_i1135" o:spt="75" type="#_x0000_t75" style="height:92.55pt;width:120.6pt;" o:ole="t" filled="f" o:preferrelative="t" stroked="f" coordsize="21600,21600">
            <v:path/>
            <v:fill on="f" focussize="0,0"/>
            <v:stroke on="f" joinstyle="miter"/>
            <v:imagedata r:id="rId211" o:title=""/>
            <o:lock v:ext="edit" aspectratio="t"/>
            <w10:wrap type="none"/>
            <w10:anchorlock/>
          </v:shape>
          <o:OLEObject Type="Embed" ProgID="Visio.Drawing.15" ShapeID="_x0000_i1135" DrawAspect="Content" ObjectID="_1468075835" r:id="rId210">
            <o:LockedField>false</o:LockedField>
          </o:OLEObject>
        </w:object>
      </w:r>
    </w:p>
    <w:p>
      <w:pPr>
        <w:spacing w:line="300" w:lineRule="auto"/>
        <w:rPr>
          <w:sz w:val="24"/>
          <w:szCs w:val="24"/>
        </w:rPr>
      </w:pPr>
      <w:r>
        <w:rPr>
          <w:sz w:val="24"/>
          <w:szCs w:val="24"/>
        </w:rPr>
        <w:t>峰值声压灵敏度级：</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dB，相应的频率：</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kHz</w:t>
      </w:r>
    </w:p>
    <w:p>
      <w:pPr>
        <w:spacing w:line="300" w:lineRule="auto"/>
        <w:rPr>
          <w:sz w:val="24"/>
          <w:szCs w:val="24"/>
        </w:rPr>
      </w:pPr>
      <w:r>
        <w:rPr>
          <w:sz w:val="24"/>
          <w:szCs w:val="24"/>
        </w:rPr>
        <w:t>PIND换能器声压灵敏度级校准结果的不确定度：</w:t>
      </w:r>
      <w:r>
        <w:rPr>
          <w:rFonts w:hint="eastAsia"/>
          <w:sz w:val="24"/>
          <w:szCs w:val="24"/>
        </w:rPr>
        <w:t xml:space="preserve"> </w:t>
      </w:r>
      <w:r>
        <w:rPr>
          <w:sz w:val="24"/>
          <w:szCs w:val="24"/>
        </w:rPr>
        <w:t xml:space="preserve">   。</w:t>
      </w:r>
    </w:p>
    <w:p>
      <w:pPr>
        <w:spacing w:line="300" w:lineRule="auto"/>
        <w:rPr>
          <w:sz w:val="24"/>
          <w:szCs w:val="24"/>
        </w:rPr>
      </w:pPr>
      <w:r>
        <w:rPr>
          <w:sz w:val="24"/>
          <w:szCs w:val="24"/>
        </w:rPr>
        <w:t>校准人员：                  核验人员：</w:t>
      </w:r>
    </w:p>
    <w:p>
      <w:pPr>
        <w:spacing w:line="300" w:lineRule="auto"/>
        <w:rPr>
          <w:sz w:val="24"/>
          <w:szCs w:val="24"/>
        </w:rPr>
      </w:pPr>
    </w:p>
    <w:p>
      <w:r>
        <mc:AlternateContent>
          <mc:Choice Requires="wps">
            <w:drawing>
              <wp:anchor distT="0" distB="0" distL="114300" distR="114300" simplePos="0" relativeHeight="251662336" behindDoc="0" locked="0" layoutInCell="1" allowOverlap="1">
                <wp:simplePos x="0" y="0"/>
                <wp:positionH relativeFrom="column">
                  <wp:posOffset>633730</wp:posOffset>
                </wp:positionH>
                <wp:positionV relativeFrom="paragraph">
                  <wp:posOffset>31750</wp:posOffset>
                </wp:positionV>
                <wp:extent cx="506984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50697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9.9pt;margin-top:2.5pt;height:0pt;width:399.2pt;z-index:251662336;mso-width-relative:page;mso-height-relative:page;" filled="f" stroked="t" coordsize="21600,21600" o:gfxdata="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dE7x9QAAAAGAQAADwAAAAAAAAABACAAAAAiAAAAZHJzL2Rvd25yZXYueG1sUEsBAhQAFAAAAAgA&#10;h07iQFIjAVbwAQAA0wMAAA4AAAAAAAAAAQAgAAAAIwEAAGRycy9lMm9Eb2MueG1sUEsFBgAAAAAG&#10;AAYAWQEAAIUFAAAAAA==&#10;">
                <v:fill on="f" focussize="0,0"/>
                <v:stroke color="#000000 [3200]" joinstyle="round"/>
                <v:imagedata o:title=""/>
                <o:lock v:ext="edit" aspectratio="f"/>
              </v:line>
            </w:pict>
          </mc:Fallback>
        </mc:AlternateContent>
      </w:r>
    </w:p>
    <w:p>
      <w:pPr>
        <w:spacing w:line="300" w:lineRule="auto"/>
      </w:pPr>
    </w:p>
    <w:sectPr>
      <w:footerReference r:id="rId9" w:type="default"/>
      <w:footerReference r:id="rId10" w:type="even"/>
      <w:pgSz w:w="11906" w:h="16838"/>
      <w:pgMar w:top="1134" w:right="1134" w:bottom="1134" w:left="1134" w:header="624" w:footer="62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宋体-方正超大字符集">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wordWrap w:val="0"/>
      <w:jc w:val="right"/>
    </w:pPr>
    <w:r>
      <w:rPr>
        <w:rStyle w:val="21"/>
      </w:rPr>
      <w:fldChar w:fldCharType="begin"/>
    </w:r>
    <w:r>
      <w:rPr>
        <w:rStyle w:val="21"/>
      </w:rPr>
      <w:instrText xml:space="preserve"> PAGE </w:instrText>
    </w:r>
    <w:r>
      <w:rPr>
        <w:rStyle w:val="21"/>
      </w:rPr>
      <w:fldChar w:fldCharType="separate"/>
    </w:r>
    <w:r>
      <w:rPr>
        <w:rStyle w:val="21"/>
      </w:rPr>
      <w:t>III</w:t>
    </w:r>
    <w:r>
      <w:rPr>
        <w:rStyle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rStyle w:val="21"/>
      </w:rPr>
      <w:fldChar w:fldCharType="begin"/>
    </w:r>
    <w:r>
      <w:rPr>
        <w:rStyle w:val="21"/>
      </w:rPr>
      <w:instrText xml:space="preserve"> PAGE </w:instrText>
    </w:r>
    <w:r>
      <w:rPr>
        <w:rStyle w:val="21"/>
      </w:rPr>
      <w:fldChar w:fldCharType="separate"/>
    </w:r>
    <w:r>
      <w:rPr>
        <w:rStyle w:val="21"/>
      </w:rPr>
      <w:t>IV</w:t>
    </w:r>
    <w:r>
      <w:rPr>
        <w:rStyle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wordWrap w:val="0"/>
      <w:jc w:val="right"/>
    </w:pPr>
    <w:r>
      <w:rPr>
        <w:rStyle w:val="21"/>
      </w:rPr>
      <w:fldChar w:fldCharType="begin"/>
    </w:r>
    <w:r>
      <w:rPr>
        <w:rStyle w:val="21"/>
      </w:rPr>
      <w:instrText xml:space="preserve"> PAGE </w:instrText>
    </w:r>
    <w:r>
      <w:rPr>
        <w:rStyle w:val="21"/>
      </w:rPr>
      <w:fldChar w:fldCharType="separate"/>
    </w:r>
    <w:r>
      <w:rPr>
        <w:rStyle w:val="21"/>
      </w:rPr>
      <w:t>11</w:t>
    </w:r>
    <w:r>
      <w:rPr>
        <w:rStyle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Style w:val="21"/>
      </w:rPr>
      <w:fldChar w:fldCharType="begin"/>
    </w:r>
    <w:r>
      <w:rPr>
        <w:rStyle w:val="21"/>
      </w:rPr>
      <w:instrText xml:space="preserve"> PAGE </w:instrText>
    </w:r>
    <w:r>
      <w:rPr>
        <w:rStyle w:val="21"/>
      </w:rPr>
      <w:fldChar w:fldCharType="separate"/>
    </w:r>
    <w:r>
      <w:rPr>
        <w:rStyle w:val="21"/>
      </w:rPr>
      <w:t>12</w:t>
    </w:r>
    <w:r>
      <w:rPr>
        <w:rStyle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黑体" w:eastAsia="黑体"/>
        <w:sz w:val="21"/>
        <w:szCs w:val="21"/>
      </w:rPr>
    </w:pPr>
    <w:r>
      <w:rPr>
        <w:rFonts w:hint="eastAsia" w:ascii="黑体" w:eastAsia="黑体" w:cs="黑体"/>
        <w:sz w:val="21"/>
        <w:szCs w:val="21"/>
      </w:rPr>
      <w:t>JJF1220</w:t>
    </w:r>
    <w:r>
      <w:rPr>
        <w:rFonts w:hint="eastAsia" w:ascii="黑体" w:eastAsia="黑体"/>
        <w:sz w:val="21"/>
        <w:szCs w:val="21"/>
      </w:rPr>
      <w:t>—</w:t>
    </w:r>
    <w:r>
      <w:rPr>
        <w:rFonts w:hint="eastAsia" w:ascii="黑体" w:eastAsia="黑体" w:cs="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黑体" w:eastAsia="黑体"/>
        <w:sz w:val="21"/>
        <w:szCs w:val="21"/>
      </w:rPr>
    </w:pPr>
    <w:r>
      <w:rPr>
        <w:rFonts w:hint="eastAsia" w:ascii="黑体" w:eastAsia="黑体" w:cs="黑体"/>
        <w:sz w:val="21"/>
        <w:szCs w:val="21"/>
      </w:rPr>
      <w:t>JJF1220</w:t>
    </w:r>
    <w:r>
      <w:rPr>
        <w:rFonts w:hint="eastAsia" w:ascii="黑体" w:eastAsia="黑体"/>
        <w:sz w:val="21"/>
        <w:szCs w:val="21"/>
      </w:rPr>
      <w:t>—</w:t>
    </w:r>
    <w:r>
      <w:rPr>
        <w:rFonts w:hint="eastAsia" w:asci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D94AD3"/>
    <w:multiLevelType w:val="multilevel"/>
    <w:tmpl w:val="2CD94AD3"/>
    <w:lvl w:ilvl="0" w:tentative="0">
      <w:start w:val="7"/>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ascii="宋体" w:hAnsi="宋体" w:eastAsia="宋体"/>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34C93B8F"/>
    <w:multiLevelType w:val="multilevel"/>
    <w:tmpl w:val="34C93B8F"/>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ascii="宋体" w:hAnsi="宋体" w:eastAsia="宋体"/>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557C2AF5"/>
    <w:multiLevelType w:val="multilevel"/>
    <w:tmpl w:val="557C2AF5"/>
    <w:lvl w:ilvl="0" w:tentative="0">
      <w:start w:val="1"/>
      <w:numFmt w:val="decimal"/>
      <w:pStyle w:val="39"/>
      <w:suff w:val="nothing"/>
      <w:lvlText w:val="图%1　"/>
      <w:lvlJc w:val="left"/>
      <w:pPr>
        <w:ind w:left="315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5F4B1E1C"/>
    <w:multiLevelType w:val="multilevel"/>
    <w:tmpl w:val="5F4B1E1C"/>
    <w:lvl w:ilvl="0" w:tentative="0">
      <w:start w:val="1"/>
      <w:numFmt w:val="decimal"/>
      <w:lvlText w:val="%1"/>
      <w:lvlJc w:val="left"/>
      <w:pPr>
        <w:tabs>
          <w:tab w:val="left" w:pos="462"/>
        </w:tabs>
        <w:ind w:left="462" w:hanging="420"/>
      </w:pPr>
      <w:rPr>
        <w:rFonts w:hint="eastAsia" w:ascii="黑体" w:hAnsi="Times New Roman" w:eastAsia="黑体"/>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4">
    <w:nsid w:val="6CEA2025"/>
    <w:multiLevelType w:val="multilevel"/>
    <w:tmpl w:val="6CEA2025"/>
    <w:lvl w:ilvl="0" w:tentative="0">
      <w:start w:val="1"/>
      <w:numFmt w:val="none"/>
      <w:pStyle w:val="45"/>
      <w:suff w:val="nothing"/>
      <w:lvlText w:val="%1"/>
      <w:lvlJc w:val="left"/>
      <w:pPr>
        <w:ind w:left="0" w:firstLine="0"/>
      </w:pPr>
      <w:rPr>
        <w:rFonts w:hint="default" w:ascii="Times New Roman" w:hAnsi="Times New Roman"/>
        <w:b/>
        <w:i w:val="0"/>
        <w:sz w:val="21"/>
      </w:rPr>
    </w:lvl>
    <w:lvl w:ilvl="1" w:tentative="0">
      <w:start w:val="7"/>
      <w:numFmt w:val="decimal"/>
      <w:pStyle w:val="42"/>
      <w:suff w:val="nothing"/>
      <w:lvlText w:val="%1%2　"/>
      <w:lvlJc w:val="left"/>
      <w:pPr>
        <w:ind w:left="0" w:firstLine="0"/>
      </w:pPr>
      <w:rPr>
        <w:rFonts w:hint="eastAsia" w:ascii="黑体" w:hAnsi="Times New Roman" w:eastAsia="黑体"/>
        <w:b w:val="0"/>
        <w:i w:val="0"/>
        <w:sz w:val="21"/>
      </w:rPr>
    </w:lvl>
    <w:lvl w:ilvl="2" w:tentative="0">
      <w:start w:val="1"/>
      <w:numFmt w:val="decimal"/>
      <w:pStyle w:val="43"/>
      <w:suff w:val="nothing"/>
      <w:lvlText w:val="%1%2.%3　"/>
      <w:lvlJc w:val="left"/>
      <w:pPr>
        <w:ind w:left="0" w:firstLine="0"/>
      </w:pPr>
      <w:rPr>
        <w:rFonts w:hint="eastAsia" w:ascii="黑体" w:hAnsi="Times New Roman" w:eastAsia="黑体"/>
        <w:b w:val="0"/>
        <w:i w:val="0"/>
        <w:sz w:val="21"/>
      </w:rPr>
    </w:lvl>
    <w:lvl w:ilvl="3" w:tentative="0">
      <w:start w:val="4"/>
      <w:numFmt w:val="none"/>
      <w:pStyle w:val="44"/>
      <w:suff w:val="nothing"/>
      <w:lvlText w:val="7.4.1　"/>
      <w:lvlJc w:val="left"/>
      <w:pPr>
        <w:ind w:left="0" w:firstLine="0"/>
      </w:pPr>
      <w:rPr>
        <w:rFonts w:hint="eastAsia" w:ascii="黑体" w:hAnsi="Times New Roman" w:eastAsia="黑体"/>
        <w:b w:val="0"/>
        <w:i w:val="0"/>
        <w:sz w:val="21"/>
      </w:rPr>
    </w:lvl>
    <w:lvl w:ilvl="4" w:tentative="0">
      <w:start w:val="1"/>
      <w:numFmt w:val="decimal"/>
      <w:pStyle w:val="46"/>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4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evenAndOddHeaders w:val="1"/>
  <w:drawingGridHorizontalSpacing w:val="11"/>
  <w:drawingGridVerticalSpacing w:val="12"/>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jQ2tjAyNzaxNDOzNDJR0lEKTi0uzszPAykwrAUAUfZBvywAAAA="/>
    <w:docVar w:name="commondata" w:val="eyJoZGlkIjoiMWNmMzc0OTIzMTZlMjQ5OWQwYzY5MjlhNDQ1YzhhMTUifQ=="/>
  </w:docVars>
  <w:rsids>
    <w:rsidRoot w:val="00172A27"/>
    <w:rsid w:val="000034A0"/>
    <w:rsid w:val="00005453"/>
    <w:rsid w:val="00005546"/>
    <w:rsid w:val="000070A3"/>
    <w:rsid w:val="0001173C"/>
    <w:rsid w:val="00012621"/>
    <w:rsid w:val="00012DD3"/>
    <w:rsid w:val="00013291"/>
    <w:rsid w:val="0001338D"/>
    <w:rsid w:val="0001344A"/>
    <w:rsid w:val="00014662"/>
    <w:rsid w:val="000156B0"/>
    <w:rsid w:val="00015962"/>
    <w:rsid w:val="00016038"/>
    <w:rsid w:val="000203DC"/>
    <w:rsid w:val="00022AC2"/>
    <w:rsid w:val="00026965"/>
    <w:rsid w:val="00027456"/>
    <w:rsid w:val="0002777E"/>
    <w:rsid w:val="0003036A"/>
    <w:rsid w:val="00033FF5"/>
    <w:rsid w:val="00034B3F"/>
    <w:rsid w:val="00036698"/>
    <w:rsid w:val="00036CC8"/>
    <w:rsid w:val="00037218"/>
    <w:rsid w:val="00037CE9"/>
    <w:rsid w:val="00040D98"/>
    <w:rsid w:val="00043C0D"/>
    <w:rsid w:val="0004522B"/>
    <w:rsid w:val="000511CC"/>
    <w:rsid w:val="00051360"/>
    <w:rsid w:val="00051F63"/>
    <w:rsid w:val="0005355C"/>
    <w:rsid w:val="00053C79"/>
    <w:rsid w:val="0005530A"/>
    <w:rsid w:val="00055D62"/>
    <w:rsid w:val="00056664"/>
    <w:rsid w:val="000574C5"/>
    <w:rsid w:val="00060FF2"/>
    <w:rsid w:val="00062764"/>
    <w:rsid w:val="00063635"/>
    <w:rsid w:val="000640F6"/>
    <w:rsid w:val="0006426B"/>
    <w:rsid w:val="0006443B"/>
    <w:rsid w:val="000657FE"/>
    <w:rsid w:val="00065B71"/>
    <w:rsid w:val="00066B2F"/>
    <w:rsid w:val="00066C9D"/>
    <w:rsid w:val="00066FE4"/>
    <w:rsid w:val="0006705C"/>
    <w:rsid w:val="00070F62"/>
    <w:rsid w:val="000716BC"/>
    <w:rsid w:val="00072ADF"/>
    <w:rsid w:val="00073189"/>
    <w:rsid w:val="0007498A"/>
    <w:rsid w:val="0007586E"/>
    <w:rsid w:val="000766CB"/>
    <w:rsid w:val="00076A33"/>
    <w:rsid w:val="00077E5F"/>
    <w:rsid w:val="000802E4"/>
    <w:rsid w:val="0008063F"/>
    <w:rsid w:val="00080966"/>
    <w:rsid w:val="000825A7"/>
    <w:rsid w:val="00083609"/>
    <w:rsid w:val="00083DF0"/>
    <w:rsid w:val="0009065A"/>
    <w:rsid w:val="00092689"/>
    <w:rsid w:val="00092D04"/>
    <w:rsid w:val="00093572"/>
    <w:rsid w:val="000945BA"/>
    <w:rsid w:val="000A3D0F"/>
    <w:rsid w:val="000A4975"/>
    <w:rsid w:val="000A4A6F"/>
    <w:rsid w:val="000B10DC"/>
    <w:rsid w:val="000B2FE5"/>
    <w:rsid w:val="000B30BA"/>
    <w:rsid w:val="000B3E4C"/>
    <w:rsid w:val="000B5098"/>
    <w:rsid w:val="000B72BB"/>
    <w:rsid w:val="000B7381"/>
    <w:rsid w:val="000C1B09"/>
    <w:rsid w:val="000C365F"/>
    <w:rsid w:val="000C3A4E"/>
    <w:rsid w:val="000C4359"/>
    <w:rsid w:val="000C4715"/>
    <w:rsid w:val="000C49CA"/>
    <w:rsid w:val="000C6104"/>
    <w:rsid w:val="000C614B"/>
    <w:rsid w:val="000C6480"/>
    <w:rsid w:val="000D2014"/>
    <w:rsid w:val="000D5061"/>
    <w:rsid w:val="000D529A"/>
    <w:rsid w:val="000D69A7"/>
    <w:rsid w:val="000D69A9"/>
    <w:rsid w:val="000D7234"/>
    <w:rsid w:val="000E2EFD"/>
    <w:rsid w:val="000E3B00"/>
    <w:rsid w:val="000E45A6"/>
    <w:rsid w:val="000E54C2"/>
    <w:rsid w:val="000F1AC4"/>
    <w:rsid w:val="000F1AF9"/>
    <w:rsid w:val="000F3AC0"/>
    <w:rsid w:val="000F3EC0"/>
    <w:rsid w:val="000F4F72"/>
    <w:rsid w:val="00102BD9"/>
    <w:rsid w:val="00104026"/>
    <w:rsid w:val="00104BEA"/>
    <w:rsid w:val="00105D1E"/>
    <w:rsid w:val="00106853"/>
    <w:rsid w:val="001073D6"/>
    <w:rsid w:val="00107DCF"/>
    <w:rsid w:val="00111114"/>
    <w:rsid w:val="00111AF9"/>
    <w:rsid w:val="00112A37"/>
    <w:rsid w:val="001158BF"/>
    <w:rsid w:val="00116729"/>
    <w:rsid w:val="00116AF5"/>
    <w:rsid w:val="0011789F"/>
    <w:rsid w:val="00120DA9"/>
    <w:rsid w:val="00120F52"/>
    <w:rsid w:val="00122090"/>
    <w:rsid w:val="00122D28"/>
    <w:rsid w:val="00123305"/>
    <w:rsid w:val="00123DA6"/>
    <w:rsid w:val="00126680"/>
    <w:rsid w:val="0012685D"/>
    <w:rsid w:val="00126C2A"/>
    <w:rsid w:val="00132C02"/>
    <w:rsid w:val="00133F08"/>
    <w:rsid w:val="0013452E"/>
    <w:rsid w:val="001352D5"/>
    <w:rsid w:val="00135B64"/>
    <w:rsid w:val="00140FA5"/>
    <w:rsid w:val="00144878"/>
    <w:rsid w:val="00147000"/>
    <w:rsid w:val="0014777E"/>
    <w:rsid w:val="00147F09"/>
    <w:rsid w:val="00150BD0"/>
    <w:rsid w:val="001524E2"/>
    <w:rsid w:val="00152906"/>
    <w:rsid w:val="0015315E"/>
    <w:rsid w:val="00153AEE"/>
    <w:rsid w:val="00153E60"/>
    <w:rsid w:val="00157388"/>
    <w:rsid w:val="0015786A"/>
    <w:rsid w:val="00157F0A"/>
    <w:rsid w:val="001609A0"/>
    <w:rsid w:val="0016125F"/>
    <w:rsid w:val="00161376"/>
    <w:rsid w:val="00161527"/>
    <w:rsid w:val="001624DC"/>
    <w:rsid w:val="00166166"/>
    <w:rsid w:val="00166701"/>
    <w:rsid w:val="001716AD"/>
    <w:rsid w:val="001718F8"/>
    <w:rsid w:val="00172A27"/>
    <w:rsid w:val="00173525"/>
    <w:rsid w:val="001745AA"/>
    <w:rsid w:val="00174F92"/>
    <w:rsid w:val="001757B4"/>
    <w:rsid w:val="00175BFE"/>
    <w:rsid w:val="00183F95"/>
    <w:rsid w:val="00185541"/>
    <w:rsid w:val="00185ACE"/>
    <w:rsid w:val="0019161E"/>
    <w:rsid w:val="00191FC1"/>
    <w:rsid w:val="00194363"/>
    <w:rsid w:val="00194685"/>
    <w:rsid w:val="001955C9"/>
    <w:rsid w:val="001958E0"/>
    <w:rsid w:val="00195DD1"/>
    <w:rsid w:val="00197C01"/>
    <w:rsid w:val="001A10B0"/>
    <w:rsid w:val="001A1623"/>
    <w:rsid w:val="001A30F9"/>
    <w:rsid w:val="001A3440"/>
    <w:rsid w:val="001A3FB6"/>
    <w:rsid w:val="001A4AEE"/>
    <w:rsid w:val="001A5B67"/>
    <w:rsid w:val="001A5C6A"/>
    <w:rsid w:val="001B088A"/>
    <w:rsid w:val="001B0A9C"/>
    <w:rsid w:val="001B31A2"/>
    <w:rsid w:val="001B4675"/>
    <w:rsid w:val="001B5261"/>
    <w:rsid w:val="001B58C2"/>
    <w:rsid w:val="001B7306"/>
    <w:rsid w:val="001C05A1"/>
    <w:rsid w:val="001C3A1F"/>
    <w:rsid w:val="001C3F72"/>
    <w:rsid w:val="001C4569"/>
    <w:rsid w:val="001C5C20"/>
    <w:rsid w:val="001D174A"/>
    <w:rsid w:val="001D23C9"/>
    <w:rsid w:val="001D67B6"/>
    <w:rsid w:val="001E02A9"/>
    <w:rsid w:val="001E03DC"/>
    <w:rsid w:val="001E067F"/>
    <w:rsid w:val="001E1877"/>
    <w:rsid w:val="001E228F"/>
    <w:rsid w:val="001E2B24"/>
    <w:rsid w:val="001E4195"/>
    <w:rsid w:val="001E5DAD"/>
    <w:rsid w:val="001F0C47"/>
    <w:rsid w:val="001F1656"/>
    <w:rsid w:val="001F1AEC"/>
    <w:rsid w:val="001F2FB0"/>
    <w:rsid w:val="001F5829"/>
    <w:rsid w:val="001F5DE7"/>
    <w:rsid w:val="002003F1"/>
    <w:rsid w:val="0020136A"/>
    <w:rsid w:val="00201776"/>
    <w:rsid w:val="00202272"/>
    <w:rsid w:val="00202CDD"/>
    <w:rsid w:val="002048CE"/>
    <w:rsid w:val="00204FF9"/>
    <w:rsid w:val="0020710E"/>
    <w:rsid w:val="0021322A"/>
    <w:rsid w:val="00214026"/>
    <w:rsid w:val="0021558A"/>
    <w:rsid w:val="002218DF"/>
    <w:rsid w:val="00222E59"/>
    <w:rsid w:val="002261B9"/>
    <w:rsid w:val="00231D74"/>
    <w:rsid w:val="00232471"/>
    <w:rsid w:val="00232BB5"/>
    <w:rsid w:val="00232F22"/>
    <w:rsid w:val="002379CC"/>
    <w:rsid w:val="002403FC"/>
    <w:rsid w:val="00241085"/>
    <w:rsid w:val="00241415"/>
    <w:rsid w:val="00243746"/>
    <w:rsid w:val="002445C8"/>
    <w:rsid w:val="0024472A"/>
    <w:rsid w:val="002448FC"/>
    <w:rsid w:val="002456A4"/>
    <w:rsid w:val="00245701"/>
    <w:rsid w:val="00246066"/>
    <w:rsid w:val="002468CF"/>
    <w:rsid w:val="00247F17"/>
    <w:rsid w:val="00250C6B"/>
    <w:rsid w:val="00250F80"/>
    <w:rsid w:val="002520FF"/>
    <w:rsid w:val="00254737"/>
    <w:rsid w:val="00254901"/>
    <w:rsid w:val="0025533E"/>
    <w:rsid w:val="00255F1C"/>
    <w:rsid w:val="002565F9"/>
    <w:rsid w:val="0025731E"/>
    <w:rsid w:val="002613A0"/>
    <w:rsid w:val="00262379"/>
    <w:rsid w:val="00262A33"/>
    <w:rsid w:val="00263A62"/>
    <w:rsid w:val="00264E56"/>
    <w:rsid w:val="00267A60"/>
    <w:rsid w:val="0027061E"/>
    <w:rsid w:val="002708AC"/>
    <w:rsid w:val="002716DC"/>
    <w:rsid w:val="002751DB"/>
    <w:rsid w:val="002754BA"/>
    <w:rsid w:val="0027599D"/>
    <w:rsid w:val="00275EB9"/>
    <w:rsid w:val="002776F0"/>
    <w:rsid w:val="00280D23"/>
    <w:rsid w:val="00284755"/>
    <w:rsid w:val="00284C53"/>
    <w:rsid w:val="0028579E"/>
    <w:rsid w:val="002866FA"/>
    <w:rsid w:val="00290C73"/>
    <w:rsid w:val="00293ACA"/>
    <w:rsid w:val="0029530B"/>
    <w:rsid w:val="00295A80"/>
    <w:rsid w:val="00296250"/>
    <w:rsid w:val="0029739D"/>
    <w:rsid w:val="002A5232"/>
    <w:rsid w:val="002A559D"/>
    <w:rsid w:val="002A589F"/>
    <w:rsid w:val="002B0259"/>
    <w:rsid w:val="002B0532"/>
    <w:rsid w:val="002B1008"/>
    <w:rsid w:val="002B1FB3"/>
    <w:rsid w:val="002C10A8"/>
    <w:rsid w:val="002C1F3F"/>
    <w:rsid w:val="002C350E"/>
    <w:rsid w:val="002C6CD9"/>
    <w:rsid w:val="002C77EF"/>
    <w:rsid w:val="002C7DA5"/>
    <w:rsid w:val="002D0DF8"/>
    <w:rsid w:val="002D1AC1"/>
    <w:rsid w:val="002D3058"/>
    <w:rsid w:val="002D3A64"/>
    <w:rsid w:val="002D3AF7"/>
    <w:rsid w:val="002D5663"/>
    <w:rsid w:val="002D5E5B"/>
    <w:rsid w:val="002D60FD"/>
    <w:rsid w:val="002D70DD"/>
    <w:rsid w:val="002D73D4"/>
    <w:rsid w:val="002E0097"/>
    <w:rsid w:val="002E1DE9"/>
    <w:rsid w:val="002E3104"/>
    <w:rsid w:val="002E3E1A"/>
    <w:rsid w:val="002E4CC0"/>
    <w:rsid w:val="002E7514"/>
    <w:rsid w:val="002F136F"/>
    <w:rsid w:val="002F15B6"/>
    <w:rsid w:val="002F19E8"/>
    <w:rsid w:val="002F2022"/>
    <w:rsid w:val="002F2DCE"/>
    <w:rsid w:val="002F51BA"/>
    <w:rsid w:val="002F5E07"/>
    <w:rsid w:val="002F63BE"/>
    <w:rsid w:val="002F72EB"/>
    <w:rsid w:val="002F743B"/>
    <w:rsid w:val="003009AC"/>
    <w:rsid w:val="0030155C"/>
    <w:rsid w:val="00303A15"/>
    <w:rsid w:val="00310143"/>
    <w:rsid w:val="0031060D"/>
    <w:rsid w:val="003121A8"/>
    <w:rsid w:val="003124D1"/>
    <w:rsid w:val="00312FC0"/>
    <w:rsid w:val="003133CA"/>
    <w:rsid w:val="00313C54"/>
    <w:rsid w:val="00316395"/>
    <w:rsid w:val="003173F9"/>
    <w:rsid w:val="003179D9"/>
    <w:rsid w:val="00320486"/>
    <w:rsid w:val="00321067"/>
    <w:rsid w:val="00321E5F"/>
    <w:rsid w:val="003228B7"/>
    <w:rsid w:val="00324103"/>
    <w:rsid w:val="00325183"/>
    <w:rsid w:val="003251D4"/>
    <w:rsid w:val="00325921"/>
    <w:rsid w:val="00330145"/>
    <w:rsid w:val="00332673"/>
    <w:rsid w:val="0033459C"/>
    <w:rsid w:val="00336021"/>
    <w:rsid w:val="0033649B"/>
    <w:rsid w:val="003400FE"/>
    <w:rsid w:val="00340452"/>
    <w:rsid w:val="003431F1"/>
    <w:rsid w:val="00345F87"/>
    <w:rsid w:val="00346416"/>
    <w:rsid w:val="003528F2"/>
    <w:rsid w:val="00354038"/>
    <w:rsid w:val="00356B22"/>
    <w:rsid w:val="00362605"/>
    <w:rsid w:val="00363BAA"/>
    <w:rsid w:val="0036524B"/>
    <w:rsid w:val="00365EA6"/>
    <w:rsid w:val="00366109"/>
    <w:rsid w:val="00370380"/>
    <w:rsid w:val="00370F10"/>
    <w:rsid w:val="003714EC"/>
    <w:rsid w:val="00372B2C"/>
    <w:rsid w:val="00373C69"/>
    <w:rsid w:val="00374196"/>
    <w:rsid w:val="003746F7"/>
    <w:rsid w:val="00374705"/>
    <w:rsid w:val="00375B07"/>
    <w:rsid w:val="0037648D"/>
    <w:rsid w:val="00381B56"/>
    <w:rsid w:val="00381F95"/>
    <w:rsid w:val="00382B9F"/>
    <w:rsid w:val="00385298"/>
    <w:rsid w:val="0039062D"/>
    <w:rsid w:val="00391444"/>
    <w:rsid w:val="00392E24"/>
    <w:rsid w:val="00393B44"/>
    <w:rsid w:val="0039406B"/>
    <w:rsid w:val="00397393"/>
    <w:rsid w:val="003A057C"/>
    <w:rsid w:val="003A0925"/>
    <w:rsid w:val="003A243A"/>
    <w:rsid w:val="003A3135"/>
    <w:rsid w:val="003A3A91"/>
    <w:rsid w:val="003A4228"/>
    <w:rsid w:val="003A43B3"/>
    <w:rsid w:val="003A4408"/>
    <w:rsid w:val="003A6BA9"/>
    <w:rsid w:val="003A7699"/>
    <w:rsid w:val="003A7F04"/>
    <w:rsid w:val="003B067E"/>
    <w:rsid w:val="003B0BDE"/>
    <w:rsid w:val="003B156F"/>
    <w:rsid w:val="003B22C1"/>
    <w:rsid w:val="003B731C"/>
    <w:rsid w:val="003B7472"/>
    <w:rsid w:val="003C0148"/>
    <w:rsid w:val="003C0C7B"/>
    <w:rsid w:val="003C1EC5"/>
    <w:rsid w:val="003C23CD"/>
    <w:rsid w:val="003C2A5F"/>
    <w:rsid w:val="003C4645"/>
    <w:rsid w:val="003C4D66"/>
    <w:rsid w:val="003C4E7B"/>
    <w:rsid w:val="003C6A58"/>
    <w:rsid w:val="003C6BA3"/>
    <w:rsid w:val="003D257E"/>
    <w:rsid w:val="003D26C8"/>
    <w:rsid w:val="003D3126"/>
    <w:rsid w:val="003E1FDF"/>
    <w:rsid w:val="003E2D96"/>
    <w:rsid w:val="003E45DE"/>
    <w:rsid w:val="003E5EAC"/>
    <w:rsid w:val="003E6F35"/>
    <w:rsid w:val="003E7B3E"/>
    <w:rsid w:val="003F15AA"/>
    <w:rsid w:val="003F190E"/>
    <w:rsid w:val="003F1B5C"/>
    <w:rsid w:val="003F5ADF"/>
    <w:rsid w:val="003F5FB2"/>
    <w:rsid w:val="003F72B1"/>
    <w:rsid w:val="003F7C0D"/>
    <w:rsid w:val="00401D11"/>
    <w:rsid w:val="00402BF8"/>
    <w:rsid w:val="00404EFD"/>
    <w:rsid w:val="00405057"/>
    <w:rsid w:val="004116B1"/>
    <w:rsid w:val="00412F10"/>
    <w:rsid w:val="0041311F"/>
    <w:rsid w:val="00413755"/>
    <w:rsid w:val="004142C5"/>
    <w:rsid w:val="00414B51"/>
    <w:rsid w:val="004155FC"/>
    <w:rsid w:val="0041627C"/>
    <w:rsid w:val="004173B2"/>
    <w:rsid w:val="00417C1C"/>
    <w:rsid w:val="0042031F"/>
    <w:rsid w:val="00420762"/>
    <w:rsid w:val="00420BF4"/>
    <w:rsid w:val="00421E74"/>
    <w:rsid w:val="00424B9F"/>
    <w:rsid w:val="004268D3"/>
    <w:rsid w:val="00426FFF"/>
    <w:rsid w:val="00434A18"/>
    <w:rsid w:val="00435396"/>
    <w:rsid w:val="0043610E"/>
    <w:rsid w:val="00436FD9"/>
    <w:rsid w:val="004416CB"/>
    <w:rsid w:val="00444167"/>
    <w:rsid w:val="0044549E"/>
    <w:rsid w:val="00447180"/>
    <w:rsid w:val="00450574"/>
    <w:rsid w:val="00452436"/>
    <w:rsid w:val="00452ACC"/>
    <w:rsid w:val="00463EBC"/>
    <w:rsid w:val="00464550"/>
    <w:rsid w:val="00464F79"/>
    <w:rsid w:val="00467050"/>
    <w:rsid w:val="004672ED"/>
    <w:rsid w:val="00467E27"/>
    <w:rsid w:val="00471229"/>
    <w:rsid w:val="004741B0"/>
    <w:rsid w:val="004757EA"/>
    <w:rsid w:val="00475974"/>
    <w:rsid w:val="00475FCA"/>
    <w:rsid w:val="00477629"/>
    <w:rsid w:val="0048074C"/>
    <w:rsid w:val="00481487"/>
    <w:rsid w:val="00482321"/>
    <w:rsid w:val="00482BF8"/>
    <w:rsid w:val="00484079"/>
    <w:rsid w:val="00484F2B"/>
    <w:rsid w:val="0048544F"/>
    <w:rsid w:val="00487F91"/>
    <w:rsid w:val="00490D73"/>
    <w:rsid w:val="00493663"/>
    <w:rsid w:val="0049559E"/>
    <w:rsid w:val="00495699"/>
    <w:rsid w:val="004956F3"/>
    <w:rsid w:val="00497256"/>
    <w:rsid w:val="00497AEA"/>
    <w:rsid w:val="004A1309"/>
    <w:rsid w:val="004A3CE2"/>
    <w:rsid w:val="004A3E30"/>
    <w:rsid w:val="004A49B6"/>
    <w:rsid w:val="004A66F9"/>
    <w:rsid w:val="004A768D"/>
    <w:rsid w:val="004A7B1A"/>
    <w:rsid w:val="004B34ED"/>
    <w:rsid w:val="004B4081"/>
    <w:rsid w:val="004B5B14"/>
    <w:rsid w:val="004B5BAC"/>
    <w:rsid w:val="004B6934"/>
    <w:rsid w:val="004B7A29"/>
    <w:rsid w:val="004C0112"/>
    <w:rsid w:val="004C067D"/>
    <w:rsid w:val="004C11E8"/>
    <w:rsid w:val="004C1B0E"/>
    <w:rsid w:val="004C1E65"/>
    <w:rsid w:val="004C296E"/>
    <w:rsid w:val="004C331B"/>
    <w:rsid w:val="004C353A"/>
    <w:rsid w:val="004C38E4"/>
    <w:rsid w:val="004C3D0F"/>
    <w:rsid w:val="004C657B"/>
    <w:rsid w:val="004C7A49"/>
    <w:rsid w:val="004D16E0"/>
    <w:rsid w:val="004D186C"/>
    <w:rsid w:val="004D22E2"/>
    <w:rsid w:val="004D3736"/>
    <w:rsid w:val="004D37D0"/>
    <w:rsid w:val="004D611B"/>
    <w:rsid w:val="004E435C"/>
    <w:rsid w:val="004F1627"/>
    <w:rsid w:val="004F1646"/>
    <w:rsid w:val="004F2DA9"/>
    <w:rsid w:val="004F360C"/>
    <w:rsid w:val="004F3BE9"/>
    <w:rsid w:val="004F5194"/>
    <w:rsid w:val="004F75B6"/>
    <w:rsid w:val="004F7A2A"/>
    <w:rsid w:val="004F7F61"/>
    <w:rsid w:val="005005FD"/>
    <w:rsid w:val="00501071"/>
    <w:rsid w:val="005013A4"/>
    <w:rsid w:val="00501955"/>
    <w:rsid w:val="0050342F"/>
    <w:rsid w:val="0050591A"/>
    <w:rsid w:val="005061C2"/>
    <w:rsid w:val="0051109E"/>
    <w:rsid w:val="00512C95"/>
    <w:rsid w:val="00512F4E"/>
    <w:rsid w:val="00513100"/>
    <w:rsid w:val="00514996"/>
    <w:rsid w:val="00514F8C"/>
    <w:rsid w:val="00516B62"/>
    <w:rsid w:val="00517D03"/>
    <w:rsid w:val="005202D9"/>
    <w:rsid w:val="00523B64"/>
    <w:rsid w:val="00524E7A"/>
    <w:rsid w:val="00524F4F"/>
    <w:rsid w:val="0052567A"/>
    <w:rsid w:val="00527C08"/>
    <w:rsid w:val="0053126D"/>
    <w:rsid w:val="00532145"/>
    <w:rsid w:val="00534917"/>
    <w:rsid w:val="00541D8A"/>
    <w:rsid w:val="00542323"/>
    <w:rsid w:val="00544193"/>
    <w:rsid w:val="005441F4"/>
    <w:rsid w:val="005461C8"/>
    <w:rsid w:val="00551A45"/>
    <w:rsid w:val="00561503"/>
    <w:rsid w:val="0056167D"/>
    <w:rsid w:val="005616D0"/>
    <w:rsid w:val="00562283"/>
    <w:rsid w:val="00563D3C"/>
    <w:rsid w:val="0056485B"/>
    <w:rsid w:val="00565308"/>
    <w:rsid w:val="0056571A"/>
    <w:rsid w:val="005700EC"/>
    <w:rsid w:val="00570937"/>
    <w:rsid w:val="00571201"/>
    <w:rsid w:val="00571F11"/>
    <w:rsid w:val="00573858"/>
    <w:rsid w:val="00573D20"/>
    <w:rsid w:val="00574AAE"/>
    <w:rsid w:val="00576615"/>
    <w:rsid w:val="005767D6"/>
    <w:rsid w:val="00577E4E"/>
    <w:rsid w:val="0058187E"/>
    <w:rsid w:val="00582442"/>
    <w:rsid w:val="00582A94"/>
    <w:rsid w:val="00582F0A"/>
    <w:rsid w:val="0058327D"/>
    <w:rsid w:val="00584ECB"/>
    <w:rsid w:val="005861D7"/>
    <w:rsid w:val="005911C0"/>
    <w:rsid w:val="00594F61"/>
    <w:rsid w:val="0059525A"/>
    <w:rsid w:val="00597D9F"/>
    <w:rsid w:val="00597E3A"/>
    <w:rsid w:val="005A217E"/>
    <w:rsid w:val="005A745D"/>
    <w:rsid w:val="005A7634"/>
    <w:rsid w:val="005B0F54"/>
    <w:rsid w:val="005B23B2"/>
    <w:rsid w:val="005B3BE5"/>
    <w:rsid w:val="005B4A2A"/>
    <w:rsid w:val="005C2B51"/>
    <w:rsid w:val="005C34F9"/>
    <w:rsid w:val="005C43AA"/>
    <w:rsid w:val="005C66F9"/>
    <w:rsid w:val="005C77F1"/>
    <w:rsid w:val="005D0945"/>
    <w:rsid w:val="005D178C"/>
    <w:rsid w:val="005E0190"/>
    <w:rsid w:val="005E12B3"/>
    <w:rsid w:val="005E1540"/>
    <w:rsid w:val="005E20C9"/>
    <w:rsid w:val="005E2604"/>
    <w:rsid w:val="005E4526"/>
    <w:rsid w:val="005E61FF"/>
    <w:rsid w:val="005E65BB"/>
    <w:rsid w:val="005E6691"/>
    <w:rsid w:val="005E6FBB"/>
    <w:rsid w:val="005F0662"/>
    <w:rsid w:val="005F0EF1"/>
    <w:rsid w:val="005F2388"/>
    <w:rsid w:val="005F7C9A"/>
    <w:rsid w:val="005F7F6F"/>
    <w:rsid w:val="0060060A"/>
    <w:rsid w:val="00602637"/>
    <w:rsid w:val="00603ABA"/>
    <w:rsid w:val="00603CF0"/>
    <w:rsid w:val="00604791"/>
    <w:rsid w:val="00605EF7"/>
    <w:rsid w:val="006063FB"/>
    <w:rsid w:val="00606509"/>
    <w:rsid w:val="00606771"/>
    <w:rsid w:val="006067FA"/>
    <w:rsid w:val="00607AF3"/>
    <w:rsid w:val="00610B51"/>
    <w:rsid w:val="00611487"/>
    <w:rsid w:val="00611648"/>
    <w:rsid w:val="00611FA8"/>
    <w:rsid w:val="0061286A"/>
    <w:rsid w:val="00615101"/>
    <w:rsid w:val="00615FE7"/>
    <w:rsid w:val="006162DC"/>
    <w:rsid w:val="00616A41"/>
    <w:rsid w:val="00621130"/>
    <w:rsid w:val="00621DA5"/>
    <w:rsid w:val="0062624B"/>
    <w:rsid w:val="006271C8"/>
    <w:rsid w:val="00631E14"/>
    <w:rsid w:val="00636D66"/>
    <w:rsid w:val="006375BA"/>
    <w:rsid w:val="00637A61"/>
    <w:rsid w:val="0064139A"/>
    <w:rsid w:val="0064149C"/>
    <w:rsid w:val="00641710"/>
    <w:rsid w:val="00642DEB"/>
    <w:rsid w:val="006432F7"/>
    <w:rsid w:val="00645E7A"/>
    <w:rsid w:val="006465AB"/>
    <w:rsid w:val="00646DC8"/>
    <w:rsid w:val="006501F5"/>
    <w:rsid w:val="0065283F"/>
    <w:rsid w:val="00652FD3"/>
    <w:rsid w:val="0065520F"/>
    <w:rsid w:val="00656F5F"/>
    <w:rsid w:val="006602AF"/>
    <w:rsid w:val="006623E4"/>
    <w:rsid w:val="00663203"/>
    <w:rsid w:val="006636F1"/>
    <w:rsid w:val="00663A51"/>
    <w:rsid w:val="00664A6E"/>
    <w:rsid w:val="00664FE3"/>
    <w:rsid w:val="006654F4"/>
    <w:rsid w:val="00666008"/>
    <w:rsid w:val="0066636F"/>
    <w:rsid w:val="00666F81"/>
    <w:rsid w:val="00667F83"/>
    <w:rsid w:val="00670D39"/>
    <w:rsid w:val="00671124"/>
    <w:rsid w:val="00672689"/>
    <w:rsid w:val="00672EBC"/>
    <w:rsid w:val="00675162"/>
    <w:rsid w:val="00675772"/>
    <w:rsid w:val="006769A4"/>
    <w:rsid w:val="00681DFB"/>
    <w:rsid w:val="00682148"/>
    <w:rsid w:val="006828DF"/>
    <w:rsid w:val="0068418F"/>
    <w:rsid w:val="006869FE"/>
    <w:rsid w:val="006874AF"/>
    <w:rsid w:val="00687BCD"/>
    <w:rsid w:val="00691D76"/>
    <w:rsid w:val="006921B9"/>
    <w:rsid w:val="00692EFD"/>
    <w:rsid w:val="006954E3"/>
    <w:rsid w:val="00695FA0"/>
    <w:rsid w:val="006963FA"/>
    <w:rsid w:val="006A2CAD"/>
    <w:rsid w:val="006A2D97"/>
    <w:rsid w:val="006A3CFF"/>
    <w:rsid w:val="006A5076"/>
    <w:rsid w:val="006B0014"/>
    <w:rsid w:val="006B027D"/>
    <w:rsid w:val="006B1B6E"/>
    <w:rsid w:val="006B2989"/>
    <w:rsid w:val="006B3038"/>
    <w:rsid w:val="006B350B"/>
    <w:rsid w:val="006B3F93"/>
    <w:rsid w:val="006B6523"/>
    <w:rsid w:val="006B7DFF"/>
    <w:rsid w:val="006C15B0"/>
    <w:rsid w:val="006C19B0"/>
    <w:rsid w:val="006C1E84"/>
    <w:rsid w:val="006C32F6"/>
    <w:rsid w:val="006C4025"/>
    <w:rsid w:val="006C48C4"/>
    <w:rsid w:val="006C49AE"/>
    <w:rsid w:val="006C573D"/>
    <w:rsid w:val="006C7615"/>
    <w:rsid w:val="006C7822"/>
    <w:rsid w:val="006D047B"/>
    <w:rsid w:val="006D6756"/>
    <w:rsid w:val="006D7682"/>
    <w:rsid w:val="006E057B"/>
    <w:rsid w:val="006E1995"/>
    <w:rsid w:val="006E3100"/>
    <w:rsid w:val="006E41A8"/>
    <w:rsid w:val="006E65FE"/>
    <w:rsid w:val="006E6A15"/>
    <w:rsid w:val="006E7317"/>
    <w:rsid w:val="006F036C"/>
    <w:rsid w:val="006F2730"/>
    <w:rsid w:val="006F2A96"/>
    <w:rsid w:val="006F3246"/>
    <w:rsid w:val="006F534C"/>
    <w:rsid w:val="006F59F4"/>
    <w:rsid w:val="006F6E8A"/>
    <w:rsid w:val="006F6EB9"/>
    <w:rsid w:val="006F78A3"/>
    <w:rsid w:val="007015EA"/>
    <w:rsid w:val="00701613"/>
    <w:rsid w:val="00701AC7"/>
    <w:rsid w:val="007026C6"/>
    <w:rsid w:val="00704956"/>
    <w:rsid w:val="00706FAE"/>
    <w:rsid w:val="0070798D"/>
    <w:rsid w:val="0071086E"/>
    <w:rsid w:val="00712465"/>
    <w:rsid w:val="0071322B"/>
    <w:rsid w:val="0071522D"/>
    <w:rsid w:val="00715796"/>
    <w:rsid w:val="007179C7"/>
    <w:rsid w:val="00720253"/>
    <w:rsid w:val="0072214D"/>
    <w:rsid w:val="007240D3"/>
    <w:rsid w:val="00725062"/>
    <w:rsid w:val="00725FD3"/>
    <w:rsid w:val="0072604E"/>
    <w:rsid w:val="00726F09"/>
    <w:rsid w:val="00730983"/>
    <w:rsid w:val="00732016"/>
    <w:rsid w:val="00732222"/>
    <w:rsid w:val="0073252C"/>
    <w:rsid w:val="007325F8"/>
    <w:rsid w:val="007331E8"/>
    <w:rsid w:val="007338A0"/>
    <w:rsid w:val="007339BE"/>
    <w:rsid w:val="00734CD5"/>
    <w:rsid w:val="007367A9"/>
    <w:rsid w:val="00736D30"/>
    <w:rsid w:val="00736F1E"/>
    <w:rsid w:val="007412D1"/>
    <w:rsid w:val="007423B6"/>
    <w:rsid w:val="00743E16"/>
    <w:rsid w:val="00743F62"/>
    <w:rsid w:val="0074666C"/>
    <w:rsid w:val="007501A7"/>
    <w:rsid w:val="0075043A"/>
    <w:rsid w:val="0075272F"/>
    <w:rsid w:val="0075286C"/>
    <w:rsid w:val="0075387D"/>
    <w:rsid w:val="007559C3"/>
    <w:rsid w:val="00756F82"/>
    <w:rsid w:val="00757429"/>
    <w:rsid w:val="00760A3C"/>
    <w:rsid w:val="00760DF3"/>
    <w:rsid w:val="0076423D"/>
    <w:rsid w:val="007675FF"/>
    <w:rsid w:val="00770026"/>
    <w:rsid w:val="00770187"/>
    <w:rsid w:val="00770A34"/>
    <w:rsid w:val="00770D28"/>
    <w:rsid w:val="00773116"/>
    <w:rsid w:val="00774980"/>
    <w:rsid w:val="00775226"/>
    <w:rsid w:val="00777546"/>
    <w:rsid w:val="0078050F"/>
    <w:rsid w:val="007815CC"/>
    <w:rsid w:val="00781738"/>
    <w:rsid w:val="00781C9D"/>
    <w:rsid w:val="007834B7"/>
    <w:rsid w:val="00784371"/>
    <w:rsid w:val="0078443C"/>
    <w:rsid w:val="00784F33"/>
    <w:rsid w:val="0079203A"/>
    <w:rsid w:val="00792F80"/>
    <w:rsid w:val="007935EF"/>
    <w:rsid w:val="00793632"/>
    <w:rsid w:val="00793AA5"/>
    <w:rsid w:val="00795876"/>
    <w:rsid w:val="00795D94"/>
    <w:rsid w:val="0079622B"/>
    <w:rsid w:val="007964EF"/>
    <w:rsid w:val="00796644"/>
    <w:rsid w:val="007967CE"/>
    <w:rsid w:val="0079734D"/>
    <w:rsid w:val="007A2FC0"/>
    <w:rsid w:val="007A3214"/>
    <w:rsid w:val="007A3FC0"/>
    <w:rsid w:val="007A47A2"/>
    <w:rsid w:val="007A54FE"/>
    <w:rsid w:val="007A5F4B"/>
    <w:rsid w:val="007A6B70"/>
    <w:rsid w:val="007A73DA"/>
    <w:rsid w:val="007A7665"/>
    <w:rsid w:val="007A7E4A"/>
    <w:rsid w:val="007B00C8"/>
    <w:rsid w:val="007B1E92"/>
    <w:rsid w:val="007B30E5"/>
    <w:rsid w:val="007C2677"/>
    <w:rsid w:val="007C2EFB"/>
    <w:rsid w:val="007C590E"/>
    <w:rsid w:val="007C6478"/>
    <w:rsid w:val="007D0BC6"/>
    <w:rsid w:val="007D1857"/>
    <w:rsid w:val="007D2F39"/>
    <w:rsid w:val="007E0F27"/>
    <w:rsid w:val="007E13B5"/>
    <w:rsid w:val="007E1A7F"/>
    <w:rsid w:val="007E24F5"/>
    <w:rsid w:val="007E3A44"/>
    <w:rsid w:val="007E5427"/>
    <w:rsid w:val="007E5FAD"/>
    <w:rsid w:val="007E75B3"/>
    <w:rsid w:val="007F1037"/>
    <w:rsid w:val="007F1B2C"/>
    <w:rsid w:val="007F2FD1"/>
    <w:rsid w:val="007F6DD0"/>
    <w:rsid w:val="007F73D2"/>
    <w:rsid w:val="00800D02"/>
    <w:rsid w:val="00801545"/>
    <w:rsid w:val="00801F9A"/>
    <w:rsid w:val="00802193"/>
    <w:rsid w:val="00802521"/>
    <w:rsid w:val="00802A12"/>
    <w:rsid w:val="00807E8D"/>
    <w:rsid w:val="00810549"/>
    <w:rsid w:val="0081063D"/>
    <w:rsid w:val="008110A5"/>
    <w:rsid w:val="008114DC"/>
    <w:rsid w:val="00814484"/>
    <w:rsid w:val="00814FD7"/>
    <w:rsid w:val="00815D58"/>
    <w:rsid w:val="00816304"/>
    <w:rsid w:val="008165DF"/>
    <w:rsid w:val="00816875"/>
    <w:rsid w:val="008174E1"/>
    <w:rsid w:val="00817670"/>
    <w:rsid w:val="008178F3"/>
    <w:rsid w:val="00817B5C"/>
    <w:rsid w:val="0082075E"/>
    <w:rsid w:val="00821566"/>
    <w:rsid w:val="00821846"/>
    <w:rsid w:val="008218AC"/>
    <w:rsid w:val="008233D8"/>
    <w:rsid w:val="008241B3"/>
    <w:rsid w:val="0082579A"/>
    <w:rsid w:val="00827490"/>
    <w:rsid w:val="00831542"/>
    <w:rsid w:val="00833929"/>
    <w:rsid w:val="00834204"/>
    <w:rsid w:val="008365E3"/>
    <w:rsid w:val="00837528"/>
    <w:rsid w:val="008377A1"/>
    <w:rsid w:val="00840E72"/>
    <w:rsid w:val="00843BFC"/>
    <w:rsid w:val="00844ADB"/>
    <w:rsid w:val="00846ACF"/>
    <w:rsid w:val="00850545"/>
    <w:rsid w:val="008544E6"/>
    <w:rsid w:val="00854AFA"/>
    <w:rsid w:val="00854B0F"/>
    <w:rsid w:val="00855742"/>
    <w:rsid w:val="008564AE"/>
    <w:rsid w:val="0085651C"/>
    <w:rsid w:val="00857AA4"/>
    <w:rsid w:val="00861202"/>
    <w:rsid w:val="008637E8"/>
    <w:rsid w:val="00865FFB"/>
    <w:rsid w:val="00866046"/>
    <w:rsid w:val="00867C71"/>
    <w:rsid w:val="00867C8D"/>
    <w:rsid w:val="0087005C"/>
    <w:rsid w:val="00870103"/>
    <w:rsid w:val="008708F2"/>
    <w:rsid w:val="00870D39"/>
    <w:rsid w:val="00871CCA"/>
    <w:rsid w:val="00872A1E"/>
    <w:rsid w:val="00872AA9"/>
    <w:rsid w:val="008735BD"/>
    <w:rsid w:val="00873951"/>
    <w:rsid w:val="008745C7"/>
    <w:rsid w:val="00876ACF"/>
    <w:rsid w:val="00876FD6"/>
    <w:rsid w:val="0087793A"/>
    <w:rsid w:val="00877C4D"/>
    <w:rsid w:val="00881838"/>
    <w:rsid w:val="0088284D"/>
    <w:rsid w:val="00883EC3"/>
    <w:rsid w:val="008842F4"/>
    <w:rsid w:val="00885B1C"/>
    <w:rsid w:val="008911EE"/>
    <w:rsid w:val="00891A1D"/>
    <w:rsid w:val="00892F78"/>
    <w:rsid w:val="00892F87"/>
    <w:rsid w:val="008940C8"/>
    <w:rsid w:val="00894727"/>
    <w:rsid w:val="00894A54"/>
    <w:rsid w:val="008950D6"/>
    <w:rsid w:val="00897B08"/>
    <w:rsid w:val="008A08E4"/>
    <w:rsid w:val="008A2130"/>
    <w:rsid w:val="008A24D6"/>
    <w:rsid w:val="008A2529"/>
    <w:rsid w:val="008A5C3B"/>
    <w:rsid w:val="008A7803"/>
    <w:rsid w:val="008B0BF1"/>
    <w:rsid w:val="008B103A"/>
    <w:rsid w:val="008B1488"/>
    <w:rsid w:val="008B2FB3"/>
    <w:rsid w:val="008B5C11"/>
    <w:rsid w:val="008B6E84"/>
    <w:rsid w:val="008B6ED6"/>
    <w:rsid w:val="008B7C4B"/>
    <w:rsid w:val="008C1428"/>
    <w:rsid w:val="008C2152"/>
    <w:rsid w:val="008C4577"/>
    <w:rsid w:val="008D0EC8"/>
    <w:rsid w:val="008D3435"/>
    <w:rsid w:val="008D4F51"/>
    <w:rsid w:val="008D6E16"/>
    <w:rsid w:val="008E0D05"/>
    <w:rsid w:val="008E0D13"/>
    <w:rsid w:val="008E1D0E"/>
    <w:rsid w:val="008E2979"/>
    <w:rsid w:val="008E48B8"/>
    <w:rsid w:val="008E6946"/>
    <w:rsid w:val="008E76E5"/>
    <w:rsid w:val="008E7C50"/>
    <w:rsid w:val="008F18C3"/>
    <w:rsid w:val="008F1D49"/>
    <w:rsid w:val="008F5270"/>
    <w:rsid w:val="008F678C"/>
    <w:rsid w:val="008F6E8E"/>
    <w:rsid w:val="008F747F"/>
    <w:rsid w:val="008F7855"/>
    <w:rsid w:val="00900335"/>
    <w:rsid w:val="00900B5C"/>
    <w:rsid w:val="00906371"/>
    <w:rsid w:val="00906833"/>
    <w:rsid w:val="00907A46"/>
    <w:rsid w:val="0091004F"/>
    <w:rsid w:val="0091021D"/>
    <w:rsid w:val="00910B87"/>
    <w:rsid w:val="00912215"/>
    <w:rsid w:val="00912D49"/>
    <w:rsid w:val="00912FF5"/>
    <w:rsid w:val="0091333A"/>
    <w:rsid w:val="009149FE"/>
    <w:rsid w:val="00915114"/>
    <w:rsid w:val="00916787"/>
    <w:rsid w:val="00920062"/>
    <w:rsid w:val="00920EEF"/>
    <w:rsid w:val="00921C16"/>
    <w:rsid w:val="0092434A"/>
    <w:rsid w:val="00924A19"/>
    <w:rsid w:val="009255FB"/>
    <w:rsid w:val="009256CA"/>
    <w:rsid w:val="00925777"/>
    <w:rsid w:val="00926DAA"/>
    <w:rsid w:val="00926F2C"/>
    <w:rsid w:val="009272F4"/>
    <w:rsid w:val="0093335E"/>
    <w:rsid w:val="00934F9C"/>
    <w:rsid w:val="009364E3"/>
    <w:rsid w:val="00940538"/>
    <w:rsid w:val="009408FD"/>
    <w:rsid w:val="00940D47"/>
    <w:rsid w:val="009416BF"/>
    <w:rsid w:val="00942DA9"/>
    <w:rsid w:val="00942F60"/>
    <w:rsid w:val="0094394B"/>
    <w:rsid w:val="00951251"/>
    <w:rsid w:val="009523C7"/>
    <w:rsid w:val="00954707"/>
    <w:rsid w:val="00955638"/>
    <w:rsid w:val="0095588D"/>
    <w:rsid w:val="00955DA8"/>
    <w:rsid w:val="00956B82"/>
    <w:rsid w:val="0096008A"/>
    <w:rsid w:val="00960F15"/>
    <w:rsid w:val="00961BA6"/>
    <w:rsid w:val="00963782"/>
    <w:rsid w:val="00965F3A"/>
    <w:rsid w:val="00965FE9"/>
    <w:rsid w:val="00966BD9"/>
    <w:rsid w:val="00967207"/>
    <w:rsid w:val="0097052D"/>
    <w:rsid w:val="009718A8"/>
    <w:rsid w:val="00972BBA"/>
    <w:rsid w:val="009738A3"/>
    <w:rsid w:val="009740A0"/>
    <w:rsid w:val="009749CA"/>
    <w:rsid w:val="00976675"/>
    <w:rsid w:val="00976985"/>
    <w:rsid w:val="00980BCB"/>
    <w:rsid w:val="0098111B"/>
    <w:rsid w:val="00981501"/>
    <w:rsid w:val="00981564"/>
    <w:rsid w:val="009848A0"/>
    <w:rsid w:val="00985466"/>
    <w:rsid w:val="009870DA"/>
    <w:rsid w:val="00987BCD"/>
    <w:rsid w:val="009901D3"/>
    <w:rsid w:val="009937A5"/>
    <w:rsid w:val="00993F28"/>
    <w:rsid w:val="0099498B"/>
    <w:rsid w:val="00994F6A"/>
    <w:rsid w:val="00996855"/>
    <w:rsid w:val="00996F9B"/>
    <w:rsid w:val="009A03DC"/>
    <w:rsid w:val="009A0A6F"/>
    <w:rsid w:val="009A0B62"/>
    <w:rsid w:val="009A0F92"/>
    <w:rsid w:val="009A1251"/>
    <w:rsid w:val="009A43D8"/>
    <w:rsid w:val="009A4595"/>
    <w:rsid w:val="009A4CC6"/>
    <w:rsid w:val="009A5504"/>
    <w:rsid w:val="009A6934"/>
    <w:rsid w:val="009A6938"/>
    <w:rsid w:val="009B0761"/>
    <w:rsid w:val="009B07E6"/>
    <w:rsid w:val="009B09F7"/>
    <w:rsid w:val="009B16FE"/>
    <w:rsid w:val="009B22A8"/>
    <w:rsid w:val="009B2837"/>
    <w:rsid w:val="009B2AA3"/>
    <w:rsid w:val="009B2F9E"/>
    <w:rsid w:val="009B4BA1"/>
    <w:rsid w:val="009B5DD9"/>
    <w:rsid w:val="009B6F30"/>
    <w:rsid w:val="009C0A57"/>
    <w:rsid w:val="009C1AA9"/>
    <w:rsid w:val="009C3971"/>
    <w:rsid w:val="009C5CA5"/>
    <w:rsid w:val="009C79B1"/>
    <w:rsid w:val="009C7A8E"/>
    <w:rsid w:val="009D0124"/>
    <w:rsid w:val="009D0363"/>
    <w:rsid w:val="009D2D25"/>
    <w:rsid w:val="009D64D8"/>
    <w:rsid w:val="009D7E38"/>
    <w:rsid w:val="009E14E6"/>
    <w:rsid w:val="009E16F5"/>
    <w:rsid w:val="009E387E"/>
    <w:rsid w:val="009E4416"/>
    <w:rsid w:val="009E560F"/>
    <w:rsid w:val="009E5F6B"/>
    <w:rsid w:val="009E6CFD"/>
    <w:rsid w:val="009E7FBC"/>
    <w:rsid w:val="009F1EF2"/>
    <w:rsid w:val="009F3532"/>
    <w:rsid w:val="009F5412"/>
    <w:rsid w:val="009F7084"/>
    <w:rsid w:val="009F72DC"/>
    <w:rsid w:val="00A00811"/>
    <w:rsid w:val="00A030B7"/>
    <w:rsid w:val="00A03144"/>
    <w:rsid w:val="00A03234"/>
    <w:rsid w:val="00A03788"/>
    <w:rsid w:val="00A045D9"/>
    <w:rsid w:val="00A05D17"/>
    <w:rsid w:val="00A073FA"/>
    <w:rsid w:val="00A10030"/>
    <w:rsid w:val="00A11AC6"/>
    <w:rsid w:val="00A12203"/>
    <w:rsid w:val="00A12A7A"/>
    <w:rsid w:val="00A14BD5"/>
    <w:rsid w:val="00A16557"/>
    <w:rsid w:val="00A16D4B"/>
    <w:rsid w:val="00A177E1"/>
    <w:rsid w:val="00A20292"/>
    <w:rsid w:val="00A20462"/>
    <w:rsid w:val="00A20667"/>
    <w:rsid w:val="00A20AD8"/>
    <w:rsid w:val="00A2112A"/>
    <w:rsid w:val="00A21849"/>
    <w:rsid w:val="00A236CB"/>
    <w:rsid w:val="00A24812"/>
    <w:rsid w:val="00A25A42"/>
    <w:rsid w:val="00A260EA"/>
    <w:rsid w:val="00A268E6"/>
    <w:rsid w:val="00A30049"/>
    <w:rsid w:val="00A30D7D"/>
    <w:rsid w:val="00A3370C"/>
    <w:rsid w:val="00A3569A"/>
    <w:rsid w:val="00A41858"/>
    <w:rsid w:val="00A44AD3"/>
    <w:rsid w:val="00A4648B"/>
    <w:rsid w:val="00A47A28"/>
    <w:rsid w:val="00A5019C"/>
    <w:rsid w:val="00A517D5"/>
    <w:rsid w:val="00A52C78"/>
    <w:rsid w:val="00A52F4C"/>
    <w:rsid w:val="00A54540"/>
    <w:rsid w:val="00A556F5"/>
    <w:rsid w:val="00A55F01"/>
    <w:rsid w:val="00A560FF"/>
    <w:rsid w:val="00A57337"/>
    <w:rsid w:val="00A57D6D"/>
    <w:rsid w:val="00A57D96"/>
    <w:rsid w:val="00A60B11"/>
    <w:rsid w:val="00A61816"/>
    <w:rsid w:val="00A61B07"/>
    <w:rsid w:val="00A61D57"/>
    <w:rsid w:val="00A626C3"/>
    <w:rsid w:val="00A62924"/>
    <w:rsid w:val="00A62D22"/>
    <w:rsid w:val="00A65EF1"/>
    <w:rsid w:val="00A663B6"/>
    <w:rsid w:val="00A715A5"/>
    <w:rsid w:val="00A71914"/>
    <w:rsid w:val="00A71B71"/>
    <w:rsid w:val="00A739AE"/>
    <w:rsid w:val="00A75765"/>
    <w:rsid w:val="00A767D8"/>
    <w:rsid w:val="00A80D4A"/>
    <w:rsid w:val="00A8632A"/>
    <w:rsid w:val="00A8790F"/>
    <w:rsid w:val="00A87A36"/>
    <w:rsid w:val="00A87BFD"/>
    <w:rsid w:val="00A928F8"/>
    <w:rsid w:val="00A932BD"/>
    <w:rsid w:val="00A933E0"/>
    <w:rsid w:val="00A9529F"/>
    <w:rsid w:val="00A95307"/>
    <w:rsid w:val="00A96C54"/>
    <w:rsid w:val="00AA0600"/>
    <w:rsid w:val="00AA0A70"/>
    <w:rsid w:val="00AA2506"/>
    <w:rsid w:val="00AA2D63"/>
    <w:rsid w:val="00AA300D"/>
    <w:rsid w:val="00AA3952"/>
    <w:rsid w:val="00AA477F"/>
    <w:rsid w:val="00AB09A8"/>
    <w:rsid w:val="00AB14CE"/>
    <w:rsid w:val="00AB53E5"/>
    <w:rsid w:val="00AC3817"/>
    <w:rsid w:val="00AC3D78"/>
    <w:rsid w:val="00AC3E55"/>
    <w:rsid w:val="00AC4369"/>
    <w:rsid w:val="00AC79F2"/>
    <w:rsid w:val="00AC7C48"/>
    <w:rsid w:val="00AD1437"/>
    <w:rsid w:val="00AD2538"/>
    <w:rsid w:val="00AD2D7A"/>
    <w:rsid w:val="00AD43B4"/>
    <w:rsid w:val="00AD4664"/>
    <w:rsid w:val="00AD56E0"/>
    <w:rsid w:val="00AD6DAB"/>
    <w:rsid w:val="00AE2148"/>
    <w:rsid w:val="00AE2E97"/>
    <w:rsid w:val="00AE4C8B"/>
    <w:rsid w:val="00AE4F44"/>
    <w:rsid w:val="00AE79E5"/>
    <w:rsid w:val="00AF5D2B"/>
    <w:rsid w:val="00B05510"/>
    <w:rsid w:val="00B070F1"/>
    <w:rsid w:val="00B077F9"/>
    <w:rsid w:val="00B1200B"/>
    <w:rsid w:val="00B12082"/>
    <w:rsid w:val="00B12AA0"/>
    <w:rsid w:val="00B130C2"/>
    <w:rsid w:val="00B13FB7"/>
    <w:rsid w:val="00B147D4"/>
    <w:rsid w:val="00B14D0D"/>
    <w:rsid w:val="00B156A3"/>
    <w:rsid w:val="00B1758C"/>
    <w:rsid w:val="00B2315A"/>
    <w:rsid w:val="00B23C30"/>
    <w:rsid w:val="00B254BB"/>
    <w:rsid w:val="00B304A3"/>
    <w:rsid w:val="00B314DD"/>
    <w:rsid w:val="00B31F7F"/>
    <w:rsid w:val="00B353FE"/>
    <w:rsid w:val="00B35513"/>
    <w:rsid w:val="00B356BB"/>
    <w:rsid w:val="00B35F42"/>
    <w:rsid w:val="00B35FBD"/>
    <w:rsid w:val="00B367D5"/>
    <w:rsid w:val="00B41C1A"/>
    <w:rsid w:val="00B43073"/>
    <w:rsid w:val="00B43335"/>
    <w:rsid w:val="00B44256"/>
    <w:rsid w:val="00B44277"/>
    <w:rsid w:val="00B449B8"/>
    <w:rsid w:val="00B477C2"/>
    <w:rsid w:val="00B47828"/>
    <w:rsid w:val="00B51647"/>
    <w:rsid w:val="00B5308D"/>
    <w:rsid w:val="00B53132"/>
    <w:rsid w:val="00B54B80"/>
    <w:rsid w:val="00B57BF6"/>
    <w:rsid w:val="00B60F5B"/>
    <w:rsid w:val="00B6126C"/>
    <w:rsid w:val="00B62283"/>
    <w:rsid w:val="00B62F44"/>
    <w:rsid w:val="00B63856"/>
    <w:rsid w:val="00B67210"/>
    <w:rsid w:val="00B71657"/>
    <w:rsid w:val="00B74746"/>
    <w:rsid w:val="00B751F9"/>
    <w:rsid w:val="00B7563B"/>
    <w:rsid w:val="00B77527"/>
    <w:rsid w:val="00B77E6C"/>
    <w:rsid w:val="00B8039F"/>
    <w:rsid w:val="00B804B8"/>
    <w:rsid w:val="00B80E3F"/>
    <w:rsid w:val="00B81A9E"/>
    <w:rsid w:val="00B81CE8"/>
    <w:rsid w:val="00B835AC"/>
    <w:rsid w:val="00B83B19"/>
    <w:rsid w:val="00B85460"/>
    <w:rsid w:val="00B86D65"/>
    <w:rsid w:val="00B87882"/>
    <w:rsid w:val="00B91651"/>
    <w:rsid w:val="00B9326D"/>
    <w:rsid w:val="00B94313"/>
    <w:rsid w:val="00B95644"/>
    <w:rsid w:val="00B95C7F"/>
    <w:rsid w:val="00B95E6C"/>
    <w:rsid w:val="00BA1678"/>
    <w:rsid w:val="00BA1E6C"/>
    <w:rsid w:val="00BA2633"/>
    <w:rsid w:val="00BA299A"/>
    <w:rsid w:val="00BA3B7C"/>
    <w:rsid w:val="00BA53DD"/>
    <w:rsid w:val="00BA548F"/>
    <w:rsid w:val="00BA580A"/>
    <w:rsid w:val="00BA5960"/>
    <w:rsid w:val="00BA698F"/>
    <w:rsid w:val="00BA7868"/>
    <w:rsid w:val="00BA7923"/>
    <w:rsid w:val="00BB06D3"/>
    <w:rsid w:val="00BB168B"/>
    <w:rsid w:val="00BB294C"/>
    <w:rsid w:val="00BB3180"/>
    <w:rsid w:val="00BB43CB"/>
    <w:rsid w:val="00BB68B8"/>
    <w:rsid w:val="00BC26C4"/>
    <w:rsid w:val="00BC368F"/>
    <w:rsid w:val="00BC465E"/>
    <w:rsid w:val="00BC4EE2"/>
    <w:rsid w:val="00BC5772"/>
    <w:rsid w:val="00BC65C7"/>
    <w:rsid w:val="00BC65E9"/>
    <w:rsid w:val="00BC6B58"/>
    <w:rsid w:val="00BC6E38"/>
    <w:rsid w:val="00BD31F6"/>
    <w:rsid w:val="00BD3AC4"/>
    <w:rsid w:val="00BD473D"/>
    <w:rsid w:val="00BD5ACB"/>
    <w:rsid w:val="00BD6795"/>
    <w:rsid w:val="00BE1664"/>
    <w:rsid w:val="00BE32DD"/>
    <w:rsid w:val="00BE476E"/>
    <w:rsid w:val="00BE4D22"/>
    <w:rsid w:val="00BE595B"/>
    <w:rsid w:val="00BE67E0"/>
    <w:rsid w:val="00BE6918"/>
    <w:rsid w:val="00BE69EC"/>
    <w:rsid w:val="00BE6A0F"/>
    <w:rsid w:val="00BE77FF"/>
    <w:rsid w:val="00BF0FE7"/>
    <w:rsid w:val="00BF1BFD"/>
    <w:rsid w:val="00BF211B"/>
    <w:rsid w:val="00BF3208"/>
    <w:rsid w:val="00BF3371"/>
    <w:rsid w:val="00BF3A57"/>
    <w:rsid w:val="00BF4296"/>
    <w:rsid w:val="00BF452A"/>
    <w:rsid w:val="00BF521C"/>
    <w:rsid w:val="00BF5267"/>
    <w:rsid w:val="00BF5B86"/>
    <w:rsid w:val="00BF771E"/>
    <w:rsid w:val="00C001BB"/>
    <w:rsid w:val="00C022FF"/>
    <w:rsid w:val="00C05752"/>
    <w:rsid w:val="00C073B0"/>
    <w:rsid w:val="00C073B8"/>
    <w:rsid w:val="00C07570"/>
    <w:rsid w:val="00C13C41"/>
    <w:rsid w:val="00C1465A"/>
    <w:rsid w:val="00C16785"/>
    <w:rsid w:val="00C20957"/>
    <w:rsid w:val="00C22313"/>
    <w:rsid w:val="00C22CE4"/>
    <w:rsid w:val="00C235F1"/>
    <w:rsid w:val="00C27543"/>
    <w:rsid w:val="00C3189D"/>
    <w:rsid w:val="00C3253E"/>
    <w:rsid w:val="00C3705D"/>
    <w:rsid w:val="00C40CCD"/>
    <w:rsid w:val="00C40DA7"/>
    <w:rsid w:val="00C40E58"/>
    <w:rsid w:val="00C41AD5"/>
    <w:rsid w:val="00C4282C"/>
    <w:rsid w:val="00C44AB7"/>
    <w:rsid w:val="00C46B25"/>
    <w:rsid w:val="00C50DDB"/>
    <w:rsid w:val="00C53CCC"/>
    <w:rsid w:val="00C56413"/>
    <w:rsid w:val="00C56479"/>
    <w:rsid w:val="00C603AD"/>
    <w:rsid w:val="00C609E2"/>
    <w:rsid w:val="00C61A7D"/>
    <w:rsid w:val="00C6410A"/>
    <w:rsid w:val="00C6450B"/>
    <w:rsid w:val="00C65B95"/>
    <w:rsid w:val="00C67C9B"/>
    <w:rsid w:val="00C71679"/>
    <w:rsid w:val="00C71E65"/>
    <w:rsid w:val="00C73278"/>
    <w:rsid w:val="00C73E7C"/>
    <w:rsid w:val="00C7482F"/>
    <w:rsid w:val="00C7614C"/>
    <w:rsid w:val="00C76250"/>
    <w:rsid w:val="00C7692E"/>
    <w:rsid w:val="00C81202"/>
    <w:rsid w:val="00C85F6A"/>
    <w:rsid w:val="00C865BD"/>
    <w:rsid w:val="00C908B0"/>
    <w:rsid w:val="00C9144C"/>
    <w:rsid w:val="00C92FAF"/>
    <w:rsid w:val="00C95223"/>
    <w:rsid w:val="00C953AF"/>
    <w:rsid w:val="00C95614"/>
    <w:rsid w:val="00C95E78"/>
    <w:rsid w:val="00C97F88"/>
    <w:rsid w:val="00CA0A73"/>
    <w:rsid w:val="00CA1935"/>
    <w:rsid w:val="00CA1C40"/>
    <w:rsid w:val="00CA2A4C"/>
    <w:rsid w:val="00CA49E2"/>
    <w:rsid w:val="00CA58AA"/>
    <w:rsid w:val="00CA596A"/>
    <w:rsid w:val="00CA5FEB"/>
    <w:rsid w:val="00CA78AB"/>
    <w:rsid w:val="00CA7E75"/>
    <w:rsid w:val="00CB2442"/>
    <w:rsid w:val="00CB30D7"/>
    <w:rsid w:val="00CB49F4"/>
    <w:rsid w:val="00CB4C1E"/>
    <w:rsid w:val="00CB555F"/>
    <w:rsid w:val="00CB657D"/>
    <w:rsid w:val="00CB7741"/>
    <w:rsid w:val="00CB7A29"/>
    <w:rsid w:val="00CC234A"/>
    <w:rsid w:val="00CC2D66"/>
    <w:rsid w:val="00CC44C8"/>
    <w:rsid w:val="00CC4868"/>
    <w:rsid w:val="00CC57D4"/>
    <w:rsid w:val="00CC5B75"/>
    <w:rsid w:val="00CD3352"/>
    <w:rsid w:val="00CD3DF9"/>
    <w:rsid w:val="00CD4E07"/>
    <w:rsid w:val="00CD5FD0"/>
    <w:rsid w:val="00CE07AE"/>
    <w:rsid w:val="00CE0DB0"/>
    <w:rsid w:val="00CE16C7"/>
    <w:rsid w:val="00CE226B"/>
    <w:rsid w:val="00CE4770"/>
    <w:rsid w:val="00CE7BEB"/>
    <w:rsid w:val="00CF0172"/>
    <w:rsid w:val="00CF0D3A"/>
    <w:rsid w:val="00CF0EC9"/>
    <w:rsid w:val="00CF474C"/>
    <w:rsid w:val="00CF67B7"/>
    <w:rsid w:val="00D0098C"/>
    <w:rsid w:val="00D00A3D"/>
    <w:rsid w:val="00D01565"/>
    <w:rsid w:val="00D047A1"/>
    <w:rsid w:val="00D04B35"/>
    <w:rsid w:val="00D04B5D"/>
    <w:rsid w:val="00D05280"/>
    <w:rsid w:val="00D07309"/>
    <w:rsid w:val="00D07495"/>
    <w:rsid w:val="00D07D22"/>
    <w:rsid w:val="00D10686"/>
    <w:rsid w:val="00D149FD"/>
    <w:rsid w:val="00D15C7E"/>
    <w:rsid w:val="00D1675B"/>
    <w:rsid w:val="00D17BA4"/>
    <w:rsid w:val="00D2123D"/>
    <w:rsid w:val="00D21411"/>
    <w:rsid w:val="00D256F5"/>
    <w:rsid w:val="00D26916"/>
    <w:rsid w:val="00D27892"/>
    <w:rsid w:val="00D30E7F"/>
    <w:rsid w:val="00D30ED4"/>
    <w:rsid w:val="00D31380"/>
    <w:rsid w:val="00D31896"/>
    <w:rsid w:val="00D31E6D"/>
    <w:rsid w:val="00D33934"/>
    <w:rsid w:val="00D33E87"/>
    <w:rsid w:val="00D342E0"/>
    <w:rsid w:val="00D347F8"/>
    <w:rsid w:val="00D349A4"/>
    <w:rsid w:val="00D3754F"/>
    <w:rsid w:val="00D40888"/>
    <w:rsid w:val="00D4109B"/>
    <w:rsid w:val="00D43CAD"/>
    <w:rsid w:val="00D45599"/>
    <w:rsid w:val="00D46340"/>
    <w:rsid w:val="00D4676D"/>
    <w:rsid w:val="00D473EB"/>
    <w:rsid w:val="00D47A72"/>
    <w:rsid w:val="00D50187"/>
    <w:rsid w:val="00D50C1B"/>
    <w:rsid w:val="00D51049"/>
    <w:rsid w:val="00D51704"/>
    <w:rsid w:val="00D52FFC"/>
    <w:rsid w:val="00D53CB4"/>
    <w:rsid w:val="00D55874"/>
    <w:rsid w:val="00D56995"/>
    <w:rsid w:val="00D601C7"/>
    <w:rsid w:val="00D60E6C"/>
    <w:rsid w:val="00D6266A"/>
    <w:rsid w:val="00D62D7D"/>
    <w:rsid w:val="00D663A1"/>
    <w:rsid w:val="00D70688"/>
    <w:rsid w:val="00D72588"/>
    <w:rsid w:val="00D731B5"/>
    <w:rsid w:val="00D73CCE"/>
    <w:rsid w:val="00D74151"/>
    <w:rsid w:val="00D74388"/>
    <w:rsid w:val="00D7464C"/>
    <w:rsid w:val="00D76B1B"/>
    <w:rsid w:val="00D77EE5"/>
    <w:rsid w:val="00D8137F"/>
    <w:rsid w:val="00D8313A"/>
    <w:rsid w:val="00D845B4"/>
    <w:rsid w:val="00D86746"/>
    <w:rsid w:val="00D876AF"/>
    <w:rsid w:val="00D87C15"/>
    <w:rsid w:val="00D87C4A"/>
    <w:rsid w:val="00D9021D"/>
    <w:rsid w:val="00D918A5"/>
    <w:rsid w:val="00D91AB6"/>
    <w:rsid w:val="00D94BEB"/>
    <w:rsid w:val="00D96EE5"/>
    <w:rsid w:val="00DA0956"/>
    <w:rsid w:val="00DA0C14"/>
    <w:rsid w:val="00DA1B31"/>
    <w:rsid w:val="00DA2903"/>
    <w:rsid w:val="00DA33F5"/>
    <w:rsid w:val="00DA63F1"/>
    <w:rsid w:val="00DA6B59"/>
    <w:rsid w:val="00DB3271"/>
    <w:rsid w:val="00DB32B9"/>
    <w:rsid w:val="00DB3A18"/>
    <w:rsid w:val="00DB499B"/>
    <w:rsid w:val="00DB595B"/>
    <w:rsid w:val="00DB6259"/>
    <w:rsid w:val="00DC399D"/>
    <w:rsid w:val="00DC3B65"/>
    <w:rsid w:val="00DC3F51"/>
    <w:rsid w:val="00DC6906"/>
    <w:rsid w:val="00DC6B2C"/>
    <w:rsid w:val="00DD0A87"/>
    <w:rsid w:val="00DD1236"/>
    <w:rsid w:val="00DD156C"/>
    <w:rsid w:val="00DD174E"/>
    <w:rsid w:val="00DD37BF"/>
    <w:rsid w:val="00DD5114"/>
    <w:rsid w:val="00DD5D40"/>
    <w:rsid w:val="00DE1DEA"/>
    <w:rsid w:val="00DE289C"/>
    <w:rsid w:val="00DE36A3"/>
    <w:rsid w:val="00DF16A4"/>
    <w:rsid w:val="00DF19F2"/>
    <w:rsid w:val="00DF2CAF"/>
    <w:rsid w:val="00DF364B"/>
    <w:rsid w:val="00E02564"/>
    <w:rsid w:val="00E02727"/>
    <w:rsid w:val="00E0413D"/>
    <w:rsid w:val="00E04B5C"/>
    <w:rsid w:val="00E05B4E"/>
    <w:rsid w:val="00E06FC7"/>
    <w:rsid w:val="00E10ACC"/>
    <w:rsid w:val="00E10F97"/>
    <w:rsid w:val="00E11849"/>
    <w:rsid w:val="00E15266"/>
    <w:rsid w:val="00E15315"/>
    <w:rsid w:val="00E15C4C"/>
    <w:rsid w:val="00E17B8E"/>
    <w:rsid w:val="00E17EF3"/>
    <w:rsid w:val="00E20512"/>
    <w:rsid w:val="00E20B3C"/>
    <w:rsid w:val="00E20E76"/>
    <w:rsid w:val="00E2148B"/>
    <w:rsid w:val="00E21DC7"/>
    <w:rsid w:val="00E22A88"/>
    <w:rsid w:val="00E2348E"/>
    <w:rsid w:val="00E253FC"/>
    <w:rsid w:val="00E254AC"/>
    <w:rsid w:val="00E308F5"/>
    <w:rsid w:val="00E3103B"/>
    <w:rsid w:val="00E310F1"/>
    <w:rsid w:val="00E31F80"/>
    <w:rsid w:val="00E3222B"/>
    <w:rsid w:val="00E322FA"/>
    <w:rsid w:val="00E324F3"/>
    <w:rsid w:val="00E34B41"/>
    <w:rsid w:val="00E35049"/>
    <w:rsid w:val="00E37E51"/>
    <w:rsid w:val="00E40B59"/>
    <w:rsid w:val="00E4198F"/>
    <w:rsid w:val="00E41A69"/>
    <w:rsid w:val="00E41F3A"/>
    <w:rsid w:val="00E4319A"/>
    <w:rsid w:val="00E43D3F"/>
    <w:rsid w:val="00E443B6"/>
    <w:rsid w:val="00E451C6"/>
    <w:rsid w:val="00E45FB6"/>
    <w:rsid w:val="00E50340"/>
    <w:rsid w:val="00E55D29"/>
    <w:rsid w:val="00E5607D"/>
    <w:rsid w:val="00E56168"/>
    <w:rsid w:val="00E56A04"/>
    <w:rsid w:val="00E57D0A"/>
    <w:rsid w:val="00E60F5C"/>
    <w:rsid w:val="00E62164"/>
    <w:rsid w:val="00E62B4F"/>
    <w:rsid w:val="00E62E5B"/>
    <w:rsid w:val="00E62F40"/>
    <w:rsid w:val="00E64EE2"/>
    <w:rsid w:val="00E65BB7"/>
    <w:rsid w:val="00E66658"/>
    <w:rsid w:val="00E66FAF"/>
    <w:rsid w:val="00E733FC"/>
    <w:rsid w:val="00E73980"/>
    <w:rsid w:val="00E73C1D"/>
    <w:rsid w:val="00E743E7"/>
    <w:rsid w:val="00E76030"/>
    <w:rsid w:val="00E81F24"/>
    <w:rsid w:val="00E821AD"/>
    <w:rsid w:val="00E82419"/>
    <w:rsid w:val="00E8246C"/>
    <w:rsid w:val="00E82630"/>
    <w:rsid w:val="00E82B97"/>
    <w:rsid w:val="00E82FFC"/>
    <w:rsid w:val="00E84162"/>
    <w:rsid w:val="00E858B9"/>
    <w:rsid w:val="00E9705D"/>
    <w:rsid w:val="00EA0050"/>
    <w:rsid w:val="00EA2627"/>
    <w:rsid w:val="00EA2BF8"/>
    <w:rsid w:val="00EA396B"/>
    <w:rsid w:val="00EA3E28"/>
    <w:rsid w:val="00EA678A"/>
    <w:rsid w:val="00EC05D0"/>
    <w:rsid w:val="00EC0D1F"/>
    <w:rsid w:val="00EC20EF"/>
    <w:rsid w:val="00EC2268"/>
    <w:rsid w:val="00EC2543"/>
    <w:rsid w:val="00EC3CC5"/>
    <w:rsid w:val="00EC6259"/>
    <w:rsid w:val="00EC6718"/>
    <w:rsid w:val="00EC7861"/>
    <w:rsid w:val="00ED05EC"/>
    <w:rsid w:val="00ED0700"/>
    <w:rsid w:val="00ED3C3F"/>
    <w:rsid w:val="00ED3D17"/>
    <w:rsid w:val="00ED6E8B"/>
    <w:rsid w:val="00EE104E"/>
    <w:rsid w:val="00EE11DF"/>
    <w:rsid w:val="00EE3464"/>
    <w:rsid w:val="00EE461A"/>
    <w:rsid w:val="00EE4C3E"/>
    <w:rsid w:val="00EE4CBC"/>
    <w:rsid w:val="00EE5EBB"/>
    <w:rsid w:val="00EE6621"/>
    <w:rsid w:val="00EE733F"/>
    <w:rsid w:val="00EF0C15"/>
    <w:rsid w:val="00EF110A"/>
    <w:rsid w:val="00EF18B5"/>
    <w:rsid w:val="00F02379"/>
    <w:rsid w:val="00F04C04"/>
    <w:rsid w:val="00F07EEE"/>
    <w:rsid w:val="00F1219B"/>
    <w:rsid w:val="00F12D31"/>
    <w:rsid w:val="00F13349"/>
    <w:rsid w:val="00F14A06"/>
    <w:rsid w:val="00F15C67"/>
    <w:rsid w:val="00F168E0"/>
    <w:rsid w:val="00F16E07"/>
    <w:rsid w:val="00F17FA0"/>
    <w:rsid w:val="00F202E9"/>
    <w:rsid w:val="00F205BF"/>
    <w:rsid w:val="00F23BFC"/>
    <w:rsid w:val="00F24030"/>
    <w:rsid w:val="00F24C5F"/>
    <w:rsid w:val="00F278DC"/>
    <w:rsid w:val="00F3231F"/>
    <w:rsid w:val="00F35343"/>
    <w:rsid w:val="00F35FA5"/>
    <w:rsid w:val="00F40721"/>
    <w:rsid w:val="00F4787B"/>
    <w:rsid w:val="00F50B22"/>
    <w:rsid w:val="00F52433"/>
    <w:rsid w:val="00F52BD8"/>
    <w:rsid w:val="00F54C68"/>
    <w:rsid w:val="00F6236B"/>
    <w:rsid w:val="00F629AC"/>
    <w:rsid w:val="00F62D8D"/>
    <w:rsid w:val="00F63C43"/>
    <w:rsid w:val="00F64BE3"/>
    <w:rsid w:val="00F65583"/>
    <w:rsid w:val="00F6729B"/>
    <w:rsid w:val="00F67BA5"/>
    <w:rsid w:val="00F715E2"/>
    <w:rsid w:val="00F7229E"/>
    <w:rsid w:val="00F731FD"/>
    <w:rsid w:val="00F7686A"/>
    <w:rsid w:val="00F8007B"/>
    <w:rsid w:val="00F8117F"/>
    <w:rsid w:val="00F82C61"/>
    <w:rsid w:val="00F83B8B"/>
    <w:rsid w:val="00F8511E"/>
    <w:rsid w:val="00F85914"/>
    <w:rsid w:val="00F8686A"/>
    <w:rsid w:val="00F86E25"/>
    <w:rsid w:val="00F8761D"/>
    <w:rsid w:val="00F91EFB"/>
    <w:rsid w:val="00F92210"/>
    <w:rsid w:val="00F9393F"/>
    <w:rsid w:val="00F96A4B"/>
    <w:rsid w:val="00F97B97"/>
    <w:rsid w:val="00F97C35"/>
    <w:rsid w:val="00FA232B"/>
    <w:rsid w:val="00FA23B1"/>
    <w:rsid w:val="00FA32F1"/>
    <w:rsid w:val="00FA52FF"/>
    <w:rsid w:val="00FA5993"/>
    <w:rsid w:val="00FB1E7B"/>
    <w:rsid w:val="00FB2277"/>
    <w:rsid w:val="00FB3D0A"/>
    <w:rsid w:val="00FB4920"/>
    <w:rsid w:val="00FB76F4"/>
    <w:rsid w:val="00FC0887"/>
    <w:rsid w:val="00FC1780"/>
    <w:rsid w:val="00FC69DE"/>
    <w:rsid w:val="00FC72BF"/>
    <w:rsid w:val="00FD0286"/>
    <w:rsid w:val="00FD1A99"/>
    <w:rsid w:val="00FD1C37"/>
    <w:rsid w:val="00FD1D8D"/>
    <w:rsid w:val="00FD211C"/>
    <w:rsid w:val="00FD7736"/>
    <w:rsid w:val="00FD7BD1"/>
    <w:rsid w:val="00FE152A"/>
    <w:rsid w:val="00FE5BC7"/>
    <w:rsid w:val="00FE6CD0"/>
    <w:rsid w:val="00FF3565"/>
    <w:rsid w:val="00FF6164"/>
    <w:rsid w:val="00FF69CC"/>
    <w:rsid w:val="1AB9102C"/>
    <w:rsid w:val="442B1ADC"/>
    <w:rsid w:val="4A566406"/>
    <w:rsid w:val="4ECE7859"/>
    <w:rsid w:val="6CCD4D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9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qFormat="1" w:unhideWhenUsed="0" w:uiPriority="0"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4"/>
    <w:autoRedefine/>
    <w:qFormat/>
    <w:uiPriority w:val="9"/>
    <w:pPr>
      <w:keepNext/>
      <w:keepLines/>
      <w:spacing w:line="578" w:lineRule="auto"/>
      <w:outlineLvl w:val="0"/>
    </w:pPr>
    <w:rPr>
      <w:b/>
      <w:bCs/>
      <w:kern w:val="44"/>
      <w:sz w:val="44"/>
      <w:szCs w:val="44"/>
    </w:rPr>
  </w:style>
  <w:style w:type="paragraph" w:styleId="3">
    <w:name w:val="heading 2"/>
    <w:basedOn w:val="1"/>
    <w:next w:val="1"/>
    <w:link w:val="25"/>
    <w:autoRedefine/>
    <w:qFormat/>
    <w:uiPriority w:val="9"/>
    <w:pPr>
      <w:keepNext/>
      <w:keepLines/>
      <w:spacing w:line="416" w:lineRule="auto"/>
      <w:outlineLvl w:val="1"/>
    </w:pPr>
    <w:rPr>
      <w:rFonts w:ascii="Cambria" w:hAnsi="Cambria"/>
      <w:b/>
      <w:bCs/>
      <w:kern w:val="0"/>
      <w:sz w:val="32"/>
      <w:szCs w:val="32"/>
    </w:rPr>
  </w:style>
  <w:style w:type="paragraph" w:styleId="4">
    <w:name w:val="heading 3"/>
    <w:basedOn w:val="1"/>
    <w:next w:val="1"/>
    <w:link w:val="26"/>
    <w:autoRedefine/>
    <w:qFormat/>
    <w:uiPriority w:val="9"/>
    <w:pPr>
      <w:keepNext/>
      <w:keepLines/>
      <w:spacing w:line="416" w:lineRule="auto"/>
      <w:outlineLvl w:val="2"/>
    </w:pPr>
    <w:rPr>
      <w:b/>
      <w:bCs/>
      <w:kern w:val="0"/>
      <w:sz w:val="32"/>
      <w:szCs w:val="32"/>
    </w:rPr>
  </w:style>
  <w:style w:type="paragraph" w:styleId="5">
    <w:name w:val="heading 4"/>
    <w:basedOn w:val="1"/>
    <w:next w:val="1"/>
    <w:link w:val="27"/>
    <w:autoRedefine/>
    <w:qFormat/>
    <w:uiPriority w:val="99"/>
    <w:pPr>
      <w:keepNext/>
      <w:keepLines/>
      <w:spacing w:before="280" w:after="290" w:line="376" w:lineRule="auto"/>
      <w:outlineLvl w:val="3"/>
    </w:pPr>
    <w:rPr>
      <w:rFonts w:ascii="Cambria" w:hAnsi="Cambria"/>
      <w:b/>
      <w:bCs/>
      <w:sz w:val="28"/>
      <w:szCs w:val="28"/>
    </w:rPr>
  </w:style>
  <w:style w:type="character" w:default="1" w:styleId="20">
    <w:name w:val="Default Paragraph Font"/>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link w:val="54"/>
    <w:qFormat/>
    <w:uiPriority w:val="0"/>
    <w:pPr>
      <w:snapToGrid w:val="0"/>
      <w:spacing w:beforeLines="30" w:afterLines="30" w:line="300" w:lineRule="auto"/>
      <w:jc w:val="center"/>
    </w:pPr>
    <w:rPr>
      <w:szCs w:val="20"/>
      <w:lang w:val="en-GB"/>
    </w:rPr>
  </w:style>
  <w:style w:type="paragraph" w:styleId="7">
    <w:name w:val="Document Map"/>
    <w:basedOn w:val="1"/>
    <w:link w:val="30"/>
    <w:autoRedefine/>
    <w:semiHidden/>
    <w:qFormat/>
    <w:uiPriority w:val="99"/>
    <w:pPr>
      <w:shd w:val="clear" w:color="auto" w:fill="000080"/>
    </w:pPr>
    <w:rPr>
      <w:kern w:val="0"/>
      <w:sz w:val="0"/>
      <w:szCs w:val="0"/>
    </w:rPr>
  </w:style>
  <w:style w:type="paragraph" w:styleId="8">
    <w:name w:val="annotation text"/>
    <w:basedOn w:val="1"/>
    <w:link w:val="28"/>
    <w:autoRedefine/>
    <w:semiHidden/>
    <w:qFormat/>
    <w:uiPriority w:val="99"/>
    <w:pPr>
      <w:jc w:val="left"/>
    </w:pPr>
    <w:rPr>
      <w:kern w:val="0"/>
      <w:sz w:val="20"/>
    </w:rPr>
  </w:style>
  <w:style w:type="paragraph" w:styleId="9">
    <w:name w:val="toc 3"/>
    <w:basedOn w:val="1"/>
    <w:next w:val="1"/>
    <w:autoRedefine/>
    <w:semiHidden/>
    <w:qFormat/>
    <w:uiPriority w:val="99"/>
    <w:pPr>
      <w:widowControl/>
      <w:ind w:left="480"/>
      <w:jc w:val="left"/>
    </w:pPr>
    <w:rPr>
      <w:kern w:val="0"/>
      <w:sz w:val="24"/>
      <w:szCs w:val="24"/>
    </w:rPr>
  </w:style>
  <w:style w:type="paragraph" w:styleId="10">
    <w:name w:val="Plain Text"/>
    <w:basedOn w:val="1"/>
    <w:link w:val="55"/>
    <w:uiPriority w:val="0"/>
    <w:rPr>
      <w:rFonts w:ascii="宋体" w:hAnsi="Courier New"/>
    </w:rPr>
  </w:style>
  <w:style w:type="paragraph" w:styleId="11">
    <w:name w:val="Date"/>
    <w:basedOn w:val="1"/>
    <w:next w:val="1"/>
    <w:link w:val="31"/>
    <w:autoRedefine/>
    <w:qFormat/>
    <w:uiPriority w:val="99"/>
    <w:pPr>
      <w:ind w:left="100" w:leftChars="2500"/>
    </w:pPr>
    <w:rPr>
      <w:kern w:val="0"/>
      <w:sz w:val="20"/>
    </w:rPr>
  </w:style>
  <w:style w:type="paragraph" w:styleId="12">
    <w:name w:val="Balloon Text"/>
    <w:basedOn w:val="1"/>
    <w:link w:val="56"/>
    <w:semiHidden/>
    <w:unhideWhenUsed/>
    <w:uiPriority w:val="99"/>
    <w:rPr>
      <w:sz w:val="18"/>
      <w:szCs w:val="18"/>
    </w:rPr>
  </w:style>
  <w:style w:type="paragraph" w:styleId="13">
    <w:name w:val="footer"/>
    <w:basedOn w:val="1"/>
    <w:link w:val="32"/>
    <w:autoRedefine/>
    <w:qFormat/>
    <w:uiPriority w:val="99"/>
    <w:pPr>
      <w:tabs>
        <w:tab w:val="center" w:pos="4153"/>
        <w:tab w:val="right" w:pos="8306"/>
      </w:tabs>
      <w:snapToGrid w:val="0"/>
      <w:jc w:val="left"/>
    </w:pPr>
    <w:rPr>
      <w:kern w:val="0"/>
      <w:sz w:val="18"/>
      <w:szCs w:val="18"/>
    </w:rPr>
  </w:style>
  <w:style w:type="paragraph" w:styleId="14">
    <w:name w:val="header"/>
    <w:basedOn w:val="1"/>
    <w:link w:val="33"/>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15">
    <w:name w:val="toc 1"/>
    <w:basedOn w:val="1"/>
    <w:next w:val="1"/>
    <w:autoRedefine/>
    <w:qFormat/>
    <w:uiPriority w:val="39"/>
    <w:pPr>
      <w:widowControl/>
      <w:tabs>
        <w:tab w:val="left" w:pos="480"/>
        <w:tab w:val="right" w:leader="dot" w:pos="9628"/>
      </w:tabs>
      <w:jc w:val="left"/>
    </w:pPr>
    <w:rPr>
      <w:kern w:val="0"/>
      <w:sz w:val="24"/>
      <w:szCs w:val="24"/>
    </w:rPr>
  </w:style>
  <w:style w:type="paragraph" w:styleId="16">
    <w:name w:val="toc 2"/>
    <w:basedOn w:val="1"/>
    <w:next w:val="1"/>
    <w:autoRedefine/>
    <w:qFormat/>
    <w:uiPriority w:val="39"/>
    <w:pPr>
      <w:widowControl/>
      <w:ind w:left="240"/>
      <w:jc w:val="left"/>
    </w:pPr>
    <w:rPr>
      <w:kern w:val="0"/>
      <w:sz w:val="24"/>
      <w:szCs w:val="24"/>
    </w:rPr>
  </w:style>
  <w:style w:type="paragraph" w:styleId="17">
    <w:name w:val="annotation subject"/>
    <w:basedOn w:val="8"/>
    <w:next w:val="8"/>
    <w:link w:val="29"/>
    <w:autoRedefine/>
    <w:semiHidden/>
    <w:qFormat/>
    <w:uiPriority w:val="99"/>
    <w:rPr>
      <w:b/>
      <w:bCs/>
    </w:rPr>
  </w:style>
  <w:style w:type="table" w:styleId="19">
    <w:name w:val="Table Grid"/>
    <w:basedOn w:val="18"/>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99"/>
  </w:style>
  <w:style w:type="character" w:styleId="22">
    <w:name w:val="Hyperlink"/>
    <w:basedOn w:val="20"/>
    <w:autoRedefine/>
    <w:qFormat/>
    <w:uiPriority w:val="99"/>
  </w:style>
  <w:style w:type="character" w:styleId="23">
    <w:name w:val="annotation reference"/>
    <w:autoRedefine/>
    <w:semiHidden/>
    <w:qFormat/>
    <w:uiPriority w:val="99"/>
    <w:rPr>
      <w:sz w:val="21"/>
      <w:szCs w:val="21"/>
    </w:rPr>
  </w:style>
  <w:style w:type="character" w:customStyle="1" w:styleId="24">
    <w:name w:val="标题 1 Char"/>
    <w:link w:val="2"/>
    <w:qFormat/>
    <w:uiPriority w:val="9"/>
    <w:rPr>
      <w:b/>
      <w:bCs/>
      <w:kern w:val="44"/>
      <w:sz w:val="44"/>
      <w:szCs w:val="44"/>
    </w:rPr>
  </w:style>
  <w:style w:type="character" w:customStyle="1" w:styleId="25">
    <w:name w:val="标题 2 Char"/>
    <w:link w:val="3"/>
    <w:autoRedefine/>
    <w:semiHidden/>
    <w:qFormat/>
    <w:uiPriority w:val="9"/>
    <w:rPr>
      <w:rFonts w:ascii="Cambria" w:hAnsi="Cambria" w:eastAsia="宋体" w:cs="Times New Roman"/>
      <w:b/>
      <w:bCs/>
      <w:sz w:val="32"/>
      <w:szCs w:val="32"/>
    </w:rPr>
  </w:style>
  <w:style w:type="character" w:customStyle="1" w:styleId="26">
    <w:name w:val="标题 3 Char"/>
    <w:link w:val="4"/>
    <w:autoRedefine/>
    <w:qFormat/>
    <w:uiPriority w:val="9"/>
    <w:rPr>
      <w:b/>
      <w:bCs/>
      <w:sz w:val="32"/>
      <w:szCs w:val="32"/>
    </w:rPr>
  </w:style>
  <w:style w:type="character" w:customStyle="1" w:styleId="27">
    <w:name w:val="标题 4 Char"/>
    <w:link w:val="5"/>
    <w:qFormat/>
    <w:locked/>
    <w:uiPriority w:val="99"/>
    <w:rPr>
      <w:rFonts w:ascii="Cambria" w:hAnsi="Cambria" w:eastAsia="宋体" w:cs="Cambria"/>
      <w:b/>
      <w:bCs/>
      <w:kern w:val="2"/>
      <w:sz w:val="28"/>
      <w:szCs w:val="28"/>
    </w:rPr>
  </w:style>
  <w:style w:type="character" w:customStyle="1" w:styleId="28">
    <w:name w:val="批注文字 Char"/>
    <w:link w:val="8"/>
    <w:semiHidden/>
    <w:qFormat/>
    <w:uiPriority w:val="99"/>
    <w:rPr>
      <w:szCs w:val="21"/>
    </w:rPr>
  </w:style>
  <w:style w:type="character" w:customStyle="1" w:styleId="29">
    <w:name w:val="批注主题 Char"/>
    <w:link w:val="17"/>
    <w:semiHidden/>
    <w:qFormat/>
    <w:uiPriority w:val="99"/>
    <w:rPr>
      <w:b/>
      <w:bCs/>
      <w:szCs w:val="21"/>
    </w:rPr>
  </w:style>
  <w:style w:type="character" w:customStyle="1" w:styleId="30">
    <w:name w:val="文档结构图 Char"/>
    <w:link w:val="7"/>
    <w:autoRedefine/>
    <w:semiHidden/>
    <w:qFormat/>
    <w:uiPriority w:val="99"/>
    <w:rPr>
      <w:sz w:val="0"/>
      <w:szCs w:val="0"/>
    </w:rPr>
  </w:style>
  <w:style w:type="character" w:customStyle="1" w:styleId="31">
    <w:name w:val="日期 Char"/>
    <w:link w:val="11"/>
    <w:autoRedefine/>
    <w:semiHidden/>
    <w:qFormat/>
    <w:uiPriority w:val="99"/>
    <w:rPr>
      <w:szCs w:val="21"/>
    </w:rPr>
  </w:style>
  <w:style w:type="character" w:customStyle="1" w:styleId="32">
    <w:name w:val="页脚 Char"/>
    <w:link w:val="13"/>
    <w:semiHidden/>
    <w:qFormat/>
    <w:uiPriority w:val="99"/>
    <w:rPr>
      <w:sz w:val="18"/>
      <w:szCs w:val="18"/>
    </w:rPr>
  </w:style>
  <w:style w:type="character" w:customStyle="1" w:styleId="33">
    <w:name w:val="页眉 Char"/>
    <w:link w:val="14"/>
    <w:semiHidden/>
    <w:qFormat/>
    <w:uiPriority w:val="99"/>
    <w:rPr>
      <w:sz w:val="18"/>
      <w:szCs w:val="18"/>
    </w:rPr>
  </w:style>
  <w:style w:type="character" w:customStyle="1" w:styleId="34">
    <w:name w:val="card1"/>
    <w:autoRedefine/>
    <w:qFormat/>
    <w:uiPriority w:val="99"/>
    <w:rPr>
      <w:rFonts w:ascii="??" w:cs="??"/>
      <w:sz w:val="12"/>
      <w:szCs w:val="12"/>
    </w:rPr>
  </w:style>
  <w:style w:type="character" w:customStyle="1" w:styleId="35">
    <w:name w:val="word_other"/>
    <w:basedOn w:val="20"/>
    <w:autoRedefine/>
    <w:qFormat/>
    <w:uiPriority w:val="99"/>
  </w:style>
  <w:style w:type="character" w:customStyle="1" w:styleId="36">
    <w:name w:val="trans"/>
    <w:basedOn w:val="20"/>
    <w:qFormat/>
    <w:uiPriority w:val="99"/>
  </w:style>
  <w:style w:type="paragraph" w:customStyle="1" w:styleId="37">
    <w:name w:val="Char Char Char Char"/>
    <w:basedOn w:val="1"/>
    <w:next w:val="1"/>
    <w:autoRedefine/>
    <w:qFormat/>
    <w:uiPriority w:val="0"/>
    <w:pPr>
      <w:spacing w:line="360" w:lineRule="auto"/>
      <w:jc w:val="left"/>
    </w:pPr>
    <w:rPr>
      <w:sz w:val="28"/>
      <w:szCs w:val="24"/>
    </w:rPr>
  </w:style>
  <w:style w:type="paragraph" w:customStyle="1" w:styleId="38">
    <w:name w:val="标准文件_段"/>
    <w:autoRedefine/>
    <w:qFormat/>
    <w:uiPriority w:val="0"/>
    <w:pPr>
      <w:widowControl w:val="0"/>
      <w:autoSpaceDE w:val="0"/>
      <w:autoSpaceDN w:val="0"/>
      <w:adjustRightInd w:val="0"/>
      <w:snapToGrid w:val="0"/>
      <w:spacing w:line="276" w:lineRule="auto"/>
      <w:jc w:val="both"/>
      <w:outlineLvl w:val="2"/>
    </w:pPr>
    <w:rPr>
      <w:rFonts w:ascii="宋体" w:hAnsi="宋体" w:eastAsia="宋体" w:cs="Times New Roman"/>
      <w:color w:val="FF0000"/>
      <w:kern w:val="2"/>
      <w:sz w:val="24"/>
      <w:szCs w:val="24"/>
      <w:lang w:val="en-US" w:eastAsia="zh-CN" w:bidi="ar-SA"/>
    </w:rPr>
  </w:style>
  <w:style w:type="paragraph" w:customStyle="1" w:styleId="39">
    <w:name w:val="标准文件_正文图标题"/>
    <w:next w:val="38"/>
    <w:autoRedefine/>
    <w:qFormat/>
    <w:uiPriority w:val="0"/>
    <w:pPr>
      <w:numPr>
        <w:ilvl w:val="0"/>
        <w:numId w:val="1"/>
      </w:numPr>
      <w:jc w:val="center"/>
    </w:pPr>
    <w:rPr>
      <w:rFonts w:ascii="黑体" w:hAnsi="Times New Roman" w:eastAsia="黑体" w:cs="Times New Roman"/>
      <w:sz w:val="21"/>
      <w:lang w:val="en-US" w:eastAsia="zh-CN" w:bidi="ar-SA"/>
    </w:rPr>
  </w:style>
  <w:style w:type="paragraph" w:customStyle="1" w:styleId="40">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1">
    <w:name w:val="段 Char"/>
    <w:link w:val="40"/>
    <w:autoRedefine/>
    <w:qFormat/>
    <w:uiPriority w:val="0"/>
    <w:rPr>
      <w:rFonts w:ascii="宋体"/>
      <w:sz w:val="21"/>
      <w:lang w:val="en-US" w:eastAsia="zh-CN" w:bidi="ar-SA"/>
    </w:rPr>
  </w:style>
  <w:style w:type="paragraph" w:customStyle="1" w:styleId="42">
    <w:name w:val="标准文件_章标题"/>
    <w:next w:val="38"/>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3">
    <w:name w:val="标准文件_一级条标题"/>
    <w:basedOn w:val="42"/>
    <w:next w:val="38"/>
    <w:uiPriority w:val="0"/>
    <w:pPr>
      <w:numPr>
        <w:ilvl w:val="2"/>
      </w:numPr>
      <w:spacing w:beforeLines="0" w:afterLines="0"/>
      <w:outlineLvl w:val="2"/>
    </w:pPr>
  </w:style>
  <w:style w:type="paragraph" w:customStyle="1" w:styleId="44">
    <w:name w:val="标准文件_二级条标题"/>
    <w:basedOn w:val="43"/>
    <w:next w:val="38"/>
    <w:uiPriority w:val="0"/>
    <w:pPr>
      <w:numPr>
        <w:ilvl w:val="3"/>
      </w:numPr>
      <w:outlineLvl w:val="3"/>
    </w:pPr>
  </w:style>
  <w:style w:type="paragraph" w:customStyle="1" w:styleId="45">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6">
    <w:name w:val="标准文件_三级条标题"/>
    <w:basedOn w:val="44"/>
    <w:next w:val="38"/>
    <w:uiPriority w:val="0"/>
    <w:pPr>
      <w:numPr>
        <w:ilvl w:val="4"/>
      </w:numPr>
      <w:outlineLvl w:val="4"/>
    </w:pPr>
  </w:style>
  <w:style w:type="paragraph" w:customStyle="1" w:styleId="47">
    <w:name w:val="标准文件_四级条标题"/>
    <w:basedOn w:val="46"/>
    <w:next w:val="38"/>
    <w:uiPriority w:val="0"/>
    <w:pPr>
      <w:numPr>
        <w:ilvl w:val="5"/>
      </w:numPr>
      <w:outlineLvl w:val="5"/>
    </w:pPr>
  </w:style>
  <w:style w:type="paragraph" w:customStyle="1" w:styleId="48">
    <w:name w:val="标准文件_五级条标题"/>
    <w:basedOn w:val="47"/>
    <w:next w:val="38"/>
    <w:uiPriority w:val="0"/>
    <w:pPr>
      <w:numPr>
        <w:ilvl w:val="6"/>
      </w:numPr>
      <w:outlineLvl w:val="6"/>
    </w:pPr>
  </w:style>
  <w:style w:type="paragraph" w:customStyle="1" w:styleId="49">
    <w:name w:val="Char"/>
    <w:basedOn w:val="7"/>
    <w:autoRedefine/>
    <w:uiPriority w:val="0"/>
    <w:rPr>
      <w:rFonts w:ascii="Tahoma" w:hAnsi="Tahoma"/>
      <w:sz w:val="24"/>
      <w:szCs w:val="24"/>
    </w:rPr>
  </w:style>
  <w:style w:type="paragraph" w:customStyle="1" w:styleId="50">
    <w:name w:val="列出段落1"/>
    <w:basedOn w:val="1"/>
    <w:uiPriority w:val="0"/>
    <w:pPr>
      <w:ind w:firstLine="420" w:firstLineChars="200"/>
    </w:pPr>
    <w:rPr>
      <w:rFonts w:ascii="Calibri" w:hAnsi="Calibri" w:cs="Calibri"/>
    </w:rPr>
  </w:style>
  <w:style w:type="paragraph" w:styleId="51">
    <w:name w:val="List Paragraph"/>
    <w:basedOn w:val="1"/>
    <w:qFormat/>
    <w:uiPriority w:val="34"/>
    <w:pPr>
      <w:ind w:firstLine="420" w:firstLineChars="200"/>
    </w:pPr>
  </w:style>
  <w:style w:type="paragraph" w:customStyle="1" w:styleId="52">
    <w:name w:val="Revision"/>
    <w:hidden/>
    <w:semiHidden/>
    <w:uiPriority w:val="99"/>
    <w:rPr>
      <w:rFonts w:ascii="Times New Roman" w:hAnsi="Times New Roman" w:eastAsia="宋体" w:cs="Times New Roman"/>
      <w:kern w:val="2"/>
      <w:sz w:val="21"/>
      <w:szCs w:val="21"/>
      <w:lang w:val="en-US" w:eastAsia="zh-CN" w:bidi="ar-SA"/>
    </w:rPr>
  </w:style>
  <w:style w:type="paragraph" w:customStyle="1" w:styleId="53">
    <w:name w:val="Char1"/>
    <w:basedOn w:val="1"/>
    <w:uiPriority w:val="0"/>
    <w:rPr>
      <w:rFonts w:ascii="Tahoma" w:hAnsi="Tahoma"/>
      <w:sz w:val="24"/>
      <w:szCs w:val="20"/>
    </w:rPr>
  </w:style>
  <w:style w:type="character" w:customStyle="1" w:styleId="54">
    <w:name w:val="题注 Char"/>
    <w:link w:val="6"/>
    <w:uiPriority w:val="0"/>
    <w:rPr>
      <w:kern w:val="2"/>
      <w:sz w:val="21"/>
      <w:lang w:val="en-GB"/>
    </w:rPr>
  </w:style>
  <w:style w:type="character" w:customStyle="1" w:styleId="55">
    <w:name w:val="纯文本 Char"/>
    <w:link w:val="10"/>
    <w:uiPriority w:val="0"/>
    <w:rPr>
      <w:rFonts w:ascii="宋体" w:hAnsi="Courier New" w:cs="Courier New"/>
      <w:kern w:val="2"/>
      <w:sz w:val="21"/>
      <w:szCs w:val="21"/>
    </w:rPr>
  </w:style>
  <w:style w:type="character" w:customStyle="1" w:styleId="56">
    <w:name w:val="批注框文本 Char"/>
    <w:basedOn w:val="20"/>
    <w:link w:val="12"/>
    <w:semiHidden/>
    <w:uiPriority w:val="99"/>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1.wmf"/><Relationship Id="rId97" Type="http://schemas.openxmlformats.org/officeDocument/2006/relationships/oleObject" Target="embeddings/oleObject44.bin"/><Relationship Id="rId96" Type="http://schemas.openxmlformats.org/officeDocument/2006/relationships/image" Target="media/image40.wmf"/><Relationship Id="rId95" Type="http://schemas.openxmlformats.org/officeDocument/2006/relationships/oleObject" Target="embeddings/oleObject43.bin"/><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oleObject" Target="embeddings/oleObject40.bin"/><Relationship Id="rId91" Type="http://schemas.openxmlformats.org/officeDocument/2006/relationships/image" Target="media/image39.wmf"/><Relationship Id="rId90" Type="http://schemas.openxmlformats.org/officeDocument/2006/relationships/oleObject" Target="embeddings/oleObject39.bin"/><Relationship Id="rId9" Type="http://schemas.openxmlformats.org/officeDocument/2006/relationships/footer" Target="footer4.xml"/><Relationship Id="rId89" Type="http://schemas.openxmlformats.org/officeDocument/2006/relationships/image" Target="media/image38.wmf"/><Relationship Id="rId88" Type="http://schemas.openxmlformats.org/officeDocument/2006/relationships/oleObject" Target="embeddings/oleObject38.bin"/><Relationship Id="rId87" Type="http://schemas.openxmlformats.org/officeDocument/2006/relationships/image" Target="media/image37.wmf"/><Relationship Id="rId86" Type="http://schemas.openxmlformats.org/officeDocument/2006/relationships/oleObject" Target="embeddings/oleObject37.bin"/><Relationship Id="rId85" Type="http://schemas.openxmlformats.org/officeDocument/2006/relationships/image" Target="media/image36.wmf"/><Relationship Id="rId84" Type="http://schemas.openxmlformats.org/officeDocument/2006/relationships/oleObject" Target="embeddings/oleObject36.bin"/><Relationship Id="rId83" Type="http://schemas.openxmlformats.org/officeDocument/2006/relationships/image" Target="media/image35.wmf"/><Relationship Id="rId82" Type="http://schemas.openxmlformats.org/officeDocument/2006/relationships/oleObject" Target="embeddings/oleObject35.bin"/><Relationship Id="rId81" Type="http://schemas.openxmlformats.org/officeDocument/2006/relationships/image" Target="media/image34.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image" Target="media/image33.wmf"/><Relationship Id="rId78" Type="http://schemas.openxmlformats.org/officeDocument/2006/relationships/oleObject" Target="embeddings/oleObject33.bin"/><Relationship Id="rId77" Type="http://schemas.openxmlformats.org/officeDocument/2006/relationships/image" Target="media/image32.emf"/><Relationship Id="rId76" Type="http://schemas.openxmlformats.org/officeDocument/2006/relationships/package" Target="embeddings/Microsoft_Visio___2.vsdx"/><Relationship Id="rId75" Type="http://schemas.openxmlformats.org/officeDocument/2006/relationships/image" Target="media/image31.wmf"/><Relationship Id="rId74" Type="http://schemas.openxmlformats.org/officeDocument/2006/relationships/oleObject" Target="embeddings/oleObject32.bin"/><Relationship Id="rId73" Type="http://schemas.openxmlformats.org/officeDocument/2006/relationships/image" Target="media/image30.wmf"/><Relationship Id="rId72" Type="http://schemas.openxmlformats.org/officeDocument/2006/relationships/oleObject" Target="embeddings/oleObject31.bin"/><Relationship Id="rId71" Type="http://schemas.openxmlformats.org/officeDocument/2006/relationships/image" Target="media/image29.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28.wmf"/><Relationship Id="rId68" Type="http://schemas.openxmlformats.org/officeDocument/2006/relationships/oleObject" Target="embeddings/oleObject29.bin"/><Relationship Id="rId67" Type="http://schemas.openxmlformats.org/officeDocument/2006/relationships/image" Target="media/image27.wmf"/><Relationship Id="rId66" Type="http://schemas.openxmlformats.org/officeDocument/2006/relationships/oleObject" Target="embeddings/oleObject28.bin"/><Relationship Id="rId65" Type="http://schemas.openxmlformats.org/officeDocument/2006/relationships/image" Target="media/image26.wmf"/><Relationship Id="rId64" Type="http://schemas.openxmlformats.org/officeDocument/2006/relationships/oleObject" Target="embeddings/oleObject27.bin"/><Relationship Id="rId63" Type="http://schemas.openxmlformats.org/officeDocument/2006/relationships/image" Target="media/image25.wmf"/><Relationship Id="rId62" Type="http://schemas.openxmlformats.org/officeDocument/2006/relationships/oleObject" Target="embeddings/oleObject26.bin"/><Relationship Id="rId61" Type="http://schemas.openxmlformats.org/officeDocument/2006/relationships/image" Target="media/image24.wmf"/><Relationship Id="rId60" Type="http://schemas.openxmlformats.org/officeDocument/2006/relationships/oleObject" Target="embeddings/oleObject25.bin"/><Relationship Id="rId6" Type="http://schemas.openxmlformats.org/officeDocument/2006/relationships/header" Target="header3.xml"/><Relationship Id="rId59" Type="http://schemas.openxmlformats.org/officeDocument/2006/relationships/oleObject" Target="embeddings/oleObject24.bin"/><Relationship Id="rId58" Type="http://schemas.openxmlformats.org/officeDocument/2006/relationships/image" Target="media/image23.wmf"/><Relationship Id="rId57" Type="http://schemas.openxmlformats.org/officeDocument/2006/relationships/oleObject" Target="embeddings/oleObject23.bin"/><Relationship Id="rId56" Type="http://schemas.openxmlformats.org/officeDocument/2006/relationships/image" Target="media/image22.wmf"/><Relationship Id="rId55" Type="http://schemas.openxmlformats.org/officeDocument/2006/relationships/oleObject" Target="embeddings/oleObject22.bin"/><Relationship Id="rId54" Type="http://schemas.openxmlformats.org/officeDocument/2006/relationships/image" Target="media/image21.wmf"/><Relationship Id="rId53" Type="http://schemas.openxmlformats.org/officeDocument/2006/relationships/oleObject" Target="embeddings/oleObject21.bin"/><Relationship Id="rId52" Type="http://schemas.openxmlformats.org/officeDocument/2006/relationships/image" Target="media/image20.wmf"/><Relationship Id="rId51" Type="http://schemas.openxmlformats.org/officeDocument/2006/relationships/oleObject" Target="embeddings/oleObject20.bin"/><Relationship Id="rId50" Type="http://schemas.openxmlformats.org/officeDocument/2006/relationships/image" Target="media/image19.wmf"/><Relationship Id="rId5" Type="http://schemas.openxmlformats.org/officeDocument/2006/relationships/header" Target="header2.xml"/><Relationship Id="rId49" Type="http://schemas.openxmlformats.org/officeDocument/2006/relationships/oleObject" Target="embeddings/oleObject19.bin"/><Relationship Id="rId48" Type="http://schemas.openxmlformats.org/officeDocument/2006/relationships/image" Target="media/image18.wmf"/><Relationship Id="rId47" Type="http://schemas.openxmlformats.org/officeDocument/2006/relationships/oleObject" Target="embeddings/oleObject18.bin"/><Relationship Id="rId46" Type="http://schemas.openxmlformats.org/officeDocument/2006/relationships/image" Target="media/image17.wmf"/><Relationship Id="rId45" Type="http://schemas.openxmlformats.org/officeDocument/2006/relationships/oleObject" Target="embeddings/oleObject17.bin"/><Relationship Id="rId44" Type="http://schemas.openxmlformats.org/officeDocument/2006/relationships/image" Target="media/image16.wmf"/><Relationship Id="rId43" Type="http://schemas.openxmlformats.org/officeDocument/2006/relationships/oleObject" Target="embeddings/oleObject16.bin"/><Relationship Id="rId42" Type="http://schemas.openxmlformats.org/officeDocument/2006/relationships/image" Target="media/image15.wmf"/><Relationship Id="rId41" Type="http://schemas.openxmlformats.org/officeDocument/2006/relationships/oleObject" Target="embeddings/oleObject15.bin"/><Relationship Id="rId40" Type="http://schemas.openxmlformats.org/officeDocument/2006/relationships/image" Target="media/image14.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image" Target="media/image13.wmf"/><Relationship Id="rId37" Type="http://schemas.openxmlformats.org/officeDocument/2006/relationships/oleObject" Target="embeddings/oleObject13.bin"/><Relationship Id="rId36" Type="http://schemas.openxmlformats.org/officeDocument/2006/relationships/image" Target="media/image12.wmf"/><Relationship Id="rId35" Type="http://schemas.openxmlformats.org/officeDocument/2006/relationships/oleObject" Target="embeddings/oleObject12.bin"/><Relationship Id="rId34" Type="http://schemas.openxmlformats.org/officeDocument/2006/relationships/image" Target="media/image11.wmf"/><Relationship Id="rId33" Type="http://schemas.openxmlformats.org/officeDocument/2006/relationships/oleObject" Target="embeddings/oleObject11.bin"/><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image" Target="media/image7.wmf"/><Relationship Id="rId23" Type="http://schemas.openxmlformats.org/officeDocument/2006/relationships/oleObject" Target="embeddings/oleObject5.bin"/><Relationship Id="rId22" Type="http://schemas.openxmlformats.org/officeDocument/2006/relationships/image" Target="media/image6.wmf"/><Relationship Id="rId214" Type="http://schemas.openxmlformats.org/officeDocument/2006/relationships/fontTable" Target="fontTable.xml"/><Relationship Id="rId213" Type="http://schemas.openxmlformats.org/officeDocument/2006/relationships/numbering" Target="numbering.xml"/><Relationship Id="rId212" Type="http://schemas.openxmlformats.org/officeDocument/2006/relationships/customXml" Target="../customXml/item1.xml"/><Relationship Id="rId211" Type="http://schemas.openxmlformats.org/officeDocument/2006/relationships/image" Target="media/image89.emf"/><Relationship Id="rId210" Type="http://schemas.openxmlformats.org/officeDocument/2006/relationships/package" Target="embeddings/Microsoft_Visio___3.vsdx"/><Relationship Id="rId21" Type="http://schemas.openxmlformats.org/officeDocument/2006/relationships/oleObject" Target="embeddings/oleObject4.bin"/><Relationship Id="rId209" Type="http://schemas.openxmlformats.org/officeDocument/2006/relationships/image" Target="media/image88.wmf"/><Relationship Id="rId208" Type="http://schemas.openxmlformats.org/officeDocument/2006/relationships/oleObject" Target="embeddings/oleObject108.bin"/><Relationship Id="rId207" Type="http://schemas.openxmlformats.org/officeDocument/2006/relationships/oleObject" Target="embeddings/oleObject107.bin"/><Relationship Id="rId206" Type="http://schemas.openxmlformats.org/officeDocument/2006/relationships/image" Target="media/image87.wmf"/><Relationship Id="rId205" Type="http://schemas.openxmlformats.org/officeDocument/2006/relationships/oleObject" Target="embeddings/oleObject106.bin"/><Relationship Id="rId204" Type="http://schemas.openxmlformats.org/officeDocument/2006/relationships/image" Target="media/image86.wmf"/><Relationship Id="rId203" Type="http://schemas.openxmlformats.org/officeDocument/2006/relationships/oleObject" Target="embeddings/oleObject105.bin"/><Relationship Id="rId202" Type="http://schemas.openxmlformats.org/officeDocument/2006/relationships/image" Target="media/image85.wmf"/><Relationship Id="rId201" Type="http://schemas.openxmlformats.org/officeDocument/2006/relationships/oleObject" Target="embeddings/oleObject104.bin"/><Relationship Id="rId200" Type="http://schemas.openxmlformats.org/officeDocument/2006/relationships/image" Target="media/image84.wmf"/><Relationship Id="rId20" Type="http://schemas.openxmlformats.org/officeDocument/2006/relationships/image" Target="media/image5.wmf"/><Relationship Id="rId2" Type="http://schemas.openxmlformats.org/officeDocument/2006/relationships/settings" Target="settings.xml"/><Relationship Id="rId199" Type="http://schemas.openxmlformats.org/officeDocument/2006/relationships/oleObject" Target="embeddings/oleObject103.bin"/><Relationship Id="rId198" Type="http://schemas.openxmlformats.org/officeDocument/2006/relationships/oleObject" Target="embeddings/oleObject102.bin"/><Relationship Id="rId197" Type="http://schemas.openxmlformats.org/officeDocument/2006/relationships/image" Target="media/image83.wmf"/><Relationship Id="rId196" Type="http://schemas.openxmlformats.org/officeDocument/2006/relationships/oleObject" Target="embeddings/oleObject101.bin"/><Relationship Id="rId195" Type="http://schemas.openxmlformats.org/officeDocument/2006/relationships/image" Target="media/image82.wmf"/><Relationship Id="rId194" Type="http://schemas.openxmlformats.org/officeDocument/2006/relationships/oleObject" Target="embeddings/oleObject100.bin"/><Relationship Id="rId193" Type="http://schemas.openxmlformats.org/officeDocument/2006/relationships/image" Target="media/image81.wmf"/><Relationship Id="rId192" Type="http://schemas.openxmlformats.org/officeDocument/2006/relationships/oleObject" Target="embeddings/oleObject99.bin"/><Relationship Id="rId191" Type="http://schemas.openxmlformats.org/officeDocument/2006/relationships/image" Target="media/image80.wmf"/><Relationship Id="rId190" Type="http://schemas.openxmlformats.org/officeDocument/2006/relationships/oleObject" Target="embeddings/oleObject98.bin"/><Relationship Id="rId19" Type="http://schemas.openxmlformats.org/officeDocument/2006/relationships/oleObject" Target="embeddings/oleObject3.bin"/><Relationship Id="rId189" Type="http://schemas.openxmlformats.org/officeDocument/2006/relationships/oleObject" Target="embeddings/oleObject97.bin"/><Relationship Id="rId188" Type="http://schemas.openxmlformats.org/officeDocument/2006/relationships/image" Target="media/image79.wmf"/><Relationship Id="rId187" Type="http://schemas.openxmlformats.org/officeDocument/2006/relationships/oleObject" Target="embeddings/oleObject96.bin"/><Relationship Id="rId186" Type="http://schemas.openxmlformats.org/officeDocument/2006/relationships/image" Target="media/image78.wmf"/><Relationship Id="rId185" Type="http://schemas.openxmlformats.org/officeDocument/2006/relationships/oleObject" Target="embeddings/oleObject95.bin"/><Relationship Id="rId184" Type="http://schemas.openxmlformats.org/officeDocument/2006/relationships/oleObject" Target="embeddings/oleObject94.bin"/><Relationship Id="rId183" Type="http://schemas.openxmlformats.org/officeDocument/2006/relationships/image" Target="media/image77.wmf"/><Relationship Id="rId182" Type="http://schemas.openxmlformats.org/officeDocument/2006/relationships/oleObject" Target="embeddings/oleObject93.bin"/><Relationship Id="rId181" Type="http://schemas.openxmlformats.org/officeDocument/2006/relationships/image" Target="media/image76.wmf"/><Relationship Id="rId180" Type="http://schemas.openxmlformats.org/officeDocument/2006/relationships/oleObject" Target="embeddings/oleObject92.bin"/><Relationship Id="rId18" Type="http://schemas.openxmlformats.org/officeDocument/2006/relationships/image" Target="media/image4.wmf"/><Relationship Id="rId179" Type="http://schemas.openxmlformats.org/officeDocument/2006/relationships/image" Target="media/image75.wmf"/><Relationship Id="rId178" Type="http://schemas.openxmlformats.org/officeDocument/2006/relationships/oleObject" Target="embeddings/oleObject91.bin"/><Relationship Id="rId177" Type="http://schemas.openxmlformats.org/officeDocument/2006/relationships/oleObject" Target="embeddings/oleObject90.bin"/><Relationship Id="rId176" Type="http://schemas.openxmlformats.org/officeDocument/2006/relationships/image" Target="media/image74.wmf"/><Relationship Id="rId175" Type="http://schemas.openxmlformats.org/officeDocument/2006/relationships/oleObject" Target="embeddings/oleObject89.bin"/><Relationship Id="rId174" Type="http://schemas.openxmlformats.org/officeDocument/2006/relationships/image" Target="media/image73.wmf"/><Relationship Id="rId173" Type="http://schemas.openxmlformats.org/officeDocument/2006/relationships/oleObject" Target="embeddings/oleObject88.bin"/><Relationship Id="rId172" Type="http://schemas.openxmlformats.org/officeDocument/2006/relationships/image" Target="media/image72.wmf"/><Relationship Id="rId171" Type="http://schemas.openxmlformats.org/officeDocument/2006/relationships/oleObject" Target="embeddings/oleObject87.bin"/><Relationship Id="rId170" Type="http://schemas.openxmlformats.org/officeDocument/2006/relationships/image" Target="media/image71.wmf"/><Relationship Id="rId17" Type="http://schemas.openxmlformats.org/officeDocument/2006/relationships/oleObject" Target="embeddings/oleObject2.bin"/><Relationship Id="rId169" Type="http://schemas.openxmlformats.org/officeDocument/2006/relationships/oleObject" Target="embeddings/oleObject86.bin"/><Relationship Id="rId168" Type="http://schemas.openxmlformats.org/officeDocument/2006/relationships/image" Target="media/image70.wmf"/><Relationship Id="rId167" Type="http://schemas.openxmlformats.org/officeDocument/2006/relationships/oleObject" Target="embeddings/oleObject85.bin"/><Relationship Id="rId166" Type="http://schemas.openxmlformats.org/officeDocument/2006/relationships/image" Target="media/image69.wmf"/><Relationship Id="rId165" Type="http://schemas.openxmlformats.org/officeDocument/2006/relationships/oleObject" Target="embeddings/oleObject84.bin"/><Relationship Id="rId164" Type="http://schemas.openxmlformats.org/officeDocument/2006/relationships/image" Target="media/image68.wmf"/><Relationship Id="rId163" Type="http://schemas.openxmlformats.org/officeDocument/2006/relationships/oleObject" Target="embeddings/oleObject83.bin"/><Relationship Id="rId162" Type="http://schemas.openxmlformats.org/officeDocument/2006/relationships/oleObject" Target="embeddings/oleObject82.bin"/><Relationship Id="rId161" Type="http://schemas.openxmlformats.org/officeDocument/2006/relationships/image" Target="media/image67.wmf"/><Relationship Id="rId160" Type="http://schemas.openxmlformats.org/officeDocument/2006/relationships/oleObject" Target="embeddings/oleObject81.bin"/><Relationship Id="rId16" Type="http://schemas.openxmlformats.org/officeDocument/2006/relationships/image" Target="media/image3.wmf"/><Relationship Id="rId159" Type="http://schemas.openxmlformats.org/officeDocument/2006/relationships/oleObject" Target="embeddings/oleObject80.bin"/><Relationship Id="rId158" Type="http://schemas.openxmlformats.org/officeDocument/2006/relationships/image" Target="media/image66.wmf"/><Relationship Id="rId157" Type="http://schemas.openxmlformats.org/officeDocument/2006/relationships/oleObject" Target="embeddings/oleObject79.bin"/><Relationship Id="rId156" Type="http://schemas.openxmlformats.org/officeDocument/2006/relationships/oleObject" Target="embeddings/oleObject78.bin"/><Relationship Id="rId155" Type="http://schemas.openxmlformats.org/officeDocument/2006/relationships/image" Target="media/image65.wmf"/><Relationship Id="rId154" Type="http://schemas.openxmlformats.org/officeDocument/2006/relationships/oleObject" Target="embeddings/oleObject77.bin"/><Relationship Id="rId153" Type="http://schemas.openxmlformats.org/officeDocument/2006/relationships/oleObject" Target="embeddings/oleObject76.bin"/><Relationship Id="rId152" Type="http://schemas.openxmlformats.org/officeDocument/2006/relationships/image" Target="media/image64.wmf"/><Relationship Id="rId151" Type="http://schemas.openxmlformats.org/officeDocument/2006/relationships/oleObject" Target="embeddings/oleObject75.bin"/><Relationship Id="rId150" Type="http://schemas.openxmlformats.org/officeDocument/2006/relationships/oleObject" Target="embeddings/oleObject74.bin"/><Relationship Id="rId15" Type="http://schemas.openxmlformats.org/officeDocument/2006/relationships/oleObject" Target="embeddings/oleObject1.bin"/><Relationship Id="rId149" Type="http://schemas.openxmlformats.org/officeDocument/2006/relationships/image" Target="media/image63.wmf"/><Relationship Id="rId148" Type="http://schemas.openxmlformats.org/officeDocument/2006/relationships/oleObject" Target="embeddings/oleObject73.bin"/><Relationship Id="rId147" Type="http://schemas.openxmlformats.org/officeDocument/2006/relationships/oleObject" Target="embeddings/oleObject72.bin"/><Relationship Id="rId146" Type="http://schemas.openxmlformats.org/officeDocument/2006/relationships/image" Target="media/image62.wmf"/><Relationship Id="rId145" Type="http://schemas.openxmlformats.org/officeDocument/2006/relationships/oleObject" Target="embeddings/oleObject71.bin"/><Relationship Id="rId144" Type="http://schemas.openxmlformats.org/officeDocument/2006/relationships/oleObject" Target="embeddings/oleObject70.bin"/><Relationship Id="rId143" Type="http://schemas.openxmlformats.org/officeDocument/2006/relationships/image" Target="media/image61.wmf"/><Relationship Id="rId142" Type="http://schemas.openxmlformats.org/officeDocument/2006/relationships/oleObject" Target="embeddings/oleObject69.bin"/><Relationship Id="rId141" Type="http://schemas.openxmlformats.org/officeDocument/2006/relationships/image" Target="media/image60.wmf"/><Relationship Id="rId140" Type="http://schemas.openxmlformats.org/officeDocument/2006/relationships/oleObject" Target="embeddings/oleObject68.bin"/><Relationship Id="rId14" Type="http://schemas.openxmlformats.org/officeDocument/2006/relationships/image" Target="media/image2.emf"/><Relationship Id="rId139" Type="http://schemas.openxmlformats.org/officeDocument/2006/relationships/oleObject" Target="embeddings/oleObject67.bin"/><Relationship Id="rId138" Type="http://schemas.openxmlformats.org/officeDocument/2006/relationships/image" Target="media/image59.wmf"/><Relationship Id="rId137" Type="http://schemas.openxmlformats.org/officeDocument/2006/relationships/oleObject" Target="embeddings/oleObject66.bin"/><Relationship Id="rId136" Type="http://schemas.openxmlformats.org/officeDocument/2006/relationships/oleObject" Target="embeddings/oleObject65.bin"/><Relationship Id="rId135" Type="http://schemas.openxmlformats.org/officeDocument/2006/relationships/image" Target="media/image58.wmf"/><Relationship Id="rId134" Type="http://schemas.openxmlformats.org/officeDocument/2006/relationships/oleObject" Target="embeddings/oleObject64.bin"/><Relationship Id="rId133" Type="http://schemas.openxmlformats.org/officeDocument/2006/relationships/oleObject" Target="embeddings/oleObject63.bin"/><Relationship Id="rId132" Type="http://schemas.openxmlformats.org/officeDocument/2006/relationships/image" Target="media/image57.wmf"/><Relationship Id="rId131" Type="http://schemas.openxmlformats.org/officeDocument/2006/relationships/oleObject" Target="embeddings/oleObject62.bin"/><Relationship Id="rId130" Type="http://schemas.openxmlformats.org/officeDocument/2006/relationships/oleObject" Target="embeddings/oleObject61.bin"/><Relationship Id="rId13" Type="http://schemas.openxmlformats.org/officeDocument/2006/relationships/package" Target="embeddings/Microsoft_Visio___1.vsdx"/><Relationship Id="rId129" Type="http://schemas.openxmlformats.org/officeDocument/2006/relationships/image" Target="media/image56.wmf"/><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image" Target="media/image55.wmf"/><Relationship Id="rId125" Type="http://schemas.openxmlformats.org/officeDocument/2006/relationships/oleObject" Target="embeddings/oleObject58.bin"/><Relationship Id="rId124" Type="http://schemas.openxmlformats.org/officeDocument/2006/relationships/image" Target="media/image54.wmf"/><Relationship Id="rId123" Type="http://schemas.openxmlformats.org/officeDocument/2006/relationships/oleObject" Target="embeddings/oleObject57.bin"/><Relationship Id="rId122" Type="http://schemas.openxmlformats.org/officeDocument/2006/relationships/image" Target="media/image53.wmf"/><Relationship Id="rId121" Type="http://schemas.openxmlformats.org/officeDocument/2006/relationships/oleObject" Target="embeddings/oleObject56.bin"/><Relationship Id="rId120" Type="http://schemas.openxmlformats.org/officeDocument/2006/relationships/image" Target="media/image52.wmf"/><Relationship Id="rId12" Type="http://schemas.openxmlformats.org/officeDocument/2006/relationships/image" Target="media/image1.png"/><Relationship Id="rId119" Type="http://schemas.openxmlformats.org/officeDocument/2006/relationships/oleObject" Target="embeddings/oleObject55.bin"/><Relationship Id="rId118" Type="http://schemas.openxmlformats.org/officeDocument/2006/relationships/image" Target="media/image51.wmf"/><Relationship Id="rId117" Type="http://schemas.openxmlformats.org/officeDocument/2006/relationships/oleObject" Target="embeddings/oleObject54.bin"/><Relationship Id="rId116" Type="http://schemas.openxmlformats.org/officeDocument/2006/relationships/image" Target="media/image50.wmf"/><Relationship Id="rId115" Type="http://schemas.openxmlformats.org/officeDocument/2006/relationships/oleObject" Target="embeddings/oleObject53.bin"/><Relationship Id="rId114" Type="http://schemas.openxmlformats.org/officeDocument/2006/relationships/image" Target="media/image49.wmf"/><Relationship Id="rId113" Type="http://schemas.openxmlformats.org/officeDocument/2006/relationships/oleObject" Target="embeddings/oleObject52.bin"/><Relationship Id="rId112" Type="http://schemas.openxmlformats.org/officeDocument/2006/relationships/image" Target="media/image48.wmf"/><Relationship Id="rId111" Type="http://schemas.openxmlformats.org/officeDocument/2006/relationships/oleObject" Target="embeddings/oleObject51.bin"/><Relationship Id="rId110" Type="http://schemas.openxmlformats.org/officeDocument/2006/relationships/image" Target="media/image47.wmf"/><Relationship Id="rId11" Type="http://schemas.openxmlformats.org/officeDocument/2006/relationships/theme" Target="theme/theme1.xml"/><Relationship Id="rId109" Type="http://schemas.openxmlformats.org/officeDocument/2006/relationships/oleObject" Target="embeddings/oleObject50.bin"/><Relationship Id="rId108" Type="http://schemas.openxmlformats.org/officeDocument/2006/relationships/image" Target="media/image46.wmf"/><Relationship Id="rId107" Type="http://schemas.openxmlformats.org/officeDocument/2006/relationships/oleObject" Target="embeddings/oleObject49.bin"/><Relationship Id="rId106" Type="http://schemas.openxmlformats.org/officeDocument/2006/relationships/image" Target="media/image45.wmf"/><Relationship Id="rId105" Type="http://schemas.openxmlformats.org/officeDocument/2006/relationships/oleObject" Target="embeddings/oleObject48.bin"/><Relationship Id="rId104" Type="http://schemas.openxmlformats.org/officeDocument/2006/relationships/image" Target="media/image44.wmf"/><Relationship Id="rId103" Type="http://schemas.openxmlformats.org/officeDocument/2006/relationships/oleObject" Target="embeddings/oleObject47.bin"/><Relationship Id="rId102" Type="http://schemas.openxmlformats.org/officeDocument/2006/relationships/image" Target="media/image43.wmf"/><Relationship Id="rId101" Type="http://schemas.openxmlformats.org/officeDocument/2006/relationships/oleObject" Target="embeddings/oleObject46.bin"/><Relationship Id="rId100" Type="http://schemas.openxmlformats.org/officeDocument/2006/relationships/image" Target="media/image42.wmf"/><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1798</Words>
  <Characters>10250</Characters>
  <Lines>85</Lines>
  <Paragraphs>24</Paragraphs>
  <TotalTime>1</TotalTime>
  <ScaleCrop>false</ScaleCrop>
  <LinksUpToDate>false</LinksUpToDate>
  <CharactersWithSpaces>12024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2024-02-24T14:25:00Z</dcterms:created>
  <dc:creator>Chenhj</dc:creator>
  <cp:lastModifiedBy>juan</cp:lastModifiedBy>
  <cp:lastPrinted>2023-11-27T10:25:00Z</cp:lastPrinted>
  <dcterms:modified xsi:type="dcterms:W3CDTF">2024-03-05T02:40:07Z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6DBD456380494AB08D395A0A4A0851F6_12</vt:lpwstr>
  </property>
</Properties>
</file>