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040" w:firstLine="0" w:firstLineChars="0"/>
        <w:jc w:val="right"/>
        <w:rPr>
          <w:rFonts w:ascii="宋体" w:hAnsi="宋体" w:cs="黑体"/>
          <w:sz w:val="52"/>
          <w:szCs w:val="52"/>
        </w:rPr>
      </w:pPr>
      <w:r>
        <w:rPr>
          <w:rFonts w:hint="eastAsia" w:ascii="宋体" w:hAnsi="宋体" w:cs="黑体"/>
          <w:sz w:val="52"/>
          <w:szCs w:val="52"/>
        </w:rPr>
        <w:drawing>
          <wp:inline distT="0" distB="0" distL="0" distR="0">
            <wp:extent cx="1208405" cy="5067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208405" cy="506730"/>
                    </a:xfrm>
                    <a:prstGeom prst="rect">
                      <a:avLst/>
                    </a:prstGeom>
                    <a:noFill/>
                    <a:ln>
                      <a:noFill/>
                    </a:ln>
                  </pic:spPr>
                </pic:pic>
              </a:graphicData>
            </a:graphic>
          </wp:inline>
        </w:drawing>
      </w:r>
    </w:p>
    <w:p>
      <w:pPr>
        <w:autoSpaceDE w:val="0"/>
        <w:autoSpaceDN w:val="0"/>
        <w:ind w:firstLine="0" w:firstLineChars="0"/>
        <w:jc w:val="center"/>
        <w:rPr>
          <w:rFonts w:ascii="华文中宋" w:hAnsi="华文中宋" w:eastAsia="华文中宋" w:cs="黑体"/>
          <w:b/>
          <w:sz w:val="48"/>
          <w:szCs w:val="48"/>
        </w:rPr>
      </w:pPr>
      <w:r>
        <w:rPr>
          <w:rFonts w:hint="eastAsia" w:ascii="华文中宋" w:hAnsi="华文中宋" w:eastAsia="华文中宋" w:cs="黑体"/>
          <w:b/>
          <w:sz w:val="48"/>
          <w:szCs w:val="48"/>
        </w:rPr>
        <w:t>中华人民共和国国家计量技术规范</w:t>
      </w:r>
    </w:p>
    <w:p>
      <w:pPr>
        <w:autoSpaceDE w:val="0"/>
        <w:autoSpaceDN w:val="0"/>
        <w:ind w:right="1831" w:rightChars="763" w:firstLine="0" w:firstLineChars="0"/>
        <w:jc w:val="right"/>
        <w:rPr>
          <w:sz w:val="52"/>
          <w:szCs w:val="52"/>
        </w:rPr>
      </w:pPr>
      <w:r>
        <w:rPr>
          <w:rFonts w:eastAsia="黑体"/>
          <w:sz w:val="28"/>
          <w:szCs w:val="28"/>
        </w:rPr>
        <w:t>JJF ××</w:t>
      </w:r>
      <w:r>
        <w:t>─</w:t>
      </w:r>
      <w:r>
        <w:rPr>
          <w:rFonts w:eastAsia="黑体"/>
          <w:sz w:val="28"/>
          <w:szCs w:val="28"/>
        </w:rPr>
        <w:t>××××</w:t>
      </w:r>
    </w:p>
    <w:p>
      <w:pPr>
        <w:autoSpaceDE w:val="0"/>
        <w:autoSpaceDN w:val="0"/>
        <w:ind w:firstLine="0" w:firstLineChars="0"/>
        <w:jc w:val="left"/>
        <w:rPr>
          <w:rFonts w:ascii="黑体" w:eastAsia="黑体" w:cs="黑体"/>
          <w:sz w:val="14"/>
          <w:szCs w:val="14"/>
        </w:rPr>
      </w:pPr>
      <w:r>
        <w:rPr>
          <w:rFonts w:ascii="黑体" w:eastAsia="黑体" w:cs="黑体"/>
          <w:sz w:val="38"/>
          <w:szCs w:val="38"/>
        </w:rPr>
        <w:pict>
          <v:group id="画布 11" o:spid="_x0000_s2050" o:spt="203" style="height:7.8pt;width:414pt;" coordsize="52578,990" editas="canvas">
            <o:lock v:ext="edit"/>
            <v:shape id="画布 11" o:spid="_x0000_s2051" o:spt="75" type="#_x0000_t75" style="position:absolute;left:0;top:0;height:990;width:52578;" filled="f" o:preferrelative="t" stroked="f" coordsize="21600,21600">
              <v:path/>
              <v:fill on="f" focussize="0,0"/>
              <v:stroke on="f" joinstyle="miter"/>
              <v:imagedata o:title=""/>
              <o:lock v:ext="edit" aspectratio="t"/>
            </v:shape>
            <v:line id="Line 95" o:spid="_x0000_s2052" o:spt="20" style="position:absolute;left:2285;top:0;height:7;width:49146;"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path arrowok="t"/>
              <v:fill focussize="0,0"/>
              <v:stroke/>
              <v:imagedata o:title=""/>
              <o:lock v:ext="edit"/>
            </v:line>
            <w10:wrap type="none"/>
            <w10:anchorlock/>
          </v:group>
        </w:pict>
      </w:r>
    </w:p>
    <w:p>
      <w:pPr>
        <w:autoSpaceDE w:val="0"/>
        <w:autoSpaceDN w:val="0"/>
        <w:ind w:firstLine="0" w:firstLineChars="0"/>
        <w:jc w:val="center"/>
        <w:rPr>
          <w:rFonts w:ascii="黑体" w:eastAsia="黑体" w:cs="黑体"/>
          <w:szCs w:val="21"/>
        </w:rPr>
      </w:pPr>
    </w:p>
    <w:p>
      <w:pPr>
        <w:autoSpaceDE w:val="0"/>
        <w:autoSpaceDN w:val="0"/>
        <w:ind w:firstLine="0" w:firstLineChars="0"/>
        <w:jc w:val="center"/>
        <w:rPr>
          <w:rFonts w:ascii="黑体" w:eastAsia="黑体" w:cs="黑体"/>
          <w:szCs w:val="21"/>
        </w:rPr>
      </w:pPr>
    </w:p>
    <w:p>
      <w:pPr>
        <w:autoSpaceDE w:val="0"/>
        <w:autoSpaceDN w:val="0"/>
        <w:ind w:firstLine="0" w:firstLineChars="0"/>
        <w:jc w:val="center"/>
        <w:rPr>
          <w:rFonts w:ascii="黑体" w:eastAsia="黑体" w:cs="黑体"/>
          <w:szCs w:val="21"/>
        </w:rPr>
      </w:pPr>
    </w:p>
    <w:p>
      <w:pPr>
        <w:autoSpaceDE w:val="0"/>
        <w:autoSpaceDN w:val="0"/>
        <w:ind w:firstLine="0" w:firstLineChars="0"/>
        <w:jc w:val="center"/>
        <w:rPr>
          <w:rFonts w:ascii="黑体" w:eastAsia="黑体" w:cs="黑体"/>
          <w:sz w:val="52"/>
          <w:szCs w:val="52"/>
        </w:rPr>
      </w:pPr>
      <w:r>
        <w:rPr>
          <w:rFonts w:hint="eastAsia" w:ascii="黑体" w:eastAsia="黑体" w:cs="黑体"/>
          <w:sz w:val="52"/>
          <w:szCs w:val="52"/>
        </w:rPr>
        <w:t>加速度计安装及其评价方法规范</w:t>
      </w:r>
    </w:p>
    <w:p>
      <w:pPr>
        <w:autoSpaceDE w:val="0"/>
        <w:autoSpaceDN w:val="0"/>
        <w:ind w:firstLine="0" w:firstLineChars="0"/>
        <w:jc w:val="center"/>
        <w:rPr>
          <w:rFonts w:ascii="黑体" w:eastAsia="黑体" w:cs="黑体"/>
          <w:sz w:val="52"/>
          <w:szCs w:val="52"/>
        </w:rPr>
      </w:pPr>
      <w:r>
        <w:rPr>
          <w:rFonts w:hint="eastAsia" w:ascii="黑体" w:eastAsia="黑体" w:cs="黑体"/>
          <w:sz w:val="52"/>
          <w:szCs w:val="52"/>
        </w:rPr>
        <w:t>（正弦信号激励法）</w:t>
      </w:r>
    </w:p>
    <w:p>
      <w:pPr>
        <w:autoSpaceDE w:val="0"/>
        <w:autoSpaceDN w:val="0"/>
        <w:ind w:firstLine="0" w:firstLineChars="0"/>
        <w:jc w:val="center"/>
      </w:pPr>
      <w:r>
        <w:t>Specification for Accelerometer</w:t>
      </w:r>
      <w:r>
        <w:rPr>
          <w:rFonts w:hint="eastAsia"/>
        </w:rPr>
        <w:t xml:space="preserve"> Installation and Evaluation</w:t>
      </w:r>
    </w:p>
    <w:p>
      <w:pPr>
        <w:autoSpaceDE w:val="0"/>
        <w:autoSpaceDN w:val="0"/>
        <w:ind w:firstLine="0" w:firstLineChars="0"/>
        <w:jc w:val="center"/>
        <w:rPr>
          <w:rFonts w:hint="eastAsia"/>
        </w:rPr>
      </w:pPr>
      <w:r>
        <w:rPr>
          <w:rFonts w:hint="eastAsia"/>
        </w:rPr>
        <w:t>（excited by</w:t>
      </w:r>
      <w:r>
        <w:t xml:space="preserve"> </w:t>
      </w:r>
      <w:r>
        <w:rPr>
          <w:rFonts w:hint="eastAsia"/>
        </w:rPr>
        <w:t>sine</w:t>
      </w:r>
      <w:r>
        <w:t xml:space="preserve"> </w:t>
      </w:r>
      <w:r>
        <w:rPr>
          <w:rFonts w:hint="eastAsia"/>
        </w:rPr>
        <w:t>signal）</w:t>
      </w:r>
    </w:p>
    <w:p>
      <w:pPr>
        <w:autoSpaceDE w:val="0"/>
        <w:autoSpaceDN w:val="0"/>
        <w:ind w:firstLine="0" w:firstLineChars="0"/>
        <w:jc w:val="center"/>
        <w:rPr>
          <w:rFonts w:hint="eastAsia" w:eastAsia="宋体"/>
          <w:sz w:val="24"/>
          <w:szCs w:val="24"/>
          <w:lang w:eastAsia="zh-CN"/>
        </w:rPr>
      </w:pPr>
      <w:r>
        <w:rPr>
          <w:rFonts w:hint="eastAsia"/>
          <w:sz w:val="24"/>
          <w:szCs w:val="24"/>
          <w:lang w:eastAsia="zh-CN"/>
        </w:rPr>
        <w:t>（</w:t>
      </w:r>
      <w:r>
        <w:rPr>
          <w:rFonts w:hint="eastAsia"/>
          <w:sz w:val="24"/>
          <w:szCs w:val="24"/>
          <w:lang w:val="en-US" w:eastAsia="zh-CN"/>
        </w:rPr>
        <w:t>征求意见稿</w:t>
      </w:r>
      <w:r>
        <w:rPr>
          <w:rFonts w:hint="eastAsia"/>
          <w:sz w:val="24"/>
          <w:szCs w:val="24"/>
          <w:lang w:eastAsia="zh-CN"/>
        </w:rPr>
        <w:t>）</w:t>
      </w:r>
    </w:p>
    <w:p>
      <w:pPr>
        <w:autoSpaceDE w:val="0"/>
        <w:autoSpaceDN w:val="0"/>
        <w:ind w:firstLine="360"/>
        <w:jc w:val="left"/>
        <w:rPr>
          <w:rFonts w:ascii="黑体" w:eastAsia="黑体" w:cs="黑体"/>
          <w:sz w:val="18"/>
          <w:szCs w:val="18"/>
        </w:rPr>
      </w:pPr>
    </w:p>
    <w:p>
      <w:pPr>
        <w:autoSpaceDE w:val="0"/>
        <w:autoSpaceDN w:val="0"/>
        <w:ind w:firstLine="360"/>
        <w:jc w:val="left"/>
        <w:rPr>
          <w:rFonts w:ascii="黑体" w:eastAsia="黑体" w:cs="黑体"/>
          <w:sz w:val="18"/>
          <w:szCs w:val="18"/>
        </w:rPr>
      </w:pPr>
      <w:bookmarkStart w:id="15" w:name="_GoBack"/>
      <w:bookmarkEnd w:id="15"/>
    </w:p>
    <w:p>
      <w:pPr>
        <w:autoSpaceDE w:val="0"/>
        <w:autoSpaceDN w:val="0"/>
        <w:ind w:firstLine="360"/>
        <w:jc w:val="left"/>
        <w:rPr>
          <w:rFonts w:ascii="黑体" w:eastAsia="黑体" w:cs="黑体"/>
          <w:sz w:val="18"/>
          <w:szCs w:val="18"/>
        </w:rPr>
      </w:pPr>
    </w:p>
    <w:p>
      <w:pPr>
        <w:autoSpaceDE w:val="0"/>
        <w:autoSpaceDN w:val="0"/>
        <w:ind w:firstLine="360"/>
        <w:jc w:val="left"/>
        <w:rPr>
          <w:rFonts w:ascii="黑体" w:eastAsia="黑体" w:cs="黑体"/>
          <w:sz w:val="18"/>
          <w:szCs w:val="18"/>
        </w:rPr>
      </w:pPr>
    </w:p>
    <w:p>
      <w:pPr>
        <w:autoSpaceDE w:val="0"/>
        <w:autoSpaceDN w:val="0"/>
        <w:ind w:firstLine="360"/>
        <w:jc w:val="left"/>
        <w:rPr>
          <w:rFonts w:ascii="黑体" w:eastAsia="黑体" w:cs="黑体"/>
          <w:sz w:val="18"/>
          <w:szCs w:val="18"/>
        </w:rPr>
      </w:pPr>
    </w:p>
    <w:p>
      <w:pPr>
        <w:autoSpaceDE w:val="0"/>
        <w:autoSpaceDN w:val="0"/>
        <w:ind w:firstLine="360"/>
        <w:jc w:val="left"/>
        <w:rPr>
          <w:rFonts w:ascii="黑体" w:eastAsia="黑体" w:cs="黑体"/>
          <w:sz w:val="18"/>
          <w:szCs w:val="18"/>
        </w:rPr>
      </w:pPr>
    </w:p>
    <w:p>
      <w:pPr>
        <w:autoSpaceDE w:val="0"/>
        <w:autoSpaceDN w:val="0"/>
        <w:ind w:firstLine="360"/>
        <w:jc w:val="left"/>
        <w:rPr>
          <w:rFonts w:ascii="黑体" w:eastAsia="黑体" w:cs="黑体"/>
          <w:sz w:val="18"/>
          <w:szCs w:val="18"/>
        </w:rPr>
      </w:pPr>
    </w:p>
    <w:p>
      <w:pPr>
        <w:autoSpaceDE w:val="0"/>
        <w:autoSpaceDN w:val="0"/>
        <w:ind w:firstLine="360"/>
        <w:jc w:val="left"/>
        <w:rPr>
          <w:rFonts w:ascii="黑体" w:eastAsia="黑体" w:cs="黑体"/>
          <w:sz w:val="18"/>
          <w:szCs w:val="18"/>
        </w:rPr>
      </w:pPr>
    </w:p>
    <w:p>
      <w:pPr>
        <w:autoSpaceDE w:val="0"/>
        <w:autoSpaceDN w:val="0"/>
        <w:ind w:firstLine="360"/>
        <w:jc w:val="left"/>
        <w:rPr>
          <w:rFonts w:ascii="黑体" w:eastAsia="黑体" w:cs="黑体"/>
          <w:sz w:val="18"/>
          <w:szCs w:val="18"/>
        </w:rPr>
      </w:pPr>
    </w:p>
    <w:p>
      <w:pPr>
        <w:autoSpaceDE w:val="0"/>
        <w:autoSpaceDN w:val="0"/>
        <w:ind w:firstLine="0" w:firstLineChars="0"/>
        <w:jc w:val="center"/>
        <w:rPr>
          <w:rFonts w:ascii="黑体" w:eastAsia="黑体" w:cs="黑体"/>
          <w:sz w:val="28"/>
          <w:szCs w:val="28"/>
        </w:rPr>
      </w:pPr>
      <w:r>
        <w:rPr>
          <w:rFonts w:hint="eastAsia" w:ascii="黑体" w:eastAsia="黑体" w:cs="黑体"/>
          <w:sz w:val="28"/>
          <w:szCs w:val="28"/>
        </w:rPr>
        <w:t>××××-××-××发布                 ××××-××-××实施</w:t>
      </w:r>
    </w:p>
    <w:p>
      <w:pPr>
        <w:autoSpaceDE w:val="0"/>
        <w:autoSpaceDN w:val="0"/>
        <w:ind w:firstLine="0" w:firstLineChars="0"/>
        <w:jc w:val="center"/>
        <w:rPr>
          <w:rFonts w:ascii="黑体" w:eastAsia="黑体" w:cs="黑体"/>
          <w:sz w:val="28"/>
          <w:szCs w:val="28"/>
        </w:rPr>
      </w:pPr>
      <w:r>
        <w:rPr>
          <w:rFonts w:ascii="黑体" w:eastAsia="黑体" w:cs="黑体"/>
          <w:sz w:val="28"/>
          <w:szCs w:val="28"/>
        </w:rPr>
        <w:pict>
          <v:group id="画布 8" o:spid="_x0000_s2154" o:spt="203" style="height:16.2pt;width:437pt;" coordsize="55492,2051" editas="canvas">
            <o:lock v:ext="edit"/>
            <v:shape id="画布 8" o:spid="_x0000_s2156" o:spt="75" type="#_x0000_t75" style="position:absolute;left:0;top:0;height:2051;width:55492;" filled="f" o:preferrelative="t" stroked="f" coordsize="21600,21600">
              <v:path/>
              <v:fill on="f" focussize="0,0"/>
              <v:stroke on="f" joinstyle="miter"/>
              <v:imagedata o:title=""/>
              <o:lock v:ext="edit" aspectratio="t"/>
            </v:shape>
            <v:line id="Line 90" o:spid="_x0000_s2155" o:spt="20" style="position:absolute;left:0;top:987;height:0;width:55090;"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path arrowok="t"/>
              <v:fill focussize="0,0"/>
              <v:stroke/>
              <v:imagedata o:title=""/>
              <o:lock v:ext="edit"/>
            </v:line>
            <w10:wrap type="none"/>
            <w10:anchorlock/>
          </v:group>
        </w:pict>
      </w:r>
    </w:p>
    <w:p>
      <w:pPr>
        <w:autoSpaceDE w:val="0"/>
        <w:autoSpaceDN w:val="0"/>
        <w:ind w:firstLine="0" w:firstLineChars="0"/>
        <w:jc w:val="center"/>
        <w:rPr>
          <w:rFonts w:ascii="黑体" w:eastAsia="黑体" w:cs="黑体"/>
        </w:rPr>
      </w:pPr>
      <w:r>
        <w:rPr>
          <w:rFonts w:hint="eastAsia" w:ascii="宋体" w:hAnsi="宋体" w:cs="黑体"/>
          <w:b/>
          <w:sz w:val="44"/>
          <w:szCs w:val="44"/>
        </w:rPr>
        <w:t>国 家 市 场 监 督 管 理 总 局</w:t>
      </w:r>
      <w:r>
        <w:rPr>
          <w:rFonts w:hint="eastAsia" w:ascii="黑体" w:eastAsia="黑体" w:cs="黑体"/>
          <w:sz w:val="28"/>
          <w:szCs w:val="28"/>
        </w:rPr>
        <w:t>发 布</w:t>
      </w:r>
    </w:p>
    <w:p>
      <w:pPr>
        <w:autoSpaceDE w:val="0"/>
        <w:autoSpaceDN w:val="0"/>
        <w:ind w:firstLine="240"/>
        <w:jc w:val="left"/>
        <w:rPr>
          <w:rFonts w:ascii="黑体" w:eastAsia="黑体" w:cs="黑体"/>
          <w:sz w:val="12"/>
          <w:szCs w:val="12"/>
        </w:rPr>
      </w:pPr>
      <w:r>
        <w:rPr>
          <w:rFonts w:ascii="黑体" w:eastAsia="黑体" w:cs="黑体"/>
          <w:sz w:val="12"/>
          <w:szCs w:val="12"/>
        </w:rPr>
        <w:br w:type="page"/>
      </w:r>
    </w:p>
    <w:p>
      <w:pPr>
        <w:autoSpaceDE w:val="0"/>
        <w:autoSpaceDN w:val="0"/>
        <w:ind w:firstLine="560"/>
        <w:jc w:val="left"/>
        <w:rPr>
          <w:rFonts w:ascii="黑体" w:eastAsia="黑体" w:cs="黑体"/>
          <w:sz w:val="28"/>
          <w:szCs w:val="28"/>
        </w:rPr>
      </w:pPr>
      <w:r>
        <w:rPr>
          <w:rFonts w:ascii="黑体" w:eastAsia="黑体" w:cs="黑体"/>
          <w:sz w:val="28"/>
          <w:szCs w:val="28"/>
        </w:rPr>
        <w:pict>
          <v:shape id="文本框 6" o:spid="_x0000_s2153" o:spt="202" type="#_x0000_t202" style="position:absolute;left:0pt;margin-left:0pt;margin-top:-10.85pt;height:190.65pt;width:252pt;z-index:2516613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">
            <v:path/>
            <v:fill focussize="0,0"/>
            <v:stroke on="f" joinstyle="miter"/>
            <v:imagedata o:title=""/>
            <o:lock v:ext="edit"/>
            <v:textbox>
              <w:txbxContent>
                <w:p>
                  <w:pPr>
                    <w:autoSpaceDE w:val="0"/>
                    <w:autoSpaceDN w:val="0"/>
                    <w:spacing w:before="624" w:beforeLines="200"/>
                    <w:ind w:firstLine="0" w:firstLineChars="0"/>
                    <w:jc w:val="center"/>
                    <w:rPr>
                      <w:rFonts w:ascii="黑体" w:eastAsia="黑体" w:cs="黑体"/>
                      <w:sz w:val="44"/>
                      <w:szCs w:val="44"/>
                    </w:rPr>
                  </w:pPr>
                  <w:r>
                    <w:rPr>
                      <w:rFonts w:hint="eastAsia" w:ascii="黑体" w:eastAsia="黑体" w:cs="黑体"/>
                      <w:sz w:val="44"/>
                      <w:szCs w:val="44"/>
                    </w:rPr>
                    <w:t>加速度计安装及其评价方法规范</w:t>
                  </w:r>
                </w:p>
                <w:p>
                  <w:pPr>
                    <w:autoSpaceDE w:val="0"/>
                    <w:autoSpaceDN w:val="0"/>
                    <w:ind w:firstLine="0" w:firstLineChars="0"/>
                    <w:jc w:val="center"/>
                    <w:rPr>
                      <w:sz w:val="28"/>
                      <w:szCs w:val="28"/>
                    </w:rPr>
                  </w:pPr>
                  <w:r>
                    <w:rPr>
                      <w:sz w:val="28"/>
                      <w:szCs w:val="28"/>
                    </w:rPr>
                    <w:t>Specification for Accelerometer</w:t>
                  </w:r>
                  <w:r>
                    <w:rPr>
                      <w:rFonts w:hint="eastAsia"/>
                      <w:sz w:val="28"/>
                      <w:szCs w:val="28"/>
                    </w:rPr>
                    <w:t xml:space="preserve"> Installation and Evaluation</w:t>
                  </w:r>
                </w:p>
              </w:txbxContent>
            </v:textbox>
          </v:shape>
        </w:pict>
      </w:r>
      <w:r>
        <w:rPr>
          <w:rFonts w:ascii="黑体" w:eastAsia="黑体" w:cs="黑体"/>
          <w:sz w:val="28"/>
          <w:szCs w:val="28"/>
        </w:rPr>
        <w:pict>
          <v:shape id="文本框 5" o:spid="_x0000_s2152" o:spt="202" type="#_x0000_t202" style="position:absolute;left:0pt;margin-left:283.5pt;margin-top:23.25pt;height:101.4pt;width:144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">
            <v:path/>
            <v:fill focussize="0,0"/>
            <v:stroke dashstyle="1 1" endcap="round"/>
            <v:imagedata o:title=""/>
            <o:lock v:ext="edit"/>
            <v:textbox>
              <w:txbxContent>
                <w:p>
                  <w:pPr>
                    <w:ind w:firstLine="0" w:firstLineChars="0"/>
                    <w:jc w:val="center"/>
                    <w:rPr>
                      <w:rFonts w:ascii="黑体" w:eastAsia="黑体"/>
                      <w:b/>
                      <w:sz w:val="28"/>
                      <w:szCs w:val="28"/>
                    </w:rPr>
                  </w:pPr>
                </w:p>
                <w:p>
                  <w:pPr>
                    <w:ind w:firstLine="0" w:firstLineChars="0"/>
                    <w:jc w:val="center"/>
                    <w:rPr>
                      <w:rFonts w:eastAsia="黑体"/>
                      <w:b/>
                      <w:sz w:val="28"/>
                      <w:szCs w:val="28"/>
                    </w:rPr>
                  </w:pPr>
                  <w:r>
                    <w:rPr>
                      <w:rFonts w:eastAsia="黑体"/>
                      <w:b/>
                      <w:sz w:val="28"/>
                      <w:szCs w:val="28"/>
                    </w:rPr>
                    <w:t>JJF ××</w:t>
                  </w:r>
                  <w:r>
                    <w:t>─</w:t>
                  </w:r>
                  <w:r>
                    <w:rPr>
                      <w:rFonts w:eastAsia="黑体"/>
                      <w:b/>
                      <w:sz w:val="28"/>
                      <w:szCs w:val="28"/>
                    </w:rPr>
                    <w:t>××××</w:t>
                  </w:r>
                </w:p>
              </w:txbxContent>
            </v:textbox>
          </v:shape>
        </w:pict>
      </w:r>
    </w:p>
    <w:p>
      <w:pPr>
        <w:autoSpaceDE w:val="0"/>
        <w:autoSpaceDN w:val="0"/>
        <w:ind w:firstLine="560"/>
        <w:jc w:val="left"/>
        <w:rPr>
          <w:rFonts w:ascii="黑体" w:eastAsia="黑体" w:cs="黑体"/>
          <w:sz w:val="28"/>
          <w:szCs w:val="28"/>
        </w:rPr>
      </w:pPr>
    </w:p>
    <w:p>
      <w:pPr>
        <w:autoSpaceDE w:val="0"/>
        <w:autoSpaceDN w:val="0"/>
        <w:ind w:firstLine="560"/>
        <w:jc w:val="left"/>
        <w:rPr>
          <w:rFonts w:ascii="黑体" w:eastAsia="黑体" w:cs="黑体"/>
          <w:sz w:val="20"/>
        </w:rPr>
      </w:pPr>
      <w:r>
        <w:rPr>
          <w:rFonts w:ascii="黑体" w:eastAsia="黑体" w:cs="黑体"/>
          <w:sz w:val="28"/>
          <w:szCs w:val="28"/>
        </w:rPr>
        <w:pict>
          <v:group id="画布 4" o:spid="_x0000_s2150" o:spt="203" style="height:117pt;width:198pt;" coordsize="25146,14859" editas="canvas">
            <o:lock v:ext="edit"/>
            <v:shape id="画布 4" o:spid="_x0000_s2151" o:spt="75" type="#_x0000_t75" style="position:absolute;left:0;top:0;height:14859;width:25146;" filled="f" o:preferrelative="t" stroked="f" coordsize="21600,21600">
              <v:path/>
              <v:fill on="f" focussize="0,0"/>
              <v:stroke on="f" joinstyle="miter"/>
              <v:imagedata o:title=""/>
              <o:lock v:ext="edit" aspectratio="t"/>
            </v:shape>
            <w10:wrap type="none"/>
            <w10:anchorlock/>
          </v:group>
        </w:pict>
      </w:r>
      <w:r>
        <w:rPr>
          <w:rFonts w:ascii="黑体" w:eastAsia="黑体" w:cs="黑体"/>
          <w:sz w:val="20"/>
        </w:rPr>
        <w:pict>
          <v:group id="画布 3" o:spid="_x0000_s2147" o:spt="203" style="height:15.6pt;width:414pt;" coordsize="52578,1981" editas="canvas">
            <o:lock v:ext="edit"/>
            <v:shape id="画布 3" o:spid="_x0000_s2149" o:spt="75" type="#_x0000_t75" style="position:absolute;left:0;top:0;height:1981;width:52578;" filled="f" o:preferrelative="t" stroked="f" coordsize="21600,21600">
              <v:path/>
              <v:fill on="f" focussize="0,0"/>
              <v:stroke on="f" joinstyle="miter"/>
              <v:imagedata o:title=""/>
              <o:lock v:ext="edit" aspectratio="t"/>
            </v:shape>
            <v:line id="Line 98" o:spid="_x0000_s2148" o:spt="20" style="position:absolute;left:0;top:990;height:7;width:52578;" o:connectortype="straight"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path arrowok="t"/>
              <v:fill focussize="0,0"/>
              <v:stroke/>
              <v:imagedata o:title=""/>
              <o:lock v:ext="edit"/>
            </v:line>
            <w10:wrap type="none"/>
            <w10:anchorlock/>
          </v:group>
        </w:pict>
      </w:r>
    </w:p>
    <w:p>
      <w:pPr>
        <w:autoSpaceDE w:val="0"/>
        <w:autoSpaceDN w:val="0"/>
        <w:ind w:firstLine="560"/>
        <w:jc w:val="left"/>
        <w:rPr>
          <w:rFonts w:ascii="宋体" w:hAnsi="宋体" w:cs="黑体"/>
          <w:sz w:val="28"/>
          <w:szCs w:val="28"/>
        </w:rPr>
      </w:pPr>
      <w:r>
        <w:rPr>
          <w:rFonts w:hint="eastAsia" w:ascii="宋体" w:hAnsi="宋体" w:cs="黑体"/>
          <w:sz w:val="28"/>
          <w:szCs w:val="28"/>
        </w:rPr>
        <w:t>本规范经国家</w:t>
      </w:r>
      <w:r>
        <w:rPr>
          <w:rFonts w:hint="eastAsia" w:ascii="宋体" w:hAnsi="宋体" w:cs="黑体"/>
          <w:sz w:val="28"/>
          <w:szCs w:val="28"/>
          <w:lang w:val="en-US" w:eastAsia="zh-CN"/>
        </w:rPr>
        <w:t>市场监督管理</w:t>
      </w:r>
      <w:r>
        <w:rPr>
          <w:rFonts w:hint="eastAsia" w:ascii="宋体" w:hAnsi="宋体" w:cs="黑体"/>
          <w:sz w:val="28"/>
          <w:szCs w:val="28"/>
        </w:rPr>
        <w:t>总局于××××年××月××日批准，并自××××年××月××日起施行。</w:t>
      </w:r>
    </w:p>
    <w:p>
      <w:pPr>
        <w:autoSpaceDE w:val="0"/>
        <w:autoSpaceDN w:val="0"/>
        <w:ind w:firstLine="560"/>
        <w:jc w:val="left"/>
        <w:rPr>
          <w:rFonts w:ascii="黑体" w:eastAsia="黑体" w:cs="黑体"/>
          <w:sz w:val="28"/>
          <w:szCs w:val="28"/>
        </w:rPr>
      </w:pPr>
    </w:p>
    <w:p>
      <w:pPr>
        <w:autoSpaceDE w:val="0"/>
        <w:autoSpaceDN w:val="0"/>
        <w:ind w:firstLine="560"/>
        <w:jc w:val="left"/>
        <w:rPr>
          <w:rFonts w:ascii="黑体" w:eastAsia="黑体" w:cs="黑体"/>
          <w:sz w:val="28"/>
          <w:szCs w:val="28"/>
        </w:rPr>
      </w:pPr>
    </w:p>
    <w:p>
      <w:pPr>
        <w:autoSpaceDE w:val="0"/>
        <w:autoSpaceDN w:val="0"/>
        <w:ind w:firstLine="840" w:firstLineChars="300"/>
        <w:jc w:val="left"/>
        <w:rPr>
          <w:rFonts w:ascii="黑体" w:eastAsia="黑体" w:cs="黑体"/>
          <w:sz w:val="28"/>
          <w:szCs w:val="28"/>
        </w:rPr>
      </w:pPr>
      <w:r>
        <w:rPr>
          <w:rFonts w:hint="eastAsia" w:ascii="黑体" w:eastAsia="黑体" w:cs="黑体"/>
          <w:sz w:val="28"/>
          <w:szCs w:val="28"/>
        </w:rPr>
        <w:t>归  口 单 位</w:t>
      </w:r>
      <w:r>
        <w:rPr>
          <w:rFonts w:ascii="黑体" w:eastAsia="黑体" w:cs="黑体"/>
          <w:sz w:val="28"/>
          <w:szCs w:val="28"/>
        </w:rPr>
        <w:t>：</w:t>
      </w:r>
      <w:r>
        <w:rPr>
          <w:rFonts w:hint="eastAsia" w:ascii="宋体" w:hAnsi="宋体" w:cs="黑体"/>
          <w:sz w:val="28"/>
          <w:szCs w:val="28"/>
        </w:rPr>
        <w:t>全国振动冲击与转速计量技术委员会</w:t>
      </w:r>
    </w:p>
    <w:p>
      <w:pPr>
        <w:autoSpaceDE w:val="0"/>
        <w:autoSpaceDN w:val="0"/>
        <w:ind w:firstLine="840" w:firstLineChars="300"/>
        <w:jc w:val="left"/>
        <w:rPr>
          <w:rFonts w:ascii="黑体" w:eastAsia="黑体" w:cs="黑体"/>
          <w:sz w:val="28"/>
          <w:szCs w:val="28"/>
        </w:rPr>
      </w:pPr>
      <w:r>
        <w:rPr>
          <w:rFonts w:hint="eastAsia" w:ascii="黑体" w:eastAsia="黑体" w:cs="黑体"/>
          <w:sz w:val="28"/>
          <w:szCs w:val="28"/>
        </w:rPr>
        <w:t>主要起草单位</w:t>
      </w:r>
      <w:r>
        <w:rPr>
          <w:rFonts w:ascii="黑体" w:eastAsia="黑体" w:cs="黑体"/>
          <w:sz w:val="28"/>
          <w:szCs w:val="28"/>
        </w:rPr>
        <w:t>：</w:t>
      </w:r>
      <w:r>
        <w:rPr>
          <w:rFonts w:hint="eastAsia" w:ascii="宋体" w:hAnsi="宋体" w:cs="黑体"/>
          <w:sz w:val="28"/>
          <w:szCs w:val="28"/>
        </w:rPr>
        <w:t>XXXXXXXXXXXXXXXXX</w:t>
      </w:r>
    </w:p>
    <w:p>
      <w:pPr>
        <w:ind w:firstLine="840" w:firstLineChars="300"/>
        <w:rPr>
          <w:rFonts w:ascii="宋体" w:hAnsi="宋体" w:cs="黑体"/>
          <w:sz w:val="28"/>
          <w:szCs w:val="28"/>
        </w:rPr>
      </w:pPr>
      <w:r>
        <w:rPr>
          <w:rFonts w:hint="eastAsia" w:ascii="黑体" w:eastAsia="黑体" w:cs="黑体"/>
          <w:sz w:val="28"/>
          <w:szCs w:val="28"/>
        </w:rPr>
        <w:t>参加起草单位</w:t>
      </w:r>
      <w:r>
        <w:rPr>
          <w:rFonts w:ascii="黑体" w:eastAsia="黑体" w:cs="黑体"/>
          <w:sz w:val="28"/>
          <w:szCs w:val="28"/>
        </w:rPr>
        <w:t>：</w:t>
      </w:r>
      <w:r>
        <w:rPr>
          <w:rFonts w:hint="eastAsia" w:ascii="宋体" w:hAnsi="宋体" w:cs="黑体"/>
          <w:sz w:val="28"/>
          <w:szCs w:val="28"/>
        </w:rPr>
        <w:t>XXXXXXXXXXXXXXXXX</w:t>
      </w:r>
    </w:p>
    <w:p>
      <w:pPr>
        <w:ind w:firstLine="2800" w:firstLineChars="1000"/>
        <w:rPr>
          <w:sz w:val="28"/>
        </w:rPr>
      </w:pPr>
      <w:r>
        <w:rPr>
          <w:rFonts w:hint="eastAsia" w:ascii="宋体" w:hAnsi="宋体" w:cs="黑体"/>
          <w:sz w:val="28"/>
          <w:szCs w:val="28"/>
        </w:rPr>
        <w:t>XXXXXXXXXXXXXXXXX</w:t>
      </w:r>
    </w:p>
    <w:p>
      <w:pPr>
        <w:ind w:firstLine="2800" w:firstLineChars="1000"/>
        <w:rPr>
          <w:rFonts w:ascii="宋体" w:hAnsi="宋体" w:cs="黑体"/>
          <w:sz w:val="28"/>
          <w:szCs w:val="28"/>
        </w:rPr>
      </w:pPr>
      <w:r>
        <w:rPr>
          <w:rFonts w:hint="eastAsia" w:ascii="宋体" w:hAnsi="宋体" w:cs="黑体"/>
          <w:sz w:val="28"/>
          <w:szCs w:val="28"/>
        </w:rPr>
        <w:t>XXXXXXXXXXXXXXXXX</w:t>
      </w:r>
    </w:p>
    <w:p>
      <w:pPr>
        <w:autoSpaceDE w:val="0"/>
        <w:autoSpaceDN w:val="0"/>
        <w:ind w:firstLine="400"/>
        <w:jc w:val="left"/>
        <w:rPr>
          <w:rFonts w:ascii="黑体" w:eastAsia="黑体" w:cs="黑体"/>
          <w:sz w:val="20"/>
        </w:rPr>
      </w:pPr>
    </w:p>
    <w:p>
      <w:pPr>
        <w:autoSpaceDE w:val="0"/>
        <w:autoSpaceDN w:val="0"/>
        <w:ind w:firstLine="400"/>
        <w:jc w:val="left"/>
        <w:rPr>
          <w:rFonts w:ascii="黑体" w:eastAsia="黑体" w:cs="黑体"/>
          <w:sz w:val="20"/>
        </w:rPr>
      </w:pPr>
    </w:p>
    <w:p>
      <w:pPr>
        <w:autoSpaceDE w:val="0"/>
        <w:autoSpaceDN w:val="0"/>
        <w:ind w:firstLine="400"/>
        <w:jc w:val="left"/>
        <w:rPr>
          <w:rFonts w:ascii="黑体" w:eastAsia="黑体" w:cs="黑体"/>
          <w:sz w:val="20"/>
        </w:rPr>
      </w:pPr>
    </w:p>
    <w:p>
      <w:pPr>
        <w:autoSpaceDE w:val="0"/>
        <w:autoSpaceDN w:val="0"/>
        <w:ind w:firstLine="400"/>
        <w:jc w:val="left"/>
        <w:rPr>
          <w:rFonts w:ascii="黑体" w:eastAsia="黑体" w:cs="黑体"/>
          <w:sz w:val="20"/>
        </w:rPr>
      </w:pPr>
    </w:p>
    <w:p>
      <w:pPr>
        <w:autoSpaceDE w:val="0"/>
        <w:autoSpaceDN w:val="0"/>
        <w:ind w:firstLine="400"/>
        <w:jc w:val="left"/>
        <w:rPr>
          <w:rFonts w:ascii="黑体" w:eastAsia="黑体" w:cs="黑体"/>
          <w:sz w:val="20"/>
        </w:rPr>
      </w:pPr>
    </w:p>
    <w:p>
      <w:pPr>
        <w:autoSpaceDE w:val="0"/>
        <w:autoSpaceDN w:val="0"/>
        <w:ind w:firstLine="400"/>
        <w:jc w:val="left"/>
        <w:rPr>
          <w:rFonts w:ascii="黑体" w:eastAsia="黑体" w:cs="黑体"/>
          <w:sz w:val="20"/>
        </w:rPr>
      </w:pPr>
    </w:p>
    <w:p>
      <w:pPr>
        <w:autoSpaceDE w:val="0"/>
        <w:autoSpaceDN w:val="0"/>
        <w:ind w:firstLine="560"/>
        <w:jc w:val="center"/>
        <w:rPr>
          <w:rFonts w:ascii="黑体" w:eastAsia="黑体" w:cs="黑体"/>
          <w:sz w:val="10"/>
          <w:szCs w:val="10"/>
        </w:rPr>
      </w:pPr>
      <w:r>
        <w:rPr>
          <w:rFonts w:hint="eastAsia" w:ascii="宋体" w:hAnsi="宋体" w:cs="黑体"/>
          <w:sz w:val="28"/>
          <w:szCs w:val="28"/>
        </w:rPr>
        <w:t>本规范由全国振动冲击与转速计量技术委员会负责解释</w:t>
      </w:r>
    </w:p>
    <w:p>
      <w:pPr>
        <w:autoSpaceDE w:val="0"/>
        <w:autoSpaceDN w:val="0"/>
        <w:ind w:firstLine="560"/>
        <w:jc w:val="left"/>
        <w:rPr>
          <w:rFonts w:ascii="黑体" w:eastAsia="黑体" w:cs="黑体"/>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046" w:bottom="1440" w:left="1797" w:header="851" w:footer="992" w:gutter="0"/>
          <w:pgNumType w:fmt="upperRoman" w:start="1"/>
          <w:cols w:space="425" w:num="1"/>
          <w:docGrid w:type="linesAndChars" w:linePitch="312" w:charSpace="0"/>
        </w:sectPr>
      </w:pPr>
    </w:p>
    <w:p>
      <w:pPr>
        <w:autoSpaceDE w:val="0"/>
        <w:autoSpaceDN w:val="0"/>
        <w:ind w:firstLine="560"/>
        <w:jc w:val="left"/>
        <w:rPr>
          <w:rFonts w:ascii="黑体" w:eastAsia="黑体" w:cs="黑体"/>
          <w:sz w:val="28"/>
          <w:szCs w:val="28"/>
        </w:rPr>
      </w:pPr>
    </w:p>
    <w:p>
      <w:pPr>
        <w:autoSpaceDE w:val="0"/>
        <w:autoSpaceDN w:val="0"/>
        <w:ind w:firstLine="560"/>
        <w:jc w:val="left"/>
        <w:rPr>
          <w:rFonts w:ascii="黑体" w:eastAsia="黑体" w:cs="黑体"/>
          <w:sz w:val="28"/>
          <w:szCs w:val="28"/>
        </w:rPr>
      </w:pPr>
      <w:r>
        <w:rPr>
          <w:rFonts w:hint="eastAsia" w:ascii="黑体" w:eastAsia="黑体" w:cs="黑体"/>
          <w:sz w:val="28"/>
          <w:szCs w:val="28"/>
        </w:rPr>
        <w:t>本规范主要起草人</w:t>
      </w:r>
      <w:r>
        <w:rPr>
          <w:rFonts w:ascii="黑体" w:eastAsia="黑体" w:cs="黑体"/>
          <w:sz w:val="28"/>
          <w:szCs w:val="28"/>
        </w:rPr>
        <w:t>：</w:t>
      </w:r>
    </w:p>
    <w:p>
      <w:pPr>
        <w:autoSpaceDE w:val="0"/>
        <w:autoSpaceDN w:val="0"/>
        <w:ind w:firstLine="1400" w:firstLineChars="500"/>
        <w:jc w:val="left"/>
        <w:rPr>
          <w:rFonts w:ascii="宋体" w:hAnsi="宋体" w:cs="黑体"/>
          <w:sz w:val="28"/>
          <w:szCs w:val="28"/>
        </w:rPr>
      </w:pPr>
    </w:p>
    <w:p>
      <w:pPr>
        <w:autoSpaceDE w:val="0"/>
        <w:autoSpaceDN w:val="0"/>
        <w:ind w:firstLine="1400" w:firstLineChars="500"/>
        <w:jc w:val="left"/>
        <w:rPr>
          <w:rFonts w:ascii="宋体" w:hAnsi="宋体" w:cs="黑体"/>
          <w:sz w:val="28"/>
          <w:szCs w:val="28"/>
        </w:rPr>
      </w:pPr>
    </w:p>
    <w:p>
      <w:pPr>
        <w:autoSpaceDE w:val="0"/>
        <w:autoSpaceDN w:val="0"/>
        <w:ind w:firstLine="840" w:firstLineChars="300"/>
        <w:jc w:val="left"/>
        <w:rPr>
          <w:rFonts w:ascii="黑体" w:eastAsia="黑体" w:cs="黑体"/>
          <w:sz w:val="28"/>
          <w:szCs w:val="28"/>
        </w:rPr>
      </w:pPr>
      <w:r>
        <w:rPr>
          <w:rFonts w:hint="eastAsia" w:ascii="黑体" w:eastAsia="黑体" w:cs="黑体"/>
          <w:sz w:val="28"/>
          <w:szCs w:val="28"/>
        </w:rPr>
        <w:t>参加起草人</w:t>
      </w:r>
      <w:r>
        <w:rPr>
          <w:rFonts w:ascii="黑体" w:eastAsia="黑体" w:cs="黑体"/>
          <w:sz w:val="28"/>
          <w:szCs w:val="28"/>
        </w:rPr>
        <w:t>：</w:t>
      </w:r>
    </w:p>
    <w:p>
      <w:pPr>
        <w:widowControl/>
        <w:spacing w:line="240" w:lineRule="auto"/>
        <w:ind w:firstLine="0" w:firstLineChars="0"/>
        <w:jc w:val="left"/>
        <w:rPr>
          <w:sz w:val="28"/>
        </w:rPr>
        <w:sectPr>
          <w:headerReference r:id="rId11" w:type="default"/>
          <w:footerReference r:id="rId12" w:type="default"/>
          <w:pgSz w:w="11906" w:h="16838"/>
          <w:pgMar w:top="1440" w:right="1558" w:bottom="1440" w:left="1979" w:header="851" w:footer="992" w:gutter="0"/>
          <w:pgNumType w:fmt="upperRoman" w:start="1"/>
          <w:cols w:space="425" w:num="1"/>
          <w:docGrid w:type="linesAndChars" w:linePitch="312" w:charSpace="0"/>
        </w:sectPr>
      </w:pPr>
      <w:r>
        <w:rPr>
          <w:sz w:val="28"/>
        </w:rPr>
        <w:br w:type="page"/>
      </w:r>
    </w:p>
    <w:p>
      <w:pPr>
        <w:autoSpaceDE w:val="0"/>
        <w:autoSpaceDN w:val="0"/>
        <w:ind w:firstLine="0" w:firstLineChars="0"/>
        <w:jc w:val="center"/>
      </w:pPr>
      <w:r>
        <w:rPr>
          <w:rFonts w:hint="eastAsia" w:ascii="黑体" w:eastAsia="黑体" w:cs="黑体"/>
          <w:sz w:val="44"/>
          <w:szCs w:val="44"/>
        </w:rPr>
        <w:t>目录</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引言</w:t>
      </w:r>
      <w:r>
        <w:rPr>
          <w:rFonts w:hint="eastAsia"/>
        </w:rPr>
        <w:t>………………………………………………………………………………</w:t>
      </w:r>
      <w:r>
        <w:rPr>
          <w:rFonts w:ascii="Times New Roman" w:hAnsi="Times New Roman" w:cs="Times New Roman"/>
        </w:rPr>
        <w:t>（III）</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1  范围</w:t>
      </w:r>
      <w:r>
        <w:rPr>
          <w:rFonts w:hint="eastAsia"/>
        </w:rPr>
        <w:t>……………………………………………………………………………</w:t>
      </w:r>
      <w:r>
        <w:rPr>
          <w:rFonts w:ascii="Times New Roman" w:hAnsi="Times New Roman" w:cs="Times New Roman"/>
        </w:rPr>
        <w:t>（1）</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2  引用文件</w:t>
      </w:r>
      <w:r>
        <w:rPr>
          <w:rFonts w:hint="eastAsia"/>
        </w:rPr>
        <w:t>………………………………………………………………………</w:t>
      </w:r>
      <w:r>
        <w:rPr>
          <w:rFonts w:ascii="Times New Roman" w:hAnsi="Times New Roman" w:cs="Times New Roman"/>
        </w:rPr>
        <w:t>（1）</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3  术语和计量单位</w:t>
      </w:r>
      <w:r>
        <w:rPr>
          <w:rFonts w:hint="eastAsia"/>
        </w:rPr>
        <w:t>………………………………………………………………</w:t>
      </w:r>
      <w:r>
        <w:rPr>
          <w:rFonts w:ascii="Times New Roman" w:hAnsi="Times New Roman" w:cs="Times New Roman"/>
        </w:rPr>
        <w:t>（1）</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 xml:space="preserve">4  </w:t>
      </w:r>
      <w:r>
        <w:rPr>
          <w:rStyle w:val="22"/>
          <w:rFonts w:hint="eastAsia" w:ascii="Times New Roman" w:hAnsi="Times New Roman" w:cs="Times New Roman"/>
          <w:color w:val="auto"/>
          <w:u w:val="none"/>
        </w:rPr>
        <w:t>评价目的</w:t>
      </w:r>
      <w:r>
        <w:rPr>
          <w:rFonts w:hint="eastAsia"/>
        </w:rPr>
        <w:t>………………………………………………………………………</w:t>
      </w:r>
      <w:r>
        <w:rPr>
          <w:rFonts w:ascii="Times New Roman" w:hAnsi="Times New Roman" w:cs="Times New Roman"/>
        </w:rPr>
        <w:t>（1）</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 xml:space="preserve">5  </w:t>
      </w:r>
      <w:r>
        <w:rPr>
          <w:rStyle w:val="22"/>
          <w:rFonts w:hint="eastAsia" w:ascii="Times New Roman" w:hAnsi="Times New Roman" w:cs="Times New Roman"/>
          <w:color w:val="auto"/>
          <w:u w:val="none"/>
        </w:rPr>
        <w:t>安装方法和评价原则</w:t>
      </w:r>
      <w:r>
        <w:rPr>
          <w:rFonts w:hint="eastAsia"/>
        </w:rPr>
        <w:t>…………………………………………………………</w:t>
      </w:r>
      <w:r>
        <w:rPr>
          <w:rFonts w:ascii="Times New Roman" w:hAnsi="Times New Roman" w:cs="Times New Roman"/>
        </w:rPr>
        <w:t>（3）</w:t>
      </w:r>
    </w:p>
    <w:p>
      <w:pPr>
        <w:pStyle w:val="14"/>
        <w:rPr>
          <w:sz w:val="21"/>
        </w:rPr>
      </w:pPr>
      <w:r>
        <w:rPr>
          <w:rStyle w:val="22"/>
          <w:color w:val="auto"/>
          <w:u w:val="none"/>
        </w:rPr>
        <w:t xml:space="preserve">5.1  </w:t>
      </w:r>
      <w:r>
        <w:rPr>
          <w:rStyle w:val="22"/>
          <w:rFonts w:hint="eastAsia"/>
          <w:color w:val="auto"/>
          <w:u w:val="none"/>
        </w:rPr>
        <w:t>安装方法</w:t>
      </w:r>
      <w:r>
        <w:rPr>
          <w:rFonts w:hint="eastAsia"/>
        </w:rPr>
        <w:t>………………………………………………………………………</w:t>
      </w:r>
      <w:r>
        <w:t>（3）</w:t>
      </w:r>
    </w:p>
    <w:p>
      <w:pPr>
        <w:pStyle w:val="14"/>
        <w:rPr>
          <w:sz w:val="21"/>
        </w:rPr>
      </w:pPr>
      <w:r>
        <w:rPr>
          <w:rStyle w:val="22"/>
          <w:color w:val="auto"/>
          <w:u w:val="none"/>
        </w:rPr>
        <w:t xml:space="preserve">5.2  </w:t>
      </w:r>
      <w:r>
        <w:rPr>
          <w:rStyle w:val="22"/>
          <w:rFonts w:hint="eastAsia"/>
          <w:color w:val="auto"/>
          <w:u w:val="none"/>
        </w:rPr>
        <w:t>评价原则</w:t>
      </w:r>
      <w:r>
        <w:rPr>
          <w:rFonts w:hint="eastAsia"/>
        </w:rPr>
        <w:t>………………………………………………………………………</w:t>
      </w:r>
      <w:r>
        <w:t>（3）</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 xml:space="preserve">6  </w:t>
      </w:r>
      <w:r>
        <w:rPr>
          <w:rStyle w:val="22"/>
          <w:rFonts w:hint="eastAsia" w:ascii="Times New Roman" w:hAnsi="Times New Roman" w:cs="Times New Roman"/>
          <w:color w:val="auto"/>
          <w:u w:val="none"/>
        </w:rPr>
        <w:t>评价对象和评价周期</w:t>
      </w:r>
      <w:r>
        <w:rPr>
          <w:rFonts w:hint="eastAsia"/>
        </w:rPr>
        <w:t>…………………………………………………………</w:t>
      </w:r>
      <w:r>
        <w:rPr>
          <w:rFonts w:ascii="Times New Roman" w:hAnsi="Times New Roman" w:cs="Times New Roman"/>
        </w:rPr>
        <w:t>（4）</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 xml:space="preserve">7  </w:t>
      </w:r>
      <w:r>
        <w:rPr>
          <w:rStyle w:val="22"/>
          <w:rFonts w:hint="eastAsia" w:ascii="Times New Roman" w:hAnsi="Times New Roman" w:cs="Times New Roman"/>
          <w:color w:val="auto"/>
          <w:u w:val="none"/>
        </w:rPr>
        <w:t>评价要素和评价条件要求</w:t>
      </w:r>
      <w:r>
        <w:rPr>
          <w:rFonts w:hint="eastAsia"/>
        </w:rPr>
        <w:t>……………………………………………………</w:t>
      </w:r>
      <w:r>
        <w:rPr>
          <w:rFonts w:ascii="Times New Roman" w:hAnsi="Times New Roman" w:cs="Times New Roman"/>
        </w:rPr>
        <w:t>（4）</w:t>
      </w:r>
    </w:p>
    <w:p>
      <w:pPr>
        <w:pStyle w:val="14"/>
        <w:rPr>
          <w:sz w:val="21"/>
        </w:rPr>
      </w:pPr>
      <w:r>
        <w:rPr>
          <w:rStyle w:val="22"/>
          <w:color w:val="auto"/>
          <w:u w:val="none"/>
        </w:rPr>
        <w:t xml:space="preserve">7.1  </w:t>
      </w:r>
      <w:r>
        <w:rPr>
          <w:rStyle w:val="22"/>
          <w:rFonts w:hint="eastAsia"/>
          <w:color w:val="auto"/>
          <w:u w:val="none"/>
        </w:rPr>
        <w:t>评价要素</w:t>
      </w:r>
      <w:r>
        <w:rPr>
          <w:rFonts w:hint="eastAsia"/>
        </w:rPr>
        <w:t>………………………………………………………………………</w:t>
      </w:r>
      <w:r>
        <w:t>（4）</w:t>
      </w:r>
    </w:p>
    <w:p>
      <w:pPr>
        <w:pStyle w:val="14"/>
        <w:rPr>
          <w:sz w:val="21"/>
        </w:rPr>
      </w:pPr>
      <w:r>
        <w:rPr>
          <w:rStyle w:val="22"/>
          <w:color w:val="auto"/>
          <w:u w:val="none"/>
        </w:rPr>
        <w:t xml:space="preserve">7.2  </w:t>
      </w:r>
      <w:r>
        <w:rPr>
          <w:rStyle w:val="22"/>
          <w:rFonts w:hint="eastAsia"/>
          <w:color w:val="auto"/>
          <w:u w:val="none"/>
        </w:rPr>
        <w:t>评价条件</w:t>
      </w:r>
      <w:r>
        <w:rPr>
          <w:rFonts w:hint="eastAsia"/>
        </w:rPr>
        <w:t>………………………………………………………………………</w:t>
      </w:r>
      <w:r>
        <w:t>（4）</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 xml:space="preserve">8  </w:t>
      </w:r>
      <w:r>
        <w:rPr>
          <w:rStyle w:val="22"/>
          <w:rFonts w:hint="eastAsia" w:ascii="Times New Roman" w:hAnsi="Times New Roman" w:cs="Times New Roman"/>
          <w:color w:val="auto"/>
          <w:u w:val="none"/>
        </w:rPr>
        <w:t>评价方式和方法</w:t>
      </w:r>
      <w:r>
        <w:rPr>
          <w:rFonts w:hint="eastAsia"/>
        </w:rPr>
        <w:t>………………………………………………………………</w:t>
      </w:r>
      <w:r>
        <w:rPr>
          <w:rFonts w:ascii="Times New Roman" w:hAnsi="Times New Roman" w:cs="Times New Roman"/>
        </w:rPr>
        <w:t>（5）</w:t>
      </w:r>
    </w:p>
    <w:p>
      <w:pPr>
        <w:pStyle w:val="14"/>
        <w:rPr>
          <w:sz w:val="21"/>
        </w:rPr>
      </w:pPr>
      <w:r>
        <w:rPr>
          <w:rStyle w:val="22"/>
          <w:color w:val="auto"/>
          <w:u w:val="none"/>
        </w:rPr>
        <w:t xml:space="preserve">8.1  </w:t>
      </w:r>
      <w:r>
        <w:rPr>
          <w:rStyle w:val="22"/>
          <w:rFonts w:hint="eastAsia"/>
          <w:color w:val="auto"/>
          <w:u w:val="none"/>
        </w:rPr>
        <w:t>实验室评价方式</w:t>
      </w:r>
      <w:r>
        <w:rPr>
          <w:rFonts w:hint="eastAsia"/>
        </w:rPr>
        <w:t>………………………………………………………………</w:t>
      </w:r>
      <w:r>
        <w:t>（5）</w:t>
      </w:r>
    </w:p>
    <w:p>
      <w:pPr>
        <w:pStyle w:val="14"/>
      </w:pPr>
      <w:r>
        <w:rPr>
          <w:rStyle w:val="22"/>
          <w:color w:val="auto"/>
          <w:u w:val="none"/>
        </w:rPr>
        <w:t xml:space="preserve">8.2  </w:t>
      </w:r>
      <w:r>
        <w:rPr>
          <w:rStyle w:val="22"/>
          <w:rFonts w:hint="eastAsia"/>
          <w:color w:val="auto"/>
          <w:u w:val="none"/>
        </w:rPr>
        <w:t>现场评价方式</w:t>
      </w:r>
      <w:r>
        <w:rPr>
          <w:rFonts w:hint="eastAsia"/>
        </w:rPr>
        <w:t>…………………………………………………………………</w:t>
      </w:r>
      <w:r>
        <w:t>（5）</w:t>
      </w:r>
    </w:p>
    <w:p>
      <w:pPr>
        <w:pStyle w:val="12"/>
        <w:rPr>
          <w:rFonts w:ascii="Times New Roman" w:hAnsi="Times New Roman" w:cs="Times New Roman"/>
          <w:kern w:val="2"/>
          <w:sz w:val="21"/>
          <w:szCs w:val="22"/>
        </w:rPr>
      </w:pPr>
      <w:r>
        <w:rPr>
          <w:rStyle w:val="22"/>
          <w:rFonts w:ascii="Times New Roman" w:hAnsi="Times New Roman" w:cs="Times New Roman"/>
          <w:color w:val="auto"/>
          <w:u w:val="none"/>
        </w:rPr>
        <w:t xml:space="preserve">9  </w:t>
      </w:r>
      <w:r>
        <w:rPr>
          <w:rStyle w:val="22"/>
          <w:rFonts w:hint="eastAsia" w:ascii="Times New Roman" w:hAnsi="Times New Roman" w:cs="Times New Roman"/>
          <w:color w:val="auto"/>
          <w:u w:val="none"/>
        </w:rPr>
        <w:t>评价结果的应用</w:t>
      </w:r>
      <w:r>
        <w:rPr>
          <w:rFonts w:hint="eastAsia"/>
        </w:rPr>
        <w:t>………………………………………………………………</w:t>
      </w:r>
      <w:r>
        <w:rPr>
          <w:rFonts w:ascii="Times New Roman" w:hAnsi="Times New Roman" w:cs="Times New Roman"/>
        </w:rPr>
        <w:t>（7）</w:t>
      </w:r>
    </w:p>
    <w:p>
      <w:pPr>
        <w:pStyle w:val="14"/>
        <w:rPr>
          <w:rStyle w:val="22"/>
          <w:color w:val="auto"/>
          <w:u w:val="none"/>
        </w:rPr>
      </w:pPr>
      <w:r>
        <w:rPr>
          <w:rStyle w:val="22"/>
          <w:color w:val="auto"/>
          <w:u w:val="none"/>
        </w:rPr>
        <w:t>附录A</w:t>
      </w:r>
      <w:r>
        <w:rPr>
          <w:rStyle w:val="22"/>
          <w:rFonts w:hint="eastAsia"/>
          <w:color w:val="auto"/>
          <w:u w:val="none"/>
        </w:rPr>
        <w:t>典型曲线………………………………</w:t>
      </w:r>
      <w:r>
        <w:rPr>
          <w:rFonts w:hint="eastAsia"/>
        </w:rPr>
        <w:t>………………</w:t>
      </w:r>
      <w:r>
        <w:rPr>
          <w:rStyle w:val="22"/>
          <w:rFonts w:hint="eastAsia"/>
          <w:color w:val="auto"/>
          <w:u w:val="none"/>
        </w:rPr>
        <w:t>……………………</w:t>
      </w:r>
      <w:r>
        <w:rPr>
          <w:rStyle w:val="22"/>
          <w:color w:val="auto"/>
          <w:u w:val="none"/>
        </w:rPr>
        <w:t>（8）</w:t>
      </w:r>
    </w:p>
    <w:p>
      <w:pPr>
        <w:pStyle w:val="14"/>
        <w:rPr>
          <w:rStyle w:val="22"/>
          <w:color w:val="auto"/>
          <w:u w:val="none"/>
        </w:rPr>
      </w:pPr>
      <w:r>
        <w:rPr>
          <w:rStyle w:val="22"/>
          <w:color w:val="auto"/>
          <w:u w:val="none"/>
        </w:rPr>
        <w:t>附录</w:t>
      </w:r>
      <w:r>
        <w:rPr>
          <w:rStyle w:val="22"/>
          <w:rFonts w:hint="eastAsia"/>
          <w:color w:val="auto"/>
          <w:u w:val="none"/>
        </w:rPr>
        <w:t>B评价记录推荐格式……………………</w:t>
      </w:r>
      <w:r>
        <w:rPr>
          <w:rFonts w:hint="eastAsia"/>
        </w:rPr>
        <w:t>………………</w:t>
      </w:r>
      <w:r>
        <w:rPr>
          <w:rStyle w:val="22"/>
          <w:rFonts w:hint="eastAsia"/>
          <w:color w:val="auto"/>
          <w:u w:val="none"/>
        </w:rPr>
        <w:t>……………………</w:t>
      </w:r>
      <w:r>
        <w:rPr>
          <w:rStyle w:val="22"/>
          <w:color w:val="auto"/>
          <w:u w:val="none"/>
        </w:rPr>
        <w:t>（9）</w:t>
      </w:r>
    </w:p>
    <w:p>
      <w:pPr>
        <w:pStyle w:val="14"/>
        <w:rPr>
          <w:sz w:val="21"/>
        </w:rPr>
      </w:pPr>
      <w:r>
        <w:rPr>
          <w:rStyle w:val="22"/>
          <w:color w:val="auto"/>
          <w:u w:val="none"/>
        </w:rPr>
        <w:t>附录C</w:t>
      </w:r>
      <w:r>
        <w:rPr>
          <w:rStyle w:val="22"/>
          <w:rFonts w:hint="eastAsia"/>
          <w:color w:val="auto"/>
          <w:u w:val="none"/>
        </w:rPr>
        <w:t>评价报告内容…</w:t>
      </w:r>
      <w:r>
        <w:rPr>
          <w:rFonts w:hint="eastAsia"/>
        </w:rPr>
        <w:t>……………………………………………………………</w:t>
      </w:r>
      <w:r>
        <w:t>（10）</w:t>
      </w:r>
    </w:p>
    <w:p>
      <w:pPr>
        <w:widowControl/>
        <w:adjustRightInd/>
        <w:spacing w:line="240" w:lineRule="auto"/>
        <w:ind w:firstLine="0" w:firstLineChars="0"/>
        <w:jc w:val="left"/>
        <w:textAlignment w:val="auto"/>
        <w:rPr>
          <w:rFonts w:ascii="黑体" w:hAnsi="黑体" w:eastAsia="黑体"/>
          <w:bCs/>
          <w:kern w:val="44"/>
          <w:sz w:val="44"/>
          <w:szCs w:val="44"/>
        </w:rPr>
      </w:pPr>
      <w:bookmarkStart w:id="0" w:name="_Toc511026343"/>
      <w:r>
        <w:rPr>
          <w:sz w:val="44"/>
        </w:rPr>
        <w:br w:type="page"/>
      </w:r>
    </w:p>
    <w:p>
      <w:pPr>
        <w:widowControl/>
        <w:adjustRightInd/>
        <w:spacing w:line="240" w:lineRule="auto"/>
        <w:ind w:firstLine="0" w:firstLineChars="0"/>
        <w:jc w:val="left"/>
        <w:textAlignment w:val="auto"/>
        <w:rPr>
          <w:rFonts w:ascii="黑体" w:hAnsi="黑体" w:eastAsia="黑体"/>
          <w:bCs/>
          <w:kern w:val="44"/>
          <w:sz w:val="44"/>
          <w:szCs w:val="44"/>
        </w:rPr>
      </w:pPr>
      <w:r>
        <w:rPr>
          <w:sz w:val="44"/>
        </w:rPr>
        <w:br w:type="page"/>
      </w:r>
    </w:p>
    <w:p>
      <w:pPr>
        <w:pStyle w:val="2"/>
        <w:spacing w:before="156"/>
        <w:jc w:val="center"/>
        <w:rPr>
          <w:sz w:val="44"/>
        </w:rPr>
      </w:pPr>
      <w:r>
        <w:rPr>
          <w:rFonts w:hint="eastAsia"/>
          <w:sz w:val="44"/>
        </w:rPr>
        <w:t>引言</w:t>
      </w:r>
      <w:bookmarkEnd w:id="0"/>
    </w:p>
    <w:p>
      <w:pPr>
        <w:ind w:firstLine="480"/>
        <w:rPr>
          <w:rFonts w:ascii="宋体" w:hAnsi="宋体"/>
          <w:color w:val="000000"/>
        </w:rPr>
      </w:pPr>
      <w:r>
        <w:rPr>
          <w:rFonts w:hint="eastAsia"/>
          <w:color w:val="000000"/>
        </w:rPr>
        <w:t>JJF</w:t>
      </w:r>
      <w:r>
        <w:rPr>
          <w:color w:val="000000"/>
        </w:rPr>
        <w:t xml:space="preserve"> </w:t>
      </w:r>
      <w:r>
        <w:rPr>
          <w:rFonts w:hint="eastAsia"/>
          <w:color w:val="000000"/>
        </w:rPr>
        <w:t>XXX-XXXX《加速度计安装及其评价方法规范》是评价振动测量中使用的加速度计在不同安装条件下（如使用了安装绝缘垫片、安装座等）对测量结果准确性影响的指导性技术规范。</w:t>
      </w:r>
    </w:p>
    <w:p>
      <w:pPr>
        <w:ind w:firstLine="480"/>
        <w:rPr>
          <w:color w:val="000000"/>
        </w:rPr>
      </w:pPr>
      <w:r>
        <w:rPr>
          <w:rFonts w:hint="eastAsia" w:ascii="宋体" w:hAnsi="宋体"/>
          <w:color w:val="000000"/>
        </w:rPr>
        <w:t>本规范充分参考借鉴了</w:t>
      </w:r>
      <w:r>
        <w:rPr>
          <w:rFonts w:hint="eastAsia"/>
        </w:rPr>
        <w:t>GB/T 13823.20-2008 《振动与冲击传感器校准方法 加速度计谐振测试通用方法》、GB/T 14412-2005《机械振动与冲击 加速度计的机械安装》等国家标准，以及</w:t>
      </w:r>
      <w:r>
        <w:rPr>
          <w:rFonts w:hint="eastAsia"/>
          <w:color w:val="000000"/>
        </w:rPr>
        <w:t>JJG233压电加速度计检定规程、JJF</w:t>
      </w:r>
      <w:r>
        <w:rPr>
          <w:color w:val="000000"/>
        </w:rPr>
        <w:t xml:space="preserve"> 1139</w:t>
      </w:r>
      <w:r>
        <w:rPr>
          <w:rFonts w:hint="eastAsia"/>
          <w:color w:val="000000"/>
        </w:rPr>
        <w:t>计量器具检定周期确定原则和方法。</w:t>
      </w:r>
    </w:p>
    <w:p>
      <w:pPr>
        <w:autoSpaceDE w:val="0"/>
        <w:autoSpaceDN w:val="0"/>
        <w:ind w:firstLine="480"/>
        <w:jc w:val="left"/>
        <w:rPr>
          <w:rFonts w:ascii="宋体" w:hAnsi="宋体"/>
          <w:color w:val="000000"/>
        </w:rPr>
      </w:pPr>
      <w:r>
        <w:rPr>
          <w:rFonts w:hint="eastAsia" w:ascii="宋体" w:hAnsi="宋体"/>
          <w:color w:val="000000"/>
        </w:rPr>
        <w:t>本规范为首次制定。</w:t>
      </w:r>
    </w:p>
    <w:p>
      <w:pPr>
        <w:widowControl/>
        <w:adjustRightInd/>
        <w:spacing w:line="240" w:lineRule="auto"/>
        <w:ind w:firstLine="0" w:firstLineChars="0"/>
        <w:jc w:val="left"/>
        <w:textAlignment w:val="auto"/>
        <w:rPr>
          <w:rFonts w:ascii="宋体" w:hAnsi="宋体"/>
          <w:color w:val="000000"/>
        </w:rPr>
      </w:pPr>
      <w:r>
        <w:rPr>
          <w:rFonts w:ascii="宋体" w:hAnsi="宋体"/>
          <w:color w:val="000000"/>
        </w:rPr>
        <w:br w:type="page"/>
      </w:r>
    </w:p>
    <w:p>
      <w:pPr>
        <w:autoSpaceDE w:val="0"/>
        <w:autoSpaceDN w:val="0"/>
        <w:ind w:firstLine="640"/>
        <w:jc w:val="center"/>
        <w:rPr>
          <w:rFonts w:ascii="黑体" w:eastAsia="黑体" w:cs="黑体"/>
          <w:sz w:val="32"/>
          <w:szCs w:val="32"/>
        </w:rPr>
      </w:pPr>
    </w:p>
    <w:p>
      <w:pPr>
        <w:autoSpaceDE w:val="0"/>
        <w:autoSpaceDN w:val="0"/>
        <w:ind w:firstLine="640"/>
        <w:jc w:val="center"/>
        <w:rPr>
          <w:rFonts w:ascii="黑体" w:eastAsia="黑体" w:cs="黑体"/>
          <w:sz w:val="32"/>
          <w:szCs w:val="32"/>
        </w:rPr>
        <w:sectPr>
          <w:footerReference r:id="rId13" w:type="default"/>
          <w:pgSz w:w="11906" w:h="16838"/>
          <w:pgMar w:top="1440" w:right="1558" w:bottom="1440" w:left="1979" w:header="851" w:footer="992" w:gutter="0"/>
          <w:pgNumType w:fmt="upperRoman" w:start="1"/>
          <w:cols w:space="425" w:num="1"/>
          <w:docGrid w:type="linesAndChars" w:linePitch="312" w:charSpace="0"/>
        </w:sectPr>
      </w:pPr>
    </w:p>
    <w:p>
      <w:pPr>
        <w:pStyle w:val="16"/>
        <w:ind w:firstLine="643"/>
      </w:pPr>
      <w:bookmarkStart w:id="1" w:name="_Toc511026344"/>
      <w:r>
        <w:rPr>
          <w:rFonts w:hint="eastAsia"/>
        </w:rPr>
        <w:t>加速度计安装及其评价方法规范</w:t>
      </w:r>
      <w:bookmarkEnd w:id="1"/>
    </w:p>
    <w:p>
      <w:pPr>
        <w:pStyle w:val="2"/>
        <w:spacing w:before="156"/>
      </w:pPr>
      <w:bookmarkStart w:id="2" w:name="_Toc511026345"/>
      <w:r>
        <w:rPr>
          <w:rFonts w:ascii="Times New Roman" w:hAnsi="Times New Roman"/>
        </w:rPr>
        <w:t>1 范</w:t>
      </w:r>
      <w:r>
        <w:rPr>
          <w:rFonts w:hint="eastAsia"/>
        </w:rPr>
        <w:t>围</w:t>
      </w:r>
      <w:bookmarkEnd w:id="2"/>
    </w:p>
    <w:p>
      <w:pPr>
        <w:ind w:firstLine="480"/>
      </w:pPr>
      <w:r>
        <w:t>本规范</w:t>
      </w:r>
      <w:r>
        <w:rPr>
          <w:rFonts w:hint="eastAsia"/>
        </w:rPr>
        <w:t>中的方法</w:t>
      </w:r>
      <w:r>
        <w:t>适用于</w:t>
      </w:r>
      <w:r>
        <w:rPr>
          <w:rFonts w:hint="eastAsia"/>
        </w:rPr>
        <w:t>对频率不超过</w:t>
      </w:r>
      <w:r>
        <w:t>2</w:t>
      </w:r>
      <w:r>
        <w:rPr>
          <w:rFonts w:hint="eastAsia"/>
        </w:rPr>
        <w:t>0kHz的振动测量中，被测量结构表面安装的加速度计，在</w:t>
      </w:r>
      <w:r>
        <w:rPr>
          <w:rFonts w:hint="eastAsia"/>
          <w:color w:val="000000"/>
        </w:rPr>
        <w:t>采用了螺钉、胶水、安装绝缘垫片、安装座等条件时，对振动加速度测量结果准确性影响的</w:t>
      </w:r>
      <w:r>
        <w:rPr>
          <w:rFonts w:hint="eastAsia"/>
        </w:rPr>
        <w:t>评价。</w:t>
      </w:r>
    </w:p>
    <w:p>
      <w:pPr>
        <w:pStyle w:val="2"/>
        <w:spacing w:before="156"/>
      </w:pPr>
      <w:bookmarkStart w:id="3" w:name="_Toc511026346"/>
      <w:r>
        <w:rPr>
          <w:rFonts w:ascii="Times New Roman" w:hAnsi="Times New Roman"/>
        </w:rPr>
        <w:t>2 引用</w:t>
      </w:r>
      <w:r>
        <w:rPr>
          <w:rFonts w:hint="eastAsia"/>
        </w:rPr>
        <w:t>文件</w:t>
      </w:r>
      <w:bookmarkEnd w:id="3"/>
    </w:p>
    <w:p>
      <w:pPr>
        <w:ind w:firstLine="480"/>
      </w:pPr>
      <w:r>
        <w:rPr>
          <w:rFonts w:hint="eastAsia"/>
        </w:rPr>
        <w:t>本规范引用了以下文件：</w:t>
      </w:r>
    </w:p>
    <w:p>
      <w:pPr>
        <w:ind w:firstLine="480"/>
      </w:pPr>
      <w:r>
        <w:t xml:space="preserve">JJF </w:t>
      </w:r>
      <w:r>
        <w:rPr>
          <w:rFonts w:hint="eastAsia"/>
        </w:rPr>
        <w:t>1001-2011 通用计量术语及定义</w:t>
      </w:r>
    </w:p>
    <w:p>
      <w:pPr>
        <w:ind w:firstLine="480"/>
      </w:pPr>
      <w:r>
        <w:rPr>
          <w:rFonts w:hint="eastAsia"/>
        </w:rPr>
        <w:t>JJF 1156-2006</w:t>
      </w:r>
      <w:r>
        <w:t>振动</w:t>
      </w:r>
      <w:r>
        <w:rPr>
          <w:rFonts w:hint="eastAsia"/>
        </w:rPr>
        <w:t>、</w:t>
      </w:r>
      <w:r>
        <w:t>冲击</w:t>
      </w:r>
      <w:r>
        <w:rPr>
          <w:rFonts w:hint="eastAsia"/>
        </w:rPr>
        <w:t>、</w:t>
      </w:r>
      <w:r>
        <w:t>转速计量术语及定义</w:t>
      </w:r>
    </w:p>
    <w:p>
      <w:pPr>
        <w:ind w:firstLine="480"/>
      </w:pPr>
      <w:r>
        <w:rPr>
          <w:rFonts w:hint="eastAsia"/>
        </w:rPr>
        <w:t>JJG 233-2008 压电加速度计检定规程</w:t>
      </w:r>
    </w:p>
    <w:p>
      <w:pPr>
        <w:ind w:firstLine="480"/>
      </w:pPr>
      <w:r>
        <w:rPr>
          <w:rFonts w:hint="eastAsia"/>
        </w:rPr>
        <w:t>GB/T 13823.20-2008 振动与冲击传感器校准方法 加速度计谐振测试 通用方法</w:t>
      </w:r>
    </w:p>
    <w:p>
      <w:pPr>
        <w:ind w:firstLine="480"/>
      </w:pPr>
      <w:r>
        <w:rPr>
          <w:rFonts w:hint="eastAsia"/>
        </w:rPr>
        <w:t>GB/T 14412-2005机械振动与冲击 加速度计的机械安装</w:t>
      </w:r>
    </w:p>
    <w:p>
      <w:pPr>
        <w:ind w:firstLine="480"/>
      </w:pPr>
      <w:r>
        <w:rPr>
          <w:rFonts w:hint="eastAsia"/>
        </w:rPr>
        <w:t>GB/T 20485.1-2008 振动与冲击传感器校准方法 第1部分：基本概念</w:t>
      </w:r>
    </w:p>
    <w:p>
      <w:pPr>
        <w:ind w:firstLine="480"/>
      </w:pPr>
      <w:r>
        <w:t>凡是注日期的引用文</w:t>
      </w:r>
      <w:r>
        <w:rPr>
          <w:rFonts w:hint="eastAsia"/>
        </w:rPr>
        <w:t>件，仅注日期的版本适用于本规范；凡是不注日期的引用文件，其最新版本（包括所有的修改单）适用于本规范。</w:t>
      </w:r>
    </w:p>
    <w:p>
      <w:pPr>
        <w:pStyle w:val="2"/>
        <w:spacing w:before="156"/>
      </w:pPr>
      <w:bookmarkStart w:id="4" w:name="_Toc511026347"/>
      <w:r>
        <w:rPr>
          <w:rFonts w:ascii="Times New Roman" w:hAnsi="Times New Roman"/>
        </w:rPr>
        <w:t>3 术语和</w:t>
      </w:r>
      <w:r>
        <w:rPr>
          <w:rFonts w:hint="eastAsia"/>
        </w:rPr>
        <w:t>计量单位</w:t>
      </w:r>
      <w:bookmarkEnd w:id="4"/>
    </w:p>
    <w:p>
      <w:pPr>
        <w:ind w:firstLine="480"/>
      </w:pPr>
      <w:r>
        <w:rPr>
          <w:rFonts w:hint="eastAsia"/>
        </w:rPr>
        <w:t>JJF 1001、JJF 1156、GB/T 20485中界定的术语和定义适用于本规范。</w:t>
      </w:r>
    </w:p>
    <w:p>
      <w:pPr>
        <w:ind w:firstLine="480"/>
      </w:pPr>
      <w:r>
        <w:rPr>
          <w:rFonts w:hint="eastAsia"/>
        </w:rPr>
        <w:t>以下</w:t>
      </w:r>
      <w:r>
        <w:t>术语和定义适用于本</w:t>
      </w:r>
      <w:r>
        <w:rPr>
          <w:rFonts w:hint="eastAsia"/>
        </w:rPr>
        <w:t>规范：</w:t>
      </w:r>
    </w:p>
    <w:p>
      <w:pPr>
        <w:pStyle w:val="3"/>
      </w:pPr>
      <w:r>
        <w:rPr>
          <w:rFonts w:hint="eastAsia"/>
        </w:rPr>
        <w:t>3.</w:t>
      </w:r>
      <w:r>
        <w:t>1</w:t>
      </w:r>
      <w:r>
        <w:rPr>
          <w:rFonts w:hint="eastAsia"/>
        </w:rPr>
        <w:t>有效测量频带Effective Measurement Frequency Band</w:t>
      </w:r>
    </w:p>
    <w:p>
      <w:pPr>
        <w:ind w:firstLine="480"/>
      </w:pPr>
      <w:r>
        <w:rPr>
          <w:rFonts w:hint="eastAsia"/>
        </w:rPr>
        <w:t>加速度计幅值灵敏度相对于参考频率下的幅值灵敏度变化不超过规定限值的频带。</w:t>
      </w:r>
    </w:p>
    <w:p>
      <w:pPr>
        <w:pStyle w:val="2"/>
        <w:spacing w:before="156"/>
      </w:pPr>
      <w:bookmarkStart w:id="5" w:name="_Toc511026349"/>
      <w:r>
        <w:rPr>
          <w:rFonts w:ascii="Times New Roman" w:hAnsi="Times New Roman"/>
        </w:rPr>
        <w:t xml:space="preserve">4 </w:t>
      </w:r>
      <w:bookmarkEnd w:id="5"/>
      <w:r>
        <w:rPr>
          <w:rFonts w:hint="eastAsia"/>
        </w:rPr>
        <w:t>评价目的</w:t>
      </w:r>
    </w:p>
    <w:p>
      <w:pPr>
        <w:ind w:firstLine="480"/>
        <w:rPr>
          <w:rFonts w:asciiTheme="minorEastAsia" w:hAnsiTheme="minorEastAsia" w:eastAsiaTheme="minorEastAsia"/>
          <w:szCs w:val="21"/>
        </w:rPr>
      </w:pPr>
      <w:r>
        <w:rPr>
          <w:rFonts w:hint="eastAsia" w:asciiTheme="minorEastAsia" w:hAnsiTheme="minorEastAsia" w:eastAsiaTheme="minorEastAsia"/>
          <w:szCs w:val="21"/>
        </w:rPr>
        <w:t>机械振动的测量需要采用各类振动传感器，振动传感器的安装对于振动测量结果有很大的影响，常见的安装方式有螺钉、胶水、</w:t>
      </w:r>
      <w:r>
        <w:rPr>
          <w:rFonts w:hint="eastAsia"/>
          <w:color w:val="000000"/>
        </w:rPr>
        <w:t>安装</w:t>
      </w:r>
      <w:r>
        <w:rPr>
          <w:rFonts w:hint="eastAsia" w:asciiTheme="minorEastAsia" w:hAnsiTheme="minorEastAsia" w:eastAsiaTheme="minorEastAsia"/>
          <w:szCs w:val="21"/>
        </w:rPr>
        <w:t>座等。在有些条件下，为了避免电信号干扰、避免对被测对象的损坏等，还需要在振动传感器和测量结构之间安装用于绝缘、隔离和便于拆卸使用等的</w:t>
      </w:r>
      <w:r>
        <w:rPr>
          <w:rFonts w:hint="eastAsia"/>
          <w:color w:val="000000"/>
        </w:rPr>
        <w:t>安装绝缘垫片</w:t>
      </w:r>
      <w:r>
        <w:rPr>
          <w:rFonts w:hint="eastAsia" w:asciiTheme="minorEastAsia" w:hAnsiTheme="minorEastAsia" w:eastAsiaTheme="minorEastAsia"/>
          <w:szCs w:val="21"/>
        </w:rPr>
        <w:t>。</w:t>
      </w:r>
    </w:p>
    <w:p>
      <w:pPr>
        <w:ind w:firstLine="480"/>
        <w:rPr>
          <w:rFonts w:asciiTheme="minorEastAsia" w:hAnsiTheme="minorEastAsia" w:eastAsiaTheme="minorEastAsia"/>
          <w:szCs w:val="21"/>
        </w:rPr>
      </w:pPr>
      <w:r>
        <w:rPr>
          <w:rFonts w:hint="eastAsia" w:asciiTheme="minorEastAsia" w:hAnsiTheme="minorEastAsia" w:eastAsiaTheme="minorEastAsia"/>
          <w:szCs w:val="21"/>
        </w:rPr>
        <w:t>对于以上必须用到振动传感器安装结构的情况下，需要通过对振动传感器的安装进行评价，从而确定实际的振动测量系统的频响，使得其在测量频带内获得更为准确的振动测量结果。</w:t>
      </w:r>
    </w:p>
    <w:p>
      <w:pPr>
        <w:ind w:firstLine="560"/>
        <w:jc w:val="center"/>
        <w:rPr>
          <w:sz w:val="28"/>
          <w:szCs w:val="28"/>
        </w:rPr>
      </w:pPr>
      <w:r>
        <w:rPr>
          <w:sz w:val="28"/>
          <w:szCs w:val="28"/>
        </w:rPr>
        <w:drawing>
          <wp:inline distT="0" distB="0" distL="0" distR="0">
            <wp:extent cx="3733800" cy="1998345"/>
            <wp:effectExtent l="1905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noChangeArrowheads="1"/>
                    </pic:cNvPicPr>
                  </pic:nvPicPr>
                  <pic:blipFill>
                    <a:blip r:embed="rId22"/>
                    <a:srcRect/>
                    <a:stretch>
                      <a:fillRect/>
                    </a:stretch>
                  </pic:blipFill>
                  <pic:spPr>
                    <a:xfrm>
                      <a:off x="0" y="0"/>
                      <a:ext cx="3733800" cy="1998562"/>
                    </a:xfrm>
                    <a:prstGeom prst="rect">
                      <a:avLst/>
                    </a:prstGeom>
                    <a:noFill/>
                    <a:ln w="9525">
                      <a:noFill/>
                      <a:miter lim="800000"/>
                      <a:headEnd/>
                      <a:tailEnd/>
                    </a:ln>
                  </pic:spPr>
                </pic:pic>
              </a:graphicData>
            </a:graphic>
          </wp:inline>
        </w:drawing>
      </w:r>
    </w:p>
    <w:p>
      <w:pPr>
        <w:ind w:firstLine="562"/>
        <w:jc w:val="center"/>
        <w:rPr>
          <w:b/>
          <w:sz w:val="28"/>
          <w:szCs w:val="28"/>
        </w:rPr>
      </w:pPr>
      <w:r>
        <w:rPr>
          <w:b/>
          <w:sz w:val="28"/>
          <w:szCs w:val="28"/>
        </w:rPr>
        <w:drawing>
          <wp:inline distT="0" distB="0" distL="0" distR="0">
            <wp:extent cx="3476625" cy="1571625"/>
            <wp:effectExtent l="19050" t="0" r="9525"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noChangeArrowheads="1"/>
                    </pic:cNvPicPr>
                  </pic:nvPicPr>
                  <pic:blipFill>
                    <a:blip r:embed="rId23"/>
                    <a:srcRect/>
                    <a:stretch>
                      <a:fillRect/>
                    </a:stretch>
                  </pic:blipFill>
                  <pic:spPr>
                    <a:xfrm>
                      <a:off x="0" y="0"/>
                      <a:ext cx="3476625" cy="1571711"/>
                    </a:xfrm>
                    <a:prstGeom prst="rect">
                      <a:avLst/>
                    </a:prstGeom>
                    <a:noFill/>
                    <a:ln w="9525">
                      <a:noFill/>
                      <a:miter lim="800000"/>
                      <a:headEnd/>
                      <a:tailEnd/>
                    </a:ln>
                  </pic:spPr>
                </pic:pic>
              </a:graphicData>
            </a:graphic>
          </wp:inline>
        </w:drawing>
      </w:r>
    </w:p>
    <w:p>
      <w:pPr>
        <w:ind w:firstLine="360"/>
        <w:jc w:val="center"/>
        <w:rPr>
          <w:rFonts w:ascii="黑体" w:eastAsia="黑体"/>
          <w:sz w:val="18"/>
          <w:szCs w:val="18"/>
        </w:rPr>
      </w:pPr>
      <w:r>
        <w:rPr>
          <w:rFonts w:hint="eastAsia" w:ascii="黑体" w:eastAsia="黑体"/>
          <w:sz w:val="18"/>
          <w:szCs w:val="18"/>
        </w:rPr>
        <w:t>图1 不同安装方式的典型频响曲线</w:t>
      </w:r>
    </w:p>
    <w:p>
      <w:pPr>
        <w:widowControl/>
        <w:adjustRightInd/>
        <w:spacing w:line="240" w:lineRule="auto"/>
        <w:ind w:firstLine="0" w:firstLineChars="0"/>
        <w:jc w:val="left"/>
        <w:textAlignment w:val="auto"/>
        <w:rPr>
          <w:sz w:val="21"/>
        </w:rPr>
      </w:pPr>
      <w:r>
        <w:br w:type="page"/>
      </w:r>
    </w:p>
    <w:p>
      <w:pPr>
        <w:pStyle w:val="2"/>
        <w:spacing w:before="156"/>
        <w:rPr>
          <w:rFonts w:ascii="Times New Roman" w:hAnsi="Times New Roman"/>
        </w:rPr>
      </w:pPr>
      <w:bookmarkStart w:id="6" w:name="_Toc511026350"/>
      <w:r>
        <w:rPr>
          <w:rFonts w:ascii="Times New Roman" w:hAnsi="Times New Roman"/>
        </w:rPr>
        <w:t xml:space="preserve">5 </w:t>
      </w:r>
      <w:bookmarkEnd w:id="6"/>
      <w:r>
        <w:rPr>
          <w:rFonts w:hint="eastAsia" w:ascii="Times New Roman" w:hAnsi="Times New Roman"/>
        </w:rPr>
        <w:t>安装方法和评价原则</w:t>
      </w:r>
    </w:p>
    <w:p>
      <w:pPr>
        <w:pStyle w:val="3"/>
      </w:pPr>
      <w:bookmarkStart w:id="7" w:name="_Toc511026364"/>
      <w:r>
        <w:t>5</w:t>
      </w:r>
      <w:r>
        <w:rPr>
          <w:rFonts w:hint="eastAsia"/>
        </w:rPr>
        <w:t xml:space="preserve">.1 </w:t>
      </w:r>
      <w:bookmarkEnd w:id="7"/>
      <w:r>
        <w:rPr>
          <w:rFonts w:hint="eastAsia"/>
        </w:rPr>
        <w:t>安装方法</w:t>
      </w:r>
    </w:p>
    <w:p>
      <w:pPr>
        <w:ind w:firstLine="480"/>
      </w:pPr>
      <w:r>
        <w:rPr>
          <w:rFonts w:hint="eastAsia"/>
        </w:rPr>
        <w:t>1）加速度计安装前，应当仔细检查加速度计并阅读加速度计制造厂家推荐的机械安装形式所得到的加速度计频率响应曲线，并具体了解与加速度计所配套的安装器件的影响：</w:t>
      </w:r>
    </w:p>
    <w:p>
      <w:pPr>
        <w:ind w:firstLine="480"/>
      </w:pPr>
      <w:r>
        <w:rPr>
          <w:rFonts w:hint="eastAsia"/>
        </w:rPr>
        <w:t>——考虑到与加速度计相接触的结构表面状体的轴向刚度和加速度计的紧固力矩；</w:t>
      </w:r>
    </w:p>
    <w:p>
      <w:pPr>
        <w:ind w:firstLine="480"/>
      </w:pPr>
      <w:r>
        <w:rPr>
          <w:rFonts w:hint="eastAsia"/>
        </w:rPr>
        <w:t>——在同一基座上的横向刚度的偏离。</w:t>
      </w:r>
    </w:p>
    <w:p>
      <w:pPr>
        <w:ind w:firstLine="480"/>
      </w:pPr>
      <w:r>
        <w:rPr>
          <w:rFonts w:hint="eastAsia"/>
        </w:rPr>
        <w:t>2）加速度计安装的基本要求为：加速度计的安装位置应当尽可能靠近要求测量的试验部位；加速度计安装引入的试验结构运动变化尽可能小；加速度计安装对象应牢固；必要时采用对称安装；加速度计与安装器件的质量远远小于被测结构动态质量；按照厂家推荐的力矩进行安装。</w:t>
      </w:r>
    </w:p>
    <w:p>
      <w:pPr>
        <w:ind w:firstLine="480"/>
      </w:pPr>
      <w:r>
        <w:rPr>
          <w:rFonts w:hint="eastAsia"/>
        </w:rPr>
        <w:t>3）安装前，应该仔细地检查安装表面是否有污染和平整，表面安装状态（如有安装片等）和方法应记录在试验记录中，必要时记录测量现场，测量前和测量后两次的安装情况，并留存视频或照片。</w:t>
      </w:r>
    </w:p>
    <w:p>
      <w:pPr>
        <w:ind w:firstLine="480"/>
      </w:pPr>
      <w:r>
        <w:rPr>
          <w:rFonts w:hint="eastAsia"/>
        </w:rPr>
        <w:t>4）螺钉安装时，安装螺钉应垂直于安装面，采用厂家推荐的安装力矩，在螺孔中不能碰到螺孔底部，螺钉安装时结合面应当涂上硅脂。</w:t>
      </w:r>
    </w:p>
    <w:p>
      <w:pPr>
        <w:ind w:firstLine="480"/>
      </w:pPr>
      <w:r>
        <w:rPr>
          <w:rFonts w:hint="eastAsia"/>
        </w:rPr>
        <w:t>5）粘结时，粘结面应当按照厂家推荐方式进行清洗，粘结剂应形成薄膜，可采用丙烯酸类或热凝性固化粘结剂。</w:t>
      </w:r>
    </w:p>
    <w:p>
      <w:pPr>
        <w:ind w:firstLine="480"/>
      </w:pPr>
      <w:r>
        <w:rPr>
          <w:rFonts w:hint="eastAsia"/>
        </w:rPr>
        <w:t>6）安装器件安装时，安装器件应刚度大、质量轻、惯性矩小，对加速度计灵敏轴对称；避免使用支架安装，必须时应当采用刚度小的立方体牢固安装在结构上。</w:t>
      </w:r>
    </w:p>
    <w:p>
      <w:pPr>
        <w:ind w:firstLine="480"/>
      </w:pPr>
      <w:r>
        <w:rPr>
          <w:rFonts w:hint="eastAsia"/>
        </w:rPr>
        <w:t>7）蜂蜡、双面胶、磁性座、快装夹具、真空安装座安装时应当限制使用的振动幅值和频率，可根据本规范中的评价方法对有效测量频带进行确定，手持式固定加速度计一般不推荐。</w:t>
      </w:r>
    </w:p>
    <w:p>
      <w:pPr>
        <w:ind w:firstLine="480"/>
      </w:pPr>
      <w:r>
        <w:rPr>
          <w:rFonts w:hint="eastAsia"/>
        </w:rPr>
        <w:t>8）以上安装方式具体选择的准则可以参照GB/T 14412-2005机械振动与冲击加速度计的机械安装中的表1。</w:t>
      </w:r>
    </w:p>
    <w:p>
      <w:pPr>
        <w:pStyle w:val="3"/>
      </w:pPr>
      <w:r>
        <w:t>5</w:t>
      </w:r>
      <w:r>
        <w:rPr>
          <w:rFonts w:hint="eastAsia"/>
        </w:rPr>
        <w:t>.</w:t>
      </w:r>
      <w:r>
        <w:t>2</w:t>
      </w:r>
      <w:r>
        <w:rPr>
          <w:rFonts w:hint="eastAsia"/>
        </w:rPr>
        <w:t xml:space="preserve"> 评价原则</w:t>
      </w:r>
    </w:p>
    <w:p>
      <w:pPr>
        <w:ind w:firstLine="480"/>
      </w:pPr>
      <w:r>
        <w:rPr>
          <w:rFonts w:hint="eastAsia"/>
        </w:rPr>
        <w:t>加速度计安装的评价主要是确定其有效测量频带。应当遵循符合实际使用的原则，在满足实际振动测量要求的基础上，通过实验室预先评价或者现场评价的方式，确定有效测量频带。</w:t>
      </w:r>
    </w:p>
    <w:p>
      <w:pPr>
        <w:pStyle w:val="2"/>
        <w:spacing w:before="156"/>
        <w:rPr>
          <w:rFonts w:ascii="Times New Roman" w:hAnsi="Times New Roman"/>
        </w:rPr>
      </w:pPr>
      <w:r>
        <w:rPr>
          <w:rFonts w:hint="eastAsia" w:ascii="Times New Roman" w:hAnsi="Times New Roman"/>
        </w:rPr>
        <w:t>6评价对象和评价周期</w:t>
      </w:r>
    </w:p>
    <w:p>
      <w:pPr>
        <w:ind w:firstLine="480"/>
      </w:pPr>
      <w:r>
        <w:rPr>
          <w:rFonts w:hint="eastAsia"/>
        </w:rPr>
        <w:t>评价对象为包括实际安装条件（连接方式、底座等）的加速度计，需要时可以针对整个包含加速度计的测量系统进行整体评价。</w:t>
      </w:r>
    </w:p>
    <w:p>
      <w:pPr>
        <w:ind w:firstLine="480"/>
      </w:pPr>
      <w:r>
        <w:rPr>
          <w:rFonts w:hint="eastAsia"/>
        </w:rPr>
        <w:t>为了保障测量数据测准确可靠，评价</w:t>
      </w:r>
      <w:r>
        <w:t>建议</w:t>
      </w:r>
      <w:r>
        <w:rPr>
          <w:rFonts w:hint="eastAsia"/>
        </w:rPr>
        <w:t>在加速度计安装在试验结构前和试验结构测试结束后各进行1次，并且应当前后评价结果的偏差不超过试验要求的限值。</w:t>
      </w:r>
    </w:p>
    <w:p>
      <w:pPr>
        <w:ind w:firstLine="480"/>
      </w:pPr>
      <w:r>
        <w:rPr>
          <w:rFonts w:hint="eastAsia"/>
        </w:rPr>
        <w:t>评价周期可能受安装条件、拆卸难易、环境条件等诸多因素的制约。具体可根据实际测试要求确定。</w:t>
      </w:r>
    </w:p>
    <w:p>
      <w:pPr>
        <w:pStyle w:val="2"/>
        <w:spacing w:before="156"/>
        <w:rPr>
          <w:rFonts w:ascii="Times New Roman" w:hAnsi="Times New Roman"/>
        </w:rPr>
      </w:pPr>
      <w:r>
        <w:rPr>
          <w:rFonts w:ascii="Times New Roman" w:hAnsi="Times New Roman"/>
        </w:rPr>
        <w:t>7</w:t>
      </w:r>
      <w:r>
        <w:rPr>
          <w:rFonts w:hint="eastAsia" w:ascii="Times New Roman" w:hAnsi="Times New Roman"/>
        </w:rPr>
        <w:t>评价要素和评价条件要求</w:t>
      </w:r>
    </w:p>
    <w:p>
      <w:pPr>
        <w:pStyle w:val="2"/>
        <w:spacing w:before="156"/>
      </w:pPr>
      <w:r>
        <w:rPr>
          <w:rFonts w:ascii="Times New Roman" w:hAnsi="Times New Roman"/>
        </w:rPr>
        <w:t>7.1</w:t>
      </w:r>
      <w:r>
        <w:rPr>
          <w:rFonts w:hint="eastAsia" w:ascii="Times New Roman" w:hAnsi="Times New Roman"/>
        </w:rPr>
        <w:t>评价</w:t>
      </w:r>
      <w:r>
        <w:rPr>
          <w:rFonts w:hint="eastAsia"/>
        </w:rPr>
        <w:t>要素</w:t>
      </w:r>
    </w:p>
    <w:p>
      <w:pPr>
        <w:ind w:firstLine="480"/>
      </w:pPr>
      <w:r>
        <w:rPr>
          <w:rFonts w:hint="eastAsia"/>
        </w:rPr>
        <w:t>加速度计安装应当对有效测量频带进行评价。</w:t>
      </w:r>
    </w:p>
    <w:p>
      <w:pPr>
        <w:pStyle w:val="2"/>
        <w:spacing w:before="156"/>
      </w:pPr>
      <w:bookmarkStart w:id="8" w:name="_Toc511026360"/>
      <w:r>
        <w:rPr>
          <w:rFonts w:ascii="Times New Roman" w:hAnsi="Times New Roman"/>
        </w:rPr>
        <w:t>7.</w:t>
      </w:r>
      <w:r>
        <w:rPr>
          <w:rFonts w:hint="eastAsia" w:ascii="Times New Roman" w:hAnsi="Times New Roman"/>
        </w:rPr>
        <w:t>2评价</w:t>
      </w:r>
      <w:r>
        <w:rPr>
          <w:rFonts w:hint="eastAsia"/>
        </w:rPr>
        <w:t>条件</w:t>
      </w:r>
      <w:bookmarkEnd w:id="8"/>
    </w:p>
    <w:p>
      <w:pPr>
        <w:ind w:firstLine="480"/>
      </w:pPr>
      <w:r>
        <w:rPr>
          <w:rFonts w:hint="eastAsia"/>
        </w:rPr>
        <w:t>评价条件为推荐条件，具体应当根据实际使用要求确定应当具备的条件。</w:t>
      </w:r>
    </w:p>
    <w:p>
      <w:pPr>
        <w:pStyle w:val="3"/>
      </w:pPr>
      <w:bookmarkStart w:id="9" w:name="_Toc511026361"/>
      <w:r>
        <w:t>7</w:t>
      </w:r>
      <w:r>
        <w:rPr>
          <w:rFonts w:hint="eastAsia"/>
        </w:rPr>
        <w:t>.</w:t>
      </w:r>
      <w:r>
        <w:t>2.1环境条件</w:t>
      </w:r>
      <w:bookmarkEnd w:id="9"/>
    </w:p>
    <w:p>
      <w:pPr>
        <w:ind w:firstLine="480"/>
      </w:pPr>
      <w:r>
        <w:t>环境温度</w:t>
      </w:r>
      <w:r>
        <w:rPr>
          <w:rFonts w:hint="eastAsia"/>
        </w:rPr>
        <w:t>：-</w:t>
      </w:r>
      <w:r>
        <w:t>40℃~50℃</w:t>
      </w:r>
    </w:p>
    <w:p>
      <w:pPr>
        <w:ind w:firstLine="480"/>
      </w:pPr>
      <w:r>
        <w:t>相对湿度</w:t>
      </w:r>
      <w:r>
        <w:rPr>
          <w:rFonts w:hint="eastAsia"/>
        </w:rPr>
        <w:t>：≤80%</w:t>
      </w:r>
    </w:p>
    <w:p>
      <w:pPr>
        <w:ind w:firstLine="480"/>
      </w:pPr>
      <w:r>
        <w:t>室内应无影响校准结果的强电磁场干扰</w:t>
      </w:r>
      <w:r>
        <w:rPr>
          <w:rFonts w:hint="eastAsia"/>
        </w:rPr>
        <w:t>。</w:t>
      </w:r>
    </w:p>
    <w:p>
      <w:pPr>
        <w:pStyle w:val="3"/>
      </w:pPr>
      <w:bookmarkStart w:id="10" w:name="_Toc511026362"/>
      <w:r>
        <w:t xml:space="preserve">7.2.2 </w:t>
      </w:r>
      <w:r>
        <w:rPr>
          <w:rFonts w:hint="eastAsia"/>
        </w:rPr>
        <w:t>测量</w:t>
      </w:r>
      <w:bookmarkEnd w:id="10"/>
      <w:r>
        <w:rPr>
          <w:rFonts w:hint="eastAsia"/>
        </w:rPr>
        <w:t>设备</w:t>
      </w:r>
    </w:p>
    <w:p>
      <w:pPr>
        <w:pStyle w:val="4"/>
      </w:pPr>
      <w:bookmarkStart w:id="11" w:name="_Toc493756891"/>
      <w:r>
        <w:t>7.2.2</w:t>
      </w:r>
      <w:r>
        <w:rPr>
          <w:rFonts w:hint="eastAsia"/>
        </w:rPr>
        <w:t>.1</w:t>
      </w:r>
      <w:bookmarkEnd w:id="11"/>
      <w:r>
        <w:rPr>
          <w:rFonts w:hint="eastAsia"/>
        </w:rPr>
        <w:t xml:space="preserve"> 振动标准装置</w:t>
      </w:r>
    </w:p>
    <w:p>
      <w:pPr>
        <w:ind w:firstLine="480"/>
      </w:pPr>
      <w:r>
        <w:rPr>
          <w:rFonts w:hint="eastAsia"/>
        </w:rPr>
        <w:t>频率范围：10Hz~</w:t>
      </w:r>
      <w:r>
        <w:t>2</w:t>
      </w:r>
      <w:r>
        <w:rPr>
          <w:rFonts w:hint="eastAsia"/>
        </w:rPr>
        <w:t>0kHz，加速度范围：1</w:t>
      </w:r>
      <w:r>
        <w:t>0</w:t>
      </w:r>
      <w:r>
        <w:rPr>
          <w:rFonts w:hint="eastAsia"/>
        </w:rPr>
        <w:t>m/s</w:t>
      </w:r>
      <w:r>
        <w:rPr>
          <w:rFonts w:hint="eastAsia"/>
          <w:vertAlign w:val="superscript"/>
        </w:rPr>
        <w:t>2</w:t>
      </w:r>
      <w:r>
        <w:rPr>
          <w:rFonts w:hint="eastAsia"/>
        </w:rPr>
        <w:t>~100m/s</w:t>
      </w:r>
      <w:r>
        <w:rPr>
          <w:rFonts w:hint="eastAsia"/>
          <w:vertAlign w:val="superscript"/>
        </w:rPr>
        <w:t>2</w:t>
      </w:r>
      <w:r>
        <w:rPr>
          <w:rFonts w:hint="eastAsia"/>
        </w:rPr>
        <w:t>，加速度幅值不确定度优于2.0%~</w:t>
      </w:r>
      <w:r>
        <w:t>5.0</w:t>
      </w:r>
      <w:r>
        <w:rPr>
          <w:rFonts w:hint="eastAsia"/>
        </w:rPr>
        <w:t>%（</w:t>
      </w:r>
      <w:r>
        <w:rPr>
          <w:rFonts w:hint="eastAsia"/>
          <w:i/>
        </w:rPr>
        <w:t>k</w:t>
      </w:r>
      <w:r>
        <w:rPr>
          <w:rFonts w:hint="eastAsia"/>
        </w:rPr>
        <w:t>=2）。</w:t>
      </w:r>
    </w:p>
    <w:p>
      <w:pPr>
        <w:pStyle w:val="4"/>
      </w:pPr>
      <w:r>
        <w:t>7.2.2</w:t>
      </w:r>
      <w:r>
        <w:rPr>
          <w:rFonts w:hint="eastAsia"/>
        </w:rPr>
        <w:t>.</w:t>
      </w:r>
      <w:r>
        <w:t>2</w:t>
      </w:r>
      <w:r>
        <w:rPr>
          <w:rFonts w:hint="eastAsia"/>
        </w:rPr>
        <w:t xml:space="preserve"> 动态信号分析仪</w:t>
      </w:r>
    </w:p>
    <w:p>
      <w:pPr>
        <w:ind w:firstLine="480"/>
      </w:pPr>
      <w:r>
        <w:rPr>
          <w:rFonts w:hint="eastAsia"/>
        </w:rPr>
        <w:t>分析带宽大于</w:t>
      </w:r>
      <w:r>
        <w:t>10</w:t>
      </w:r>
      <w:r>
        <w:rPr>
          <w:rFonts w:hint="eastAsia"/>
        </w:rPr>
        <w:t>0kHz，频率分辨力优于0.01%，频谱幅值示值最大允许误差±0.2%，通道一致性相位差最大允许误差±0</w:t>
      </w:r>
      <w:r>
        <w:t>.</w:t>
      </w:r>
      <w:r>
        <w:rPr>
          <w:rFonts w:hint="eastAsia"/>
        </w:rPr>
        <w:t>1°，幅值一致性最大允许误差±0</w:t>
      </w:r>
      <w:r>
        <w:t>.5</w:t>
      </w:r>
      <w:r>
        <w:rPr>
          <w:rFonts w:hint="eastAsia"/>
        </w:rPr>
        <w:t>%</w:t>
      </w:r>
    </w:p>
    <w:p>
      <w:pPr>
        <w:pStyle w:val="2"/>
        <w:spacing w:before="156"/>
      </w:pPr>
      <w:r>
        <w:rPr>
          <w:rFonts w:ascii="Times New Roman" w:hAnsi="Times New Roman"/>
        </w:rPr>
        <w:t>8</w:t>
      </w:r>
      <w:r>
        <w:rPr>
          <w:rFonts w:hint="eastAsia" w:ascii="Times New Roman" w:hAnsi="Times New Roman"/>
        </w:rPr>
        <w:t>评价方式和方法</w:t>
      </w:r>
    </w:p>
    <w:p>
      <w:pPr>
        <w:ind w:firstLine="480"/>
      </w:pPr>
      <w:r>
        <w:rPr>
          <w:rFonts w:hint="eastAsia"/>
        </w:rPr>
        <w:t>采用正弦信号激励法时，通过振动标准装置产生已知的标准振动量，测量该样品的输出，获得其频响曲线，进而确定其有效测量频带。以上方法具体可参照GB/T 14412、GB/T 13823和JJG 233的频响测试计量方法进行测量，可以采用激光绝对法或者参考加速度计比较法实现。</w:t>
      </w:r>
    </w:p>
    <w:p>
      <w:pPr>
        <w:ind w:firstLine="480"/>
        <w:rPr>
          <w:rFonts w:asciiTheme="minorEastAsia" w:hAnsiTheme="minorEastAsia" w:eastAsiaTheme="minorEastAsia"/>
          <w:szCs w:val="21"/>
        </w:rPr>
      </w:pPr>
      <w:r>
        <w:rPr>
          <w:rFonts w:hint="eastAsia" w:asciiTheme="minorEastAsia" w:hAnsiTheme="minorEastAsia" w:eastAsiaTheme="minorEastAsia"/>
          <w:szCs w:val="21"/>
        </w:rPr>
        <w:t>对于</w:t>
      </w:r>
      <w:r>
        <w:rPr>
          <w:rFonts w:hint="eastAsia"/>
        </w:rPr>
        <w:t>有效测量频带</w:t>
      </w:r>
      <w:r>
        <w:rPr>
          <w:rFonts w:hint="eastAsia" w:asciiTheme="minorEastAsia" w:hAnsiTheme="minorEastAsia" w:eastAsiaTheme="minorEastAsia"/>
          <w:szCs w:val="21"/>
        </w:rPr>
        <w:t>的测量，由于高频下会出现被测物体的振动模态和标准振动台横向振动的影响，采用激光测振仪进行测量时，需要进行多点测量平均（至少3点）作为测试结果，从而获得更为准确的</w:t>
      </w:r>
      <w:r>
        <w:rPr>
          <w:rFonts w:hint="eastAsia"/>
        </w:rPr>
        <w:t>有效测量频带</w:t>
      </w:r>
      <w:r>
        <w:rPr>
          <w:rFonts w:hint="eastAsia" w:asciiTheme="minorEastAsia" w:hAnsiTheme="minorEastAsia" w:eastAsiaTheme="minorEastAsia"/>
          <w:szCs w:val="21"/>
        </w:rPr>
        <w:t>。</w:t>
      </w:r>
    </w:p>
    <w:p>
      <w:pPr>
        <w:pStyle w:val="2"/>
        <w:spacing w:before="156"/>
      </w:pPr>
      <w:bookmarkStart w:id="12" w:name="_Toc511026366"/>
      <w:r>
        <w:rPr>
          <w:rFonts w:ascii="Times New Roman" w:hAnsi="Times New Roman"/>
        </w:rPr>
        <w:t xml:space="preserve">9 </w:t>
      </w:r>
      <w:r>
        <w:rPr>
          <w:rFonts w:hint="eastAsia" w:ascii="Times New Roman" w:hAnsi="Times New Roman"/>
        </w:rPr>
        <w:t>评价</w:t>
      </w:r>
      <w:r>
        <w:rPr>
          <w:rFonts w:hint="eastAsia"/>
        </w:rPr>
        <w:t>结果</w:t>
      </w:r>
      <w:bookmarkEnd w:id="12"/>
      <w:r>
        <w:rPr>
          <w:rFonts w:hint="eastAsia"/>
        </w:rPr>
        <w:t>的应用</w:t>
      </w:r>
    </w:p>
    <w:p>
      <w:pPr>
        <w:ind w:firstLine="480"/>
      </w:pPr>
      <w:r>
        <w:rPr>
          <w:rFonts w:hint="eastAsia"/>
        </w:rPr>
        <w:t>加速度计的安装方式、评价过程和结果都应当予以记录，</w:t>
      </w:r>
      <w:r>
        <w:t>推荐的</w:t>
      </w:r>
      <w:r>
        <w:rPr>
          <w:rFonts w:hint="eastAsia"/>
        </w:rPr>
        <w:t>记录格式见附录B。</w:t>
      </w:r>
    </w:p>
    <w:p>
      <w:pPr>
        <w:ind w:firstLine="480"/>
      </w:pPr>
      <w:r>
        <w:rPr>
          <w:rFonts w:hint="eastAsia"/>
        </w:rPr>
        <w:t>经过评价的加速度计安装方式可以给出评价报告。评价报告</w:t>
      </w:r>
      <w:r>
        <w:t>应包括的信息及推荐的格式见附录C</w:t>
      </w:r>
      <w:r>
        <w:rPr>
          <w:rFonts w:hint="eastAsia"/>
        </w:rPr>
        <w:t>。</w:t>
      </w:r>
    </w:p>
    <w:p>
      <w:pPr>
        <w:ind w:firstLine="480"/>
      </w:pPr>
      <w:r>
        <w:rPr>
          <w:rFonts w:hint="eastAsia"/>
        </w:rPr>
        <w:t>评价报告结果中的有效测量频带，可以用于测量技术人员在实际测试时对加速度计的选择和使用，以及按照报告记录的安装条件进行实际测量时的安装，进而保障测量结果准确可靠。</w:t>
      </w:r>
    </w:p>
    <w:p>
      <w:pPr>
        <w:widowControl/>
        <w:adjustRightInd/>
        <w:spacing w:line="240" w:lineRule="auto"/>
        <w:ind w:firstLine="0" w:firstLineChars="0"/>
        <w:jc w:val="left"/>
        <w:textAlignment w:val="auto"/>
      </w:pPr>
      <w:r>
        <w:br w:type="page"/>
      </w:r>
    </w:p>
    <w:p>
      <w:pPr>
        <w:pStyle w:val="2"/>
        <w:spacing w:before="156"/>
        <w:rPr>
          <w:rFonts w:ascii="Times New Roman" w:hAnsi="Times New Roman"/>
        </w:rPr>
      </w:pPr>
      <w:bookmarkStart w:id="13" w:name="_Toc511026370"/>
      <w:r>
        <w:rPr>
          <w:rFonts w:ascii="Times New Roman" w:hAnsi="Times New Roman"/>
        </w:rPr>
        <w:t>附录A</w:t>
      </w:r>
    </w:p>
    <w:p>
      <w:pPr>
        <w:pStyle w:val="2"/>
        <w:spacing w:before="156"/>
        <w:jc w:val="center"/>
      </w:pPr>
      <w:r>
        <w:rPr>
          <w:rFonts w:hint="eastAsia"/>
        </w:rPr>
        <w:t>典型曲线</w:t>
      </w:r>
    </w:p>
    <w:p>
      <w:pPr>
        <w:ind w:firstLine="480"/>
      </w:pPr>
      <w:r>
        <w:rPr>
          <w:rFonts w:hint="eastAsia"/>
        </w:rPr>
        <w:t>图A.</w:t>
      </w:r>
      <w:r>
        <w:t>1</w:t>
      </w:r>
      <w:r>
        <w:rPr>
          <w:rFonts w:hint="eastAsia"/>
        </w:rPr>
        <w:t>为实验室下正弦激励法激光测量在不同点的频响结果。</w:t>
      </w:r>
    </w:p>
    <w:p>
      <w:pPr>
        <w:ind w:firstLine="0" w:firstLineChars="0"/>
        <w:jc w:val="left"/>
        <w:rPr>
          <w:sz w:val="28"/>
          <w:szCs w:val="28"/>
        </w:rPr>
      </w:pPr>
      <w:r>
        <w:rPr>
          <w:sz w:val="28"/>
          <w:szCs w:val="28"/>
        </w:rPr>
        <w:drawing>
          <wp:inline distT="0" distB="0" distL="0" distR="0">
            <wp:extent cx="5274310" cy="1577340"/>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ind w:firstLine="360"/>
        <w:jc w:val="center"/>
        <w:rPr>
          <w:rFonts w:ascii="黑体" w:eastAsia="黑体"/>
          <w:sz w:val="18"/>
          <w:szCs w:val="18"/>
        </w:rPr>
      </w:pPr>
      <w:r>
        <w:rPr>
          <w:rFonts w:hint="eastAsia" w:ascii="黑体" w:eastAsia="黑体"/>
          <w:sz w:val="18"/>
          <w:szCs w:val="18"/>
        </w:rPr>
        <w:t>图A.1不同测量点的加速度计幅频响应曲线</w:t>
      </w:r>
    </w:p>
    <w:p>
      <w:pPr>
        <w:ind w:firstLine="480"/>
      </w:pPr>
      <w:r>
        <w:rPr>
          <w:rFonts w:hint="eastAsia"/>
        </w:rPr>
        <w:t>图A.</w:t>
      </w:r>
      <w:r>
        <w:t>2</w:t>
      </w:r>
      <w:r>
        <w:rPr>
          <w:rFonts w:hint="eastAsia"/>
        </w:rPr>
        <w:t>为实验室下正弦激励法获得的某加速度计在不同安装条件下的有效测量频带评价的典型曲线。</w:t>
      </w:r>
    </w:p>
    <w:p>
      <w:pPr>
        <w:ind w:firstLine="0" w:firstLineChars="0"/>
        <w:jc w:val="left"/>
        <w:rPr>
          <w:sz w:val="28"/>
          <w:szCs w:val="28"/>
        </w:rPr>
      </w:pPr>
      <w:r>
        <w:rPr>
          <w:sz w:val="28"/>
          <w:szCs w:val="28"/>
        </w:rPr>
        <w:drawing>
          <wp:inline distT="0" distB="0" distL="0" distR="0">
            <wp:extent cx="5274310" cy="1754505"/>
            <wp:effectExtent l="0" t="0" r="0" b="0"/>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ind w:firstLine="360"/>
        <w:jc w:val="center"/>
        <w:rPr>
          <w:rFonts w:ascii="黑体" w:eastAsia="黑体"/>
          <w:sz w:val="18"/>
          <w:szCs w:val="18"/>
        </w:rPr>
      </w:pPr>
      <w:r>
        <w:rPr>
          <w:rFonts w:ascii="黑体" w:eastAsia="黑体"/>
          <w:sz w:val="18"/>
          <w:szCs w:val="18"/>
        </w:rPr>
        <w:t>图A</w:t>
      </w:r>
      <w:r>
        <w:rPr>
          <w:rFonts w:hint="eastAsia" w:ascii="黑体" w:eastAsia="黑体"/>
          <w:sz w:val="18"/>
          <w:szCs w:val="18"/>
        </w:rPr>
        <w:t>.</w:t>
      </w:r>
      <w:r>
        <w:rPr>
          <w:rFonts w:ascii="黑体" w:eastAsia="黑体"/>
          <w:sz w:val="18"/>
          <w:szCs w:val="18"/>
        </w:rPr>
        <w:t>2</w:t>
      </w:r>
      <w:r>
        <w:rPr>
          <w:rFonts w:hint="eastAsia" w:ascii="黑体" w:eastAsia="黑体"/>
          <w:sz w:val="18"/>
          <w:szCs w:val="18"/>
        </w:rPr>
        <w:t>传感器不同安装方式的评价曲线</w:t>
      </w:r>
    </w:p>
    <w:p>
      <w:pPr>
        <w:ind w:firstLine="0" w:firstLineChars="0"/>
        <w:rPr>
          <w:rFonts w:eastAsia="黑体"/>
          <w:bCs/>
          <w:kern w:val="44"/>
          <w:szCs w:val="44"/>
        </w:rPr>
      </w:pPr>
      <w:r>
        <w:br w:type="page"/>
      </w:r>
    </w:p>
    <w:p>
      <w:pPr>
        <w:pStyle w:val="2"/>
        <w:spacing w:before="156"/>
        <w:rPr>
          <w:rFonts w:ascii="Times New Roman" w:hAnsi="Times New Roman"/>
        </w:rPr>
      </w:pPr>
      <w:r>
        <w:rPr>
          <w:rFonts w:ascii="Times New Roman" w:hAnsi="Times New Roman"/>
        </w:rPr>
        <w:t>附录</w:t>
      </w:r>
      <w:bookmarkEnd w:id="13"/>
      <w:r>
        <w:rPr>
          <w:rFonts w:ascii="Times New Roman" w:hAnsi="Times New Roman"/>
        </w:rPr>
        <w:t>B</w:t>
      </w:r>
    </w:p>
    <w:p>
      <w:pPr>
        <w:pStyle w:val="2"/>
        <w:spacing w:before="156"/>
        <w:jc w:val="center"/>
      </w:pPr>
      <w:r>
        <w:rPr>
          <w:rFonts w:hint="eastAsia"/>
        </w:rPr>
        <w:t>评价</w:t>
      </w:r>
      <w:r>
        <w:t>记录推荐格式</w:t>
      </w:r>
    </w:p>
    <w:p>
      <w:pPr>
        <w:wordWrap w:val="0"/>
        <w:ind w:firstLine="0" w:firstLineChars="0"/>
        <w:jc w:val="right"/>
      </w:pPr>
      <w:r>
        <w:rPr>
          <w:rFonts w:hint="eastAsia"/>
        </w:rPr>
        <w:t>加速度计安装评价记录               第 页 共 页</w:t>
      </w:r>
    </w:p>
    <w:p>
      <w:pPr>
        <w:wordWrap w:val="0"/>
        <w:ind w:firstLine="480"/>
        <w:jc w:val="right"/>
      </w:pPr>
      <w:r>
        <w:rPr>
          <w:rFonts w:hint="eastAsia"/>
        </w:rPr>
        <w:t>年 月 日</w:t>
      </w:r>
    </w:p>
    <w:p>
      <w:pPr>
        <w:ind w:firstLine="0" w:firstLineChars="0"/>
      </w:pPr>
      <w:r>
        <w:rPr>
          <w:rFonts w:hint="eastAsia"/>
        </w:rPr>
        <w:t>使用方：               制造商：</w:t>
      </w:r>
    </w:p>
    <w:p>
      <w:pPr>
        <w:ind w:firstLine="0" w:firstLineChars="0"/>
      </w:pPr>
      <w:r>
        <w:t>型号</w:t>
      </w:r>
      <w:r>
        <w:rPr>
          <w:rFonts w:hint="eastAsia"/>
        </w:rPr>
        <w:t>：                 出厂编号：</w:t>
      </w:r>
    </w:p>
    <w:p>
      <w:pPr>
        <w:ind w:firstLine="0" w:firstLineChars="0"/>
      </w:pPr>
      <w:r>
        <w:t>标准器名称</w:t>
      </w:r>
      <w:r>
        <w:rPr>
          <w:rFonts w:hint="eastAsia"/>
        </w:rPr>
        <w:t>：           标准器型号：           标准器编号：</w:t>
      </w:r>
    </w:p>
    <w:p>
      <w:pPr>
        <w:ind w:firstLine="0" w:firstLineChars="0"/>
      </w:pPr>
      <w:r>
        <w:t>标准器证书号</w:t>
      </w:r>
      <w:r>
        <w:rPr>
          <w:rFonts w:hint="eastAsia"/>
        </w:rPr>
        <w:t>：         标准器证书有效期：     年   月   日</w:t>
      </w:r>
    </w:p>
    <w:p>
      <w:pPr>
        <w:ind w:firstLine="0" w:firstLineChars="0"/>
      </w:pPr>
      <w:r>
        <w:t>环境温度</w:t>
      </w:r>
      <w:r>
        <w:rPr>
          <w:rFonts w:hint="eastAsia"/>
        </w:rPr>
        <w:t xml:space="preserve">    ℃         相对湿度   %</w:t>
      </w:r>
    </w:p>
    <w:p>
      <w:pPr>
        <w:ind w:firstLine="0" w:firstLineChars="0"/>
        <w:rPr>
          <w:u w:val="single"/>
        </w:rPr>
      </w:pPr>
    </w:p>
    <w:p>
      <w:pPr>
        <w:ind w:firstLine="0" w:firstLineChars="0"/>
      </w:pPr>
      <w:r>
        <w:rPr>
          <w:rFonts w:hint="eastAsia"/>
        </w:rPr>
        <w:t>1 安装前检查</w:t>
      </w:r>
    </w:p>
    <w:p>
      <w:pPr>
        <w:ind w:firstLine="0" w:firstLineChars="0"/>
      </w:pPr>
      <w:r>
        <w:rPr>
          <w:rFonts w:hint="eastAsia"/>
        </w:rPr>
        <w:t>……</w:t>
      </w:r>
    </w:p>
    <w:p>
      <w:pPr>
        <w:ind w:firstLine="0" w:firstLineChars="0"/>
      </w:pPr>
      <w:r>
        <w:rPr>
          <w:rFonts w:hint="eastAsia"/>
        </w:rPr>
        <w:t>2 安装条件</w:t>
      </w:r>
    </w:p>
    <w:p>
      <w:pPr>
        <w:ind w:firstLine="0" w:firstLineChars="0"/>
      </w:pPr>
      <w:r>
        <w:rPr>
          <w:rFonts w:hint="eastAsia"/>
        </w:rPr>
        <w:t xml:space="preserve">安装方式：           （附图）             安装力矩：       </w:t>
      </w:r>
    </w:p>
    <w:p>
      <w:pPr>
        <w:ind w:firstLine="0" w:firstLineChars="0"/>
      </w:pPr>
      <w:r>
        <w:rPr>
          <w:rFonts w:hint="eastAsia"/>
        </w:rPr>
        <w:t xml:space="preserve">安装件结构：         （附图）             使用的粘结剂：      </w:t>
      </w:r>
    </w:p>
    <w:p>
      <w:pPr>
        <w:ind w:firstLine="0" w:firstLineChars="0"/>
      </w:pPr>
      <w:r>
        <w:rPr>
          <w:rFonts w:hint="eastAsia"/>
        </w:rPr>
        <w:t>……</w:t>
      </w:r>
    </w:p>
    <w:p>
      <w:pPr>
        <w:ind w:firstLine="0" w:firstLineChars="0"/>
      </w:pPr>
      <w:r>
        <w:t>3</w:t>
      </w:r>
      <w:r>
        <w:rPr>
          <w:rFonts w:hint="eastAsia"/>
        </w:rPr>
        <w:t>. 频响列表和有效测量频带</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ind w:firstLine="0" w:firstLineChars="0"/>
            </w:pPr>
            <w:r>
              <w:rPr>
                <w:rFonts w:hint="eastAsia"/>
              </w:rPr>
              <w:t>频率/</w:t>
            </w:r>
            <w:r>
              <w:t>Hz</w:t>
            </w:r>
          </w:p>
        </w:tc>
        <w:tc>
          <w:tcPr>
            <w:tcW w:w="2841" w:type="dxa"/>
          </w:tcPr>
          <w:p>
            <w:pPr>
              <w:ind w:firstLine="0" w:firstLineChars="0"/>
            </w:pPr>
            <w:r>
              <w:rPr>
                <w:rFonts w:hint="eastAsia"/>
              </w:rPr>
              <w:t>频响偏差/</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ind w:firstLine="0" w:firstLineChars="0"/>
            </w:pPr>
          </w:p>
        </w:tc>
        <w:tc>
          <w:tcPr>
            <w:tcW w:w="2841" w:type="dxa"/>
          </w:tcPr>
          <w:p>
            <w:pPr>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ind w:firstLine="0" w:firstLineChars="0"/>
            </w:pPr>
          </w:p>
        </w:tc>
        <w:tc>
          <w:tcPr>
            <w:tcW w:w="2841" w:type="dxa"/>
          </w:tcPr>
          <w:p>
            <w:pPr>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ind w:firstLine="0" w:firstLineChars="0"/>
            </w:pPr>
          </w:p>
        </w:tc>
        <w:tc>
          <w:tcPr>
            <w:tcW w:w="2841" w:type="dxa"/>
          </w:tcPr>
          <w:p>
            <w:pPr>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ind w:firstLine="0" w:firstLineChars="0"/>
            </w:pPr>
          </w:p>
        </w:tc>
        <w:tc>
          <w:tcPr>
            <w:tcW w:w="2841" w:type="dxa"/>
          </w:tcPr>
          <w:p>
            <w:pPr>
              <w:ind w:firstLine="0" w:firstLineChars="0"/>
            </w:pPr>
          </w:p>
        </w:tc>
      </w:tr>
    </w:tbl>
    <w:p>
      <w:pPr>
        <w:ind w:firstLine="0" w:firstLineChars="0"/>
      </w:pPr>
      <w:r>
        <w:rPr>
          <w:rFonts w:hint="eastAsia"/>
        </w:rPr>
        <w:t>在频响允差</w:t>
      </w:r>
      <w:r>
        <w:rPr>
          <w:rFonts w:hint="eastAsia"/>
          <w:u w:val="single"/>
        </w:rPr>
        <w:t xml:space="preserve"> </w:t>
      </w:r>
      <w:r>
        <w:rPr>
          <w:u w:val="single"/>
        </w:rPr>
        <w:t xml:space="preserve">      </w:t>
      </w:r>
      <w:r>
        <w:rPr>
          <w:rFonts w:hint="eastAsia"/>
        </w:rPr>
        <w:t>%时，有效测量频带为：</w:t>
      </w:r>
      <w:r>
        <w:rPr>
          <w:rFonts w:hint="eastAsia"/>
          <w:u w:val="single"/>
        </w:rPr>
        <w:t xml:space="preserve">    </w:t>
      </w:r>
      <w:r>
        <w:rPr>
          <w:rFonts w:hint="eastAsia"/>
        </w:rPr>
        <w:t>Hz~</w:t>
      </w:r>
      <w:r>
        <w:rPr>
          <w:rFonts w:hint="eastAsia"/>
          <w:u w:val="single"/>
        </w:rPr>
        <w:t xml:space="preserve">     </w:t>
      </w:r>
      <w:r>
        <w:rPr>
          <w:rFonts w:hint="eastAsia"/>
        </w:rPr>
        <w:t xml:space="preserve">Hz </w:t>
      </w:r>
    </w:p>
    <w:p>
      <w:pPr>
        <w:ind w:firstLine="0" w:firstLineChars="0"/>
      </w:pPr>
      <w:r>
        <w:rPr>
          <w:rFonts w:hint="eastAsia"/>
        </w:rPr>
        <w:t>4</w:t>
      </w:r>
      <w:r>
        <w:t xml:space="preserve">. </w:t>
      </w:r>
      <w:r>
        <w:rPr>
          <w:rFonts w:hint="eastAsia"/>
        </w:rPr>
        <w:t>在频响允差</w:t>
      </w:r>
      <w:r>
        <w:rPr>
          <w:rFonts w:hint="eastAsia"/>
          <w:u w:val="single"/>
        </w:rPr>
        <w:t xml:space="preserve"> </w:t>
      </w:r>
      <w:r>
        <w:rPr>
          <w:u w:val="single"/>
        </w:rPr>
        <w:t xml:space="preserve">      </w:t>
      </w:r>
      <w:r>
        <w:rPr>
          <w:rFonts w:hint="eastAsia"/>
        </w:rPr>
        <w:t>%时，有效测量频带上限：</w:t>
      </w:r>
      <w:r>
        <w:rPr>
          <w:rFonts w:hint="eastAsia"/>
          <w:u w:val="single"/>
        </w:rPr>
        <w:t xml:space="preserve">       </w:t>
      </w:r>
      <w:r>
        <w:rPr>
          <w:rFonts w:hint="eastAsia"/>
        </w:rPr>
        <w:t>Hz</w:t>
      </w:r>
      <w:r>
        <w:rPr>
          <w:rFonts w:hint="eastAsia"/>
          <w:szCs w:val="24"/>
        </w:rPr>
        <w:t>（必要时）</w:t>
      </w:r>
    </w:p>
    <w:p>
      <w:pPr>
        <w:ind w:firstLine="0" w:firstLineChars="0"/>
      </w:pPr>
      <w:r>
        <w:rPr>
          <w:rFonts w:hint="eastAsia"/>
        </w:rPr>
        <w:t>5</w:t>
      </w:r>
      <w:r>
        <w:t xml:space="preserve">. </w:t>
      </w:r>
      <w:r>
        <w:rPr>
          <w:rFonts w:hint="eastAsia"/>
        </w:rPr>
        <w:t>安装谐振频率附图</w:t>
      </w:r>
      <w:r>
        <w:rPr>
          <w:rFonts w:hint="eastAsia"/>
          <w:szCs w:val="24"/>
        </w:rPr>
        <w:t>（必要时）</w:t>
      </w:r>
    </w:p>
    <w:p>
      <w:pPr>
        <w:widowControl/>
        <w:adjustRightInd/>
        <w:spacing w:line="240" w:lineRule="auto"/>
        <w:ind w:firstLine="0" w:firstLineChars="0"/>
        <w:jc w:val="left"/>
        <w:textAlignment w:val="auto"/>
      </w:pPr>
      <w:r>
        <w:br w:type="page"/>
      </w:r>
    </w:p>
    <w:p>
      <w:pPr>
        <w:pStyle w:val="2"/>
        <w:spacing w:before="156"/>
        <w:rPr>
          <w:rFonts w:ascii="Times New Roman" w:hAnsi="Times New Roman"/>
        </w:rPr>
      </w:pPr>
      <w:bookmarkStart w:id="14" w:name="_Toc511026371"/>
      <w:r>
        <w:rPr>
          <w:rFonts w:ascii="Times New Roman" w:hAnsi="Times New Roman"/>
        </w:rPr>
        <w:t>附录</w:t>
      </w:r>
      <w:bookmarkEnd w:id="14"/>
      <w:r>
        <w:rPr>
          <w:rFonts w:ascii="Times New Roman" w:hAnsi="Times New Roman"/>
        </w:rPr>
        <w:t>C</w:t>
      </w:r>
    </w:p>
    <w:p>
      <w:pPr>
        <w:pStyle w:val="2"/>
        <w:spacing w:before="156"/>
        <w:jc w:val="center"/>
      </w:pPr>
      <w:r>
        <w:rPr>
          <w:rFonts w:hint="eastAsia"/>
        </w:rPr>
        <w:t>评价报告</w:t>
      </w:r>
      <w:r>
        <w:t>内容</w:t>
      </w:r>
    </w:p>
    <w:p>
      <w:pPr>
        <w:ind w:firstLine="0" w:firstLineChars="0"/>
      </w:pPr>
      <w:r>
        <w:t>C.1</w:t>
      </w:r>
      <w:r>
        <w:rPr>
          <w:rFonts w:hint="eastAsia"/>
        </w:rPr>
        <w:t>证书报告至少包含以下信息：</w:t>
      </w:r>
    </w:p>
    <w:p>
      <w:pPr>
        <w:pStyle w:val="36"/>
        <w:numPr>
          <w:ilvl w:val="0"/>
          <w:numId w:val="1"/>
        </w:numPr>
        <w:ind w:left="0" w:firstLine="480"/>
      </w:pPr>
      <w:r>
        <w:t>标题</w:t>
      </w:r>
      <w:r>
        <w:rPr>
          <w:rFonts w:hint="eastAsia"/>
        </w:rPr>
        <w:t>，</w:t>
      </w:r>
      <w:r>
        <w:t>如</w:t>
      </w:r>
      <w:r>
        <w:rPr>
          <w:rFonts w:hint="eastAsia"/>
        </w:rPr>
        <w:t>“评价报告”；</w:t>
      </w:r>
    </w:p>
    <w:p>
      <w:pPr>
        <w:pStyle w:val="36"/>
        <w:numPr>
          <w:ilvl w:val="0"/>
          <w:numId w:val="1"/>
        </w:numPr>
        <w:ind w:left="0" w:firstLine="480"/>
      </w:pPr>
      <w:r>
        <w:rPr>
          <w:rFonts w:hint="eastAsia"/>
        </w:rPr>
        <w:t>报告的编号、页码和总页数；</w:t>
      </w:r>
    </w:p>
    <w:p>
      <w:pPr>
        <w:pStyle w:val="36"/>
        <w:numPr>
          <w:ilvl w:val="0"/>
          <w:numId w:val="1"/>
        </w:numPr>
        <w:ind w:left="0" w:firstLine="480"/>
      </w:pPr>
      <w:r>
        <w:rPr>
          <w:rFonts w:hint="eastAsia"/>
        </w:rPr>
        <w:t>报告</w:t>
      </w:r>
      <w:r>
        <w:t>的日期</w:t>
      </w:r>
      <w:r>
        <w:rPr>
          <w:rFonts w:hint="eastAsia"/>
        </w:rPr>
        <w:t>；</w:t>
      </w:r>
    </w:p>
    <w:p>
      <w:pPr>
        <w:pStyle w:val="36"/>
        <w:numPr>
          <w:ilvl w:val="0"/>
          <w:numId w:val="1"/>
        </w:numPr>
        <w:ind w:left="0" w:firstLine="480"/>
      </w:pPr>
      <w:r>
        <w:rPr>
          <w:rFonts w:hint="eastAsia"/>
        </w:rPr>
        <w:t>报告</w:t>
      </w:r>
      <w:r>
        <w:t>的地点</w:t>
      </w:r>
      <w:r>
        <w:rPr>
          <w:rFonts w:hint="eastAsia"/>
        </w:rPr>
        <w:t>；</w:t>
      </w:r>
    </w:p>
    <w:p>
      <w:pPr>
        <w:pStyle w:val="36"/>
        <w:numPr>
          <w:ilvl w:val="0"/>
          <w:numId w:val="1"/>
        </w:numPr>
        <w:ind w:left="0" w:firstLine="480"/>
      </w:pPr>
      <w:r>
        <w:t>被</w:t>
      </w:r>
      <w:r>
        <w:rPr>
          <w:rFonts w:hint="eastAsia"/>
        </w:rPr>
        <w:t>测传感器和安装结构的</w:t>
      </w:r>
      <w:r>
        <w:t>的型号</w:t>
      </w:r>
      <w:r>
        <w:rPr>
          <w:rFonts w:hint="eastAsia"/>
        </w:rPr>
        <w:t>、</w:t>
      </w:r>
      <w:r>
        <w:t>规格</w:t>
      </w:r>
      <w:r>
        <w:rPr>
          <w:rFonts w:hint="eastAsia"/>
        </w:rPr>
        <w:t>和出厂编号；</w:t>
      </w:r>
    </w:p>
    <w:p>
      <w:pPr>
        <w:pStyle w:val="36"/>
        <w:numPr>
          <w:ilvl w:val="0"/>
          <w:numId w:val="1"/>
        </w:numPr>
        <w:ind w:left="0" w:firstLine="480"/>
      </w:pPr>
      <w:r>
        <w:t>本技术规范的名称及代号</w:t>
      </w:r>
      <w:r>
        <w:rPr>
          <w:rFonts w:hint="eastAsia"/>
        </w:rPr>
        <w:t>；</w:t>
      </w:r>
    </w:p>
    <w:p>
      <w:pPr>
        <w:pStyle w:val="36"/>
        <w:numPr>
          <w:ilvl w:val="0"/>
          <w:numId w:val="1"/>
        </w:numPr>
        <w:ind w:left="0" w:firstLine="480"/>
      </w:pPr>
      <w:r>
        <w:t>环境的描述</w:t>
      </w:r>
      <w:r>
        <w:rPr>
          <w:rFonts w:hint="eastAsia"/>
        </w:rPr>
        <w:t>；</w:t>
      </w:r>
    </w:p>
    <w:p>
      <w:pPr>
        <w:pStyle w:val="36"/>
        <w:numPr>
          <w:ilvl w:val="0"/>
          <w:numId w:val="1"/>
        </w:numPr>
        <w:ind w:left="0" w:firstLine="480"/>
      </w:pPr>
      <w:r>
        <w:t>结果及其测量不确定度的说明</w:t>
      </w:r>
      <w:r>
        <w:rPr>
          <w:rFonts w:hint="eastAsia"/>
        </w:rPr>
        <w:t>；</w:t>
      </w:r>
    </w:p>
    <w:p>
      <w:pPr>
        <w:pStyle w:val="36"/>
        <w:numPr>
          <w:ilvl w:val="0"/>
          <w:numId w:val="1"/>
        </w:numPr>
        <w:ind w:left="0" w:firstLine="480"/>
      </w:pPr>
      <w:r>
        <w:t>证书签发人的签名</w:t>
      </w:r>
      <w:r>
        <w:rPr>
          <w:rFonts w:hint="eastAsia"/>
        </w:rPr>
        <w:t>、</w:t>
      </w:r>
      <w:r>
        <w:t>职务或等效标识</w:t>
      </w:r>
      <w:r>
        <w:rPr>
          <w:rFonts w:hint="eastAsia"/>
        </w:rPr>
        <w:t>，</w:t>
      </w:r>
      <w:r>
        <w:t>以签发日期</w:t>
      </w:r>
      <w:r>
        <w:rPr>
          <w:rFonts w:hint="eastAsia"/>
        </w:rPr>
        <w:t>；</w:t>
      </w:r>
    </w:p>
    <w:p>
      <w:pPr>
        <w:pStyle w:val="36"/>
        <w:numPr>
          <w:ilvl w:val="0"/>
          <w:numId w:val="1"/>
        </w:numPr>
        <w:ind w:left="0" w:firstLine="480"/>
      </w:pPr>
      <w:r>
        <w:t>结果仅对被校对象有效的声明</w:t>
      </w:r>
      <w:r>
        <w:rPr>
          <w:rFonts w:hint="eastAsia"/>
        </w:rPr>
        <w:t>；</w:t>
      </w:r>
    </w:p>
    <w:p>
      <w:pPr>
        <w:pStyle w:val="36"/>
        <w:numPr>
          <w:ilvl w:val="0"/>
          <w:numId w:val="1"/>
        </w:numPr>
        <w:ind w:left="0" w:firstLine="480"/>
      </w:pPr>
      <w:r>
        <w:t>未经实验室书面批准</w:t>
      </w:r>
      <w:r>
        <w:rPr>
          <w:rFonts w:hint="eastAsia"/>
        </w:rPr>
        <w:t>，</w:t>
      </w:r>
      <w:r>
        <w:t>不得部分复制证书的声明</w:t>
      </w:r>
      <w:r>
        <w:rPr>
          <w:rFonts w:hint="eastAsia"/>
        </w:rPr>
        <w:t>。</w:t>
      </w:r>
    </w:p>
    <w:p>
      <w:pPr>
        <w:ind w:firstLine="0" w:firstLineChars="0"/>
      </w:pPr>
      <w:r>
        <w:t>C.2 推荐的证书</w:t>
      </w:r>
      <w:r>
        <w:rPr>
          <w:rFonts w:hint="eastAsia"/>
        </w:rPr>
        <w:t>报告</w:t>
      </w:r>
      <w:r>
        <w:t>内页格式见表C</w:t>
      </w:r>
      <w:r>
        <w:rPr>
          <w:rFonts w:hint="eastAsia"/>
        </w:rPr>
        <w:t>.1。</w:t>
      </w:r>
    </w:p>
    <w:p>
      <w:pPr>
        <w:ind w:firstLine="0" w:firstLineChars="0"/>
      </w:pPr>
      <w:r>
        <w:br w:type="page"/>
      </w:r>
    </w:p>
    <w:p>
      <w:pPr>
        <w:ind w:firstLine="0" w:firstLineChars="0"/>
        <w:jc w:val="center"/>
        <w:rPr>
          <w:rFonts w:eastAsia="黑体"/>
          <w:sz w:val="21"/>
          <w:szCs w:val="21"/>
        </w:rPr>
      </w:pPr>
      <w:r>
        <w:rPr>
          <w:rFonts w:eastAsia="黑体"/>
          <w:sz w:val="21"/>
          <w:szCs w:val="21"/>
        </w:rPr>
        <w:t>表C.1推荐格式</w:t>
      </w:r>
    </w:p>
    <w:p>
      <w:pPr>
        <w:wordWrap w:val="0"/>
        <w:ind w:firstLine="300" w:firstLineChars="100"/>
        <w:jc w:val="right"/>
        <w:rPr>
          <w:sz w:val="21"/>
          <w:szCs w:val="21"/>
        </w:rPr>
      </w:pPr>
      <w:r>
        <w:rPr>
          <w:rFonts w:hint="eastAsia"/>
          <w:sz w:val="30"/>
          <w:szCs w:val="30"/>
        </w:rPr>
        <w:t>评价</w:t>
      </w:r>
      <w:r>
        <w:rPr>
          <w:sz w:val="30"/>
          <w:szCs w:val="30"/>
        </w:rPr>
        <w:t>结果</w:t>
      </w:r>
      <w:r>
        <w:rPr>
          <w:rFonts w:hint="eastAsia"/>
          <w:sz w:val="30"/>
          <w:szCs w:val="30"/>
        </w:rPr>
        <w:t xml:space="preserve"> </w:t>
      </w:r>
      <w:r>
        <w:rPr>
          <w:rFonts w:hint="eastAsia"/>
          <w:sz w:val="21"/>
          <w:szCs w:val="21"/>
        </w:rPr>
        <w:t xml:space="preserve">                      第 页  共 页</w:t>
      </w:r>
    </w:p>
    <w:p>
      <w:pPr>
        <w:ind w:firstLine="0" w:firstLineChars="0"/>
      </w:pPr>
      <w:r>
        <w:rPr>
          <w:rFonts w:hint="eastAsia"/>
        </w:rPr>
        <w:t>1 安装前检查</w:t>
      </w:r>
    </w:p>
    <w:p>
      <w:pPr>
        <w:ind w:firstLine="0" w:firstLineChars="0"/>
      </w:pPr>
      <w:r>
        <w:rPr>
          <w:rFonts w:hint="eastAsia"/>
        </w:rPr>
        <w:t>……</w:t>
      </w:r>
    </w:p>
    <w:p>
      <w:pPr>
        <w:ind w:firstLine="0" w:firstLineChars="0"/>
      </w:pPr>
      <w:r>
        <w:rPr>
          <w:rFonts w:hint="eastAsia"/>
        </w:rPr>
        <w:t>2 安装条件</w:t>
      </w:r>
    </w:p>
    <w:p>
      <w:pPr>
        <w:ind w:firstLine="0" w:firstLineChars="0"/>
      </w:pPr>
      <w:r>
        <w:rPr>
          <w:rFonts w:hint="eastAsia"/>
        </w:rPr>
        <w:t xml:space="preserve">安装方式：           （附图）             安装力矩：       </w:t>
      </w:r>
    </w:p>
    <w:p>
      <w:pPr>
        <w:ind w:firstLine="0" w:firstLineChars="0"/>
      </w:pPr>
      <w:r>
        <w:rPr>
          <w:rFonts w:hint="eastAsia"/>
        </w:rPr>
        <w:t xml:space="preserve">安装件结构：         （附图）             使用的粘结剂：      </w:t>
      </w:r>
    </w:p>
    <w:p>
      <w:pPr>
        <w:ind w:firstLine="0" w:firstLineChars="0"/>
      </w:pPr>
      <w:r>
        <w:rPr>
          <w:rFonts w:hint="eastAsia"/>
        </w:rPr>
        <w:t>……</w:t>
      </w:r>
    </w:p>
    <w:p>
      <w:pPr>
        <w:ind w:firstLine="0" w:firstLineChars="0"/>
      </w:pPr>
      <w:r>
        <w:t>3</w:t>
      </w:r>
      <w:r>
        <w:rPr>
          <w:rFonts w:hint="eastAsia"/>
        </w:rPr>
        <w:t>.</w:t>
      </w:r>
      <w:r>
        <w:t xml:space="preserve"> </w:t>
      </w:r>
      <w:r>
        <w:rPr>
          <w:rFonts w:hint="eastAsia"/>
        </w:rPr>
        <w:t>在频响允差</w:t>
      </w:r>
      <w:r>
        <w:rPr>
          <w:rFonts w:hint="eastAsia"/>
          <w:u w:val="single"/>
        </w:rPr>
        <w:t xml:space="preserve"> </w:t>
      </w:r>
      <w:r>
        <w:rPr>
          <w:u w:val="single"/>
        </w:rPr>
        <w:t xml:space="preserve">      </w:t>
      </w:r>
      <w:r>
        <w:rPr>
          <w:rFonts w:hint="eastAsia"/>
        </w:rPr>
        <w:t>%时，有效测量频带为：</w:t>
      </w:r>
      <w:r>
        <w:rPr>
          <w:rFonts w:hint="eastAsia"/>
          <w:u w:val="single"/>
        </w:rPr>
        <w:t xml:space="preserve">    </w:t>
      </w:r>
      <w:r>
        <w:rPr>
          <w:rFonts w:hint="eastAsia"/>
        </w:rPr>
        <w:t>Hz~</w:t>
      </w:r>
      <w:r>
        <w:rPr>
          <w:rFonts w:hint="eastAsia"/>
          <w:u w:val="single"/>
        </w:rPr>
        <w:t xml:space="preserve">     </w:t>
      </w:r>
      <w:r>
        <w:rPr>
          <w:rFonts w:hint="eastAsia"/>
        </w:rPr>
        <w:t>Hz</w:t>
      </w:r>
    </w:p>
    <w:p>
      <w:pPr>
        <w:ind w:firstLine="0" w:firstLineChars="0"/>
      </w:pPr>
      <w:r>
        <w:rPr>
          <w:rFonts w:hint="eastAsia"/>
        </w:rPr>
        <w:t>4</w:t>
      </w:r>
      <w:r>
        <w:t xml:space="preserve">. </w:t>
      </w:r>
      <w:r>
        <w:rPr>
          <w:rFonts w:hint="eastAsia"/>
        </w:rPr>
        <w:t>在频响允差</w:t>
      </w:r>
      <w:r>
        <w:rPr>
          <w:rFonts w:hint="eastAsia"/>
          <w:u w:val="single"/>
        </w:rPr>
        <w:t xml:space="preserve"> </w:t>
      </w:r>
      <w:r>
        <w:rPr>
          <w:u w:val="single"/>
        </w:rPr>
        <w:t xml:space="preserve">      </w:t>
      </w:r>
      <w:r>
        <w:rPr>
          <w:rFonts w:hint="eastAsia"/>
        </w:rPr>
        <w:t>%时，有效测量频带上限：</w:t>
      </w:r>
      <w:r>
        <w:rPr>
          <w:rFonts w:hint="eastAsia"/>
          <w:u w:val="single"/>
        </w:rPr>
        <w:t xml:space="preserve">       </w:t>
      </w:r>
      <w:r>
        <w:rPr>
          <w:rFonts w:hint="eastAsia"/>
        </w:rPr>
        <w:t>Hz</w:t>
      </w:r>
      <w:r>
        <w:rPr>
          <w:rFonts w:hint="eastAsia"/>
          <w:szCs w:val="24"/>
        </w:rPr>
        <w:t>（必要时）</w:t>
      </w:r>
    </w:p>
    <w:p>
      <w:pPr>
        <w:ind w:firstLine="0" w:firstLineChars="0"/>
      </w:pPr>
      <w:r>
        <w:rPr>
          <w:rFonts w:hint="eastAsia"/>
        </w:rPr>
        <w:t>5</w:t>
      </w:r>
      <w:r>
        <w:t xml:space="preserve">. </w:t>
      </w:r>
      <w:r>
        <w:rPr>
          <w:rFonts w:hint="eastAsia"/>
        </w:rPr>
        <w:t>安装谐振频率附图</w:t>
      </w:r>
      <w:r>
        <w:rPr>
          <w:rFonts w:hint="eastAsia"/>
          <w:szCs w:val="24"/>
        </w:rPr>
        <w:t>（必要时）</w:t>
      </w:r>
    </w:p>
    <w:p>
      <w:pPr>
        <w:widowControl/>
        <w:spacing w:line="240" w:lineRule="auto"/>
        <w:ind w:firstLine="0" w:firstLineChars="0"/>
        <w:jc w:val="left"/>
        <w:rPr>
          <w:sz w:val="21"/>
          <w:szCs w:val="21"/>
        </w:rPr>
      </w:pPr>
    </w:p>
    <w:sectPr>
      <w:headerReference r:id="rId16" w:type="first"/>
      <w:footerReference r:id="rId19" w:type="first"/>
      <w:headerReference r:id="rId14" w:type="default"/>
      <w:footerReference r:id="rId17" w:type="default"/>
      <w:headerReference r:id="rId15" w:type="even"/>
      <w:footerReference r:id="rId18"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641291"/>
      <w:docPartObj>
        <w:docPartGallery w:val="autotext"/>
      </w:docPartObj>
    </w:sdtPr>
    <w:sdtContent>
      <w:p>
        <w:pPr>
          <w:pStyle w:val="10"/>
          <w:ind w:right="360" w:firstLine="360"/>
          <w:jc w:val="right"/>
        </w:pPr>
        <w:r>
          <w:fldChar w:fldCharType="begin"/>
        </w:r>
        <w:r>
          <w:instrText xml:space="preserve">PAGE   \* MERGEFORMAT</w:instrText>
        </w:r>
        <w:r>
          <w:fldChar w:fldCharType="separate"/>
        </w:r>
        <w:r>
          <w:rPr>
            <w:lang w:val="zh-CN"/>
          </w:rPr>
          <w:t>IV</w:t>
        </w:r>
        <w:r>
          <w:rPr>
            <w:lang w:val="zh-CN"/>
          </w:rPr>
          <w:fldChar w:fldCharType="end"/>
        </w:r>
      </w:p>
    </w:sdtContent>
  </w:sdt>
  <w:p>
    <w:pPr>
      <w:pStyle w:val="10"/>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jc w:val="right"/>
    </w:pPr>
    <w:r>
      <w:fldChar w:fldCharType="begin"/>
    </w:r>
    <w:r>
      <w:instrText xml:space="preserve">PAGE   \* MERGEFORMAT</w:instrText>
    </w:r>
    <w:r>
      <w:fldChar w:fldCharType="separate"/>
    </w:r>
    <w:r>
      <w:rPr>
        <w:lang w:val="zh-CN"/>
      </w:rPr>
      <w:t>7</w:t>
    </w:r>
    <w:r>
      <w:rPr>
        <w:lang w:val="zh-CN"/>
      </w:rPr>
      <w:fldChar w:fldCharType="end"/>
    </w:r>
  </w:p>
  <w:p>
    <w:pPr>
      <w:pStyle w:val="10"/>
      <w:ind w:right="360" w:firstLine="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0" w:firstLineChars="0"/>
    </w:pPr>
    <w:r>
      <w:rPr>
        <w:rFonts w:eastAsia="黑体"/>
        <w:sz w:val="21"/>
        <w:szCs w:val="21"/>
      </w:rPr>
      <w:t>JJF ××××</w:t>
    </w:r>
    <w:r>
      <w:rPr>
        <w:sz w:val="21"/>
        <w:szCs w:val="21"/>
      </w:rPr>
      <w:t>─</w:t>
    </w:r>
    <w:r>
      <w:rPr>
        <w:rFonts w:eastAsia="黑体"/>
        <w:sz w:val="21"/>
        <w:szCs w:val="21"/>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rPr>
        <w:rFonts w:eastAsia="黑体"/>
        <w:sz w:val="21"/>
        <w:szCs w:val="21"/>
      </w:rPr>
    </w:pPr>
    <w:r>
      <w:rPr>
        <w:rFonts w:eastAsia="黑体"/>
        <w:sz w:val="21"/>
        <w:szCs w:val="21"/>
      </w:rPr>
      <w:t>JJF ××××</w:t>
    </w:r>
    <w:r>
      <w:rPr>
        <w:sz w:val="21"/>
        <w:szCs w:val="21"/>
      </w:rPr>
      <w:t>─</w:t>
    </w:r>
    <w:r>
      <w:rPr>
        <w:rFonts w:eastAsia="黑体"/>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DE4F0E"/>
    <w:multiLevelType w:val="multilevel"/>
    <w:tmpl w:val="2ADE4F0E"/>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NmMzc0OTIzMTZlMjQ5OWQwYzY5MjlhNDQ1YzhhMTUifQ=="/>
  </w:docVars>
  <w:rsids>
    <w:rsidRoot w:val="001F60CD"/>
    <w:rsid w:val="0000073C"/>
    <w:rsid w:val="0000208D"/>
    <w:rsid w:val="00002966"/>
    <w:rsid w:val="00002E95"/>
    <w:rsid w:val="0000332C"/>
    <w:rsid w:val="000043DB"/>
    <w:rsid w:val="00004A88"/>
    <w:rsid w:val="00005A0D"/>
    <w:rsid w:val="000106D7"/>
    <w:rsid w:val="0001207C"/>
    <w:rsid w:val="000124B0"/>
    <w:rsid w:val="00012BCB"/>
    <w:rsid w:val="00013435"/>
    <w:rsid w:val="000134E5"/>
    <w:rsid w:val="00013793"/>
    <w:rsid w:val="00013D91"/>
    <w:rsid w:val="000152E5"/>
    <w:rsid w:val="000159A5"/>
    <w:rsid w:val="00016C1F"/>
    <w:rsid w:val="00017AA4"/>
    <w:rsid w:val="00017EBD"/>
    <w:rsid w:val="0002118C"/>
    <w:rsid w:val="00021E6C"/>
    <w:rsid w:val="0002369E"/>
    <w:rsid w:val="00026BCE"/>
    <w:rsid w:val="00027023"/>
    <w:rsid w:val="00032EDA"/>
    <w:rsid w:val="0003364B"/>
    <w:rsid w:val="00034671"/>
    <w:rsid w:val="00034FE5"/>
    <w:rsid w:val="00035CED"/>
    <w:rsid w:val="000373ED"/>
    <w:rsid w:val="000376FD"/>
    <w:rsid w:val="00037A35"/>
    <w:rsid w:val="00042940"/>
    <w:rsid w:val="00043542"/>
    <w:rsid w:val="0004423D"/>
    <w:rsid w:val="000443CD"/>
    <w:rsid w:val="000457B7"/>
    <w:rsid w:val="00047438"/>
    <w:rsid w:val="000478C6"/>
    <w:rsid w:val="00047F9B"/>
    <w:rsid w:val="00050464"/>
    <w:rsid w:val="00050719"/>
    <w:rsid w:val="000508EC"/>
    <w:rsid w:val="0005301E"/>
    <w:rsid w:val="00053628"/>
    <w:rsid w:val="000536A5"/>
    <w:rsid w:val="00054256"/>
    <w:rsid w:val="00055BF7"/>
    <w:rsid w:val="000570D5"/>
    <w:rsid w:val="000572E9"/>
    <w:rsid w:val="000613DB"/>
    <w:rsid w:val="00062B4C"/>
    <w:rsid w:val="00063461"/>
    <w:rsid w:val="00064133"/>
    <w:rsid w:val="00065C31"/>
    <w:rsid w:val="00071234"/>
    <w:rsid w:val="00071482"/>
    <w:rsid w:val="0007267E"/>
    <w:rsid w:val="0007367F"/>
    <w:rsid w:val="00073FE7"/>
    <w:rsid w:val="00077DA3"/>
    <w:rsid w:val="00081557"/>
    <w:rsid w:val="000835D4"/>
    <w:rsid w:val="00083DA3"/>
    <w:rsid w:val="00084EB9"/>
    <w:rsid w:val="00085584"/>
    <w:rsid w:val="00085CFC"/>
    <w:rsid w:val="00086B68"/>
    <w:rsid w:val="0008739C"/>
    <w:rsid w:val="000874B3"/>
    <w:rsid w:val="00087A88"/>
    <w:rsid w:val="000900C5"/>
    <w:rsid w:val="00091B04"/>
    <w:rsid w:val="000920FE"/>
    <w:rsid w:val="00092BC3"/>
    <w:rsid w:val="000933C6"/>
    <w:rsid w:val="00093C6E"/>
    <w:rsid w:val="00094DF3"/>
    <w:rsid w:val="000957B2"/>
    <w:rsid w:val="00095B9A"/>
    <w:rsid w:val="00096740"/>
    <w:rsid w:val="00097080"/>
    <w:rsid w:val="000971D1"/>
    <w:rsid w:val="000A3373"/>
    <w:rsid w:val="000A33F9"/>
    <w:rsid w:val="000A395F"/>
    <w:rsid w:val="000A48E9"/>
    <w:rsid w:val="000A5572"/>
    <w:rsid w:val="000A5FA5"/>
    <w:rsid w:val="000A648D"/>
    <w:rsid w:val="000A6ADB"/>
    <w:rsid w:val="000B095B"/>
    <w:rsid w:val="000B1069"/>
    <w:rsid w:val="000B2075"/>
    <w:rsid w:val="000B2AEA"/>
    <w:rsid w:val="000B2B03"/>
    <w:rsid w:val="000B2EBD"/>
    <w:rsid w:val="000B3242"/>
    <w:rsid w:val="000B4D51"/>
    <w:rsid w:val="000B6C4E"/>
    <w:rsid w:val="000B7526"/>
    <w:rsid w:val="000B7A6E"/>
    <w:rsid w:val="000C3A86"/>
    <w:rsid w:val="000C3FC1"/>
    <w:rsid w:val="000C4661"/>
    <w:rsid w:val="000C576D"/>
    <w:rsid w:val="000C6463"/>
    <w:rsid w:val="000C6826"/>
    <w:rsid w:val="000D0954"/>
    <w:rsid w:val="000D0D86"/>
    <w:rsid w:val="000D32C9"/>
    <w:rsid w:val="000D3E4E"/>
    <w:rsid w:val="000D423B"/>
    <w:rsid w:val="000D5587"/>
    <w:rsid w:val="000D7A67"/>
    <w:rsid w:val="000E0C0F"/>
    <w:rsid w:val="000E23A0"/>
    <w:rsid w:val="000E2871"/>
    <w:rsid w:val="000E30D7"/>
    <w:rsid w:val="000E50CB"/>
    <w:rsid w:val="000E5D1C"/>
    <w:rsid w:val="000F0395"/>
    <w:rsid w:val="000F1225"/>
    <w:rsid w:val="000F1935"/>
    <w:rsid w:val="000F2324"/>
    <w:rsid w:val="000F253F"/>
    <w:rsid w:val="000F418F"/>
    <w:rsid w:val="000F43B9"/>
    <w:rsid w:val="000F600B"/>
    <w:rsid w:val="000F61FE"/>
    <w:rsid w:val="001017D0"/>
    <w:rsid w:val="00102D2B"/>
    <w:rsid w:val="00102E87"/>
    <w:rsid w:val="00103827"/>
    <w:rsid w:val="001038BD"/>
    <w:rsid w:val="001039A7"/>
    <w:rsid w:val="001040C2"/>
    <w:rsid w:val="001055F9"/>
    <w:rsid w:val="00105D1C"/>
    <w:rsid w:val="001061E5"/>
    <w:rsid w:val="0010730F"/>
    <w:rsid w:val="001075AE"/>
    <w:rsid w:val="00107B89"/>
    <w:rsid w:val="00110465"/>
    <w:rsid w:val="0011138C"/>
    <w:rsid w:val="0011139D"/>
    <w:rsid w:val="0011151F"/>
    <w:rsid w:val="001119D5"/>
    <w:rsid w:val="00111B62"/>
    <w:rsid w:val="001121B3"/>
    <w:rsid w:val="00112466"/>
    <w:rsid w:val="00112E2E"/>
    <w:rsid w:val="001133F0"/>
    <w:rsid w:val="0011420E"/>
    <w:rsid w:val="001153EF"/>
    <w:rsid w:val="001173F0"/>
    <w:rsid w:val="00120F29"/>
    <w:rsid w:val="00122022"/>
    <w:rsid w:val="0012350E"/>
    <w:rsid w:val="001243E4"/>
    <w:rsid w:val="00124B9B"/>
    <w:rsid w:val="00125F8A"/>
    <w:rsid w:val="0012624F"/>
    <w:rsid w:val="00126F12"/>
    <w:rsid w:val="0012780F"/>
    <w:rsid w:val="001305DB"/>
    <w:rsid w:val="00130C78"/>
    <w:rsid w:val="00133077"/>
    <w:rsid w:val="001340F2"/>
    <w:rsid w:val="00134524"/>
    <w:rsid w:val="00135910"/>
    <w:rsid w:val="0013673E"/>
    <w:rsid w:val="00136C7B"/>
    <w:rsid w:val="0013724F"/>
    <w:rsid w:val="001404DE"/>
    <w:rsid w:val="00140546"/>
    <w:rsid w:val="00141F40"/>
    <w:rsid w:val="0014458B"/>
    <w:rsid w:val="001448B0"/>
    <w:rsid w:val="001457F9"/>
    <w:rsid w:val="00146D3B"/>
    <w:rsid w:val="001470E9"/>
    <w:rsid w:val="001508FD"/>
    <w:rsid w:val="00150A99"/>
    <w:rsid w:val="00152507"/>
    <w:rsid w:val="00152CF6"/>
    <w:rsid w:val="0015393A"/>
    <w:rsid w:val="00155AF5"/>
    <w:rsid w:val="0015603B"/>
    <w:rsid w:val="00156121"/>
    <w:rsid w:val="001561E0"/>
    <w:rsid w:val="00156371"/>
    <w:rsid w:val="001571D4"/>
    <w:rsid w:val="001574D8"/>
    <w:rsid w:val="00157F26"/>
    <w:rsid w:val="001607C2"/>
    <w:rsid w:val="0016272B"/>
    <w:rsid w:val="00162804"/>
    <w:rsid w:val="00162A49"/>
    <w:rsid w:val="00164215"/>
    <w:rsid w:val="00164988"/>
    <w:rsid w:val="00164E9C"/>
    <w:rsid w:val="00167763"/>
    <w:rsid w:val="00167FF8"/>
    <w:rsid w:val="0017130C"/>
    <w:rsid w:val="00171833"/>
    <w:rsid w:val="00175227"/>
    <w:rsid w:val="00175D62"/>
    <w:rsid w:val="0017779C"/>
    <w:rsid w:val="00177C4E"/>
    <w:rsid w:val="0018045B"/>
    <w:rsid w:val="00180EE9"/>
    <w:rsid w:val="00181B2C"/>
    <w:rsid w:val="00182321"/>
    <w:rsid w:val="001827EE"/>
    <w:rsid w:val="00184620"/>
    <w:rsid w:val="00185891"/>
    <w:rsid w:val="00186552"/>
    <w:rsid w:val="00187348"/>
    <w:rsid w:val="00187AC2"/>
    <w:rsid w:val="00190142"/>
    <w:rsid w:val="0019059E"/>
    <w:rsid w:val="001908D6"/>
    <w:rsid w:val="00191EE5"/>
    <w:rsid w:val="0019259E"/>
    <w:rsid w:val="00192772"/>
    <w:rsid w:val="00194D0B"/>
    <w:rsid w:val="001951D8"/>
    <w:rsid w:val="001954B1"/>
    <w:rsid w:val="0019559E"/>
    <w:rsid w:val="00195EF7"/>
    <w:rsid w:val="001A1E18"/>
    <w:rsid w:val="001A3553"/>
    <w:rsid w:val="001A403A"/>
    <w:rsid w:val="001A5A08"/>
    <w:rsid w:val="001A5E18"/>
    <w:rsid w:val="001A6EA6"/>
    <w:rsid w:val="001A782A"/>
    <w:rsid w:val="001B16A1"/>
    <w:rsid w:val="001B283C"/>
    <w:rsid w:val="001B3CFD"/>
    <w:rsid w:val="001B3D9F"/>
    <w:rsid w:val="001B5728"/>
    <w:rsid w:val="001B6994"/>
    <w:rsid w:val="001B6A06"/>
    <w:rsid w:val="001B779D"/>
    <w:rsid w:val="001B7B7D"/>
    <w:rsid w:val="001C0032"/>
    <w:rsid w:val="001C042A"/>
    <w:rsid w:val="001C1D3A"/>
    <w:rsid w:val="001C212D"/>
    <w:rsid w:val="001C21F3"/>
    <w:rsid w:val="001C3F39"/>
    <w:rsid w:val="001C4EDC"/>
    <w:rsid w:val="001C67D6"/>
    <w:rsid w:val="001C6E81"/>
    <w:rsid w:val="001C777D"/>
    <w:rsid w:val="001D0044"/>
    <w:rsid w:val="001D1459"/>
    <w:rsid w:val="001D2F3E"/>
    <w:rsid w:val="001D3850"/>
    <w:rsid w:val="001D4F21"/>
    <w:rsid w:val="001D77AE"/>
    <w:rsid w:val="001E1633"/>
    <w:rsid w:val="001E27A8"/>
    <w:rsid w:val="001E2FD1"/>
    <w:rsid w:val="001E4E89"/>
    <w:rsid w:val="001E7478"/>
    <w:rsid w:val="001E76D1"/>
    <w:rsid w:val="001E78B8"/>
    <w:rsid w:val="001E7D14"/>
    <w:rsid w:val="001F018C"/>
    <w:rsid w:val="001F0426"/>
    <w:rsid w:val="001F1D5B"/>
    <w:rsid w:val="001F440C"/>
    <w:rsid w:val="001F5C30"/>
    <w:rsid w:val="001F5E1D"/>
    <w:rsid w:val="001F60CD"/>
    <w:rsid w:val="001F7C53"/>
    <w:rsid w:val="002003D5"/>
    <w:rsid w:val="00200C05"/>
    <w:rsid w:val="00201019"/>
    <w:rsid w:val="00201164"/>
    <w:rsid w:val="00202F5F"/>
    <w:rsid w:val="002030D2"/>
    <w:rsid w:val="00204568"/>
    <w:rsid w:val="00206024"/>
    <w:rsid w:val="00207DC2"/>
    <w:rsid w:val="0021014F"/>
    <w:rsid w:val="002111E5"/>
    <w:rsid w:val="00213FDA"/>
    <w:rsid w:val="002210D5"/>
    <w:rsid w:val="00221556"/>
    <w:rsid w:val="00221AE4"/>
    <w:rsid w:val="00223709"/>
    <w:rsid w:val="00224767"/>
    <w:rsid w:val="0022708F"/>
    <w:rsid w:val="00227577"/>
    <w:rsid w:val="00227E28"/>
    <w:rsid w:val="002327F9"/>
    <w:rsid w:val="00233E8A"/>
    <w:rsid w:val="00234525"/>
    <w:rsid w:val="00234E8E"/>
    <w:rsid w:val="00235366"/>
    <w:rsid w:val="00235A91"/>
    <w:rsid w:val="00236523"/>
    <w:rsid w:val="00236733"/>
    <w:rsid w:val="002371DC"/>
    <w:rsid w:val="0023720A"/>
    <w:rsid w:val="00237BA0"/>
    <w:rsid w:val="00241F76"/>
    <w:rsid w:val="00243785"/>
    <w:rsid w:val="00243974"/>
    <w:rsid w:val="00243D37"/>
    <w:rsid w:val="00244EC3"/>
    <w:rsid w:val="0024524B"/>
    <w:rsid w:val="0024563E"/>
    <w:rsid w:val="00245843"/>
    <w:rsid w:val="00246068"/>
    <w:rsid w:val="002466A1"/>
    <w:rsid w:val="002502D3"/>
    <w:rsid w:val="002504C5"/>
    <w:rsid w:val="002516AD"/>
    <w:rsid w:val="002522BA"/>
    <w:rsid w:val="00252444"/>
    <w:rsid w:val="002533E7"/>
    <w:rsid w:val="00253401"/>
    <w:rsid w:val="00254000"/>
    <w:rsid w:val="00254025"/>
    <w:rsid w:val="00255B4E"/>
    <w:rsid w:val="00256226"/>
    <w:rsid w:val="002573B8"/>
    <w:rsid w:val="00260610"/>
    <w:rsid w:val="00261707"/>
    <w:rsid w:val="00263D12"/>
    <w:rsid w:val="00263DF7"/>
    <w:rsid w:val="00266FCD"/>
    <w:rsid w:val="00267295"/>
    <w:rsid w:val="00267540"/>
    <w:rsid w:val="002707F4"/>
    <w:rsid w:val="00270A74"/>
    <w:rsid w:val="0027253A"/>
    <w:rsid w:val="00272D12"/>
    <w:rsid w:val="0027339A"/>
    <w:rsid w:val="00273535"/>
    <w:rsid w:val="00274490"/>
    <w:rsid w:val="00274D03"/>
    <w:rsid w:val="002760DE"/>
    <w:rsid w:val="002764AE"/>
    <w:rsid w:val="00276710"/>
    <w:rsid w:val="00276C3A"/>
    <w:rsid w:val="0027757D"/>
    <w:rsid w:val="00277CCD"/>
    <w:rsid w:val="00280171"/>
    <w:rsid w:val="00281B53"/>
    <w:rsid w:val="00283365"/>
    <w:rsid w:val="00283A8A"/>
    <w:rsid w:val="002849C8"/>
    <w:rsid w:val="00286743"/>
    <w:rsid w:val="002876EA"/>
    <w:rsid w:val="00290F62"/>
    <w:rsid w:val="00291586"/>
    <w:rsid w:val="002928E6"/>
    <w:rsid w:val="0029462B"/>
    <w:rsid w:val="0029469A"/>
    <w:rsid w:val="0029544F"/>
    <w:rsid w:val="00295793"/>
    <w:rsid w:val="00295CE7"/>
    <w:rsid w:val="00295D92"/>
    <w:rsid w:val="00296FD5"/>
    <w:rsid w:val="00297BFC"/>
    <w:rsid w:val="002A0094"/>
    <w:rsid w:val="002A0A4A"/>
    <w:rsid w:val="002A1F3A"/>
    <w:rsid w:val="002A2049"/>
    <w:rsid w:val="002A222C"/>
    <w:rsid w:val="002A5342"/>
    <w:rsid w:val="002A5785"/>
    <w:rsid w:val="002A648E"/>
    <w:rsid w:val="002A6731"/>
    <w:rsid w:val="002A7156"/>
    <w:rsid w:val="002A7B81"/>
    <w:rsid w:val="002B0996"/>
    <w:rsid w:val="002B09A8"/>
    <w:rsid w:val="002B0CB6"/>
    <w:rsid w:val="002B107E"/>
    <w:rsid w:val="002B18B0"/>
    <w:rsid w:val="002B23F6"/>
    <w:rsid w:val="002B5540"/>
    <w:rsid w:val="002B6711"/>
    <w:rsid w:val="002B74AE"/>
    <w:rsid w:val="002C01C7"/>
    <w:rsid w:val="002C126F"/>
    <w:rsid w:val="002C1442"/>
    <w:rsid w:val="002C2D24"/>
    <w:rsid w:val="002C2DC0"/>
    <w:rsid w:val="002C2FB6"/>
    <w:rsid w:val="002C3839"/>
    <w:rsid w:val="002C3C56"/>
    <w:rsid w:val="002C4222"/>
    <w:rsid w:val="002C4963"/>
    <w:rsid w:val="002C4E01"/>
    <w:rsid w:val="002C51F8"/>
    <w:rsid w:val="002C7BB9"/>
    <w:rsid w:val="002C7CAF"/>
    <w:rsid w:val="002C7DA3"/>
    <w:rsid w:val="002D4475"/>
    <w:rsid w:val="002D4808"/>
    <w:rsid w:val="002D566D"/>
    <w:rsid w:val="002D5FC8"/>
    <w:rsid w:val="002D787A"/>
    <w:rsid w:val="002E0735"/>
    <w:rsid w:val="002E1A83"/>
    <w:rsid w:val="002E1CEB"/>
    <w:rsid w:val="002E3761"/>
    <w:rsid w:val="002E3B2B"/>
    <w:rsid w:val="002E46F8"/>
    <w:rsid w:val="002E5536"/>
    <w:rsid w:val="002F0231"/>
    <w:rsid w:val="002F059A"/>
    <w:rsid w:val="002F0C77"/>
    <w:rsid w:val="002F1F7A"/>
    <w:rsid w:val="002F2635"/>
    <w:rsid w:val="002F408E"/>
    <w:rsid w:val="002F6772"/>
    <w:rsid w:val="002F7226"/>
    <w:rsid w:val="002F7304"/>
    <w:rsid w:val="002F778B"/>
    <w:rsid w:val="00300B64"/>
    <w:rsid w:val="0030194B"/>
    <w:rsid w:val="00302EB9"/>
    <w:rsid w:val="00303042"/>
    <w:rsid w:val="00303DDE"/>
    <w:rsid w:val="00310DD7"/>
    <w:rsid w:val="0031221A"/>
    <w:rsid w:val="00313D4A"/>
    <w:rsid w:val="00315A8C"/>
    <w:rsid w:val="00316DCC"/>
    <w:rsid w:val="00320ABE"/>
    <w:rsid w:val="00320B4A"/>
    <w:rsid w:val="00321CB1"/>
    <w:rsid w:val="00322BFD"/>
    <w:rsid w:val="00323B5A"/>
    <w:rsid w:val="0032494D"/>
    <w:rsid w:val="00324959"/>
    <w:rsid w:val="00325003"/>
    <w:rsid w:val="00325447"/>
    <w:rsid w:val="00326446"/>
    <w:rsid w:val="003266E8"/>
    <w:rsid w:val="00330D03"/>
    <w:rsid w:val="00331BCC"/>
    <w:rsid w:val="00333954"/>
    <w:rsid w:val="00334C75"/>
    <w:rsid w:val="003354B8"/>
    <w:rsid w:val="00335953"/>
    <w:rsid w:val="00335EB4"/>
    <w:rsid w:val="003367DA"/>
    <w:rsid w:val="003368A1"/>
    <w:rsid w:val="00336D1F"/>
    <w:rsid w:val="003401E2"/>
    <w:rsid w:val="0034030B"/>
    <w:rsid w:val="00342CB9"/>
    <w:rsid w:val="0034488B"/>
    <w:rsid w:val="00344B74"/>
    <w:rsid w:val="003451DB"/>
    <w:rsid w:val="003451DC"/>
    <w:rsid w:val="00345662"/>
    <w:rsid w:val="00345D06"/>
    <w:rsid w:val="00345E1F"/>
    <w:rsid w:val="00346EFA"/>
    <w:rsid w:val="00347FCC"/>
    <w:rsid w:val="00350E54"/>
    <w:rsid w:val="00352CBD"/>
    <w:rsid w:val="00353143"/>
    <w:rsid w:val="00354006"/>
    <w:rsid w:val="00354362"/>
    <w:rsid w:val="003549AE"/>
    <w:rsid w:val="00356654"/>
    <w:rsid w:val="003575C9"/>
    <w:rsid w:val="0036022E"/>
    <w:rsid w:val="00360372"/>
    <w:rsid w:val="003609A1"/>
    <w:rsid w:val="00360E79"/>
    <w:rsid w:val="00360EA1"/>
    <w:rsid w:val="00364055"/>
    <w:rsid w:val="003642FA"/>
    <w:rsid w:val="00365BF8"/>
    <w:rsid w:val="00365E04"/>
    <w:rsid w:val="00366126"/>
    <w:rsid w:val="003666BE"/>
    <w:rsid w:val="003674F0"/>
    <w:rsid w:val="00371B57"/>
    <w:rsid w:val="003724E0"/>
    <w:rsid w:val="00372BBC"/>
    <w:rsid w:val="00372DAC"/>
    <w:rsid w:val="00373DB0"/>
    <w:rsid w:val="0037683D"/>
    <w:rsid w:val="00377961"/>
    <w:rsid w:val="00381279"/>
    <w:rsid w:val="003814AD"/>
    <w:rsid w:val="00382DF0"/>
    <w:rsid w:val="00384112"/>
    <w:rsid w:val="0038658E"/>
    <w:rsid w:val="00386DC3"/>
    <w:rsid w:val="003870E3"/>
    <w:rsid w:val="00387D32"/>
    <w:rsid w:val="00390AAA"/>
    <w:rsid w:val="00390C4A"/>
    <w:rsid w:val="00393A1A"/>
    <w:rsid w:val="0039454D"/>
    <w:rsid w:val="00394E27"/>
    <w:rsid w:val="00395AAB"/>
    <w:rsid w:val="00396FA6"/>
    <w:rsid w:val="003A022F"/>
    <w:rsid w:val="003A076B"/>
    <w:rsid w:val="003A0CF0"/>
    <w:rsid w:val="003A2A6E"/>
    <w:rsid w:val="003A3712"/>
    <w:rsid w:val="003A3F91"/>
    <w:rsid w:val="003A498B"/>
    <w:rsid w:val="003A4F10"/>
    <w:rsid w:val="003A5F50"/>
    <w:rsid w:val="003A6D08"/>
    <w:rsid w:val="003A71AD"/>
    <w:rsid w:val="003A7558"/>
    <w:rsid w:val="003B058B"/>
    <w:rsid w:val="003B086F"/>
    <w:rsid w:val="003B2222"/>
    <w:rsid w:val="003B56F5"/>
    <w:rsid w:val="003B710F"/>
    <w:rsid w:val="003C01DB"/>
    <w:rsid w:val="003C033D"/>
    <w:rsid w:val="003C1145"/>
    <w:rsid w:val="003C14BC"/>
    <w:rsid w:val="003C43DB"/>
    <w:rsid w:val="003C5737"/>
    <w:rsid w:val="003C5968"/>
    <w:rsid w:val="003C669F"/>
    <w:rsid w:val="003C6B29"/>
    <w:rsid w:val="003C6C18"/>
    <w:rsid w:val="003D1422"/>
    <w:rsid w:val="003D3985"/>
    <w:rsid w:val="003D4852"/>
    <w:rsid w:val="003D72D4"/>
    <w:rsid w:val="003E0EA3"/>
    <w:rsid w:val="003E1475"/>
    <w:rsid w:val="003E165E"/>
    <w:rsid w:val="003E26D3"/>
    <w:rsid w:val="003E3612"/>
    <w:rsid w:val="003E4D25"/>
    <w:rsid w:val="003E50D2"/>
    <w:rsid w:val="003E602E"/>
    <w:rsid w:val="003E6D68"/>
    <w:rsid w:val="003F01BF"/>
    <w:rsid w:val="003F07FF"/>
    <w:rsid w:val="003F2ECE"/>
    <w:rsid w:val="003F4DE3"/>
    <w:rsid w:val="003F594A"/>
    <w:rsid w:val="003F6EB8"/>
    <w:rsid w:val="003F7948"/>
    <w:rsid w:val="00400CB3"/>
    <w:rsid w:val="004018EB"/>
    <w:rsid w:val="00401ACE"/>
    <w:rsid w:val="00403018"/>
    <w:rsid w:val="00403357"/>
    <w:rsid w:val="00403807"/>
    <w:rsid w:val="00404DEF"/>
    <w:rsid w:val="00405CF2"/>
    <w:rsid w:val="00406E6B"/>
    <w:rsid w:val="00406FFD"/>
    <w:rsid w:val="004106F8"/>
    <w:rsid w:val="00415FDD"/>
    <w:rsid w:val="00416840"/>
    <w:rsid w:val="004179FA"/>
    <w:rsid w:val="004206BB"/>
    <w:rsid w:val="004228B1"/>
    <w:rsid w:val="00423C1F"/>
    <w:rsid w:val="004245B2"/>
    <w:rsid w:val="00425D83"/>
    <w:rsid w:val="0042779F"/>
    <w:rsid w:val="00427F4D"/>
    <w:rsid w:val="00430ABD"/>
    <w:rsid w:val="00430F7D"/>
    <w:rsid w:val="0043121B"/>
    <w:rsid w:val="00431229"/>
    <w:rsid w:val="00432233"/>
    <w:rsid w:val="00432AE2"/>
    <w:rsid w:val="0043366F"/>
    <w:rsid w:val="004338D8"/>
    <w:rsid w:val="00433E0E"/>
    <w:rsid w:val="00434092"/>
    <w:rsid w:val="00434212"/>
    <w:rsid w:val="00434D25"/>
    <w:rsid w:val="0043585F"/>
    <w:rsid w:val="0043748F"/>
    <w:rsid w:val="004377A7"/>
    <w:rsid w:val="00437C62"/>
    <w:rsid w:val="00440063"/>
    <w:rsid w:val="00440B5F"/>
    <w:rsid w:val="00441222"/>
    <w:rsid w:val="0044147E"/>
    <w:rsid w:val="004414DF"/>
    <w:rsid w:val="00441BF6"/>
    <w:rsid w:val="0044297A"/>
    <w:rsid w:val="004438D1"/>
    <w:rsid w:val="00443A36"/>
    <w:rsid w:val="00443DBB"/>
    <w:rsid w:val="00443F88"/>
    <w:rsid w:val="00445A7E"/>
    <w:rsid w:val="00446298"/>
    <w:rsid w:val="0044640F"/>
    <w:rsid w:val="0044715D"/>
    <w:rsid w:val="004475B4"/>
    <w:rsid w:val="0044795E"/>
    <w:rsid w:val="004502A8"/>
    <w:rsid w:val="004506E3"/>
    <w:rsid w:val="0045423B"/>
    <w:rsid w:val="00455090"/>
    <w:rsid w:val="00457B63"/>
    <w:rsid w:val="00460151"/>
    <w:rsid w:val="004601B3"/>
    <w:rsid w:val="0046077D"/>
    <w:rsid w:val="004612CF"/>
    <w:rsid w:val="004614D6"/>
    <w:rsid w:val="00461A63"/>
    <w:rsid w:val="00461DDF"/>
    <w:rsid w:val="00463A3B"/>
    <w:rsid w:val="00467EB2"/>
    <w:rsid w:val="00470231"/>
    <w:rsid w:val="00470663"/>
    <w:rsid w:val="00471521"/>
    <w:rsid w:val="00471E8D"/>
    <w:rsid w:val="00474378"/>
    <w:rsid w:val="00474F85"/>
    <w:rsid w:val="004751DF"/>
    <w:rsid w:val="00476731"/>
    <w:rsid w:val="00477185"/>
    <w:rsid w:val="00477CE4"/>
    <w:rsid w:val="00481114"/>
    <w:rsid w:val="00483B90"/>
    <w:rsid w:val="00483DDC"/>
    <w:rsid w:val="0048457B"/>
    <w:rsid w:val="00485EDE"/>
    <w:rsid w:val="004861AD"/>
    <w:rsid w:val="0048695F"/>
    <w:rsid w:val="0048722B"/>
    <w:rsid w:val="0049031D"/>
    <w:rsid w:val="004913A5"/>
    <w:rsid w:val="0049220E"/>
    <w:rsid w:val="004924A5"/>
    <w:rsid w:val="004935E5"/>
    <w:rsid w:val="00494CD6"/>
    <w:rsid w:val="00495988"/>
    <w:rsid w:val="00495BE0"/>
    <w:rsid w:val="004978CB"/>
    <w:rsid w:val="00497C72"/>
    <w:rsid w:val="004A31B4"/>
    <w:rsid w:val="004A5A74"/>
    <w:rsid w:val="004A751E"/>
    <w:rsid w:val="004B3032"/>
    <w:rsid w:val="004B5465"/>
    <w:rsid w:val="004B5A9A"/>
    <w:rsid w:val="004B614E"/>
    <w:rsid w:val="004B6BDD"/>
    <w:rsid w:val="004C2032"/>
    <w:rsid w:val="004C24A8"/>
    <w:rsid w:val="004C2BB9"/>
    <w:rsid w:val="004C30D2"/>
    <w:rsid w:val="004C3670"/>
    <w:rsid w:val="004C4505"/>
    <w:rsid w:val="004C72F3"/>
    <w:rsid w:val="004D008A"/>
    <w:rsid w:val="004D037B"/>
    <w:rsid w:val="004D0EEF"/>
    <w:rsid w:val="004D46B5"/>
    <w:rsid w:val="004D4AD4"/>
    <w:rsid w:val="004D5262"/>
    <w:rsid w:val="004D6DDA"/>
    <w:rsid w:val="004E03A8"/>
    <w:rsid w:val="004E094A"/>
    <w:rsid w:val="004E25B0"/>
    <w:rsid w:val="004E3787"/>
    <w:rsid w:val="004E6362"/>
    <w:rsid w:val="004E6660"/>
    <w:rsid w:val="004E7DBC"/>
    <w:rsid w:val="004F23B2"/>
    <w:rsid w:val="004F2824"/>
    <w:rsid w:val="004F35AA"/>
    <w:rsid w:val="004F538D"/>
    <w:rsid w:val="004F5933"/>
    <w:rsid w:val="004F681D"/>
    <w:rsid w:val="004F721F"/>
    <w:rsid w:val="004F74A8"/>
    <w:rsid w:val="004F7DD4"/>
    <w:rsid w:val="00500496"/>
    <w:rsid w:val="005008E1"/>
    <w:rsid w:val="0050157F"/>
    <w:rsid w:val="00501673"/>
    <w:rsid w:val="005024FC"/>
    <w:rsid w:val="00502AB2"/>
    <w:rsid w:val="00502C3A"/>
    <w:rsid w:val="0050319D"/>
    <w:rsid w:val="0050638C"/>
    <w:rsid w:val="0050717E"/>
    <w:rsid w:val="0050721B"/>
    <w:rsid w:val="00507617"/>
    <w:rsid w:val="00507E29"/>
    <w:rsid w:val="005108B1"/>
    <w:rsid w:val="005108FF"/>
    <w:rsid w:val="0051122D"/>
    <w:rsid w:val="005114DD"/>
    <w:rsid w:val="00511F31"/>
    <w:rsid w:val="005127CD"/>
    <w:rsid w:val="0051280C"/>
    <w:rsid w:val="00513AF8"/>
    <w:rsid w:val="0051428E"/>
    <w:rsid w:val="00514D6F"/>
    <w:rsid w:val="0051530C"/>
    <w:rsid w:val="00516472"/>
    <w:rsid w:val="00517ED5"/>
    <w:rsid w:val="00520A02"/>
    <w:rsid w:val="00521D39"/>
    <w:rsid w:val="00523A12"/>
    <w:rsid w:val="00524385"/>
    <w:rsid w:val="00524AEB"/>
    <w:rsid w:val="00525F85"/>
    <w:rsid w:val="00526B84"/>
    <w:rsid w:val="00527B83"/>
    <w:rsid w:val="0053050A"/>
    <w:rsid w:val="00532124"/>
    <w:rsid w:val="0053460C"/>
    <w:rsid w:val="00537BD1"/>
    <w:rsid w:val="0054057E"/>
    <w:rsid w:val="00540821"/>
    <w:rsid w:val="00543525"/>
    <w:rsid w:val="00543F30"/>
    <w:rsid w:val="00543F4F"/>
    <w:rsid w:val="00544AE0"/>
    <w:rsid w:val="005458A3"/>
    <w:rsid w:val="0054622A"/>
    <w:rsid w:val="0054647C"/>
    <w:rsid w:val="005468C8"/>
    <w:rsid w:val="00547244"/>
    <w:rsid w:val="00550D4A"/>
    <w:rsid w:val="005510E2"/>
    <w:rsid w:val="00552033"/>
    <w:rsid w:val="005521F4"/>
    <w:rsid w:val="0055227C"/>
    <w:rsid w:val="00552497"/>
    <w:rsid w:val="0055256E"/>
    <w:rsid w:val="005532CB"/>
    <w:rsid w:val="0055407C"/>
    <w:rsid w:val="0055439A"/>
    <w:rsid w:val="0055620B"/>
    <w:rsid w:val="0055637E"/>
    <w:rsid w:val="0055777D"/>
    <w:rsid w:val="005604F7"/>
    <w:rsid w:val="00560738"/>
    <w:rsid w:val="00560816"/>
    <w:rsid w:val="005608FB"/>
    <w:rsid w:val="00560BA5"/>
    <w:rsid w:val="00561B3C"/>
    <w:rsid w:val="00561F94"/>
    <w:rsid w:val="00562985"/>
    <w:rsid w:val="00563758"/>
    <w:rsid w:val="0056473D"/>
    <w:rsid w:val="005661D1"/>
    <w:rsid w:val="00567707"/>
    <w:rsid w:val="005709DA"/>
    <w:rsid w:val="00575AC1"/>
    <w:rsid w:val="00576813"/>
    <w:rsid w:val="005775A2"/>
    <w:rsid w:val="00577A6C"/>
    <w:rsid w:val="00580605"/>
    <w:rsid w:val="00581DF4"/>
    <w:rsid w:val="00581F22"/>
    <w:rsid w:val="005845DA"/>
    <w:rsid w:val="005856C5"/>
    <w:rsid w:val="00590950"/>
    <w:rsid w:val="00590EDD"/>
    <w:rsid w:val="00591313"/>
    <w:rsid w:val="00593DFB"/>
    <w:rsid w:val="00595890"/>
    <w:rsid w:val="005968F3"/>
    <w:rsid w:val="00596E21"/>
    <w:rsid w:val="00596F9D"/>
    <w:rsid w:val="00597B21"/>
    <w:rsid w:val="005A1969"/>
    <w:rsid w:val="005A238F"/>
    <w:rsid w:val="005A2BA3"/>
    <w:rsid w:val="005A3061"/>
    <w:rsid w:val="005A3152"/>
    <w:rsid w:val="005A3466"/>
    <w:rsid w:val="005A3CAF"/>
    <w:rsid w:val="005A476A"/>
    <w:rsid w:val="005A5669"/>
    <w:rsid w:val="005A764D"/>
    <w:rsid w:val="005A7989"/>
    <w:rsid w:val="005A7A3A"/>
    <w:rsid w:val="005A7CCE"/>
    <w:rsid w:val="005B0107"/>
    <w:rsid w:val="005B0758"/>
    <w:rsid w:val="005B1D55"/>
    <w:rsid w:val="005B26B2"/>
    <w:rsid w:val="005B2F36"/>
    <w:rsid w:val="005B445F"/>
    <w:rsid w:val="005B550F"/>
    <w:rsid w:val="005B62AE"/>
    <w:rsid w:val="005B6B8F"/>
    <w:rsid w:val="005B6D45"/>
    <w:rsid w:val="005B6DAC"/>
    <w:rsid w:val="005B7ABC"/>
    <w:rsid w:val="005C030F"/>
    <w:rsid w:val="005C0414"/>
    <w:rsid w:val="005C0A8C"/>
    <w:rsid w:val="005C0F71"/>
    <w:rsid w:val="005C16EB"/>
    <w:rsid w:val="005C1885"/>
    <w:rsid w:val="005C25CB"/>
    <w:rsid w:val="005C3581"/>
    <w:rsid w:val="005C4E30"/>
    <w:rsid w:val="005C5272"/>
    <w:rsid w:val="005C65FF"/>
    <w:rsid w:val="005C7FCA"/>
    <w:rsid w:val="005D115A"/>
    <w:rsid w:val="005D35A6"/>
    <w:rsid w:val="005D46CF"/>
    <w:rsid w:val="005D6090"/>
    <w:rsid w:val="005E02C2"/>
    <w:rsid w:val="005E3702"/>
    <w:rsid w:val="005E507F"/>
    <w:rsid w:val="005E6EE9"/>
    <w:rsid w:val="005F0BF6"/>
    <w:rsid w:val="005F450A"/>
    <w:rsid w:val="005F578A"/>
    <w:rsid w:val="005F5AF5"/>
    <w:rsid w:val="005F6B9D"/>
    <w:rsid w:val="006006EA"/>
    <w:rsid w:val="0060084D"/>
    <w:rsid w:val="00600C35"/>
    <w:rsid w:val="00601620"/>
    <w:rsid w:val="00603078"/>
    <w:rsid w:val="00605334"/>
    <w:rsid w:val="00605CEF"/>
    <w:rsid w:val="00605E27"/>
    <w:rsid w:val="0060763F"/>
    <w:rsid w:val="00607CBC"/>
    <w:rsid w:val="00607E43"/>
    <w:rsid w:val="00610D35"/>
    <w:rsid w:val="00610F7C"/>
    <w:rsid w:val="006114A5"/>
    <w:rsid w:val="0061163E"/>
    <w:rsid w:val="00611A5D"/>
    <w:rsid w:val="00612401"/>
    <w:rsid w:val="00613550"/>
    <w:rsid w:val="00613E70"/>
    <w:rsid w:val="00613FB2"/>
    <w:rsid w:val="0061429C"/>
    <w:rsid w:val="00616022"/>
    <w:rsid w:val="006160F3"/>
    <w:rsid w:val="00616725"/>
    <w:rsid w:val="0061687E"/>
    <w:rsid w:val="00617432"/>
    <w:rsid w:val="00617808"/>
    <w:rsid w:val="00622E08"/>
    <w:rsid w:val="00623A53"/>
    <w:rsid w:val="00630F0F"/>
    <w:rsid w:val="006321A1"/>
    <w:rsid w:val="006324B0"/>
    <w:rsid w:val="00632BC4"/>
    <w:rsid w:val="006332B4"/>
    <w:rsid w:val="006335C0"/>
    <w:rsid w:val="00633993"/>
    <w:rsid w:val="00636117"/>
    <w:rsid w:val="006361F7"/>
    <w:rsid w:val="00636B4C"/>
    <w:rsid w:val="006409C0"/>
    <w:rsid w:val="00640BB4"/>
    <w:rsid w:val="006439FC"/>
    <w:rsid w:val="006458D2"/>
    <w:rsid w:val="00651BA6"/>
    <w:rsid w:val="00651DA0"/>
    <w:rsid w:val="0065323D"/>
    <w:rsid w:val="00653D04"/>
    <w:rsid w:val="00654577"/>
    <w:rsid w:val="0065602B"/>
    <w:rsid w:val="00665258"/>
    <w:rsid w:val="006655FA"/>
    <w:rsid w:val="006678DB"/>
    <w:rsid w:val="00667C60"/>
    <w:rsid w:val="00670947"/>
    <w:rsid w:val="006714B4"/>
    <w:rsid w:val="00673C83"/>
    <w:rsid w:val="006748EC"/>
    <w:rsid w:val="00675532"/>
    <w:rsid w:val="006756D4"/>
    <w:rsid w:val="0067590B"/>
    <w:rsid w:val="00676727"/>
    <w:rsid w:val="006778FE"/>
    <w:rsid w:val="006805D8"/>
    <w:rsid w:val="00680BDD"/>
    <w:rsid w:val="006817E3"/>
    <w:rsid w:val="0068220A"/>
    <w:rsid w:val="00682B2F"/>
    <w:rsid w:val="00683D6B"/>
    <w:rsid w:val="006858D7"/>
    <w:rsid w:val="00687AAC"/>
    <w:rsid w:val="00690CA2"/>
    <w:rsid w:val="006911BA"/>
    <w:rsid w:val="006917F6"/>
    <w:rsid w:val="00692EBD"/>
    <w:rsid w:val="00693497"/>
    <w:rsid w:val="006934F6"/>
    <w:rsid w:val="00694698"/>
    <w:rsid w:val="0069593B"/>
    <w:rsid w:val="00695950"/>
    <w:rsid w:val="00695F18"/>
    <w:rsid w:val="00696770"/>
    <w:rsid w:val="006967C2"/>
    <w:rsid w:val="00697661"/>
    <w:rsid w:val="006A12E7"/>
    <w:rsid w:val="006A1311"/>
    <w:rsid w:val="006A16BC"/>
    <w:rsid w:val="006A1B48"/>
    <w:rsid w:val="006A21DC"/>
    <w:rsid w:val="006A40FD"/>
    <w:rsid w:val="006A558D"/>
    <w:rsid w:val="006A59CC"/>
    <w:rsid w:val="006A5BD9"/>
    <w:rsid w:val="006A795E"/>
    <w:rsid w:val="006B0CB2"/>
    <w:rsid w:val="006B2B4B"/>
    <w:rsid w:val="006B335C"/>
    <w:rsid w:val="006B3E1A"/>
    <w:rsid w:val="006B4C9A"/>
    <w:rsid w:val="006B5476"/>
    <w:rsid w:val="006B5A23"/>
    <w:rsid w:val="006B6514"/>
    <w:rsid w:val="006B65C4"/>
    <w:rsid w:val="006B77F8"/>
    <w:rsid w:val="006C2502"/>
    <w:rsid w:val="006C265D"/>
    <w:rsid w:val="006C3BAD"/>
    <w:rsid w:val="006C3D0D"/>
    <w:rsid w:val="006C5131"/>
    <w:rsid w:val="006C7625"/>
    <w:rsid w:val="006C7941"/>
    <w:rsid w:val="006C7F4C"/>
    <w:rsid w:val="006D2467"/>
    <w:rsid w:val="006D36A2"/>
    <w:rsid w:val="006D4465"/>
    <w:rsid w:val="006D5577"/>
    <w:rsid w:val="006E252C"/>
    <w:rsid w:val="006E37C2"/>
    <w:rsid w:val="006E4310"/>
    <w:rsid w:val="006E778C"/>
    <w:rsid w:val="006F05A9"/>
    <w:rsid w:val="006F05BF"/>
    <w:rsid w:val="006F1A63"/>
    <w:rsid w:val="006F1A9C"/>
    <w:rsid w:val="006F6EF1"/>
    <w:rsid w:val="006F7AEA"/>
    <w:rsid w:val="00701142"/>
    <w:rsid w:val="007017BF"/>
    <w:rsid w:val="00702935"/>
    <w:rsid w:val="00703655"/>
    <w:rsid w:val="00704070"/>
    <w:rsid w:val="00705DD8"/>
    <w:rsid w:val="00707C9C"/>
    <w:rsid w:val="0071059A"/>
    <w:rsid w:val="007110E0"/>
    <w:rsid w:val="00712140"/>
    <w:rsid w:val="007137BF"/>
    <w:rsid w:val="007138EA"/>
    <w:rsid w:val="00714C35"/>
    <w:rsid w:val="00715103"/>
    <w:rsid w:val="00715262"/>
    <w:rsid w:val="00717E89"/>
    <w:rsid w:val="007206BB"/>
    <w:rsid w:val="00721684"/>
    <w:rsid w:val="00721BFB"/>
    <w:rsid w:val="00721DA9"/>
    <w:rsid w:val="00722560"/>
    <w:rsid w:val="00722C24"/>
    <w:rsid w:val="00727048"/>
    <w:rsid w:val="007271E0"/>
    <w:rsid w:val="007275E5"/>
    <w:rsid w:val="0073152B"/>
    <w:rsid w:val="00731906"/>
    <w:rsid w:val="00731F87"/>
    <w:rsid w:val="00733278"/>
    <w:rsid w:val="00733778"/>
    <w:rsid w:val="00734659"/>
    <w:rsid w:val="00735360"/>
    <w:rsid w:val="00737834"/>
    <w:rsid w:val="00742AC0"/>
    <w:rsid w:val="00743CEC"/>
    <w:rsid w:val="00744FCF"/>
    <w:rsid w:val="00747658"/>
    <w:rsid w:val="0075088A"/>
    <w:rsid w:val="00750DEE"/>
    <w:rsid w:val="007522EB"/>
    <w:rsid w:val="00755745"/>
    <w:rsid w:val="007569B3"/>
    <w:rsid w:val="00756CDE"/>
    <w:rsid w:val="00757379"/>
    <w:rsid w:val="00760C7B"/>
    <w:rsid w:val="00761395"/>
    <w:rsid w:val="00761902"/>
    <w:rsid w:val="00761AAE"/>
    <w:rsid w:val="00761FD2"/>
    <w:rsid w:val="00763510"/>
    <w:rsid w:val="0076435D"/>
    <w:rsid w:val="00767D13"/>
    <w:rsid w:val="00770FF6"/>
    <w:rsid w:val="0077102E"/>
    <w:rsid w:val="00771305"/>
    <w:rsid w:val="007714C5"/>
    <w:rsid w:val="007714E2"/>
    <w:rsid w:val="007718D0"/>
    <w:rsid w:val="00771A1B"/>
    <w:rsid w:val="007722F7"/>
    <w:rsid w:val="00772673"/>
    <w:rsid w:val="00772A4F"/>
    <w:rsid w:val="00772B24"/>
    <w:rsid w:val="00772C5C"/>
    <w:rsid w:val="00773342"/>
    <w:rsid w:val="0077359A"/>
    <w:rsid w:val="007736AB"/>
    <w:rsid w:val="00773A7A"/>
    <w:rsid w:val="00774704"/>
    <w:rsid w:val="007750F3"/>
    <w:rsid w:val="0077524A"/>
    <w:rsid w:val="0077575F"/>
    <w:rsid w:val="0077651E"/>
    <w:rsid w:val="0077743E"/>
    <w:rsid w:val="007774C8"/>
    <w:rsid w:val="0077798B"/>
    <w:rsid w:val="007815FC"/>
    <w:rsid w:val="007816EF"/>
    <w:rsid w:val="007822DA"/>
    <w:rsid w:val="00782A91"/>
    <w:rsid w:val="00782AAE"/>
    <w:rsid w:val="00782C30"/>
    <w:rsid w:val="00784EA9"/>
    <w:rsid w:val="007866AA"/>
    <w:rsid w:val="007870C2"/>
    <w:rsid w:val="00787434"/>
    <w:rsid w:val="0078754A"/>
    <w:rsid w:val="00787D31"/>
    <w:rsid w:val="00790D29"/>
    <w:rsid w:val="00795357"/>
    <w:rsid w:val="0079539B"/>
    <w:rsid w:val="007953A1"/>
    <w:rsid w:val="00796274"/>
    <w:rsid w:val="0079793D"/>
    <w:rsid w:val="007A0AA8"/>
    <w:rsid w:val="007A2E76"/>
    <w:rsid w:val="007A441A"/>
    <w:rsid w:val="007A4809"/>
    <w:rsid w:val="007A4BC7"/>
    <w:rsid w:val="007A5119"/>
    <w:rsid w:val="007A53E8"/>
    <w:rsid w:val="007A7049"/>
    <w:rsid w:val="007B1941"/>
    <w:rsid w:val="007B4A55"/>
    <w:rsid w:val="007B57BE"/>
    <w:rsid w:val="007B5BFD"/>
    <w:rsid w:val="007C0637"/>
    <w:rsid w:val="007C28CF"/>
    <w:rsid w:val="007C31EC"/>
    <w:rsid w:val="007C3C11"/>
    <w:rsid w:val="007C42A6"/>
    <w:rsid w:val="007C46F2"/>
    <w:rsid w:val="007C5852"/>
    <w:rsid w:val="007C6792"/>
    <w:rsid w:val="007C6CE5"/>
    <w:rsid w:val="007C7396"/>
    <w:rsid w:val="007D0371"/>
    <w:rsid w:val="007D07A4"/>
    <w:rsid w:val="007D0E00"/>
    <w:rsid w:val="007D1F59"/>
    <w:rsid w:val="007D2889"/>
    <w:rsid w:val="007D3660"/>
    <w:rsid w:val="007D45C0"/>
    <w:rsid w:val="007D47CF"/>
    <w:rsid w:val="007D5CB2"/>
    <w:rsid w:val="007D61DD"/>
    <w:rsid w:val="007D6416"/>
    <w:rsid w:val="007D698E"/>
    <w:rsid w:val="007E1056"/>
    <w:rsid w:val="007E2507"/>
    <w:rsid w:val="007E2DE0"/>
    <w:rsid w:val="007E33FD"/>
    <w:rsid w:val="007E3A6B"/>
    <w:rsid w:val="007E487E"/>
    <w:rsid w:val="007E4F84"/>
    <w:rsid w:val="007E5A70"/>
    <w:rsid w:val="007E6102"/>
    <w:rsid w:val="007E6285"/>
    <w:rsid w:val="007E6D14"/>
    <w:rsid w:val="007E774E"/>
    <w:rsid w:val="007F0D3C"/>
    <w:rsid w:val="007F1AA8"/>
    <w:rsid w:val="007F2651"/>
    <w:rsid w:val="007F3817"/>
    <w:rsid w:val="007F45E7"/>
    <w:rsid w:val="007F5BB5"/>
    <w:rsid w:val="007F696D"/>
    <w:rsid w:val="007F7575"/>
    <w:rsid w:val="007F76A7"/>
    <w:rsid w:val="008004C4"/>
    <w:rsid w:val="00800E86"/>
    <w:rsid w:val="00801E25"/>
    <w:rsid w:val="00802257"/>
    <w:rsid w:val="008028E0"/>
    <w:rsid w:val="00802BEB"/>
    <w:rsid w:val="00802DEF"/>
    <w:rsid w:val="00804E79"/>
    <w:rsid w:val="0080536D"/>
    <w:rsid w:val="00805F03"/>
    <w:rsid w:val="00805F97"/>
    <w:rsid w:val="00806307"/>
    <w:rsid w:val="0081091A"/>
    <w:rsid w:val="00812363"/>
    <w:rsid w:val="00814A58"/>
    <w:rsid w:val="00815980"/>
    <w:rsid w:val="008200D4"/>
    <w:rsid w:val="0082026D"/>
    <w:rsid w:val="008204C8"/>
    <w:rsid w:val="008206CE"/>
    <w:rsid w:val="0082084C"/>
    <w:rsid w:val="0082120F"/>
    <w:rsid w:val="00821DAD"/>
    <w:rsid w:val="00822871"/>
    <w:rsid w:val="00825833"/>
    <w:rsid w:val="00825A83"/>
    <w:rsid w:val="00825B4D"/>
    <w:rsid w:val="00825CFF"/>
    <w:rsid w:val="00826253"/>
    <w:rsid w:val="00826A47"/>
    <w:rsid w:val="00827527"/>
    <w:rsid w:val="00830474"/>
    <w:rsid w:val="0083071A"/>
    <w:rsid w:val="00831BA2"/>
    <w:rsid w:val="00831C08"/>
    <w:rsid w:val="00831D29"/>
    <w:rsid w:val="00831EB0"/>
    <w:rsid w:val="00832D2F"/>
    <w:rsid w:val="00834353"/>
    <w:rsid w:val="008347E5"/>
    <w:rsid w:val="008348C0"/>
    <w:rsid w:val="00835116"/>
    <w:rsid w:val="008372EB"/>
    <w:rsid w:val="00840BCE"/>
    <w:rsid w:val="0084314C"/>
    <w:rsid w:val="008434AD"/>
    <w:rsid w:val="00844286"/>
    <w:rsid w:val="00844D4B"/>
    <w:rsid w:val="00845D39"/>
    <w:rsid w:val="00847AC2"/>
    <w:rsid w:val="008511B5"/>
    <w:rsid w:val="008522E3"/>
    <w:rsid w:val="00853594"/>
    <w:rsid w:val="00853828"/>
    <w:rsid w:val="00853C0F"/>
    <w:rsid w:val="00855C08"/>
    <w:rsid w:val="008566BB"/>
    <w:rsid w:val="008572F0"/>
    <w:rsid w:val="00860B2C"/>
    <w:rsid w:val="00861B89"/>
    <w:rsid w:val="00861D85"/>
    <w:rsid w:val="00861E98"/>
    <w:rsid w:val="00863EA2"/>
    <w:rsid w:val="0086425D"/>
    <w:rsid w:val="00864A7A"/>
    <w:rsid w:val="00864DBD"/>
    <w:rsid w:val="0086579E"/>
    <w:rsid w:val="0086597F"/>
    <w:rsid w:val="00865B0F"/>
    <w:rsid w:val="0086602D"/>
    <w:rsid w:val="008668BC"/>
    <w:rsid w:val="00867A15"/>
    <w:rsid w:val="0087055A"/>
    <w:rsid w:val="0087187F"/>
    <w:rsid w:val="00871A3A"/>
    <w:rsid w:val="008736C9"/>
    <w:rsid w:val="00874D24"/>
    <w:rsid w:val="00875348"/>
    <w:rsid w:val="00875546"/>
    <w:rsid w:val="00876196"/>
    <w:rsid w:val="0088116E"/>
    <w:rsid w:val="0088185C"/>
    <w:rsid w:val="00881A78"/>
    <w:rsid w:val="00882ED8"/>
    <w:rsid w:val="00886CD9"/>
    <w:rsid w:val="00890532"/>
    <w:rsid w:val="008914E8"/>
    <w:rsid w:val="008928CE"/>
    <w:rsid w:val="0089362D"/>
    <w:rsid w:val="00896276"/>
    <w:rsid w:val="00896480"/>
    <w:rsid w:val="008976AF"/>
    <w:rsid w:val="00897F3F"/>
    <w:rsid w:val="008A0445"/>
    <w:rsid w:val="008A0542"/>
    <w:rsid w:val="008A0AB3"/>
    <w:rsid w:val="008A22B0"/>
    <w:rsid w:val="008A42E8"/>
    <w:rsid w:val="008A4C67"/>
    <w:rsid w:val="008A6035"/>
    <w:rsid w:val="008A664D"/>
    <w:rsid w:val="008A66C8"/>
    <w:rsid w:val="008A793B"/>
    <w:rsid w:val="008B1941"/>
    <w:rsid w:val="008B1AC9"/>
    <w:rsid w:val="008B2A7E"/>
    <w:rsid w:val="008B406F"/>
    <w:rsid w:val="008B4531"/>
    <w:rsid w:val="008B4710"/>
    <w:rsid w:val="008B4EA2"/>
    <w:rsid w:val="008B6441"/>
    <w:rsid w:val="008B6FE9"/>
    <w:rsid w:val="008B78B2"/>
    <w:rsid w:val="008C02C1"/>
    <w:rsid w:val="008C070D"/>
    <w:rsid w:val="008C0876"/>
    <w:rsid w:val="008C11CC"/>
    <w:rsid w:val="008C2E72"/>
    <w:rsid w:val="008C48CA"/>
    <w:rsid w:val="008C49DE"/>
    <w:rsid w:val="008C6900"/>
    <w:rsid w:val="008C7198"/>
    <w:rsid w:val="008D04D5"/>
    <w:rsid w:val="008D0ABE"/>
    <w:rsid w:val="008D1273"/>
    <w:rsid w:val="008D149C"/>
    <w:rsid w:val="008D2BF6"/>
    <w:rsid w:val="008D3787"/>
    <w:rsid w:val="008D3B9F"/>
    <w:rsid w:val="008D411D"/>
    <w:rsid w:val="008D6E77"/>
    <w:rsid w:val="008D7C0E"/>
    <w:rsid w:val="008E0152"/>
    <w:rsid w:val="008E0FCA"/>
    <w:rsid w:val="008E2F00"/>
    <w:rsid w:val="008E41A4"/>
    <w:rsid w:val="008E54A4"/>
    <w:rsid w:val="008E57B7"/>
    <w:rsid w:val="008E61F9"/>
    <w:rsid w:val="008E63F7"/>
    <w:rsid w:val="008E6F35"/>
    <w:rsid w:val="008F0697"/>
    <w:rsid w:val="008F10BC"/>
    <w:rsid w:val="008F2985"/>
    <w:rsid w:val="008F3C5C"/>
    <w:rsid w:val="008F3E48"/>
    <w:rsid w:val="008F432F"/>
    <w:rsid w:val="008F6EC2"/>
    <w:rsid w:val="008F7221"/>
    <w:rsid w:val="008F7F97"/>
    <w:rsid w:val="00900F21"/>
    <w:rsid w:val="00901F53"/>
    <w:rsid w:val="00905342"/>
    <w:rsid w:val="009056AE"/>
    <w:rsid w:val="00905D27"/>
    <w:rsid w:val="00906462"/>
    <w:rsid w:val="00906C27"/>
    <w:rsid w:val="00907409"/>
    <w:rsid w:val="00907F6E"/>
    <w:rsid w:val="00912811"/>
    <w:rsid w:val="009130A3"/>
    <w:rsid w:val="00913804"/>
    <w:rsid w:val="00914C26"/>
    <w:rsid w:val="00915131"/>
    <w:rsid w:val="0091529F"/>
    <w:rsid w:val="009156D6"/>
    <w:rsid w:val="00915CE4"/>
    <w:rsid w:val="009173B2"/>
    <w:rsid w:val="009174B7"/>
    <w:rsid w:val="00917FA0"/>
    <w:rsid w:val="009206B4"/>
    <w:rsid w:val="00920FB0"/>
    <w:rsid w:val="00922662"/>
    <w:rsid w:val="00923627"/>
    <w:rsid w:val="00923F75"/>
    <w:rsid w:val="00924B5D"/>
    <w:rsid w:val="009267DB"/>
    <w:rsid w:val="00927ACD"/>
    <w:rsid w:val="00927F8C"/>
    <w:rsid w:val="0093045F"/>
    <w:rsid w:val="00930F12"/>
    <w:rsid w:val="00930F4C"/>
    <w:rsid w:val="00931F02"/>
    <w:rsid w:val="00932AE3"/>
    <w:rsid w:val="00932BDC"/>
    <w:rsid w:val="009347FD"/>
    <w:rsid w:val="00935507"/>
    <w:rsid w:val="0093583F"/>
    <w:rsid w:val="009401A0"/>
    <w:rsid w:val="00941AB1"/>
    <w:rsid w:val="009436B6"/>
    <w:rsid w:val="009469B2"/>
    <w:rsid w:val="00946EA7"/>
    <w:rsid w:val="00950547"/>
    <w:rsid w:val="00951A55"/>
    <w:rsid w:val="0095517B"/>
    <w:rsid w:val="00955419"/>
    <w:rsid w:val="00955642"/>
    <w:rsid w:val="00960B47"/>
    <w:rsid w:val="00961191"/>
    <w:rsid w:val="00961668"/>
    <w:rsid w:val="00966D74"/>
    <w:rsid w:val="00970A14"/>
    <w:rsid w:val="0097162E"/>
    <w:rsid w:val="0097219D"/>
    <w:rsid w:val="00972F4F"/>
    <w:rsid w:val="00973B37"/>
    <w:rsid w:val="00977526"/>
    <w:rsid w:val="009809A9"/>
    <w:rsid w:val="00981965"/>
    <w:rsid w:val="0098216E"/>
    <w:rsid w:val="0098335E"/>
    <w:rsid w:val="00983CE5"/>
    <w:rsid w:val="0098478F"/>
    <w:rsid w:val="00984E69"/>
    <w:rsid w:val="009850A7"/>
    <w:rsid w:val="00987F07"/>
    <w:rsid w:val="00991C46"/>
    <w:rsid w:val="00993D9A"/>
    <w:rsid w:val="009946D2"/>
    <w:rsid w:val="00994732"/>
    <w:rsid w:val="00995648"/>
    <w:rsid w:val="00996C5D"/>
    <w:rsid w:val="009A078B"/>
    <w:rsid w:val="009A08EB"/>
    <w:rsid w:val="009A0B8B"/>
    <w:rsid w:val="009A0C0C"/>
    <w:rsid w:val="009A113E"/>
    <w:rsid w:val="009A1F1C"/>
    <w:rsid w:val="009A2631"/>
    <w:rsid w:val="009A3D91"/>
    <w:rsid w:val="009A4947"/>
    <w:rsid w:val="009A49F6"/>
    <w:rsid w:val="009A4CD3"/>
    <w:rsid w:val="009A7343"/>
    <w:rsid w:val="009B012E"/>
    <w:rsid w:val="009B0D68"/>
    <w:rsid w:val="009B1117"/>
    <w:rsid w:val="009B1F74"/>
    <w:rsid w:val="009B4406"/>
    <w:rsid w:val="009B4F76"/>
    <w:rsid w:val="009B5D14"/>
    <w:rsid w:val="009B5E50"/>
    <w:rsid w:val="009B6713"/>
    <w:rsid w:val="009B6952"/>
    <w:rsid w:val="009B6F72"/>
    <w:rsid w:val="009B7548"/>
    <w:rsid w:val="009C0093"/>
    <w:rsid w:val="009C08DD"/>
    <w:rsid w:val="009C188E"/>
    <w:rsid w:val="009C293C"/>
    <w:rsid w:val="009C5C35"/>
    <w:rsid w:val="009C7536"/>
    <w:rsid w:val="009C7885"/>
    <w:rsid w:val="009C7B84"/>
    <w:rsid w:val="009D1CA8"/>
    <w:rsid w:val="009D34C8"/>
    <w:rsid w:val="009D3594"/>
    <w:rsid w:val="009D39BD"/>
    <w:rsid w:val="009D3A56"/>
    <w:rsid w:val="009D3DD7"/>
    <w:rsid w:val="009D4215"/>
    <w:rsid w:val="009D6020"/>
    <w:rsid w:val="009D65BC"/>
    <w:rsid w:val="009D776B"/>
    <w:rsid w:val="009D7B6F"/>
    <w:rsid w:val="009E15AF"/>
    <w:rsid w:val="009E35A1"/>
    <w:rsid w:val="009E4B92"/>
    <w:rsid w:val="009E5CA5"/>
    <w:rsid w:val="009F201D"/>
    <w:rsid w:val="009F3291"/>
    <w:rsid w:val="009F33DD"/>
    <w:rsid w:val="009F4534"/>
    <w:rsid w:val="009F4AAC"/>
    <w:rsid w:val="009F559E"/>
    <w:rsid w:val="009F565C"/>
    <w:rsid w:val="009F5AF6"/>
    <w:rsid w:val="009F5C3B"/>
    <w:rsid w:val="009F5E01"/>
    <w:rsid w:val="009F6F6C"/>
    <w:rsid w:val="009F7790"/>
    <w:rsid w:val="00A00131"/>
    <w:rsid w:val="00A00D40"/>
    <w:rsid w:val="00A02CCE"/>
    <w:rsid w:val="00A02F56"/>
    <w:rsid w:val="00A03A5A"/>
    <w:rsid w:val="00A040CB"/>
    <w:rsid w:val="00A04C95"/>
    <w:rsid w:val="00A055CE"/>
    <w:rsid w:val="00A0569E"/>
    <w:rsid w:val="00A05FE2"/>
    <w:rsid w:val="00A0697F"/>
    <w:rsid w:val="00A06E09"/>
    <w:rsid w:val="00A0797F"/>
    <w:rsid w:val="00A07BA4"/>
    <w:rsid w:val="00A10994"/>
    <w:rsid w:val="00A114AA"/>
    <w:rsid w:val="00A11DDE"/>
    <w:rsid w:val="00A11F96"/>
    <w:rsid w:val="00A1391C"/>
    <w:rsid w:val="00A13EC5"/>
    <w:rsid w:val="00A163A7"/>
    <w:rsid w:val="00A1659D"/>
    <w:rsid w:val="00A16783"/>
    <w:rsid w:val="00A170E3"/>
    <w:rsid w:val="00A1724F"/>
    <w:rsid w:val="00A1726D"/>
    <w:rsid w:val="00A173FA"/>
    <w:rsid w:val="00A204C2"/>
    <w:rsid w:val="00A20583"/>
    <w:rsid w:val="00A2084D"/>
    <w:rsid w:val="00A20D68"/>
    <w:rsid w:val="00A2157F"/>
    <w:rsid w:val="00A2243D"/>
    <w:rsid w:val="00A226B5"/>
    <w:rsid w:val="00A2311B"/>
    <w:rsid w:val="00A25130"/>
    <w:rsid w:val="00A26780"/>
    <w:rsid w:val="00A30418"/>
    <w:rsid w:val="00A306C6"/>
    <w:rsid w:val="00A3152F"/>
    <w:rsid w:val="00A3162F"/>
    <w:rsid w:val="00A31F86"/>
    <w:rsid w:val="00A34075"/>
    <w:rsid w:val="00A34BEE"/>
    <w:rsid w:val="00A350B2"/>
    <w:rsid w:val="00A35874"/>
    <w:rsid w:val="00A37E5B"/>
    <w:rsid w:val="00A400AA"/>
    <w:rsid w:val="00A41F3C"/>
    <w:rsid w:val="00A420EC"/>
    <w:rsid w:val="00A43EA6"/>
    <w:rsid w:val="00A43EEA"/>
    <w:rsid w:val="00A443C6"/>
    <w:rsid w:val="00A44EB5"/>
    <w:rsid w:val="00A50AA4"/>
    <w:rsid w:val="00A50FF3"/>
    <w:rsid w:val="00A51B12"/>
    <w:rsid w:val="00A5233D"/>
    <w:rsid w:val="00A53489"/>
    <w:rsid w:val="00A559DF"/>
    <w:rsid w:val="00A55FB0"/>
    <w:rsid w:val="00A561A1"/>
    <w:rsid w:val="00A60D9B"/>
    <w:rsid w:val="00A634F7"/>
    <w:rsid w:val="00A639B3"/>
    <w:rsid w:val="00A63B03"/>
    <w:rsid w:val="00A63B31"/>
    <w:rsid w:val="00A63B58"/>
    <w:rsid w:val="00A63EFF"/>
    <w:rsid w:val="00A64FAC"/>
    <w:rsid w:val="00A6624A"/>
    <w:rsid w:val="00A662D9"/>
    <w:rsid w:val="00A666AB"/>
    <w:rsid w:val="00A66F83"/>
    <w:rsid w:val="00A717AF"/>
    <w:rsid w:val="00A71C2E"/>
    <w:rsid w:val="00A72087"/>
    <w:rsid w:val="00A721DB"/>
    <w:rsid w:val="00A7258A"/>
    <w:rsid w:val="00A77914"/>
    <w:rsid w:val="00A80E9F"/>
    <w:rsid w:val="00A81214"/>
    <w:rsid w:val="00A81392"/>
    <w:rsid w:val="00A8229D"/>
    <w:rsid w:val="00A82B30"/>
    <w:rsid w:val="00A83824"/>
    <w:rsid w:val="00A8535E"/>
    <w:rsid w:val="00A86229"/>
    <w:rsid w:val="00A862CF"/>
    <w:rsid w:val="00A86612"/>
    <w:rsid w:val="00A86708"/>
    <w:rsid w:val="00A86B6A"/>
    <w:rsid w:val="00A873FD"/>
    <w:rsid w:val="00A87715"/>
    <w:rsid w:val="00A908A4"/>
    <w:rsid w:val="00A90C39"/>
    <w:rsid w:val="00A90ED8"/>
    <w:rsid w:val="00A91060"/>
    <w:rsid w:val="00A925A4"/>
    <w:rsid w:val="00A952BF"/>
    <w:rsid w:val="00A957DA"/>
    <w:rsid w:val="00A96B45"/>
    <w:rsid w:val="00AA1223"/>
    <w:rsid w:val="00AA1CEB"/>
    <w:rsid w:val="00AA5418"/>
    <w:rsid w:val="00AA54D1"/>
    <w:rsid w:val="00AA7AB7"/>
    <w:rsid w:val="00AB0D6A"/>
    <w:rsid w:val="00AB0F31"/>
    <w:rsid w:val="00AB17ED"/>
    <w:rsid w:val="00AB1F74"/>
    <w:rsid w:val="00AB2563"/>
    <w:rsid w:val="00AB2A53"/>
    <w:rsid w:val="00AB2D65"/>
    <w:rsid w:val="00AB3DF9"/>
    <w:rsid w:val="00AB4548"/>
    <w:rsid w:val="00AB5F72"/>
    <w:rsid w:val="00AB6998"/>
    <w:rsid w:val="00AC0B0A"/>
    <w:rsid w:val="00AC0B7F"/>
    <w:rsid w:val="00AC1544"/>
    <w:rsid w:val="00AC21BD"/>
    <w:rsid w:val="00AC3BDB"/>
    <w:rsid w:val="00AC47CD"/>
    <w:rsid w:val="00AC7A0E"/>
    <w:rsid w:val="00AD1383"/>
    <w:rsid w:val="00AD1F47"/>
    <w:rsid w:val="00AD3080"/>
    <w:rsid w:val="00AD34CA"/>
    <w:rsid w:val="00AD43CD"/>
    <w:rsid w:val="00AD446A"/>
    <w:rsid w:val="00AD4B40"/>
    <w:rsid w:val="00AD5739"/>
    <w:rsid w:val="00AD5E6C"/>
    <w:rsid w:val="00AD5E7C"/>
    <w:rsid w:val="00AD6550"/>
    <w:rsid w:val="00AD6F8A"/>
    <w:rsid w:val="00AE0094"/>
    <w:rsid w:val="00AE0145"/>
    <w:rsid w:val="00AE0960"/>
    <w:rsid w:val="00AE0E47"/>
    <w:rsid w:val="00AE0E84"/>
    <w:rsid w:val="00AE3571"/>
    <w:rsid w:val="00AE4C8D"/>
    <w:rsid w:val="00AE4D58"/>
    <w:rsid w:val="00AE4F3B"/>
    <w:rsid w:val="00AE4FE1"/>
    <w:rsid w:val="00AE5F8A"/>
    <w:rsid w:val="00AE6635"/>
    <w:rsid w:val="00AE6F2D"/>
    <w:rsid w:val="00AF0ED6"/>
    <w:rsid w:val="00AF24DE"/>
    <w:rsid w:val="00AF37D0"/>
    <w:rsid w:val="00AF399F"/>
    <w:rsid w:val="00AF5712"/>
    <w:rsid w:val="00AF5A65"/>
    <w:rsid w:val="00AF6228"/>
    <w:rsid w:val="00AF7EF7"/>
    <w:rsid w:val="00B00A57"/>
    <w:rsid w:val="00B00C7F"/>
    <w:rsid w:val="00B01BA0"/>
    <w:rsid w:val="00B02232"/>
    <w:rsid w:val="00B02821"/>
    <w:rsid w:val="00B031C2"/>
    <w:rsid w:val="00B0349D"/>
    <w:rsid w:val="00B041F5"/>
    <w:rsid w:val="00B04378"/>
    <w:rsid w:val="00B04527"/>
    <w:rsid w:val="00B04A97"/>
    <w:rsid w:val="00B069E5"/>
    <w:rsid w:val="00B06AC4"/>
    <w:rsid w:val="00B06C7D"/>
    <w:rsid w:val="00B07DC7"/>
    <w:rsid w:val="00B10F8F"/>
    <w:rsid w:val="00B11573"/>
    <w:rsid w:val="00B11AFA"/>
    <w:rsid w:val="00B1263C"/>
    <w:rsid w:val="00B137B5"/>
    <w:rsid w:val="00B138E9"/>
    <w:rsid w:val="00B13A29"/>
    <w:rsid w:val="00B13B2C"/>
    <w:rsid w:val="00B16352"/>
    <w:rsid w:val="00B163C9"/>
    <w:rsid w:val="00B205F5"/>
    <w:rsid w:val="00B209BE"/>
    <w:rsid w:val="00B2149E"/>
    <w:rsid w:val="00B21C95"/>
    <w:rsid w:val="00B2366F"/>
    <w:rsid w:val="00B245D7"/>
    <w:rsid w:val="00B26126"/>
    <w:rsid w:val="00B27C87"/>
    <w:rsid w:val="00B30546"/>
    <w:rsid w:val="00B30815"/>
    <w:rsid w:val="00B30AD4"/>
    <w:rsid w:val="00B315F1"/>
    <w:rsid w:val="00B31BB7"/>
    <w:rsid w:val="00B31C14"/>
    <w:rsid w:val="00B321C6"/>
    <w:rsid w:val="00B32752"/>
    <w:rsid w:val="00B32A2E"/>
    <w:rsid w:val="00B3470F"/>
    <w:rsid w:val="00B35447"/>
    <w:rsid w:val="00B35B22"/>
    <w:rsid w:val="00B37C08"/>
    <w:rsid w:val="00B40258"/>
    <w:rsid w:val="00B41E63"/>
    <w:rsid w:val="00B42BB4"/>
    <w:rsid w:val="00B4316F"/>
    <w:rsid w:val="00B43C78"/>
    <w:rsid w:val="00B43CF4"/>
    <w:rsid w:val="00B46696"/>
    <w:rsid w:val="00B50CC7"/>
    <w:rsid w:val="00B52781"/>
    <w:rsid w:val="00B539D3"/>
    <w:rsid w:val="00B541E5"/>
    <w:rsid w:val="00B55978"/>
    <w:rsid w:val="00B569E5"/>
    <w:rsid w:val="00B56FB3"/>
    <w:rsid w:val="00B57318"/>
    <w:rsid w:val="00B5793B"/>
    <w:rsid w:val="00B60804"/>
    <w:rsid w:val="00B61192"/>
    <w:rsid w:val="00B6135A"/>
    <w:rsid w:val="00B61FA8"/>
    <w:rsid w:val="00B628ED"/>
    <w:rsid w:val="00B6348C"/>
    <w:rsid w:val="00B6377B"/>
    <w:rsid w:val="00B654FD"/>
    <w:rsid w:val="00B66BAB"/>
    <w:rsid w:val="00B66CD8"/>
    <w:rsid w:val="00B66E99"/>
    <w:rsid w:val="00B67503"/>
    <w:rsid w:val="00B67863"/>
    <w:rsid w:val="00B70023"/>
    <w:rsid w:val="00B70506"/>
    <w:rsid w:val="00B71FF8"/>
    <w:rsid w:val="00B72101"/>
    <w:rsid w:val="00B72113"/>
    <w:rsid w:val="00B73FE9"/>
    <w:rsid w:val="00B75379"/>
    <w:rsid w:val="00B7687C"/>
    <w:rsid w:val="00B84ACE"/>
    <w:rsid w:val="00B87D3C"/>
    <w:rsid w:val="00B90102"/>
    <w:rsid w:val="00B902E0"/>
    <w:rsid w:val="00B90742"/>
    <w:rsid w:val="00B90E1B"/>
    <w:rsid w:val="00B90FB1"/>
    <w:rsid w:val="00B92A89"/>
    <w:rsid w:val="00B92AA5"/>
    <w:rsid w:val="00B9485C"/>
    <w:rsid w:val="00B94DB8"/>
    <w:rsid w:val="00B9531F"/>
    <w:rsid w:val="00B95982"/>
    <w:rsid w:val="00B96D9A"/>
    <w:rsid w:val="00B97B24"/>
    <w:rsid w:val="00BA1306"/>
    <w:rsid w:val="00BA2431"/>
    <w:rsid w:val="00BA2E46"/>
    <w:rsid w:val="00BA32CB"/>
    <w:rsid w:val="00BA3307"/>
    <w:rsid w:val="00BA3B52"/>
    <w:rsid w:val="00BA49B7"/>
    <w:rsid w:val="00BA552E"/>
    <w:rsid w:val="00BA5F4E"/>
    <w:rsid w:val="00BA6103"/>
    <w:rsid w:val="00BA71C9"/>
    <w:rsid w:val="00BA77E3"/>
    <w:rsid w:val="00BA7E2E"/>
    <w:rsid w:val="00BB1DFA"/>
    <w:rsid w:val="00BB279B"/>
    <w:rsid w:val="00BB2A1D"/>
    <w:rsid w:val="00BB3674"/>
    <w:rsid w:val="00BB470D"/>
    <w:rsid w:val="00BB4908"/>
    <w:rsid w:val="00BB4B96"/>
    <w:rsid w:val="00BB5B87"/>
    <w:rsid w:val="00BB5BC2"/>
    <w:rsid w:val="00BB6ECB"/>
    <w:rsid w:val="00BB73FD"/>
    <w:rsid w:val="00BC0E56"/>
    <w:rsid w:val="00BC19CC"/>
    <w:rsid w:val="00BC1FE3"/>
    <w:rsid w:val="00BC2588"/>
    <w:rsid w:val="00BC4452"/>
    <w:rsid w:val="00BC4D63"/>
    <w:rsid w:val="00BC552E"/>
    <w:rsid w:val="00BC569E"/>
    <w:rsid w:val="00BC5A48"/>
    <w:rsid w:val="00BC7441"/>
    <w:rsid w:val="00BD08C4"/>
    <w:rsid w:val="00BD2976"/>
    <w:rsid w:val="00BD4471"/>
    <w:rsid w:val="00BD49E7"/>
    <w:rsid w:val="00BD4C8E"/>
    <w:rsid w:val="00BD4E23"/>
    <w:rsid w:val="00BD5A99"/>
    <w:rsid w:val="00BD5DB4"/>
    <w:rsid w:val="00BD640E"/>
    <w:rsid w:val="00BD7A12"/>
    <w:rsid w:val="00BE0503"/>
    <w:rsid w:val="00BE16E3"/>
    <w:rsid w:val="00BE18DC"/>
    <w:rsid w:val="00BE2272"/>
    <w:rsid w:val="00BE2A8E"/>
    <w:rsid w:val="00BE3C41"/>
    <w:rsid w:val="00BE3DC5"/>
    <w:rsid w:val="00BE5437"/>
    <w:rsid w:val="00BE6060"/>
    <w:rsid w:val="00BE79E5"/>
    <w:rsid w:val="00BE7F84"/>
    <w:rsid w:val="00BF0138"/>
    <w:rsid w:val="00BF065E"/>
    <w:rsid w:val="00BF1ECF"/>
    <w:rsid w:val="00BF2BCB"/>
    <w:rsid w:val="00BF2E3D"/>
    <w:rsid w:val="00BF2F3F"/>
    <w:rsid w:val="00BF3042"/>
    <w:rsid w:val="00BF48E5"/>
    <w:rsid w:val="00BF4B86"/>
    <w:rsid w:val="00BF4D1B"/>
    <w:rsid w:val="00BF56C1"/>
    <w:rsid w:val="00BF57E4"/>
    <w:rsid w:val="00BF7987"/>
    <w:rsid w:val="00C006DB"/>
    <w:rsid w:val="00C00903"/>
    <w:rsid w:val="00C01B5C"/>
    <w:rsid w:val="00C03419"/>
    <w:rsid w:val="00C03483"/>
    <w:rsid w:val="00C03A28"/>
    <w:rsid w:val="00C043E0"/>
    <w:rsid w:val="00C054DE"/>
    <w:rsid w:val="00C05715"/>
    <w:rsid w:val="00C05C16"/>
    <w:rsid w:val="00C07719"/>
    <w:rsid w:val="00C079E1"/>
    <w:rsid w:val="00C10001"/>
    <w:rsid w:val="00C10A29"/>
    <w:rsid w:val="00C10EE4"/>
    <w:rsid w:val="00C11D7A"/>
    <w:rsid w:val="00C13F9B"/>
    <w:rsid w:val="00C14DA0"/>
    <w:rsid w:val="00C1566C"/>
    <w:rsid w:val="00C2026C"/>
    <w:rsid w:val="00C21CBD"/>
    <w:rsid w:val="00C22317"/>
    <w:rsid w:val="00C223EA"/>
    <w:rsid w:val="00C2301D"/>
    <w:rsid w:val="00C24676"/>
    <w:rsid w:val="00C25C74"/>
    <w:rsid w:val="00C3010A"/>
    <w:rsid w:val="00C30B18"/>
    <w:rsid w:val="00C325F1"/>
    <w:rsid w:val="00C3339F"/>
    <w:rsid w:val="00C3434D"/>
    <w:rsid w:val="00C350B6"/>
    <w:rsid w:val="00C401D2"/>
    <w:rsid w:val="00C41F01"/>
    <w:rsid w:val="00C43A97"/>
    <w:rsid w:val="00C45243"/>
    <w:rsid w:val="00C47C8B"/>
    <w:rsid w:val="00C51709"/>
    <w:rsid w:val="00C51DA7"/>
    <w:rsid w:val="00C52A38"/>
    <w:rsid w:val="00C52AA4"/>
    <w:rsid w:val="00C52B4B"/>
    <w:rsid w:val="00C535E4"/>
    <w:rsid w:val="00C57258"/>
    <w:rsid w:val="00C6003D"/>
    <w:rsid w:val="00C601FC"/>
    <w:rsid w:val="00C60407"/>
    <w:rsid w:val="00C6146B"/>
    <w:rsid w:val="00C6152C"/>
    <w:rsid w:val="00C61902"/>
    <w:rsid w:val="00C62562"/>
    <w:rsid w:val="00C63F1C"/>
    <w:rsid w:val="00C652C3"/>
    <w:rsid w:val="00C70661"/>
    <w:rsid w:val="00C70677"/>
    <w:rsid w:val="00C70EE8"/>
    <w:rsid w:val="00C73263"/>
    <w:rsid w:val="00C741EC"/>
    <w:rsid w:val="00C8084F"/>
    <w:rsid w:val="00C80913"/>
    <w:rsid w:val="00C82BB3"/>
    <w:rsid w:val="00C8495D"/>
    <w:rsid w:val="00C84CC2"/>
    <w:rsid w:val="00C85CE9"/>
    <w:rsid w:val="00C8640B"/>
    <w:rsid w:val="00C87987"/>
    <w:rsid w:val="00C90B82"/>
    <w:rsid w:val="00C91315"/>
    <w:rsid w:val="00C91393"/>
    <w:rsid w:val="00C93247"/>
    <w:rsid w:val="00C95789"/>
    <w:rsid w:val="00C96499"/>
    <w:rsid w:val="00C96626"/>
    <w:rsid w:val="00C96747"/>
    <w:rsid w:val="00C96871"/>
    <w:rsid w:val="00C9714B"/>
    <w:rsid w:val="00CA0A5A"/>
    <w:rsid w:val="00CA0BDE"/>
    <w:rsid w:val="00CA15D7"/>
    <w:rsid w:val="00CA2C1E"/>
    <w:rsid w:val="00CA3BB9"/>
    <w:rsid w:val="00CA3C2B"/>
    <w:rsid w:val="00CA5C19"/>
    <w:rsid w:val="00CA6E75"/>
    <w:rsid w:val="00CA730C"/>
    <w:rsid w:val="00CA7E1A"/>
    <w:rsid w:val="00CB152F"/>
    <w:rsid w:val="00CB4AE2"/>
    <w:rsid w:val="00CB5249"/>
    <w:rsid w:val="00CB5A04"/>
    <w:rsid w:val="00CB69C2"/>
    <w:rsid w:val="00CB7290"/>
    <w:rsid w:val="00CB7CE4"/>
    <w:rsid w:val="00CB7FF0"/>
    <w:rsid w:val="00CC150E"/>
    <w:rsid w:val="00CC1BB2"/>
    <w:rsid w:val="00CC1BEF"/>
    <w:rsid w:val="00CC2B85"/>
    <w:rsid w:val="00CC466B"/>
    <w:rsid w:val="00CC4DDC"/>
    <w:rsid w:val="00CC4F1B"/>
    <w:rsid w:val="00CC53D5"/>
    <w:rsid w:val="00CC635F"/>
    <w:rsid w:val="00CC6A99"/>
    <w:rsid w:val="00CC75CA"/>
    <w:rsid w:val="00CC7720"/>
    <w:rsid w:val="00CD1140"/>
    <w:rsid w:val="00CD27F6"/>
    <w:rsid w:val="00CD3E9E"/>
    <w:rsid w:val="00CD48C6"/>
    <w:rsid w:val="00CD49FD"/>
    <w:rsid w:val="00CD5592"/>
    <w:rsid w:val="00CD5C48"/>
    <w:rsid w:val="00CD64D5"/>
    <w:rsid w:val="00CD71F5"/>
    <w:rsid w:val="00CE0C5E"/>
    <w:rsid w:val="00CE128B"/>
    <w:rsid w:val="00CE2DE4"/>
    <w:rsid w:val="00CE3A84"/>
    <w:rsid w:val="00CE3E9D"/>
    <w:rsid w:val="00CE50FF"/>
    <w:rsid w:val="00CE5581"/>
    <w:rsid w:val="00CE5913"/>
    <w:rsid w:val="00CE5DFF"/>
    <w:rsid w:val="00CE69F3"/>
    <w:rsid w:val="00CF0615"/>
    <w:rsid w:val="00CF0C8F"/>
    <w:rsid w:val="00CF1590"/>
    <w:rsid w:val="00CF1D57"/>
    <w:rsid w:val="00CF2496"/>
    <w:rsid w:val="00CF2D1E"/>
    <w:rsid w:val="00CF31EB"/>
    <w:rsid w:val="00CF3516"/>
    <w:rsid w:val="00CF43CF"/>
    <w:rsid w:val="00CF4D7C"/>
    <w:rsid w:val="00CF6DD8"/>
    <w:rsid w:val="00CF73F8"/>
    <w:rsid w:val="00CF78B9"/>
    <w:rsid w:val="00CF7D30"/>
    <w:rsid w:val="00D0101F"/>
    <w:rsid w:val="00D016E5"/>
    <w:rsid w:val="00D02620"/>
    <w:rsid w:val="00D033B5"/>
    <w:rsid w:val="00D041EB"/>
    <w:rsid w:val="00D042F0"/>
    <w:rsid w:val="00D0433B"/>
    <w:rsid w:val="00D05BA6"/>
    <w:rsid w:val="00D0628B"/>
    <w:rsid w:val="00D07FC9"/>
    <w:rsid w:val="00D10108"/>
    <w:rsid w:val="00D1193D"/>
    <w:rsid w:val="00D1258B"/>
    <w:rsid w:val="00D12C19"/>
    <w:rsid w:val="00D12E1E"/>
    <w:rsid w:val="00D13251"/>
    <w:rsid w:val="00D1334A"/>
    <w:rsid w:val="00D13737"/>
    <w:rsid w:val="00D1489C"/>
    <w:rsid w:val="00D1592C"/>
    <w:rsid w:val="00D172EA"/>
    <w:rsid w:val="00D17A56"/>
    <w:rsid w:val="00D22179"/>
    <w:rsid w:val="00D227EC"/>
    <w:rsid w:val="00D22CCD"/>
    <w:rsid w:val="00D2307B"/>
    <w:rsid w:val="00D27AB6"/>
    <w:rsid w:val="00D3093C"/>
    <w:rsid w:val="00D318F9"/>
    <w:rsid w:val="00D32235"/>
    <w:rsid w:val="00D32357"/>
    <w:rsid w:val="00D32445"/>
    <w:rsid w:val="00D329F1"/>
    <w:rsid w:val="00D33048"/>
    <w:rsid w:val="00D348B7"/>
    <w:rsid w:val="00D36012"/>
    <w:rsid w:val="00D379CA"/>
    <w:rsid w:val="00D37A7A"/>
    <w:rsid w:val="00D4011F"/>
    <w:rsid w:val="00D40614"/>
    <w:rsid w:val="00D40A2B"/>
    <w:rsid w:val="00D425BF"/>
    <w:rsid w:val="00D4260F"/>
    <w:rsid w:val="00D42D61"/>
    <w:rsid w:val="00D431C8"/>
    <w:rsid w:val="00D43B7E"/>
    <w:rsid w:val="00D448CA"/>
    <w:rsid w:val="00D44A91"/>
    <w:rsid w:val="00D44CC7"/>
    <w:rsid w:val="00D46CE5"/>
    <w:rsid w:val="00D506C2"/>
    <w:rsid w:val="00D50877"/>
    <w:rsid w:val="00D52D39"/>
    <w:rsid w:val="00D52F50"/>
    <w:rsid w:val="00D536A6"/>
    <w:rsid w:val="00D53896"/>
    <w:rsid w:val="00D53F26"/>
    <w:rsid w:val="00D54FDF"/>
    <w:rsid w:val="00D60864"/>
    <w:rsid w:val="00D60985"/>
    <w:rsid w:val="00D60F09"/>
    <w:rsid w:val="00D627F2"/>
    <w:rsid w:val="00D63CA8"/>
    <w:rsid w:val="00D66BE1"/>
    <w:rsid w:val="00D7054F"/>
    <w:rsid w:val="00D70D1F"/>
    <w:rsid w:val="00D71E88"/>
    <w:rsid w:val="00D751C2"/>
    <w:rsid w:val="00D77CD2"/>
    <w:rsid w:val="00D807E9"/>
    <w:rsid w:val="00D80C2F"/>
    <w:rsid w:val="00D81262"/>
    <w:rsid w:val="00D81AF5"/>
    <w:rsid w:val="00D82D20"/>
    <w:rsid w:val="00D83580"/>
    <w:rsid w:val="00D85366"/>
    <w:rsid w:val="00D85818"/>
    <w:rsid w:val="00D86677"/>
    <w:rsid w:val="00D8757B"/>
    <w:rsid w:val="00D917AA"/>
    <w:rsid w:val="00D925B8"/>
    <w:rsid w:val="00D92821"/>
    <w:rsid w:val="00D934E7"/>
    <w:rsid w:val="00D937A5"/>
    <w:rsid w:val="00D9764A"/>
    <w:rsid w:val="00D97C86"/>
    <w:rsid w:val="00D97F03"/>
    <w:rsid w:val="00DA03C6"/>
    <w:rsid w:val="00DA09B2"/>
    <w:rsid w:val="00DA2B29"/>
    <w:rsid w:val="00DA3C09"/>
    <w:rsid w:val="00DA3F75"/>
    <w:rsid w:val="00DA50F3"/>
    <w:rsid w:val="00DA6390"/>
    <w:rsid w:val="00DA6AD3"/>
    <w:rsid w:val="00DA71D0"/>
    <w:rsid w:val="00DB1E18"/>
    <w:rsid w:val="00DB335D"/>
    <w:rsid w:val="00DB4B9A"/>
    <w:rsid w:val="00DB54EC"/>
    <w:rsid w:val="00DB67CD"/>
    <w:rsid w:val="00DB6CC1"/>
    <w:rsid w:val="00DB7A49"/>
    <w:rsid w:val="00DB7BE7"/>
    <w:rsid w:val="00DC02CB"/>
    <w:rsid w:val="00DC20EB"/>
    <w:rsid w:val="00DC21EB"/>
    <w:rsid w:val="00DC2A6E"/>
    <w:rsid w:val="00DC2DA7"/>
    <w:rsid w:val="00DC4B81"/>
    <w:rsid w:val="00DC4D7C"/>
    <w:rsid w:val="00DC50A2"/>
    <w:rsid w:val="00DC59CA"/>
    <w:rsid w:val="00DC706E"/>
    <w:rsid w:val="00DC712E"/>
    <w:rsid w:val="00DD0240"/>
    <w:rsid w:val="00DD0997"/>
    <w:rsid w:val="00DD1747"/>
    <w:rsid w:val="00DD1A6B"/>
    <w:rsid w:val="00DD1F46"/>
    <w:rsid w:val="00DD2440"/>
    <w:rsid w:val="00DD28C0"/>
    <w:rsid w:val="00DD33C7"/>
    <w:rsid w:val="00DD38F4"/>
    <w:rsid w:val="00DD3C00"/>
    <w:rsid w:val="00DD40E6"/>
    <w:rsid w:val="00DD4BBA"/>
    <w:rsid w:val="00DD4C65"/>
    <w:rsid w:val="00DD6217"/>
    <w:rsid w:val="00DE092A"/>
    <w:rsid w:val="00DE1090"/>
    <w:rsid w:val="00DE140A"/>
    <w:rsid w:val="00DE1EB4"/>
    <w:rsid w:val="00DE252B"/>
    <w:rsid w:val="00DE39E8"/>
    <w:rsid w:val="00DE3B5E"/>
    <w:rsid w:val="00DE466E"/>
    <w:rsid w:val="00DE4701"/>
    <w:rsid w:val="00DE49B3"/>
    <w:rsid w:val="00DF079C"/>
    <w:rsid w:val="00DF1E14"/>
    <w:rsid w:val="00DF2660"/>
    <w:rsid w:val="00DF27D2"/>
    <w:rsid w:val="00DF3E3A"/>
    <w:rsid w:val="00DF4E50"/>
    <w:rsid w:val="00DF50C7"/>
    <w:rsid w:val="00E00DCD"/>
    <w:rsid w:val="00E017E9"/>
    <w:rsid w:val="00E02D98"/>
    <w:rsid w:val="00E04B8B"/>
    <w:rsid w:val="00E05FA6"/>
    <w:rsid w:val="00E065FB"/>
    <w:rsid w:val="00E070E0"/>
    <w:rsid w:val="00E07A22"/>
    <w:rsid w:val="00E103BD"/>
    <w:rsid w:val="00E10C29"/>
    <w:rsid w:val="00E11358"/>
    <w:rsid w:val="00E13B0B"/>
    <w:rsid w:val="00E13B1F"/>
    <w:rsid w:val="00E154E5"/>
    <w:rsid w:val="00E157D1"/>
    <w:rsid w:val="00E16767"/>
    <w:rsid w:val="00E167E8"/>
    <w:rsid w:val="00E20105"/>
    <w:rsid w:val="00E203C9"/>
    <w:rsid w:val="00E20F37"/>
    <w:rsid w:val="00E21DEA"/>
    <w:rsid w:val="00E238FE"/>
    <w:rsid w:val="00E2454B"/>
    <w:rsid w:val="00E24632"/>
    <w:rsid w:val="00E2496A"/>
    <w:rsid w:val="00E2503B"/>
    <w:rsid w:val="00E2560E"/>
    <w:rsid w:val="00E25CE8"/>
    <w:rsid w:val="00E2639F"/>
    <w:rsid w:val="00E3356B"/>
    <w:rsid w:val="00E3366E"/>
    <w:rsid w:val="00E33ACB"/>
    <w:rsid w:val="00E33AE5"/>
    <w:rsid w:val="00E35ADB"/>
    <w:rsid w:val="00E3615D"/>
    <w:rsid w:val="00E36540"/>
    <w:rsid w:val="00E36D7A"/>
    <w:rsid w:val="00E37C3B"/>
    <w:rsid w:val="00E40838"/>
    <w:rsid w:val="00E41446"/>
    <w:rsid w:val="00E42C09"/>
    <w:rsid w:val="00E44B37"/>
    <w:rsid w:val="00E46947"/>
    <w:rsid w:val="00E475AA"/>
    <w:rsid w:val="00E5005F"/>
    <w:rsid w:val="00E5136D"/>
    <w:rsid w:val="00E51AD8"/>
    <w:rsid w:val="00E527BE"/>
    <w:rsid w:val="00E529E1"/>
    <w:rsid w:val="00E53713"/>
    <w:rsid w:val="00E53BD7"/>
    <w:rsid w:val="00E53C4A"/>
    <w:rsid w:val="00E55A2B"/>
    <w:rsid w:val="00E57D44"/>
    <w:rsid w:val="00E57EFE"/>
    <w:rsid w:val="00E60DEF"/>
    <w:rsid w:val="00E63CA7"/>
    <w:rsid w:val="00E63D9D"/>
    <w:rsid w:val="00E641BD"/>
    <w:rsid w:val="00E6477C"/>
    <w:rsid w:val="00E6644E"/>
    <w:rsid w:val="00E67085"/>
    <w:rsid w:val="00E6718D"/>
    <w:rsid w:val="00E70B51"/>
    <w:rsid w:val="00E715CF"/>
    <w:rsid w:val="00E71E8C"/>
    <w:rsid w:val="00E729F8"/>
    <w:rsid w:val="00E72A3E"/>
    <w:rsid w:val="00E734AB"/>
    <w:rsid w:val="00E73579"/>
    <w:rsid w:val="00E74512"/>
    <w:rsid w:val="00E75409"/>
    <w:rsid w:val="00E760AA"/>
    <w:rsid w:val="00E764D3"/>
    <w:rsid w:val="00E775B0"/>
    <w:rsid w:val="00E7797F"/>
    <w:rsid w:val="00E82027"/>
    <w:rsid w:val="00E82D0A"/>
    <w:rsid w:val="00E837E0"/>
    <w:rsid w:val="00E84CBA"/>
    <w:rsid w:val="00E8564F"/>
    <w:rsid w:val="00E85DB7"/>
    <w:rsid w:val="00E87BEC"/>
    <w:rsid w:val="00E87C8F"/>
    <w:rsid w:val="00E90A85"/>
    <w:rsid w:val="00E90BCE"/>
    <w:rsid w:val="00E915E9"/>
    <w:rsid w:val="00E9232E"/>
    <w:rsid w:val="00E92E6A"/>
    <w:rsid w:val="00E93013"/>
    <w:rsid w:val="00E94BCF"/>
    <w:rsid w:val="00E95523"/>
    <w:rsid w:val="00E9587A"/>
    <w:rsid w:val="00E95F9F"/>
    <w:rsid w:val="00E96435"/>
    <w:rsid w:val="00E979FB"/>
    <w:rsid w:val="00E97FBA"/>
    <w:rsid w:val="00EA0605"/>
    <w:rsid w:val="00EA1038"/>
    <w:rsid w:val="00EA1F81"/>
    <w:rsid w:val="00EA439B"/>
    <w:rsid w:val="00EA447F"/>
    <w:rsid w:val="00EA4529"/>
    <w:rsid w:val="00EA46C6"/>
    <w:rsid w:val="00EA5382"/>
    <w:rsid w:val="00EA63BC"/>
    <w:rsid w:val="00EA7132"/>
    <w:rsid w:val="00EA716A"/>
    <w:rsid w:val="00EA753D"/>
    <w:rsid w:val="00EB1877"/>
    <w:rsid w:val="00EB2E98"/>
    <w:rsid w:val="00EB4502"/>
    <w:rsid w:val="00EB5069"/>
    <w:rsid w:val="00EB576A"/>
    <w:rsid w:val="00EB59F3"/>
    <w:rsid w:val="00EB6170"/>
    <w:rsid w:val="00EB6957"/>
    <w:rsid w:val="00EB6992"/>
    <w:rsid w:val="00EC1EB9"/>
    <w:rsid w:val="00EC26F9"/>
    <w:rsid w:val="00EC27FB"/>
    <w:rsid w:val="00EC2FD7"/>
    <w:rsid w:val="00EC4E7E"/>
    <w:rsid w:val="00EC50D0"/>
    <w:rsid w:val="00EC534D"/>
    <w:rsid w:val="00EC61ED"/>
    <w:rsid w:val="00EC6944"/>
    <w:rsid w:val="00EC7188"/>
    <w:rsid w:val="00EC719A"/>
    <w:rsid w:val="00EC7AE2"/>
    <w:rsid w:val="00ED122A"/>
    <w:rsid w:val="00ED1B19"/>
    <w:rsid w:val="00ED1D80"/>
    <w:rsid w:val="00ED2067"/>
    <w:rsid w:val="00ED3BCA"/>
    <w:rsid w:val="00ED47E7"/>
    <w:rsid w:val="00ED4FD1"/>
    <w:rsid w:val="00ED586A"/>
    <w:rsid w:val="00ED6410"/>
    <w:rsid w:val="00ED67BB"/>
    <w:rsid w:val="00EE00CF"/>
    <w:rsid w:val="00EE0AB5"/>
    <w:rsid w:val="00EE1506"/>
    <w:rsid w:val="00EE4106"/>
    <w:rsid w:val="00EE60D7"/>
    <w:rsid w:val="00EE6BC1"/>
    <w:rsid w:val="00EE7435"/>
    <w:rsid w:val="00EE7CD9"/>
    <w:rsid w:val="00EF0160"/>
    <w:rsid w:val="00EF0B27"/>
    <w:rsid w:val="00EF2751"/>
    <w:rsid w:val="00EF2BC6"/>
    <w:rsid w:val="00EF2FFB"/>
    <w:rsid w:val="00EF42D8"/>
    <w:rsid w:val="00EF44B1"/>
    <w:rsid w:val="00EF5C06"/>
    <w:rsid w:val="00EF5DF1"/>
    <w:rsid w:val="00EF6215"/>
    <w:rsid w:val="00F010DA"/>
    <w:rsid w:val="00F0178F"/>
    <w:rsid w:val="00F029D6"/>
    <w:rsid w:val="00F02CE5"/>
    <w:rsid w:val="00F03485"/>
    <w:rsid w:val="00F03929"/>
    <w:rsid w:val="00F03BBF"/>
    <w:rsid w:val="00F04D84"/>
    <w:rsid w:val="00F05140"/>
    <w:rsid w:val="00F05741"/>
    <w:rsid w:val="00F0687C"/>
    <w:rsid w:val="00F07FA3"/>
    <w:rsid w:val="00F10B6B"/>
    <w:rsid w:val="00F123F2"/>
    <w:rsid w:val="00F12E48"/>
    <w:rsid w:val="00F13B57"/>
    <w:rsid w:val="00F14ABA"/>
    <w:rsid w:val="00F14C73"/>
    <w:rsid w:val="00F14D62"/>
    <w:rsid w:val="00F14DCC"/>
    <w:rsid w:val="00F15838"/>
    <w:rsid w:val="00F15AF1"/>
    <w:rsid w:val="00F17042"/>
    <w:rsid w:val="00F176AD"/>
    <w:rsid w:val="00F20212"/>
    <w:rsid w:val="00F21579"/>
    <w:rsid w:val="00F24302"/>
    <w:rsid w:val="00F246E4"/>
    <w:rsid w:val="00F253C8"/>
    <w:rsid w:val="00F255EC"/>
    <w:rsid w:val="00F258E5"/>
    <w:rsid w:val="00F25E27"/>
    <w:rsid w:val="00F26163"/>
    <w:rsid w:val="00F306A9"/>
    <w:rsid w:val="00F3214B"/>
    <w:rsid w:val="00F32954"/>
    <w:rsid w:val="00F35170"/>
    <w:rsid w:val="00F3662A"/>
    <w:rsid w:val="00F3676C"/>
    <w:rsid w:val="00F37504"/>
    <w:rsid w:val="00F379FE"/>
    <w:rsid w:val="00F37C1F"/>
    <w:rsid w:val="00F422DF"/>
    <w:rsid w:val="00F42359"/>
    <w:rsid w:val="00F425A9"/>
    <w:rsid w:val="00F42D41"/>
    <w:rsid w:val="00F42F4C"/>
    <w:rsid w:val="00F43C06"/>
    <w:rsid w:val="00F4449D"/>
    <w:rsid w:val="00F44C17"/>
    <w:rsid w:val="00F45072"/>
    <w:rsid w:val="00F4679E"/>
    <w:rsid w:val="00F46880"/>
    <w:rsid w:val="00F46E09"/>
    <w:rsid w:val="00F47BC3"/>
    <w:rsid w:val="00F51A1F"/>
    <w:rsid w:val="00F51ABD"/>
    <w:rsid w:val="00F54FE3"/>
    <w:rsid w:val="00F60D93"/>
    <w:rsid w:val="00F60E6E"/>
    <w:rsid w:val="00F617ED"/>
    <w:rsid w:val="00F62AA9"/>
    <w:rsid w:val="00F62DB7"/>
    <w:rsid w:val="00F636EE"/>
    <w:rsid w:val="00F6566F"/>
    <w:rsid w:val="00F657B6"/>
    <w:rsid w:val="00F66512"/>
    <w:rsid w:val="00F66600"/>
    <w:rsid w:val="00F667FD"/>
    <w:rsid w:val="00F71B6E"/>
    <w:rsid w:val="00F71BBF"/>
    <w:rsid w:val="00F73FE4"/>
    <w:rsid w:val="00F7523C"/>
    <w:rsid w:val="00F75BED"/>
    <w:rsid w:val="00F80386"/>
    <w:rsid w:val="00F804DF"/>
    <w:rsid w:val="00F83B8D"/>
    <w:rsid w:val="00F84369"/>
    <w:rsid w:val="00F84987"/>
    <w:rsid w:val="00F8605A"/>
    <w:rsid w:val="00F87C41"/>
    <w:rsid w:val="00F90736"/>
    <w:rsid w:val="00F90F35"/>
    <w:rsid w:val="00F9220D"/>
    <w:rsid w:val="00F9369F"/>
    <w:rsid w:val="00F93959"/>
    <w:rsid w:val="00F95557"/>
    <w:rsid w:val="00FA1522"/>
    <w:rsid w:val="00FA1D8A"/>
    <w:rsid w:val="00FA2CB7"/>
    <w:rsid w:val="00FA2F66"/>
    <w:rsid w:val="00FA3618"/>
    <w:rsid w:val="00FA4372"/>
    <w:rsid w:val="00FA55CA"/>
    <w:rsid w:val="00FA57E9"/>
    <w:rsid w:val="00FA5E1E"/>
    <w:rsid w:val="00FA67E0"/>
    <w:rsid w:val="00FB173B"/>
    <w:rsid w:val="00FB2B93"/>
    <w:rsid w:val="00FB3EE8"/>
    <w:rsid w:val="00FB5934"/>
    <w:rsid w:val="00FC017D"/>
    <w:rsid w:val="00FC13FE"/>
    <w:rsid w:val="00FC1565"/>
    <w:rsid w:val="00FC3ED0"/>
    <w:rsid w:val="00FC4F21"/>
    <w:rsid w:val="00FC51C8"/>
    <w:rsid w:val="00FC69F6"/>
    <w:rsid w:val="00FC72FB"/>
    <w:rsid w:val="00FD0BCF"/>
    <w:rsid w:val="00FD1BD3"/>
    <w:rsid w:val="00FD1D83"/>
    <w:rsid w:val="00FD263B"/>
    <w:rsid w:val="00FD3473"/>
    <w:rsid w:val="00FD6B65"/>
    <w:rsid w:val="00FD6EC5"/>
    <w:rsid w:val="00FD792F"/>
    <w:rsid w:val="00FE0AD1"/>
    <w:rsid w:val="00FE27AF"/>
    <w:rsid w:val="00FE2F93"/>
    <w:rsid w:val="00FE5E6F"/>
    <w:rsid w:val="00FE62E8"/>
    <w:rsid w:val="00FE6510"/>
    <w:rsid w:val="00FE78CA"/>
    <w:rsid w:val="00FF0124"/>
    <w:rsid w:val="00FF074C"/>
    <w:rsid w:val="00FF0858"/>
    <w:rsid w:val="00FF0EF6"/>
    <w:rsid w:val="00FF2082"/>
    <w:rsid w:val="00FF3322"/>
    <w:rsid w:val="00FF4214"/>
    <w:rsid w:val="00FF6E66"/>
    <w:rsid w:val="00FF7C8B"/>
    <w:rsid w:val="2E0826B1"/>
    <w:rsid w:val="5A782EB6"/>
    <w:rsid w:val="7B716A5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iPriority="39" w:semiHidden="0" w:name="toc 2"/>
    <w:lsdException w:qFormat="1" w:uiPriority="39" w:semiHidden="0" w:name="toc 3"/>
    <w:lsdException w:qFormat="1"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ind w:firstLine="200" w:firstLineChars="200"/>
      <w:jc w:val="both"/>
      <w:textAlignment w:val="baseline"/>
    </w:pPr>
    <w:rPr>
      <w:rFonts w:ascii="Times New Roman" w:hAnsi="Times New Roman" w:eastAsia="宋体" w:cs="Times New Roman"/>
      <w:kern w:val="0"/>
      <w:sz w:val="24"/>
      <w:szCs w:val="20"/>
      <w:lang w:val="en-US" w:eastAsia="zh-CN" w:bidi="ar-SA"/>
    </w:rPr>
  </w:style>
  <w:style w:type="paragraph" w:styleId="2">
    <w:name w:val="heading 1"/>
    <w:basedOn w:val="1"/>
    <w:next w:val="1"/>
    <w:link w:val="25"/>
    <w:qFormat/>
    <w:uiPriority w:val="9"/>
    <w:pPr>
      <w:spacing w:beforeLines="50"/>
      <w:ind w:firstLine="0" w:firstLineChars="0"/>
      <w:outlineLvl w:val="0"/>
    </w:pPr>
    <w:rPr>
      <w:rFonts w:ascii="黑体" w:hAnsi="黑体" w:eastAsia="黑体"/>
      <w:bCs/>
      <w:kern w:val="44"/>
      <w:szCs w:val="44"/>
    </w:rPr>
  </w:style>
  <w:style w:type="paragraph" w:styleId="3">
    <w:name w:val="heading 2"/>
    <w:basedOn w:val="1"/>
    <w:next w:val="1"/>
    <w:link w:val="26"/>
    <w:unhideWhenUsed/>
    <w:qFormat/>
    <w:uiPriority w:val="9"/>
    <w:pPr>
      <w:ind w:firstLine="0" w:firstLineChars="0"/>
      <w:outlineLvl w:val="1"/>
    </w:pPr>
    <w:rPr>
      <w:rFonts w:cstheme="majorBidi"/>
      <w:bCs/>
      <w:szCs w:val="32"/>
    </w:rPr>
  </w:style>
  <w:style w:type="paragraph" w:styleId="4">
    <w:name w:val="heading 3"/>
    <w:basedOn w:val="1"/>
    <w:next w:val="1"/>
    <w:link w:val="30"/>
    <w:unhideWhenUsed/>
    <w:qFormat/>
    <w:uiPriority w:val="9"/>
    <w:pPr>
      <w:ind w:firstLine="0" w:firstLineChars="0"/>
      <w:outlineLvl w:val="2"/>
    </w:pPr>
    <w:rPr>
      <w:bCs/>
      <w:szCs w:val="3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Document Map"/>
    <w:basedOn w:val="1"/>
    <w:link w:val="45"/>
    <w:semiHidden/>
    <w:unhideWhenUsed/>
    <w:uiPriority w:val="99"/>
    <w:rPr>
      <w:rFonts w:ascii="宋体"/>
      <w:sz w:val="18"/>
      <w:szCs w:val="18"/>
    </w:rPr>
  </w:style>
  <w:style w:type="paragraph" w:styleId="6">
    <w:name w:val="annotation text"/>
    <w:basedOn w:val="1"/>
    <w:link w:val="41"/>
    <w:autoRedefine/>
    <w:semiHidden/>
    <w:unhideWhenUsed/>
    <w:qFormat/>
    <w:uiPriority w:val="99"/>
    <w:pPr>
      <w:jc w:val="left"/>
    </w:pPr>
  </w:style>
  <w:style w:type="paragraph" w:styleId="7">
    <w:name w:val="toc 3"/>
    <w:basedOn w:val="1"/>
    <w:next w:val="1"/>
    <w:autoRedefine/>
    <w:unhideWhenUsed/>
    <w:qFormat/>
    <w:uiPriority w:val="39"/>
    <w:pPr>
      <w:tabs>
        <w:tab w:val="right" w:leader="dot" w:pos="8359"/>
      </w:tabs>
      <w:ind w:firstLine="31" w:firstLineChars="13"/>
    </w:pPr>
  </w:style>
  <w:style w:type="paragraph" w:styleId="8">
    <w:name w:val="Date"/>
    <w:basedOn w:val="1"/>
    <w:next w:val="1"/>
    <w:link w:val="27"/>
    <w:semiHidden/>
    <w:unhideWhenUsed/>
    <w:uiPriority w:val="99"/>
    <w:pPr>
      <w:ind w:left="100" w:leftChars="2500"/>
    </w:pPr>
  </w:style>
  <w:style w:type="paragraph" w:styleId="9">
    <w:name w:val="Balloon Text"/>
    <w:basedOn w:val="1"/>
    <w:link w:val="29"/>
    <w:semiHidden/>
    <w:unhideWhenUsed/>
    <w:uiPriority w:val="99"/>
    <w:rPr>
      <w:sz w:val="18"/>
      <w:szCs w:val="18"/>
    </w:rPr>
  </w:style>
  <w:style w:type="paragraph" w:styleId="10">
    <w:name w:val="footer"/>
    <w:basedOn w:val="1"/>
    <w:link w:val="39"/>
    <w:unhideWhenUsed/>
    <w:uiPriority w:val="99"/>
    <w:pPr>
      <w:tabs>
        <w:tab w:val="center" w:pos="4153"/>
        <w:tab w:val="right" w:pos="8306"/>
      </w:tabs>
      <w:snapToGrid w:val="0"/>
      <w:spacing w:line="240" w:lineRule="auto"/>
      <w:jc w:val="left"/>
    </w:pPr>
    <w:rPr>
      <w:sz w:val="18"/>
      <w:szCs w:val="18"/>
    </w:rPr>
  </w:style>
  <w:style w:type="paragraph" w:styleId="11">
    <w:name w:val="header"/>
    <w:basedOn w:val="1"/>
    <w:link w:val="38"/>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autoRedefine/>
    <w:uiPriority w:val="39"/>
    <w:pPr>
      <w:tabs>
        <w:tab w:val="right" w:leader="dot" w:pos="8296"/>
      </w:tabs>
      <w:ind w:firstLine="0" w:firstLineChars="0"/>
    </w:pPr>
    <w:rPr>
      <w:rFonts w:ascii="宋体" w:hAnsi="宋体" w:cs="黑体"/>
      <w:szCs w:val="24"/>
    </w:rPr>
  </w:style>
  <w:style w:type="paragraph" w:styleId="13">
    <w:name w:val="toc 4"/>
    <w:basedOn w:val="1"/>
    <w:next w:val="1"/>
    <w:autoRedefine/>
    <w:semiHidden/>
    <w:unhideWhenUsed/>
    <w:qFormat/>
    <w:uiPriority w:val="39"/>
    <w:pPr>
      <w:ind w:left="1260" w:leftChars="600"/>
    </w:pPr>
  </w:style>
  <w:style w:type="paragraph" w:styleId="14">
    <w:name w:val="toc 2"/>
    <w:basedOn w:val="1"/>
    <w:next w:val="1"/>
    <w:autoRedefine/>
    <w:unhideWhenUsed/>
    <w:qFormat/>
    <w:uiPriority w:val="39"/>
    <w:pPr>
      <w:tabs>
        <w:tab w:val="right" w:leader="dot" w:pos="8364"/>
      </w:tabs>
      <w:ind w:firstLine="0" w:firstLineChars="0"/>
      <w:jc w:val="left"/>
    </w:pPr>
  </w:style>
  <w:style w:type="paragraph" w:styleId="15">
    <w:name w:val="Normal (Web)"/>
    <w:basedOn w:val="1"/>
    <w:semiHidden/>
    <w:unhideWhenUsed/>
    <w:uiPriority w:val="99"/>
    <w:pPr>
      <w:widowControl/>
      <w:spacing w:before="100" w:beforeAutospacing="1" w:after="100" w:afterAutospacing="1"/>
      <w:ind w:firstLine="0" w:firstLineChars="0"/>
      <w:jc w:val="left"/>
    </w:pPr>
    <w:rPr>
      <w:rFonts w:ascii="宋体" w:hAnsi="宋体" w:cs="宋体"/>
      <w:szCs w:val="24"/>
    </w:rPr>
  </w:style>
  <w:style w:type="paragraph" w:styleId="16">
    <w:name w:val="Title"/>
    <w:basedOn w:val="1"/>
    <w:next w:val="1"/>
    <w:link w:val="24"/>
    <w:qFormat/>
    <w:uiPriority w:val="0"/>
    <w:pPr>
      <w:spacing w:before="240" w:after="60"/>
      <w:jc w:val="center"/>
      <w:outlineLvl w:val="0"/>
    </w:pPr>
    <w:rPr>
      <w:rFonts w:eastAsia="黑体" w:asciiTheme="majorHAnsi" w:hAnsiTheme="majorHAnsi" w:cstheme="majorBidi"/>
      <w:b/>
      <w:bCs/>
      <w:sz w:val="32"/>
      <w:szCs w:val="32"/>
    </w:rPr>
  </w:style>
  <w:style w:type="paragraph" w:styleId="17">
    <w:name w:val="annotation subject"/>
    <w:basedOn w:val="6"/>
    <w:next w:val="6"/>
    <w:link w:val="42"/>
    <w:semiHidden/>
    <w:unhideWhenUsed/>
    <w:uiPriority w:val="99"/>
    <w:rPr>
      <w:b/>
      <w:bCs/>
    </w:rPr>
  </w:style>
  <w:style w:type="table" w:styleId="19">
    <w:name w:val="Table Grid"/>
    <w:basedOn w:val="1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styleId="23">
    <w:name w:val="annotation reference"/>
    <w:basedOn w:val="20"/>
    <w:autoRedefine/>
    <w:semiHidden/>
    <w:unhideWhenUsed/>
    <w:qFormat/>
    <w:uiPriority w:val="99"/>
    <w:rPr>
      <w:sz w:val="21"/>
      <w:szCs w:val="21"/>
    </w:rPr>
  </w:style>
  <w:style w:type="character" w:customStyle="1" w:styleId="24">
    <w:name w:val="标题 字符"/>
    <w:basedOn w:val="20"/>
    <w:link w:val="16"/>
    <w:autoRedefine/>
    <w:qFormat/>
    <w:uiPriority w:val="10"/>
    <w:rPr>
      <w:rFonts w:eastAsia="黑体" w:asciiTheme="majorHAnsi" w:hAnsiTheme="majorHAnsi" w:cstheme="majorBidi"/>
      <w:b/>
      <w:bCs/>
      <w:sz w:val="32"/>
      <w:szCs w:val="32"/>
    </w:rPr>
  </w:style>
  <w:style w:type="character" w:customStyle="1" w:styleId="25">
    <w:name w:val="标题 1 字符"/>
    <w:basedOn w:val="20"/>
    <w:link w:val="2"/>
    <w:autoRedefine/>
    <w:qFormat/>
    <w:uiPriority w:val="9"/>
    <w:rPr>
      <w:rFonts w:ascii="黑体" w:hAnsi="黑体" w:eastAsia="黑体"/>
      <w:bCs/>
      <w:kern w:val="44"/>
      <w:sz w:val="24"/>
      <w:szCs w:val="44"/>
    </w:rPr>
  </w:style>
  <w:style w:type="character" w:customStyle="1" w:styleId="26">
    <w:name w:val="标题 2 字符"/>
    <w:basedOn w:val="20"/>
    <w:link w:val="3"/>
    <w:uiPriority w:val="9"/>
    <w:rPr>
      <w:rFonts w:ascii="Times New Roman" w:hAnsi="Times New Roman" w:eastAsia="宋体" w:cstheme="majorBidi"/>
      <w:bCs/>
      <w:sz w:val="24"/>
      <w:szCs w:val="32"/>
    </w:rPr>
  </w:style>
  <w:style w:type="character" w:customStyle="1" w:styleId="27">
    <w:name w:val="日期 字符"/>
    <w:basedOn w:val="20"/>
    <w:link w:val="8"/>
    <w:autoRedefine/>
    <w:semiHidden/>
    <w:uiPriority w:val="99"/>
    <w:rPr>
      <w:rFonts w:ascii="Times New Roman" w:hAnsi="Times New Roman"/>
      <w:sz w:val="28"/>
    </w:rPr>
  </w:style>
  <w:style w:type="character" w:styleId="28">
    <w:name w:val="Placeholder Text"/>
    <w:basedOn w:val="20"/>
    <w:autoRedefine/>
    <w:semiHidden/>
    <w:qFormat/>
    <w:uiPriority w:val="99"/>
    <w:rPr>
      <w:color w:val="808080"/>
    </w:rPr>
  </w:style>
  <w:style w:type="character" w:customStyle="1" w:styleId="29">
    <w:name w:val="批注框文本 字符"/>
    <w:basedOn w:val="20"/>
    <w:link w:val="9"/>
    <w:autoRedefine/>
    <w:semiHidden/>
    <w:qFormat/>
    <w:uiPriority w:val="99"/>
    <w:rPr>
      <w:rFonts w:ascii="Times New Roman" w:hAnsi="Times New Roman"/>
      <w:sz w:val="18"/>
      <w:szCs w:val="18"/>
    </w:rPr>
  </w:style>
  <w:style w:type="character" w:customStyle="1" w:styleId="30">
    <w:name w:val="标题 3 字符"/>
    <w:basedOn w:val="20"/>
    <w:link w:val="4"/>
    <w:uiPriority w:val="9"/>
    <w:rPr>
      <w:rFonts w:ascii="Times New Roman" w:hAnsi="Times New Roman" w:eastAsia="宋体"/>
      <w:bCs/>
      <w:sz w:val="24"/>
      <w:szCs w:val="32"/>
    </w:rPr>
  </w:style>
  <w:style w:type="paragraph" w:customStyle="1" w:styleId="31">
    <w:name w:val="图题"/>
    <w:basedOn w:val="1"/>
    <w:link w:val="33"/>
    <w:autoRedefine/>
    <w:qFormat/>
    <w:uiPriority w:val="0"/>
    <w:pPr>
      <w:ind w:firstLine="0" w:firstLineChars="0"/>
      <w:jc w:val="center"/>
    </w:pPr>
    <w:rPr>
      <w:sz w:val="21"/>
    </w:rPr>
  </w:style>
  <w:style w:type="paragraph" w:customStyle="1" w:styleId="32">
    <w:name w:val="附录"/>
    <w:basedOn w:val="1"/>
    <w:link w:val="35"/>
    <w:qFormat/>
    <w:uiPriority w:val="0"/>
    <w:pPr>
      <w:ind w:firstLine="0" w:firstLineChars="0"/>
    </w:pPr>
    <w:rPr>
      <w:rFonts w:eastAsia="黑体"/>
      <w:sz w:val="28"/>
      <w:szCs w:val="28"/>
    </w:rPr>
  </w:style>
  <w:style w:type="character" w:customStyle="1" w:styleId="33">
    <w:name w:val="图题 Char"/>
    <w:basedOn w:val="20"/>
    <w:link w:val="31"/>
    <w:uiPriority w:val="0"/>
    <w:rPr>
      <w:rFonts w:ascii="Times New Roman" w:hAnsi="Times New Roman" w:eastAsia="宋体"/>
    </w:rPr>
  </w:style>
  <w:style w:type="paragraph" w:customStyle="1" w:styleId="34">
    <w:name w:val="附录2"/>
    <w:basedOn w:val="1"/>
    <w:link w:val="37"/>
    <w:qFormat/>
    <w:uiPriority w:val="0"/>
    <w:pPr>
      <w:ind w:firstLine="480"/>
      <w:jc w:val="center"/>
    </w:pPr>
  </w:style>
  <w:style w:type="character" w:customStyle="1" w:styleId="35">
    <w:name w:val="附录 Char"/>
    <w:basedOn w:val="20"/>
    <w:link w:val="32"/>
    <w:uiPriority w:val="0"/>
    <w:rPr>
      <w:rFonts w:ascii="Times New Roman" w:hAnsi="Times New Roman" w:eastAsia="黑体" w:cs="Times New Roman"/>
      <w:kern w:val="0"/>
      <w:sz w:val="28"/>
      <w:szCs w:val="28"/>
      <w:lang w:val="en-US"/>
    </w:rPr>
  </w:style>
  <w:style w:type="paragraph" w:styleId="36">
    <w:name w:val="List Paragraph"/>
    <w:basedOn w:val="1"/>
    <w:qFormat/>
    <w:uiPriority w:val="34"/>
    <w:pPr>
      <w:ind w:firstLine="420"/>
    </w:pPr>
  </w:style>
  <w:style w:type="character" w:customStyle="1" w:styleId="37">
    <w:name w:val="附录2 Char"/>
    <w:basedOn w:val="20"/>
    <w:link w:val="34"/>
    <w:uiPriority w:val="0"/>
    <w:rPr>
      <w:rFonts w:ascii="Times New Roman" w:hAnsi="Times New Roman" w:eastAsia="宋体"/>
      <w:sz w:val="24"/>
    </w:rPr>
  </w:style>
  <w:style w:type="character" w:customStyle="1" w:styleId="38">
    <w:name w:val="页眉 字符"/>
    <w:basedOn w:val="20"/>
    <w:link w:val="11"/>
    <w:uiPriority w:val="99"/>
    <w:rPr>
      <w:rFonts w:ascii="Times New Roman" w:hAnsi="Times New Roman" w:eastAsia="宋体"/>
      <w:sz w:val="18"/>
      <w:szCs w:val="18"/>
    </w:rPr>
  </w:style>
  <w:style w:type="character" w:customStyle="1" w:styleId="39">
    <w:name w:val="页脚 字符"/>
    <w:basedOn w:val="20"/>
    <w:link w:val="10"/>
    <w:autoRedefine/>
    <w:qFormat/>
    <w:uiPriority w:val="99"/>
    <w:rPr>
      <w:rFonts w:ascii="Times New Roman" w:hAnsi="Times New Roman" w:eastAsia="宋体"/>
      <w:sz w:val="18"/>
      <w:szCs w:val="18"/>
    </w:rPr>
  </w:style>
  <w:style w:type="paragraph" w:customStyle="1" w:styleId="40">
    <w:name w:val="Default"/>
    <w:uiPriority w:val="0"/>
    <w:pPr>
      <w:widowControl w:val="0"/>
      <w:autoSpaceDE w:val="0"/>
      <w:autoSpaceDN w:val="0"/>
      <w:adjustRightInd w:val="0"/>
      <w:spacing w:line="360" w:lineRule="atLeast"/>
      <w:jc w:val="both"/>
      <w:textAlignment w:val="baseline"/>
    </w:pPr>
    <w:rPr>
      <w:rFonts w:ascii="宋体" w:hAnsi="Times New Roman" w:eastAsia="宋体" w:cs="Times New Roman"/>
      <w:color w:val="000000"/>
      <w:kern w:val="0"/>
      <w:sz w:val="24"/>
      <w:szCs w:val="24"/>
      <w:lang w:val="en-US" w:eastAsia="zh-CN" w:bidi="ar-SA"/>
    </w:rPr>
  </w:style>
  <w:style w:type="character" w:customStyle="1" w:styleId="41">
    <w:name w:val="批注文字 字符"/>
    <w:basedOn w:val="20"/>
    <w:link w:val="6"/>
    <w:autoRedefine/>
    <w:semiHidden/>
    <w:qFormat/>
    <w:uiPriority w:val="99"/>
    <w:rPr>
      <w:rFonts w:ascii="Times New Roman" w:hAnsi="Times New Roman" w:eastAsia="宋体"/>
      <w:sz w:val="24"/>
    </w:rPr>
  </w:style>
  <w:style w:type="character" w:customStyle="1" w:styleId="42">
    <w:name w:val="批注主题 字符"/>
    <w:basedOn w:val="41"/>
    <w:link w:val="17"/>
    <w:autoRedefine/>
    <w:semiHidden/>
    <w:qFormat/>
    <w:uiPriority w:val="99"/>
    <w:rPr>
      <w:rFonts w:ascii="Times New Roman" w:hAnsi="Times New Roman" w:eastAsia="宋体"/>
      <w:b/>
      <w:bCs/>
      <w:sz w:val="24"/>
    </w:rPr>
  </w:style>
  <w:style w:type="paragraph" w:customStyle="1" w:styleId="43">
    <w:name w:val="无间隔1"/>
    <w:autoRedefine/>
    <w:qFormat/>
    <w:uiPriority w:val="0"/>
    <w:pPr>
      <w:widowControl w:val="0"/>
      <w:spacing w:line="360" w:lineRule="auto"/>
      <w:jc w:val="center"/>
    </w:pPr>
    <w:rPr>
      <w:rFonts w:ascii="Times New Roman" w:hAnsi="Times New Roman" w:eastAsia="宋体" w:cs="Times New Roman"/>
      <w:kern w:val="2"/>
      <w:sz w:val="24"/>
      <w:szCs w:val="22"/>
      <w:lang w:val="en-US" w:eastAsia="zh-CN" w:bidi="ar-SA"/>
    </w:rPr>
  </w:style>
  <w:style w:type="paragraph" w:customStyle="1" w:styleId="44">
    <w:name w:val="TOC Heading"/>
    <w:basedOn w:val="2"/>
    <w:next w:val="1"/>
    <w:autoRedefine/>
    <w:unhideWhenUsed/>
    <w:qFormat/>
    <w:uiPriority w:val="39"/>
    <w:pPr>
      <w:keepNext/>
      <w:keepLines/>
      <w:widowControl/>
      <w:adjustRightInd/>
      <w:spacing w:beforeLines="0" w:line="259" w:lineRule="auto"/>
      <w:jc w:val="left"/>
      <w:textAlignment w:val="auto"/>
      <w:outlineLvl w:val="9"/>
    </w:pPr>
    <w:rPr>
      <w:rFonts w:asciiTheme="majorHAnsi" w:hAnsiTheme="majorHAnsi" w:eastAsiaTheme="majorEastAsia" w:cstheme="majorBidi"/>
      <w:bCs w:val="0"/>
      <w:color w:val="2E75B5" w:themeColor="accent1" w:themeShade="BF"/>
      <w:kern w:val="0"/>
      <w:sz w:val="32"/>
      <w:szCs w:val="32"/>
    </w:rPr>
  </w:style>
  <w:style w:type="character" w:customStyle="1" w:styleId="45">
    <w:name w:val="文档结构图 字符"/>
    <w:basedOn w:val="20"/>
    <w:link w:val="5"/>
    <w:autoRedefine/>
    <w:semiHidden/>
    <w:qFormat/>
    <w:uiPriority w:val="99"/>
    <w:rPr>
      <w:rFonts w:ascii="宋体" w:hAnsi="Times New Roman" w:eastAsia="宋体" w:cs="Times New Roman"/>
      <w:kern w:val="0"/>
      <w:sz w:val="18"/>
      <w:szCs w:val="18"/>
    </w:rPr>
  </w:style>
  <w:style w:type="paragraph" w:customStyle="1" w:styleId="46">
    <w:name w:val="13.正文"/>
    <w:basedOn w:val="1"/>
    <w:autoRedefine/>
    <w:qFormat/>
    <w:uiPriority w:val="0"/>
    <w:pPr>
      <w:adjustRightInd/>
      <w:spacing w:line="360" w:lineRule="atLeast"/>
      <w:textAlignment w:val="auto"/>
    </w:pPr>
    <w:rPr>
      <w:rFonts w:ascii="Calibri" w:hAnsi="Calibr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chart" Target="charts/chart2.xml"/><Relationship Id="rId24" Type="http://schemas.openxmlformats.org/officeDocument/2006/relationships/chart" Target="charts/chart1.xml"/><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or\&#26700;&#38754;\&#38656;&#35201;&#21457;&#34920;&#30340;&#25991;&#31456;\&#23433;&#35013;&#24433;&#21709;&#35797;&#39564;\&#19981;&#38152;&#38050;&#24213;&#24231;&#21644;&#22609;&#26009;&#24213;&#24231;&#30340;&#27604;&#3673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istrator\&#26700;&#38754;\&#38656;&#35201;&#21457;&#34920;&#30340;&#25991;&#31456;\&#23433;&#35013;&#24433;&#21709;&#35797;&#39564;\&#23433;&#35013;&#24433;&#21709;&#35797;&#3956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dLbls>
            <c:delete val="1"/>
          </c:dLbls>
          <c:xVal>
            <c:numRef>
              <c:f>Sheet3!$A$82:$A$96</c:f>
              <c:numCache>
                <c:formatCode>General</c:formatCode>
                <c:ptCount val="15"/>
                <c:pt idx="0">
                  <c:v>1000</c:v>
                </c:pt>
                <c:pt idx="1">
                  <c:v>2000</c:v>
                </c:pt>
                <c:pt idx="2">
                  <c:v>3000</c:v>
                </c:pt>
                <c:pt idx="3">
                  <c:v>4000</c:v>
                </c:pt>
                <c:pt idx="4">
                  <c:v>5000</c:v>
                </c:pt>
                <c:pt idx="5">
                  <c:v>6000</c:v>
                </c:pt>
                <c:pt idx="6">
                  <c:v>7000</c:v>
                </c:pt>
                <c:pt idx="7">
                  <c:v>8000</c:v>
                </c:pt>
                <c:pt idx="8">
                  <c:v>9000</c:v>
                </c:pt>
                <c:pt idx="9">
                  <c:v>10000</c:v>
                </c:pt>
                <c:pt idx="10">
                  <c:v>12000</c:v>
                </c:pt>
                <c:pt idx="11">
                  <c:v>14000</c:v>
                </c:pt>
                <c:pt idx="12">
                  <c:v>16000</c:v>
                </c:pt>
                <c:pt idx="13">
                  <c:v>18000</c:v>
                </c:pt>
                <c:pt idx="14">
                  <c:v>20000</c:v>
                </c:pt>
              </c:numCache>
            </c:numRef>
          </c:xVal>
          <c:yVal>
            <c:numRef>
              <c:f>Sheet3!$B$82:$B$96</c:f>
              <c:numCache>
                <c:formatCode>General</c:formatCode>
                <c:ptCount val="15"/>
                <c:pt idx="0">
                  <c:v>1.02851978978474</c:v>
                </c:pt>
                <c:pt idx="1">
                  <c:v>1.03027275940237</c:v>
                </c:pt>
                <c:pt idx="2">
                  <c:v>1.03459168068618</c:v>
                </c:pt>
                <c:pt idx="3">
                  <c:v>1.03898793832514</c:v>
                </c:pt>
                <c:pt idx="4">
                  <c:v>1.04390058323438</c:v>
                </c:pt>
                <c:pt idx="5">
                  <c:v>1.04951479775361</c:v>
                </c:pt>
                <c:pt idx="6">
                  <c:v>1.0523571991756</c:v>
                </c:pt>
                <c:pt idx="7">
                  <c:v>1.06346929351414</c:v>
                </c:pt>
                <c:pt idx="8">
                  <c:v>1.0723441959636</c:v>
                </c:pt>
                <c:pt idx="9">
                  <c:v>1.08611613195934</c:v>
                </c:pt>
                <c:pt idx="10">
                  <c:v>1.08893897399257</c:v>
                </c:pt>
                <c:pt idx="11">
                  <c:v>1.09478043549079</c:v>
                </c:pt>
                <c:pt idx="12">
                  <c:v>1.12619269657085</c:v>
                </c:pt>
                <c:pt idx="13">
                  <c:v>1.39485808753516</c:v>
                </c:pt>
                <c:pt idx="14">
                  <c:v>1.21574029653787</c:v>
                </c:pt>
              </c:numCache>
            </c:numRef>
          </c:yVal>
          <c:smooth val="1"/>
        </c:ser>
        <c:ser>
          <c:idx val="1"/>
          <c:order val="1"/>
          <c:dLbls>
            <c:delete val="1"/>
          </c:dLbls>
          <c:xVal>
            <c:numRef>
              <c:f>Sheet3!$A$82:$A$96</c:f>
              <c:numCache>
                <c:formatCode>General</c:formatCode>
                <c:ptCount val="15"/>
                <c:pt idx="0">
                  <c:v>1000</c:v>
                </c:pt>
                <c:pt idx="1">
                  <c:v>2000</c:v>
                </c:pt>
                <c:pt idx="2">
                  <c:v>3000</c:v>
                </c:pt>
                <c:pt idx="3">
                  <c:v>4000</c:v>
                </c:pt>
                <c:pt idx="4">
                  <c:v>5000</c:v>
                </c:pt>
                <c:pt idx="5">
                  <c:v>6000</c:v>
                </c:pt>
                <c:pt idx="6">
                  <c:v>7000</c:v>
                </c:pt>
                <c:pt idx="7">
                  <c:v>8000</c:v>
                </c:pt>
                <c:pt idx="8">
                  <c:v>9000</c:v>
                </c:pt>
                <c:pt idx="9">
                  <c:v>10000</c:v>
                </c:pt>
                <c:pt idx="10">
                  <c:v>12000</c:v>
                </c:pt>
                <c:pt idx="11">
                  <c:v>14000</c:v>
                </c:pt>
                <c:pt idx="12">
                  <c:v>16000</c:v>
                </c:pt>
                <c:pt idx="13">
                  <c:v>18000</c:v>
                </c:pt>
                <c:pt idx="14">
                  <c:v>20000</c:v>
                </c:pt>
              </c:numCache>
            </c:numRef>
          </c:xVal>
          <c:yVal>
            <c:numRef>
              <c:f>Sheet3!$C$82:$C$96</c:f>
              <c:numCache>
                <c:formatCode>General</c:formatCode>
                <c:ptCount val="15"/>
                <c:pt idx="0">
                  <c:v>1.03672754017808</c:v>
                </c:pt>
                <c:pt idx="1">
                  <c:v>1.03767244368962</c:v>
                </c:pt>
                <c:pt idx="2">
                  <c:v>1.03896050393149</c:v>
                </c:pt>
                <c:pt idx="3">
                  <c:v>1.03997828087463</c:v>
                </c:pt>
                <c:pt idx="4">
                  <c:v>1.0422413915061</c:v>
                </c:pt>
                <c:pt idx="5">
                  <c:v>1.05517489623449</c:v>
                </c:pt>
                <c:pt idx="6">
                  <c:v>1.05313873550073</c:v>
                </c:pt>
                <c:pt idx="7">
                  <c:v>1.06213998020721</c:v>
                </c:pt>
                <c:pt idx="8">
                  <c:v>1.06900814552296</c:v>
                </c:pt>
                <c:pt idx="9">
                  <c:v>1.07614878264071</c:v>
                </c:pt>
                <c:pt idx="10">
                  <c:v>1.10440350400963</c:v>
                </c:pt>
                <c:pt idx="11">
                  <c:v>1.14432123092983</c:v>
                </c:pt>
                <c:pt idx="12">
                  <c:v>1.19597099387819</c:v>
                </c:pt>
                <c:pt idx="13">
                  <c:v>1.082507877305</c:v>
                </c:pt>
                <c:pt idx="14">
                  <c:v>1.239434930427</c:v>
                </c:pt>
              </c:numCache>
            </c:numRef>
          </c:yVal>
          <c:smooth val="1"/>
        </c:ser>
        <c:ser>
          <c:idx val="2"/>
          <c:order val="2"/>
          <c:dLbls>
            <c:delete val="1"/>
          </c:dLbls>
          <c:xVal>
            <c:numRef>
              <c:f>Sheet3!$A$82:$A$96</c:f>
              <c:numCache>
                <c:formatCode>General</c:formatCode>
                <c:ptCount val="15"/>
                <c:pt idx="0">
                  <c:v>1000</c:v>
                </c:pt>
                <c:pt idx="1">
                  <c:v>2000</c:v>
                </c:pt>
                <c:pt idx="2">
                  <c:v>3000</c:v>
                </c:pt>
                <c:pt idx="3">
                  <c:v>4000</c:v>
                </c:pt>
                <c:pt idx="4">
                  <c:v>5000</c:v>
                </c:pt>
                <c:pt idx="5">
                  <c:v>6000</c:v>
                </c:pt>
                <c:pt idx="6">
                  <c:v>7000</c:v>
                </c:pt>
                <c:pt idx="7">
                  <c:v>8000</c:v>
                </c:pt>
                <c:pt idx="8">
                  <c:v>9000</c:v>
                </c:pt>
                <c:pt idx="9">
                  <c:v>10000</c:v>
                </c:pt>
                <c:pt idx="10">
                  <c:v>12000</c:v>
                </c:pt>
                <c:pt idx="11">
                  <c:v>14000</c:v>
                </c:pt>
                <c:pt idx="12">
                  <c:v>16000</c:v>
                </c:pt>
                <c:pt idx="13">
                  <c:v>18000</c:v>
                </c:pt>
                <c:pt idx="14">
                  <c:v>20000</c:v>
                </c:pt>
              </c:numCache>
            </c:numRef>
          </c:xVal>
          <c:yVal>
            <c:numRef>
              <c:f>Sheet3!$D$82:$D$96</c:f>
              <c:numCache>
                <c:formatCode>General</c:formatCode>
                <c:ptCount val="15"/>
                <c:pt idx="0">
                  <c:v>1.0318619228973</c:v>
                </c:pt>
                <c:pt idx="1">
                  <c:v>1.03321992721564</c:v>
                </c:pt>
                <c:pt idx="2">
                  <c:v>1.03640950854719</c:v>
                </c:pt>
                <c:pt idx="3">
                  <c:v>1.03946955040204</c:v>
                </c:pt>
                <c:pt idx="4">
                  <c:v>1.04687519386578</c:v>
                </c:pt>
                <c:pt idx="5">
                  <c:v>1.05286271622308</c:v>
                </c:pt>
                <c:pt idx="6">
                  <c:v>1.05436331542573</c:v>
                </c:pt>
                <c:pt idx="7">
                  <c:v>1.06987812003432</c:v>
                </c:pt>
                <c:pt idx="8">
                  <c:v>1.07700930963098</c:v>
                </c:pt>
                <c:pt idx="9">
                  <c:v>1.08410638564414</c:v>
                </c:pt>
                <c:pt idx="10">
                  <c:v>1.09949218640544</c:v>
                </c:pt>
                <c:pt idx="11">
                  <c:v>1.12730634486112</c:v>
                </c:pt>
                <c:pt idx="12">
                  <c:v>1.16814351902176</c:v>
                </c:pt>
                <c:pt idx="13">
                  <c:v>1.17955931490849</c:v>
                </c:pt>
                <c:pt idx="14">
                  <c:v>1.23441230924099</c:v>
                </c:pt>
              </c:numCache>
            </c:numRef>
          </c:yVal>
          <c:smooth val="1"/>
        </c:ser>
        <c:ser>
          <c:idx val="3"/>
          <c:order val="3"/>
          <c:dLbls>
            <c:delete val="1"/>
          </c:dLbls>
          <c:xVal>
            <c:numRef>
              <c:f>Sheet3!$A$82:$A$96</c:f>
              <c:numCache>
                <c:formatCode>General</c:formatCode>
                <c:ptCount val="15"/>
                <c:pt idx="0">
                  <c:v>1000</c:v>
                </c:pt>
                <c:pt idx="1">
                  <c:v>2000</c:v>
                </c:pt>
                <c:pt idx="2">
                  <c:v>3000</c:v>
                </c:pt>
                <c:pt idx="3">
                  <c:v>4000</c:v>
                </c:pt>
                <c:pt idx="4">
                  <c:v>5000</c:v>
                </c:pt>
                <c:pt idx="5">
                  <c:v>6000</c:v>
                </c:pt>
                <c:pt idx="6">
                  <c:v>7000</c:v>
                </c:pt>
                <c:pt idx="7">
                  <c:v>8000</c:v>
                </c:pt>
                <c:pt idx="8">
                  <c:v>9000</c:v>
                </c:pt>
                <c:pt idx="9">
                  <c:v>10000</c:v>
                </c:pt>
                <c:pt idx="10">
                  <c:v>12000</c:v>
                </c:pt>
                <c:pt idx="11">
                  <c:v>14000</c:v>
                </c:pt>
                <c:pt idx="12">
                  <c:v>16000</c:v>
                </c:pt>
                <c:pt idx="13">
                  <c:v>18000</c:v>
                </c:pt>
                <c:pt idx="14">
                  <c:v>20000</c:v>
                </c:pt>
              </c:numCache>
            </c:numRef>
          </c:xVal>
          <c:yVal>
            <c:numRef>
              <c:f>Sheet3!$E$82:$E$96</c:f>
              <c:numCache>
                <c:formatCode>General</c:formatCode>
                <c:ptCount val="15"/>
                <c:pt idx="0">
                  <c:v>1.03369644676472</c:v>
                </c:pt>
                <c:pt idx="1">
                  <c:v>1.03569717779038</c:v>
                </c:pt>
                <c:pt idx="2">
                  <c:v>1.03741506101824</c:v>
                </c:pt>
                <c:pt idx="3">
                  <c:v>1.03957666982877</c:v>
                </c:pt>
                <c:pt idx="4">
                  <c:v>1.0436124002938</c:v>
                </c:pt>
                <c:pt idx="5">
                  <c:v>1.05209793221162</c:v>
                </c:pt>
                <c:pt idx="6">
                  <c:v>1.05382552531816</c:v>
                </c:pt>
                <c:pt idx="7">
                  <c:v>1.06590464566343</c:v>
                </c:pt>
                <c:pt idx="8">
                  <c:v>1.07150584058215</c:v>
                </c:pt>
                <c:pt idx="9">
                  <c:v>1.08236157428759</c:v>
                </c:pt>
                <c:pt idx="10">
                  <c:v>1.09232756488008</c:v>
                </c:pt>
                <c:pt idx="11">
                  <c:v>1.10860887302959</c:v>
                </c:pt>
                <c:pt idx="12">
                  <c:v>1.14886974813221</c:v>
                </c:pt>
                <c:pt idx="13">
                  <c:v>1.29863675723521</c:v>
                </c:pt>
                <c:pt idx="14">
                  <c:v>1.22136565910055</c:v>
                </c:pt>
              </c:numCache>
            </c:numRef>
          </c:yVal>
          <c:smooth val="1"/>
        </c:ser>
        <c:dLbls>
          <c:showLegendKey val="0"/>
          <c:showVal val="0"/>
          <c:showCatName val="0"/>
          <c:showSerName val="0"/>
          <c:showPercent val="0"/>
          <c:showBubbleSize val="0"/>
        </c:dLbls>
        <c:axId val="153375104"/>
        <c:axId val="155480064"/>
      </c:scatterChart>
      <c:valAx>
        <c:axId val="153375104"/>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55480064"/>
        <c:crosses val="autoZero"/>
        <c:crossBetween val="midCat"/>
      </c:valAx>
      <c:valAx>
        <c:axId val="155480064"/>
        <c:scaling>
          <c:orientation val="minMax"/>
          <c:max val="1.45"/>
          <c:min val="1"/>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53375104"/>
        <c:crosses val="autoZero"/>
        <c:crossBetween val="midCat"/>
      </c:valAx>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不锈钢面安装</c:f>
              <c:strCache>
                <c:ptCount val="1"/>
                <c:pt idx="0">
                  <c:v>不锈钢面安装</c:v>
                </c:pt>
              </c:strCache>
            </c:strRef>
          </c:tx>
          <c:dLbls>
            <c:delete val="1"/>
          </c:dLbls>
          <c:xVal>
            <c:numRef>
              <c:f>Sheet1!$A$9:$A$23</c:f>
              <c:numCache>
                <c:formatCode>General</c:formatCode>
                <c:ptCount val="15"/>
                <c:pt idx="0">
                  <c:v>1000</c:v>
                </c:pt>
                <c:pt idx="1">
                  <c:v>2000</c:v>
                </c:pt>
                <c:pt idx="2">
                  <c:v>3000</c:v>
                </c:pt>
                <c:pt idx="3">
                  <c:v>4000</c:v>
                </c:pt>
                <c:pt idx="4">
                  <c:v>5000</c:v>
                </c:pt>
                <c:pt idx="5">
                  <c:v>6000</c:v>
                </c:pt>
                <c:pt idx="6">
                  <c:v>7000</c:v>
                </c:pt>
                <c:pt idx="7">
                  <c:v>8000</c:v>
                </c:pt>
                <c:pt idx="8">
                  <c:v>9000</c:v>
                </c:pt>
                <c:pt idx="9">
                  <c:v>10000</c:v>
                </c:pt>
                <c:pt idx="10">
                  <c:v>12000</c:v>
                </c:pt>
                <c:pt idx="11">
                  <c:v>14000</c:v>
                </c:pt>
                <c:pt idx="12">
                  <c:v>16000</c:v>
                </c:pt>
                <c:pt idx="13">
                  <c:v>18000</c:v>
                </c:pt>
                <c:pt idx="14">
                  <c:v>20000</c:v>
                </c:pt>
              </c:numCache>
            </c:numRef>
          </c:xVal>
          <c:yVal>
            <c:numRef>
              <c:f>Sheet1!$G$9:$G$23</c:f>
              <c:numCache>
                <c:formatCode>General</c:formatCode>
                <c:ptCount val="15"/>
                <c:pt idx="0">
                  <c:v>0.998616760904668</c:v>
                </c:pt>
                <c:pt idx="1">
                  <c:v>0.993562658696816</c:v>
                </c:pt>
                <c:pt idx="2">
                  <c:v>0.990193221488086</c:v>
                </c:pt>
                <c:pt idx="3">
                  <c:v>0.989668186125595</c:v>
                </c:pt>
                <c:pt idx="4">
                  <c:v>0.993660418315519</c:v>
                </c:pt>
                <c:pt idx="5">
                  <c:v>0.996340946578616</c:v>
                </c:pt>
                <c:pt idx="6">
                  <c:v>0.995086890522484</c:v>
                </c:pt>
                <c:pt idx="7">
                  <c:v>0.997063580687816</c:v>
                </c:pt>
                <c:pt idx="8">
                  <c:v>1.00450731392151</c:v>
                </c:pt>
                <c:pt idx="9">
                  <c:v>1.00705932483671</c:v>
                </c:pt>
                <c:pt idx="10">
                  <c:v>1.02058665231431</c:v>
                </c:pt>
                <c:pt idx="11">
                  <c:v>1.04032880454597</c:v>
                </c:pt>
                <c:pt idx="12">
                  <c:v>1.0641941481554</c:v>
                </c:pt>
                <c:pt idx="13">
                  <c:v>1.09325794876275</c:v>
                </c:pt>
                <c:pt idx="14">
                  <c:v>1.14396346654282</c:v>
                </c:pt>
              </c:numCache>
            </c:numRef>
          </c:yVal>
          <c:smooth val="1"/>
        </c:ser>
        <c:ser>
          <c:idx val="1"/>
          <c:order val="1"/>
          <c:tx>
            <c:strRef>
              <c:f>陶瓷面安装</c:f>
              <c:strCache>
                <c:ptCount val="1"/>
                <c:pt idx="0">
                  <c:v>陶瓷面安装</c:v>
                </c:pt>
              </c:strCache>
            </c:strRef>
          </c:tx>
          <c:dLbls>
            <c:delete val="1"/>
          </c:dLbls>
          <c:xVal>
            <c:numRef>
              <c:f>Sheet1!$A$28:$A$42</c:f>
              <c:numCache>
                <c:formatCode>General</c:formatCode>
                <c:ptCount val="15"/>
                <c:pt idx="0">
                  <c:v>1000</c:v>
                </c:pt>
                <c:pt idx="1">
                  <c:v>2000</c:v>
                </c:pt>
                <c:pt idx="2">
                  <c:v>3000</c:v>
                </c:pt>
                <c:pt idx="3">
                  <c:v>4000</c:v>
                </c:pt>
                <c:pt idx="4">
                  <c:v>5000</c:v>
                </c:pt>
                <c:pt idx="5">
                  <c:v>6000</c:v>
                </c:pt>
                <c:pt idx="6">
                  <c:v>7000</c:v>
                </c:pt>
                <c:pt idx="7">
                  <c:v>8000</c:v>
                </c:pt>
                <c:pt idx="8">
                  <c:v>9000</c:v>
                </c:pt>
                <c:pt idx="9">
                  <c:v>10000</c:v>
                </c:pt>
                <c:pt idx="10">
                  <c:v>12000</c:v>
                </c:pt>
                <c:pt idx="11">
                  <c:v>14000</c:v>
                </c:pt>
                <c:pt idx="12">
                  <c:v>16000</c:v>
                </c:pt>
                <c:pt idx="13">
                  <c:v>18000</c:v>
                </c:pt>
                <c:pt idx="14">
                  <c:v>20000</c:v>
                </c:pt>
              </c:numCache>
            </c:numRef>
          </c:xVal>
          <c:yVal>
            <c:numRef>
              <c:f>Sheet1!$G$28:$G$42</c:f>
              <c:numCache>
                <c:formatCode>General</c:formatCode>
                <c:ptCount val="15"/>
                <c:pt idx="0">
                  <c:v>1.00075993729881</c:v>
                </c:pt>
                <c:pt idx="1">
                  <c:v>0.995358158891904</c:v>
                </c:pt>
                <c:pt idx="2">
                  <c:v>0.991002288352629</c:v>
                </c:pt>
                <c:pt idx="3">
                  <c:v>0.99018704972964</c:v>
                </c:pt>
                <c:pt idx="4">
                  <c:v>0.989362375736083</c:v>
                </c:pt>
                <c:pt idx="5">
                  <c:v>0.990410467385266</c:v>
                </c:pt>
                <c:pt idx="6">
                  <c:v>0.992494392301769</c:v>
                </c:pt>
                <c:pt idx="7">
                  <c:v>0.994009768582275</c:v>
                </c:pt>
                <c:pt idx="8">
                  <c:v>0.999538674457941</c:v>
                </c:pt>
                <c:pt idx="9">
                  <c:v>1.00121205844021</c:v>
                </c:pt>
                <c:pt idx="10">
                  <c:v>1.00889890284752</c:v>
                </c:pt>
                <c:pt idx="11">
                  <c:v>1.02310930121635</c:v>
                </c:pt>
                <c:pt idx="12">
                  <c:v>1.04219362740436</c:v>
                </c:pt>
                <c:pt idx="13">
                  <c:v>1.06126533149381</c:v>
                </c:pt>
                <c:pt idx="14">
                  <c:v>1.09298666887472</c:v>
                </c:pt>
              </c:numCache>
            </c:numRef>
          </c:yVal>
          <c:smooth val="1"/>
        </c:ser>
        <c:ser>
          <c:idx val="2"/>
          <c:order val="2"/>
          <c:tx>
            <c:strRef>
              <c:f>502胶安装</c:f>
              <c:strCache>
                <c:ptCount val="1"/>
                <c:pt idx="0">
                  <c:v>502胶安装</c:v>
                </c:pt>
              </c:strCache>
            </c:strRef>
          </c:tx>
          <c:dLbls>
            <c:delete val="1"/>
          </c:dLbls>
          <c:xVal>
            <c:numRef>
              <c:f>Sheet1!$A$49:$A$63</c:f>
              <c:numCache>
                <c:formatCode>General</c:formatCode>
                <c:ptCount val="15"/>
                <c:pt idx="0">
                  <c:v>1000</c:v>
                </c:pt>
                <c:pt idx="1">
                  <c:v>2000</c:v>
                </c:pt>
                <c:pt idx="2">
                  <c:v>3000</c:v>
                </c:pt>
                <c:pt idx="3">
                  <c:v>4000</c:v>
                </c:pt>
                <c:pt idx="4">
                  <c:v>5000</c:v>
                </c:pt>
                <c:pt idx="5">
                  <c:v>6000</c:v>
                </c:pt>
                <c:pt idx="6">
                  <c:v>7000</c:v>
                </c:pt>
                <c:pt idx="7">
                  <c:v>8000</c:v>
                </c:pt>
                <c:pt idx="8">
                  <c:v>9000</c:v>
                </c:pt>
                <c:pt idx="9">
                  <c:v>10000</c:v>
                </c:pt>
                <c:pt idx="10">
                  <c:v>12000</c:v>
                </c:pt>
                <c:pt idx="11">
                  <c:v>14000</c:v>
                </c:pt>
                <c:pt idx="12">
                  <c:v>16000</c:v>
                </c:pt>
                <c:pt idx="13">
                  <c:v>18000</c:v>
                </c:pt>
                <c:pt idx="14">
                  <c:v>20000</c:v>
                </c:pt>
              </c:numCache>
            </c:numRef>
          </c:xVal>
          <c:yVal>
            <c:numRef>
              <c:f>Sheet1!$G$49:$G$63</c:f>
              <c:numCache>
                <c:formatCode>General</c:formatCode>
                <c:ptCount val="15"/>
                <c:pt idx="0">
                  <c:v>1.00061628609554</c:v>
                </c:pt>
                <c:pt idx="1">
                  <c:v>0.99463595296605</c:v>
                </c:pt>
                <c:pt idx="2">
                  <c:v>0.99129512115171</c:v>
                </c:pt>
                <c:pt idx="3">
                  <c:v>0.990870138354487</c:v>
                </c:pt>
                <c:pt idx="4">
                  <c:v>0.991135659119919</c:v>
                </c:pt>
                <c:pt idx="5">
                  <c:v>0.99783990925344</c:v>
                </c:pt>
                <c:pt idx="6">
                  <c:v>0.996629839240473</c:v>
                </c:pt>
                <c:pt idx="7">
                  <c:v>0.998788144834203</c:v>
                </c:pt>
                <c:pt idx="8">
                  <c:v>1.00610386125513</c:v>
                </c:pt>
                <c:pt idx="9">
                  <c:v>1.00959570104288</c:v>
                </c:pt>
                <c:pt idx="10">
                  <c:v>1.019661598493</c:v>
                </c:pt>
                <c:pt idx="11">
                  <c:v>1.04014223340308</c:v>
                </c:pt>
                <c:pt idx="12">
                  <c:v>1.06522182784383</c:v>
                </c:pt>
                <c:pt idx="13">
                  <c:v>1.09401766679372</c:v>
                </c:pt>
                <c:pt idx="14">
                  <c:v>1.14337684831432</c:v>
                </c:pt>
              </c:numCache>
            </c:numRef>
          </c:yVal>
          <c:smooth val="1"/>
        </c:ser>
        <c:ser>
          <c:idx val="3"/>
          <c:order val="3"/>
          <c:tx>
            <c:strRef>
              <c:f>双面胶安装</c:f>
              <c:strCache>
                <c:ptCount val="1"/>
                <c:pt idx="0">
                  <c:v>双面胶安装</c:v>
                </c:pt>
              </c:strCache>
            </c:strRef>
          </c:tx>
          <c:dLbls>
            <c:delete val="1"/>
          </c:dLbls>
          <c:xVal>
            <c:numRef>
              <c:f>Sheet1!$A$70:$A$98</c:f>
              <c:numCache>
                <c:formatCode>General</c:formatCode>
                <c:ptCount val="29"/>
                <c:pt idx="0">
                  <c:v>1000</c:v>
                </c:pt>
                <c:pt idx="1">
                  <c:v>2000</c:v>
                </c:pt>
                <c:pt idx="2">
                  <c:v>3000</c:v>
                </c:pt>
                <c:pt idx="3">
                  <c:v>4000</c:v>
                </c:pt>
                <c:pt idx="4">
                  <c:v>5000</c:v>
                </c:pt>
                <c:pt idx="5">
                  <c:v>6000</c:v>
                </c:pt>
                <c:pt idx="6">
                  <c:v>7000</c:v>
                </c:pt>
                <c:pt idx="7">
                  <c:v>8000</c:v>
                </c:pt>
                <c:pt idx="8">
                  <c:v>9000</c:v>
                </c:pt>
                <c:pt idx="9">
                  <c:v>9100</c:v>
                </c:pt>
                <c:pt idx="10">
                  <c:v>9200</c:v>
                </c:pt>
                <c:pt idx="11">
                  <c:v>9300</c:v>
                </c:pt>
                <c:pt idx="12">
                  <c:v>9400</c:v>
                </c:pt>
                <c:pt idx="13">
                  <c:v>9500</c:v>
                </c:pt>
                <c:pt idx="14">
                  <c:v>9600</c:v>
                </c:pt>
                <c:pt idx="15">
                  <c:v>9700</c:v>
                </c:pt>
                <c:pt idx="16">
                  <c:v>9800</c:v>
                </c:pt>
                <c:pt idx="17">
                  <c:v>9900</c:v>
                </c:pt>
                <c:pt idx="18">
                  <c:v>10000</c:v>
                </c:pt>
                <c:pt idx="19">
                  <c:v>11000</c:v>
                </c:pt>
                <c:pt idx="20">
                  <c:v>12000</c:v>
                </c:pt>
                <c:pt idx="21">
                  <c:v>13000</c:v>
                </c:pt>
                <c:pt idx="22">
                  <c:v>14000</c:v>
                </c:pt>
                <c:pt idx="23">
                  <c:v>15000</c:v>
                </c:pt>
                <c:pt idx="24">
                  <c:v>16000</c:v>
                </c:pt>
                <c:pt idx="25">
                  <c:v>17000</c:v>
                </c:pt>
                <c:pt idx="26">
                  <c:v>18000</c:v>
                </c:pt>
                <c:pt idx="27">
                  <c:v>19000</c:v>
                </c:pt>
                <c:pt idx="28">
                  <c:v>20000</c:v>
                </c:pt>
              </c:numCache>
            </c:numRef>
          </c:xVal>
          <c:yVal>
            <c:numRef>
              <c:f>Sheet1!$G$70:$G$98</c:f>
              <c:numCache>
                <c:formatCode>General</c:formatCode>
                <c:ptCount val="29"/>
                <c:pt idx="0">
                  <c:v>1.00859666455314</c:v>
                </c:pt>
                <c:pt idx="1">
                  <c:v>1.00570338103332</c:v>
                </c:pt>
                <c:pt idx="2">
                  <c:v>1.00607714670758</c:v>
                </c:pt>
                <c:pt idx="3">
                  <c:v>1.01545418149686</c:v>
                </c:pt>
                <c:pt idx="4">
                  <c:v>1.01836760589033</c:v>
                </c:pt>
                <c:pt idx="5">
                  <c:v>1.03428152389433</c:v>
                </c:pt>
                <c:pt idx="6">
                  <c:v>1.04160070917495</c:v>
                </c:pt>
                <c:pt idx="7">
                  <c:v>1.05575798675331</c:v>
                </c:pt>
                <c:pt idx="8">
                  <c:v>1.07269945719047</c:v>
                </c:pt>
                <c:pt idx="9">
                  <c:v>1.08012800218208</c:v>
                </c:pt>
                <c:pt idx="10">
                  <c:v>1.080860149434</c:v>
                </c:pt>
                <c:pt idx="11">
                  <c:v>1.08168327918258</c:v>
                </c:pt>
                <c:pt idx="12">
                  <c:v>1.08371583318552</c:v>
                </c:pt>
                <c:pt idx="13">
                  <c:v>1.085606872603</c:v>
                </c:pt>
                <c:pt idx="14">
                  <c:v>1.08875175638255</c:v>
                </c:pt>
                <c:pt idx="15">
                  <c:v>1.09172960849947</c:v>
                </c:pt>
                <c:pt idx="16">
                  <c:v>1.09476248433531</c:v>
                </c:pt>
                <c:pt idx="17">
                  <c:v>1.09789441093587</c:v>
                </c:pt>
                <c:pt idx="18">
                  <c:v>1.1013356166272</c:v>
                </c:pt>
                <c:pt idx="19">
                  <c:v>1.11583684180356</c:v>
                </c:pt>
                <c:pt idx="20">
                  <c:v>1.14585970868721</c:v>
                </c:pt>
                <c:pt idx="21">
                  <c:v>1.17798408378932</c:v>
                </c:pt>
                <c:pt idx="22">
                  <c:v>1.21294096602196</c:v>
                </c:pt>
                <c:pt idx="23">
                  <c:v>1.25559825317768</c:v>
                </c:pt>
                <c:pt idx="24">
                  <c:v>1.31464585048111</c:v>
                </c:pt>
                <c:pt idx="25">
                  <c:v>1.38560725280037</c:v>
                </c:pt>
                <c:pt idx="26">
                  <c:v>1.49734640649695</c:v>
                </c:pt>
                <c:pt idx="27">
                  <c:v>1.66312827686103</c:v>
                </c:pt>
                <c:pt idx="28">
                  <c:v>1.98740288794213</c:v>
                </c:pt>
              </c:numCache>
            </c:numRef>
          </c:yVal>
          <c:smooth val="1"/>
        </c:ser>
        <c:ser>
          <c:idx val="4"/>
          <c:order val="4"/>
          <c:tx>
            <c:strRef>
              <c:f>绝缘座安装</c:f>
              <c:strCache>
                <c:ptCount val="1"/>
                <c:pt idx="0">
                  <c:v>绝缘座安装</c:v>
                </c:pt>
              </c:strCache>
            </c:strRef>
          </c:tx>
          <c:dLbls>
            <c:delete val="1"/>
          </c:dLbls>
          <c:xVal>
            <c:numRef>
              <c:f>Sheet1!$A$105:$A$124</c:f>
              <c:numCache>
                <c:formatCode>General</c:formatCode>
                <c:ptCount val="20"/>
                <c:pt idx="0">
                  <c:v>1000</c:v>
                </c:pt>
                <c:pt idx="1">
                  <c:v>2000</c:v>
                </c:pt>
                <c:pt idx="2">
                  <c:v>3000</c:v>
                </c:pt>
                <c:pt idx="3">
                  <c:v>4000</c:v>
                </c:pt>
                <c:pt idx="4">
                  <c:v>5000</c:v>
                </c:pt>
                <c:pt idx="5">
                  <c:v>6000</c:v>
                </c:pt>
                <c:pt idx="6">
                  <c:v>7000</c:v>
                </c:pt>
                <c:pt idx="7">
                  <c:v>8000</c:v>
                </c:pt>
                <c:pt idx="8">
                  <c:v>9000</c:v>
                </c:pt>
                <c:pt idx="9">
                  <c:v>10000</c:v>
                </c:pt>
                <c:pt idx="10">
                  <c:v>11000</c:v>
                </c:pt>
                <c:pt idx="11">
                  <c:v>12000</c:v>
                </c:pt>
                <c:pt idx="12">
                  <c:v>13000</c:v>
                </c:pt>
                <c:pt idx="13">
                  <c:v>14000</c:v>
                </c:pt>
                <c:pt idx="14">
                  <c:v>15000</c:v>
                </c:pt>
                <c:pt idx="15">
                  <c:v>16000</c:v>
                </c:pt>
                <c:pt idx="16">
                  <c:v>17000</c:v>
                </c:pt>
                <c:pt idx="17">
                  <c:v>18000</c:v>
                </c:pt>
                <c:pt idx="18">
                  <c:v>19000</c:v>
                </c:pt>
                <c:pt idx="19">
                  <c:v>20000</c:v>
                </c:pt>
              </c:numCache>
            </c:numRef>
          </c:xVal>
          <c:yVal>
            <c:numRef>
              <c:f>Sheet1!$G$105:$G$124</c:f>
              <c:numCache>
                <c:formatCode>General</c:formatCode>
                <c:ptCount val="20"/>
                <c:pt idx="0">
                  <c:v>1.00023931034547</c:v>
                </c:pt>
                <c:pt idx="1">
                  <c:v>0.997113725986005</c:v>
                </c:pt>
                <c:pt idx="2">
                  <c:v>0.995834861342178</c:v>
                </c:pt>
                <c:pt idx="3">
                  <c:v>0.997575587044931</c:v>
                </c:pt>
                <c:pt idx="4">
                  <c:v>1.00251456661859</c:v>
                </c:pt>
                <c:pt idx="5">
                  <c:v>1.0144205687657</c:v>
                </c:pt>
                <c:pt idx="6">
                  <c:v>1.01757611794121</c:v>
                </c:pt>
                <c:pt idx="7">
                  <c:v>1.02856187360875</c:v>
                </c:pt>
                <c:pt idx="8">
                  <c:v>1.04460417854931</c:v>
                </c:pt>
                <c:pt idx="9">
                  <c:v>1.06198384358951</c:v>
                </c:pt>
                <c:pt idx="10">
                  <c:v>1.07838518430005</c:v>
                </c:pt>
                <c:pt idx="11">
                  <c:v>1.10203716807949</c:v>
                </c:pt>
                <c:pt idx="12">
                  <c:v>1.12506478491408</c:v>
                </c:pt>
                <c:pt idx="13">
                  <c:v>1.14711040232151</c:v>
                </c:pt>
                <c:pt idx="14">
                  <c:v>1.17840348988726</c:v>
                </c:pt>
                <c:pt idx="15">
                  <c:v>1.2257351196633</c:v>
                </c:pt>
                <c:pt idx="16">
                  <c:v>1.27019504651053</c:v>
                </c:pt>
                <c:pt idx="17">
                  <c:v>1.34498949498625</c:v>
                </c:pt>
                <c:pt idx="18">
                  <c:v>1.46045034790715</c:v>
                </c:pt>
                <c:pt idx="19">
                  <c:v>1.69978045769402</c:v>
                </c:pt>
              </c:numCache>
            </c:numRef>
          </c:yVal>
          <c:smooth val="1"/>
        </c:ser>
        <c:dLbls>
          <c:showLegendKey val="0"/>
          <c:showVal val="0"/>
          <c:showCatName val="0"/>
          <c:showSerName val="0"/>
          <c:showPercent val="0"/>
          <c:showBubbleSize val="0"/>
        </c:dLbls>
        <c:axId val="158714112"/>
        <c:axId val="158974336"/>
      </c:scatterChart>
      <c:valAx>
        <c:axId val="15871411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58974336"/>
        <c:crosses val="autoZero"/>
        <c:crossBetween val="midCat"/>
      </c:valAx>
      <c:valAx>
        <c:axId val="158974336"/>
        <c:scaling>
          <c:orientation val="minMax"/>
          <c:min val="0.9"/>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58714112"/>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2"/>
    <customShpInfo spid="_x0000_s2050"/>
    <customShpInfo spid="_x0000_s2156"/>
    <customShpInfo spid="_x0000_s2155"/>
    <customShpInfo spid="_x0000_s2154"/>
    <customShpInfo spid="_x0000_s2153"/>
    <customShpInfo spid="_x0000_s2152"/>
    <customShpInfo spid="_x0000_s2151"/>
    <customShpInfo spid="_x0000_s2150"/>
    <customShpInfo spid="_x0000_s2149"/>
    <customShpInfo spid="_x0000_s2148"/>
    <customShpInfo spid="_x0000_s214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1CDF9A-80B6-4B91-B106-3B58573B5DE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759</Words>
  <Characters>4329</Characters>
  <Lines>36</Lines>
  <Paragraphs>10</Paragraphs>
  <TotalTime>0</TotalTime>
  <ScaleCrop>false</ScaleCrop>
  <LinksUpToDate>false</LinksUpToDate>
  <CharactersWithSpaces>5078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2023-11-20T02:48:00Z</dcterms:created>
  <dc:creator>JLZX</dc:creator>
  <cp:lastModifiedBy>juan</cp:lastModifiedBy>
  <cp:lastPrinted>2018-04-25T02:18:00Z</cp:lastPrinted>
  <dcterms:modified xsi:type="dcterms:W3CDTF">2024-03-05T04:31:50Z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3741547235C241939F385CA4B69F9B8A_12</vt:lpwstr>
  </property>
</Properties>
</file>