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ascii="黑体" w:eastAsia="黑体"/>
          <w:sz w:val="36"/>
          <w:szCs w:val="36"/>
        </w:rPr>
      </w:pPr>
    </w:p>
    <w:p>
      <w:pPr>
        <w:pStyle w:val="10"/>
        <w:jc w:val="center"/>
        <w:rPr>
          <w:rFonts w:ascii="黑体" w:eastAsia="黑体"/>
          <w:sz w:val="36"/>
          <w:szCs w:val="36"/>
        </w:rPr>
      </w:pPr>
    </w:p>
    <w:p>
      <w:pPr>
        <w:pStyle w:val="10"/>
        <w:jc w:val="center"/>
        <w:rPr>
          <w:rFonts w:ascii="黑体" w:eastAsia="黑体"/>
          <w:sz w:val="36"/>
          <w:szCs w:val="36"/>
        </w:rPr>
      </w:pPr>
    </w:p>
    <w:p>
      <w:pPr>
        <w:pStyle w:val="10"/>
        <w:jc w:val="center"/>
        <w:rPr>
          <w:rFonts w:ascii="黑体" w:eastAsia="黑体"/>
          <w:sz w:val="36"/>
          <w:szCs w:val="36"/>
        </w:rPr>
      </w:pPr>
      <w:r>
        <w:rPr>
          <w:rFonts w:hint="eastAsia" w:ascii="黑体" w:eastAsia="黑体"/>
          <w:sz w:val="36"/>
          <w:szCs w:val="36"/>
        </w:rPr>
        <w:t>《溶出度试验仪校准方法》</w:t>
      </w:r>
    </w:p>
    <w:p>
      <w:pPr>
        <w:rPr>
          <w:rFonts w:eastAsia="黑体"/>
          <w:color w:val="000000"/>
          <w:sz w:val="48"/>
          <w:szCs w:val="48"/>
        </w:rPr>
      </w:pPr>
    </w:p>
    <w:p>
      <w:pPr>
        <w:ind w:firstLine="3600" w:firstLineChars="750"/>
        <w:rPr>
          <w:rFonts w:eastAsia="黑体"/>
          <w:color w:val="000000"/>
          <w:sz w:val="48"/>
          <w:szCs w:val="48"/>
        </w:rPr>
      </w:pPr>
    </w:p>
    <w:p>
      <w:pPr>
        <w:jc w:val="center"/>
        <w:rPr>
          <w:rFonts w:eastAsia="黑体"/>
          <w:color w:val="000000"/>
          <w:sz w:val="52"/>
          <w:szCs w:val="52"/>
        </w:rPr>
      </w:pPr>
      <w:r>
        <w:rPr>
          <w:rFonts w:hint="eastAsia" w:eastAsia="黑体"/>
          <w:color w:val="000000"/>
          <w:sz w:val="52"/>
          <w:szCs w:val="52"/>
        </w:rPr>
        <w:t>团体标准编制说明</w:t>
      </w:r>
    </w:p>
    <w:p>
      <w:pPr>
        <w:pStyle w:val="10"/>
        <w:spacing w:line="580" w:lineRule="exact"/>
        <w:ind w:firstLine="420"/>
        <w:jc w:val="left"/>
        <w:rPr>
          <w:rFonts w:ascii="宋体" w:hAnsi="宋体"/>
          <w:color w:val="000000"/>
          <w:sz w:val="28"/>
          <w:szCs w:val="28"/>
        </w:rPr>
      </w:pPr>
    </w:p>
    <w:p>
      <w:pPr>
        <w:pStyle w:val="10"/>
        <w:spacing w:line="580" w:lineRule="exact"/>
        <w:ind w:firstLine="420"/>
        <w:jc w:val="left"/>
        <w:rPr>
          <w:rFonts w:ascii="宋体" w:hAnsi="宋体"/>
          <w:color w:val="000000"/>
          <w:sz w:val="28"/>
          <w:szCs w:val="28"/>
        </w:rPr>
      </w:pPr>
    </w:p>
    <w:p>
      <w:pPr>
        <w:pStyle w:val="10"/>
        <w:spacing w:line="580" w:lineRule="exact"/>
        <w:ind w:firstLine="1960" w:firstLineChars="700"/>
        <w:jc w:val="left"/>
        <w:rPr>
          <w:rFonts w:ascii="宋体" w:hAnsi="宋体" w:cs="宋体"/>
          <w:color w:val="000000"/>
          <w:sz w:val="28"/>
          <w:szCs w:val="28"/>
        </w:rPr>
      </w:pPr>
      <w:r>
        <w:rPr>
          <w:rFonts w:hint="eastAsia" w:ascii="宋体" w:hAnsi="宋体"/>
          <w:color w:val="000000"/>
          <w:sz w:val="28"/>
          <w:szCs w:val="28"/>
        </w:rPr>
        <w:t xml:space="preserve">         </w:t>
      </w:r>
    </w:p>
    <w:p>
      <w:pPr>
        <w:pStyle w:val="10"/>
        <w:spacing w:line="580" w:lineRule="exact"/>
        <w:ind w:firstLine="420"/>
        <w:jc w:val="left"/>
        <w:rPr>
          <w:rFonts w:ascii="黑体" w:hAnsi="黑体" w:eastAsia="黑体" w:cs="黑体"/>
          <w:color w:val="000000"/>
          <w:sz w:val="28"/>
          <w:szCs w:val="28"/>
        </w:rPr>
      </w:pPr>
      <w:r>
        <w:rPr>
          <w:rFonts w:ascii="宋体" w:hAnsi="宋体" w:cs="宋体"/>
          <w:color w:val="000000"/>
          <w:sz w:val="28"/>
          <w:szCs w:val="28"/>
        </w:rPr>
        <w:t xml:space="preserve">                     </w:t>
      </w:r>
      <w:r>
        <w:rPr>
          <w:rFonts w:hint="eastAsia" w:ascii="黑体" w:hAnsi="黑体" w:eastAsia="黑体" w:cs="黑体"/>
          <w:color w:val="000000"/>
          <w:sz w:val="28"/>
          <w:szCs w:val="28"/>
        </w:rPr>
        <w:t xml:space="preserve">      </w:t>
      </w:r>
    </w:p>
    <w:p>
      <w:pPr>
        <w:pStyle w:val="10"/>
        <w:spacing w:line="580" w:lineRule="exact"/>
        <w:ind w:firstLine="420"/>
        <w:jc w:val="left"/>
        <w:rPr>
          <w:rFonts w:ascii="黑体" w:hAnsi="黑体" w:eastAsia="黑体" w:cs="黑体"/>
          <w:color w:val="000000"/>
          <w:sz w:val="28"/>
          <w:szCs w:val="28"/>
        </w:rPr>
      </w:pPr>
    </w:p>
    <w:p>
      <w:pPr>
        <w:pStyle w:val="10"/>
        <w:spacing w:line="580" w:lineRule="exact"/>
        <w:ind w:firstLine="420"/>
        <w:jc w:val="left"/>
        <w:rPr>
          <w:rFonts w:ascii="黑体" w:hAnsi="黑体" w:eastAsia="黑体" w:cs="黑体"/>
          <w:color w:val="000000"/>
          <w:sz w:val="28"/>
          <w:szCs w:val="28"/>
        </w:rPr>
      </w:pPr>
      <w:r>
        <w:rPr>
          <w:rFonts w:hint="eastAsia" w:ascii="黑体" w:hAnsi="黑体" w:eastAsia="黑体" w:cs="黑体"/>
          <w:color w:val="000000"/>
          <w:sz w:val="28"/>
          <w:szCs w:val="28"/>
        </w:rPr>
        <w:t xml:space="preserve">         </w:t>
      </w:r>
    </w:p>
    <w:p>
      <w:pPr>
        <w:pStyle w:val="10"/>
        <w:spacing w:line="580" w:lineRule="exact"/>
        <w:ind w:firstLine="420"/>
        <w:jc w:val="left"/>
        <w:rPr>
          <w:rFonts w:ascii="黑体" w:hAnsi="黑体" w:eastAsia="黑体" w:cs="黑体"/>
          <w:color w:val="000000"/>
          <w:sz w:val="28"/>
          <w:szCs w:val="28"/>
        </w:rPr>
      </w:pPr>
    </w:p>
    <w:p>
      <w:pPr>
        <w:pStyle w:val="10"/>
        <w:spacing w:line="580" w:lineRule="exact"/>
        <w:ind w:firstLine="420"/>
        <w:jc w:val="left"/>
        <w:rPr>
          <w:rFonts w:ascii="黑体" w:hAnsi="黑体" w:eastAsia="黑体" w:cs="黑体"/>
          <w:color w:val="000000"/>
          <w:sz w:val="28"/>
          <w:szCs w:val="28"/>
        </w:rPr>
      </w:pPr>
    </w:p>
    <w:p>
      <w:pPr>
        <w:pStyle w:val="10"/>
        <w:spacing w:line="580" w:lineRule="exact"/>
        <w:ind w:firstLine="420"/>
        <w:jc w:val="left"/>
        <w:rPr>
          <w:rFonts w:ascii="黑体" w:eastAsia="黑体"/>
          <w:color w:val="000000"/>
          <w:sz w:val="24"/>
        </w:rPr>
      </w:pPr>
      <w:r>
        <w:rPr>
          <w:rFonts w:hint="eastAsia" w:ascii="黑体" w:hAnsi="黑体" w:eastAsia="黑体" w:cs="黑体"/>
          <w:color w:val="000000"/>
          <w:sz w:val="28"/>
          <w:szCs w:val="28"/>
        </w:rPr>
        <w:t xml:space="preserve">  </w:t>
      </w:r>
    </w:p>
    <w:p>
      <w:pPr>
        <w:jc w:val="left"/>
        <w:rPr>
          <w:rFonts w:ascii="黑体" w:eastAsia="黑体"/>
          <w:color w:val="000000"/>
          <w:sz w:val="24"/>
        </w:rPr>
      </w:pPr>
    </w:p>
    <w:p>
      <w:pPr>
        <w:pStyle w:val="2"/>
        <w:ind w:left="0" w:leftChars="0" w:firstLine="3654" w:firstLineChars="1300"/>
        <w:rPr>
          <w:rFonts w:ascii="黑体" w:eastAsia="黑体"/>
          <w:color w:val="000000"/>
          <w:sz w:val="28"/>
          <w:szCs w:val="28"/>
        </w:rPr>
      </w:pPr>
      <w:r>
        <w:rPr>
          <w:rFonts w:hint="eastAsia" w:ascii="宋体" w:hAnsi="宋体" w:cs="宋体"/>
          <w:b/>
          <w:sz w:val="28"/>
          <w:szCs w:val="28"/>
        </w:rPr>
        <w:t>团体标准起草组</w:t>
      </w:r>
    </w:p>
    <w:p>
      <w:pPr>
        <w:ind w:firstLine="3935" w:firstLineChars="1400"/>
        <w:jc w:val="left"/>
        <w:rPr>
          <w:rFonts w:ascii="黑体" w:eastAsia="宋体"/>
          <w:color w:val="000000"/>
          <w:sz w:val="24"/>
        </w:rPr>
        <w:sectPr>
          <w:headerReference r:id="rId3" w:type="default"/>
          <w:pgSz w:w="11906" w:h="16838"/>
          <w:pgMar w:top="1134" w:right="1417" w:bottom="1134" w:left="1417" w:header="851" w:footer="992" w:gutter="0"/>
          <w:pgNumType w:start="1"/>
          <w:cols w:space="720" w:num="1"/>
          <w:docGrid w:type="lines" w:linePitch="312" w:charSpace="0"/>
        </w:sectPr>
      </w:pPr>
      <w:r>
        <w:rPr>
          <w:rFonts w:hint="eastAsia" w:ascii="宋体" w:hAnsi="宋体" w:eastAsia="宋体" w:cs="宋体"/>
          <w:b/>
          <w:sz w:val="28"/>
          <w:szCs w:val="28"/>
        </w:rPr>
        <w:t>2023.08.01</w:t>
      </w:r>
    </w:p>
    <w:p>
      <w:pPr>
        <w:autoSpaceDE w:val="0"/>
        <w:autoSpaceDN w:val="0"/>
        <w:adjustRightInd w:val="0"/>
        <w:jc w:val="center"/>
        <w:rPr>
          <w:rFonts w:ascii="仿宋" w:eastAsia="仿宋" w:cs="仿宋" w:hAnsiTheme="minorHAnsi"/>
          <w:sz w:val="44"/>
          <w:szCs w:val="44"/>
        </w:rPr>
      </w:pPr>
      <w:r>
        <w:rPr>
          <w:rFonts w:hint="eastAsia" w:ascii="仿宋" w:eastAsia="仿宋" w:cs="仿宋" w:hAnsiTheme="minorHAnsi"/>
          <w:sz w:val="44"/>
          <w:szCs w:val="44"/>
        </w:rPr>
        <w:t>《溶出度试验仪校准方法》</w:t>
      </w:r>
    </w:p>
    <w:p>
      <w:pPr>
        <w:jc w:val="center"/>
        <w:rPr>
          <w:rFonts w:ascii="仿宋" w:eastAsia="仿宋" w:cs="仿宋" w:hAnsiTheme="minorHAnsi"/>
          <w:sz w:val="44"/>
          <w:szCs w:val="44"/>
        </w:rPr>
      </w:pPr>
      <w:r>
        <w:rPr>
          <w:rFonts w:hint="eastAsia" w:ascii="仿宋" w:eastAsia="仿宋" w:cs="仿宋" w:hAnsiTheme="minorHAnsi"/>
          <w:sz w:val="44"/>
          <w:szCs w:val="44"/>
        </w:rPr>
        <w:t>团体标准编制说明</w:t>
      </w:r>
    </w:p>
    <w:p>
      <w:pPr>
        <w:autoSpaceDE w:val="0"/>
        <w:autoSpaceDN w:val="0"/>
        <w:adjustRightInd w:val="0"/>
        <w:jc w:val="left"/>
        <w:rPr>
          <w:rFonts w:ascii="宋体" w:eastAsia="宋体" w:cs="宋体" w:hAnsiTheme="minorHAnsi"/>
          <w:szCs w:val="30"/>
        </w:rPr>
      </w:pPr>
      <w:r>
        <w:rPr>
          <w:rFonts w:hint="eastAsia" w:ascii="宋体" w:eastAsia="宋体" w:cs="宋体" w:hAnsiTheme="minorHAnsi"/>
          <w:szCs w:val="30"/>
        </w:rPr>
        <w:t>一、工作简况</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（一）任务来源</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该标准由中国计量协会立项，并在《中国计量协会2023年第一批团体标准拟立项项目计划》的通知附件中列明，具体为附件第5条“</w:t>
      </w:r>
      <w:r>
        <w:rPr>
          <w:rFonts w:ascii="宋体" w:eastAsia="宋体" w:cs="宋体" w:hAnsiTheme="minorHAnsi"/>
          <w:sz w:val="28"/>
          <w:szCs w:val="28"/>
        </w:rPr>
        <w:t xml:space="preserve">T/CMA </w:t>
      </w:r>
      <w:r>
        <w:rPr>
          <w:rFonts w:hint="eastAsia" w:ascii="宋体" w:eastAsia="宋体" w:cs="宋体" w:hAnsiTheme="minorHAnsi"/>
          <w:sz w:val="28"/>
          <w:szCs w:val="28"/>
        </w:rPr>
        <w:t>YX</w:t>
      </w:r>
      <w:r>
        <w:rPr>
          <w:rFonts w:ascii="宋体" w:eastAsia="宋体" w:cs="宋体" w:hAnsiTheme="minorHAnsi"/>
          <w:sz w:val="28"/>
          <w:szCs w:val="28"/>
        </w:rPr>
        <w:t xml:space="preserve"> </w:t>
      </w:r>
      <w:r>
        <w:rPr>
          <w:rFonts w:hint="eastAsia" w:ascii="宋体" w:eastAsia="宋体" w:cs="宋体" w:hAnsiTheme="minorHAnsi"/>
          <w:sz w:val="28"/>
          <w:szCs w:val="28"/>
        </w:rPr>
        <w:t>129</w:t>
      </w:r>
      <w:r>
        <w:rPr>
          <w:rFonts w:ascii="宋体" w:eastAsia="宋体" w:cs="宋体" w:hAnsiTheme="minorHAnsi"/>
          <w:sz w:val="28"/>
          <w:szCs w:val="28"/>
        </w:rPr>
        <w:t xml:space="preserve"> </w:t>
      </w:r>
      <w:r>
        <w:rPr>
          <w:rFonts w:hint="eastAsia" w:ascii="宋体" w:eastAsia="宋体" w:cs="宋体" w:hAnsiTheme="minorHAnsi"/>
          <w:sz w:val="28"/>
          <w:szCs w:val="28"/>
        </w:rPr>
        <w:t>溶出度试验仪校准方法”。</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（二）主要起草单位</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济宁市质量计量检验检测研究院、山东省计量科学研究院、济南市计量检定测试院、山东中测校准质控技术有限公司、泰安市计量科学研究所、国家石油天然气管网集团有限公司山东省分公司德州作业区6家单位。</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（三）主要工作过程</w:t>
      </w:r>
    </w:p>
    <w:p>
      <w:pPr>
        <w:autoSpaceDE w:val="0"/>
        <w:autoSpaceDN w:val="0"/>
        <w:adjustRightInd w:val="0"/>
        <w:jc w:val="left"/>
        <w:rPr>
          <w:rFonts w:ascii="宋体" w:eastAsia="宋体" w:cs="宋体" w:hAnsiTheme="minorHAnsi"/>
          <w:sz w:val="28"/>
          <w:szCs w:val="28"/>
        </w:rPr>
      </w:pPr>
      <w:r>
        <w:rPr>
          <w:rFonts w:ascii="宋体" w:eastAsia="宋体" w:cs="宋体" w:hAnsiTheme="minorHAnsi"/>
          <w:sz w:val="28"/>
          <w:szCs w:val="28"/>
        </w:rPr>
        <w:t>1</w:t>
      </w:r>
      <w:r>
        <w:rPr>
          <w:rFonts w:hint="eastAsia" w:ascii="宋体" w:eastAsia="宋体" w:cs="宋体" w:hAnsiTheme="minorHAnsi"/>
          <w:sz w:val="28"/>
          <w:szCs w:val="28"/>
        </w:rPr>
        <w:t>、成立标准编制工作组</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《溶出度试验仪校准方法》团体标准制修订任务下达后，参加该团体标准起草的单位有6家，成立了标准编制工作组，开始查找有关的现行法律法规，通过知网检索了近</w:t>
      </w:r>
      <w:r>
        <w:rPr>
          <w:rFonts w:ascii="宋体" w:eastAsia="宋体" w:cs="宋体" w:hAnsiTheme="minorHAnsi"/>
          <w:sz w:val="28"/>
          <w:szCs w:val="28"/>
        </w:rPr>
        <w:t>5</w:t>
      </w:r>
      <w:r>
        <w:rPr>
          <w:rFonts w:hint="eastAsia" w:ascii="宋体" w:eastAsia="宋体" w:cs="宋体" w:hAnsiTheme="minorHAnsi"/>
          <w:sz w:val="28"/>
          <w:szCs w:val="28"/>
        </w:rPr>
        <w:t>年的技术文献和相关的国家标准等技术文件，形成标准的框架后，对其内容进行了细致全面的编写，向全国的近二十家单位和机构发出了征求意见稿，并对各方反馈的意见进行处理，组织了必要的实例操作和验证。</w:t>
      </w:r>
    </w:p>
    <w:p>
      <w:pPr>
        <w:autoSpaceDE w:val="0"/>
        <w:autoSpaceDN w:val="0"/>
        <w:adjustRightInd w:val="0"/>
        <w:jc w:val="left"/>
        <w:rPr>
          <w:rFonts w:ascii="宋体" w:eastAsia="宋体" w:cs="宋体" w:hAnsiTheme="minorHAnsi"/>
          <w:sz w:val="28"/>
          <w:szCs w:val="28"/>
        </w:rPr>
      </w:pPr>
      <w:r>
        <w:rPr>
          <w:rFonts w:ascii="宋体" w:eastAsia="宋体" w:cs="宋体" w:hAnsiTheme="minorHAnsi"/>
          <w:sz w:val="28"/>
          <w:szCs w:val="28"/>
        </w:rPr>
        <w:t>2</w:t>
      </w:r>
      <w:r>
        <w:rPr>
          <w:rFonts w:hint="eastAsia" w:ascii="宋体" w:eastAsia="宋体" w:cs="宋体" w:hAnsiTheme="minorHAnsi"/>
          <w:sz w:val="28"/>
          <w:szCs w:val="28"/>
        </w:rPr>
        <w:t>、规范形成阶段</w:t>
      </w:r>
    </w:p>
    <w:p>
      <w:pPr>
        <w:autoSpaceDE w:val="0"/>
        <w:autoSpaceDN w:val="0"/>
        <w:adjustRightInd w:val="0"/>
        <w:ind w:firstLine="560" w:firstLineChars="200"/>
        <w:jc w:val="left"/>
        <w:rPr>
          <w:rFonts w:ascii="宋体" w:eastAsia="宋体" w:cs="宋体" w:hAnsiTheme="minorHAnsi"/>
          <w:sz w:val="28"/>
          <w:szCs w:val="28"/>
        </w:rPr>
      </w:pPr>
      <w:r>
        <w:rPr>
          <w:rFonts w:ascii="宋体" w:eastAsia="宋体" w:cs="宋体" w:hAnsiTheme="minorHAnsi"/>
          <w:sz w:val="28"/>
          <w:szCs w:val="28"/>
        </w:rPr>
        <w:t>202</w:t>
      </w:r>
      <w:r>
        <w:rPr>
          <w:rFonts w:hint="eastAsia" w:ascii="宋体" w:eastAsia="宋体" w:cs="宋体" w:hAnsiTheme="minorHAnsi"/>
          <w:sz w:val="28"/>
          <w:szCs w:val="28"/>
        </w:rPr>
        <w:t>3年</w:t>
      </w:r>
      <w:r>
        <w:rPr>
          <w:rFonts w:ascii="宋体" w:eastAsia="宋体" w:cs="宋体" w:hAnsiTheme="minorHAnsi"/>
          <w:sz w:val="28"/>
          <w:szCs w:val="28"/>
        </w:rPr>
        <w:t>5</w:t>
      </w:r>
      <w:r>
        <w:rPr>
          <w:rFonts w:hint="eastAsia" w:ascii="宋体" w:eastAsia="宋体" w:cs="宋体" w:hAnsiTheme="minorHAnsi"/>
          <w:sz w:val="28"/>
          <w:szCs w:val="28"/>
        </w:rPr>
        <w:t>月始，编制小组开展规范前期调研，了解全国溶出度试验仪生产与使用情况，搜集相关法律、技术法规，确定标准内容及方法，进行草案编写。</w:t>
      </w:r>
    </w:p>
    <w:p>
      <w:pPr>
        <w:autoSpaceDE w:val="0"/>
        <w:autoSpaceDN w:val="0"/>
        <w:adjustRightInd w:val="0"/>
        <w:ind w:firstLine="560" w:firstLineChars="200"/>
        <w:jc w:val="left"/>
        <w:rPr>
          <w:rFonts w:ascii="宋体" w:eastAsia="宋体" w:cs="宋体" w:hAnsiTheme="minorHAnsi"/>
          <w:sz w:val="28"/>
          <w:szCs w:val="28"/>
        </w:rPr>
      </w:pPr>
      <w:r>
        <w:rPr>
          <w:rFonts w:ascii="宋体" w:eastAsia="宋体" w:cs="宋体" w:hAnsiTheme="minorHAnsi"/>
          <w:sz w:val="28"/>
          <w:szCs w:val="28"/>
        </w:rPr>
        <w:t>202</w:t>
      </w:r>
      <w:r>
        <w:rPr>
          <w:rFonts w:hint="eastAsia" w:ascii="宋体" w:eastAsia="宋体" w:cs="宋体" w:hAnsiTheme="minorHAnsi"/>
          <w:sz w:val="28"/>
          <w:szCs w:val="28"/>
        </w:rPr>
        <w:t>3年7月，经过广泛的调研，查阅有关文献、标准、规程等技术资料，形成讨论稿（一稿）。</w:t>
      </w:r>
    </w:p>
    <w:p>
      <w:pPr>
        <w:autoSpaceDE w:val="0"/>
        <w:autoSpaceDN w:val="0"/>
        <w:adjustRightInd w:val="0"/>
        <w:ind w:firstLine="560" w:firstLineChars="200"/>
        <w:jc w:val="left"/>
        <w:rPr>
          <w:rFonts w:ascii="宋体" w:eastAsia="宋体" w:cs="宋体" w:hAnsiTheme="minorHAnsi"/>
          <w:sz w:val="28"/>
          <w:szCs w:val="28"/>
        </w:rPr>
      </w:pPr>
      <w:r>
        <w:rPr>
          <w:rFonts w:ascii="宋体" w:eastAsia="宋体" w:cs="宋体" w:hAnsiTheme="minorHAnsi"/>
          <w:sz w:val="28"/>
          <w:szCs w:val="28"/>
        </w:rPr>
        <w:t>202</w:t>
      </w:r>
      <w:r>
        <w:rPr>
          <w:rFonts w:hint="eastAsia" w:ascii="宋体" w:eastAsia="宋体" w:cs="宋体" w:hAnsiTheme="minorHAnsi"/>
          <w:sz w:val="28"/>
          <w:szCs w:val="28"/>
        </w:rPr>
        <w:t>3</w:t>
      </w:r>
      <w:r>
        <w:rPr>
          <w:rFonts w:ascii="宋体" w:eastAsia="宋体" w:cs="宋体" w:hAnsiTheme="minorHAnsi"/>
          <w:sz w:val="28"/>
          <w:szCs w:val="28"/>
        </w:rPr>
        <w:t xml:space="preserve"> </w:t>
      </w:r>
      <w:r>
        <w:rPr>
          <w:rFonts w:hint="eastAsia" w:ascii="宋体" w:eastAsia="宋体" w:cs="宋体" w:hAnsiTheme="minorHAnsi"/>
          <w:sz w:val="28"/>
          <w:szCs w:val="28"/>
        </w:rPr>
        <w:t>年</w:t>
      </w:r>
      <w:r>
        <w:rPr>
          <w:rFonts w:ascii="宋体" w:eastAsia="宋体" w:cs="宋体" w:hAnsiTheme="minorHAnsi"/>
          <w:sz w:val="28"/>
          <w:szCs w:val="28"/>
        </w:rPr>
        <w:t xml:space="preserve">9 </w:t>
      </w:r>
      <w:r>
        <w:rPr>
          <w:rFonts w:hint="eastAsia" w:ascii="宋体" w:eastAsia="宋体" w:cs="宋体" w:hAnsiTheme="minorHAnsi"/>
          <w:sz w:val="28"/>
          <w:szCs w:val="28"/>
        </w:rPr>
        <w:t>月，编制小组对形成的讨论稿进行集中讨论后，</w:t>
      </w:r>
      <w:r>
        <w:rPr>
          <w:rFonts w:ascii="宋体" w:eastAsia="宋体" w:cs="宋体" w:hAnsiTheme="minorHAnsi"/>
          <w:sz w:val="28"/>
          <w:szCs w:val="28"/>
        </w:rPr>
        <w:t xml:space="preserve">3 </w:t>
      </w:r>
      <w:r>
        <w:rPr>
          <w:rFonts w:hint="eastAsia" w:ascii="宋体" w:eastAsia="宋体" w:cs="宋体" w:hAnsiTheme="minorHAnsi"/>
          <w:sz w:val="28"/>
          <w:szCs w:val="28"/>
        </w:rPr>
        <w:t>次修改，形成征求意见稿。</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（四）标准制定目的和意义</w:t>
      </w:r>
      <w:bookmarkStart w:id="0" w:name="_GoBack"/>
      <w:bookmarkEnd w:id="0"/>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溶出度是指活性药物成分从片剂、胶囊剂或颗粒剂等制剂在规定条件下的溶出速率和程度。它是一种模拟口服固体制剂在胃肠道中崩解和溶出的体外简易试验方法，是评价药物口服固体制剂质量的一个重要指标。药物溶出度仪为溶出度测定法提供了一种由微机控制的机电一体化试验设备，主要由电动机、恒温装置、篮体、搅拌桨，溶出杯及杯盖等组成。随着对口服制剂生物利用度及溶出度的重视程度的提高,缓释、控释技术的兴起,溶出度实验的应用日趋广泛。2016年开始，国家推进仿制药一致性评价工作，扩大仿制药市场规模，保障药品安全性和有效性，促进医药产业升级和结构调整，增强国际竞争能力，溶出度仪是仿制药一致性评价的关键设备。为规范仿制药质量和疗效一致性评价工作，国家食品药品监督管理总局组织制定了《药物溶出度仪机械验证指导原则》，提出了溶出度仪需验证的九个参数：溶出度仪水平度、篮（桨）轴垂直度、溶出杯垂直度、溶出杯与篮（桨）轴同轴度，篮（桨）轴摆动，篮摆动，篮（桨）深度，篮（桨）轴转速，溶出杯内温度。</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国外针对溶出度仪的性能检测研究起步较早，在20世纪70年代，美国和加拿大为确定外部变动因素对药物溶出度仪性能的影响进行了大量工作，并在此基础上引入了校正片的方法来对药物溶出度仪的性能进行检测。但是欧洲的科学家们对校正片的使用并不认可，由于校正片本身存在不均匀性和不稳定性，提出了严格的仪器的几何尺寸、机械参数、动力学参数、温度参数等检测是保障溶出度测定的标准化的唯一途径的观点。美国药品研究与制造协会（Pharmaceutical Research and Manufacturers of Amercia,简称PhRMA）的溶出度委员会也在2000年开始进行了用机械验证替代校正片的可行性研究。2009年Brown C K和Gray V均对溶出度仪的机械校准进行了研究和探讨，认为未来机械参数校准将更能衡量溶出度仪的性能。2010年，FDA药品评价和研究中心发布行业指南，建立了溶出度仪1（转篮）和2（搅拌桨）的安装、机械校准与运行条件的检查流程，以确保溶出度仪的机械关键参数满足要求。美国药典（USP）也对溶出度仪机械参数提出了要求。机械验证成为国外确定药物溶出度仪性能的重要手段。</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ab/>
      </w:r>
      <w:r>
        <w:rPr>
          <w:rFonts w:hint="eastAsia" w:ascii="宋体" w:eastAsia="宋体" w:cs="宋体" w:hAnsiTheme="minorHAnsi"/>
          <w:sz w:val="28"/>
          <w:szCs w:val="28"/>
        </w:rPr>
        <w:t>但在国内针对溶出度仪检测的研究起步较晚，近十年来，国内主要采用的仍是校正片的方式来进行溶出度仪的性能检测，并且国产校正片仅研制了非崩解型的水杨酸片，崩解型校正片则采用进口。随着国外逐步废除用校正片方法来进行溶出度仪性能验证，国内也逐步开始对溶出度仪的检测进行了一定的研究和探讨。为保证体外溶出试验数据的准确地和重现性，CFDA组织制定了《药物溶出度仪机械验证指导原则》(国家食品药品监督管理总局2016年第78号) ，对溶出度仪机械参数的测量方法和要求进行了规定，要求在仿制药一致性评价工作中，所使用的溶出度仪满足中国药典要求的同时，还需要满足该指导原则规定的各项技术参数，并提供机械验证报告，各项技术参数要求与FDA和美国药典USP Toolkit对溶出度仪机械参数的技术要求趋近一致。</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但目前我国药物溶出度仪计量检测仍存在这较大问题，首先在校准规范这块仍处于空白，没有相应的国家规范。计量机构为溶出度仪提供的检测主要包括温度、转速和计时误差三项参数，药物溶出度仪的其他参数检测也同样处于空白状态。国家食品药品监督管理总局发布《药物溶出度仪机械验证指导原则》后，药品一致性评价所使用的溶出度仪必须要进行机械验证，使得市场校准需求激增。溶出度仪应用广泛，市场存量巨大，且随着药品一致性评价工作的推进，每年药物溶出度仪的市场销量仍在快速增加，因此存在着庞大的计量需求。由于药物溶出度仪生产厂家众多，其计量性能技术指标也不相同，且国家尚无适合药物溶出度仪的校准规范，这使得在实际工作中对此类仪器的校准没有统一的校准方法，无法保证量值的准确性和溯源性。因此制定相应标准规范是非常必要和迫切的。</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二、标准编制原则与确定标准主要内容的依据</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（一）标准编制原则</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《溶出度试验仪校准方法》标准的编制在充分调研的基础上，严格遵循了国家法律法规、国家标准、行业标准的规定，按照</w:t>
      </w:r>
      <w:r>
        <w:rPr>
          <w:rFonts w:ascii="宋体" w:eastAsia="宋体" w:cs="宋体" w:hAnsiTheme="minorHAnsi"/>
          <w:sz w:val="28"/>
          <w:szCs w:val="28"/>
        </w:rPr>
        <w:t>GB/T 1.1</w:t>
      </w:r>
      <w:r>
        <w:rPr>
          <w:rFonts w:hint="eastAsia" w:ascii="宋体" w:eastAsia="宋体" w:cs="宋体" w:hAnsiTheme="minorHAnsi"/>
          <w:sz w:val="28"/>
          <w:szCs w:val="28"/>
        </w:rPr>
        <w:t>—</w:t>
      </w:r>
      <w:r>
        <w:rPr>
          <w:rFonts w:ascii="宋体" w:eastAsia="宋体" w:cs="宋体" w:hAnsiTheme="minorHAnsi"/>
          <w:sz w:val="28"/>
          <w:szCs w:val="28"/>
        </w:rPr>
        <w:t>2020</w:t>
      </w:r>
      <w:r>
        <w:rPr>
          <w:rFonts w:hint="eastAsia" w:ascii="宋体" w:eastAsia="宋体" w:cs="宋体" w:hAnsiTheme="minorHAnsi"/>
          <w:sz w:val="28"/>
          <w:szCs w:val="28"/>
        </w:rPr>
        <w:t>《标准化工作导则第</w:t>
      </w:r>
      <w:r>
        <w:rPr>
          <w:rFonts w:ascii="宋体" w:eastAsia="宋体" w:cs="宋体" w:hAnsiTheme="minorHAnsi"/>
          <w:sz w:val="28"/>
          <w:szCs w:val="28"/>
        </w:rPr>
        <w:t xml:space="preserve">1 </w:t>
      </w:r>
      <w:r>
        <w:rPr>
          <w:rFonts w:hint="eastAsia" w:ascii="宋体" w:eastAsia="宋体" w:cs="宋体" w:hAnsiTheme="minorHAnsi"/>
          <w:sz w:val="28"/>
          <w:szCs w:val="28"/>
        </w:rPr>
        <w:t>部分：标准化文件的结构和起草规则》的规则起草。主要遵循了“统一性、可操作性、可行性”的原则。</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（二）本标准制定参考的主要依据</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《溶出度试验仪校准方法》标准制定的依据主要包括《计量标准考核规范》等国家相关规章与政策文件及已颁布的多项国家、行业标准：</w:t>
      </w:r>
    </w:p>
    <w:p>
      <w:pPr>
        <w:autoSpaceDE w:val="0"/>
        <w:autoSpaceDN w:val="0"/>
        <w:adjustRightInd w:val="0"/>
        <w:jc w:val="left"/>
        <w:rPr>
          <w:rFonts w:ascii="宋体" w:eastAsia="宋体" w:cs="宋体" w:hAnsiTheme="minorHAnsi"/>
          <w:sz w:val="28"/>
          <w:szCs w:val="28"/>
        </w:rPr>
      </w:pPr>
      <w:r>
        <w:rPr>
          <w:rFonts w:ascii="宋体" w:eastAsia="宋体" w:cs="宋体" w:hAnsiTheme="minorHAnsi"/>
          <w:sz w:val="28"/>
          <w:szCs w:val="28"/>
        </w:rPr>
        <w:t>JJF 1001</w:t>
      </w:r>
      <w:r>
        <w:rPr>
          <w:rFonts w:hint="eastAsia" w:ascii="宋体" w:eastAsia="宋体" w:cs="宋体" w:hAnsiTheme="minorHAnsi"/>
          <w:sz w:val="28"/>
          <w:szCs w:val="28"/>
        </w:rPr>
        <w:t>－</w:t>
      </w:r>
      <w:r>
        <w:rPr>
          <w:rFonts w:ascii="宋体" w:eastAsia="宋体" w:cs="宋体" w:hAnsiTheme="minorHAnsi"/>
          <w:sz w:val="28"/>
          <w:szCs w:val="28"/>
        </w:rPr>
        <w:t xml:space="preserve">2011 </w:t>
      </w:r>
      <w:r>
        <w:rPr>
          <w:rFonts w:hint="eastAsia" w:ascii="宋体" w:eastAsia="宋体" w:cs="宋体" w:hAnsiTheme="minorHAnsi"/>
          <w:sz w:val="28"/>
          <w:szCs w:val="28"/>
        </w:rPr>
        <w:t>通用计量术语及定义</w:t>
      </w:r>
    </w:p>
    <w:p>
      <w:pPr>
        <w:autoSpaceDE w:val="0"/>
        <w:autoSpaceDN w:val="0"/>
        <w:adjustRightInd w:val="0"/>
        <w:jc w:val="left"/>
        <w:rPr>
          <w:rFonts w:ascii="宋体" w:eastAsia="宋体" w:cs="宋体" w:hAnsiTheme="minorHAnsi"/>
          <w:sz w:val="28"/>
          <w:szCs w:val="28"/>
        </w:rPr>
      </w:pPr>
      <w:r>
        <w:rPr>
          <w:rFonts w:ascii="宋体" w:eastAsia="宋体" w:cs="宋体" w:hAnsiTheme="minorHAnsi"/>
          <w:sz w:val="28"/>
          <w:szCs w:val="28"/>
        </w:rPr>
        <w:t>JJF 1033</w:t>
      </w:r>
      <w:r>
        <w:rPr>
          <w:rFonts w:hint="eastAsia" w:ascii="宋体" w:eastAsia="宋体" w:cs="宋体" w:hAnsiTheme="minorHAnsi"/>
          <w:sz w:val="28"/>
          <w:szCs w:val="28"/>
        </w:rPr>
        <w:t>－2023 计量标准考核规范</w:t>
      </w:r>
    </w:p>
    <w:p>
      <w:pPr>
        <w:autoSpaceDE w:val="0"/>
        <w:autoSpaceDN w:val="0"/>
        <w:adjustRightInd w:val="0"/>
        <w:jc w:val="left"/>
        <w:rPr>
          <w:rFonts w:ascii="宋体" w:eastAsia="宋体" w:cs="宋体" w:hAnsiTheme="minorHAnsi"/>
          <w:sz w:val="28"/>
          <w:szCs w:val="28"/>
        </w:rPr>
      </w:pPr>
      <w:r>
        <w:rPr>
          <w:rFonts w:ascii="宋体" w:eastAsia="宋体" w:cs="宋体" w:hAnsiTheme="minorHAnsi"/>
          <w:sz w:val="28"/>
          <w:szCs w:val="28"/>
        </w:rPr>
        <w:t>JJF 1069</w:t>
      </w:r>
      <w:r>
        <w:rPr>
          <w:rFonts w:hint="eastAsia" w:ascii="宋体" w:eastAsia="宋体" w:cs="宋体" w:hAnsiTheme="minorHAnsi"/>
          <w:sz w:val="28"/>
          <w:szCs w:val="28"/>
        </w:rPr>
        <w:t>－</w:t>
      </w:r>
      <w:r>
        <w:rPr>
          <w:rFonts w:ascii="宋体" w:eastAsia="宋体" w:cs="宋体" w:hAnsiTheme="minorHAnsi"/>
          <w:sz w:val="28"/>
          <w:szCs w:val="28"/>
        </w:rPr>
        <w:t xml:space="preserve">2012 </w:t>
      </w:r>
      <w:r>
        <w:rPr>
          <w:rFonts w:hint="eastAsia" w:ascii="宋体" w:eastAsia="宋体" w:cs="宋体" w:hAnsiTheme="minorHAnsi"/>
          <w:sz w:val="28"/>
          <w:szCs w:val="28"/>
        </w:rPr>
        <w:t>法定计量机构考核规范</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JB/T 20076-2005 药物溶出试验仪</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YY/T 0188.10-1995药品检验操作规程 第10部分：制剂溶出度</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JJF (浙) 1096-2014 药物溶出度分析仪校准规范</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JJG(粤) 048-2017 溶出度测定仪</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《药物溶出度仪机械验证指导原则》(国家食品药品监督管理总局2016年第78号)</w:t>
      </w:r>
    </w:p>
    <w:p>
      <w:pPr>
        <w:autoSpaceDE w:val="0"/>
        <w:autoSpaceDN w:val="0"/>
        <w:adjustRightInd w:val="0"/>
        <w:jc w:val="left"/>
        <w:rPr>
          <w:rFonts w:ascii="黑体" w:eastAsia="黑体" w:cs="黑体" w:hAnsiTheme="minorHAnsi"/>
          <w:sz w:val="32"/>
          <w:szCs w:val="32"/>
        </w:rPr>
      </w:pPr>
      <w:r>
        <w:rPr>
          <w:rFonts w:hint="eastAsia" w:ascii="黑体" w:eastAsia="黑体" w:cs="黑体" w:hAnsiTheme="minorHAnsi"/>
          <w:sz w:val="32"/>
          <w:szCs w:val="32"/>
        </w:rPr>
        <w:t>三、标准主要内容</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（一）适用范围</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固体制剂溶出度试验仪的校准</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（二）主要内容</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1  水浴温度示值误差</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37.0℃时，示值误差不超过±0.3℃。</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2  溶出杯温度稳定度</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稳定工作后，各个溶出杯中的溶出介质温度（以下简称“溶出杯温度”）应稳定在（37.0±0.5）℃。</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3  溶出杯温度示值误差</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37.0℃点，各个溶出杯温度示值误差均不超过±0.2℃。</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注：适用于有溶出杯温度显示的溶出度仪，即精密温控型溶出度仪。</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4  转速误差</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 xml:space="preserve"> 篮（桨）轴（以下简称“转轴”）转速可调，可设置的范围至少覆盖25r/min～200r/min，且在25r/min～200r/min范围内各个转轴转速误差不超过设定转速的±4%。</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5  转轴垂直度</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各转轴垂直度均不大于0.5°。</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6  溶出杯的垂直度</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各溶出杯的垂直度均不大于1.0°。</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7  溶出杯与转轴的同轴度</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在规定的测量点上测量每个溶出杯轴心与转轴轴心的偏差均不得超过1mm。</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8  摆动幅度</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转轴以50r/min旋转时，各转轴摆动幅度不得超过1mm。</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9  篮（桨）深度</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溶出杯底部与篮（桨）下缘的距离，应在（25±2）mm范围内。</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10  计时误差</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定时范围：至少可覆盖2min～10h；计时误差：不超过10s。</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四、本标准采用国际和国外先进标准的，说明采标程度，以及与国内外同类标准水平的对比情况。</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《溶出度试验仪校准方法》标准未采用国际和国外标准，不涉及国际国外标准采标情况。</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五、与有关的现行法律、法规和强制性国家标准的关系</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《溶出度试验仪校准方法》标准内容符合国家现行法律、法规要求，并与参照采用的相关标准、管理办法有一定的对应关系。</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六、重大分歧意见的处理经过和依据</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本标准的制定过程中未出现重大的分歧意见。</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七、贯彻标准的要求措施建议</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建议标准发布后，中国计量协会可组织起草单位编写标准宣贯出版物、开展专题标准培训等活动，更好地推动本标准的具体实施工作。</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八、废止现行有关标准的建议</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无。</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九、其他应予说明的情况</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无。</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十、预期达到的社会效益、对产业发展的作用等情况</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溶出度试验仪在医药研制、生产企业实验室中得到广泛使用，量大面广，该项目完成后，不仅将对溶出度试验仪的量值溯源工作提供科学、合理的技术依据，而且为客户提供准确的测量数据，保障仪器的规范使用，能够更好的服务于生产研发实际，还将进一步规范溶出度试验仪生产企业的生产，保证产品质量，使产品更具有市场竞争力。项目完成后，不仅能为社会做好技术服务，带来较高的经济效益，还能产生良好的社会效益。</w:t>
      </w:r>
    </w:p>
    <w:p>
      <w:pPr>
        <w:autoSpaceDE w:val="0"/>
        <w:autoSpaceDN w:val="0"/>
        <w:adjustRightInd w:val="0"/>
        <w:jc w:val="left"/>
        <w:rPr>
          <w:rFonts w:ascii="宋体" w:eastAsia="宋体" w:cs="宋体" w:hAnsiTheme="minorHAnsi"/>
          <w:sz w:val="28"/>
          <w:szCs w:val="28"/>
        </w:rPr>
      </w:pPr>
      <w:r>
        <w:rPr>
          <w:rFonts w:hint="eastAsia" w:ascii="宋体" w:eastAsia="宋体" w:cs="宋体" w:hAnsiTheme="minorHAnsi"/>
          <w:sz w:val="28"/>
          <w:szCs w:val="28"/>
        </w:rPr>
        <w:t>十一、明确标准中涉及专利的情况</w:t>
      </w:r>
    </w:p>
    <w:p>
      <w:pPr>
        <w:autoSpaceDE w:val="0"/>
        <w:autoSpaceDN w:val="0"/>
        <w:adjustRightInd w:val="0"/>
        <w:ind w:firstLine="560" w:firstLineChars="200"/>
        <w:jc w:val="left"/>
        <w:rPr>
          <w:rFonts w:ascii="宋体" w:eastAsia="宋体" w:cs="宋体" w:hAnsiTheme="minorHAnsi"/>
          <w:sz w:val="28"/>
          <w:szCs w:val="28"/>
        </w:rPr>
      </w:pPr>
      <w:r>
        <w:rPr>
          <w:rFonts w:hint="eastAsia" w:ascii="宋体" w:eastAsia="宋体" w:cs="宋体" w:hAnsiTheme="minorHAnsi"/>
          <w:sz w:val="28"/>
          <w:szCs w:val="28"/>
        </w:rPr>
        <w:t>本标准不涉及专利问题。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iYTkwNjVjOTUwN2JiMjNkMWFhODY0NGRhMjU1OGYifQ=="/>
  </w:docVars>
  <w:rsids>
    <w:rsidRoot w:val="000D5B6E"/>
    <w:rsid w:val="00087423"/>
    <w:rsid w:val="000D2B9A"/>
    <w:rsid w:val="000D5B6E"/>
    <w:rsid w:val="001361BA"/>
    <w:rsid w:val="00281C8B"/>
    <w:rsid w:val="004779D9"/>
    <w:rsid w:val="00606865"/>
    <w:rsid w:val="00675EB4"/>
    <w:rsid w:val="006D3713"/>
    <w:rsid w:val="00727855"/>
    <w:rsid w:val="00791C38"/>
    <w:rsid w:val="008F44F0"/>
    <w:rsid w:val="009D01E3"/>
    <w:rsid w:val="00A448F9"/>
    <w:rsid w:val="00A94912"/>
    <w:rsid w:val="00AE0D87"/>
    <w:rsid w:val="00DB1CDC"/>
    <w:rsid w:val="00DB3634"/>
    <w:rsid w:val="00E11E97"/>
    <w:rsid w:val="00EE624B"/>
    <w:rsid w:val="38DD3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0"/>
      <w:sz w:val="30"/>
      <w:szCs w:val="20"/>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Closing"/>
    <w:basedOn w:val="1"/>
    <w:link w:val="9"/>
    <w:autoRedefine/>
    <w:qFormat/>
    <w:uiPriority w:val="0"/>
    <w:pPr>
      <w:ind w:left="100" w:leftChars="2100"/>
    </w:pPr>
    <w:rPr>
      <w:rFonts w:eastAsia="宋体"/>
      <w:kern w:val="2"/>
      <w:sz w:val="26"/>
      <w:szCs w:val="26"/>
    </w:rPr>
  </w:style>
  <w:style w:type="paragraph" w:styleId="3">
    <w:name w:val="footer"/>
    <w:basedOn w:val="1"/>
    <w:link w:val="8"/>
    <w:autoRedefine/>
    <w:unhideWhenUsed/>
    <w:qFormat/>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4">
    <w:name w:val="header"/>
    <w:basedOn w:val="1"/>
    <w:link w:val="7"/>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customStyle="1" w:styleId="7">
    <w:name w:val="页眉 Char"/>
    <w:basedOn w:val="6"/>
    <w:link w:val="4"/>
    <w:autoRedefine/>
    <w:qFormat/>
    <w:uiPriority w:val="0"/>
    <w:rPr>
      <w:sz w:val="18"/>
      <w:szCs w:val="18"/>
    </w:rPr>
  </w:style>
  <w:style w:type="character" w:customStyle="1" w:styleId="8">
    <w:name w:val="页脚 Char"/>
    <w:basedOn w:val="6"/>
    <w:link w:val="3"/>
    <w:autoRedefine/>
    <w:qFormat/>
    <w:uiPriority w:val="99"/>
    <w:rPr>
      <w:sz w:val="18"/>
      <w:szCs w:val="18"/>
    </w:rPr>
  </w:style>
  <w:style w:type="character" w:customStyle="1" w:styleId="9">
    <w:name w:val="结束语 Char"/>
    <w:basedOn w:val="6"/>
    <w:link w:val="2"/>
    <w:autoRedefine/>
    <w:qFormat/>
    <w:uiPriority w:val="0"/>
    <w:rPr>
      <w:rFonts w:ascii="Times New Roman" w:hAnsi="Times New Roman" w:eastAsia="宋体" w:cs="Times New Roman"/>
      <w:sz w:val="26"/>
      <w:szCs w:val="26"/>
    </w:rPr>
  </w:style>
  <w:style w:type="paragraph" w:customStyle="1" w:styleId="10">
    <w:name w:val="0"/>
    <w:basedOn w:val="1"/>
    <w:uiPriority w:val="0"/>
    <w:pPr>
      <w:widowControl/>
      <w:snapToGrid w:val="0"/>
    </w:pPr>
    <w:rPr>
      <w:rFonts w:eastAsia="宋体"/>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589</Words>
  <Characters>3359</Characters>
  <Lines>27</Lines>
  <Paragraphs>7</Paragraphs>
  <TotalTime>88</TotalTime>
  <ScaleCrop>false</ScaleCrop>
  <LinksUpToDate>false</LinksUpToDate>
  <CharactersWithSpaces>3941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2023-07-12T00:44:00Z</dcterms:created>
  <dc:creator>微软用户</dc:creator>
  <cp:lastModifiedBy>y</cp:lastModifiedBy>
  <dcterms:modified xsi:type="dcterms:W3CDTF">2024-05-09T07:02:13Z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E06DE42CF9AA4BC586A73526091A9160_12</vt:lpwstr>
  </property>
</Properties>
</file>