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79133E" w14:textId="77777777" w:rsidR="00B40388" w:rsidRDefault="00B40388">
      <w:pPr>
        <w:jc w:val="center"/>
        <w:rPr>
          <w:rFonts w:ascii="黑体" w:eastAsia="黑体" w:hAnsi="黑体" w:cs="黑体"/>
          <w:color w:val="000000"/>
          <w:kern w:val="0"/>
          <w:sz w:val="52"/>
          <w:szCs w:val="52"/>
          <w:lang w:bidi="ar"/>
        </w:rPr>
      </w:pPr>
    </w:p>
    <w:p w14:paraId="25F4A459" w14:textId="77777777" w:rsidR="00B40388" w:rsidRPr="00FF069D" w:rsidRDefault="00000000">
      <w:pPr>
        <w:autoSpaceDE w:val="0"/>
        <w:autoSpaceDN w:val="0"/>
        <w:adjustRightInd w:val="0"/>
        <w:jc w:val="center"/>
        <w:rPr>
          <w:rFonts w:ascii="黑体" w:eastAsia="黑体" w:cs="黑体"/>
          <w:kern w:val="0"/>
          <w:sz w:val="36"/>
          <w:szCs w:val="36"/>
        </w:rPr>
      </w:pPr>
      <w:r w:rsidRPr="00FF069D">
        <w:rPr>
          <w:rFonts w:ascii="黑体" w:eastAsia="黑体" w:cs="黑体" w:hint="eastAsia"/>
          <w:kern w:val="0"/>
          <w:sz w:val="36"/>
          <w:szCs w:val="36"/>
        </w:rPr>
        <w:t>国家计量技术规范</w:t>
      </w:r>
    </w:p>
    <w:p w14:paraId="1D708EA6" w14:textId="77777777" w:rsidR="00B40388" w:rsidRPr="00FF069D" w:rsidRDefault="00000000">
      <w:pPr>
        <w:adjustRightInd w:val="0"/>
        <w:snapToGrid w:val="0"/>
        <w:ind w:right="-154"/>
        <w:jc w:val="center"/>
        <w:rPr>
          <w:rFonts w:eastAsia="黑体" w:cs="黑体"/>
          <w:sz w:val="36"/>
          <w:szCs w:val="36"/>
        </w:rPr>
      </w:pPr>
      <w:r w:rsidRPr="00FF069D">
        <w:rPr>
          <w:rFonts w:eastAsia="黑体" w:cs="黑体" w:hint="eastAsia"/>
          <w:sz w:val="36"/>
          <w:szCs w:val="36"/>
        </w:rPr>
        <w:t>《</w:t>
      </w:r>
      <w:r w:rsidRPr="00FF069D">
        <w:rPr>
          <w:rFonts w:eastAsia="黑体" w:cs="黑体"/>
          <w:sz w:val="36"/>
          <w:szCs w:val="36"/>
        </w:rPr>
        <w:t>标准表法热量表远程在线核查技术规范</w:t>
      </w:r>
      <w:r w:rsidRPr="00FF069D">
        <w:rPr>
          <w:rFonts w:eastAsia="黑体" w:cs="黑体" w:hint="eastAsia"/>
          <w:sz w:val="36"/>
          <w:szCs w:val="36"/>
        </w:rPr>
        <w:t>》</w:t>
      </w:r>
    </w:p>
    <w:p w14:paraId="021D41B0" w14:textId="03B17242" w:rsidR="00B40388" w:rsidRPr="00FF069D" w:rsidRDefault="00000000">
      <w:pPr>
        <w:jc w:val="center"/>
        <w:rPr>
          <w:rFonts w:eastAsia="黑体" w:cs="黑体"/>
          <w:sz w:val="36"/>
          <w:szCs w:val="36"/>
        </w:rPr>
      </w:pPr>
      <w:r w:rsidRPr="00FF069D">
        <w:rPr>
          <w:rFonts w:eastAsia="黑体" w:cs="黑体" w:hint="eastAsia"/>
          <w:sz w:val="36"/>
          <w:szCs w:val="36"/>
        </w:rPr>
        <w:t>编</w:t>
      </w:r>
      <w:r w:rsidR="00FF069D">
        <w:rPr>
          <w:rFonts w:eastAsia="黑体" w:cs="黑体" w:hint="eastAsia"/>
          <w:sz w:val="36"/>
          <w:szCs w:val="36"/>
        </w:rPr>
        <w:t>写</w:t>
      </w:r>
      <w:r w:rsidRPr="00FF069D">
        <w:rPr>
          <w:rFonts w:eastAsia="黑体" w:cs="黑体" w:hint="eastAsia"/>
          <w:sz w:val="36"/>
          <w:szCs w:val="36"/>
        </w:rPr>
        <w:t>说明</w:t>
      </w:r>
    </w:p>
    <w:p w14:paraId="376DA613" w14:textId="77777777" w:rsidR="00B40388" w:rsidRDefault="00B40388">
      <w:pPr>
        <w:jc w:val="center"/>
        <w:rPr>
          <w:rFonts w:eastAsia="黑体" w:cs="黑体"/>
          <w:sz w:val="48"/>
          <w:szCs w:val="48"/>
        </w:rPr>
      </w:pPr>
    </w:p>
    <w:p w14:paraId="0488F608" w14:textId="77777777" w:rsidR="00B40388" w:rsidRDefault="00B40388">
      <w:pPr>
        <w:jc w:val="center"/>
        <w:rPr>
          <w:rFonts w:ascii="黑体" w:eastAsia="黑体" w:hAnsi="黑体" w:cs="黑体"/>
          <w:color w:val="000000"/>
          <w:kern w:val="0"/>
          <w:sz w:val="32"/>
          <w:szCs w:val="32"/>
          <w:lang w:bidi="ar"/>
        </w:rPr>
      </w:pPr>
    </w:p>
    <w:p w14:paraId="15535432" w14:textId="77777777" w:rsidR="00B40388" w:rsidRDefault="00B40388">
      <w:pPr>
        <w:jc w:val="center"/>
        <w:rPr>
          <w:rFonts w:ascii="黑体" w:eastAsia="黑体" w:hAnsi="黑体" w:cs="黑体"/>
          <w:color w:val="000000"/>
          <w:kern w:val="0"/>
          <w:sz w:val="32"/>
          <w:szCs w:val="32"/>
          <w:lang w:bidi="ar"/>
        </w:rPr>
      </w:pPr>
    </w:p>
    <w:p w14:paraId="38D1B9FD" w14:textId="77777777" w:rsidR="00B40388" w:rsidRDefault="00B40388">
      <w:pPr>
        <w:jc w:val="center"/>
        <w:rPr>
          <w:rFonts w:ascii="黑体" w:eastAsia="黑体" w:hAnsi="黑体" w:cs="黑体"/>
          <w:color w:val="000000"/>
          <w:kern w:val="0"/>
          <w:sz w:val="32"/>
          <w:szCs w:val="32"/>
          <w:lang w:bidi="ar"/>
        </w:rPr>
      </w:pPr>
    </w:p>
    <w:p w14:paraId="7AE63C4B" w14:textId="77777777" w:rsidR="00B40388" w:rsidRDefault="00B40388">
      <w:pPr>
        <w:jc w:val="center"/>
        <w:rPr>
          <w:rFonts w:ascii="黑体" w:eastAsia="黑体" w:hAnsi="黑体" w:cs="黑体"/>
          <w:color w:val="000000"/>
          <w:kern w:val="0"/>
          <w:sz w:val="28"/>
          <w:szCs w:val="28"/>
          <w:lang w:bidi="ar"/>
        </w:rPr>
      </w:pPr>
    </w:p>
    <w:p w14:paraId="20079D75" w14:textId="77777777" w:rsidR="00B40388" w:rsidRDefault="00B40388">
      <w:pPr>
        <w:jc w:val="center"/>
        <w:rPr>
          <w:rFonts w:ascii="黑体" w:eastAsia="黑体" w:hAnsi="黑体" w:cs="黑体"/>
          <w:color w:val="000000"/>
          <w:kern w:val="0"/>
          <w:sz w:val="28"/>
          <w:szCs w:val="28"/>
          <w:lang w:bidi="ar"/>
        </w:rPr>
      </w:pPr>
    </w:p>
    <w:p w14:paraId="5E3FAFE6" w14:textId="77777777" w:rsidR="00B40388" w:rsidRDefault="00B40388">
      <w:pPr>
        <w:jc w:val="center"/>
        <w:rPr>
          <w:rFonts w:ascii="黑体" w:eastAsia="黑体" w:hAnsi="黑体" w:cs="黑体"/>
          <w:color w:val="000000"/>
          <w:kern w:val="0"/>
          <w:sz w:val="28"/>
          <w:szCs w:val="28"/>
          <w:lang w:bidi="ar"/>
        </w:rPr>
      </w:pPr>
    </w:p>
    <w:p w14:paraId="1A571C65" w14:textId="77777777" w:rsidR="00B40388" w:rsidRDefault="00B40388">
      <w:pPr>
        <w:jc w:val="center"/>
        <w:rPr>
          <w:rFonts w:ascii="黑体" w:eastAsia="黑体" w:hAnsi="黑体" w:cs="黑体"/>
          <w:color w:val="000000"/>
          <w:kern w:val="0"/>
          <w:sz w:val="28"/>
          <w:szCs w:val="28"/>
          <w:lang w:bidi="ar"/>
        </w:rPr>
      </w:pPr>
    </w:p>
    <w:p w14:paraId="7AB11E83" w14:textId="77777777" w:rsidR="00B40388" w:rsidRDefault="00B40388">
      <w:pPr>
        <w:jc w:val="center"/>
        <w:rPr>
          <w:rFonts w:ascii="黑体" w:eastAsia="黑体" w:hAnsi="黑体" w:cs="黑体"/>
          <w:color w:val="000000"/>
          <w:kern w:val="0"/>
          <w:sz w:val="28"/>
          <w:szCs w:val="28"/>
          <w:lang w:bidi="ar"/>
        </w:rPr>
      </w:pPr>
    </w:p>
    <w:p w14:paraId="44CF6EC6" w14:textId="77777777" w:rsidR="00B40388" w:rsidRDefault="00B40388">
      <w:pPr>
        <w:jc w:val="center"/>
        <w:rPr>
          <w:rFonts w:ascii="黑体" w:eastAsia="黑体" w:hAnsi="黑体" w:cs="黑体"/>
          <w:color w:val="000000"/>
          <w:kern w:val="0"/>
          <w:sz w:val="28"/>
          <w:szCs w:val="28"/>
          <w:lang w:bidi="ar"/>
        </w:rPr>
      </w:pPr>
    </w:p>
    <w:p w14:paraId="06400850" w14:textId="77777777" w:rsidR="00B40388" w:rsidRDefault="00B40388">
      <w:pPr>
        <w:jc w:val="center"/>
        <w:rPr>
          <w:rFonts w:ascii="黑体" w:eastAsia="黑体" w:hAnsi="黑体" w:cs="黑体"/>
          <w:color w:val="000000"/>
          <w:kern w:val="0"/>
          <w:sz w:val="28"/>
          <w:szCs w:val="28"/>
          <w:lang w:bidi="ar"/>
        </w:rPr>
      </w:pPr>
    </w:p>
    <w:p w14:paraId="41B88B34" w14:textId="77777777" w:rsidR="00B40388" w:rsidRDefault="00B40388">
      <w:pPr>
        <w:jc w:val="center"/>
        <w:rPr>
          <w:rFonts w:ascii="黑体" w:eastAsia="黑体" w:hAnsi="黑体" w:cs="黑体"/>
          <w:color w:val="000000"/>
          <w:kern w:val="0"/>
          <w:sz w:val="28"/>
          <w:szCs w:val="28"/>
          <w:lang w:bidi="ar"/>
        </w:rPr>
      </w:pPr>
    </w:p>
    <w:p w14:paraId="6DA41390" w14:textId="77777777" w:rsidR="00B40388" w:rsidRDefault="00000000">
      <w:pPr>
        <w:jc w:val="center"/>
        <w:rPr>
          <w:rFonts w:ascii="黑体" w:eastAsia="黑体" w:hAnsi="黑体" w:cs="黑体"/>
          <w:sz w:val="32"/>
          <w:szCs w:val="32"/>
        </w:rPr>
      </w:pPr>
      <w:r>
        <w:rPr>
          <w:rFonts w:ascii="黑体" w:eastAsia="黑体" w:hAnsi="黑体" w:cs="黑体" w:hint="eastAsia"/>
          <w:sz w:val="32"/>
          <w:szCs w:val="32"/>
        </w:rPr>
        <w:t>规范起草组</w:t>
      </w:r>
    </w:p>
    <w:p w14:paraId="695A41DF" w14:textId="77777777" w:rsidR="00B40388" w:rsidRDefault="00000000">
      <w:pPr>
        <w:jc w:val="center"/>
        <w:rPr>
          <w:rFonts w:ascii="黑体" w:eastAsia="黑体" w:hAnsi="黑体" w:cs="黑体"/>
          <w:color w:val="000000"/>
          <w:kern w:val="0"/>
          <w:sz w:val="44"/>
          <w:szCs w:val="44"/>
          <w:lang w:bidi="ar"/>
        </w:rPr>
      </w:pPr>
      <w:r>
        <w:rPr>
          <w:rFonts w:ascii="黑体" w:eastAsia="黑体" w:hAnsi="黑体" w:cs="黑体" w:hint="eastAsia"/>
          <w:sz w:val="32"/>
          <w:szCs w:val="32"/>
        </w:rPr>
        <w:t>202</w:t>
      </w:r>
      <w:r>
        <w:rPr>
          <w:rFonts w:ascii="黑体" w:eastAsia="黑体" w:hAnsi="黑体" w:cs="黑体"/>
          <w:sz w:val="32"/>
          <w:szCs w:val="32"/>
        </w:rPr>
        <w:t>4</w:t>
      </w:r>
      <w:r>
        <w:rPr>
          <w:rFonts w:ascii="黑体" w:eastAsia="黑体" w:hAnsi="黑体" w:cs="黑体" w:hint="eastAsia"/>
          <w:sz w:val="32"/>
          <w:szCs w:val="32"/>
        </w:rPr>
        <w:t>年6月14日</w:t>
      </w:r>
    </w:p>
    <w:p w14:paraId="469DE7D8" w14:textId="77777777" w:rsidR="00B40388" w:rsidRDefault="00000000">
      <w:pPr>
        <w:rPr>
          <w:rFonts w:asciiTheme="minorEastAsia" w:hAnsiTheme="minorEastAsia" w:cstheme="minorEastAsia"/>
          <w:color w:val="000000"/>
          <w:kern w:val="0"/>
          <w:sz w:val="28"/>
          <w:szCs w:val="28"/>
          <w:lang w:bidi="ar"/>
        </w:rPr>
      </w:pPr>
      <w:r>
        <w:rPr>
          <w:rFonts w:asciiTheme="minorEastAsia" w:hAnsiTheme="minorEastAsia" w:cstheme="minorEastAsia"/>
          <w:color w:val="000000"/>
          <w:kern w:val="0"/>
          <w:sz w:val="28"/>
          <w:szCs w:val="28"/>
          <w:lang w:bidi="ar"/>
        </w:rPr>
        <w:br w:type="page"/>
      </w:r>
    </w:p>
    <w:p w14:paraId="7B7E50CB" w14:textId="77777777" w:rsidR="00B40388" w:rsidRDefault="00000000">
      <w:pPr>
        <w:autoSpaceDE w:val="0"/>
        <w:autoSpaceDN w:val="0"/>
        <w:adjustRightInd w:val="0"/>
        <w:jc w:val="left"/>
        <w:rPr>
          <w:rFonts w:ascii="宋体" w:eastAsia="宋体" w:hAnsi="宋体" w:cs="黑体"/>
          <w:kern w:val="0"/>
          <w:sz w:val="28"/>
        </w:rPr>
      </w:pPr>
      <w:r>
        <w:rPr>
          <w:rFonts w:ascii="宋体" w:eastAsia="宋体" w:hAnsi="宋体" w:cs="黑体" w:hint="eastAsia"/>
          <w:kern w:val="0"/>
          <w:sz w:val="28"/>
        </w:rPr>
        <w:lastRenderedPageBreak/>
        <w:t>一</w:t>
      </w:r>
      <w:r>
        <w:rPr>
          <w:rFonts w:ascii="黑体" w:eastAsia="黑体" w:hAnsi="黑体" w:cs="黑体" w:hint="eastAsia"/>
          <w:color w:val="000000"/>
          <w:kern w:val="0"/>
          <w:sz w:val="28"/>
          <w:szCs w:val="28"/>
          <w:lang w:bidi="ar"/>
        </w:rPr>
        <w:t>、任务来源及背景</w:t>
      </w:r>
    </w:p>
    <w:p w14:paraId="17C54DE7" w14:textId="77777777" w:rsidR="00B40388" w:rsidRDefault="00000000">
      <w:pPr>
        <w:ind w:firstLineChars="200" w:firstLine="480"/>
        <w:jc w:val="left"/>
        <w:rPr>
          <w:rFonts w:ascii="Times New Roman" w:hAnsi="Times New Roman"/>
          <w:sz w:val="24"/>
        </w:rPr>
      </w:pPr>
      <w:r>
        <w:rPr>
          <w:rFonts w:ascii="Times New Roman" w:hAnsi="Times New Roman" w:hint="eastAsia"/>
          <w:sz w:val="24"/>
        </w:rPr>
        <w:t>20</w:t>
      </w:r>
      <w:r>
        <w:rPr>
          <w:rFonts w:ascii="Times New Roman" w:hAnsi="Times New Roman"/>
          <w:sz w:val="24"/>
        </w:rPr>
        <w:t>21</w:t>
      </w:r>
      <w:r>
        <w:rPr>
          <w:rFonts w:ascii="Times New Roman" w:hAnsi="Times New Roman" w:hint="eastAsia"/>
          <w:sz w:val="24"/>
        </w:rPr>
        <w:t>年</w:t>
      </w:r>
      <w:r>
        <w:rPr>
          <w:rFonts w:ascii="Times New Roman" w:hAnsi="Times New Roman"/>
          <w:sz w:val="24"/>
        </w:rPr>
        <w:t>7</w:t>
      </w:r>
      <w:r>
        <w:rPr>
          <w:rFonts w:ascii="Times New Roman" w:hAnsi="Times New Roman" w:hint="eastAsia"/>
          <w:sz w:val="24"/>
        </w:rPr>
        <w:t>月，中国计量科学研究院向全国流量计量技术委员会液体流量分技术委员会秘书处提交了《</w:t>
      </w:r>
      <w:r>
        <w:rPr>
          <w:rFonts w:ascii="Times New Roman" w:hAnsi="Times New Roman"/>
          <w:sz w:val="24"/>
        </w:rPr>
        <w:t>标准表法热量表远程在线核查技术规范</w:t>
      </w:r>
      <w:r>
        <w:rPr>
          <w:rFonts w:ascii="Times New Roman" w:hAnsi="Times New Roman" w:hint="eastAsia"/>
          <w:sz w:val="24"/>
        </w:rPr>
        <w:t>》申请书，并在同年</w:t>
      </w:r>
      <w:r>
        <w:rPr>
          <w:rFonts w:ascii="Times New Roman" w:hAnsi="Times New Roman"/>
          <w:sz w:val="24"/>
        </w:rPr>
        <w:t>8</w:t>
      </w:r>
      <w:r>
        <w:rPr>
          <w:rFonts w:ascii="Times New Roman" w:hAnsi="Times New Roman" w:hint="eastAsia"/>
          <w:sz w:val="24"/>
        </w:rPr>
        <w:t>月召开的技术委员会上进行了立项答辩。</w:t>
      </w:r>
    </w:p>
    <w:p w14:paraId="7B414A80" w14:textId="77777777" w:rsidR="00B40388" w:rsidRDefault="00000000">
      <w:pPr>
        <w:ind w:firstLineChars="200" w:firstLine="480"/>
        <w:jc w:val="left"/>
        <w:rPr>
          <w:rFonts w:ascii="宋体" w:hAnsi="宋体"/>
          <w:sz w:val="24"/>
        </w:rPr>
      </w:pPr>
      <w:r>
        <w:rPr>
          <w:rFonts w:ascii="Times New Roman" w:hAnsi="Times New Roman" w:hint="eastAsia"/>
          <w:sz w:val="24"/>
        </w:rPr>
        <w:t>202</w:t>
      </w:r>
      <w:r>
        <w:rPr>
          <w:rFonts w:ascii="Times New Roman" w:hAnsi="Times New Roman"/>
          <w:sz w:val="24"/>
        </w:rPr>
        <w:t>2</w:t>
      </w:r>
      <w:r>
        <w:rPr>
          <w:rFonts w:ascii="Times New Roman" w:hAnsi="Times New Roman" w:hint="eastAsia"/>
          <w:sz w:val="24"/>
        </w:rPr>
        <w:t>年</w:t>
      </w:r>
      <w:r>
        <w:rPr>
          <w:rFonts w:ascii="Times New Roman" w:hAnsi="Times New Roman"/>
          <w:sz w:val="24"/>
        </w:rPr>
        <w:t>6</w:t>
      </w:r>
      <w:r>
        <w:rPr>
          <w:rFonts w:ascii="Times New Roman" w:hAnsi="Times New Roman" w:hint="eastAsia"/>
          <w:sz w:val="24"/>
        </w:rPr>
        <w:t>月，</w:t>
      </w:r>
      <w:r>
        <w:rPr>
          <w:rFonts w:ascii="Times New Roman" w:hAnsi="Times New Roman"/>
          <w:sz w:val="24"/>
        </w:rPr>
        <w:t>根据国家市场监督管理总局</w:t>
      </w:r>
      <w:proofErr w:type="gramStart"/>
      <w:r>
        <w:rPr>
          <w:rFonts w:ascii="Times New Roman" w:hAnsi="Times New Roman"/>
          <w:sz w:val="24"/>
        </w:rPr>
        <w:t>办公厅市监计量</w:t>
      </w:r>
      <w:proofErr w:type="gramEnd"/>
      <w:r>
        <w:rPr>
          <w:rFonts w:ascii="Times New Roman" w:hAnsi="Times New Roman"/>
          <w:sz w:val="24"/>
        </w:rPr>
        <w:t>发〔</w:t>
      </w:r>
      <w:r>
        <w:rPr>
          <w:rFonts w:ascii="Times New Roman" w:hAnsi="Times New Roman"/>
          <w:sz w:val="24"/>
        </w:rPr>
        <w:t>2022</w:t>
      </w:r>
      <w:r>
        <w:rPr>
          <w:rFonts w:ascii="Times New Roman" w:hAnsi="Times New Roman"/>
          <w:sz w:val="24"/>
        </w:rPr>
        <w:t>〕</w:t>
      </w:r>
      <w:r>
        <w:rPr>
          <w:rFonts w:ascii="Times New Roman" w:hAnsi="Times New Roman"/>
          <w:sz w:val="24"/>
        </w:rPr>
        <w:t xml:space="preserve">70 </w:t>
      </w:r>
      <w:r>
        <w:rPr>
          <w:rFonts w:ascii="Times New Roman" w:hAnsi="Times New Roman"/>
          <w:sz w:val="24"/>
        </w:rPr>
        <w:t>号（</w:t>
      </w:r>
      <w:r>
        <w:rPr>
          <w:rFonts w:ascii="Times New Roman" w:hAnsi="Times New Roman"/>
          <w:sz w:val="24"/>
        </w:rPr>
        <w:t>2022</w:t>
      </w:r>
      <w:r>
        <w:rPr>
          <w:rFonts w:ascii="Times New Roman" w:hAnsi="Times New Roman"/>
          <w:sz w:val="24"/>
        </w:rPr>
        <w:t>年国家计量技术规范项目制定、修订及宣贯计划的通知）的要求，《标准表法热量表远程在线核查技术规范》</w:t>
      </w:r>
      <w:r>
        <w:rPr>
          <w:rFonts w:ascii="Times New Roman" w:hAnsi="Times New Roman" w:hint="eastAsia"/>
          <w:sz w:val="24"/>
        </w:rPr>
        <w:t>制定任务下达到全国流量计量技术委员会液体流量分技术委员会，同时，技术</w:t>
      </w:r>
      <w:r>
        <w:rPr>
          <w:rFonts w:ascii="宋体" w:hAnsi="宋体" w:hint="eastAsia"/>
          <w:sz w:val="24"/>
        </w:rPr>
        <w:t>委员会秘书处对主要起草单位下达了制定通知和要求。</w:t>
      </w:r>
    </w:p>
    <w:p w14:paraId="47CA19BA" w14:textId="77777777" w:rsidR="00B40388" w:rsidRDefault="00000000">
      <w:pPr>
        <w:ind w:firstLineChars="200" w:firstLine="480"/>
        <w:jc w:val="left"/>
        <w:rPr>
          <w:rFonts w:ascii="Times New Roman" w:hAnsi="Times New Roman"/>
          <w:sz w:val="24"/>
        </w:rPr>
      </w:pPr>
      <w:r>
        <w:rPr>
          <w:rFonts w:ascii="Times New Roman" w:hAnsi="Times New Roman" w:hint="eastAsia"/>
          <w:sz w:val="24"/>
        </w:rPr>
        <w:t>中国计量科学研究院接到任务后，于</w:t>
      </w:r>
      <w:r>
        <w:rPr>
          <w:rFonts w:ascii="Times New Roman" w:hAnsi="Times New Roman" w:hint="eastAsia"/>
          <w:sz w:val="24"/>
        </w:rPr>
        <w:t>202</w:t>
      </w:r>
      <w:r>
        <w:rPr>
          <w:rFonts w:ascii="Times New Roman" w:hAnsi="Times New Roman"/>
          <w:sz w:val="24"/>
        </w:rPr>
        <w:t>2</w:t>
      </w:r>
      <w:r>
        <w:rPr>
          <w:rFonts w:ascii="Times New Roman" w:hAnsi="Times New Roman" w:hint="eastAsia"/>
          <w:sz w:val="24"/>
        </w:rPr>
        <w:t>年</w:t>
      </w:r>
      <w:r>
        <w:rPr>
          <w:rFonts w:ascii="Times New Roman" w:hAnsi="Times New Roman"/>
          <w:sz w:val="24"/>
        </w:rPr>
        <w:t>6</w:t>
      </w:r>
      <w:r>
        <w:rPr>
          <w:rFonts w:ascii="Times New Roman" w:hAnsi="Times New Roman" w:hint="eastAsia"/>
          <w:sz w:val="24"/>
        </w:rPr>
        <w:t>月组成了规程起草小组，由江西省检验检测认证总院计量科学研究院，中国信息通信研究院，山东省</w:t>
      </w:r>
      <w:r>
        <w:rPr>
          <w:rFonts w:ascii="Times New Roman" w:hAnsi="Times New Roman"/>
          <w:sz w:val="24"/>
        </w:rPr>
        <w:t>计量科学研究</w:t>
      </w:r>
      <w:r>
        <w:rPr>
          <w:rFonts w:ascii="Times New Roman" w:hAnsi="Times New Roman" w:hint="eastAsia"/>
          <w:sz w:val="24"/>
        </w:rPr>
        <w:t>院，济南</w:t>
      </w:r>
      <w:r>
        <w:rPr>
          <w:rFonts w:ascii="Times New Roman" w:hAnsi="Times New Roman"/>
          <w:sz w:val="24"/>
        </w:rPr>
        <w:t>热电有限公司</w:t>
      </w:r>
      <w:r>
        <w:rPr>
          <w:rFonts w:ascii="Times New Roman" w:hAnsi="Times New Roman" w:hint="eastAsia"/>
          <w:sz w:val="24"/>
        </w:rPr>
        <w:t>，</w:t>
      </w:r>
      <w:r>
        <w:rPr>
          <w:rFonts w:ascii="Times New Roman" w:hAnsi="Times New Roman"/>
          <w:sz w:val="24"/>
        </w:rPr>
        <w:t>南京市计量监督检测院</w:t>
      </w:r>
      <w:r>
        <w:rPr>
          <w:rFonts w:ascii="Times New Roman" w:hAnsi="Times New Roman" w:hint="eastAsia"/>
          <w:sz w:val="24"/>
        </w:rPr>
        <w:t>，威海市天罡仪表股份有限公司等单位组成。起草小组严格按照</w:t>
      </w:r>
      <w:r>
        <w:rPr>
          <w:rFonts w:ascii="Times New Roman" w:hAnsi="Times New Roman" w:cs="Times New Roman"/>
          <w:sz w:val="24"/>
        </w:rPr>
        <w:t>JJF</w:t>
      </w:r>
      <w:r>
        <w:rPr>
          <w:rFonts w:ascii="Times New Roman" w:hAnsi="Times New Roman" w:cs="Times New Roman" w:hint="eastAsia"/>
          <w:sz w:val="24"/>
        </w:rPr>
        <w:t xml:space="preserve"> </w:t>
      </w:r>
      <w:r>
        <w:rPr>
          <w:rFonts w:ascii="Times New Roman" w:hAnsi="Times New Roman" w:cs="Times New Roman"/>
          <w:sz w:val="24"/>
        </w:rPr>
        <w:t>1001</w:t>
      </w:r>
      <w:r>
        <w:rPr>
          <w:rFonts w:ascii="宋体" w:eastAsia="宋体" w:hAnsi="宋体" w:cs="Times New Roman" w:hint="eastAsia"/>
          <w:color w:val="000000"/>
          <w:sz w:val="24"/>
        </w:rPr>
        <w:t>《通用计量术语及定义》</w:t>
      </w:r>
      <w:r>
        <w:rPr>
          <w:rFonts w:ascii="宋体" w:hAnsi="宋体" w:hint="eastAsia"/>
          <w:sz w:val="24"/>
        </w:rPr>
        <w:t>、</w:t>
      </w:r>
      <w:r>
        <w:rPr>
          <w:rFonts w:ascii="Times New Roman" w:hAnsi="Times New Roman" w:cs="Times New Roman"/>
          <w:sz w:val="24"/>
        </w:rPr>
        <w:t>JJF</w:t>
      </w:r>
      <w:r>
        <w:rPr>
          <w:rFonts w:ascii="Times New Roman" w:hAnsi="Times New Roman" w:cs="Times New Roman" w:hint="eastAsia"/>
          <w:sz w:val="24"/>
        </w:rPr>
        <w:t xml:space="preserve"> </w:t>
      </w:r>
      <w:r>
        <w:rPr>
          <w:rFonts w:ascii="Times New Roman" w:hAnsi="Times New Roman" w:cs="Times New Roman"/>
          <w:sz w:val="24"/>
        </w:rPr>
        <w:t>1059</w:t>
      </w:r>
      <w:r>
        <w:rPr>
          <w:rFonts w:ascii="Times New Roman" w:hAnsi="Times New Roman" w:cs="Times New Roman"/>
          <w:sz w:val="24"/>
        </w:rPr>
        <w:t>《测量不确定度评定与表示》</w:t>
      </w:r>
      <w:r>
        <w:rPr>
          <w:rFonts w:ascii="宋体" w:hAnsi="宋体" w:hint="eastAsia"/>
          <w:sz w:val="24"/>
        </w:rPr>
        <w:t>等文件的要求，</w:t>
      </w:r>
      <w:r>
        <w:rPr>
          <w:rFonts w:ascii="Times New Roman" w:hAnsi="Times New Roman" w:hint="eastAsia"/>
          <w:sz w:val="24"/>
        </w:rPr>
        <w:t>启动规范的制订工作，</w:t>
      </w:r>
      <w:r>
        <w:rPr>
          <w:rFonts w:ascii="Times New Roman" w:hAnsi="Times New Roman"/>
          <w:sz w:val="24"/>
        </w:rPr>
        <w:t>确保</w:t>
      </w:r>
      <w:r>
        <w:rPr>
          <w:rFonts w:ascii="Times New Roman" w:hAnsi="Times New Roman" w:hint="eastAsia"/>
          <w:sz w:val="24"/>
        </w:rPr>
        <w:t>规范</w:t>
      </w:r>
      <w:r>
        <w:rPr>
          <w:rFonts w:ascii="Times New Roman" w:hAnsi="Times New Roman"/>
          <w:sz w:val="24"/>
        </w:rPr>
        <w:t>按时保质完成。</w:t>
      </w:r>
    </w:p>
    <w:p w14:paraId="586363EB" w14:textId="77777777" w:rsidR="00B40388" w:rsidRDefault="00000000">
      <w:pPr>
        <w:spacing w:beforeLines="50" w:before="156" w:afterLines="50" w:after="156"/>
        <w:jc w:val="left"/>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t>二、规范编制的必要性</w:t>
      </w:r>
    </w:p>
    <w:p w14:paraId="36E7BF69" w14:textId="77777777" w:rsidR="00B40388" w:rsidRDefault="00000000">
      <w:pPr>
        <w:ind w:firstLineChars="200" w:firstLine="480"/>
        <w:rPr>
          <w:rFonts w:ascii="Times New Roman" w:hAnsi="Times New Roman" w:cs="Times New Roman"/>
          <w:sz w:val="24"/>
        </w:rPr>
      </w:pPr>
      <w:r>
        <w:rPr>
          <w:rFonts w:ascii="Times New Roman" w:hAnsi="Times New Roman" w:cs="Times New Roman" w:hint="eastAsia"/>
          <w:sz w:val="24"/>
        </w:rPr>
        <w:t>绿色低碳、循环发展是经济社会实现高质量发展的必由之路，打赢低碳转型攻坚战，争取早日</w:t>
      </w:r>
      <w:proofErr w:type="gramStart"/>
      <w:r>
        <w:rPr>
          <w:rFonts w:ascii="Times New Roman" w:hAnsi="Times New Roman" w:cs="Times New Roman" w:hint="eastAsia"/>
          <w:sz w:val="24"/>
        </w:rPr>
        <w:t>实现碳达峰</w:t>
      </w:r>
      <w:proofErr w:type="gramEnd"/>
      <w:r>
        <w:rPr>
          <w:rFonts w:ascii="Times New Roman" w:hAnsi="Times New Roman" w:cs="Times New Roman" w:hint="eastAsia"/>
          <w:sz w:val="24"/>
        </w:rPr>
        <w:t>、碳中和是事关中华民族永续发展的关键一步。在新发展形势下，各行各业积极推进能源绿色低碳转型，建立健全能源监测评价机制并取得了明显成效。</w:t>
      </w:r>
    </w:p>
    <w:p w14:paraId="37AA09F5" w14:textId="77777777" w:rsidR="00B40388" w:rsidRDefault="00000000">
      <w:pPr>
        <w:ind w:firstLineChars="200" w:firstLine="480"/>
        <w:rPr>
          <w:rFonts w:ascii="Times New Roman" w:hAnsi="Times New Roman" w:cs="Times New Roman"/>
          <w:sz w:val="24"/>
        </w:rPr>
      </w:pPr>
      <w:proofErr w:type="gramStart"/>
      <w:r>
        <w:rPr>
          <w:rFonts w:ascii="Times New Roman" w:hAnsi="Times New Roman" w:cs="Times New Roman" w:hint="eastAsia"/>
          <w:sz w:val="24"/>
        </w:rPr>
        <w:t>国家发改委</w:t>
      </w:r>
      <w:proofErr w:type="gramEnd"/>
      <w:r>
        <w:rPr>
          <w:rFonts w:ascii="Times New Roman" w:hAnsi="Times New Roman" w:cs="Times New Roman" w:hint="eastAsia"/>
          <w:sz w:val="24"/>
        </w:rPr>
        <w:t>、能源局在《关于完善能源绿色低碳转型体制机制和政策措施的意见》中强调，要推进供热计量改革和供热设施智能化建设。热量表作为供热计量的核心组件，承担着保障供热收费公平合理、确保供热调控数据准确可靠的重要任务。</w:t>
      </w:r>
    </w:p>
    <w:p w14:paraId="14D2D86C" w14:textId="77777777" w:rsidR="00B40388" w:rsidRDefault="00000000">
      <w:pPr>
        <w:ind w:firstLineChars="200" w:firstLine="480"/>
        <w:rPr>
          <w:rFonts w:ascii="Times New Roman" w:hAnsi="Times New Roman" w:cs="Times New Roman"/>
          <w:sz w:val="24"/>
        </w:rPr>
      </w:pPr>
      <w:r>
        <w:rPr>
          <w:rFonts w:ascii="Times New Roman" w:hAnsi="Times New Roman" w:cs="Times New Roman" w:hint="eastAsia"/>
          <w:sz w:val="24"/>
        </w:rPr>
        <w:t>然而现有的热量表周期计量模式面临着一系列困难和挑战，第一，将热量表表体挨家挨户进行拆卸再送至实验室检定，需要耗费巨大的人力物力与时间成本；第二，热量表拆装时易造成损坏，即使送至实验室检测合格后，在返回现场的运输和安装过程中也极有可能出现二次损坏；最重要的一点，现有热量表周期计量模式需要用热客户的全程支持与配合，然而现实中存在各方面的阻力，导致热力公司送检意愿低下，进而致使相当一部分已安装热量表常年未开展周期性检定，计量数据的准确性难以得到有效保证。</w:t>
      </w:r>
    </w:p>
    <w:p w14:paraId="27674A95" w14:textId="77777777" w:rsidR="00B40388" w:rsidRDefault="00000000">
      <w:pPr>
        <w:ind w:firstLineChars="200" w:firstLine="480"/>
        <w:rPr>
          <w:rFonts w:ascii="Times New Roman" w:hAnsi="Times New Roman" w:cs="Times New Roman"/>
          <w:sz w:val="24"/>
        </w:rPr>
      </w:pPr>
      <w:r>
        <w:rPr>
          <w:rFonts w:ascii="Times New Roman" w:hAnsi="Times New Roman" w:cs="Times New Roman" w:hint="eastAsia"/>
          <w:sz w:val="24"/>
        </w:rPr>
        <w:t>为解决热量表周期计量遇到的这些问题，本规范通过利用现代网络通讯技术与仪表现场检测技术，建设热量表在线校准及核查系统。相较于拆装送检模式，在线校准及核查模式可高效、准确地完成检测任务，避免了费时费力的仪表拆装和送检过程，有力地降低了检测成本、提高了检测效率；此外，远程检测过程中无需用户参与，实施便捷快速，对用户的正常生活几乎无影响。</w:t>
      </w:r>
    </w:p>
    <w:p w14:paraId="6450002C" w14:textId="77777777" w:rsidR="00B40388" w:rsidRDefault="00000000">
      <w:pPr>
        <w:ind w:firstLineChars="200" w:firstLine="480"/>
        <w:rPr>
          <w:rFonts w:ascii="Times New Roman" w:hAnsi="Times New Roman" w:cs="Times New Roman"/>
          <w:sz w:val="24"/>
        </w:rPr>
      </w:pPr>
      <w:r>
        <w:rPr>
          <w:rFonts w:ascii="Times New Roman" w:hAnsi="Times New Roman" w:cs="Times New Roman" w:hint="eastAsia"/>
          <w:sz w:val="24"/>
        </w:rPr>
        <w:t>通过制定热量表远程在线核查技术规范，指导热量</w:t>
      </w:r>
      <w:proofErr w:type="gramStart"/>
      <w:r>
        <w:rPr>
          <w:rFonts w:ascii="Times New Roman" w:hAnsi="Times New Roman" w:cs="Times New Roman" w:hint="eastAsia"/>
          <w:sz w:val="24"/>
        </w:rPr>
        <w:t>表生产</w:t>
      </w:r>
      <w:proofErr w:type="gramEnd"/>
      <w:r>
        <w:rPr>
          <w:rFonts w:ascii="Times New Roman" w:hAnsi="Times New Roman" w:cs="Times New Roman" w:hint="eastAsia"/>
          <w:sz w:val="24"/>
        </w:rPr>
        <w:t>企业、检定机构以及热量表的用户热力供暖公司对热量</w:t>
      </w:r>
      <w:proofErr w:type="gramStart"/>
      <w:r>
        <w:rPr>
          <w:rFonts w:ascii="Times New Roman" w:hAnsi="Times New Roman" w:cs="Times New Roman" w:hint="eastAsia"/>
          <w:sz w:val="24"/>
        </w:rPr>
        <w:t>表开展</w:t>
      </w:r>
      <w:proofErr w:type="gramEnd"/>
      <w:r>
        <w:rPr>
          <w:rFonts w:ascii="Times New Roman" w:hAnsi="Times New Roman" w:cs="Times New Roman" w:hint="eastAsia"/>
          <w:sz w:val="24"/>
        </w:rPr>
        <w:t>远程在线核查，确保其计量数据的准确可靠，可进一步为热力公司施行精准的水力平衡调控、节能降耗、故障排查等提供高质量的数据支撑，具有相当重要的社会意义和巨大的经济价值</w:t>
      </w:r>
      <w:r>
        <w:rPr>
          <w:rFonts w:ascii="Times New Roman" w:hAnsi="Times New Roman" w:cs="Times New Roman"/>
          <w:sz w:val="24"/>
        </w:rPr>
        <w:t>。</w:t>
      </w:r>
      <w:r>
        <w:rPr>
          <w:rFonts w:ascii="Times New Roman" w:hAnsi="Times New Roman" w:cs="Times New Roman" w:hint="eastAsia"/>
          <w:sz w:val="24"/>
        </w:rPr>
        <w:t>因此，制定本规范是十分有必要的。</w:t>
      </w:r>
    </w:p>
    <w:p w14:paraId="47B7AE37" w14:textId="77777777" w:rsidR="00B40388" w:rsidRDefault="00000000">
      <w:pPr>
        <w:spacing w:beforeLines="50" w:before="156" w:afterLines="50" w:after="156"/>
        <w:jc w:val="left"/>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lang w:bidi="ar"/>
        </w:rPr>
        <w:lastRenderedPageBreak/>
        <w:t>三、规范编制的技术依据及主要原则</w:t>
      </w:r>
    </w:p>
    <w:p w14:paraId="6CA35011" w14:textId="77777777" w:rsidR="00B40388" w:rsidRDefault="00000000">
      <w:pPr>
        <w:pStyle w:val="a8"/>
        <w:numPr>
          <w:ilvl w:val="0"/>
          <w:numId w:val="1"/>
        </w:numPr>
        <w:ind w:firstLineChars="0" w:firstLine="0"/>
        <w:jc w:val="left"/>
        <w:rPr>
          <w:rFonts w:ascii="Times New Roman" w:hAnsi="Times New Roman" w:cs="Times New Roman"/>
          <w:color w:val="000000"/>
          <w:kern w:val="0"/>
          <w:sz w:val="24"/>
          <w:lang w:bidi="ar"/>
        </w:rPr>
      </w:pPr>
      <w:r>
        <w:rPr>
          <w:rFonts w:ascii="Times New Roman" w:hAnsi="Times New Roman" w:cs="Times New Roman" w:hint="eastAsia"/>
          <w:color w:val="000000"/>
          <w:kern w:val="0"/>
          <w:sz w:val="24"/>
          <w:lang w:bidi="ar"/>
        </w:rPr>
        <w:t>规范编制的主要</w:t>
      </w:r>
      <w:r>
        <w:rPr>
          <w:rFonts w:ascii="Times New Roman" w:hAnsi="Times New Roman" w:cs="Times New Roman"/>
          <w:color w:val="000000"/>
          <w:kern w:val="0"/>
          <w:sz w:val="24"/>
          <w:lang w:bidi="ar"/>
        </w:rPr>
        <w:t>技术依据</w:t>
      </w:r>
    </w:p>
    <w:p w14:paraId="5657D0DC" w14:textId="77777777" w:rsidR="00B40388" w:rsidRDefault="00000000">
      <w:pPr>
        <w:ind w:firstLine="480"/>
        <w:rPr>
          <w:rFonts w:ascii="Times New Roman" w:hAnsi="Times New Roman" w:cs="Times New Roman"/>
          <w:sz w:val="24"/>
        </w:rPr>
      </w:pPr>
      <w:r>
        <w:rPr>
          <w:rFonts w:ascii="Times New Roman" w:hAnsi="Times New Roman" w:cs="Times New Roman"/>
          <w:sz w:val="24"/>
        </w:rPr>
        <w:t>JJF 1017</w:t>
      </w:r>
      <w:r>
        <w:rPr>
          <w:rFonts w:ascii="Times New Roman" w:hAnsi="Times New Roman" w:cs="Times New Roman"/>
          <w:sz w:val="24"/>
        </w:rPr>
        <w:t>《国家计量校准规范编写规则》、</w:t>
      </w:r>
      <w:r>
        <w:rPr>
          <w:rFonts w:ascii="Times New Roman" w:hAnsi="Times New Roman" w:cs="Times New Roman"/>
          <w:sz w:val="24"/>
        </w:rPr>
        <w:t>JJF 1001</w:t>
      </w:r>
      <w:r>
        <w:rPr>
          <w:rFonts w:ascii="Times New Roman" w:hAnsi="Times New Roman" w:cs="Times New Roman"/>
          <w:sz w:val="24"/>
        </w:rPr>
        <w:t>《通用计量</w:t>
      </w:r>
      <w:r>
        <w:rPr>
          <w:rFonts w:cs="Times New Roman" w:hint="eastAsia"/>
          <w:sz w:val="24"/>
        </w:rPr>
        <w:t>术语</w:t>
      </w:r>
      <w:r>
        <w:rPr>
          <w:rFonts w:ascii="Times New Roman" w:hAnsi="Times New Roman" w:cs="Times New Roman"/>
          <w:sz w:val="24"/>
        </w:rPr>
        <w:t>及定义》、</w:t>
      </w:r>
      <w:r>
        <w:rPr>
          <w:rFonts w:ascii="Times New Roman" w:hAnsi="Times New Roman" w:cs="Times New Roman"/>
          <w:color w:val="000000"/>
          <w:kern w:val="0"/>
          <w:sz w:val="24"/>
          <w:lang w:bidi="ar"/>
        </w:rPr>
        <w:t>JJF 1004</w:t>
      </w:r>
      <w:r>
        <w:rPr>
          <w:rFonts w:ascii="Times New Roman" w:hAnsi="Times New Roman" w:cs="Times New Roman"/>
          <w:color w:val="000000"/>
          <w:kern w:val="0"/>
          <w:sz w:val="24"/>
          <w:lang w:bidi="ar"/>
        </w:rPr>
        <w:t>《流量计量名词术语及定义》</w:t>
      </w:r>
      <w:r>
        <w:rPr>
          <w:rFonts w:cs="Times New Roman" w:hint="eastAsia"/>
          <w:color w:val="000000"/>
          <w:kern w:val="0"/>
          <w:sz w:val="24"/>
          <w:lang w:bidi="ar"/>
        </w:rPr>
        <w:t>、</w:t>
      </w:r>
      <w:r>
        <w:rPr>
          <w:rFonts w:ascii="Times New Roman" w:hAnsi="Times New Roman" w:cs="Times New Roman"/>
          <w:sz w:val="24"/>
        </w:rPr>
        <w:t>JJF 1059.1</w:t>
      </w:r>
      <w:r>
        <w:rPr>
          <w:rFonts w:ascii="Times New Roman" w:hAnsi="Times New Roman" w:cs="Times New Roman"/>
          <w:sz w:val="24"/>
        </w:rPr>
        <w:t>《测量不确定度评定与表示》共同构成支撑本规范制订工作的基础性系列规范。</w:t>
      </w:r>
    </w:p>
    <w:p w14:paraId="486F197A" w14:textId="77777777" w:rsidR="00B40388" w:rsidRDefault="00000000">
      <w:pPr>
        <w:pStyle w:val="a8"/>
        <w:ind w:firstLine="480"/>
        <w:jc w:val="left"/>
        <w:rPr>
          <w:rFonts w:hAnsi="宋体"/>
          <w:sz w:val="24"/>
        </w:rPr>
      </w:pPr>
      <w:r>
        <w:rPr>
          <w:rFonts w:ascii="Times New Roman" w:hAnsi="Times New Roman" w:cs="Times New Roman" w:hint="eastAsia"/>
          <w:color w:val="000000"/>
          <w:kern w:val="0"/>
          <w:sz w:val="24"/>
          <w:lang w:bidi="ar"/>
        </w:rPr>
        <w:t>本规范</w:t>
      </w:r>
      <w:r>
        <w:rPr>
          <w:rFonts w:hAnsi="宋体" w:hint="eastAsia"/>
          <w:sz w:val="24"/>
        </w:rPr>
        <w:t>引用</w:t>
      </w:r>
      <w:r>
        <w:rPr>
          <w:rFonts w:hAnsi="宋体"/>
          <w:sz w:val="24"/>
        </w:rPr>
        <w:t>的主要技术文件有：</w:t>
      </w:r>
    </w:p>
    <w:p w14:paraId="25B85FE2" w14:textId="77777777" w:rsidR="00B40388" w:rsidRDefault="00000000">
      <w:pPr>
        <w:pStyle w:val="MT"/>
        <w:widowControl w:val="0"/>
        <w:spacing w:line="240" w:lineRule="auto"/>
        <w:ind w:firstLine="480"/>
        <w:jc w:val="both"/>
        <w:rPr>
          <w:rFonts w:cstheme="minorBidi"/>
          <w:szCs w:val="20"/>
        </w:rPr>
      </w:pPr>
      <w:r>
        <w:rPr>
          <w:rFonts w:cstheme="minorBidi"/>
          <w:szCs w:val="20"/>
        </w:rPr>
        <w:t xml:space="preserve">JJG 225 </w:t>
      </w:r>
      <w:r>
        <w:rPr>
          <w:rFonts w:cstheme="minorBidi" w:hint="eastAsia"/>
          <w:szCs w:val="20"/>
        </w:rPr>
        <w:t>热能表</w:t>
      </w:r>
    </w:p>
    <w:p w14:paraId="504E991B" w14:textId="77777777" w:rsidR="00B40388" w:rsidRDefault="00000000">
      <w:pPr>
        <w:pStyle w:val="MT"/>
        <w:widowControl w:val="0"/>
        <w:spacing w:line="240" w:lineRule="auto"/>
        <w:ind w:firstLine="480"/>
        <w:jc w:val="both"/>
        <w:rPr>
          <w:rFonts w:cstheme="minorBidi"/>
          <w:szCs w:val="20"/>
        </w:rPr>
      </w:pPr>
      <w:r>
        <w:rPr>
          <w:rFonts w:cstheme="minorBidi" w:hint="eastAsia"/>
          <w:szCs w:val="20"/>
        </w:rPr>
        <w:t xml:space="preserve">GB/T 32224 </w:t>
      </w:r>
      <w:r>
        <w:rPr>
          <w:rFonts w:cstheme="minorBidi" w:hint="eastAsia"/>
          <w:szCs w:val="20"/>
        </w:rPr>
        <w:t>热量表</w:t>
      </w:r>
      <w:r>
        <w:rPr>
          <w:rFonts w:cstheme="minorBidi"/>
          <w:szCs w:val="20"/>
        </w:rPr>
        <w:t xml:space="preserve"> </w:t>
      </w:r>
    </w:p>
    <w:p w14:paraId="5D1B536B" w14:textId="77777777" w:rsidR="00B40388" w:rsidRDefault="00000000">
      <w:pPr>
        <w:pStyle w:val="a8"/>
        <w:numPr>
          <w:ilvl w:val="0"/>
          <w:numId w:val="1"/>
        </w:numPr>
        <w:ind w:firstLineChars="0" w:firstLine="0"/>
        <w:jc w:val="left"/>
        <w:rPr>
          <w:rFonts w:ascii="Times New Roman" w:hAnsi="Times New Roman" w:cs="Times New Roman"/>
          <w:color w:val="000000"/>
          <w:kern w:val="0"/>
          <w:sz w:val="24"/>
          <w:lang w:bidi="ar"/>
        </w:rPr>
      </w:pPr>
      <w:r>
        <w:rPr>
          <w:rFonts w:ascii="Times New Roman" w:hAnsi="Times New Roman" w:cs="Times New Roman" w:hint="eastAsia"/>
          <w:color w:val="000000"/>
          <w:kern w:val="0"/>
          <w:sz w:val="24"/>
          <w:lang w:bidi="ar"/>
        </w:rPr>
        <w:t>规范制定的主要原则</w:t>
      </w:r>
    </w:p>
    <w:p w14:paraId="7C5C1B9D" w14:textId="77777777" w:rsidR="00B40388" w:rsidRDefault="00000000">
      <w:pPr>
        <w:pStyle w:val="a8"/>
        <w:ind w:firstLine="480"/>
        <w:jc w:val="left"/>
        <w:rPr>
          <w:rFonts w:ascii="Times New Roman" w:hAnsi="Times New Roman" w:cs="Times New Roman"/>
          <w:color w:val="000000"/>
          <w:kern w:val="0"/>
          <w:sz w:val="24"/>
          <w:lang w:bidi="ar"/>
        </w:rPr>
      </w:pPr>
      <w:r>
        <w:rPr>
          <w:rFonts w:ascii="Times New Roman" w:hAnsi="Times New Roman" w:cs="Times New Roman" w:hint="eastAsia"/>
          <w:color w:val="000000"/>
          <w:kern w:val="0"/>
          <w:sz w:val="24"/>
          <w:lang w:bidi="ar"/>
        </w:rPr>
        <w:t>与现行国际国内标准和文件保持一致，结合热量表使用现状确定技术指标和核查方法，</w:t>
      </w:r>
      <w:r>
        <w:rPr>
          <w:rFonts w:asciiTheme="minorEastAsia" w:hAnsiTheme="minorEastAsia" w:cs="黑体" w:hint="eastAsia"/>
          <w:color w:val="000000"/>
          <w:kern w:val="0"/>
          <w:sz w:val="24"/>
          <w:lang w:bidi="ar"/>
        </w:rPr>
        <w:t>使之科学、合理、可行。</w:t>
      </w:r>
    </w:p>
    <w:p w14:paraId="749C5DE1" w14:textId="77777777" w:rsidR="00B40388" w:rsidRDefault="00000000">
      <w:pPr>
        <w:spacing w:beforeLines="50" w:before="156" w:afterLines="50" w:after="156"/>
        <w:jc w:val="left"/>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highlight w:val="lightGray"/>
          <w:lang w:bidi="ar"/>
        </w:rPr>
        <w:t>四</w:t>
      </w:r>
      <w:r>
        <w:rPr>
          <w:rFonts w:ascii="黑体" w:eastAsia="黑体" w:hAnsi="黑体" w:cs="黑体" w:hint="eastAsia"/>
          <w:color w:val="000000"/>
          <w:kern w:val="0"/>
          <w:sz w:val="28"/>
          <w:szCs w:val="28"/>
          <w:lang w:bidi="ar"/>
        </w:rPr>
        <w:t>、规范编制过程</w:t>
      </w:r>
    </w:p>
    <w:p w14:paraId="29351465" w14:textId="77777777" w:rsidR="00B40388" w:rsidRDefault="00000000">
      <w:pPr>
        <w:ind w:firstLineChars="100" w:firstLine="240"/>
        <w:rPr>
          <w:rFonts w:ascii="黑体" w:eastAsia="黑体" w:hAnsi="黑体"/>
          <w:sz w:val="24"/>
        </w:rPr>
      </w:pPr>
      <w:r>
        <w:rPr>
          <w:rFonts w:ascii="黑体" w:eastAsia="黑体" w:hAnsi="黑体" w:hint="eastAsia"/>
          <w:sz w:val="24"/>
        </w:rPr>
        <w:t>第一阶段：起草工作和试验验证阶段</w:t>
      </w:r>
      <w:r>
        <w:rPr>
          <w:rFonts w:ascii="黑体" w:eastAsia="黑体" w:hAnsi="黑体"/>
          <w:sz w:val="24"/>
        </w:rPr>
        <w:t xml:space="preserve"> </w:t>
      </w:r>
    </w:p>
    <w:p w14:paraId="745C3956" w14:textId="77777777" w:rsidR="00B40388" w:rsidRDefault="00000000">
      <w:pPr>
        <w:ind w:firstLineChars="200" w:firstLine="480"/>
        <w:rPr>
          <w:rFonts w:ascii="Times New Roman" w:hAnsi="Times New Roman" w:cs="Times New Roman"/>
          <w:sz w:val="24"/>
        </w:rPr>
      </w:pPr>
      <w:r>
        <w:rPr>
          <w:rFonts w:ascii="Times New Roman" w:hAnsi="Times New Roman" w:cs="Times New Roman"/>
          <w:sz w:val="24"/>
        </w:rPr>
        <w:t>1.2022</w:t>
      </w:r>
      <w:r>
        <w:rPr>
          <w:rFonts w:ascii="Times New Roman" w:hAnsi="Times New Roman" w:cs="Times New Roman"/>
          <w:sz w:val="24"/>
        </w:rPr>
        <w:t>年</w:t>
      </w:r>
      <w:r>
        <w:rPr>
          <w:rFonts w:ascii="Times New Roman" w:hAnsi="Times New Roman" w:cs="Times New Roman"/>
          <w:sz w:val="24"/>
        </w:rPr>
        <w:t>6</w:t>
      </w:r>
      <w:r>
        <w:rPr>
          <w:rFonts w:ascii="Times New Roman" w:hAnsi="Times New Roman" w:cs="Times New Roman"/>
          <w:sz w:val="24"/>
        </w:rPr>
        <w:t>月任务下达，在经过前期调研与讨论后，本规范承担起草单位中国计量科学研究院成立了规范起草组；</w:t>
      </w:r>
    </w:p>
    <w:p w14:paraId="11107F7F" w14:textId="77777777" w:rsidR="00B40388" w:rsidRDefault="00000000">
      <w:pPr>
        <w:ind w:firstLineChars="200" w:firstLine="480"/>
        <w:rPr>
          <w:rFonts w:ascii="Times New Roman" w:hAnsi="Times New Roman" w:cs="Times New Roman"/>
          <w:color w:val="000000"/>
          <w:kern w:val="0"/>
          <w:sz w:val="24"/>
          <w:lang w:bidi="ar"/>
        </w:rPr>
      </w:pPr>
      <w:r>
        <w:rPr>
          <w:rFonts w:ascii="Times New Roman" w:hAnsi="Times New Roman" w:cs="Times New Roman"/>
          <w:sz w:val="24"/>
        </w:rPr>
        <w:t>2.</w:t>
      </w:r>
      <w:r>
        <w:rPr>
          <w:rFonts w:ascii="Times New Roman" w:hAnsi="Times New Roman" w:cs="Times New Roman"/>
          <w:sz w:val="24"/>
        </w:rPr>
        <w:t>接到任务后，起草小组成员在多年准备的基础上，对已收集到的资料重新进行了学习和讨论</w:t>
      </w:r>
      <w:r>
        <w:rPr>
          <w:rFonts w:ascii="Times New Roman" w:hAnsi="Times New Roman" w:cs="Times New Roman"/>
          <w:color w:val="000000"/>
          <w:kern w:val="0"/>
          <w:sz w:val="24"/>
          <w:lang w:bidi="ar"/>
        </w:rPr>
        <w:t>，对规范的制定的工作内容和技术路线进行了深入细致的交流。规范的制定任务虽然是国家市场监督管理总局</w:t>
      </w:r>
      <w:r>
        <w:rPr>
          <w:rFonts w:ascii="Times New Roman" w:hAnsi="Times New Roman" w:cs="Times New Roman"/>
          <w:color w:val="000000"/>
          <w:kern w:val="0"/>
          <w:sz w:val="24"/>
          <w:lang w:bidi="ar"/>
        </w:rPr>
        <w:t>2022</w:t>
      </w:r>
      <w:r>
        <w:rPr>
          <w:rFonts w:ascii="Times New Roman" w:hAnsi="Times New Roman" w:cs="Times New Roman"/>
          <w:color w:val="000000"/>
          <w:kern w:val="0"/>
          <w:sz w:val="24"/>
          <w:lang w:bidi="ar"/>
        </w:rPr>
        <w:t>年</w:t>
      </w:r>
      <w:r>
        <w:rPr>
          <w:rFonts w:ascii="Times New Roman" w:hAnsi="Times New Roman" w:cs="Times New Roman"/>
          <w:color w:val="000000"/>
          <w:kern w:val="0"/>
          <w:sz w:val="24"/>
          <w:lang w:bidi="ar"/>
        </w:rPr>
        <w:t>6</w:t>
      </w:r>
      <w:r>
        <w:rPr>
          <w:rFonts w:ascii="Times New Roman" w:hAnsi="Times New Roman" w:cs="Times New Roman"/>
          <w:color w:val="000000"/>
          <w:kern w:val="0"/>
          <w:sz w:val="24"/>
          <w:lang w:bidi="ar"/>
        </w:rPr>
        <w:t>月下达的，但在这之前，起草小组主要成员对热量表远程在线核查已经积累了大量的试验数据，包括在</w:t>
      </w:r>
      <w:r>
        <w:rPr>
          <w:rFonts w:ascii="Times New Roman" w:hAnsi="Times New Roman" w:cs="Times New Roman"/>
          <w:color w:val="000000"/>
          <w:kern w:val="0"/>
          <w:sz w:val="24"/>
          <w:lang w:bidi="ar"/>
        </w:rPr>
        <w:t>2020-2021</w:t>
      </w:r>
      <w:r>
        <w:rPr>
          <w:rFonts w:ascii="Times New Roman" w:hAnsi="Times New Roman" w:cs="Times New Roman"/>
          <w:color w:val="000000"/>
          <w:kern w:val="0"/>
          <w:sz w:val="24"/>
          <w:lang w:bidi="ar"/>
        </w:rPr>
        <w:t>两年的供暖季，分别采用启停法和瞬时流量发对选定小区户用热量</w:t>
      </w:r>
      <w:proofErr w:type="gramStart"/>
      <w:r>
        <w:rPr>
          <w:rFonts w:ascii="Times New Roman" w:hAnsi="Times New Roman" w:cs="Times New Roman"/>
          <w:color w:val="000000"/>
          <w:kern w:val="0"/>
          <w:sz w:val="24"/>
          <w:lang w:bidi="ar"/>
        </w:rPr>
        <w:t>表实现</w:t>
      </w:r>
      <w:proofErr w:type="gramEnd"/>
      <w:r>
        <w:rPr>
          <w:rFonts w:ascii="Times New Roman" w:hAnsi="Times New Roman" w:cs="Times New Roman"/>
          <w:color w:val="000000"/>
          <w:kern w:val="0"/>
          <w:sz w:val="24"/>
          <w:lang w:bidi="ar"/>
        </w:rPr>
        <w:t>了远程在线核查试验，完成试验数据分析及不确定度评定后，并于在</w:t>
      </w:r>
      <w:r>
        <w:rPr>
          <w:rFonts w:ascii="Times New Roman" w:hAnsi="Times New Roman" w:cs="Times New Roman"/>
          <w:color w:val="000000"/>
          <w:kern w:val="0"/>
          <w:sz w:val="24"/>
          <w:lang w:bidi="ar"/>
        </w:rPr>
        <w:t>2022</w:t>
      </w:r>
      <w:r>
        <w:rPr>
          <w:rFonts w:ascii="Times New Roman" w:hAnsi="Times New Roman" w:cs="Times New Roman"/>
          <w:color w:val="000000"/>
          <w:kern w:val="0"/>
          <w:sz w:val="24"/>
          <w:lang w:bidi="ar"/>
        </w:rPr>
        <w:t>年初完成了规范草稿。</w:t>
      </w:r>
    </w:p>
    <w:p w14:paraId="613E1DA4" w14:textId="77777777" w:rsidR="00B40388" w:rsidRDefault="00000000">
      <w:pPr>
        <w:ind w:firstLineChars="200" w:firstLine="480"/>
        <w:rPr>
          <w:rFonts w:ascii="Times New Roman" w:hAnsi="Times New Roman" w:cs="Times New Roman"/>
          <w:color w:val="000000"/>
          <w:kern w:val="0"/>
          <w:sz w:val="24"/>
          <w:lang w:bidi="ar"/>
        </w:rPr>
      </w:pPr>
      <w:r>
        <w:rPr>
          <w:rFonts w:ascii="Times New Roman" w:hAnsi="Times New Roman" w:cs="Times New Roman"/>
          <w:color w:val="000000"/>
          <w:kern w:val="0"/>
          <w:sz w:val="24"/>
          <w:lang w:bidi="ar"/>
        </w:rPr>
        <w:t>3.2023</w:t>
      </w:r>
      <w:r>
        <w:rPr>
          <w:rFonts w:ascii="Times New Roman" w:hAnsi="Times New Roman" w:cs="Times New Roman"/>
          <w:color w:val="000000"/>
          <w:kern w:val="0"/>
          <w:sz w:val="24"/>
          <w:lang w:bidi="ar"/>
        </w:rPr>
        <w:t>年</w:t>
      </w:r>
      <w:r>
        <w:rPr>
          <w:rFonts w:ascii="Times New Roman" w:hAnsi="Times New Roman" w:cs="Times New Roman"/>
          <w:color w:val="000000"/>
          <w:kern w:val="0"/>
          <w:sz w:val="24"/>
          <w:lang w:bidi="ar"/>
        </w:rPr>
        <w:t>3</w:t>
      </w:r>
      <w:r>
        <w:rPr>
          <w:rFonts w:ascii="Times New Roman" w:hAnsi="Times New Roman" w:cs="Times New Roman"/>
          <w:color w:val="000000"/>
          <w:kern w:val="0"/>
          <w:sz w:val="24"/>
          <w:lang w:bidi="ar"/>
        </w:rPr>
        <w:t>月至</w:t>
      </w:r>
      <w:r>
        <w:rPr>
          <w:rFonts w:ascii="Times New Roman" w:hAnsi="Times New Roman" w:cs="Times New Roman"/>
          <w:color w:val="000000"/>
          <w:kern w:val="0"/>
          <w:sz w:val="24"/>
          <w:lang w:bidi="ar"/>
        </w:rPr>
        <w:t>10</w:t>
      </w:r>
      <w:r>
        <w:rPr>
          <w:rFonts w:ascii="Times New Roman" w:hAnsi="Times New Roman" w:cs="Times New Roman"/>
          <w:color w:val="000000"/>
          <w:kern w:val="0"/>
          <w:sz w:val="24"/>
          <w:lang w:bidi="ar"/>
        </w:rPr>
        <w:t>月，起草组开展了进一步的调研、实验验证和编写工作，形成了规范初稿</w:t>
      </w:r>
      <w:r>
        <w:rPr>
          <w:rFonts w:ascii="Times New Roman" w:hAnsi="Times New Roman" w:cs="Times New Roman"/>
          <w:color w:val="000000"/>
          <w:kern w:val="0"/>
          <w:sz w:val="24"/>
          <w:lang w:bidi="ar"/>
        </w:rPr>
        <w:t>V1.0</w:t>
      </w:r>
      <w:r>
        <w:rPr>
          <w:rFonts w:ascii="Times New Roman" w:hAnsi="Times New Roman" w:cs="Times New Roman"/>
          <w:color w:val="000000"/>
          <w:kern w:val="0"/>
          <w:sz w:val="24"/>
          <w:lang w:bidi="ar"/>
        </w:rPr>
        <w:t>版；</w:t>
      </w:r>
    </w:p>
    <w:p w14:paraId="40F7EA4D" w14:textId="77777777" w:rsidR="00B40388" w:rsidRDefault="00000000">
      <w:pPr>
        <w:ind w:firstLineChars="200" w:firstLine="480"/>
        <w:rPr>
          <w:rFonts w:ascii="Times New Roman" w:hAnsi="Times New Roman" w:cs="Times New Roman"/>
          <w:color w:val="000000"/>
          <w:kern w:val="0"/>
          <w:sz w:val="24"/>
          <w:lang w:bidi="ar"/>
        </w:rPr>
      </w:pPr>
      <w:r>
        <w:rPr>
          <w:rFonts w:ascii="Times New Roman" w:hAnsi="Times New Roman" w:cs="Times New Roman"/>
          <w:sz w:val="24"/>
        </w:rPr>
        <w:t>4.2024</w:t>
      </w:r>
      <w:r>
        <w:rPr>
          <w:rFonts w:ascii="Times New Roman" w:hAnsi="Times New Roman" w:cs="Times New Roman"/>
          <w:sz w:val="24"/>
        </w:rPr>
        <w:t>年</w:t>
      </w:r>
      <w:r>
        <w:rPr>
          <w:rFonts w:ascii="Times New Roman" w:hAnsi="Times New Roman" w:cs="Times New Roman"/>
          <w:sz w:val="24"/>
        </w:rPr>
        <w:t>1</w:t>
      </w:r>
      <w:r>
        <w:rPr>
          <w:rFonts w:ascii="Times New Roman" w:hAnsi="Times New Roman" w:cs="Times New Roman"/>
          <w:sz w:val="24"/>
        </w:rPr>
        <w:t>月</w:t>
      </w:r>
      <w:r>
        <w:rPr>
          <w:rFonts w:ascii="Times New Roman" w:hAnsi="Times New Roman" w:cs="Times New Roman"/>
          <w:sz w:val="24"/>
        </w:rPr>
        <w:t>2</w:t>
      </w:r>
      <w:r>
        <w:rPr>
          <w:rFonts w:ascii="Times New Roman" w:hAnsi="Times New Roman" w:cs="Times New Roman"/>
          <w:sz w:val="24"/>
        </w:rPr>
        <w:t>日，起草小组</w:t>
      </w:r>
      <w:proofErr w:type="gramStart"/>
      <w:r>
        <w:rPr>
          <w:rFonts w:ascii="Times New Roman" w:hAnsi="Times New Roman" w:cs="Times New Roman"/>
          <w:sz w:val="24"/>
        </w:rPr>
        <w:t>以腾讯</w:t>
      </w:r>
      <w:proofErr w:type="gramEnd"/>
      <w:r>
        <w:rPr>
          <w:rFonts w:ascii="Times New Roman" w:hAnsi="Times New Roman" w:cs="Times New Roman"/>
          <w:sz w:val="24"/>
        </w:rPr>
        <w:t>会议的形式召开了小组线上讨论会，在全体成员充分讨论的基础上，对初稿进行了讨论并提出了修改意见，针对修改意见进行修改后，形成</w:t>
      </w:r>
      <w:r>
        <w:rPr>
          <w:rFonts w:ascii="Times New Roman" w:hAnsi="Times New Roman" w:cs="Times New Roman"/>
          <w:color w:val="000000"/>
          <w:kern w:val="0"/>
          <w:sz w:val="24"/>
          <w:lang w:bidi="ar"/>
        </w:rPr>
        <w:t>初稿</w:t>
      </w:r>
      <w:r>
        <w:rPr>
          <w:rFonts w:ascii="Times New Roman" w:hAnsi="Times New Roman" w:cs="Times New Roman"/>
          <w:color w:val="000000"/>
          <w:kern w:val="0"/>
          <w:sz w:val="24"/>
          <w:lang w:bidi="ar"/>
        </w:rPr>
        <w:t>V2.0</w:t>
      </w:r>
      <w:r>
        <w:rPr>
          <w:rFonts w:ascii="Times New Roman" w:hAnsi="Times New Roman" w:cs="Times New Roman"/>
          <w:color w:val="000000"/>
          <w:kern w:val="0"/>
          <w:sz w:val="24"/>
          <w:lang w:bidi="ar"/>
        </w:rPr>
        <w:t>版</w:t>
      </w:r>
      <w:r>
        <w:rPr>
          <w:rFonts w:ascii="Times New Roman" w:hAnsi="Times New Roman" w:cs="Times New Roman"/>
          <w:sz w:val="24"/>
        </w:rPr>
        <w:t>。</w:t>
      </w:r>
      <w:r>
        <w:rPr>
          <w:rFonts w:ascii="Times New Roman" w:hAnsi="Times New Roman" w:cs="Times New Roman"/>
          <w:color w:val="000000"/>
          <w:kern w:val="0"/>
          <w:sz w:val="24"/>
          <w:lang w:bidi="ar"/>
        </w:rPr>
        <w:t>；</w:t>
      </w:r>
    </w:p>
    <w:p w14:paraId="01E46A89" w14:textId="77777777" w:rsidR="00B40388" w:rsidRDefault="00000000">
      <w:pPr>
        <w:ind w:firstLineChars="200" w:firstLine="480"/>
        <w:rPr>
          <w:rFonts w:ascii="Times New Roman" w:hAnsi="Times New Roman" w:cs="Times New Roman"/>
          <w:color w:val="000000"/>
          <w:kern w:val="0"/>
          <w:sz w:val="24"/>
          <w:lang w:bidi="ar"/>
        </w:rPr>
      </w:pPr>
      <w:r>
        <w:rPr>
          <w:rFonts w:ascii="Times New Roman" w:hAnsi="Times New Roman" w:cs="Times New Roman"/>
          <w:color w:val="000000"/>
          <w:kern w:val="0"/>
          <w:sz w:val="24"/>
          <w:lang w:bidi="ar"/>
        </w:rPr>
        <w:t>5.2024</w:t>
      </w:r>
      <w:r>
        <w:rPr>
          <w:rFonts w:ascii="Times New Roman" w:hAnsi="Times New Roman" w:cs="Times New Roman"/>
          <w:color w:val="000000"/>
          <w:kern w:val="0"/>
          <w:sz w:val="24"/>
          <w:lang w:bidi="ar"/>
        </w:rPr>
        <w:t>年</w:t>
      </w:r>
      <w:r>
        <w:rPr>
          <w:rFonts w:ascii="Times New Roman" w:hAnsi="Times New Roman" w:cs="Times New Roman"/>
          <w:color w:val="000000"/>
          <w:kern w:val="0"/>
          <w:sz w:val="24"/>
          <w:lang w:bidi="ar"/>
        </w:rPr>
        <w:t>2</w:t>
      </w:r>
      <w:r>
        <w:rPr>
          <w:rFonts w:ascii="Times New Roman" w:hAnsi="Times New Roman" w:cs="Times New Roman"/>
          <w:color w:val="000000"/>
          <w:kern w:val="0"/>
          <w:sz w:val="24"/>
          <w:lang w:bidi="ar"/>
        </w:rPr>
        <w:t>月</w:t>
      </w:r>
      <w:r>
        <w:rPr>
          <w:rFonts w:ascii="Times New Roman" w:hAnsi="Times New Roman" w:cs="Times New Roman"/>
          <w:color w:val="000000"/>
          <w:kern w:val="0"/>
          <w:sz w:val="24"/>
          <w:lang w:bidi="ar"/>
        </w:rPr>
        <w:t>21</w:t>
      </w:r>
      <w:r>
        <w:rPr>
          <w:rFonts w:ascii="Times New Roman" w:hAnsi="Times New Roman" w:cs="Times New Roman"/>
          <w:color w:val="000000"/>
          <w:kern w:val="0"/>
          <w:sz w:val="24"/>
          <w:lang w:bidi="ar"/>
        </w:rPr>
        <w:t>日</w:t>
      </w:r>
      <w:r>
        <w:rPr>
          <w:rFonts w:ascii="Times New Roman" w:hAnsi="Times New Roman" w:cs="Times New Roman"/>
          <w:sz w:val="24"/>
        </w:rPr>
        <w:t>起草小组</w:t>
      </w:r>
      <w:proofErr w:type="gramStart"/>
      <w:r>
        <w:rPr>
          <w:rFonts w:ascii="Times New Roman" w:hAnsi="Times New Roman" w:cs="Times New Roman"/>
          <w:sz w:val="24"/>
        </w:rPr>
        <w:t>以腾讯</w:t>
      </w:r>
      <w:proofErr w:type="gramEnd"/>
      <w:r>
        <w:rPr>
          <w:rFonts w:ascii="Times New Roman" w:hAnsi="Times New Roman" w:cs="Times New Roman"/>
          <w:sz w:val="24"/>
        </w:rPr>
        <w:t>会议的形式召开了小组线上讨论会</w:t>
      </w:r>
      <w:r>
        <w:rPr>
          <w:rFonts w:ascii="Times New Roman" w:hAnsi="Times New Roman" w:cs="Times New Roman"/>
          <w:color w:val="000000"/>
          <w:kern w:val="0"/>
          <w:sz w:val="24"/>
          <w:lang w:bidi="ar"/>
        </w:rPr>
        <w:t>，就规范应包含的内容、主要技术指标等问题进行了讨论，对下阶段工作进行了分工，其中对热量表温差误差远程在线核查试验进行了工作部署，以天罡公司供热软件平台上热量表进出水温差历史数据为基础，创新性提出了以核查温差误差的方式对热量表配对温度传感器进行评估；</w:t>
      </w:r>
    </w:p>
    <w:p w14:paraId="1AD71C4E" w14:textId="77777777" w:rsidR="00B40388" w:rsidRDefault="00000000">
      <w:pPr>
        <w:ind w:firstLineChars="200" w:firstLine="480"/>
        <w:rPr>
          <w:rFonts w:ascii="Times New Roman" w:hAnsi="Times New Roman" w:cs="Times New Roman"/>
          <w:sz w:val="24"/>
        </w:rPr>
      </w:pPr>
      <w:r>
        <w:rPr>
          <w:rFonts w:ascii="Times New Roman" w:hAnsi="Times New Roman" w:cs="Times New Roman"/>
          <w:sz w:val="24"/>
        </w:rPr>
        <w:t>6.2024</w:t>
      </w:r>
      <w:r>
        <w:rPr>
          <w:rFonts w:ascii="Times New Roman" w:hAnsi="Times New Roman" w:cs="Times New Roman"/>
          <w:sz w:val="24"/>
        </w:rPr>
        <w:t>年</w:t>
      </w:r>
      <w:r>
        <w:rPr>
          <w:rFonts w:ascii="Times New Roman" w:hAnsi="Times New Roman" w:cs="Times New Roman"/>
          <w:sz w:val="24"/>
        </w:rPr>
        <w:t>5</w:t>
      </w:r>
      <w:r>
        <w:rPr>
          <w:rFonts w:ascii="Times New Roman" w:hAnsi="Times New Roman" w:cs="Times New Roman"/>
          <w:sz w:val="24"/>
        </w:rPr>
        <w:t>月</w:t>
      </w:r>
      <w:r>
        <w:rPr>
          <w:rFonts w:ascii="Times New Roman" w:hAnsi="Times New Roman" w:cs="Times New Roman"/>
          <w:sz w:val="24"/>
        </w:rPr>
        <w:t>21</w:t>
      </w:r>
      <w:r>
        <w:rPr>
          <w:rFonts w:ascii="Times New Roman" w:hAnsi="Times New Roman" w:cs="Times New Roman"/>
          <w:sz w:val="24"/>
        </w:rPr>
        <w:t>日，起草小组</w:t>
      </w:r>
      <w:proofErr w:type="gramStart"/>
      <w:r>
        <w:rPr>
          <w:rFonts w:ascii="Times New Roman" w:hAnsi="Times New Roman" w:cs="Times New Roman"/>
          <w:sz w:val="24"/>
        </w:rPr>
        <w:t>以腾讯</w:t>
      </w:r>
      <w:proofErr w:type="gramEnd"/>
      <w:r>
        <w:rPr>
          <w:rFonts w:ascii="Times New Roman" w:hAnsi="Times New Roman" w:cs="Times New Roman"/>
          <w:sz w:val="24"/>
        </w:rPr>
        <w:t>会议的形式召开了小组线上讨论会。会上较为充分的交换了意见，参编成员针对温差误差核查方式、核查前准备工作中管路系统和阀门系统密封性测试、规范架构的调整和远程在线核查系统和供热计量系统数据流</w:t>
      </w:r>
      <w:proofErr w:type="gramStart"/>
      <w:r>
        <w:rPr>
          <w:rFonts w:ascii="Times New Roman" w:hAnsi="Times New Roman" w:cs="Times New Roman"/>
          <w:sz w:val="24"/>
        </w:rPr>
        <w:t>交互等</w:t>
      </w:r>
      <w:proofErr w:type="gramEnd"/>
      <w:r>
        <w:rPr>
          <w:rFonts w:ascii="Times New Roman" w:hAnsi="Times New Roman" w:cs="Times New Roman"/>
          <w:sz w:val="24"/>
        </w:rPr>
        <w:t>关键部分进行讨论，根据讨论结果，进一步修改规范，推动形成规范初稿</w:t>
      </w:r>
      <w:r>
        <w:rPr>
          <w:rFonts w:ascii="Times New Roman" w:hAnsi="Times New Roman" w:cs="Times New Roman"/>
          <w:sz w:val="24"/>
        </w:rPr>
        <w:t>V3.0</w:t>
      </w:r>
      <w:r>
        <w:rPr>
          <w:rFonts w:ascii="Times New Roman" w:hAnsi="Times New Roman" w:cs="Times New Roman"/>
          <w:sz w:val="24"/>
        </w:rPr>
        <w:t>版；</w:t>
      </w:r>
    </w:p>
    <w:p w14:paraId="49658C71" w14:textId="77777777" w:rsidR="00B40388" w:rsidRDefault="00000000">
      <w:pPr>
        <w:ind w:firstLineChars="200" w:firstLine="480"/>
        <w:rPr>
          <w:rFonts w:ascii="Times New Roman" w:hAnsi="Times New Roman" w:cs="Times New Roman"/>
          <w:sz w:val="24"/>
        </w:rPr>
      </w:pPr>
      <w:r>
        <w:rPr>
          <w:rFonts w:ascii="Times New Roman" w:hAnsi="Times New Roman" w:cs="Times New Roman"/>
          <w:sz w:val="24"/>
        </w:rPr>
        <w:t>7.2024</w:t>
      </w:r>
      <w:r>
        <w:rPr>
          <w:rFonts w:ascii="Times New Roman" w:hAnsi="Times New Roman" w:cs="Times New Roman"/>
          <w:sz w:val="24"/>
        </w:rPr>
        <w:t>年</w:t>
      </w:r>
      <w:r>
        <w:rPr>
          <w:rFonts w:ascii="Times New Roman" w:hAnsi="Times New Roman" w:cs="Times New Roman"/>
          <w:sz w:val="24"/>
        </w:rPr>
        <w:t>6</w:t>
      </w:r>
      <w:r>
        <w:rPr>
          <w:rFonts w:ascii="Times New Roman" w:hAnsi="Times New Roman" w:cs="Times New Roman"/>
          <w:sz w:val="24"/>
        </w:rPr>
        <w:t>月</w:t>
      </w:r>
      <w:r>
        <w:rPr>
          <w:rFonts w:ascii="Times New Roman" w:hAnsi="Times New Roman" w:cs="Times New Roman"/>
          <w:sz w:val="24"/>
        </w:rPr>
        <w:t>11</w:t>
      </w:r>
      <w:r>
        <w:rPr>
          <w:rFonts w:ascii="Times New Roman" w:hAnsi="Times New Roman" w:cs="Times New Roman"/>
          <w:sz w:val="24"/>
        </w:rPr>
        <w:t>日，针对规范初稿</w:t>
      </w:r>
      <w:r>
        <w:rPr>
          <w:rFonts w:ascii="Times New Roman" w:hAnsi="Times New Roman" w:cs="Times New Roman"/>
          <w:sz w:val="24"/>
        </w:rPr>
        <w:t>V3.0</w:t>
      </w:r>
      <w:r>
        <w:rPr>
          <w:rFonts w:ascii="Times New Roman" w:hAnsi="Times New Roman" w:cs="Times New Roman"/>
          <w:sz w:val="24"/>
        </w:rPr>
        <w:t>版，起草组内部以</w:t>
      </w:r>
      <w:proofErr w:type="gramStart"/>
      <w:r>
        <w:rPr>
          <w:rFonts w:ascii="Times New Roman" w:hAnsi="Times New Roman" w:cs="Times New Roman"/>
          <w:sz w:val="24"/>
        </w:rPr>
        <w:t>群讨论</w:t>
      </w:r>
      <w:proofErr w:type="gramEnd"/>
      <w:r>
        <w:rPr>
          <w:rFonts w:ascii="Times New Roman" w:hAnsi="Times New Roman" w:cs="Times New Roman"/>
          <w:sz w:val="24"/>
        </w:rPr>
        <w:t>的形式对温差误差核查中标准温差问题、</w:t>
      </w:r>
      <w:r>
        <w:rPr>
          <w:rFonts w:ascii="Times New Roman" w:hAnsi="Times New Roman" w:cs="Times New Roman"/>
          <w:sz w:val="24"/>
        </w:rPr>
        <w:t>NB</w:t>
      </w:r>
      <w:r>
        <w:rPr>
          <w:rFonts w:ascii="Times New Roman" w:hAnsi="Times New Roman" w:cs="Times New Roman"/>
          <w:sz w:val="24"/>
        </w:rPr>
        <w:t>热量表远程核查问题等细节问题展开讨论，根据讨论的修改意见进一步修订，形成规程征求意见稿。</w:t>
      </w:r>
    </w:p>
    <w:p w14:paraId="57C9960E" w14:textId="77777777" w:rsidR="00B40388" w:rsidRDefault="00000000">
      <w:pPr>
        <w:tabs>
          <w:tab w:val="left" w:pos="720"/>
        </w:tabs>
        <w:ind w:left="360"/>
        <w:rPr>
          <w:rFonts w:hAnsi="宋体"/>
          <w:b/>
          <w:sz w:val="24"/>
        </w:rPr>
      </w:pPr>
      <w:r>
        <w:rPr>
          <w:rFonts w:hAnsi="宋体" w:hint="eastAsia"/>
          <w:b/>
          <w:sz w:val="24"/>
        </w:rPr>
        <w:t>第二阶段：征求意见阶段</w:t>
      </w:r>
    </w:p>
    <w:p w14:paraId="6B8E6A1B" w14:textId="77777777" w:rsidR="00B40388" w:rsidRDefault="00000000">
      <w:pPr>
        <w:ind w:firstLineChars="200" w:firstLine="480"/>
        <w:rPr>
          <w:rFonts w:ascii="Times New Roman" w:hAnsi="Times New Roman" w:cs="Times New Roman"/>
          <w:sz w:val="24"/>
        </w:rPr>
      </w:pPr>
      <w:r>
        <w:rPr>
          <w:rFonts w:ascii="Times New Roman" w:hAnsi="Times New Roman" w:cs="Times New Roman"/>
          <w:sz w:val="24"/>
        </w:rPr>
        <w:lastRenderedPageBreak/>
        <w:t>1.2024</w:t>
      </w:r>
      <w:r>
        <w:rPr>
          <w:rFonts w:ascii="Times New Roman" w:hAnsi="Times New Roman" w:cs="Times New Roman"/>
          <w:sz w:val="24"/>
        </w:rPr>
        <w:t>年</w:t>
      </w:r>
      <w:r>
        <w:rPr>
          <w:rFonts w:ascii="Times New Roman" w:hAnsi="Times New Roman" w:cs="Times New Roman"/>
          <w:sz w:val="24"/>
        </w:rPr>
        <w:t>7</w:t>
      </w:r>
      <w:r>
        <w:rPr>
          <w:rFonts w:ascii="Times New Roman" w:hAnsi="Times New Roman" w:cs="Times New Roman"/>
          <w:sz w:val="24"/>
        </w:rPr>
        <w:t>月，将征求意见稿提交全国流量计量技术委员会液体流量分技术委员会秘书处，进行了全国范围征求意见。起草组也向各个省级技术机构发送电子邮件征求意见。</w:t>
      </w:r>
    </w:p>
    <w:p w14:paraId="79D5B3ED" w14:textId="77777777" w:rsidR="00B40388" w:rsidRDefault="00000000">
      <w:pPr>
        <w:ind w:firstLineChars="200" w:firstLine="480"/>
        <w:rPr>
          <w:rFonts w:ascii="Times New Roman" w:hAnsi="Times New Roman" w:cs="Times New Roman"/>
          <w:sz w:val="24"/>
        </w:rPr>
      </w:pPr>
      <w:r>
        <w:rPr>
          <w:rFonts w:ascii="Times New Roman" w:hAnsi="Times New Roman" w:cs="Times New Roman"/>
          <w:sz w:val="24"/>
        </w:rPr>
        <w:t>2.2024</w:t>
      </w:r>
      <w:r>
        <w:rPr>
          <w:rFonts w:ascii="Times New Roman" w:hAnsi="Times New Roman" w:cs="Times New Roman"/>
          <w:sz w:val="24"/>
        </w:rPr>
        <w:t>年</w:t>
      </w:r>
      <w:r>
        <w:rPr>
          <w:rFonts w:ascii="Times New Roman" w:hAnsi="Times New Roman" w:cs="Times New Roman"/>
          <w:sz w:val="24"/>
        </w:rPr>
        <w:t>x</w:t>
      </w:r>
      <w:r>
        <w:rPr>
          <w:rFonts w:ascii="Times New Roman" w:hAnsi="Times New Roman" w:cs="Times New Roman"/>
          <w:sz w:val="24"/>
        </w:rPr>
        <w:t>月，汇总征集的意见，为高校、计量技术机构、热量</w:t>
      </w:r>
      <w:proofErr w:type="gramStart"/>
      <w:r>
        <w:rPr>
          <w:rFonts w:ascii="Times New Roman" w:hAnsi="Times New Roman" w:cs="Times New Roman"/>
          <w:sz w:val="24"/>
        </w:rPr>
        <w:t>表生产</w:t>
      </w:r>
      <w:proofErr w:type="gramEnd"/>
      <w:r>
        <w:rPr>
          <w:rFonts w:ascii="Times New Roman" w:hAnsi="Times New Roman" w:cs="Times New Roman"/>
          <w:sz w:val="24"/>
        </w:rPr>
        <w:t>仪表公司、供热公司等使用单位广泛征求意见。共发送</w:t>
      </w:r>
      <w:r>
        <w:rPr>
          <w:rFonts w:ascii="Times New Roman" w:hAnsi="Times New Roman" w:cs="Times New Roman"/>
          <w:sz w:val="24"/>
        </w:rPr>
        <w:t>“</w:t>
      </w:r>
      <w:r>
        <w:rPr>
          <w:rFonts w:ascii="Times New Roman" w:hAnsi="Times New Roman" w:cs="Times New Roman"/>
          <w:sz w:val="24"/>
        </w:rPr>
        <w:t>征求意见稿</w:t>
      </w:r>
      <w:r>
        <w:rPr>
          <w:rFonts w:ascii="Times New Roman" w:hAnsi="Times New Roman" w:cs="Times New Roman"/>
          <w:sz w:val="24"/>
        </w:rPr>
        <w:t>”</w:t>
      </w:r>
      <w:r>
        <w:rPr>
          <w:rFonts w:ascii="Times New Roman" w:hAnsi="Times New Roman" w:cs="Times New Roman"/>
          <w:sz w:val="24"/>
        </w:rPr>
        <w:t>的单位个数：</w:t>
      </w:r>
      <w:r>
        <w:rPr>
          <w:rFonts w:ascii="Times New Roman" w:hAnsi="Times New Roman" w:cs="Times New Roman"/>
          <w:sz w:val="24"/>
        </w:rPr>
        <w:t>x</w:t>
      </w:r>
      <w:proofErr w:type="gramStart"/>
      <w:r>
        <w:rPr>
          <w:rFonts w:ascii="Times New Roman" w:hAnsi="Times New Roman" w:cs="Times New Roman"/>
          <w:sz w:val="24"/>
        </w:rPr>
        <w:t>个</w:t>
      </w:r>
      <w:proofErr w:type="gramEnd"/>
      <w:r>
        <w:rPr>
          <w:rFonts w:ascii="Times New Roman" w:hAnsi="Times New Roman" w:cs="Times New Roman"/>
          <w:sz w:val="24"/>
        </w:rPr>
        <w:t>；收到</w:t>
      </w:r>
      <w:r>
        <w:rPr>
          <w:rFonts w:ascii="Times New Roman" w:hAnsi="Times New Roman" w:cs="Times New Roman"/>
          <w:sz w:val="24"/>
        </w:rPr>
        <w:t>“</w:t>
      </w:r>
      <w:r>
        <w:rPr>
          <w:rFonts w:ascii="Times New Roman" w:hAnsi="Times New Roman" w:cs="Times New Roman"/>
          <w:sz w:val="24"/>
        </w:rPr>
        <w:t>征求意见稿</w:t>
      </w:r>
      <w:r>
        <w:rPr>
          <w:rFonts w:ascii="Times New Roman" w:hAnsi="Times New Roman" w:cs="Times New Roman"/>
          <w:sz w:val="24"/>
        </w:rPr>
        <w:t>”</w:t>
      </w:r>
      <w:r>
        <w:rPr>
          <w:rFonts w:ascii="Times New Roman" w:hAnsi="Times New Roman" w:cs="Times New Roman"/>
          <w:sz w:val="24"/>
        </w:rPr>
        <w:t>后，回函的单位数：</w:t>
      </w:r>
      <w:r>
        <w:rPr>
          <w:rFonts w:ascii="Times New Roman" w:hAnsi="Times New Roman" w:cs="Times New Roman"/>
          <w:sz w:val="24"/>
        </w:rPr>
        <w:t xml:space="preserve">x </w:t>
      </w:r>
      <w:proofErr w:type="gramStart"/>
      <w:r>
        <w:rPr>
          <w:rFonts w:ascii="Times New Roman" w:hAnsi="Times New Roman" w:cs="Times New Roman"/>
          <w:sz w:val="24"/>
        </w:rPr>
        <w:t>个</w:t>
      </w:r>
      <w:proofErr w:type="gramEnd"/>
      <w:r>
        <w:rPr>
          <w:rFonts w:ascii="Times New Roman" w:hAnsi="Times New Roman" w:cs="Times New Roman"/>
          <w:sz w:val="24"/>
        </w:rPr>
        <w:t>；收到</w:t>
      </w:r>
      <w:r>
        <w:rPr>
          <w:rFonts w:ascii="Times New Roman" w:hAnsi="Times New Roman" w:cs="Times New Roman"/>
          <w:sz w:val="24"/>
        </w:rPr>
        <w:t>“</w:t>
      </w:r>
      <w:r>
        <w:rPr>
          <w:rFonts w:ascii="Times New Roman" w:hAnsi="Times New Roman" w:cs="Times New Roman"/>
          <w:sz w:val="24"/>
        </w:rPr>
        <w:t>征求意见稿</w:t>
      </w:r>
      <w:r>
        <w:rPr>
          <w:rFonts w:ascii="Times New Roman" w:hAnsi="Times New Roman" w:cs="Times New Roman"/>
          <w:sz w:val="24"/>
        </w:rPr>
        <w:t>”</w:t>
      </w:r>
      <w:r>
        <w:rPr>
          <w:rFonts w:ascii="Times New Roman" w:hAnsi="Times New Roman" w:cs="Times New Roman"/>
          <w:sz w:val="24"/>
        </w:rPr>
        <w:t>后，回函并有建议或意见的单位数：</w:t>
      </w:r>
      <w:r>
        <w:rPr>
          <w:rFonts w:ascii="Times New Roman" w:hAnsi="Times New Roman" w:cs="Times New Roman"/>
          <w:sz w:val="24"/>
        </w:rPr>
        <w:t xml:space="preserve">x </w:t>
      </w:r>
      <w:proofErr w:type="gramStart"/>
      <w:r>
        <w:rPr>
          <w:rFonts w:ascii="Times New Roman" w:hAnsi="Times New Roman" w:cs="Times New Roman"/>
          <w:sz w:val="24"/>
        </w:rPr>
        <w:t>个</w:t>
      </w:r>
      <w:proofErr w:type="gramEnd"/>
      <w:r>
        <w:rPr>
          <w:rFonts w:ascii="Times New Roman" w:hAnsi="Times New Roman" w:cs="Times New Roman"/>
          <w:sz w:val="24"/>
        </w:rPr>
        <w:t>；没有回函的单位数：</w:t>
      </w:r>
      <w:r>
        <w:rPr>
          <w:rFonts w:ascii="Times New Roman" w:hAnsi="Times New Roman" w:cs="Times New Roman"/>
          <w:sz w:val="24"/>
        </w:rPr>
        <w:t xml:space="preserve">x </w:t>
      </w:r>
      <w:proofErr w:type="gramStart"/>
      <w:r>
        <w:rPr>
          <w:rFonts w:ascii="Times New Roman" w:hAnsi="Times New Roman" w:cs="Times New Roman"/>
          <w:sz w:val="24"/>
        </w:rPr>
        <w:t>个</w:t>
      </w:r>
      <w:proofErr w:type="gramEnd"/>
      <w:r>
        <w:rPr>
          <w:rFonts w:ascii="Times New Roman" w:hAnsi="Times New Roman" w:cs="Times New Roman"/>
          <w:sz w:val="24"/>
        </w:rPr>
        <w:t>。</w:t>
      </w:r>
    </w:p>
    <w:p w14:paraId="5189718A" w14:textId="77777777" w:rsidR="00B40388" w:rsidRDefault="00000000">
      <w:pPr>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召开征求意见会汇总讨论会，邀请部分有关单位和专家参加和进行了技术研讨，起草小组对意见的采纳与否进行答复，对采纳的意见进行修改后形成送审稿终稿，整理试验验证和远程在线核查不确定度评定分析报告等材料，准备送审。</w:t>
      </w:r>
    </w:p>
    <w:p w14:paraId="20D58BFC" w14:textId="77777777" w:rsidR="00B40388" w:rsidRDefault="00000000">
      <w:pPr>
        <w:ind w:firstLineChars="200" w:firstLine="480"/>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安排送审。</w:t>
      </w:r>
    </w:p>
    <w:p w14:paraId="27E29CBF" w14:textId="77777777" w:rsidR="00B40388" w:rsidRDefault="00000000">
      <w:pPr>
        <w:ind w:left="360"/>
        <w:rPr>
          <w:rFonts w:hAnsi="宋体"/>
          <w:sz w:val="24"/>
        </w:rPr>
      </w:pPr>
      <w:r>
        <w:rPr>
          <w:rFonts w:hAnsi="宋体" w:hint="eastAsia"/>
          <w:b/>
          <w:sz w:val="24"/>
        </w:rPr>
        <w:t>第三阶段：</w:t>
      </w:r>
      <w:r>
        <w:rPr>
          <w:rFonts w:hAnsi="宋体"/>
          <w:b/>
          <w:sz w:val="24"/>
        </w:rPr>
        <w:t xml:space="preserve"> </w:t>
      </w:r>
      <w:r>
        <w:rPr>
          <w:rFonts w:hAnsi="宋体" w:hint="eastAsia"/>
          <w:b/>
          <w:sz w:val="24"/>
        </w:rPr>
        <w:t>审查报批阶段</w:t>
      </w:r>
      <w:r>
        <w:rPr>
          <w:rFonts w:hAnsi="宋体" w:hint="eastAsia"/>
          <w:sz w:val="24"/>
        </w:rPr>
        <w:t xml:space="preserve">  </w:t>
      </w:r>
    </w:p>
    <w:p w14:paraId="1E47B680" w14:textId="77777777" w:rsidR="00B40388" w:rsidRDefault="00000000">
      <w:pPr>
        <w:ind w:firstLineChars="200" w:firstLine="480"/>
        <w:rPr>
          <w:sz w:val="24"/>
        </w:rPr>
      </w:pPr>
      <w:r>
        <w:rPr>
          <w:rFonts w:hint="eastAsia"/>
          <w:sz w:val="24"/>
        </w:rPr>
        <w:t>1.202</w:t>
      </w:r>
      <w:r>
        <w:rPr>
          <w:sz w:val="24"/>
        </w:rPr>
        <w:t>4</w:t>
      </w:r>
      <w:r>
        <w:rPr>
          <w:rFonts w:hint="eastAsia"/>
          <w:sz w:val="24"/>
        </w:rPr>
        <w:t>年</w:t>
      </w:r>
      <w:r>
        <w:rPr>
          <w:rFonts w:hint="eastAsia"/>
          <w:sz w:val="24"/>
        </w:rPr>
        <w:t>x</w:t>
      </w:r>
      <w:r>
        <w:rPr>
          <w:rFonts w:hint="eastAsia"/>
          <w:sz w:val="24"/>
        </w:rPr>
        <w:t>月，将征求意见稿提交全国流量计量技术委员会液体流量分技术委员会秘书处，待审定。</w:t>
      </w:r>
    </w:p>
    <w:p w14:paraId="40311422" w14:textId="77777777" w:rsidR="00B40388" w:rsidRDefault="00000000">
      <w:pPr>
        <w:ind w:firstLineChars="200" w:firstLine="480"/>
        <w:rPr>
          <w:sz w:val="24"/>
        </w:rPr>
      </w:pPr>
      <w:r>
        <w:rPr>
          <w:rFonts w:hint="eastAsia"/>
          <w:sz w:val="24"/>
        </w:rPr>
        <w:t>2.202</w:t>
      </w:r>
      <w:r>
        <w:rPr>
          <w:sz w:val="24"/>
        </w:rPr>
        <w:t>4</w:t>
      </w:r>
      <w:r>
        <w:rPr>
          <w:rFonts w:hint="eastAsia"/>
          <w:sz w:val="24"/>
        </w:rPr>
        <w:t>年</w:t>
      </w:r>
      <w:r>
        <w:rPr>
          <w:rFonts w:hint="eastAsia"/>
          <w:sz w:val="24"/>
        </w:rPr>
        <w:t>x</w:t>
      </w:r>
      <w:r>
        <w:rPr>
          <w:rFonts w:hint="eastAsia"/>
          <w:sz w:val="24"/>
        </w:rPr>
        <w:t>月，召开全体委员审定会。</w:t>
      </w:r>
    </w:p>
    <w:p w14:paraId="35DE28B4" w14:textId="77777777" w:rsidR="00B40388" w:rsidRDefault="00000000">
      <w:pPr>
        <w:ind w:firstLineChars="200" w:firstLine="480"/>
        <w:rPr>
          <w:sz w:val="24"/>
        </w:rPr>
      </w:pPr>
      <w:r>
        <w:rPr>
          <w:rFonts w:hint="eastAsia"/>
          <w:sz w:val="24"/>
        </w:rPr>
        <w:t>3.202</w:t>
      </w:r>
      <w:r>
        <w:rPr>
          <w:sz w:val="24"/>
        </w:rPr>
        <w:t>4</w:t>
      </w:r>
      <w:r>
        <w:rPr>
          <w:rFonts w:hint="eastAsia"/>
          <w:sz w:val="24"/>
        </w:rPr>
        <w:t>年</w:t>
      </w:r>
      <w:r>
        <w:rPr>
          <w:rFonts w:hint="eastAsia"/>
          <w:sz w:val="24"/>
        </w:rPr>
        <w:t>x</w:t>
      </w:r>
      <w:r>
        <w:rPr>
          <w:rFonts w:hint="eastAsia"/>
          <w:sz w:val="24"/>
        </w:rPr>
        <w:t>月，根据审定意见，修改形成报批稿，向总局报批。</w:t>
      </w:r>
    </w:p>
    <w:p w14:paraId="6F92D13C" w14:textId="77777777" w:rsidR="00B40388" w:rsidRDefault="00000000">
      <w:pPr>
        <w:spacing w:beforeLines="50" w:before="156" w:afterLines="50" w:after="156"/>
        <w:jc w:val="left"/>
        <w:rPr>
          <w:rFonts w:ascii="黑体" w:eastAsia="黑体" w:hAnsi="黑体" w:cs="黑体"/>
          <w:color w:val="000000"/>
          <w:kern w:val="0"/>
          <w:sz w:val="28"/>
          <w:szCs w:val="28"/>
          <w:lang w:bidi="ar"/>
        </w:rPr>
      </w:pPr>
      <w:r>
        <w:rPr>
          <w:rFonts w:ascii="黑体" w:eastAsia="黑体" w:hAnsi="黑体" w:cs="黑体" w:hint="eastAsia"/>
          <w:color w:val="000000"/>
          <w:kern w:val="0"/>
          <w:sz w:val="28"/>
          <w:szCs w:val="28"/>
          <w:highlight w:val="lightGray"/>
          <w:lang w:bidi="ar"/>
        </w:rPr>
        <w:t>五、</w:t>
      </w:r>
      <w:r>
        <w:rPr>
          <w:rFonts w:ascii="黑体" w:eastAsia="黑体" w:hAnsi="黑体" w:cs="黑体" w:hint="eastAsia"/>
          <w:color w:val="000000"/>
          <w:kern w:val="0"/>
          <w:sz w:val="28"/>
          <w:szCs w:val="28"/>
          <w:lang w:bidi="ar"/>
        </w:rPr>
        <w:t>规范制定的主要技术内容</w:t>
      </w:r>
    </w:p>
    <w:p w14:paraId="5E5C2A3F" w14:textId="77777777" w:rsidR="00B40388" w:rsidRDefault="00000000">
      <w:pPr>
        <w:pStyle w:val="a8"/>
        <w:ind w:firstLine="480"/>
        <w:jc w:val="left"/>
        <w:rPr>
          <w:rFonts w:ascii="Times New Roman" w:hAnsi="Times New Roman"/>
          <w:sz w:val="24"/>
        </w:rPr>
      </w:pPr>
      <w:r>
        <w:rPr>
          <w:rFonts w:ascii="Times New Roman" w:hAnsi="Times New Roman" w:hint="eastAsia"/>
          <w:sz w:val="24"/>
        </w:rPr>
        <w:t>本次规范的制定主要规范</w:t>
      </w:r>
      <w:r>
        <w:rPr>
          <w:rFonts w:ascii="Times New Roman" w:hAnsi="Times New Roman"/>
          <w:sz w:val="24"/>
        </w:rPr>
        <w:t>采用</w:t>
      </w:r>
      <w:r>
        <w:rPr>
          <w:rFonts w:ascii="Times New Roman" w:hAnsi="Times New Roman" w:hint="eastAsia"/>
          <w:sz w:val="24"/>
        </w:rPr>
        <w:t>新一代的信息通讯技术，对在用供热计量用户用热量表进行远程在线核查方法。主要包括以下内容</w:t>
      </w:r>
    </w:p>
    <w:p w14:paraId="3CAFFE4C" w14:textId="77777777" w:rsidR="00B40388" w:rsidRDefault="00000000">
      <w:pPr>
        <w:pStyle w:val="a8"/>
        <w:ind w:firstLine="480"/>
        <w:jc w:val="left"/>
        <w:rPr>
          <w:rFonts w:ascii="Times New Roman" w:hAnsi="Times New Roman"/>
          <w:sz w:val="24"/>
        </w:rPr>
      </w:pPr>
      <w:r>
        <w:rPr>
          <w:rFonts w:ascii="Times New Roman" w:hAnsi="Times New Roman" w:hint="eastAsia"/>
          <w:sz w:val="24"/>
        </w:rPr>
        <w:t>1.</w:t>
      </w:r>
      <w:r>
        <w:rPr>
          <w:rFonts w:ascii="Times New Roman" w:hAnsi="Times New Roman" w:hint="eastAsia"/>
          <w:sz w:val="24"/>
        </w:rPr>
        <w:t>便于规范的理解和使用，对热量表远程在线核查中涉及到供热计量系统，供热计量系统软件，标准表组件，在线核查软件等做了定义。</w:t>
      </w:r>
    </w:p>
    <w:p w14:paraId="22A604D7" w14:textId="77777777" w:rsidR="00B40388" w:rsidRDefault="00000000">
      <w:pPr>
        <w:pStyle w:val="a8"/>
        <w:ind w:firstLine="480"/>
        <w:jc w:val="left"/>
        <w:rPr>
          <w:rFonts w:ascii="Times New Roman" w:hAnsi="Times New Roman"/>
          <w:sz w:val="24"/>
        </w:rPr>
      </w:pPr>
      <w:r>
        <w:rPr>
          <w:rFonts w:ascii="Times New Roman" w:hAnsi="Times New Roman" w:hint="eastAsia"/>
          <w:sz w:val="24"/>
        </w:rPr>
        <w:t>2.</w:t>
      </w:r>
      <w:r>
        <w:rPr>
          <w:rFonts w:ascii="Times New Roman" w:hAnsi="Times New Roman" w:hint="eastAsia"/>
          <w:sz w:val="24"/>
        </w:rPr>
        <w:t>概述中，通过图形文字结合的方式对核查原理进行阐述，绘制在线核查标准管路连接示意图，直观阐明了核查的原理、核查过程、核查装置的组成结构，重点介绍核查系统通信模式并介绍典型案例：基于</w:t>
      </w:r>
      <w:r>
        <w:rPr>
          <w:rFonts w:ascii="Times New Roman" w:hAnsi="Times New Roman"/>
          <w:sz w:val="24"/>
        </w:rPr>
        <w:t>M-Bus</w:t>
      </w:r>
      <w:r>
        <w:rPr>
          <w:rFonts w:ascii="Times New Roman" w:hAnsi="Times New Roman" w:hint="eastAsia"/>
          <w:sz w:val="24"/>
        </w:rPr>
        <w:t>总线核查系统通信模式。</w:t>
      </w:r>
    </w:p>
    <w:p w14:paraId="686CB43C" w14:textId="77777777" w:rsidR="00B40388" w:rsidRDefault="00000000">
      <w:pPr>
        <w:ind w:firstLineChars="175" w:firstLine="420"/>
        <w:jc w:val="left"/>
        <w:rPr>
          <w:rFonts w:ascii="Times New Roman" w:hAnsi="Times New Roman"/>
          <w:sz w:val="24"/>
        </w:rPr>
      </w:pPr>
      <w:r>
        <w:rPr>
          <w:rFonts w:ascii="Times New Roman" w:hAnsi="Times New Roman" w:hint="eastAsia"/>
          <w:sz w:val="24"/>
        </w:rPr>
        <w:t>3.</w:t>
      </w:r>
      <w:r>
        <w:rPr>
          <w:rFonts w:ascii="Times New Roman" w:hAnsi="Times New Roman" w:hint="eastAsia"/>
          <w:sz w:val="24"/>
        </w:rPr>
        <w:t>通过大量历史试验数据分析，确定了在线核查热量表的计量性能，并提出了最大允许温差误差的概念，通过温差误差的核查确定热量表配对温度传感器的状态。</w:t>
      </w:r>
    </w:p>
    <w:p w14:paraId="33385B4E" w14:textId="77777777" w:rsidR="00B40388" w:rsidRDefault="00000000">
      <w:pPr>
        <w:ind w:firstLine="482"/>
        <w:rPr>
          <w:rFonts w:ascii="Times New Roman" w:hAnsi="Times New Roman"/>
          <w:sz w:val="24"/>
        </w:rPr>
      </w:pPr>
      <w:r>
        <w:rPr>
          <w:rFonts w:ascii="Times New Roman" w:hAnsi="Times New Roman" w:hint="eastAsia"/>
          <w:sz w:val="24"/>
        </w:rPr>
        <w:t>4.</w:t>
      </w:r>
      <w:r>
        <w:rPr>
          <w:rFonts w:ascii="Times New Roman" w:hAnsi="Times New Roman" w:hint="eastAsia"/>
          <w:sz w:val="24"/>
        </w:rPr>
        <w:t>核查条件中对核查标准表的选择进行了详细规定，在对标准表最大允许误差、重复性提出了具体要求的基础上，对标准表的使用也提出了要求。对采用启停法核查的，使用前需在流量标准装置上测试启停效应，启停效应引入的不确定度应不大于标准流量计最大允许误差绝对值的</w:t>
      </w:r>
      <w:r>
        <w:rPr>
          <w:rFonts w:ascii="Times New Roman" w:hAnsi="Times New Roman" w:hint="eastAsia"/>
          <w:sz w:val="24"/>
        </w:rPr>
        <w:t>1/5</w:t>
      </w:r>
      <w:r>
        <w:rPr>
          <w:rFonts w:ascii="Times New Roman" w:hAnsi="Times New Roman" w:hint="eastAsia"/>
          <w:sz w:val="24"/>
        </w:rPr>
        <w:t>。结果符合要求的启停效应测试时长，作为该标准流量计的启停法在线核查最小测量时长。</w:t>
      </w:r>
    </w:p>
    <w:p w14:paraId="3856655E" w14:textId="77777777" w:rsidR="00B40388" w:rsidRDefault="00000000">
      <w:pPr>
        <w:ind w:firstLineChars="200" w:firstLine="480"/>
        <w:rPr>
          <w:rFonts w:ascii="Times New Roman" w:hAnsi="Times New Roman"/>
          <w:sz w:val="24"/>
        </w:rPr>
      </w:pPr>
      <w:r>
        <w:rPr>
          <w:rFonts w:ascii="Times New Roman" w:hAnsi="Times New Roman" w:hint="eastAsia"/>
          <w:sz w:val="24"/>
        </w:rPr>
        <w:t>5.</w:t>
      </w:r>
      <w:r>
        <w:rPr>
          <w:rFonts w:ascii="Times New Roman" w:hAnsi="Times New Roman" w:hint="eastAsia"/>
          <w:sz w:val="24"/>
        </w:rPr>
        <w:t>关于核查流量点的选择，要求</w:t>
      </w:r>
      <w:r>
        <w:rPr>
          <w:rFonts w:ascii="宋体" w:eastAsia="宋体" w:hAnsi="宋体" w:hint="eastAsia"/>
          <w:sz w:val="24"/>
          <w:szCs w:val="28"/>
        </w:rPr>
        <w:t>根据</w:t>
      </w:r>
      <w:r>
        <w:rPr>
          <w:rFonts w:ascii="宋体" w:eastAsia="宋体" w:hAnsi="宋体"/>
          <w:sz w:val="24"/>
          <w:szCs w:val="28"/>
        </w:rPr>
        <w:t>被核查</w:t>
      </w:r>
      <w:r>
        <w:rPr>
          <w:rFonts w:ascii="宋体" w:hAnsi="宋体" w:hint="eastAsia"/>
          <w:sz w:val="24"/>
          <w:szCs w:val="28"/>
        </w:rPr>
        <w:t>热量</w:t>
      </w:r>
      <w:r>
        <w:rPr>
          <w:rFonts w:ascii="宋体" w:eastAsia="宋体" w:hAnsi="宋体"/>
          <w:sz w:val="24"/>
          <w:szCs w:val="28"/>
        </w:rPr>
        <w:t>表</w:t>
      </w:r>
      <w:r>
        <w:rPr>
          <w:rFonts w:ascii="宋体" w:eastAsia="宋体" w:hAnsi="宋体" w:hint="eastAsia"/>
          <w:sz w:val="24"/>
          <w:szCs w:val="28"/>
        </w:rPr>
        <w:t>的实际</w:t>
      </w:r>
      <w:r>
        <w:rPr>
          <w:rFonts w:ascii="宋体" w:eastAsia="宋体" w:hAnsi="宋体"/>
          <w:sz w:val="24"/>
          <w:szCs w:val="28"/>
        </w:rPr>
        <w:t>使用</w:t>
      </w:r>
      <w:r>
        <w:rPr>
          <w:rFonts w:ascii="宋体" w:eastAsia="宋体" w:hAnsi="宋体" w:hint="eastAsia"/>
          <w:sz w:val="24"/>
          <w:szCs w:val="28"/>
        </w:rPr>
        <w:t>情况</w:t>
      </w:r>
      <w:r>
        <w:rPr>
          <w:rFonts w:ascii="宋体" w:eastAsia="宋体" w:hAnsi="宋体"/>
          <w:sz w:val="24"/>
          <w:szCs w:val="28"/>
        </w:rPr>
        <w:t>，</w:t>
      </w:r>
      <w:r>
        <w:rPr>
          <w:rFonts w:ascii="宋体" w:eastAsia="宋体" w:hAnsi="宋体" w:hint="eastAsia"/>
          <w:sz w:val="24"/>
          <w:szCs w:val="28"/>
        </w:rPr>
        <w:t>在</w:t>
      </w:r>
      <w:r>
        <w:rPr>
          <w:rFonts w:ascii="Times New Roman" w:hAnsi="Times New Roman" w:cs="Times New Roman"/>
          <w:sz w:val="24"/>
          <w:szCs w:val="28"/>
        </w:rPr>
        <w:t>（</w:t>
      </w:r>
      <w:r>
        <w:rPr>
          <w:rFonts w:ascii="Times New Roman" w:hAnsi="Times New Roman" w:cs="Times New Roman"/>
          <w:sz w:val="24"/>
          <w:szCs w:val="28"/>
        </w:rPr>
        <w:t>0.1~1</w:t>
      </w:r>
      <w:r>
        <w:rPr>
          <w:rFonts w:ascii="Times New Roman" w:hAnsi="Times New Roman" w:cs="Times New Roman"/>
          <w:sz w:val="24"/>
          <w:szCs w:val="28"/>
        </w:rPr>
        <w:t>）</w:t>
      </w:r>
      <w:proofErr w:type="spellStart"/>
      <w:r>
        <w:rPr>
          <w:rFonts w:ascii="Times New Roman" w:hAnsi="Times New Roman" w:cs="Times New Roman"/>
          <w:i/>
          <w:iCs/>
          <w:sz w:val="24"/>
          <w:szCs w:val="28"/>
        </w:rPr>
        <w:t>q</w:t>
      </w:r>
      <w:r>
        <w:rPr>
          <w:rFonts w:ascii="Times New Roman" w:hAnsi="Times New Roman" w:cs="Times New Roman"/>
          <w:sz w:val="24"/>
          <w:szCs w:val="28"/>
          <w:vertAlign w:val="subscript"/>
        </w:rPr>
        <w:t>p</w:t>
      </w:r>
      <w:proofErr w:type="spellEnd"/>
      <w:r>
        <w:rPr>
          <w:rFonts w:ascii="宋体" w:hAnsi="宋体" w:hint="eastAsia"/>
          <w:sz w:val="24"/>
          <w:szCs w:val="28"/>
        </w:rPr>
        <w:t>范围内</w:t>
      </w:r>
      <w:r>
        <w:rPr>
          <w:rFonts w:ascii="宋体" w:eastAsia="宋体" w:hAnsi="宋体" w:hint="eastAsia"/>
          <w:sz w:val="24"/>
          <w:szCs w:val="28"/>
        </w:rPr>
        <w:t>选取1个流量点进行核查</w:t>
      </w:r>
      <w:r>
        <w:rPr>
          <w:rFonts w:ascii="宋体" w:hAnsi="宋体" w:hint="eastAsia"/>
          <w:sz w:val="24"/>
          <w:szCs w:val="28"/>
        </w:rPr>
        <w:t>，</w:t>
      </w:r>
      <w:r>
        <w:rPr>
          <w:rFonts w:hint="eastAsia"/>
          <w:sz w:val="24"/>
        </w:rPr>
        <w:t>核查开始前需调节流量到预设流量点并待其稳定。</w:t>
      </w:r>
    </w:p>
    <w:p w14:paraId="26C4E1AC" w14:textId="77777777" w:rsidR="00B40388" w:rsidRDefault="00000000">
      <w:pPr>
        <w:pStyle w:val="a8"/>
        <w:ind w:firstLine="480"/>
        <w:jc w:val="left"/>
        <w:rPr>
          <w:rFonts w:ascii="Times New Roman" w:hAnsi="Times New Roman"/>
          <w:sz w:val="24"/>
        </w:rPr>
      </w:pPr>
      <w:r>
        <w:rPr>
          <w:rFonts w:ascii="Times New Roman" w:hAnsi="Times New Roman" w:hint="eastAsia"/>
          <w:sz w:val="24"/>
        </w:rPr>
        <w:t>6.</w:t>
      </w:r>
      <w:r>
        <w:rPr>
          <w:rFonts w:ascii="Times New Roman" w:hAnsi="Times New Roman" w:hint="eastAsia"/>
          <w:sz w:val="24"/>
        </w:rPr>
        <w:t>同时给出了实时同步法和启停法核查方法和步骤，重点介绍了基于时间戳的实时同步法的操作方法、步骤和计算公式。</w:t>
      </w:r>
    </w:p>
    <w:p w14:paraId="733BEC72" w14:textId="77777777" w:rsidR="00B40388" w:rsidRDefault="00000000">
      <w:pPr>
        <w:ind w:firstLineChars="200" w:firstLine="480"/>
        <w:rPr>
          <w:rFonts w:ascii="Times New Roman" w:hAnsi="Times New Roman"/>
          <w:sz w:val="24"/>
        </w:rPr>
      </w:pPr>
      <w:r>
        <w:rPr>
          <w:rFonts w:ascii="Times New Roman" w:hAnsi="Times New Roman" w:hint="eastAsia"/>
          <w:sz w:val="24"/>
        </w:rPr>
        <w:t>7.</w:t>
      </w:r>
      <w:r>
        <w:rPr>
          <w:rFonts w:ascii="Times New Roman" w:hAnsi="Times New Roman" w:hint="eastAsia"/>
          <w:sz w:val="24"/>
        </w:rPr>
        <w:t>首次创新提出了热量表温差误差核查方法，并给出计算公式。热量表配对温度传感器温差误差核查需要在非供热季完成，当供热系统停止运行一段时间后，供热管路内充满水且流量为零，配套温度传感器示值与环境温度基本一致的状态下开始。</w:t>
      </w:r>
      <w:r>
        <w:rPr>
          <w:rFonts w:hint="eastAsia"/>
          <w:sz w:val="24"/>
        </w:rPr>
        <w:t>在线核查软件启动温差误差核查流程后至少每半小时读取一次被核查热</w:t>
      </w:r>
      <w:r>
        <w:rPr>
          <w:rFonts w:hint="eastAsia"/>
          <w:sz w:val="24"/>
        </w:rPr>
        <w:lastRenderedPageBreak/>
        <w:t>量</w:t>
      </w:r>
      <w:proofErr w:type="gramStart"/>
      <w:r>
        <w:rPr>
          <w:rFonts w:hint="eastAsia"/>
          <w:sz w:val="24"/>
        </w:rPr>
        <w:t>表配套</w:t>
      </w:r>
      <w:proofErr w:type="gramEnd"/>
      <w:r>
        <w:rPr>
          <w:rFonts w:hint="eastAsia"/>
          <w:sz w:val="24"/>
        </w:rPr>
        <w:t>温度传感器的供、回水温度并进行记录。连续读取并记录</w:t>
      </w:r>
      <w:r>
        <w:rPr>
          <w:rFonts w:hint="eastAsia"/>
          <w:sz w:val="24"/>
        </w:rPr>
        <w:t>7</w:t>
      </w:r>
      <w:r>
        <w:rPr>
          <w:rFonts w:hint="eastAsia"/>
          <w:sz w:val="24"/>
        </w:rPr>
        <w:t>天的供回水温度</w:t>
      </w:r>
      <m:oMath>
        <m:sSub>
          <m:sSubPr>
            <m:ctrlPr>
              <w:rPr>
                <w:rFonts w:ascii="Cambria Math" w:hAnsi="Cambria Math"/>
                <w:i/>
                <w:sz w:val="24"/>
              </w:rPr>
            </m:ctrlPr>
          </m:sSubPr>
          <m:e>
            <m:r>
              <w:rPr>
                <w:rFonts w:ascii="Cambria Math" w:hAnsi="Cambria Math"/>
                <w:sz w:val="24"/>
              </w:rPr>
              <m:t>θ</m:t>
            </m:r>
          </m:e>
          <m:sub>
            <m:r>
              <m:rPr>
                <m:sty m:val="p"/>
              </m:rPr>
              <w:rPr>
                <w:rFonts w:ascii="Cambria Math" w:hAnsi="Cambria Math"/>
                <w:sz w:val="24"/>
              </w:rPr>
              <m:t>in,j</m:t>
            </m:r>
          </m:sub>
        </m:sSub>
      </m:oMath>
      <w:r>
        <w:rPr>
          <w:rFonts w:hAnsi="Cambria Math" w:hint="eastAsia"/>
          <w:sz w:val="24"/>
        </w:rPr>
        <w:t>和</w:t>
      </w:r>
      <m:oMath>
        <m:sSub>
          <m:sSubPr>
            <m:ctrlPr>
              <w:rPr>
                <w:rFonts w:ascii="Cambria Math" w:hAnsi="Cambria Math"/>
                <w:i/>
                <w:sz w:val="24"/>
              </w:rPr>
            </m:ctrlPr>
          </m:sSubPr>
          <m:e>
            <m:r>
              <w:rPr>
                <w:rFonts w:ascii="Cambria Math" w:hAnsi="Cambria Math"/>
                <w:sz w:val="24"/>
              </w:rPr>
              <m:t>θ</m:t>
            </m:r>
          </m:e>
          <m:sub>
            <m:r>
              <m:rPr>
                <m:sty m:val="p"/>
              </m:rPr>
              <w:rPr>
                <w:rFonts w:ascii="Cambria Math" w:hAnsi="Cambria Math"/>
                <w:sz w:val="24"/>
              </w:rPr>
              <m:t>out,j</m:t>
            </m:r>
          </m:sub>
        </m:sSub>
      </m:oMath>
      <w:r>
        <w:rPr>
          <w:rFonts w:hAnsi="Cambria Math" w:hint="eastAsia"/>
          <w:sz w:val="24"/>
        </w:rPr>
        <w:t>，计算平均温差误差。</w:t>
      </w:r>
    </w:p>
    <w:p w14:paraId="5899BBEC" w14:textId="77777777" w:rsidR="00B40388" w:rsidRDefault="00000000">
      <w:pPr>
        <w:pStyle w:val="a8"/>
        <w:numPr>
          <w:ilvl w:val="0"/>
          <w:numId w:val="2"/>
        </w:numPr>
        <w:spacing w:beforeLines="50" w:before="156" w:afterLines="50" w:after="156"/>
        <w:ind w:firstLineChars="0"/>
        <w:jc w:val="left"/>
        <w:rPr>
          <w:rFonts w:ascii="黑体" w:eastAsia="黑体" w:hAnsi="黑体" w:cs="黑体"/>
          <w:kern w:val="0"/>
          <w:sz w:val="28"/>
          <w:szCs w:val="28"/>
          <w:lang w:bidi="ar"/>
        </w:rPr>
      </w:pPr>
      <w:r>
        <w:rPr>
          <w:rFonts w:ascii="黑体" w:eastAsia="黑体" w:hAnsi="黑体" w:cs="黑体" w:hint="eastAsia"/>
          <w:kern w:val="0"/>
          <w:sz w:val="28"/>
          <w:szCs w:val="28"/>
          <w:lang w:bidi="ar"/>
        </w:rPr>
        <w:t>技术规范主要的试验验证报告</w:t>
      </w:r>
    </w:p>
    <w:p w14:paraId="17566573" w14:textId="77777777" w:rsidR="00B40388" w:rsidRDefault="00000000">
      <w:pPr>
        <w:ind w:firstLineChars="200" w:firstLine="480"/>
        <w:jc w:val="left"/>
        <w:rPr>
          <w:rFonts w:ascii="Times New Roman" w:eastAsia="宋体" w:hAnsi="Times New Roman" w:cs="Times New Roman"/>
          <w:color w:val="000000"/>
          <w:kern w:val="0"/>
          <w:sz w:val="24"/>
          <w:lang w:bidi="ar"/>
        </w:rPr>
      </w:pPr>
      <w:r>
        <w:rPr>
          <w:rFonts w:ascii="Times New Roman" w:eastAsia="宋体" w:hAnsi="Times New Roman" w:cs="Times New Roman" w:hint="eastAsia"/>
          <w:color w:val="000000"/>
          <w:kern w:val="0"/>
          <w:sz w:val="24"/>
          <w:lang w:bidi="ar"/>
        </w:rPr>
        <w:t>详细</w:t>
      </w:r>
      <w:proofErr w:type="gramStart"/>
      <w:r>
        <w:rPr>
          <w:rFonts w:ascii="Times New Roman" w:eastAsia="宋体" w:hAnsi="Times New Roman" w:cs="Times New Roman" w:hint="eastAsia"/>
          <w:color w:val="000000"/>
          <w:kern w:val="0"/>
          <w:sz w:val="24"/>
          <w:lang w:bidi="ar"/>
        </w:rPr>
        <w:t>见试验</w:t>
      </w:r>
      <w:proofErr w:type="gramEnd"/>
      <w:r>
        <w:rPr>
          <w:rFonts w:ascii="Times New Roman" w:eastAsia="宋体" w:hAnsi="Times New Roman" w:cs="Times New Roman" w:hint="eastAsia"/>
          <w:color w:val="000000"/>
          <w:kern w:val="0"/>
          <w:sz w:val="24"/>
          <w:lang w:bidi="ar"/>
        </w:rPr>
        <w:t>验证报告</w:t>
      </w:r>
    </w:p>
    <w:p w14:paraId="3D0313FE" w14:textId="77777777" w:rsidR="00B40388" w:rsidRDefault="00000000">
      <w:pPr>
        <w:spacing w:beforeLines="50" w:before="156" w:afterLines="50" w:after="156"/>
        <w:jc w:val="left"/>
        <w:rPr>
          <w:rFonts w:ascii="黑体" w:eastAsia="黑体" w:hAnsi="黑体" w:cs="黑体"/>
          <w:kern w:val="0"/>
          <w:sz w:val="28"/>
          <w:szCs w:val="28"/>
          <w:lang w:bidi="ar"/>
        </w:rPr>
      </w:pPr>
      <w:r>
        <w:rPr>
          <w:rFonts w:ascii="黑体" w:eastAsia="黑体" w:hAnsi="黑体" w:cs="黑体" w:hint="eastAsia"/>
          <w:kern w:val="0"/>
          <w:sz w:val="28"/>
          <w:szCs w:val="28"/>
          <w:highlight w:val="lightGray"/>
          <w:lang w:bidi="ar"/>
        </w:rPr>
        <w:t>七、</w:t>
      </w:r>
      <w:r>
        <w:rPr>
          <w:rFonts w:ascii="黑体" w:eastAsia="黑体" w:hAnsi="黑体" w:cs="黑体" w:hint="eastAsia"/>
          <w:kern w:val="0"/>
          <w:sz w:val="28"/>
          <w:szCs w:val="28"/>
          <w:lang w:bidi="ar"/>
        </w:rPr>
        <w:t>知识产权说明（涉及专利的情况声明）</w:t>
      </w:r>
    </w:p>
    <w:p w14:paraId="3A22C01B" w14:textId="77777777" w:rsidR="00B40388" w:rsidRDefault="00000000">
      <w:pPr>
        <w:ind w:firstLineChars="218" w:firstLine="523"/>
        <w:rPr>
          <w:rFonts w:ascii="宋体" w:eastAsia="宋体" w:hAnsi="宋体" w:cs="Times New Roman"/>
          <w:sz w:val="24"/>
        </w:rPr>
      </w:pPr>
      <w:r>
        <w:rPr>
          <w:rFonts w:ascii="宋体" w:eastAsia="宋体" w:hAnsi="宋体" w:cs="Times New Roman" w:hint="eastAsia"/>
          <w:sz w:val="24"/>
        </w:rPr>
        <w:t>本文件不涉及专利问题。</w:t>
      </w:r>
    </w:p>
    <w:p w14:paraId="62309490" w14:textId="77777777" w:rsidR="00B40388" w:rsidRDefault="00000000">
      <w:pPr>
        <w:spacing w:beforeLines="50" w:before="156" w:afterLines="50" w:after="156"/>
        <w:jc w:val="left"/>
        <w:rPr>
          <w:rFonts w:ascii="黑体" w:eastAsia="黑体" w:hAnsi="黑体" w:cs="黑体"/>
          <w:kern w:val="0"/>
          <w:sz w:val="28"/>
          <w:szCs w:val="28"/>
          <w:lang w:bidi="ar"/>
        </w:rPr>
      </w:pPr>
      <w:r>
        <w:rPr>
          <w:rFonts w:ascii="黑体" w:eastAsia="黑体" w:hAnsi="黑体" w:cs="黑体" w:hint="eastAsia"/>
          <w:kern w:val="0"/>
          <w:sz w:val="28"/>
          <w:szCs w:val="28"/>
          <w:highlight w:val="lightGray"/>
          <w:lang w:bidi="ar"/>
        </w:rPr>
        <w:t>八、</w:t>
      </w:r>
      <w:r>
        <w:rPr>
          <w:rFonts w:ascii="黑体" w:eastAsia="黑体" w:hAnsi="黑体" w:cs="黑体" w:hint="eastAsia"/>
          <w:kern w:val="0"/>
          <w:sz w:val="28"/>
          <w:szCs w:val="28"/>
          <w:lang w:bidi="ar"/>
        </w:rPr>
        <w:t>国际、国外对比情况（采用国际标准和国外先进标准情况）</w:t>
      </w:r>
    </w:p>
    <w:p w14:paraId="7CC04076" w14:textId="77777777" w:rsidR="00B40388" w:rsidRDefault="00000000">
      <w:pPr>
        <w:ind w:firstLineChars="218" w:firstLine="523"/>
        <w:rPr>
          <w:rFonts w:ascii="宋体" w:eastAsia="宋体" w:hAnsi="宋体" w:cs="Times New Roman"/>
          <w:sz w:val="24"/>
        </w:rPr>
      </w:pPr>
      <w:r>
        <w:rPr>
          <w:rFonts w:ascii="宋体" w:eastAsia="宋体" w:hAnsi="宋体" w:cs="Times New Roman" w:hint="eastAsia"/>
          <w:sz w:val="24"/>
        </w:rPr>
        <w:t>本文件没有直接采用国际标准。</w:t>
      </w:r>
    </w:p>
    <w:p w14:paraId="7675DB23" w14:textId="77777777" w:rsidR="00B40388" w:rsidRDefault="00000000">
      <w:pPr>
        <w:ind w:firstLineChars="218" w:firstLine="523"/>
        <w:rPr>
          <w:rFonts w:ascii="宋体" w:eastAsia="宋体" w:hAnsi="宋体" w:cs="Times New Roman"/>
          <w:sz w:val="24"/>
        </w:rPr>
      </w:pPr>
      <w:r>
        <w:rPr>
          <w:rFonts w:ascii="宋体" w:eastAsia="宋体" w:hAnsi="宋体" w:cs="Times New Roman" w:hint="eastAsia"/>
          <w:sz w:val="24"/>
        </w:rPr>
        <w:t>本文件修订过程中未查到同类国际、国外标准。</w:t>
      </w:r>
    </w:p>
    <w:p w14:paraId="2264B9B0" w14:textId="77777777" w:rsidR="00B40388" w:rsidRDefault="00000000">
      <w:pPr>
        <w:ind w:firstLineChars="218" w:firstLine="523"/>
        <w:rPr>
          <w:rFonts w:ascii="宋体" w:eastAsia="宋体" w:hAnsi="宋体" w:cs="Times New Roman"/>
          <w:sz w:val="24"/>
        </w:rPr>
      </w:pPr>
      <w:r>
        <w:rPr>
          <w:rFonts w:ascii="宋体" w:eastAsia="宋体" w:hAnsi="宋体" w:cs="Times New Roman" w:hint="eastAsia"/>
          <w:sz w:val="24"/>
        </w:rPr>
        <w:t>本文件水平为国内先进水平。</w:t>
      </w:r>
    </w:p>
    <w:p w14:paraId="0D34650A" w14:textId="77777777" w:rsidR="00B40388" w:rsidRDefault="00000000">
      <w:pPr>
        <w:spacing w:beforeLines="50" w:before="156" w:afterLines="50" w:after="156"/>
        <w:jc w:val="left"/>
        <w:rPr>
          <w:rFonts w:ascii="黑体" w:eastAsia="黑体" w:hAnsi="黑体" w:cs="黑体"/>
          <w:kern w:val="0"/>
          <w:sz w:val="28"/>
          <w:szCs w:val="28"/>
          <w:lang w:bidi="ar"/>
        </w:rPr>
      </w:pPr>
      <w:r>
        <w:rPr>
          <w:rFonts w:ascii="黑体" w:eastAsia="黑体" w:hAnsi="黑体" w:cs="黑体" w:hint="eastAsia"/>
          <w:kern w:val="0"/>
          <w:sz w:val="28"/>
          <w:szCs w:val="28"/>
          <w:highlight w:val="lightGray"/>
          <w:lang w:bidi="ar"/>
        </w:rPr>
        <w:t>九、</w:t>
      </w:r>
      <w:r>
        <w:rPr>
          <w:rFonts w:ascii="黑体" w:eastAsia="黑体" w:hAnsi="黑体" w:cs="黑体" w:hint="eastAsia"/>
          <w:kern w:val="0"/>
          <w:sz w:val="28"/>
          <w:szCs w:val="28"/>
          <w:lang w:bidi="ar"/>
        </w:rPr>
        <w:t>重大分歧意见的处理经过和依据</w:t>
      </w:r>
    </w:p>
    <w:p w14:paraId="2E14EAC7" w14:textId="77777777" w:rsidR="00B40388" w:rsidRDefault="00000000">
      <w:pPr>
        <w:ind w:firstLineChars="200" w:firstLine="480"/>
        <w:rPr>
          <w:rFonts w:ascii="宋体" w:eastAsia="宋体" w:hAnsi="宋体" w:cs="Times New Roman"/>
          <w:bCs/>
          <w:sz w:val="24"/>
        </w:rPr>
      </w:pPr>
      <w:r>
        <w:rPr>
          <w:rFonts w:ascii="宋体" w:eastAsia="宋体" w:hAnsi="宋体" w:cs="Times New Roman" w:hint="eastAsia"/>
          <w:bCs/>
          <w:sz w:val="24"/>
        </w:rPr>
        <w:t>无。</w:t>
      </w:r>
    </w:p>
    <w:p w14:paraId="04032322" w14:textId="77777777" w:rsidR="00B40388" w:rsidRDefault="00000000">
      <w:pPr>
        <w:spacing w:beforeLines="50" w:before="156" w:afterLines="50" w:after="156"/>
        <w:jc w:val="left"/>
        <w:rPr>
          <w:rFonts w:ascii="黑体" w:eastAsia="黑体" w:hAnsi="黑体" w:cs="黑体"/>
          <w:kern w:val="0"/>
          <w:sz w:val="28"/>
          <w:szCs w:val="28"/>
          <w:lang w:bidi="ar"/>
        </w:rPr>
      </w:pPr>
      <w:r>
        <w:rPr>
          <w:rFonts w:ascii="黑体" w:eastAsia="黑体" w:hAnsi="黑体" w:cs="黑体" w:hint="eastAsia"/>
          <w:kern w:val="0"/>
          <w:sz w:val="28"/>
          <w:szCs w:val="28"/>
          <w:highlight w:val="lightGray"/>
          <w:lang w:bidi="ar"/>
        </w:rPr>
        <w:t>十、</w:t>
      </w:r>
      <w:r>
        <w:rPr>
          <w:rFonts w:ascii="黑体" w:eastAsia="黑体" w:hAnsi="黑体" w:cs="黑体" w:hint="eastAsia"/>
          <w:kern w:val="0"/>
          <w:sz w:val="28"/>
          <w:szCs w:val="28"/>
          <w:lang w:bidi="ar"/>
        </w:rPr>
        <w:t>宣贯的要求和措施建议（包括组织措施、技术措施、过渡办法、实施日期）</w:t>
      </w:r>
    </w:p>
    <w:p w14:paraId="07677259" w14:textId="77777777" w:rsidR="00B40388" w:rsidRDefault="00000000">
      <w:pPr>
        <w:pStyle w:val="a8"/>
        <w:ind w:firstLine="480"/>
        <w:jc w:val="left"/>
        <w:rPr>
          <w:rFonts w:asciiTheme="minorEastAsia" w:hAnsiTheme="minorEastAsia" w:cs="Times New Roman"/>
          <w:color w:val="000000"/>
          <w:kern w:val="0"/>
          <w:sz w:val="24"/>
          <w:lang w:bidi="ar"/>
        </w:rPr>
      </w:pPr>
      <w:r>
        <w:rPr>
          <w:rFonts w:asciiTheme="minorEastAsia" w:hAnsiTheme="minorEastAsia" w:cs="Times New Roman" w:hint="eastAsia"/>
          <w:color w:val="000000"/>
          <w:kern w:val="0"/>
          <w:sz w:val="24"/>
          <w:lang w:bidi="ar"/>
        </w:rPr>
        <w:t>在规范制定</w:t>
      </w:r>
      <w:r>
        <w:rPr>
          <w:rFonts w:asciiTheme="minorEastAsia" w:hAnsiTheme="minorEastAsia" w:cs="Times New Roman"/>
          <w:color w:val="000000"/>
          <w:kern w:val="0"/>
          <w:sz w:val="24"/>
          <w:lang w:bidi="ar"/>
        </w:rPr>
        <w:t>过程中，起草小组以引用文件、试验数据等技术资料为依据，本着科学合理、易于操作和普遍适用的原则，试验证明，本</w:t>
      </w:r>
      <w:r>
        <w:rPr>
          <w:rFonts w:asciiTheme="minorEastAsia" w:hAnsiTheme="minorEastAsia" w:cs="Times New Roman" w:hint="eastAsia"/>
          <w:color w:val="000000"/>
          <w:kern w:val="0"/>
          <w:sz w:val="24"/>
          <w:lang w:bidi="ar"/>
        </w:rPr>
        <w:t>规范</w:t>
      </w:r>
      <w:r>
        <w:rPr>
          <w:rFonts w:asciiTheme="minorEastAsia" w:hAnsiTheme="minorEastAsia" w:cs="Times New Roman"/>
          <w:color w:val="000000"/>
          <w:kern w:val="0"/>
          <w:sz w:val="24"/>
          <w:lang w:bidi="ar"/>
        </w:rPr>
        <w:t>的</w:t>
      </w:r>
      <w:r>
        <w:rPr>
          <w:rFonts w:asciiTheme="minorEastAsia" w:hAnsiTheme="minorEastAsia" w:cs="Times New Roman" w:hint="eastAsia"/>
          <w:color w:val="000000"/>
          <w:kern w:val="0"/>
          <w:sz w:val="24"/>
          <w:lang w:bidi="ar"/>
        </w:rPr>
        <w:t>核查方法</w:t>
      </w:r>
      <w:r>
        <w:rPr>
          <w:rFonts w:asciiTheme="minorEastAsia" w:hAnsiTheme="minorEastAsia" w:cs="Times New Roman"/>
          <w:color w:val="000000"/>
          <w:kern w:val="0"/>
          <w:sz w:val="24"/>
          <w:lang w:bidi="ar"/>
        </w:rPr>
        <w:t>操作性强，</w:t>
      </w:r>
      <w:r>
        <w:rPr>
          <w:rFonts w:asciiTheme="minorEastAsia" w:hAnsiTheme="minorEastAsia" w:cs="Times New Roman" w:hint="eastAsia"/>
          <w:color w:val="000000"/>
          <w:kern w:val="0"/>
          <w:sz w:val="24"/>
          <w:lang w:bidi="ar"/>
        </w:rPr>
        <w:t>技术指标符合实际，计算公式清晰正确，核查周期合理适用。</w:t>
      </w:r>
    </w:p>
    <w:p w14:paraId="5AE441DC" w14:textId="77777777" w:rsidR="00B40388" w:rsidRDefault="00B40388">
      <w:pPr>
        <w:pStyle w:val="a8"/>
        <w:ind w:firstLine="480"/>
        <w:jc w:val="left"/>
        <w:rPr>
          <w:rFonts w:asciiTheme="minorEastAsia" w:hAnsiTheme="minorEastAsia" w:cs="Times New Roman"/>
          <w:color w:val="000000"/>
          <w:kern w:val="0"/>
          <w:sz w:val="24"/>
          <w:lang w:bidi="ar"/>
        </w:rPr>
      </w:pPr>
    </w:p>
    <w:p w14:paraId="4354B9B7" w14:textId="77777777" w:rsidR="00B40388" w:rsidRDefault="00000000">
      <w:pPr>
        <w:pStyle w:val="a8"/>
        <w:ind w:firstLineChars="800" w:firstLine="1920"/>
        <w:jc w:val="right"/>
        <w:rPr>
          <w:rFonts w:ascii="Times New Roman" w:hAnsi="Times New Roman"/>
          <w:sz w:val="24"/>
        </w:rPr>
      </w:pPr>
      <w:r>
        <w:rPr>
          <w:rFonts w:ascii="Times New Roman" w:hAnsi="Times New Roman" w:hint="eastAsia"/>
          <w:sz w:val="24"/>
        </w:rPr>
        <w:t>《</w:t>
      </w:r>
      <w:r>
        <w:rPr>
          <w:rFonts w:ascii="Times New Roman" w:hAnsi="Times New Roman"/>
          <w:sz w:val="24"/>
        </w:rPr>
        <w:t>标准表法热量表远程在线核查技术规范</w:t>
      </w:r>
      <w:r>
        <w:rPr>
          <w:rFonts w:ascii="Times New Roman" w:hAnsi="Times New Roman" w:hint="eastAsia"/>
          <w:sz w:val="24"/>
        </w:rPr>
        <w:t>》起草小组</w:t>
      </w:r>
    </w:p>
    <w:p w14:paraId="2465703B" w14:textId="77777777" w:rsidR="00B40388" w:rsidRDefault="00000000">
      <w:pPr>
        <w:pStyle w:val="a8"/>
        <w:ind w:firstLineChars="1900" w:firstLine="4560"/>
        <w:jc w:val="left"/>
        <w:rPr>
          <w:rFonts w:asciiTheme="minorEastAsia" w:hAnsiTheme="minorEastAsia" w:cs="Times New Roman"/>
          <w:color w:val="000000"/>
          <w:kern w:val="0"/>
          <w:sz w:val="24"/>
          <w:lang w:bidi="ar"/>
        </w:rPr>
      </w:pPr>
      <w:r>
        <w:rPr>
          <w:rFonts w:ascii="Times New Roman" w:hAnsi="Times New Roman" w:hint="eastAsia"/>
          <w:sz w:val="24"/>
        </w:rPr>
        <w:t>202</w:t>
      </w:r>
      <w:r>
        <w:rPr>
          <w:rFonts w:ascii="Times New Roman" w:hAnsi="Times New Roman"/>
          <w:sz w:val="24"/>
        </w:rPr>
        <w:t>4</w:t>
      </w:r>
      <w:r>
        <w:rPr>
          <w:rFonts w:ascii="Times New Roman" w:hAnsi="Times New Roman" w:hint="eastAsia"/>
          <w:sz w:val="24"/>
        </w:rPr>
        <w:t>年</w:t>
      </w:r>
      <w:r>
        <w:rPr>
          <w:rFonts w:ascii="Times New Roman" w:hAnsi="Times New Roman" w:hint="eastAsia"/>
          <w:sz w:val="24"/>
        </w:rPr>
        <w:t>6</w:t>
      </w:r>
      <w:r>
        <w:rPr>
          <w:rFonts w:ascii="Times New Roman" w:hAnsi="Times New Roman" w:hint="eastAsia"/>
          <w:sz w:val="24"/>
        </w:rPr>
        <w:t>月</w:t>
      </w:r>
      <w:r>
        <w:rPr>
          <w:rFonts w:ascii="Times New Roman" w:hAnsi="Times New Roman" w:hint="eastAsia"/>
          <w:sz w:val="24"/>
        </w:rPr>
        <w:t>1</w:t>
      </w:r>
      <w:r>
        <w:rPr>
          <w:rFonts w:ascii="Times New Roman" w:hAnsi="Times New Roman"/>
          <w:sz w:val="24"/>
        </w:rPr>
        <w:t>4</w:t>
      </w:r>
      <w:r>
        <w:rPr>
          <w:rFonts w:ascii="Times New Roman" w:hAnsi="Times New Roman" w:hint="eastAsia"/>
          <w:sz w:val="24"/>
        </w:rPr>
        <w:t>日</w:t>
      </w:r>
    </w:p>
    <w:sectPr w:rsidR="00B403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3607DF8"/>
    <w:multiLevelType w:val="multilevel"/>
    <w:tmpl w:val="73607DF8"/>
    <w:lvl w:ilvl="0">
      <w:start w:val="6"/>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6FD3E53"/>
    <w:multiLevelType w:val="singleLevel"/>
    <w:tmpl w:val="76FD3E53"/>
    <w:lvl w:ilvl="0">
      <w:start w:val="1"/>
      <w:numFmt w:val="decimal"/>
      <w:suff w:val="nothing"/>
      <w:lvlText w:val="%1、"/>
      <w:lvlJc w:val="left"/>
    </w:lvl>
  </w:abstractNum>
  <w:num w:numId="1" w16cid:durableId="1036153580">
    <w:abstractNumId w:val="1"/>
  </w:num>
  <w:num w:numId="2" w16cid:durableId="249394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VkNGQ2NmUzOGFjNzc1MTE4OTJhMmU1NDllYzU0NDYifQ=="/>
  </w:docVars>
  <w:rsids>
    <w:rsidRoot w:val="00B620F3"/>
    <w:rsid w:val="0000425F"/>
    <w:rsid w:val="00014A2C"/>
    <w:rsid w:val="00015D81"/>
    <w:rsid w:val="00024EEA"/>
    <w:rsid w:val="00031962"/>
    <w:rsid w:val="00032E4A"/>
    <w:rsid w:val="000358A6"/>
    <w:rsid w:val="00037861"/>
    <w:rsid w:val="00053819"/>
    <w:rsid w:val="00055420"/>
    <w:rsid w:val="00055704"/>
    <w:rsid w:val="00062752"/>
    <w:rsid w:val="000651F6"/>
    <w:rsid w:val="0009341F"/>
    <w:rsid w:val="000B58E2"/>
    <w:rsid w:val="000D3C89"/>
    <w:rsid w:val="000D5462"/>
    <w:rsid w:val="000E3C3F"/>
    <w:rsid w:val="0011182B"/>
    <w:rsid w:val="00116A4B"/>
    <w:rsid w:val="00131086"/>
    <w:rsid w:val="001674DA"/>
    <w:rsid w:val="0017480D"/>
    <w:rsid w:val="001A5404"/>
    <w:rsid w:val="001E1556"/>
    <w:rsid w:val="001E49D6"/>
    <w:rsid w:val="00210AED"/>
    <w:rsid w:val="00212897"/>
    <w:rsid w:val="002226FC"/>
    <w:rsid w:val="00223FBB"/>
    <w:rsid w:val="002247E6"/>
    <w:rsid w:val="002356AA"/>
    <w:rsid w:val="002400FD"/>
    <w:rsid w:val="002541F3"/>
    <w:rsid w:val="00275CA7"/>
    <w:rsid w:val="002816EE"/>
    <w:rsid w:val="00293CDC"/>
    <w:rsid w:val="002A1732"/>
    <w:rsid w:val="002C61EE"/>
    <w:rsid w:val="002C64DC"/>
    <w:rsid w:val="002C6DE4"/>
    <w:rsid w:val="002D735E"/>
    <w:rsid w:val="002D7915"/>
    <w:rsid w:val="002D7DD7"/>
    <w:rsid w:val="002E1BEC"/>
    <w:rsid w:val="00302769"/>
    <w:rsid w:val="00315299"/>
    <w:rsid w:val="003245C5"/>
    <w:rsid w:val="00352F98"/>
    <w:rsid w:val="00374AFB"/>
    <w:rsid w:val="003866C1"/>
    <w:rsid w:val="00387557"/>
    <w:rsid w:val="00391CF2"/>
    <w:rsid w:val="003A5616"/>
    <w:rsid w:val="003C3E0F"/>
    <w:rsid w:val="003C57F0"/>
    <w:rsid w:val="003E2E74"/>
    <w:rsid w:val="003F348F"/>
    <w:rsid w:val="00402F20"/>
    <w:rsid w:val="00405187"/>
    <w:rsid w:val="00405E06"/>
    <w:rsid w:val="00416D63"/>
    <w:rsid w:val="004619AF"/>
    <w:rsid w:val="00467889"/>
    <w:rsid w:val="00487CDA"/>
    <w:rsid w:val="004B1329"/>
    <w:rsid w:val="00505D38"/>
    <w:rsid w:val="00520D05"/>
    <w:rsid w:val="00533195"/>
    <w:rsid w:val="00542B34"/>
    <w:rsid w:val="0054514F"/>
    <w:rsid w:val="00573117"/>
    <w:rsid w:val="00573B60"/>
    <w:rsid w:val="00576527"/>
    <w:rsid w:val="005914BC"/>
    <w:rsid w:val="005935A1"/>
    <w:rsid w:val="005F6149"/>
    <w:rsid w:val="00602A97"/>
    <w:rsid w:val="00610DDB"/>
    <w:rsid w:val="00623C15"/>
    <w:rsid w:val="00632595"/>
    <w:rsid w:val="00656C4C"/>
    <w:rsid w:val="006704CE"/>
    <w:rsid w:val="00693EC1"/>
    <w:rsid w:val="006A0A58"/>
    <w:rsid w:val="006B4BCD"/>
    <w:rsid w:val="006C7DEA"/>
    <w:rsid w:val="006D5CC1"/>
    <w:rsid w:val="006E3431"/>
    <w:rsid w:val="006F79A5"/>
    <w:rsid w:val="007021B0"/>
    <w:rsid w:val="00713977"/>
    <w:rsid w:val="00726538"/>
    <w:rsid w:val="007952C8"/>
    <w:rsid w:val="00797DA8"/>
    <w:rsid w:val="007A2EDB"/>
    <w:rsid w:val="007B4EC0"/>
    <w:rsid w:val="007E4E1E"/>
    <w:rsid w:val="007E4E28"/>
    <w:rsid w:val="007E5EA5"/>
    <w:rsid w:val="007E6E01"/>
    <w:rsid w:val="008123C0"/>
    <w:rsid w:val="00826D73"/>
    <w:rsid w:val="00831E00"/>
    <w:rsid w:val="00865F3B"/>
    <w:rsid w:val="008729CD"/>
    <w:rsid w:val="00873C32"/>
    <w:rsid w:val="00890839"/>
    <w:rsid w:val="008A0B17"/>
    <w:rsid w:val="008C4B9A"/>
    <w:rsid w:val="008E6483"/>
    <w:rsid w:val="008F4A45"/>
    <w:rsid w:val="0094408C"/>
    <w:rsid w:val="00944214"/>
    <w:rsid w:val="009511F2"/>
    <w:rsid w:val="00966B77"/>
    <w:rsid w:val="00981CA7"/>
    <w:rsid w:val="009A0644"/>
    <w:rsid w:val="009A3F91"/>
    <w:rsid w:val="009B227A"/>
    <w:rsid w:val="009C1EBE"/>
    <w:rsid w:val="009D332F"/>
    <w:rsid w:val="009D6973"/>
    <w:rsid w:val="009F301D"/>
    <w:rsid w:val="009F5602"/>
    <w:rsid w:val="00A0105E"/>
    <w:rsid w:val="00A50373"/>
    <w:rsid w:val="00A57FCB"/>
    <w:rsid w:val="00A60C6D"/>
    <w:rsid w:val="00A62E97"/>
    <w:rsid w:val="00A657E2"/>
    <w:rsid w:val="00A92A83"/>
    <w:rsid w:val="00AA02BB"/>
    <w:rsid w:val="00AA51EF"/>
    <w:rsid w:val="00AC58C6"/>
    <w:rsid w:val="00AE1BFD"/>
    <w:rsid w:val="00AF348E"/>
    <w:rsid w:val="00AF3960"/>
    <w:rsid w:val="00AF79F9"/>
    <w:rsid w:val="00B116AC"/>
    <w:rsid w:val="00B21142"/>
    <w:rsid w:val="00B3267B"/>
    <w:rsid w:val="00B3345C"/>
    <w:rsid w:val="00B40388"/>
    <w:rsid w:val="00B4109C"/>
    <w:rsid w:val="00B45BD5"/>
    <w:rsid w:val="00B620F3"/>
    <w:rsid w:val="00B74A2F"/>
    <w:rsid w:val="00B75375"/>
    <w:rsid w:val="00B8274D"/>
    <w:rsid w:val="00B87AD2"/>
    <w:rsid w:val="00B91664"/>
    <w:rsid w:val="00BA1088"/>
    <w:rsid w:val="00BB167B"/>
    <w:rsid w:val="00BB73E1"/>
    <w:rsid w:val="00BC1323"/>
    <w:rsid w:val="00BD6AD4"/>
    <w:rsid w:val="00BE37FD"/>
    <w:rsid w:val="00BE618E"/>
    <w:rsid w:val="00BF562D"/>
    <w:rsid w:val="00BF5A51"/>
    <w:rsid w:val="00BF7702"/>
    <w:rsid w:val="00C111E5"/>
    <w:rsid w:val="00C272FF"/>
    <w:rsid w:val="00C276F2"/>
    <w:rsid w:val="00C33984"/>
    <w:rsid w:val="00C3440F"/>
    <w:rsid w:val="00C5278C"/>
    <w:rsid w:val="00C53199"/>
    <w:rsid w:val="00C545E5"/>
    <w:rsid w:val="00C61416"/>
    <w:rsid w:val="00C74C02"/>
    <w:rsid w:val="00C877AA"/>
    <w:rsid w:val="00CA0610"/>
    <w:rsid w:val="00CA1CE0"/>
    <w:rsid w:val="00CA378A"/>
    <w:rsid w:val="00CA480D"/>
    <w:rsid w:val="00CB2F90"/>
    <w:rsid w:val="00CC4879"/>
    <w:rsid w:val="00CD0DC9"/>
    <w:rsid w:val="00CD198E"/>
    <w:rsid w:val="00CD50C9"/>
    <w:rsid w:val="00CE1E2C"/>
    <w:rsid w:val="00CE6325"/>
    <w:rsid w:val="00CF7563"/>
    <w:rsid w:val="00D0487E"/>
    <w:rsid w:val="00D150BB"/>
    <w:rsid w:val="00D16E77"/>
    <w:rsid w:val="00D5259C"/>
    <w:rsid w:val="00D607D2"/>
    <w:rsid w:val="00D77E9E"/>
    <w:rsid w:val="00D93769"/>
    <w:rsid w:val="00D945BF"/>
    <w:rsid w:val="00DA091E"/>
    <w:rsid w:val="00DF702B"/>
    <w:rsid w:val="00E00C10"/>
    <w:rsid w:val="00E115A1"/>
    <w:rsid w:val="00E15F71"/>
    <w:rsid w:val="00E7688A"/>
    <w:rsid w:val="00E93E59"/>
    <w:rsid w:val="00EA31C6"/>
    <w:rsid w:val="00EC0576"/>
    <w:rsid w:val="00EC51B6"/>
    <w:rsid w:val="00EE0576"/>
    <w:rsid w:val="00EF26B8"/>
    <w:rsid w:val="00EF300B"/>
    <w:rsid w:val="00F076AC"/>
    <w:rsid w:val="00F30EB1"/>
    <w:rsid w:val="00F63470"/>
    <w:rsid w:val="00F901DD"/>
    <w:rsid w:val="00F9621F"/>
    <w:rsid w:val="00FB5B57"/>
    <w:rsid w:val="00FB7B7F"/>
    <w:rsid w:val="00FC4480"/>
    <w:rsid w:val="00FC7D91"/>
    <w:rsid w:val="00FD11D8"/>
    <w:rsid w:val="00FD1781"/>
    <w:rsid w:val="00FE3B2F"/>
    <w:rsid w:val="00FF0187"/>
    <w:rsid w:val="00FF069D"/>
    <w:rsid w:val="00FF542D"/>
    <w:rsid w:val="00FF7040"/>
    <w:rsid w:val="0224623A"/>
    <w:rsid w:val="02C03403"/>
    <w:rsid w:val="038740AC"/>
    <w:rsid w:val="043918D6"/>
    <w:rsid w:val="04BC0AF5"/>
    <w:rsid w:val="0501241F"/>
    <w:rsid w:val="05060621"/>
    <w:rsid w:val="06453DE1"/>
    <w:rsid w:val="067B6FE5"/>
    <w:rsid w:val="071D744A"/>
    <w:rsid w:val="07321691"/>
    <w:rsid w:val="07662685"/>
    <w:rsid w:val="07D6245E"/>
    <w:rsid w:val="08DC57CD"/>
    <w:rsid w:val="09031851"/>
    <w:rsid w:val="094E2024"/>
    <w:rsid w:val="094E59D0"/>
    <w:rsid w:val="095270D6"/>
    <w:rsid w:val="09594845"/>
    <w:rsid w:val="09A06EBC"/>
    <w:rsid w:val="0A09292C"/>
    <w:rsid w:val="0A1D35CE"/>
    <w:rsid w:val="0BD4077C"/>
    <w:rsid w:val="0C130EA8"/>
    <w:rsid w:val="0D791FF8"/>
    <w:rsid w:val="0DAC6B17"/>
    <w:rsid w:val="0DD3572C"/>
    <w:rsid w:val="0DF03465"/>
    <w:rsid w:val="0E064490"/>
    <w:rsid w:val="0E856DDA"/>
    <w:rsid w:val="0EBE4E88"/>
    <w:rsid w:val="0F423341"/>
    <w:rsid w:val="114704C0"/>
    <w:rsid w:val="126921E2"/>
    <w:rsid w:val="12C127A4"/>
    <w:rsid w:val="12E01424"/>
    <w:rsid w:val="14491C31"/>
    <w:rsid w:val="14862BCB"/>
    <w:rsid w:val="14C973B5"/>
    <w:rsid w:val="14D2504B"/>
    <w:rsid w:val="14D5648F"/>
    <w:rsid w:val="159A452E"/>
    <w:rsid w:val="15CA0293"/>
    <w:rsid w:val="16013AC9"/>
    <w:rsid w:val="167E4006"/>
    <w:rsid w:val="16BF44A2"/>
    <w:rsid w:val="172870C8"/>
    <w:rsid w:val="17432959"/>
    <w:rsid w:val="17471D88"/>
    <w:rsid w:val="17D02CE2"/>
    <w:rsid w:val="18436D67"/>
    <w:rsid w:val="187846C0"/>
    <w:rsid w:val="18D77BB1"/>
    <w:rsid w:val="18E90CD1"/>
    <w:rsid w:val="19DF688A"/>
    <w:rsid w:val="1AA83ACA"/>
    <w:rsid w:val="1AC25CB7"/>
    <w:rsid w:val="1AD82DAC"/>
    <w:rsid w:val="1BE50787"/>
    <w:rsid w:val="1BF74948"/>
    <w:rsid w:val="1C3C2C83"/>
    <w:rsid w:val="1C7C5DBF"/>
    <w:rsid w:val="1CBC1802"/>
    <w:rsid w:val="1D206E04"/>
    <w:rsid w:val="1D5A64C5"/>
    <w:rsid w:val="1DAD35FF"/>
    <w:rsid w:val="1DAD66FA"/>
    <w:rsid w:val="1DC6377C"/>
    <w:rsid w:val="1E714CCD"/>
    <w:rsid w:val="1F5D2144"/>
    <w:rsid w:val="1FE057A7"/>
    <w:rsid w:val="203C27CC"/>
    <w:rsid w:val="20776A96"/>
    <w:rsid w:val="21834C4C"/>
    <w:rsid w:val="22103612"/>
    <w:rsid w:val="2223311C"/>
    <w:rsid w:val="2262174A"/>
    <w:rsid w:val="22B409AB"/>
    <w:rsid w:val="23230842"/>
    <w:rsid w:val="246C3453"/>
    <w:rsid w:val="249E7DFD"/>
    <w:rsid w:val="256D682F"/>
    <w:rsid w:val="25FA62CC"/>
    <w:rsid w:val="27855967"/>
    <w:rsid w:val="28202E3B"/>
    <w:rsid w:val="284D1A1F"/>
    <w:rsid w:val="287578D4"/>
    <w:rsid w:val="28DB7C08"/>
    <w:rsid w:val="29852149"/>
    <w:rsid w:val="2A062D51"/>
    <w:rsid w:val="2A544F33"/>
    <w:rsid w:val="2A6B0897"/>
    <w:rsid w:val="2A710990"/>
    <w:rsid w:val="2AB22E8E"/>
    <w:rsid w:val="2C9E0937"/>
    <w:rsid w:val="2D4C6E69"/>
    <w:rsid w:val="2DE967DA"/>
    <w:rsid w:val="2E3C5211"/>
    <w:rsid w:val="2EA85480"/>
    <w:rsid w:val="2EC66D77"/>
    <w:rsid w:val="2F0A70C5"/>
    <w:rsid w:val="2F17793E"/>
    <w:rsid w:val="2FE923BD"/>
    <w:rsid w:val="318B0348"/>
    <w:rsid w:val="32093BEA"/>
    <w:rsid w:val="32570F73"/>
    <w:rsid w:val="3317714A"/>
    <w:rsid w:val="33847F55"/>
    <w:rsid w:val="339F4686"/>
    <w:rsid w:val="34620346"/>
    <w:rsid w:val="349F73AC"/>
    <w:rsid w:val="3553631A"/>
    <w:rsid w:val="35827A5D"/>
    <w:rsid w:val="363C4989"/>
    <w:rsid w:val="364145DA"/>
    <w:rsid w:val="379871B3"/>
    <w:rsid w:val="37CD5A34"/>
    <w:rsid w:val="37E1553E"/>
    <w:rsid w:val="38322161"/>
    <w:rsid w:val="38CC2D07"/>
    <w:rsid w:val="39F04065"/>
    <w:rsid w:val="3A8C6076"/>
    <w:rsid w:val="3B0E05FA"/>
    <w:rsid w:val="3B315F5D"/>
    <w:rsid w:val="3BAD7055"/>
    <w:rsid w:val="3CDE2200"/>
    <w:rsid w:val="3DB149CA"/>
    <w:rsid w:val="3DB52BCA"/>
    <w:rsid w:val="3F561C95"/>
    <w:rsid w:val="3FC25C55"/>
    <w:rsid w:val="407671FC"/>
    <w:rsid w:val="41F67E38"/>
    <w:rsid w:val="42077494"/>
    <w:rsid w:val="42084D83"/>
    <w:rsid w:val="42481450"/>
    <w:rsid w:val="42A3743B"/>
    <w:rsid w:val="4342216F"/>
    <w:rsid w:val="43751271"/>
    <w:rsid w:val="44153F07"/>
    <w:rsid w:val="442F3E60"/>
    <w:rsid w:val="443903DA"/>
    <w:rsid w:val="446A06E7"/>
    <w:rsid w:val="44F62A36"/>
    <w:rsid w:val="45013960"/>
    <w:rsid w:val="48A82BE7"/>
    <w:rsid w:val="48D12765"/>
    <w:rsid w:val="48FA2930"/>
    <w:rsid w:val="49C14B3F"/>
    <w:rsid w:val="4BCF1319"/>
    <w:rsid w:val="4C015121"/>
    <w:rsid w:val="4F3D7F1D"/>
    <w:rsid w:val="4F776199"/>
    <w:rsid w:val="4FE56B59"/>
    <w:rsid w:val="4FE65839"/>
    <w:rsid w:val="5058346E"/>
    <w:rsid w:val="50A437C9"/>
    <w:rsid w:val="513035D2"/>
    <w:rsid w:val="52370CF1"/>
    <w:rsid w:val="532C2B4D"/>
    <w:rsid w:val="541222F2"/>
    <w:rsid w:val="554B3404"/>
    <w:rsid w:val="554B6000"/>
    <w:rsid w:val="55612F6F"/>
    <w:rsid w:val="556218AA"/>
    <w:rsid w:val="570D0BCD"/>
    <w:rsid w:val="570E0960"/>
    <w:rsid w:val="5887578B"/>
    <w:rsid w:val="58CB2A64"/>
    <w:rsid w:val="5A4C56CC"/>
    <w:rsid w:val="5ACF0407"/>
    <w:rsid w:val="5AF1075D"/>
    <w:rsid w:val="5B3A3A10"/>
    <w:rsid w:val="5B7364C0"/>
    <w:rsid w:val="5C231B72"/>
    <w:rsid w:val="5D05359A"/>
    <w:rsid w:val="5D1B4D35"/>
    <w:rsid w:val="5D204650"/>
    <w:rsid w:val="5D266642"/>
    <w:rsid w:val="5D287AB9"/>
    <w:rsid w:val="5D4D39B0"/>
    <w:rsid w:val="5D773DF8"/>
    <w:rsid w:val="5E6C3ADF"/>
    <w:rsid w:val="5E71273A"/>
    <w:rsid w:val="5F2948F5"/>
    <w:rsid w:val="5F3A397E"/>
    <w:rsid w:val="5F7D1DD3"/>
    <w:rsid w:val="60770F8C"/>
    <w:rsid w:val="60797701"/>
    <w:rsid w:val="60EB3EB1"/>
    <w:rsid w:val="626D2C89"/>
    <w:rsid w:val="6393151D"/>
    <w:rsid w:val="63F71E2B"/>
    <w:rsid w:val="64454867"/>
    <w:rsid w:val="648F39B5"/>
    <w:rsid w:val="654525B2"/>
    <w:rsid w:val="654D4EB8"/>
    <w:rsid w:val="655B1F62"/>
    <w:rsid w:val="655E476C"/>
    <w:rsid w:val="65606394"/>
    <w:rsid w:val="65804342"/>
    <w:rsid w:val="65F337E0"/>
    <w:rsid w:val="6664353F"/>
    <w:rsid w:val="66A9059D"/>
    <w:rsid w:val="66C75043"/>
    <w:rsid w:val="6745016B"/>
    <w:rsid w:val="67AB518E"/>
    <w:rsid w:val="68A1337C"/>
    <w:rsid w:val="69841670"/>
    <w:rsid w:val="69C725FB"/>
    <w:rsid w:val="69E6205D"/>
    <w:rsid w:val="6A51497D"/>
    <w:rsid w:val="6BA71E69"/>
    <w:rsid w:val="6BF211BE"/>
    <w:rsid w:val="6C657A5F"/>
    <w:rsid w:val="6C8724D2"/>
    <w:rsid w:val="6CA86FD8"/>
    <w:rsid w:val="6CDF252E"/>
    <w:rsid w:val="6D0C17FA"/>
    <w:rsid w:val="6DAF4518"/>
    <w:rsid w:val="6F1B70AC"/>
    <w:rsid w:val="6F334509"/>
    <w:rsid w:val="6F6D0E8A"/>
    <w:rsid w:val="6FD22142"/>
    <w:rsid w:val="70331648"/>
    <w:rsid w:val="70400F90"/>
    <w:rsid w:val="70AE5CB5"/>
    <w:rsid w:val="712B476F"/>
    <w:rsid w:val="71D47165"/>
    <w:rsid w:val="721E3C80"/>
    <w:rsid w:val="72B20165"/>
    <w:rsid w:val="73AE4E7E"/>
    <w:rsid w:val="73E87BD5"/>
    <w:rsid w:val="73EA1698"/>
    <w:rsid w:val="741E7584"/>
    <w:rsid w:val="750F7ED8"/>
    <w:rsid w:val="75776A35"/>
    <w:rsid w:val="75850D3A"/>
    <w:rsid w:val="75B51E5B"/>
    <w:rsid w:val="762C3392"/>
    <w:rsid w:val="765D4C8F"/>
    <w:rsid w:val="77660596"/>
    <w:rsid w:val="79276FD7"/>
    <w:rsid w:val="794E160F"/>
    <w:rsid w:val="7B590C41"/>
    <w:rsid w:val="7B653268"/>
    <w:rsid w:val="7BE56C1A"/>
    <w:rsid w:val="7C49110B"/>
    <w:rsid w:val="7C8707C7"/>
    <w:rsid w:val="7CAC2AF0"/>
    <w:rsid w:val="7D3859B0"/>
    <w:rsid w:val="7D491A2E"/>
    <w:rsid w:val="7DEA163E"/>
    <w:rsid w:val="7E173F30"/>
    <w:rsid w:val="7E1F20C0"/>
    <w:rsid w:val="7ED007BD"/>
    <w:rsid w:val="7F401087"/>
    <w:rsid w:val="7F5E6D58"/>
    <w:rsid w:val="7F663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66BCA8"/>
  <w15:docId w15:val="{F1D775EC-93EC-43AF-A735-3EF5AB19F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
    <w:name w:val="MT正文"/>
    <w:basedOn w:val="a"/>
    <w:qFormat/>
    <w:pPr>
      <w:widowControl/>
      <w:spacing w:line="360" w:lineRule="auto"/>
      <w:ind w:firstLineChars="200" w:firstLine="643"/>
      <w:jc w:val="left"/>
    </w:pPr>
    <w:rPr>
      <w:rFonts w:ascii="Times New Roman" w:eastAsia="宋体" w:hAnsi="Times New Roman" w:cs="Times New Roman"/>
      <w:kern w:val="0"/>
      <w:sz w:val="24"/>
      <w:szCs w:val="22"/>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 w:type="paragraph" w:styleId="a8">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597</Words>
  <Characters>3406</Characters>
  <Application>Microsoft Office Word</Application>
  <DocSecurity>0</DocSecurity>
  <Lines>28</Lines>
  <Paragraphs>7</Paragraphs>
  <ScaleCrop>false</ScaleCrop>
  <Company>Microsoft</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youtao yang</cp:lastModifiedBy>
  <cp:revision>41</cp:revision>
  <dcterms:created xsi:type="dcterms:W3CDTF">2024-03-09T13:37:00Z</dcterms:created>
  <dcterms:modified xsi:type="dcterms:W3CDTF">2024-07-12T07:47:00Z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B48A9EDB60BE4CFE86CEF57D17CBDB75</vt:lpwstr>
  </property>
</Properties>
</file>