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499" w:rsidRDefault="0086093C">
      <w:pPr>
        <w:spacing w:beforeLines="50" w:before="156" w:afterLines="50" w:after="156" w:line="60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 xml:space="preserve">国 家 计 量 技 术 法 </w:t>
      </w:r>
      <w:proofErr w:type="gramStart"/>
      <w:r>
        <w:rPr>
          <w:rFonts w:ascii="黑体" w:eastAsia="黑体" w:hAnsi="黑体" w:hint="eastAsia"/>
          <w:bCs/>
          <w:sz w:val="36"/>
          <w:szCs w:val="36"/>
        </w:rPr>
        <w:t>规</w:t>
      </w:r>
      <w:proofErr w:type="gramEnd"/>
    </w:p>
    <w:p w:rsidR="00AE6499" w:rsidRDefault="0086093C">
      <w:pPr>
        <w:spacing w:beforeLines="50" w:before="156" w:afterLines="50" w:after="156" w:line="60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《标准软磁</w:t>
      </w:r>
      <w:r w:rsidR="00034258">
        <w:rPr>
          <w:rFonts w:ascii="黑体" w:eastAsia="黑体" w:hAnsi="黑体" w:hint="eastAsia"/>
          <w:bCs/>
          <w:sz w:val="36"/>
          <w:szCs w:val="36"/>
        </w:rPr>
        <w:t>环交流磁特性</w:t>
      </w:r>
      <w:r>
        <w:rPr>
          <w:rFonts w:ascii="黑体" w:eastAsia="黑体" w:hAnsi="黑体" w:hint="eastAsia"/>
          <w:bCs/>
          <w:sz w:val="36"/>
          <w:szCs w:val="36"/>
        </w:rPr>
        <w:t>检定规程》</w:t>
      </w:r>
    </w:p>
    <w:p w:rsidR="00AE6499" w:rsidRDefault="0086093C">
      <w:pPr>
        <w:spacing w:beforeLines="50" w:before="156" w:afterLines="50" w:after="156" w:line="600" w:lineRule="auto"/>
        <w:jc w:val="center"/>
        <w:rPr>
          <w:rFonts w:ascii="黑体" w:eastAsia="黑体" w:hAnsi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6"/>
          <w:szCs w:val="36"/>
        </w:rPr>
        <w:t>编制</w:t>
      </w:r>
      <w:r>
        <w:rPr>
          <w:rFonts w:ascii="黑体" w:eastAsia="黑体" w:hAnsi="黑体"/>
          <w:bCs/>
          <w:sz w:val="36"/>
          <w:szCs w:val="36"/>
        </w:rPr>
        <w:t>说明</w:t>
      </w: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AE6499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4"/>
          <w:szCs w:val="24"/>
        </w:rPr>
      </w:pPr>
    </w:p>
    <w:p w:rsidR="00AE6499" w:rsidRDefault="0086093C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《标准软磁</w:t>
      </w:r>
      <w:r w:rsidR="00034258">
        <w:rPr>
          <w:rFonts w:ascii="黑体" w:eastAsia="黑体" w:hAnsi="黑体" w:hint="eastAsia"/>
          <w:bCs/>
          <w:sz w:val="28"/>
          <w:szCs w:val="28"/>
        </w:rPr>
        <w:t>环交流磁特性</w:t>
      </w:r>
      <w:r>
        <w:rPr>
          <w:rFonts w:ascii="黑体" w:eastAsia="黑体" w:hAnsi="黑体" w:hint="eastAsia"/>
          <w:bCs/>
          <w:sz w:val="28"/>
          <w:szCs w:val="28"/>
        </w:rPr>
        <w:t>检定规程》制定工作组</w:t>
      </w:r>
    </w:p>
    <w:p w:rsidR="00AE6499" w:rsidRDefault="0086093C">
      <w:pPr>
        <w:spacing w:beforeLines="50" w:before="156" w:afterLines="50" w:after="156" w:line="360" w:lineRule="auto"/>
        <w:jc w:val="center"/>
        <w:rPr>
          <w:rFonts w:ascii="黑体" w:eastAsia="黑体" w:hAnsi="黑体"/>
          <w:bCs/>
          <w:sz w:val="28"/>
          <w:szCs w:val="28"/>
        </w:rPr>
      </w:pPr>
      <w:r>
        <w:rPr>
          <w:rFonts w:ascii="黑体" w:eastAsia="黑体" w:hAnsi="黑体" w:hint="eastAsia"/>
          <w:bCs/>
          <w:sz w:val="28"/>
          <w:szCs w:val="28"/>
        </w:rPr>
        <w:t>2</w:t>
      </w:r>
      <w:r>
        <w:rPr>
          <w:rFonts w:ascii="黑体" w:eastAsia="黑体" w:hAnsi="黑体"/>
          <w:bCs/>
          <w:sz w:val="28"/>
          <w:szCs w:val="28"/>
        </w:rPr>
        <w:t>0</w:t>
      </w:r>
      <w:r>
        <w:rPr>
          <w:rFonts w:ascii="黑体" w:eastAsia="黑体" w:hAnsi="黑体" w:hint="eastAsia"/>
          <w:bCs/>
          <w:sz w:val="28"/>
          <w:szCs w:val="28"/>
        </w:rPr>
        <w:t>24年</w:t>
      </w:r>
      <w:r w:rsidR="00034258">
        <w:rPr>
          <w:rFonts w:ascii="黑体" w:eastAsia="黑体" w:hAnsi="黑体" w:hint="eastAsia"/>
          <w:bCs/>
          <w:sz w:val="28"/>
          <w:szCs w:val="28"/>
        </w:rPr>
        <w:t>6</w:t>
      </w:r>
      <w:r>
        <w:rPr>
          <w:rFonts w:ascii="黑体" w:eastAsia="黑体" w:hAnsi="黑体" w:hint="eastAsia"/>
          <w:bCs/>
          <w:sz w:val="28"/>
          <w:szCs w:val="28"/>
        </w:rPr>
        <w:t>月</w:t>
      </w:r>
    </w:p>
    <w:p w:rsidR="00AE6499" w:rsidRDefault="0086093C">
      <w:pPr>
        <w:widowControl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AE6499" w:rsidRDefault="0086093C">
      <w:pPr>
        <w:spacing w:beforeLines="50" w:before="156" w:afterLines="50" w:after="156" w:line="360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一、</w:t>
      </w:r>
      <w:r>
        <w:rPr>
          <w:b/>
          <w:bCs/>
          <w:sz w:val="24"/>
          <w:szCs w:val="24"/>
        </w:rPr>
        <w:t>立项背景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软磁材料是变压器、电源</w:t>
      </w:r>
      <w:r>
        <w:rPr>
          <w:rFonts w:ascii="宋体" w:hAnsi="宋体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传感器、滤波器、电机等产品的关键材料，在电器、电子设备中应用广泛，是信息通讯、自动化产业、国防工业、航空航天等高科技领域必不可少的功能元件，其磁性量值将影响这些产品和领域技术水平的高低。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软磁材料在使用时，除了关注直流性能外，其交流磁特性也是其软磁材料的重要参数。交流磁特性包含不同频率下的比总损耗和振幅磁导率，测量对象环形样品。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目前，检定软</w:t>
      </w:r>
      <w:proofErr w:type="gramStart"/>
      <w:r>
        <w:rPr>
          <w:rFonts w:ascii="宋体" w:hAnsi="宋体" w:hint="eastAsia"/>
          <w:sz w:val="24"/>
          <w:szCs w:val="24"/>
        </w:rPr>
        <w:t>磁交流</w:t>
      </w:r>
      <w:proofErr w:type="gramEnd"/>
      <w:r>
        <w:rPr>
          <w:rFonts w:ascii="宋体" w:hAnsi="宋体" w:hint="eastAsia"/>
          <w:sz w:val="24"/>
          <w:szCs w:val="24"/>
        </w:rPr>
        <w:t>磁性能的依据的检定规程为JJG493-1987《软磁材料音频磁特性标准样品（交流磁化曲线及幅值磁导率）》，该检定规程的频率范围我为45Hz-20kHz，检定项目仅为振幅磁导率，使用仪器设备也没有功率测量功能。随着软磁材料产业的发展，对材料的测量范围和参数提出了更高的要求，比如比总损耗成为软</w:t>
      </w:r>
      <w:proofErr w:type="gramStart"/>
      <w:r>
        <w:rPr>
          <w:rFonts w:ascii="宋体" w:hAnsi="宋体" w:hint="eastAsia"/>
          <w:sz w:val="24"/>
          <w:szCs w:val="24"/>
        </w:rPr>
        <w:t>磁交流</w:t>
      </w:r>
      <w:proofErr w:type="gramEnd"/>
      <w:r>
        <w:rPr>
          <w:rFonts w:ascii="宋体" w:hAnsi="宋体" w:hint="eastAsia"/>
          <w:sz w:val="24"/>
          <w:szCs w:val="24"/>
        </w:rPr>
        <w:t>性能的主要参数。因此旧版本的检定规程在很多频率范围、检定项目和仪器配置等方面都不能满足使用要求。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因此</w:t>
      </w:r>
      <w:r>
        <w:rPr>
          <w:rFonts w:ascii="宋体" w:hAnsi="宋体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为了</w:t>
      </w:r>
      <w:r>
        <w:rPr>
          <w:rFonts w:ascii="宋体" w:hAnsi="宋体"/>
          <w:bCs/>
          <w:sz w:val="24"/>
          <w:szCs w:val="24"/>
        </w:rPr>
        <w:t>适应</w:t>
      </w:r>
      <w:r>
        <w:rPr>
          <w:rFonts w:ascii="宋体" w:hAnsi="宋体" w:hint="eastAsia"/>
          <w:bCs/>
          <w:sz w:val="24"/>
          <w:szCs w:val="24"/>
        </w:rPr>
        <w:t>软磁</w:t>
      </w:r>
      <w:r>
        <w:rPr>
          <w:rFonts w:ascii="宋体" w:hAnsi="宋体"/>
          <w:bCs/>
          <w:sz w:val="24"/>
          <w:szCs w:val="24"/>
        </w:rPr>
        <w:t>材料的发展和软</w:t>
      </w:r>
      <w:proofErr w:type="gramStart"/>
      <w:r>
        <w:rPr>
          <w:rFonts w:ascii="宋体" w:hAnsi="宋体"/>
          <w:bCs/>
          <w:sz w:val="24"/>
          <w:szCs w:val="24"/>
        </w:rPr>
        <w:t>磁交流</w:t>
      </w:r>
      <w:proofErr w:type="gramEnd"/>
      <w:r>
        <w:rPr>
          <w:rFonts w:ascii="宋体" w:hAnsi="宋体"/>
          <w:bCs/>
          <w:sz w:val="24"/>
          <w:szCs w:val="24"/>
        </w:rPr>
        <w:t>磁性能的测量需求，需要对</w:t>
      </w:r>
      <w:r>
        <w:rPr>
          <w:rFonts w:ascii="宋体" w:hAnsi="宋体" w:hint="eastAsia"/>
          <w:bCs/>
          <w:sz w:val="24"/>
          <w:szCs w:val="24"/>
        </w:rPr>
        <w:t>原有检定规程性能修订，满足计量和行业发展的需求。</w:t>
      </w:r>
    </w:p>
    <w:p w:rsidR="00AE6499" w:rsidRDefault="0086093C">
      <w:pPr>
        <w:spacing w:beforeLines="50" w:before="156" w:afterLines="50" w:after="156" w:line="360" w:lineRule="auto"/>
        <w:ind w:firstLine="1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任务</w:t>
      </w:r>
      <w:r>
        <w:rPr>
          <w:b/>
          <w:bCs/>
          <w:sz w:val="24"/>
          <w:szCs w:val="24"/>
        </w:rPr>
        <w:t>来源</w:t>
      </w:r>
    </w:p>
    <w:p w:rsidR="00AE6499" w:rsidRDefault="0086093C">
      <w:pPr>
        <w:spacing w:line="360" w:lineRule="auto"/>
        <w:ind w:firstLineChars="200" w:firstLine="480"/>
      </w:pPr>
      <w:r>
        <w:rPr>
          <w:rFonts w:ascii="宋体" w:hAnsi="宋体" w:hint="eastAsia"/>
          <w:bCs/>
          <w:sz w:val="24"/>
          <w:szCs w:val="24"/>
        </w:rPr>
        <w:t>软磁材料交流磁特性标准样品</w:t>
      </w:r>
      <w:proofErr w:type="gramStart"/>
      <w:r>
        <w:rPr>
          <w:rFonts w:ascii="宋体" w:hAnsi="宋体" w:hint="eastAsia"/>
          <w:sz w:val="24"/>
          <w:szCs w:val="24"/>
        </w:rPr>
        <w:t>》</w:t>
      </w:r>
      <w:proofErr w:type="gramEnd"/>
      <w:r>
        <w:rPr>
          <w:rFonts w:ascii="宋体" w:hAnsi="宋体" w:hint="eastAsia"/>
          <w:sz w:val="24"/>
          <w:szCs w:val="24"/>
        </w:rPr>
        <w:t>检定规程的修订任务是由全国磁学计量技术委员会以</w:t>
      </w:r>
      <w:proofErr w:type="gramStart"/>
      <w:r>
        <w:rPr>
          <w:rFonts w:ascii="宋体" w:hAnsi="宋体" w:hint="eastAsia"/>
          <w:sz w:val="24"/>
          <w:szCs w:val="24"/>
        </w:rPr>
        <w:t>国磁计技</w:t>
      </w:r>
      <w:proofErr w:type="gramEnd"/>
      <w:r>
        <w:rPr>
          <w:rFonts w:ascii="宋体" w:hAnsi="宋体" w:hint="eastAsia"/>
          <w:sz w:val="24"/>
          <w:szCs w:val="24"/>
        </w:rPr>
        <w:t>委函（2001）03号文批准立项，并按有关要求完成的。</w:t>
      </w:r>
    </w:p>
    <w:p w:rsidR="00AE6499" w:rsidRPr="00553FA2" w:rsidRDefault="0086093C" w:rsidP="00553FA2">
      <w:pPr>
        <w:spacing w:beforeLines="50" w:before="156" w:afterLines="50" w:after="156" w:line="360" w:lineRule="auto"/>
        <w:ind w:firstLine="1"/>
        <w:jc w:val="left"/>
        <w:rPr>
          <w:b/>
          <w:bCs/>
          <w:sz w:val="24"/>
          <w:szCs w:val="24"/>
        </w:rPr>
      </w:pPr>
      <w:r w:rsidRPr="00553FA2">
        <w:rPr>
          <w:rFonts w:hint="eastAsia"/>
          <w:b/>
          <w:bCs/>
          <w:sz w:val="24"/>
          <w:szCs w:val="24"/>
        </w:rPr>
        <w:t>三、</w:t>
      </w:r>
      <w:r w:rsidRPr="00553FA2">
        <w:rPr>
          <w:rFonts w:hint="eastAsia"/>
          <w:b/>
          <w:bCs/>
          <w:sz w:val="24"/>
          <w:szCs w:val="24"/>
        </w:rPr>
        <w:t xml:space="preserve">  </w:t>
      </w:r>
      <w:r w:rsidRPr="00553FA2">
        <w:rPr>
          <w:rFonts w:hint="eastAsia"/>
          <w:b/>
          <w:bCs/>
          <w:sz w:val="24"/>
          <w:szCs w:val="24"/>
        </w:rPr>
        <w:t>与国际建议、国际文件、国际标准、国内标准等技术文件的兼容情况</w:t>
      </w:r>
    </w:p>
    <w:p w:rsidR="00AE6499" w:rsidRDefault="0086093C">
      <w:pPr>
        <w:spacing w:line="360" w:lineRule="auto"/>
        <w:ind w:firstLine="435"/>
        <w:rPr>
          <w:rFonts w:ascii="宋体" w:hAnsi="宋体"/>
          <w:sz w:val="24"/>
          <w:szCs w:val="28"/>
        </w:rPr>
      </w:pPr>
      <w:r>
        <w:rPr>
          <w:rFonts w:hint="eastAsia"/>
          <w:sz w:val="24"/>
          <w:szCs w:val="21"/>
        </w:rPr>
        <w:t>本规程遵循</w:t>
      </w:r>
      <w:r>
        <w:rPr>
          <w:rFonts w:ascii="宋体" w:hAnsi="宋体" w:hint="eastAsia"/>
          <w:sz w:val="24"/>
          <w:szCs w:val="28"/>
        </w:rPr>
        <w:t>IEC 60404-6</w:t>
      </w:r>
      <w:r w:rsidR="00553FA2">
        <w:rPr>
          <w:rFonts w:ascii="宋体" w:hAnsi="宋体" w:hint="eastAsia"/>
          <w:sz w:val="24"/>
          <w:szCs w:val="28"/>
        </w:rPr>
        <w:t>标准中</w:t>
      </w:r>
      <w:r>
        <w:rPr>
          <w:rFonts w:ascii="宋体" w:hAnsi="宋体" w:hint="eastAsia"/>
          <w:sz w:val="24"/>
          <w:szCs w:val="28"/>
        </w:rPr>
        <w:t>，</w:t>
      </w:r>
      <w:r>
        <w:rPr>
          <w:rFonts w:hint="eastAsia"/>
          <w:sz w:val="24"/>
          <w:szCs w:val="21"/>
        </w:rPr>
        <w:t>采用伏安法测量振幅磁导率；遵循</w:t>
      </w:r>
      <w:r>
        <w:rPr>
          <w:rFonts w:ascii="宋体" w:hAnsi="宋体" w:hint="eastAsia"/>
          <w:sz w:val="24"/>
          <w:szCs w:val="28"/>
        </w:rPr>
        <w:t>IEC 60404-6</w:t>
      </w:r>
      <w:r w:rsidR="00553FA2">
        <w:rPr>
          <w:rFonts w:ascii="宋体" w:hAnsi="宋体" w:hint="eastAsia"/>
          <w:sz w:val="24"/>
          <w:szCs w:val="28"/>
        </w:rPr>
        <w:t>标准</w:t>
      </w:r>
      <w:r>
        <w:rPr>
          <w:rFonts w:ascii="宋体" w:hAnsi="宋体" w:hint="eastAsia"/>
          <w:sz w:val="24"/>
          <w:szCs w:val="28"/>
        </w:rPr>
        <w:t>，</w:t>
      </w:r>
      <w:r>
        <w:rPr>
          <w:rFonts w:hint="eastAsia"/>
          <w:sz w:val="24"/>
          <w:szCs w:val="21"/>
        </w:rPr>
        <w:t>采用功率表法测量比损耗。测量方法和计算公式完全遵循</w:t>
      </w:r>
      <w:r>
        <w:rPr>
          <w:rFonts w:ascii="宋体" w:hAnsi="宋体" w:hint="eastAsia"/>
          <w:sz w:val="24"/>
          <w:szCs w:val="28"/>
        </w:rPr>
        <w:t>IEC 60404-6标准。</w:t>
      </w:r>
    </w:p>
    <w:p w:rsidR="00AE6499" w:rsidRDefault="0086093C">
      <w:pPr>
        <w:spacing w:beforeLines="50" w:before="156" w:afterLines="50" w:after="156" w:line="360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承担</w:t>
      </w:r>
      <w:r>
        <w:rPr>
          <w:b/>
          <w:bCs/>
          <w:sz w:val="24"/>
          <w:szCs w:val="24"/>
        </w:rPr>
        <w:t>单位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根据</w:t>
      </w:r>
      <w:r>
        <w:rPr>
          <w:rFonts w:ascii="宋体" w:hAnsi="宋体"/>
          <w:bCs/>
          <w:sz w:val="24"/>
          <w:szCs w:val="24"/>
        </w:rPr>
        <w:t>国家计量技术法规制定</w:t>
      </w:r>
      <w:r>
        <w:rPr>
          <w:rFonts w:ascii="宋体" w:hAnsi="宋体" w:hint="eastAsia"/>
          <w:bCs/>
          <w:sz w:val="24"/>
          <w:szCs w:val="24"/>
        </w:rPr>
        <w:t>/修订</w:t>
      </w:r>
      <w:r>
        <w:rPr>
          <w:rFonts w:ascii="宋体" w:hAnsi="宋体"/>
          <w:bCs/>
          <w:sz w:val="24"/>
          <w:szCs w:val="24"/>
        </w:rPr>
        <w:t>计划，该检定规程的</w:t>
      </w:r>
      <w:proofErr w:type="gramStart"/>
      <w:r>
        <w:rPr>
          <w:rFonts w:ascii="宋体" w:hAnsi="宋体"/>
          <w:bCs/>
          <w:sz w:val="24"/>
          <w:szCs w:val="24"/>
        </w:rPr>
        <w:t>的</w:t>
      </w:r>
      <w:proofErr w:type="gramEnd"/>
      <w:r>
        <w:rPr>
          <w:rFonts w:ascii="宋体" w:hAnsi="宋体" w:hint="eastAsia"/>
          <w:bCs/>
          <w:sz w:val="24"/>
          <w:szCs w:val="24"/>
        </w:rPr>
        <w:t>主要起草</w:t>
      </w:r>
      <w:r>
        <w:rPr>
          <w:rFonts w:ascii="宋体" w:hAnsi="宋体"/>
          <w:bCs/>
          <w:sz w:val="24"/>
          <w:szCs w:val="24"/>
        </w:rPr>
        <w:t>单位为</w:t>
      </w:r>
      <w:r>
        <w:rPr>
          <w:rFonts w:ascii="宋体" w:hAnsi="宋体" w:hint="eastAsia"/>
          <w:bCs/>
          <w:sz w:val="24"/>
          <w:szCs w:val="24"/>
        </w:rPr>
        <w:t>中国</w:t>
      </w:r>
      <w:r>
        <w:rPr>
          <w:rFonts w:ascii="宋体" w:hAnsi="宋体"/>
          <w:bCs/>
          <w:sz w:val="24"/>
          <w:szCs w:val="24"/>
        </w:rPr>
        <w:t>计量科学研究院</w:t>
      </w:r>
      <w:r>
        <w:rPr>
          <w:rFonts w:ascii="宋体" w:hAnsi="宋体" w:hint="eastAsia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lastRenderedPageBreak/>
        <w:t>参加起草单位</w:t>
      </w:r>
      <w:r>
        <w:rPr>
          <w:rFonts w:ascii="宋体" w:hAnsi="宋体" w:hint="eastAsia"/>
          <w:bCs/>
          <w:sz w:val="24"/>
          <w:szCs w:val="24"/>
        </w:rPr>
        <w:t>有宁波</w:t>
      </w:r>
      <w:r>
        <w:rPr>
          <w:rFonts w:ascii="宋体" w:hAnsi="宋体"/>
          <w:bCs/>
          <w:sz w:val="24"/>
          <w:szCs w:val="24"/>
        </w:rPr>
        <w:t>市计量</w:t>
      </w:r>
      <w:r>
        <w:rPr>
          <w:rFonts w:ascii="宋体" w:hAnsi="宋体" w:hint="eastAsia"/>
          <w:bCs/>
          <w:sz w:val="24"/>
          <w:szCs w:val="24"/>
        </w:rPr>
        <w:t>测试</w:t>
      </w:r>
      <w:r>
        <w:rPr>
          <w:rFonts w:ascii="宋体" w:hAnsi="宋体"/>
          <w:bCs/>
          <w:sz w:val="24"/>
          <w:szCs w:val="24"/>
        </w:rPr>
        <w:t>研究院（宁波新材料检验检测中心）</w:t>
      </w:r>
      <w:r>
        <w:rPr>
          <w:rFonts w:ascii="宋体" w:hAnsi="宋体" w:hint="eastAsia"/>
          <w:bCs/>
          <w:sz w:val="24"/>
          <w:szCs w:val="24"/>
        </w:rPr>
        <w:t>、安泰科技股份有限公司北京空港新材料分公司。</w:t>
      </w:r>
    </w:p>
    <w:p w:rsidR="00AE6499" w:rsidRDefault="0086093C">
      <w:pPr>
        <w:spacing w:beforeLines="50" w:before="156" w:afterLines="50" w:after="156" w:line="360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制定</w:t>
      </w:r>
      <w:r>
        <w:rPr>
          <w:b/>
          <w:bCs/>
          <w:sz w:val="24"/>
          <w:szCs w:val="24"/>
        </w:rPr>
        <w:t>的</w:t>
      </w:r>
      <w:r>
        <w:rPr>
          <w:rFonts w:hint="eastAsia"/>
          <w:b/>
          <w:bCs/>
          <w:sz w:val="24"/>
          <w:szCs w:val="24"/>
        </w:rPr>
        <w:t>目的</w:t>
      </w:r>
      <w:r>
        <w:rPr>
          <w:b/>
          <w:bCs/>
          <w:sz w:val="24"/>
          <w:szCs w:val="24"/>
        </w:rPr>
        <w:t>和意义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软磁</w:t>
      </w:r>
      <w:r>
        <w:rPr>
          <w:rFonts w:ascii="宋体" w:hAnsi="宋体"/>
          <w:bCs/>
          <w:sz w:val="24"/>
          <w:szCs w:val="24"/>
        </w:rPr>
        <w:t>材料的交流磁性能</w:t>
      </w:r>
      <w:r>
        <w:rPr>
          <w:rFonts w:ascii="宋体" w:hAnsi="宋体" w:hint="eastAsia"/>
          <w:bCs/>
          <w:sz w:val="24"/>
          <w:szCs w:val="24"/>
        </w:rPr>
        <w:t>是软磁材料产品</w:t>
      </w:r>
      <w:r>
        <w:rPr>
          <w:rFonts w:ascii="宋体" w:hAnsi="宋体"/>
          <w:bCs/>
          <w:sz w:val="24"/>
          <w:szCs w:val="24"/>
        </w:rPr>
        <w:t>设计和</w:t>
      </w:r>
      <w:r>
        <w:rPr>
          <w:rFonts w:ascii="宋体" w:hAnsi="宋体" w:hint="eastAsia"/>
          <w:bCs/>
          <w:sz w:val="24"/>
          <w:szCs w:val="24"/>
        </w:rPr>
        <w:t>应</w:t>
      </w:r>
      <w:r>
        <w:rPr>
          <w:rFonts w:ascii="宋体" w:hAnsi="宋体"/>
          <w:bCs/>
          <w:sz w:val="24"/>
          <w:szCs w:val="24"/>
        </w:rPr>
        <w:t>用的基础。</w:t>
      </w:r>
      <w:r>
        <w:rPr>
          <w:rFonts w:ascii="宋体" w:hAnsi="宋体" w:hint="eastAsia"/>
          <w:bCs/>
          <w:sz w:val="24"/>
          <w:szCs w:val="24"/>
        </w:rPr>
        <w:t>《标准软磁交流磁特性环</w:t>
      </w:r>
      <w:r>
        <w:rPr>
          <w:rFonts w:ascii="宋体" w:hAnsi="宋体"/>
          <w:bCs/>
          <w:sz w:val="24"/>
          <w:szCs w:val="24"/>
        </w:rPr>
        <w:t>》</w:t>
      </w:r>
      <w:r>
        <w:rPr>
          <w:rFonts w:ascii="宋体" w:hAnsi="宋体" w:hint="eastAsia"/>
          <w:bCs/>
          <w:sz w:val="24"/>
          <w:szCs w:val="24"/>
        </w:rPr>
        <w:t>的</w:t>
      </w:r>
      <w:r>
        <w:rPr>
          <w:rFonts w:ascii="宋体" w:hAnsi="宋体"/>
          <w:bCs/>
          <w:sz w:val="24"/>
          <w:szCs w:val="24"/>
        </w:rPr>
        <w:t>修订，</w:t>
      </w:r>
      <w:r>
        <w:rPr>
          <w:rFonts w:ascii="宋体" w:hAnsi="宋体" w:hint="eastAsia"/>
          <w:bCs/>
          <w:sz w:val="24"/>
          <w:szCs w:val="24"/>
        </w:rPr>
        <w:t>将促进我国</w:t>
      </w:r>
      <w:r>
        <w:rPr>
          <w:rFonts w:ascii="宋体" w:hAnsi="宋体"/>
          <w:bCs/>
          <w:sz w:val="24"/>
          <w:szCs w:val="24"/>
        </w:rPr>
        <w:t>软磁材料量值一致，同时有助于软磁材料研制、生产和使用技术水平</w:t>
      </w:r>
      <w:r>
        <w:rPr>
          <w:rFonts w:ascii="宋体" w:hAnsi="宋体" w:hint="eastAsia"/>
          <w:bCs/>
          <w:sz w:val="24"/>
          <w:szCs w:val="24"/>
        </w:rPr>
        <w:t>的提升</w:t>
      </w:r>
      <w:r>
        <w:rPr>
          <w:rFonts w:ascii="宋体" w:hAnsi="宋体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JJG493-1987《软磁材料音频磁特性标准样品（交流磁化曲线及幅值磁导率）》在很多方面都不能满足使用的需求。</w:t>
      </w:r>
      <w:r>
        <w:rPr>
          <w:rFonts w:ascii="宋体" w:hAnsi="宋体" w:hint="eastAsia"/>
          <w:bCs/>
          <w:sz w:val="24"/>
          <w:szCs w:val="24"/>
        </w:rPr>
        <w:t>《标准软磁交流磁特性环</w:t>
      </w:r>
      <w:r>
        <w:rPr>
          <w:rFonts w:ascii="宋体" w:hAnsi="宋体"/>
          <w:bCs/>
          <w:sz w:val="24"/>
          <w:szCs w:val="24"/>
        </w:rPr>
        <w:t>》</w:t>
      </w:r>
      <w:r>
        <w:rPr>
          <w:rFonts w:ascii="宋体" w:hAnsi="宋体" w:hint="eastAsia"/>
          <w:bCs/>
          <w:sz w:val="24"/>
          <w:szCs w:val="24"/>
        </w:rPr>
        <w:t>的</w:t>
      </w:r>
      <w:r>
        <w:rPr>
          <w:rFonts w:ascii="宋体" w:hAnsi="宋体"/>
          <w:bCs/>
          <w:sz w:val="24"/>
          <w:szCs w:val="24"/>
        </w:rPr>
        <w:t>修订</w:t>
      </w:r>
      <w:r>
        <w:rPr>
          <w:rFonts w:ascii="宋体" w:hAnsi="宋体" w:hint="eastAsia"/>
          <w:bCs/>
          <w:sz w:val="24"/>
          <w:szCs w:val="24"/>
        </w:rPr>
        <w:t>，将扩大标准软</w:t>
      </w:r>
      <w:proofErr w:type="gramStart"/>
      <w:r>
        <w:rPr>
          <w:rFonts w:ascii="宋体" w:hAnsi="宋体" w:hint="eastAsia"/>
          <w:bCs/>
          <w:sz w:val="24"/>
          <w:szCs w:val="24"/>
        </w:rPr>
        <w:t>磁交流磁特性环</w:t>
      </w:r>
      <w:proofErr w:type="gramEnd"/>
      <w:r>
        <w:rPr>
          <w:rFonts w:ascii="宋体" w:hAnsi="宋体" w:hint="eastAsia"/>
          <w:bCs/>
          <w:sz w:val="24"/>
          <w:szCs w:val="24"/>
        </w:rPr>
        <w:t>的频率范围、增加检定项目和计量标准器具，修订后的规程，更加满足软</w:t>
      </w:r>
      <w:proofErr w:type="gramStart"/>
      <w:r>
        <w:rPr>
          <w:rFonts w:ascii="宋体" w:hAnsi="宋体" w:hint="eastAsia"/>
          <w:bCs/>
          <w:sz w:val="24"/>
          <w:szCs w:val="24"/>
        </w:rPr>
        <w:t>磁交流磁特性环</w:t>
      </w:r>
      <w:proofErr w:type="gramEnd"/>
      <w:r>
        <w:rPr>
          <w:rFonts w:ascii="宋体" w:hAnsi="宋体" w:hint="eastAsia"/>
          <w:bCs/>
          <w:sz w:val="24"/>
          <w:szCs w:val="24"/>
        </w:rPr>
        <w:t>的计量需求。</w:t>
      </w:r>
      <w:r>
        <w:rPr>
          <w:rFonts w:ascii="宋体" w:hAnsi="宋体" w:hint="eastAsia"/>
          <w:sz w:val="24"/>
          <w:szCs w:val="24"/>
        </w:rPr>
        <w:t>在实际操作中，经常会遇到一些问题从而对测量值产生质疑，这时最方便的方法就是使用经过计量部门认定的标准</w:t>
      </w:r>
      <w:proofErr w:type="gramStart"/>
      <w:r>
        <w:rPr>
          <w:rFonts w:ascii="宋体" w:hAnsi="宋体" w:hint="eastAsia"/>
          <w:sz w:val="24"/>
          <w:szCs w:val="24"/>
        </w:rPr>
        <w:t>软磁交流环</w:t>
      </w:r>
      <w:proofErr w:type="gramEnd"/>
      <w:r>
        <w:rPr>
          <w:rFonts w:ascii="宋体" w:hAnsi="宋体" w:hint="eastAsia"/>
          <w:sz w:val="24"/>
          <w:szCs w:val="24"/>
        </w:rPr>
        <w:t>进行比对验证，确保产品数据的准确可靠。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标准软</w:t>
      </w:r>
      <w:proofErr w:type="gramStart"/>
      <w:r>
        <w:rPr>
          <w:rFonts w:ascii="宋体" w:hAnsi="宋体" w:hint="eastAsia"/>
          <w:sz w:val="24"/>
          <w:szCs w:val="24"/>
        </w:rPr>
        <w:t>磁交流磁特性环在国内软磁行业</w:t>
      </w:r>
      <w:proofErr w:type="gramEnd"/>
      <w:r>
        <w:rPr>
          <w:rFonts w:ascii="宋体" w:hAnsi="宋体" w:hint="eastAsia"/>
          <w:sz w:val="24"/>
          <w:szCs w:val="24"/>
        </w:rPr>
        <w:t>内的广泛使用，将提高测量结果的复现性水平，保障量值的溯源性，促进行业内交流磁特性量值的</w:t>
      </w:r>
      <w:r>
        <w:rPr>
          <w:rFonts w:ascii="宋体" w:hAnsi="宋体" w:hint="eastAsia"/>
          <w:bCs/>
          <w:sz w:val="24"/>
          <w:szCs w:val="24"/>
        </w:rPr>
        <w:t>准确性</w:t>
      </w:r>
      <w:r>
        <w:rPr>
          <w:rFonts w:ascii="宋体" w:hAnsi="宋体"/>
          <w:bCs/>
          <w:sz w:val="24"/>
          <w:szCs w:val="24"/>
        </w:rPr>
        <w:t>、</w:t>
      </w:r>
      <w:r>
        <w:rPr>
          <w:rFonts w:ascii="宋体" w:hAnsi="宋体" w:hint="eastAsia"/>
          <w:bCs/>
          <w:sz w:val="24"/>
          <w:szCs w:val="24"/>
        </w:rPr>
        <w:t>可靠性</w:t>
      </w:r>
      <w:r>
        <w:rPr>
          <w:rFonts w:ascii="宋体" w:hAnsi="宋体"/>
          <w:bCs/>
          <w:sz w:val="24"/>
          <w:szCs w:val="24"/>
        </w:rPr>
        <w:t>和</w:t>
      </w:r>
      <w:r>
        <w:rPr>
          <w:rFonts w:ascii="宋体" w:hAnsi="宋体" w:hint="eastAsia"/>
          <w:bCs/>
          <w:sz w:val="24"/>
          <w:szCs w:val="24"/>
        </w:rPr>
        <w:t>国际</w:t>
      </w:r>
      <w:r>
        <w:rPr>
          <w:rFonts w:ascii="宋体" w:hAnsi="宋体"/>
          <w:bCs/>
          <w:sz w:val="24"/>
          <w:szCs w:val="24"/>
        </w:rPr>
        <w:t>一致性。</w:t>
      </w:r>
      <w:r>
        <w:rPr>
          <w:rFonts w:ascii="宋体" w:hAnsi="宋体" w:hint="eastAsia"/>
          <w:sz w:val="24"/>
          <w:szCs w:val="24"/>
        </w:rPr>
        <w:t>因此，修订本规范具有重要意义。</w:t>
      </w:r>
    </w:p>
    <w:p w:rsidR="00AE6499" w:rsidRDefault="0086093C">
      <w:pPr>
        <w:spacing w:beforeLines="50" w:before="156" w:afterLines="50" w:after="156" w:line="360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修订</w:t>
      </w:r>
      <w:r>
        <w:rPr>
          <w:b/>
          <w:bCs/>
          <w:sz w:val="24"/>
          <w:szCs w:val="24"/>
        </w:rPr>
        <w:t>的基本原则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符合</w:t>
      </w:r>
      <w:r>
        <w:rPr>
          <w:rFonts w:ascii="宋体" w:hAnsi="宋体"/>
          <w:bCs/>
          <w:sz w:val="24"/>
          <w:szCs w:val="24"/>
        </w:rPr>
        <w:t>国家有关法律、法规的规定，各项要求科学合理</w:t>
      </w:r>
      <w:r>
        <w:rPr>
          <w:rFonts w:ascii="宋体" w:hAnsi="宋体" w:hint="eastAsia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重点考虑</w:t>
      </w:r>
      <w:r>
        <w:rPr>
          <w:rFonts w:ascii="宋体" w:hAnsi="宋体" w:hint="eastAsia"/>
          <w:bCs/>
          <w:sz w:val="24"/>
          <w:szCs w:val="24"/>
        </w:rPr>
        <w:t>操作</w:t>
      </w:r>
      <w:r>
        <w:rPr>
          <w:rFonts w:ascii="宋体" w:hAnsi="宋体"/>
          <w:bCs/>
          <w:sz w:val="24"/>
          <w:szCs w:val="24"/>
        </w:rPr>
        <w:t>的可行性及实施的经济</w:t>
      </w:r>
      <w:r>
        <w:rPr>
          <w:rFonts w:ascii="宋体" w:hAnsi="宋体" w:hint="eastAsia"/>
          <w:bCs/>
          <w:sz w:val="24"/>
          <w:szCs w:val="24"/>
        </w:rPr>
        <w:t>性。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借鉴国家标准、国际标准等技术文件，</w:t>
      </w:r>
      <w:r>
        <w:rPr>
          <w:rFonts w:ascii="宋体" w:hAnsi="宋体" w:hint="eastAsia"/>
          <w:bCs/>
          <w:sz w:val="24"/>
          <w:szCs w:val="24"/>
        </w:rPr>
        <w:t>保持</w:t>
      </w:r>
      <w:r>
        <w:rPr>
          <w:rFonts w:ascii="宋体" w:hAnsi="宋体"/>
          <w:bCs/>
          <w:sz w:val="24"/>
          <w:szCs w:val="24"/>
        </w:rPr>
        <w:t>与相关技术文件的一致性、统一性。</w:t>
      </w:r>
    </w:p>
    <w:p w:rsidR="00AE6499" w:rsidRDefault="0086093C">
      <w:pPr>
        <w:spacing w:beforeLines="50" w:before="156" w:afterLines="50" w:after="156" w:line="360" w:lineRule="auto"/>
        <w:jc w:val="lef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七</w:t>
      </w:r>
      <w:r>
        <w:rPr>
          <w:b/>
          <w:bCs/>
          <w:sz w:val="24"/>
          <w:szCs w:val="24"/>
        </w:rPr>
        <w:t>、制</w:t>
      </w:r>
      <w:r>
        <w:rPr>
          <w:rFonts w:hint="eastAsia"/>
          <w:b/>
          <w:bCs/>
          <w:sz w:val="24"/>
          <w:szCs w:val="24"/>
        </w:rPr>
        <w:t>订</w:t>
      </w:r>
      <w:r>
        <w:rPr>
          <w:b/>
          <w:bCs/>
          <w:sz w:val="24"/>
          <w:szCs w:val="24"/>
        </w:rPr>
        <w:t>过程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（1</w:t>
      </w:r>
      <w:r>
        <w:rPr>
          <w:rFonts w:ascii="宋体" w:hAnsi="宋体"/>
          <w:bCs/>
          <w:sz w:val="24"/>
          <w:szCs w:val="24"/>
        </w:rPr>
        <w:t>）</w:t>
      </w:r>
      <w:r>
        <w:rPr>
          <w:rFonts w:ascii="宋体" w:hAnsi="宋体" w:hint="eastAsia"/>
          <w:bCs/>
          <w:sz w:val="24"/>
          <w:szCs w:val="24"/>
        </w:rPr>
        <w:t>2006年</w:t>
      </w:r>
      <w:r>
        <w:rPr>
          <w:rFonts w:ascii="宋体" w:hAnsi="宋体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检定规程</w:t>
      </w:r>
      <w:r>
        <w:rPr>
          <w:rFonts w:ascii="宋体" w:hAnsi="宋体"/>
          <w:bCs/>
          <w:sz w:val="24"/>
          <w:szCs w:val="24"/>
        </w:rPr>
        <w:t>立项。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（2）2006年1月-</w:t>
      </w:r>
      <w:r>
        <w:rPr>
          <w:rFonts w:ascii="宋体" w:hAnsi="宋体"/>
          <w:bCs/>
          <w:sz w:val="24"/>
          <w:szCs w:val="24"/>
        </w:rPr>
        <w:t>20</w:t>
      </w:r>
      <w:r>
        <w:rPr>
          <w:rFonts w:ascii="宋体" w:hAnsi="宋体" w:hint="eastAsia"/>
          <w:bCs/>
          <w:sz w:val="24"/>
          <w:szCs w:val="24"/>
        </w:rPr>
        <w:t>06年6月</w:t>
      </w:r>
      <w:r>
        <w:rPr>
          <w:rFonts w:ascii="宋体" w:hAnsi="宋体"/>
          <w:bCs/>
          <w:sz w:val="24"/>
          <w:szCs w:val="24"/>
        </w:rPr>
        <w:t>，</w:t>
      </w:r>
      <w:r>
        <w:rPr>
          <w:rFonts w:ascii="宋体" w:hAnsi="宋体" w:hint="eastAsia"/>
          <w:bCs/>
          <w:sz w:val="24"/>
          <w:szCs w:val="24"/>
        </w:rPr>
        <w:t>进行检定方法研究，研制适合量值传递的标准软</w:t>
      </w:r>
      <w:proofErr w:type="gramStart"/>
      <w:r>
        <w:rPr>
          <w:rFonts w:ascii="宋体" w:hAnsi="宋体" w:hint="eastAsia"/>
          <w:bCs/>
          <w:sz w:val="24"/>
          <w:szCs w:val="24"/>
        </w:rPr>
        <w:t>磁交流磁</w:t>
      </w:r>
      <w:proofErr w:type="gramEnd"/>
      <w:r>
        <w:rPr>
          <w:rFonts w:ascii="宋体" w:hAnsi="宋体" w:hint="eastAsia"/>
          <w:bCs/>
          <w:sz w:val="24"/>
          <w:szCs w:val="24"/>
        </w:rPr>
        <w:t>特性环。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</w:t>
      </w:r>
      <w:r>
        <w:rPr>
          <w:rFonts w:ascii="宋体" w:hAnsi="宋体"/>
          <w:bCs/>
          <w:sz w:val="24"/>
          <w:szCs w:val="24"/>
        </w:rPr>
        <w:t>3）</w:t>
      </w:r>
      <w:r>
        <w:rPr>
          <w:rFonts w:ascii="宋体" w:hAnsi="宋体" w:hint="eastAsia"/>
          <w:bCs/>
          <w:sz w:val="24"/>
          <w:szCs w:val="24"/>
        </w:rPr>
        <w:t>2006年12月，</w:t>
      </w:r>
      <w:r>
        <w:rPr>
          <w:rFonts w:ascii="宋体" w:hAnsi="宋体"/>
          <w:bCs/>
          <w:sz w:val="24"/>
          <w:szCs w:val="24"/>
        </w:rPr>
        <w:t>形成检定规程初稿</w:t>
      </w:r>
      <w:r>
        <w:rPr>
          <w:rFonts w:ascii="宋体" w:hAnsi="宋体" w:hint="eastAsia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（4）2007年1～9月，在规范起草人内部征询修订意见，并完成相应修订，先后</w:t>
      </w:r>
      <w:r>
        <w:rPr>
          <w:rFonts w:ascii="宋体" w:hAnsi="宋体"/>
          <w:bCs/>
          <w:sz w:val="24"/>
          <w:szCs w:val="24"/>
        </w:rPr>
        <w:t>形成征求意见稿</w:t>
      </w:r>
      <w:r>
        <w:rPr>
          <w:rFonts w:ascii="宋体" w:hAnsi="宋体" w:hint="eastAsia"/>
          <w:bCs/>
          <w:sz w:val="24"/>
          <w:szCs w:val="24"/>
        </w:rPr>
        <w:t>、报审稿。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lastRenderedPageBreak/>
        <w:t>（5</w:t>
      </w:r>
      <w:r>
        <w:rPr>
          <w:rFonts w:ascii="宋体" w:hAnsi="宋体"/>
          <w:bCs/>
          <w:sz w:val="24"/>
          <w:szCs w:val="24"/>
        </w:rPr>
        <w:t>）</w:t>
      </w:r>
      <w:r>
        <w:rPr>
          <w:rFonts w:ascii="宋体" w:hAnsi="宋体" w:hint="eastAsia"/>
          <w:bCs/>
          <w:sz w:val="24"/>
          <w:szCs w:val="24"/>
        </w:rPr>
        <w:t>2007年9月22日</w:t>
      </w:r>
      <w:r>
        <w:rPr>
          <w:rFonts w:ascii="宋体" w:hAnsi="宋体"/>
          <w:bCs/>
          <w:sz w:val="24"/>
          <w:szCs w:val="24"/>
        </w:rPr>
        <w:t>至</w:t>
      </w:r>
      <w:r>
        <w:rPr>
          <w:rFonts w:ascii="宋体" w:hAnsi="宋体" w:hint="eastAsia"/>
          <w:bCs/>
          <w:sz w:val="24"/>
          <w:szCs w:val="24"/>
        </w:rPr>
        <w:t>9月23日，在全国电磁计量技术委员会上</w:t>
      </w:r>
      <w:r>
        <w:rPr>
          <w:rFonts w:ascii="宋体" w:hAnsi="宋体"/>
          <w:bCs/>
          <w:sz w:val="24"/>
          <w:szCs w:val="24"/>
        </w:rPr>
        <w:t>审定</w:t>
      </w:r>
      <w:r>
        <w:rPr>
          <w:rFonts w:ascii="宋体" w:hAnsi="宋体" w:hint="eastAsia"/>
          <w:bCs/>
          <w:sz w:val="24"/>
          <w:szCs w:val="24"/>
        </w:rPr>
        <w:t>通过。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（6）2007年12月，报总局批准。由于检定规程名称问题，总局要求修改检定规程的名称。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（7）2008年到2022年，该规程的修订工作暂停。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（8）2022年5月，形成校准规范中期检查版本，提交电磁委员会进行复审。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（9）2022年6月到2024年4月，针对中期检查意见对校准规范进行修改，提交电磁委员会进行复审。</w:t>
      </w:r>
    </w:p>
    <w:p w:rsidR="00AE6499" w:rsidRDefault="0086093C">
      <w:pPr>
        <w:spacing w:beforeLines="50" w:before="156" w:afterLines="50" w:after="156"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八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主要</w:t>
      </w:r>
      <w:r>
        <w:rPr>
          <w:b/>
          <w:bCs/>
          <w:sz w:val="24"/>
          <w:szCs w:val="24"/>
        </w:rPr>
        <w:t>技术说明</w:t>
      </w:r>
    </w:p>
    <w:p w:rsidR="00AE6499" w:rsidRDefault="0086093C">
      <w:pPr>
        <w:spacing w:beforeLines="50" w:before="156" w:afterLines="50" w:after="156"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（一）术语和计量单位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>1</w:t>
      </w:r>
      <w:r>
        <w:rPr>
          <w:rFonts w:ascii="宋体" w:hAnsi="宋体" w:hint="eastAsia"/>
          <w:bCs/>
          <w:sz w:val="24"/>
          <w:szCs w:val="24"/>
        </w:rPr>
        <w:t>、</w:t>
      </w:r>
      <w:r>
        <w:rPr>
          <w:rFonts w:ascii="宋体" w:hAnsi="宋体"/>
          <w:bCs/>
          <w:sz w:val="24"/>
          <w:szCs w:val="24"/>
        </w:rPr>
        <w:t>增加了</w:t>
      </w:r>
      <w:r w:rsidR="00F44F78">
        <w:rPr>
          <w:rFonts w:ascii="宋体" w:hAnsi="宋体" w:hint="eastAsia"/>
          <w:bCs/>
          <w:sz w:val="24"/>
          <w:szCs w:val="24"/>
        </w:rPr>
        <w:t>标准软磁环</w:t>
      </w:r>
      <w:r>
        <w:rPr>
          <w:rFonts w:ascii="宋体" w:hAnsi="宋体" w:hint="eastAsia"/>
          <w:bCs/>
          <w:sz w:val="24"/>
          <w:szCs w:val="24"/>
        </w:rPr>
        <w:t>的定义</w:t>
      </w:r>
      <w:r>
        <w:rPr>
          <w:rFonts w:ascii="宋体" w:hAnsi="宋体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2、</w:t>
      </w:r>
      <w:r>
        <w:rPr>
          <w:rFonts w:ascii="宋体" w:hAnsi="宋体"/>
          <w:bCs/>
          <w:sz w:val="24"/>
          <w:szCs w:val="24"/>
        </w:rPr>
        <w:t>增加了</w:t>
      </w:r>
      <w:r>
        <w:rPr>
          <w:rFonts w:ascii="宋体" w:hAnsi="宋体" w:hint="eastAsia"/>
          <w:bCs/>
          <w:sz w:val="24"/>
          <w:szCs w:val="24"/>
        </w:rPr>
        <w:t>软磁磁化曲线的定义</w:t>
      </w:r>
      <w:r>
        <w:rPr>
          <w:rFonts w:ascii="宋体" w:hAnsi="宋体"/>
          <w:bCs/>
          <w:sz w:val="24"/>
          <w:szCs w:val="24"/>
        </w:rPr>
        <w:t>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3、增加了相对起始幅值磁导率的定义。</w:t>
      </w:r>
    </w:p>
    <w:p w:rsidR="00AE6499" w:rsidRDefault="0086093C">
      <w:pPr>
        <w:spacing w:beforeLines="50" w:before="156" w:afterLines="50" w:after="156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4、增加了最</w:t>
      </w:r>
      <w:proofErr w:type="gramStart"/>
      <w:r>
        <w:rPr>
          <w:rFonts w:ascii="宋体" w:hAnsi="宋体" w:hint="eastAsia"/>
          <w:bCs/>
          <w:sz w:val="24"/>
          <w:szCs w:val="24"/>
        </w:rPr>
        <w:t>大幅值</w:t>
      </w:r>
      <w:proofErr w:type="gramEnd"/>
      <w:r>
        <w:rPr>
          <w:rFonts w:ascii="宋体" w:hAnsi="宋体" w:hint="eastAsia"/>
          <w:bCs/>
          <w:sz w:val="24"/>
          <w:szCs w:val="24"/>
        </w:rPr>
        <w:t>磁导率的定义</w:t>
      </w:r>
    </w:p>
    <w:p w:rsidR="00AE6499" w:rsidRDefault="0086093C">
      <w:pPr>
        <w:spacing w:beforeLines="50" w:before="156" w:afterLines="50" w:after="156" w:line="360" w:lineRule="auto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（二）计量特性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rPr>
          <w:sz w:val="24"/>
          <w:szCs w:val="24"/>
        </w:rPr>
      </w:pPr>
      <w:r>
        <w:rPr>
          <w:rFonts w:cs="Calibri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）适用范围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本规程适用于由软磁合金制备的环形标准样品，在20Hz-100kHz频率范围内的交流磁化曲线、振幅磁导率和比总损耗的首次检定、后续检定和使用中检查。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2）计量特性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包括相对幅值磁导率和比总损耗。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相对幅值磁导率测量范围：2000-150000；允许误差：</w:t>
      </w:r>
      <w:r>
        <w:rPr>
          <w:rFonts w:ascii="宋体" w:hAnsi="宋体"/>
          <w:sz w:val="24"/>
        </w:rPr>
        <w:t>±</w:t>
      </w:r>
      <w:r>
        <w:rPr>
          <w:rFonts w:ascii="宋体" w:hAnsi="宋体" w:hint="eastAsia"/>
          <w:color w:val="000000"/>
          <w:sz w:val="24"/>
        </w:rPr>
        <w:t>2.0%。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比总损耗测量范围：</w:t>
      </w:r>
      <w:r>
        <w:rPr>
          <w:rFonts w:ascii="宋体" w:hAnsi="宋体" w:hint="eastAsia"/>
          <w:color w:val="000000"/>
          <w:sz w:val="24"/>
        </w:rPr>
        <w:t>0.1W/kg-400W/kg；</w:t>
      </w:r>
      <w:r>
        <w:rPr>
          <w:rFonts w:ascii="宋体" w:hAnsi="宋体" w:hint="eastAsia"/>
          <w:sz w:val="24"/>
        </w:rPr>
        <w:t>；允许误差：</w:t>
      </w:r>
      <w:r>
        <w:rPr>
          <w:rFonts w:ascii="宋体" w:hAnsi="宋体"/>
          <w:sz w:val="24"/>
        </w:rPr>
        <w:t>±</w:t>
      </w:r>
      <w:r>
        <w:rPr>
          <w:rFonts w:ascii="宋体" w:hAnsi="宋体" w:hint="eastAsia"/>
          <w:color w:val="000000"/>
          <w:sz w:val="24"/>
        </w:rPr>
        <w:t>2.0%。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3）通过要求：包含了标准软</w:t>
      </w:r>
      <w:proofErr w:type="gramStart"/>
      <w:r>
        <w:rPr>
          <w:rFonts w:ascii="宋体" w:hAnsi="宋体" w:hint="eastAsia"/>
          <w:color w:val="000000"/>
          <w:sz w:val="24"/>
        </w:rPr>
        <w:t>磁交流磁特性环</w:t>
      </w:r>
      <w:proofErr w:type="gramEnd"/>
      <w:r>
        <w:rPr>
          <w:rFonts w:ascii="宋体" w:hAnsi="宋体" w:hint="eastAsia"/>
          <w:color w:val="000000"/>
          <w:sz w:val="24"/>
        </w:rPr>
        <w:t>的准备方法、次级电压波形和磁场强度范围的要求。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4）计量器具控制：包含环境条件、供电电压和测量所需的计量标准器的总类和要求等。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5）规定了检定项目和各项目的检定方法。</w:t>
      </w:r>
    </w:p>
    <w:p w:rsidR="00AE6499" w:rsidRDefault="0086093C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6）对检定结果的处理和检定周期的要求。</w:t>
      </w:r>
    </w:p>
    <w:p w:rsidR="00AE6499" w:rsidRDefault="0086093C">
      <w:pPr>
        <w:spacing w:beforeLines="50" w:before="156" w:afterLines="50" w:after="156"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lastRenderedPageBreak/>
        <w:t>九</w:t>
      </w:r>
      <w:r>
        <w:rPr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实验验证和预期效果</w:t>
      </w:r>
    </w:p>
    <w:p w:rsidR="00AE6499" w:rsidRDefault="0086093C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00000"/>
          <w:sz w:val="24"/>
        </w:rPr>
        <w:t>依据《标准软磁交流磁特性环检定规程》制作的软磁环样品，并对样品的振幅磁导率和比总损耗参数进行了重复性验证。10次重复测量结果表明：</w:t>
      </w:r>
      <w:r>
        <w:rPr>
          <w:rFonts w:ascii="宋体" w:hAnsi="宋体" w:hint="eastAsia"/>
          <w:sz w:val="24"/>
          <w:szCs w:val="24"/>
        </w:rPr>
        <w:t>相对幅值磁导率相对标准差为</w:t>
      </w:r>
      <w:r>
        <w:rPr>
          <w:rFonts w:hint="eastAsia"/>
          <w:sz w:val="24"/>
          <w:szCs w:val="24"/>
        </w:rPr>
        <w:t>0.5%</w:t>
      </w:r>
      <w:r>
        <w:rPr>
          <w:rFonts w:ascii="宋体" w:hAnsi="宋体" w:hint="eastAsia"/>
          <w:sz w:val="24"/>
          <w:szCs w:val="24"/>
        </w:rPr>
        <w:t>，比总损耗相对标准差为</w:t>
      </w:r>
      <w:r>
        <w:rPr>
          <w:rFonts w:hint="eastAsia"/>
          <w:sz w:val="24"/>
          <w:szCs w:val="24"/>
        </w:rPr>
        <w:t>0.5%</w:t>
      </w:r>
      <w:r>
        <w:rPr>
          <w:rFonts w:ascii="宋体" w:hAnsi="宋体" w:hint="eastAsia"/>
          <w:sz w:val="24"/>
          <w:szCs w:val="24"/>
        </w:rPr>
        <w:t>。相对幅值磁导率和比总损耗随温度变化估计为每度小于</w:t>
      </w:r>
      <w:r>
        <w:rPr>
          <w:sz w:val="24"/>
          <w:szCs w:val="24"/>
        </w:rPr>
        <w:t>0.1%</w:t>
      </w:r>
      <w:r>
        <w:rPr>
          <w:rFonts w:ascii="宋体" w:hAnsi="宋体" w:hint="eastAsia"/>
          <w:sz w:val="24"/>
          <w:szCs w:val="24"/>
        </w:rPr>
        <w:t>。次级电压波形变化1%，带来相对幅值磁导率和比总损耗的变化可以估计为1%。实验表明本检定规程的各项条款能能够达到标准软</w:t>
      </w:r>
      <w:proofErr w:type="gramStart"/>
      <w:r>
        <w:rPr>
          <w:rFonts w:ascii="宋体" w:hAnsi="宋体" w:hint="eastAsia"/>
          <w:sz w:val="24"/>
          <w:szCs w:val="24"/>
        </w:rPr>
        <w:t>磁交流磁特性环</w:t>
      </w:r>
      <w:proofErr w:type="gramEnd"/>
      <w:r>
        <w:rPr>
          <w:rFonts w:ascii="宋体" w:hAnsi="宋体" w:hint="eastAsia"/>
          <w:sz w:val="24"/>
          <w:szCs w:val="24"/>
        </w:rPr>
        <w:t>的计量需求，能达到预期效果。</w:t>
      </w:r>
    </w:p>
    <w:p w:rsidR="000223F6" w:rsidRPr="00034258" w:rsidRDefault="000223F6" w:rsidP="000223F6">
      <w:pPr>
        <w:spacing w:beforeLines="50" w:before="156" w:afterLines="50" w:after="156" w:line="360" w:lineRule="auto"/>
        <w:rPr>
          <w:b/>
          <w:bCs/>
          <w:color w:val="000000" w:themeColor="text1"/>
          <w:sz w:val="24"/>
          <w:szCs w:val="24"/>
        </w:rPr>
      </w:pPr>
      <w:r w:rsidRPr="00034258">
        <w:rPr>
          <w:rFonts w:hint="eastAsia"/>
          <w:b/>
          <w:bCs/>
          <w:color w:val="000000" w:themeColor="text1"/>
          <w:sz w:val="24"/>
          <w:szCs w:val="24"/>
        </w:rPr>
        <w:t>十、对所规定的某些技术条款、检定条件、检定方法的有关说明</w:t>
      </w:r>
    </w:p>
    <w:p w:rsidR="000223F6" w:rsidRPr="000223F6" w:rsidRDefault="000223F6" w:rsidP="000223F6">
      <w:pPr>
        <w:pStyle w:val="a6"/>
        <w:ind w:leftChars="0" w:left="0"/>
        <w:rPr>
          <w:rFonts w:ascii="宋体" w:hAnsi="宋体"/>
          <w:sz w:val="24"/>
          <w:szCs w:val="24"/>
        </w:rPr>
      </w:pPr>
      <w:r w:rsidRPr="000223F6">
        <w:rPr>
          <w:rFonts w:ascii="宋体" w:hAnsi="宋体" w:hint="eastAsia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）</w:t>
      </w:r>
      <w:r w:rsidRPr="000223F6">
        <w:rPr>
          <w:rFonts w:ascii="宋体" w:hAnsi="宋体" w:hint="eastAsia"/>
          <w:sz w:val="24"/>
          <w:szCs w:val="24"/>
        </w:rPr>
        <w:t>波形正弦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color w:val="000000"/>
          <w:sz w:val="24"/>
        </w:rPr>
      </w:pPr>
      <w:r w:rsidRPr="000223F6">
        <w:rPr>
          <w:rFonts w:ascii="宋体" w:hAnsi="宋体" w:hint="eastAsia"/>
          <w:color w:val="000000"/>
          <w:sz w:val="24"/>
        </w:rPr>
        <w:t>软磁材料在交流磁化下，形成磁滞回线，弱场下为椭圆形，磁场强度和磁感应强度均为正弦波。随着磁场加强，此时磁场强度和磁感应强度均为非正弦，此时，若保证磁场强度为正弦形，则磁感应强度为非正弦变化；反之，若保证磁感应强度为正弦形，则磁场强度为非正弦变化。磁感应强度波形的不同，测得的磁性能参数也不同。IEC 60404-6标准为了测量结果可比性，规定保持磁场强度波形正弦或保持磁感应强度波形正弦。本规程采用保持磁感应强度波形正弦的规定。</w:t>
      </w:r>
    </w:p>
    <w:p w:rsidR="000223F6" w:rsidRPr="000223F6" w:rsidRDefault="000223F6" w:rsidP="000223F6">
      <w:pPr>
        <w:spacing w:line="360" w:lineRule="auto"/>
        <w:ind w:firstLine="480"/>
        <w:rPr>
          <w:rFonts w:ascii="宋体" w:hAnsi="宋体"/>
          <w:color w:val="000000"/>
          <w:sz w:val="24"/>
        </w:rPr>
      </w:pPr>
    </w:p>
    <w:p w:rsidR="000223F6" w:rsidRDefault="000223F6" w:rsidP="000223F6">
      <w:pPr>
        <w:pStyle w:val="a6"/>
        <w:ind w:leftChars="0" w:left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2）</w:t>
      </w:r>
      <w:r w:rsidRPr="000223F6">
        <w:rPr>
          <w:rFonts w:ascii="宋体" w:hAnsi="宋体" w:hint="eastAsia"/>
          <w:sz w:val="24"/>
          <w:szCs w:val="24"/>
        </w:rPr>
        <w:t>比总损耗测量方法</w:t>
      </w:r>
    </w:p>
    <w:p w:rsidR="000223F6" w:rsidRPr="000223F6" w:rsidRDefault="000223F6" w:rsidP="006746A0">
      <w:pPr>
        <w:spacing w:line="360" w:lineRule="auto"/>
        <w:ind w:firstLine="480"/>
        <w:rPr>
          <w:rFonts w:ascii="宋体" w:hAnsi="宋体"/>
          <w:color w:val="000000"/>
          <w:sz w:val="24"/>
        </w:rPr>
      </w:pPr>
      <w:r w:rsidRPr="000223F6">
        <w:rPr>
          <w:rFonts w:ascii="宋体" w:hAnsi="宋体" w:hint="eastAsia"/>
          <w:color w:val="000000"/>
          <w:sz w:val="24"/>
        </w:rPr>
        <w:t xml:space="preserve"> 在IEC 60404-6标准中，测量比总损耗的方法有数字电桥法、有效值电压表法和功率表法。功率表法从定义出发，测量直观，但对相位敏感。</w:t>
      </w:r>
      <w:r w:rsidR="006746A0">
        <w:rPr>
          <w:rFonts w:ascii="宋体" w:hAnsi="宋体" w:hint="eastAsia"/>
          <w:color w:val="000000"/>
          <w:sz w:val="24"/>
        </w:rPr>
        <w:t>因</w:t>
      </w:r>
      <w:r w:rsidR="00034258">
        <w:rPr>
          <w:rFonts w:ascii="宋体" w:hAnsi="宋体" w:hint="eastAsia"/>
          <w:color w:val="000000"/>
          <w:sz w:val="24"/>
        </w:rPr>
        <w:t>为功率表法是从</w:t>
      </w:r>
      <w:r w:rsidR="006746A0">
        <w:rPr>
          <w:rFonts w:ascii="宋体" w:hAnsi="宋体" w:hint="eastAsia"/>
          <w:color w:val="000000"/>
          <w:sz w:val="24"/>
        </w:rPr>
        <w:t>磁场强度、磁感应强度和比总损耗</w:t>
      </w:r>
      <w:r w:rsidR="00034258">
        <w:rPr>
          <w:rFonts w:ascii="宋体" w:hAnsi="宋体" w:hint="eastAsia"/>
          <w:color w:val="000000"/>
          <w:sz w:val="24"/>
        </w:rPr>
        <w:t>的定义出发的测量方式，</w:t>
      </w:r>
      <w:r w:rsidR="006746A0">
        <w:rPr>
          <w:rFonts w:ascii="宋体" w:hAnsi="宋体" w:hint="eastAsia"/>
          <w:color w:val="000000"/>
          <w:sz w:val="24"/>
        </w:rPr>
        <w:t>是具有测量方便、可比性等优点，因此</w:t>
      </w:r>
      <w:bookmarkStart w:id="0" w:name="_GoBack"/>
      <w:bookmarkEnd w:id="0"/>
      <w:r w:rsidRPr="000223F6">
        <w:rPr>
          <w:rFonts w:ascii="宋体" w:hAnsi="宋体" w:hint="eastAsia"/>
          <w:color w:val="000000"/>
          <w:sz w:val="24"/>
        </w:rPr>
        <w:t>本规程使用功率表法。</w:t>
      </w:r>
    </w:p>
    <w:p w:rsidR="000223F6" w:rsidRDefault="000223F6" w:rsidP="000223F6">
      <w:pPr>
        <w:spacing w:line="360" w:lineRule="auto"/>
        <w:rPr>
          <w:rFonts w:ascii="黑体" w:eastAsia="黑体" w:hAnsi="黑体"/>
          <w:sz w:val="24"/>
          <w:szCs w:val="24"/>
        </w:rPr>
      </w:pPr>
    </w:p>
    <w:p w:rsidR="000223F6" w:rsidRPr="000223F6" w:rsidRDefault="000223F6" w:rsidP="000223F6">
      <w:pPr>
        <w:spacing w:beforeLines="50" w:before="156" w:afterLines="50" w:after="156" w:line="360" w:lineRule="auto"/>
        <w:rPr>
          <w:b/>
          <w:bCs/>
          <w:sz w:val="24"/>
          <w:szCs w:val="24"/>
        </w:rPr>
      </w:pPr>
      <w:r w:rsidRPr="000223F6">
        <w:rPr>
          <w:rFonts w:hint="eastAsia"/>
          <w:b/>
          <w:bCs/>
          <w:sz w:val="24"/>
          <w:szCs w:val="24"/>
        </w:rPr>
        <w:t>十一、</w:t>
      </w:r>
      <w:r w:rsidRPr="000223F6">
        <w:rPr>
          <w:rFonts w:hint="eastAsia"/>
          <w:b/>
          <w:bCs/>
          <w:sz w:val="24"/>
          <w:szCs w:val="24"/>
        </w:rPr>
        <w:t xml:space="preserve"> </w:t>
      </w:r>
      <w:r w:rsidRPr="000223F6">
        <w:rPr>
          <w:rFonts w:hint="eastAsia"/>
          <w:b/>
          <w:bCs/>
          <w:sz w:val="24"/>
          <w:szCs w:val="24"/>
        </w:rPr>
        <w:t>新、旧国家计量检定规程的修改内容</w:t>
      </w:r>
    </w:p>
    <w:p w:rsidR="000223F6" w:rsidRDefault="000223F6" w:rsidP="000223F6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1） 标准样品尺寸的变化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原规程规定标准样品尺寸的内径、外径和高度，本规程改为推荐方式。因为新材料，特别是非晶、微晶样品，尺寸的大小直接由生产线卷制成，很难进行二次加工。但标准样品的外径与内径之比必须得到保证，这与原规程是一致的。同时也符合IEC 60404-6标准。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2）标准样品平均磁路长度计算的改变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原规程有两种计算方式，根据IEC 60404-6标准，新规程计算公式统一采用了原规程公式(4)。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3）频率范围扩展</w:t>
      </w:r>
    </w:p>
    <w:p w:rsidR="000223F6" w:rsidRDefault="000223F6" w:rsidP="000223F6">
      <w:pPr>
        <w:spacing w:line="360" w:lineRule="auto"/>
        <w:ind w:firstLine="435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原规程频率范围45Hz-20kHz，扩展到20Hz-100kHz。由于宽频的仪表的应用，新规程的频率范围得以扩展，并符合IEC 60404-6标准。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4）标准装置的改变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采用了宽频的信号源、功率放大器、平均值电压表、宽频电压电流功率表的标准装置对原有装置进行了升级改造。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5） 峰值电流测量的改变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原规程提出两种方法测量峰值电流，一种为电阻压降法，另一种为互感法。现改为峰值电流表法，实际上峰值电流表同电阻压降法等同。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6） 测量参数的扩展</w:t>
      </w:r>
    </w:p>
    <w:p w:rsidR="000223F6" w:rsidRDefault="000223F6" w:rsidP="000223F6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增加了标准样品比损耗参数的测量。根据IEC 60404-6标准中规定，采用功率表法测量比损耗。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）</w:t>
      </w:r>
      <w:r>
        <w:rPr>
          <w:rFonts w:ascii="宋体" w:hAnsi="宋体" w:hint="eastAsia"/>
          <w:sz w:val="24"/>
          <w:szCs w:val="24"/>
        </w:rPr>
        <w:t>测量不确定度的变化</w:t>
      </w:r>
    </w:p>
    <w:p w:rsidR="000223F6" w:rsidRDefault="000223F6" w:rsidP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因为新标准设备的采用，测量不确定度发生变化，详见不确定分析报告。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8）磁感应强度波形描述方式变化</w:t>
      </w:r>
    </w:p>
    <w:p w:rsidR="000223F6" w:rsidRDefault="000223F6" w:rsidP="000223F6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原规程使用波形失真度概念,规定各种波形失真限度。新规程根据IEC 60404-6标准中规定，使用波形因数概念，统一规定次级感应电压波形因数应保持在1.111±1%之内。</w:t>
      </w:r>
    </w:p>
    <w:p w:rsidR="000223F6" w:rsidRPr="000223F6" w:rsidRDefault="000223F6">
      <w:pPr>
        <w:spacing w:line="360" w:lineRule="auto"/>
        <w:ind w:firstLine="480"/>
        <w:rPr>
          <w:rFonts w:ascii="宋体" w:hAnsi="宋体"/>
          <w:sz w:val="24"/>
          <w:szCs w:val="24"/>
        </w:rPr>
      </w:pPr>
    </w:p>
    <w:p w:rsidR="00AE6499" w:rsidRDefault="00AE6499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AE6499" w:rsidRDefault="00AE6499">
      <w:pPr>
        <w:pStyle w:val="20"/>
        <w:snapToGrid w:val="0"/>
        <w:spacing w:after="0" w:line="360" w:lineRule="auto"/>
        <w:ind w:leftChars="0" w:left="0" w:firstLineChars="200" w:firstLine="480"/>
        <w:jc w:val="left"/>
        <w:rPr>
          <w:rFonts w:ascii="宋体" w:hAnsi="宋体"/>
          <w:color w:val="000000"/>
          <w:sz w:val="24"/>
        </w:rPr>
      </w:pPr>
    </w:p>
    <w:p w:rsidR="00AE6499" w:rsidRDefault="0086093C">
      <w:pPr>
        <w:spacing w:beforeLines="50" w:before="156" w:afterLines="50" w:after="156" w:line="360" w:lineRule="auto"/>
        <w:ind w:firstLineChars="200" w:firstLine="480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制定工作</w:t>
      </w:r>
      <w:r>
        <w:rPr>
          <w:rFonts w:ascii="宋体" w:hAnsi="宋体"/>
          <w:bCs/>
          <w:sz w:val="24"/>
          <w:szCs w:val="24"/>
        </w:rPr>
        <w:t>组</w:t>
      </w:r>
    </w:p>
    <w:p w:rsidR="00AE6499" w:rsidRDefault="0086093C">
      <w:pPr>
        <w:spacing w:beforeLines="50" w:before="156" w:afterLines="50" w:after="156" w:line="360" w:lineRule="auto"/>
        <w:ind w:firstLineChars="200" w:firstLine="480"/>
        <w:jc w:val="right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20</w:t>
      </w:r>
      <w:r w:rsidR="0006777E">
        <w:rPr>
          <w:rFonts w:ascii="宋体" w:hAnsi="宋体" w:hint="eastAsia"/>
          <w:bCs/>
          <w:sz w:val="24"/>
          <w:szCs w:val="24"/>
        </w:rPr>
        <w:t>24</w:t>
      </w:r>
      <w:r>
        <w:rPr>
          <w:rFonts w:ascii="宋体" w:hAnsi="宋体" w:hint="eastAsia"/>
          <w:bCs/>
          <w:sz w:val="24"/>
          <w:szCs w:val="24"/>
        </w:rPr>
        <w:t>年</w:t>
      </w:r>
      <w:r w:rsidR="0006777E">
        <w:rPr>
          <w:rFonts w:ascii="宋体" w:hAnsi="宋体" w:hint="eastAsia"/>
          <w:bCs/>
          <w:sz w:val="24"/>
          <w:szCs w:val="24"/>
        </w:rPr>
        <w:t>4</w:t>
      </w:r>
      <w:r>
        <w:rPr>
          <w:rFonts w:ascii="宋体" w:hAnsi="宋体" w:hint="eastAsia"/>
          <w:bCs/>
          <w:sz w:val="24"/>
          <w:szCs w:val="24"/>
        </w:rPr>
        <w:t>月</w:t>
      </w:r>
    </w:p>
    <w:sectPr w:rsidR="00AE64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B1E" w:rsidRDefault="00660B1E" w:rsidP="00553FA2">
      <w:r>
        <w:separator/>
      </w:r>
    </w:p>
  </w:endnote>
  <w:endnote w:type="continuationSeparator" w:id="0">
    <w:p w:rsidR="00660B1E" w:rsidRDefault="00660B1E" w:rsidP="0055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B1E" w:rsidRDefault="00660B1E" w:rsidP="00553FA2">
      <w:r>
        <w:separator/>
      </w:r>
    </w:p>
  </w:footnote>
  <w:footnote w:type="continuationSeparator" w:id="0">
    <w:p w:rsidR="00660B1E" w:rsidRDefault="00660B1E" w:rsidP="00553F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563CC"/>
    <w:multiLevelType w:val="multilevel"/>
    <w:tmpl w:val="A956D82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2ZWNjNTY0ODYyNDMzMjc4ZWQ4MDY4MGI2MTM4OGQifQ=="/>
  </w:docVars>
  <w:rsids>
    <w:rsidRoot w:val="005E729C"/>
    <w:rsid w:val="00010B93"/>
    <w:rsid w:val="00013DCB"/>
    <w:rsid w:val="00015BFB"/>
    <w:rsid w:val="00020C94"/>
    <w:rsid w:val="000223F6"/>
    <w:rsid w:val="00026B12"/>
    <w:rsid w:val="00034258"/>
    <w:rsid w:val="00035CB9"/>
    <w:rsid w:val="00041329"/>
    <w:rsid w:val="000414F3"/>
    <w:rsid w:val="00045980"/>
    <w:rsid w:val="000476F7"/>
    <w:rsid w:val="0006371A"/>
    <w:rsid w:val="0006777E"/>
    <w:rsid w:val="0008000B"/>
    <w:rsid w:val="000825F4"/>
    <w:rsid w:val="00082B68"/>
    <w:rsid w:val="00083302"/>
    <w:rsid w:val="00092CB3"/>
    <w:rsid w:val="000A2129"/>
    <w:rsid w:val="000B6EF8"/>
    <w:rsid w:val="000C09B3"/>
    <w:rsid w:val="000C53AD"/>
    <w:rsid w:val="000C657A"/>
    <w:rsid w:val="000D221D"/>
    <w:rsid w:val="000D3971"/>
    <w:rsid w:val="000D4384"/>
    <w:rsid w:val="000E7ABB"/>
    <w:rsid w:val="000E7D82"/>
    <w:rsid w:val="000F2A38"/>
    <w:rsid w:val="000F3ADF"/>
    <w:rsid w:val="00114EB8"/>
    <w:rsid w:val="00125FE0"/>
    <w:rsid w:val="00132F26"/>
    <w:rsid w:val="00135197"/>
    <w:rsid w:val="00137523"/>
    <w:rsid w:val="001473E2"/>
    <w:rsid w:val="00156E2C"/>
    <w:rsid w:val="0016567F"/>
    <w:rsid w:val="00166B3F"/>
    <w:rsid w:val="001770E9"/>
    <w:rsid w:val="001852E4"/>
    <w:rsid w:val="00193EA5"/>
    <w:rsid w:val="00194BF2"/>
    <w:rsid w:val="001B0433"/>
    <w:rsid w:val="001B0D21"/>
    <w:rsid w:val="001B2A0E"/>
    <w:rsid w:val="001B3325"/>
    <w:rsid w:val="001B4BBD"/>
    <w:rsid w:val="001B500B"/>
    <w:rsid w:val="001C3E35"/>
    <w:rsid w:val="001C74F9"/>
    <w:rsid w:val="001D3AC7"/>
    <w:rsid w:val="001E021C"/>
    <w:rsid w:val="001E0262"/>
    <w:rsid w:val="001E28E7"/>
    <w:rsid w:val="001E4FB1"/>
    <w:rsid w:val="001E62E2"/>
    <w:rsid w:val="001F4279"/>
    <w:rsid w:val="00206DA1"/>
    <w:rsid w:val="00206DC5"/>
    <w:rsid w:val="00212EC8"/>
    <w:rsid w:val="00213871"/>
    <w:rsid w:val="00220799"/>
    <w:rsid w:val="00233664"/>
    <w:rsid w:val="00251A27"/>
    <w:rsid w:val="00251B89"/>
    <w:rsid w:val="00255537"/>
    <w:rsid w:val="00262597"/>
    <w:rsid w:val="00267823"/>
    <w:rsid w:val="002744A3"/>
    <w:rsid w:val="0027646E"/>
    <w:rsid w:val="0029341F"/>
    <w:rsid w:val="00294692"/>
    <w:rsid w:val="0029507C"/>
    <w:rsid w:val="002B40E9"/>
    <w:rsid w:val="002C15BB"/>
    <w:rsid w:val="002E080B"/>
    <w:rsid w:val="002E2045"/>
    <w:rsid w:val="002E2A4B"/>
    <w:rsid w:val="002F417B"/>
    <w:rsid w:val="002F6217"/>
    <w:rsid w:val="003055BF"/>
    <w:rsid w:val="0031036C"/>
    <w:rsid w:val="00321806"/>
    <w:rsid w:val="00326895"/>
    <w:rsid w:val="0033189F"/>
    <w:rsid w:val="003338FA"/>
    <w:rsid w:val="00334080"/>
    <w:rsid w:val="003341C2"/>
    <w:rsid w:val="00340882"/>
    <w:rsid w:val="00345CB1"/>
    <w:rsid w:val="0034762D"/>
    <w:rsid w:val="0035463D"/>
    <w:rsid w:val="00357384"/>
    <w:rsid w:val="0036346D"/>
    <w:rsid w:val="00373BDA"/>
    <w:rsid w:val="00380440"/>
    <w:rsid w:val="00380F20"/>
    <w:rsid w:val="00387799"/>
    <w:rsid w:val="003A15B8"/>
    <w:rsid w:val="003A4772"/>
    <w:rsid w:val="003A5411"/>
    <w:rsid w:val="003B0F8C"/>
    <w:rsid w:val="003C0D63"/>
    <w:rsid w:val="003C2FA6"/>
    <w:rsid w:val="003D219F"/>
    <w:rsid w:val="003F49DE"/>
    <w:rsid w:val="004002E4"/>
    <w:rsid w:val="00402D10"/>
    <w:rsid w:val="00405483"/>
    <w:rsid w:val="004114C2"/>
    <w:rsid w:val="004146F2"/>
    <w:rsid w:val="00414B78"/>
    <w:rsid w:val="00421C5C"/>
    <w:rsid w:val="00422774"/>
    <w:rsid w:val="00424709"/>
    <w:rsid w:val="004249CC"/>
    <w:rsid w:val="004435BD"/>
    <w:rsid w:val="004552CE"/>
    <w:rsid w:val="00465749"/>
    <w:rsid w:val="00470CA7"/>
    <w:rsid w:val="00473F09"/>
    <w:rsid w:val="00477E00"/>
    <w:rsid w:val="00485F61"/>
    <w:rsid w:val="004947EA"/>
    <w:rsid w:val="00497168"/>
    <w:rsid w:val="004A7037"/>
    <w:rsid w:val="004C1CD0"/>
    <w:rsid w:val="004D1FEC"/>
    <w:rsid w:val="004D22CC"/>
    <w:rsid w:val="004D3FA0"/>
    <w:rsid w:val="004E294B"/>
    <w:rsid w:val="004E50E2"/>
    <w:rsid w:val="004F2F89"/>
    <w:rsid w:val="0050295C"/>
    <w:rsid w:val="00505BD5"/>
    <w:rsid w:val="00507903"/>
    <w:rsid w:val="00511178"/>
    <w:rsid w:val="005113CB"/>
    <w:rsid w:val="00511440"/>
    <w:rsid w:val="00521CEF"/>
    <w:rsid w:val="00527478"/>
    <w:rsid w:val="00533EE5"/>
    <w:rsid w:val="00542B52"/>
    <w:rsid w:val="0055134B"/>
    <w:rsid w:val="00553FA2"/>
    <w:rsid w:val="00560061"/>
    <w:rsid w:val="00565431"/>
    <w:rsid w:val="005A50CD"/>
    <w:rsid w:val="005B25C2"/>
    <w:rsid w:val="005B6410"/>
    <w:rsid w:val="005C0551"/>
    <w:rsid w:val="005C2AAF"/>
    <w:rsid w:val="005C618B"/>
    <w:rsid w:val="005C7D52"/>
    <w:rsid w:val="005E1CEB"/>
    <w:rsid w:val="005E2741"/>
    <w:rsid w:val="005E37A0"/>
    <w:rsid w:val="005E729C"/>
    <w:rsid w:val="005E767C"/>
    <w:rsid w:val="005F0921"/>
    <w:rsid w:val="005F3B2E"/>
    <w:rsid w:val="005F5DF0"/>
    <w:rsid w:val="00606899"/>
    <w:rsid w:val="006101A6"/>
    <w:rsid w:val="00613013"/>
    <w:rsid w:val="00615386"/>
    <w:rsid w:val="006235DB"/>
    <w:rsid w:val="00626895"/>
    <w:rsid w:val="0063132F"/>
    <w:rsid w:val="006326D2"/>
    <w:rsid w:val="00633D10"/>
    <w:rsid w:val="0063653C"/>
    <w:rsid w:val="00650D1D"/>
    <w:rsid w:val="00651AAE"/>
    <w:rsid w:val="006606F2"/>
    <w:rsid w:val="00660B1E"/>
    <w:rsid w:val="006746A0"/>
    <w:rsid w:val="00680672"/>
    <w:rsid w:val="00690A7C"/>
    <w:rsid w:val="006C0F38"/>
    <w:rsid w:val="006D5A0A"/>
    <w:rsid w:val="006F1D11"/>
    <w:rsid w:val="006F7CD9"/>
    <w:rsid w:val="00704570"/>
    <w:rsid w:val="00706AE4"/>
    <w:rsid w:val="00706E46"/>
    <w:rsid w:val="00707126"/>
    <w:rsid w:val="00712CD5"/>
    <w:rsid w:val="0072076B"/>
    <w:rsid w:val="007222E1"/>
    <w:rsid w:val="007233CD"/>
    <w:rsid w:val="00725B6E"/>
    <w:rsid w:val="00752B73"/>
    <w:rsid w:val="00757E3D"/>
    <w:rsid w:val="00762D81"/>
    <w:rsid w:val="007711E1"/>
    <w:rsid w:val="00771D6E"/>
    <w:rsid w:val="007936BC"/>
    <w:rsid w:val="00797A77"/>
    <w:rsid w:val="007B2514"/>
    <w:rsid w:val="007B315E"/>
    <w:rsid w:val="007C0CD4"/>
    <w:rsid w:val="007C1A9C"/>
    <w:rsid w:val="007C1C25"/>
    <w:rsid w:val="007C4E42"/>
    <w:rsid w:val="007C5495"/>
    <w:rsid w:val="007D0437"/>
    <w:rsid w:val="007D11E7"/>
    <w:rsid w:val="007E60D8"/>
    <w:rsid w:val="008007AA"/>
    <w:rsid w:val="00801113"/>
    <w:rsid w:val="00805FAE"/>
    <w:rsid w:val="0080759A"/>
    <w:rsid w:val="00816230"/>
    <w:rsid w:val="00817BCB"/>
    <w:rsid w:val="00822CB1"/>
    <w:rsid w:val="00822DE8"/>
    <w:rsid w:val="008427B8"/>
    <w:rsid w:val="0086093C"/>
    <w:rsid w:val="00860DA0"/>
    <w:rsid w:val="00862D99"/>
    <w:rsid w:val="008644C3"/>
    <w:rsid w:val="00865056"/>
    <w:rsid w:val="00874044"/>
    <w:rsid w:val="008753D8"/>
    <w:rsid w:val="00880C53"/>
    <w:rsid w:val="008853DA"/>
    <w:rsid w:val="00885497"/>
    <w:rsid w:val="00886C7B"/>
    <w:rsid w:val="008947F2"/>
    <w:rsid w:val="00897B15"/>
    <w:rsid w:val="008B338F"/>
    <w:rsid w:val="008B755D"/>
    <w:rsid w:val="008D1B2B"/>
    <w:rsid w:val="008D4816"/>
    <w:rsid w:val="008E6BD8"/>
    <w:rsid w:val="008F124E"/>
    <w:rsid w:val="008F69CF"/>
    <w:rsid w:val="00902864"/>
    <w:rsid w:val="00905B5B"/>
    <w:rsid w:val="00910775"/>
    <w:rsid w:val="00911591"/>
    <w:rsid w:val="0091299F"/>
    <w:rsid w:val="00913F4C"/>
    <w:rsid w:val="00921FB6"/>
    <w:rsid w:val="00923E23"/>
    <w:rsid w:val="00945B6D"/>
    <w:rsid w:val="00951C0C"/>
    <w:rsid w:val="0095616C"/>
    <w:rsid w:val="00956BEB"/>
    <w:rsid w:val="00957377"/>
    <w:rsid w:val="00962303"/>
    <w:rsid w:val="00963251"/>
    <w:rsid w:val="009641D6"/>
    <w:rsid w:val="00973F03"/>
    <w:rsid w:val="009747F2"/>
    <w:rsid w:val="00974C71"/>
    <w:rsid w:val="00982809"/>
    <w:rsid w:val="009A0F44"/>
    <w:rsid w:val="009A1E99"/>
    <w:rsid w:val="009A336B"/>
    <w:rsid w:val="009A5FAC"/>
    <w:rsid w:val="009C12B6"/>
    <w:rsid w:val="009D13CE"/>
    <w:rsid w:val="009D1B25"/>
    <w:rsid w:val="009D5A45"/>
    <w:rsid w:val="009D6619"/>
    <w:rsid w:val="009E31DB"/>
    <w:rsid w:val="009E59DB"/>
    <w:rsid w:val="009E63BE"/>
    <w:rsid w:val="009E7D2D"/>
    <w:rsid w:val="009F7D11"/>
    <w:rsid w:val="00A01CD2"/>
    <w:rsid w:val="00A01F46"/>
    <w:rsid w:val="00A0230E"/>
    <w:rsid w:val="00A159C2"/>
    <w:rsid w:val="00A21F93"/>
    <w:rsid w:val="00A23BEB"/>
    <w:rsid w:val="00A27452"/>
    <w:rsid w:val="00A455F5"/>
    <w:rsid w:val="00A456E0"/>
    <w:rsid w:val="00A463D1"/>
    <w:rsid w:val="00A557AE"/>
    <w:rsid w:val="00A64253"/>
    <w:rsid w:val="00A667C4"/>
    <w:rsid w:val="00A679E9"/>
    <w:rsid w:val="00A8074D"/>
    <w:rsid w:val="00A80B47"/>
    <w:rsid w:val="00A8236D"/>
    <w:rsid w:val="00A9156A"/>
    <w:rsid w:val="00AB0EA6"/>
    <w:rsid w:val="00AB25FE"/>
    <w:rsid w:val="00AB60B6"/>
    <w:rsid w:val="00AE0867"/>
    <w:rsid w:val="00AE1D93"/>
    <w:rsid w:val="00AE6499"/>
    <w:rsid w:val="00B01013"/>
    <w:rsid w:val="00B046A3"/>
    <w:rsid w:val="00B0745E"/>
    <w:rsid w:val="00B07D6B"/>
    <w:rsid w:val="00B17310"/>
    <w:rsid w:val="00B175C0"/>
    <w:rsid w:val="00B272B1"/>
    <w:rsid w:val="00B34289"/>
    <w:rsid w:val="00B50B52"/>
    <w:rsid w:val="00B54722"/>
    <w:rsid w:val="00B57A1E"/>
    <w:rsid w:val="00B57F08"/>
    <w:rsid w:val="00B62F8F"/>
    <w:rsid w:val="00B854EA"/>
    <w:rsid w:val="00B9294E"/>
    <w:rsid w:val="00B94472"/>
    <w:rsid w:val="00B965F6"/>
    <w:rsid w:val="00BA0897"/>
    <w:rsid w:val="00BA4AAC"/>
    <w:rsid w:val="00BA50D3"/>
    <w:rsid w:val="00BA5D47"/>
    <w:rsid w:val="00BC0836"/>
    <w:rsid w:val="00BD65B4"/>
    <w:rsid w:val="00BD77EA"/>
    <w:rsid w:val="00BF1135"/>
    <w:rsid w:val="00C047ED"/>
    <w:rsid w:val="00C11C06"/>
    <w:rsid w:val="00C15342"/>
    <w:rsid w:val="00C15D05"/>
    <w:rsid w:val="00C2762B"/>
    <w:rsid w:val="00C42535"/>
    <w:rsid w:val="00C4606C"/>
    <w:rsid w:val="00C464E7"/>
    <w:rsid w:val="00C47D7A"/>
    <w:rsid w:val="00C527B8"/>
    <w:rsid w:val="00C52EC4"/>
    <w:rsid w:val="00C620E0"/>
    <w:rsid w:val="00C74ED8"/>
    <w:rsid w:val="00C808F2"/>
    <w:rsid w:val="00CA3616"/>
    <w:rsid w:val="00CB4EDF"/>
    <w:rsid w:val="00CC3945"/>
    <w:rsid w:val="00CC3F2F"/>
    <w:rsid w:val="00CE07F1"/>
    <w:rsid w:val="00CE5441"/>
    <w:rsid w:val="00CE65D3"/>
    <w:rsid w:val="00CE7C8B"/>
    <w:rsid w:val="00CF1B5B"/>
    <w:rsid w:val="00CF42D5"/>
    <w:rsid w:val="00D22DEC"/>
    <w:rsid w:val="00D33CD2"/>
    <w:rsid w:val="00D34CEB"/>
    <w:rsid w:val="00D40557"/>
    <w:rsid w:val="00D42BF4"/>
    <w:rsid w:val="00D42C87"/>
    <w:rsid w:val="00D605FF"/>
    <w:rsid w:val="00DD0FBD"/>
    <w:rsid w:val="00DD3858"/>
    <w:rsid w:val="00DE1644"/>
    <w:rsid w:val="00DE357C"/>
    <w:rsid w:val="00DE4256"/>
    <w:rsid w:val="00DE6929"/>
    <w:rsid w:val="00DE6CFC"/>
    <w:rsid w:val="00DE7F14"/>
    <w:rsid w:val="00DF1A44"/>
    <w:rsid w:val="00DF2F71"/>
    <w:rsid w:val="00E05C7C"/>
    <w:rsid w:val="00E12673"/>
    <w:rsid w:val="00E2654C"/>
    <w:rsid w:val="00E31507"/>
    <w:rsid w:val="00E366D9"/>
    <w:rsid w:val="00E45072"/>
    <w:rsid w:val="00E52643"/>
    <w:rsid w:val="00E531C5"/>
    <w:rsid w:val="00E662A4"/>
    <w:rsid w:val="00E71EBE"/>
    <w:rsid w:val="00E7627D"/>
    <w:rsid w:val="00E9384D"/>
    <w:rsid w:val="00EA4EB3"/>
    <w:rsid w:val="00EB2C9F"/>
    <w:rsid w:val="00EB3E50"/>
    <w:rsid w:val="00EB576A"/>
    <w:rsid w:val="00EC3885"/>
    <w:rsid w:val="00ED561F"/>
    <w:rsid w:val="00ED575D"/>
    <w:rsid w:val="00EE51F0"/>
    <w:rsid w:val="00EF44F3"/>
    <w:rsid w:val="00F04614"/>
    <w:rsid w:val="00F0670B"/>
    <w:rsid w:val="00F07624"/>
    <w:rsid w:val="00F136C0"/>
    <w:rsid w:val="00F168EF"/>
    <w:rsid w:val="00F23897"/>
    <w:rsid w:val="00F252B2"/>
    <w:rsid w:val="00F27F78"/>
    <w:rsid w:val="00F44F78"/>
    <w:rsid w:val="00F55DC7"/>
    <w:rsid w:val="00F7449B"/>
    <w:rsid w:val="00F84D84"/>
    <w:rsid w:val="00F876BB"/>
    <w:rsid w:val="00F87AAC"/>
    <w:rsid w:val="00FA190D"/>
    <w:rsid w:val="00FA273C"/>
    <w:rsid w:val="00FA2F29"/>
    <w:rsid w:val="00FB13A8"/>
    <w:rsid w:val="00FC067A"/>
    <w:rsid w:val="00FC39A1"/>
    <w:rsid w:val="00FC5576"/>
    <w:rsid w:val="00FD0C5F"/>
    <w:rsid w:val="00FD3CFC"/>
    <w:rsid w:val="00FF1B59"/>
    <w:rsid w:val="1B513E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autoRedefine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autoRedefine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character" w:customStyle="1" w:styleId="2Char0">
    <w:name w:val="正文文本缩进 2 Char"/>
    <w:basedOn w:val="a0"/>
    <w:link w:val="20"/>
    <w:autoRedefine/>
    <w:qFormat/>
    <w:rPr>
      <w:rFonts w:ascii="Times New Roman" w:eastAsia="宋体" w:hAnsi="Times New Roman" w:cs="Times New Roman"/>
      <w:szCs w:val="20"/>
    </w:rPr>
  </w:style>
  <w:style w:type="paragraph" w:styleId="a6">
    <w:name w:val="Body Text Indent"/>
    <w:basedOn w:val="a"/>
    <w:link w:val="Char2"/>
    <w:uiPriority w:val="99"/>
    <w:semiHidden/>
    <w:unhideWhenUsed/>
    <w:rsid w:val="000223F6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rsid w:val="000223F6"/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Char0"/>
    <w:autoRedefine/>
    <w:qFormat/>
    <w:pPr>
      <w:spacing w:after="120" w:line="480" w:lineRule="auto"/>
      <w:ind w:leftChars="200" w:left="420"/>
    </w:pPr>
    <w:rPr>
      <w:rFonts w:ascii="Times New Roman" w:eastAsia="宋体" w:hAnsi="Times New Roman" w:cs="Times New Roman"/>
      <w:szCs w:val="20"/>
    </w:rPr>
  </w:style>
  <w:style w:type="paragraph" w:styleId="a3">
    <w:name w:val="Balloon Text"/>
    <w:basedOn w:val="a"/>
    <w:link w:val="Char"/>
    <w:autoRedefine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autoRedefine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autoRedefine/>
    <w:uiPriority w:val="99"/>
    <w:qFormat/>
    <w:rPr>
      <w:sz w:val="18"/>
      <w:szCs w:val="18"/>
    </w:rPr>
  </w:style>
  <w:style w:type="character" w:customStyle="1" w:styleId="2Char">
    <w:name w:val="标题 2 Char"/>
    <w:basedOn w:val="a0"/>
    <w:link w:val="2"/>
    <w:autoRedefine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autoRedefine/>
    <w:uiPriority w:val="99"/>
    <w:semiHidden/>
    <w:qFormat/>
    <w:rPr>
      <w:sz w:val="18"/>
      <w:szCs w:val="18"/>
    </w:rPr>
  </w:style>
  <w:style w:type="character" w:customStyle="1" w:styleId="2Char0">
    <w:name w:val="正文文本缩进 2 Char"/>
    <w:basedOn w:val="a0"/>
    <w:link w:val="20"/>
    <w:autoRedefine/>
    <w:qFormat/>
    <w:rPr>
      <w:rFonts w:ascii="Times New Roman" w:eastAsia="宋体" w:hAnsi="Times New Roman" w:cs="Times New Roman"/>
      <w:szCs w:val="20"/>
    </w:rPr>
  </w:style>
  <w:style w:type="paragraph" w:styleId="a6">
    <w:name w:val="Body Text Indent"/>
    <w:basedOn w:val="a"/>
    <w:link w:val="Char2"/>
    <w:uiPriority w:val="99"/>
    <w:semiHidden/>
    <w:unhideWhenUsed/>
    <w:rsid w:val="000223F6"/>
    <w:pPr>
      <w:spacing w:after="120"/>
      <w:ind w:leftChars="200" w:left="420"/>
    </w:pPr>
  </w:style>
  <w:style w:type="character" w:customStyle="1" w:styleId="Char2">
    <w:name w:val="正文文本缩进 Char"/>
    <w:basedOn w:val="a0"/>
    <w:link w:val="a6"/>
    <w:uiPriority w:val="99"/>
    <w:semiHidden/>
    <w:rsid w:val="000223F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496</Words>
  <Characters>2833</Characters>
  <Application>Microsoft Office Word</Application>
  <DocSecurity>0</DocSecurity>
  <Lines>23</Lines>
  <Paragraphs>6</Paragraphs>
  <ScaleCrop>false</ScaleCrop>
  <Company>china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NIM</dc:creator>
  <cp:lastModifiedBy>ASUS</cp:lastModifiedBy>
  <cp:revision>7</cp:revision>
  <cp:lastPrinted>2018-11-19T14:24:00Z</cp:lastPrinted>
  <dcterms:created xsi:type="dcterms:W3CDTF">2024-06-17T07:15:00Z</dcterms:created>
  <dcterms:modified xsi:type="dcterms:W3CDTF">2024-07-04T07:26:00Z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E8D94088EF3F49E0BC9F6B0EF81525C9_12</vt:lpwstr>
  </property>
</Properties>
</file>