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DD329D" w14:textId="77777777" w:rsidR="00CA0A35" w:rsidRDefault="00CA0A35">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p>
    <w:p w14:paraId="559729E3" w14:textId="77777777" w:rsidR="00CA0A35" w:rsidRDefault="00CA0A35">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p>
    <w:p w14:paraId="567FBC8E" w14:textId="77777777" w:rsidR="00CA0A35" w:rsidRDefault="00CA0A35">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p>
    <w:p w14:paraId="058AE8BC" w14:textId="77777777" w:rsidR="00CA0A35" w:rsidRDefault="00CA0A35">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p>
    <w:p w14:paraId="29C062D9" w14:textId="77777777" w:rsidR="00CA0A35" w:rsidRDefault="00000000">
      <w:pPr>
        <w:tabs>
          <w:tab w:val="left" w:pos="2640"/>
          <w:tab w:val="center" w:pos="4153"/>
        </w:tabs>
        <w:spacing w:line="240" w:lineRule="atLeast"/>
        <w:jc w:val="center"/>
        <w:rPr>
          <w:rStyle w:val="NormalCharacter"/>
          <w:rFonts w:ascii="Times New Roman" w:eastAsia="仿宋_GB2312" w:hAnsi="Times New Roman" w:cs="Times New Roman"/>
          <w:b/>
          <w:kern w:val="0"/>
          <w:sz w:val="48"/>
          <w:szCs w:val="48"/>
        </w:rPr>
      </w:pPr>
      <w:r>
        <w:rPr>
          <w:rStyle w:val="NormalCharacter"/>
          <w:rFonts w:ascii="Times New Roman" w:eastAsia="仿宋_GB2312" w:hAnsi="Times New Roman" w:cs="Times New Roman"/>
          <w:b/>
          <w:kern w:val="0"/>
          <w:sz w:val="48"/>
          <w:szCs w:val="48"/>
        </w:rPr>
        <w:t>国家计量技术规范编制说明</w:t>
      </w:r>
    </w:p>
    <w:p w14:paraId="549CE09F"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2162052C"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486D3D34"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21D1D407"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09BFC5BF"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1D11E284"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522BA949"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700A2C5C"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5154B344" w14:textId="77777777" w:rsidR="00CA0A35" w:rsidRDefault="00CA0A35">
      <w:pPr>
        <w:spacing w:line="240" w:lineRule="atLeast"/>
        <w:jc w:val="center"/>
        <w:rPr>
          <w:rStyle w:val="NormalCharacter"/>
          <w:rFonts w:ascii="Times New Roman" w:eastAsia="仿宋_GB2312" w:hAnsi="Times New Roman" w:cs="Times New Roman"/>
          <w:kern w:val="0"/>
          <w:szCs w:val="21"/>
        </w:rPr>
      </w:pPr>
    </w:p>
    <w:p w14:paraId="396E1CA2" w14:textId="77777777" w:rsidR="00CA0A35" w:rsidRDefault="00000000">
      <w:pPr>
        <w:ind w:firstLineChars="400" w:firstLine="1120"/>
        <w:jc w:val="left"/>
        <w:rPr>
          <w:rStyle w:val="NormalCharacter"/>
          <w:rFonts w:ascii="Times New Roman" w:eastAsia="仿宋_GB2312" w:hAnsi="Times New Roman" w:cs="Times New Roman"/>
          <w:kern w:val="0"/>
          <w:sz w:val="28"/>
          <w:szCs w:val="28"/>
        </w:rPr>
      </w:pPr>
      <w:bookmarkStart w:id="0" w:name="OLE_LINK7"/>
      <w:r>
        <w:rPr>
          <w:rStyle w:val="NormalCharacter"/>
          <w:rFonts w:ascii="Times New Roman" w:eastAsia="仿宋_GB2312" w:hAnsi="Times New Roman" w:cs="Times New Roman"/>
          <w:kern w:val="0"/>
          <w:sz w:val="28"/>
          <w:szCs w:val="28"/>
        </w:rPr>
        <w:t>规范名称</w:t>
      </w:r>
      <w:r>
        <w:rPr>
          <w:rStyle w:val="NormalCharacter"/>
          <w:rFonts w:ascii="Times New Roman" w:eastAsia="仿宋_GB2312" w:hAnsi="Times New Roman" w:cs="Times New Roman"/>
          <w:kern w:val="0"/>
          <w:sz w:val="28"/>
          <w:szCs w:val="28"/>
        </w:rPr>
        <w:t xml:space="preserve">: </w:t>
      </w:r>
      <w:r>
        <w:rPr>
          <w:rStyle w:val="NormalCharacter"/>
          <w:rFonts w:ascii="Times New Roman" w:eastAsia="仿宋_GB2312" w:hAnsi="Times New Roman" w:cs="Times New Roman"/>
          <w:kern w:val="0"/>
          <w:sz w:val="28"/>
          <w:szCs w:val="28"/>
        </w:rPr>
        <w:t>太阳模拟器校准规范</w:t>
      </w:r>
      <w:r>
        <w:rPr>
          <w:rStyle w:val="NormalCharacter"/>
          <w:rFonts w:ascii="Times New Roman" w:eastAsia="仿宋_GB2312" w:hAnsi="Times New Roman" w:cs="Times New Roman"/>
          <w:kern w:val="0"/>
          <w:sz w:val="28"/>
          <w:szCs w:val="28"/>
        </w:rPr>
        <w:t xml:space="preserve"> </w:t>
      </w:r>
    </w:p>
    <w:p w14:paraId="504D4007" w14:textId="77777777" w:rsidR="00CA0A35" w:rsidRDefault="00000000">
      <w:pPr>
        <w:ind w:firstLineChars="400" w:firstLine="112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归口单位</w:t>
      </w:r>
      <w:r>
        <w:rPr>
          <w:rStyle w:val="NormalCharacter"/>
          <w:rFonts w:ascii="Times New Roman" w:eastAsia="仿宋_GB2312" w:hAnsi="Times New Roman" w:cs="Times New Roman"/>
          <w:kern w:val="0"/>
          <w:sz w:val="28"/>
          <w:szCs w:val="28"/>
        </w:rPr>
        <w:t xml:space="preserve">: </w:t>
      </w:r>
      <w:r>
        <w:rPr>
          <w:rStyle w:val="NormalCharacter"/>
          <w:rFonts w:ascii="Times New Roman" w:eastAsia="仿宋_GB2312" w:hAnsi="Times New Roman" w:cs="Times New Roman"/>
          <w:kern w:val="0"/>
          <w:sz w:val="28"/>
          <w:szCs w:val="28"/>
        </w:rPr>
        <w:t>全国光伏专用计量器具计量技术委员会</w:t>
      </w:r>
    </w:p>
    <w:p w14:paraId="5D91A78E" w14:textId="77777777" w:rsidR="00CA0A35" w:rsidRDefault="00000000">
      <w:pPr>
        <w:ind w:firstLineChars="400" w:firstLine="112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主要起草单位：中国计量科学研究院、</w:t>
      </w:r>
    </w:p>
    <w:p w14:paraId="64467851" w14:textId="77777777" w:rsidR="00CA0A35" w:rsidRDefault="00000000">
      <w:pPr>
        <w:ind w:firstLineChars="1100" w:firstLine="308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广东省计量科学研究院</w:t>
      </w:r>
      <w:r>
        <w:rPr>
          <w:rStyle w:val="NormalCharacter"/>
          <w:rFonts w:ascii="Times New Roman" w:eastAsia="仿宋_GB2312" w:hAnsi="Times New Roman" w:cs="Times New Roman"/>
          <w:kern w:val="0"/>
          <w:sz w:val="28"/>
          <w:szCs w:val="28"/>
        </w:rPr>
        <w:t xml:space="preserve"> </w:t>
      </w:r>
    </w:p>
    <w:p w14:paraId="2639393C" w14:textId="77777777" w:rsidR="00CA0A35" w:rsidRDefault="00000000">
      <w:pPr>
        <w:ind w:firstLineChars="400" w:firstLine="112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参加起草单位：福建省计量科学研究院、</w:t>
      </w:r>
    </w:p>
    <w:p w14:paraId="3F09C5AE" w14:textId="77777777" w:rsidR="00CA0A35" w:rsidRDefault="00000000">
      <w:pPr>
        <w:ind w:firstLineChars="1100" w:firstLine="308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中国测试技术研究院</w:t>
      </w:r>
    </w:p>
    <w:bookmarkEnd w:id="0"/>
    <w:p w14:paraId="2E6CB118" w14:textId="77777777" w:rsidR="00CA0A35" w:rsidRDefault="00CA0A35">
      <w:pPr>
        <w:ind w:firstLineChars="400" w:firstLine="1120"/>
        <w:jc w:val="left"/>
        <w:rPr>
          <w:rStyle w:val="NormalCharacter"/>
          <w:rFonts w:ascii="Times New Roman" w:eastAsia="仿宋_GB2312" w:hAnsi="Times New Roman" w:cs="Times New Roman"/>
          <w:kern w:val="0"/>
          <w:sz w:val="28"/>
          <w:szCs w:val="28"/>
        </w:rPr>
      </w:pPr>
    </w:p>
    <w:p w14:paraId="74F17B80" w14:textId="77777777" w:rsidR="00CA0A35" w:rsidRDefault="00000000">
      <w:pPr>
        <w:tabs>
          <w:tab w:val="left" w:pos="0"/>
        </w:tabs>
        <w:ind w:firstLineChars="400" w:firstLine="1120"/>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规范制定或修订</w:t>
      </w:r>
      <w:r>
        <w:rPr>
          <w:rStyle w:val="NormalCharacter"/>
          <w:rFonts w:ascii="Times New Roman" w:eastAsia="仿宋_GB2312" w:hAnsi="Times New Roman" w:cs="Times New Roman"/>
          <w:kern w:val="0"/>
          <w:sz w:val="28"/>
          <w:szCs w:val="28"/>
        </w:rPr>
        <w:t xml:space="preserve">:  </w:t>
      </w:r>
      <w:bookmarkStart w:id="1" w:name="OLE_LINK8"/>
      <w:r>
        <w:rPr>
          <w:rStyle w:val="NormalCharacter"/>
          <w:rFonts w:ascii="Times New Roman" w:eastAsia="仿宋_GB2312" w:hAnsi="Times New Roman" w:cs="Times New Roman"/>
          <w:kern w:val="0"/>
          <w:sz w:val="28"/>
          <w:szCs w:val="28"/>
        </w:rPr>
        <w:t>修订</w:t>
      </w:r>
      <w:bookmarkEnd w:id="1"/>
    </w:p>
    <w:p w14:paraId="6F1BCECA" w14:textId="77777777" w:rsidR="00CA0A35" w:rsidRDefault="00000000">
      <w:pPr>
        <w:ind w:firstLineChars="400" w:firstLine="1120"/>
        <w:jc w:val="left"/>
        <w:rPr>
          <w:rStyle w:val="NormalCharacter"/>
          <w:rFonts w:ascii="Times New Roman" w:eastAsia="仿宋_GB2312" w:hAnsi="Times New Roman" w:cs="Times New Roman"/>
          <w:kern w:val="0"/>
          <w:sz w:val="28"/>
          <w:szCs w:val="28"/>
        </w:rPr>
      </w:pPr>
      <w:r>
        <w:rPr>
          <w:rStyle w:val="NormalCharacter"/>
          <w:rFonts w:ascii="Times New Roman" w:eastAsia="仿宋_GB2312" w:hAnsi="Times New Roman" w:cs="Times New Roman"/>
          <w:kern w:val="0"/>
          <w:sz w:val="28"/>
          <w:szCs w:val="28"/>
        </w:rPr>
        <w:t>组织审定单位</w:t>
      </w:r>
      <w:r>
        <w:rPr>
          <w:rStyle w:val="NormalCharacter"/>
          <w:rFonts w:ascii="Times New Roman" w:eastAsia="仿宋_GB2312" w:hAnsi="Times New Roman" w:cs="Times New Roman"/>
          <w:kern w:val="0"/>
          <w:sz w:val="28"/>
          <w:szCs w:val="28"/>
        </w:rPr>
        <w:t xml:space="preserve">: </w:t>
      </w:r>
      <w:r>
        <w:rPr>
          <w:rStyle w:val="NormalCharacter"/>
          <w:rFonts w:ascii="Times New Roman" w:eastAsia="仿宋_GB2312" w:hAnsi="Times New Roman" w:cs="Times New Roman"/>
          <w:kern w:val="0"/>
          <w:sz w:val="28"/>
          <w:szCs w:val="28"/>
        </w:rPr>
        <w:t>全国光伏专用计量器具计量技术委员会</w:t>
      </w:r>
    </w:p>
    <w:p w14:paraId="59F33309" w14:textId="77777777" w:rsidR="00CA0A35" w:rsidRDefault="00000000">
      <w:pPr>
        <w:widowControl/>
        <w:jc w:val="left"/>
        <w:rPr>
          <w:rStyle w:val="NormalCharacter"/>
          <w:rFonts w:ascii="Times New Roman" w:eastAsia="仿宋_GB2312" w:hAnsi="Times New Roman" w:cs="Times New Roman"/>
          <w:kern w:val="0"/>
          <w:szCs w:val="21"/>
        </w:rPr>
      </w:pPr>
      <w:r>
        <w:rPr>
          <w:rStyle w:val="NormalCharacter"/>
          <w:rFonts w:ascii="Times New Roman" w:eastAsia="仿宋_GB2312" w:hAnsi="Times New Roman" w:cs="Times New Roman"/>
          <w:kern w:val="0"/>
          <w:sz w:val="28"/>
          <w:szCs w:val="28"/>
        </w:rPr>
        <w:br w:type="page"/>
      </w:r>
    </w:p>
    <w:p w14:paraId="0F800023" w14:textId="77777777" w:rsidR="00CA0A35" w:rsidRDefault="00000000">
      <w:pPr>
        <w:pStyle w:val="a6"/>
        <w:jc w:val="center"/>
        <w:rPr>
          <w:rFonts w:ascii="Times New Roman" w:hAnsi="Times New Roman" w:cs="Times New Roman"/>
          <w:b/>
          <w:sz w:val="32"/>
          <w:szCs w:val="32"/>
        </w:rPr>
      </w:pPr>
      <w:r>
        <w:rPr>
          <w:rFonts w:ascii="Times New Roman" w:hAnsi="Times New Roman" w:cs="Times New Roman"/>
          <w:b/>
          <w:sz w:val="32"/>
          <w:szCs w:val="32"/>
        </w:rPr>
        <w:lastRenderedPageBreak/>
        <w:t>《太阳模拟器校准规范》</w:t>
      </w:r>
    </w:p>
    <w:p w14:paraId="70A82B64" w14:textId="77777777" w:rsidR="00CA0A35" w:rsidRDefault="00000000">
      <w:pPr>
        <w:pStyle w:val="a6"/>
        <w:jc w:val="center"/>
        <w:rPr>
          <w:rFonts w:ascii="Times New Roman" w:hAnsi="Times New Roman" w:cs="Times New Roman"/>
          <w:b/>
          <w:sz w:val="32"/>
          <w:szCs w:val="32"/>
        </w:rPr>
      </w:pPr>
      <w:r>
        <w:rPr>
          <w:rFonts w:ascii="Times New Roman" w:hAnsi="Times New Roman" w:cs="Times New Roman"/>
          <w:b/>
          <w:sz w:val="32"/>
          <w:szCs w:val="32"/>
        </w:rPr>
        <w:t>（报审稿）编制说明</w:t>
      </w:r>
    </w:p>
    <w:p w14:paraId="0A4D20FB" w14:textId="77777777" w:rsidR="00CA0A35" w:rsidRDefault="00CA0A35">
      <w:pPr>
        <w:spacing w:line="240" w:lineRule="atLeast"/>
        <w:ind w:right="57"/>
        <w:jc w:val="left"/>
        <w:rPr>
          <w:rStyle w:val="NormalCharacter"/>
          <w:rFonts w:ascii="Times New Roman" w:eastAsia="仿宋_GB2312" w:hAnsi="Times New Roman" w:cs="Times New Roman"/>
          <w:kern w:val="0"/>
          <w:szCs w:val="21"/>
        </w:rPr>
      </w:pPr>
    </w:p>
    <w:p w14:paraId="7314B5A0" w14:textId="77777777" w:rsidR="00CA0A35" w:rsidRDefault="00000000">
      <w:pPr>
        <w:numPr>
          <w:ilvl w:val="0"/>
          <w:numId w:val="1"/>
        </w:numPr>
        <w:spacing w:line="400" w:lineRule="exact"/>
        <w:rPr>
          <w:rFonts w:ascii="Times New Roman" w:hAnsi="Times New Roman" w:cs="Times New Roman"/>
          <w:b/>
          <w:sz w:val="28"/>
          <w:szCs w:val="28"/>
        </w:rPr>
      </w:pPr>
      <w:bookmarkStart w:id="2" w:name="OLE_LINK2"/>
      <w:r>
        <w:rPr>
          <w:rFonts w:ascii="Times New Roman" w:hAnsi="Times New Roman" w:cs="Times New Roman"/>
          <w:sz w:val="28"/>
          <w:szCs w:val="28"/>
        </w:rPr>
        <w:t>任务来源</w:t>
      </w:r>
    </w:p>
    <w:bookmarkEnd w:id="2"/>
    <w:p w14:paraId="69427BEC" w14:textId="77777777" w:rsidR="00CA0A35" w:rsidRDefault="00000000">
      <w:pPr>
        <w:spacing w:line="360" w:lineRule="auto"/>
        <w:ind w:firstLine="573"/>
        <w:rPr>
          <w:rFonts w:ascii="Times New Roman" w:hAnsi="Times New Roman" w:cs="Times New Roman"/>
          <w:color w:val="000000"/>
          <w:sz w:val="28"/>
          <w:szCs w:val="28"/>
        </w:rPr>
      </w:pPr>
      <w:r>
        <w:rPr>
          <w:rFonts w:ascii="Times New Roman" w:hAnsi="Times New Roman" w:cs="Times New Roman"/>
          <w:color w:val="000000"/>
          <w:sz w:val="28"/>
          <w:szCs w:val="28"/>
        </w:rPr>
        <w:t>本规范的制订工作是按照国家市场监督管理总局</w:t>
      </w:r>
      <w:r>
        <w:rPr>
          <w:rFonts w:ascii="Times New Roman" w:hAnsi="Times New Roman" w:cs="Times New Roman"/>
          <w:color w:val="000000"/>
          <w:sz w:val="28"/>
          <w:szCs w:val="28"/>
        </w:rPr>
        <w:t>2024</w:t>
      </w:r>
      <w:r>
        <w:rPr>
          <w:rFonts w:ascii="Times New Roman" w:hAnsi="Times New Roman" w:cs="Times New Roman"/>
          <w:color w:val="000000"/>
          <w:sz w:val="28"/>
          <w:szCs w:val="28"/>
        </w:rPr>
        <w:t>年国家计量技术法规制修订计划开展的。</w:t>
      </w:r>
    </w:p>
    <w:p w14:paraId="230A1A33" w14:textId="77777777" w:rsidR="00CA0A35" w:rsidRDefault="00CA0A35">
      <w:pPr>
        <w:spacing w:line="400" w:lineRule="exact"/>
        <w:ind w:firstLine="570"/>
        <w:rPr>
          <w:rFonts w:ascii="Times New Roman" w:hAnsi="Times New Roman" w:cs="Times New Roman"/>
          <w:sz w:val="28"/>
          <w:highlight w:val="yellow"/>
        </w:rPr>
      </w:pPr>
    </w:p>
    <w:p w14:paraId="1E9C773C" w14:textId="77777777" w:rsidR="00CA0A35" w:rsidRDefault="00000000">
      <w:pPr>
        <w:numPr>
          <w:ilvl w:val="0"/>
          <w:numId w:val="1"/>
        </w:numPr>
        <w:spacing w:line="400" w:lineRule="exact"/>
        <w:rPr>
          <w:rFonts w:ascii="Times New Roman" w:hAnsi="Times New Roman" w:cs="Times New Roman"/>
          <w:sz w:val="28"/>
          <w:szCs w:val="28"/>
        </w:rPr>
      </w:pPr>
      <w:bookmarkStart w:id="3" w:name="OLE_LINK3"/>
      <w:r>
        <w:rPr>
          <w:rFonts w:ascii="Times New Roman" w:hAnsi="Times New Roman" w:cs="Times New Roman"/>
          <w:color w:val="000000"/>
          <w:sz w:val="28"/>
        </w:rPr>
        <w:t>制</w:t>
      </w:r>
      <w:r>
        <w:rPr>
          <w:rFonts w:ascii="Times New Roman" w:hAnsi="Times New Roman" w:cs="Times New Roman"/>
          <w:color w:val="000000"/>
          <w:sz w:val="28"/>
          <w:szCs w:val="28"/>
        </w:rPr>
        <w:t>订的</w:t>
      </w:r>
      <w:r>
        <w:rPr>
          <w:rFonts w:ascii="Times New Roman" w:hAnsi="Times New Roman" w:cs="Times New Roman"/>
          <w:sz w:val="28"/>
          <w:szCs w:val="28"/>
        </w:rPr>
        <w:t>目的、意义，国内外现状和需求</w:t>
      </w:r>
    </w:p>
    <w:bookmarkEnd w:id="3"/>
    <w:p w14:paraId="1EF1452B" w14:textId="77777777" w:rsidR="00CA0A35" w:rsidRDefault="00000000">
      <w:pPr>
        <w:spacing w:line="360" w:lineRule="auto"/>
        <w:ind w:firstLine="573"/>
        <w:rPr>
          <w:rFonts w:ascii="Times New Roman" w:hAnsi="Times New Roman" w:cs="Times New Roman"/>
          <w:sz w:val="28"/>
          <w:szCs w:val="28"/>
        </w:rPr>
      </w:pPr>
      <w:r>
        <w:rPr>
          <w:rFonts w:ascii="Times New Roman" w:hAnsi="Times New Roman" w:cs="Times New Roman"/>
          <w:sz w:val="28"/>
          <w:szCs w:val="28"/>
        </w:rPr>
        <w:t>我国是全球最大光伏产品应用和出口国，光伏电池和光伏组件是最为重要的光伏器件，</w:t>
      </w:r>
      <w:r>
        <w:rPr>
          <w:rFonts w:ascii="Times New Roman" w:eastAsia="宋体" w:hAnsi="Times New Roman" w:cs="Times New Roman"/>
          <w:color w:val="404040"/>
          <w:sz w:val="27"/>
          <w:szCs w:val="27"/>
        </w:rPr>
        <w:t>2023</w:t>
      </w:r>
      <w:r>
        <w:rPr>
          <w:rFonts w:ascii="Times New Roman" w:eastAsia="宋体" w:hAnsi="Times New Roman" w:cs="Times New Roman"/>
          <w:color w:val="404040"/>
          <w:sz w:val="27"/>
          <w:szCs w:val="27"/>
        </w:rPr>
        <w:t>年</w:t>
      </w:r>
      <w:r>
        <w:rPr>
          <w:rFonts w:ascii="Times New Roman" w:hAnsi="Times New Roman" w:cs="Times New Roman"/>
          <w:sz w:val="28"/>
          <w:szCs w:val="28"/>
        </w:rPr>
        <w:t>我国组件产量达到</w:t>
      </w:r>
      <w:r>
        <w:rPr>
          <w:rFonts w:ascii="Times New Roman" w:hAnsi="Times New Roman" w:cs="Times New Roman"/>
          <w:sz w:val="28"/>
          <w:szCs w:val="28"/>
        </w:rPr>
        <w:t>499GW</w:t>
      </w:r>
      <w:r>
        <w:rPr>
          <w:rFonts w:ascii="Times New Roman" w:hAnsi="Times New Roman" w:cs="Times New Roman"/>
          <w:sz w:val="28"/>
          <w:szCs w:val="28"/>
        </w:rPr>
        <w:t>，同比增长</w:t>
      </w:r>
      <w:r>
        <w:rPr>
          <w:rFonts w:ascii="Times New Roman" w:hAnsi="Times New Roman" w:cs="Times New Roman"/>
          <w:sz w:val="28"/>
          <w:szCs w:val="28"/>
        </w:rPr>
        <w:t>69.3%</w:t>
      </w:r>
      <w:r>
        <w:rPr>
          <w:rFonts w:ascii="Times New Roman" w:hAnsi="Times New Roman" w:cs="Times New Roman"/>
          <w:sz w:val="28"/>
          <w:szCs w:val="28"/>
        </w:rPr>
        <w:t>；产品出口</w:t>
      </w:r>
      <w:r>
        <w:rPr>
          <w:rFonts w:ascii="Times New Roman" w:hAnsi="Times New Roman" w:cs="Times New Roman"/>
          <w:sz w:val="28"/>
          <w:szCs w:val="28"/>
        </w:rPr>
        <w:t>211.7GW</w:t>
      </w:r>
      <w:r>
        <w:rPr>
          <w:rFonts w:ascii="Times New Roman" w:hAnsi="Times New Roman" w:cs="Times New Roman"/>
          <w:sz w:val="28"/>
          <w:szCs w:val="28"/>
        </w:rPr>
        <w:t>，同比增长</w:t>
      </w:r>
      <w:r>
        <w:rPr>
          <w:rFonts w:ascii="Times New Roman" w:hAnsi="Times New Roman" w:cs="Times New Roman"/>
          <w:sz w:val="28"/>
          <w:szCs w:val="28"/>
        </w:rPr>
        <w:t>37.9%</w:t>
      </w:r>
      <w:r>
        <w:rPr>
          <w:rFonts w:ascii="Times New Roman" w:hAnsi="Times New Roman" w:cs="Times New Roman"/>
          <w:sz w:val="28"/>
          <w:szCs w:val="28"/>
        </w:rPr>
        <w:t>，光电性能测试是其最为重要的测试项目，主要参数包括：短路电流、开路电压、</w:t>
      </w:r>
      <w:bookmarkStart w:id="4" w:name="OLE_LINK1"/>
      <w:r>
        <w:rPr>
          <w:rFonts w:ascii="Times New Roman" w:hAnsi="Times New Roman" w:cs="Times New Roman"/>
          <w:sz w:val="28"/>
          <w:szCs w:val="28"/>
        </w:rPr>
        <w:t>最大功率</w:t>
      </w:r>
      <w:bookmarkEnd w:id="4"/>
      <w:r>
        <w:rPr>
          <w:rFonts w:ascii="Times New Roman" w:hAnsi="Times New Roman" w:cs="Times New Roman"/>
          <w:sz w:val="28"/>
          <w:szCs w:val="28"/>
        </w:rPr>
        <w:t>、</w:t>
      </w:r>
      <w:bookmarkStart w:id="5" w:name="OLE_LINK6"/>
      <w:r>
        <w:rPr>
          <w:rFonts w:ascii="Times New Roman" w:hAnsi="Times New Roman" w:cs="Times New Roman"/>
          <w:sz w:val="28"/>
          <w:szCs w:val="28"/>
        </w:rPr>
        <w:t>最大功率点电流</w:t>
      </w:r>
      <w:bookmarkEnd w:id="5"/>
      <w:r>
        <w:rPr>
          <w:rFonts w:ascii="Times New Roman" w:hAnsi="Times New Roman" w:cs="Times New Roman"/>
          <w:sz w:val="28"/>
          <w:szCs w:val="28"/>
        </w:rPr>
        <w:t>、最大功率点电压、光电转换效率等，其中最大输出功率是最为关键的参数，它直接决定了光伏组件在实际应用过程中的发电量值，也是光伏组件在贸易过程中的结算单元，直接决定了贸易金额。光伏行业中，光伏电池和光伏组件最大功率的测试大都基于室内太阳模拟器作进行测量，太阳模拟器的性能直接影响最大输出功率的测量结果，太阳模拟器主要分为两个模块：光学模块和电学测量模块，光学模块主要基于光源和滤光器件模拟太阳光，形成均匀、稳定、光谱匹配的太阳辐射场；电学测量模块主要基于</w:t>
      </w:r>
      <w:r>
        <w:rPr>
          <w:rFonts w:ascii="Times New Roman" w:hAnsi="Times New Roman" w:cs="Times New Roman"/>
          <w:sz w:val="28"/>
          <w:szCs w:val="28"/>
        </w:rPr>
        <w:t>I-V</w:t>
      </w:r>
      <w:r>
        <w:rPr>
          <w:rFonts w:ascii="Times New Roman" w:hAnsi="Times New Roman" w:cs="Times New Roman"/>
          <w:sz w:val="28"/>
          <w:szCs w:val="28"/>
        </w:rPr>
        <w:t>曲线测试仪测量光伏电池和光伏组件的</w:t>
      </w:r>
      <w:r>
        <w:rPr>
          <w:rFonts w:ascii="Times New Roman" w:hAnsi="Times New Roman" w:cs="Times New Roman"/>
          <w:sz w:val="28"/>
          <w:szCs w:val="28"/>
        </w:rPr>
        <w:t>I-V</w:t>
      </w:r>
      <w:r>
        <w:rPr>
          <w:rFonts w:ascii="Times New Roman" w:hAnsi="Times New Roman" w:cs="Times New Roman"/>
          <w:sz w:val="28"/>
          <w:szCs w:val="28"/>
        </w:rPr>
        <w:t>曲线，得到最大发电功率等关键光电参数。</w:t>
      </w:r>
    </w:p>
    <w:p w14:paraId="428E35C6" w14:textId="77777777" w:rsidR="00CA0A35" w:rsidRDefault="00000000">
      <w:pPr>
        <w:spacing w:line="360" w:lineRule="auto"/>
        <w:ind w:firstLine="573"/>
        <w:rPr>
          <w:rFonts w:ascii="Times New Roman" w:hAnsi="Times New Roman" w:cs="Times New Roman"/>
          <w:sz w:val="28"/>
          <w:szCs w:val="28"/>
        </w:rPr>
      </w:pPr>
      <w:r>
        <w:rPr>
          <w:rFonts w:ascii="Times New Roman" w:hAnsi="Times New Roman" w:cs="Times New Roman"/>
          <w:sz w:val="28"/>
          <w:szCs w:val="28"/>
        </w:rPr>
        <w:t>针对太阳模拟器光学模块，</w:t>
      </w:r>
      <w:r>
        <w:rPr>
          <w:rFonts w:ascii="Times New Roman" w:hAnsi="Times New Roman" w:cs="Times New Roman"/>
          <w:sz w:val="28"/>
          <w:szCs w:val="28"/>
        </w:rPr>
        <w:t>2017</w:t>
      </w:r>
      <w:r>
        <w:rPr>
          <w:rFonts w:ascii="Times New Roman" w:hAnsi="Times New Roman" w:cs="Times New Roman"/>
          <w:sz w:val="28"/>
          <w:szCs w:val="28"/>
        </w:rPr>
        <w:t>年参考</w:t>
      </w:r>
      <w:r>
        <w:rPr>
          <w:rFonts w:ascii="Times New Roman" w:hAnsi="Times New Roman" w:cs="Times New Roman"/>
          <w:sz w:val="28"/>
          <w:szCs w:val="28"/>
        </w:rPr>
        <w:t xml:space="preserve">IEC 60904-9 2007 </w:t>
      </w:r>
      <w:r>
        <w:rPr>
          <w:rFonts w:ascii="Times New Roman" w:hAnsi="Times New Roman" w:cs="Times New Roman"/>
          <w:sz w:val="28"/>
          <w:szCs w:val="28"/>
        </w:rPr>
        <w:t>光伏器件</w:t>
      </w:r>
      <w:r>
        <w:rPr>
          <w:rFonts w:ascii="Times New Roman" w:hAnsi="Times New Roman" w:cs="Times New Roman"/>
          <w:sz w:val="28"/>
          <w:szCs w:val="28"/>
        </w:rPr>
        <w:t xml:space="preserve"> </w:t>
      </w:r>
      <w:r>
        <w:rPr>
          <w:rFonts w:ascii="Times New Roman" w:hAnsi="Times New Roman" w:cs="Times New Roman"/>
          <w:sz w:val="28"/>
          <w:szCs w:val="28"/>
        </w:rPr>
        <w:t>第九部分：太阳模拟器性能要求（</w:t>
      </w:r>
      <w:r>
        <w:rPr>
          <w:rFonts w:ascii="Times New Roman" w:hAnsi="Times New Roman" w:cs="Times New Roman"/>
          <w:sz w:val="28"/>
          <w:szCs w:val="28"/>
        </w:rPr>
        <w:t>Photovoltaic devices - Part 9 2007: Solar simulator performance requirements</w:t>
      </w:r>
      <w:r>
        <w:rPr>
          <w:rFonts w:ascii="Times New Roman" w:hAnsi="Times New Roman" w:cs="Times New Roman"/>
          <w:sz w:val="28"/>
          <w:szCs w:val="28"/>
        </w:rPr>
        <w:t>）</w:t>
      </w:r>
      <w:r>
        <w:rPr>
          <w:rFonts w:ascii="Times New Roman" w:hAnsi="Times New Roman" w:cs="Times New Roman"/>
          <w:sz w:val="28"/>
          <w:szCs w:val="28"/>
        </w:rPr>
        <w:t xml:space="preserve"> </w:t>
      </w:r>
      <w:r>
        <w:rPr>
          <w:rFonts w:ascii="Times New Roman" w:hAnsi="Times New Roman" w:cs="Times New Roman"/>
          <w:sz w:val="28"/>
          <w:szCs w:val="28"/>
        </w:rPr>
        <w:t>制定了</w:t>
      </w:r>
      <w:r>
        <w:rPr>
          <w:rFonts w:ascii="Times New Roman" w:hAnsi="Times New Roman" w:cs="Times New Roman"/>
          <w:sz w:val="28"/>
          <w:szCs w:val="28"/>
        </w:rPr>
        <w:t xml:space="preserve">JJF1615-2017 </w:t>
      </w:r>
      <w:r>
        <w:rPr>
          <w:rFonts w:ascii="Times New Roman" w:hAnsi="Times New Roman" w:cs="Times New Roman"/>
          <w:sz w:val="28"/>
          <w:szCs w:val="28"/>
        </w:rPr>
        <w:lastRenderedPageBreak/>
        <w:t>太阳模拟器校准规范。由于光伏行业的快速发展，新材料、新工艺的太阳电池</w:t>
      </w:r>
      <w:r>
        <w:rPr>
          <w:rFonts w:ascii="Times New Roman" w:hAnsi="Times New Roman" w:cs="Times New Roman"/>
          <w:sz w:val="28"/>
          <w:szCs w:val="28"/>
        </w:rPr>
        <w:t>/</w:t>
      </w:r>
      <w:r>
        <w:rPr>
          <w:rFonts w:ascii="Times New Roman" w:hAnsi="Times New Roman" w:cs="Times New Roman"/>
          <w:sz w:val="28"/>
          <w:szCs w:val="28"/>
        </w:rPr>
        <w:t>组件不断涌现，其多采用切片结构，且具有更宽的光谱响应范围，其关键光电参数的测量需要太阳模拟器具有更优的辐照均匀性、宽光谱范围、高光谱匹配度等要求，故</w:t>
      </w:r>
      <w:r>
        <w:rPr>
          <w:rFonts w:ascii="Times New Roman" w:hAnsi="Times New Roman" w:cs="Times New Roman"/>
          <w:sz w:val="28"/>
          <w:szCs w:val="28"/>
        </w:rPr>
        <w:t>2020</w:t>
      </w:r>
      <w:r>
        <w:rPr>
          <w:rFonts w:ascii="Times New Roman" w:hAnsi="Times New Roman" w:cs="Times New Roman"/>
          <w:sz w:val="28"/>
          <w:szCs w:val="28"/>
        </w:rPr>
        <w:t>年国际电工委员会（</w:t>
      </w:r>
      <w:r>
        <w:rPr>
          <w:rFonts w:ascii="Times New Roman" w:hAnsi="Times New Roman" w:cs="Times New Roman"/>
          <w:sz w:val="28"/>
          <w:szCs w:val="28"/>
        </w:rPr>
        <w:t>IEC</w:t>
      </w:r>
      <w:r>
        <w:rPr>
          <w:rFonts w:ascii="Times New Roman" w:hAnsi="Times New Roman" w:cs="Times New Roman"/>
          <w:sz w:val="28"/>
          <w:szCs w:val="28"/>
        </w:rPr>
        <w:t>）发布了</w:t>
      </w:r>
      <w:r>
        <w:rPr>
          <w:rFonts w:ascii="Times New Roman" w:hAnsi="Times New Roman" w:cs="Times New Roman"/>
          <w:sz w:val="28"/>
          <w:szCs w:val="28"/>
        </w:rPr>
        <w:t xml:space="preserve">IEC 60904-9 2020 </w:t>
      </w:r>
      <w:r>
        <w:rPr>
          <w:rFonts w:ascii="Times New Roman" w:hAnsi="Times New Roman" w:cs="Times New Roman"/>
          <w:sz w:val="28"/>
          <w:szCs w:val="28"/>
        </w:rPr>
        <w:t>太阳模拟器性能分级（</w:t>
      </w:r>
      <w:r>
        <w:rPr>
          <w:rFonts w:ascii="Times New Roman" w:hAnsi="Times New Roman" w:cs="Times New Roman"/>
          <w:sz w:val="28"/>
          <w:szCs w:val="28"/>
        </w:rPr>
        <w:t>Photovoltaic devices-Part 9: Classification of solar simulator characteristics</w:t>
      </w:r>
      <w:r>
        <w:rPr>
          <w:rFonts w:ascii="Times New Roman" w:hAnsi="Times New Roman" w:cs="Times New Roman"/>
          <w:sz w:val="28"/>
          <w:szCs w:val="28"/>
        </w:rPr>
        <w:t>），对太阳模拟器光谱范围、光谱测试点选取、光谱匹配度等级、辐照不稳定度和不均匀度等级、光谱覆盖率（</w:t>
      </w:r>
      <w:r>
        <w:rPr>
          <w:rFonts w:ascii="Times New Roman" w:hAnsi="Times New Roman" w:cs="Times New Roman"/>
          <w:sz w:val="28"/>
          <w:szCs w:val="28"/>
        </w:rPr>
        <w:t>SPC</w:t>
      </w:r>
      <w:r>
        <w:rPr>
          <w:rFonts w:ascii="Times New Roman" w:hAnsi="Times New Roman" w:cs="Times New Roman"/>
          <w:sz w:val="28"/>
          <w:szCs w:val="28"/>
        </w:rPr>
        <w:t>）、光谱偏离度（</w:t>
      </w:r>
      <w:r>
        <w:rPr>
          <w:rFonts w:ascii="Times New Roman" w:hAnsi="Times New Roman" w:cs="Times New Roman"/>
          <w:sz w:val="28"/>
          <w:szCs w:val="28"/>
        </w:rPr>
        <w:t>SPD</w:t>
      </w:r>
      <w:r>
        <w:rPr>
          <w:rFonts w:ascii="Times New Roman" w:hAnsi="Times New Roman" w:cs="Times New Roman"/>
          <w:sz w:val="28"/>
          <w:szCs w:val="28"/>
        </w:rPr>
        <w:t>）等进行了修订或补充。</w:t>
      </w:r>
    </w:p>
    <w:p w14:paraId="657B34C0" w14:textId="77777777" w:rsidR="00CA0A35" w:rsidRDefault="00000000">
      <w:pPr>
        <w:spacing w:line="360" w:lineRule="auto"/>
        <w:ind w:firstLine="573"/>
        <w:rPr>
          <w:rFonts w:ascii="Times New Roman" w:hAnsi="Times New Roman" w:cs="Times New Roman"/>
          <w:sz w:val="28"/>
          <w:szCs w:val="28"/>
        </w:rPr>
      </w:pPr>
      <w:r>
        <w:rPr>
          <w:rFonts w:ascii="Times New Roman" w:hAnsi="Times New Roman" w:cs="Times New Roman"/>
          <w:sz w:val="28"/>
          <w:szCs w:val="28"/>
        </w:rPr>
        <w:t>针对太阳模拟器电学模块（</w:t>
      </w:r>
      <w:r>
        <w:rPr>
          <w:rFonts w:ascii="Times New Roman" w:hAnsi="Times New Roman" w:cs="Times New Roman"/>
          <w:sz w:val="28"/>
          <w:szCs w:val="28"/>
        </w:rPr>
        <w:t>I-V</w:t>
      </w:r>
      <w:r>
        <w:rPr>
          <w:rFonts w:ascii="Times New Roman" w:hAnsi="Times New Roman" w:cs="Times New Roman"/>
          <w:sz w:val="28"/>
          <w:szCs w:val="28"/>
        </w:rPr>
        <w:t>曲线测试仪）的校准检测机构现主要依据自编校准方法进行校准或测试，目前尚无统一可执行的太阳模拟器</w:t>
      </w:r>
      <w:r>
        <w:rPr>
          <w:rFonts w:ascii="Times New Roman" w:hAnsi="Times New Roman" w:cs="Times New Roman"/>
          <w:sz w:val="28"/>
          <w:szCs w:val="28"/>
        </w:rPr>
        <w:t>I-V</w:t>
      </w:r>
      <w:r>
        <w:rPr>
          <w:rFonts w:ascii="Times New Roman" w:hAnsi="Times New Roman" w:cs="Times New Roman"/>
          <w:sz w:val="28"/>
          <w:szCs w:val="28"/>
        </w:rPr>
        <w:t>曲线测试仪校准规范文件。</w:t>
      </w:r>
    </w:p>
    <w:p w14:paraId="5147B1D4" w14:textId="77777777" w:rsidR="00CA0A35" w:rsidRDefault="00000000">
      <w:pPr>
        <w:spacing w:line="360" w:lineRule="auto"/>
        <w:ind w:firstLine="573"/>
        <w:rPr>
          <w:rFonts w:ascii="Times New Roman" w:hAnsi="Times New Roman" w:cs="Times New Roman"/>
          <w:sz w:val="28"/>
          <w:szCs w:val="28"/>
        </w:rPr>
      </w:pPr>
      <w:r>
        <w:rPr>
          <w:rFonts w:ascii="Times New Roman" w:hAnsi="Times New Roman" w:cs="Times New Roman"/>
          <w:sz w:val="28"/>
          <w:szCs w:val="28"/>
        </w:rPr>
        <w:t>针对《太阳模拟器校准规范》的修订，主要依托光伏行业对太阳模拟器校准的计量需求，着力解决对太阳模拟器评价过程中存在的问题，以保证光伏电池</w:t>
      </w:r>
      <w:r>
        <w:rPr>
          <w:rFonts w:ascii="Times New Roman" w:hAnsi="Times New Roman" w:cs="Times New Roman"/>
          <w:sz w:val="28"/>
          <w:szCs w:val="28"/>
        </w:rPr>
        <w:t>/</w:t>
      </w:r>
      <w:r>
        <w:rPr>
          <w:rFonts w:ascii="Times New Roman" w:hAnsi="Times New Roman" w:cs="Times New Roman"/>
          <w:sz w:val="28"/>
          <w:szCs w:val="28"/>
        </w:rPr>
        <w:t>组件最大发电功率量值的准确可靠。</w:t>
      </w:r>
    </w:p>
    <w:p w14:paraId="6DB25E0E" w14:textId="77777777" w:rsidR="00CA0A35" w:rsidRDefault="00000000">
      <w:pPr>
        <w:numPr>
          <w:ilvl w:val="0"/>
          <w:numId w:val="1"/>
        </w:numPr>
        <w:spacing w:line="400" w:lineRule="exact"/>
        <w:rPr>
          <w:rFonts w:ascii="Times New Roman" w:hAnsi="Times New Roman" w:cs="Times New Roman"/>
          <w:sz w:val="28"/>
        </w:rPr>
      </w:pPr>
      <w:bookmarkStart w:id="6" w:name="OLE_LINK4"/>
      <w:r>
        <w:rPr>
          <w:rFonts w:ascii="Times New Roman" w:hAnsi="Times New Roman" w:cs="Times New Roman"/>
          <w:color w:val="000000"/>
          <w:sz w:val="28"/>
        </w:rPr>
        <w:t>制订和</w:t>
      </w:r>
      <w:r>
        <w:rPr>
          <w:rFonts w:ascii="Times New Roman" w:hAnsi="Times New Roman" w:cs="Times New Roman"/>
          <w:sz w:val="28"/>
        </w:rPr>
        <w:t>增减的主要内容</w:t>
      </w:r>
    </w:p>
    <w:bookmarkEnd w:id="6"/>
    <w:p w14:paraId="075CAE25" w14:textId="77777777" w:rsidR="00CA0A35" w:rsidRDefault="00000000">
      <w:pPr>
        <w:pStyle w:val="a5"/>
        <w:spacing w:line="360" w:lineRule="auto"/>
        <w:ind w:left="0" w:firstLineChars="200" w:firstLine="560"/>
        <w:rPr>
          <w:rFonts w:ascii="Times New Roman" w:eastAsia="黑体" w:hAnsi="Times New Roman" w:cs="Times New Roman"/>
          <w:sz w:val="32"/>
          <w:szCs w:val="32"/>
        </w:rPr>
      </w:pPr>
      <w:r>
        <w:rPr>
          <w:rFonts w:ascii="Times New Roman" w:hAnsi="Times New Roman" w:cs="Times New Roman"/>
          <w:szCs w:val="28"/>
        </w:rPr>
        <w:t>本规范为针对</w:t>
      </w:r>
      <w:r>
        <w:rPr>
          <w:rFonts w:ascii="Times New Roman" w:hAnsi="Times New Roman" w:cs="Times New Roman"/>
          <w:szCs w:val="28"/>
        </w:rPr>
        <w:t>JJF1615-2017</w:t>
      </w:r>
      <w:r>
        <w:rPr>
          <w:rFonts w:ascii="Times New Roman" w:hAnsi="Times New Roman" w:cs="Times New Roman"/>
          <w:szCs w:val="28"/>
        </w:rPr>
        <w:t>《太阳模拟器校准规范》的修订。与</w:t>
      </w:r>
      <w:r>
        <w:rPr>
          <w:rFonts w:ascii="Times New Roman" w:hAnsi="Times New Roman" w:cs="Times New Roman"/>
          <w:szCs w:val="28"/>
        </w:rPr>
        <w:t>JJF1615-2017</w:t>
      </w:r>
      <w:r>
        <w:rPr>
          <w:rFonts w:ascii="Times New Roman" w:hAnsi="Times New Roman" w:cs="Times New Roman"/>
          <w:szCs w:val="28"/>
        </w:rPr>
        <w:t>相比，主要技术变化如下：（</w:t>
      </w:r>
      <w:r>
        <w:rPr>
          <w:rFonts w:ascii="Times New Roman" w:hAnsi="Times New Roman" w:cs="Times New Roman"/>
          <w:szCs w:val="28"/>
        </w:rPr>
        <w:t>1</w:t>
      </w:r>
      <w:r>
        <w:rPr>
          <w:rFonts w:ascii="Times New Roman" w:hAnsi="Times New Roman" w:cs="Times New Roman"/>
          <w:szCs w:val="28"/>
        </w:rPr>
        <w:t>）删除了太阳模拟器</w:t>
      </w:r>
      <w:r>
        <w:rPr>
          <w:rFonts w:ascii="Times New Roman" w:hAnsi="Times New Roman" w:cs="Times New Roman"/>
          <w:szCs w:val="28"/>
        </w:rPr>
        <w:t>AM0</w:t>
      </w:r>
      <w:r>
        <w:rPr>
          <w:rFonts w:ascii="Times New Roman" w:hAnsi="Times New Roman" w:cs="Times New Roman"/>
          <w:szCs w:val="28"/>
        </w:rPr>
        <w:t>光谱匹配度的校准内容；（</w:t>
      </w:r>
      <w:r>
        <w:rPr>
          <w:rFonts w:ascii="Times New Roman" w:hAnsi="Times New Roman" w:cs="Times New Roman"/>
          <w:szCs w:val="28"/>
        </w:rPr>
        <w:t>2</w:t>
      </w:r>
      <w:r>
        <w:rPr>
          <w:rFonts w:ascii="Times New Roman" w:hAnsi="Times New Roman" w:cs="Times New Roman"/>
          <w:szCs w:val="28"/>
        </w:rPr>
        <w:t>）增加了太阳模拟器（</w:t>
      </w:r>
      <w:r>
        <w:rPr>
          <w:rFonts w:ascii="Times New Roman" w:hAnsi="Times New Roman" w:cs="Times New Roman"/>
          <w:szCs w:val="28"/>
        </w:rPr>
        <w:t>300-1200</w:t>
      </w:r>
      <w:r>
        <w:rPr>
          <w:rFonts w:ascii="Times New Roman" w:hAnsi="Times New Roman" w:cs="Times New Roman"/>
          <w:szCs w:val="28"/>
        </w:rPr>
        <w:t>）</w:t>
      </w:r>
      <w:r>
        <w:rPr>
          <w:rFonts w:ascii="Times New Roman" w:hAnsi="Times New Roman" w:cs="Times New Roman"/>
          <w:szCs w:val="28"/>
        </w:rPr>
        <w:t>nm</w:t>
      </w:r>
      <w:r>
        <w:rPr>
          <w:rFonts w:ascii="Times New Roman" w:hAnsi="Times New Roman" w:cs="Times New Roman"/>
          <w:szCs w:val="28"/>
        </w:rPr>
        <w:t>光谱匹配度的校准内容；（</w:t>
      </w:r>
      <w:r>
        <w:rPr>
          <w:rFonts w:ascii="Times New Roman" w:hAnsi="Times New Roman" w:cs="Times New Roman"/>
          <w:szCs w:val="28"/>
        </w:rPr>
        <w:t>3</w:t>
      </w:r>
      <w:r>
        <w:rPr>
          <w:rFonts w:ascii="Times New Roman" w:hAnsi="Times New Roman" w:cs="Times New Roman"/>
          <w:szCs w:val="28"/>
        </w:rPr>
        <w:t>）增加了太阳模拟器光谱测量点设置及以最差结果进行判定的要求；（</w:t>
      </w:r>
      <w:r>
        <w:rPr>
          <w:rFonts w:ascii="Times New Roman" w:hAnsi="Times New Roman" w:cs="Times New Roman"/>
          <w:szCs w:val="28"/>
        </w:rPr>
        <w:t>4</w:t>
      </w:r>
      <w:r>
        <w:rPr>
          <w:rFonts w:ascii="Times New Roman" w:hAnsi="Times New Roman" w:cs="Times New Roman"/>
          <w:szCs w:val="28"/>
        </w:rPr>
        <w:t>）修改了光谱匹配度、辐照不均匀度和辐照不稳定度等级分类标准；（</w:t>
      </w:r>
      <w:r>
        <w:rPr>
          <w:rFonts w:ascii="Times New Roman" w:hAnsi="Times New Roman" w:cs="Times New Roman"/>
          <w:szCs w:val="28"/>
        </w:rPr>
        <w:t>5</w:t>
      </w:r>
      <w:r>
        <w:rPr>
          <w:rFonts w:ascii="Times New Roman" w:hAnsi="Times New Roman" w:cs="Times New Roman"/>
          <w:szCs w:val="28"/>
        </w:rPr>
        <w:t>）增加了太阳模拟器光谱覆盖率</w:t>
      </w:r>
      <w:r>
        <w:rPr>
          <w:rFonts w:ascii="Times New Roman" w:hAnsi="Times New Roman" w:cs="Times New Roman"/>
          <w:szCs w:val="28"/>
        </w:rPr>
        <w:lastRenderedPageBreak/>
        <w:t>校准项目；（</w:t>
      </w:r>
      <w:r>
        <w:rPr>
          <w:rFonts w:ascii="Times New Roman" w:hAnsi="Times New Roman" w:cs="Times New Roman"/>
          <w:szCs w:val="28"/>
        </w:rPr>
        <w:t>6</w:t>
      </w:r>
      <w:r>
        <w:rPr>
          <w:rFonts w:ascii="Times New Roman" w:hAnsi="Times New Roman" w:cs="Times New Roman"/>
          <w:szCs w:val="28"/>
        </w:rPr>
        <w:t>）增加了太阳模拟器光谱偏离度校准项目；（</w:t>
      </w:r>
      <w:r>
        <w:rPr>
          <w:rFonts w:ascii="Times New Roman" w:hAnsi="Times New Roman" w:cs="Times New Roman"/>
          <w:szCs w:val="28"/>
        </w:rPr>
        <w:t>7</w:t>
      </w:r>
      <w:r>
        <w:rPr>
          <w:rFonts w:ascii="Times New Roman" w:hAnsi="Times New Roman" w:cs="Times New Roman"/>
          <w:szCs w:val="28"/>
        </w:rPr>
        <w:t>）增加了伏安特性曲线校准项目。</w:t>
      </w:r>
    </w:p>
    <w:p w14:paraId="3ECD61AE" w14:textId="77777777" w:rsidR="00CA0A35" w:rsidRDefault="00CA0A35">
      <w:pPr>
        <w:spacing w:line="400" w:lineRule="exact"/>
        <w:ind w:firstLine="570"/>
        <w:rPr>
          <w:rFonts w:ascii="Times New Roman" w:hAnsi="Times New Roman" w:cs="Times New Roman"/>
          <w:sz w:val="28"/>
          <w:szCs w:val="28"/>
          <w:highlight w:val="yellow"/>
        </w:rPr>
      </w:pPr>
    </w:p>
    <w:p w14:paraId="750133E6" w14:textId="77777777" w:rsidR="00CA0A35" w:rsidRDefault="00000000">
      <w:pPr>
        <w:numPr>
          <w:ilvl w:val="0"/>
          <w:numId w:val="1"/>
        </w:numPr>
        <w:spacing w:line="400" w:lineRule="exact"/>
        <w:rPr>
          <w:rFonts w:ascii="Times New Roman" w:hAnsi="Times New Roman" w:cs="Times New Roman"/>
          <w:sz w:val="28"/>
        </w:rPr>
      </w:pPr>
      <w:bookmarkStart w:id="7" w:name="OLE_LINK5"/>
      <w:r>
        <w:rPr>
          <w:rFonts w:ascii="Times New Roman" w:hAnsi="Times New Roman" w:cs="Times New Roman"/>
          <w:color w:val="000000"/>
          <w:sz w:val="28"/>
        </w:rPr>
        <w:t>制订</w:t>
      </w:r>
      <w:r>
        <w:rPr>
          <w:rFonts w:ascii="Times New Roman" w:hAnsi="Times New Roman" w:cs="Times New Roman"/>
          <w:sz w:val="28"/>
        </w:rPr>
        <w:t>过程</w:t>
      </w:r>
    </w:p>
    <w:bookmarkEnd w:id="7"/>
    <w:p w14:paraId="457151EB" w14:textId="2F3658C4" w:rsidR="00CA0A35" w:rsidRDefault="00000000">
      <w:pPr>
        <w:spacing w:line="400" w:lineRule="exact"/>
        <w:ind w:firstLine="570"/>
        <w:rPr>
          <w:rFonts w:ascii="Times New Roman" w:eastAsia="宋体" w:hAnsi="Times New Roman" w:cs="Times New Roman"/>
          <w:sz w:val="28"/>
          <w:szCs w:val="28"/>
        </w:rPr>
      </w:pPr>
      <w:r>
        <w:rPr>
          <w:rFonts w:ascii="Times New Roman" w:hAnsi="Times New Roman" w:cs="Times New Roman"/>
          <w:sz w:val="28"/>
          <w:szCs w:val="28"/>
        </w:rPr>
        <w:t>本规范的制定得到了全国光伏专用计量器具计量技术委员会的大力支持。本规范于</w:t>
      </w:r>
      <w:r>
        <w:rPr>
          <w:rFonts w:ascii="Times New Roman" w:hAnsi="Times New Roman" w:cs="Times New Roman"/>
          <w:sz w:val="28"/>
          <w:szCs w:val="28"/>
        </w:rPr>
        <w:t>2023</w:t>
      </w:r>
      <w:r>
        <w:rPr>
          <w:rFonts w:ascii="Times New Roman" w:hAnsi="Times New Roman" w:cs="Times New Roman"/>
          <w:sz w:val="28"/>
          <w:szCs w:val="28"/>
        </w:rPr>
        <w:t>年首先由主要起草单位负责起草。之后进行了多次修改和完善，与参加起草单位及</w:t>
      </w:r>
      <w:r>
        <w:rPr>
          <w:rFonts w:ascii="Times New Roman" w:hAnsi="Times New Roman" w:cs="Times New Roman"/>
          <w:sz w:val="28"/>
          <w:szCs w:val="20"/>
        </w:rPr>
        <w:t>同行专业人员多次讨论和修改，于</w:t>
      </w:r>
      <w:r>
        <w:rPr>
          <w:rFonts w:ascii="Times New Roman" w:hAnsi="Times New Roman" w:cs="Times New Roman"/>
          <w:sz w:val="28"/>
          <w:szCs w:val="20"/>
        </w:rPr>
        <w:t>2024</w:t>
      </w:r>
      <w:r>
        <w:rPr>
          <w:rFonts w:ascii="Times New Roman" w:hAnsi="Times New Roman" w:cs="Times New Roman"/>
          <w:sz w:val="28"/>
          <w:szCs w:val="20"/>
        </w:rPr>
        <w:t>年</w:t>
      </w:r>
      <w:r>
        <w:rPr>
          <w:rFonts w:ascii="Times New Roman" w:hAnsi="Times New Roman" w:cs="Times New Roman"/>
          <w:sz w:val="28"/>
          <w:szCs w:val="20"/>
        </w:rPr>
        <w:t>9</w:t>
      </w:r>
      <w:r>
        <w:rPr>
          <w:rFonts w:ascii="Times New Roman" w:hAnsi="Times New Roman" w:cs="Times New Roman"/>
          <w:sz w:val="28"/>
          <w:szCs w:val="20"/>
        </w:rPr>
        <w:t>月形成征求意见稿，报送</w:t>
      </w:r>
      <w:r>
        <w:rPr>
          <w:rFonts w:ascii="Times New Roman" w:hAnsi="Times New Roman" w:cs="Times New Roman"/>
          <w:sz w:val="28"/>
          <w:szCs w:val="28"/>
        </w:rPr>
        <w:t>全国光伏专用计量器具计量技术委员会，并发给各委员和相关单位征求意见。</w:t>
      </w:r>
    </w:p>
    <w:p w14:paraId="67975847" w14:textId="77777777" w:rsidR="00CA0A35" w:rsidRDefault="00CA0A35">
      <w:pPr>
        <w:spacing w:line="400" w:lineRule="exact"/>
        <w:ind w:firstLine="570"/>
        <w:rPr>
          <w:rFonts w:ascii="Times New Roman" w:hAnsi="Times New Roman" w:cs="Times New Roman"/>
          <w:sz w:val="28"/>
          <w:szCs w:val="28"/>
        </w:rPr>
      </w:pPr>
    </w:p>
    <w:p w14:paraId="1DD4736F" w14:textId="77777777" w:rsidR="00CA0A35" w:rsidRDefault="00CA0A35">
      <w:pPr>
        <w:spacing w:line="400" w:lineRule="exact"/>
        <w:ind w:firstLine="570"/>
        <w:rPr>
          <w:rFonts w:ascii="Times New Roman" w:hAnsi="Times New Roman" w:cs="Times New Roman"/>
          <w:sz w:val="28"/>
          <w:szCs w:val="28"/>
        </w:rPr>
      </w:pPr>
    </w:p>
    <w:p w14:paraId="58FEF287" w14:textId="77777777" w:rsidR="00CA0A35" w:rsidRDefault="00CA0A35">
      <w:pPr>
        <w:tabs>
          <w:tab w:val="center" w:pos="9345"/>
        </w:tabs>
        <w:ind w:right="221" w:firstLineChars="900" w:firstLine="2520"/>
        <w:rPr>
          <w:rFonts w:ascii="Times New Roman" w:eastAsia="黑体" w:hAnsi="Times New Roman" w:cs="Times New Roman"/>
          <w:color w:val="000000"/>
          <w:sz w:val="28"/>
        </w:rPr>
      </w:pPr>
    </w:p>
    <w:p w14:paraId="65727EAF" w14:textId="77777777" w:rsidR="00CA0A35" w:rsidRDefault="00000000">
      <w:pPr>
        <w:spacing w:line="400" w:lineRule="exact"/>
        <w:ind w:firstLine="570"/>
        <w:jc w:val="right"/>
        <w:rPr>
          <w:rFonts w:ascii="Times New Roman" w:hAnsi="Times New Roman" w:cs="Times New Roman"/>
          <w:sz w:val="28"/>
          <w:szCs w:val="28"/>
        </w:rPr>
      </w:pPr>
      <w:r>
        <w:rPr>
          <w:rFonts w:ascii="Times New Roman" w:hAnsi="Times New Roman" w:cs="Times New Roman"/>
          <w:sz w:val="28"/>
          <w:szCs w:val="28"/>
        </w:rPr>
        <w:t>主要起草单位：中国计量科学研究院</w:t>
      </w:r>
    </w:p>
    <w:p w14:paraId="0757708B" w14:textId="77777777" w:rsidR="00CA0A35" w:rsidRDefault="00000000">
      <w:pPr>
        <w:spacing w:line="400" w:lineRule="exact"/>
        <w:ind w:firstLine="570"/>
        <w:jc w:val="right"/>
        <w:rPr>
          <w:rFonts w:ascii="Times New Roman" w:hAnsi="Times New Roman" w:cs="Times New Roman"/>
          <w:sz w:val="28"/>
          <w:szCs w:val="28"/>
        </w:rPr>
      </w:pPr>
      <w:r>
        <w:rPr>
          <w:rFonts w:ascii="Times New Roman" w:hAnsi="Times New Roman" w:cs="Times New Roman"/>
          <w:sz w:val="28"/>
          <w:szCs w:val="28"/>
        </w:rPr>
        <w:t>广东省计量科学研究院</w:t>
      </w:r>
    </w:p>
    <w:p w14:paraId="084577AC" w14:textId="77777777" w:rsidR="00CA0A35" w:rsidRDefault="00000000">
      <w:pPr>
        <w:spacing w:line="400" w:lineRule="exact"/>
        <w:ind w:firstLine="570"/>
        <w:jc w:val="right"/>
        <w:rPr>
          <w:rFonts w:ascii="Times New Roman" w:hAnsi="Times New Roman" w:cs="Times New Roman"/>
          <w:sz w:val="28"/>
          <w:szCs w:val="28"/>
        </w:rPr>
      </w:pPr>
      <w:r>
        <w:rPr>
          <w:rFonts w:ascii="Times New Roman" w:hAnsi="Times New Roman" w:cs="Times New Roman"/>
          <w:sz w:val="28"/>
          <w:szCs w:val="28"/>
        </w:rPr>
        <w:t>参加起草单位：福建省计量科学研究院</w:t>
      </w:r>
    </w:p>
    <w:p w14:paraId="2BC9B61D" w14:textId="77777777" w:rsidR="00CA0A35" w:rsidRDefault="00000000">
      <w:pPr>
        <w:spacing w:line="400" w:lineRule="exact"/>
        <w:ind w:firstLine="570"/>
        <w:jc w:val="right"/>
        <w:rPr>
          <w:rFonts w:ascii="Times New Roman" w:hAnsi="Times New Roman" w:cs="Times New Roman"/>
          <w:sz w:val="28"/>
          <w:szCs w:val="28"/>
        </w:rPr>
      </w:pPr>
      <w:r>
        <w:rPr>
          <w:rFonts w:ascii="Times New Roman" w:hAnsi="Times New Roman" w:cs="Times New Roman"/>
          <w:sz w:val="28"/>
          <w:szCs w:val="28"/>
        </w:rPr>
        <w:t>中国测试技术研究院</w:t>
      </w:r>
    </w:p>
    <w:p w14:paraId="1741C4E1" w14:textId="77777777" w:rsidR="00CA0A35" w:rsidRDefault="00CA0A35">
      <w:pPr>
        <w:spacing w:line="336" w:lineRule="auto"/>
        <w:ind w:firstLineChars="1919" w:firstLine="5373"/>
        <w:jc w:val="right"/>
        <w:rPr>
          <w:rFonts w:ascii="Times New Roman" w:hAnsi="Times New Roman" w:cs="Times New Roman"/>
          <w:sz w:val="28"/>
          <w:szCs w:val="28"/>
        </w:rPr>
      </w:pPr>
    </w:p>
    <w:p w14:paraId="6FB36057" w14:textId="77777777" w:rsidR="00CA0A35" w:rsidRDefault="00000000">
      <w:pPr>
        <w:spacing w:line="336" w:lineRule="auto"/>
        <w:ind w:firstLineChars="1919" w:firstLine="5373"/>
        <w:jc w:val="right"/>
        <w:rPr>
          <w:rFonts w:ascii="Times New Roman" w:hAnsi="Times New Roman" w:cs="Times New Roman"/>
          <w:sz w:val="28"/>
          <w:szCs w:val="28"/>
        </w:rPr>
      </w:pPr>
      <w:r>
        <w:rPr>
          <w:rFonts w:ascii="Times New Roman" w:hAnsi="Times New Roman" w:cs="Times New Roman"/>
          <w:sz w:val="28"/>
          <w:szCs w:val="28"/>
        </w:rPr>
        <w:t xml:space="preserve">2024 </w:t>
      </w:r>
      <w:r>
        <w:rPr>
          <w:rFonts w:ascii="Times New Roman" w:hAnsi="Times New Roman" w:cs="Times New Roman"/>
          <w:sz w:val="28"/>
          <w:szCs w:val="28"/>
        </w:rPr>
        <w:t>年</w:t>
      </w:r>
      <w:r>
        <w:rPr>
          <w:rFonts w:ascii="Times New Roman" w:hAnsi="Times New Roman" w:cs="Times New Roman"/>
          <w:sz w:val="28"/>
          <w:szCs w:val="28"/>
        </w:rPr>
        <w:t xml:space="preserve"> 09</w:t>
      </w:r>
      <w:r>
        <w:rPr>
          <w:rFonts w:ascii="Times New Roman" w:hAnsi="Times New Roman" w:cs="Times New Roman"/>
          <w:sz w:val="28"/>
          <w:szCs w:val="28"/>
        </w:rPr>
        <w:t>月</w:t>
      </w:r>
      <w:r>
        <w:rPr>
          <w:rFonts w:ascii="Times New Roman" w:hAnsi="Times New Roman" w:cs="Times New Roman"/>
          <w:sz w:val="28"/>
          <w:szCs w:val="28"/>
        </w:rPr>
        <w:t xml:space="preserve"> 08 </w:t>
      </w:r>
      <w:r>
        <w:rPr>
          <w:rFonts w:ascii="Times New Roman" w:hAnsi="Times New Roman" w:cs="Times New Roman"/>
          <w:sz w:val="28"/>
          <w:szCs w:val="28"/>
        </w:rPr>
        <w:t>日</w:t>
      </w:r>
    </w:p>
    <w:p w14:paraId="714DA4CD" w14:textId="77777777" w:rsidR="00CA0A35" w:rsidRDefault="00CA0A35">
      <w:pPr>
        <w:spacing w:line="240" w:lineRule="atLeast"/>
        <w:ind w:right="57" w:firstLineChars="658" w:firstLine="1382"/>
        <w:jc w:val="left"/>
        <w:rPr>
          <w:rStyle w:val="NormalCharacter"/>
          <w:rFonts w:ascii="Times New Roman" w:eastAsia="仿宋_GB2312" w:hAnsi="Times New Roman" w:cs="Times New Roman"/>
          <w:kern w:val="0"/>
          <w:szCs w:val="21"/>
        </w:rPr>
      </w:pPr>
    </w:p>
    <w:p w14:paraId="38129318" w14:textId="77777777" w:rsidR="00CA0A35" w:rsidRDefault="00CA0A35">
      <w:pPr>
        <w:pStyle w:val="ad"/>
        <w:spacing w:before="0" w:beforeAutospacing="0" w:after="0" w:afterAutospacing="0" w:line="360" w:lineRule="auto"/>
        <w:ind w:firstLineChars="200" w:firstLine="480"/>
        <w:rPr>
          <w:rFonts w:eastAsiaTheme="minorEastAsia"/>
          <w:kern w:val="2"/>
        </w:rPr>
      </w:pPr>
    </w:p>
    <w:sectPr w:rsidR="00CA0A35">
      <w:headerReference w:type="default" r:id="rId7"/>
      <w:footerReference w:type="default" r:id="rId8"/>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AF7E691" w14:textId="77777777" w:rsidR="007C1FA0" w:rsidRDefault="007C1FA0">
      <w:r>
        <w:separator/>
      </w:r>
    </w:p>
  </w:endnote>
  <w:endnote w:type="continuationSeparator" w:id="0">
    <w:p w14:paraId="25F43E4A" w14:textId="77777777" w:rsidR="007C1FA0" w:rsidRDefault="007C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1"/>
    <w:family w:val="modern"/>
    <w:pitch w:val="default"/>
    <w:sig w:usb0="E0002EFF" w:usb1="C0007843" w:usb2="00000009" w:usb3="00000000" w:csb0="400001FF" w:csb1="FFFF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F9F8C6" w14:textId="77777777" w:rsidR="00CA0A35" w:rsidRDefault="00000000">
    <w:pPr>
      <w:pStyle w:val="a9"/>
      <w:jc w:val="center"/>
    </w:pPr>
    <w:r>
      <w:fldChar w:fldCharType="begin"/>
    </w:r>
    <w:r>
      <w:instrText xml:space="preserve"> PAGE   \* MERGEFORMAT </w:instrText>
    </w:r>
    <w:r>
      <w:fldChar w:fldCharType="separate"/>
    </w:r>
    <w:r>
      <w:rPr>
        <w:lang w:val="zh-CN"/>
      </w:rPr>
      <w:t>1</w:t>
    </w:r>
    <w:r>
      <w:rPr>
        <w:lang w:val="zh-CN"/>
      </w:rPr>
      <w:fldChar w:fldCharType="end"/>
    </w:r>
  </w:p>
  <w:p w14:paraId="3EC9686C" w14:textId="77777777" w:rsidR="00CA0A35" w:rsidRDefault="00CA0A35">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9A893FD" w14:textId="77777777" w:rsidR="007C1FA0" w:rsidRDefault="007C1FA0">
      <w:r>
        <w:separator/>
      </w:r>
    </w:p>
  </w:footnote>
  <w:footnote w:type="continuationSeparator" w:id="0">
    <w:p w14:paraId="33CF6475" w14:textId="77777777" w:rsidR="007C1FA0" w:rsidRDefault="007C1F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E93D74" w14:textId="77777777" w:rsidR="00CA0A35" w:rsidRDefault="00000000">
    <w:pPr>
      <w:pStyle w:val="ab"/>
      <w:rPr>
        <w:rFonts w:ascii="Times New Roman" w:hAnsi="Times New Roman" w:cs="Times New Roman"/>
      </w:rPr>
    </w:pPr>
    <w:r>
      <w:rPr>
        <w:rFonts w:ascii="Times New Roman" w:hAnsi="Times New Roman" w:cs="Times New Roman"/>
      </w:rPr>
      <w:t>JJF XXXX</w:t>
    </w:r>
    <w:r>
      <w:rPr>
        <w:rFonts w:ascii="Times New Roman" w:cs="Times New Roman"/>
      </w:rPr>
      <w:t>－</w:t>
    </w:r>
    <w:r>
      <w:rPr>
        <w:rFonts w:ascii="Times New Roman" w:hAnsi="Times New Roman" w:cs="Times New Roman"/>
      </w:rPr>
      <w:t xml:space="preserve">XXXX </w:t>
    </w:r>
    <w:r>
      <w:rPr>
        <w:rFonts w:ascii="Times New Roman" w:cs="Times New Roman"/>
      </w:rPr>
      <w:t>《</w:t>
    </w:r>
    <w:r>
      <w:rPr>
        <w:rFonts w:ascii="Times New Roman" w:cs="Times New Roman" w:hint="eastAsia"/>
      </w:rPr>
      <w:t>太阳模拟器</w:t>
    </w:r>
    <w:r>
      <w:rPr>
        <w:rFonts w:ascii="Times New Roman" w:cs="Times New Roman"/>
      </w:rPr>
      <w:t>校准规范》（</w:t>
    </w:r>
    <w:r>
      <w:rPr>
        <w:rFonts w:ascii="Times New Roman" w:cs="Times New Roman" w:hint="eastAsia"/>
      </w:rPr>
      <w:t>报审</w:t>
    </w:r>
    <w:r>
      <w:rPr>
        <w:rFonts w:ascii="Times New Roman" w:cs="Times New Roman"/>
      </w:rPr>
      <w:t>稿）编制说明</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9745A12"/>
    <w:multiLevelType w:val="multilevel"/>
    <w:tmpl w:val="69745A12"/>
    <w:lvl w:ilvl="0">
      <w:start w:val="1"/>
      <w:numFmt w:val="japaneseCounting"/>
      <w:lvlText w:val="%1、"/>
      <w:lvlJc w:val="left"/>
      <w:pPr>
        <w:tabs>
          <w:tab w:val="left" w:pos="720"/>
        </w:tabs>
        <w:ind w:left="720" w:hanging="720"/>
      </w:pPr>
      <w:rPr>
        <w:rFonts w:hint="default"/>
      </w:rPr>
    </w:lvl>
    <w:lvl w:ilvl="1">
      <w:start w:val="1"/>
      <w:numFmt w:val="decimal"/>
      <w:lvlText w:val="%2、"/>
      <w:lvlJc w:val="left"/>
      <w:pPr>
        <w:tabs>
          <w:tab w:val="left" w:pos="1410"/>
        </w:tabs>
        <w:ind w:left="1410" w:hanging="990"/>
      </w:pPr>
      <w:rPr>
        <w:rFonts w:hint="default"/>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16cid:durableId="6362973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OWIwYjI4NTQ4YjgwYzUwYmRhNDY5YzkxNjVmYzQ1ZmEifQ=="/>
  </w:docVars>
  <w:rsids>
    <w:rsidRoot w:val="00DC66E4"/>
    <w:rsid w:val="00006B6C"/>
    <w:rsid w:val="000E0CCB"/>
    <w:rsid w:val="000E2F57"/>
    <w:rsid w:val="00102FC2"/>
    <w:rsid w:val="0011610B"/>
    <w:rsid w:val="00122D37"/>
    <w:rsid w:val="0015070B"/>
    <w:rsid w:val="001534B0"/>
    <w:rsid w:val="00174E65"/>
    <w:rsid w:val="00175A3B"/>
    <w:rsid w:val="00187007"/>
    <w:rsid w:val="00191543"/>
    <w:rsid w:val="0019382A"/>
    <w:rsid w:val="001A381E"/>
    <w:rsid w:val="001B2547"/>
    <w:rsid w:val="001D1327"/>
    <w:rsid w:val="001F1929"/>
    <w:rsid w:val="0025231D"/>
    <w:rsid w:val="002758BA"/>
    <w:rsid w:val="002917B6"/>
    <w:rsid w:val="00292541"/>
    <w:rsid w:val="0030006E"/>
    <w:rsid w:val="0031363A"/>
    <w:rsid w:val="00337A75"/>
    <w:rsid w:val="00350867"/>
    <w:rsid w:val="00376917"/>
    <w:rsid w:val="00384506"/>
    <w:rsid w:val="003D2B48"/>
    <w:rsid w:val="003F5363"/>
    <w:rsid w:val="00404158"/>
    <w:rsid w:val="00410B0E"/>
    <w:rsid w:val="0041672A"/>
    <w:rsid w:val="00434902"/>
    <w:rsid w:val="00447AE9"/>
    <w:rsid w:val="0045629F"/>
    <w:rsid w:val="004655A8"/>
    <w:rsid w:val="004B6438"/>
    <w:rsid w:val="00502819"/>
    <w:rsid w:val="005124F2"/>
    <w:rsid w:val="00560F06"/>
    <w:rsid w:val="00582309"/>
    <w:rsid w:val="005947FD"/>
    <w:rsid w:val="00595004"/>
    <w:rsid w:val="005C000B"/>
    <w:rsid w:val="005D1253"/>
    <w:rsid w:val="006146C6"/>
    <w:rsid w:val="00660078"/>
    <w:rsid w:val="0067076D"/>
    <w:rsid w:val="006B0E98"/>
    <w:rsid w:val="006B1404"/>
    <w:rsid w:val="006F1C0D"/>
    <w:rsid w:val="006F696E"/>
    <w:rsid w:val="00704432"/>
    <w:rsid w:val="00762514"/>
    <w:rsid w:val="007A6C06"/>
    <w:rsid w:val="007C1FA0"/>
    <w:rsid w:val="007D7C36"/>
    <w:rsid w:val="0080287F"/>
    <w:rsid w:val="00817B4D"/>
    <w:rsid w:val="00837093"/>
    <w:rsid w:val="008C14F0"/>
    <w:rsid w:val="00911ADA"/>
    <w:rsid w:val="009175E6"/>
    <w:rsid w:val="009439A6"/>
    <w:rsid w:val="00967553"/>
    <w:rsid w:val="00974F66"/>
    <w:rsid w:val="009C3CBD"/>
    <w:rsid w:val="00A1506A"/>
    <w:rsid w:val="00A4502B"/>
    <w:rsid w:val="00A74881"/>
    <w:rsid w:val="00B35A7F"/>
    <w:rsid w:val="00B66B61"/>
    <w:rsid w:val="00BE1D89"/>
    <w:rsid w:val="00BF3085"/>
    <w:rsid w:val="00C10720"/>
    <w:rsid w:val="00C1507F"/>
    <w:rsid w:val="00C305DC"/>
    <w:rsid w:val="00C414E8"/>
    <w:rsid w:val="00C6440D"/>
    <w:rsid w:val="00C72D57"/>
    <w:rsid w:val="00C75709"/>
    <w:rsid w:val="00CA0A35"/>
    <w:rsid w:val="00CB0DFE"/>
    <w:rsid w:val="00CB4574"/>
    <w:rsid w:val="00D2781E"/>
    <w:rsid w:val="00D31187"/>
    <w:rsid w:val="00D35CB0"/>
    <w:rsid w:val="00D871B6"/>
    <w:rsid w:val="00DA0A46"/>
    <w:rsid w:val="00DC434A"/>
    <w:rsid w:val="00DC66E4"/>
    <w:rsid w:val="00DC7784"/>
    <w:rsid w:val="00E128FD"/>
    <w:rsid w:val="00E22709"/>
    <w:rsid w:val="00E847B8"/>
    <w:rsid w:val="00EC014E"/>
    <w:rsid w:val="00EC7809"/>
    <w:rsid w:val="00F76530"/>
    <w:rsid w:val="00FD0D6D"/>
    <w:rsid w:val="00FF73F8"/>
    <w:rsid w:val="064918B1"/>
    <w:rsid w:val="0E137FD2"/>
    <w:rsid w:val="0ECC7523"/>
    <w:rsid w:val="104776F1"/>
    <w:rsid w:val="14027543"/>
    <w:rsid w:val="140339AE"/>
    <w:rsid w:val="15FB01B4"/>
    <w:rsid w:val="190D2C12"/>
    <w:rsid w:val="1CB3587E"/>
    <w:rsid w:val="1F3D3B25"/>
    <w:rsid w:val="1F996FAD"/>
    <w:rsid w:val="31903F88"/>
    <w:rsid w:val="33BA149F"/>
    <w:rsid w:val="38000058"/>
    <w:rsid w:val="46340F2E"/>
    <w:rsid w:val="4C115F9A"/>
    <w:rsid w:val="65A0023F"/>
    <w:rsid w:val="68BF0A0A"/>
    <w:rsid w:val="726C367A"/>
    <w:rsid w:val="72807126"/>
    <w:rsid w:val="791423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A2649A"/>
  <w15:docId w15:val="{624FFAAF-0EE3-4325-8965-E227FC6653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uiPriority="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2">
    <w:name w:val="heading 2"/>
    <w:basedOn w:val="a"/>
    <w:next w:val="a"/>
    <w:link w:val="20"/>
    <w:uiPriority w:val="9"/>
    <w:unhideWhenUsed/>
    <w:qFormat/>
    <w:pPr>
      <w:keepNext/>
      <w:keepLines/>
      <w:widowControl/>
      <w:spacing w:before="260" w:after="260" w:line="416" w:lineRule="auto"/>
      <w:jc w:val="left"/>
      <w:outlineLvl w:val="1"/>
    </w:pPr>
    <w:rPr>
      <w:rFonts w:ascii="Cambria" w:eastAsia="宋体" w:hAnsi="Cambria" w:cs="Times New Roman"/>
      <w:b/>
      <w:bCs/>
      <w:kern w:val="0"/>
      <w:sz w:val="32"/>
      <w:szCs w:val="32"/>
    </w:rPr>
  </w:style>
  <w:style w:type="paragraph" w:styleId="3">
    <w:name w:val="heading 3"/>
    <w:basedOn w:val="a"/>
    <w:next w:val="a"/>
    <w:link w:val="30"/>
    <w:semiHidden/>
    <w:unhideWhenUsed/>
    <w:qFormat/>
    <w:pPr>
      <w:keepNext/>
      <w:keepLines/>
      <w:spacing w:before="260" w:after="260" w:line="416" w:lineRule="auto"/>
      <w:outlineLvl w:val="2"/>
    </w:pPr>
    <w:rPr>
      <w:rFonts w:ascii="Times New Roman" w:eastAsia="宋体" w:hAnsi="Times New Roman" w:cs="Times New Roman"/>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eastAsia="宋体" w:hAnsi="Times New Roman" w:cs="Times New Roman"/>
      <w:sz w:val="18"/>
      <w:szCs w:val="18"/>
    </w:rPr>
  </w:style>
  <w:style w:type="paragraph" w:styleId="a5">
    <w:name w:val="Body Text Indent"/>
    <w:basedOn w:val="a"/>
    <w:pPr>
      <w:ind w:left="360" w:firstLine="558"/>
    </w:pPr>
    <w:rPr>
      <w:sz w:val="28"/>
      <w:szCs w:val="24"/>
    </w:rPr>
  </w:style>
  <w:style w:type="paragraph" w:styleId="a6">
    <w:name w:val="Plain Text"/>
    <w:basedOn w:val="a"/>
    <w:rPr>
      <w:rFonts w:ascii="宋体" w:hAnsi="Courier New"/>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paragraph" w:styleId="ad">
    <w:name w:val="Normal (Web)"/>
    <w:basedOn w:val="a"/>
    <w:uiPriority w:val="99"/>
    <w:unhideWhenUsed/>
    <w:qFormat/>
    <w:pPr>
      <w:widowControl/>
      <w:spacing w:before="100" w:beforeAutospacing="1" w:after="100" w:afterAutospacing="1"/>
      <w:jc w:val="left"/>
    </w:pPr>
    <w:rPr>
      <w:rFonts w:ascii="Times New Roman" w:eastAsia="宋体" w:hAnsi="Times New Roman" w:cs="Times New Roman"/>
      <w:kern w:val="0"/>
      <w:sz w:val="24"/>
      <w:szCs w:val="24"/>
    </w:rPr>
  </w:style>
  <w:style w:type="character" w:styleId="ae">
    <w:name w:val="Strong"/>
    <w:basedOn w:val="a0"/>
    <w:qFormat/>
    <w:rPr>
      <w:b/>
    </w:rPr>
  </w:style>
  <w:style w:type="character" w:customStyle="1" w:styleId="ac">
    <w:name w:val="页眉 字符"/>
    <w:basedOn w:val="a0"/>
    <w:link w:val="ab"/>
    <w:uiPriority w:val="99"/>
    <w:qFormat/>
    <w:rPr>
      <w:sz w:val="18"/>
      <w:szCs w:val="18"/>
    </w:rPr>
  </w:style>
  <w:style w:type="character" w:customStyle="1" w:styleId="aa">
    <w:name w:val="页脚 字符"/>
    <w:basedOn w:val="a0"/>
    <w:link w:val="a9"/>
    <w:uiPriority w:val="99"/>
    <w:qFormat/>
    <w:rPr>
      <w:sz w:val="18"/>
      <w:szCs w:val="18"/>
    </w:rPr>
  </w:style>
  <w:style w:type="paragraph" w:styleId="af">
    <w:name w:val="List Paragraph"/>
    <w:basedOn w:val="a"/>
    <w:uiPriority w:val="34"/>
    <w:qFormat/>
    <w:pPr>
      <w:ind w:firstLineChars="200" w:firstLine="420"/>
    </w:pPr>
  </w:style>
  <w:style w:type="character" w:customStyle="1" w:styleId="20">
    <w:name w:val="标题 2 字符"/>
    <w:basedOn w:val="a0"/>
    <w:link w:val="2"/>
    <w:uiPriority w:val="9"/>
    <w:qFormat/>
    <w:rPr>
      <w:rFonts w:ascii="Cambria" w:eastAsia="宋体" w:hAnsi="Cambria" w:cs="Times New Roman"/>
      <w:b/>
      <w:bCs/>
      <w:kern w:val="0"/>
      <w:sz w:val="32"/>
      <w:szCs w:val="32"/>
    </w:rPr>
  </w:style>
  <w:style w:type="character" w:customStyle="1" w:styleId="Char">
    <w:name w:val="段 Char"/>
    <w:basedOn w:val="a0"/>
    <w:link w:val="af0"/>
    <w:qFormat/>
    <w:rPr>
      <w:rFonts w:ascii="宋体"/>
    </w:rPr>
  </w:style>
  <w:style w:type="paragraph" w:customStyle="1" w:styleId="af0">
    <w:name w:val="段"/>
    <w:link w:val="Char"/>
    <w:qFormat/>
    <w:pPr>
      <w:tabs>
        <w:tab w:val="center" w:pos="4201"/>
        <w:tab w:val="right" w:leader="dot" w:pos="9298"/>
      </w:tabs>
      <w:autoSpaceDE w:val="0"/>
      <w:autoSpaceDN w:val="0"/>
      <w:ind w:firstLineChars="200" w:firstLine="420"/>
      <w:jc w:val="both"/>
    </w:pPr>
    <w:rPr>
      <w:rFonts w:ascii="宋体" w:eastAsiaTheme="minorEastAsia" w:hAnsiTheme="minorHAnsi" w:cstheme="minorBidi"/>
      <w:kern w:val="2"/>
      <w:sz w:val="21"/>
      <w:szCs w:val="22"/>
    </w:rPr>
  </w:style>
  <w:style w:type="character" w:customStyle="1" w:styleId="af1">
    <w:name w:val="发布"/>
    <w:basedOn w:val="a0"/>
    <w:qFormat/>
    <w:rPr>
      <w:rFonts w:ascii="黑体" w:eastAsia="黑体"/>
      <w:spacing w:val="85"/>
      <w:w w:val="100"/>
      <w:position w:val="3"/>
      <w:sz w:val="28"/>
      <w:szCs w:val="28"/>
    </w:rPr>
  </w:style>
  <w:style w:type="character" w:customStyle="1" w:styleId="30">
    <w:name w:val="标题 3 字符"/>
    <w:basedOn w:val="a0"/>
    <w:link w:val="3"/>
    <w:semiHidden/>
    <w:qFormat/>
    <w:rPr>
      <w:rFonts w:ascii="Times New Roman" w:eastAsia="宋体" w:hAnsi="Times New Roman" w:cs="Times New Roman"/>
      <w:b/>
      <w:bCs/>
      <w:sz w:val="32"/>
      <w:szCs w:val="32"/>
    </w:rPr>
  </w:style>
  <w:style w:type="paragraph" w:customStyle="1" w:styleId="Default">
    <w:name w:val="Default"/>
    <w:qFormat/>
    <w:pPr>
      <w:widowControl w:val="0"/>
      <w:autoSpaceDE w:val="0"/>
      <w:autoSpaceDN w:val="0"/>
      <w:adjustRightInd w:val="0"/>
    </w:pPr>
    <w:rPr>
      <w:color w:val="000000"/>
      <w:sz w:val="24"/>
      <w:szCs w:val="24"/>
    </w:rPr>
  </w:style>
  <w:style w:type="character" w:customStyle="1" w:styleId="a4">
    <w:name w:val="文档结构图 字符"/>
    <w:basedOn w:val="a0"/>
    <w:link w:val="a3"/>
    <w:qFormat/>
    <w:rPr>
      <w:rFonts w:ascii="宋体" w:eastAsia="宋体" w:hAnsi="Times New Roman" w:cs="Times New Roman"/>
      <w:sz w:val="18"/>
      <w:szCs w:val="18"/>
    </w:rPr>
  </w:style>
  <w:style w:type="character" w:customStyle="1" w:styleId="a8">
    <w:name w:val="批注框文本 字符"/>
    <w:basedOn w:val="a0"/>
    <w:link w:val="a7"/>
    <w:uiPriority w:val="99"/>
    <w:semiHidden/>
    <w:qFormat/>
    <w:rPr>
      <w:sz w:val="18"/>
      <w:szCs w:val="18"/>
    </w:rPr>
  </w:style>
  <w:style w:type="character" w:customStyle="1" w:styleId="NormalCharacter">
    <w:name w:val="NormalCharacter"/>
    <w:semiHidde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4</Pages>
  <Words>263</Words>
  <Characters>1501</Characters>
  <Application>Microsoft Office Word</Application>
  <DocSecurity>0</DocSecurity>
  <Lines>12</Lines>
  <Paragraphs>3</Paragraphs>
  <ScaleCrop>false</ScaleCrop>
  <Company>微软中国</Company>
  <LinksUpToDate>false</LinksUpToDate>
  <CharactersWithSpaces>1761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何翔</cp:lastModifiedBy>
  <cp:revision>21</cp:revision>
  <cp:lastPrinted>2022-10-12T00:26:00Z</cp:lastPrinted>
  <dcterms:created xsi:type="dcterms:W3CDTF">2022-10-27T15:46:00Z</dcterms:created>
  <dcterms:modified xsi:type="dcterms:W3CDTF">2024-09-10T01:59:00Z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2052-12.1.0.18240</vt:lpwstr>
  </property>
  <property fmtid="{D5CDD505-2E9C-101B-9397-08002B2CF9AE}" pid="3" name="ICV">
    <vt:lpwstr>BE7074C0FA2F4025B7E9FC2D0E6F9A06_12</vt:lpwstr>
  </property>
</Properties>
</file>