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D7672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</w:rPr>
      </w:pPr>
    </w:p>
    <w:p w14:paraId="22D5B9C6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</w:rPr>
      </w:pPr>
    </w:p>
    <w:p w14:paraId="7C44A9E8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</w:rPr>
      </w:pPr>
    </w:p>
    <w:p w14:paraId="71372655">
      <w:pPr>
        <w:pStyle w:val="2"/>
        <w:spacing w:line="360" w:lineRule="auto"/>
        <w:ind w:right="951"/>
        <w:jc w:val="center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大长度比长装置校准规范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》</w:t>
      </w:r>
    </w:p>
    <w:p w14:paraId="6BC69139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13"/>
          <w:szCs w:val="13"/>
          <w:lang w:eastAsia="zh-CN"/>
        </w:rPr>
      </w:pPr>
    </w:p>
    <w:p w14:paraId="3BBE2BC6">
      <w:pPr>
        <w:spacing w:line="360" w:lineRule="auto"/>
        <w:ind w:left="2"/>
        <w:jc w:val="center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（征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  <w:t>求</w:t>
      </w: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意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  <w:t>见</w:t>
      </w: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稿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  <w:t>）</w:t>
      </w:r>
    </w:p>
    <w:p w14:paraId="09A20C59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0"/>
          <w:szCs w:val="20"/>
          <w:lang w:eastAsia="zh-CN"/>
        </w:rPr>
      </w:pPr>
    </w:p>
    <w:p w14:paraId="28C05566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0"/>
          <w:szCs w:val="20"/>
          <w:lang w:eastAsia="zh-CN"/>
        </w:rPr>
      </w:pPr>
    </w:p>
    <w:p w14:paraId="75990431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0"/>
          <w:szCs w:val="20"/>
          <w:lang w:eastAsia="zh-CN"/>
        </w:rPr>
      </w:pPr>
    </w:p>
    <w:p w14:paraId="0A42B959">
      <w:pPr>
        <w:spacing w:line="360" w:lineRule="auto"/>
        <w:ind w:left="953" w:right="949"/>
        <w:jc w:val="center"/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eastAsia="zh-CN"/>
        </w:rPr>
        <w:t>编制说明</w:t>
      </w:r>
    </w:p>
    <w:p w14:paraId="3CCD5463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2C2B37A0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1101D0EA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0DB8680B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767C28F6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143C63B3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6BC98717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2D507EFC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04244651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7EAA50D0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66EB2F06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6777F5EF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0022BC3A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4F9BADD9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22694131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3AF6B11E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24F5AE35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0028E6B9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3C27F4EA">
      <w:pPr>
        <w:spacing w:line="360" w:lineRule="auto"/>
        <w:rPr>
          <w:rFonts w:hint="default" w:ascii="Times New Roman" w:hAnsi="Times New Roman" w:cs="Times New Roman" w:eastAsiaTheme="minorEastAsia"/>
          <w:sz w:val="20"/>
          <w:szCs w:val="20"/>
          <w:lang w:eastAsia="zh-CN"/>
        </w:rPr>
      </w:pPr>
    </w:p>
    <w:p w14:paraId="63EB8734">
      <w:pPr>
        <w:spacing w:line="360" w:lineRule="auto"/>
        <w:jc w:val="center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大长度比长装置校准规范</w:t>
      </w:r>
      <w:r>
        <w:rPr>
          <w:rFonts w:hint="default" w:ascii="Times New Roman" w:hAnsi="Times New Roman" w:cs="Times New Roman" w:eastAsiaTheme="minorEastAsia"/>
          <w:b/>
          <w:bCs/>
          <w:spacing w:val="4"/>
          <w:sz w:val="28"/>
          <w:szCs w:val="28"/>
          <w:lang w:eastAsia="zh-CN"/>
        </w:rPr>
        <w:t>》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eastAsia="zh-CN"/>
        </w:rPr>
        <w:t>编写组</w:t>
      </w:r>
    </w:p>
    <w:p w14:paraId="6F76DAC8">
      <w:pPr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  <w:lang w:eastAsia="zh-CN"/>
        </w:rPr>
        <w:sectPr>
          <w:type w:val="continuous"/>
          <w:pgSz w:w="11904" w:h="16840"/>
          <w:pgMar w:top="1560" w:right="1680" w:bottom="280" w:left="1680" w:header="720" w:footer="720" w:gutter="0"/>
          <w:cols w:space="720" w:num="1"/>
        </w:sectPr>
      </w:pPr>
    </w:p>
    <w:p w14:paraId="153EA094">
      <w:pPr>
        <w:spacing w:line="360" w:lineRule="auto"/>
        <w:ind w:left="6"/>
        <w:jc w:val="center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大长度比长装置校准规范</w:t>
      </w:r>
      <w:r>
        <w:rPr>
          <w:rFonts w:hint="default" w:ascii="Times New Roman" w:hAnsi="Times New Roman" w:cs="Times New Roman" w:eastAsiaTheme="minorEastAsia"/>
          <w:spacing w:val="-5"/>
          <w:sz w:val="32"/>
          <w:szCs w:val="32"/>
          <w:lang w:eastAsia="zh-CN"/>
        </w:rPr>
        <w:t>》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编</w:t>
      </w:r>
      <w:r>
        <w:rPr>
          <w:rFonts w:hint="default" w:ascii="Times New Roman" w:hAnsi="Times New Roman" w:cs="Times New Roman" w:eastAsiaTheme="minorEastAsia"/>
          <w:spacing w:val="-5"/>
          <w:sz w:val="32"/>
          <w:szCs w:val="32"/>
          <w:lang w:eastAsia="zh-CN"/>
        </w:rPr>
        <w:t>制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说明</w:t>
      </w:r>
    </w:p>
    <w:p w14:paraId="2BB76E4A">
      <w:pPr>
        <w:pStyle w:val="5"/>
        <w:spacing w:line="360" w:lineRule="auto"/>
        <w:rPr>
          <w:rFonts w:hint="default" w:ascii="Times New Roman" w:hAnsi="Times New Roman" w:cs="Times New Roman" w:eastAsiaTheme="minorEastAsia"/>
          <w:b/>
          <w:lang w:eastAsia="zh-CN"/>
        </w:rPr>
      </w:pPr>
      <w:r>
        <w:rPr>
          <w:rFonts w:hint="default" w:ascii="Times New Roman" w:hAnsi="Times New Roman" w:cs="Times New Roman" w:eastAsiaTheme="minorEastAsia"/>
          <w:b/>
          <w:lang w:eastAsia="zh-CN"/>
        </w:rPr>
        <w:t>一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任务来源</w:t>
      </w:r>
    </w:p>
    <w:p w14:paraId="522913B4">
      <w:pPr>
        <w:pStyle w:val="5"/>
        <w:spacing w:line="360" w:lineRule="auto"/>
        <w:ind w:right="112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依据市场监管总局办公厅关于</w:t>
      </w: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印发</w:t>
      </w: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2023年国家计量技术规范制定、修订及宣贯计划的通知（市监计量发</w:t>
      </w: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[</w:t>
      </w: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2023]56号），</w:t>
      </w:r>
      <w:r>
        <w:rPr>
          <w:rFonts w:hint="default" w:ascii="Times New Roman" w:hAnsi="Times New Roman" w:cs="Times New Roman" w:eastAsiaTheme="minorEastAsia"/>
          <w:lang w:eastAsia="zh-CN"/>
        </w:rPr>
        <w:t>受全国几何量长度计量技术委员会委托</w:t>
      </w:r>
      <w:r>
        <w:rPr>
          <w:rFonts w:hint="default" w:ascii="Times New Roman" w:hAnsi="Times New Roman" w:cs="Times New Roman" w:eastAsiaTheme="minorEastAsia"/>
          <w:spacing w:val="-3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eastAsia="zh-CN"/>
        </w:rPr>
        <w:t>由中国计量科学研究院负责</w:t>
      </w:r>
      <w:r>
        <w:rPr>
          <w:rFonts w:hint="default" w:ascii="Times New Roman" w:hAnsi="Times New Roman" w:cs="Times New Roman" w:eastAsiaTheme="minorEastAsia"/>
          <w:lang w:eastAsia="zh-CN"/>
        </w:rPr>
        <w:t>制定</w:t>
      </w:r>
      <w:r>
        <w:rPr>
          <w:rFonts w:hint="default" w:ascii="Times New Roman" w:hAnsi="Times New Roman" w:cs="Times New Roman" w:eastAsiaTheme="minorEastAsia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lang w:eastAsia="zh-CN"/>
        </w:rPr>
        <w:t>大长度比长装置校准规范</w:t>
      </w:r>
      <w:r>
        <w:rPr>
          <w:rFonts w:hint="default" w:ascii="Times New Roman" w:hAnsi="Times New Roman" w:cs="Times New Roman" w:eastAsiaTheme="minorEastAsia"/>
          <w:spacing w:val="-120"/>
          <w:lang w:eastAsia="zh-CN"/>
        </w:rPr>
        <w:t>》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296DC807">
      <w:pPr>
        <w:pStyle w:val="5"/>
        <w:spacing w:line="360" w:lineRule="auto"/>
        <w:ind w:left="596" w:right="111" w:hanging="481"/>
        <w:rPr>
          <w:rFonts w:hint="default" w:ascii="Times New Roman" w:hAnsi="Times New Roman" w:cs="Times New Roman" w:eastAsiaTheme="minorEastAsia"/>
          <w:b/>
          <w:lang w:eastAsia="zh-CN"/>
        </w:rPr>
      </w:pPr>
      <w:r>
        <w:rPr>
          <w:rFonts w:hint="default" w:ascii="Times New Roman" w:hAnsi="Times New Roman" w:cs="Times New Roman" w:eastAsiaTheme="minorEastAsia"/>
          <w:b/>
          <w:lang w:eastAsia="zh-CN"/>
        </w:rPr>
        <w:t>二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目的意义</w:t>
      </w:r>
    </w:p>
    <w:p w14:paraId="739F6FF5">
      <w:pPr>
        <w:spacing w:line="360" w:lineRule="auto"/>
        <w:ind w:right="113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随着精密测量技术从常规尺寸测量技术不断向大尺寸测量技术发展，精密测量仪器的测量范围已达到十几米乃至上百米，测量精度从毫米量级发展到微米量级，广泛应用于航天、船舶、风电等大型装备制造领域，成为大型装备制造、大尺寸部件的检测、定位等方面大尺寸控制测量的必备工具。为满足国家建设、科技发展不断发展的需求，大长度比长装置持续改进、完善。</w:t>
      </w:r>
    </w:p>
    <w:p w14:paraId="36AEBC87">
      <w:pPr>
        <w:spacing w:line="360" w:lineRule="auto"/>
        <w:ind w:right="113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大长度比长装置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（以下简称比长装置）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主要由导轨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系统，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测长系统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，运动平台，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环境参数测量系统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瞄准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系统，置尺平台，校准辅助系统以及集成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测量软件等组成。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典型的比长装置，按导轨姿态分为水平大长度比长装置、竖直大长度比长装置等；按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测长系统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分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单路激光、多路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激光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及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光栅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类比长装置等；按被测对象分多功能比长装置，如室内（50m、80m）长度标准装置；专用比长装置，如条码尺、水准标尺测量装置。</w:t>
      </w:r>
    </w:p>
    <w:p w14:paraId="46970BC8">
      <w:pPr>
        <w:spacing w:line="360" w:lineRule="auto"/>
        <w:ind w:right="113"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比长装置作为一种复合功能的计量器具，可用于多种类型的计量器具的校准，包括标准钢卷尺、因瓦标准尺、钢卷尺、条码尺等大长度线纹量具，激光测距传感器、位移传感器、液位计等工业用长度传感器，以及激光跟踪仪、激光干涉仪、激光扫描仪、激光测距仪等高精度、高价值复合功能仪器。鉴于比长装置具有多功能检测的优势，为了满足我国大长度线纹量具、大长度仪器量值溯源需要，十余年来，国内已有近三十多家计量机构、校准实验室及其他部门建立了大长度比长装置，测量范围从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m至80m不等，且近几年装置数量持续增长。</w:t>
      </w:r>
    </w:p>
    <w:p w14:paraId="2BABC236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但由于缺乏对应的技术标准，目前国内大长度比长装置校准方法、校准项目存在差异，不能够全面体现出装置的完整能力，为了准确呈现比长装置的实际能力，保障比长装置作为一种室内大长度领域的最重要的、复合功能的计量器具的准确可靠，提升我国大长度计量能力，特制定比长装置校准规范。</w:t>
      </w:r>
    </w:p>
    <w:p w14:paraId="4970036D">
      <w:pPr>
        <w:pStyle w:val="5"/>
        <w:spacing w:line="360" w:lineRule="auto"/>
        <w:ind w:left="658" w:right="5485" w:hanging="543"/>
        <w:rPr>
          <w:rFonts w:hint="default" w:ascii="Times New Roman" w:hAnsi="Times New Roman" w:cs="Times New Roman" w:eastAsiaTheme="minorEastAsia"/>
          <w:b/>
          <w:lang w:eastAsia="zh-CN"/>
        </w:rPr>
      </w:pP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三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规范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制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订技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术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依据</w:t>
      </w:r>
    </w:p>
    <w:p w14:paraId="69405A4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在本规范编制过程中，重点参照了以下计量技术规范及标准：</w:t>
      </w:r>
    </w:p>
    <w:p w14:paraId="2D2C853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JJF1094-2002 测量仪器特性评定</w:t>
      </w:r>
    </w:p>
    <w:p w14:paraId="1FFF715D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JJF1001-2011 通用计量术语及定义</w:t>
      </w:r>
    </w:p>
    <w:p w14:paraId="25ACC33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JJF1059.1-2012 测量不确定度评定与表示</w:t>
      </w:r>
    </w:p>
    <w:p w14:paraId="7BD4949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JJG739-2005 激光干涉仪检定规程</w:t>
      </w:r>
    </w:p>
    <w:p w14:paraId="255592E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GBT 11336-2004 直线度误差检测</w:t>
      </w:r>
    </w:p>
    <w:p w14:paraId="78C2D28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JJG1084-2013 数字式气压计检定规程</w:t>
      </w:r>
    </w:p>
    <w:p w14:paraId="1C6D7FB8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JJF1076-2020 数字式温湿度计校准规范</w:t>
      </w:r>
    </w:p>
    <w:p w14:paraId="34710EF8">
      <w:pPr>
        <w:pStyle w:val="5"/>
        <w:spacing w:line="360" w:lineRule="auto"/>
        <w:rPr>
          <w:rFonts w:hint="default" w:ascii="Times New Roman" w:hAnsi="Times New Roman" w:cs="Times New Roman" w:eastAsiaTheme="minorEastAsia"/>
          <w:b/>
          <w:lang w:eastAsia="zh-CN"/>
        </w:rPr>
      </w:pPr>
      <w:r>
        <w:rPr>
          <w:rFonts w:hint="default" w:ascii="Times New Roman" w:hAnsi="Times New Roman" w:cs="Times New Roman" w:eastAsiaTheme="minorEastAsia"/>
          <w:b/>
          <w:lang w:eastAsia="zh-CN"/>
        </w:rPr>
        <w:t>四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规范的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主要内容及关键技术</w:t>
      </w:r>
    </w:p>
    <w:p w14:paraId="45493F25">
      <w:pPr>
        <w:pStyle w:val="5"/>
        <w:spacing w:line="360" w:lineRule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szCs w:val="20"/>
          <w:lang w:eastAsia="zh-CN"/>
        </w:rPr>
        <w:t>1.</w:t>
      </w:r>
      <w:r>
        <w:rPr>
          <w:rFonts w:hint="default" w:ascii="Times New Roman" w:hAnsi="Times New Roman" w:cs="Times New Roman" w:eastAsiaTheme="minorEastAsia"/>
          <w:lang w:eastAsia="zh-CN"/>
        </w:rPr>
        <w:t>规</w:t>
      </w:r>
      <w:r>
        <w:rPr>
          <w:rFonts w:hint="default" w:ascii="Times New Roman" w:hAnsi="Times New Roman" w:cs="Times New Roman" w:eastAsiaTheme="minorEastAsia"/>
          <w:lang w:eastAsia="zh-CN"/>
        </w:rPr>
        <w:t>范</w:t>
      </w:r>
      <w:r>
        <w:rPr>
          <w:rFonts w:hint="default" w:ascii="Times New Roman" w:hAnsi="Times New Roman" w:cs="Times New Roman" w:eastAsiaTheme="minorEastAsia"/>
          <w:lang w:eastAsia="zh-CN"/>
        </w:rPr>
        <w:t>的</w:t>
      </w:r>
      <w:r>
        <w:rPr>
          <w:rFonts w:hint="default" w:ascii="Times New Roman" w:hAnsi="Times New Roman" w:cs="Times New Roman" w:eastAsiaTheme="minorEastAsia"/>
          <w:lang w:eastAsia="zh-CN"/>
        </w:rPr>
        <w:t>主要内容</w:t>
      </w:r>
    </w:p>
    <w:p w14:paraId="7F66B43F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 xml:space="preserve">内容符合JJF 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1071-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2010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《国家计量校准规范编写规则》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的要求，包含有引言、范围、引用文件、概述、计量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特性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校准条件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和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校准方法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等主要元素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同时还包括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校准证书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的格式和测量不确定度的评定示例共2个附录。</w:t>
      </w:r>
    </w:p>
    <w:p w14:paraId="1BC8AA7E">
      <w:pPr>
        <w:spacing w:line="360" w:lineRule="auto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0"/>
          <w:lang w:eastAsia="zh-CN"/>
        </w:rPr>
        <w:t>2</w:t>
      </w:r>
      <w:r>
        <w:rPr>
          <w:rFonts w:hint="default" w:ascii="Times New Roman" w:hAnsi="Times New Roman" w:cs="Times New Roman" w:eastAsiaTheme="minorEastAsia"/>
          <w:sz w:val="24"/>
          <w:szCs w:val="20"/>
          <w:lang w:eastAsia="zh-CN"/>
        </w:rPr>
        <w:t>.规范的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关键技术</w:t>
      </w:r>
    </w:p>
    <w:p w14:paraId="34DF8E66">
      <w:pPr>
        <w:spacing w:line="360" w:lineRule="auto"/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2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.1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校准设备</w:t>
      </w:r>
    </w:p>
    <w:p w14:paraId="55592F3D">
      <w:pPr>
        <w:snapToGrid w:val="0"/>
        <w:spacing w:line="360" w:lineRule="auto"/>
        <w:ind w:firstLine="420"/>
        <w:rPr>
          <w:rFonts w:hint="default" w:ascii="Times New Roman" w:hAnsi="Times New Roman" w:cs="Times New Roman" w:eastAsiaTheme="minorEastAsia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lang w:eastAsia="zh-CN"/>
        </w:rPr>
        <w:t>主要校准设备为激光干涉仪测量系统和标准钢卷尺，激光干涉仪的波长值可以溯源到633nm波长基准，线性位移值可以溯源到室内8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0</w:t>
      </w:r>
      <w:r>
        <w:rPr>
          <w:rFonts w:hint="default" w:ascii="Times New Roman" w:hAnsi="Times New Roman" w:cs="Times New Roman" w:eastAsiaTheme="minorEastAsia"/>
          <w:sz w:val="24"/>
          <w:lang w:eastAsia="zh-CN"/>
        </w:rPr>
        <w:t>m比长基准；标准钢卷尺的量值可以溯源到动态校准仪标准装置，从而确保测量比长装置各参数的准确可靠。</w:t>
      </w:r>
    </w:p>
    <w:p w14:paraId="67C95A24">
      <w:pPr>
        <w:spacing w:line="360" w:lineRule="auto"/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2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.2</w:t>
      </w: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校准参数</w:t>
      </w:r>
    </w:p>
    <w:p w14:paraId="6B10A1CA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鉴于装置的多功能特性，不同类型比长装置包含以下全部或部分计量参数</w:t>
      </w:r>
      <w:r>
        <w:rPr>
          <w:rFonts w:hint="default" w:ascii="Times New Roman" w:hAnsi="Times New Roman" w:cs="Times New Roman" w:eastAsiaTheme="minorEastAsia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lang w:eastAsia="zh-CN"/>
        </w:rPr>
        <w:t>运动平台</w:t>
      </w:r>
      <w:r>
        <w:rPr>
          <w:rFonts w:hint="default" w:ascii="Times New Roman" w:hAnsi="Times New Roman" w:cs="Times New Roman" w:eastAsiaTheme="minorEastAsia"/>
          <w:lang w:eastAsia="zh-CN"/>
        </w:rPr>
        <w:t>位移示值误差</w:t>
      </w:r>
      <w:r>
        <w:rPr>
          <w:rFonts w:hint="default" w:ascii="Times New Roman" w:hAnsi="Times New Roman" w:cs="Times New Roman" w:eastAsiaTheme="minorEastAsia"/>
          <w:lang w:eastAsia="zh-CN"/>
        </w:rPr>
        <w:t>、位移示值飘移、运动平台及</w:t>
      </w:r>
      <w:r>
        <w:rPr>
          <w:rFonts w:hint="default" w:ascii="Times New Roman" w:hAnsi="Times New Roman" w:cs="Times New Roman" w:eastAsiaTheme="minorEastAsia"/>
          <w:lang w:eastAsia="zh-CN"/>
        </w:rPr>
        <w:t>导轨</w:t>
      </w:r>
      <w:r>
        <w:rPr>
          <w:rFonts w:hint="default" w:ascii="Times New Roman" w:hAnsi="Times New Roman" w:cs="Times New Roman" w:eastAsiaTheme="minorEastAsia"/>
          <w:lang w:eastAsia="zh-CN"/>
        </w:rPr>
        <w:t>综合</w:t>
      </w:r>
      <w:r>
        <w:rPr>
          <w:rFonts w:hint="default" w:ascii="Times New Roman" w:hAnsi="Times New Roman" w:cs="Times New Roman" w:eastAsiaTheme="minorEastAsia"/>
          <w:lang w:eastAsia="zh-CN"/>
        </w:rPr>
        <w:t>直线度</w:t>
      </w:r>
      <w:r>
        <w:rPr>
          <w:rFonts w:hint="default" w:ascii="Times New Roman" w:hAnsi="Times New Roman" w:cs="Times New Roman" w:eastAsiaTheme="minorEastAsia"/>
          <w:lang w:eastAsia="zh-CN"/>
        </w:rPr>
        <w:t>、运动平台目标定位误差、</w:t>
      </w:r>
      <w:r>
        <w:rPr>
          <w:rFonts w:hint="default" w:ascii="Times New Roman" w:hAnsi="Times New Roman" w:cs="Times New Roman" w:eastAsiaTheme="minorEastAsia"/>
          <w:lang w:eastAsia="zh-CN"/>
        </w:rPr>
        <w:t>线纹瞄准重复性</w:t>
      </w:r>
      <w:r>
        <w:rPr>
          <w:rFonts w:hint="default" w:ascii="Times New Roman" w:hAnsi="Times New Roman" w:cs="Times New Roman" w:eastAsiaTheme="minorEastAsia"/>
          <w:lang w:eastAsia="zh-CN"/>
        </w:rPr>
        <w:t>、</w:t>
      </w:r>
      <w:bookmarkStart w:id="0" w:name="_Toc87992631"/>
      <w:r>
        <w:rPr>
          <w:rFonts w:hint="default" w:ascii="Times New Roman" w:hAnsi="Times New Roman" w:cs="Times New Roman" w:eastAsiaTheme="minorEastAsia"/>
          <w:lang w:eastAsia="zh-CN"/>
        </w:rPr>
        <w:t>定位精度</w:t>
      </w:r>
      <w:bookmarkEnd w:id="0"/>
      <w:r>
        <w:rPr>
          <w:rFonts w:hint="default" w:ascii="Times New Roman" w:hAnsi="Times New Roman" w:cs="Times New Roman" w:eastAsiaTheme="minorEastAsia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lang w:eastAsia="zh-CN"/>
        </w:rPr>
        <w:t>尺台摩擦力</w:t>
      </w:r>
      <w:r>
        <w:rPr>
          <w:rFonts w:hint="default" w:ascii="Times New Roman" w:hAnsi="Times New Roman" w:cs="Times New Roman" w:eastAsiaTheme="minorEastAsia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lang w:eastAsia="zh-CN"/>
        </w:rPr>
        <w:t>环境参数</w:t>
      </w:r>
      <w:r>
        <w:rPr>
          <w:rFonts w:hint="default" w:ascii="Times New Roman" w:hAnsi="Times New Roman" w:cs="Times New Roman" w:eastAsiaTheme="minorEastAsia"/>
          <w:lang w:eastAsia="zh-CN"/>
        </w:rPr>
        <w:t>传感器</w:t>
      </w:r>
      <w:r>
        <w:rPr>
          <w:rFonts w:hint="default" w:ascii="Times New Roman" w:hAnsi="Times New Roman" w:cs="Times New Roman" w:eastAsiaTheme="minorEastAsia"/>
          <w:lang w:eastAsia="zh-CN"/>
        </w:rPr>
        <w:t>示值误差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4C2CFEE0">
      <w:pPr>
        <w:spacing w:line="360" w:lineRule="auto"/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lang w:eastAsia="zh-CN"/>
        </w:rPr>
        <w:t>2.3校准方法</w:t>
      </w:r>
    </w:p>
    <w:p w14:paraId="305A37D0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运动平台</w:t>
      </w:r>
      <w:r>
        <w:rPr>
          <w:rFonts w:hint="default" w:ascii="Times New Roman" w:hAnsi="Times New Roman" w:cs="Times New Roman" w:eastAsiaTheme="minorEastAsia"/>
          <w:lang w:eastAsia="zh-CN"/>
        </w:rPr>
        <w:t>位移示值误差</w:t>
      </w:r>
      <w:r>
        <w:rPr>
          <w:rFonts w:hint="default" w:ascii="Times New Roman" w:hAnsi="Times New Roman" w:cs="Times New Roman" w:eastAsiaTheme="minorEastAsia"/>
          <w:lang w:eastAsia="zh-CN"/>
        </w:rPr>
        <w:t>：针对不同类型的比长装置，充分考虑到用户使用线需求，分别采用同光路、模拟同光路、平行光路的方式进行不同位置、不同环境状态下的校准，</w:t>
      </w:r>
      <w:r>
        <w:rPr>
          <w:rFonts w:hint="default" w:ascii="Times New Roman" w:hAnsi="Times New Roman" w:cs="Times New Roman" w:eastAsiaTheme="minorEastAsia"/>
          <w:color w:val="000000"/>
          <w:lang w:eastAsia="zh-CN"/>
        </w:rPr>
        <w:t>并给出校准结果的不确定度。</w:t>
      </w:r>
    </w:p>
    <w:p w14:paraId="1A4E835D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位移示值飘移：在比长装置不同位置，观测某一时间段内的示值变化量，此项参数综合评价了实验室环境变化。</w:t>
      </w:r>
    </w:p>
    <w:p w14:paraId="55BF27EE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运动平台及</w:t>
      </w:r>
      <w:r>
        <w:rPr>
          <w:rFonts w:hint="default" w:ascii="Times New Roman" w:hAnsi="Times New Roman" w:cs="Times New Roman" w:eastAsiaTheme="minorEastAsia"/>
          <w:lang w:eastAsia="zh-CN"/>
        </w:rPr>
        <w:t>导轨</w:t>
      </w:r>
      <w:r>
        <w:rPr>
          <w:rFonts w:hint="default" w:ascii="Times New Roman" w:hAnsi="Times New Roman" w:cs="Times New Roman" w:eastAsiaTheme="minorEastAsia"/>
          <w:lang w:eastAsia="zh-CN"/>
        </w:rPr>
        <w:t>综合</w:t>
      </w:r>
      <w:r>
        <w:rPr>
          <w:rFonts w:hint="default" w:ascii="Times New Roman" w:hAnsi="Times New Roman" w:cs="Times New Roman" w:eastAsiaTheme="minorEastAsia"/>
          <w:lang w:eastAsia="zh-CN"/>
        </w:rPr>
        <w:t>直线度</w:t>
      </w:r>
      <w:r>
        <w:rPr>
          <w:rFonts w:hint="default" w:ascii="Times New Roman" w:hAnsi="Times New Roman" w:cs="Times New Roman" w:eastAsiaTheme="minorEastAsia"/>
          <w:lang w:eastAsia="zh-CN"/>
        </w:rPr>
        <w:t>：在比长装置测量范围内，测量运动平台沿导轨运动的水平方向及垂直方向的偏移量。</w:t>
      </w:r>
    </w:p>
    <w:p w14:paraId="776DC930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运动平台目标定位误差：在比长装置测量范围的任意位置，</w:t>
      </w:r>
      <w: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  <w:t>测量比较</w:t>
      </w: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运动平台定位结果与目标位置的偏差。</w:t>
      </w:r>
    </w:p>
    <w:p w14:paraId="020198F5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线纹瞄准重复性：当</w:t>
      </w:r>
      <w: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  <w:t>比长</w:t>
      </w: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装置</w:t>
      </w:r>
      <w: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  <w:t>运动</w:t>
      </w: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平台上固定安装瞄准系统，用于大长度线纹标准器具测量时，需校准瞄准系统瞄准线纹</w:t>
      </w:r>
      <w: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  <w:t>的</w:t>
      </w:r>
      <w:r>
        <w:rPr>
          <w:rFonts w:hint="default" w:ascii="Times New Roman" w:hAnsi="Times New Roman" w:cs="Times New Roman" w:eastAsiaTheme="minorEastAsia"/>
          <w:highlight w:val="none"/>
          <w:lang w:eastAsia="zh-CN"/>
        </w:rPr>
        <w:t>重复性。</w:t>
      </w:r>
    </w:p>
    <w:p w14:paraId="45A560A5">
      <w:pPr>
        <w:pStyle w:val="5"/>
        <w:spacing w:line="360" w:lineRule="auto"/>
        <w:ind w:right="111" w:firstLine="480"/>
        <w:jc w:val="both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highlight w:val="none"/>
          <w:lang w:eastAsia="zh-CN"/>
        </w:rPr>
        <w:t>置尺平台综合静摩擦力：</w:t>
      </w:r>
      <w:r>
        <w:rPr>
          <w:rFonts w:hint="eastAsia" w:ascii="Times New Roman" w:hAnsi="Times New Roman" w:cs="Times New Roman" w:eastAsiaTheme="minorEastAsia"/>
          <w:color w:val="auto"/>
          <w:highlight w:val="none"/>
          <w:lang w:val="en-US" w:eastAsia="zh-CN"/>
        </w:rPr>
        <w:t>使用</w:t>
      </w:r>
      <w:r>
        <w:rPr>
          <w:rFonts w:hint="eastAsia"/>
          <w:color w:val="auto"/>
          <w:kern w:val="0"/>
          <w:sz w:val="24"/>
          <w:highlight w:val="none"/>
        </w:rPr>
        <w:t>标准钢</w:t>
      </w:r>
      <w:r>
        <w:rPr>
          <w:rFonts w:hint="eastAsia"/>
          <w:kern w:val="0"/>
          <w:sz w:val="24"/>
        </w:rPr>
        <w:t>卷尺和砝码</w:t>
      </w:r>
      <w:r>
        <w:rPr>
          <w:rFonts w:hint="eastAsia"/>
          <w:kern w:val="0"/>
          <w:sz w:val="24"/>
          <w:szCs w:val="24"/>
        </w:rPr>
        <w:t>组</w:t>
      </w:r>
      <w:r>
        <w:rPr>
          <w:rFonts w:hint="eastAsia"/>
          <w:kern w:val="0"/>
          <w:sz w:val="24"/>
        </w:rPr>
        <w:t>校准比长装置的置尺</w:t>
      </w:r>
      <w:r>
        <w:rPr>
          <w:rFonts w:hint="eastAsia"/>
          <w:sz w:val="24"/>
        </w:rPr>
        <w:t>平台综合静摩擦力</w:t>
      </w:r>
      <w:r>
        <w:rPr>
          <w:rFonts w:hint="eastAsia"/>
          <w:sz w:val="24"/>
          <w:lang w:eastAsia="zh-CN"/>
        </w:rPr>
        <w:t>。</w:t>
      </w:r>
    </w:p>
    <w:p w14:paraId="60A93B55">
      <w:pPr>
        <w:pStyle w:val="5"/>
        <w:spacing w:line="360" w:lineRule="auto"/>
        <w:rPr>
          <w:rFonts w:hint="default" w:ascii="Times New Roman" w:hAnsi="Times New Roman" w:cs="Times New Roman" w:eastAsiaTheme="minorEastAsia"/>
          <w:b/>
          <w:lang w:eastAsia="zh-CN"/>
        </w:rPr>
      </w:pPr>
      <w:r>
        <w:rPr>
          <w:rFonts w:hint="default" w:ascii="Times New Roman" w:hAnsi="Times New Roman" w:cs="Times New Roman" w:eastAsiaTheme="minorEastAsia"/>
          <w:b/>
          <w:lang w:eastAsia="zh-CN"/>
        </w:rPr>
        <w:t>五</w:t>
      </w:r>
      <w:r>
        <w:rPr>
          <w:rFonts w:hint="default" w:ascii="Times New Roman" w:hAnsi="Times New Roman" w:cs="Times New Roman" w:eastAsiaTheme="minorEastAsia"/>
          <w:b/>
          <w:spacing w:val="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/>
          <w:lang w:eastAsia="zh-CN"/>
        </w:rPr>
        <w:t>总结</w:t>
      </w:r>
    </w:p>
    <w:p w14:paraId="504D8483">
      <w:pPr>
        <w:pStyle w:val="5"/>
        <w:spacing w:line="360" w:lineRule="auto"/>
        <w:ind w:right="111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本规范的起草吸收国内生产商和应用部门的建议，在中国计量科学研究院校准技术研究和实践的基础上，共同研究确定相关的技术细节，使技术规范的实施切实可行。</w:t>
      </w:r>
    </w:p>
    <w:p w14:paraId="1F255BF8">
      <w:pPr>
        <w:pStyle w:val="5"/>
        <w:spacing w:line="360" w:lineRule="auto"/>
        <w:ind w:right="114" w:firstLine="480"/>
        <w:jc w:val="both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本</w:t>
      </w:r>
      <w:r>
        <w:rPr>
          <w:rFonts w:hint="default" w:ascii="Times New Roman" w:hAnsi="Times New Roman" w:cs="Times New Roman" w:eastAsiaTheme="minorEastAsia"/>
          <w:lang w:eastAsia="zh-CN"/>
        </w:rPr>
        <w:t>规范</w:t>
      </w:r>
      <w:r>
        <w:rPr>
          <w:rFonts w:hint="default" w:ascii="Times New Roman" w:hAnsi="Times New Roman" w:cs="Times New Roman" w:eastAsiaTheme="minorEastAsia"/>
          <w:lang w:eastAsia="zh-CN"/>
        </w:rPr>
        <w:t>主要对</w:t>
      </w:r>
      <w:r>
        <w:rPr>
          <w:rFonts w:hint="default" w:ascii="Times New Roman" w:hAnsi="Times New Roman" w:cs="Times New Roman" w:eastAsiaTheme="minorEastAsia"/>
          <w:lang w:eastAsia="zh-CN"/>
        </w:rPr>
        <w:t>不同用途的</w:t>
      </w:r>
      <w:r>
        <w:rPr>
          <w:rFonts w:hint="default" w:ascii="Times New Roman" w:hAnsi="Times New Roman" w:cs="Times New Roman" w:eastAsiaTheme="minorEastAsia"/>
          <w:lang w:eastAsia="zh-CN"/>
        </w:rPr>
        <w:t>大长度比长装置进行</w:t>
      </w:r>
      <w:r>
        <w:rPr>
          <w:rFonts w:hint="default" w:ascii="Times New Roman" w:hAnsi="Times New Roman" w:cs="Times New Roman" w:eastAsiaTheme="minorEastAsia"/>
          <w:lang w:eastAsia="zh-CN"/>
        </w:rPr>
        <w:t>了计量特性</w:t>
      </w:r>
      <w:r>
        <w:rPr>
          <w:rFonts w:hint="default" w:ascii="Times New Roman" w:hAnsi="Times New Roman" w:cs="Times New Roman" w:eastAsiaTheme="minorEastAsia"/>
          <w:lang w:eastAsia="zh-CN"/>
        </w:rPr>
        <w:t>的描述。在本规范的制定过程中，本着科学合理、易于操作的原则，并结合全国长度几何计量技术委员会专家意见和建议，制定了大长度标准装置规范（征求意见稿）。</w:t>
      </w:r>
      <w:r>
        <w:rPr>
          <w:rFonts w:hint="default" w:ascii="Times New Roman" w:hAnsi="Times New Roman" w:cs="Times New Roman" w:eastAsiaTheme="minorEastAsia"/>
          <w:lang w:eastAsia="zh-CN"/>
        </w:rPr>
        <w:t>同时也感谢其它兄弟计量机构和研发制造企业在规范</w:t>
      </w:r>
      <w:r>
        <w:rPr>
          <w:rFonts w:hint="default" w:ascii="Times New Roman" w:hAnsi="Times New Roman" w:cs="Times New Roman" w:eastAsiaTheme="minorEastAsia"/>
          <w:lang w:eastAsia="zh-CN"/>
        </w:rPr>
        <w:t>制定</w:t>
      </w:r>
      <w:r>
        <w:rPr>
          <w:rFonts w:hint="default" w:ascii="Times New Roman" w:hAnsi="Times New Roman" w:cs="Times New Roman" w:eastAsiaTheme="minorEastAsia"/>
          <w:lang w:eastAsia="zh-CN"/>
        </w:rPr>
        <w:t>过程中给予的帮助和支持。</w:t>
      </w:r>
    </w:p>
    <w:p w14:paraId="7745F3AF">
      <w:pPr>
        <w:pStyle w:val="5"/>
        <w:spacing w:line="360" w:lineRule="auto"/>
        <w:ind w:right="114" w:firstLine="480"/>
        <w:jc w:val="both"/>
        <w:rPr>
          <w:rFonts w:hint="default" w:ascii="Times New Roman" w:hAnsi="Times New Roman" w:cs="Times New Roman" w:eastAsiaTheme="minorEastAsia"/>
          <w:color w:val="FF0000"/>
          <w:lang w:eastAsia="zh-CN"/>
        </w:rPr>
      </w:pPr>
    </w:p>
    <w:p w14:paraId="51A2826D">
      <w:pPr>
        <w:pStyle w:val="5"/>
        <w:spacing w:line="360" w:lineRule="auto"/>
        <w:ind w:left="4183" w:firstLine="1440" w:firstLineChars="600"/>
        <w:rPr>
          <w:rFonts w:hint="default" w:ascii="Times New Roman" w:hAnsi="Times New Roman" w:cs="Times New Roman" w:eastAsiaTheme="minorEastAsia"/>
          <w:lang w:eastAsia="zh-CN"/>
        </w:rPr>
      </w:pPr>
    </w:p>
    <w:p w14:paraId="62726131">
      <w:pPr>
        <w:pStyle w:val="5"/>
        <w:spacing w:line="360" w:lineRule="auto"/>
        <w:ind w:left="4183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  <w:lang w:eastAsia="zh-CN"/>
        </w:rPr>
        <w:t>《</w:t>
      </w:r>
      <w:r>
        <w:rPr>
          <w:rFonts w:hint="default" w:ascii="Times New Roman" w:hAnsi="Times New Roman" w:cs="Times New Roman" w:eastAsiaTheme="minorEastAsia"/>
          <w:lang w:eastAsia="zh-CN"/>
        </w:rPr>
        <w:t>大长度比长装置校准规范</w:t>
      </w:r>
      <w:r>
        <w:rPr>
          <w:rFonts w:hint="default" w:ascii="Times New Roman" w:hAnsi="Times New Roman" w:cs="Times New Roman" w:eastAsiaTheme="minorEastAsia"/>
          <w:spacing w:val="-68"/>
          <w:lang w:eastAsia="zh-CN"/>
        </w:rPr>
        <w:t>》</w:t>
      </w:r>
      <w:r>
        <w:rPr>
          <w:rFonts w:hint="default" w:ascii="Times New Roman" w:hAnsi="Times New Roman" w:cs="Times New Roman" w:eastAsiaTheme="minorEastAsia"/>
          <w:lang w:eastAsia="zh-CN"/>
        </w:rPr>
        <w:t>编写组</w:t>
      </w:r>
    </w:p>
    <w:p w14:paraId="461D10FC">
      <w:pPr>
        <w:pStyle w:val="5"/>
        <w:spacing w:line="360" w:lineRule="auto"/>
        <w:ind w:left="4183"/>
        <w:jc w:val="center"/>
        <w:rPr>
          <w:rFonts w:hint="default" w:ascii="Times New Roman" w:hAnsi="Times New Roman" w:cs="Times New Roman" w:eastAsiaTheme="minorEastAsia"/>
          <w:lang w:val="en-US" w:eastAsia="zh-CN"/>
        </w:rPr>
      </w:pPr>
      <w:bookmarkStart w:id="1" w:name="_GoBack"/>
      <w:bookmarkEnd w:id="1"/>
      <w:r>
        <w:rPr>
          <w:rFonts w:hint="eastAsia" w:ascii="Times New Roman" w:hAnsi="Times New Roman" w:cs="Times New Roman" w:eastAsiaTheme="minorEastAsia"/>
          <w:lang w:val="en-US" w:eastAsia="zh-CN"/>
        </w:rPr>
        <w:t>2024年8月16日</w:t>
      </w:r>
    </w:p>
    <w:sectPr>
      <w:footerReference r:id="rId3" w:type="default"/>
      <w:pgSz w:w="11904" w:h="16840"/>
      <w:pgMar w:top="1440" w:right="1680" w:bottom="1160" w:left="1680" w:header="0" w:footer="97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scadia Code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Segoe UI Variable Display Semi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itka Banner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Heading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mall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Text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59B1A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6338570</wp:posOffset>
              </wp:positionH>
              <wp:positionV relativeFrom="page">
                <wp:posOffset>9930765</wp:posOffset>
              </wp:positionV>
              <wp:extent cx="108585" cy="140970"/>
              <wp:effectExtent l="4445" t="0" r="1270" b="0"/>
              <wp:wrapNone/>
              <wp:docPr id="142834285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316819">
                          <w:pPr>
                            <w:spacing w:line="206" w:lineRule="exact"/>
                            <w:ind w:left="40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499.1pt;margin-top:781.95pt;height:11.1pt;width:8.55pt;mso-position-horizontal-relative:page;mso-position-vertical-relative:page;z-index:-251657216;mso-width-relative:page;mso-height-relative:page;" filled="f" stroked="f" coordsize="21600,21600" o:gfxdata="UEsDBAoAAAAAAIdO4kAAAAAAAAAAAAAAAAAEAAAAZHJzL1BLAwQUAAAACACHTuJAAAn7EtoAAAAO&#10;AQAADwAAAGRycy9kb3ducmV2LnhtbE2PTU+EMBCG7yb+h2ZMvLktu1kCSNkYoycTI4sHj4XOQrN0&#10;irT74b+3nPQ48z5555lyd7UjO+PsjSMJyUoAQ+qcNtRL+GxeHzJgPijSanSEEn7Qw666vSlVod2F&#10;ajzvQ89iCflCSRhCmArOfTegVX7lJqSYHdxsVYjj3HM9q0sstyNfC5FyqwzFC4Oa8HnA7rg/WQlP&#10;X1S/mO/39qM+1KZpckFv6VHK+7tEPAILeA1/MCz6UR2q6NS6E2nPRgl5nq0jGoNtusmBLYhIthtg&#10;7bLL0gR4VfL/b1S/UEsDBBQAAAAIAIdO4kAiwTGBAwIAAAwEAAAOAAAAZHJzL2Uyb0RvYy54bWyt&#10;U8tu2zAQvBfoPxC815LdOHUEy0EaI0WB9AEk/QCKoiyiIpdd0pbcr++Skt0kveTQg4QVuTucGY7W&#10;14Pp2EGh12BLPp/lnCkrodZ2V/Ifj3fvVpz5IGwtOrCq5Efl+fXm7Zt17wq1gBa6WiEjEOuL3pW8&#10;DcEVWeZlq4zwM3DK0mYDaESgT9xlNYqe0E2XLfL8MusBa4cglfe0uh03+YSIrwGEptFSbUHujbJh&#10;REXViUCSfKud55vEtmmUDN+axqvAupKT0pDedAjVVXxnm7Uodihcq+VEQbyGwgtNRmhLh56htiII&#10;tkf9D5TREsFDE2YSTDYKSY6Qinn+wpuHVjiVtJDV3p1N9/8PVn49fEema0rCxWL1np7lJWdWGLr5&#10;RzUE9hEGNo829c4X1P3gqD8MtEwjSbJ39yB/embhthV2p24QoW+VqIlmmsyejI44PoJU/Reo6Rix&#10;D5CAhgZN9JBcYYROV3Q8X1GkIuOR+Wq5WnImaWt+kV99SFeYieI07NCHTwoMi0XJkRKQwMXh3geS&#10;Qa2nlniWhTvddSkFnX22QI1xJZGPfEfmYaiGyYwK6iPJQBhDRb8UFS3gb856ClTJ/a+9QMVZ99mS&#10;FTF9pwJPRXUqhJU0WvLA2VjehjGle4d61xLyaLaFG7Kr0UlK9HVkMfGkkCSFU6BjCp9+p66/P/Hm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AJ+xLaAAAADgEAAA8AAAAAAAAAAQAgAAAAIgAAAGRy&#10;cy9kb3ducmV2LnhtbFBLAQIUABQAAAAIAIdO4kAiwTGBAwIAAAwEAAAOAAAAAAAAAAEAIAAAACk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316819">
                    <w:pPr>
                      <w:spacing w:line="206" w:lineRule="exact"/>
                      <w:ind w:left="40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2MDkxNjc3Nzk4MmVjMjIxMmNkMmM3OTgwNDcxNTQifQ=="/>
  </w:docVars>
  <w:rsids>
    <w:rsidRoot w:val="00B4793D"/>
    <w:rsid w:val="00023CC9"/>
    <w:rsid w:val="00032C22"/>
    <w:rsid w:val="00036BF1"/>
    <w:rsid w:val="000502C1"/>
    <w:rsid w:val="00056B20"/>
    <w:rsid w:val="00090F4B"/>
    <w:rsid w:val="000929C5"/>
    <w:rsid w:val="000A5446"/>
    <w:rsid w:val="000B64DA"/>
    <w:rsid w:val="000F7617"/>
    <w:rsid w:val="0011203A"/>
    <w:rsid w:val="00134C5A"/>
    <w:rsid w:val="00155E51"/>
    <w:rsid w:val="00164A79"/>
    <w:rsid w:val="00176A14"/>
    <w:rsid w:val="001915E9"/>
    <w:rsid w:val="001A1B0D"/>
    <w:rsid w:val="001D48B2"/>
    <w:rsid w:val="00252072"/>
    <w:rsid w:val="00266F3C"/>
    <w:rsid w:val="002A68B3"/>
    <w:rsid w:val="002A7DDA"/>
    <w:rsid w:val="002C1EA3"/>
    <w:rsid w:val="002D1B0E"/>
    <w:rsid w:val="002E7D0F"/>
    <w:rsid w:val="0030333A"/>
    <w:rsid w:val="003072D6"/>
    <w:rsid w:val="00322A8E"/>
    <w:rsid w:val="003367A3"/>
    <w:rsid w:val="00372FFD"/>
    <w:rsid w:val="00373732"/>
    <w:rsid w:val="003954D2"/>
    <w:rsid w:val="003A4ACF"/>
    <w:rsid w:val="003A588B"/>
    <w:rsid w:val="003B38CF"/>
    <w:rsid w:val="004017E4"/>
    <w:rsid w:val="00441C35"/>
    <w:rsid w:val="004523AD"/>
    <w:rsid w:val="00466787"/>
    <w:rsid w:val="00466F8A"/>
    <w:rsid w:val="004870AB"/>
    <w:rsid w:val="004D2397"/>
    <w:rsid w:val="004D424E"/>
    <w:rsid w:val="004D5DB4"/>
    <w:rsid w:val="004D5F00"/>
    <w:rsid w:val="004F230E"/>
    <w:rsid w:val="005279D5"/>
    <w:rsid w:val="005A7FAD"/>
    <w:rsid w:val="005C7D9A"/>
    <w:rsid w:val="005D5294"/>
    <w:rsid w:val="00601EF6"/>
    <w:rsid w:val="006343C7"/>
    <w:rsid w:val="00651DB1"/>
    <w:rsid w:val="0068070E"/>
    <w:rsid w:val="00690CEB"/>
    <w:rsid w:val="006D2D94"/>
    <w:rsid w:val="006E2B80"/>
    <w:rsid w:val="006F4C21"/>
    <w:rsid w:val="00717152"/>
    <w:rsid w:val="00725339"/>
    <w:rsid w:val="00737D83"/>
    <w:rsid w:val="007765DE"/>
    <w:rsid w:val="00797831"/>
    <w:rsid w:val="007A0750"/>
    <w:rsid w:val="007A434E"/>
    <w:rsid w:val="007B0C7E"/>
    <w:rsid w:val="007D44EF"/>
    <w:rsid w:val="007E4E7D"/>
    <w:rsid w:val="007F363D"/>
    <w:rsid w:val="00804A5E"/>
    <w:rsid w:val="008317AE"/>
    <w:rsid w:val="0084011D"/>
    <w:rsid w:val="0084059D"/>
    <w:rsid w:val="00857974"/>
    <w:rsid w:val="008A68B2"/>
    <w:rsid w:val="008C0169"/>
    <w:rsid w:val="008C42A0"/>
    <w:rsid w:val="008D4EFD"/>
    <w:rsid w:val="008E506D"/>
    <w:rsid w:val="008E6BFD"/>
    <w:rsid w:val="00910BDF"/>
    <w:rsid w:val="009148FE"/>
    <w:rsid w:val="009260D0"/>
    <w:rsid w:val="00940480"/>
    <w:rsid w:val="00947027"/>
    <w:rsid w:val="00955601"/>
    <w:rsid w:val="009B013F"/>
    <w:rsid w:val="009C4B58"/>
    <w:rsid w:val="009D4F97"/>
    <w:rsid w:val="00A24F07"/>
    <w:rsid w:val="00A37F64"/>
    <w:rsid w:val="00A6678A"/>
    <w:rsid w:val="00A67FA2"/>
    <w:rsid w:val="00A70841"/>
    <w:rsid w:val="00A72039"/>
    <w:rsid w:val="00AC41D5"/>
    <w:rsid w:val="00AE642A"/>
    <w:rsid w:val="00AE7449"/>
    <w:rsid w:val="00AF4BDC"/>
    <w:rsid w:val="00B04804"/>
    <w:rsid w:val="00B04CB9"/>
    <w:rsid w:val="00B06038"/>
    <w:rsid w:val="00B245DB"/>
    <w:rsid w:val="00B4793D"/>
    <w:rsid w:val="00B55DDA"/>
    <w:rsid w:val="00B83AB4"/>
    <w:rsid w:val="00BB1F40"/>
    <w:rsid w:val="00BC0964"/>
    <w:rsid w:val="00BD1B5D"/>
    <w:rsid w:val="00BD37CD"/>
    <w:rsid w:val="00BE0E1E"/>
    <w:rsid w:val="00BE4680"/>
    <w:rsid w:val="00BE46D9"/>
    <w:rsid w:val="00BF12D9"/>
    <w:rsid w:val="00C07BBA"/>
    <w:rsid w:val="00C07D3E"/>
    <w:rsid w:val="00C41FF8"/>
    <w:rsid w:val="00C42E6E"/>
    <w:rsid w:val="00C8182D"/>
    <w:rsid w:val="00C96715"/>
    <w:rsid w:val="00CA246C"/>
    <w:rsid w:val="00CC1B6C"/>
    <w:rsid w:val="00CE3EB4"/>
    <w:rsid w:val="00D00A35"/>
    <w:rsid w:val="00DC35E2"/>
    <w:rsid w:val="00DE5EC0"/>
    <w:rsid w:val="00DE638D"/>
    <w:rsid w:val="00E15121"/>
    <w:rsid w:val="00E20536"/>
    <w:rsid w:val="00E4268C"/>
    <w:rsid w:val="00E50F8C"/>
    <w:rsid w:val="00E56E3F"/>
    <w:rsid w:val="00E64362"/>
    <w:rsid w:val="00E85FE4"/>
    <w:rsid w:val="00E86021"/>
    <w:rsid w:val="00EA5991"/>
    <w:rsid w:val="00EA62E2"/>
    <w:rsid w:val="00EB7204"/>
    <w:rsid w:val="00EC3507"/>
    <w:rsid w:val="00ED5F9E"/>
    <w:rsid w:val="00F17F2F"/>
    <w:rsid w:val="00F23252"/>
    <w:rsid w:val="00F27490"/>
    <w:rsid w:val="00F5332F"/>
    <w:rsid w:val="00F55A37"/>
    <w:rsid w:val="00FA3F4B"/>
    <w:rsid w:val="00FA5545"/>
    <w:rsid w:val="00FB1FCE"/>
    <w:rsid w:val="00FC6E93"/>
    <w:rsid w:val="00FF225A"/>
    <w:rsid w:val="29CE24E1"/>
    <w:rsid w:val="49AE5DCC"/>
    <w:rsid w:val="6BA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953"/>
      <w:outlineLvl w:val="0"/>
    </w:pPr>
    <w:rPr>
      <w:rFonts w:ascii="宋体" w:hAnsi="宋体" w:eastAsia="宋体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35"/>
    <w:pPr>
      <w:widowControl/>
    </w:pPr>
    <w:rPr>
      <w:rFonts w:ascii="Cambria" w:hAnsi="Cambria" w:eastAsia="黑体" w:cs="Times New Roman"/>
      <w:sz w:val="20"/>
      <w:szCs w:val="20"/>
      <w:lang w:eastAsia="zh-CN"/>
    </w:rPr>
  </w:style>
  <w:style w:type="paragraph" w:styleId="4">
    <w:name w:val="annotation text"/>
    <w:basedOn w:val="1"/>
    <w:link w:val="18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styleId="5">
    <w:name w:val="Body Text"/>
    <w:basedOn w:val="1"/>
    <w:qFormat/>
    <w:uiPriority w:val="1"/>
    <w:pPr>
      <w:ind w:left="116"/>
    </w:pPr>
    <w:rPr>
      <w:rFonts w:ascii="宋体" w:hAnsi="宋体" w:eastAsia="宋体"/>
      <w:sz w:val="24"/>
      <w:szCs w:val="24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15"/>
    <w:qFormat/>
    <w:uiPriority w:val="0"/>
    <w:rPr>
      <w:rFonts w:hint="default" w:ascii="Times New Roman" w:hAnsi="Times New Roman" w:cs="Times New Roman"/>
    </w:rPr>
  </w:style>
  <w:style w:type="character" w:customStyle="1" w:styleId="16">
    <w:name w:val="trans"/>
    <w:qFormat/>
    <w:uiPriority w:val="0"/>
  </w:style>
  <w:style w:type="paragraph" w:customStyle="1" w:styleId="17">
    <w:name w:val="Char Char1"/>
    <w:basedOn w:val="1"/>
    <w:qFormat/>
    <w:uiPriority w:val="0"/>
    <w:pPr>
      <w:jc w:val="both"/>
    </w:pPr>
    <w:rPr>
      <w:rFonts w:ascii="Tahoma" w:hAnsi="Tahoma" w:eastAsia="宋体" w:cs="Times New Roman"/>
      <w:kern w:val="2"/>
      <w:sz w:val="24"/>
      <w:szCs w:val="20"/>
      <w:lang w:eastAsia="zh-CN"/>
    </w:rPr>
  </w:style>
  <w:style w:type="character" w:customStyle="1" w:styleId="18">
    <w:name w:val="批注文字 字符"/>
    <w:basedOn w:val="9"/>
    <w:link w:val="4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eastAsia="zh-CN"/>
    </w:rPr>
  </w:style>
  <w:style w:type="paragraph" w:customStyle="1" w:styleId="19">
    <w:name w:val=" Char Char1"/>
    <w:basedOn w:val="1"/>
    <w:qFormat/>
    <w:uiPriority w:val="0"/>
    <w:pPr>
      <w:jc w:val="both"/>
    </w:pPr>
    <w:rPr>
      <w:rFonts w:ascii="Tahoma" w:hAnsi="Tahoma" w:eastAsia="宋体" w:cs="Times New Roman"/>
      <w:kern w:val="2"/>
      <w:sz w:val="24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1866</Words>
  <Characters>1985</Characters>
  <Lines>14</Lines>
  <Paragraphs>4</Paragraphs>
  <TotalTime>2</TotalTime>
  <ScaleCrop>false</ScaleCrop>
  <LinksUpToDate>false</LinksUpToDate>
  <CharactersWithSpaces>1994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2024-08-28T14:01:00Z</dcterms:created>
  <dc:creator>chongcheng1</dc:creator>
  <cp:lastModifiedBy>NINGMEI</cp:lastModifiedBy>
  <dcterms:modified xsi:type="dcterms:W3CDTF">2024-08-29T06:05:31Z</dcterms:modified>
  <dc:title>2_关节臂式坐标测量机校准规范（编制说明）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2022-12-29T00:00:00Z</vt:filetime>
  </property>
  <property fmtid="{D5CDD505-2E9C-101B-9397-08002B2CF9AE}" pid="4" name="KSOProductBuildVer">
    <vt:lpwstr>2052-12.1.0.17857</vt:lpwstr>
  </property>
  <property fmtid="{D5CDD505-2E9C-101B-9397-08002B2CF9AE}" pid="5" name="ICV">
    <vt:lpwstr>BBF9036A4CF94F04B961D7F9DD1103C9_12</vt:lpwstr>
  </property>
</Properties>
</file>