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4AE67">
      <w:pPr>
        <w:jc w:val="center"/>
        <w:rPr>
          <w:rFonts w:ascii="Times New Roman" w:hAnsi="Times New Roman" w:eastAsia="黑体" w:cs="Times New Roman"/>
          <w:sz w:val="44"/>
          <w:szCs w:val="44"/>
        </w:rPr>
      </w:pPr>
    </w:p>
    <w:p w14:paraId="5E83512D">
      <w:pPr>
        <w:jc w:val="center"/>
        <w:rPr>
          <w:rFonts w:ascii="Times New Roman" w:hAnsi="Times New Roman" w:eastAsia="黑体" w:cs="Times New Roman"/>
          <w:sz w:val="44"/>
          <w:szCs w:val="44"/>
        </w:rPr>
      </w:pPr>
    </w:p>
    <w:p w14:paraId="6ECE082E">
      <w:pPr>
        <w:jc w:val="center"/>
        <w:rPr>
          <w:rFonts w:ascii="Times New Roman" w:hAnsi="Times New Roman" w:eastAsia="黑体" w:cs="Times New Roman"/>
          <w:sz w:val="44"/>
          <w:szCs w:val="44"/>
        </w:rPr>
      </w:pPr>
      <w:r>
        <w:rPr>
          <w:rFonts w:ascii="Times New Roman" w:hAnsi="Times New Roman" w:eastAsia="黑体" w:cs="Times New Roman"/>
          <w:sz w:val="44"/>
          <w:szCs w:val="44"/>
        </w:rPr>
        <w:t>质子矢量磁力仪校准规范</w:t>
      </w:r>
    </w:p>
    <w:p w14:paraId="711CCEEF">
      <w:pPr>
        <w:jc w:val="center"/>
        <w:rPr>
          <w:rFonts w:ascii="Times New Roman" w:hAnsi="Times New Roman" w:cs="Times New Roman"/>
          <w:sz w:val="36"/>
          <w:szCs w:val="36"/>
        </w:rPr>
      </w:pPr>
      <w:r>
        <w:rPr>
          <w:rFonts w:ascii="Times New Roman" w:hAnsi="Times New Roman" w:cs="Times New Roman"/>
          <w:sz w:val="36"/>
          <w:szCs w:val="36"/>
        </w:rPr>
        <w:t>（</w:t>
      </w:r>
      <w:bookmarkStart w:id="63" w:name="_GoBack"/>
      <w:bookmarkEnd w:id="63"/>
      <w:r>
        <w:rPr>
          <w:rFonts w:hint="eastAsia" w:ascii="Times New Roman" w:hAnsi="Times New Roman" w:cs="Times New Roman"/>
          <w:sz w:val="36"/>
          <w:szCs w:val="36"/>
          <w:lang w:eastAsia="zh-CN"/>
        </w:rPr>
        <w:t>编写</w:t>
      </w:r>
      <w:r>
        <w:rPr>
          <w:rFonts w:ascii="Times New Roman" w:hAnsi="Times New Roman" w:cs="Times New Roman"/>
          <w:sz w:val="36"/>
          <w:szCs w:val="36"/>
        </w:rPr>
        <w:t>说明）</w:t>
      </w:r>
    </w:p>
    <w:p w14:paraId="793B9B56">
      <w:pPr>
        <w:jc w:val="center"/>
        <w:rPr>
          <w:rFonts w:ascii="Times New Roman" w:hAnsi="Times New Roman" w:cs="Times New Roman"/>
          <w:sz w:val="32"/>
          <w:szCs w:val="32"/>
        </w:rPr>
      </w:pPr>
    </w:p>
    <w:p w14:paraId="7EC31D76">
      <w:pPr>
        <w:jc w:val="center"/>
        <w:rPr>
          <w:rFonts w:ascii="Times New Roman" w:hAnsi="Times New Roman" w:cs="Times New Roman"/>
          <w:sz w:val="32"/>
          <w:szCs w:val="32"/>
        </w:rPr>
      </w:pPr>
    </w:p>
    <w:p w14:paraId="1E4E3560">
      <w:pPr>
        <w:jc w:val="center"/>
        <w:rPr>
          <w:rFonts w:ascii="Times New Roman" w:hAnsi="Times New Roman" w:cs="Times New Roman"/>
          <w:sz w:val="32"/>
          <w:szCs w:val="32"/>
        </w:rPr>
      </w:pPr>
    </w:p>
    <w:p w14:paraId="396260F1">
      <w:pPr>
        <w:jc w:val="center"/>
        <w:rPr>
          <w:rFonts w:ascii="Times New Roman" w:hAnsi="Times New Roman" w:cs="Times New Roman"/>
          <w:sz w:val="32"/>
          <w:szCs w:val="32"/>
        </w:rPr>
      </w:pPr>
    </w:p>
    <w:p w14:paraId="0E2DD8D1">
      <w:pPr>
        <w:jc w:val="center"/>
        <w:rPr>
          <w:rFonts w:ascii="Times New Roman" w:hAnsi="Times New Roman" w:cs="Times New Roman"/>
          <w:sz w:val="32"/>
          <w:szCs w:val="32"/>
        </w:rPr>
      </w:pPr>
    </w:p>
    <w:p w14:paraId="0FE3868C">
      <w:pPr>
        <w:jc w:val="center"/>
        <w:rPr>
          <w:rFonts w:ascii="Times New Roman" w:hAnsi="Times New Roman" w:cs="Times New Roman"/>
          <w:sz w:val="32"/>
          <w:szCs w:val="32"/>
        </w:rPr>
      </w:pPr>
    </w:p>
    <w:p w14:paraId="26AD5A50">
      <w:pPr>
        <w:jc w:val="center"/>
        <w:rPr>
          <w:rFonts w:ascii="Times New Roman" w:hAnsi="Times New Roman" w:cs="Times New Roman"/>
          <w:sz w:val="32"/>
          <w:szCs w:val="32"/>
        </w:rPr>
      </w:pPr>
    </w:p>
    <w:p w14:paraId="636E8467">
      <w:pPr>
        <w:jc w:val="center"/>
        <w:rPr>
          <w:rFonts w:ascii="Times New Roman" w:hAnsi="Times New Roman" w:cs="Times New Roman"/>
          <w:sz w:val="32"/>
          <w:szCs w:val="32"/>
        </w:rPr>
      </w:pPr>
    </w:p>
    <w:p w14:paraId="21DA5F5A">
      <w:pPr>
        <w:jc w:val="center"/>
        <w:rPr>
          <w:rFonts w:ascii="Times New Roman" w:hAnsi="Times New Roman" w:cs="Times New Roman"/>
          <w:sz w:val="32"/>
          <w:szCs w:val="32"/>
        </w:rPr>
      </w:pPr>
    </w:p>
    <w:p w14:paraId="5188C3CE">
      <w:pPr>
        <w:jc w:val="center"/>
        <w:rPr>
          <w:rFonts w:ascii="Times New Roman" w:hAnsi="Times New Roman" w:cs="Times New Roman"/>
          <w:sz w:val="32"/>
          <w:szCs w:val="32"/>
        </w:rPr>
      </w:pPr>
    </w:p>
    <w:p w14:paraId="06CC93F3">
      <w:pPr>
        <w:jc w:val="center"/>
        <w:rPr>
          <w:rFonts w:ascii="Times New Roman" w:hAnsi="Times New Roman" w:cs="Times New Roman"/>
          <w:sz w:val="32"/>
          <w:szCs w:val="32"/>
        </w:rPr>
      </w:pPr>
    </w:p>
    <w:p w14:paraId="71548A25">
      <w:pPr>
        <w:jc w:val="center"/>
        <w:rPr>
          <w:rFonts w:ascii="Times New Roman" w:hAnsi="Times New Roman" w:cs="Times New Roman"/>
          <w:sz w:val="32"/>
          <w:szCs w:val="32"/>
        </w:rPr>
      </w:pPr>
    </w:p>
    <w:p w14:paraId="5344A879">
      <w:pPr>
        <w:jc w:val="center"/>
        <w:rPr>
          <w:rFonts w:ascii="Times New Roman" w:hAnsi="Times New Roman" w:cs="Times New Roman"/>
          <w:sz w:val="32"/>
          <w:szCs w:val="32"/>
        </w:rPr>
      </w:pPr>
    </w:p>
    <w:p w14:paraId="0C000DB1">
      <w:pPr>
        <w:jc w:val="center"/>
        <w:rPr>
          <w:rFonts w:ascii="Times New Roman" w:hAnsi="Times New Roman" w:cs="Times New Roman"/>
          <w:sz w:val="32"/>
          <w:szCs w:val="32"/>
        </w:rPr>
      </w:pPr>
    </w:p>
    <w:p w14:paraId="7919E9B5">
      <w:pPr>
        <w:jc w:val="center"/>
        <w:rPr>
          <w:rFonts w:ascii="Times New Roman" w:hAnsi="Times New Roman" w:cs="Times New Roman"/>
          <w:sz w:val="32"/>
          <w:szCs w:val="32"/>
        </w:rPr>
      </w:pPr>
    </w:p>
    <w:p w14:paraId="7227BD9C">
      <w:pPr>
        <w:jc w:val="center"/>
        <w:rPr>
          <w:rFonts w:ascii="Times New Roman" w:hAnsi="Times New Roman" w:cs="Times New Roman"/>
          <w:sz w:val="32"/>
          <w:szCs w:val="32"/>
        </w:rPr>
      </w:pPr>
      <w:r>
        <w:rPr>
          <w:rFonts w:ascii="Times New Roman" w:hAnsi="Times New Roman" w:cs="Times New Roman"/>
          <w:sz w:val="32"/>
          <w:szCs w:val="32"/>
        </w:rPr>
        <w:t>《质子矢量磁力仪校准规范》编写组</w:t>
      </w:r>
    </w:p>
    <w:p w14:paraId="79A2096C">
      <w:pPr>
        <w:jc w:val="center"/>
        <w:rPr>
          <w:rFonts w:ascii="Times New Roman" w:hAnsi="Times New Roman" w:cs="Times New Roman"/>
          <w:sz w:val="32"/>
          <w:szCs w:val="32"/>
        </w:rPr>
      </w:pPr>
      <w:r>
        <w:rPr>
          <w:rFonts w:ascii="Times New Roman" w:hAnsi="Times New Roman" w:cs="Times New Roman"/>
          <w:sz w:val="32"/>
          <w:szCs w:val="32"/>
        </w:rPr>
        <w:t>202</w:t>
      </w:r>
      <w:r>
        <w:rPr>
          <w:rFonts w:hint="eastAsia" w:ascii="Times New Roman" w:hAnsi="Times New Roman" w:cs="Times New Roman"/>
          <w:sz w:val="32"/>
          <w:szCs w:val="32"/>
        </w:rPr>
        <w:t>4</w:t>
      </w:r>
      <w:r>
        <w:rPr>
          <w:rFonts w:ascii="Times New Roman" w:hAnsi="Times New Roman" w:cs="Times New Roman"/>
          <w:sz w:val="32"/>
          <w:szCs w:val="32"/>
        </w:rPr>
        <w:t>年</w:t>
      </w:r>
      <w:r>
        <w:rPr>
          <w:rFonts w:hint="eastAsia" w:ascii="Times New Roman" w:hAnsi="Times New Roman" w:cs="Times New Roman"/>
          <w:sz w:val="32"/>
          <w:szCs w:val="32"/>
        </w:rPr>
        <w:t>8</w:t>
      </w:r>
      <w:r>
        <w:rPr>
          <w:rFonts w:ascii="Times New Roman" w:hAnsi="Times New Roman" w:cs="Times New Roman"/>
          <w:sz w:val="32"/>
          <w:szCs w:val="32"/>
        </w:rPr>
        <w:t>月</w:t>
      </w:r>
      <w:r>
        <w:rPr>
          <w:rFonts w:ascii="Times New Roman" w:hAnsi="Times New Roman" w:cs="Times New Roman"/>
          <w:sz w:val="32"/>
          <w:szCs w:val="32"/>
        </w:rPr>
        <w:br w:type="page"/>
      </w:r>
    </w:p>
    <w:sdt>
      <w:sdtPr>
        <w:rPr>
          <w:rFonts w:ascii="Times New Roman" w:hAnsi="Times New Roman" w:cs="Times New Roman"/>
          <w:lang w:val="zh-CN"/>
        </w:rPr>
        <w:id w:val="-963119451"/>
        <w:docPartObj>
          <w:docPartGallery w:val="Table of Contents"/>
          <w:docPartUnique/>
        </w:docPartObj>
      </w:sdtPr>
      <w:sdtEndPr>
        <w:rPr>
          <w:rFonts w:ascii="Times New Roman" w:hAnsi="Times New Roman" w:cs="Times New Roman"/>
          <w:b/>
          <w:bCs/>
          <w:sz w:val="24"/>
          <w:szCs w:val="24"/>
          <w:lang w:val="zh-CN"/>
        </w:rPr>
      </w:sdtEndPr>
      <w:sdtContent>
        <w:p w14:paraId="0CC904B3">
          <w:pPr>
            <w:widowControl/>
            <w:spacing w:line="360" w:lineRule="auto"/>
            <w:jc w:val="center"/>
            <w:rPr>
              <w:sz w:val="24"/>
              <w:szCs w:val="24"/>
            </w:rPr>
          </w:pPr>
          <w:r>
            <w:rPr>
              <w:rFonts w:ascii="Times New Roman" w:hAnsi="Times New Roman" w:cs="Times New Roman"/>
              <w:sz w:val="44"/>
              <w:szCs w:val="44"/>
              <w:lang w:val="zh-CN"/>
            </w:rPr>
            <w:t>目  录</w:t>
          </w:r>
          <w:r>
            <w:rPr>
              <w:rFonts w:cs="Times New Roman" w:asciiTheme="minorEastAsia" w:hAnsiTheme="minorEastAsia"/>
              <w:sz w:val="24"/>
              <w:szCs w:val="24"/>
            </w:rPr>
            <w:fldChar w:fldCharType="begin"/>
          </w:r>
          <w:r>
            <w:rPr>
              <w:rFonts w:cs="Times New Roman" w:asciiTheme="minorEastAsia" w:hAnsiTheme="minorEastAsia"/>
              <w:sz w:val="24"/>
              <w:szCs w:val="24"/>
            </w:rPr>
            <w:instrText xml:space="preserve"> TOC \o "1-3" \h \z \u </w:instrText>
          </w:r>
          <w:r>
            <w:rPr>
              <w:rFonts w:cs="Times New Roman" w:asciiTheme="minorEastAsia" w:hAnsiTheme="minorEastAsia"/>
              <w:sz w:val="24"/>
              <w:szCs w:val="24"/>
            </w:rPr>
            <w:fldChar w:fldCharType="separate"/>
          </w:r>
        </w:p>
        <w:p w14:paraId="16C5F569">
          <w:pPr>
            <w:pStyle w:val="7"/>
            <w:tabs>
              <w:tab w:val="left" w:pos="420"/>
              <w:tab w:val="right" w:leader="dot" w:pos="9344"/>
            </w:tabs>
            <w:spacing w:line="360" w:lineRule="auto"/>
            <w:rPr>
              <w:sz w:val="24"/>
              <w:szCs w:val="24"/>
            </w:rPr>
          </w:pPr>
          <w:r>
            <w:fldChar w:fldCharType="begin"/>
          </w:r>
          <w:r>
            <w:instrText xml:space="preserve"> HYPERLINK \l "_Toc135396888" </w:instrText>
          </w:r>
          <w:r>
            <w:fldChar w:fldCharType="separate"/>
          </w:r>
          <w:r>
            <w:rPr>
              <w:rStyle w:val="13"/>
              <w:sz w:val="24"/>
              <w:szCs w:val="24"/>
            </w:rPr>
            <w:t>1.</w:t>
          </w:r>
          <w:r>
            <w:rPr>
              <w:sz w:val="24"/>
              <w:szCs w:val="24"/>
            </w:rPr>
            <w:tab/>
          </w:r>
          <w:r>
            <w:rPr>
              <w:rStyle w:val="13"/>
              <w:sz w:val="24"/>
              <w:szCs w:val="24"/>
            </w:rPr>
            <w:t>任务来源</w:t>
          </w:r>
          <w:r>
            <w:rPr>
              <w:sz w:val="24"/>
              <w:szCs w:val="24"/>
            </w:rPr>
            <w:tab/>
          </w:r>
          <w:r>
            <w:rPr>
              <w:sz w:val="24"/>
              <w:szCs w:val="24"/>
            </w:rPr>
            <w:fldChar w:fldCharType="begin"/>
          </w:r>
          <w:r>
            <w:rPr>
              <w:sz w:val="24"/>
              <w:szCs w:val="24"/>
            </w:rPr>
            <w:instrText xml:space="preserve"> PAGEREF _Toc135396888 \h </w:instrText>
          </w:r>
          <w:r>
            <w:rPr>
              <w:sz w:val="24"/>
              <w:szCs w:val="24"/>
            </w:rPr>
            <w:fldChar w:fldCharType="separate"/>
          </w:r>
          <w:r>
            <w:rPr>
              <w:sz w:val="24"/>
              <w:szCs w:val="24"/>
            </w:rPr>
            <w:t>1</w:t>
          </w:r>
          <w:r>
            <w:rPr>
              <w:sz w:val="24"/>
              <w:szCs w:val="24"/>
            </w:rPr>
            <w:fldChar w:fldCharType="end"/>
          </w:r>
          <w:r>
            <w:rPr>
              <w:sz w:val="24"/>
              <w:szCs w:val="24"/>
            </w:rPr>
            <w:fldChar w:fldCharType="end"/>
          </w:r>
        </w:p>
        <w:p w14:paraId="43648154">
          <w:pPr>
            <w:pStyle w:val="7"/>
            <w:tabs>
              <w:tab w:val="left" w:pos="420"/>
              <w:tab w:val="right" w:leader="dot" w:pos="9344"/>
            </w:tabs>
            <w:spacing w:line="360" w:lineRule="auto"/>
            <w:rPr>
              <w:sz w:val="24"/>
              <w:szCs w:val="24"/>
            </w:rPr>
          </w:pPr>
          <w:r>
            <w:fldChar w:fldCharType="begin"/>
          </w:r>
          <w:r>
            <w:instrText xml:space="preserve"> HYPERLINK \l "_Toc135396889" </w:instrText>
          </w:r>
          <w:r>
            <w:fldChar w:fldCharType="separate"/>
          </w:r>
          <w:r>
            <w:rPr>
              <w:rStyle w:val="13"/>
              <w:sz w:val="24"/>
              <w:szCs w:val="24"/>
            </w:rPr>
            <w:t>2.</w:t>
          </w:r>
          <w:r>
            <w:rPr>
              <w:sz w:val="24"/>
              <w:szCs w:val="24"/>
            </w:rPr>
            <w:tab/>
          </w:r>
          <w:r>
            <w:rPr>
              <w:rStyle w:val="13"/>
              <w:sz w:val="24"/>
              <w:szCs w:val="24"/>
            </w:rPr>
            <w:t>本规范</w:t>
          </w:r>
          <w:r>
            <w:rPr>
              <w:rStyle w:val="13"/>
              <w:rFonts w:hint="eastAsia"/>
              <w:sz w:val="24"/>
              <w:szCs w:val="24"/>
              <w:lang w:eastAsia="zh-CN"/>
            </w:rPr>
            <w:t>编写</w:t>
          </w:r>
          <w:r>
            <w:rPr>
              <w:rStyle w:val="13"/>
              <w:sz w:val="24"/>
              <w:szCs w:val="24"/>
            </w:rPr>
            <w:t>的背景、目的和意义</w:t>
          </w:r>
          <w:r>
            <w:rPr>
              <w:sz w:val="24"/>
              <w:szCs w:val="24"/>
            </w:rPr>
            <w:tab/>
          </w:r>
          <w:r>
            <w:rPr>
              <w:sz w:val="24"/>
              <w:szCs w:val="24"/>
            </w:rPr>
            <w:fldChar w:fldCharType="begin"/>
          </w:r>
          <w:r>
            <w:rPr>
              <w:sz w:val="24"/>
              <w:szCs w:val="24"/>
            </w:rPr>
            <w:instrText xml:space="preserve"> PAGEREF _Toc135396889 \h </w:instrText>
          </w:r>
          <w:r>
            <w:rPr>
              <w:sz w:val="24"/>
              <w:szCs w:val="24"/>
            </w:rPr>
            <w:fldChar w:fldCharType="separate"/>
          </w:r>
          <w:r>
            <w:rPr>
              <w:sz w:val="24"/>
              <w:szCs w:val="24"/>
            </w:rPr>
            <w:t>1</w:t>
          </w:r>
          <w:r>
            <w:rPr>
              <w:sz w:val="24"/>
              <w:szCs w:val="24"/>
            </w:rPr>
            <w:fldChar w:fldCharType="end"/>
          </w:r>
          <w:r>
            <w:rPr>
              <w:sz w:val="24"/>
              <w:szCs w:val="24"/>
            </w:rPr>
            <w:fldChar w:fldCharType="end"/>
          </w:r>
        </w:p>
        <w:p w14:paraId="01C25899">
          <w:pPr>
            <w:pStyle w:val="8"/>
            <w:tabs>
              <w:tab w:val="right" w:leader="dot" w:pos="9344"/>
            </w:tabs>
            <w:spacing w:line="360" w:lineRule="auto"/>
            <w:rPr>
              <w:sz w:val="24"/>
              <w:szCs w:val="24"/>
            </w:rPr>
          </w:pPr>
          <w:r>
            <w:fldChar w:fldCharType="begin"/>
          </w:r>
          <w:r>
            <w:instrText xml:space="preserve"> HYPERLINK \l "_Toc135396890" </w:instrText>
          </w:r>
          <w:r>
            <w:fldChar w:fldCharType="separate"/>
          </w:r>
          <w:r>
            <w:rPr>
              <w:rStyle w:val="13"/>
              <w:sz w:val="24"/>
              <w:szCs w:val="24"/>
            </w:rPr>
            <w:t xml:space="preserve">2.1 </w:t>
          </w:r>
          <w:r>
            <w:rPr>
              <w:rStyle w:val="13"/>
              <w:rFonts w:hint="eastAsia"/>
              <w:sz w:val="24"/>
              <w:szCs w:val="24"/>
              <w:lang w:eastAsia="zh-CN"/>
            </w:rPr>
            <w:t>编写</w:t>
          </w:r>
          <w:r>
            <w:rPr>
              <w:rStyle w:val="13"/>
              <w:sz w:val="24"/>
              <w:szCs w:val="24"/>
            </w:rPr>
            <w:t>背景</w:t>
          </w:r>
          <w:r>
            <w:rPr>
              <w:sz w:val="24"/>
              <w:szCs w:val="24"/>
            </w:rPr>
            <w:tab/>
          </w:r>
          <w:r>
            <w:rPr>
              <w:sz w:val="24"/>
              <w:szCs w:val="24"/>
            </w:rPr>
            <w:fldChar w:fldCharType="begin"/>
          </w:r>
          <w:r>
            <w:rPr>
              <w:sz w:val="24"/>
              <w:szCs w:val="24"/>
            </w:rPr>
            <w:instrText xml:space="preserve"> PAGEREF _Toc135396890 \h </w:instrText>
          </w:r>
          <w:r>
            <w:rPr>
              <w:sz w:val="24"/>
              <w:szCs w:val="24"/>
            </w:rPr>
            <w:fldChar w:fldCharType="separate"/>
          </w:r>
          <w:r>
            <w:rPr>
              <w:sz w:val="24"/>
              <w:szCs w:val="24"/>
            </w:rPr>
            <w:t>1</w:t>
          </w:r>
          <w:r>
            <w:rPr>
              <w:sz w:val="24"/>
              <w:szCs w:val="24"/>
            </w:rPr>
            <w:fldChar w:fldCharType="end"/>
          </w:r>
          <w:r>
            <w:rPr>
              <w:sz w:val="24"/>
              <w:szCs w:val="24"/>
            </w:rPr>
            <w:fldChar w:fldCharType="end"/>
          </w:r>
        </w:p>
        <w:p w14:paraId="17CD9A56">
          <w:pPr>
            <w:pStyle w:val="8"/>
            <w:tabs>
              <w:tab w:val="right" w:leader="dot" w:pos="9344"/>
            </w:tabs>
            <w:spacing w:line="360" w:lineRule="auto"/>
            <w:rPr>
              <w:sz w:val="24"/>
              <w:szCs w:val="24"/>
            </w:rPr>
          </w:pPr>
          <w:r>
            <w:fldChar w:fldCharType="begin"/>
          </w:r>
          <w:r>
            <w:instrText xml:space="preserve"> HYPERLINK \l "_Toc135396891" </w:instrText>
          </w:r>
          <w:r>
            <w:fldChar w:fldCharType="separate"/>
          </w:r>
          <w:r>
            <w:rPr>
              <w:rStyle w:val="13"/>
              <w:sz w:val="24"/>
              <w:szCs w:val="24"/>
            </w:rPr>
            <w:t xml:space="preserve">2.2 </w:t>
          </w:r>
          <w:r>
            <w:rPr>
              <w:rStyle w:val="13"/>
              <w:rFonts w:hint="eastAsia"/>
              <w:sz w:val="24"/>
              <w:szCs w:val="24"/>
              <w:lang w:eastAsia="zh-CN"/>
            </w:rPr>
            <w:t>编写</w:t>
          </w:r>
          <w:r>
            <w:rPr>
              <w:rStyle w:val="13"/>
              <w:sz w:val="24"/>
              <w:szCs w:val="24"/>
            </w:rPr>
            <w:t>的目的和意义</w:t>
          </w:r>
          <w:r>
            <w:rPr>
              <w:sz w:val="24"/>
              <w:szCs w:val="24"/>
            </w:rPr>
            <w:tab/>
          </w:r>
          <w:r>
            <w:rPr>
              <w:sz w:val="24"/>
              <w:szCs w:val="24"/>
            </w:rPr>
            <w:fldChar w:fldCharType="begin"/>
          </w:r>
          <w:r>
            <w:rPr>
              <w:sz w:val="24"/>
              <w:szCs w:val="24"/>
            </w:rPr>
            <w:instrText xml:space="preserve"> PAGEREF _Toc135396891 \h </w:instrText>
          </w:r>
          <w:r>
            <w:rPr>
              <w:sz w:val="24"/>
              <w:szCs w:val="24"/>
            </w:rPr>
            <w:fldChar w:fldCharType="separate"/>
          </w:r>
          <w:r>
            <w:rPr>
              <w:sz w:val="24"/>
              <w:szCs w:val="24"/>
            </w:rPr>
            <w:t>2</w:t>
          </w:r>
          <w:r>
            <w:rPr>
              <w:sz w:val="24"/>
              <w:szCs w:val="24"/>
            </w:rPr>
            <w:fldChar w:fldCharType="end"/>
          </w:r>
          <w:r>
            <w:rPr>
              <w:sz w:val="24"/>
              <w:szCs w:val="24"/>
            </w:rPr>
            <w:fldChar w:fldCharType="end"/>
          </w:r>
        </w:p>
        <w:p w14:paraId="45A683ED">
          <w:pPr>
            <w:pStyle w:val="7"/>
            <w:tabs>
              <w:tab w:val="left" w:pos="420"/>
              <w:tab w:val="right" w:leader="dot" w:pos="9344"/>
            </w:tabs>
            <w:spacing w:line="360" w:lineRule="auto"/>
            <w:rPr>
              <w:sz w:val="24"/>
              <w:szCs w:val="24"/>
            </w:rPr>
          </w:pPr>
          <w:r>
            <w:fldChar w:fldCharType="begin"/>
          </w:r>
          <w:r>
            <w:instrText xml:space="preserve"> HYPERLINK \l "_Toc135396892" </w:instrText>
          </w:r>
          <w:r>
            <w:fldChar w:fldCharType="separate"/>
          </w:r>
          <w:r>
            <w:rPr>
              <w:rStyle w:val="13"/>
              <w:sz w:val="24"/>
              <w:szCs w:val="24"/>
            </w:rPr>
            <w:t>3.</w:t>
          </w:r>
          <w:r>
            <w:rPr>
              <w:sz w:val="24"/>
              <w:szCs w:val="24"/>
            </w:rPr>
            <w:tab/>
          </w:r>
          <w:r>
            <w:rPr>
              <w:rStyle w:val="13"/>
              <w:rFonts w:hint="eastAsia"/>
              <w:sz w:val="24"/>
              <w:szCs w:val="24"/>
              <w:lang w:eastAsia="zh-CN"/>
            </w:rPr>
            <w:t>编写</w:t>
          </w:r>
          <w:r>
            <w:rPr>
              <w:rStyle w:val="13"/>
              <w:sz w:val="24"/>
              <w:szCs w:val="24"/>
            </w:rPr>
            <w:t>过程</w:t>
          </w:r>
          <w:r>
            <w:rPr>
              <w:sz w:val="24"/>
              <w:szCs w:val="24"/>
            </w:rPr>
            <w:tab/>
          </w:r>
          <w:r>
            <w:rPr>
              <w:sz w:val="24"/>
              <w:szCs w:val="24"/>
            </w:rPr>
            <w:fldChar w:fldCharType="begin"/>
          </w:r>
          <w:r>
            <w:rPr>
              <w:sz w:val="24"/>
              <w:szCs w:val="24"/>
            </w:rPr>
            <w:instrText xml:space="preserve"> PAGEREF _Toc135396892 \h </w:instrText>
          </w:r>
          <w:r>
            <w:rPr>
              <w:sz w:val="24"/>
              <w:szCs w:val="24"/>
            </w:rPr>
            <w:fldChar w:fldCharType="separate"/>
          </w:r>
          <w:r>
            <w:rPr>
              <w:sz w:val="24"/>
              <w:szCs w:val="24"/>
            </w:rPr>
            <w:t>2</w:t>
          </w:r>
          <w:r>
            <w:rPr>
              <w:sz w:val="24"/>
              <w:szCs w:val="24"/>
            </w:rPr>
            <w:fldChar w:fldCharType="end"/>
          </w:r>
          <w:r>
            <w:rPr>
              <w:sz w:val="24"/>
              <w:szCs w:val="24"/>
            </w:rPr>
            <w:fldChar w:fldCharType="end"/>
          </w:r>
        </w:p>
        <w:p w14:paraId="201FEBCC">
          <w:pPr>
            <w:pStyle w:val="8"/>
            <w:tabs>
              <w:tab w:val="right" w:leader="dot" w:pos="9344"/>
            </w:tabs>
            <w:spacing w:line="360" w:lineRule="auto"/>
            <w:rPr>
              <w:sz w:val="24"/>
              <w:szCs w:val="24"/>
            </w:rPr>
          </w:pPr>
          <w:r>
            <w:fldChar w:fldCharType="begin"/>
          </w:r>
          <w:r>
            <w:instrText xml:space="preserve"> HYPERLINK \l "_Toc135396893" </w:instrText>
          </w:r>
          <w:r>
            <w:fldChar w:fldCharType="separate"/>
          </w:r>
          <w:r>
            <w:rPr>
              <w:rStyle w:val="13"/>
              <w:sz w:val="24"/>
              <w:szCs w:val="24"/>
            </w:rPr>
            <w:t>3.1</w:t>
          </w:r>
          <w:r>
            <w:rPr>
              <w:rStyle w:val="13"/>
              <w:rFonts w:hint="eastAsia"/>
              <w:sz w:val="24"/>
              <w:szCs w:val="24"/>
              <w:lang w:eastAsia="zh-CN"/>
            </w:rPr>
            <w:t>编写</w:t>
          </w:r>
          <w:r>
            <w:rPr>
              <w:rStyle w:val="13"/>
              <w:sz w:val="24"/>
              <w:szCs w:val="24"/>
            </w:rPr>
            <w:t>参与单位</w:t>
          </w:r>
          <w:r>
            <w:rPr>
              <w:sz w:val="24"/>
              <w:szCs w:val="24"/>
            </w:rPr>
            <w:tab/>
          </w:r>
          <w:r>
            <w:rPr>
              <w:sz w:val="24"/>
              <w:szCs w:val="24"/>
            </w:rPr>
            <w:fldChar w:fldCharType="begin"/>
          </w:r>
          <w:r>
            <w:rPr>
              <w:sz w:val="24"/>
              <w:szCs w:val="24"/>
            </w:rPr>
            <w:instrText xml:space="preserve"> PAGEREF _Toc135396893 \h </w:instrText>
          </w:r>
          <w:r>
            <w:rPr>
              <w:sz w:val="24"/>
              <w:szCs w:val="24"/>
            </w:rPr>
            <w:fldChar w:fldCharType="separate"/>
          </w:r>
          <w:r>
            <w:rPr>
              <w:sz w:val="24"/>
              <w:szCs w:val="24"/>
            </w:rPr>
            <w:t>2</w:t>
          </w:r>
          <w:r>
            <w:rPr>
              <w:sz w:val="24"/>
              <w:szCs w:val="24"/>
            </w:rPr>
            <w:fldChar w:fldCharType="end"/>
          </w:r>
          <w:r>
            <w:rPr>
              <w:sz w:val="24"/>
              <w:szCs w:val="24"/>
            </w:rPr>
            <w:fldChar w:fldCharType="end"/>
          </w:r>
        </w:p>
        <w:p w14:paraId="03A5BCA4">
          <w:pPr>
            <w:pStyle w:val="8"/>
            <w:tabs>
              <w:tab w:val="right" w:leader="dot" w:pos="9344"/>
            </w:tabs>
            <w:spacing w:line="360" w:lineRule="auto"/>
            <w:rPr>
              <w:sz w:val="24"/>
              <w:szCs w:val="24"/>
            </w:rPr>
          </w:pPr>
          <w:r>
            <w:fldChar w:fldCharType="begin"/>
          </w:r>
          <w:r>
            <w:instrText xml:space="preserve"> HYPERLINK \l "_Toc135396894" </w:instrText>
          </w:r>
          <w:r>
            <w:fldChar w:fldCharType="separate"/>
          </w:r>
          <w:r>
            <w:rPr>
              <w:rStyle w:val="13"/>
              <w:sz w:val="24"/>
              <w:szCs w:val="24"/>
            </w:rPr>
            <w:t>3.2主要工作过程</w:t>
          </w:r>
          <w:r>
            <w:rPr>
              <w:sz w:val="24"/>
              <w:szCs w:val="24"/>
            </w:rPr>
            <w:tab/>
          </w:r>
          <w:r>
            <w:rPr>
              <w:sz w:val="24"/>
              <w:szCs w:val="24"/>
            </w:rPr>
            <w:fldChar w:fldCharType="begin"/>
          </w:r>
          <w:r>
            <w:rPr>
              <w:sz w:val="24"/>
              <w:szCs w:val="24"/>
            </w:rPr>
            <w:instrText xml:space="preserve"> PAGEREF _Toc135396894 \h </w:instrText>
          </w:r>
          <w:r>
            <w:rPr>
              <w:sz w:val="24"/>
              <w:szCs w:val="24"/>
            </w:rPr>
            <w:fldChar w:fldCharType="separate"/>
          </w:r>
          <w:r>
            <w:rPr>
              <w:sz w:val="24"/>
              <w:szCs w:val="24"/>
            </w:rPr>
            <w:t>2</w:t>
          </w:r>
          <w:r>
            <w:rPr>
              <w:sz w:val="24"/>
              <w:szCs w:val="24"/>
            </w:rPr>
            <w:fldChar w:fldCharType="end"/>
          </w:r>
          <w:r>
            <w:rPr>
              <w:sz w:val="24"/>
              <w:szCs w:val="24"/>
            </w:rPr>
            <w:fldChar w:fldCharType="end"/>
          </w:r>
        </w:p>
        <w:p w14:paraId="084296A7">
          <w:pPr>
            <w:pStyle w:val="7"/>
            <w:tabs>
              <w:tab w:val="left" w:pos="420"/>
              <w:tab w:val="right" w:leader="dot" w:pos="9344"/>
            </w:tabs>
            <w:spacing w:line="360" w:lineRule="auto"/>
            <w:rPr>
              <w:sz w:val="24"/>
              <w:szCs w:val="24"/>
            </w:rPr>
          </w:pPr>
          <w:r>
            <w:fldChar w:fldCharType="begin"/>
          </w:r>
          <w:r>
            <w:instrText xml:space="preserve"> HYPERLINK \l "_Toc135396895" </w:instrText>
          </w:r>
          <w:r>
            <w:fldChar w:fldCharType="separate"/>
          </w:r>
          <w:r>
            <w:rPr>
              <w:rStyle w:val="13"/>
              <w:sz w:val="24"/>
              <w:szCs w:val="24"/>
            </w:rPr>
            <w:t>4.</w:t>
          </w:r>
          <w:r>
            <w:rPr>
              <w:sz w:val="24"/>
              <w:szCs w:val="24"/>
            </w:rPr>
            <w:tab/>
          </w:r>
          <w:r>
            <w:rPr>
              <w:rStyle w:val="13"/>
              <w:sz w:val="24"/>
              <w:szCs w:val="24"/>
            </w:rPr>
            <w:t>规范</w:t>
          </w:r>
          <w:r>
            <w:rPr>
              <w:rStyle w:val="13"/>
              <w:rFonts w:hint="eastAsia"/>
              <w:sz w:val="24"/>
              <w:szCs w:val="24"/>
              <w:lang w:eastAsia="zh-CN"/>
            </w:rPr>
            <w:t>编写</w:t>
          </w:r>
          <w:r>
            <w:rPr>
              <w:rStyle w:val="13"/>
              <w:sz w:val="24"/>
              <w:szCs w:val="24"/>
            </w:rPr>
            <w:t>说明</w:t>
          </w:r>
          <w:r>
            <w:rPr>
              <w:sz w:val="24"/>
              <w:szCs w:val="24"/>
            </w:rPr>
            <w:tab/>
          </w:r>
          <w:r>
            <w:rPr>
              <w:sz w:val="24"/>
              <w:szCs w:val="24"/>
            </w:rPr>
            <w:fldChar w:fldCharType="begin"/>
          </w:r>
          <w:r>
            <w:rPr>
              <w:sz w:val="24"/>
              <w:szCs w:val="24"/>
            </w:rPr>
            <w:instrText xml:space="preserve"> PAGEREF _Toc135396895 \h </w:instrText>
          </w:r>
          <w:r>
            <w:rPr>
              <w:sz w:val="24"/>
              <w:szCs w:val="24"/>
            </w:rPr>
            <w:fldChar w:fldCharType="separate"/>
          </w:r>
          <w:r>
            <w:rPr>
              <w:sz w:val="24"/>
              <w:szCs w:val="24"/>
            </w:rPr>
            <w:t>3</w:t>
          </w:r>
          <w:r>
            <w:rPr>
              <w:sz w:val="24"/>
              <w:szCs w:val="24"/>
            </w:rPr>
            <w:fldChar w:fldCharType="end"/>
          </w:r>
          <w:r>
            <w:rPr>
              <w:sz w:val="24"/>
              <w:szCs w:val="24"/>
            </w:rPr>
            <w:fldChar w:fldCharType="end"/>
          </w:r>
        </w:p>
        <w:p w14:paraId="7D9A4B8C">
          <w:pPr>
            <w:pStyle w:val="8"/>
            <w:tabs>
              <w:tab w:val="right" w:leader="dot" w:pos="9344"/>
            </w:tabs>
            <w:spacing w:line="360" w:lineRule="auto"/>
            <w:rPr>
              <w:sz w:val="24"/>
              <w:szCs w:val="24"/>
            </w:rPr>
          </w:pPr>
          <w:r>
            <w:fldChar w:fldCharType="begin"/>
          </w:r>
          <w:r>
            <w:instrText xml:space="preserve"> HYPERLINK \l "_Toc135396896" </w:instrText>
          </w:r>
          <w:r>
            <w:fldChar w:fldCharType="separate"/>
          </w:r>
          <w:r>
            <w:rPr>
              <w:rStyle w:val="13"/>
              <w:sz w:val="24"/>
              <w:szCs w:val="24"/>
            </w:rPr>
            <w:t>4.1 范围</w:t>
          </w:r>
          <w:r>
            <w:rPr>
              <w:sz w:val="24"/>
              <w:szCs w:val="24"/>
            </w:rPr>
            <w:tab/>
          </w:r>
          <w:r>
            <w:rPr>
              <w:sz w:val="24"/>
              <w:szCs w:val="24"/>
            </w:rPr>
            <w:fldChar w:fldCharType="begin"/>
          </w:r>
          <w:r>
            <w:rPr>
              <w:sz w:val="24"/>
              <w:szCs w:val="24"/>
            </w:rPr>
            <w:instrText xml:space="preserve"> PAGEREF _Toc135396896 \h </w:instrText>
          </w:r>
          <w:r>
            <w:rPr>
              <w:sz w:val="24"/>
              <w:szCs w:val="24"/>
            </w:rPr>
            <w:fldChar w:fldCharType="separate"/>
          </w:r>
          <w:r>
            <w:rPr>
              <w:sz w:val="24"/>
              <w:szCs w:val="24"/>
            </w:rPr>
            <w:t>3</w:t>
          </w:r>
          <w:r>
            <w:rPr>
              <w:sz w:val="24"/>
              <w:szCs w:val="24"/>
            </w:rPr>
            <w:fldChar w:fldCharType="end"/>
          </w:r>
          <w:r>
            <w:rPr>
              <w:sz w:val="24"/>
              <w:szCs w:val="24"/>
            </w:rPr>
            <w:fldChar w:fldCharType="end"/>
          </w:r>
        </w:p>
        <w:p w14:paraId="2351339F">
          <w:pPr>
            <w:pStyle w:val="8"/>
            <w:tabs>
              <w:tab w:val="right" w:leader="dot" w:pos="9344"/>
            </w:tabs>
            <w:spacing w:line="360" w:lineRule="auto"/>
            <w:rPr>
              <w:sz w:val="24"/>
              <w:szCs w:val="24"/>
            </w:rPr>
          </w:pPr>
          <w:r>
            <w:fldChar w:fldCharType="begin"/>
          </w:r>
          <w:r>
            <w:instrText xml:space="preserve"> HYPERLINK \l "_Toc135396897" </w:instrText>
          </w:r>
          <w:r>
            <w:fldChar w:fldCharType="separate"/>
          </w:r>
          <w:r>
            <w:rPr>
              <w:rStyle w:val="13"/>
              <w:sz w:val="24"/>
              <w:szCs w:val="24"/>
            </w:rPr>
            <w:t>4.2 引用文件</w:t>
          </w:r>
          <w:r>
            <w:rPr>
              <w:sz w:val="24"/>
              <w:szCs w:val="24"/>
            </w:rPr>
            <w:tab/>
          </w:r>
          <w:r>
            <w:rPr>
              <w:sz w:val="24"/>
              <w:szCs w:val="24"/>
            </w:rPr>
            <w:fldChar w:fldCharType="begin"/>
          </w:r>
          <w:r>
            <w:rPr>
              <w:sz w:val="24"/>
              <w:szCs w:val="24"/>
            </w:rPr>
            <w:instrText xml:space="preserve"> PAGEREF _Toc135396897 \h </w:instrText>
          </w:r>
          <w:r>
            <w:rPr>
              <w:sz w:val="24"/>
              <w:szCs w:val="24"/>
            </w:rPr>
            <w:fldChar w:fldCharType="separate"/>
          </w:r>
          <w:r>
            <w:rPr>
              <w:sz w:val="24"/>
              <w:szCs w:val="24"/>
            </w:rPr>
            <w:t>3</w:t>
          </w:r>
          <w:r>
            <w:rPr>
              <w:sz w:val="24"/>
              <w:szCs w:val="24"/>
            </w:rPr>
            <w:fldChar w:fldCharType="end"/>
          </w:r>
          <w:r>
            <w:rPr>
              <w:sz w:val="24"/>
              <w:szCs w:val="24"/>
            </w:rPr>
            <w:fldChar w:fldCharType="end"/>
          </w:r>
        </w:p>
        <w:p w14:paraId="7D3614AE">
          <w:pPr>
            <w:pStyle w:val="8"/>
            <w:tabs>
              <w:tab w:val="right" w:leader="dot" w:pos="9344"/>
            </w:tabs>
            <w:spacing w:line="360" w:lineRule="auto"/>
            <w:rPr>
              <w:sz w:val="24"/>
              <w:szCs w:val="24"/>
            </w:rPr>
          </w:pPr>
          <w:r>
            <w:fldChar w:fldCharType="begin"/>
          </w:r>
          <w:r>
            <w:instrText xml:space="preserve"> HYPERLINK \l "_Toc135396898" </w:instrText>
          </w:r>
          <w:r>
            <w:fldChar w:fldCharType="separate"/>
          </w:r>
          <w:r>
            <w:rPr>
              <w:rStyle w:val="13"/>
              <w:sz w:val="24"/>
              <w:szCs w:val="24"/>
            </w:rPr>
            <w:t>4.3 术语</w:t>
          </w:r>
          <w:r>
            <w:rPr>
              <w:sz w:val="24"/>
              <w:szCs w:val="24"/>
            </w:rPr>
            <w:tab/>
          </w:r>
          <w:r>
            <w:rPr>
              <w:sz w:val="24"/>
              <w:szCs w:val="24"/>
            </w:rPr>
            <w:fldChar w:fldCharType="begin"/>
          </w:r>
          <w:r>
            <w:rPr>
              <w:sz w:val="24"/>
              <w:szCs w:val="24"/>
            </w:rPr>
            <w:instrText xml:space="preserve"> PAGEREF _Toc135396898 \h </w:instrText>
          </w:r>
          <w:r>
            <w:rPr>
              <w:sz w:val="24"/>
              <w:szCs w:val="24"/>
            </w:rPr>
            <w:fldChar w:fldCharType="separate"/>
          </w:r>
          <w:r>
            <w:rPr>
              <w:sz w:val="24"/>
              <w:szCs w:val="24"/>
            </w:rPr>
            <w:t>3</w:t>
          </w:r>
          <w:r>
            <w:rPr>
              <w:sz w:val="24"/>
              <w:szCs w:val="24"/>
            </w:rPr>
            <w:fldChar w:fldCharType="end"/>
          </w:r>
          <w:r>
            <w:rPr>
              <w:sz w:val="24"/>
              <w:szCs w:val="24"/>
            </w:rPr>
            <w:fldChar w:fldCharType="end"/>
          </w:r>
        </w:p>
        <w:p w14:paraId="1EC440B6">
          <w:pPr>
            <w:pStyle w:val="8"/>
            <w:tabs>
              <w:tab w:val="right" w:leader="dot" w:pos="9344"/>
            </w:tabs>
            <w:spacing w:line="360" w:lineRule="auto"/>
            <w:rPr>
              <w:sz w:val="24"/>
              <w:szCs w:val="24"/>
            </w:rPr>
          </w:pPr>
          <w:r>
            <w:fldChar w:fldCharType="begin"/>
          </w:r>
          <w:r>
            <w:instrText xml:space="preserve"> HYPERLINK \l "_Toc135396899" </w:instrText>
          </w:r>
          <w:r>
            <w:fldChar w:fldCharType="separate"/>
          </w:r>
          <w:r>
            <w:rPr>
              <w:rStyle w:val="13"/>
              <w:sz w:val="24"/>
              <w:szCs w:val="24"/>
            </w:rPr>
            <w:t>4.4 概述</w:t>
          </w:r>
          <w:r>
            <w:rPr>
              <w:sz w:val="24"/>
              <w:szCs w:val="24"/>
            </w:rPr>
            <w:tab/>
          </w:r>
          <w:r>
            <w:rPr>
              <w:sz w:val="24"/>
              <w:szCs w:val="24"/>
            </w:rPr>
            <w:fldChar w:fldCharType="begin"/>
          </w:r>
          <w:r>
            <w:rPr>
              <w:sz w:val="24"/>
              <w:szCs w:val="24"/>
            </w:rPr>
            <w:instrText xml:space="preserve"> PAGEREF _Toc135396899 \h </w:instrText>
          </w:r>
          <w:r>
            <w:rPr>
              <w:sz w:val="24"/>
              <w:szCs w:val="24"/>
            </w:rPr>
            <w:fldChar w:fldCharType="separate"/>
          </w:r>
          <w:r>
            <w:rPr>
              <w:sz w:val="24"/>
              <w:szCs w:val="24"/>
            </w:rPr>
            <w:t>3</w:t>
          </w:r>
          <w:r>
            <w:rPr>
              <w:sz w:val="24"/>
              <w:szCs w:val="24"/>
            </w:rPr>
            <w:fldChar w:fldCharType="end"/>
          </w:r>
          <w:r>
            <w:rPr>
              <w:sz w:val="24"/>
              <w:szCs w:val="24"/>
            </w:rPr>
            <w:fldChar w:fldCharType="end"/>
          </w:r>
        </w:p>
        <w:p w14:paraId="69F3565D">
          <w:pPr>
            <w:pStyle w:val="8"/>
            <w:tabs>
              <w:tab w:val="right" w:leader="dot" w:pos="9344"/>
            </w:tabs>
            <w:spacing w:line="360" w:lineRule="auto"/>
            <w:rPr>
              <w:sz w:val="24"/>
              <w:szCs w:val="24"/>
            </w:rPr>
          </w:pPr>
          <w:r>
            <w:fldChar w:fldCharType="begin"/>
          </w:r>
          <w:r>
            <w:instrText xml:space="preserve"> HYPERLINK \l "_Toc135396900" </w:instrText>
          </w:r>
          <w:r>
            <w:fldChar w:fldCharType="separate"/>
          </w:r>
          <w:r>
            <w:rPr>
              <w:rStyle w:val="13"/>
              <w:sz w:val="24"/>
              <w:szCs w:val="24"/>
            </w:rPr>
            <w:t>4.5计量特性</w:t>
          </w:r>
          <w:r>
            <w:rPr>
              <w:sz w:val="24"/>
              <w:szCs w:val="24"/>
            </w:rPr>
            <w:tab/>
          </w:r>
          <w:r>
            <w:rPr>
              <w:sz w:val="24"/>
              <w:szCs w:val="24"/>
            </w:rPr>
            <w:fldChar w:fldCharType="begin"/>
          </w:r>
          <w:r>
            <w:rPr>
              <w:sz w:val="24"/>
              <w:szCs w:val="24"/>
            </w:rPr>
            <w:instrText xml:space="preserve"> PAGEREF _Toc135396900 \h </w:instrText>
          </w:r>
          <w:r>
            <w:rPr>
              <w:sz w:val="24"/>
              <w:szCs w:val="24"/>
            </w:rPr>
            <w:fldChar w:fldCharType="separate"/>
          </w:r>
          <w:r>
            <w:rPr>
              <w:sz w:val="24"/>
              <w:szCs w:val="24"/>
            </w:rPr>
            <w:t>3</w:t>
          </w:r>
          <w:r>
            <w:rPr>
              <w:sz w:val="24"/>
              <w:szCs w:val="24"/>
            </w:rPr>
            <w:fldChar w:fldCharType="end"/>
          </w:r>
          <w:r>
            <w:rPr>
              <w:sz w:val="24"/>
              <w:szCs w:val="24"/>
            </w:rPr>
            <w:fldChar w:fldCharType="end"/>
          </w:r>
        </w:p>
        <w:p w14:paraId="37451C3B">
          <w:pPr>
            <w:pStyle w:val="8"/>
            <w:tabs>
              <w:tab w:val="right" w:leader="dot" w:pos="9344"/>
            </w:tabs>
            <w:spacing w:line="360" w:lineRule="auto"/>
            <w:rPr>
              <w:sz w:val="24"/>
              <w:szCs w:val="24"/>
            </w:rPr>
          </w:pPr>
          <w:r>
            <w:fldChar w:fldCharType="begin"/>
          </w:r>
          <w:r>
            <w:instrText xml:space="preserve"> HYPERLINK \l "_Toc135396901" </w:instrText>
          </w:r>
          <w:r>
            <w:fldChar w:fldCharType="separate"/>
          </w:r>
          <w:r>
            <w:rPr>
              <w:rStyle w:val="13"/>
              <w:sz w:val="24"/>
              <w:szCs w:val="24"/>
            </w:rPr>
            <w:t>4.6 校准条件</w:t>
          </w:r>
          <w:r>
            <w:rPr>
              <w:sz w:val="24"/>
              <w:szCs w:val="24"/>
            </w:rPr>
            <w:tab/>
          </w:r>
          <w:r>
            <w:rPr>
              <w:sz w:val="24"/>
              <w:szCs w:val="24"/>
            </w:rPr>
            <w:fldChar w:fldCharType="begin"/>
          </w:r>
          <w:r>
            <w:rPr>
              <w:sz w:val="24"/>
              <w:szCs w:val="24"/>
            </w:rPr>
            <w:instrText xml:space="preserve"> PAGEREF _Toc135396901 \h </w:instrText>
          </w:r>
          <w:r>
            <w:rPr>
              <w:sz w:val="24"/>
              <w:szCs w:val="24"/>
            </w:rPr>
            <w:fldChar w:fldCharType="separate"/>
          </w:r>
          <w:r>
            <w:rPr>
              <w:sz w:val="24"/>
              <w:szCs w:val="24"/>
            </w:rPr>
            <w:t>3</w:t>
          </w:r>
          <w:r>
            <w:rPr>
              <w:sz w:val="24"/>
              <w:szCs w:val="24"/>
            </w:rPr>
            <w:fldChar w:fldCharType="end"/>
          </w:r>
          <w:r>
            <w:rPr>
              <w:sz w:val="24"/>
              <w:szCs w:val="24"/>
            </w:rPr>
            <w:fldChar w:fldCharType="end"/>
          </w:r>
        </w:p>
        <w:p w14:paraId="7158D33B">
          <w:pPr>
            <w:pStyle w:val="8"/>
            <w:tabs>
              <w:tab w:val="right" w:leader="dot" w:pos="9344"/>
            </w:tabs>
            <w:spacing w:line="360" w:lineRule="auto"/>
            <w:rPr>
              <w:sz w:val="24"/>
              <w:szCs w:val="24"/>
            </w:rPr>
          </w:pPr>
          <w:r>
            <w:fldChar w:fldCharType="begin"/>
          </w:r>
          <w:r>
            <w:instrText xml:space="preserve"> HYPERLINK \l "_Toc135396902" </w:instrText>
          </w:r>
          <w:r>
            <w:fldChar w:fldCharType="separate"/>
          </w:r>
          <w:r>
            <w:rPr>
              <w:rStyle w:val="13"/>
              <w:sz w:val="24"/>
              <w:szCs w:val="24"/>
            </w:rPr>
            <w:t>4.7 校准方法</w:t>
          </w:r>
          <w:r>
            <w:rPr>
              <w:sz w:val="24"/>
              <w:szCs w:val="24"/>
            </w:rPr>
            <w:tab/>
          </w:r>
          <w:r>
            <w:rPr>
              <w:sz w:val="24"/>
              <w:szCs w:val="24"/>
            </w:rPr>
            <w:fldChar w:fldCharType="begin"/>
          </w:r>
          <w:r>
            <w:rPr>
              <w:sz w:val="24"/>
              <w:szCs w:val="24"/>
            </w:rPr>
            <w:instrText xml:space="preserve"> PAGEREF _Toc135396902 \h </w:instrText>
          </w:r>
          <w:r>
            <w:rPr>
              <w:sz w:val="24"/>
              <w:szCs w:val="24"/>
            </w:rPr>
            <w:fldChar w:fldCharType="separate"/>
          </w:r>
          <w:r>
            <w:rPr>
              <w:sz w:val="24"/>
              <w:szCs w:val="24"/>
            </w:rPr>
            <w:t>4</w:t>
          </w:r>
          <w:r>
            <w:rPr>
              <w:sz w:val="24"/>
              <w:szCs w:val="24"/>
            </w:rPr>
            <w:fldChar w:fldCharType="end"/>
          </w:r>
          <w:r>
            <w:rPr>
              <w:sz w:val="24"/>
              <w:szCs w:val="24"/>
            </w:rPr>
            <w:fldChar w:fldCharType="end"/>
          </w:r>
        </w:p>
        <w:p w14:paraId="2DE38018">
          <w:pPr>
            <w:adjustRightInd w:val="0"/>
            <w:snapToGrid w:val="0"/>
            <w:spacing w:line="360" w:lineRule="auto"/>
            <w:rPr>
              <w:rFonts w:ascii="Times New Roman" w:hAnsi="Times New Roman" w:cs="Times New Roman"/>
              <w:sz w:val="24"/>
              <w:szCs w:val="24"/>
            </w:rPr>
          </w:pPr>
          <w:r>
            <w:rPr>
              <w:rFonts w:cs="Times New Roman" w:asciiTheme="minorEastAsia" w:hAnsiTheme="minorEastAsia"/>
              <w:b/>
              <w:bCs/>
              <w:sz w:val="24"/>
              <w:szCs w:val="24"/>
              <w:lang w:val="zh-CN"/>
            </w:rPr>
            <w:fldChar w:fldCharType="end"/>
          </w:r>
        </w:p>
      </w:sdtContent>
    </w:sdt>
    <w:p w14:paraId="0BB5D770">
      <w:pPr>
        <w:widowControl/>
        <w:jc w:val="left"/>
        <w:rPr>
          <w:rFonts w:ascii="Times New Roman" w:hAnsi="Times New Roman" w:cs="Times New Roman"/>
          <w:sz w:val="32"/>
          <w:szCs w:val="32"/>
        </w:rPr>
      </w:pPr>
      <w:r>
        <w:rPr>
          <w:rFonts w:ascii="Times New Roman" w:hAnsi="Times New Roman" w:cs="Times New Roman"/>
          <w:sz w:val="32"/>
          <w:szCs w:val="32"/>
        </w:rPr>
        <w:br w:type="page"/>
      </w:r>
    </w:p>
    <w:p w14:paraId="0C37BCB3">
      <w:pPr>
        <w:spacing w:line="360" w:lineRule="auto"/>
        <w:ind w:firstLine="720" w:firstLineChars="200"/>
        <w:jc w:val="center"/>
        <w:rPr>
          <w:rFonts w:ascii="Times New Roman" w:hAnsi="Times New Roman" w:eastAsia="黑体" w:cs="Times New Roman"/>
          <w:sz w:val="36"/>
          <w:szCs w:val="36"/>
        </w:rPr>
        <w:sectPr>
          <w:footerReference r:id="rId3" w:type="default"/>
          <w:footerReference r:id="rId4" w:type="even"/>
          <w:pgSz w:w="11906" w:h="16838"/>
          <w:pgMar w:top="1134" w:right="1134" w:bottom="1134" w:left="1418" w:header="851" w:footer="992" w:gutter="0"/>
          <w:cols w:space="425" w:num="1"/>
          <w:docGrid w:type="lines" w:linePitch="312" w:charSpace="0"/>
        </w:sectPr>
      </w:pPr>
    </w:p>
    <w:p w14:paraId="37209973">
      <w:pPr>
        <w:widowControl/>
        <w:autoSpaceDE w:val="0"/>
        <w:autoSpaceDN w:val="0"/>
        <w:adjustRightInd w:val="0"/>
        <w:snapToGrid w:val="0"/>
        <w:spacing w:before="156" w:beforeLines="50" w:after="156" w:afterLines="50" w:line="360" w:lineRule="auto"/>
        <w:jc w:val="center"/>
        <w:rPr>
          <w:rStyle w:val="12"/>
          <w:b w:val="0"/>
          <w:bCs w:val="0"/>
          <w:sz w:val="36"/>
          <w:szCs w:val="40"/>
        </w:rPr>
      </w:pPr>
      <w:bookmarkStart w:id="0" w:name="_Toc135396679"/>
      <w:bookmarkStart w:id="1" w:name="_Toc135396181"/>
      <w:bookmarkStart w:id="2" w:name="_Toc135396122"/>
      <w:bookmarkStart w:id="3" w:name="_Toc135396560"/>
      <w:r>
        <w:rPr>
          <w:rStyle w:val="12"/>
          <w:b w:val="0"/>
          <w:bCs w:val="0"/>
          <w:sz w:val="36"/>
          <w:szCs w:val="40"/>
        </w:rPr>
        <w:t>《质子矢量磁力仪校准规范》</w:t>
      </w:r>
      <w:r>
        <w:rPr>
          <w:rStyle w:val="12"/>
          <w:rFonts w:hint="eastAsia"/>
          <w:b w:val="0"/>
          <w:bCs w:val="0"/>
          <w:sz w:val="36"/>
          <w:szCs w:val="40"/>
          <w:lang w:eastAsia="zh-CN"/>
        </w:rPr>
        <w:t>编写</w:t>
      </w:r>
      <w:r>
        <w:rPr>
          <w:rStyle w:val="12"/>
          <w:b w:val="0"/>
          <w:bCs w:val="0"/>
          <w:sz w:val="36"/>
          <w:szCs w:val="40"/>
        </w:rPr>
        <w:t>说明</w:t>
      </w:r>
      <w:bookmarkEnd w:id="0"/>
      <w:bookmarkEnd w:id="1"/>
      <w:bookmarkEnd w:id="2"/>
      <w:bookmarkEnd w:id="3"/>
    </w:p>
    <w:p w14:paraId="6C52E5DA">
      <w:pPr>
        <w:pStyle w:val="2"/>
        <w:numPr>
          <w:ilvl w:val="0"/>
          <w:numId w:val="1"/>
        </w:numPr>
      </w:pPr>
      <w:bookmarkStart w:id="4" w:name="_Toc135396888"/>
      <w:bookmarkStart w:id="5" w:name="_Toc135396182"/>
      <w:r>
        <w:t>任务来源</w:t>
      </w:r>
      <w:bookmarkEnd w:id="4"/>
      <w:bookmarkEnd w:id="5"/>
    </w:p>
    <w:p w14:paraId="4348DB0D">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经</w:t>
      </w:r>
      <w:r>
        <w:rPr>
          <w:rFonts w:ascii="Times New Roman" w:hAnsi="Times New Roman" w:eastAsia="宋体" w:cs="Times New Roman"/>
          <w:snapToGrid w:val="0"/>
          <w:color w:val="000000" w:themeColor="text1"/>
          <w:kern w:val="0"/>
          <w:sz w:val="24"/>
          <w:szCs w:val="24"/>
          <w14:textFill>
            <w14:solidFill>
              <w14:schemeClr w14:val="tx1"/>
            </w14:solidFill>
          </w14:textFill>
        </w:rPr>
        <w:t>全国地震专用计量测试技术委员会申报，</w:t>
      </w:r>
      <w:r>
        <w:rPr>
          <w:rFonts w:ascii="Times New Roman" w:hAnsi="Times New Roman" w:eastAsia="宋体" w:cs="Times New Roman"/>
          <w:color w:val="000000"/>
          <w:kern w:val="0"/>
          <w:sz w:val="24"/>
          <w:szCs w:val="24"/>
        </w:rPr>
        <w:t>2022年8月国家计量技术规范制修订项目获得</w:t>
      </w:r>
      <w:r>
        <w:rPr>
          <w:rFonts w:hint="eastAsia" w:ascii="Times New Roman" w:hAnsi="Times New Roman" w:eastAsia="宋体" w:cs="Times New Roman"/>
          <w:color w:val="000000"/>
          <w:kern w:val="0"/>
          <w:sz w:val="24"/>
          <w:szCs w:val="24"/>
        </w:rPr>
        <w:t>国家市场监督管理总局</w:t>
      </w:r>
      <w:r>
        <w:rPr>
          <w:rFonts w:ascii="Times New Roman" w:hAnsi="Times New Roman" w:eastAsia="宋体" w:cs="Times New Roman"/>
          <w:color w:val="000000"/>
          <w:kern w:val="0"/>
          <w:sz w:val="24"/>
          <w:szCs w:val="24"/>
        </w:rPr>
        <w:t>批复立项，江苏省地</w:t>
      </w:r>
      <w:r>
        <w:rPr>
          <w:rFonts w:hint="eastAsia" w:ascii="Times New Roman" w:hAnsi="Times New Roman" w:eastAsia="宋体" w:cs="Times New Roman"/>
          <w:color w:val="000000"/>
          <w:kern w:val="0"/>
          <w:sz w:val="24"/>
          <w:szCs w:val="24"/>
        </w:rPr>
        <w:t>震局、中国科学院空天信息创新研究院、中国地震局地球物理研究所和中国地震台网中心负责</w:t>
      </w:r>
      <w:r>
        <w:rPr>
          <w:rFonts w:ascii="Times New Roman" w:hAnsi="Times New Roman" w:eastAsia="宋体" w:cs="Times New Roman"/>
          <w:color w:val="000000"/>
          <w:kern w:val="0"/>
          <w:sz w:val="24"/>
          <w:szCs w:val="24"/>
        </w:rPr>
        <w:t>《质子矢量磁力仪校准规范》的</w:t>
      </w:r>
      <w:r>
        <w:rPr>
          <w:rFonts w:hint="eastAsia" w:ascii="Times New Roman" w:hAnsi="Times New Roman" w:eastAsia="宋体" w:cs="Times New Roman"/>
          <w:color w:val="000000"/>
          <w:kern w:val="0"/>
          <w:sz w:val="24"/>
          <w:szCs w:val="24"/>
          <w:lang w:eastAsia="zh-CN"/>
        </w:rPr>
        <w:t>编写</w:t>
      </w:r>
      <w:r>
        <w:rPr>
          <w:rFonts w:ascii="Times New Roman" w:hAnsi="Times New Roman" w:eastAsia="宋体" w:cs="Times New Roman"/>
          <w:color w:val="000000"/>
          <w:kern w:val="0"/>
          <w:sz w:val="24"/>
          <w:szCs w:val="24"/>
        </w:rPr>
        <w:t>任务。</w:t>
      </w:r>
    </w:p>
    <w:p w14:paraId="5D084921">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《质子矢量磁力仪校准规范》归口于</w:t>
      </w:r>
      <w:r>
        <w:rPr>
          <w:rFonts w:ascii="Times New Roman" w:hAnsi="Times New Roman" w:eastAsia="宋体" w:cs="Times New Roman"/>
          <w:sz w:val="24"/>
          <w:szCs w:val="24"/>
        </w:rPr>
        <w:t>全国地震专用计量测试技术委员会。</w:t>
      </w:r>
    </w:p>
    <w:p w14:paraId="21EA54CD">
      <w:pPr>
        <w:pStyle w:val="2"/>
        <w:numPr>
          <w:ilvl w:val="0"/>
          <w:numId w:val="1"/>
        </w:numPr>
      </w:pPr>
      <w:bookmarkStart w:id="6" w:name="_Toc135396183"/>
      <w:bookmarkStart w:id="7" w:name="_Toc135396889"/>
      <w:r>
        <w:t>本规范</w:t>
      </w:r>
      <w:r>
        <w:rPr>
          <w:rFonts w:hint="eastAsia"/>
          <w:lang w:eastAsia="zh-CN"/>
        </w:rPr>
        <w:t>编写</w:t>
      </w:r>
      <w:r>
        <w:t>的背景、目的和意义</w:t>
      </w:r>
      <w:bookmarkEnd w:id="6"/>
      <w:bookmarkEnd w:id="7"/>
    </w:p>
    <w:p w14:paraId="35C3FFD6">
      <w:pPr>
        <w:pStyle w:val="3"/>
      </w:pPr>
      <w:bookmarkStart w:id="8" w:name="_Toc135396184"/>
      <w:bookmarkStart w:id="9" w:name="_Toc135396890"/>
      <w:r>
        <w:t xml:space="preserve">2.1 </w:t>
      </w:r>
      <w:r>
        <w:rPr>
          <w:rFonts w:hint="eastAsia"/>
          <w:lang w:eastAsia="zh-CN"/>
        </w:rPr>
        <w:t>编写</w:t>
      </w:r>
      <w:r>
        <w:t>背景</w:t>
      </w:r>
      <w:bookmarkEnd w:id="8"/>
      <w:bookmarkEnd w:id="9"/>
    </w:p>
    <w:p w14:paraId="56659417">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地磁矢量观测技术在我国已经经历了50多年的实践和发展，</w:t>
      </w:r>
      <w:r>
        <w:rPr>
          <w:rFonts w:hint="eastAsia" w:ascii="Times New Roman" w:hAnsi="Times New Roman" w:eastAsia="宋体" w:cs="Times New Roman"/>
          <w:color w:val="000000"/>
          <w:kern w:val="0"/>
          <w:sz w:val="24"/>
          <w:szCs w:val="24"/>
        </w:rPr>
        <w:t>目前我国质子矢量地磁观测台网已有约100个观测台站，一直以来，中国地震局的各级管理部门非常重视地震观测仪器质量检测与日常校准工作，陆续制定了一系列的行业技术标准和规范，其中2008年颁布实施的《地震观测仪器进网技术要求 地磁观测仪 第2部分：质子矢量磁力仪》（DB/T 30.2-2008），对质子矢量磁力仪入网技术性能提出了明确的技术要求，并给出了相应的测试方法。</w:t>
      </w:r>
    </w:p>
    <w:p w14:paraId="3B3A7388">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另外，经广泛调研，目前除了我国地震行业使用了拟起草校准规范中的质子矢量磁力仪（[DB/T 30.2－2008，定义3.4]质子矢量磁力仪proton vector magnetometer，由质子磁力仪加分量线圈组成的磁力仪。注：质子矢量磁力仪能完成地磁场的总强度绝对值F、水平分量绝对值H及磁偏角相对值D的组合观测，或总强度绝对值F、垂直分量绝对值Z及磁偏角相对值D的组合观测。），其他领域未见使用，国外也未见相同类型的仪器使用，未见相关的校准规范或相应的计量规范。目前较为相似的仪器有DIDD矢量磁力仪，但在观测方法和观测原理及校准方法上均存在较大的差异。</w:t>
      </w:r>
    </w:p>
    <w:p w14:paraId="4C6F0A7D">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现行的DB/T 30.2-2008作为质子矢量磁力仪进网技术要求指导性文件，对该类仪器的技术性能进行了总体、全面的规定，也对其中的部分技术性能给出了相应的检查方法。该标准的测试内容并没有涵盖仪器全部技术指标，对检测项目、检测设备要求、检测原则、以及检测结果的处理也未有相应的说明。同时该标准的制定时间较早，测试设备、测试方法及测试结果的表述有些已不能完全适应当前测试技术的发展水平，现行标准是纲领性的，不是具体的校准规范，目前地震行业内还没有针对质子矢量磁力仪制定专门的校准规范。</w:t>
      </w:r>
    </w:p>
    <w:p w14:paraId="5AF22E55">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在具体的实际应用过程中，依据现有的行业规范和标准，质子矢量磁力仪技术性能的检查还存在一些不足，例如缺乏质子矢量磁力仪关键装置分量线圈的技术要求和相应的校准方法，难以控制不同厂家、不同批次产品质量的差异性，难免因分量线圈质量问题影响观测数据的质量，影响日常检查和产出数据使用的效果，从而对地磁分量观测结果的科学性和客观性产生影响。</w:t>
      </w:r>
    </w:p>
    <w:p w14:paraId="17E85350">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现有规范、标准对已经在运行仪器进行周期性检测与校准的规范并不完整，对观测仪器长期稳定性测试及相应的测试流程存在一定的不足，需要进行完善和补充；仪器维修后，重新投入观测后续性检测也没有提出具体要求和相应的检测方法。因此对质子矢量磁力仪缺乏完整的、系统性的校准规范。</w:t>
      </w:r>
    </w:p>
    <w:p w14:paraId="46D0F523">
      <w:pPr>
        <w:pStyle w:val="3"/>
      </w:pPr>
      <w:bookmarkStart w:id="10" w:name="_Toc135396891"/>
      <w:bookmarkStart w:id="11" w:name="_Toc135396185"/>
      <w:r>
        <w:t xml:space="preserve">2.2 </w:t>
      </w:r>
      <w:r>
        <w:rPr>
          <w:rFonts w:hint="eastAsia"/>
          <w:lang w:eastAsia="zh-CN"/>
        </w:rPr>
        <w:t>编写</w:t>
      </w:r>
      <w:r>
        <w:t>的目的和意义</w:t>
      </w:r>
      <w:bookmarkEnd w:id="10"/>
      <w:bookmarkEnd w:id="11"/>
    </w:p>
    <w:p w14:paraId="595907B8">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制定质子矢量磁力仪校准规范，是在研究相关国家与行业技术标准的基础上，针对地震行业对质子矢量磁力仪要求精度高、长期稳定、可靠等特点，充分考虑质子矢量磁力仪的实际使用要求，制定质子矢量磁力仪校准规范。其目的是有效规范新制造、使用中和修理调整后质子矢量磁力仪的校准，从</w:t>
      </w:r>
      <w:bookmarkStart w:id="12" w:name="_Hlk135385062"/>
      <w:r>
        <w:rPr>
          <w:rFonts w:hint="eastAsia" w:ascii="Times New Roman" w:hAnsi="Times New Roman" w:eastAsia="宋体" w:cs="Times New Roman"/>
          <w:color w:val="000000"/>
          <w:kern w:val="0"/>
          <w:sz w:val="24"/>
          <w:szCs w:val="24"/>
        </w:rPr>
        <w:t>校准</w:t>
      </w:r>
      <w:bookmarkEnd w:id="12"/>
      <w:r>
        <w:rPr>
          <w:rFonts w:hint="eastAsia" w:ascii="Times New Roman" w:hAnsi="Times New Roman" w:eastAsia="宋体" w:cs="Times New Roman"/>
          <w:color w:val="000000"/>
          <w:kern w:val="0"/>
          <w:sz w:val="24"/>
          <w:szCs w:val="24"/>
        </w:rPr>
        <w:t>环境、校准设备、校准方法、校准流程以及校准结果表达等方面严格约束，从而对质子矢量磁力仪的设计、生产、入网、实验室测试、野外检测、台站定期校准、维修维护和运行提供规范性的校准方法，保障校准结果的真实、可靠，并与《地磁固定观测台网运行规范》进行衔接，确保该行业技术标准的科学性、权威性，为保证地震地磁观测资料质量提供前提条件。</w:t>
      </w:r>
    </w:p>
    <w:p w14:paraId="478A0D0A">
      <w:pPr>
        <w:pStyle w:val="2"/>
        <w:numPr>
          <w:ilvl w:val="0"/>
          <w:numId w:val="1"/>
        </w:numPr>
      </w:pPr>
      <w:bookmarkStart w:id="13" w:name="_Toc135396892"/>
      <w:bookmarkStart w:id="14" w:name="_Toc135396186"/>
      <w:r>
        <w:rPr>
          <w:rFonts w:hint="eastAsia"/>
          <w:lang w:eastAsia="zh-CN"/>
        </w:rPr>
        <w:t>编写</w:t>
      </w:r>
      <w:r>
        <w:t>过程</w:t>
      </w:r>
      <w:bookmarkEnd w:id="13"/>
      <w:bookmarkEnd w:id="14"/>
    </w:p>
    <w:p w14:paraId="16230164">
      <w:pPr>
        <w:pStyle w:val="3"/>
      </w:pPr>
      <w:bookmarkStart w:id="15" w:name="_Toc135396893"/>
      <w:bookmarkStart w:id="16" w:name="_Toc135396187"/>
      <w:r>
        <w:t>3.1</w:t>
      </w:r>
      <w:r>
        <w:rPr>
          <w:rFonts w:hint="eastAsia"/>
          <w:lang w:eastAsia="zh-CN"/>
        </w:rPr>
        <w:t>编写</w:t>
      </w:r>
      <w:r>
        <w:t>参与单位</w:t>
      </w:r>
      <w:bookmarkEnd w:id="15"/>
      <w:bookmarkEnd w:id="16"/>
    </w:p>
    <w:p w14:paraId="57F91B1D">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本</w:t>
      </w:r>
      <w:r>
        <w:rPr>
          <w:rFonts w:hint="eastAsia" w:ascii="Times New Roman" w:hAnsi="Times New Roman" w:eastAsia="宋体" w:cs="Times New Roman"/>
          <w:color w:val="000000"/>
          <w:kern w:val="0"/>
          <w:sz w:val="24"/>
          <w:szCs w:val="24"/>
        </w:rPr>
        <w:t>规范</w:t>
      </w:r>
      <w:r>
        <w:rPr>
          <w:rFonts w:ascii="Times New Roman" w:hAnsi="Times New Roman" w:eastAsia="宋体" w:cs="Times New Roman"/>
          <w:color w:val="000000"/>
          <w:kern w:val="0"/>
          <w:sz w:val="24"/>
          <w:szCs w:val="24"/>
        </w:rPr>
        <w:t>的编写工作由</w:t>
      </w:r>
      <w:r>
        <w:rPr>
          <w:rFonts w:hint="eastAsia" w:ascii="Times New Roman" w:hAnsi="Times New Roman" w:eastAsia="宋体" w:cs="Times New Roman"/>
          <w:color w:val="000000"/>
          <w:kern w:val="0"/>
          <w:sz w:val="24"/>
          <w:szCs w:val="24"/>
        </w:rPr>
        <w:t>江苏省地震局</w:t>
      </w:r>
      <w:r>
        <w:rPr>
          <w:rFonts w:ascii="Times New Roman" w:hAnsi="Times New Roman" w:eastAsia="宋体" w:cs="Times New Roman"/>
          <w:color w:val="000000"/>
          <w:kern w:val="0"/>
          <w:sz w:val="24"/>
          <w:szCs w:val="24"/>
        </w:rPr>
        <w:t>牵头，</w:t>
      </w:r>
      <w:r>
        <w:rPr>
          <w:rFonts w:hint="eastAsia" w:ascii="Times New Roman" w:hAnsi="Times New Roman" w:eastAsia="宋体" w:cs="Times New Roman"/>
          <w:color w:val="000000"/>
          <w:kern w:val="0"/>
          <w:sz w:val="24"/>
          <w:szCs w:val="24"/>
        </w:rPr>
        <w:t>中国地震局地球物理研究所、中国地震台网中心和中国科学院空天信息创新研究院</w:t>
      </w:r>
      <w:r>
        <w:rPr>
          <w:rFonts w:ascii="Times New Roman" w:hAnsi="Times New Roman" w:eastAsia="宋体" w:cs="Times New Roman"/>
          <w:color w:val="000000"/>
          <w:kern w:val="0"/>
          <w:sz w:val="24"/>
          <w:szCs w:val="24"/>
        </w:rPr>
        <w:t>共同参与研究编写。</w:t>
      </w:r>
    </w:p>
    <w:p w14:paraId="0A9213CF">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规范</w:t>
      </w:r>
      <w:r>
        <w:rPr>
          <w:rFonts w:ascii="Times New Roman" w:hAnsi="Times New Roman" w:eastAsia="宋体" w:cs="Times New Roman"/>
          <w:color w:val="000000"/>
          <w:kern w:val="0"/>
          <w:sz w:val="24"/>
          <w:szCs w:val="24"/>
        </w:rPr>
        <w:t>主要起草人包括</w:t>
      </w:r>
      <w:r>
        <w:rPr>
          <w:rFonts w:hint="eastAsia" w:ascii="Times New Roman" w:hAnsi="Times New Roman" w:eastAsia="宋体" w:cs="Times New Roman"/>
          <w:color w:val="000000"/>
          <w:kern w:val="0"/>
          <w:sz w:val="24"/>
          <w:szCs w:val="24"/>
        </w:rPr>
        <w:t>居海华（江苏省地震局）、夏忠（江苏省地震局）、王晓美（中国地震局地球物理研究所）、范晓勇、（中国地震局地球物理研究所）、刘高川（中国地震台网中心）、卢远添（中国科学院空天信息创新研究院）、张骞（江苏省地震局）</w:t>
      </w:r>
      <w:r>
        <w:rPr>
          <w:rFonts w:ascii="Times New Roman" w:hAnsi="Times New Roman" w:eastAsia="宋体" w:cs="Times New Roman"/>
          <w:color w:val="000000"/>
          <w:kern w:val="0"/>
          <w:sz w:val="24"/>
          <w:szCs w:val="24"/>
        </w:rPr>
        <w:t>。</w:t>
      </w:r>
    </w:p>
    <w:p w14:paraId="210EB1BC">
      <w:pPr>
        <w:pStyle w:val="3"/>
      </w:pPr>
      <w:bookmarkStart w:id="17" w:name="_Toc135396894"/>
      <w:bookmarkStart w:id="18" w:name="_Toc135396188"/>
      <w:r>
        <w:t>3.2主要工作过程</w:t>
      </w:r>
      <w:bookmarkEnd w:id="17"/>
      <w:bookmarkEnd w:id="18"/>
    </w:p>
    <w:p w14:paraId="698F545A">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第一阶段：2022年1月~2022年4月，4个月。收集整理相关方面的标准和规范，结合本行业的规范要求，初步拟定规范各部分的主要内容，并按照这一方案开始草稿的编写。</w:t>
      </w:r>
    </w:p>
    <w:p w14:paraId="410E05DD">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第二阶段：2022年5月~2022年8月，4个月。完成质子矢量磁力仪校准规范的草稿，并召开行业内相关领域专家进行咨询和讨论。</w:t>
      </w:r>
    </w:p>
    <w:p w14:paraId="7767155C">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第三阶段：2022年9月~2022年12月，4个月。根据专家建议修改草稿，对需要进行实际测试验证的检测项目和方法开展实验室或台站实验，完成检测校准规范初稿的编写工作。</w:t>
      </w:r>
    </w:p>
    <w:p w14:paraId="74907D93">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第四阶段：2023年1月~2024年3月，14个月。根据专家建议对初稿进行修改和完善。完成征求意见稿的编写工作，并编写本规范的编写说明。</w:t>
      </w:r>
    </w:p>
    <w:p w14:paraId="1C89342B">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第五阶段：2024年4月~2024年8月，5个月。根据主审专家的意见对规范进行了修改和完善。</w:t>
      </w:r>
    </w:p>
    <w:p w14:paraId="56A30C05">
      <w:pPr>
        <w:pStyle w:val="2"/>
        <w:numPr>
          <w:ilvl w:val="0"/>
          <w:numId w:val="1"/>
        </w:numPr>
      </w:pPr>
      <w:bookmarkStart w:id="19" w:name="_Toc135396895"/>
      <w:bookmarkStart w:id="20" w:name="_Toc135396189"/>
      <w:r>
        <w:t>规范</w:t>
      </w:r>
      <w:r>
        <w:rPr>
          <w:rFonts w:hint="eastAsia"/>
          <w:lang w:eastAsia="zh-CN"/>
        </w:rPr>
        <w:t>编写</w:t>
      </w:r>
      <w:r>
        <w:t>说明</w:t>
      </w:r>
      <w:bookmarkEnd w:id="19"/>
      <w:bookmarkEnd w:id="20"/>
    </w:p>
    <w:p w14:paraId="4810F0B6">
      <w:pPr>
        <w:pStyle w:val="3"/>
      </w:pPr>
      <w:bookmarkStart w:id="21" w:name="_Toc135396190"/>
      <w:bookmarkStart w:id="22" w:name="_Toc135396896"/>
      <w:r>
        <w:t>4.1 范围</w:t>
      </w:r>
      <w:bookmarkEnd w:id="21"/>
      <w:bookmarkEnd w:id="22"/>
    </w:p>
    <w:p w14:paraId="7CA799FA">
      <w:pPr>
        <w:pStyle w:val="3"/>
        <w:ind w:firstLine="480" w:firstLineChars="200"/>
        <w:rPr>
          <w:kern w:val="2"/>
        </w:rPr>
      </w:pPr>
      <w:bookmarkStart w:id="23" w:name="_Toc135396897"/>
      <w:bookmarkStart w:id="24" w:name="_Toc135396191"/>
      <w:r>
        <w:rPr>
          <w:rFonts w:hint="eastAsia"/>
          <w:kern w:val="2"/>
        </w:rPr>
        <w:t>本规范适用于质子矢量磁力仪的校准。</w:t>
      </w:r>
    </w:p>
    <w:p w14:paraId="12B32900">
      <w:pPr>
        <w:pStyle w:val="3"/>
      </w:pPr>
      <w:r>
        <w:t>4.2 引用文件</w:t>
      </w:r>
      <w:bookmarkEnd w:id="23"/>
      <w:bookmarkEnd w:id="24"/>
    </w:p>
    <w:p w14:paraId="04F0E26C">
      <w:pPr>
        <w:pStyle w:val="3"/>
        <w:ind w:firstLine="480" w:firstLineChars="200"/>
        <w:rPr>
          <w:kern w:val="2"/>
        </w:rPr>
      </w:pPr>
      <w:bookmarkStart w:id="25" w:name="_Toc135396898"/>
      <w:bookmarkStart w:id="26" w:name="_Toc135396192"/>
      <w:r>
        <w:rPr>
          <w:rFonts w:hint="eastAsia"/>
          <w:kern w:val="2"/>
        </w:rPr>
        <w:t>本规范引用了下列文件：</w:t>
      </w:r>
    </w:p>
    <w:p w14:paraId="282AEDBA">
      <w:pPr>
        <w:pStyle w:val="3"/>
        <w:ind w:firstLine="480" w:firstLineChars="200"/>
        <w:rPr>
          <w:kern w:val="2"/>
        </w:rPr>
      </w:pPr>
      <w:r>
        <w:rPr>
          <w:rFonts w:hint="eastAsia"/>
          <w:kern w:val="2"/>
        </w:rPr>
        <w:t>JJF1001 通用计量术语及定义</w:t>
      </w:r>
    </w:p>
    <w:p w14:paraId="11EEBDA8">
      <w:pPr>
        <w:pStyle w:val="3"/>
        <w:ind w:firstLine="480" w:firstLineChars="200"/>
        <w:rPr>
          <w:kern w:val="2"/>
        </w:rPr>
      </w:pPr>
      <w:r>
        <w:rPr>
          <w:rFonts w:hint="eastAsia"/>
          <w:kern w:val="2"/>
        </w:rPr>
        <w:t>JJF 1013 磁学计量常用名词术语及定义</w:t>
      </w:r>
    </w:p>
    <w:p w14:paraId="0EEE9BA5">
      <w:pPr>
        <w:pStyle w:val="3"/>
        <w:ind w:firstLine="480" w:firstLineChars="200"/>
        <w:rPr>
          <w:kern w:val="2"/>
        </w:rPr>
      </w:pPr>
      <w:r>
        <w:rPr>
          <w:rFonts w:hint="eastAsia"/>
          <w:kern w:val="2"/>
        </w:rPr>
        <w:t>JJF 1210 低速转台校准规范</w:t>
      </w:r>
    </w:p>
    <w:p w14:paraId="72D5B299">
      <w:pPr>
        <w:pStyle w:val="3"/>
        <w:ind w:firstLine="480" w:firstLineChars="200"/>
        <w:rPr>
          <w:kern w:val="2"/>
        </w:rPr>
      </w:pPr>
      <w:r>
        <w:rPr>
          <w:rFonts w:hint="eastAsia"/>
          <w:kern w:val="2"/>
        </w:rPr>
        <w:t>JJF1084 框式水平仪和条式水平仪校准规范</w:t>
      </w:r>
    </w:p>
    <w:p w14:paraId="0B31977D">
      <w:pPr>
        <w:pStyle w:val="3"/>
        <w:ind w:firstLine="480" w:firstLineChars="200"/>
        <w:rPr>
          <w:kern w:val="2"/>
        </w:rPr>
      </w:pPr>
      <w:r>
        <w:rPr>
          <w:rFonts w:hint="eastAsia"/>
          <w:kern w:val="2"/>
        </w:rPr>
        <w:t>GB/T 18207.2 防震减灾术语 第2部分：专业术语</w:t>
      </w:r>
    </w:p>
    <w:p w14:paraId="088D4C4A">
      <w:pPr>
        <w:pStyle w:val="3"/>
        <w:ind w:firstLine="480" w:firstLineChars="200"/>
        <w:rPr>
          <w:kern w:val="2"/>
        </w:rPr>
      </w:pPr>
      <w:r>
        <w:rPr>
          <w:rFonts w:hint="eastAsia"/>
          <w:kern w:val="2"/>
        </w:rPr>
        <w:t>DB/T 30.2 地震观测仪器进网技术要求 地磁观测仪 第2部分：质子矢量磁力仪</w:t>
      </w:r>
    </w:p>
    <w:p w14:paraId="727E6D29">
      <w:pPr>
        <w:pStyle w:val="3"/>
        <w:ind w:firstLine="480" w:firstLineChars="200"/>
        <w:rPr>
          <w:kern w:val="2"/>
        </w:rPr>
      </w:pPr>
      <w:r>
        <w:rPr>
          <w:rFonts w:hint="eastAsia"/>
          <w:kern w:val="2"/>
        </w:rPr>
        <w:t>凡是注日期的引用文件，仅注日期的版本适用于本规范；凡是不注日期的引用文件，其最新版本（包括所有的修改单）适用于本规范。</w:t>
      </w:r>
    </w:p>
    <w:p w14:paraId="5C8BEE80">
      <w:pPr>
        <w:pStyle w:val="3"/>
      </w:pPr>
      <w:r>
        <w:t>4.3 术语</w:t>
      </w:r>
      <w:bookmarkEnd w:id="25"/>
      <w:bookmarkEnd w:id="26"/>
    </w:p>
    <w:p w14:paraId="7F4981C8">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为了便于理解，主要术语</w:t>
      </w:r>
      <w:r>
        <w:rPr>
          <w:rFonts w:ascii="Times New Roman" w:hAnsi="Times New Roman" w:eastAsia="宋体" w:cs="Times New Roman"/>
          <w:color w:val="000000"/>
          <w:kern w:val="0"/>
          <w:sz w:val="24"/>
          <w:szCs w:val="24"/>
        </w:rPr>
        <w:t>引用和参考</w:t>
      </w:r>
      <w:r>
        <w:rPr>
          <w:rFonts w:hint="eastAsia" w:ascii="Times New Roman" w:hAnsi="Times New Roman" w:eastAsia="宋体" w:cs="Times New Roman"/>
          <w:color w:val="000000"/>
          <w:kern w:val="0"/>
          <w:sz w:val="24"/>
          <w:szCs w:val="24"/>
        </w:rPr>
        <w:t>GB/T 3102.7、GB/T 18207.2—2005、GB/T 19531.2-2004、JJF 1001-2011、JF1013中的</w:t>
      </w:r>
      <w:r>
        <w:rPr>
          <w:rFonts w:ascii="Times New Roman" w:hAnsi="Times New Roman" w:eastAsia="宋体" w:cs="Times New Roman"/>
          <w:color w:val="000000"/>
          <w:kern w:val="0"/>
          <w:sz w:val="24"/>
          <w:szCs w:val="24"/>
        </w:rPr>
        <w:t>定义，</w:t>
      </w:r>
      <w:r>
        <w:rPr>
          <w:rFonts w:hint="eastAsia" w:ascii="Times New Roman" w:hAnsi="Times New Roman" w:eastAsia="宋体" w:cs="Times New Roman"/>
          <w:color w:val="000000"/>
          <w:kern w:val="0"/>
          <w:sz w:val="24"/>
          <w:szCs w:val="24"/>
        </w:rPr>
        <w:t>也</w:t>
      </w:r>
      <w:r>
        <w:rPr>
          <w:rFonts w:ascii="Times New Roman" w:hAnsi="Times New Roman" w:eastAsia="宋体" w:cs="Times New Roman"/>
          <w:color w:val="000000"/>
          <w:kern w:val="0"/>
          <w:sz w:val="24"/>
          <w:szCs w:val="24"/>
        </w:rPr>
        <w:t>给出了分量线圈装置</w:t>
      </w:r>
      <w:r>
        <w:rPr>
          <w:rFonts w:hint="eastAsia" w:ascii="Times New Roman" w:hAnsi="Times New Roman" w:eastAsia="宋体" w:cs="Times New Roman"/>
          <w:color w:val="000000"/>
          <w:kern w:val="0"/>
          <w:sz w:val="24"/>
          <w:szCs w:val="24"/>
        </w:rPr>
        <w:t>和相对磁偏角的</w:t>
      </w:r>
      <w:r>
        <w:rPr>
          <w:rFonts w:ascii="Times New Roman" w:hAnsi="Times New Roman" w:eastAsia="宋体" w:cs="Times New Roman"/>
          <w:color w:val="000000"/>
          <w:kern w:val="0"/>
          <w:sz w:val="24"/>
          <w:szCs w:val="24"/>
        </w:rPr>
        <w:t>定义。</w:t>
      </w:r>
    </w:p>
    <w:p w14:paraId="4204DB54">
      <w:pPr>
        <w:pStyle w:val="3"/>
      </w:pPr>
      <w:bookmarkStart w:id="27" w:name="_Toc135396899"/>
      <w:bookmarkStart w:id="28" w:name="_Toc135396193"/>
      <w:r>
        <w:t>4.4 概述</w:t>
      </w:r>
      <w:bookmarkEnd w:id="27"/>
      <w:bookmarkEnd w:id="28"/>
    </w:p>
    <w:p w14:paraId="39E6026D">
      <w:pPr>
        <w:autoSpaceDE w:val="0"/>
        <w:autoSpaceDN w:val="0"/>
        <w:adjustRightInd w:val="0"/>
        <w:spacing w:line="360" w:lineRule="auto"/>
        <w:ind w:firstLine="480" w:firstLineChars="200"/>
        <w:rPr>
          <w:sz w:val="24"/>
        </w:rPr>
      </w:pPr>
      <w:r>
        <w:rPr>
          <w:rFonts w:ascii="Times New Roman" w:hAnsi="Times New Roman" w:eastAsia="宋体" w:cs="Times New Roman"/>
          <w:color w:val="000000"/>
          <w:kern w:val="0"/>
          <w:sz w:val="24"/>
          <w:szCs w:val="24"/>
        </w:rPr>
        <w:t>对被校仪器进行了概</w:t>
      </w:r>
      <w:r>
        <w:rPr>
          <w:rFonts w:hint="eastAsia" w:ascii="Times New Roman" w:hAnsi="Times New Roman" w:eastAsia="宋体" w:cs="Times New Roman"/>
          <w:color w:val="000000"/>
          <w:kern w:val="0"/>
          <w:sz w:val="24"/>
          <w:szCs w:val="24"/>
        </w:rPr>
        <w:t>述：</w:t>
      </w:r>
      <w:r>
        <w:rPr>
          <w:kern w:val="0"/>
          <w:sz w:val="24"/>
        </w:rPr>
        <w:t>质子矢量磁力仪是一种将质子磁力仪、分量线圈装置和恒定电流源结合成一体的用于地磁场总强度、水平分量（或垂直分量）和相对磁偏角测量的仪器。它直接利用质子磁力仪获得</w:t>
      </w:r>
      <w:r>
        <w:rPr>
          <w:rFonts w:hint="eastAsia"/>
          <w:kern w:val="0"/>
          <w:sz w:val="24"/>
        </w:rPr>
        <w:t>地</w:t>
      </w:r>
      <w:r>
        <w:rPr>
          <w:kern w:val="0"/>
          <w:sz w:val="24"/>
        </w:rPr>
        <w:t>磁</w:t>
      </w:r>
      <w:r>
        <w:rPr>
          <w:rFonts w:hint="eastAsia"/>
          <w:kern w:val="0"/>
          <w:sz w:val="24"/>
        </w:rPr>
        <w:t>场的</w:t>
      </w:r>
      <w:r>
        <w:rPr>
          <w:kern w:val="0"/>
          <w:sz w:val="24"/>
        </w:rPr>
        <w:t>总强度，并利用分量线圈装置提供了复现磁场，采用补偿和偏置的方法，分别获得</w:t>
      </w:r>
      <w:r>
        <w:rPr>
          <w:rFonts w:hint="eastAsia"/>
          <w:kern w:val="0"/>
          <w:sz w:val="24"/>
        </w:rPr>
        <w:t>地磁场的</w:t>
      </w:r>
      <w:r>
        <w:rPr>
          <w:kern w:val="0"/>
          <w:sz w:val="24"/>
        </w:rPr>
        <w:t>水平分量（或垂直分量）和相对磁偏角</w:t>
      </w:r>
      <w:r>
        <w:rPr>
          <w:sz w:val="24"/>
        </w:rPr>
        <w:t>。</w:t>
      </w:r>
    </w:p>
    <w:p w14:paraId="4F5F0127">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并给出了其中较为复杂部分——质子矢量磁力仪分量线圈装置和探头的图片示例。</w:t>
      </w:r>
    </w:p>
    <w:p w14:paraId="0ABC14A1">
      <w:pPr>
        <w:pStyle w:val="3"/>
      </w:pPr>
      <w:bookmarkStart w:id="29" w:name="_Toc135396900"/>
      <w:bookmarkStart w:id="30" w:name="_Toc135396194"/>
      <w:r>
        <w:t>4.5 计量特性</w:t>
      </w:r>
      <w:bookmarkEnd w:id="29"/>
      <w:bookmarkEnd w:id="30"/>
    </w:p>
    <w:p w14:paraId="0C5FF587">
      <w:pPr>
        <w:widowControl/>
        <w:autoSpaceDE w:val="0"/>
        <w:autoSpaceDN w:val="0"/>
        <w:adjustRightInd w:val="0"/>
        <w:snapToGrid w:val="0"/>
        <w:spacing w:line="360" w:lineRule="auto"/>
        <w:ind w:firstLine="480" w:firstLineChars="200"/>
        <w:jc w:val="left"/>
        <w:rPr>
          <w:rFonts w:hint="eastAsia" w:ascii="宋体" w:hAnsi="宋体"/>
          <w:sz w:val="24"/>
          <w:szCs w:val="32"/>
        </w:rPr>
      </w:pPr>
      <w:r>
        <w:rPr>
          <w:rFonts w:hint="eastAsia" w:ascii="Times New Roman" w:hAnsi="Times New Roman" w:eastAsia="宋体" w:cs="Times New Roman"/>
          <w:color w:val="000000"/>
          <w:kern w:val="0"/>
          <w:sz w:val="24"/>
          <w:szCs w:val="24"/>
        </w:rPr>
        <w:t>质子矢量磁力仪是一种将质子磁力仪、分量线圈装置和恒定电流源结合成一体的用于地磁场总强度、水平分量（或垂直分量）和磁偏角测量的仪器。因此，被校仪器中的质子磁力仪、分量线圈装置和恒定电流源的参数中，对被校仪器示值误差和其不确定度产生主要影响的参数都是本校准规范的计量特征。因此，计量特征为：</w:t>
      </w:r>
      <w:bookmarkStart w:id="31" w:name="_Toc173401930"/>
      <w:bookmarkStart w:id="32" w:name="_Toc173406534"/>
      <w:bookmarkStart w:id="33" w:name="_Toc135329998"/>
      <w:bookmarkStart w:id="34" w:name="_Toc135396901"/>
      <w:bookmarkStart w:id="35" w:name="_Toc135396195"/>
      <w:r>
        <w:rPr>
          <w:rFonts w:hint="eastAsia" w:ascii="宋体" w:hAnsi="宋体"/>
          <w:sz w:val="24"/>
          <w:szCs w:val="32"/>
        </w:rPr>
        <w:t>总强度</w:t>
      </w:r>
      <w:bookmarkEnd w:id="31"/>
      <w:bookmarkEnd w:id="32"/>
      <w:bookmarkEnd w:id="33"/>
      <w:r>
        <w:rPr>
          <w:rFonts w:hint="eastAsia" w:ascii="宋体" w:hAnsi="宋体"/>
          <w:sz w:val="24"/>
          <w:szCs w:val="32"/>
        </w:rPr>
        <w:t>示值误差、</w:t>
      </w:r>
      <w:bookmarkStart w:id="36" w:name="_Toc173406535"/>
      <w:bookmarkStart w:id="37" w:name="_Toc135329999"/>
      <w:bookmarkStart w:id="38" w:name="_Toc135329908"/>
      <w:bookmarkStart w:id="39" w:name="_Toc173401931"/>
      <w:r>
        <w:rPr>
          <w:rFonts w:ascii="宋体" w:hAnsi="宋体"/>
          <w:sz w:val="24"/>
          <w:szCs w:val="32"/>
        </w:rPr>
        <w:t>总强度温度稳定性</w:t>
      </w:r>
      <w:bookmarkEnd w:id="36"/>
      <w:bookmarkEnd w:id="37"/>
      <w:bookmarkEnd w:id="38"/>
      <w:bookmarkEnd w:id="39"/>
      <w:r>
        <w:rPr>
          <w:rFonts w:hint="eastAsia" w:ascii="宋体" w:hAnsi="宋体"/>
          <w:sz w:val="24"/>
          <w:szCs w:val="32"/>
        </w:rPr>
        <w:t>、</w:t>
      </w:r>
      <w:bookmarkStart w:id="40" w:name="_Toc135329909"/>
      <w:bookmarkStart w:id="41" w:name="_Toc135330000"/>
      <w:bookmarkStart w:id="42" w:name="_Toc173401932"/>
      <w:bookmarkStart w:id="43" w:name="_Toc173406536"/>
      <w:r>
        <w:rPr>
          <w:rFonts w:ascii="宋体" w:hAnsi="宋体"/>
          <w:sz w:val="24"/>
          <w:szCs w:val="32"/>
        </w:rPr>
        <w:t>分量线圈装置转台</w:t>
      </w:r>
      <w:bookmarkEnd w:id="40"/>
      <w:bookmarkEnd w:id="41"/>
      <w:r>
        <w:rPr>
          <w:rFonts w:hint="eastAsia" w:ascii="宋体" w:hAnsi="宋体"/>
          <w:sz w:val="24"/>
          <w:szCs w:val="32"/>
        </w:rPr>
        <w:t>轴回转误差</w:t>
      </w:r>
      <w:bookmarkEnd w:id="42"/>
      <w:bookmarkEnd w:id="43"/>
      <w:r>
        <w:rPr>
          <w:rFonts w:hint="eastAsia" w:ascii="宋体" w:hAnsi="宋体"/>
          <w:sz w:val="24"/>
          <w:szCs w:val="32"/>
        </w:rPr>
        <w:t>、</w:t>
      </w:r>
      <w:bookmarkStart w:id="44" w:name="_Toc173406537"/>
      <w:bookmarkStart w:id="45" w:name="_Toc173401933"/>
      <w:r>
        <w:rPr>
          <w:rFonts w:ascii="宋体" w:hAnsi="宋体"/>
          <w:sz w:val="24"/>
          <w:szCs w:val="32"/>
        </w:rPr>
        <w:t>分量线圈装置转台</w:t>
      </w:r>
      <w:r>
        <w:rPr>
          <w:rFonts w:hint="eastAsia" w:ascii="宋体" w:hAnsi="宋体"/>
          <w:sz w:val="24"/>
          <w:szCs w:val="32"/>
        </w:rPr>
        <w:t>角位置定位误差及重复性</w:t>
      </w:r>
      <w:bookmarkEnd w:id="44"/>
      <w:bookmarkEnd w:id="45"/>
      <w:r>
        <w:rPr>
          <w:rFonts w:hint="eastAsia" w:ascii="宋体" w:hAnsi="宋体"/>
          <w:sz w:val="24"/>
          <w:szCs w:val="32"/>
        </w:rPr>
        <w:t>、</w:t>
      </w:r>
      <w:bookmarkStart w:id="46" w:name="_Toc135329910"/>
      <w:bookmarkStart w:id="47" w:name="_Toc173401934"/>
      <w:bookmarkStart w:id="48" w:name="_Toc135330001"/>
      <w:bookmarkStart w:id="49" w:name="_Toc173406538"/>
      <w:r>
        <w:rPr>
          <w:rFonts w:ascii="宋体" w:hAnsi="宋体"/>
          <w:sz w:val="24"/>
          <w:szCs w:val="32"/>
        </w:rPr>
        <w:t>水平仪分度值误差</w:t>
      </w:r>
      <w:bookmarkEnd w:id="46"/>
      <w:bookmarkEnd w:id="47"/>
      <w:bookmarkEnd w:id="48"/>
      <w:bookmarkEnd w:id="49"/>
      <w:r>
        <w:rPr>
          <w:rFonts w:hint="eastAsia" w:ascii="宋体" w:hAnsi="宋体"/>
          <w:sz w:val="24"/>
          <w:szCs w:val="32"/>
        </w:rPr>
        <w:t>、</w:t>
      </w:r>
      <w:bookmarkStart w:id="50" w:name="_Toc173406539"/>
      <w:bookmarkStart w:id="51" w:name="_Toc173401935"/>
      <w:r>
        <w:rPr>
          <w:rFonts w:hint="eastAsia" w:ascii="宋体" w:hAnsi="宋体"/>
          <w:sz w:val="24"/>
          <w:szCs w:val="32"/>
        </w:rPr>
        <w:t>恒定电流源补偿电流温漂相对偏差</w:t>
      </w:r>
      <w:bookmarkEnd w:id="50"/>
      <w:bookmarkEnd w:id="51"/>
      <w:r>
        <w:rPr>
          <w:rFonts w:hint="eastAsia" w:ascii="宋体" w:hAnsi="宋体"/>
          <w:sz w:val="24"/>
          <w:szCs w:val="32"/>
        </w:rPr>
        <w:t>、</w:t>
      </w:r>
      <w:bookmarkStart w:id="52" w:name="_Toc173406540"/>
      <w:bookmarkStart w:id="53" w:name="_Toc173401936"/>
      <w:r>
        <w:rPr>
          <w:rFonts w:ascii="宋体" w:hAnsi="宋体"/>
          <w:sz w:val="24"/>
          <w:szCs w:val="32"/>
        </w:rPr>
        <w:t>恒定电流源</w:t>
      </w:r>
      <w:r>
        <w:rPr>
          <w:rFonts w:hint="eastAsia" w:ascii="宋体" w:hAnsi="宋体"/>
          <w:sz w:val="24"/>
          <w:szCs w:val="32"/>
        </w:rPr>
        <w:t>偏置电流正反向电流输出相对偏差</w:t>
      </w:r>
      <w:bookmarkEnd w:id="52"/>
      <w:bookmarkEnd w:id="53"/>
      <w:r>
        <w:rPr>
          <w:rFonts w:hint="eastAsia" w:ascii="宋体" w:hAnsi="宋体"/>
          <w:sz w:val="24"/>
          <w:szCs w:val="32"/>
        </w:rPr>
        <w:t>、</w:t>
      </w:r>
      <w:bookmarkStart w:id="54" w:name="_Toc135329912"/>
      <w:bookmarkStart w:id="55" w:name="_Toc135330003"/>
      <w:bookmarkStart w:id="56" w:name="_Toc173406541"/>
      <w:bookmarkStart w:id="57" w:name="_Toc173401937"/>
      <w:r>
        <w:rPr>
          <w:rFonts w:ascii="宋体" w:hAnsi="宋体"/>
          <w:sz w:val="24"/>
          <w:szCs w:val="32"/>
        </w:rPr>
        <w:t>水平分量（或垂直分量）和</w:t>
      </w:r>
      <w:bookmarkEnd w:id="54"/>
      <w:bookmarkEnd w:id="55"/>
      <w:r>
        <w:rPr>
          <w:rFonts w:ascii="宋体" w:hAnsi="宋体"/>
          <w:sz w:val="24"/>
          <w:szCs w:val="32"/>
        </w:rPr>
        <w:t>相对磁偏角</w:t>
      </w:r>
      <w:bookmarkEnd w:id="56"/>
      <w:bookmarkEnd w:id="57"/>
      <w:r>
        <w:rPr>
          <w:rFonts w:hint="eastAsia" w:ascii="宋体" w:hAnsi="宋体"/>
          <w:sz w:val="24"/>
          <w:szCs w:val="32"/>
        </w:rPr>
        <w:t>示值误差、</w:t>
      </w:r>
      <w:bookmarkStart w:id="58" w:name="_Toc135329913"/>
      <w:bookmarkStart w:id="59" w:name="_Toc135330004"/>
      <w:bookmarkStart w:id="60" w:name="_Toc173406542"/>
      <w:bookmarkStart w:id="61" w:name="_Toc173401938"/>
      <w:r>
        <w:rPr>
          <w:rFonts w:ascii="宋体" w:hAnsi="宋体"/>
          <w:sz w:val="24"/>
          <w:szCs w:val="32"/>
        </w:rPr>
        <w:t>重复性</w:t>
      </w:r>
      <w:bookmarkEnd w:id="58"/>
      <w:bookmarkEnd w:id="59"/>
      <w:bookmarkEnd w:id="60"/>
      <w:bookmarkEnd w:id="61"/>
      <w:r>
        <w:rPr>
          <w:rFonts w:hint="eastAsia" w:ascii="宋体" w:hAnsi="宋体"/>
          <w:sz w:val="24"/>
          <w:szCs w:val="32"/>
        </w:rPr>
        <w:t>。</w:t>
      </w:r>
    </w:p>
    <w:p w14:paraId="25AFD53F">
      <w:pPr>
        <w:pStyle w:val="3"/>
      </w:pPr>
      <w:r>
        <w:t>4.6 校准条件</w:t>
      </w:r>
      <w:bookmarkEnd w:id="34"/>
      <w:bookmarkEnd w:id="35"/>
    </w:p>
    <w:p w14:paraId="659495D8">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（1）校准环境</w:t>
      </w:r>
    </w:p>
    <w:p w14:paraId="10457602">
      <w:pPr>
        <w:widowControl/>
        <w:autoSpaceDE w:val="0"/>
        <w:autoSpaceDN w:val="0"/>
        <w:adjustRightInd w:val="0"/>
        <w:snapToGrid w:val="0"/>
        <w:spacing w:line="360" w:lineRule="auto"/>
        <w:ind w:firstLine="480" w:firstLineChars="200"/>
        <w:jc w:val="left"/>
        <w:rPr>
          <w:rFonts w:ascii="Times New Roman" w:hAnsi="Times New Roman" w:cs="Times New Roman" w:eastAsiaTheme="majorEastAsia"/>
          <w:color w:val="000000"/>
          <w:kern w:val="0"/>
          <w:sz w:val="24"/>
          <w:szCs w:val="24"/>
        </w:rPr>
      </w:pPr>
      <w:r>
        <w:rPr>
          <w:rFonts w:ascii="Times New Roman" w:hAnsi="Times New Roman" w:cs="Times New Roman" w:eastAsiaTheme="majorEastAsia"/>
          <w:color w:val="000000"/>
          <w:kern w:val="0"/>
          <w:sz w:val="24"/>
          <w:szCs w:val="24"/>
        </w:rPr>
        <w:t>在</w:t>
      </w:r>
      <w:r>
        <w:rPr>
          <w:rFonts w:hint="eastAsia" w:ascii="Times New Roman" w:hAnsi="Times New Roman" w:cs="Times New Roman" w:eastAsiaTheme="majorEastAsia"/>
          <w:color w:val="000000"/>
          <w:kern w:val="0"/>
          <w:sz w:val="24"/>
          <w:szCs w:val="24"/>
        </w:rPr>
        <w:t>质子矢量磁力仪的工作环境条件要求以及校准用标准设备的工作环境条件要求的基础上，形成了对校准相关的温湿度、气压和电磁干扰四方面的规范环境条件要求。</w:t>
      </w:r>
    </w:p>
    <w:p w14:paraId="53CCEBD7">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（2）测量标准设备</w:t>
      </w:r>
    </w:p>
    <w:p w14:paraId="56ADB3F4">
      <w:pPr>
        <w:widowControl/>
        <w:autoSpaceDE w:val="0"/>
        <w:autoSpaceDN w:val="0"/>
        <w:adjustRightInd w:val="0"/>
        <w:snapToGrid w:val="0"/>
        <w:spacing w:line="360" w:lineRule="auto"/>
        <w:ind w:firstLine="480" w:firstLineChars="200"/>
        <w:jc w:val="left"/>
        <w:rPr>
          <w:rFonts w:ascii="Times New Roman" w:hAnsi="Times New Roman" w:cs="Times New Roman" w:eastAsiaTheme="majorEastAsia"/>
          <w:color w:val="000000"/>
          <w:kern w:val="0"/>
          <w:sz w:val="24"/>
          <w:szCs w:val="24"/>
        </w:rPr>
      </w:pPr>
      <w:r>
        <w:rPr>
          <w:rFonts w:hint="eastAsia" w:ascii="Times New Roman" w:hAnsi="Times New Roman" w:cs="Times New Roman" w:eastAsiaTheme="majorEastAsia"/>
          <w:color w:val="000000"/>
          <w:kern w:val="0"/>
          <w:sz w:val="24"/>
          <w:szCs w:val="24"/>
        </w:rPr>
        <w:t>结合质子矢量磁力仪的计量特性校准需求，根据校准用标准设备与被测设备的指标关系，形成了测量设备配置要求，对相应的测量范围、最大允许误差、分辨力、分度值等提出了要求。</w:t>
      </w:r>
    </w:p>
    <w:p w14:paraId="6802527C">
      <w:pPr>
        <w:pStyle w:val="3"/>
      </w:pPr>
      <w:bookmarkStart w:id="62" w:name="_Toc135396902"/>
      <w:r>
        <w:t>4.7 校准</w:t>
      </w:r>
      <w:r>
        <w:rPr>
          <w:rFonts w:hint="eastAsia"/>
        </w:rPr>
        <w:t>方法</w:t>
      </w:r>
      <w:bookmarkEnd w:id="62"/>
      <w:r>
        <w:rPr>
          <w:rFonts w:hint="eastAsia"/>
        </w:rPr>
        <w:t>和复校时间间隔</w:t>
      </w:r>
    </w:p>
    <w:p w14:paraId="1496AFCE">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依次给出了总强度示值误差、总强度温度稳定性、分量线圈装置转台轴回转误差、分量线圈装置转台角位置定位误差及重复性、水平仪分度值误差、恒定电流源补偿电流温漂相对偏差、恒定电流源偏置电流正反向电流输出相对偏差、水平分量（或垂直分量）和相对磁偏角示值误差、重复性的校准方法。校准方法的提出，相关说明如下：</w:t>
      </w:r>
    </w:p>
    <w:p w14:paraId="73E33797">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（1）总强度给出了实验室的校准方法，可以获得全量程的示值误差和不确定度，并且其校准结果为所有分量测量的基础，也是其他分量校准的标准器，是其分量校准结果不确定度的重要来源。</w:t>
      </w:r>
    </w:p>
    <w:p w14:paraId="000F334F">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（2）分量线圈装置相关的计量特征中，相关校准方法参考了国家计量校准方法，并开展了相关验证实验。</w:t>
      </w:r>
    </w:p>
    <w:p w14:paraId="6ED8A02D">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w:t>
      </w:r>
      <w:r>
        <w:rPr>
          <w:rFonts w:ascii="Times New Roman" w:hAnsi="Times New Roman" w:eastAsia="宋体" w:cs="Times New Roman"/>
          <w:color w:val="000000"/>
          <w:kern w:val="0"/>
          <w:sz w:val="24"/>
          <w:szCs w:val="24"/>
        </w:rPr>
        <w:t>水平仪分度值误差</w:t>
      </w:r>
      <w:r>
        <w:rPr>
          <w:rFonts w:hint="eastAsia" w:ascii="Times New Roman" w:hAnsi="Times New Roman" w:eastAsia="宋体" w:cs="Times New Roman"/>
          <w:color w:val="000000"/>
          <w:kern w:val="0"/>
          <w:sz w:val="24"/>
          <w:szCs w:val="24"/>
        </w:rPr>
        <w:t>校准提出了两种校准方法。其一参考了</w:t>
      </w:r>
      <w:r>
        <w:rPr>
          <w:rFonts w:ascii="Times New Roman" w:hAnsi="Times New Roman" w:eastAsia="宋体" w:cs="Times New Roman"/>
          <w:color w:val="000000"/>
          <w:kern w:val="0"/>
          <w:sz w:val="24"/>
          <w:szCs w:val="24"/>
        </w:rPr>
        <w:t>JJF1084-2002中的</w:t>
      </w:r>
      <w:r>
        <w:rPr>
          <w:rFonts w:hint="eastAsia" w:ascii="Times New Roman" w:hAnsi="Times New Roman" w:eastAsia="宋体" w:cs="Times New Roman"/>
          <w:color w:val="000000"/>
          <w:kern w:val="0"/>
          <w:sz w:val="24"/>
          <w:szCs w:val="24"/>
        </w:rPr>
        <w:t>相应校准方法。另一种方法主要考虑台站人员现场校准的便利，结合本仪器特点，给出了结合仪器自身装置的校准方法，并开展了相关验证实验。</w:t>
      </w:r>
    </w:p>
    <w:p w14:paraId="0785D629">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4）水平分量（垂直分量）和磁偏角的误差校准工作较为特殊。当前实验室里给不出一个确定方向的人工磁场（通常给出的人工磁场大小可控，方向的误差远大于被校对象方向的要求），因此无法在实验室里开展分量的示值误差校准工作。考虑到分量观测受线圈姿态影响较大，保持能力较短，因此台站校准的方法更具有操作性和必要性。因此，这里校准方法是基于测量原理，采用了基于仪器本身的质子磁力仪、分量线圈装置（具有高精度转台）和恒定电流源的校准，可以台站进行校准工作。校准前应确保上述标准件已完成校准，并且在有效其内，相应校准结果为示值误差不确定评定的来源。在附录A和附录B中给出了具体校准步骤和相应的技术要求。</w:t>
      </w:r>
    </w:p>
    <w:p w14:paraId="20A5EEB3">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5）复校时间间隔主要分为两部分，水平分量（或垂直分量）、磁偏角的示值误差建议复校间隔一般不超过3个月，其他项建议复校间隔一般不超过2年。送校单位可根据实际使用情况自主决定复校时间间隔。这里主要考虑线圈姿态的保持能力，因此对线圈姿态保持影响的观测量水平分量（或垂直分量）、磁偏角的示值误差给出了较短的校准时间。并且我们短期校准间隔的参数的校准方法都是可以基于台站开展的校准方法，以保证仪器在正常的工作状态或给出相应的修正值，保持仪器观测的连续性。</w:t>
      </w:r>
    </w:p>
    <w:p w14:paraId="18C30F8A">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最后</w:t>
      </w:r>
      <w:r>
        <w:rPr>
          <w:rFonts w:hint="eastAsia" w:ascii="Times New Roman" w:hAnsi="Times New Roman" w:eastAsia="宋体" w:cs="Times New Roman"/>
          <w:color w:val="000000"/>
          <w:kern w:val="0"/>
          <w:sz w:val="24"/>
          <w:szCs w:val="24"/>
        </w:rPr>
        <w:t>对校准结果不确定度给出了两个示例。分别为某一个校准点为例进行总强度测量误差校准结果不确定度的分析和总强度温度稳定性校准结果不确定度的分析。</w:t>
      </w:r>
    </w:p>
    <w:p w14:paraId="0E741B64">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p>
    <w:p w14:paraId="4A427BAB">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p>
    <w:p w14:paraId="174B85A0">
      <w:pPr>
        <w:widowControl/>
        <w:autoSpaceDE w:val="0"/>
        <w:autoSpaceDN w:val="0"/>
        <w:adjustRightInd w:val="0"/>
        <w:snapToGrid w:val="0"/>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                                 《质子矢量磁力仪校准规范》编写组</w:t>
      </w:r>
    </w:p>
    <w:p w14:paraId="7E65FE48">
      <w:pPr>
        <w:widowControl/>
        <w:autoSpaceDE w:val="0"/>
        <w:autoSpaceDN w:val="0"/>
        <w:adjustRightInd w:val="0"/>
        <w:snapToGrid w:val="0"/>
        <w:spacing w:line="360" w:lineRule="auto"/>
        <w:ind w:firstLine="480" w:firstLineChars="200"/>
        <w:jc w:val="left"/>
        <w:rPr>
          <w:rFonts w:ascii="Times New Roman"/>
          <w:sz w:val="24"/>
          <w:szCs w:val="24"/>
        </w:rPr>
      </w:pPr>
      <w:r>
        <w:rPr>
          <w:rFonts w:hint="eastAsia" w:ascii="Times New Roman" w:hAnsi="Times New Roman" w:eastAsia="宋体" w:cs="Times New Roman"/>
          <w:color w:val="000000"/>
          <w:kern w:val="0"/>
          <w:sz w:val="24"/>
          <w:szCs w:val="24"/>
        </w:rPr>
        <w:t xml:space="preserve"> </w:t>
      </w:r>
      <w:r>
        <w:rPr>
          <w:rFonts w:ascii="Times New Roman" w:hAnsi="Times New Roman" w:eastAsia="宋体" w:cs="Times New Roman"/>
          <w:color w:val="000000"/>
          <w:kern w:val="0"/>
          <w:sz w:val="24"/>
          <w:szCs w:val="24"/>
        </w:rPr>
        <w:t xml:space="preserve">                                           </w:t>
      </w:r>
      <w:r>
        <w:rPr>
          <w:rFonts w:hint="eastAsia" w:ascii="Times New Roman" w:hAnsi="Times New Roman" w:eastAsia="宋体" w:cs="Times New Roman"/>
          <w:color w:val="000000"/>
          <w:kern w:val="0"/>
          <w:sz w:val="24"/>
          <w:szCs w:val="24"/>
        </w:rPr>
        <w:t>2024年8月10日</w:t>
      </w:r>
    </w:p>
    <w:sectPr>
      <w:headerReference r:id="rId5" w:type="default"/>
      <w:footerReference r:id="rId6" w:type="default"/>
      <w:pgSz w:w="11906" w:h="16838"/>
      <w:pgMar w:top="1134" w:right="1134"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88CFC">
    <w:pPr>
      <w:pStyle w:val="5"/>
      <w:jc w:val="right"/>
    </w:pPr>
  </w:p>
  <w:p w14:paraId="3305774A">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77835">
    <w:pPr>
      <w:pStyle w:val="5"/>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907477"/>
      <w:docPartObj>
        <w:docPartGallery w:val="AutoText"/>
      </w:docPartObj>
    </w:sdtPr>
    <w:sdtContent>
      <w:p w14:paraId="19BD6A34">
        <w:pPr>
          <w:pStyle w:val="5"/>
          <w:jc w:val="right"/>
          <w:rPr>
            <w:rFonts w:hint="eastAsia"/>
          </w:rP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2D6A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DC5005"/>
    <w:multiLevelType w:val="multilevel"/>
    <w:tmpl w:val="4CDC5005"/>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JiYzljYmNjZTUwMzg1YmVjZjg0MzgwOWM2NDdjOTgifQ=="/>
  </w:docVars>
  <w:rsids>
    <w:rsidRoot w:val="008C6D83"/>
    <w:rsid w:val="000061A6"/>
    <w:rsid w:val="00033605"/>
    <w:rsid w:val="000344C2"/>
    <w:rsid w:val="00057ADC"/>
    <w:rsid w:val="000631AE"/>
    <w:rsid w:val="00065533"/>
    <w:rsid w:val="000669E3"/>
    <w:rsid w:val="0007026F"/>
    <w:rsid w:val="0008461E"/>
    <w:rsid w:val="000937E6"/>
    <w:rsid w:val="0009405C"/>
    <w:rsid w:val="000962EE"/>
    <w:rsid w:val="000B52B2"/>
    <w:rsid w:val="000C5406"/>
    <w:rsid w:val="000E3734"/>
    <w:rsid w:val="0010505A"/>
    <w:rsid w:val="001058FD"/>
    <w:rsid w:val="0012622D"/>
    <w:rsid w:val="00130739"/>
    <w:rsid w:val="00136E5A"/>
    <w:rsid w:val="0013798A"/>
    <w:rsid w:val="00140BF4"/>
    <w:rsid w:val="00140E8B"/>
    <w:rsid w:val="00151886"/>
    <w:rsid w:val="0015799A"/>
    <w:rsid w:val="00160DC3"/>
    <w:rsid w:val="00165940"/>
    <w:rsid w:val="00176D2E"/>
    <w:rsid w:val="001946EE"/>
    <w:rsid w:val="001B26D2"/>
    <w:rsid w:val="001E6C3A"/>
    <w:rsid w:val="001F2D84"/>
    <w:rsid w:val="00207914"/>
    <w:rsid w:val="0021480C"/>
    <w:rsid w:val="002155EA"/>
    <w:rsid w:val="00223099"/>
    <w:rsid w:val="0022633C"/>
    <w:rsid w:val="00241DC5"/>
    <w:rsid w:val="0025268B"/>
    <w:rsid w:val="00255DA2"/>
    <w:rsid w:val="00255F6F"/>
    <w:rsid w:val="00256DD4"/>
    <w:rsid w:val="00260AF3"/>
    <w:rsid w:val="0027351E"/>
    <w:rsid w:val="00281387"/>
    <w:rsid w:val="002850E5"/>
    <w:rsid w:val="00287E10"/>
    <w:rsid w:val="00293F17"/>
    <w:rsid w:val="00294463"/>
    <w:rsid w:val="002A0959"/>
    <w:rsid w:val="002A3360"/>
    <w:rsid w:val="002A5E7D"/>
    <w:rsid w:val="002C0276"/>
    <w:rsid w:val="002C09A8"/>
    <w:rsid w:val="002E0FCE"/>
    <w:rsid w:val="002E307D"/>
    <w:rsid w:val="002F051F"/>
    <w:rsid w:val="002F0CED"/>
    <w:rsid w:val="0030136E"/>
    <w:rsid w:val="00302A7F"/>
    <w:rsid w:val="00302B96"/>
    <w:rsid w:val="00303076"/>
    <w:rsid w:val="00322036"/>
    <w:rsid w:val="00327EC8"/>
    <w:rsid w:val="0033043C"/>
    <w:rsid w:val="00334F45"/>
    <w:rsid w:val="003575C3"/>
    <w:rsid w:val="00362337"/>
    <w:rsid w:val="00363DBE"/>
    <w:rsid w:val="00366C6F"/>
    <w:rsid w:val="00376723"/>
    <w:rsid w:val="00381457"/>
    <w:rsid w:val="00391B00"/>
    <w:rsid w:val="003A64EB"/>
    <w:rsid w:val="003C6A19"/>
    <w:rsid w:val="003D172E"/>
    <w:rsid w:val="003D5CC0"/>
    <w:rsid w:val="003F0073"/>
    <w:rsid w:val="003F3B7F"/>
    <w:rsid w:val="003F5CFD"/>
    <w:rsid w:val="004037B7"/>
    <w:rsid w:val="00416ADD"/>
    <w:rsid w:val="00420B7B"/>
    <w:rsid w:val="00423232"/>
    <w:rsid w:val="004237F0"/>
    <w:rsid w:val="00424A82"/>
    <w:rsid w:val="00435114"/>
    <w:rsid w:val="00436437"/>
    <w:rsid w:val="00444397"/>
    <w:rsid w:val="00444930"/>
    <w:rsid w:val="00445A42"/>
    <w:rsid w:val="00445F49"/>
    <w:rsid w:val="004500D6"/>
    <w:rsid w:val="0046124F"/>
    <w:rsid w:val="00490A20"/>
    <w:rsid w:val="0049353D"/>
    <w:rsid w:val="004D1132"/>
    <w:rsid w:val="004E2F55"/>
    <w:rsid w:val="004E629E"/>
    <w:rsid w:val="0050042B"/>
    <w:rsid w:val="005124C8"/>
    <w:rsid w:val="005143D2"/>
    <w:rsid w:val="005230D3"/>
    <w:rsid w:val="00541925"/>
    <w:rsid w:val="00542898"/>
    <w:rsid w:val="00545D81"/>
    <w:rsid w:val="00562734"/>
    <w:rsid w:val="005715D6"/>
    <w:rsid w:val="005A0168"/>
    <w:rsid w:val="005A2B0C"/>
    <w:rsid w:val="005B7786"/>
    <w:rsid w:val="005C6151"/>
    <w:rsid w:val="005C7512"/>
    <w:rsid w:val="005F284A"/>
    <w:rsid w:val="006005CE"/>
    <w:rsid w:val="006066C2"/>
    <w:rsid w:val="006068C7"/>
    <w:rsid w:val="00610E0E"/>
    <w:rsid w:val="00616A13"/>
    <w:rsid w:val="006218F0"/>
    <w:rsid w:val="006228FE"/>
    <w:rsid w:val="00631C56"/>
    <w:rsid w:val="00640806"/>
    <w:rsid w:val="00670D49"/>
    <w:rsid w:val="00672804"/>
    <w:rsid w:val="00677EF5"/>
    <w:rsid w:val="00680FF7"/>
    <w:rsid w:val="006B2C97"/>
    <w:rsid w:val="006C6D84"/>
    <w:rsid w:val="006C711D"/>
    <w:rsid w:val="006C7AB0"/>
    <w:rsid w:val="006D2D12"/>
    <w:rsid w:val="006D5157"/>
    <w:rsid w:val="006D53A9"/>
    <w:rsid w:val="006E0F7A"/>
    <w:rsid w:val="00702E8A"/>
    <w:rsid w:val="00710E1A"/>
    <w:rsid w:val="00714951"/>
    <w:rsid w:val="00716748"/>
    <w:rsid w:val="007243DC"/>
    <w:rsid w:val="0073212B"/>
    <w:rsid w:val="00737CF5"/>
    <w:rsid w:val="00742F62"/>
    <w:rsid w:val="00755F84"/>
    <w:rsid w:val="00756314"/>
    <w:rsid w:val="00763CC0"/>
    <w:rsid w:val="00781BAF"/>
    <w:rsid w:val="007A139D"/>
    <w:rsid w:val="007A2B0F"/>
    <w:rsid w:val="007B4957"/>
    <w:rsid w:val="007B5ED0"/>
    <w:rsid w:val="007E17E3"/>
    <w:rsid w:val="007E702F"/>
    <w:rsid w:val="0080243C"/>
    <w:rsid w:val="00807114"/>
    <w:rsid w:val="008408EF"/>
    <w:rsid w:val="0085019F"/>
    <w:rsid w:val="00850F72"/>
    <w:rsid w:val="00852B20"/>
    <w:rsid w:val="0086309C"/>
    <w:rsid w:val="00864877"/>
    <w:rsid w:val="008653F4"/>
    <w:rsid w:val="008815B9"/>
    <w:rsid w:val="00893244"/>
    <w:rsid w:val="00895C4F"/>
    <w:rsid w:val="008A0C7E"/>
    <w:rsid w:val="008A7100"/>
    <w:rsid w:val="008B0845"/>
    <w:rsid w:val="008B4BD4"/>
    <w:rsid w:val="008C6D83"/>
    <w:rsid w:val="008D66C3"/>
    <w:rsid w:val="0091639F"/>
    <w:rsid w:val="009174CE"/>
    <w:rsid w:val="00917966"/>
    <w:rsid w:val="009521E9"/>
    <w:rsid w:val="00961441"/>
    <w:rsid w:val="009864F4"/>
    <w:rsid w:val="00986A02"/>
    <w:rsid w:val="009A1FB5"/>
    <w:rsid w:val="009A7B51"/>
    <w:rsid w:val="009B40B1"/>
    <w:rsid w:val="009C099B"/>
    <w:rsid w:val="009C7B6C"/>
    <w:rsid w:val="009D745C"/>
    <w:rsid w:val="009E0A7F"/>
    <w:rsid w:val="009E57E9"/>
    <w:rsid w:val="009E7381"/>
    <w:rsid w:val="009F23FB"/>
    <w:rsid w:val="009F52B6"/>
    <w:rsid w:val="00A05591"/>
    <w:rsid w:val="00A222B4"/>
    <w:rsid w:val="00A33802"/>
    <w:rsid w:val="00A3416C"/>
    <w:rsid w:val="00A556EE"/>
    <w:rsid w:val="00A827F5"/>
    <w:rsid w:val="00A85CC3"/>
    <w:rsid w:val="00A942EE"/>
    <w:rsid w:val="00AA3A82"/>
    <w:rsid w:val="00AA7D48"/>
    <w:rsid w:val="00AB7D0B"/>
    <w:rsid w:val="00AB7D7A"/>
    <w:rsid w:val="00AC0C14"/>
    <w:rsid w:val="00AC350D"/>
    <w:rsid w:val="00AC6856"/>
    <w:rsid w:val="00AD3E72"/>
    <w:rsid w:val="00AD4895"/>
    <w:rsid w:val="00AE218B"/>
    <w:rsid w:val="00B03492"/>
    <w:rsid w:val="00B13BF4"/>
    <w:rsid w:val="00B23A4D"/>
    <w:rsid w:val="00B26A20"/>
    <w:rsid w:val="00B3380B"/>
    <w:rsid w:val="00B511FB"/>
    <w:rsid w:val="00B55707"/>
    <w:rsid w:val="00B73769"/>
    <w:rsid w:val="00B74097"/>
    <w:rsid w:val="00B74BC7"/>
    <w:rsid w:val="00B8686B"/>
    <w:rsid w:val="00B91BC8"/>
    <w:rsid w:val="00BA39C1"/>
    <w:rsid w:val="00BA430E"/>
    <w:rsid w:val="00BB2C45"/>
    <w:rsid w:val="00BD63C9"/>
    <w:rsid w:val="00BD74DA"/>
    <w:rsid w:val="00BE41D7"/>
    <w:rsid w:val="00BE6EC5"/>
    <w:rsid w:val="00BF210B"/>
    <w:rsid w:val="00BF2C24"/>
    <w:rsid w:val="00BF4B63"/>
    <w:rsid w:val="00C02AE4"/>
    <w:rsid w:val="00C13760"/>
    <w:rsid w:val="00C2112D"/>
    <w:rsid w:val="00C66260"/>
    <w:rsid w:val="00CA3AFB"/>
    <w:rsid w:val="00CA7F51"/>
    <w:rsid w:val="00CB0DC7"/>
    <w:rsid w:val="00CB2AC8"/>
    <w:rsid w:val="00CB4AED"/>
    <w:rsid w:val="00CB6DCB"/>
    <w:rsid w:val="00CD5B38"/>
    <w:rsid w:val="00CD6DE4"/>
    <w:rsid w:val="00CE0A54"/>
    <w:rsid w:val="00CE1B0E"/>
    <w:rsid w:val="00D15009"/>
    <w:rsid w:val="00D20121"/>
    <w:rsid w:val="00D2125E"/>
    <w:rsid w:val="00D218D6"/>
    <w:rsid w:val="00D32DCD"/>
    <w:rsid w:val="00D33998"/>
    <w:rsid w:val="00D33E44"/>
    <w:rsid w:val="00D37D0B"/>
    <w:rsid w:val="00D4634F"/>
    <w:rsid w:val="00D52BBD"/>
    <w:rsid w:val="00D604D9"/>
    <w:rsid w:val="00D6634F"/>
    <w:rsid w:val="00D66FD3"/>
    <w:rsid w:val="00D91CB8"/>
    <w:rsid w:val="00DA26F3"/>
    <w:rsid w:val="00DA3EFA"/>
    <w:rsid w:val="00DC1638"/>
    <w:rsid w:val="00DD18FF"/>
    <w:rsid w:val="00DE1EE2"/>
    <w:rsid w:val="00E1793C"/>
    <w:rsid w:val="00E219DE"/>
    <w:rsid w:val="00E30F77"/>
    <w:rsid w:val="00E60715"/>
    <w:rsid w:val="00E730D3"/>
    <w:rsid w:val="00E762C6"/>
    <w:rsid w:val="00E90836"/>
    <w:rsid w:val="00E95A2E"/>
    <w:rsid w:val="00EA02F6"/>
    <w:rsid w:val="00EB119B"/>
    <w:rsid w:val="00EB15FF"/>
    <w:rsid w:val="00EE4046"/>
    <w:rsid w:val="00EF7020"/>
    <w:rsid w:val="00EF75AC"/>
    <w:rsid w:val="00F141CD"/>
    <w:rsid w:val="00F37DA4"/>
    <w:rsid w:val="00F54F7B"/>
    <w:rsid w:val="00F6450C"/>
    <w:rsid w:val="00F75D47"/>
    <w:rsid w:val="00F84D65"/>
    <w:rsid w:val="00F85995"/>
    <w:rsid w:val="00F85A6D"/>
    <w:rsid w:val="00FA1E7C"/>
    <w:rsid w:val="00FA24B4"/>
    <w:rsid w:val="00FB4565"/>
    <w:rsid w:val="00FB6436"/>
    <w:rsid w:val="00FC260D"/>
    <w:rsid w:val="00FC35CB"/>
    <w:rsid w:val="00FD2EA5"/>
    <w:rsid w:val="00FD70C9"/>
    <w:rsid w:val="00FF4855"/>
    <w:rsid w:val="14CE3BD6"/>
    <w:rsid w:val="5B5C1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autoSpaceDE w:val="0"/>
      <w:autoSpaceDN w:val="0"/>
      <w:adjustRightInd w:val="0"/>
      <w:snapToGrid w:val="0"/>
      <w:spacing w:before="156" w:beforeLines="50" w:line="360" w:lineRule="auto"/>
      <w:ind w:left="440" w:hanging="440"/>
      <w:jc w:val="left"/>
      <w:outlineLvl w:val="0"/>
    </w:pPr>
    <w:rPr>
      <w:rFonts w:ascii="Times New Roman" w:hAnsi="Times New Roman" w:eastAsia="黑体" w:cs="Times New Roman"/>
      <w:color w:val="000000"/>
      <w:kern w:val="0"/>
      <w:sz w:val="28"/>
      <w:szCs w:val="28"/>
    </w:rPr>
  </w:style>
  <w:style w:type="paragraph" w:styleId="3">
    <w:name w:val="heading 2"/>
    <w:basedOn w:val="1"/>
    <w:next w:val="1"/>
    <w:link w:val="24"/>
    <w:unhideWhenUsed/>
    <w:qFormat/>
    <w:uiPriority w:val="9"/>
    <w:pPr>
      <w:widowControl/>
      <w:autoSpaceDE w:val="0"/>
      <w:autoSpaceDN w:val="0"/>
      <w:adjustRightInd w:val="0"/>
      <w:snapToGrid w:val="0"/>
      <w:spacing w:line="360" w:lineRule="auto"/>
      <w:jc w:val="left"/>
      <w:outlineLvl w:val="1"/>
    </w:pPr>
    <w:rPr>
      <w:rFonts w:ascii="Times New Roman" w:hAnsi="Times New Roman" w:eastAsia="宋体" w:cs="Times New Roman"/>
      <w:color w:val="000000"/>
      <w:kern w:val="0"/>
      <w:sz w:val="24"/>
      <w:szCs w:val="24"/>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style>
  <w:style w:type="paragraph" w:styleId="8">
    <w:name w:val="toc 2"/>
    <w:basedOn w:val="1"/>
    <w:next w:val="1"/>
    <w:autoRedefine/>
    <w:unhideWhenUsed/>
    <w:qFormat/>
    <w:uiPriority w:val="39"/>
    <w:pPr>
      <w:ind w:left="420" w:leftChars="200"/>
    </w:p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Hyperlink"/>
    <w:basedOn w:val="11"/>
    <w:unhideWhenUsed/>
    <w:qFormat/>
    <w:uiPriority w:val="99"/>
    <w:rPr>
      <w:color w:val="0000FF" w:themeColor="hyperlink"/>
      <w:u w:val="single"/>
      <w14:textFill>
        <w14:solidFill>
          <w14:schemeClr w14:val="hlink"/>
        </w14:solidFill>
      </w14:textFill>
    </w:rPr>
  </w:style>
  <w:style w:type="character" w:customStyle="1" w:styleId="14">
    <w:name w:val="页眉 字符"/>
    <w:basedOn w:val="11"/>
    <w:link w:val="6"/>
    <w:qFormat/>
    <w:uiPriority w:val="99"/>
    <w:rPr>
      <w:sz w:val="18"/>
      <w:szCs w:val="18"/>
    </w:rPr>
  </w:style>
  <w:style w:type="character" w:customStyle="1" w:styleId="15">
    <w:name w:val="页脚 字符"/>
    <w:basedOn w:val="11"/>
    <w:link w:val="5"/>
    <w:qFormat/>
    <w:uiPriority w:val="99"/>
    <w:rPr>
      <w:sz w:val="18"/>
      <w:szCs w:val="18"/>
    </w:rPr>
  </w:style>
  <w:style w:type="character" w:customStyle="1" w:styleId="16">
    <w:name w:val="批注框文本 字符"/>
    <w:basedOn w:val="11"/>
    <w:link w:val="4"/>
    <w:semiHidden/>
    <w:qFormat/>
    <w:uiPriority w:val="99"/>
    <w:rPr>
      <w:sz w:val="18"/>
      <w:szCs w:val="18"/>
    </w:rPr>
  </w:style>
  <w:style w:type="character" w:styleId="17">
    <w:name w:val="Placeholder Text"/>
    <w:basedOn w:val="11"/>
    <w:semiHidden/>
    <w:qFormat/>
    <w:uiPriority w:val="99"/>
    <w:rPr>
      <w:color w:val="808080"/>
    </w:rPr>
  </w:style>
  <w:style w:type="paragraph" w:customStyle="1" w:styleId="18">
    <w:name w:val="段"/>
    <w:link w:val="1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9">
    <w:name w:val="段 Char"/>
    <w:link w:val="18"/>
    <w:qFormat/>
    <w:uiPriority w:val="0"/>
    <w:rPr>
      <w:rFonts w:ascii="宋体" w:hAnsi="Times New Roman" w:eastAsia="宋体" w:cs="Times New Roman"/>
      <w:kern w:val="0"/>
      <w:szCs w:val="20"/>
    </w:rPr>
  </w:style>
  <w:style w:type="character" w:customStyle="1" w:styleId="20">
    <w:name w:val="标题 1 字符"/>
    <w:basedOn w:val="11"/>
    <w:link w:val="2"/>
    <w:qFormat/>
    <w:uiPriority w:val="9"/>
    <w:rPr>
      <w:rFonts w:ascii="Times New Roman" w:hAnsi="Times New Roman" w:eastAsia="黑体" w:cs="Times New Roman"/>
      <w:color w:val="000000"/>
      <w:kern w:val="0"/>
      <w:sz w:val="28"/>
      <w:szCs w:val="28"/>
    </w:rPr>
  </w:style>
  <w:style w:type="paragraph" w:customStyle="1" w:styleId="2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2">
    <w:name w:val="段 Char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
    <w:name w:val="TOC 标题1"/>
    <w:basedOn w:val="2"/>
    <w:next w:val="1"/>
    <w:unhideWhenUsed/>
    <w:qFormat/>
    <w:uiPriority w:val="39"/>
    <w:pPr>
      <w:spacing w:before="480" w:line="276" w:lineRule="auto"/>
      <w:outlineLvl w:val="9"/>
    </w:pPr>
    <w:rPr>
      <w:rFonts w:asciiTheme="majorHAnsi" w:hAnsiTheme="majorHAnsi" w:eastAsiaTheme="majorEastAsia" w:cstheme="majorBidi"/>
      <w:color w:val="376092" w:themeColor="accent1" w:themeShade="BF"/>
    </w:rPr>
  </w:style>
  <w:style w:type="character" w:customStyle="1" w:styleId="24">
    <w:name w:val="标题 2 字符"/>
    <w:basedOn w:val="11"/>
    <w:link w:val="3"/>
    <w:qFormat/>
    <w:uiPriority w:val="9"/>
    <w:rPr>
      <w:rFonts w:ascii="Times New Roman" w:hAnsi="Times New Roman" w:eastAsia="宋体" w:cs="Times New Roman"/>
      <w:color w:val="000000"/>
      <w:kern w:val="0"/>
      <w:sz w:val="24"/>
      <w:szCs w:val="24"/>
    </w:rPr>
  </w:style>
  <w:style w:type="paragraph" w:customStyle="1" w:styleId="25">
    <w:name w:val="Char Char1"/>
    <w:basedOn w:val="1"/>
    <w:qFormat/>
    <w:uiPriority w:val="0"/>
    <w:rPr>
      <w:rFonts w:ascii="Tahoma" w:hAnsi="Tahoma" w:eastAsia="宋体" w:cs="Times New Roman"/>
      <w:sz w:val="24"/>
      <w:szCs w:val="20"/>
    </w:rPr>
  </w:style>
  <w:style w:type="character" w:customStyle="1" w:styleId="26">
    <w:name w:val="trans"/>
    <w:qFormat/>
    <w:uiPriority w:val="0"/>
  </w:style>
  <w:style w:type="paragraph" w:customStyle="1" w:styleId="27">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B872D-9AEC-4F33-963B-942D8FAF17B3}">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7</Pages>
  <Words>3976</Words>
  <Characters>4233</Characters>
  <Lines>38</Lines>
  <Paragraphs>10</Paragraphs>
  <TotalTime>116</TotalTime>
  <ScaleCrop>false</ScaleCrop>
  <LinksUpToDate>false</LinksUpToDate>
  <CharactersWithSpaces>4410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2023-05-19T05:45:00Z</dcterms:created>
  <dc:creator>HZ</dc:creator>
  <cp:lastModifiedBy>JINYUNlx</cp:lastModifiedBy>
  <dcterms:modified xsi:type="dcterms:W3CDTF">2024-09-30T02:27:50Z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895FCA82631C4900934C3C4FF52D8EF5_12</vt:lpwstr>
  </property>
</Properties>
</file>