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eastAsia="黑体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卡套预装机内插</w:t>
      </w:r>
      <w:r>
        <w:rPr>
          <w:rFonts w:hint="eastAsia" w:ascii="黑体" w:hAnsi="黑体" w:eastAsia="黑体"/>
          <w:sz w:val="28"/>
          <w:szCs w:val="28"/>
          <w:lang w:val="zh-CN"/>
        </w:rPr>
        <w:t>误差的不确定度评定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报告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测量方案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1.1校准依据JJF（吉）XXX-2024《卡套预装机校准规范》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1.2 计量标准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 主要计量标准设备为标准测力仪，测量范围（0～150）kN，准确度等级0.1级。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1.3 被校对象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 卡套预装机，型号规格：EOMAT ECO  编号：949-2。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1.4 校准方法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启动卡套预装机油泵，施加最大力值两次。随后从卡套预装机额定预设压力值的20%开始设置校准点，加载过程应缓慢平稳，不得有冲击和超载现象。按递增顺序逐点进行校准，至各校准点保持稳定后记录相应的进程示值，直至最大压力值。校准点应尽量均匀分布，一般不少于5点，每一校准点重复测量3次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以卡套预装机指示器为依据，在测力仪上读数。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ind w:left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测量模型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内插误差计算公式</w:t>
      </w:r>
      <w:r>
        <w:rPr>
          <w:rFonts w:hint="eastAsia" w:ascii="宋体" w:hAnsi="宋体" w:eastAsia="宋体" w:cs="宋体"/>
          <w:position w:val="-28"/>
          <w:sz w:val="24"/>
          <w:szCs w:val="24"/>
          <w:lang w:val="en-US" w:eastAsia="zh-CN"/>
        </w:rPr>
        <w:object>
          <v:shape id="_x0000_i1025" o:spt="75" type="#_x0000_t75" style="height:33pt;width:54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position w:val="-2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将</w:t>
      </w: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26" o:spt="75" type="#_x0000_t75" style="height:18pt;width:5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代入上式，得</w:t>
      </w:r>
      <w:r>
        <w:rPr>
          <w:rFonts w:hint="eastAsia" w:ascii="宋体" w:hAnsi="宋体" w:eastAsia="宋体" w:cs="宋体"/>
          <w:position w:val="-28"/>
          <w:sz w:val="24"/>
          <w:szCs w:val="24"/>
          <w:lang w:val="en-US" w:eastAsia="zh-CN"/>
        </w:rPr>
        <w:object>
          <v:shape id="_x0000_i1027" o:spt="75" type="#_x0000_t75" style="height:33pt;width:1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式中：</w:t>
      </w:r>
      <w:r>
        <w:rPr>
          <w:rFonts w:hint="eastAsia" w:ascii="宋体" w:hAnsi="宋体" w:eastAsia="宋体" w:cs="宋体"/>
          <w:position w:val="-4"/>
          <w:sz w:val="24"/>
          <w:szCs w:val="24"/>
          <w:lang w:val="en-US" w:eastAsia="zh-CN"/>
        </w:rPr>
        <w:object>
          <v:shape id="_x0000_i1028" o:spt="75" type="#_x0000_t75" style="height:13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——卡套预装机的内插误差，%；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29" o:spt="75" type="#_x0000_t75" style="height:18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——由校准方程求出的与输出力值对应的指示器拟合值，MPa；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4"/>
          <w:sz w:val="24"/>
          <w:szCs w:val="24"/>
          <w:lang w:val="en-US" w:eastAsia="zh-CN"/>
        </w:rPr>
        <w:object>
          <v:shape id="_x0000_i1030" o:spt="75" type="#_x0000_t75" style="height:13pt;width:1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——同设定压力值相对应的标准测力仪读数值，kN；</w:t>
      </w:r>
    </w:p>
    <w:p>
      <w:pPr>
        <w:numPr>
          <w:ilvl w:val="0"/>
          <w:numId w:val="0"/>
        </w:numPr>
        <w:spacing w:line="360" w:lineRule="auto"/>
        <w:ind w:leftChars="0" w:firstLine="720" w:firstLine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31" o:spt="75" type="#_x0000_t75" style="height:13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——卡套预装机压力指示器的设定值,MPa；</w:t>
      </w:r>
    </w:p>
    <w:p>
      <w:pPr>
        <w:numPr>
          <w:ilvl w:val="0"/>
          <w:numId w:val="0"/>
        </w:numPr>
        <w:spacing w:line="360" w:lineRule="auto"/>
        <w:ind w:leftChars="0" w:firstLine="72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2" o:spt="75" type="#_x0000_t75" style="height:13.95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33" o:spt="75" type="#_x0000_t75" style="height:13.95pt;width:1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——校准方程的相关系数。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方差和灵敏系数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由于各输入量之间不相关，合成方差为：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34" o:spt="75" type="#_x0000_t75" style="height:19pt;width:12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式中灵敏系数为：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8"/>
          <w:sz w:val="24"/>
          <w:szCs w:val="24"/>
          <w:lang w:val="en-US" w:eastAsia="zh-CN"/>
        </w:rPr>
        <w:object>
          <v:shape id="_x0000_i1035" o:spt="75" type="#_x0000_t75" style="height:33pt;width:7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position w:val="-28"/>
          <w:sz w:val="24"/>
          <w:szCs w:val="24"/>
          <w:lang w:val="en-US" w:eastAsia="zh-CN"/>
        </w:rPr>
        <w:object>
          <v:shape id="_x0000_i1036" o:spt="75" type="#_x0000_t75" style="height:33pt;width: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</w:p>
    <w:p>
      <w:pPr>
        <w:numPr>
          <w:ilvl w:val="0"/>
          <w:numId w:val="4"/>
        </w:numPr>
        <w:spacing w:line="360" w:lineRule="auto"/>
        <w:ind w:leftChars="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标准不确定度分量的计算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4.1标准测力仪的测量重复性引入的不确定度分量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37" o:spt="75" type="#_x0000_t75" style="height:17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在卡套预装机压力指示器设定为55bar（5.5MPa）时，在相同条件下进行3次重复测量，按照下式计算测量点重复性引入的不确定度分量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position w:val="-28"/>
          <w:sz w:val="28"/>
          <w:szCs w:val="28"/>
          <w:lang w:val="en-US" w:eastAsia="zh-CN"/>
        </w:rPr>
        <w:object>
          <v:shape id="_x0000_i1038" o:spt="75" type="#_x0000_t75" style="height:33pt;width:14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0.079kN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4.2 标准测力仪准确度等级引入的不确定度分量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39" o:spt="75" type="#_x0000_t75" style="height:17pt;width:1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具体以5.5MPa，62.14kN为例计算，校准用的标准测力仪的准确度等级为0.1级，按均匀分布处理，其引入的标准不确定度为：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position w:val="-28"/>
          <w:sz w:val="28"/>
          <w:szCs w:val="28"/>
          <w:lang w:val="en-US" w:eastAsia="zh-CN"/>
        </w:rPr>
        <w:object>
          <v:shape id="_x0000_i1040" o:spt="75" type="#_x0000_t75" style="height:33pt;width:114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0.036kN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4.3 同轴度引入的不确定度分量</w:t>
      </w: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41" o:spt="75" type="#_x0000_t75" style="height:18pt;width:1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由分析得知，同轴度只会引起测量力值的减小，在肉眼观察两轴重合时，能引起力值的减小量最大不超过0.3%，则取区间半宽为0.15%，按均匀分布处理，其引入的标准不确定度为：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position w:val="-28"/>
          <w:sz w:val="28"/>
          <w:szCs w:val="28"/>
          <w:lang w:val="en-US" w:eastAsia="zh-CN"/>
        </w:rPr>
        <w:object>
          <v:shape id="_x0000_i1042" o:spt="75" type="#_x0000_t75" style="height:33pt;width:1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0.054kN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4.4 输入量P引入的不确定度分量</w:t>
      </w:r>
      <w:r>
        <w:rPr>
          <w:rFonts w:hint="eastAsia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43" o:spt="75" type="#_x0000_t75" style="height:17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主要由压力变送器准确度等级引入的不确定度分量，采用准确度等级为0.2级，量程为200bar的压力变送器，按均匀分布处理，在20MPa时，其引入的不确定度分量为：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8"/>
          <w:sz w:val="28"/>
          <w:szCs w:val="28"/>
          <w:lang w:val="en-US" w:eastAsia="zh-CN"/>
        </w:rPr>
        <w:object>
          <v:shape id="_x0000_i1044" o:spt="75" type="#_x0000_t75" style="height:33pt;width:10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0.023MPa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4.5标准不确定度分量来源一览表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各标准不确定度分量来源见表C.1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C.1 标准不确定度分量来源一览表</w:t>
      </w:r>
    </w:p>
    <w:tbl>
      <w:tblPr>
        <w:tblStyle w:val="3"/>
        <w:tblpPr w:leftFromText="180" w:rightFromText="180" w:vertAnchor="text" w:horzAnchor="page" w:tblpX="1920" w:tblpY="273"/>
        <w:tblOverlap w:val="never"/>
        <w:tblW w:w="8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181"/>
        <w:gridCol w:w="2441"/>
        <w:gridCol w:w="1409"/>
        <w:gridCol w:w="1652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4" w:hRule="atLeast"/>
        </w:trPr>
        <w:tc>
          <w:tcPr>
            <w:tcW w:w="8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不确定度分量</w:t>
            </w:r>
          </w:p>
        </w:tc>
        <w:tc>
          <w:tcPr>
            <w:tcW w:w="24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不确定度来源</w:t>
            </w:r>
          </w:p>
        </w:tc>
        <w:tc>
          <w:tcPr>
            <w:tcW w:w="140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position w:val="-12"/>
                <w:sz w:val="24"/>
                <w:szCs w:val="24"/>
                <w:vertAlign w:val="baseline"/>
                <w:lang w:val="en-US" w:eastAsia="zh-CN"/>
              </w:rPr>
              <w:object>
                <v:shape id="_x0000_i1045" o:spt="75" type="#_x0000_t75" style="height:18pt;width:28pt;" o:ole="t" filled="f" o:preferrelative="t" stroked="f" coordsize="21600,21600">
                  <v:path/>
                  <v:fill on="f" focussize="0,0"/>
                  <v:stroke on="f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KSEE3" ShapeID="_x0000_i1045" DrawAspect="Content" ObjectID="_1468075745" r:id="rId44">
                  <o:LockedField>false</o:LockedField>
                </o:OLEObject>
              </w:object>
            </w:r>
          </w:p>
        </w:tc>
        <w:tc>
          <w:tcPr>
            <w:tcW w:w="165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灵敏系数</w:t>
            </w:r>
            <w:r>
              <w:rPr>
                <w:rFonts w:hint="eastAsia" w:ascii="宋体" w:hAnsi="宋体" w:eastAsia="宋体" w:cs="宋体"/>
                <w:b w:val="0"/>
                <w:bCs w:val="0"/>
                <w:position w:val="-12"/>
                <w:sz w:val="24"/>
                <w:szCs w:val="24"/>
                <w:vertAlign w:val="baseline"/>
                <w:lang w:val="en-US" w:eastAsia="zh-CN"/>
              </w:rPr>
              <w:object>
                <v:shape id="_x0000_i1046" o:spt="75" type="#_x0000_t75" style="height:18pt;width:11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KSEE3" ShapeID="_x0000_i1046" DrawAspect="Content" ObjectID="_1468075746" r:id="rId46">
                  <o:LockedField>false</o:LockedField>
                </o:OLEObject>
              </w:object>
            </w:r>
          </w:p>
        </w:tc>
        <w:tc>
          <w:tcPr>
            <w:tcW w:w="130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position w:val="-14"/>
                <w:sz w:val="24"/>
                <w:szCs w:val="24"/>
                <w:vertAlign w:val="baseline"/>
                <w:lang w:val="en-US" w:eastAsia="zh-CN"/>
              </w:rPr>
              <w:object>
                <v:shape id="_x0000_i1047" o:spt="75" type="#_x0000_t75" style="height:20pt;width:40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KSEE3" ShapeID="_x0000_i1047" DrawAspect="Content" ObjectID="_1468075747" r:id="rId4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-10"/>
                <w:sz w:val="24"/>
                <w:szCs w:val="24"/>
                <w:vertAlign w:val="baseline"/>
                <w:lang w:val="en-US" w:eastAsia="zh-CN"/>
              </w:rPr>
              <w:object>
                <v:shape id="_x0000_i1048" o:spt="75" type="#_x0000_t75" style="height:17pt;width:12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KSEE3" ShapeID="_x0000_i1048" DrawAspect="Content" ObjectID="_1468075748" r:id="rId50">
                  <o:LockedField>false</o:LockedField>
                </o:OLEObject>
              </w:object>
            </w:r>
          </w:p>
        </w:tc>
        <w:tc>
          <w:tcPr>
            <w:tcW w:w="24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测量重复性引入</w:t>
            </w:r>
          </w:p>
        </w:tc>
        <w:tc>
          <w:tcPr>
            <w:tcW w:w="140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0.079kN</w:t>
            </w:r>
          </w:p>
        </w:tc>
        <w:tc>
          <w:tcPr>
            <w:tcW w:w="165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-0.017kN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  <w:lang w:val="en-US" w:eastAsia="zh-CN"/>
              </w:rPr>
              <w:t>-1</w:t>
            </w:r>
          </w:p>
        </w:tc>
        <w:tc>
          <w:tcPr>
            <w:tcW w:w="130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8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-10"/>
                <w:sz w:val="24"/>
                <w:szCs w:val="24"/>
                <w:vertAlign w:val="baseline"/>
                <w:lang w:val="en-US" w:eastAsia="zh-CN"/>
              </w:rPr>
              <w:object>
                <v:shape id="_x0000_i1049" o:spt="75" type="#_x0000_t75" style="height:17pt;width:13pt;" o:ole="t" filled="f" o:preferrelative="t" stroked="f" coordsize="21600,21600">
                  <v:path/>
                  <v:fill on="f" focussize="0,0"/>
                  <v:stroke on="f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KSEE3" ShapeID="_x0000_i1049" DrawAspect="Content" ObjectID="_1468075749" r:id="rId52">
                  <o:LockedField>false</o:LockedField>
                </o:OLEObject>
              </w:object>
            </w:r>
          </w:p>
        </w:tc>
        <w:tc>
          <w:tcPr>
            <w:tcW w:w="24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标准测力仪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准确度等级</w:t>
            </w:r>
          </w:p>
        </w:tc>
        <w:tc>
          <w:tcPr>
            <w:tcW w:w="140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0.036kN</w:t>
            </w:r>
          </w:p>
        </w:tc>
        <w:tc>
          <w:tcPr>
            <w:tcW w:w="165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-0.017kN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  <w:lang w:val="en-US" w:eastAsia="zh-CN"/>
              </w:rPr>
              <w:t>-1</w:t>
            </w:r>
          </w:p>
        </w:tc>
        <w:tc>
          <w:tcPr>
            <w:tcW w:w="130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0.061%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-12"/>
                <w:sz w:val="24"/>
                <w:szCs w:val="24"/>
                <w:vertAlign w:val="baseline"/>
                <w:lang w:val="en-US" w:eastAsia="zh-CN"/>
              </w:rPr>
              <w:object>
                <v:shape id="_x0000_i1050" o:spt="75" type="#_x0000_t75" style="height:18pt;width:13pt;" o:ole="t" filled="f" o:preferrelative="t" stroked="f" coordsize="21600,21600">
                  <v:path/>
                  <v:fill on="f" focussize="0,0"/>
                  <v:stroke on="f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KSEE3" ShapeID="_x0000_i1050" DrawAspect="Content" ObjectID="_1468075750" r:id="rId54">
                  <o:LockedField>false</o:LockedField>
                </o:OLEObject>
              </w:object>
            </w:r>
          </w:p>
        </w:tc>
        <w:tc>
          <w:tcPr>
            <w:tcW w:w="24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同轴度</w:t>
            </w:r>
          </w:p>
        </w:tc>
        <w:tc>
          <w:tcPr>
            <w:tcW w:w="140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0.054kN</w:t>
            </w:r>
          </w:p>
        </w:tc>
        <w:tc>
          <w:tcPr>
            <w:tcW w:w="165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-0.017kN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  <w:lang w:val="en-US" w:eastAsia="zh-CN"/>
              </w:rPr>
              <w:t>-1</w:t>
            </w:r>
          </w:p>
        </w:tc>
        <w:tc>
          <w:tcPr>
            <w:tcW w:w="130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0.092%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88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-10"/>
                <w:sz w:val="24"/>
                <w:szCs w:val="24"/>
                <w:vertAlign w:val="baseline"/>
                <w:lang w:val="en-US" w:eastAsia="zh-CN"/>
              </w:rPr>
              <w:object>
                <v:shape id="_x0000_i1051" o:spt="75" type="#_x0000_t75" style="height:17pt;width:13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KSEE3" ShapeID="_x0000_i1051" DrawAspect="Content" ObjectID="_1468075751" r:id="rId56">
                  <o:LockedField>false</o:LockedField>
                </o:OLEObject>
              </w:object>
            </w:r>
          </w:p>
        </w:tc>
        <w:tc>
          <w:tcPr>
            <w:tcW w:w="24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压力变送器准确度</w:t>
            </w:r>
          </w:p>
        </w:tc>
        <w:tc>
          <w:tcPr>
            <w:tcW w:w="140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0.023MPa</w:t>
            </w:r>
          </w:p>
        </w:tc>
        <w:tc>
          <w:tcPr>
            <w:tcW w:w="165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0.18MPa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  <w:lang w:val="en-US" w:eastAsia="zh-CN"/>
              </w:rPr>
              <w:t>-1</w:t>
            </w:r>
          </w:p>
        </w:tc>
        <w:tc>
          <w:tcPr>
            <w:tcW w:w="130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0.42%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由测量数据，通过最小二乘法求得千斤顶的拟合方程为</w:t>
      </w: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52" o:spt="75" type="#_x0000_t75" style="height:16.1pt;width:90.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则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053" o:spt="75" type="#_x0000_t75" style="height:13.95pt;width:1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=0.092MPa/kN；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054" o:spt="75" type="#_x0000_t75" style="height:13.95pt;width:1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=-0.343MPa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5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计算合成标准不确定度</w:t>
      </w: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55" o:spt="75" type="#_x0000_t75" style="height:18pt;width:2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由于个不确定度分量之间互不相关，故合成标准不确定度为：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position w:val="-12"/>
          <w:sz w:val="28"/>
          <w:szCs w:val="28"/>
          <w:lang w:val="en-US" w:eastAsia="zh-CN"/>
        </w:rPr>
        <w:object>
          <v:shape id="_x0000_i1056" o:spt="75" type="#_x0000_t75" style="height:22pt;width:247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0.45%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扩展不确定度</w:t>
      </w:r>
      <w:r>
        <w:rPr>
          <w:rFonts w:hint="eastAsia" w:ascii="宋体" w:hAnsi="宋体" w:eastAsia="宋体" w:cs="宋体"/>
          <w:i/>
          <w:iCs/>
          <w:sz w:val="24"/>
          <w:szCs w:val="24"/>
          <w:lang w:val="en-US" w:eastAsia="zh-CN"/>
        </w:rPr>
        <w:t>U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取包含因子</w:t>
      </w:r>
      <w:r>
        <w:rPr>
          <w:rFonts w:hint="eastAsia" w:ascii="宋体" w:hAnsi="宋体" w:eastAsia="宋体" w:cs="宋体"/>
          <w:position w:val="-6"/>
          <w:sz w:val="24"/>
          <w:szCs w:val="24"/>
          <w:lang w:val="en-US" w:eastAsia="zh-CN"/>
        </w:rPr>
        <w:object>
          <v:shape id="_x0000_i1057" o:spt="75" type="#_x0000_t75" style="height:13.95pt;width:10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=2，则卡套预装机内插误差的扩展不确定度为：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480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58" o:spt="75" type="#_x0000_t75" style="height:18pt;width:7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2×0.45%=0.90%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26131D"/>
    <w:multiLevelType w:val="singleLevel"/>
    <w:tmpl w:val="BE26131D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22E42E1C"/>
    <w:multiLevelType w:val="singleLevel"/>
    <w:tmpl w:val="22E42E1C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26A7AF95"/>
    <w:multiLevelType w:val="singleLevel"/>
    <w:tmpl w:val="26A7AF9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2998416"/>
    <w:multiLevelType w:val="singleLevel"/>
    <w:tmpl w:val="42998416"/>
    <w:lvl w:ilvl="0" w:tentative="0">
      <w:start w:val="5"/>
      <w:numFmt w:val="decimal"/>
      <w:suff w:val="space"/>
      <w:lvlText w:val="%1."/>
      <w:lvlJc w:val="left"/>
    </w:lvl>
  </w:abstractNum>
  <w:abstractNum w:abstractNumId="4">
    <w:nsid w:val="64A2BB86"/>
    <w:multiLevelType w:val="singleLevel"/>
    <w:tmpl w:val="64A2BB86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208F8"/>
    <w:rsid w:val="2FFE314D"/>
    <w:rsid w:val="338268DC"/>
    <w:rsid w:val="388150C0"/>
    <w:rsid w:val="3A230AB4"/>
    <w:rsid w:val="552D3FD0"/>
    <w:rsid w:val="62E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3" Type="http://schemas.openxmlformats.org/officeDocument/2006/relationships/fontTable" Target="fontTable.xml"/><Relationship Id="rId72" Type="http://schemas.openxmlformats.org/officeDocument/2006/relationships/numbering" Target="numbering.xml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2024-09-30T07:02:59Z</dcterms:created>
  <dc:creator>lenovo</dc:creator>
  <cp:lastModifiedBy>lenovo</cp:lastModifiedBy>
  <dcterms:modified xsi:type="dcterms:W3CDTF">2024-09-30T07:10:45Z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A7E8B4993C5E4CCF92AED7791457C826</vt:lpwstr>
  </property>
</Properties>
</file>