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黑体" w:eastAsia="黑体" w:cs="Arial"/>
          <w:color w:val="000000"/>
          <w:sz w:val="32"/>
          <w:szCs w:val="32"/>
        </w:rPr>
      </w:pPr>
    </w:p>
    <w:p>
      <w:pPr>
        <w:jc w:val="center"/>
        <w:rPr>
          <w:rFonts w:ascii="Arial" w:hAnsi="黑体" w:eastAsia="黑体" w:cs="Arial"/>
          <w:color w:val="000000"/>
          <w:sz w:val="32"/>
          <w:szCs w:val="32"/>
        </w:rPr>
      </w:pPr>
    </w:p>
    <w:p>
      <w:pPr>
        <w:jc w:val="center"/>
        <w:rPr>
          <w:rFonts w:hint="eastAsia" w:ascii="黑体" w:hAnsi="黑体" w:eastAsia="黑体" w:cs="黑体"/>
          <w:color w:val="000000"/>
          <w:sz w:val="44"/>
          <w:szCs w:val="44"/>
        </w:rPr>
      </w:pPr>
    </w:p>
    <w:p>
      <w:pPr>
        <w:jc w:val="center"/>
        <w:rPr>
          <w:rFonts w:hint="eastAsia" w:ascii="黑体" w:hAnsi="黑体" w:eastAsia="黑体" w:cs="黑体"/>
          <w:bCs/>
          <w:sz w:val="44"/>
          <w:szCs w:val="44"/>
        </w:rPr>
      </w:pPr>
      <w:r>
        <w:rPr>
          <w:rFonts w:hint="eastAsia" w:ascii="黑体" w:hAnsi="黑体" w:eastAsia="黑体" w:cs="黑体"/>
          <w:bCs/>
          <w:sz w:val="44"/>
          <w:szCs w:val="44"/>
          <w:lang w:val="en-US" w:eastAsia="zh-CN"/>
        </w:rPr>
        <w:t>卡套预装机</w:t>
      </w:r>
      <w:r>
        <w:rPr>
          <w:rFonts w:hint="eastAsia" w:ascii="黑体" w:hAnsi="黑体" w:eastAsia="黑体" w:cs="黑体"/>
          <w:bCs/>
          <w:sz w:val="44"/>
          <w:szCs w:val="44"/>
        </w:rPr>
        <w:t>校准规范</w:t>
      </w:r>
    </w:p>
    <w:p>
      <w:pPr>
        <w:jc w:val="center"/>
        <w:rPr>
          <w:rFonts w:hint="eastAsia" w:ascii="黑体" w:hAnsi="黑体" w:eastAsia="黑体" w:cs="黑体"/>
          <w:color w:val="000000"/>
          <w:sz w:val="44"/>
          <w:szCs w:val="44"/>
        </w:rPr>
      </w:pPr>
      <w:r>
        <w:rPr>
          <w:rFonts w:hint="eastAsia" w:ascii="黑体" w:hAnsi="黑体" w:eastAsia="黑体" w:cs="黑体"/>
          <w:color w:val="000000"/>
          <w:sz w:val="44"/>
          <w:szCs w:val="44"/>
        </w:rPr>
        <w:t>编写说明</w:t>
      </w:r>
    </w:p>
    <w:p>
      <w:pPr>
        <w:jc w:val="center"/>
        <w:rPr>
          <w:rFonts w:hint="eastAsia" w:ascii="黑体" w:hAnsi="黑体" w:eastAsia="黑体" w:cs="黑体"/>
          <w:color w:val="000000"/>
          <w:sz w:val="44"/>
          <w:szCs w:val="44"/>
        </w:rPr>
      </w:pPr>
    </w:p>
    <w:p>
      <w:pPr>
        <w:jc w:val="center"/>
        <w:rPr>
          <w:rFonts w:hint="eastAsia" w:ascii="黑体" w:hAnsi="黑体" w:eastAsia="黑体" w:cs="黑体"/>
          <w:color w:val="000000"/>
          <w:sz w:val="44"/>
          <w:szCs w:val="44"/>
        </w:rPr>
      </w:pPr>
    </w:p>
    <w:p>
      <w:pPr>
        <w:jc w:val="center"/>
        <w:rPr>
          <w:rFonts w:hint="eastAsia" w:ascii="黑体" w:hAnsi="黑体" w:eastAsia="黑体" w:cs="黑体"/>
          <w:color w:val="000000"/>
          <w:sz w:val="44"/>
          <w:szCs w:val="44"/>
        </w:rPr>
      </w:pPr>
    </w:p>
    <w:p>
      <w:pPr>
        <w:jc w:val="center"/>
        <w:rPr>
          <w:rFonts w:hint="eastAsia" w:ascii="黑体" w:hAnsi="黑体" w:eastAsia="黑体" w:cs="黑体"/>
          <w:color w:val="000000"/>
          <w:sz w:val="44"/>
          <w:szCs w:val="44"/>
        </w:rPr>
      </w:pPr>
    </w:p>
    <w:p>
      <w:pPr>
        <w:jc w:val="center"/>
        <w:rPr>
          <w:rFonts w:hint="eastAsia" w:ascii="黑体" w:hAnsi="黑体" w:eastAsia="黑体" w:cs="黑体"/>
          <w:color w:val="000000"/>
          <w:sz w:val="44"/>
          <w:szCs w:val="44"/>
        </w:rPr>
      </w:pPr>
    </w:p>
    <w:p>
      <w:pPr>
        <w:jc w:val="center"/>
        <w:rPr>
          <w:rFonts w:hint="eastAsia" w:ascii="黑体" w:hAnsi="黑体" w:eastAsia="黑体" w:cs="黑体"/>
          <w:color w:val="000000"/>
          <w:sz w:val="44"/>
          <w:szCs w:val="44"/>
        </w:rPr>
      </w:pPr>
    </w:p>
    <w:p>
      <w:pPr>
        <w:ind w:right="1280" w:firstLine="320" w:firstLineChars="100"/>
        <w:jc w:val="center"/>
        <w:rPr>
          <w:rFonts w:hint="default"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 xml:space="preserve">    </w:t>
      </w:r>
      <w:r>
        <w:rPr>
          <w:rFonts w:hint="eastAsia" w:ascii="黑体" w:hAnsi="黑体" w:eastAsia="黑体" w:cs="黑体"/>
          <w:color w:val="000000"/>
          <w:sz w:val="32"/>
          <w:szCs w:val="32"/>
        </w:rPr>
        <w:t>主要起草人：</w:t>
      </w:r>
      <w:r>
        <w:rPr>
          <w:rFonts w:hint="eastAsia" w:ascii="黑体" w:hAnsi="黑体" w:eastAsia="黑体" w:cs="黑体"/>
          <w:color w:val="000000"/>
          <w:sz w:val="32"/>
          <w:szCs w:val="32"/>
          <w:lang w:val="en-US" w:eastAsia="zh-CN"/>
        </w:rPr>
        <w:t>万祎 朱长刚 贾春晓 李伟健</w:t>
      </w:r>
    </w:p>
    <w:p>
      <w:pPr>
        <w:jc w:val="center"/>
        <w:rPr>
          <w:rFonts w:hint="eastAsia" w:ascii="黑体" w:hAnsi="黑体" w:eastAsia="黑体" w:cs="黑体"/>
          <w:color w:val="000000"/>
          <w:sz w:val="32"/>
          <w:szCs w:val="32"/>
        </w:rPr>
      </w:pPr>
    </w:p>
    <w:p>
      <w:pPr>
        <w:jc w:val="center"/>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rPr>
        <w:t>规范起草组：</w:t>
      </w:r>
      <w:r>
        <w:rPr>
          <w:rFonts w:hint="eastAsia" w:ascii="黑体" w:hAnsi="黑体" w:eastAsia="黑体" w:cs="黑体"/>
          <w:color w:val="000000"/>
          <w:sz w:val="32"/>
          <w:szCs w:val="32"/>
          <w:lang w:val="en-US" w:eastAsia="zh-CN"/>
        </w:rPr>
        <w:t>中车长春轨道客车股份有限公司</w:t>
      </w:r>
    </w:p>
    <w:p>
      <w:pPr>
        <w:jc w:val="center"/>
        <w:rPr>
          <w:rFonts w:hint="eastAsia" w:ascii="黑体" w:hAnsi="黑体" w:eastAsia="黑体" w:cs="黑体"/>
          <w:color w:val="000000"/>
          <w:sz w:val="32"/>
          <w:szCs w:val="32"/>
        </w:rPr>
      </w:pPr>
      <w:r>
        <w:rPr>
          <w:rFonts w:hint="eastAsia" w:ascii="黑体" w:hAnsi="黑体" w:eastAsia="黑体" w:cs="黑体"/>
          <w:color w:val="000000"/>
          <w:sz w:val="32"/>
          <w:szCs w:val="32"/>
        </w:rPr>
        <w:t>2024年0</w:t>
      </w:r>
      <w:r>
        <w:rPr>
          <w:rFonts w:hint="eastAsia" w:ascii="黑体" w:hAnsi="黑体" w:eastAsia="黑体" w:cs="黑体"/>
          <w:color w:val="000000"/>
          <w:sz w:val="32"/>
          <w:szCs w:val="32"/>
          <w:lang w:val="en-US" w:eastAsia="zh-CN"/>
        </w:rPr>
        <w:t>7</w:t>
      </w:r>
      <w:r>
        <w:rPr>
          <w:rFonts w:hint="eastAsia" w:ascii="黑体" w:hAnsi="黑体" w:eastAsia="黑体" w:cs="黑体"/>
          <w:color w:val="000000"/>
          <w:sz w:val="32"/>
          <w:szCs w:val="32"/>
        </w:rPr>
        <w:t>月</w:t>
      </w:r>
    </w:p>
    <w:p>
      <w:pPr>
        <w:snapToGrid w:val="0"/>
        <w:spacing w:before="468" w:beforeLines="100" w:after="468" w:afterLines="100" w:line="594" w:lineRule="exact"/>
        <w:rPr>
          <w:rFonts w:asciiTheme="minorEastAsia" w:hAnsiTheme="minorEastAsia" w:eastAsiaTheme="minorEastAsia"/>
          <w:b/>
          <w:sz w:val="32"/>
          <w:szCs w:val="32"/>
        </w:rPr>
      </w:pPr>
    </w:p>
    <w:p>
      <w:pPr>
        <w:snapToGrid w:val="0"/>
        <w:spacing w:before="468" w:beforeLines="100" w:after="468" w:afterLines="100" w:line="594" w:lineRule="exact"/>
        <w:jc w:val="center"/>
        <w:rPr>
          <w:rFonts w:asciiTheme="minorEastAsia" w:hAnsiTheme="minorEastAsia" w:eastAsiaTheme="minorEastAsia"/>
          <w:b/>
          <w:sz w:val="32"/>
          <w:szCs w:val="32"/>
        </w:rPr>
      </w:pPr>
      <w:r>
        <w:rPr>
          <w:rFonts w:hint="eastAsia" w:asciiTheme="minorEastAsia" w:hAnsiTheme="minorEastAsia" w:eastAsiaTheme="minorEastAsia"/>
          <w:b/>
          <w:sz w:val="32"/>
          <w:szCs w:val="32"/>
        </w:rPr>
        <w:t>《</w:t>
      </w:r>
      <w:r>
        <w:rPr>
          <w:rFonts w:hint="eastAsia" w:asciiTheme="minorEastAsia" w:hAnsiTheme="minorEastAsia" w:eastAsiaTheme="minorEastAsia"/>
          <w:b/>
          <w:sz w:val="32"/>
          <w:szCs w:val="32"/>
          <w:lang w:val="en-US" w:eastAsia="zh-CN"/>
        </w:rPr>
        <w:t>卡套预装机</w:t>
      </w:r>
      <w:r>
        <w:rPr>
          <w:rFonts w:hint="eastAsia" w:asciiTheme="minorEastAsia" w:hAnsiTheme="minorEastAsia" w:eastAsiaTheme="minorEastAsia"/>
          <w:b/>
          <w:sz w:val="32"/>
          <w:szCs w:val="32"/>
        </w:rPr>
        <w:t>校准规范》编写说明</w:t>
      </w:r>
    </w:p>
    <w:p>
      <w:pPr>
        <w:pStyle w:val="21"/>
        <w:numPr>
          <w:ilvl w:val="0"/>
          <w:numId w:val="1"/>
        </w:numPr>
        <w:snapToGrid w:val="0"/>
        <w:spacing w:before="140" w:beforeLines="30" w:after="140" w:afterLines="30" w:line="594" w:lineRule="exact"/>
        <w:ind w:firstLineChars="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任务来源</w:t>
      </w:r>
    </w:p>
    <w:p>
      <w:pPr>
        <w:pStyle w:val="21"/>
        <w:snapToGrid w:val="0"/>
        <w:spacing w:before="140" w:beforeLines="30" w:after="140" w:afterLines="30" w:line="594" w:lineRule="exact"/>
        <w:ind w:left="504" w:firstLine="48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任务来源于</w:t>
      </w:r>
      <w:r>
        <w:rPr>
          <w:rFonts w:asciiTheme="minorEastAsia" w:hAnsiTheme="minorEastAsia" w:eastAsiaTheme="minorEastAsia"/>
          <w:color w:val="000000" w:themeColor="text1"/>
          <w:sz w:val="24"/>
          <w14:textFill>
            <w14:solidFill>
              <w14:schemeClr w14:val="tx1"/>
            </w14:solidFill>
          </w14:textFill>
        </w:rPr>
        <w:t>2024</w:t>
      </w:r>
      <w:r>
        <w:rPr>
          <w:rFonts w:hint="eastAsia" w:asciiTheme="minorEastAsia" w:hAnsiTheme="minorEastAsia" w:eastAsiaTheme="minorEastAsia"/>
          <w:color w:val="000000" w:themeColor="text1"/>
          <w:sz w:val="24"/>
          <w14:textFill>
            <w14:solidFill>
              <w14:schemeClr w14:val="tx1"/>
            </w14:solidFill>
          </w14:textFill>
        </w:rPr>
        <w:t>年度吉林省地方规程规范制修订计划。</w:t>
      </w:r>
    </w:p>
    <w:p>
      <w:pPr>
        <w:snapToGrid w:val="0"/>
        <w:spacing w:before="140" w:beforeLines="30" w:after="140" w:afterLines="30" w:line="594" w:lineRule="exact"/>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二、立项必要性</w:t>
      </w:r>
    </w:p>
    <w:p>
      <w:pPr>
        <w:snapToGrid w:val="0"/>
        <w:spacing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1、目前国家尚无</w:t>
      </w:r>
      <w:r>
        <w:rPr>
          <w:rFonts w:hint="eastAsia" w:asciiTheme="minorEastAsia" w:hAnsiTheme="minorEastAsia" w:eastAsiaTheme="minorEastAsia"/>
          <w:color w:val="000000" w:themeColor="text1"/>
          <w:sz w:val="24"/>
          <w:lang w:val="en-US" w:eastAsia="zh-CN"/>
          <w14:textFill>
            <w14:solidFill>
              <w14:schemeClr w14:val="tx1"/>
            </w14:solidFill>
          </w14:textFill>
        </w:rPr>
        <w:t>卡套预装机</w:t>
      </w:r>
      <w:r>
        <w:rPr>
          <w:rFonts w:hint="eastAsia" w:asciiTheme="minorEastAsia" w:hAnsiTheme="minorEastAsia" w:eastAsiaTheme="minorEastAsia"/>
          <w:color w:val="000000" w:themeColor="text1"/>
          <w:sz w:val="24"/>
          <w14:textFill>
            <w14:solidFill>
              <w14:schemeClr w14:val="tx1"/>
            </w14:solidFill>
          </w14:textFill>
        </w:rPr>
        <w:t>的相关技术规范发布，现根据使用</w:t>
      </w:r>
      <w:r>
        <w:rPr>
          <w:rFonts w:hint="eastAsia" w:asciiTheme="minorEastAsia" w:hAnsiTheme="minorEastAsia" w:eastAsiaTheme="minorEastAsia"/>
          <w:color w:val="000000" w:themeColor="text1"/>
          <w:sz w:val="24"/>
          <w:lang w:val="en-US" w:eastAsia="zh-CN"/>
          <w14:textFill>
            <w14:solidFill>
              <w14:schemeClr w14:val="tx1"/>
            </w14:solidFill>
          </w14:textFill>
        </w:rPr>
        <w:t>轨道车辆制造</w:t>
      </w:r>
      <w:r>
        <w:rPr>
          <w:rFonts w:hint="eastAsia" w:asciiTheme="minorEastAsia" w:hAnsiTheme="minorEastAsia" w:eastAsiaTheme="minorEastAsia"/>
          <w:color w:val="000000" w:themeColor="text1"/>
          <w:sz w:val="24"/>
          <w14:textFill>
            <w14:solidFill>
              <w14:schemeClr w14:val="tx1"/>
            </w14:solidFill>
          </w14:textFill>
        </w:rPr>
        <w:t>行业的需求，</w:t>
      </w:r>
      <w:r>
        <w:rPr>
          <w:rFonts w:hint="eastAsia" w:asciiTheme="minorEastAsia" w:hAnsiTheme="minorEastAsia" w:eastAsiaTheme="minorEastAsia"/>
          <w:color w:val="000000" w:themeColor="text1"/>
          <w:sz w:val="24"/>
          <w:lang w:val="en-US" w:eastAsia="zh-CN"/>
          <w14:textFill>
            <w14:solidFill>
              <w14:schemeClr w14:val="tx1"/>
            </w14:solidFill>
          </w14:textFill>
        </w:rPr>
        <w:t>中车长春轨道客车股份有限公司</w:t>
      </w:r>
      <w:r>
        <w:rPr>
          <w:rFonts w:hint="eastAsia" w:asciiTheme="minorEastAsia" w:hAnsiTheme="minorEastAsia" w:eastAsiaTheme="minorEastAsia"/>
          <w:color w:val="000000" w:themeColor="text1"/>
          <w:sz w:val="24"/>
          <w14:textFill>
            <w14:solidFill>
              <w14:schemeClr w14:val="tx1"/>
            </w14:solidFill>
          </w14:textFill>
        </w:rPr>
        <w:t>拟起草《</w:t>
      </w:r>
      <w:r>
        <w:rPr>
          <w:rFonts w:hint="eastAsia" w:asciiTheme="minorEastAsia" w:hAnsiTheme="minorEastAsia" w:eastAsiaTheme="minorEastAsia"/>
          <w:color w:val="000000" w:themeColor="text1"/>
          <w:sz w:val="24"/>
          <w:lang w:val="en-US" w:eastAsia="zh-CN"/>
          <w14:textFill>
            <w14:solidFill>
              <w14:schemeClr w14:val="tx1"/>
            </w14:solidFill>
          </w14:textFill>
        </w:rPr>
        <w:t>卡套预装机</w:t>
      </w:r>
      <w:r>
        <w:rPr>
          <w:rFonts w:hint="eastAsia" w:asciiTheme="minorEastAsia" w:hAnsiTheme="minorEastAsia" w:eastAsiaTheme="minorEastAsia"/>
          <w:color w:val="000000" w:themeColor="text1"/>
          <w:sz w:val="24"/>
          <w14:textFill>
            <w14:solidFill>
              <w14:schemeClr w14:val="tx1"/>
            </w14:solidFill>
          </w14:textFill>
        </w:rPr>
        <w:t>》地方计量技术规范，确定其计量性能相关要求，保证</w:t>
      </w:r>
      <w:r>
        <w:rPr>
          <w:rFonts w:hint="eastAsia" w:asciiTheme="minorEastAsia" w:hAnsiTheme="minorEastAsia" w:eastAsiaTheme="minorEastAsia"/>
          <w:color w:val="000000" w:themeColor="text1"/>
          <w:sz w:val="24"/>
          <w:lang w:val="en-US" w:eastAsia="zh-CN"/>
          <w14:textFill>
            <w14:solidFill>
              <w14:schemeClr w14:val="tx1"/>
            </w14:solidFill>
          </w14:textFill>
        </w:rPr>
        <w:t>卡套预装机</w:t>
      </w:r>
      <w:r>
        <w:rPr>
          <w:rFonts w:hint="eastAsia" w:asciiTheme="minorEastAsia" w:hAnsiTheme="minorEastAsia" w:eastAsiaTheme="minorEastAsia"/>
          <w:color w:val="000000" w:themeColor="text1"/>
          <w:sz w:val="24"/>
          <w14:textFill>
            <w14:solidFill>
              <w14:schemeClr w14:val="tx1"/>
            </w14:solidFill>
          </w14:textFill>
        </w:rPr>
        <w:t>的有效溯源与量值的准确可靠。本技术规范完成后，可广泛应用于全省范围内的计量检定技术机构及相关行业，为全面开展此项量传工作提供技术保障，为使用此类仪器的用户解决溯源难题，为客户提供有力的技术支持。</w:t>
      </w:r>
    </w:p>
    <w:p>
      <w:pPr>
        <w:snapToGrid w:val="0"/>
        <w:spacing w:line="360" w:lineRule="auto"/>
        <w:ind w:firstLine="480" w:firstLineChars="200"/>
        <w:rPr>
          <w:rFonts w:hint="eastAsia"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2</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eastAsia="zh-CN"/>
          <w14:textFill>
            <w14:solidFill>
              <w14:schemeClr w14:val="tx1"/>
            </w14:solidFill>
          </w14:textFill>
        </w:rPr>
        <w:t>卡套式接头具有装拆方便。不需焊接和扩管、结构先进、性能良好、重量轻、体积小、使用方便等优点。在轨道车辆空气制动系统中应用非常广泛，制动系统作为轨道车辆的重要功能系统，其可靠性直接影响客运列车的运输安全和经济效益。</w:t>
      </w:r>
    </w:p>
    <w:p>
      <w:pPr>
        <w:snapToGrid w:val="0"/>
        <w:spacing w:line="360" w:lineRule="auto"/>
        <w:ind w:firstLine="480" w:firstLineChars="200"/>
        <w:rPr>
          <w:rFonts w:hint="eastAsia" w:asciiTheme="minorEastAsia" w:hAnsiTheme="minorEastAsia" w:eastAsiaTheme="minorEastAsia"/>
          <w:color w:val="000000" w:themeColor="text1"/>
          <w:sz w:val="24"/>
          <w:lang w:val="en-US" w:eastAsia="zh-CN"/>
          <w14:textFill>
            <w14:solidFill>
              <w14:schemeClr w14:val="tx1"/>
            </w14:solidFill>
          </w14:textFill>
        </w:rPr>
      </w:pPr>
      <w:r>
        <w:rPr>
          <w:rFonts w:hint="eastAsia" w:asciiTheme="minorEastAsia" w:hAnsiTheme="minorEastAsia" w:eastAsiaTheme="minorEastAsia"/>
          <w:color w:val="000000" w:themeColor="text1"/>
          <w:sz w:val="24"/>
          <w:lang w:val="en-US" w:eastAsia="zh-CN"/>
          <w14:textFill>
            <w14:solidFill>
              <w14:schemeClr w14:val="tx1"/>
            </w14:solidFill>
          </w14:textFill>
        </w:rPr>
        <w:t>3、卡套预装机</w:t>
      </w:r>
      <w:r>
        <w:rPr>
          <w:rFonts w:hint="eastAsia" w:asciiTheme="minorEastAsia" w:hAnsiTheme="minorEastAsia" w:eastAsiaTheme="minorEastAsia"/>
          <w:color w:val="000000" w:themeColor="text1"/>
          <w:sz w:val="24"/>
          <w14:textFill>
            <w14:solidFill>
              <w14:schemeClr w14:val="tx1"/>
            </w14:solidFill>
          </w14:textFill>
        </w:rPr>
        <w:t>是</w:t>
      </w:r>
      <w:r>
        <w:rPr>
          <w:rFonts w:hint="eastAsia" w:asciiTheme="minorEastAsia" w:hAnsiTheme="minorEastAsia" w:eastAsiaTheme="minorEastAsia"/>
          <w:color w:val="000000" w:themeColor="text1"/>
          <w:sz w:val="24"/>
          <w:lang w:val="en-US" w:eastAsia="zh-CN"/>
          <w14:textFill>
            <w14:solidFill>
              <w14:schemeClr w14:val="tx1"/>
            </w14:solidFill>
          </w14:textFill>
        </w:rPr>
        <w:t>卡套式接头在预装工序中</w:t>
      </w:r>
      <w:r>
        <w:rPr>
          <w:rFonts w:hint="eastAsia" w:asciiTheme="minorEastAsia" w:hAnsiTheme="minorEastAsia" w:eastAsiaTheme="minorEastAsia"/>
          <w:color w:val="000000" w:themeColor="text1"/>
          <w:sz w:val="24"/>
          <w14:textFill>
            <w14:solidFill>
              <w14:schemeClr w14:val="tx1"/>
            </w14:solidFill>
          </w14:textFill>
        </w:rPr>
        <w:t>最</w:t>
      </w:r>
      <w:r>
        <w:rPr>
          <w:rFonts w:hint="eastAsia" w:asciiTheme="minorEastAsia" w:hAnsiTheme="minorEastAsia" w:eastAsiaTheme="minorEastAsia"/>
          <w:color w:val="000000" w:themeColor="text1"/>
          <w:sz w:val="24"/>
          <w:lang w:val="en-US" w:eastAsia="zh-CN"/>
          <w14:textFill>
            <w14:solidFill>
              <w14:schemeClr w14:val="tx1"/>
            </w14:solidFill>
          </w14:textFill>
        </w:rPr>
        <w:t>重</w:t>
      </w:r>
      <w:r>
        <w:rPr>
          <w:rFonts w:hint="eastAsia" w:asciiTheme="minorEastAsia" w:hAnsiTheme="minorEastAsia" w:eastAsiaTheme="minorEastAsia"/>
          <w:color w:val="000000" w:themeColor="text1"/>
          <w:sz w:val="24"/>
          <w14:textFill>
            <w14:solidFill>
              <w14:schemeClr w14:val="tx1"/>
            </w14:solidFill>
          </w14:textFill>
        </w:rPr>
        <w:t>要的</w:t>
      </w:r>
      <w:r>
        <w:rPr>
          <w:rFonts w:hint="eastAsia" w:asciiTheme="minorEastAsia" w:hAnsiTheme="minorEastAsia" w:eastAsiaTheme="minorEastAsia"/>
          <w:color w:val="000000" w:themeColor="text1"/>
          <w:sz w:val="24"/>
          <w:lang w:val="en-US" w:eastAsia="zh-CN"/>
          <w14:textFill>
            <w14:solidFill>
              <w14:schemeClr w14:val="tx1"/>
            </w14:solidFill>
          </w14:textFill>
        </w:rPr>
        <w:t>工艺</w:t>
      </w:r>
      <w:r>
        <w:rPr>
          <w:rFonts w:hint="eastAsia" w:asciiTheme="minorEastAsia" w:hAnsiTheme="minorEastAsia" w:eastAsiaTheme="minorEastAsia"/>
          <w:color w:val="000000" w:themeColor="text1"/>
          <w:sz w:val="24"/>
          <w14:textFill>
            <w14:solidFill>
              <w14:schemeClr w14:val="tx1"/>
            </w14:solidFill>
          </w14:textFill>
        </w:rPr>
        <w:t>设备。</w:t>
      </w:r>
      <w:r>
        <w:rPr>
          <w:rFonts w:hint="eastAsia" w:asciiTheme="minorEastAsia" w:hAnsiTheme="minorEastAsia" w:eastAsiaTheme="minorEastAsia"/>
          <w:color w:val="000000" w:themeColor="text1"/>
          <w:sz w:val="24"/>
          <w:lang w:val="en-US" w:eastAsia="zh-CN"/>
          <w14:textFill>
            <w14:solidFill>
              <w14:schemeClr w14:val="tx1"/>
            </w14:solidFill>
          </w14:textFill>
        </w:rPr>
        <w:t>预装力值的大小直接影响到管路的密封效果</w:t>
      </w:r>
      <w:r>
        <w:rPr>
          <w:rFonts w:hint="eastAsia"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lang w:val="en-US" w:eastAsia="zh-CN"/>
          <w14:textFill>
            <w14:solidFill>
              <w14:schemeClr w14:val="tx1"/>
            </w14:solidFill>
          </w14:textFill>
        </w:rPr>
        <w:t>预装压力值偏小，预装卡套在钢管上的切口太浅，不仅容易出现泄露，还有可能在较大振动冲击下发生崩脱，存在很大的安全隐患；预装力值过大，卡套在钢管上刃口切入太深，卡套锥面被过度挤压，导致塑性变形，无法与接头锥面形成密封面。因此卡套预装机输出力值的准确度，直接影响卡套预装的工艺质量。</w:t>
      </w:r>
    </w:p>
    <w:p>
      <w:pPr>
        <w:snapToGrid w:val="0"/>
        <w:spacing w:line="360" w:lineRule="auto"/>
        <w:ind w:firstLine="480" w:firstLineChars="200"/>
        <w:rPr>
          <w:rFonts w:hint="eastAsia" w:asciiTheme="minorEastAsia" w:hAnsiTheme="minorEastAsia" w:eastAsiaTheme="minorEastAsia"/>
          <w:color w:val="000000" w:themeColor="text1"/>
          <w:sz w:val="24"/>
          <w:lang w:val="en-US" w:eastAsia="zh-CN"/>
          <w14:textFill>
            <w14:solidFill>
              <w14:schemeClr w14:val="tx1"/>
            </w14:solidFill>
          </w14:textFill>
        </w:rPr>
      </w:pPr>
      <w:r>
        <w:rPr>
          <w:rFonts w:hint="eastAsia" w:asciiTheme="minorEastAsia" w:hAnsiTheme="minorEastAsia" w:eastAsiaTheme="minorEastAsia"/>
          <w:color w:val="000000" w:themeColor="text1"/>
          <w:sz w:val="24"/>
          <w:lang w:val="en-US" w:eastAsia="zh-CN"/>
          <w14:textFill>
            <w14:solidFill>
              <w14:schemeClr w14:val="tx1"/>
            </w14:solidFill>
          </w14:textFill>
        </w:rPr>
        <w:t>4、产业计量发展：该校准规范完成后，可广泛应用于全省范围内的计量检定技术机构及轨道车辆制造行业，对我省范围内使用卡套预装机进行制动管路装配的主机厂和产业链相关配套企业开展校准工作，为全面开展此项量值溯源工作提供技术保障，有效解决卡套预装机输出力值无法溯源的难题，对提高我省轨道车辆产业链量值溯源体系具有重要意义。</w:t>
      </w:r>
    </w:p>
    <w:p>
      <w:pPr>
        <w:snapToGrid w:val="0"/>
        <w:spacing w:line="360" w:lineRule="auto"/>
        <w:ind w:firstLine="480" w:firstLineChars="200"/>
        <w:rPr>
          <w:rFonts w:hint="eastAsia" w:asciiTheme="minorEastAsia" w:hAnsiTheme="minorEastAsia" w:eastAsiaTheme="minorEastAsia"/>
          <w:color w:val="000000" w:themeColor="text1"/>
          <w:sz w:val="24"/>
          <w:lang w:eastAsia="zh-CN"/>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经济效益：近年来</w:t>
      </w:r>
      <w:r>
        <w:rPr>
          <w:rFonts w:hint="eastAsia" w:asciiTheme="minorEastAsia" w:hAnsiTheme="minorEastAsia" w:eastAsiaTheme="minorEastAsia"/>
          <w:color w:val="000000" w:themeColor="text1"/>
          <w:sz w:val="24"/>
          <w:lang w:val="en-US" w:eastAsia="zh-CN"/>
          <w14:textFill>
            <w14:solidFill>
              <w14:schemeClr w14:val="tx1"/>
            </w14:solidFill>
          </w14:textFill>
        </w:rPr>
        <w:t>轨道车辆制造</w:t>
      </w:r>
      <w:r>
        <w:rPr>
          <w:rFonts w:hint="eastAsia" w:asciiTheme="minorEastAsia" w:hAnsiTheme="minorEastAsia" w:eastAsiaTheme="minorEastAsia"/>
          <w:color w:val="000000" w:themeColor="text1"/>
          <w:sz w:val="24"/>
          <w14:textFill>
            <w14:solidFill>
              <w14:schemeClr w14:val="tx1"/>
            </w14:solidFill>
          </w14:textFill>
        </w:rPr>
        <w:t>行业对于此类</w:t>
      </w:r>
      <w:r>
        <w:rPr>
          <w:rFonts w:hint="eastAsia" w:asciiTheme="minorEastAsia" w:hAnsiTheme="minorEastAsia" w:eastAsiaTheme="minorEastAsia"/>
          <w:color w:val="000000" w:themeColor="text1"/>
          <w:sz w:val="24"/>
          <w:lang w:val="en-US" w:eastAsia="zh-CN"/>
          <w14:textFill>
            <w14:solidFill>
              <w14:schemeClr w14:val="tx1"/>
            </w14:solidFill>
          </w14:textFill>
        </w:rPr>
        <w:t>设备</w:t>
      </w:r>
      <w:r>
        <w:rPr>
          <w:rFonts w:hint="eastAsia" w:asciiTheme="minorEastAsia" w:hAnsiTheme="minorEastAsia" w:eastAsiaTheme="minorEastAsia"/>
          <w:color w:val="000000" w:themeColor="text1"/>
          <w:sz w:val="24"/>
          <w14:textFill>
            <w14:solidFill>
              <w14:schemeClr w14:val="tx1"/>
            </w14:solidFill>
          </w14:textFill>
        </w:rPr>
        <w:t>有逐年递增的校准需求，建立我省相应的技术规范可为</w:t>
      </w:r>
      <w:r>
        <w:rPr>
          <w:rFonts w:hint="eastAsia" w:asciiTheme="minorEastAsia" w:hAnsiTheme="minorEastAsia" w:eastAsiaTheme="minorEastAsia"/>
          <w:color w:val="000000" w:themeColor="text1"/>
          <w:sz w:val="24"/>
          <w:lang w:val="en-US" w:eastAsia="zh-CN"/>
          <w14:textFill>
            <w14:solidFill>
              <w14:schemeClr w14:val="tx1"/>
            </w14:solidFill>
          </w14:textFill>
        </w:rPr>
        <w:t>我公司</w:t>
      </w:r>
      <w:r>
        <w:rPr>
          <w:rFonts w:hint="eastAsia" w:asciiTheme="minorEastAsia" w:hAnsiTheme="minorEastAsia" w:eastAsiaTheme="minorEastAsia"/>
          <w:color w:val="000000" w:themeColor="text1"/>
          <w:sz w:val="24"/>
          <w14:textFill>
            <w14:solidFill>
              <w14:schemeClr w14:val="tx1"/>
            </w14:solidFill>
          </w14:textFill>
        </w:rPr>
        <w:t>增加经济效益</w:t>
      </w:r>
      <w:r>
        <w:rPr>
          <w:rFonts w:hint="eastAsia" w:asciiTheme="minorEastAsia" w:hAnsiTheme="minorEastAsia" w:eastAsiaTheme="minorEastAsia"/>
          <w:color w:val="000000" w:themeColor="text1"/>
          <w:sz w:val="24"/>
          <w:lang w:eastAsia="zh-CN"/>
          <w14:textFill>
            <w14:solidFill>
              <w14:schemeClr w14:val="tx1"/>
            </w14:solidFill>
          </w14:textFill>
        </w:rPr>
        <w:t>。</w:t>
      </w:r>
    </w:p>
    <w:p>
      <w:pPr>
        <w:snapToGrid w:val="0"/>
        <w:spacing w:before="140" w:beforeLines="30" w:after="140" w:afterLines="30"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eastAsia="zh-CN"/>
          <w14:textFill>
            <w14:solidFill>
              <w14:schemeClr w14:val="tx1"/>
            </w14:solidFill>
          </w14:textFill>
        </w:rPr>
        <w:t>中车长春轨道客车股份有限公司作为我省轨道车辆装配制造业的龙头企业</w:t>
      </w:r>
      <w:r>
        <w:rPr>
          <w:rFonts w:hint="eastAsia" w:asciiTheme="minorEastAsia" w:hAnsiTheme="minorEastAsia" w:eastAsiaTheme="minorEastAsia"/>
          <w:color w:val="000000" w:themeColor="text1"/>
          <w:sz w:val="24"/>
          <w14:textFill>
            <w14:solidFill>
              <w14:schemeClr w14:val="tx1"/>
            </w14:solidFill>
          </w14:textFill>
        </w:rPr>
        <w:t>，有责任和义务承担此项工作，所以建立此项技术规范已是迫在眉睫。</w:t>
      </w:r>
    </w:p>
    <w:p>
      <w:pPr>
        <w:snapToGrid w:val="0"/>
        <w:spacing w:before="140" w:beforeLines="30" w:after="140" w:afterLines="30" w:line="594" w:lineRule="exact"/>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三、规范制定计划</w:t>
      </w:r>
    </w:p>
    <w:p>
      <w:pPr>
        <w:snapToGrid w:val="0"/>
        <w:spacing w:line="360" w:lineRule="auto"/>
        <w:ind w:firstLine="480" w:firstLineChars="20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2024年</w:t>
      </w:r>
      <w:r>
        <w:rPr>
          <w:rFonts w:hint="eastAsia" w:ascii="宋体" w:hAnsi="宋体"/>
          <w:color w:val="000000" w:themeColor="text1"/>
          <w:sz w:val="24"/>
          <w:highlight w:val="none"/>
          <w:lang w:val="en-US" w:eastAsia="zh-CN"/>
          <w14:textFill>
            <w14:solidFill>
              <w14:schemeClr w14:val="tx1"/>
            </w14:solidFill>
          </w14:textFill>
        </w:rPr>
        <w:t>7</w:t>
      </w:r>
      <w:r>
        <w:rPr>
          <w:rFonts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8</w:t>
      </w:r>
      <w:r>
        <w:rPr>
          <w:rFonts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14:textFill>
            <w14:solidFill>
              <w14:schemeClr w14:val="tx1"/>
            </w14:solidFill>
          </w14:textFill>
        </w:rPr>
        <w:t xml:space="preserve">  </w:t>
      </w:r>
      <w:r>
        <w:rPr>
          <w:rFonts w:ascii="宋体" w:hAnsi="宋体"/>
          <w:color w:val="000000" w:themeColor="text1"/>
          <w:sz w:val="24"/>
          <w:highlight w:val="none"/>
          <w14:textFill>
            <w14:solidFill>
              <w14:schemeClr w14:val="tx1"/>
            </w14:solidFill>
          </w14:textFill>
        </w:rPr>
        <w:t>收集资料与调研、配备校准计量器具及控制条件、研究确定主要起草内容、不确定度评定、形成征求意见稿</w:t>
      </w:r>
      <w:r>
        <w:rPr>
          <w:rFonts w:hint="eastAsia" w:ascii="宋体" w:hAnsi="宋体"/>
          <w:color w:val="000000" w:themeColor="text1"/>
          <w:sz w:val="24"/>
          <w:highlight w:val="none"/>
          <w14:textFill>
            <w14:solidFill>
              <w14:schemeClr w14:val="tx1"/>
            </w14:solidFill>
          </w14:textFill>
        </w:rPr>
        <w:t>；</w:t>
      </w:r>
    </w:p>
    <w:p>
      <w:pPr>
        <w:snapToGrid w:val="0"/>
        <w:spacing w:line="360" w:lineRule="auto"/>
        <w:ind w:firstLine="480" w:firstLineChars="20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2024年8月</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9月汇总征求意见并修改，形成送审稿</w:t>
      </w:r>
      <w:r>
        <w:rPr>
          <w:rFonts w:hint="eastAsia" w:ascii="宋体" w:hAnsi="宋体"/>
          <w:color w:val="000000" w:themeColor="text1"/>
          <w:sz w:val="24"/>
          <w:highlight w:val="none"/>
          <w14:textFill>
            <w14:solidFill>
              <w14:schemeClr w14:val="tx1"/>
            </w14:solidFill>
          </w14:textFill>
        </w:rPr>
        <w:t>；</w:t>
      </w:r>
    </w:p>
    <w:p>
      <w:pPr>
        <w:snapToGrid w:val="0"/>
        <w:spacing w:line="360" w:lineRule="auto"/>
        <w:ind w:firstLine="480" w:firstLineChars="20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2024年9月</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11月完成校准规范送审稿及征求意见汇总组织评审，形成报批稿</w:t>
      </w:r>
      <w:r>
        <w:rPr>
          <w:rFonts w:hint="eastAsia" w:ascii="宋体" w:hAnsi="宋体"/>
          <w:color w:val="000000" w:themeColor="text1"/>
          <w:sz w:val="24"/>
          <w:highlight w:val="none"/>
          <w14:textFill>
            <w14:solidFill>
              <w14:schemeClr w14:val="tx1"/>
            </w14:solidFill>
          </w14:textFill>
        </w:rPr>
        <w:t>；</w:t>
      </w:r>
    </w:p>
    <w:p>
      <w:pPr>
        <w:snapToGrid w:val="0"/>
        <w:spacing w:line="360" w:lineRule="auto"/>
        <w:ind w:firstLine="480" w:firstLineChars="20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2024年11月</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12月上报校准规范报批稿</w:t>
      </w:r>
      <w:r>
        <w:rPr>
          <w:rFonts w:hint="eastAsia" w:ascii="宋体" w:hAnsi="宋体"/>
          <w:color w:val="000000" w:themeColor="text1"/>
          <w:sz w:val="24"/>
          <w:highlight w:val="none"/>
          <w14:textFill>
            <w14:solidFill>
              <w14:schemeClr w14:val="tx1"/>
            </w14:solidFill>
          </w14:textFill>
        </w:rPr>
        <w:t>。</w:t>
      </w:r>
    </w:p>
    <w:p>
      <w:pPr>
        <w:snapToGrid w:val="0"/>
        <w:spacing w:before="140" w:beforeLines="30" w:after="140" w:afterLines="30" w:line="594" w:lineRule="exact"/>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四、编制原则及技术依据</w:t>
      </w:r>
    </w:p>
    <w:p>
      <w:pPr>
        <w:snapToGrid w:val="0"/>
        <w:spacing w:before="140" w:beforeLines="30" w:after="140" w:afterLines="30" w:line="360" w:lineRule="auto"/>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b/>
          <w:bCs/>
          <w:color w:val="000000" w:themeColor="text1"/>
          <w:sz w:val="24"/>
          <w14:textFill>
            <w14:solidFill>
              <w14:schemeClr w14:val="tx1"/>
            </w14:solidFill>
          </w14:textFill>
        </w:rPr>
        <w:t>（一）、依据</w:t>
      </w:r>
    </w:p>
    <w:p>
      <w:pPr>
        <w:snapToGrid w:val="0"/>
        <w:spacing w:before="140" w:beforeLines="30" w:after="140" w:afterLines="30"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本次制订中校准规范文本结构按照JJF 1071《国家计量校准规范编写规则》的要求完成。其中不确定度评定部分按照JJF 1059.1《测量不确定度评定与表示》要求完成。</w:t>
      </w:r>
    </w:p>
    <w:p>
      <w:pPr>
        <w:snapToGrid w:val="0"/>
        <w:spacing w:before="140" w:beforeLines="30" w:after="140" w:afterLines="30" w:line="360" w:lineRule="auto"/>
        <w:rPr>
          <w:rFonts w:asciiTheme="minorEastAsia" w:hAnsiTheme="minorEastAsia" w:eastAsiaTheme="minorEastAsia"/>
          <w:b/>
          <w:bCs/>
          <w:color w:val="000000" w:themeColor="text1"/>
          <w:sz w:val="24"/>
          <w14:textFill>
            <w14:solidFill>
              <w14:schemeClr w14:val="tx1"/>
            </w14:solidFill>
          </w14:textFill>
        </w:rPr>
      </w:pPr>
      <w:r>
        <w:rPr>
          <w:rFonts w:hint="eastAsia" w:asciiTheme="minorEastAsia" w:hAnsiTheme="minorEastAsia" w:eastAsiaTheme="minorEastAsia"/>
          <w:b/>
          <w:bCs/>
          <w:color w:val="000000" w:themeColor="text1"/>
          <w:sz w:val="24"/>
          <w14:textFill>
            <w14:solidFill>
              <w14:schemeClr w14:val="tx1"/>
            </w14:solidFill>
          </w14:textFill>
        </w:rPr>
        <w:t>（二）、原则</w:t>
      </w:r>
    </w:p>
    <w:p>
      <w:pPr>
        <w:snapToGrid w:val="0"/>
        <w:spacing w:before="140" w:beforeLines="30" w:after="140" w:afterLines="30"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1、架构</w:t>
      </w:r>
    </w:p>
    <w:p>
      <w:pPr>
        <w:snapToGrid w:val="0"/>
        <w:spacing w:before="140" w:beforeLines="30" w:after="140" w:afterLines="30"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架构结构根据封面、扉页、目录、引言、范围、引用文件、术语、概述、计量特性、校准条件、校准项目和校准方法、校准结果表达复校间隔时间几个部分制定《</w:t>
      </w:r>
      <w:r>
        <w:rPr>
          <w:rFonts w:hint="eastAsia" w:asciiTheme="minorEastAsia" w:hAnsiTheme="minorEastAsia" w:eastAsiaTheme="minorEastAsia"/>
          <w:color w:val="000000" w:themeColor="text1"/>
          <w:sz w:val="24"/>
          <w:lang w:val="en-US" w:eastAsia="zh-CN"/>
          <w14:textFill>
            <w14:solidFill>
              <w14:schemeClr w14:val="tx1"/>
            </w14:solidFill>
          </w14:textFill>
        </w:rPr>
        <w:t>卡套预装机</w:t>
      </w:r>
      <w:r>
        <w:rPr>
          <w:rFonts w:hint="eastAsia" w:asciiTheme="minorEastAsia" w:hAnsiTheme="minorEastAsia" w:eastAsiaTheme="minorEastAsia"/>
          <w:color w:val="000000" w:themeColor="text1"/>
          <w:sz w:val="24"/>
          <w14:textFill>
            <w14:solidFill>
              <w14:schemeClr w14:val="tx1"/>
            </w14:solidFill>
          </w14:textFill>
        </w:rPr>
        <w:t>校准规范》</w:t>
      </w:r>
    </w:p>
    <w:p>
      <w:pPr>
        <w:snapToGrid w:val="0"/>
        <w:spacing w:before="140" w:beforeLines="30" w:after="140" w:afterLines="30"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2、术语的选择</w:t>
      </w:r>
    </w:p>
    <w:p>
      <w:pPr>
        <w:snapToGrid w:val="0"/>
        <w:spacing w:before="140" w:beforeLines="30" w:after="140" w:afterLines="30"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术语的选择遵照JJF1001-2011《通用计量术语及定义》选择使用。</w:t>
      </w:r>
    </w:p>
    <w:p>
      <w:pPr>
        <w:snapToGrid w:val="0"/>
        <w:spacing w:before="140" w:beforeLines="30" w:after="140" w:afterLines="30" w:line="360" w:lineRule="auto"/>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3、计量特性确定原则</w:t>
      </w:r>
    </w:p>
    <w:p>
      <w:pPr>
        <w:snapToGrid w:val="0"/>
        <w:spacing w:before="140" w:beforeLines="30" w:after="140" w:afterLines="30" w:line="360" w:lineRule="auto"/>
        <w:ind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根据</w:t>
      </w:r>
      <w:r>
        <w:rPr>
          <w:rFonts w:hint="eastAsia" w:asciiTheme="minorEastAsia" w:hAnsiTheme="minorEastAsia" w:eastAsiaTheme="minorEastAsia"/>
          <w:color w:val="000000" w:themeColor="text1"/>
          <w:sz w:val="24"/>
          <w:lang w:val="en-US" w:eastAsia="zh-CN"/>
          <w14:textFill>
            <w14:solidFill>
              <w14:schemeClr w14:val="tx1"/>
            </w14:solidFill>
          </w14:textFill>
        </w:rPr>
        <w:t>卡套预装机</w:t>
      </w:r>
      <w:r>
        <w:rPr>
          <w:rFonts w:hint="eastAsia" w:asciiTheme="minorEastAsia" w:hAnsiTheme="minorEastAsia" w:eastAsiaTheme="minorEastAsia"/>
          <w:color w:val="000000" w:themeColor="text1"/>
          <w:sz w:val="24"/>
          <w14:textFill>
            <w14:solidFill>
              <w14:schemeClr w14:val="tx1"/>
            </w14:solidFill>
          </w14:textFill>
        </w:rPr>
        <w:t>的结构及特点，确定</w:t>
      </w:r>
      <w:r>
        <w:rPr>
          <w:rFonts w:hint="eastAsia" w:asciiTheme="minorEastAsia" w:hAnsiTheme="minorEastAsia" w:eastAsiaTheme="minorEastAsia"/>
          <w:color w:val="000000" w:themeColor="text1"/>
          <w:sz w:val="24"/>
          <w:lang w:val="en-US" w:eastAsia="zh-CN"/>
          <w14:textFill>
            <w14:solidFill>
              <w14:schemeClr w14:val="tx1"/>
            </w14:solidFill>
          </w14:textFill>
        </w:rPr>
        <w:t>卡套预装机</w:t>
      </w:r>
      <w:r>
        <w:rPr>
          <w:rFonts w:hint="eastAsia" w:asciiTheme="minorEastAsia" w:hAnsiTheme="minorEastAsia" w:eastAsiaTheme="minorEastAsia"/>
          <w:color w:val="000000" w:themeColor="text1"/>
          <w:sz w:val="24"/>
          <w14:textFill>
            <w14:solidFill>
              <w14:schemeClr w14:val="tx1"/>
            </w14:solidFill>
          </w14:textFill>
        </w:rPr>
        <w:t>的计量特性。计量特性主要参考了</w:t>
      </w:r>
      <w:r>
        <w:rPr>
          <w:rFonts w:hint="eastAsia" w:ascii="宋体" w:hAnsi="宋体" w:eastAsia="宋体" w:cs="宋体"/>
          <w:b w:val="0"/>
          <w:bCs/>
          <w:kern w:val="0"/>
          <w:sz w:val="24"/>
          <w:szCs w:val="24"/>
        </w:rPr>
        <w:t xml:space="preserve">JJG </w:t>
      </w:r>
      <w:r>
        <w:rPr>
          <w:rFonts w:hint="eastAsia" w:ascii="宋体" w:hAnsi="宋体" w:eastAsia="宋体" w:cs="宋体"/>
          <w:b w:val="0"/>
          <w:bCs/>
          <w:kern w:val="0"/>
          <w:sz w:val="24"/>
          <w:szCs w:val="24"/>
          <w:lang w:val="en-US" w:eastAsia="zh-CN"/>
        </w:rPr>
        <w:t>621</w:t>
      </w:r>
      <w:r>
        <w:rPr>
          <w:rFonts w:hint="eastAsia" w:ascii="宋体" w:hAnsi="宋体" w:eastAsia="宋体" w:cs="宋体"/>
          <w:b w:val="0"/>
          <w:bCs/>
          <w:kern w:val="0"/>
          <w:sz w:val="24"/>
          <w:szCs w:val="24"/>
        </w:rPr>
        <w:t>-20</w:t>
      </w:r>
      <w:r>
        <w:rPr>
          <w:rFonts w:hint="eastAsia" w:ascii="宋体" w:hAnsi="宋体" w:eastAsia="宋体" w:cs="宋体"/>
          <w:b w:val="0"/>
          <w:bCs/>
          <w:kern w:val="0"/>
          <w:sz w:val="24"/>
          <w:szCs w:val="24"/>
          <w:lang w:val="en-US" w:eastAsia="zh-CN"/>
        </w:rPr>
        <w:t>12</w:t>
      </w:r>
      <w:r>
        <w:rPr>
          <w:rFonts w:hint="eastAsia" w:ascii="宋体" w:hAnsi="宋体" w:eastAsia="宋体" w:cs="宋体"/>
          <w:b w:val="0"/>
          <w:bCs/>
          <w:kern w:val="0"/>
          <w:sz w:val="24"/>
          <w:szCs w:val="24"/>
        </w:rPr>
        <w:t>《</w:t>
      </w:r>
      <w:r>
        <w:rPr>
          <w:rFonts w:hint="eastAsia" w:ascii="宋体" w:hAnsi="宋体" w:eastAsia="宋体" w:cs="宋体"/>
          <w:b w:val="0"/>
          <w:bCs/>
          <w:kern w:val="0"/>
          <w:sz w:val="24"/>
          <w:szCs w:val="24"/>
          <w:lang w:val="en-US" w:eastAsia="zh-CN"/>
        </w:rPr>
        <w:t>液压千斤顶</w:t>
      </w:r>
      <w:r>
        <w:rPr>
          <w:rFonts w:hint="eastAsia" w:ascii="宋体" w:hAnsi="宋体" w:eastAsia="宋体" w:cs="宋体"/>
          <w:b w:val="0"/>
          <w:bCs/>
          <w:kern w:val="0"/>
          <w:sz w:val="24"/>
          <w:szCs w:val="24"/>
        </w:rPr>
        <w:t>检定规程》</w:t>
      </w:r>
      <w:r>
        <w:rPr>
          <w:rFonts w:hint="eastAsia" w:asciiTheme="minorEastAsia" w:hAnsiTheme="minorEastAsia" w:eastAsiaTheme="minorEastAsia"/>
          <w:color w:val="000000" w:themeColor="text1"/>
          <w:sz w:val="24"/>
          <w14:textFill>
            <w14:solidFill>
              <w14:schemeClr w14:val="tx1"/>
            </w14:solidFill>
          </w14:textFill>
        </w:rPr>
        <w:t>中有关标准。</w:t>
      </w:r>
    </w:p>
    <w:p>
      <w:pPr>
        <w:snapToGrid w:val="0"/>
        <w:spacing w:before="140" w:beforeLines="30" w:after="140" w:afterLines="30" w:line="594" w:lineRule="exact"/>
        <w:rPr>
          <w:b/>
          <w:bCs/>
          <w:color w:val="000000" w:themeColor="text1"/>
          <w:sz w:val="24"/>
          <w14:textFill>
            <w14:solidFill>
              <w14:schemeClr w14:val="tx1"/>
            </w14:solidFill>
          </w14:textFill>
        </w:rPr>
      </w:pPr>
    </w:p>
    <w:p>
      <w:pPr>
        <w:snapToGrid w:val="0"/>
        <w:spacing w:before="140" w:beforeLines="30" w:after="140" w:afterLines="30" w:line="594" w:lineRule="exact"/>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五、主要技术内容</w:t>
      </w:r>
    </w:p>
    <w:p>
      <w:pPr>
        <w:snapToGrid w:val="0"/>
        <w:spacing w:before="140" w:beforeLines="30" w:after="140" w:afterLines="30"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lang w:val="en-US" w:eastAsia="zh-CN"/>
          <w14:textFill>
            <w14:solidFill>
              <w14:schemeClr w14:val="tx1"/>
            </w14:solidFill>
          </w14:textFill>
        </w:rPr>
        <w:t>卡套预装机</w:t>
      </w:r>
      <w:r>
        <w:rPr>
          <w:rFonts w:eastAsiaTheme="minorEastAsia"/>
          <w:color w:val="000000" w:themeColor="text1"/>
          <w:sz w:val="24"/>
          <w14:textFill>
            <w14:solidFill>
              <w14:schemeClr w14:val="tx1"/>
            </w14:solidFill>
          </w14:textFill>
        </w:rPr>
        <w:t>校准规范》共分为1</w:t>
      </w:r>
      <w:r>
        <w:rPr>
          <w:rFonts w:hint="eastAsia" w:eastAsiaTheme="minorEastAsia"/>
          <w:color w:val="000000" w:themeColor="text1"/>
          <w:sz w:val="24"/>
          <w:lang w:val="en-US" w:eastAsia="zh-CN"/>
          <w14:textFill>
            <w14:solidFill>
              <w14:schemeClr w14:val="tx1"/>
            </w14:solidFill>
          </w14:textFill>
        </w:rPr>
        <w:t>3</w:t>
      </w:r>
      <w:r>
        <w:rPr>
          <w:rFonts w:eastAsiaTheme="minorEastAsia"/>
          <w:color w:val="000000" w:themeColor="text1"/>
          <w:sz w:val="24"/>
          <w14:textFill>
            <w14:solidFill>
              <w14:schemeClr w14:val="tx1"/>
            </w14:solidFill>
          </w14:textFill>
        </w:rPr>
        <w:t>个部分，即范围、引用文件、术语、概述、计量特性、校准条件、校准项目和校准方法、校准结果表达、复校时间间隔和附录 A、</w:t>
      </w:r>
      <w:r>
        <w:rPr>
          <w:rFonts w:hint="eastAsia" w:eastAsiaTheme="minorEastAsia"/>
          <w:color w:val="000000" w:themeColor="text1"/>
          <w:sz w:val="24"/>
          <w:lang w:val="en-US" w:eastAsia="zh-CN"/>
          <w14:textFill>
            <w14:solidFill>
              <w14:schemeClr w14:val="tx1"/>
            </w14:solidFill>
          </w14:textFill>
        </w:rPr>
        <w:t>附录</w:t>
      </w:r>
      <w:r>
        <w:rPr>
          <w:rFonts w:eastAsiaTheme="minorEastAsia"/>
          <w:color w:val="000000" w:themeColor="text1"/>
          <w:sz w:val="24"/>
          <w14:textFill>
            <w14:solidFill>
              <w14:schemeClr w14:val="tx1"/>
            </w14:solidFill>
          </w14:textFill>
        </w:rPr>
        <w:t>B、</w:t>
      </w:r>
      <w:r>
        <w:rPr>
          <w:rFonts w:hint="eastAsia" w:eastAsiaTheme="minorEastAsia"/>
          <w:color w:val="000000" w:themeColor="text1"/>
          <w:sz w:val="24"/>
          <w:lang w:val="en-US" w:eastAsia="zh-CN"/>
          <w14:textFill>
            <w14:solidFill>
              <w14:schemeClr w14:val="tx1"/>
            </w14:solidFill>
          </w14:textFill>
        </w:rPr>
        <w:t>附录</w:t>
      </w:r>
      <w:r>
        <w:rPr>
          <w:rFonts w:eastAsiaTheme="minorEastAsia"/>
          <w:color w:val="000000" w:themeColor="text1"/>
          <w:sz w:val="24"/>
          <w14:textFill>
            <w14:solidFill>
              <w14:schemeClr w14:val="tx1"/>
            </w14:solidFill>
          </w14:textFill>
        </w:rPr>
        <w:t>C等。</w:t>
      </w:r>
    </w:p>
    <w:p>
      <w:pPr>
        <w:spacing w:line="360" w:lineRule="auto"/>
        <w:ind w:firstLine="480" w:firstLineChars="200"/>
        <w:rPr>
          <w:rFonts w:eastAsiaTheme="minorEastAsia"/>
          <w:color w:val="000000" w:themeColor="text1"/>
          <w:sz w:val="24"/>
          <w14:textFill>
            <w14:solidFill>
              <w14:schemeClr w14:val="tx1"/>
            </w14:solidFill>
          </w14:textFill>
        </w:rPr>
      </w:pPr>
      <w:bookmarkStart w:id="3" w:name="_GoBack"/>
      <w:bookmarkEnd w:id="3"/>
      <w:r>
        <w:rPr>
          <w:rFonts w:eastAsiaTheme="minorEastAsia"/>
          <w:color w:val="000000" w:themeColor="text1"/>
          <w:sz w:val="24"/>
          <w14:textFill>
            <w14:solidFill>
              <w14:schemeClr w14:val="tx1"/>
            </w14:solidFill>
          </w14:textFill>
        </w:rPr>
        <w:t>1、范围</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本规范适用于</w:t>
      </w:r>
      <w:r>
        <w:rPr>
          <w:rFonts w:hint="eastAsia" w:eastAsiaTheme="minorEastAsia"/>
          <w:color w:val="000000" w:themeColor="text1"/>
          <w:sz w:val="24"/>
          <w:lang w:val="en-US" w:eastAsia="zh-CN"/>
          <w14:textFill>
            <w14:solidFill>
              <w14:schemeClr w14:val="tx1"/>
            </w14:solidFill>
          </w14:textFill>
        </w:rPr>
        <w:t>电动液压卡套预装机和手动液压卡套预装机</w:t>
      </w:r>
      <w:r>
        <w:rPr>
          <w:rFonts w:eastAsiaTheme="minorEastAsia"/>
          <w:color w:val="000000" w:themeColor="text1"/>
          <w:sz w:val="24"/>
          <w14:textFill>
            <w14:solidFill>
              <w14:schemeClr w14:val="tx1"/>
            </w14:solidFill>
          </w14:textFill>
        </w:rPr>
        <w:t>的校准。</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2、引用文件</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本规范引用了下列文件：</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0" w:name="OLE_LINK10"/>
      <w:r>
        <w:rPr>
          <w:rFonts w:hint="eastAsia" w:ascii="宋体" w:hAnsi="宋体" w:eastAsia="宋体" w:cs="宋体"/>
          <w:color w:val="000000" w:themeColor="text1"/>
          <w:sz w:val="24"/>
          <w14:textFill>
            <w14:solidFill>
              <w14:schemeClr w14:val="tx1"/>
            </w14:solidFill>
          </w14:textFill>
        </w:rPr>
        <w:t xml:space="preserve">JJG </w:t>
      </w:r>
      <w:r>
        <w:rPr>
          <w:rFonts w:hint="eastAsia" w:ascii="宋体" w:hAnsi="宋体" w:eastAsia="宋体" w:cs="宋体"/>
          <w:color w:val="000000" w:themeColor="text1"/>
          <w:sz w:val="24"/>
          <w:lang w:val="en-US" w:eastAsia="zh-CN"/>
          <w14:textFill>
            <w14:solidFill>
              <w14:schemeClr w14:val="tx1"/>
            </w14:solidFill>
          </w14:textFill>
        </w:rPr>
        <w:t>621</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2012 液压千斤顶</w:t>
      </w:r>
      <w:r>
        <w:rPr>
          <w:rFonts w:hint="eastAsia" w:ascii="宋体" w:hAnsi="宋体" w:eastAsia="宋体" w:cs="宋体"/>
          <w:color w:val="000000" w:themeColor="text1"/>
          <w:sz w:val="24"/>
          <w14:textFill>
            <w14:solidFill>
              <w14:schemeClr w14:val="tx1"/>
            </w14:solidFill>
          </w14:textFill>
        </w:rPr>
        <w:t>检定规程</w:t>
      </w:r>
    </w:p>
    <w:p>
      <w:pPr>
        <w:spacing w:line="360" w:lineRule="auto"/>
        <w:ind w:firstLine="480" w:firstLineChars="200"/>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GB/T 3764-2008 卡套</w:t>
      </w:r>
    </w:p>
    <w:bookmarkEnd w:id="0"/>
    <w:p>
      <w:pPr>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GB/T 3765-2008 卡套式管接头技术条件</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凡是注日期的引用文件，仅注日期的版本适用于本规范；凡是不注日期的引用文件，其最新版本（包括所有的修改单）适用于本规范。</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3、术语</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这一部分对规范中使用的名词术语进行了定义，包括</w:t>
      </w:r>
      <w:r>
        <w:rPr>
          <w:rFonts w:hint="eastAsia" w:eastAsiaTheme="minorEastAsia"/>
          <w:color w:val="000000" w:themeColor="text1"/>
          <w:sz w:val="24"/>
          <w:lang w:val="en-US" w:eastAsia="zh-CN"/>
          <w14:textFill>
            <w14:solidFill>
              <w14:schemeClr w14:val="tx1"/>
            </w14:solidFill>
          </w14:textFill>
        </w:rPr>
        <w:t>负载效率和校准方程</w:t>
      </w:r>
      <w:r>
        <w:rPr>
          <w:rFonts w:eastAsiaTheme="minorEastAsia"/>
          <w:color w:val="000000" w:themeColor="text1"/>
          <w:sz w:val="24"/>
          <w14:textFill>
            <w14:solidFill>
              <w14:schemeClr w14:val="tx1"/>
            </w14:solidFill>
          </w14:textFill>
        </w:rPr>
        <w:t>。</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4、概述</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这部分主要</w:t>
      </w:r>
      <w:r>
        <w:rPr>
          <w:rFonts w:hint="eastAsia" w:eastAsiaTheme="minorEastAsia"/>
          <w:color w:val="000000" w:themeColor="text1"/>
          <w:sz w:val="24"/>
          <w:lang w:val="en-US" w:eastAsia="zh-CN"/>
          <w14:textFill>
            <w14:solidFill>
              <w14:schemeClr w14:val="tx1"/>
            </w14:solidFill>
          </w14:textFill>
        </w:rPr>
        <w:t>介绍该设备的</w:t>
      </w:r>
      <w:r>
        <w:rPr>
          <w:rFonts w:eastAsiaTheme="minorEastAsia"/>
          <w:color w:val="000000" w:themeColor="text1"/>
          <w:sz w:val="24"/>
          <w14:textFill>
            <w14:solidFill>
              <w14:schemeClr w14:val="tx1"/>
            </w14:solidFill>
          </w14:textFill>
        </w:rPr>
        <w:t>用途、功能以及</w:t>
      </w:r>
      <w:r>
        <w:rPr>
          <w:rFonts w:hint="eastAsia" w:eastAsiaTheme="minorEastAsia"/>
          <w:color w:val="000000" w:themeColor="text1"/>
          <w:sz w:val="24"/>
          <w:lang w:val="en-US" w:eastAsia="zh-CN"/>
          <w14:textFill>
            <w14:solidFill>
              <w14:schemeClr w14:val="tx1"/>
            </w14:solidFill>
          </w14:textFill>
        </w:rPr>
        <w:t>各</w:t>
      </w:r>
      <w:r>
        <w:rPr>
          <w:rFonts w:eastAsiaTheme="minorEastAsia"/>
          <w:color w:val="000000" w:themeColor="text1"/>
          <w:sz w:val="24"/>
          <w14:textFill>
            <w14:solidFill>
              <w14:schemeClr w14:val="tx1"/>
            </w14:solidFill>
          </w14:textFill>
        </w:rPr>
        <w:t>组成</w:t>
      </w:r>
      <w:r>
        <w:rPr>
          <w:rFonts w:hint="eastAsia" w:eastAsiaTheme="minorEastAsia"/>
          <w:color w:val="000000" w:themeColor="text1"/>
          <w:sz w:val="24"/>
          <w:lang w:val="en-US" w:eastAsia="zh-CN"/>
          <w14:textFill>
            <w14:solidFill>
              <w14:schemeClr w14:val="tx1"/>
            </w14:solidFill>
          </w14:textFill>
        </w:rPr>
        <w:t>部分</w:t>
      </w:r>
      <w:r>
        <w:rPr>
          <w:rFonts w:eastAsiaTheme="minorEastAsia"/>
          <w:color w:val="000000" w:themeColor="text1"/>
          <w:sz w:val="24"/>
          <w14:textFill>
            <w14:solidFill>
              <w14:schemeClr w14:val="tx1"/>
            </w14:solidFill>
          </w14:textFill>
        </w:rPr>
        <w:t>等。</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5、计量性能</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这部分规定了</w:t>
      </w:r>
      <w:r>
        <w:rPr>
          <w:rFonts w:hint="eastAsia" w:eastAsiaTheme="minorEastAsia"/>
          <w:color w:val="000000" w:themeColor="text1"/>
          <w:sz w:val="24"/>
          <w:lang w:val="en-US" w:eastAsia="zh-CN"/>
          <w14:textFill>
            <w14:solidFill>
              <w14:schemeClr w14:val="tx1"/>
            </w14:solidFill>
          </w14:textFill>
        </w:rPr>
        <w:t>卡套预装机</w:t>
      </w:r>
      <w:r>
        <w:rPr>
          <w:rFonts w:eastAsiaTheme="minorEastAsia"/>
          <w:color w:val="000000" w:themeColor="text1"/>
          <w:sz w:val="24"/>
          <w14:textFill>
            <w14:solidFill>
              <w14:schemeClr w14:val="tx1"/>
            </w14:solidFill>
          </w14:textFill>
        </w:rPr>
        <w:t>的</w:t>
      </w:r>
      <w:r>
        <w:rPr>
          <w:rFonts w:hint="eastAsia" w:eastAsiaTheme="minorEastAsia"/>
          <w:color w:val="000000" w:themeColor="text1"/>
          <w:sz w:val="24"/>
          <w:lang w:val="en-US" w:eastAsia="zh-CN"/>
          <w14:textFill>
            <w14:solidFill>
              <w14:schemeClr w14:val="tx1"/>
            </w14:solidFill>
          </w14:textFill>
        </w:rPr>
        <w:t>示值重复性、负载效率、内插误差的</w:t>
      </w:r>
      <w:r>
        <w:rPr>
          <w:rFonts w:eastAsiaTheme="minorEastAsia"/>
          <w:color w:val="000000" w:themeColor="text1"/>
          <w:sz w:val="24"/>
          <w14:textFill>
            <w14:solidFill>
              <w14:schemeClr w14:val="tx1"/>
            </w14:solidFill>
          </w14:textFill>
        </w:rPr>
        <w:t xml:space="preserve">计量特性指标。根据JJG </w:t>
      </w:r>
      <w:r>
        <w:rPr>
          <w:rFonts w:hint="eastAsia" w:eastAsiaTheme="minorEastAsia"/>
          <w:color w:val="000000" w:themeColor="text1"/>
          <w:sz w:val="24"/>
          <w:lang w:val="en-US" w:eastAsia="zh-CN"/>
          <w14:textFill>
            <w14:solidFill>
              <w14:schemeClr w14:val="tx1"/>
            </w14:solidFill>
          </w14:textFill>
        </w:rPr>
        <w:t>621</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lang w:val="en-US" w:eastAsia="zh-CN"/>
          <w14:textFill>
            <w14:solidFill>
              <w14:schemeClr w14:val="tx1"/>
            </w14:solidFill>
          </w14:textFill>
        </w:rPr>
        <w:t>2012</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lang w:val="en-US" w:eastAsia="zh-CN"/>
          <w14:textFill>
            <w14:solidFill>
              <w14:schemeClr w14:val="tx1"/>
            </w14:solidFill>
          </w14:textFill>
        </w:rPr>
        <w:t>液压千斤顶</w:t>
      </w:r>
      <w:r>
        <w:rPr>
          <w:rFonts w:eastAsiaTheme="minorEastAsia"/>
          <w:color w:val="000000" w:themeColor="text1"/>
          <w:sz w:val="24"/>
          <w14:textFill>
            <w14:solidFill>
              <w14:schemeClr w14:val="tx1"/>
            </w14:solidFill>
          </w14:textFill>
        </w:rPr>
        <w:t>检定规程》确定了有关指标。</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6、校准条件</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这部分主要规定了</w:t>
      </w:r>
      <w:r>
        <w:rPr>
          <w:rFonts w:hint="eastAsia" w:eastAsiaTheme="minorEastAsia"/>
          <w:color w:val="000000" w:themeColor="text1"/>
          <w:sz w:val="24"/>
          <w:lang w:val="en-US" w:eastAsia="zh-CN"/>
          <w14:textFill>
            <w14:solidFill>
              <w14:schemeClr w14:val="tx1"/>
            </w14:solidFill>
          </w14:textFill>
        </w:rPr>
        <w:t>卡套预装机</w:t>
      </w:r>
      <w:r>
        <w:rPr>
          <w:rFonts w:eastAsiaTheme="minorEastAsia"/>
          <w:color w:val="000000" w:themeColor="text1"/>
          <w:sz w:val="24"/>
          <w14:textFill>
            <w14:solidFill>
              <w14:schemeClr w14:val="tx1"/>
            </w14:solidFill>
          </w14:textFill>
        </w:rPr>
        <w:t>校准时需要满足的环境条件，以及使用的测量标准及其他</w:t>
      </w:r>
      <w:r>
        <w:rPr>
          <w:rFonts w:hint="eastAsia" w:eastAsiaTheme="minorEastAsia"/>
          <w:color w:val="000000" w:themeColor="text1"/>
          <w:sz w:val="24"/>
          <w:lang w:val="en-US" w:eastAsia="zh-CN"/>
          <w14:textFill>
            <w14:solidFill>
              <w14:schemeClr w14:val="tx1"/>
            </w14:solidFill>
          </w14:textFill>
        </w:rPr>
        <w:t>工装、</w:t>
      </w:r>
      <w:r>
        <w:rPr>
          <w:rFonts w:eastAsiaTheme="minorEastAsia"/>
          <w:color w:val="000000" w:themeColor="text1"/>
          <w:sz w:val="24"/>
          <w14:textFill>
            <w14:solidFill>
              <w14:schemeClr w14:val="tx1"/>
            </w14:solidFill>
          </w14:textFill>
        </w:rPr>
        <w:t>设备。校准环境</w:t>
      </w:r>
      <w:r>
        <w:rPr>
          <w:rFonts w:hint="eastAsia" w:eastAsiaTheme="minorEastAsia"/>
          <w:color w:val="000000" w:themeColor="text1"/>
          <w:sz w:val="24"/>
          <w:lang w:eastAsia="zh-CN"/>
          <w14:textFill>
            <w14:solidFill>
              <w14:schemeClr w14:val="tx1"/>
            </w14:solidFill>
          </w14:textFill>
        </w:rPr>
        <w:t>，</w:t>
      </w:r>
      <w:r>
        <w:rPr>
          <w:rFonts w:eastAsiaTheme="minorEastAsia"/>
          <w:color w:val="000000" w:themeColor="text1"/>
          <w:sz w:val="24"/>
          <w14:textFill>
            <w14:solidFill>
              <w14:schemeClr w14:val="tx1"/>
            </w14:solidFill>
          </w14:textFill>
        </w:rPr>
        <w:t>温度应控制在（</w:t>
      </w:r>
      <w:r>
        <w:rPr>
          <w:rFonts w:hint="eastAsia" w:eastAsiaTheme="minorEastAsia"/>
          <w:color w:val="000000" w:themeColor="text1"/>
          <w:sz w:val="24"/>
          <w:lang w:val="en-US" w:eastAsia="zh-CN"/>
          <w14:textFill>
            <w14:solidFill>
              <w14:schemeClr w14:val="tx1"/>
            </w14:solidFill>
          </w14:textFill>
        </w:rPr>
        <w:t>5</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lang w:val="en-US" w:eastAsia="zh-CN"/>
          <w14:textFill>
            <w14:solidFill>
              <w14:schemeClr w14:val="tx1"/>
            </w14:solidFill>
          </w14:textFill>
        </w:rPr>
        <w:t>35</w:t>
      </w:r>
      <w:r>
        <w:rPr>
          <w:rFonts w:eastAsiaTheme="minorEastAsia"/>
          <w:color w:val="000000" w:themeColor="text1"/>
          <w:sz w:val="24"/>
          <w14:textFill>
            <w14:solidFill>
              <w14:schemeClr w14:val="tx1"/>
            </w14:solidFill>
          </w14:textFill>
        </w:rPr>
        <w:t>）℃，相对湿度不大于 85%。</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7、校准项目和校准方法</w:t>
      </w:r>
    </w:p>
    <w:p>
      <w:pPr>
        <w:spacing w:line="360" w:lineRule="auto"/>
        <w:ind w:firstLine="480" w:firstLineChars="200"/>
        <w:rPr>
          <w:rFonts w:eastAsiaTheme="minorEastAsia"/>
          <w:color w:val="000000" w:themeColor="text1"/>
          <w:sz w:val="24"/>
          <w14:textFill>
            <w14:solidFill>
              <w14:schemeClr w14:val="tx1"/>
            </w14:solidFill>
          </w14:textFill>
        </w:rPr>
      </w:pPr>
      <w:bookmarkStart w:id="1" w:name="_Hlk169804130"/>
      <w:r>
        <w:rPr>
          <w:rFonts w:eastAsiaTheme="minorEastAsia"/>
          <w:color w:val="000000" w:themeColor="text1"/>
          <w:sz w:val="24"/>
          <w14:textFill>
            <w14:solidFill>
              <w14:schemeClr w14:val="tx1"/>
            </w14:solidFill>
          </w14:textFill>
        </w:rPr>
        <w:t>这部分根据计量性能特点将计量特性指标主要分为</w:t>
      </w:r>
      <w:r>
        <w:rPr>
          <w:rFonts w:hint="eastAsia" w:eastAsiaTheme="minorEastAsia"/>
          <w:color w:val="000000" w:themeColor="text1"/>
          <w:sz w:val="24"/>
          <w:lang w:val="en-US" w:eastAsia="zh-CN"/>
          <w14:textFill>
            <w14:solidFill>
              <w14:schemeClr w14:val="tx1"/>
            </w14:solidFill>
          </w14:textFill>
        </w:rPr>
        <w:t>3</w:t>
      </w:r>
      <w:r>
        <w:rPr>
          <w:rFonts w:eastAsiaTheme="minorEastAsia"/>
          <w:color w:val="000000" w:themeColor="text1"/>
          <w:sz w:val="24"/>
          <w14:textFill>
            <w14:solidFill>
              <w14:schemeClr w14:val="tx1"/>
            </w14:solidFill>
          </w14:textFill>
        </w:rPr>
        <w:t>部分，分别为：</w:t>
      </w:r>
      <w:r>
        <w:rPr>
          <w:rFonts w:hint="eastAsia" w:eastAsiaTheme="minorEastAsia"/>
          <w:color w:val="000000" w:themeColor="text1"/>
          <w:sz w:val="24"/>
          <w:lang w:val="en-US" w:eastAsia="zh-CN"/>
          <w14:textFill>
            <w14:solidFill>
              <w14:schemeClr w14:val="tx1"/>
            </w14:solidFill>
          </w14:textFill>
        </w:rPr>
        <w:t>示值重复性、内插误差、负载效率</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lang w:val="en-US" w:eastAsia="zh-CN"/>
          <w14:textFill>
            <w14:solidFill>
              <w14:schemeClr w14:val="tx1"/>
            </w14:solidFill>
          </w14:textFill>
        </w:rPr>
        <w:t>并</w:t>
      </w:r>
      <w:r>
        <w:rPr>
          <w:rFonts w:eastAsiaTheme="minorEastAsia"/>
          <w:color w:val="000000" w:themeColor="text1"/>
          <w:sz w:val="24"/>
          <w14:textFill>
            <w14:solidFill>
              <w14:schemeClr w14:val="tx1"/>
            </w14:solidFill>
          </w14:textFill>
        </w:rPr>
        <w:t>对</w:t>
      </w:r>
      <w:r>
        <w:rPr>
          <w:rFonts w:hint="eastAsia" w:eastAsiaTheme="minorEastAsia"/>
          <w:color w:val="000000" w:themeColor="text1"/>
          <w:sz w:val="24"/>
          <w:lang w:val="en-US" w:eastAsia="zh-CN"/>
          <w14:textFill>
            <w14:solidFill>
              <w14:schemeClr w14:val="tx1"/>
            </w14:solidFill>
          </w14:textFill>
        </w:rPr>
        <w:t>各项</w:t>
      </w:r>
      <w:r>
        <w:rPr>
          <w:rFonts w:eastAsiaTheme="minorEastAsia"/>
          <w:color w:val="000000" w:themeColor="text1"/>
          <w:sz w:val="24"/>
          <w14:textFill>
            <w14:solidFill>
              <w14:schemeClr w14:val="tx1"/>
            </w14:solidFill>
          </w14:textFill>
        </w:rPr>
        <w:t>指标的具体校准方法进行了具体说明。</w:t>
      </w:r>
      <w:bookmarkEnd w:id="1"/>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8、校准结果表达</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经校准的</w:t>
      </w:r>
      <w:r>
        <w:rPr>
          <w:rFonts w:hint="eastAsia" w:eastAsiaTheme="minorEastAsia"/>
          <w:color w:val="000000" w:themeColor="text1"/>
          <w:sz w:val="24"/>
          <w:lang w:val="en-US" w:eastAsia="zh-CN"/>
          <w14:textFill>
            <w14:solidFill>
              <w14:schemeClr w14:val="tx1"/>
            </w14:solidFill>
          </w14:textFill>
        </w:rPr>
        <w:t>卡套预装机</w:t>
      </w:r>
      <w:r>
        <w:rPr>
          <w:rFonts w:eastAsiaTheme="minorEastAsia"/>
          <w:color w:val="000000" w:themeColor="text1"/>
          <w:sz w:val="24"/>
          <w14:textFill>
            <w14:solidFill>
              <w14:schemeClr w14:val="tx1"/>
            </w14:solidFill>
          </w14:textFill>
        </w:rPr>
        <w:t>性能参数，出具校准证书，校准证书应符合JJF1071-2010中5.12的要求，校准记录格式见附录</w:t>
      </w:r>
      <w:r>
        <w:rPr>
          <w:rFonts w:hint="eastAsia" w:eastAsiaTheme="minorEastAsia"/>
          <w:color w:val="000000" w:themeColor="text1"/>
          <w:sz w:val="24"/>
          <w:lang w:val="en-US" w:eastAsia="zh-CN"/>
          <w14:textFill>
            <w14:solidFill>
              <w14:schemeClr w14:val="tx1"/>
            </w14:solidFill>
          </w14:textFill>
        </w:rPr>
        <w:t>A</w:t>
      </w:r>
      <w:r>
        <w:rPr>
          <w:rFonts w:eastAsiaTheme="minorEastAsia"/>
          <w:color w:val="000000" w:themeColor="text1"/>
          <w:sz w:val="24"/>
          <w14:textFill>
            <w14:solidFill>
              <w14:schemeClr w14:val="tx1"/>
            </w14:solidFill>
          </w14:textFill>
        </w:rPr>
        <w:t>，校准报告内容见附录</w:t>
      </w:r>
      <w:r>
        <w:rPr>
          <w:rFonts w:hint="eastAsia" w:eastAsiaTheme="minorEastAsia"/>
          <w:color w:val="000000" w:themeColor="text1"/>
          <w:sz w:val="24"/>
          <w:lang w:val="en-US" w:eastAsia="zh-CN"/>
          <w14:textFill>
            <w14:solidFill>
              <w14:schemeClr w14:val="tx1"/>
            </w14:solidFill>
          </w14:textFill>
        </w:rPr>
        <w:t>B</w:t>
      </w:r>
      <w:r>
        <w:rPr>
          <w:rFonts w:eastAsiaTheme="minorEastAsia"/>
          <w:color w:val="000000" w:themeColor="text1"/>
          <w:sz w:val="24"/>
          <w14:textFill>
            <w14:solidFill>
              <w14:schemeClr w14:val="tx1"/>
            </w14:solidFill>
          </w14:textFill>
        </w:rPr>
        <w:t>，测量不确定度按 JJF 1059.1-2012的要求评定，测量不确定度评定示例见附录</w:t>
      </w:r>
      <w:r>
        <w:rPr>
          <w:rFonts w:hint="eastAsia" w:eastAsiaTheme="minorEastAsia"/>
          <w:color w:val="000000" w:themeColor="text1"/>
          <w:sz w:val="24"/>
          <w:lang w:val="en-US" w:eastAsia="zh-CN"/>
          <w14:textFill>
            <w14:solidFill>
              <w14:schemeClr w14:val="tx1"/>
            </w14:solidFill>
          </w14:textFill>
        </w:rPr>
        <w:t>C</w:t>
      </w:r>
      <w:r>
        <w:rPr>
          <w:rFonts w:hint="eastAsia" w:eastAsiaTheme="minorEastAsia"/>
          <w:color w:val="000000" w:themeColor="text1"/>
          <w:sz w:val="24"/>
          <w14:textFill>
            <w14:solidFill>
              <w14:schemeClr w14:val="tx1"/>
            </w14:solidFill>
          </w14:textFill>
        </w:rPr>
        <w:t>。</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9、复测时间间隔</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建议复校时间间隔一般不超过1年。复校时间间隔的长短是由仪器的使用情况、使用者、仪器本身质量等因素决定的，送校单位也可根据实际使用情况自主决定复校时间间隔。如果仪器经维修、更换重要部件或对仪器性能有怀疑时，应重新校准。</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10、附录</w:t>
      </w:r>
    </w:p>
    <w:p>
      <w:pPr>
        <w:spacing w:line="360" w:lineRule="auto"/>
        <w:ind w:firstLine="480" w:firstLineChars="200"/>
        <w:rPr>
          <w:rFonts w:hint="default" w:eastAsiaTheme="minorEastAsia"/>
          <w:color w:val="000000" w:themeColor="text1"/>
          <w:sz w:val="24"/>
          <w:lang w:val="en-US" w:eastAsia="zh-CN"/>
          <w14:textFill>
            <w14:solidFill>
              <w14:schemeClr w14:val="tx1"/>
            </w14:solidFill>
          </w14:textFill>
        </w:rPr>
      </w:pPr>
      <w:r>
        <w:rPr>
          <w:rFonts w:eastAsiaTheme="minorEastAsia"/>
          <w:color w:val="000000" w:themeColor="text1"/>
          <w:sz w:val="24"/>
          <w14:textFill>
            <w14:solidFill>
              <w14:schemeClr w14:val="tx1"/>
            </w14:solidFill>
          </w14:textFill>
        </w:rPr>
        <w:t xml:space="preserve">附录A  </w:t>
      </w:r>
      <w:bookmarkStart w:id="2" w:name="OLE_LINK6"/>
      <w:r>
        <w:rPr>
          <w:rFonts w:eastAsiaTheme="minorEastAsia"/>
          <w:color w:val="000000" w:themeColor="text1"/>
          <w:sz w:val="24"/>
          <w14:textFill>
            <w14:solidFill>
              <w14:schemeClr w14:val="tx1"/>
            </w14:solidFill>
          </w14:textFill>
        </w:rPr>
        <w:t>校准记录格式（推荐）</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附录B  校准证书内页格式（推荐）</w:t>
      </w:r>
    </w:p>
    <w:p>
      <w:pPr>
        <w:spacing w:line="360" w:lineRule="auto"/>
        <w:ind w:firstLine="480" w:firstLineChars="20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 xml:space="preserve">附录C  </w:t>
      </w:r>
      <w:r>
        <w:rPr>
          <w:rFonts w:hint="eastAsia" w:eastAsiaTheme="minorEastAsia"/>
          <w:color w:val="000000" w:themeColor="text1"/>
          <w:sz w:val="24"/>
          <w:lang w:val="en-US" w:eastAsia="zh-CN"/>
          <w14:textFill>
            <w14:solidFill>
              <w14:schemeClr w14:val="tx1"/>
            </w14:solidFill>
          </w14:textFill>
        </w:rPr>
        <w:t>内插</w:t>
      </w:r>
      <w:r>
        <w:rPr>
          <w:rFonts w:eastAsiaTheme="minorEastAsia"/>
          <w:color w:val="000000" w:themeColor="text1"/>
          <w:sz w:val="24"/>
          <w14:textFill>
            <w14:solidFill>
              <w14:schemeClr w14:val="tx1"/>
            </w14:solidFill>
          </w14:textFill>
        </w:rPr>
        <w:t>误差的不确定度评定示例</w:t>
      </w:r>
    </w:p>
    <w:bookmarkEnd w:id="2"/>
    <w:p>
      <w:pPr>
        <w:snapToGrid w:val="0"/>
        <w:spacing w:before="140" w:beforeLines="30" w:after="140" w:afterLines="30" w:line="594" w:lineRule="exact"/>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六、规范内容要点说明</w:t>
      </w:r>
    </w:p>
    <w:p>
      <w:pPr>
        <w:spacing w:line="360" w:lineRule="auto"/>
        <w:ind w:firstLine="480" w:firstLineChars="200"/>
        <w:rPr>
          <w:rFonts w:asciiTheme="minorEastAsia" w:hAnsiTheme="minorEastAsia" w:eastAsiaTheme="minorEastAsia"/>
          <w:sz w:val="24"/>
        </w:rPr>
      </w:pPr>
      <w:r>
        <w:rPr>
          <w:rFonts w:hint="eastAsia" w:cs="仿宋" w:asciiTheme="minorEastAsia" w:hAnsiTheme="minorEastAsia" w:eastAsiaTheme="minorEastAsia"/>
          <w:color w:val="000000" w:themeColor="text1"/>
          <w:sz w:val="24"/>
          <w14:textFill>
            <w14:solidFill>
              <w14:schemeClr w14:val="tx1"/>
            </w14:solidFill>
          </w14:textFill>
        </w:rPr>
        <w:t>本规范主要研究</w:t>
      </w:r>
      <w:r>
        <w:rPr>
          <w:rFonts w:hint="eastAsia" w:eastAsiaTheme="minorEastAsia"/>
          <w:color w:val="000000" w:themeColor="text1"/>
          <w:sz w:val="24"/>
          <w:lang w:val="en-US" w:eastAsia="zh-CN"/>
          <w14:textFill>
            <w14:solidFill>
              <w14:schemeClr w14:val="tx1"/>
            </w14:solidFill>
          </w14:textFill>
        </w:rPr>
        <w:t>卡套预装机</w:t>
      </w:r>
      <w:r>
        <w:rPr>
          <w:rFonts w:hint="eastAsia" w:cs="仿宋" w:asciiTheme="minorEastAsia" w:hAnsiTheme="minorEastAsia" w:eastAsiaTheme="minorEastAsia"/>
          <w:color w:val="000000" w:themeColor="text1"/>
          <w:sz w:val="24"/>
          <w:lang w:val="en-US" w:eastAsia="zh-CN"/>
          <w14:textFill>
            <w14:solidFill>
              <w14:schemeClr w14:val="tx1"/>
            </w14:solidFill>
          </w14:textFill>
        </w:rPr>
        <w:t>进行卡套装配作业时输出力值的</w:t>
      </w:r>
      <w:r>
        <w:rPr>
          <w:rFonts w:eastAsiaTheme="minorEastAsia"/>
          <w:color w:val="000000" w:themeColor="text1"/>
          <w:kern w:val="0"/>
          <w:sz w:val="24"/>
          <w14:textFill>
            <w14:solidFill>
              <w14:schemeClr w14:val="tx1"/>
            </w14:solidFill>
          </w14:textFill>
        </w:rPr>
        <w:t>计量性能</w:t>
      </w:r>
      <w:r>
        <w:rPr>
          <w:rFonts w:hint="eastAsia" w:eastAsiaTheme="minorEastAsia"/>
          <w:color w:val="000000" w:themeColor="text1"/>
          <w:kern w:val="0"/>
          <w:sz w:val="24"/>
          <w14:textFill>
            <w14:solidFill>
              <w14:schemeClr w14:val="tx1"/>
            </w14:solidFill>
          </w14:textFill>
        </w:rPr>
        <w:t>指标</w:t>
      </w:r>
      <w:r>
        <w:rPr>
          <w:rFonts w:hint="eastAsia" w:cs="仿宋" w:asciiTheme="minorEastAsia" w:hAnsiTheme="minorEastAsia" w:eastAsiaTheme="minorEastAsia"/>
          <w:color w:val="000000" w:themeColor="text1"/>
          <w:sz w:val="24"/>
          <w14:textFill>
            <w14:solidFill>
              <w14:schemeClr w14:val="tx1"/>
            </w14:solidFill>
          </w14:textFill>
        </w:rPr>
        <w:t>。</w:t>
      </w:r>
      <w:r>
        <w:rPr>
          <w:rFonts w:hint="eastAsia" w:cs="仿宋" w:asciiTheme="minorEastAsia" w:hAnsiTheme="minorEastAsia" w:eastAsiaTheme="minorEastAsia"/>
          <w:color w:val="000000" w:themeColor="text1"/>
          <w:sz w:val="24"/>
          <w:lang w:val="en-US" w:eastAsia="zh-CN"/>
          <w14:textFill>
            <w14:solidFill>
              <w14:schemeClr w14:val="tx1"/>
            </w14:solidFill>
          </w14:textFill>
        </w:rPr>
        <w:t>即卡套预装机重复性、负载效率和内插误差，并对各</w:t>
      </w:r>
      <w:r>
        <w:rPr>
          <w:rFonts w:hint="eastAsia" w:cs="仿宋" w:asciiTheme="minorEastAsia" w:hAnsiTheme="minorEastAsia" w:eastAsiaTheme="minorEastAsia"/>
          <w:color w:val="000000" w:themeColor="text1"/>
          <w:sz w:val="24"/>
          <w14:textFill>
            <w14:solidFill>
              <w14:schemeClr w14:val="tx1"/>
            </w14:solidFill>
          </w14:textFill>
        </w:rPr>
        <w:t>指标的校准方法进行了具体说明。</w:t>
      </w:r>
    </w:p>
    <w:sectPr>
      <w:footerReference r:id="rId7" w:type="first"/>
      <w:headerReference r:id="rId4" w:type="default"/>
      <w:footerReference r:id="rId5" w:type="default"/>
      <w:footerReference r:id="rId6" w:type="even"/>
      <w:pgSz w:w="11906" w:h="16838"/>
      <w:pgMar w:top="1361" w:right="1247" w:bottom="1134" w:left="1588" w:header="567" w:footer="397" w:gutter="0"/>
      <w:pgNumType w:start="1"/>
      <w:cols w:space="425" w:num="1"/>
      <w:docGrid w:type="lines" w:linePitch="46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6</w:t>
    </w:r>
    <w: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5</w:t>
    </w:r>
    <w:r>
      <w:rPr>
        <w:rStyle w:val="15"/>
      </w:rPr>
      <w:fldChar w:fldCharType="end"/>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752A98"/>
    <w:multiLevelType w:val="multilevel"/>
    <w:tmpl w:val="5D752A98"/>
    <w:lvl w:ilvl="0" w:tentative="0">
      <w:start w:val="1"/>
      <w:numFmt w:val="japaneseCounting"/>
      <w:lvlText w:val="%1、"/>
      <w:lvlJc w:val="left"/>
      <w:pPr>
        <w:ind w:left="504" w:hanging="504"/>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HorizontalSpacing w:val="105"/>
  <w:drawingGridVerticalSpacing w:val="234"/>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D71"/>
    <w:rsid w:val="00004546"/>
    <w:rsid w:val="00007A40"/>
    <w:rsid w:val="00011AAB"/>
    <w:rsid w:val="0001258F"/>
    <w:rsid w:val="0001467E"/>
    <w:rsid w:val="000162CE"/>
    <w:rsid w:val="00020BE9"/>
    <w:rsid w:val="00021B5D"/>
    <w:rsid w:val="0002238E"/>
    <w:rsid w:val="000240E4"/>
    <w:rsid w:val="000254B5"/>
    <w:rsid w:val="00026483"/>
    <w:rsid w:val="00030A08"/>
    <w:rsid w:val="00031CAF"/>
    <w:rsid w:val="000324E6"/>
    <w:rsid w:val="000331F5"/>
    <w:rsid w:val="000333B2"/>
    <w:rsid w:val="00033DA8"/>
    <w:rsid w:val="00033F48"/>
    <w:rsid w:val="000373CB"/>
    <w:rsid w:val="0004190D"/>
    <w:rsid w:val="00044142"/>
    <w:rsid w:val="00046CAC"/>
    <w:rsid w:val="00046EDA"/>
    <w:rsid w:val="00051D0B"/>
    <w:rsid w:val="00052354"/>
    <w:rsid w:val="000524BF"/>
    <w:rsid w:val="00052FDC"/>
    <w:rsid w:val="0005430D"/>
    <w:rsid w:val="0005676B"/>
    <w:rsid w:val="00057133"/>
    <w:rsid w:val="00062510"/>
    <w:rsid w:val="00064875"/>
    <w:rsid w:val="00066482"/>
    <w:rsid w:val="000723C6"/>
    <w:rsid w:val="00072788"/>
    <w:rsid w:val="0007389A"/>
    <w:rsid w:val="00075A5F"/>
    <w:rsid w:val="000765DF"/>
    <w:rsid w:val="00077967"/>
    <w:rsid w:val="000779C9"/>
    <w:rsid w:val="000816ED"/>
    <w:rsid w:val="00084244"/>
    <w:rsid w:val="00090E1F"/>
    <w:rsid w:val="0009423D"/>
    <w:rsid w:val="00095485"/>
    <w:rsid w:val="00096C58"/>
    <w:rsid w:val="000A6B2C"/>
    <w:rsid w:val="000B25BA"/>
    <w:rsid w:val="000B6048"/>
    <w:rsid w:val="000B7586"/>
    <w:rsid w:val="000C1674"/>
    <w:rsid w:val="000C2991"/>
    <w:rsid w:val="000C2F2A"/>
    <w:rsid w:val="000C5A9C"/>
    <w:rsid w:val="000C65ED"/>
    <w:rsid w:val="000C6B03"/>
    <w:rsid w:val="000D1D06"/>
    <w:rsid w:val="000D21C1"/>
    <w:rsid w:val="000E1EEE"/>
    <w:rsid w:val="000E3BD3"/>
    <w:rsid w:val="000E5A0A"/>
    <w:rsid w:val="000E78D4"/>
    <w:rsid w:val="000F0900"/>
    <w:rsid w:val="000F0C6C"/>
    <w:rsid w:val="000F31C7"/>
    <w:rsid w:val="000F37B8"/>
    <w:rsid w:val="000F3A45"/>
    <w:rsid w:val="00100500"/>
    <w:rsid w:val="00100623"/>
    <w:rsid w:val="00101F8D"/>
    <w:rsid w:val="00104445"/>
    <w:rsid w:val="00104550"/>
    <w:rsid w:val="00106E86"/>
    <w:rsid w:val="0010761E"/>
    <w:rsid w:val="00107961"/>
    <w:rsid w:val="00111DBD"/>
    <w:rsid w:val="0011530A"/>
    <w:rsid w:val="00116548"/>
    <w:rsid w:val="00116A11"/>
    <w:rsid w:val="00117F40"/>
    <w:rsid w:val="00121379"/>
    <w:rsid w:val="001216A2"/>
    <w:rsid w:val="001242D9"/>
    <w:rsid w:val="00124C5B"/>
    <w:rsid w:val="00127671"/>
    <w:rsid w:val="00130D6B"/>
    <w:rsid w:val="00132757"/>
    <w:rsid w:val="0013303A"/>
    <w:rsid w:val="001333D1"/>
    <w:rsid w:val="0013604E"/>
    <w:rsid w:val="001415B6"/>
    <w:rsid w:val="001416DD"/>
    <w:rsid w:val="00141B97"/>
    <w:rsid w:val="00142622"/>
    <w:rsid w:val="001430C5"/>
    <w:rsid w:val="00144373"/>
    <w:rsid w:val="001457D0"/>
    <w:rsid w:val="00146CC0"/>
    <w:rsid w:val="001472DA"/>
    <w:rsid w:val="001478CF"/>
    <w:rsid w:val="00150879"/>
    <w:rsid w:val="00151396"/>
    <w:rsid w:val="00157C36"/>
    <w:rsid w:val="00161155"/>
    <w:rsid w:val="00161DD9"/>
    <w:rsid w:val="00165CFC"/>
    <w:rsid w:val="001661E9"/>
    <w:rsid w:val="00172470"/>
    <w:rsid w:val="00180B6B"/>
    <w:rsid w:val="00183DE9"/>
    <w:rsid w:val="00190C81"/>
    <w:rsid w:val="00197B1A"/>
    <w:rsid w:val="001A2F99"/>
    <w:rsid w:val="001A3363"/>
    <w:rsid w:val="001A671D"/>
    <w:rsid w:val="001A760F"/>
    <w:rsid w:val="001B0645"/>
    <w:rsid w:val="001B1541"/>
    <w:rsid w:val="001B244D"/>
    <w:rsid w:val="001B31FC"/>
    <w:rsid w:val="001B4099"/>
    <w:rsid w:val="001B5521"/>
    <w:rsid w:val="001B6D36"/>
    <w:rsid w:val="001B7887"/>
    <w:rsid w:val="001B7B7B"/>
    <w:rsid w:val="001B7CD4"/>
    <w:rsid w:val="001C1147"/>
    <w:rsid w:val="001C1BC4"/>
    <w:rsid w:val="001C2881"/>
    <w:rsid w:val="001C4694"/>
    <w:rsid w:val="001D27B8"/>
    <w:rsid w:val="001D3362"/>
    <w:rsid w:val="001D6386"/>
    <w:rsid w:val="001D66B5"/>
    <w:rsid w:val="001D69F1"/>
    <w:rsid w:val="001D7DA4"/>
    <w:rsid w:val="001E0FB2"/>
    <w:rsid w:val="001E275F"/>
    <w:rsid w:val="001E30EC"/>
    <w:rsid w:val="001E397D"/>
    <w:rsid w:val="001E410D"/>
    <w:rsid w:val="001F06D3"/>
    <w:rsid w:val="001F2096"/>
    <w:rsid w:val="001F419B"/>
    <w:rsid w:val="001F4B53"/>
    <w:rsid w:val="001F4EA5"/>
    <w:rsid w:val="001F6CE7"/>
    <w:rsid w:val="001F74F3"/>
    <w:rsid w:val="002016B8"/>
    <w:rsid w:val="00202917"/>
    <w:rsid w:val="00202F27"/>
    <w:rsid w:val="0020353E"/>
    <w:rsid w:val="002041C4"/>
    <w:rsid w:val="00204CC6"/>
    <w:rsid w:val="00207B1E"/>
    <w:rsid w:val="002102E4"/>
    <w:rsid w:val="00211C8F"/>
    <w:rsid w:val="00221B5C"/>
    <w:rsid w:val="002241D4"/>
    <w:rsid w:val="0022712C"/>
    <w:rsid w:val="002275C5"/>
    <w:rsid w:val="00227890"/>
    <w:rsid w:val="00232B01"/>
    <w:rsid w:val="00237B62"/>
    <w:rsid w:val="00243232"/>
    <w:rsid w:val="00244DB0"/>
    <w:rsid w:val="00245359"/>
    <w:rsid w:val="00247483"/>
    <w:rsid w:val="0025245B"/>
    <w:rsid w:val="00253A14"/>
    <w:rsid w:val="002543D7"/>
    <w:rsid w:val="00256704"/>
    <w:rsid w:val="00260400"/>
    <w:rsid w:val="0026111F"/>
    <w:rsid w:val="002617F6"/>
    <w:rsid w:val="00264428"/>
    <w:rsid w:val="00266D24"/>
    <w:rsid w:val="00270152"/>
    <w:rsid w:val="002702D6"/>
    <w:rsid w:val="00270572"/>
    <w:rsid w:val="00271914"/>
    <w:rsid w:val="002722F2"/>
    <w:rsid w:val="00274334"/>
    <w:rsid w:val="00274DB5"/>
    <w:rsid w:val="002773E1"/>
    <w:rsid w:val="002777EC"/>
    <w:rsid w:val="00286224"/>
    <w:rsid w:val="00286740"/>
    <w:rsid w:val="00286D1B"/>
    <w:rsid w:val="002872AF"/>
    <w:rsid w:val="00287A7E"/>
    <w:rsid w:val="00290D67"/>
    <w:rsid w:val="002910C3"/>
    <w:rsid w:val="002930DA"/>
    <w:rsid w:val="002940B2"/>
    <w:rsid w:val="00297C68"/>
    <w:rsid w:val="002A2FD2"/>
    <w:rsid w:val="002B03A2"/>
    <w:rsid w:val="002B1075"/>
    <w:rsid w:val="002B23BF"/>
    <w:rsid w:val="002B2EEC"/>
    <w:rsid w:val="002B62A5"/>
    <w:rsid w:val="002B78F1"/>
    <w:rsid w:val="002C0594"/>
    <w:rsid w:val="002C5F52"/>
    <w:rsid w:val="002C7986"/>
    <w:rsid w:val="002D19A4"/>
    <w:rsid w:val="002D1D08"/>
    <w:rsid w:val="002D2A07"/>
    <w:rsid w:val="002D6B27"/>
    <w:rsid w:val="002D6E6B"/>
    <w:rsid w:val="002D7594"/>
    <w:rsid w:val="002E4098"/>
    <w:rsid w:val="002E4B9D"/>
    <w:rsid w:val="002E5A54"/>
    <w:rsid w:val="002E7EC9"/>
    <w:rsid w:val="002F0230"/>
    <w:rsid w:val="002F4312"/>
    <w:rsid w:val="002F4517"/>
    <w:rsid w:val="002F5832"/>
    <w:rsid w:val="002F7087"/>
    <w:rsid w:val="00302243"/>
    <w:rsid w:val="00302DB6"/>
    <w:rsid w:val="003047F0"/>
    <w:rsid w:val="003071AD"/>
    <w:rsid w:val="0030760A"/>
    <w:rsid w:val="00311814"/>
    <w:rsid w:val="00311F23"/>
    <w:rsid w:val="00312628"/>
    <w:rsid w:val="00314159"/>
    <w:rsid w:val="003142FE"/>
    <w:rsid w:val="00320E72"/>
    <w:rsid w:val="00321528"/>
    <w:rsid w:val="00321DD0"/>
    <w:rsid w:val="00324CD5"/>
    <w:rsid w:val="00326C15"/>
    <w:rsid w:val="003319BA"/>
    <w:rsid w:val="003344C4"/>
    <w:rsid w:val="00334780"/>
    <w:rsid w:val="003375A9"/>
    <w:rsid w:val="0033781E"/>
    <w:rsid w:val="00340ED3"/>
    <w:rsid w:val="00341546"/>
    <w:rsid w:val="0034176F"/>
    <w:rsid w:val="00341F80"/>
    <w:rsid w:val="00342C81"/>
    <w:rsid w:val="00345A50"/>
    <w:rsid w:val="00345F12"/>
    <w:rsid w:val="003467E1"/>
    <w:rsid w:val="00346FAA"/>
    <w:rsid w:val="00347B8C"/>
    <w:rsid w:val="00347DE8"/>
    <w:rsid w:val="003512AE"/>
    <w:rsid w:val="00353E4A"/>
    <w:rsid w:val="003568E1"/>
    <w:rsid w:val="003617C7"/>
    <w:rsid w:val="00362E62"/>
    <w:rsid w:val="00364B9E"/>
    <w:rsid w:val="00367AB4"/>
    <w:rsid w:val="0037089D"/>
    <w:rsid w:val="00370DA3"/>
    <w:rsid w:val="00371409"/>
    <w:rsid w:val="0037394C"/>
    <w:rsid w:val="0037439D"/>
    <w:rsid w:val="00374404"/>
    <w:rsid w:val="00374CA4"/>
    <w:rsid w:val="0037515B"/>
    <w:rsid w:val="00375392"/>
    <w:rsid w:val="003757FC"/>
    <w:rsid w:val="00375FEF"/>
    <w:rsid w:val="00377BE3"/>
    <w:rsid w:val="00377F13"/>
    <w:rsid w:val="00381A5D"/>
    <w:rsid w:val="0038642D"/>
    <w:rsid w:val="00391816"/>
    <w:rsid w:val="00391A08"/>
    <w:rsid w:val="00392F06"/>
    <w:rsid w:val="003940E3"/>
    <w:rsid w:val="00395879"/>
    <w:rsid w:val="00396A5C"/>
    <w:rsid w:val="00396BB2"/>
    <w:rsid w:val="003A0AE5"/>
    <w:rsid w:val="003A163B"/>
    <w:rsid w:val="003A2352"/>
    <w:rsid w:val="003A2C63"/>
    <w:rsid w:val="003A389E"/>
    <w:rsid w:val="003A39EE"/>
    <w:rsid w:val="003A4B27"/>
    <w:rsid w:val="003A4B69"/>
    <w:rsid w:val="003A5C27"/>
    <w:rsid w:val="003A6272"/>
    <w:rsid w:val="003A6B11"/>
    <w:rsid w:val="003A7FA1"/>
    <w:rsid w:val="003B2147"/>
    <w:rsid w:val="003B32D1"/>
    <w:rsid w:val="003B4546"/>
    <w:rsid w:val="003C1ED6"/>
    <w:rsid w:val="003C4516"/>
    <w:rsid w:val="003C66E8"/>
    <w:rsid w:val="003D2763"/>
    <w:rsid w:val="003D30EF"/>
    <w:rsid w:val="003D3700"/>
    <w:rsid w:val="003D4DF8"/>
    <w:rsid w:val="003D66CE"/>
    <w:rsid w:val="003D7367"/>
    <w:rsid w:val="003D7A1A"/>
    <w:rsid w:val="003E1B1B"/>
    <w:rsid w:val="003E348E"/>
    <w:rsid w:val="003E4A47"/>
    <w:rsid w:val="003E6AD4"/>
    <w:rsid w:val="003E719B"/>
    <w:rsid w:val="003E7D71"/>
    <w:rsid w:val="003F02B5"/>
    <w:rsid w:val="003F0931"/>
    <w:rsid w:val="003F0BC9"/>
    <w:rsid w:val="003F128B"/>
    <w:rsid w:val="003F2860"/>
    <w:rsid w:val="003F6776"/>
    <w:rsid w:val="00400813"/>
    <w:rsid w:val="00403740"/>
    <w:rsid w:val="004052E4"/>
    <w:rsid w:val="00406862"/>
    <w:rsid w:val="00410C76"/>
    <w:rsid w:val="00415850"/>
    <w:rsid w:val="00416599"/>
    <w:rsid w:val="00417C72"/>
    <w:rsid w:val="004208F5"/>
    <w:rsid w:val="004211BF"/>
    <w:rsid w:val="00422E4B"/>
    <w:rsid w:val="00424A61"/>
    <w:rsid w:val="004328C5"/>
    <w:rsid w:val="00432B2C"/>
    <w:rsid w:val="0043335E"/>
    <w:rsid w:val="0043440B"/>
    <w:rsid w:val="0043624E"/>
    <w:rsid w:val="00446346"/>
    <w:rsid w:val="004509B7"/>
    <w:rsid w:val="00450F88"/>
    <w:rsid w:val="00452C58"/>
    <w:rsid w:val="00453EED"/>
    <w:rsid w:val="0045545A"/>
    <w:rsid w:val="00455F67"/>
    <w:rsid w:val="004668D6"/>
    <w:rsid w:val="00473DB3"/>
    <w:rsid w:val="00473DF2"/>
    <w:rsid w:val="00475ADC"/>
    <w:rsid w:val="004822DC"/>
    <w:rsid w:val="00482F08"/>
    <w:rsid w:val="004845C4"/>
    <w:rsid w:val="0048529C"/>
    <w:rsid w:val="00486056"/>
    <w:rsid w:val="00491074"/>
    <w:rsid w:val="004916CA"/>
    <w:rsid w:val="0049302E"/>
    <w:rsid w:val="004934F5"/>
    <w:rsid w:val="00496574"/>
    <w:rsid w:val="004968E1"/>
    <w:rsid w:val="0049704F"/>
    <w:rsid w:val="0049787B"/>
    <w:rsid w:val="004A0728"/>
    <w:rsid w:val="004A0EEB"/>
    <w:rsid w:val="004A2F7D"/>
    <w:rsid w:val="004A3326"/>
    <w:rsid w:val="004A39DB"/>
    <w:rsid w:val="004A4028"/>
    <w:rsid w:val="004A7833"/>
    <w:rsid w:val="004B0D1A"/>
    <w:rsid w:val="004B296F"/>
    <w:rsid w:val="004B40D1"/>
    <w:rsid w:val="004B466D"/>
    <w:rsid w:val="004C04FB"/>
    <w:rsid w:val="004C0D43"/>
    <w:rsid w:val="004C134B"/>
    <w:rsid w:val="004C17EF"/>
    <w:rsid w:val="004C2ADA"/>
    <w:rsid w:val="004C469A"/>
    <w:rsid w:val="004C5A21"/>
    <w:rsid w:val="004C7D13"/>
    <w:rsid w:val="004D2A37"/>
    <w:rsid w:val="004D315B"/>
    <w:rsid w:val="004D57F5"/>
    <w:rsid w:val="004E2AAA"/>
    <w:rsid w:val="004E30B3"/>
    <w:rsid w:val="004E41BF"/>
    <w:rsid w:val="004E6E8F"/>
    <w:rsid w:val="004E711A"/>
    <w:rsid w:val="004F26B8"/>
    <w:rsid w:val="004F2BFF"/>
    <w:rsid w:val="004F46FC"/>
    <w:rsid w:val="004F6720"/>
    <w:rsid w:val="004F7CBB"/>
    <w:rsid w:val="00501405"/>
    <w:rsid w:val="005023D4"/>
    <w:rsid w:val="005028BB"/>
    <w:rsid w:val="00503FE4"/>
    <w:rsid w:val="0050524F"/>
    <w:rsid w:val="005059EF"/>
    <w:rsid w:val="00506B22"/>
    <w:rsid w:val="00516C2C"/>
    <w:rsid w:val="00517D6E"/>
    <w:rsid w:val="0052236E"/>
    <w:rsid w:val="005253B7"/>
    <w:rsid w:val="00525568"/>
    <w:rsid w:val="00531261"/>
    <w:rsid w:val="0053700C"/>
    <w:rsid w:val="005400B4"/>
    <w:rsid w:val="0054150A"/>
    <w:rsid w:val="005448B5"/>
    <w:rsid w:val="0054529A"/>
    <w:rsid w:val="005501E4"/>
    <w:rsid w:val="005519B7"/>
    <w:rsid w:val="00552180"/>
    <w:rsid w:val="00554E4B"/>
    <w:rsid w:val="00561ACB"/>
    <w:rsid w:val="00563AEB"/>
    <w:rsid w:val="005644CC"/>
    <w:rsid w:val="0056457D"/>
    <w:rsid w:val="00565F0E"/>
    <w:rsid w:val="00567A23"/>
    <w:rsid w:val="00570EF8"/>
    <w:rsid w:val="005724A6"/>
    <w:rsid w:val="00575D35"/>
    <w:rsid w:val="00577756"/>
    <w:rsid w:val="00585DA8"/>
    <w:rsid w:val="00587841"/>
    <w:rsid w:val="00587875"/>
    <w:rsid w:val="00587ACC"/>
    <w:rsid w:val="00592DED"/>
    <w:rsid w:val="00593C06"/>
    <w:rsid w:val="0059658B"/>
    <w:rsid w:val="005A6B7A"/>
    <w:rsid w:val="005B013A"/>
    <w:rsid w:val="005B082B"/>
    <w:rsid w:val="005B23B8"/>
    <w:rsid w:val="005B38E5"/>
    <w:rsid w:val="005B3EC8"/>
    <w:rsid w:val="005B565A"/>
    <w:rsid w:val="005B6AB8"/>
    <w:rsid w:val="005B7257"/>
    <w:rsid w:val="005B7CF4"/>
    <w:rsid w:val="005C0DAD"/>
    <w:rsid w:val="005C4E34"/>
    <w:rsid w:val="005D12C2"/>
    <w:rsid w:val="005D3DF9"/>
    <w:rsid w:val="005D4EED"/>
    <w:rsid w:val="005D60E0"/>
    <w:rsid w:val="005E0A3E"/>
    <w:rsid w:val="005E0B17"/>
    <w:rsid w:val="005E1821"/>
    <w:rsid w:val="005E3C19"/>
    <w:rsid w:val="005E656E"/>
    <w:rsid w:val="005E6AE8"/>
    <w:rsid w:val="005F03C5"/>
    <w:rsid w:val="005F223D"/>
    <w:rsid w:val="005F6851"/>
    <w:rsid w:val="005F7976"/>
    <w:rsid w:val="00601060"/>
    <w:rsid w:val="006044DF"/>
    <w:rsid w:val="00604CD2"/>
    <w:rsid w:val="00607333"/>
    <w:rsid w:val="00607BB3"/>
    <w:rsid w:val="00610181"/>
    <w:rsid w:val="0061389D"/>
    <w:rsid w:val="006141B6"/>
    <w:rsid w:val="006143D7"/>
    <w:rsid w:val="00614A0D"/>
    <w:rsid w:val="00614F35"/>
    <w:rsid w:val="0062580D"/>
    <w:rsid w:val="006262CE"/>
    <w:rsid w:val="006277B6"/>
    <w:rsid w:val="006309A7"/>
    <w:rsid w:val="00632E5A"/>
    <w:rsid w:val="006333E3"/>
    <w:rsid w:val="00635437"/>
    <w:rsid w:val="00641895"/>
    <w:rsid w:val="0064502E"/>
    <w:rsid w:val="00645CE0"/>
    <w:rsid w:val="00646D6B"/>
    <w:rsid w:val="00647680"/>
    <w:rsid w:val="006507D5"/>
    <w:rsid w:val="00650C14"/>
    <w:rsid w:val="00653428"/>
    <w:rsid w:val="00656214"/>
    <w:rsid w:val="006577D7"/>
    <w:rsid w:val="006620A1"/>
    <w:rsid w:val="0066425C"/>
    <w:rsid w:val="00666F40"/>
    <w:rsid w:val="006708A9"/>
    <w:rsid w:val="00671AB8"/>
    <w:rsid w:val="00674797"/>
    <w:rsid w:val="006759D2"/>
    <w:rsid w:val="00676F4B"/>
    <w:rsid w:val="00677127"/>
    <w:rsid w:val="00680081"/>
    <w:rsid w:val="006819F8"/>
    <w:rsid w:val="00682180"/>
    <w:rsid w:val="00683061"/>
    <w:rsid w:val="00683142"/>
    <w:rsid w:val="00684D26"/>
    <w:rsid w:val="00692A03"/>
    <w:rsid w:val="00694032"/>
    <w:rsid w:val="00694DEB"/>
    <w:rsid w:val="00697A4D"/>
    <w:rsid w:val="006A2077"/>
    <w:rsid w:val="006A4BDE"/>
    <w:rsid w:val="006A6AB2"/>
    <w:rsid w:val="006B1F9C"/>
    <w:rsid w:val="006B3185"/>
    <w:rsid w:val="006B4307"/>
    <w:rsid w:val="006B50C8"/>
    <w:rsid w:val="006B6A2B"/>
    <w:rsid w:val="006B7685"/>
    <w:rsid w:val="006C1F99"/>
    <w:rsid w:val="006C22C8"/>
    <w:rsid w:val="006C25D6"/>
    <w:rsid w:val="006C325D"/>
    <w:rsid w:val="006C49D6"/>
    <w:rsid w:val="006C55B6"/>
    <w:rsid w:val="006C5E0E"/>
    <w:rsid w:val="006C7017"/>
    <w:rsid w:val="006D0AF2"/>
    <w:rsid w:val="006D121B"/>
    <w:rsid w:val="006D171F"/>
    <w:rsid w:val="006D2576"/>
    <w:rsid w:val="006D2C19"/>
    <w:rsid w:val="006D55DC"/>
    <w:rsid w:val="006D654B"/>
    <w:rsid w:val="006D7568"/>
    <w:rsid w:val="006D7DA1"/>
    <w:rsid w:val="006E2EB8"/>
    <w:rsid w:val="006E3891"/>
    <w:rsid w:val="006E5186"/>
    <w:rsid w:val="006E556E"/>
    <w:rsid w:val="006F00FC"/>
    <w:rsid w:val="006F0D69"/>
    <w:rsid w:val="006F10C6"/>
    <w:rsid w:val="006F5869"/>
    <w:rsid w:val="006F5A31"/>
    <w:rsid w:val="006F718B"/>
    <w:rsid w:val="00701F58"/>
    <w:rsid w:val="00702F20"/>
    <w:rsid w:val="00705446"/>
    <w:rsid w:val="0070565C"/>
    <w:rsid w:val="00710EAF"/>
    <w:rsid w:val="0071221E"/>
    <w:rsid w:val="0071274D"/>
    <w:rsid w:val="007142FF"/>
    <w:rsid w:val="007146E4"/>
    <w:rsid w:val="00716183"/>
    <w:rsid w:val="007176DC"/>
    <w:rsid w:val="00717E0C"/>
    <w:rsid w:val="0072272B"/>
    <w:rsid w:val="00722E96"/>
    <w:rsid w:val="00726A23"/>
    <w:rsid w:val="0073221D"/>
    <w:rsid w:val="0073567D"/>
    <w:rsid w:val="007378EF"/>
    <w:rsid w:val="0074352F"/>
    <w:rsid w:val="00743A85"/>
    <w:rsid w:val="0074664B"/>
    <w:rsid w:val="007545DF"/>
    <w:rsid w:val="0075579A"/>
    <w:rsid w:val="00756682"/>
    <w:rsid w:val="00756E61"/>
    <w:rsid w:val="00757A74"/>
    <w:rsid w:val="00757C2E"/>
    <w:rsid w:val="00760211"/>
    <w:rsid w:val="007618E7"/>
    <w:rsid w:val="00764879"/>
    <w:rsid w:val="00764AE4"/>
    <w:rsid w:val="00764B9F"/>
    <w:rsid w:val="00765969"/>
    <w:rsid w:val="007662AA"/>
    <w:rsid w:val="0076783C"/>
    <w:rsid w:val="00767DCA"/>
    <w:rsid w:val="00771E81"/>
    <w:rsid w:val="00773686"/>
    <w:rsid w:val="0077447A"/>
    <w:rsid w:val="00774986"/>
    <w:rsid w:val="007767E8"/>
    <w:rsid w:val="00776CB4"/>
    <w:rsid w:val="007772F2"/>
    <w:rsid w:val="007809DC"/>
    <w:rsid w:val="007816EB"/>
    <w:rsid w:val="00781D19"/>
    <w:rsid w:val="00784B01"/>
    <w:rsid w:val="00786421"/>
    <w:rsid w:val="00787515"/>
    <w:rsid w:val="00791828"/>
    <w:rsid w:val="007936F5"/>
    <w:rsid w:val="007957A5"/>
    <w:rsid w:val="007965E1"/>
    <w:rsid w:val="007A5C5C"/>
    <w:rsid w:val="007A70E9"/>
    <w:rsid w:val="007B1B54"/>
    <w:rsid w:val="007B62D8"/>
    <w:rsid w:val="007C007D"/>
    <w:rsid w:val="007C1AD0"/>
    <w:rsid w:val="007C1B7C"/>
    <w:rsid w:val="007C46E3"/>
    <w:rsid w:val="007C5788"/>
    <w:rsid w:val="007C6CF8"/>
    <w:rsid w:val="007C781B"/>
    <w:rsid w:val="007D1073"/>
    <w:rsid w:val="007D3A9C"/>
    <w:rsid w:val="007D5B8A"/>
    <w:rsid w:val="007E0DEC"/>
    <w:rsid w:val="007E5F55"/>
    <w:rsid w:val="007F0EE8"/>
    <w:rsid w:val="007F55D8"/>
    <w:rsid w:val="007F79A2"/>
    <w:rsid w:val="00801907"/>
    <w:rsid w:val="00803112"/>
    <w:rsid w:val="00804259"/>
    <w:rsid w:val="00806125"/>
    <w:rsid w:val="0081055C"/>
    <w:rsid w:val="00811BB4"/>
    <w:rsid w:val="008135B2"/>
    <w:rsid w:val="00817E47"/>
    <w:rsid w:val="00820F24"/>
    <w:rsid w:val="00822C59"/>
    <w:rsid w:val="00824E5B"/>
    <w:rsid w:val="008263A4"/>
    <w:rsid w:val="00831D85"/>
    <w:rsid w:val="008320BA"/>
    <w:rsid w:val="0083378E"/>
    <w:rsid w:val="008358FC"/>
    <w:rsid w:val="0083669B"/>
    <w:rsid w:val="00837524"/>
    <w:rsid w:val="008410CD"/>
    <w:rsid w:val="00841819"/>
    <w:rsid w:val="00842661"/>
    <w:rsid w:val="00843C4C"/>
    <w:rsid w:val="00843CE1"/>
    <w:rsid w:val="00844010"/>
    <w:rsid w:val="0084549C"/>
    <w:rsid w:val="008475F8"/>
    <w:rsid w:val="00847EE4"/>
    <w:rsid w:val="00851EC1"/>
    <w:rsid w:val="00852332"/>
    <w:rsid w:val="008523C2"/>
    <w:rsid w:val="00852669"/>
    <w:rsid w:val="00852D1A"/>
    <w:rsid w:val="008547AC"/>
    <w:rsid w:val="00854897"/>
    <w:rsid w:val="00857B34"/>
    <w:rsid w:val="00857D3A"/>
    <w:rsid w:val="00860206"/>
    <w:rsid w:val="0086163D"/>
    <w:rsid w:val="008640CF"/>
    <w:rsid w:val="00864810"/>
    <w:rsid w:val="00865063"/>
    <w:rsid w:val="00865C34"/>
    <w:rsid w:val="00866B09"/>
    <w:rsid w:val="00866FAB"/>
    <w:rsid w:val="00867B77"/>
    <w:rsid w:val="00867C44"/>
    <w:rsid w:val="008701F0"/>
    <w:rsid w:val="00871015"/>
    <w:rsid w:val="008711B9"/>
    <w:rsid w:val="0087177E"/>
    <w:rsid w:val="008720DF"/>
    <w:rsid w:val="00873230"/>
    <w:rsid w:val="00873EC1"/>
    <w:rsid w:val="00873F5E"/>
    <w:rsid w:val="00877877"/>
    <w:rsid w:val="00880B2E"/>
    <w:rsid w:val="0088162C"/>
    <w:rsid w:val="00883A29"/>
    <w:rsid w:val="008857CD"/>
    <w:rsid w:val="008868AB"/>
    <w:rsid w:val="00886D2A"/>
    <w:rsid w:val="00886D31"/>
    <w:rsid w:val="0089156E"/>
    <w:rsid w:val="00891A82"/>
    <w:rsid w:val="00895E09"/>
    <w:rsid w:val="008965DB"/>
    <w:rsid w:val="00896993"/>
    <w:rsid w:val="008A01AE"/>
    <w:rsid w:val="008A2202"/>
    <w:rsid w:val="008A4AE4"/>
    <w:rsid w:val="008A6E37"/>
    <w:rsid w:val="008A73E1"/>
    <w:rsid w:val="008A7FA8"/>
    <w:rsid w:val="008B1D76"/>
    <w:rsid w:val="008B33AB"/>
    <w:rsid w:val="008B432B"/>
    <w:rsid w:val="008B6BFB"/>
    <w:rsid w:val="008B6ECA"/>
    <w:rsid w:val="008B7115"/>
    <w:rsid w:val="008C0BA5"/>
    <w:rsid w:val="008C0FEA"/>
    <w:rsid w:val="008C136A"/>
    <w:rsid w:val="008C3D9B"/>
    <w:rsid w:val="008C5C8F"/>
    <w:rsid w:val="008C655C"/>
    <w:rsid w:val="008C7708"/>
    <w:rsid w:val="008D1F70"/>
    <w:rsid w:val="008D3880"/>
    <w:rsid w:val="008D4368"/>
    <w:rsid w:val="008D4B18"/>
    <w:rsid w:val="008D6BAD"/>
    <w:rsid w:val="008D6FC7"/>
    <w:rsid w:val="008E075D"/>
    <w:rsid w:val="008E0CD5"/>
    <w:rsid w:val="008E4E4E"/>
    <w:rsid w:val="008E540C"/>
    <w:rsid w:val="008F22EE"/>
    <w:rsid w:val="008F2A89"/>
    <w:rsid w:val="008F2FB2"/>
    <w:rsid w:val="008F3B17"/>
    <w:rsid w:val="008F5499"/>
    <w:rsid w:val="008F5D0A"/>
    <w:rsid w:val="008F63F0"/>
    <w:rsid w:val="00900FAE"/>
    <w:rsid w:val="00904915"/>
    <w:rsid w:val="00906274"/>
    <w:rsid w:val="009077D9"/>
    <w:rsid w:val="00910BAE"/>
    <w:rsid w:val="00911692"/>
    <w:rsid w:val="00916F1F"/>
    <w:rsid w:val="009170A8"/>
    <w:rsid w:val="00917A49"/>
    <w:rsid w:val="00927EE2"/>
    <w:rsid w:val="009316FC"/>
    <w:rsid w:val="0093496E"/>
    <w:rsid w:val="00934B9E"/>
    <w:rsid w:val="00935A0F"/>
    <w:rsid w:val="00936F68"/>
    <w:rsid w:val="00943FCF"/>
    <w:rsid w:val="00950E75"/>
    <w:rsid w:val="0095563F"/>
    <w:rsid w:val="0095698F"/>
    <w:rsid w:val="0096126A"/>
    <w:rsid w:val="00962A58"/>
    <w:rsid w:val="00963042"/>
    <w:rsid w:val="00963630"/>
    <w:rsid w:val="009672EA"/>
    <w:rsid w:val="00974E6E"/>
    <w:rsid w:val="009752EA"/>
    <w:rsid w:val="00975C90"/>
    <w:rsid w:val="00975D74"/>
    <w:rsid w:val="009762AD"/>
    <w:rsid w:val="00976A94"/>
    <w:rsid w:val="0098018E"/>
    <w:rsid w:val="009804CA"/>
    <w:rsid w:val="00981998"/>
    <w:rsid w:val="00982D4E"/>
    <w:rsid w:val="009847D2"/>
    <w:rsid w:val="00990138"/>
    <w:rsid w:val="0099181B"/>
    <w:rsid w:val="009949FF"/>
    <w:rsid w:val="00994DFE"/>
    <w:rsid w:val="00996F85"/>
    <w:rsid w:val="009A1AF2"/>
    <w:rsid w:val="009A27B3"/>
    <w:rsid w:val="009A339E"/>
    <w:rsid w:val="009A3F1E"/>
    <w:rsid w:val="009A5730"/>
    <w:rsid w:val="009A6726"/>
    <w:rsid w:val="009A6764"/>
    <w:rsid w:val="009B0C2A"/>
    <w:rsid w:val="009B15D2"/>
    <w:rsid w:val="009B549A"/>
    <w:rsid w:val="009B58C6"/>
    <w:rsid w:val="009B766B"/>
    <w:rsid w:val="009C22A6"/>
    <w:rsid w:val="009C445D"/>
    <w:rsid w:val="009C5BE3"/>
    <w:rsid w:val="009C618D"/>
    <w:rsid w:val="009C668E"/>
    <w:rsid w:val="009C6B22"/>
    <w:rsid w:val="009C7EC3"/>
    <w:rsid w:val="009D17B6"/>
    <w:rsid w:val="009D208E"/>
    <w:rsid w:val="009D486C"/>
    <w:rsid w:val="009D5E40"/>
    <w:rsid w:val="009D6C26"/>
    <w:rsid w:val="009E08EA"/>
    <w:rsid w:val="009E17A7"/>
    <w:rsid w:val="009E2BCE"/>
    <w:rsid w:val="009E3354"/>
    <w:rsid w:val="009E63AD"/>
    <w:rsid w:val="009E7556"/>
    <w:rsid w:val="009E7E26"/>
    <w:rsid w:val="009F0AA4"/>
    <w:rsid w:val="009F6D24"/>
    <w:rsid w:val="00A0118E"/>
    <w:rsid w:val="00A077A6"/>
    <w:rsid w:val="00A11A22"/>
    <w:rsid w:val="00A120ED"/>
    <w:rsid w:val="00A12575"/>
    <w:rsid w:val="00A12F55"/>
    <w:rsid w:val="00A14031"/>
    <w:rsid w:val="00A15A6A"/>
    <w:rsid w:val="00A16231"/>
    <w:rsid w:val="00A2122E"/>
    <w:rsid w:val="00A2348F"/>
    <w:rsid w:val="00A2462B"/>
    <w:rsid w:val="00A26855"/>
    <w:rsid w:val="00A27F4D"/>
    <w:rsid w:val="00A30404"/>
    <w:rsid w:val="00A3096A"/>
    <w:rsid w:val="00A3153A"/>
    <w:rsid w:val="00A40981"/>
    <w:rsid w:val="00A4261D"/>
    <w:rsid w:val="00A439D9"/>
    <w:rsid w:val="00A46A27"/>
    <w:rsid w:val="00A46E63"/>
    <w:rsid w:val="00A502ED"/>
    <w:rsid w:val="00A5131E"/>
    <w:rsid w:val="00A51A94"/>
    <w:rsid w:val="00A5251F"/>
    <w:rsid w:val="00A52A42"/>
    <w:rsid w:val="00A532C9"/>
    <w:rsid w:val="00A570F3"/>
    <w:rsid w:val="00A579CE"/>
    <w:rsid w:val="00A621D4"/>
    <w:rsid w:val="00A626CE"/>
    <w:rsid w:val="00A64E8F"/>
    <w:rsid w:val="00A6508B"/>
    <w:rsid w:val="00A66C1E"/>
    <w:rsid w:val="00A67083"/>
    <w:rsid w:val="00A67BBB"/>
    <w:rsid w:val="00A71C73"/>
    <w:rsid w:val="00A72801"/>
    <w:rsid w:val="00A73C49"/>
    <w:rsid w:val="00A73C58"/>
    <w:rsid w:val="00A751DE"/>
    <w:rsid w:val="00A75277"/>
    <w:rsid w:val="00A765E7"/>
    <w:rsid w:val="00A77451"/>
    <w:rsid w:val="00A77529"/>
    <w:rsid w:val="00A83492"/>
    <w:rsid w:val="00A868B4"/>
    <w:rsid w:val="00A869B5"/>
    <w:rsid w:val="00A901D0"/>
    <w:rsid w:val="00A907C3"/>
    <w:rsid w:val="00A90B59"/>
    <w:rsid w:val="00A91D80"/>
    <w:rsid w:val="00A92B11"/>
    <w:rsid w:val="00A963BC"/>
    <w:rsid w:val="00A96445"/>
    <w:rsid w:val="00A970FC"/>
    <w:rsid w:val="00A971C9"/>
    <w:rsid w:val="00A9742B"/>
    <w:rsid w:val="00AA0022"/>
    <w:rsid w:val="00AA06AE"/>
    <w:rsid w:val="00AA0AFF"/>
    <w:rsid w:val="00AA3291"/>
    <w:rsid w:val="00AA3699"/>
    <w:rsid w:val="00AA4C30"/>
    <w:rsid w:val="00AA527E"/>
    <w:rsid w:val="00AA6A33"/>
    <w:rsid w:val="00AA7C66"/>
    <w:rsid w:val="00AB38A3"/>
    <w:rsid w:val="00AB38E0"/>
    <w:rsid w:val="00AB5224"/>
    <w:rsid w:val="00AB7F0D"/>
    <w:rsid w:val="00AC2777"/>
    <w:rsid w:val="00AC4EE6"/>
    <w:rsid w:val="00AC5448"/>
    <w:rsid w:val="00AC72D0"/>
    <w:rsid w:val="00AD245E"/>
    <w:rsid w:val="00AD3D69"/>
    <w:rsid w:val="00AD53C3"/>
    <w:rsid w:val="00AE01FF"/>
    <w:rsid w:val="00AE0451"/>
    <w:rsid w:val="00AE1FFF"/>
    <w:rsid w:val="00AE3255"/>
    <w:rsid w:val="00AE5D5E"/>
    <w:rsid w:val="00AE6342"/>
    <w:rsid w:val="00AE7F81"/>
    <w:rsid w:val="00AF25D8"/>
    <w:rsid w:val="00AF2F28"/>
    <w:rsid w:val="00AF6C24"/>
    <w:rsid w:val="00AF7F28"/>
    <w:rsid w:val="00B00C8D"/>
    <w:rsid w:val="00B015CC"/>
    <w:rsid w:val="00B04D4B"/>
    <w:rsid w:val="00B065DB"/>
    <w:rsid w:val="00B065DC"/>
    <w:rsid w:val="00B06E44"/>
    <w:rsid w:val="00B06FD9"/>
    <w:rsid w:val="00B12006"/>
    <w:rsid w:val="00B14BBD"/>
    <w:rsid w:val="00B2061C"/>
    <w:rsid w:val="00B2175D"/>
    <w:rsid w:val="00B2226A"/>
    <w:rsid w:val="00B22BA0"/>
    <w:rsid w:val="00B238AE"/>
    <w:rsid w:val="00B23CFF"/>
    <w:rsid w:val="00B23E92"/>
    <w:rsid w:val="00B24DB9"/>
    <w:rsid w:val="00B24F67"/>
    <w:rsid w:val="00B3148D"/>
    <w:rsid w:val="00B31901"/>
    <w:rsid w:val="00B32075"/>
    <w:rsid w:val="00B329EE"/>
    <w:rsid w:val="00B3388C"/>
    <w:rsid w:val="00B361FE"/>
    <w:rsid w:val="00B41041"/>
    <w:rsid w:val="00B419EE"/>
    <w:rsid w:val="00B420C2"/>
    <w:rsid w:val="00B42101"/>
    <w:rsid w:val="00B46BEF"/>
    <w:rsid w:val="00B537C5"/>
    <w:rsid w:val="00B54BFB"/>
    <w:rsid w:val="00B60CCE"/>
    <w:rsid w:val="00B60D23"/>
    <w:rsid w:val="00B6110A"/>
    <w:rsid w:val="00B6110F"/>
    <w:rsid w:val="00B62F51"/>
    <w:rsid w:val="00B6434F"/>
    <w:rsid w:val="00B645A2"/>
    <w:rsid w:val="00B6521C"/>
    <w:rsid w:val="00B733E9"/>
    <w:rsid w:val="00B75EE3"/>
    <w:rsid w:val="00B8174B"/>
    <w:rsid w:val="00B82800"/>
    <w:rsid w:val="00B841B3"/>
    <w:rsid w:val="00B860A5"/>
    <w:rsid w:val="00B87F91"/>
    <w:rsid w:val="00B9292C"/>
    <w:rsid w:val="00B94AF5"/>
    <w:rsid w:val="00B95109"/>
    <w:rsid w:val="00B954F2"/>
    <w:rsid w:val="00BA42A7"/>
    <w:rsid w:val="00BA4810"/>
    <w:rsid w:val="00BA4E77"/>
    <w:rsid w:val="00BB0CB6"/>
    <w:rsid w:val="00BB18C8"/>
    <w:rsid w:val="00BB1BCD"/>
    <w:rsid w:val="00BB1D59"/>
    <w:rsid w:val="00BB3E93"/>
    <w:rsid w:val="00BB6252"/>
    <w:rsid w:val="00BB6C3A"/>
    <w:rsid w:val="00BB7BCF"/>
    <w:rsid w:val="00BC105A"/>
    <w:rsid w:val="00BC2AC2"/>
    <w:rsid w:val="00BC2AEE"/>
    <w:rsid w:val="00BC5022"/>
    <w:rsid w:val="00BC5D5A"/>
    <w:rsid w:val="00BC6163"/>
    <w:rsid w:val="00BC7760"/>
    <w:rsid w:val="00BC7A94"/>
    <w:rsid w:val="00BD10FE"/>
    <w:rsid w:val="00BD1DD0"/>
    <w:rsid w:val="00BD45FD"/>
    <w:rsid w:val="00BD4709"/>
    <w:rsid w:val="00BD4FC7"/>
    <w:rsid w:val="00BD51DD"/>
    <w:rsid w:val="00BD691A"/>
    <w:rsid w:val="00BE34F5"/>
    <w:rsid w:val="00BE40AE"/>
    <w:rsid w:val="00BE5962"/>
    <w:rsid w:val="00BF3581"/>
    <w:rsid w:val="00BF35EB"/>
    <w:rsid w:val="00BF37E0"/>
    <w:rsid w:val="00BF4FDA"/>
    <w:rsid w:val="00C0241B"/>
    <w:rsid w:val="00C045BD"/>
    <w:rsid w:val="00C04AA8"/>
    <w:rsid w:val="00C05FE4"/>
    <w:rsid w:val="00C063FC"/>
    <w:rsid w:val="00C07339"/>
    <w:rsid w:val="00C146D4"/>
    <w:rsid w:val="00C16C48"/>
    <w:rsid w:val="00C17FC8"/>
    <w:rsid w:val="00C23C14"/>
    <w:rsid w:val="00C254B4"/>
    <w:rsid w:val="00C25D7F"/>
    <w:rsid w:val="00C315B6"/>
    <w:rsid w:val="00C323D8"/>
    <w:rsid w:val="00C346A2"/>
    <w:rsid w:val="00C3597F"/>
    <w:rsid w:val="00C449DF"/>
    <w:rsid w:val="00C47D98"/>
    <w:rsid w:val="00C504B7"/>
    <w:rsid w:val="00C52A91"/>
    <w:rsid w:val="00C54724"/>
    <w:rsid w:val="00C55831"/>
    <w:rsid w:val="00C56D68"/>
    <w:rsid w:val="00C6089D"/>
    <w:rsid w:val="00C6512B"/>
    <w:rsid w:val="00C65224"/>
    <w:rsid w:val="00C67E98"/>
    <w:rsid w:val="00C90D13"/>
    <w:rsid w:val="00C92FA9"/>
    <w:rsid w:val="00C937DB"/>
    <w:rsid w:val="00C945AC"/>
    <w:rsid w:val="00C973D2"/>
    <w:rsid w:val="00CA35FE"/>
    <w:rsid w:val="00CA3F1E"/>
    <w:rsid w:val="00CA6AC5"/>
    <w:rsid w:val="00CB27C1"/>
    <w:rsid w:val="00CB308C"/>
    <w:rsid w:val="00CB3744"/>
    <w:rsid w:val="00CB6491"/>
    <w:rsid w:val="00CB78AC"/>
    <w:rsid w:val="00CC0AF2"/>
    <w:rsid w:val="00CC1A3A"/>
    <w:rsid w:val="00CC28CA"/>
    <w:rsid w:val="00CC2D79"/>
    <w:rsid w:val="00CC411C"/>
    <w:rsid w:val="00CD030F"/>
    <w:rsid w:val="00CD192D"/>
    <w:rsid w:val="00CD276A"/>
    <w:rsid w:val="00CD3D1E"/>
    <w:rsid w:val="00CD6432"/>
    <w:rsid w:val="00CE0540"/>
    <w:rsid w:val="00CE3F8F"/>
    <w:rsid w:val="00CE4A27"/>
    <w:rsid w:val="00CE7893"/>
    <w:rsid w:val="00CF0F0D"/>
    <w:rsid w:val="00CF188E"/>
    <w:rsid w:val="00CF19B5"/>
    <w:rsid w:val="00CF34C6"/>
    <w:rsid w:val="00CF6A0D"/>
    <w:rsid w:val="00D02D51"/>
    <w:rsid w:val="00D02E77"/>
    <w:rsid w:val="00D03D6A"/>
    <w:rsid w:val="00D05213"/>
    <w:rsid w:val="00D06E55"/>
    <w:rsid w:val="00D137C0"/>
    <w:rsid w:val="00D14139"/>
    <w:rsid w:val="00D150C6"/>
    <w:rsid w:val="00D15C83"/>
    <w:rsid w:val="00D15F82"/>
    <w:rsid w:val="00D165D1"/>
    <w:rsid w:val="00D2299D"/>
    <w:rsid w:val="00D22EF2"/>
    <w:rsid w:val="00D235BC"/>
    <w:rsid w:val="00D24F3E"/>
    <w:rsid w:val="00D25D9D"/>
    <w:rsid w:val="00D25E43"/>
    <w:rsid w:val="00D26851"/>
    <w:rsid w:val="00D27656"/>
    <w:rsid w:val="00D2786D"/>
    <w:rsid w:val="00D27C00"/>
    <w:rsid w:val="00D300B6"/>
    <w:rsid w:val="00D31CEC"/>
    <w:rsid w:val="00D32C04"/>
    <w:rsid w:val="00D356DA"/>
    <w:rsid w:val="00D3644E"/>
    <w:rsid w:val="00D374DF"/>
    <w:rsid w:val="00D37AE5"/>
    <w:rsid w:val="00D4152D"/>
    <w:rsid w:val="00D41AA7"/>
    <w:rsid w:val="00D430FC"/>
    <w:rsid w:val="00D450EF"/>
    <w:rsid w:val="00D4566B"/>
    <w:rsid w:val="00D46C26"/>
    <w:rsid w:val="00D47E18"/>
    <w:rsid w:val="00D50202"/>
    <w:rsid w:val="00D5194B"/>
    <w:rsid w:val="00D52757"/>
    <w:rsid w:val="00D52B42"/>
    <w:rsid w:val="00D535DA"/>
    <w:rsid w:val="00D639CD"/>
    <w:rsid w:val="00D6445A"/>
    <w:rsid w:val="00D6470A"/>
    <w:rsid w:val="00D64FDA"/>
    <w:rsid w:val="00D654C5"/>
    <w:rsid w:val="00D65D9B"/>
    <w:rsid w:val="00D711CE"/>
    <w:rsid w:val="00D7135B"/>
    <w:rsid w:val="00D715EB"/>
    <w:rsid w:val="00D72D80"/>
    <w:rsid w:val="00D73F65"/>
    <w:rsid w:val="00D7411C"/>
    <w:rsid w:val="00D832B3"/>
    <w:rsid w:val="00D83A8F"/>
    <w:rsid w:val="00D84C40"/>
    <w:rsid w:val="00D906C9"/>
    <w:rsid w:val="00D9137C"/>
    <w:rsid w:val="00D94D39"/>
    <w:rsid w:val="00D94FA0"/>
    <w:rsid w:val="00D95F4B"/>
    <w:rsid w:val="00D9704E"/>
    <w:rsid w:val="00D97837"/>
    <w:rsid w:val="00DA4EE2"/>
    <w:rsid w:val="00DB0692"/>
    <w:rsid w:val="00DB0F54"/>
    <w:rsid w:val="00DB109F"/>
    <w:rsid w:val="00DB3578"/>
    <w:rsid w:val="00DB362B"/>
    <w:rsid w:val="00DB3F60"/>
    <w:rsid w:val="00DB4302"/>
    <w:rsid w:val="00DB5709"/>
    <w:rsid w:val="00DC070A"/>
    <w:rsid w:val="00DC0721"/>
    <w:rsid w:val="00DC1EB6"/>
    <w:rsid w:val="00DC2362"/>
    <w:rsid w:val="00DC4CFF"/>
    <w:rsid w:val="00DD0450"/>
    <w:rsid w:val="00DD0713"/>
    <w:rsid w:val="00DD0BD5"/>
    <w:rsid w:val="00DD1C2C"/>
    <w:rsid w:val="00DD1CF3"/>
    <w:rsid w:val="00DD2736"/>
    <w:rsid w:val="00DD2A99"/>
    <w:rsid w:val="00DD4C8B"/>
    <w:rsid w:val="00DD4CB9"/>
    <w:rsid w:val="00DD6AB5"/>
    <w:rsid w:val="00DD6C45"/>
    <w:rsid w:val="00DD7308"/>
    <w:rsid w:val="00DD7CF1"/>
    <w:rsid w:val="00DE0C17"/>
    <w:rsid w:val="00DE3311"/>
    <w:rsid w:val="00DE704D"/>
    <w:rsid w:val="00DE7E4A"/>
    <w:rsid w:val="00DF0392"/>
    <w:rsid w:val="00DF155F"/>
    <w:rsid w:val="00DF2513"/>
    <w:rsid w:val="00DF2521"/>
    <w:rsid w:val="00DF3283"/>
    <w:rsid w:val="00E00BCE"/>
    <w:rsid w:val="00E0121F"/>
    <w:rsid w:val="00E07E86"/>
    <w:rsid w:val="00E10021"/>
    <w:rsid w:val="00E103D5"/>
    <w:rsid w:val="00E13BF4"/>
    <w:rsid w:val="00E147DB"/>
    <w:rsid w:val="00E15371"/>
    <w:rsid w:val="00E20856"/>
    <w:rsid w:val="00E21DEA"/>
    <w:rsid w:val="00E22098"/>
    <w:rsid w:val="00E22401"/>
    <w:rsid w:val="00E24C4D"/>
    <w:rsid w:val="00E27AB2"/>
    <w:rsid w:val="00E316A0"/>
    <w:rsid w:val="00E33B88"/>
    <w:rsid w:val="00E348BF"/>
    <w:rsid w:val="00E34AAB"/>
    <w:rsid w:val="00E37E7F"/>
    <w:rsid w:val="00E40140"/>
    <w:rsid w:val="00E45653"/>
    <w:rsid w:val="00E46472"/>
    <w:rsid w:val="00E47258"/>
    <w:rsid w:val="00E47B69"/>
    <w:rsid w:val="00E47F3D"/>
    <w:rsid w:val="00E50354"/>
    <w:rsid w:val="00E51094"/>
    <w:rsid w:val="00E55679"/>
    <w:rsid w:val="00E55DAF"/>
    <w:rsid w:val="00E5764E"/>
    <w:rsid w:val="00E57B9C"/>
    <w:rsid w:val="00E600AC"/>
    <w:rsid w:val="00E62BF3"/>
    <w:rsid w:val="00E62DA8"/>
    <w:rsid w:val="00E6367A"/>
    <w:rsid w:val="00E66263"/>
    <w:rsid w:val="00E669E7"/>
    <w:rsid w:val="00E678F8"/>
    <w:rsid w:val="00E7343B"/>
    <w:rsid w:val="00E74518"/>
    <w:rsid w:val="00E74C2B"/>
    <w:rsid w:val="00E75461"/>
    <w:rsid w:val="00E765C1"/>
    <w:rsid w:val="00E76D59"/>
    <w:rsid w:val="00E77B9F"/>
    <w:rsid w:val="00E81D10"/>
    <w:rsid w:val="00E82D33"/>
    <w:rsid w:val="00E8673B"/>
    <w:rsid w:val="00E87AE4"/>
    <w:rsid w:val="00E925A9"/>
    <w:rsid w:val="00E932D3"/>
    <w:rsid w:val="00E93AEA"/>
    <w:rsid w:val="00E95FC8"/>
    <w:rsid w:val="00EA1256"/>
    <w:rsid w:val="00EA3859"/>
    <w:rsid w:val="00EA47C1"/>
    <w:rsid w:val="00EA48BC"/>
    <w:rsid w:val="00EA50AD"/>
    <w:rsid w:val="00EA558F"/>
    <w:rsid w:val="00EB06AC"/>
    <w:rsid w:val="00EB0C0D"/>
    <w:rsid w:val="00EB3598"/>
    <w:rsid w:val="00EB3812"/>
    <w:rsid w:val="00EB5E76"/>
    <w:rsid w:val="00EB6603"/>
    <w:rsid w:val="00EB7F15"/>
    <w:rsid w:val="00EC283A"/>
    <w:rsid w:val="00EC302D"/>
    <w:rsid w:val="00EC34A5"/>
    <w:rsid w:val="00EC3C8A"/>
    <w:rsid w:val="00EC4295"/>
    <w:rsid w:val="00EC4DA6"/>
    <w:rsid w:val="00ED15BC"/>
    <w:rsid w:val="00ED1B20"/>
    <w:rsid w:val="00ED22F8"/>
    <w:rsid w:val="00ED2DC6"/>
    <w:rsid w:val="00ED342A"/>
    <w:rsid w:val="00ED3953"/>
    <w:rsid w:val="00ED397E"/>
    <w:rsid w:val="00ED3FEE"/>
    <w:rsid w:val="00ED4618"/>
    <w:rsid w:val="00EE0702"/>
    <w:rsid w:val="00EE2FC4"/>
    <w:rsid w:val="00EE3A46"/>
    <w:rsid w:val="00EE4BE6"/>
    <w:rsid w:val="00EE66BD"/>
    <w:rsid w:val="00EE696F"/>
    <w:rsid w:val="00EE6D8C"/>
    <w:rsid w:val="00EE7833"/>
    <w:rsid w:val="00EF01C9"/>
    <w:rsid w:val="00EF125F"/>
    <w:rsid w:val="00EF38AE"/>
    <w:rsid w:val="00EF45E9"/>
    <w:rsid w:val="00EF54FE"/>
    <w:rsid w:val="00EF77E5"/>
    <w:rsid w:val="00F02571"/>
    <w:rsid w:val="00F04C1E"/>
    <w:rsid w:val="00F04D3D"/>
    <w:rsid w:val="00F052DB"/>
    <w:rsid w:val="00F05DEE"/>
    <w:rsid w:val="00F07510"/>
    <w:rsid w:val="00F07797"/>
    <w:rsid w:val="00F10522"/>
    <w:rsid w:val="00F12B8C"/>
    <w:rsid w:val="00F12EA6"/>
    <w:rsid w:val="00F132A3"/>
    <w:rsid w:val="00F1517C"/>
    <w:rsid w:val="00F16656"/>
    <w:rsid w:val="00F20373"/>
    <w:rsid w:val="00F20D81"/>
    <w:rsid w:val="00F2226A"/>
    <w:rsid w:val="00F247DC"/>
    <w:rsid w:val="00F24BA2"/>
    <w:rsid w:val="00F30AB2"/>
    <w:rsid w:val="00F30ECE"/>
    <w:rsid w:val="00F31045"/>
    <w:rsid w:val="00F31294"/>
    <w:rsid w:val="00F32F56"/>
    <w:rsid w:val="00F37C3F"/>
    <w:rsid w:val="00F40275"/>
    <w:rsid w:val="00F41A83"/>
    <w:rsid w:val="00F427DC"/>
    <w:rsid w:val="00F501E6"/>
    <w:rsid w:val="00F52830"/>
    <w:rsid w:val="00F54BE2"/>
    <w:rsid w:val="00F54DBE"/>
    <w:rsid w:val="00F54FCE"/>
    <w:rsid w:val="00F557EC"/>
    <w:rsid w:val="00F55E52"/>
    <w:rsid w:val="00F642E7"/>
    <w:rsid w:val="00F70794"/>
    <w:rsid w:val="00F707CE"/>
    <w:rsid w:val="00F714FA"/>
    <w:rsid w:val="00F71E1B"/>
    <w:rsid w:val="00F724A4"/>
    <w:rsid w:val="00F742C4"/>
    <w:rsid w:val="00F768E4"/>
    <w:rsid w:val="00F76C82"/>
    <w:rsid w:val="00F7731C"/>
    <w:rsid w:val="00F841C5"/>
    <w:rsid w:val="00F841FC"/>
    <w:rsid w:val="00F9275E"/>
    <w:rsid w:val="00F928B8"/>
    <w:rsid w:val="00F92ED8"/>
    <w:rsid w:val="00F978C5"/>
    <w:rsid w:val="00FA174D"/>
    <w:rsid w:val="00FA2670"/>
    <w:rsid w:val="00FA5412"/>
    <w:rsid w:val="00FA7626"/>
    <w:rsid w:val="00FA7CE7"/>
    <w:rsid w:val="00FB060B"/>
    <w:rsid w:val="00FC2692"/>
    <w:rsid w:val="00FC2CFB"/>
    <w:rsid w:val="00FC6376"/>
    <w:rsid w:val="00FC7ACD"/>
    <w:rsid w:val="00FD11BE"/>
    <w:rsid w:val="00FD4535"/>
    <w:rsid w:val="00FE18B0"/>
    <w:rsid w:val="00FE5F93"/>
    <w:rsid w:val="00FE79C3"/>
    <w:rsid w:val="00FF014E"/>
    <w:rsid w:val="00FF27CD"/>
    <w:rsid w:val="00FF431F"/>
    <w:rsid w:val="00FF6606"/>
    <w:rsid w:val="00FF7735"/>
    <w:rsid w:val="00FF7F99"/>
    <w:rsid w:val="02B242A5"/>
    <w:rsid w:val="070A4A80"/>
    <w:rsid w:val="0ABC5ADD"/>
    <w:rsid w:val="0AE34E63"/>
    <w:rsid w:val="135C16AD"/>
    <w:rsid w:val="1B1D0425"/>
    <w:rsid w:val="1C2762D8"/>
    <w:rsid w:val="1D594BCA"/>
    <w:rsid w:val="2B2543F0"/>
    <w:rsid w:val="3FE61943"/>
    <w:rsid w:val="42A020CB"/>
    <w:rsid w:val="45C67D91"/>
    <w:rsid w:val="4DA3082F"/>
    <w:rsid w:val="550C4FEE"/>
    <w:rsid w:val="5936133D"/>
    <w:rsid w:val="5BB167FD"/>
    <w:rsid w:val="5D1A7B9B"/>
    <w:rsid w:val="61566512"/>
    <w:rsid w:val="64AB125D"/>
    <w:rsid w:val="65EA633A"/>
    <w:rsid w:val="67333223"/>
    <w:rsid w:val="69AD6D49"/>
    <w:rsid w:val="6A8D282F"/>
    <w:rsid w:val="6EB26EDE"/>
    <w:rsid w:val="7BDD440D"/>
    <w:rsid w:val="7D154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8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ind w:left="-178" w:leftChars="-85" w:firstLine="7073" w:firstLineChars="842"/>
      <w:outlineLvl w:val="0"/>
    </w:pPr>
    <w:rPr>
      <w:sz w:val="84"/>
    </w:rPr>
  </w:style>
  <w:style w:type="paragraph" w:styleId="3">
    <w:name w:val="heading 2"/>
    <w:basedOn w:val="1"/>
    <w:next w:val="1"/>
    <w:qFormat/>
    <w:uiPriority w:val="0"/>
    <w:pPr>
      <w:keepNext/>
      <w:ind w:firstLine="7560" w:firstLineChars="900"/>
      <w:outlineLvl w:val="1"/>
    </w:pPr>
    <w:rPr>
      <w:rFonts w:ascii="黑体" w:hAnsi="MS Gothic" w:eastAsia="黑体"/>
      <w:sz w:val="84"/>
    </w:rPr>
  </w:style>
  <w:style w:type="paragraph" w:styleId="4">
    <w:name w:val="heading 3"/>
    <w:basedOn w:val="1"/>
    <w:next w:val="1"/>
    <w:qFormat/>
    <w:uiPriority w:val="0"/>
    <w:pPr>
      <w:keepNext/>
      <w:outlineLvl w:val="2"/>
    </w:pPr>
    <w:rPr>
      <w:rFonts w:ascii="黑体" w:eastAsia="黑体"/>
      <w:b/>
      <w:bCs/>
      <w:sz w:val="36"/>
      <w:u w:val="single"/>
    </w:rPr>
  </w:style>
  <w:style w:type="paragraph" w:styleId="5">
    <w:name w:val="heading 4"/>
    <w:basedOn w:val="1"/>
    <w:next w:val="1"/>
    <w:qFormat/>
    <w:uiPriority w:val="0"/>
    <w:pPr>
      <w:keepNext/>
      <w:framePr w:w="3420" w:h="1860" w:hSpace="180" w:wrap="around" w:vAnchor="text" w:hAnchor="page" w:x="7107" w:y="321"/>
      <w:ind w:firstLine="280" w:firstLineChars="100"/>
      <w:outlineLvl w:val="3"/>
    </w:pPr>
    <w:rPr>
      <w:rFonts w:eastAsia="黑体"/>
      <w:sz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0"/>
    <w:pPr>
      <w:spacing w:after="120"/>
    </w:pPr>
  </w:style>
  <w:style w:type="paragraph" w:styleId="7">
    <w:name w:val="Body Text Indent"/>
    <w:basedOn w:val="1"/>
    <w:qFormat/>
    <w:uiPriority w:val="0"/>
    <w:pPr>
      <w:ind w:firstLine="480" w:firstLineChars="200"/>
    </w:pPr>
    <w:rPr>
      <w:rFonts w:ascii="黑体" w:eastAsia="黑体"/>
      <w:sz w:val="24"/>
    </w:rPr>
  </w:style>
  <w:style w:type="paragraph" w:styleId="8">
    <w:name w:val="Date"/>
    <w:basedOn w:val="1"/>
    <w:next w:val="1"/>
    <w:qFormat/>
    <w:uiPriority w:val="0"/>
    <w:pPr>
      <w:ind w:left="100" w:leftChars="2500"/>
    </w:pPr>
    <w:rPr>
      <w:rFonts w:ascii="黑体" w:eastAsia="黑体"/>
      <w:sz w:val="24"/>
    </w:rPr>
  </w:style>
  <w:style w:type="paragraph" w:styleId="9">
    <w:name w:val="Body Text Indent 2"/>
    <w:basedOn w:val="1"/>
    <w:link w:val="23"/>
    <w:qFormat/>
    <w:uiPriority w:val="0"/>
    <w:pPr>
      <w:spacing w:after="120" w:line="480" w:lineRule="auto"/>
      <w:ind w:left="420" w:leftChars="200"/>
    </w:pPr>
  </w:style>
  <w:style w:type="paragraph" w:styleId="10">
    <w:name w:val="Balloon Text"/>
    <w:basedOn w:val="1"/>
    <w:link w:val="30"/>
    <w:semiHidden/>
    <w:unhideWhenUsed/>
    <w:qFormat/>
    <w:uiPriority w:val="0"/>
    <w:pPr>
      <w:spacing w:after="0"/>
    </w:pPr>
    <w:rPr>
      <w:sz w:val="18"/>
      <w:szCs w:val="18"/>
    </w:rPr>
  </w:style>
  <w:style w:type="paragraph" w:styleId="11">
    <w:name w:val="footer"/>
    <w:basedOn w:val="1"/>
    <w:link w:val="18"/>
    <w:qFormat/>
    <w:uiPriority w:val="99"/>
    <w:pPr>
      <w:tabs>
        <w:tab w:val="center" w:pos="4153"/>
        <w:tab w:val="right" w:pos="8306"/>
      </w:tabs>
      <w:snapToGrid w:val="0"/>
      <w:jc w:val="left"/>
    </w:pPr>
    <w:rPr>
      <w:sz w:val="18"/>
      <w:szCs w:val="18"/>
    </w:rPr>
  </w:style>
  <w:style w:type="paragraph" w:styleId="12">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character" w:styleId="15">
    <w:name w:val="page number"/>
    <w:basedOn w:val="14"/>
    <w:qFormat/>
    <w:uiPriority w:val="0"/>
  </w:style>
  <w:style w:type="character" w:styleId="16">
    <w:name w:val="line number"/>
    <w:basedOn w:val="14"/>
    <w:qFormat/>
    <w:uiPriority w:val="0"/>
  </w:style>
  <w:style w:type="character" w:customStyle="1" w:styleId="17">
    <w:name w:val="页眉 Char"/>
    <w:link w:val="12"/>
    <w:qFormat/>
    <w:uiPriority w:val="0"/>
    <w:rPr>
      <w:kern w:val="2"/>
      <w:sz w:val="18"/>
      <w:szCs w:val="18"/>
    </w:rPr>
  </w:style>
  <w:style w:type="character" w:customStyle="1" w:styleId="18">
    <w:name w:val="页脚 Char"/>
    <w:link w:val="11"/>
    <w:qFormat/>
    <w:uiPriority w:val="99"/>
    <w:rPr>
      <w:kern w:val="2"/>
      <w:sz w:val="18"/>
      <w:szCs w:val="18"/>
    </w:rPr>
  </w:style>
  <w:style w:type="character" w:customStyle="1" w:styleId="19">
    <w:name w:val="正文文本 Char"/>
    <w:link w:val="6"/>
    <w:qFormat/>
    <w:uiPriority w:val="0"/>
    <w:rPr>
      <w:kern w:val="2"/>
      <w:sz w:val="21"/>
      <w:szCs w:val="24"/>
    </w:rPr>
  </w:style>
  <w:style w:type="paragraph" w:customStyle="1" w:styleId="20">
    <w:name w:val="Char Char"/>
    <w:basedOn w:val="1"/>
    <w:qFormat/>
    <w:uiPriority w:val="0"/>
    <w:pPr>
      <w:widowControl/>
      <w:spacing w:after="160" w:line="240" w:lineRule="exact"/>
      <w:jc w:val="left"/>
    </w:pPr>
    <w:rPr>
      <w:rFonts w:ascii="Verdana" w:hAnsi="Verdana"/>
      <w:kern w:val="0"/>
      <w:sz w:val="20"/>
      <w:szCs w:val="20"/>
      <w:lang w:eastAsia="en-US"/>
    </w:rPr>
  </w:style>
  <w:style w:type="paragraph" w:styleId="21">
    <w:name w:val="List Paragraph"/>
    <w:basedOn w:val="1"/>
    <w:qFormat/>
    <w:uiPriority w:val="99"/>
    <w:pPr>
      <w:ind w:firstLine="420" w:firstLineChars="200"/>
    </w:pPr>
  </w:style>
  <w:style w:type="paragraph" w:customStyle="1" w:styleId="22">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character" w:customStyle="1" w:styleId="23">
    <w:name w:val="正文文本缩进 2 Char"/>
    <w:basedOn w:val="14"/>
    <w:link w:val="9"/>
    <w:qFormat/>
    <w:uiPriority w:val="0"/>
    <w:rPr>
      <w:kern w:val="2"/>
      <w:sz w:val="21"/>
      <w:szCs w:val="24"/>
    </w:rPr>
  </w:style>
  <w:style w:type="paragraph" w:customStyle="1" w:styleId="24">
    <w:name w:val="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5">
    <w:name w:val="段"/>
    <w:link w:val="27"/>
    <w:qFormat/>
    <w:uiPriority w:val="0"/>
    <w:pPr>
      <w:autoSpaceDE w:val="0"/>
      <w:autoSpaceDN w:val="0"/>
      <w:spacing w:after="80"/>
      <w:ind w:firstLine="200" w:firstLineChars="200"/>
      <w:jc w:val="both"/>
    </w:pPr>
    <w:rPr>
      <w:rFonts w:ascii="宋体" w:hAnsi="Times New Roman" w:eastAsia="宋体" w:cs="Times New Roman"/>
      <w:sz w:val="21"/>
      <w:lang w:val="en-US" w:eastAsia="zh-CN" w:bidi="ar-SA"/>
    </w:rPr>
  </w:style>
  <w:style w:type="paragraph" w:customStyle="1" w:styleId="26">
    <w:name w:val="样式 一般正文 + 首行缩进:  2 字符"/>
    <w:basedOn w:val="1"/>
    <w:qFormat/>
    <w:uiPriority w:val="0"/>
    <w:pPr>
      <w:spacing w:line="360" w:lineRule="auto"/>
      <w:ind w:firstLine="480" w:firstLineChars="200"/>
    </w:pPr>
    <w:rPr>
      <w:rFonts w:cs="宋体"/>
      <w:sz w:val="24"/>
      <w:szCs w:val="20"/>
    </w:rPr>
  </w:style>
  <w:style w:type="character" w:customStyle="1" w:styleId="27">
    <w:name w:val="段 Char"/>
    <w:link w:val="25"/>
    <w:qFormat/>
    <w:uiPriority w:val="0"/>
    <w:rPr>
      <w:rFonts w:ascii="宋体"/>
      <w:sz w:val="21"/>
    </w:rPr>
  </w:style>
  <w:style w:type="paragraph" w:customStyle="1" w:styleId="28">
    <w:name w:val="MTDisplayEquation"/>
    <w:basedOn w:val="1"/>
    <w:next w:val="1"/>
    <w:link w:val="29"/>
    <w:qFormat/>
    <w:uiPriority w:val="0"/>
    <w:pPr>
      <w:tabs>
        <w:tab w:val="center" w:pos="4540"/>
        <w:tab w:val="right" w:pos="9080"/>
      </w:tabs>
      <w:autoSpaceDE w:val="0"/>
      <w:autoSpaceDN w:val="0"/>
      <w:adjustRightInd w:val="0"/>
      <w:snapToGrid w:val="0"/>
      <w:spacing w:after="0" w:line="360" w:lineRule="auto"/>
      <w:ind w:firstLine="480" w:firstLineChars="200"/>
    </w:pPr>
    <w:rPr>
      <w:kern w:val="0"/>
      <w:sz w:val="24"/>
    </w:rPr>
  </w:style>
  <w:style w:type="character" w:customStyle="1" w:styleId="29">
    <w:name w:val="MTDisplayEquation 字符"/>
    <w:basedOn w:val="14"/>
    <w:link w:val="28"/>
    <w:qFormat/>
    <w:uiPriority w:val="0"/>
    <w:rPr>
      <w:sz w:val="24"/>
      <w:szCs w:val="24"/>
    </w:rPr>
  </w:style>
  <w:style w:type="character" w:customStyle="1" w:styleId="30">
    <w:name w:val="批注框文本 Char"/>
    <w:basedOn w:val="14"/>
    <w:link w:val="10"/>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70CF-7FEC-40A7-B091-2DFE8548408A}">
  <ds:schemaRefs/>
</ds:datastoreItem>
</file>

<file path=docProps/app.xml><?xml version="1.0" encoding="utf-8"?>
<Properties xmlns="http://schemas.openxmlformats.org/officeDocument/2006/extended-properties" xmlns:vt="http://schemas.openxmlformats.org/officeDocument/2006/docPropsVTypes">
  <Template>Normal.dotm</Template>
  <Company>SIMT</Company>
  <Pages>6</Pages>
  <Words>2481</Words>
  <Characters>344</Characters>
  <Lines>2</Lines>
  <Paragraphs>5</Paragraphs>
  <TotalTime>7</TotalTime>
  <ScaleCrop>false</ScaleCrop>
  <LinksUpToDate>false</LinksUpToDate>
  <CharactersWithSpaces>2820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2024-06-20T10:44:00Z</dcterms:created>
  <dc:creator>YT</dc:creator>
  <cp:lastModifiedBy>lenovo</cp:lastModifiedBy>
  <cp:lastPrinted>2015-03-11T06:23:00Z</cp:lastPrinted>
  <dcterms:modified xsi:type="dcterms:W3CDTF">2024-09-30T06:57:13Z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2052-11.8.2.11718</vt:lpwstr>
  </property>
  <property fmtid="{D5CDD505-2E9C-101B-9397-08002B2CF9AE}" pid="4" name="ICV">
    <vt:lpwstr>6D99977424FD4F89960DE1E2D28CF413</vt:lpwstr>
  </property>
</Properties>
</file>