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1505" w:rsidRDefault="00641505">
      <w:pPr>
        <w:autoSpaceDE w:val="0"/>
        <w:autoSpaceDN w:val="0"/>
        <w:adjustRightInd w:val="0"/>
        <w:ind w:rightChars="-159" w:right="-334"/>
        <w:jc w:val="center"/>
        <w:rPr>
          <w:rFonts w:ascii="黑体" w:eastAsia="黑体"/>
          <w:b/>
          <w:color w:val="000000"/>
          <w:kern w:val="0"/>
          <w:sz w:val="32"/>
          <w:szCs w:val="32"/>
        </w:rPr>
      </w:pPr>
    </w:p>
    <w:p w:rsidR="00641505" w:rsidRDefault="00641505">
      <w:pPr>
        <w:autoSpaceDE w:val="0"/>
        <w:autoSpaceDN w:val="0"/>
        <w:adjustRightInd w:val="0"/>
        <w:ind w:rightChars="-159" w:right="-334"/>
        <w:jc w:val="center"/>
        <w:rPr>
          <w:rFonts w:ascii="黑体" w:eastAsia="黑体"/>
          <w:b/>
          <w:color w:val="000000"/>
          <w:kern w:val="0"/>
          <w:sz w:val="32"/>
          <w:szCs w:val="32"/>
        </w:rPr>
      </w:pPr>
    </w:p>
    <w:p w:rsidR="00641505" w:rsidRDefault="00641505">
      <w:pPr>
        <w:autoSpaceDE w:val="0"/>
        <w:autoSpaceDN w:val="0"/>
        <w:adjustRightInd w:val="0"/>
        <w:ind w:rightChars="-159" w:right="-334"/>
        <w:jc w:val="center"/>
        <w:rPr>
          <w:rFonts w:ascii="黑体" w:eastAsia="黑体"/>
          <w:b/>
          <w:color w:val="000000"/>
          <w:kern w:val="0"/>
          <w:sz w:val="32"/>
          <w:szCs w:val="32"/>
        </w:rPr>
      </w:pPr>
    </w:p>
    <w:p w:rsidR="00641505" w:rsidRDefault="00366702">
      <w:pPr>
        <w:jc w:val="center"/>
        <w:rPr>
          <w:rFonts w:ascii="黑体" w:eastAsia="黑体" w:hAnsi="黑体"/>
          <w:bCs/>
          <w:sz w:val="44"/>
          <w:szCs w:val="44"/>
        </w:rPr>
      </w:pPr>
      <w:r>
        <w:rPr>
          <w:rFonts w:ascii="黑体" w:eastAsia="黑体" w:hAnsi="黑体" w:hint="eastAsia"/>
          <w:bCs/>
          <w:sz w:val="44"/>
          <w:szCs w:val="44"/>
        </w:rPr>
        <w:t>《连续累计自动衡器（皮带秤）状态核查计量技术规范》</w:t>
      </w:r>
    </w:p>
    <w:p w:rsidR="00641505" w:rsidRDefault="00641505">
      <w:pPr>
        <w:jc w:val="center"/>
        <w:rPr>
          <w:rFonts w:ascii="黑体" w:eastAsia="黑体" w:hAnsi="黑体"/>
          <w:bCs/>
          <w:sz w:val="44"/>
          <w:szCs w:val="44"/>
        </w:rPr>
      </w:pPr>
    </w:p>
    <w:p w:rsidR="00641505" w:rsidRDefault="00641505">
      <w:pPr>
        <w:jc w:val="center"/>
        <w:rPr>
          <w:rFonts w:ascii="黑体" w:eastAsia="黑体" w:hAnsi="黑体"/>
          <w:bCs/>
          <w:sz w:val="44"/>
          <w:szCs w:val="44"/>
        </w:rPr>
      </w:pPr>
    </w:p>
    <w:p w:rsidR="00641505" w:rsidRDefault="00366702">
      <w:pPr>
        <w:jc w:val="center"/>
        <w:rPr>
          <w:rFonts w:ascii="黑体" w:eastAsia="黑体" w:hAnsi="黑体"/>
          <w:bCs/>
          <w:sz w:val="44"/>
          <w:szCs w:val="44"/>
        </w:rPr>
      </w:pPr>
      <w:r>
        <w:rPr>
          <w:rFonts w:ascii="黑体" w:eastAsia="黑体" w:hAnsi="黑体" w:hint="eastAsia"/>
          <w:bCs/>
          <w:sz w:val="44"/>
          <w:szCs w:val="44"/>
        </w:rPr>
        <w:t>编制说明</w:t>
      </w:r>
    </w:p>
    <w:p w:rsidR="00641505" w:rsidRDefault="00641505">
      <w:pPr>
        <w:jc w:val="center"/>
        <w:rPr>
          <w:rFonts w:ascii="宋体"/>
          <w:b/>
          <w:bCs/>
          <w:sz w:val="32"/>
        </w:rPr>
      </w:pPr>
    </w:p>
    <w:p w:rsidR="00641505" w:rsidRDefault="00641505">
      <w:pPr>
        <w:jc w:val="center"/>
        <w:rPr>
          <w:rFonts w:ascii="宋体"/>
          <w:b/>
          <w:bCs/>
          <w:sz w:val="32"/>
        </w:rPr>
      </w:pPr>
    </w:p>
    <w:p w:rsidR="00641505" w:rsidRDefault="00641505">
      <w:pPr>
        <w:jc w:val="center"/>
        <w:rPr>
          <w:rFonts w:ascii="宋体"/>
          <w:b/>
          <w:bCs/>
          <w:sz w:val="32"/>
        </w:rPr>
      </w:pPr>
    </w:p>
    <w:p w:rsidR="00641505" w:rsidRDefault="00641505">
      <w:pPr>
        <w:jc w:val="center"/>
        <w:rPr>
          <w:rFonts w:ascii="宋体"/>
          <w:b/>
          <w:bCs/>
          <w:sz w:val="32"/>
        </w:rPr>
      </w:pPr>
    </w:p>
    <w:p w:rsidR="00641505" w:rsidRDefault="00641505">
      <w:pPr>
        <w:jc w:val="center"/>
        <w:rPr>
          <w:rFonts w:ascii="宋体"/>
          <w:b/>
          <w:bCs/>
          <w:sz w:val="32"/>
        </w:rPr>
      </w:pPr>
    </w:p>
    <w:p w:rsidR="00641505" w:rsidRDefault="00641505">
      <w:pPr>
        <w:jc w:val="center"/>
        <w:rPr>
          <w:rFonts w:ascii="宋体"/>
          <w:b/>
          <w:bCs/>
          <w:sz w:val="32"/>
        </w:rPr>
      </w:pPr>
    </w:p>
    <w:p w:rsidR="00641505" w:rsidRDefault="00641505">
      <w:pPr>
        <w:jc w:val="center"/>
        <w:rPr>
          <w:rFonts w:ascii="宋体"/>
          <w:b/>
          <w:bCs/>
          <w:sz w:val="32"/>
        </w:rPr>
      </w:pPr>
    </w:p>
    <w:p w:rsidR="00641505" w:rsidRDefault="00641505">
      <w:pPr>
        <w:rPr>
          <w:rFonts w:ascii="宋体"/>
          <w:b/>
          <w:bCs/>
          <w:sz w:val="32"/>
        </w:rPr>
      </w:pPr>
    </w:p>
    <w:p w:rsidR="00641505" w:rsidRDefault="00641505">
      <w:pPr>
        <w:jc w:val="center"/>
        <w:rPr>
          <w:rFonts w:ascii="宋体"/>
          <w:b/>
          <w:bCs/>
          <w:sz w:val="32"/>
        </w:rPr>
      </w:pPr>
    </w:p>
    <w:p w:rsidR="00641505" w:rsidRDefault="00366702">
      <w:pPr>
        <w:jc w:val="center"/>
        <w:rPr>
          <w:sz w:val="32"/>
          <w:szCs w:val="32"/>
        </w:rPr>
      </w:pPr>
      <w:r>
        <w:rPr>
          <w:rFonts w:hint="eastAsia"/>
          <w:sz w:val="32"/>
          <w:szCs w:val="32"/>
        </w:rPr>
        <w:t>《连续累计自动衡器（皮带秤）状态核查计量技术规范》起草小组</w:t>
      </w:r>
    </w:p>
    <w:p w:rsidR="00641505" w:rsidRDefault="00366702">
      <w:pPr>
        <w:jc w:val="center"/>
        <w:rPr>
          <w:rFonts w:ascii="宋体" w:hAnsi="宋体"/>
          <w:bCs/>
          <w:sz w:val="32"/>
        </w:rPr>
      </w:pPr>
      <w:r>
        <w:rPr>
          <w:rFonts w:ascii="宋体" w:hAnsi="宋体"/>
          <w:bCs/>
          <w:sz w:val="32"/>
        </w:rPr>
        <w:t>20</w:t>
      </w:r>
      <w:r>
        <w:rPr>
          <w:rFonts w:ascii="宋体" w:hAnsi="宋体" w:hint="eastAsia"/>
          <w:bCs/>
          <w:sz w:val="32"/>
        </w:rPr>
        <w:t>2</w:t>
      </w:r>
      <w:r>
        <w:rPr>
          <w:rFonts w:ascii="宋体" w:hAnsi="宋体"/>
          <w:bCs/>
          <w:sz w:val="32"/>
        </w:rPr>
        <w:t>3</w:t>
      </w:r>
      <w:r>
        <w:rPr>
          <w:rFonts w:ascii="宋体" w:hAnsi="宋体" w:hint="eastAsia"/>
          <w:bCs/>
          <w:sz w:val="32"/>
        </w:rPr>
        <w:t>年</w:t>
      </w:r>
      <w:r>
        <w:rPr>
          <w:rFonts w:ascii="宋体" w:hAnsi="宋体"/>
          <w:bCs/>
          <w:sz w:val="32"/>
        </w:rPr>
        <w:t>5</w:t>
      </w:r>
      <w:r>
        <w:rPr>
          <w:rFonts w:ascii="宋体" w:hAnsi="宋体" w:hint="eastAsia"/>
          <w:bCs/>
          <w:sz w:val="32"/>
        </w:rPr>
        <w:t>月</w:t>
      </w:r>
    </w:p>
    <w:p w:rsidR="00641505" w:rsidRDefault="00641505">
      <w:pPr>
        <w:autoSpaceDE w:val="0"/>
        <w:autoSpaceDN w:val="0"/>
        <w:adjustRightInd w:val="0"/>
        <w:ind w:rightChars="-159" w:right="-334"/>
        <w:jc w:val="center"/>
        <w:rPr>
          <w:rFonts w:ascii="黑体" w:eastAsia="黑体"/>
          <w:color w:val="000000"/>
          <w:kern w:val="0"/>
          <w:sz w:val="36"/>
          <w:szCs w:val="36"/>
        </w:rPr>
      </w:pPr>
    </w:p>
    <w:p w:rsidR="00641505" w:rsidRDefault="00641505">
      <w:pPr>
        <w:autoSpaceDE w:val="0"/>
        <w:autoSpaceDN w:val="0"/>
        <w:adjustRightInd w:val="0"/>
        <w:ind w:rightChars="-159" w:right="-334"/>
        <w:jc w:val="center"/>
        <w:rPr>
          <w:rFonts w:ascii="黑体" w:eastAsia="黑体"/>
          <w:color w:val="000000"/>
          <w:kern w:val="0"/>
          <w:sz w:val="36"/>
          <w:szCs w:val="36"/>
        </w:rPr>
      </w:pPr>
    </w:p>
    <w:p w:rsidR="00641505" w:rsidRDefault="00366702">
      <w:pPr>
        <w:autoSpaceDE w:val="0"/>
        <w:autoSpaceDN w:val="0"/>
        <w:adjustRightInd w:val="0"/>
        <w:ind w:rightChars="-159" w:right="-334"/>
        <w:jc w:val="center"/>
        <w:rPr>
          <w:rFonts w:ascii="黑体" w:eastAsia="黑体"/>
          <w:color w:val="000000"/>
          <w:kern w:val="0"/>
          <w:sz w:val="36"/>
          <w:szCs w:val="36"/>
        </w:rPr>
      </w:pPr>
      <w:r>
        <w:rPr>
          <w:rFonts w:ascii="黑体" w:eastAsia="黑体" w:hint="eastAsia"/>
          <w:color w:val="000000"/>
          <w:kern w:val="0"/>
          <w:sz w:val="36"/>
          <w:szCs w:val="36"/>
        </w:rPr>
        <w:lastRenderedPageBreak/>
        <w:t>《连续累计自动衡器（皮带秤）状态核查计量技术规范》</w:t>
      </w:r>
    </w:p>
    <w:p w:rsidR="00641505" w:rsidRDefault="00366702">
      <w:pPr>
        <w:autoSpaceDE w:val="0"/>
        <w:autoSpaceDN w:val="0"/>
        <w:adjustRightInd w:val="0"/>
        <w:ind w:rightChars="-159" w:right="-334"/>
        <w:jc w:val="center"/>
        <w:rPr>
          <w:rFonts w:ascii="黑体" w:eastAsia="黑体"/>
          <w:b/>
          <w:color w:val="000000"/>
          <w:kern w:val="0"/>
          <w:sz w:val="32"/>
          <w:szCs w:val="32"/>
        </w:rPr>
      </w:pPr>
      <w:r>
        <w:rPr>
          <w:rFonts w:ascii="黑体" w:eastAsia="黑体" w:hint="eastAsia"/>
          <w:color w:val="000000"/>
          <w:kern w:val="0"/>
          <w:sz w:val="36"/>
          <w:szCs w:val="36"/>
        </w:rPr>
        <w:t>编制说明</w:t>
      </w:r>
    </w:p>
    <w:p w:rsidR="00641505" w:rsidRDefault="00366702">
      <w:pPr>
        <w:spacing w:line="360" w:lineRule="auto"/>
        <w:rPr>
          <w:rFonts w:ascii="黑体" w:eastAsia="黑体" w:hAnsi="黑体" w:cs="黑体"/>
          <w:color w:val="000000" w:themeColor="text1"/>
          <w:sz w:val="24"/>
        </w:rPr>
      </w:pPr>
      <w:r>
        <w:rPr>
          <w:rFonts w:ascii="黑体" w:eastAsia="黑体" w:hAnsi="黑体" w:cs="黑体" w:hint="eastAsia"/>
          <w:sz w:val="24"/>
        </w:rPr>
        <w:t>一、项目背景</w:t>
      </w:r>
    </w:p>
    <w:p w:rsidR="00641505" w:rsidRDefault="00366702">
      <w:pPr>
        <w:spacing w:line="360" w:lineRule="auto"/>
        <w:ind w:firstLineChars="196" w:firstLine="470"/>
        <w:rPr>
          <w:rFonts w:ascii="宋体" w:hAnsi="宋体"/>
          <w:sz w:val="24"/>
        </w:rPr>
      </w:pPr>
      <w:r>
        <w:rPr>
          <w:rFonts w:ascii="宋体" w:hAnsi="宋体" w:hint="eastAsia"/>
          <w:sz w:val="24"/>
        </w:rPr>
        <w:t>连续累计自动衡器（皮带秤）是对大宗散状物料称量的衡器，与非连续累计自动衡器（累计料斗秤）和重力式自动装料衡器（定量自动衡器）相比，皮带秤对物料进行称量时，无需中断输送带的运动，亦无需对物料进行定量的分割，仅是对散状物料进行动态称量，具有称量范围大、称量速度快等特点。因此，</w:t>
      </w:r>
      <w:r>
        <w:rPr>
          <w:rFonts w:ascii="宋体" w:hAnsi="宋体"/>
          <w:sz w:val="24"/>
        </w:rPr>
        <w:t>皮带秤</w:t>
      </w:r>
      <w:r>
        <w:rPr>
          <w:rFonts w:ascii="宋体" w:hAnsi="宋体" w:hint="eastAsia"/>
          <w:sz w:val="24"/>
        </w:rPr>
        <w:t>的使用范围在不断扩大、使用领域也越来越宽。在我国，</w:t>
      </w:r>
      <w:r>
        <w:rPr>
          <w:rFonts w:ascii="宋体" w:hAnsi="宋体"/>
          <w:sz w:val="24"/>
        </w:rPr>
        <w:t>皮带秤</w:t>
      </w:r>
      <w:r>
        <w:rPr>
          <w:rFonts w:ascii="宋体" w:hAnsi="宋体" w:hint="eastAsia"/>
          <w:sz w:val="24"/>
        </w:rPr>
        <w:t>被广泛运用于交通运输、矿山开采、能源发电、冶金建材、粮油加工、国内外贸易、能源计量、节能减排等国民经济的众多领域和方面，在对大宗货物交接和贸易中发挥了重要作用，保证了大宗货物交接的量值准确，促进了贸易的平稳发展。</w:t>
      </w:r>
    </w:p>
    <w:p w:rsidR="00641505" w:rsidRDefault="00366702">
      <w:pPr>
        <w:spacing w:line="360" w:lineRule="auto"/>
        <w:ind w:firstLineChars="200" w:firstLine="480"/>
        <w:rPr>
          <w:rFonts w:ascii="宋体" w:hAnsi="宋体"/>
          <w:sz w:val="24"/>
        </w:rPr>
      </w:pPr>
      <w:r>
        <w:rPr>
          <w:rFonts w:ascii="宋体" w:hAnsi="宋体" w:hint="eastAsia"/>
          <w:sz w:val="24"/>
        </w:rPr>
        <w:t>目前</w:t>
      </w:r>
      <w:r>
        <w:rPr>
          <w:rFonts w:ascii="宋体" w:hAnsi="宋体" w:hint="eastAsia"/>
          <w:sz w:val="24"/>
        </w:rPr>
        <w:t>JJG195-2019</w:t>
      </w:r>
      <w:r>
        <w:rPr>
          <w:rFonts w:ascii="宋体" w:hAnsi="宋体" w:hint="eastAsia"/>
          <w:sz w:val="24"/>
        </w:rPr>
        <w:t>规程已经实施，明确规定了皮带秤的检定周期一般不超过一年，但并未对周期检定期间的使用中核查提供具体的方法，因此制定了《连续累计自动衡器（皮带秤）状态核查计量技术规范》。本规范制定的目的是确保连续累计自动衡器（皮带秤）在有效的溯源周期内始终保持其计量性能无明显变化，实现量值的准确、可靠。</w:t>
      </w:r>
    </w:p>
    <w:p w:rsidR="00641505" w:rsidRDefault="00366702">
      <w:pPr>
        <w:spacing w:line="360" w:lineRule="auto"/>
        <w:rPr>
          <w:rFonts w:ascii="黑体" w:eastAsia="黑体" w:hAnsi="黑体" w:cs="黑体"/>
          <w:sz w:val="24"/>
        </w:rPr>
      </w:pPr>
      <w:r>
        <w:rPr>
          <w:rFonts w:ascii="黑体" w:eastAsia="黑体" w:hAnsi="黑体" w:cs="黑体" w:hint="eastAsia"/>
          <w:sz w:val="24"/>
        </w:rPr>
        <w:t>二、任务来源</w:t>
      </w:r>
    </w:p>
    <w:p w:rsidR="00641505" w:rsidRDefault="00366702">
      <w:pPr>
        <w:pStyle w:val="a7"/>
        <w:spacing w:line="360" w:lineRule="auto"/>
        <w:rPr>
          <w:rFonts w:ascii="宋体"/>
          <w:kern w:val="0"/>
        </w:rPr>
      </w:pPr>
      <w:r>
        <w:rPr>
          <w:rFonts w:ascii="宋体" w:hint="eastAsia"/>
          <w:kern w:val="0"/>
        </w:rPr>
        <w:t>根据国家市场监督管理总局文件计量函</w:t>
      </w:r>
      <w:r>
        <w:rPr>
          <w:rFonts w:ascii="宋体" w:hint="eastAsia"/>
          <w:kern w:val="0"/>
        </w:rPr>
        <w:t>[2019]42</w:t>
      </w:r>
      <w:r>
        <w:rPr>
          <w:rFonts w:ascii="宋体" w:hint="eastAsia"/>
          <w:kern w:val="0"/>
        </w:rPr>
        <w:t>号《关于国家计量技术规范制定、修订及宣贯计划有关事项的通知》，及</w:t>
      </w:r>
      <w:r>
        <w:rPr>
          <w:rFonts w:ascii="宋体" w:cs="宋体" w:hint="eastAsia"/>
        </w:rPr>
        <w:t>全国衡器计量技术委员会自动衡器分技术委员会计划任务书</w:t>
      </w:r>
      <w:r>
        <w:rPr>
          <w:rFonts w:ascii="宋体" w:hint="eastAsia"/>
          <w:kern w:val="0"/>
        </w:rPr>
        <w:t>的要求，《连续累计自</w:t>
      </w:r>
      <w:r>
        <w:rPr>
          <w:rFonts w:ascii="宋体" w:hint="eastAsia"/>
          <w:kern w:val="0"/>
        </w:rPr>
        <w:t>动衡器（皮带秤）状态核查计量技术规范》由江苏省计量科学研究院、浙江省计量科学研究院、中国计量科学研究院、广东省计量科学研究院、上海蓝箭称重技术有限公司负责制定工作。</w:t>
      </w:r>
    </w:p>
    <w:p w:rsidR="00641505" w:rsidRDefault="00366702">
      <w:pPr>
        <w:spacing w:line="360" w:lineRule="auto"/>
        <w:rPr>
          <w:rFonts w:ascii="黑体" w:eastAsia="黑体" w:hAnsi="宋体"/>
          <w:sz w:val="24"/>
        </w:rPr>
      </w:pPr>
      <w:r>
        <w:rPr>
          <w:rFonts w:ascii="黑体" w:eastAsia="黑体" w:hAnsi="黑体" w:cs="黑体" w:hint="eastAsia"/>
          <w:sz w:val="24"/>
        </w:rPr>
        <w:t>三、规范制定原则和依据</w:t>
      </w:r>
    </w:p>
    <w:p w:rsidR="00641505" w:rsidRDefault="00366702">
      <w:pPr>
        <w:tabs>
          <w:tab w:val="left" w:pos="540"/>
        </w:tabs>
        <w:spacing w:line="360" w:lineRule="auto"/>
        <w:ind w:firstLineChars="200" w:firstLine="480"/>
        <w:rPr>
          <w:rFonts w:ascii="黑体" w:eastAsia="黑体" w:hAnsi="黑体" w:cs="黑体"/>
          <w:sz w:val="24"/>
        </w:rPr>
      </w:pPr>
      <w:r>
        <w:rPr>
          <w:rFonts w:ascii="黑体" w:eastAsia="黑体" w:hAnsi="黑体" w:cs="黑体" w:hint="eastAsia"/>
          <w:sz w:val="24"/>
        </w:rPr>
        <w:t>1</w:t>
      </w:r>
      <w:r>
        <w:rPr>
          <w:rFonts w:ascii="黑体" w:eastAsia="黑体" w:hAnsi="黑体" w:cs="黑体" w:hint="eastAsia"/>
          <w:sz w:val="24"/>
        </w:rPr>
        <w:t>、制定原则</w:t>
      </w:r>
    </w:p>
    <w:p w:rsidR="00641505" w:rsidRDefault="00366702">
      <w:pPr>
        <w:tabs>
          <w:tab w:val="left" w:pos="540"/>
        </w:tabs>
        <w:spacing w:line="360" w:lineRule="auto"/>
        <w:ind w:firstLineChars="200" w:firstLine="480"/>
        <w:rPr>
          <w:rFonts w:ascii="宋体" w:hAnsi="宋体"/>
          <w:sz w:val="24"/>
        </w:rPr>
      </w:pPr>
      <w:r>
        <w:rPr>
          <w:rFonts w:ascii="宋体" w:hAnsi="宋体" w:hint="eastAsia"/>
          <w:kern w:val="0"/>
          <w:sz w:val="24"/>
        </w:rPr>
        <w:t>本规范制定</w:t>
      </w:r>
      <w:r>
        <w:rPr>
          <w:rFonts w:ascii="宋体" w:hAnsi="宋体" w:hint="eastAsia"/>
          <w:sz w:val="24"/>
        </w:rPr>
        <w:t>参考</w:t>
      </w:r>
      <w:r>
        <w:rPr>
          <w:rFonts w:ascii="宋体" w:hAnsi="宋体"/>
          <w:sz w:val="24"/>
        </w:rPr>
        <w:t>GB/T 7721—20</w:t>
      </w:r>
      <w:r>
        <w:rPr>
          <w:rFonts w:ascii="宋体" w:hAnsi="宋体" w:hint="eastAsia"/>
          <w:sz w:val="24"/>
        </w:rPr>
        <w:t>17</w:t>
      </w:r>
      <w:r>
        <w:rPr>
          <w:rFonts w:ascii="宋体" w:hAnsi="宋体" w:hint="eastAsia"/>
          <w:sz w:val="24"/>
        </w:rPr>
        <w:t>《连续累计自动衡器（皮带秤）》中使用中核查部分和</w:t>
      </w:r>
      <w:r>
        <w:rPr>
          <w:rFonts w:ascii="宋体" w:hAnsi="宋体"/>
          <w:sz w:val="24"/>
        </w:rPr>
        <w:t xml:space="preserve">JJG </w:t>
      </w:r>
      <w:r>
        <w:rPr>
          <w:rFonts w:ascii="宋体" w:hAnsi="宋体" w:hint="eastAsia"/>
          <w:sz w:val="24"/>
        </w:rPr>
        <w:t>195</w:t>
      </w:r>
      <w:r>
        <w:rPr>
          <w:rFonts w:ascii="宋体" w:hAnsi="宋体" w:hint="eastAsia"/>
          <w:sz w:val="24"/>
        </w:rPr>
        <w:t>—</w:t>
      </w:r>
      <w:r>
        <w:rPr>
          <w:rFonts w:ascii="宋体" w:hAnsi="宋体" w:hint="eastAsia"/>
          <w:sz w:val="24"/>
        </w:rPr>
        <w:t>2019</w:t>
      </w:r>
      <w:r>
        <w:rPr>
          <w:rFonts w:ascii="宋体" w:hAnsi="宋体" w:hint="eastAsia"/>
          <w:sz w:val="24"/>
        </w:rPr>
        <w:t>《连续累计自动衡器（皮带秤）》检定规程的相关部分，并结合我国连续累计自动衡器（皮带秤）使用中的实际情况编制。保留了</w:t>
      </w:r>
      <w:r>
        <w:rPr>
          <w:rFonts w:ascii="宋体" w:hAnsi="宋体"/>
          <w:sz w:val="24"/>
        </w:rPr>
        <w:t xml:space="preserve">JJG </w:t>
      </w:r>
      <w:r>
        <w:rPr>
          <w:rFonts w:ascii="宋体" w:hAnsi="宋体" w:hint="eastAsia"/>
          <w:sz w:val="24"/>
        </w:rPr>
        <w:t>195</w:t>
      </w:r>
      <w:r>
        <w:rPr>
          <w:rFonts w:ascii="宋体" w:hAnsi="宋体" w:hint="eastAsia"/>
          <w:sz w:val="24"/>
        </w:rPr>
        <w:t>—</w:t>
      </w:r>
      <w:r>
        <w:rPr>
          <w:rFonts w:ascii="宋体" w:hAnsi="宋体" w:hint="eastAsia"/>
          <w:sz w:val="24"/>
        </w:rPr>
        <w:t>2019</w:t>
      </w:r>
      <w:r>
        <w:rPr>
          <w:rFonts w:ascii="宋体" w:hAnsi="宋体" w:hint="eastAsia"/>
          <w:sz w:val="24"/>
        </w:rPr>
        <w:t>《连续累计自动衡器（皮带秤）检定规程》中行之有效的内容。</w:t>
      </w:r>
      <w:r>
        <w:rPr>
          <w:rFonts w:ascii="宋体" w:hint="eastAsia"/>
          <w:kern w:val="0"/>
          <w:sz w:val="24"/>
        </w:rPr>
        <w:t>在编制格式上执行了</w:t>
      </w:r>
      <w:r>
        <w:rPr>
          <w:rFonts w:ascii="宋体" w:hint="eastAsia"/>
          <w:kern w:val="0"/>
          <w:sz w:val="24"/>
        </w:rPr>
        <w:t xml:space="preserve">JJF 1071-2010 </w:t>
      </w:r>
      <w:r>
        <w:rPr>
          <w:rFonts w:ascii="宋体" w:hint="eastAsia"/>
          <w:kern w:val="0"/>
          <w:sz w:val="24"/>
        </w:rPr>
        <w:t>《国家计量校准规范编写规则》。</w:t>
      </w:r>
    </w:p>
    <w:p w:rsidR="00641505" w:rsidRDefault="00366702">
      <w:pPr>
        <w:tabs>
          <w:tab w:val="left" w:pos="540"/>
        </w:tabs>
        <w:spacing w:line="360" w:lineRule="auto"/>
        <w:ind w:firstLineChars="200" w:firstLine="480"/>
        <w:rPr>
          <w:rFonts w:ascii="宋体" w:hAnsi="宋体"/>
          <w:sz w:val="24"/>
        </w:rPr>
      </w:pPr>
      <w:r>
        <w:rPr>
          <w:rFonts w:ascii="宋体" w:hAnsi="宋体" w:cs="宋体" w:hint="eastAsia"/>
          <w:sz w:val="24"/>
        </w:rPr>
        <w:lastRenderedPageBreak/>
        <w:t>本规范所用术语</w:t>
      </w:r>
      <w:r>
        <w:rPr>
          <w:rFonts w:asciiTheme="minorEastAsia" w:eastAsiaTheme="minorEastAsia" w:hAnsiTheme="minorEastAsia" w:cstheme="minorEastAsia" w:hint="eastAsia"/>
          <w:sz w:val="24"/>
        </w:rPr>
        <w:t>与</w:t>
      </w:r>
      <w:r>
        <w:rPr>
          <w:rFonts w:asciiTheme="minorEastAsia" w:eastAsiaTheme="minorEastAsia" w:hAnsiTheme="minorEastAsia" w:cstheme="minorEastAsia" w:hint="eastAsia"/>
          <w:sz w:val="24"/>
        </w:rPr>
        <w:t>JJG 195-2019</w:t>
      </w:r>
      <w:r>
        <w:rPr>
          <w:rFonts w:asciiTheme="minorEastAsia" w:eastAsiaTheme="minorEastAsia" w:hAnsiTheme="minorEastAsia" w:cstheme="minorEastAsia" w:hint="eastAsia"/>
          <w:sz w:val="24"/>
        </w:rPr>
        <w:t>连续累计自动衡器（皮带秤）、</w:t>
      </w:r>
      <w:r>
        <w:rPr>
          <w:rFonts w:asciiTheme="minorEastAsia" w:eastAsiaTheme="minorEastAsia" w:hAnsiTheme="minorEastAsia" w:cstheme="minorEastAsia" w:hint="eastAsia"/>
          <w:sz w:val="24"/>
        </w:rPr>
        <w:t>JJF 1181-2007</w:t>
      </w:r>
      <w:r>
        <w:rPr>
          <w:rFonts w:asciiTheme="minorEastAsia" w:eastAsiaTheme="minorEastAsia" w:hAnsiTheme="minorEastAsia" w:cstheme="minorEastAsia" w:hint="eastAsia"/>
          <w:sz w:val="24"/>
        </w:rPr>
        <w:t>衡器计量名词术语及定义和</w:t>
      </w:r>
      <w:r>
        <w:rPr>
          <w:rFonts w:asciiTheme="minorEastAsia" w:eastAsiaTheme="minorEastAsia" w:hAnsiTheme="minorEastAsia" w:cstheme="minorEastAsia" w:hint="eastAsia"/>
          <w:sz w:val="24"/>
        </w:rPr>
        <w:t>GB/T</w:t>
      </w:r>
      <w:r>
        <w:rPr>
          <w:rFonts w:ascii="宋体" w:hAnsi="宋体" w:cs="宋体" w:hint="eastAsia"/>
          <w:sz w:val="24"/>
        </w:rPr>
        <w:t xml:space="preserve"> </w:t>
      </w:r>
      <w:r>
        <w:rPr>
          <w:rFonts w:ascii="宋体" w:hAnsi="宋体" w:cs="宋体"/>
          <w:sz w:val="24"/>
        </w:rPr>
        <w:t>7721</w:t>
      </w:r>
      <w:r>
        <w:rPr>
          <w:rFonts w:ascii="宋体" w:hAnsi="宋体" w:cs="宋体" w:hint="eastAsia"/>
          <w:sz w:val="24"/>
        </w:rPr>
        <w:t>-2017</w:t>
      </w:r>
      <w:r>
        <w:rPr>
          <w:rFonts w:ascii="宋体" w:hAnsi="宋体" w:cs="宋体" w:hint="eastAsia"/>
          <w:sz w:val="24"/>
        </w:rPr>
        <w:t>定量皮带秤保持相一致。此外，本规范还采用了仅适用本规范的专用术语和定义。</w:t>
      </w:r>
    </w:p>
    <w:p w:rsidR="00641505" w:rsidRDefault="00366702">
      <w:pPr>
        <w:spacing w:line="360" w:lineRule="auto"/>
        <w:ind w:firstLineChars="200" w:firstLine="480"/>
        <w:rPr>
          <w:rFonts w:ascii="黑体" w:eastAsia="黑体" w:hAnsi="黑体" w:cs="黑体"/>
          <w:sz w:val="24"/>
        </w:rPr>
      </w:pPr>
      <w:r>
        <w:rPr>
          <w:rFonts w:ascii="黑体" w:eastAsia="黑体" w:hAnsi="黑体" w:cs="黑体" w:hint="eastAsia"/>
          <w:sz w:val="24"/>
        </w:rPr>
        <w:t>2</w:t>
      </w:r>
      <w:r>
        <w:rPr>
          <w:rFonts w:ascii="黑体" w:eastAsia="黑体" w:hAnsi="黑体" w:cs="黑体" w:hint="eastAsia"/>
          <w:sz w:val="24"/>
        </w:rPr>
        <w:t>、制定依据</w:t>
      </w:r>
    </w:p>
    <w:p w:rsidR="00641505" w:rsidRDefault="00366702">
      <w:pPr>
        <w:pStyle w:val="a7"/>
        <w:spacing w:line="360" w:lineRule="auto"/>
        <w:ind w:firstLineChars="200" w:firstLine="480"/>
        <w:rPr>
          <w:rFonts w:ascii="宋体"/>
        </w:rPr>
      </w:pPr>
      <w:r>
        <w:rPr>
          <w:rFonts w:ascii="宋体" w:hint="eastAsia"/>
        </w:rPr>
        <w:t>J</w:t>
      </w:r>
      <w:r>
        <w:rPr>
          <w:rFonts w:ascii="宋体"/>
        </w:rPr>
        <w:t xml:space="preserve">JG 195-2019 </w:t>
      </w:r>
      <w:r>
        <w:rPr>
          <w:rFonts w:ascii="宋体" w:hint="eastAsia"/>
        </w:rPr>
        <w:t>连续累计自动衡器（皮带秤）</w:t>
      </w:r>
    </w:p>
    <w:p w:rsidR="00641505" w:rsidRDefault="00366702">
      <w:pPr>
        <w:pStyle w:val="a7"/>
        <w:spacing w:line="360" w:lineRule="auto"/>
        <w:ind w:firstLineChars="200" w:firstLine="480"/>
        <w:rPr>
          <w:rFonts w:ascii="宋体"/>
        </w:rPr>
      </w:pPr>
      <w:r>
        <w:rPr>
          <w:rFonts w:ascii="宋体" w:hint="eastAsia"/>
        </w:rPr>
        <w:t>JJG 99</w:t>
      </w:r>
      <w:r>
        <w:rPr>
          <w:rFonts w:ascii="宋体"/>
        </w:rPr>
        <w:t>-2022</w:t>
      </w:r>
      <w:r>
        <w:rPr>
          <w:rFonts w:ascii="宋体" w:hint="eastAsia"/>
        </w:rPr>
        <w:t xml:space="preserve">  </w:t>
      </w:r>
      <w:r>
        <w:rPr>
          <w:rFonts w:ascii="宋体" w:hint="eastAsia"/>
        </w:rPr>
        <w:t>砝码</w:t>
      </w:r>
    </w:p>
    <w:p w:rsidR="00641505" w:rsidRDefault="00366702">
      <w:pPr>
        <w:pStyle w:val="a7"/>
        <w:spacing w:line="360" w:lineRule="auto"/>
        <w:ind w:firstLineChars="200" w:firstLine="480"/>
        <w:rPr>
          <w:rFonts w:ascii="宋体" w:cs="宋体"/>
        </w:rPr>
      </w:pPr>
      <w:r>
        <w:rPr>
          <w:rFonts w:ascii="宋体" w:hint="eastAsia"/>
        </w:rPr>
        <w:t>JJF 1059.1</w:t>
      </w:r>
      <w:r>
        <w:rPr>
          <w:rFonts w:ascii="宋体"/>
        </w:rPr>
        <w:t>-2012</w:t>
      </w:r>
      <w:r>
        <w:rPr>
          <w:rFonts w:ascii="宋体" w:hint="eastAsia"/>
        </w:rPr>
        <w:t xml:space="preserve"> </w:t>
      </w:r>
      <w:r>
        <w:rPr>
          <w:rFonts w:ascii="宋体" w:cs="宋体" w:hint="eastAsia"/>
        </w:rPr>
        <w:t>测量不确定度评定与表示</w:t>
      </w:r>
    </w:p>
    <w:p w:rsidR="00641505" w:rsidRDefault="00366702">
      <w:pPr>
        <w:pStyle w:val="a7"/>
        <w:spacing w:line="360" w:lineRule="auto"/>
        <w:ind w:firstLineChars="200" w:firstLine="480"/>
        <w:rPr>
          <w:rFonts w:ascii="宋体"/>
        </w:rPr>
      </w:pPr>
      <w:r>
        <w:rPr>
          <w:rFonts w:ascii="宋体"/>
        </w:rPr>
        <w:t xml:space="preserve">JJF 1181-2007 </w:t>
      </w:r>
      <w:r>
        <w:rPr>
          <w:rFonts w:ascii="宋体"/>
        </w:rPr>
        <w:t>衡器计量名词术语及定义</w:t>
      </w:r>
    </w:p>
    <w:p w:rsidR="00641505" w:rsidRDefault="00366702">
      <w:pPr>
        <w:pStyle w:val="a7"/>
        <w:spacing w:line="360" w:lineRule="auto"/>
        <w:ind w:firstLineChars="200" w:firstLine="480"/>
      </w:pPr>
      <w:r>
        <w:rPr>
          <w:rFonts w:ascii="宋体" w:hint="eastAsia"/>
        </w:rPr>
        <w:t>GB/T 7721</w:t>
      </w:r>
      <w:r>
        <w:rPr>
          <w:rFonts w:ascii="宋体"/>
        </w:rPr>
        <w:t>-2017</w:t>
      </w:r>
      <w:r>
        <w:rPr>
          <w:rFonts w:ascii="宋体" w:hint="eastAsia"/>
        </w:rPr>
        <w:t xml:space="preserve"> </w:t>
      </w:r>
      <w:r>
        <w:rPr>
          <w:rFonts w:ascii="宋体" w:hint="eastAsia"/>
        </w:rPr>
        <w:t>连续累计自动衡器（皮带秤）</w:t>
      </w:r>
    </w:p>
    <w:p w:rsidR="00641505" w:rsidRDefault="00366702">
      <w:pPr>
        <w:spacing w:line="360" w:lineRule="auto"/>
        <w:rPr>
          <w:rFonts w:ascii="宋体" w:hAnsi="宋体"/>
          <w:b/>
          <w:sz w:val="24"/>
        </w:rPr>
      </w:pPr>
      <w:r>
        <w:rPr>
          <w:rFonts w:ascii="黑体" w:eastAsia="黑体" w:hAnsi="黑体" w:cs="黑体" w:hint="eastAsia"/>
          <w:sz w:val="24"/>
        </w:rPr>
        <w:t>四、规范编制的基本情况</w:t>
      </w:r>
    </w:p>
    <w:p w:rsidR="00641505" w:rsidRDefault="00366702">
      <w:pPr>
        <w:spacing w:line="360" w:lineRule="auto"/>
        <w:ind w:firstLineChars="150" w:firstLine="360"/>
        <w:rPr>
          <w:rFonts w:ascii="宋体" w:hAnsi="宋体"/>
          <w:sz w:val="24"/>
        </w:rPr>
      </w:pPr>
      <w:r>
        <w:rPr>
          <w:rFonts w:ascii="宋体" w:hAnsi="宋体" w:hint="eastAsia"/>
          <w:sz w:val="24"/>
        </w:rPr>
        <w:t>在前期调研工作的基础上，《连续累计自动衡器（皮带秤）状态核查计量技术规范》起草小组参考了</w:t>
      </w:r>
      <w:r>
        <w:rPr>
          <w:rFonts w:ascii="宋体" w:hAnsi="宋体"/>
          <w:sz w:val="24"/>
        </w:rPr>
        <w:t>GB/T 7721—20</w:t>
      </w:r>
      <w:r>
        <w:rPr>
          <w:rFonts w:ascii="宋体" w:hAnsi="宋体" w:hint="eastAsia"/>
          <w:sz w:val="24"/>
        </w:rPr>
        <w:t>17</w:t>
      </w:r>
      <w:r>
        <w:rPr>
          <w:rFonts w:ascii="宋体" w:hAnsi="宋体" w:hint="eastAsia"/>
          <w:sz w:val="24"/>
        </w:rPr>
        <w:t>《连续累计自动衡器（皮带秤）》的使用中核查部分，</w:t>
      </w:r>
      <w:r>
        <w:rPr>
          <w:rFonts w:ascii="宋体" w:hAnsi="宋体"/>
          <w:sz w:val="24"/>
        </w:rPr>
        <w:t xml:space="preserve">JJG </w:t>
      </w:r>
      <w:r>
        <w:rPr>
          <w:rFonts w:ascii="宋体" w:hAnsi="宋体" w:hint="eastAsia"/>
          <w:sz w:val="24"/>
        </w:rPr>
        <w:t>195</w:t>
      </w:r>
      <w:r>
        <w:rPr>
          <w:rFonts w:ascii="宋体" w:hAnsi="宋体" w:hint="eastAsia"/>
          <w:sz w:val="24"/>
        </w:rPr>
        <w:t>—</w:t>
      </w:r>
      <w:r>
        <w:rPr>
          <w:rFonts w:ascii="宋体" w:hAnsi="宋体" w:hint="eastAsia"/>
          <w:sz w:val="24"/>
        </w:rPr>
        <w:t>2019</w:t>
      </w:r>
      <w:r>
        <w:rPr>
          <w:rFonts w:ascii="宋体" w:hAnsi="宋体" w:hint="eastAsia"/>
          <w:sz w:val="24"/>
        </w:rPr>
        <w:t>《连续累计自动衡器（皮带秤）》检定规程中皮带秤检定方法的相关内容，对</w:t>
      </w:r>
      <w:r>
        <w:rPr>
          <w:rFonts w:ascii="宋体" w:hAnsi="宋体" w:cs="宋体" w:hint="eastAsia"/>
          <w:sz w:val="24"/>
        </w:rPr>
        <w:t>皮带秤的</w:t>
      </w:r>
      <w:r>
        <w:rPr>
          <w:rFonts w:ascii="宋体" w:hAnsi="宋体" w:hint="eastAsia"/>
          <w:sz w:val="24"/>
        </w:rPr>
        <w:t>状态核查方法进行了充分的研讨，结合考察了生产企业并做了现场验证试验，与国内从事衡器制造和计量检测工作的专家、学者们进行了广泛的交流和探讨，并得到了他们的大力支持和帮助</w:t>
      </w:r>
      <w:r>
        <w:rPr>
          <w:rFonts w:ascii="宋体" w:hAnsi="宋体" w:hint="eastAsia"/>
          <w:sz w:val="24"/>
        </w:rPr>
        <w:t>，为</w:t>
      </w:r>
      <w:r>
        <w:rPr>
          <w:rFonts w:ascii="宋体" w:hAnsi="宋体" w:cs="宋体" w:hint="eastAsia"/>
          <w:sz w:val="24"/>
        </w:rPr>
        <w:t>皮带秤</w:t>
      </w:r>
      <w:r>
        <w:rPr>
          <w:rFonts w:ascii="宋体" w:hAnsi="宋体" w:hint="eastAsia"/>
          <w:sz w:val="24"/>
        </w:rPr>
        <w:t>规范的起草工作奠定了坚实的基础。通过多次验证试验，证明了我们制定的</w:t>
      </w:r>
      <w:r>
        <w:rPr>
          <w:rFonts w:ascii="宋体" w:hAnsi="宋体" w:hint="eastAsia"/>
          <w:spacing w:val="-12"/>
          <w:sz w:val="24"/>
        </w:rPr>
        <w:t>核查</w:t>
      </w:r>
      <w:r>
        <w:rPr>
          <w:rFonts w:ascii="宋体" w:hAnsi="宋体" w:hint="eastAsia"/>
          <w:sz w:val="24"/>
        </w:rPr>
        <w:t>项目和核查方法是科学、合理的，并具有可操作性。</w:t>
      </w:r>
    </w:p>
    <w:p w:rsidR="00641505" w:rsidRDefault="00366702">
      <w:pPr>
        <w:spacing w:line="360" w:lineRule="auto"/>
        <w:ind w:left="6" w:firstLineChars="178" w:firstLine="427"/>
        <w:rPr>
          <w:rFonts w:ascii="宋体" w:hAnsi="宋体"/>
          <w:sz w:val="24"/>
        </w:rPr>
      </w:pPr>
      <w:r>
        <w:rPr>
          <w:rFonts w:ascii="宋体" w:hAnsi="宋体" w:hint="eastAsia"/>
          <w:sz w:val="24"/>
        </w:rPr>
        <w:t>在上述工作的基础上，规范起草小组通过现场交流、电话、微信及线上会议等多种形式向专家征求意</w:t>
      </w:r>
      <w:r w:rsidR="00BB7EAD">
        <w:rPr>
          <w:rFonts w:ascii="宋体" w:hAnsi="宋体" w:hint="eastAsia"/>
          <w:sz w:val="24"/>
        </w:rPr>
        <w:t>见和起草小组内部沟通研讨，对前期形成的规范版本多次修改完善，</w:t>
      </w:r>
      <w:r>
        <w:rPr>
          <w:rFonts w:ascii="宋体" w:hAnsi="宋体" w:hint="eastAsia"/>
          <w:sz w:val="24"/>
        </w:rPr>
        <w:t>完成了《连续累计自动衡器（皮带秤）状态核查计量技术规范》的征求意见稿。</w:t>
      </w:r>
    </w:p>
    <w:p w:rsidR="00BB7EAD" w:rsidRPr="00BB7EAD" w:rsidRDefault="00BB7EAD" w:rsidP="00BB7EAD">
      <w:pPr>
        <w:spacing w:line="360" w:lineRule="auto"/>
        <w:ind w:left="6" w:firstLineChars="178" w:firstLine="427"/>
        <w:rPr>
          <w:rFonts w:ascii="宋体" w:hAnsi="宋体" w:hint="eastAsia"/>
          <w:sz w:val="24"/>
        </w:rPr>
      </w:pPr>
      <w:r>
        <w:rPr>
          <w:rFonts w:ascii="宋体" w:hAnsi="宋体" w:hint="eastAsia"/>
          <w:sz w:val="24"/>
        </w:rPr>
        <w:t>通过向全国衡器计量技术委员会自动衡器分技术委员会各委员公开征求意见，并对各委员专家提出的意见和建议进行采纳梳理，最终形成了</w:t>
      </w:r>
      <w:r>
        <w:rPr>
          <w:rFonts w:ascii="宋体" w:hAnsi="宋体" w:hint="eastAsia"/>
          <w:sz w:val="24"/>
        </w:rPr>
        <w:t>《连续累计自动衡器（皮带秤）状态核查计量技术规范》的</w:t>
      </w:r>
      <w:r>
        <w:rPr>
          <w:rFonts w:ascii="宋体" w:hAnsi="宋体" w:hint="eastAsia"/>
          <w:sz w:val="24"/>
        </w:rPr>
        <w:t>报审</w:t>
      </w:r>
      <w:r>
        <w:rPr>
          <w:rFonts w:ascii="宋体" w:hAnsi="宋体" w:hint="eastAsia"/>
          <w:sz w:val="24"/>
        </w:rPr>
        <w:t>稿。</w:t>
      </w:r>
      <w:bookmarkStart w:id="0" w:name="_GoBack"/>
      <w:bookmarkEnd w:id="0"/>
    </w:p>
    <w:p w:rsidR="00641505" w:rsidRDefault="00366702">
      <w:pPr>
        <w:spacing w:line="360" w:lineRule="auto"/>
        <w:rPr>
          <w:rFonts w:ascii="宋体" w:hAnsi="宋体"/>
          <w:sz w:val="24"/>
        </w:rPr>
      </w:pPr>
      <w:r>
        <w:rPr>
          <w:rFonts w:ascii="黑体" w:eastAsia="黑体" w:hAnsi="黑体" w:cs="黑体" w:hint="eastAsia"/>
          <w:sz w:val="24"/>
        </w:rPr>
        <w:t>五、规范的主要内容</w:t>
      </w:r>
    </w:p>
    <w:p w:rsidR="00641505" w:rsidRDefault="00366702">
      <w:pPr>
        <w:spacing w:line="360" w:lineRule="auto"/>
        <w:ind w:firstLineChars="200" w:firstLine="480"/>
        <w:rPr>
          <w:rFonts w:ascii="宋体" w:hAnsi="宋体"/>
          <w:kern w:val="0"/>
          <w:sz w:val="24"/>
        </w:rPr>
      </w:pPr>
      <w:r>
        <w:rPr>
          <w:rFonts w:ascii="宋体" w:hAnsi="宋体" w:cs="宋体" w:hint="eastAsia"/>
          <w:sz w:val="24"/>
        </w:rPr>
        <w:t>按照</w:t>
      </w:r>
      <w:r>
        <w:rPr>
          <w:sz w:val="24"/>
        </w:rPr>
        <w:t>JJF</w:t>
      </w:r>
      <w:r>
        <w:rPr>
          <w:rFonts w:ascii="宋体" w:hAnsi="宋体" w:cs="宋体" w:hint="eastAsia"/>
          <w:sz w:val="24"/>
        </w:rPr>
        <w:t>1071-2010</w:t>
      </w:r>
      <w:r>
        <w:rPr>
          <w:rFonts w:ascii="宋体" w:hAnsi="宋体" w:cs="宋体" w:hint="eastAsia"/>
          <w:sz w:val="24"/>
        </w:rPr>
        <w:t>《国家计量校准规范编写规则》的相关要求，本规范包括</w:t>
      </w:r>
      <w:r>
        <w:rPr>
          <w:rFonts w:ascii="宋体" w:hAnsi="宋体" w:cs="宋体" w:hint="eastAsia"/>
          <w:sz w:val="24"/>
        </w:rPr>
        <w:t>9</w:t>
      </w:r>
      <w:r>
        <w:rPr>
          <w:rFonts w:ascii="宋体" w:hAnsi="宋体" w:cs="宋体" w:hint="eastAsia"/>
          <w:sz w:val="24"/>
        </w:rPr>
        <w:t>个章节和</w:t>
      </w:r>
      <w:r>
        <w:rPr>
          <w:rFonts w:ascii="宋体" w:hAnsi="宋体" w:cs="宋体"/>
          <w:sz w:val="24"/>
        </w:rPr>
        <w:t>4</w:t>
      </w:r>
      <w:r>
        <w:rPr>
          <w:rFonts w:ascii="宋体" w:hAnsi="宋体" w:cs="宋体" w:hint="eastAsia"/>
          <w:sz w:val="24"/>
        </w:rPr>
        <w:t>个附录：</w:t>
      </w:r>
      <w:r>
        <w:rPr>
          <w:rFonts w:ascii="宋体" w:hAnsi="宋体" w:hint="eastAsia"/>
          <w:kern w:val="0"/>
          <w:sz w:val="24"/>
        </w:rPr>
        <w:t>1</w:t>
      </w:r>
      <w:r>
        <w:rPr>
          <w:rFonts w:ascii="宋体" w:hAnsi="宋体" w:hint="eastAsia"/>
          <w:kern w:val="0"/>
          <w:sz w:val="24"/>
        </w:rPr>
        <w:t>范围；</w:t>
      </w:r>
      <w:r>
        <w:rPr>
          <w:rFonts w:ascii="宋体" w:hAnsi="宋体" w:hint="eastAsia"/>
          <w:kern w:val="0"/>
          <w:sz w:val="24"/>
        </w:rPr>
        <w:t>2</w:t>
      </w:r>
      <w:r>
        <w:rPr>
          <w:rFonts w:ascii="宋体" w:hAnsi="宋体" w:hint="eastAsia"/>
          <w:kern w:val="0"/>
          <w:sz w:val="24"/>
        </w:rPr>
        <w:t>引用文件；</w:t>
      </w:r>
      <w:r>
        <w:rPr>
          <w:rFonts w:ascii="宋体" w:hAnsi="宋体" w:hint="eastAsia"/>
          <w:kern w:val="0"/>
          <w:sz w:val="24"/>
        </w:rPr>
        <w:t>3</w:t>
      </w:r>
      <w:r>
        <w:rPr>
          <w:rFonts w:ascii="宋体" w:hAnsi="宋体" w:hint="eastAsia"/>
          <w:kern w:val="0"/>
          <w:sz w:val="24"/>
        </w:rPr>
        <w:t>术语和计量单位；</w:t>
      </w:r>
      <w:r>
        <w:rPr>
          <w:rFonts w:ascii="宋体" w:hAnsi="宋体" w:hint="eastAsia"/>
          <w:kern w:val="0"/>
          <w:sz w:val="24"/>
        </w:rPr>
        <w:t>4</w:t>
      </w:r>
      <w:r>
        <w:rPr>
          <w:rFonts w:ascii="宋体" w:hAnsi="宋体" w:hint="eastAsia"/>
          <w:kern w:val="0"/>
          <w:sz w:val="24"/>
        </w:rPr>
        <w:t>概</w:t>
      </w:r>
      <w:r>
        <w:rPr>
          <w:rFonts w:ascii="宋体" w:hAnsi="宋体" w:hint="eastAsia"/>
          <w:kern w:val="0"/>
          <w:sz w:val="24"/>
        </w:rPr>
        <w:t>述；</w:t>
      </w:r>
      <w:r>
        <w:rPr>
          <w:rFonts w:ascii="宋体" w:hAnsi="宋体" w:hint="eastAsia"/>
          <w:kern w:val="0"/>
          <w:sz w:val="24"/>
        </w:rPr>
        <w:t>5</w:t>
      </w:r>
      <w:r>
        <w:rPr>
          <w:rFonts w:ascii="宋体" w:hAnsi="宋体" w:hint="eastAsia"/>
          <w:kern w:val="0"/>
          <w:sz w:val="24"/>
        </w:rPr>
        <w:t>计量特性；</w:t>
      </w:r>
      <w:r>
        <w:rPr>
          <w:rFonts w:ascii="宋体" w:hAnsi="宋体" w:hint="eastAsia"/>
          <w:kern w:val="0"/>
          <w:sz w:val="24"/>
        </w:rPr>
        <w:t>6</w:t>
      </w:r>
      <w:r>
        <w:rPr>
          <w:rFonts w:ascii="宋体" w:hAnsi="宋体" w:hint="eastAsia"/>
          <w:kern w:val="0"/>
          <w:sz w:val="24"/>
        </w:rPr>
        <w:t>核查条件；</w:t>
      </w:r>
      <w:r>
        <w:rPr>
          <w:rFonts w:ascii="宋体" w:hAnsi="宋体" w:hint="eastAsia"/>
          <w:kern w:val="0"/>
          <w:sz w:val="24"/>
        </w:rPr>
        <w:t>7</w:t>
      </w:r>
      <w:r>
        <w:rPr>
          <w:rFonts w:ascii="宋体" w:hAnsi="宋体" w:hint="eastAsia"/>
          <w:kern w:val="0"/>
          <w:sz w:val="24"/>
        </w:rPr>
        <w:t>核查项目和核查方法；</w:t>
      </w:r>
      <w:r>
        <w:rPr>
          <w:rFonts w:ascii="宋体" w:hAnsi="宋体" w:hint="eastAsia"/>
          <w:kern w:val="0"/>
          <w:sz w:val="24"/>
        </w:rPr>
        <w:t>8</w:t>
      </w:r>
      <w:r>
        <w:rPr>
          <w:rFonts w:ascii="宋体" w:hAnsi="宋体" w:hint="eastAsia"/>
          <w:kern w:val="0"/>
          <w:sz w:val="24"/>
        </w:rPr>
        <w:t>核查结果；</w:t>
      </w:r>
      <w:r>
        <w:rPr>
          <w:rFonts w:ascii="宋体" w:hAnsi="宋体" w:hint="eastAsia"/>
          <w:kern w:val="0"/>
          <w:sz w:val="24"/>
        </w:rPr>
        <w:t>9</w:t>
      </w:r>
      <w:r>
        <w:rPr>
          <w:rFonts w:ascii="宋体" w:hAnsi="宋体" w:hint="eastAsia"/>
          <w:kern w:val="0"/>
          <w:sz w:val="24"/>
        </w:rPr>
        <w:t>核查时间间隔和附录</w:t>
      </w:r>
      <w:r>
        <w:rPr>
          <w:rFonts w:ascii="宋体" w:hAnsi="宋体" w:hint="eastAsia"/>
          <w:kern w:val="0"/>
          <w:sz w:val="24"/>
        </w:rPr>
        <w:lastRenderedPageBreak/>
        <w:t>A</w:t>
      </w:r>
      <w:r>
        <w:rPr>
          <w:rFonts w:ascii="宋体" w:hAnsi="宋体" w:hint="eastAsia"/>
          <w:sz w:val="24"/>
        </w:rPr>
        <w:t>模拟载荷试验误差测量结果的不确定度分析与评定；</w:t>
      </w:r>
      <w:r>
        <w:rPr>
          <w:rFonts w:ascii="宋体" w:hAnsi="宋体" w:hint="eastAsia"/>
          <w:kern w:val="0"/>
          <w:sz w:val="24"/>
        </w:rPr>
        <w:t>附录</w:t>
      </w:r>
      <w:r>
        <w:rPr>
          <w:rFonts w:ascii="宋体" w:hAnsi="宋体" w:hint="eastAsia"/>
          <w:kern w:val="0"/>
          <w:sz w:val="24"/>
        </w:rPr>
        <w:t>B</w:t>
      </w:r>
      <w:r>
        <w:rPr>
          <w:rFonts w:ascii="宋体" w:hAnsi="宋体" w:hint="eastAsia"/>
          <w:sz w:val="24"/>
        </w:rPr>
        <w:t>模拟载荷试验误差测量结果的不确定度评定示例；</w:t>
      </w:r>
      <w:r>
        <w:rPr>
          <w:rFonts w:ascii="宋体" w:hAnsi="宋体" w:hint="eastAsia"/>
          <w:kern w:val="0"/>
          <w:sz w:val="24"/>
        </w:rPr>
        <w:t>附录</w:t>
      </w:r>
      <w:r>
        <w:rPr>
          <w:rFonts w:ascii="宋体" w:hAnsi="宋体" w:hint="eastAsia"/>
          <w:kern w:val="0"/>
          <w:sz w:val="24"/>
        </w:rPr>
        <w:t>C</w:t>
      </w:r>
      <w:r>
        <w:rPr>
          <w:rFonts w:ascii="宋体" w:hAnsi="宋体" w:hint="eastAsia"/>
          <w:kern w:val="0"/>
          <w:sz w:val="24"/>
        </w:rPr>
        <w:t>连续累计自动衡器（皮带秤）核查原始记录格式（推荐性）；附录</w:t>
      </w:r>
      <w:r>
        <w:rPr>
          <w:rFonts w:ascii="宋体" w:hAnsi="宋体" w:hint="eastAsia"/>
          <w:kern w:val="0"/>
          <w:sz w:val="24"/>
        </w:rPr>
        <w:t>D</w:t>
      </w:r>
      <w:r>
        <w:rPr>
          <w:rFonts w:ascii="宋体" w:hAnsi="宋体" w:hint="eastAsia"/>
          <w:kern w:val="0"/>
          <w:sz w:val="24"/>
        </w:rPr>
        <w:t>核查证书内页格式（推荐性）。</w:t>
      </w:r>
    </w:p>
    <w:p w:rsidR="00641505" w:rsidRDefault="00366702">
      <w:pPr>
        <w:spacing w:line="360" w:lineRule="auto"/>
        <w:ind w:firstLineChars="200" w:firstLine="480"/>
        <w:rPr>
          <w:rFonts w:ascii="宋体" w:hAnsi="宋体"/>
          <w:b/>
          <w:sz w:val="24"/>
        </w:rPr>
      </w:pPr>
      <w:r>
        <w:rPr>
          <w:rFonts w:ascii="宋体" w:hAnsi="宋体" w:hint="eastAsia"/>
          <w:kern w:val="0"/>
          <w:sz w:val="24"/>
        </w:rPr>
        <w:t>规范界定了连续累计自动衡器（皮带秤）的相关术语及定义，明确了规范的适用范围，对连续累计自动衡器（皮带秤）的计量特性给出了相关说明和参考误差要求，详细规定了核查条件、核查项目和核查方法，明确了核查结果的计算方法，编制了核查原始记录格式，以</w:t>
      </w:r>
      <w:r>
        <w:rPr>
          <w:rFonts w:ascii="宋体" w:hAnsi="宋体" w:hint="eastAsia"/>
          <w:kern w:val="0"/>
          <w:sz w:val="24"/>
        </w:rPr>
        <w:t>及给出了</w:t>
      </w:r>
      <w:r>
        <w:rPr>
          <w:rFonts w:ascii="宋体" w:hAnsi="宋体" w:hint="eastAsia"/>
          <w:sz w:val="24"/>
        </w:rPr>
        <w:t>模拟载荷试验误差测量结果的不确定度</w:t>
      </w:r>
      <w:r>
        <w:rPr>
          <w:rFonts w:ascii="宋体" w:hAnsi="宋体" w:hint="eastAsia"/>
          <w:kern w:val="0"/>
          <w:sz w:val="24"/>
        </w:rPr>
        <w:t>评定示例。</w:t>
      </w:r>
    </w:p>
    <w:p w:rsidR="00641505" w:rsidRDefault="00366702">
      <w:pPr>
        <w:spacing w:line="360" w:lineRule="auto"/>
        <w:rPr>
          <w:rFonts w:ascii="宋体" w:hAnsi="宋体"/>
          <w:b/>
        </w:rPr>
      </w:pPr>
      <w:r>
        <w:rPr>
          <w:rFonts w:ascii="黑体" w:eastAsia="黑体" w:hAnsi="黑体" w:cs="黑体" w:hint="eastAsia"/>
          <w:sz w:val="24"/>
        </w:rPr>
        <w:t>六、试验验证</w:t>
      </w:r>
    </w:p>
    <w:p w:rsidR="00641505" w:rsidRDefault="00366702">
      <w:pPr>
        <w:pStyle w:val="a5"/>
        <w:spacing w:after="0" w:line="360" w:lineRule="auto"/>
        <w:ind w:firstLineChars="200" w:firstLine="480"/>
        <w:rPr>
          <w:rFonts w:ascii="宋体" w:hAnsi="宋体"/>
          <w:sz w:val="24"/>
        </w:rPr>
      </w:pPr>
      <w:r>
        <w:rPr>
          <w:rFonts w:ascii="宋体" w:hAnsi="宋体" w:hint="eastAsia"/>
          <w:sz w:val="24"/>
        </w:rPr>
        <w:t>通过对连续累计自动衡器（皮带秤）制造企业进行的试验，以及平时大量的皮带秤型式评价、检定工作，使试验验证工作有了充分的基础。试验的结果表明：依据</w:t>
      </w:r>
      <w:r>
        <w:rPr>
          <w:rFonts w:ascii="宋体" w:hAnsi="宋体"/>
          <w:sz w:val="24"/>
        </w:rPr>
        <w:t>GB/T 7721—20</w:t>
      </w:r>
      <w:r>
        <w:rPr>
          <w:rFonts w:ascii="宋体" w:hAnsi="宋体" w:hint="eastAsia"/>
          <w:sz w:val="24"/>
        </w:rPr>
        <w:t>17</w:t>
      </w:r>
      <w:r>
        <w:rPr>
          <w:rFonts w:ascii="宋体" w:hAnsi="宋体" w:hint="eastAsia"/>
          <w:sz w:val="24"/>
        </w:rPr>
        <w:t>国家标准和</w:t>
      </w:r>
      <w:r>
        <w:rPr>
          <w:rFonts w:ascii="宋体" w:hAnsi="宋体"/>
          <w:sz w:val="24"/>
        </w:rPr>
        <w:t xml:space="preserve">JJG </w:t>
      </w:r>
      <w:r>
        <w:rPr>
          <w:rFonts w:ascii="宋体" w:hAnsi="宋体" w:hint="eastAsia"/>
          <w:sz w:val="24"/>
        </w:rPr>
        <w:t>195</w:t>
      </w:r>
      <w:r>
        <w:rPr>
          <w:rFonts w:ascii="宋体" w:hAnsi="宋体" w:hint="eastAsia"/>
          <w:sz w:val="24"/>
        </w:rPr>
        <w:t>—</w:t>
      </w:r>
      <w:r>
        <w:rPr>
          <w:rFonts w:ascii="宋体" w:hAnsi="宋体" w:hint="eastAsia"/>
          <w:sz w:val="24"/>
        </w:rPr>
        <w:t>2019</w:t>
      </w:r>
      <w:r>
        <w:rPr>
          <w:rFonts w:ascii="宋体" w:hAnsi="宋体" w:hint="eastAsia"/>
          <w:sz w:val="24"/>
        </w:rPr>
        <w:t>检定规程进行制定的规范是科学、合理和可行的。另外，我们还将进行进一步的试验验证工作，也希望皮带秤制造企业给予支持。</w:t>
      </w:r>
    </w:p>
    <w:p w:rsidR="00641505" w:rsidRDefault="00366702">
      <w:pPr>
        <w:pStyle w:val="a5"/>
        <w:spacing w:after="0" w:line="360" w:lineRule="auto"/>
        <w:ind w:firstLineChars="200" w:firstLine="480"/>
        <w:rPr>
          <w:rFonts w:ascii="宋体" w:hAnsi="宋体"/>
          <w:kern w:val="0"/>
          <w:sz w:val="24"/>
        </w:rPr>
      </w:pPr>
      <w:r>
        <w:rPr>
          <w:rFonts w:ascii="宋体" w:hAnsi="宋体" w:hint="eastAsia"/>
          <w:sz w:val="24"/>
        </w:rPr>
        <w:t>以上是我们制定本规范工作的基本情况。由于水平有限，规范中难免存在不妥之处，</w:t>
      </w:r>
      <w:r>
        <w:rPr>
          <w:rFonts w:ascii="宋体" w:hAnsi="宋体" w:cs="宋体" w:hint="eastAsia"/>
          <w:sz w:val="24"/>
        </w:rPr>
        <w:t>现</w:t>
      </w:r>
      <w:r>
        <w:rPr>
          <w:rFonts w:asciiTheme="minorEastAsia" w:eastAsiaTheme="minorEastAsia" w:hAnsiTheme="minorEastAsia" w:hint="eastAsia"/>
          <w:color w:val="000000"/>
          <w:sz w:val="24"/>
        </w:rPr>
        <w:t>向全国同行征求意见，</w:t>
      </w:r>
      <w:r>
        <w:rPr>
          <w:rFonts w:ascii="宋体" w:hAnsi="宋体" w:hint="eastAsia"/>
          <w:sz w:val="24"/>
        </w:rPr>
        <w:t>敬请各位专家能提出宝贵意见和建议，使之更加完善</w:t>
      </w:r>
      <w:r>
        <w:rPr>
          <w:rFonts w:ascii="宋体" w:hAnsi="宋体" w:hint="eastAsia"/>
          <w:kern w:val="0"/>
          <w:sz w:val="24"/>
        </w:rPr>
        <w:t>。</w:t>
      </w:r>
    </w:p>
    <w:p w:rsidR="00641505" w:rsidRDefault="00641505">
      <w:pPr>
        <w:spacing w:line="360" w:lineRule="auto"/>
        <w:ind w:firstLineChars="225" w:firstLine="540"/>
        <w:rPr>
          <w:rFonts w:ascii="宋体" w:hAnsi="宋体"/>
          <w:kern w:val="0"/>
          <w:sz w:val="24"/>
        </w:rPr>
      </w:pPr>
    </w:p>
    <w:p w:rsidR="00641505" w:rsidRDefault="00366702">
      <w:pPr>
        <w:spacing w:beforeLines="50" w:before="156" w:afterLines="50" w:after="156" w:line="360" w:lineRule="auto"/>
        <w:jc w:val="center"/>
        <w:rPr>
          <w:rFonts w:ascii="黑体" w:eastAsia="黑体" w:hAnsi="黑体"/>
          <w:sz w:val="24"/>
        </w:rPr>
      </w:pPr>
      <w:r>
        <w:rPr>
          <w:rFonts w:ascii="宋体" w:hAnsi="宋体" w:hint="eastAsia"/>
          <w:kern w:val="0"/>
          <w:sz w:val="24"/>
        </w:rPr>
        <w:t xml:space="preserve">                </w:t>
      </w:r>
      <w:r>
        <w:rPr>
          <w:rFonts w:ascii="黑体" w:eastAsia="黑体" w:hAnsi="黑体" w:hint="eastAsia"/>
          <w:sz w:val="24"/>
        </w:rPr>
        <w:t>连续累计自动衡器（皮带秤）状态核查计量技术规范编制小组</w:t>
      </w:r>
    </w:p>
    <w:p w:rsidR="00641505" w:rsidRDefault="00366702">
      <w:pPr>
        <w:spacing w:line="360" w:lineRule="auto"/>
        <w:ind w:firstLineChars="225" w:firstLine="540"/>
        <w:rPr>
          <w:rFonts w:ascii="黑体" w:eastAsia="黑体" w:hAnsi="黑体"/>
          <w:kern w:val="0"/>
          <w:sz w:val="24"/>
        </w:rPr>
      </w:pPr>
      <w:r>
        <w:rPr>
          <w:rFonts w:ascii="黑体" w:eastAsia="黑体" w:hAnsi="黑体" w:hint="eastAsia"/>
          <w:kern w:val="0"/>
          <w:sz w:val="24"/>
        </w:rPr>
        <w:t xml:space="preserve">                                                202</w:t>
      </w:r>
      <w:r>
        <w:rPr>
          <w:rFonts w:ascii="黑体" w:eastAsia="黑体" w:hAnsi="黑体" w:hint="eastAsia"/>
          <w:kern w:val="0"/>
          <w:sz w:val="24"/>
        </w:rPr>
        <w:t>3</w:t>
      </w:r>
      <w:r>
        <w:rPr>
          <w:rFonts w:ascii="黑体" w:eastAsia="黑体" w:hAnsi="黑体" w:hint="eastAsia"/>
          <w:kern w:val="0"/>
          <w:sz w:val="24"/>
        </w:rPr>
        <w:t>年</w:t>
      </w:r>
      <w:r>
        <w:rPr>
          <w:rFonts w:ascii="黑体" w:eastAsia="黑体" w:hAnsi="黑体" w:hint="eastAsia"/>
          <w:kern w:val="0"/>
          <w:sz w:val="24"/>
        </w:rPr>
        <w:t>5</w:t>
      </w:r>
      <w:r>
        <w:rPr>
          <w:rFonts w:ascii="黑体" w:eastAsia="黑体" w:hAnsi="黑体" w:hint="eastAsia"/>
          <w:kern w:val="0"/>
          <w:sz w:val="24"/>
        </w:rPr>
        <w:t>月</w:t>
      </w:r>
    </w:p>
    <w:p w:rsidR="00641505" w:rsidRDefault="00641505">
      <w:pPr>
        <w:autoSpaceDE w:val="0"/>
        <w:autoSpaceDN w:val="0"/>
        <w:adjustRightInd w:val="0"/>
        <w:ind w:rightChars="-159" w:right="-334"/>
        <w:jc w:val="center"/>
        <w:rPr>
          <w:rFonts w:ascii="黑体" w:eastAsia="黑体"/>
          <w:b/>
          <w:color w:val="000000"/>
          <w:kern w:val="0"/>
          <w:sz w:val="32"/>
          <w:szCs w:val="32"/>
        </w:rPr>
      </w:pPr>
    </w:p>
    <w:sectPr w:rsidR="006415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702" w:rsidRDefault="00366702" w:rsidP="00BB7EAD">
      <w:r>
        <w:separator/>
      </w:r>
    </w:p>
  </w:endnote>
  <w:endnote w:type="continuationSeparator" w:id="0">
    <w:p w:rsidR="00366702" w:rsidRDefault="00366702" w:rsidP="00BB7E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702" w:rsidRDefault="00366702" w:rsidP="00BB7EAD">
      <w:r>
        <w:separator/>
      </w:r>
    </w:p>
  </w:footnote>
  <w:footnote w:type="continuationSeparator" w:id="0">
    <w:p w:rsidR="00366702" w:rsidRDefault="00366702" w:rsidP="00BB7E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0ZWI5NjFhMTc0MGQxZDAwNDNlYzViNzYxNTliNjMifQ=="/>
  </w:docVars>
  <w:rsids>
    <w:rsidRoot w:val="0075765D"/>
    <w:rsid w:val="00017932"/>
    <w:rsid w:val="000431FF"/>
    <w:rsid w:val="00043861"/>
    <w:rsid w:val="00053B5C"/>
    <w:rsid w:val="000674EF"/>
    <w:rsid w:val="00080F94"/>
    <w:rsid w:val="0008320A"/>
    <w:rsid w:val="00084FC4"/>
    <w:rsid w:val="000E41DD"/>
    <w:rsid w:val="00103802"/>
    <w:rsid w:val="001413E7"/>
    <w:rsid w:val="00174EF8"/>
    <w:rsid w:val="00194985"/>
    <w:rsid w:val="00194AD8"/>
    <w:rsid w:val="001A4A34"/>
    <w:rsid w:val="001D630E"/>
    <w:rsid w:val="00207C31"/>
    <w:rsid w:val="0024327C"/>
    <w:rsid w:val="002529EA"/>
    <w:rsid w:val="00264E81"/>
    <w:rsid w:val="002B4B93"/>
    <w:rsid w:val="002E5F21"/>
    <w:rsid w:val="00340C98"/>
    <w:rsid w:val="0035056B"/>
    <w:rsid w:val="00350C7A"/>
    <w:rsid w:val="003569D5"/>
    <w:rsid w:val="00366702"/>
    <w:rsid w:val="003902DE"/>
    <w:rsid w:val="003B287A"/>
    <w:rsid w:val="003B4B25"/>
    <w:rsid w:val="003C61B8"/>
    <w:rsid w:val="003F147F"/>
    <w:rsid w:val="00412540"/>
    <w:rsid w:val="00441A55"/>
    <w:rsid w:val="0044261C"/>
    <w:rsid w:val="004554F0"/>
    <w:rsid w:val="00472B6C"/>
    <w:rsid w:val="004801A7"/>
    <w:rsid w:val="0048719F"/>
    <w:rsid w:val="004C3A63"/>
    <w:rsid w:val="004D3E85"/>
    <w:rsid w:val="005077B9"/>
    <w:rsid w:val="0051556C"/>
    <w:rsid w:val="00522194"/>
    <w:rsid w:val="00540BC5"/>
    <w:rsid w:val="00563545"/>
    <w:rsid w:val="00570347"/>
    <w:rsid w:val="00574F57"/>
    <w:rsid w:val="00596EF7"/>
    <w:rsid w:val="005A3A12"/>
    <w:rsid w:val="005A723C"/>
    <w:rsid w:val="005C49B5"/>
    <w:rsid w:val="005D1632"/>
    <w:rsid w:val="005F36A5"/>
    <w:rsid w:val="005F6FEA"/>
    <w:rsid w:val="00601178"/>
    <w:rsid w:val="00604A3C"/>
    <w:rsid w:val="00641505"/>
    <w:rsid w:val="00643A0D"/>
    <w:rsid w:val="0066590C"/>
    <w:rsid w:val="00695CF7"/>
    <w:rsid w:val="006C23CA"/>
    <w:rsid w:val="006C38B1"/>
    <w:rsid w:val="006C42C1"/>
    <w:rsid w:val="006D3967"/>
    <w:rsid w:val="006D73AD"/>
    <w:rsid w:val="007331AB"/>
    <w:rsid w:val="00740398"/>
    <w:rsid w:val="00753B24"/>
    <w:rsid w:val="0075765D"/>
    <w:rsid w:val="0076426D"/>
    <w:rsid w:val="007868B5"/>
    <w:rsid w:val="00790B08"/>
    <w:rsid w:val="00791CA5"/>
    <w:rsid w:val="007D04A9"/>
    <w:rsid w:val="007D283A"/>
    <w:rsid w:val="00805811"/>
    <w:rsid w:val="008126B6"/>
    <w:rsid w:val="0082069D"/>
    <w:rsid w:val="008216D2"/>
    <w:rsid w:val="00840765"/>
    <w:rsid w:val="008754A8"/>
    <w:rsid w:val="008755F3"/>
    <w:rsid w:val="00970F42"/>
    <w:rsid w:val="009C045B"/>
    <w:rsid w:val="009C2604"/>
    <w:rsid w:val="009C6030"/>
    <w:rsid w:val="009D02A6"/>
    <w:rsid w:val="009E737E"/>
    <w:rsid w:val="00A26657"/>
    <w:rsid w:val="00A267CD"/>
    <w:rsid w:val="00A311B5"/>
    <w:rsid w:val="00A4494D"/>
    <w:rsid w:val="00A451CC"/>
    <w:rsid w:val="00A97EBB"/>
    <w:rsid w:val="00AF2E8D"/>
    <w:rsid w:val="00B05DC4"/>
    <w:rsid w:val="00B15900"/>
    <w:rsid w:val="00B5349B"/>
    <w:rsid w:val="00B568EA"/>
    <w:rsid w:val="00B655DB"/>
    <w:rsid w:val="00B666B0"/>
    <w:rsid w:val="00B74EDE"/>
    <w:rsid w:val="00BA48FD"/>
    <w:rsid w:val="00BB7EAD"/>
    <w:rsid w:val="00C31F3A"/>
    <w:rsid w:val="00C51F9F"/>
    <w:rsid w:val="00C61948"/>
    <w:rsid w:val="00C64A7B"/>
    <w:rsid w:val="00CA0740"/>
    <w:rsid w:val="00CB41FA"/>
    <w:rsid w:val="00CD47E4"/>
    <w:rsid w:val="00CE54C8"/>
    <w:rsid w:val="00D14773"/>
    <w:rsid w:val="00D4017B"/>
    <w:rsid w:val="00D57B55"/>
    <w:rsid w:val="00DB2611"/>
    <w:rsid w:val="00DC399F"/>
    <w:rsid w:val="00DD19A9"/>
    <w:rsid w:val="00DD5284"/>
    <w:rsid w:val="00DE123C"/>
    <w:rsid w:val="00E14440"/>
    <w:rsid w:val="00E51A8D"/>
    <w:rsid w:val="00E61CD7"/>
    <w:rsid w:val="00E72810"/>
    <w:rsid w:val="00E91EB4"/>
    <w:rsid w:val="00E94687"/>
    <w:rsid w:val="00E94D2F"/>
    <w:rsid w:val="00EA1F94"/>
    <w:rsid w:val="00EA2745"/>
    <w:rsid w:val="00EA6A0F"/>
    <w:rsid w:val="00EC5E02"/>
    <w:rsid w:val="00EE74DF"/>
    <w:rsid w:val="00F00423"/>
    <w:rsid w:val="00F112A5"/>
    <w:rsid w:val="00F534D5"/>
    <w:rsid w:val="00F7257A"/>
    <w:rsid w:val="00F96DE5"/>
    <w:rsid w:val="00FA6CFA"/>
    <w:rsid w:val="00FD3A28"/>
    <w:rsid w:val="00FF79EA"/>
    <w:rsid w:val="07A82750"/>
    <w:rsid w:val="0B885487"/>
    <w:rsid w:val="0C3002A5"/>
    <w:rsid w:val="0D6C0594"/>
    <w:rsid w:val="34A37D74"/>
    <w:rsid w:val="44E4666D"/>
    <w:rsid w:val="66AB6A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DC0C97"/>
  <w15:docId w15:val="{B7FB735D-5BCF-4547-9C0E-A42924C6C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Body Text"/>
    <w:basedOn w:val="a"/>
    <w:link w:val="a6"/>
    <w:unhideWhenUsed/>
    <w:pPr>
      <w:spacing w:after="120"/>
    </w:pPr>
  </w:style>
  <w:style w:type="paragraph" w:styleId="a7">
    <w:name w:val="Body Text Indent"/>
    <w:basedOn w:val="a"/>
    <w:link w:val="a8"/>
    <w:autoRedefine/>
    <w:qFormat/>
    <w:pPr>
      <w:ind w:firstLineChars="225" w:firstLine="540"/>
    </w:pPr>
    <w:rPr>
      <w:rFonts w:ascii="黑体" w:hAnsi="宋体"/>
      <w:sz w:val="24"/>
    </w:rPr>
  </w:style>
  <w:style w:type="paragraph" w:styleId="a9">
    <w:name w:val="Plain Text"/>
    <w:basedOn w:val="a"/>
    <w:link w:val="aa"/>
    <w:autoRedefine/>
    <w:qFormat/>
    <w:rPr>
      <w:rFonts w:ascii="宋体" w:hAnsi="Courier New" w:hint="eastAsia"/>
      <w:szCs w:val="20"/>
    </w:rPr>
  </w:style>
  <w:style w:type="paragraph" w:styleId="ab">
    <w:name w:val="Balloon Text"/>
    <w:basedOn w:val="a"/>
    <w:link w:val="ac"/>
    <w:autoRedefine/>
    <w:uiPriority w:val="99"/>
    <w:semiHidden/>
    <w:unhideWhenUsed/>
    <w:qFormat/>
    <w:rPr>
      <w:sz w:val="18"/>
      <w:szCs w:val="18"/>
    </w:rPr>
  </w:style>
  <w:style w:type="paragraph" w:styleId="ad">
    <w:name w:val="footer"/>
    <w:basedOn w:val="a"/>
    <w:link w:val="ae"/>
    <w:autoRedefine/>
    <w:uiPriority w:val="99"/>
    <w:unhideWhenUsed/>
    <w:qFormat/>
    <w:pPr>
      <w:tabs>
        <w:tab w:val="center" w:pos="4153"/>
        <w:tab w:val="right" w:pos="8306"/>
      </w:tabs>
      <w:snapToGrid w:val="0"/>
      <w:jc w:val="left"/>
    </w:pPr>
    <w:rPr>
      <w:sz w:val="18"/>
      <w:szCs w:val="18"/>
    </w:rPr>
  </w:style>
  <w:style w:type="paragraph" w:styleId="af">
    <w:name w:val="header"/>
    <w:basedOn w:val="a"/>
    <w:link w:val="af0"/>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f1">
    <w:name w:val="annotation subject"/>
    <w:basedOn w:val="a3"/>
    <w:next w:val="a3"/>
    <w:link w:val="af2"/>
    <w:autoRedefine/>
    <w:uiPriority w:val="99"/>
    <w:semiHidden/>
    <w:unhideWhenUsed/>
    <w:qFormat/>
    <w:rPr>
      <w:b/>
      <w:bCs/>
    </w:rPr>
  </w:style>
  <w:style w:type="character" w:styleId="af3">
    <w:name w:val="annotation reference"/>
    <w:basedOn w:val="a0"/>
    <w:autoRedefine/>
    <w:uiPriority w:val="99"/>
    <w:semiHidden/>
    <w:unhideWhenUsed/>
    <w:qFormat/>
    <w:rPr>
      <w:sz w:val="21"/>
      <w:szCs w:val="21"/>
    </w:rPr>
  </w:style>
  <w:style w:type="character" w:customStyle="1" w:styleId="af0">
    <w:name w:val="页眉 字符"/>
    <w:basedOn w:val="a0"/>
    <w:link w:val="af"/>
    <w:autoRedefine/>
    <w:uiPriority w:val="99"/>
    <w:qFormat/>
    <w:rPr>
      <w:sz w:val="18"/>
      <w:szCs w:val="18"/>
    </w:rPr>
  </w:style>
  <w:style w:type="character" w:customStyle="1" w:styleId="ae">
    <w:name w:val="页脚 字符"/>
    <w:basedOn w:val="a0"/>
    <w:link w:val="ad"/>
    <w:autoRedefine/>
    <w:uiPriority w:val="99"/>
    <w:qFormat/>
    <w:rPr>
      <w:sz w:val="18"/>
      <w:szCs w:val="18"/>
    </w:rPr>
  </w:style>
  <w:style w:type="character" w:customStyle="1" w:styleId="a8">
    <w:name w:val="正文文本缩进 字符"/>
    <w:basedOn w:val="a0"/>
    <w:link w:val="a7"/>
    <w:autoRedefine/>
    <w:qFormat/>
    <w:rPr>
      <w:rFonts w:ascii="黑体" w:eastAsia="宋体" w:hAnsi="宋体" w:cs="Times New Roman"/>
      <w:sz w:val="24"/>
      <w:szCs w:val="24"/>
    </w:rPr>
  </w:style>
  <w:style w:type="character" w:customStyle="1" w:styleId="a6">
    <w:name w:val="正文文本 字符"/>
    <w:basedOn w:val="a0"/>
    <w:link w:val="a5"/>
    <w:autoRedefine/>
    <w:uiPriority w:val="99"/>
    <w:qFormat/>
    <w:rPr>
      <w:rFonts w:ascii="Times New Roman" w:eastAsia="宋体" w:hAnsi="Times New Roman" w:cs="Times New Roman"/>
      <w:szCs w:val="24"/>
    </w:rPr>
  </w:style>
  <w:style w:type="character" w:customStyle="1" w:styleId="aa">
    <w:name w:val="纯文本 字符"/>
    <w:basedOn w:val="a0"/>
    <w:link w:val="a9"/>
    <w:autoRedefine/>
    <w:qFormat/>
    <w:rPr>
      <w:rFonts w:ascii="宋体" w:eastAsia="宋体" w:hAnsi="Courier New" w:cs="Times New Roman"/>
      <w:szCs w:val="20"/>
    </w:rPr>
  </w:style>
  <w:style w:type="character" w:customStyle="1" w:styleId="ac">
    <w:name w:val="批注框文本 字符"/>
    <w:basedOn w:val="a0"/>
    <w:link w:val="ab"/>
    <w:autoRedefine/>
    <w:uiPriority w:val="99"/>
    <w:semiHidden/>
    <w:qFormat/>
    <w:rPr>
      <w:rFonts w:ascii="Times New Roman" w:eastAsia="宋体" w:hAnsi="Times New Roman" w:cs="Times New Roman"/>
      <w:sz w:val="18"/>
      <w:szCs w:val="18"/>
    </w:rPr>
  </w:style>
  <w:style w:type="character" w:customStyle="1" w:styleId="a4">
    <w:name w:val="批注文字 字符"/>
    <w:basedOn w:val="a0"/>
    <w:link w:val="a3"/>
    <w:autoRedefine/>
    <w:uiPriority w:val="99"/>
    <w:semiHidden/>
    <w:qFormat/>
    <w:rPr>
      <w:rFonts w:ascii="Times New Roman" w:eastAsia="宋体" w:hAnsi="Times New Roman" w:cs="Times New Roman"/>
      <w:szCs w:val="24"/>
    </w:rPr>
  </w:style>
  <w:style w:type="character" w:customStyle="1" w:styleId="af2">
    <w:name w:val="批注主题 字符"/>
    <w:basedOn w:val="a4"/>
    <w:link w:val="af1"/>
    <w:autoRedefine/>
    <w:uiPriority w:val="99"/>
    <w:semiHidden/>
    <w:qFormat/>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1015</TotalTime>
  <Pages>4</Pages>
  <Words>356</Words>
  <Characters>2033</Characters>
  <Application>Microsoft Office Word</Application>
  <DocSecurity>0</DocSecurity>
  <Lines>16</Lines>
  <Paragraphs>4</Paragraphs>
  <ScaleCrop>false</ScaleCrop>
  <Company>china</Company>
  <LinksUpToDate>false</LinksUpToDate>
  <CharactersWithSpaces>2385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蔡艳</cp:lastModifiedBy>
  <cp:revision>25</cp:revision>
  <dcterms:created xsi:type="dcterms:W3CDTF">2022-06-14T02:23:00Z</dcterms:created>
  <dcterms:modified xsi:type="dcterms:W3CDTF">2024-06-18T03:13:00Z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5EA549B8D4784CA6821359F617F3FCF7_13</vt:lpwstr>
  </property>
</Properties>
</file>