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2E811C" w14:textId="77777777" w:rsidR="009B56D6" w:rsidRDefault="009B56D6">
      <w:pPr>
        <w:spacing w:line="560" w:lineRule="exact"/>
        <w:rPr>
          <w:rFonts w:eastAsia="黑体"/>
          <w:sz w:val="28"/>
          <w:szCs w:val="28"/>
        </w:rPr>
      </w:pPr>
    </w:p>
    <w:p w14:paraId="241BE51E" w14:textId="77777777" w:rsidR="009B56D6" w:rsidRDefault="009B56D6">
      <w:pPr>
        <w:spacing w:line="560" w:lineRule="exact"/>
        <w:rPr>
          <w:rFonts w:eastAsia="黑体"/>
          <w:sz w:val="28"/>
          <w:szCs w:val="28"/>
        </w:rPr>
      </w:pPr>
    </w:p>
    <w:p w14:paraId="5D31707C" w14:textId="77777777" w:rsidR="009B56D6" w:rsidRDefault="009B56D6">
      <w:pPr>
        <w:spacing w:line="560" w:lineRule="exact"/>
        <w:rPr>
          <w:rFonts w:eastAsia="黑体"/>
          <w:sz w:val="28"/>
          <w:szCs w:val="28"/>
        </w:rPr>
      </w:pPr>
    </w:p>
    <w:p w14:paraId="4CB534EA" w14:textId="77777777" w:rsidR="009B56D6" w:rsidRDefault="009B56D6">
      <w:pPr>
        <w:spacing w:line="560" w:lineRule="exact"/>
        <w:rPr>
          <w:rFonts w:eastAsia="黑体"/>
          <w:sz w:val="28"/>
          <w:szCs w:val="28"/>
        </w:rPr>
      </w:pPr>
    </w:p>
    <w:p w14:paraId="5EBBD61D" w14:textId="77777777" w:rsidR="009B56D6" w:rsidRDefault="009B56D6">
      <w:pPr>
        <w:spacing w:line="560" w:lineRule="exact"/>
        <w:rPr>
          <w:rFonts w:eastAsia="黑体"/>
          <w:sz w:val="28"/>
          <w:szCs w:val="28"/>
        </w:rPr>
      </w:pPr>
    </w:p>
    <w:p w14:paraId="6711FFF5" w14:textId="77777777" w:rsidR="009B56D6" w:rsidRDefault="009B56D6">
      <w:pPr>
        <w:spacing w:line="560" w:lineRule="exact"/>
        <w:rPr>
          <w:rFonts w:eastAsia="黑体"/>
          <w:sz w:val="28"/>
          <w:szCs w:val="28"/>
        </w:rPr>
      </w:pPr>
    </w:p>
    <w:p w14:paraId="389549A6" w14:textId="77777777" w:rsidR="009B56D6" w:rsidRDefault="00000000">
      <w:pPr>
        <w:jc w:val="center"/>
        <w:rPr>
          <w:b/>
          <w:sz w:val="44"/>
          <w:szCs w:val="44"/>
        </w:rPr>
      </w:pPr>
      <w:r>
        <w:rPr>
          <w:b/>
          <w:sz w:val="44"/>
          <w:szCs w:val="44"/>
        </w:rPr>
        <w:t>JJFXXX-20</w:t>
      </w:r>
      <w:r>
        <w:rPr>
          <w:rFonts w:hint="eastAsia"/>
          <w:b/>
          <w:sz w:val="44"/>
          <w:szCs w:val="44"/>
        </w:rPr>
        <w:t>2</w:t>
      </w:r>
      <w:r>
        <w:rPr>
          <w:b/>
          <w:sz w:val="44"/>
          <w:szCs w:val="44"/>
        </w:rPr>
        <w:t>X</w:t>
      </w:r>
    </w:p>
    <w:p w14:paraId="52373182" w14:textId="77777777" w:rsidR="009B56D6" w:rsidRDefault="00000000">
      <w:pPr>
        <w:jc w:val="center"/>
        <w:rPr>
          <w:b/>
          <w:sz w:val="44"/>
          <w:szCs w:val="44"/>
        </w:rPr>
      </w:pPr>
      <w:r>
        <w:rPr>
          <w:rFonts w:hint="eastAsia"/>
          <w:b/>
          <w:sz w:val="44"/>
          <w:szCs w:val="44"/>
        </w:rPr>
        <w:t>《控制用液体流量开关校准规范》</w:t>
      </w:r>
    </w:p>
    <w:p w14:paraId="2A7317A7" w14:textId="77777777" w:rsidR="009B56D6" w:rsidRDefault="00000000">
      <w:pPr>
        <w:jc w:val="center"/>
        <w:rPr>
          <w:b/>
          <w:sz w:val="44"/>
          <w:szCs w:val="44"/>
        </w:rPr>
      </w:pPr>
      <w:r>
        <w:rPr>
          <w:b/>
          <w:sz w:val="44"/>
          <w:szCs w:val="44"/>
        </w:rPr>
        <w:t>国家计量技术规范</w:t>
      </w:r>
    </w:p>
    <w:p w14:paraId="1C5F29D4" w14:textId="77777777" w:rsidR="009B56D6" w:rsidRDefault="009B56D6">
      <w:pPr>
        <w:spacing w:line="560" w:lineRule="exact"/>
        <w:ind w:left="1399" w:hanging="280"/>
        <w:rPr>
          <w:rFonts w:ascii="黑体" w:eastAsia="黑体"/>
          <w:sz w:val="28"/>
          <w:szCs w:val="28"/>
        </w:rPr>
      </w:pPr>
    </w:p>
    <w:p w14:paraId="09D45A6C" w14:textId="77777777" w:rsidR="009B56D6" w:rsidRDefault="00000000">
      <w:pPr>
        <w:spacing w:line="560" w:lineRule="exact"/>
        <w:jc w:val="center"/>
        <w:rPr>
          <w:rFonts w:ascii="黑体" w:eastAsia="黑体"/>
          <w:sz w:val="44"/>
          <w:szCs w:val="44"/>
        </w:rPr>
      </w:pPr>
      <w:r>
        <w:rPr>
          <w:rFonts w:ascii="黑体" w:eastAsia="黑体" w:hint="eastAsia"/>
          <w:sz w:val="44"/>
          <w:szCs w:val="44"/>
        </w:rPr>
        <w:t>编写说明</w:t>
      </w:r>
    </w:p>
    <w:p w14:paraId="329DA1C0" w14:textId="77777777" w:rsidR="009B56D6" w:rsidRDefault="009B56D6">
      <w:pPr>
        <w:spacing w:line="560" w:lineRule="exact"/>
        <w:jc w:val="center"/>
        <w:rPr>
          <w:rFonts w:ascii="黑体" w:eastAsia="黑体"/>
          <w:sz w:val="44"/>
          <w:szCs w:val="44"/>
        </w:rPr>
      </w:pPr>
    </w:p>
    <w:p w14:paraId="64530549" w14:textId="77777777" w:rsidR="009B56D6" w:rsidRDefault="009B56D6">
      <w:pPr>
        <w:spacing w:line="560" w:lineRule="exact"/>
        <w:ind w:left="1399" w:hanging="280"/>
        <w:rPr>
          <w:rFonts w:ascii="黑体" w:eastAsia="黑体"/>
          <w:sz w:val="28"/>
          <w:szCs w:val="28"/>
        </w:rPr>
      </w:pPr>
    </w:p>
    <w:p w14:paraId="5FFEA6BF" w14:textId="77777777" w:rsidR="009B56D6" w:rsidRDefault="009B56D6">
      <w:pPr>
        <w:spacing w:line="560" w:lineRule="exact"/>
        <w:ind w:left="1399" w:hanging="280"/>
        <w:rPr>
          <w:rFonts w:ascii="黑体" w:eastAsia="黑体"/>
          <w:sz w:val="28"/>
          <w:szCs w:val="28"/>
        </w:rPr>
      </w:pPr>
    </w:p>
    <w:p w14:paraId="474FD670" w14:textId="77777777" w:rsidR="009B56D6" w:rsidRDefault="009B56D6">
      <w:pPr>
        <w:spacing w:line="560" w:lineRule="exact"/>
        <w:ind w:left="1399" w:hanging="280"/>
        <w:rPr>
          <w:rFonts w:ascii="黑体" w:eastAsia="黑体"/>
          <w:sz w:val="28"/>
          <w:szCs w:val="28"/>
        </w:rPr>
      </w:pPr>
    </w:p>
    <w:p w14:paraId="5CE2537D" w14:textId="77777777" w:rsidR="009B56D6" w:rsidRDefault="009B56D6">
      <w:pPr>
        <w:spacing w:line="560" w:lineRule="exact"/>
        <w:ind w:left="1399" w:hanging="280"/>
        <w:rPr>
          <w:rFonts w:ascii="黑体" w:eastAsia="黑体"/>
          <w:sz w:val="28"/>
          <w:szCs w:val="28"/>
        </w:rPr>
      </w:pPr>
    </w:p>
    <w:p w14:paraId="71A9C337" w14:textId="77777777" w:rsidR="009B56D6" w:rsidRDefault="009B56D6">
      <w:pPr>
        <w:spacing w:line="560" w:lineRule="exact"/>
        <w:rPr>
          <w:rFonts w:ascii="黑体" w:eastAsia="黑体"/>
          <w:sz w:val="28"/>
          <w:szCs w:val="28"/>
        </w:rPr>
      </w:pPr>
    </w:p>
    <w:p w14:paraId="18B308E6" w14:textId="77777777" w:rsidR="009B56D6" w:rsidRDefault="009B56D6">
      <w:pPr>
        <w:spacing w:line="560" w:lineRule="exact"/>
        <w:ind w:firstLine="1120"/>
        <w:rPr>
          <w:rFonts w:eastAsia="黑体"/>
          <w:sz w:val="28"/>
          <w:szCs w:val="28"/>
        </w:rPr>
      </w:pPr>
    </w:p>
    <w:p w14:paraId="27691308" w14:textId="77777777" w:rsidR="009B56D6" w:rsidRDefault="009B56D6">
      <w:pPr>
        <w:spacing w:line="560" w:lineRule="exact"/>
        <w:ind w:firstLineChars="1250" w:firstLine="4000"/>
        <w:rPr>
          <w:rFonts w:eastAsia="黑体"/>
          <w:sz w:val="32"/>
          <w:szCs w:val="32"/>
        </w:rPr>
      </w:pPr>
    </w:p>
    <w:p w14:paraId="050BEB95" w14:textId="518E13E0" w:rsidR="009B56D6" w:rsidRDefault="00000000">
      <w:pPr>
        <w:spacing w:line="560" w:lineRule="exact"/>
        <w:jc w:val="center"/>
        <w:rPr>
          <w:rFonts w:eastAsia="黑体"/>
          <w:b/>
          <w:sz w:val="32"/>
          <w:szCs w:val="32"/>
        </w:rPr>
      </w:pPr>
      <w:r>
        <w:rPr>
          <w:rFonts w:hint="eastAsia"/>
          <w:b/>
          <w:sz w:val="32"/>
          <w:szCs w:val="32"/>
        </w:rPr>
        <w:t>校准规范</w:t>
      </w:r>
      <w:r>
        <w:rPr>
          <w:rFonts w:ascii="宋体" w:hAnsi="宋体" w:hint="eastAsia"/>
          <w:b/>
          <w:sz w:val="32"/>
          <w:szCs w:val="32"/>
        </w:rPr>
        <w:t>起草小组</w:t>
      </w:r>
    </w:p>
    <w:p w14:paraId="35596628" w14:textId="77777777" w:rsidR="009B56D6" w:rsidRDefault="00000000">
      <w:pPr>
        <w:spacing w:line="560" w:lineRule="exact"/>
        <w:jc w:val="center"/>
        <w:rPr>
          <w:rFonts w:ascii="宋体" w:hAnsi="宋体" w:hint="eastAsia"/>
          <w:b/>
          <w:sz w:val="32"/>
          <w:szCs w:val="32"/>
        </w:rPr>
      </w:pPr>
      <w:r>
        <w:rPr>
          <w:rFonts w:ascii="宋体" w:hAnsi="宋体"/>
          <w:b/>
          <w:sz w:val="32"/>
          <w:szCs w:val="32"/>
        </w:rPr>
        <w:t>202</w:t>
      </w:r>
      <w:r>
        <w:rPr>
          <w:rFonts w:ascii="宋体" w:hAnsi="宋体" w:hint="eastAsia"/>
          <w:b/>
          <w:sz w:val="32"/>
          <w:szCs w:val="32"/>
        </w:rPr>
        <w:t>4</w:t>
      </w:r>
      <w:r>
        <w:rPr>
          <w:rFonts w:ascii="宋体" w:hAnsi="宋体"/>
          <w:b/>
          <w:sz w:val="32"/>
          <w:szCs w:val="32"/>
        </w:rPr>
        <w:t>年</w:t>
      </w:r>
      <w:r>
        <w:rPr>
          <w:rFonts w:ascii="宋体" w:hAnsi="宋体" w:hint="eastAsia"/>
          <w:b/>
          <w:sz w:val="32"/>
          <w:szCs w:val="32"/>
        </w:rPr>
        <w:t>10</w:t>
      </w:r>
      <w:r>
        <w:rPr>
          <w:rFonts w:ascii="宋体" w:hAnsi="宋体"/>
          <w:b/>
          <w:sz w:val="32"/>
          <w:szCs w:val="32"/>
        </w:rPr>
        <w:t>月</w:t>
      </w:r>
    </w:p>
    <w:p w14:paraId="41B0DAC2" w14:textId="77777777" w:rsidR="009B56D6" w:rsidRDefault="009B56D6">
      <w:pPr>
        <w:spacing w:line="560" w:lineRule="exact"/>
        <w:rPr>
          <w:rFonts w:ascii="宋体" w:hAnsi="宋体" w:hint="eastAsia"/>
          <w:sz w:val="28"/>
          <w:szCs w:val="28"/>
        </w:rPr>
        <w:sectPr w:rsidR="009B56D6">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361" w:left="1440" w:header="851" w:footer="992" w:gutter="0"/>
          <w:pgNumType w:start="1" w:chapStyle="1"/>
          <w:cols w:space="425"/>
          <w:titlePg/>
          <w:docGrid w:type="lines" w:linePitch="468"/>
        </w:sectPr>
      </w:pPr>
    </w:p>
    <w:p w14:paraId="38C5103B" w14:textId="77777777" w:rsidR="009B56D6" w:rsidRDefault="009B56D6">
      <w:pPr>
        <w:jc w:val="center"/>
        <w:rPr>
          <w:rFonts w:ascii="宋体" w:hAnsi="宋体" w:hint="eastAsia"/>
          <w:b/>
          <w:sz w:val="28"/>
          <w:szCs w:val="28"/>
        </w:rPr>
      </w:pPr>
    </w:p>
    <w:p w14:paraId="7B0C7368" w14:textId="77777777" w:rsidR="009B56D6" w:rsidRDefault="00000000">
      <w:pPr>
        <w:jc w:val="center"/>
        <w:rPr>
          <w:rFonts w:ascii="宋体" w:hAnsi="宋体" w:hint="eastAsia"/>
          <w:b/>
          <w:sz w:val="28"/>
          <w:szCs w:val="28"/>
        </w:rPr>
      </w:pPr>
      <w:r>
        <w:rPr>
          <w:rFonts w:ascii="宋体" w:hAnsi="宋体" w:hint="eastAsia"/>
          <w:b/>
          <w:sz w:val="28"/>
          <w:szCs w:val="28"/>
        </w:rPr>
        <w:t>控制用液体流量开关校准规范起草编写说明</w:t>
      </w:r>
    </w:p>
    <w:p w14:paraId="27B46407" w14:textId="77777777" w:rsidR="009B56D6" w:rsidRDefault="009B56D6">
      <w:pPr>
        <w:jc w:val="center"/>
        <w:rPr>
          <w:rFonts w:ascii="宋体" w:hAnsi="宋体" w:hint="eastAsia"/>
          <w:b/>
          <w:sz w:val="24"/>
        </w:rPr>
      </w:pPr>
    </w:p>
    <w:p w14:paraId="4E6E3523" w14:textId="77777777" w:rsidR="009B56D6" w:rsidRDefault="00000000">
      <w:pPr>
        <w:numPr>
          <w:ilvl w:val="0"/>
          <w:numId w:val="1"/>
        </w:numPr>
        <w:rPr>
          <w:b/>
          <w:sz w:val="24"/>
        </w:rPr>
      </w:pPr>
      <w:r>
        <w:rPr>
          <w:rFonts w:hint="eastAsia"/>
          <w:b/>
          <w:sz w:val="24"/>
        </w:rPr>
        <w:t>任务来源</w:t>
      </w:r>
    </w:p>
    <w:p w14:paraId="74F95C53" w14:textId="7B647740" w:rsidR="009B56D6" w:rsidRDefault="00000000">
      <w:pPr>
        <w:ind w:firstLineChars="200" w:firstLine="480"/>
        <w:rPr>
          <w:rFonts w:ascii="宋体" w:hAnsi="宋体" w:hint="eastAsia"/>
          <w:sz w:val="24"/>
        </w:rPr>
      </w:pPr>
      <w:r>
        <w:rPr>
          <w:rFonts w:ascii="宋体" w:hAnsi="宋体" w:hint="eastAsia"/>
          <w:sz w:val="24"/>
        </w:rPr>
        <w:t>2022年5月主起草单位广东省计量科学研究院向全国流量计量技术委员会液体流量分技术委员会秘书处申请立项《挡片式液体流量控制器校准规范》。申报答辩后，根据秘书处预评审意见，确定项目名称为《控制用液体流量开关校准规范》，并于2023年2月，申报答辩。</w:t>
      </w:r>
    </w:p>
    <w:p w14:paraId="1D57C97A" w14:textId="77777777" w:rsidR="009B56D6" w:rsidRDefault="00000000">
      <w:pPr>
        <w:ind w:firstLineChars="200" w:firstLine="480"/>
        <w:rPr>
          <w:rFonts w:ascii="宋体" w:hAnsi="宋体" w:hint="eastAsia"/>
          <w:sz w:val="24"/>
        </w:rPr>
      </w:pPr>
      <w:r>
        <w:rPr>
          <w:rFonts w:ascii="宋体" w:hAnsi="宋体" w:hint="eastAsia"/>
          <w:sz w:val="24"/>
        </w:rPr>
        <w:t>2023年6月，国家市场监督管理总局</w:t>
      </w:r>
      <w:proofErr w:type="gramStart"/>
      <w:r>
        <w:rPr>
          <w:rFonts w:ascii="宋体" w:hAnsi="宋体" w:hint="eastAsia"/>
          <w:sz w:val="24"/>
        </w:rPr>
        <w:t>办公厅市监计量</w:t>
      </w:r>
      <w:proofErr w:type="gramEnd"/>
      <w:r>
        <w:rPr>
          <w:rFonts w:ascii="宋体" w:hAnsi="宋体" w:hint="eastAsia"/>
          <w:sz w:val="24"/>
        </w:rPr>
        <w:t>发（2023）56号“2023年国家计量技术规范项目制定、修订及宣贯计划的通知”，《控制用液体流量开关校准规范》制定任务下达到全国流量计量技术委员会液体流量分技术委员会。</w:t>
      </w:r>
    </w:p>
    <w:p w14:paraId="4BD90165" w14:textId="77777777" w:rsidR="009B56D6" w:rsidRDefault="00000000">
      <w:pPr>
        <w:ind w:firstLineChars="200" w:firstLine="480"/>
        <w:rPr>
          <w:rFonts w:ascii="宋体" w:hAnsi="宋体" w:hint="eastAsia"/>
          <w:sz w:val="24"/>
        </w:rPr>
      </w:pPr>
      <w:r>
        <w:rPr>
          <w:rFonts w:ascii="宋体" w:hAnsi="宋体" w:hint="eastAsia"/>
          <w:sz w:val="24"/>
        </w:rPr>
        <w:t>同时，全国流量计量技术委员会</w:t>
      </w:r>
      <w:r>
        <w:rPr>
          <w:rFonts w:cs="宋体" w:hint="eastAsia"/>
          <w:bCs/>
          <w:sz w:val="24"/>
        </w:rPr>
        <w:t>液体流量分技术委员会</w:t>
      </w:r>
      <w:r>
        <w:rPr>
          <w:rFonts w:ascii="宋体" w:hAnsi="宋体" w:hint="eastAsia"/>
          <w:sz w:val="24"/>
        </w:rPr>
        <w:t>秘书处对主要起草单位下达了起草任务书和起草要求。广东省计量科学研究院作为主要起草单位接受了《控制用液体流量开关校准规范》技术规范的制定任务，双方签订了规范制（修）</w:t>
      </w:r>
      <w:proofErr w:type="gramStart"/>
      <w:r>
        <w:rPr>
          <w:rFonts w:ascii="宋体" w:hAnsi="宋体" w:hint="eastAsia"/>
          <w:sz w:val="24"/>
        </w:rPr>
        <w:t>订项目</w:t>
      </w:r>
      <w:proofErr w:type="gramEnd"/>
      <w:r>
        <w:rPr>
          <w:rFonts w:ascii="宋体" w:hAnsi="宋体" w:hint="eastAsia"/>
          <w:sz w:val="24"/>
        </w:rPr>
        <w:t>合同，任务归口全国流量计量技术委员会液体流量分技术委员会管理。</w:t>
      </w:r>
    </w:p>
    <w:p w14:paraId="5F1762BF" w14:textId="77777777" w:rsidR="009B56D6" w:rsidRDefault="009B56D6">
      <w:pPr>
        <w:ind w:firstLineChars="200" w:firstLine="480"/>
        <w:rPr>
          <w:rFonts w:ascii="宋体" w:hAnsi="宋体" w:hint="eastAsia"/>
          <w:sz w:val="24"/>
        </w:rPr>
      </w:pPr>
    </w:p>
    <w:p w14:paraId="1F34182C" w14:textId="77777777" w:rsidR="009B56D6" w:rsidRDefault="00000000">
      <w:pPr>
        <w:numPr>
          <w:ilvl w:val="0"/>
          <w:numId w:val="1"/>
        </w:numPr>
        <w:rPr>
          <w:b/>
          <w:sz w:val="24"/>
        </w:rPr>
      </w:pPr>
      <w:r>
        <w:rPr>
          <w:b/>
          <w:sz w:val="24"/>
        </w:rPr>
        <w:t>立项必要性</w:t>
      </w:r>
    </w:p>
    <w:p w14:paraId="2C902135" w14:textId="77777777" w:rsidR="009B56D6" w:rsidRDefault="00000000">
      <w:pPr>
        <w:pStyle w:val="ad"/>
        <w:ind w:firstLine="480"/>
        <w:rPr>
          <w:rFonts w:ascii="宋体" w:hAnsi="宋体" w:hint="eastAsia"/>
          <w:sz w:val="24"/>
        </w:rPr>
      </w:pPr>
      <w:bookmarkStart w:id="0" w:name="OLE_LINK17"/>
      <w:bookmarkStart w:id="1" w:name="OLE_LINK18"/>
      <w:r>
        <w:rPr>
          <w:rFonts w:ascii="宋体" w:hAnsi="宋体" w:hint="eastAsia"/>
          <w:sz w:val="24"/>
        </w:rPr>
        <w:t>控制用液体流量开关的主要作用是对管道内的液体流动情况进行实时监控，并且提供开关量输出，进而控制流量系统。目前在石油、电力、钢厂、造纸、水处理等领域有广泛的作用。流量开关多用于核电机组冷却、太阳能热水器、电热水器等各种水系统中，起到水循环控制、进出</w:t>
      </w:r>
      <w:proofErr w:type="gramStart"/>
      <w:r>
        <w:rPr>
          <w:rFonts w:ascii="宋体" w:hAnsi="宋体" w:hint="eastAsia"/>
          <w:sz w:val="24"/>
        </w:rPr>
        <w:t>水控制</w:t>
      </w:r>
      <w:proofErr w:type="gramEnd"/>
      <w:r>
        <w:rPr>
          <w:rFonts w:ascii="宋体" w:hAnsi="宋体" w:hint="eastAsia"/>
          <w:sz w:val="24"/>
        </w:rPr>
        <w:t>以及水泵开关控制等作用，以减少或避免主机“干烧”，甚至引发事故。</w:t>
      </w:r>
    </w:p>
    <w:p w14:paraId="3056C433" w14:textId="77777777" w:rsidR="009B56D6" w:rsidRDefault="00000000">
      <w:pPr>
        <w:pStyle w:val="ad"/>
        <w:ind w:firstLine="480"/>
        <w:rPr>
          <w:rFonts w:ascii="宋体" w:hAnsi="宋体" w:hint="eastAsia"/>
          <w:sz w:val="24"/>
        </w:rPr>
      </w:pPr>
      <w:r>
        <w:rPr>
          <w:rFonts w:ascii="宋体" w:hAnsi="宋体" w:hint="eastAsia"/>
          <w:sz w:val="24"/>
        </w:rPr>
        <w:t>控制用液体流量开关大致分为两种，一种为早期的机械式的控制用液体流量开关，也称挡板式控制用液体流量开关，它的原理是通过水的流动，推动挡板偏转，然后触动微动开关动作。这种机械式的控制用液体流量开关优点是，使用方便，价格便宜，因此被广泛应用。一种是</w:t>
      </w:r>
      <w:hyperlink r:id="rId14" w:tgtFrame="_blank" w:history="1">
        <w:r>
          <w:rPr>
            <w:rFonts w:ascii="宋体" w:hAnsi="宋体" w:hint="eastAsia"/>
            <w:sz w:val="24"/>
          </w:rPr>
          <w:t>电子式控制用液体流量开关</w:t>
        </w:r>
      </w:hyperlink>
      <w:r>
        <w:rPr>
          <w:rFonts w:ascii="宋体" w:hAnsi="宋体" w:hint="eastAsia"/>
          <w:sz w:val="24"/>
        </w:rPr>
        <w:t>，此类控制用液体流量开关依据相应的流量计原理，在预设的流量点位置触发输出报警信号。</w:t>
      </w:r>
    </w:p>
    <w:p w14:paraId="0BB1991E" w14:textId="77777777" w:rsidR="009B56D6" w:rsidRDefault="00000000">
      <w:pPr>
        <w:pStyle w:val="ad"/>
        <w:ind w:firstLine="480"/>
        <w:rPr>
          <w:rFonts w:ascii="宋体" w:hAnsi="宋体" w:hint="eastAsia"/>
          <w:sz w:val="24"/>
        </w:rPr>
      </w:pPr>
      <w:r>
        <w:rPr>
          <w:rFonts w:ascii="宋体" w:hAnsi="宋体" w:hint="eastAsia"/>
          <w:sz w:val="24"/>
        </w:rPr>
        <w:t>针对控制用液体流量开关，国家还没有相应规范进行量值传递和溯源。日常的校准工作主要依据JJG461-2010《靶式流量计检定规程》和GB/T 14048.21-2013《低压开关</w:t>
      </w:r>
      <w:r>
        <w:rPr>
          <w:rFonts w:ascii="宋体" w:hAnsi="宋体" w:hint="eastAsia"/>
          <w:sz w:val="24"/>
        </w:rPr>
        <w:lastRenderedPageBreak/>
        <w:t>设备和控制设备第5-9部分：控制电路电器和开关元件流量开关》等相关内容。现阶段这些文件在针对性、适用性以及覆盖范围上都存在着不足。</w:t>
      </w:r>
    </w:p>
    <w:p w14:paraId="374BDD67" w14:textId="77777777" w:rsidR="009B56D6" w:rsidRDefault="00000000">
      <w:pPr>
        <w:pStyle w:val="ad"/>
        <w:ind w:firstLine="480"/>
        <w:rPr>
          <w:rFonts w:ascii="宋体" w:hAnsi="宋体" w:hint="eastAsia"/>
          <w:sz w:val="24"/>
        </w:rPr>
      </w:pPr>
      <w:r>
        <w:rPr>
          <w:rFonts w:ascii="宋体" w:hAnsi="宋体" w:hint="eastAsia"/>
          <w:sz w:val="24"/>
        </w:rPr>
        <w:t>为了更好地对控制用液体流量开关进行量值传递，急需制定相关规范，以保证量值校准过程有据可依，量值传递的准确可靠。因此建立专门针对控制用液体流量开关的校准规范，统一流量控制器的校准方法，判断其计量特性，对于流量开关的发展和使用具有重要意义。</w:t>
      </w:r>
      <w:bookmarkEnd w:id="0"/>
      <w:bookmarkEnd w:id="1"/>
    </w:p>
    <w:p w14:paraId="74799986" w14:textId="77777777" w:rsidR="009B56D6" w:rsidRDefault="009B56D6">
      <w:pPr>
        <w:pStyle w:val="ad"/>
        <w:ind w:firstLineChars="0" w:firstLine="0"/>
        <w:rPr>
          <w:rFonts w:ascii="宋体" w:hAnsi="宋体" w:hint="eastAsia"/>
          <w:sz w:val="24"/>
        </w:rPr>
      </w:pPr>
    </w:p>
    <w:p w14:paraId="7803931A" w14:textId="77777777" w:rsidR="009B56D6" w:rsidRDefault="00000000">
      <w:pPr>
        <w:numPr>
          <w:ilvl w:val="0"/>
          <w:numId w:val="1"/>
        </w:numPr>
        <w:rPr>
          <w:b/>
          <w:sz w:val="24"/>
        </w:rPr>
      </w:pPr>
      <w:r>
        <w:rPr>
          <w:rFonts w:hint="eastAsia"/>
          <w:b/>
          <w:sz w:val="24"/>
        </w:rPr>
        <w:t>编制依据和原则</w:t>
      </w:r>
    </w:p>
    <w:p w14:paraId="3C2F3C2A" w14:textId="77777777" w:rsidR="009B56D6" w:rsidRDefault="00000000">
      <w:pPr>
        <w:numPr>
          <w:ilvl w:val="0"/>
          <w:numId w:val="2"/>
        </w:numPr>
        <w:tabs>
          <w:tab w:val="clear" w:pos="720"/>
          <w:tab w:val="left" w:pos="426"/>
        </w:tabs>
        <w:ind w:hanging="720"/>
        <w:rPr>
          <w:sz w:val="24"/>
        </w:rPr>
      </w:pPr>
      <w:r>
        <w:rPr>
          <w:rFonts w:hint="eastAsia"/>
          <w:sz w:val="24"/>
        </w:rPr>
        <w:t>编制依据</w:t>
      </w:r>
    </w:p>
    <w:p w14:paraId="7B23EA80" w14:textId="77777777" w:rsidR="009B56D6" w:rsidRDefault="00000000">
      <w:pPr>
        <w:ind w:firstLineChars="200" w:firstLine="480"/>
        <w:rPr>
          <w:sz w:val="24"/>
        </w:rPr>
      </w:pPr>
      <w:r>
        <w:rPr>
          <w:sz w:val="24"/>
        </w:rPr>
        <w:t>JJF 1001</w:t>
      </w:r>
      <w:r>
        <w:rPr>
          <w:rFonts w:hint="eastAsia"/>
          <w:sz w:val="24"/>
        </w:rPr>
        <w:t>-2011</w:t>
      </w:r>
      <w:r>
        <w:rPr>
          <w:sz w:val="24"/>
        </w:rPr>
        <w:t xml:space="preserve"> </w:t>
      </w:r>
      <w:r>
        <w:rPr>
          <w:rFonts w:hint="eastAsia"/>
          <w:sz w:val="24"/>
        </w:rPr>
        <w:t>《通用计量术语及定义》</w:t>
      </w:r>
    </w:p>
    <w:p w14:paraId="2BE82923" w14:textId="77777777" w:rsidR="009B56D6" w:rsidRDefault="00000000">
      <w:pPr>
        <w:ind w:firstLineChars="200" w:firstLine="480"/>
        <w:rPr>
          <w:sz w:val="24"/>
        </w:rPr>
      </w:pPr>
      <w:r>
        <w:rPr>
          <w:rFonts w:hint="eastAsia"/>
          <w:sz w:val="24"/>
        </w:rPr>
        <w:t>JJF 1094-2002</w:t>
      </w:r>
      <w:r>
        <w:rPr>
          <w:rFonts w:hint="eastAsia"/>
          <w:sz w:val="24"/>
        </w:rPr>
        <w:t>《测量仪器特性评定》</w:t>
      </w:r>
    </w:p>
    <w:p w14:paraId="047EE847" w14:textId="77777777" w:rsidR="009B56D6" w:rsidRDefault="00000000">
      <w:pPr>
        <w:ind w:firstLineChars="200" w:firstLine="480"/>
        <w:rPr>
          <w:sz w:val="24"/>
        </w:rPr>
      </w:pPr>
      <w:r>
        <w:rPr>
          <w:sz w:val="24"/>
        </w:rPr>
        <w:t>JJF 1004</w:t>
      </w:r>
      <w:r>
        <w:rPr>
          <w:rFonts w:hint="eastAsia"/>
          <w:sz w:val="24"/>
        </w:rPr>
        <w:t>-2004</w:t>
      </w:r>
      <w:r>
        <w:rPr>
          <w:sz w:val="24"/>
        </w:rPr>
        <w:t xml:space="preserve"> </w:t>
      </w:r>
      <w:r>
        <w:rPr>
          <w:rFonts w:hint="eastAsia"/>
          <w:sz w:val="24"/>
        </w:rPr>
        <w:t>《流量计量名词术语及定义》</w:t>
      </w:r>
    </w:p>
    <w:p w14:paraId="13A1A6FD" w14:textId="77777777" w:rsidR="009B56D6" w:rsidRDefault="00000000">
      <w:pPr>
        <w:ind w:firstLineChars="200" w:firstLine="480"/>
        <w:rPr>
          <w:sz w:val="24"/>
        </w:rPr>
      </w:pPr>
      <w:r>
        <w:rPr>
          <w:sz w:val="24"/>
        </w:rPr>
        <w:t xml:space="preserve">JJF 1071-2010 </w:t>
      </w:r>
      <w:r>
        <w:rPr>
          <w:rFonts w:hint="eastAsia"/>
          <w:sz w:val="24"/>
        </w:rPr>
        <w:t>《国家计量校准规范编写规则》</w:t>
      </w:r>
    </w:p>
    <w:p w14:paraId="3B8FFE6B" w14:textId="77777777" w:rsidR="009B56D6" w:rsidRDefault="00000000">
      <w:pPr>
        <w:pStyle w:val="22"/>
        <w:spacing w:after="0" w:line="240" w:lineRule="auto"/>
        <w:rPr>
          <w:rFonts w:cs="Times New Roman"/>
        </w:rPr>
      </w:pPr>
      <w:r>
        <w:rPr>
          <w:rFonts w:cs="Times New Roman" w:hint="eastAsia"/>
        </w:rPr>
        <w:t>JJG461-2010</w:t>
      </w:r>
      <w:r>
        <w:rPr>
          <w:rFonts w:cs="Times New Roman" w:hint="eastAsia"/>
        </w:rPr>
        <w:t>《靶式流量计检定规程》</w:t>
      </w:r>
    </w:p>
    <w:p w14:paraId="1E2025CA" w14:textId="77777777" w:rsidR="009B56D6" w:rsidRDefault="00000000">
      <w:pPr>
        <w:pStyle w:val="22"/>
        <w:spacing w:after="0" w:line="240" w:lineRule="auto"/>
        <w:rPr>
          <w:rFonts w:hAnsi="宋体" w:cs="Times New Roman" w:hint="eastAsia"/>
        </w:rPr>
      </w:pPr>
      <w:r>
        <w:rPr>
          <w:rFonts w:cs="Times New Roman" w:hint="eastAsia"/>
        </w:rPr>
        <w:t>GB/T 14048.21-2013</w:t>
      </w:r>
      <w:r>
        <w:rPr>
          <w:rFonts w:cs="Times New Roman" w:hint="eastAsia"/>
        </w:rPr>
        <w:t>《</w:t>
      </w:r>
      <w:r>
        <w:rPr>
          <w:rFonts w:ascii="宋体" w:hAnsi="宋体" w:hint="eastAsia"/>
        </w:rPr>
        <w:t>低压开关设备和控制设备第5-9部分：控制电路电器和开关元件流量开关》</w:t>
      </w:r>
    </w:p>
    <w:p w14:paraId="525684D5" w14:textId="77777777" w:rsidR="009B56D6" w:rsidRDefault="00000000">
      <w:pPr>
        <w:numPr>
          <w:ilvl w:val="0"/>
          <w:numId w:val="2"/>
        </w:numPr>
        <w:tabs>
          <w:tab w:val="clear" w:pos="720"/>
          <w:tab w:val="left" w:pos="426"/>
        </w:tabs>
        <w:ind w:hanging="720"/>
        <w:rPr>
          <w:sz w:val="24"/>
        </w:rPr>
      </w:pPr>
      <w:r>
        <w:rPr>
          <w:rFonts w:hint="eastAsia"/>
          <w:sz w:val="24"/>
        </w:rPr>
        <w:t>编写原则</w:t>
      </w:r>
    </w:p>
    <w:p w14:paraId="5C32C009" w14:textId="77777777" w:rsidR="009B56D6" w:rsidRDefault="00000000">
      <w:pPr>
        <w:ind w:firstLineChars="200" w:firstLine="480"/>
        <w:rPr>
          <w:sz w:val="24"/>
        </w:rPr>
      </w:pPr>
      <w:r>
        <w:rPr>
          <w:rFonts w:hint="eastAsia"/>
          <w:bCs/>
          <w:sz w:val="24"/>
        </w:rPr>
        <w:t>坚持规范性原则：确保规范符合</w:t>
      </w:r>
      <w:r>
        <w:rPr>
          <w:sz w:val="24"/>
        </w:rPr>
        <w:t>JJF 1071-2010</w:t>
      </w:r>
      <w:r>
        <w:rPr>
          <w:rFonts w:hint="eastAsia"/>
          <w:sz w:val="24"/>
        </w:rPr>
        <w:t>《国家计量校准规范编写规则》，文中术语和定义遵循计量行业流量专业的规范，符合</w:t>
      </w:r>
      <w:r>
        <w:rPr>
          <w:rFonts w:hint="eastAsia"/>
          <w:sz w:val="24"/>
        </w:rPr>
        <w:t>JJF 1094-2002</w:t>
      </w:r>
      <w:r>
        <w:rPr>
          <w:rFonts w:hint="eastAsia"/>
          <w:sz w:val="24"/>
        </w:rPr>
        <w:t>《测量仪器特性评定》内容的原则。</w:t>
      </w:r>
    </w:p>
    <w:p w14:paraId="21FDFF40" w14:textId="77777777" w:rsidR="009B56D6" w:rsidRDefault="00000000">
      <w:pPr>
        <w:ind w:firstLineChars="200" w:firstLine="480"/>
        <w:rPr>
          <w:sz w:val="24"/>
        </w:rPr>
      </w:pPr>
      <w:r>
        <w:rPr>
          <w:rFonts w:hint="eastAsia"/>
          <w:sz w:val="24"/>
        </w:rPr>
        <w:t>坚持科学性原则：流量开关虽然应用广泛，但缺乏行业标准，产品类型多样，性能差异巨大。我们坚持在实验的基础上制定技术要求，力争做到符合客观情况，能够尽可能覆盖现有产品的技术指标，校准过程具备可操作性，又要严格要求溯源方法科学性，确保对流量开关性能给出合理的评价。</w:t>
      </w:r>
    </w:p>
    <w:p w14:paraId="2835F5E5" w14:textId="77777777" w:rsidR="009B56D6" w:rsidRDefault="00000000">
      <w:pPr>
        <w:ind w:firstLineChars="200" w:firstLine="480"/>
        <w:rPr>
          <w:sz w:val="24"/>
        </w:rPr>
      </w:pPr>
      <w:r>
        <w:rPr>
          <w:rFonts w:hint="eastAsia"/>
          <w:sz w:val="24"/>
        </w:rPr>
        <w:t>坚持易于普及的原则：我们在规范制定中，力求技术要求清晰明确，实际操作简单兼容，保证规范实施过程中，具备易操作方便推广的特征。</w:t>
      </w:r>
    </w:p>
    <w:p w14:paraId="39271C25" w14:textId="77777777" w:rsidR="009B56D6" w:rsidRDefault="009B56D6">
      <w:pPr>
        <w:ind w:firstLineChars="200" w:firstLine="480"/>
        <w:rPr>
          <w:sz w:val="24"/>
        </w:rPr>
      </w:pPr>
    </w:p>
    <w:p w14:paraId="2C6F9BFF" w14:textId="77777777" w:rsidR="009B56D6" w:rsidRDefault="00000000">
      <w:pPr>
        <w:numPr>
          <w:ilvl w:val="0"/>
          <w:numId w:val="1"/>
        </w:numPr>
        <w:rPr>
          <w:b/>
          <w:sz w:val="24"/>
        </w:rPr>
      </w:pPr>
      <w:r>
        <w:rPr>
          <w:rFonts w:hint="eastAsia"/>
          <w:b/>
          <w:sz w:val="24"/>
        </w:rPr>
        <w:t>编制过程和计划</w:t>
      </w:r>
    </w:p>
    <w:p w14:paraId="50C05655" w14:textId="77777777" w:rsidR="009B56D6" w:rsidRDefault="00000000">
      <w:pPr>
        <w:ind w:firstLineChars="200" w:firstLine="480"/>
        <w:rPr>
          <w:b/>
          <w:sz w:val="24"/>
        </w:rPr>
      </w:pPr>
      <w:r>
        <w:rPr>
          <w:rFonts w:ascii="黑体" w:eastAsia="黑体" w:hAnsi="黑体" w:hint="eastAsia"/>
          <w:sz w:val="24"/>
        </w:rPr>
        <w:t>第一阶段：起草工作和试验验证阶段</w:t>
      </w:r>
    </w:p>
    <w:p w14:paraId="7DBCECC4" w14:textId="77777777" w:rsidR="009B56D6" w:rsidRDefault="00000000">
      <w:pPr>
        <w:ind w:firstLine="482"/>
        <w:rPr>
          <w:rFonts w:ascii="宋体" w:hAnsi="宋体" w:hint="eastAsia"/>
          <w:sz w:val="24"/>
        </w:rPr>
      </w:pPr>
      <w:r>
        <w:rPr>
          <w:rFonts w:ascii="宋体" w:hAnsi="宋体" w:hint="eastAsia"/>
          <w:sz w:val="24"/>
        </w:rPr>
        <w:lastRenderedPageBreak/>
        <w:t>规范于2023年在专业委员会通过立项审核,同时由广东省计量科学研究院牵头成立了规范起草组。起草单位有广东省计量科学研究院、江苏省计量科学研究院、天津市计量科学研究院、迈拓仪表股份有限公司构成。2023年9月启动任务启动编制工作，并于2023年10月召开了首次起草组会议，就规范包含的内容、主要技术指标等问题进行了讨论，拟定了规范起草的主导思想和起草原则以及相对应条款的实验内容，确定了各起草人员的具体工作分工。</w:t>
      </w:r>
    </w:p>
    <w:p w14:paraId="53D41F00" w14:textId="77777777" w:rsidR="009B56D6" w:rsidRDefault="00000000">
      <w:pPr>
        <w:ind w:firstLineChars="200" w:firstLine="480"/>
        <w:rPr>
          <w:rFonts w:ascii="宋体" w:hAnsi="宋体" w:hint="eastAsia"/>
          <w:sz w:val="24"/>
        </w:rPr>
      </w:pPr>
      <w:r>
        <w:rPr>
          <w:rFonts w:ascii="宋体" w:hAnsi="宋体" w:hint="eastAsia"/>
          <w:sz w:val="24"/>
        </w:rPr>
        <w:t>2024年9月，起草组召开了线上讨论会，讨论规范内容，提出修改意见。10月起草组拟定了征求意见稿。</w:t>
      </w:r>
    </w:p>
    <w:p w14:paraId="0BB63053" w14:textId="77777777" w:rsidR="009B56D6" w:rsidRDefault="00000000">
      <w:pPr>
        <w:tabs>
          <w:tab w:val="left" w:pos="720"/>
        </w:tabs>
        <w:spacing w:line="360" w:lineRule="auto"/>
        <w:ind w:left="360"/>
        <w:rPr>
          <w:rFonts w:hAnsi="宋体" w:hint="eastAsia"/>
          <w:b/>
          <w:sz w:val="24"/>
        </w:rPr>
      </w:pPr>
      <w:r>
        <w:rPr>
          <w:rFonts w:hAnsi="宋体" w:hint="eastAsia"/>
          <w:b/>
          <w:sz w:val="24"/>
        </w:rPr>
        <w:t>第二阶段：征求意见阶段</w:t>
      </w:r>
    </w:p>
    <w:p w14:paraId="67689427" w14:textId="77777777" w:rsidR="009B56D6" w:rsidRDefault="00000000">
      <w:pPr>
        <w:ind w:firstLine="482"/>
        <w:rPr>
          <w:rFonts w:ascii="宋体" w:hAnsi="宋体" w:hint="eastAsia"/>
          <w:sz w:val="24"/>
        </w:rPr>
      </w:pPr>
      <w:r>
        <w:rPr>
          <w:rFonts w:ascii="宋体" w:hAnsi="宋体" w:hint="eastAsia"/>
          <w:sz w:val="24"/>
        </w:rPr>
        <w:t>2024年10月，编写小组向全国流量计量技术委员会液体流量分技术委员会秘书处提交了征求意见稿。</w:t>
      </w:r>
    </w:p>
    <w:p w14:paraId="32087842" w14:textId="77777777" w:rsidR="009B56D6" w:rsidRDefault="00000000">
      <w:pPr>
        <w:ind w:firstLineChars="200" w:firstLine="480"/>
        <w:rPr>
          <w:sz w:val="24"/>
        </w:rPr>
      </w:pPr>
      <w:r>
        <w:rPr>
          <w:sz w:val="24"/>
        </w:rPr>
        <w:t>2024</w:t>
      </w:r>
      <w:r>
        <w:rPr>
          <w:sz w:val="24"/>
        </w:rPr>
        <w:t>年</w:t>
      </w:r>
      <w:r>
        <w:rPr>
          <w:rFonts w:hint="eastAsia"/>
          <w:sz w:val="24"/>
        </w:rPr>
        <w:t>12</w:t>
      </w:r>
      <w:r>
        <w:rPr>
          <w:sz w:val="24"/>
        </w:rPr>
        <w:t>月，</w:t>
      </w:r>
      <w:r>
        <w:rPr>
          <w:rFonts w:hint="eastAsia"/>
          <w:sz w:val="24"/>
        </w:rPr>
        <w:t>汇总征集的意见，修改完成报审稿，向技术委员会委员和有关专家进行全国范围征求意见。</w:t>
      </w:r>
    </w:p>
    <w:p w14:paraId="09FA3886" w14:textId="77777777" w:rsidR="009B56D6" w:rsidRDefault="00000000">
      <w:pPr>
        <w:ind w:firstLineChars="200" w:firstLine="480"/>
        <w:rPr>
          <w:sz w:val="24"/>
        </w:rPr>
      </w:pPr>
      <w:r>
        <w:rPr>
          <w:rFonts w:hint="eastAsia"/>
          <w:sz w:val="24"/>
        </w:rPr>
        <w:t>经过对广泛征求意见汇总和小结，在综合了返回意见后，结合验证试验报告形成报审稿。</w:t>
      </w:r>
    </w:p>
    <w:p w14:paraId="5F57172A" w14:textId="77777777" w:rsidR="009B56D6" w:rsidRDefault="00000000">
      <w:pPr>
        <w:ind w:left="360"/>
        <w:rPr>
          <w:rFonts w:hAnsi="宋体" w:hint="eastAsia"/>
          <w:sz w:val="24"/>
        </w:rPr>
      </w:pPr>
      <w:r>
        <w:rPr>
          <w:rFonts w:hAnsi="宋体" w:hint="eastAsia"/>
          <w:b/>
          <w:sz w:val="24"/>
        </w:rPr>
        <w:t>第三阶段：</w:t>
      </w:r>
      <w:r>
        <w:rPr>
          <w:rFonts w:hAnsi="宋体"/>
          <w:b/>
          <w:sz w:val="24"/>
        </w:rPr>
        <w:t xml:space="preserve"> </w:t>
      </w:r>
      <w:r>
        <w:rPr>
          <w:rFonts w:hAnsi="宋体" w:hint="eastAsia"/>
          <w:b/>
          <w:sz w:val="24"/>
        </w:rPr>
        <w:t>审查报审报批阶段</w:t>
      </w:r>
      <w:r>
        <w:rPr>
          <w:rFonts w:hAnsi="宋体" w:hint="eastAsia"/>
          <w:sz w:val="24"/>
        </w:rPr>
        <w:t xml:space="preserve">  </w:t>
      </w:r>
    </w:p>
    <w:p w14:paraId="2B207FB9" w14:textId="77777777" w:rsidR="009B56D6" w:rsidRDefault="00000000">
      <w:pPr>
        <w:ind w:left="360"/>
        <w:rPr>
          <w:sz w:val="24"/>
        </w:rPr>
      </w:pPr>
      <w:r>
        <w:rPr>
          <w:rFonts w:hint="eastAsia"/>
          <w:sz w:val="24"/>
        </w:rPr>
        <w:t>2025</w:t>
      </w:r>
      <w:r>
        <w:rPr>
          <w:rFonts w:hint="eastAsia"/>
          <w:sz w:val="24"/>
        </w:rPr>
        <w:t>年</w:t>
      </w:r>
      <w:r>
        <w:rPr>
          <w:rFonts w:hint="eastAsia"/>
          <w:sz w:val="24"/>
        </w:rPr>
        <w:t>1</w:t>
      </w:r>
      <w:r>
        <w:rPr>
          <w:rFonts w:hint="eastAsia"/>
          <w:sz w:val="24"/>
        </w:rPr>
        <w:t>月，提交技术委员会委员秘书处送审资料。待审定。</w:t>
      </w:r>
    </w:p>
    <w:p w14:paraId="18D0B167" w14:textId="77777777" w:rsidR="009B56D6" w:rsidRDefault="00000000">
      <w:pPr>
        <w:ind w:left="360"/>
        <w:rPr>
          <w:sz w:val="24"/>
        </w:rPr>
      </w:pPr>
      <w:r>
        <w:rPr>
          <w:rFonts w:hint="eastAsia"/>
          <w:sz w:val="24"/>
        </w:rPr>
        <w:t>2025</w:t>
      </w:r>
      <w:r>
        <w:rPr>
          <w:rFonts w:hint="eastAsia"/>
          <w:sz w:val="24"/>
        </w:rPr>
        <w:t>年</w:t>
      </w:r>
      <w:r>
        <w:rPr>
          <w:rFonts w:hint="eastAsia"/>
          <w:sz w:val="24"/>
        </w:rPr>
        <w:t>3</w:t>
      </w:r>
      <w:r>
        <w:rPr>
          <w:rFonts w:hint="eastAsia"/>
          <w:sz w:val="24"/>
        </w:rPr>
        <w:t>月，根据审定意见，修改形成报批稿，向总局报批。</w:t>
      </w:r>
    </w:p>
    <w:p w14:paraId="1932840D" w14:textId="77777777" w:rsidR="009B56D6" w:rsidRDefault="00000000">
      <w:pPr>
        <w:numPr>
          <w:ilvl w:val="0"/>
          <w:numId w:val="1"/>
        </w:numPr>
        <w:ind w:left="0" w:firstLine="0"/>
        <w:rPr>
          <w:b/>
          <w:sz w:val="24"/>
        </w:rPr>
      </w:pPr>
      <w:r>
        <w:rPr>
          <w:rFonts w:hint="eastAsia"/>
          <w:b/>
          <w:sz w:val="24"/>
        </w:rPr>
        <w:t>编制主要技术指标说明</w:t>
      </w:r>
    </w:p>
    <w:p w14:paraId="4200B313" w14:textId="77777777" w:rsidR="009B56D6" w:rsidRDefault="00000000">
      <w:pPr>
        <w:tabs>
          <w:tab w:val="left" w:pos="480"/>
        </w:tabs>
        <w:ind w:firstLineChars="200" w:firstLine="480"/>
        <w:rPr>
          <w:sz w:val="24"/>
        </w:rPr>
      </w:pPr>
      <w:r>
        <w:rPr>
          <w:rFonts w:hint="eastAsia"/>
          <w:sz w:val="24"/>
        </w:rPr>
        <w:t>1</w:t>
      </w:r>
      <w:r>
        <w:rPr>
          <w:rFonts w:hint="eastAsia"/>
          <w:sz w:val="24"/>
        </w:rPr>
        <w:t>、技术指标说明</w:t>
      </w:r>
    </w:p>
    <w:p w14:paraId="2FE2BD44" w14:textId="77777777" w:rsidR="009B56D6" w:rsidRDefault="00000000">
      <w:pPr>
        <w:tabs>
          <w:tab w:val="left" w:pos="480"/>
        </w:tabs>
        <w:ind w:firstLineChars="200" w:firstLine="480"/>
        <w:rPr>
          <w:sz w:val="24"/>
        </w:rPr>
      </w:pPr>
      <w:r>
        <w:rPr>
          <w:rFonts w:hint="eastAsia"/>
          <w:sz w:val="24"/>
        </w:rPr>
        <w:t>目前流量开关缺少相关产品标准，企业按照各自的企业标准生产，造成了产品种类多，技术指标杂的现状。本规范制定目的是为液体流量开关制定统一的校准依据，由于以上原因，以及机械式流量开关和电子式流量开关性能差异大的局面，在制定流量开关的计量特性时，区分了机械式流量开关和电子式流量开关。</w:t>
      </w:r>
    </w:p>
    <w:p w14:paraId="2883999E" w14:textId="77777777" w:rsidR="009B56D6" w:rsidRDefault="00000000">
      <w:pPr>
        <w:tabs>
          <w:tab w:val="left" w:pos="480"/>
        </w:tabs>
        <w:ind w:firstLineChars="200" w:firstLine="480"/>
        <w:rPr>
          <w:sz w:val="24"/>
        </w:rPr>
      </w:pPr>
      <w:r>
        <w:rPr>
          <w:rFonts w:hint="eastAsia"/>
          <w:sz w:val="24"/>
        </w:rPr>
        <w:t>目前，机械式流量开关的示值误差较大，根据现有主流计量开关的特性，规范确定机械式流量开关的示值误差</w:t>
      </w:r>
      <w:r>
        <w:rPr>
          <w:rFonts w:hint="eastAsia"/>
          <w:sz w:val="24"/>
        </w:rPr>
        <w:t>5.0%~15.0%</w:t>
      </w:r>
      <w:r>
        <w:rPr>
          <w:rFonts w:hint="eastAsia"/>
          <w:sz w:val="24"/>
        </w:rPr>
        <w:t>。根据实验情况，机械式流量开关的重复性确定在示值误差的</w:t>
      </w:r>
      <w:r>
        <w:rPr>
          <w:rFonts w:hint="eastAsia"/>
          <w:sz w:val="24"/>
        </w:rPr>
        <w:t>1/3</w:t>
      </w:r>
      <w:r>
        <w:rPr>
          <w:rFonts w:hint="eastAsia"/>
          <w:sz w:val="24"/>
        </w:rPr>
        <w:t>，多数产品都是可以满足的。</w:t>
      </w:r>
    </w:p>
    <w:p w14:paraId="5BA919EA" w14:textId="77777777" w:rsidR="009B56D6" w:rsidRDefault="00000000">
      <w:pPr>
        <w:tabs>
          <w:tab w:val="left" w:pos="480"/>
        </w:tabs>
        <w:ind w:firstLineChars="200" w:firstLine="480"/>
        <w:rPr>
          <w:sz w:val="24"/>
        </w:rPr>
      </w:pPr>
      <w:r>
        <w:rPr>
          <w:rFonts w:hint="eastAsia"/>
          <w:sz w:val="24"/>
        </w:rPr>
        <w:t>电子式流量开关多为速度式流量计原理，其准确度相对机械式流量开关更好。基于这个原因，结合现有的电子式流量开关的技术指标，规范确定机械式流量开关的示值误</w:t>
      </w:r>
      <w:r>
        <w:rPr>
          <w:rFonts w:hint="eastAsia"/>
          <w:sz w:val="24"/>
        </w:rPr>
        <w:lastRenderedPageBreak/>
        <w:t>差</w:t>
      </w:r>
      <w:r>
        <w:rPr>
          <w:rFonts w:hint="eastAsia"/>
          <w:sz w:val="24"/>
        </w:rPr>
        <w:t>1.0%~5.0%</w:t>
      </w:r>
      <w:r>
        <w:rPr>
          <w:rFonts w:hint="eastAsia"/>
          <w:sz w:val="24"/>
        </w:rPr>
        <w:t>，从电子式流量开关相同原理的流量计和实验情况看，其重复性确定在示值误差的</w:t>
      </w:r>
      <w:r>
        <w:rPr>
          <w:rFonts w:hint="eastAsia"/>
          <w:sz w:val="24"/>
        </w:rPr>
        <w:t>1/3</w:t>
      </w:r>
      <w:r>
        <w:rPr>
          <w:rFonts w:hint="eastAsia"/>
          <w:sz w:val="24"/>
        </w:rPr>
        <w:t>是合适的。</w:t>
      </w:r>
    </w:p>
    <w:p w14:paraId="015405D8" w14:textId="77777777" w:rsidR="009B56D6" w:rsidRDefault="00000000">
      <w:pPr>
        <w:ind w:leftChars="235" w:left="493"/>
        <w:rPr>
          <w:sz w:val="24"/>
        </w:rPr>
      </w:pPr>
      <w:r>
        <w:rPr>
          <w:rFonts w:hint="eastAsia"/>
          <w:sz w:val="24"/>
        </w:rPr>
        <w:t>2</w:t>
      </w:r>
      <w:r>
        <w:rPr>
          <w:rFonts w:hint="eastAsia"/>
          <w:sz w:val="24"/>
        </w:rPr>
        <w:t>、技术规范编制主要内容说明：</w:t>
      </w:r>
    </w:p>
    <w:p w14:paraId="0F70EF29" w14:textId="77777777" w:rsidR="009B56D6" w:rsidRDefault="00000000">
      <w:pPr>
        <w:pStyle w:val="ad"/>
        <w:numPr>
          <w:ilvl w:val="0"/>
          <w:numId w:val="3"/>
        </w:numPr>
        <w:ind w:left="1418" w:firstLineChars="0" w:hanging="851"/>
        <w:rPr>
          <w:rFonts w:ascii="宋体" w:hAnsi="宋体" w:hint="eastAsia"/>
          <w:sz w:val="24"/>
        </w:rPr>
      </w:pPr>
      <w:r>
        <w:rPr>
          <w:rFonts w:ascii="宋体" w:hAnsi="宋体" w:hint="eastAsia"/>
          <w:sz w:val="24"/>
        </w:rPr>
        <w:t>为了使校准过程的表述方便清晰，在术语部分区分了“上行程、上行程、定点型流量开关和可调型流量开关”</w:t>
      </w:r>
    </w:p>
    <w:p w14:paraId="7A93BA81" w14:textId="77777777" w:rsidR="009B56D6" w:rsidRDefault="00000000">
      <w:pPr>
        <w:pStyle w:val="ad"/>
        <w:numPr>
          <w:ilvl w:val="0"/>
          <w:numId w:val="3"/>
        </w:numPr>
        <w:ind w:left="1418" w:firstLineChars="0" w:hanging="851"/>
        <w:rPr>
          <w:rFonts w:ascii="宋体" w:hAnsi="宋体" w:hint="eastAsia"/>
          <w:sz w:val="24"/>
        </w:rPr>
      </w:pPr>
      <w:r>
        <w:rPr>
          <w:rFonts w:ascii="宋体" w:hAnsi="宋体" w:hint="eastAsia"/>
          <w:sz w:val="24"/>
        </w:rPr>
        <w:t>由于机械式</w:t>
      </w:r>
      <w:r>
        <w:rPr>
          <w:rFonts w:hint="eastAsia"/>
          <w:sz w:val="24"/>
        </w:rPr>
        <w:t>流量开关行程差的存在，在上行程和下行程开关动作时，示值存在差异，规范在“流量开关校准过程”的内容中，区分上行程和下行程和下行程两部分校准和计算。</w:t>
      </w:r>
    </w:p>
    <w:p w14:paraId="1066DE91" w14:textId="77777777" w:rsidR="009B56D6" w:rsidRDefault="00000000">
      <w:pPr>
        <w:pStyle w:val="ad"/>
        <w:numPr>
          <w:ilvl w:val="0"/>
          <w:numId w:val="3"/>
        </w:numPr>
        <w:ind w:left="1418" w:firstLineChars="0" w:hanging="851"/>
        <w:rPr>
          <w:rFonts w:ascii="宋体" w:hAnsi="宋体" w:hint="eastAsia"/>
          <w:sz w:val="24"/>
        </w:rPr>
      </w:pPr>
      <w:r>
        <w:rPr>
          <w:rFonts w:ascii="宋体" w:hAnsi="宋体" w:hint="eastAsia"/>
          <w:sz w:val="24"/>
        </w:rPr>
        <w:t>配套设备中的数字万用表是作为工具监测流量开关的状态改变，其技术指标需要适应被校准的流量开关输出量，应根据需要选择合适的产品，因此规范没有对数字万用表给出具体的技术指标。</w:t>
      </w:r>
    </w:p>
    <w:p w14:paraId="55750790" w14:textId="77777777" w:rsidR="009B56D6" w:rsidRDefault="00000000">
      <w:pPr>
        <w:pStyle w:val="ad"/>
        <w:numPr>
          <w:ilvl w:val="0"/>
          <w:numId w:val="3"/>
        </w:numPr>
        <w:ind w:left="1418" w:firstLineChars="0" w:hanging="851"/>
        <w:rPr>
          <w:rFonts w:ascii="宋体" w:hAnsi="宋体" w:hint="eastAsia"/>
          <w:sz w:val="24"/>
        </w:rPr>
      </w:pPr>
      <w:r>
        <w:rPr>
          <w:rFonts w:ascii="宋体" w:hAnsi="宋体" w:hint="eastAsia"/>
          <w:sz w:val="24"/>
        </w:rPr>
        <w:t>复校时间间隔由流量开关使用者根据仪器使用情况、仪器本身性能等因素所决定，一般建议复校时间间隔</w:t>
      </w:r>
      <w:r>
        <w:rPr>
          <w:rFonts w:ascii="宋体" w:hAnsi="宋体"/>
          <w:sz w:val="24"/>
        </w:rPr>
        <w:t>1</w:t>
      </w:r>
      <w:r>
        <w:rPr>
          <w:rFonts w:ascii="宋体" w:hAnsi="宋体" w:hint="eastAsia"/>
          <w:sz w:val="24"/>
        </w:rPr>
        <w:t>年。</w:t>
      </w:r>
    </w:p>
    <w:p w14:paraId="05B00392" w14:textId="77777777" w:rsidR="009B56D6" w:rsidRDefault="00000000">
      <w:pPr>
        <w:ind w:leftChars="235" w:left="493"/>
        <w:rPr>
          <w:sz w:val="24"/>
        </w:rPr>
      </w:pPr>
      <w:r>
        <w:rPr>
          <w:rFonts w:hint="eastAsia"/>
          <w:sz w:val="24"/>
        </w:rPr>
        <w:t>3</w:t>
      </w:r>
      <w:r>
        <w:rPr>
          <w:rFonts w:hint="eastAsia"/>
          <w:sz w:val="24"/>
        </w:rPr>
        <w:t>、技术规范适用范围</w:t>
      </w:r>
    </w:p>
    <w:p w14:paraId="4C85ACDD" w14:textId="77777777" w:rsidR="009B56D6" w:rsidRDefault="00000000">
      <w:pPr>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本规范适用于具有开关动作示值或开关设定点数值的流量开关的校准。对于没有示值也没有设定值的流量开关，不适用于本规范。</w:t>
      </w:r>
    </w:p>
    <w:p w14:paraId="3F45764C" w14:textId="77777777" w:rsidR="009B56D6" w:rsidRDefault="00000000">
      <w:pPr>
        <w:ind w:leftChars="235" w:left="493"/>
        <w:rPr>
          <w:sz w:val="24"/>
        </w:rPr>
      </w:pPr>
      <w:r>
        <w:rPr>
          <w:rFonts w:hint="eastAsia"/>
          <w:sz w:val="24"/>
        </w:rPr>
        <w:t>4</w:t>
      </w:r>
      <w:r>
        <w:rPr>
          <w:rFonts w:hint="eastAsia"/>
          <w:sz w:val="24"/>
        </w:rPr>
        <w:t>、现实意义</w:t>
      </w:r>
    </w:p>
    <w:p w14:paraId="66D81D8B" w14:textId="77777777" w:rsidR="009B56D6" w:rsidRDefault="00000000">
      <w:pPr>
        <w:ind w:firstLineChars="200" w:firstLine="480"/>
        <w:rPr>
          <w:sz w:val="24"/>
        </w:rPr>
      </w:pPr>
      <w:r>
        <w:rPr>
          <w:rFonts w:hint="eastAsia"/>
          <w:sz w:val="24"/>
        </w:rPr>
        <w:t>基于目前流量开关缺少相关产品标准，企业按照各自的企业标准生产，造成了产品种类多，技术指标杂的现状。制定本规范对于保证流量开关的正确选用，产品的规范发展，校准的统一有效，具有十分重要的作用。</w:t>
      </w:r>
    </w:p>
    <w:p w14:paraId="0BF258D5" w14:textId="77777777" w:rsidR="009B56D6" w:rsidRDefault="009B56D6">
      <w:pPr>
        <w:ind w:firstLineChars="200" w:firstLine="480"/>
        <w:rPr>
          <w:sz w:val="24"/>
        </w:rPr>
      </w:pPr>
    </w:p>
    <w:p w14:paraId="6B46961A" w14:textId="77777777" w:rsidR="009B56D6" w:rsidRDefault="00000000">
      <w:pPr>
        <w:pStyle w:val="ad"/>
        <w:numPr>
          <w:ilvl w:val="0"/>
          <w:numId w:val="1"/>
        </w:numPr>
        <w:ind w:left="482" w:firstLineChars="0" w:hanging="482"/>
        <w:rPr>
          <w:b/>
          <w:sz w:val="24"/>
        </w:rPr>
      </w:pPr>
      <w:r>
        <w:rPr>
          <w:rFonts w:hint="eastAsia"/>
          <w:b/>
          <w:sz w:val="24"/>
        </w:rPr>
        <w:t>采用国际标准和国外先进标准的情况，与国际、国外同类标准水平的对比情况</w:t>
      </w:r>
    </w:p>
    <w:p w14:paraId="0DF96287" w14:textId="77777777" w:rsidR="009B56D6" w:rsidRDefault="00000000">
      <w:pPr>
        <w:pStyle w:val="ad"/>
        <w:tabs>
          <w:tab w:val="left" w:pos="480"/>
        </w:tabs>
        <w:ind w:left="480" w:firstLineChars="0" w:firstLine="0"/>
        <w:rPr>
          <w:sz w:val="24"/>
        </w:rPr>
      </w:pPr>
      <w:r>
        <w:rPr>
          <w:rFonts w:hint="eastAsia"/>
          <w:sz w:val="24"/>
        </w:rPr>
        <w:t>经检索查新，未发现本规范有对应的国际标准和国外先进标准。</w:t>
      </w:r>
    </w:p>
    <w:p w14:paraId="33458AEB" w14:textId="77777777" w:rsidR="009B56D6" w:rsidRDefault="009B56D6">
      <w:pPr>
        <w:pStyle w:val="ad"/>
        <w:tabs>
          <w:tab w:val="left" w:pos="480"/>
        </w:tabs>
        <w:ind w:left="482" w:firstLineChars="0" w:firstLine="0"/>
        <w:rPr>
          <w:b/>
          <w:sz w:val="24"/>
        </w:rPr>
      </w:pPr>
    </w:p>
    <w:p w14:paraId="0DEF23DA" w14:textId="77777777" w:rsidR="009B56D6" w:rsidRDefault="00000000">
      <w:pPr>
        <w:pStyle w:val="ad"/>
        <w:numPr>
          <w:ilvl w:val="0"/>
          <w:numId w:val="1"/>
        </w:numPr>
        <w:ind w:left="482" w:firstLineChars="0" w:hanging="482"/>
        <w:rPr>
          <w:b/>
          <w:sz w:val="24"/>
        </w:rPr>
      </w:pPr>
      <w:r>
        <w:rPr>
          <w:rFonts w:hint="eastAsia"/>
          <w:b/>
          <w:sz w:val="24"/>
        </w:rPr>
        <w:t>技术规范试验</w:t>
      </w:r>
    </w:p>
    <w:p w14:paraId="2A3F2ACD" w14:textId="77777777" w:rsidR="009B56D6" w:rsidRDefault="00000000">
      <w:pPr>
        <w:ind w:firstLineChars="200" w:firstLine="480"/>
        <w:rPr>
          <w:rFonts w:ascii="宋体" w:hAnsi="宋体" w:hint="eastAsia"/>
          <w:sz w:val="24"/>
        </w:rPr>
      </w:pPr>
      <w:r>
        <w:rPr>
          <w:rFonts w:ascii="宋体" w:hAnsi="宋体" w:hint="eastAsia"/>
          <w:sz w:val="24"/>
        </w:rPr>
        <w:t>起草组充分利用起草单位的对流量开关的日常校准数据作为基础，使得规范论点有了足够的数据支撑，规范更具说明力。</w:t>
      </w:r>
    </w:p>
    <w:p w14:paraId="5459D4AF" w14:textId="77777777" w:rsidR="009B56D6" w:rsidRDefault="00000000">
      <w:pPr>
        <w:ind w:firstLineChars="200" w:firstLine="480"/>
        <w:rPr>
          <w:rFonts w:ascii="宋体" w:hAnsi="宋体" w:hint="eastAsia"/>
          <w:sz w:val="24"/>
        </w:rPr>
      </w:pPr>
      <w:r>
        <w:rPr>
          <w:rFonts w:ascii="宋体" w:hAnsi="宋体" w:hint="eastAsia"/>
          <w:sz w:val="24"/>
        </w:rPr>
        <w:t>现阶段流量开关的示值误差通常不小于1.0%，规范中对主</w:t>
      </w:r>
      <w:proofErr w:type="gramStart"/>
      <w:r>
        <w:rPr>
          <w:rFonts w:ascii="宋体" w:hAnsi="宋体" w:hint="eastAsia"/>
          <w:sz w:val="24"/>
        </w:rPr>
        <w:t>校准器</w:t>
      </w:r>
      <w:proofErr w:type="gramEnd"/>
      <w:r>
        <w:rPr>
          <w:rFonts w:ascii="宋体" w:hAnsi="宋体" w:hint="eastAsia"/>
          <w:sz w:val="24"/>
        </w:rPr>
        <w:t>技术指标的要求，绝大多数的校准机构都能够满足，能够支持规范的普遍应用。主起草单位广东省计量科</w:t>
      </w:r>
      <w:r>
        <w:rPr>
          <w:rFonts w:ascii="宋体" w:hAnsi="宋体" w:hint="eastAsia"/>
          <w:sz w:val="24"/>
        </w:rPr>
        <w:lastRenderedPageBreak/>
        <w:t>学研究院对液体流量开关的大量校准数据证明，即使是机械式且产品标称为15%误差的流量开关，其重复性也能够控制在示值误差的1/3之内。因此，利用满足规范要求的</w:t>
      </w:r>
      <w:proofErr w:type="gramStart"/>
      <w:r>
        <w:rPr>
          <w:rFonts w:ascii="宋体" w:hAnsi="宋体" w:hint="eastAsia"/>
          <w:sz w:val="24"/>
        </w:rPr>
        <w:t>主标准</w:t>
      </w:r>
      <w:proofErr w:type="gramEnd"/>
      <w:r>
        <w:rPr>
          <w:rFonts w:ascii="宋体" w:hAnsi="宋体" w:hint="eastAsia"/>
          <w:sz w:val="24"/>
        </w:rPr>
        <w:t>器校准常用的流量开关，结果的不确定度是合适的。</w:t>
      </w:r>
    </w:p>
    <w:p w14:paraId="15413217" w14:textId="77777777" w:rsidR="009B56D6" w:rsidRDefault="009B56D6">
      <w:pPr>
        <w:ind w:firstLineChars="200" w:firstLine="480"/>
        <w:rPr>
          <w:rFonts w:ascii="宋体" w:hAnsi="宋体" w:hint="eastAsia"/>
          <w:sz w:val="24"/>
        </w:rPr>
      </w:pPr>
    </w:p>
    <w:p w14:paraId="012B6125" w14:textId="77777777" w:rsidR="009B56D6" w:rsidRDefault="00000000">
      <w:pPr>
        <w:numPr>
          <w:ilvl w:val="0"/>
          <w:numId w:val="1"/>
        </w:numPr>
        <w:tabs>
          <w:tab w:val="left" w:pos="525"/>
        </w:tabs>
        <w:ind w:left="482" w:hanging="482"/>
        <w:rPr>
          <w:b/>
          <w:sz w:val="24"/>
        </w:rPr>
      </w:pPr>
      <w:r>
        <w:rPr>
          <w:rFonts w:hint="eastAsia"/>
          <w:b/>
          <w:sz w:val="24"/>
        </w:rPr>
        <w:t>重大分歧意见的处理经过和依据</w:t>
      </w:r>
    </w:p>
    <w:p w14:paraId="783A722C" w14:textId="77777777" w:rsidR="009B56D6" w:rsidRDefault="00000000">
      <w:pPr>
        <w:ind w:firstLineChars="200" w:firstLine="480"/>
        <w:rPr>
          <w:rFonts w:ascii="宋体" w:hAnsi="宋体" w:hint="eastAsia"/>
          <w:sz w:val="24"/>
        </w:rPr>
      </w:pPr>
      <w:r>
        <w:rPr>
          <w:rFonts w:ascii="宋体" w:hAnsi="宋体" w:hint="eastAsia"/>
          <w:sz w:val="24"/>
        </w:rPr>
        <w:t>无重大分歧意见。</w:t>
      </w:r>
    </w:p>
    <w:p w14:paraId="753B08DB" w14:textId="77777777" w:rsidR="009B56D6" w:rsidRDefault="009B56D6">
      <w:pPr>
        <w:ind w:firstLineChars="200" w:firstLine="480"/>
        <w:rPr>
          <w:rFonts w:ascii="宋体" w:hAnsi="宋体" w:hint="eastAsia"/>
          <w:sz w:val="24"/>
        </w:rPr>
      </w:pPr>
    </w:p>
    <w:p w14:paraId="74CF9D23" w14:textId="77777777" w:rsidR="009B56D6" w:rsidRDefault="00000000">
      <w:pPr>
        <w:numPr>
          <w:ilvl w:val="0"/>
          <w:numId w:val="1"/>
        </w:numPr>
        <w:tabs>
          <w:tab w:val="clear" w:pos="480"/>
          <w:tab w:val="left" w:pos="525"/>
        </w:tabs>
        <w:rPr>
          <w:b/>
          <w:sz w:val="24"/>
        </w:rPr>
      </w:pPr>
      <w:r>
        <w:rPr>
          <w:rFonts w:hint="eastAsia"/>
          <w:b/>
          <w:sz w:val="24"/>
        </w:rPr>
        <w:t>废止现行有关技术规范的建议</w:t>
      </w:r>
    </w:p>
    <w:p w14:paraId="5BCC30FD" w14:textId="77777777" w:rsidR="009B56D6" w:rsidRDefault="00000000">
      <w:pPr>
        <w:spacing w:line="360" w:lineRule="auto"/>
        <w:ind w:firstLineChars="200" w:firstLine="480"/>
        <w:rPr>
          <w:sz w:val="24"/>
        </w:rPr>
      </w:pPr>
      <w:r>
        <w:rPr>
          <w:rFonts w:hint="eastAsia"/>
          <w:sz w:val="24"/>
        </w:rPr>
        <w:t>本规范系首次编制，无需废止现行有关技术规范。</w:t>
      </w:r>
    </w:p>
    <w:p w14:paraId="43803BB1" w14:textId="77777777" w:rsidR="009B56D6" w:rsidRDefault="009B56D6">
      <w:pPr>
        <w:rPr>
          <w:rFonts w:ascii="宋体" w:hAnsi="宋体" w:hint="eastAsia"/>
          <w:sz w:val="28"/>
          <w:szCs w:val="28"/>
        </w:rPr>
      </w:pPr>
    </w:p>
    <w:p w14:paraId="297ED0B7" w14:textId="77777777" w:rsidR="009B56D6" w:rsidRDefault="00000000">
      <w:pPr>
        <w:numPr>
          <w:ilvl w:val="0"/>
          <w:numId w:val="1"/>
        </w:numPr>
        <w:tabs>
          <w:tab w:val="clear" w:pos="480"/>
          <w:tab w:val="left" w:pos="567"/>
        </w:tabs>
        <w:rPr>
          <w:b/>
          <w:sz w:val="24"/>
        </w:rPr>
      </w:pPr>
      <w:r>
        <w:rPr>
          <w:rFonts w:hint="eastAsia"/>
          <w:b/>
          <w:sz w:val="24"/>
        </w:rPr>
        <w:t>贯彻国家技术规范的要求和措施建议（包括组织措施、技术措施、过渡办法等内容）</w:t>
      </w:r>
    </w:p>
    <w:p w14:paraId="0119C70A" w14:textId="77777777" w:rsidR="009B56D6" w:rsidRDefault="00000000">
      <w:pPr>
        <w:ind w:firstLineChars="235" w:firstLine="564"/>
        <w:rPr>
          <w:rFonts w:ascii="宋体" w:hAnsi="宋体" w:hint="eastAsia"/>
          <w:sz w:val="24"/>
        </w:rPr>
      </w:pPr>
      <w:r>
        <w:rPr>
          <w:rFonts w:ascii="宋体" w:hAnsi="宋体" w:hint="eastAsia"/>
          <w:sz w:val="24"/>
        </w:rPr>
        <w:t>本规范颁布后，需要进行全国的培训宣贯。</w:t>
      </w:r>
    </w:p>
    <w:p w14:paraId="54F573D8" w14:textId="77777777" w:rsidR="009B56D6" w:rsidRDefault="009B56D6">
      <w:pPr>
        <w:spacing w:line="276" w:lineRule="auto"/>
        <w:ind w:firstLineChars="200" w:firstLine="480"/>
        <w:rPr>
          <w:rFonts w:ascii="宋体" w:hAnsi="宋体" w:hint="eastAsia"/>
          <w:sz w:val="24"/>
        </w:rPr>
      </w:pPr>
    </w:p>
    <w:p w14:paraId="6769FB8F" w14:textId="77777777" w:rsidR="009B56D6" w:rsidRDefault="00000000">
      <w:pPr>
        <w:numPr>
          <w:ilvl w:val="0"/>
          <w:numId w:val="1"/>
        </w:numPr>
        <w:tabs>
          <w:tab w:val="left" w:pos="525"/>
        </w:tabs>
        <w:rPr>
          <w:b/>
          <w:sz w:val="24"/>
        </w:rPr>
      </w:pPr>
      <w:r>
        <w:rPr>
          <w:rFonts w:hint="eastAsia"/>
          <w:b/>
          <w:sz w:val="24"/>
        </w:rPr>
        <w:t>其他应予说明的事项（如涉及专利需要说明）</w:t>
      </w:r>
    </w:p>
    <w:p w14:paraId="67E49D4D" w14:textId="77777777" w:rsidR="009B56D6" w:rsidRDefault="00000000">
      <w:pPr>
        <w:spacing w:line="360" w:lineRule="auto"/>
        <w:ind w:firstLineChars="200" w:firstLine="480"/>
        <w:rPr>
          <w:sz w:val="24"/>
        </w:rPr>
      </w:pPr>
      <w:r>
        <w:rPr>
          <w:rFonts w:hint="eastAsia"/>
          <w:sz w:val="24"/>
        </w:rPr>
        <w:t>（无）。</w:t>
      </w:r>
    </w:p>
    <w:sectPr w:rsidR="009B56D6">
      <w:pgSz w:w="11906" w:h="16838"/>
      <w:pgMar w:top="1418" w:right="1418" w:bottom="1361" w:left="1440" w:header="851" w:footer="992" w:gutter="0"/>
      <w:pgNumType w:start="1"/>
      <w:cols w:space="425"/>
      <w:docGrid w:type="lines" w:linePitch="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69E78" w14:textId="77777777" w:rsidR="00CF1EC4" w:rsidRDefault="00CF1EC4">
      <w:r>
        <w:separator/>
      </w:r>
    </w:p>
  </w:endnote>
  <w:endnote w:type="continuationSeparator" w:id="0">
    <w:p w14:paraId="65469660" w14:textId="77777777" w:rsidR="00CF1EC4" w:rsidRDefault="00CF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6858B" w14:textId="77777777" w:rsidR="009B56D6" w:rsidRDefault="00000000">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5</w:t>
    </w:r>
    <w:r>
      <w:rPr>
        <w:rStyle w:val="ab"/>
      </w:rPr>
      <w:fldChar w:fldCharType="end"/>
    </w:r>
  </w:p>
  <w:p w14:paraId="324DF752" w14:textId="77777777" w:rsidR="009B56D6" w:rsidRDefault="009B56D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0431A" w14:textId="77777777" w:rsidR="009B56D6" w:rsidRDefault="009B56D6">
    <w:pPr>
      <w:pStyle w:val="a7"/>
      <w:jc w:val="center"/>
    </w:pPr>
  </w:p>
  <w:p w14:paraId="5C2AE2BB" w14:textId="77777777" w:rsidR="009B56D6" w:rsidRDefault="00000000">
    <w:pPr>
      <w:pStyle w:val="a7"/>
      <w:jc w:val="center"/>
    </w:pPr>
    <w:r>
      <w:fldChar w:fldCharType="begin"/>
    </w:r>
    <w:r>
      <w:instrText xml:space="preserve"> PAGE   \* MERGEFORMAT </w:instrText>
    </w:r>
    <w:r>
      <w:fldChar w:fldCharType="separate"/>
    </w:r>
    <w:r>
      <w:t>1</w:t>
    </w:r>
    <w:r>
      <w:fldChar w:fldCharType="end"/>
    </w:r>
  </w:p>
  <w:p w14:paraId="7449192B" w14:textId="77777777" w:rsidR="009B56D6" w:rsidRDefault="009B56D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B9134" w14:textId="77777777" w:rsidR="009B56D6" w:rsidRDefault="009B56D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A08C0" w14:textId="77777777" w:rsidR="00CF1EC4" w:rsidRDefault="00CF1EC4">
      <w:r>
        <w:separator/>
      </w:r>
    </w:p>
  </w:footnote>
  <w:footnote w:type="continuationSeparator" w:id="0">
    <w:p w14:paraId="1A62BBC7" w14:textId="77777777" w:rsidR="00CF1EC4" w:rsidRDefault="00CF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276D7" w14:textId="77777777" w:rsidR="009B56D6" w:rsidRDefault="009B56D6">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B4B2FE" w14:textId="77777777" w:rsidR="009B56D6" w:rsidRDefault="009B56D6">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9FD2" w14:textId="77777777" w:rsidR="009B56D6" w:rsidRDefault="009B56D6">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17251"/>
    <w:multiLevelType w:val="multilevel"/>
    <w:tmpl w:val="0D117251"/>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8CF680B"/>
    <w:multiLevelType w:val="multilevel"/>
    <w:tmpl w:val="48CF680B"/>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 w15:restartNumberingAfterBreak="0">
    <w:nsid w:val="58405E48"/>
    <w:multiLevelType w:val="multilevel"/>
    <w:tmpl w:val="58405E48"/>
    <w:lvl w:ilvl="0">
      <w:start w:val="1"/>
      <w:numFmt w:val="japaneseCounting"/>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844198547">
    <w:abstractNumId w:val="2"/>
  </w:num>
  <w:num w:numId="2" w16cid:durableId="935090767">
    <w:abstractNumId w:val="1"/>
  </w:num>
  <w:num w:numId="3" w16cid:durableId="1741965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23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liOWE1NjZhMzcyM2Y1MzhlNzg0YTQzN2NkY2IxMDAifQ=="/>
  </w:docVars>
  <w:rsids>
    <w:rsidRoot w:val="003E7D71"/>
    <w:rsid w:val="000000B8"/>
    <w:rsid w:val="00011D58"/>
    <w:rsid w:val="000162CE"/>
    <w:rsid w:val="00021B5D"/>
    <w:rsid w:val="00027C1E"/>
    <w:rsid w:val="000331F5"/>
    <w:rsid w:val="000333B2"/>
    <w:rsid w:val="00046CAC"/>
    <w:rsid w:val="0005676B"/>
    <w:rsid w:val="00057413"/>
    <w:rsid w:val="00064875"/>
    <w:rsid w:val="00077967"/>
    <w:rsid w:val="00092903"/>
    <w:rsid w:val="000A2AD3"/>
    <w:rsid w:val="000A5E10"/>
    <w:rsid w:val="000B7586"/>
    <w:rsid w:val="000E1EEE"/>
    <w:rsid w:val="000E3BD3"/>
    <w:rsid w:val="000E5A0A"/>
    <w:rsid w:val="000E5BD3"/>
    <w:rsid w:val="000F0900"/>
    <w:rsid w:val="000F31C7"/>
    <w:rsid w:val="000F53CB"/>
    <w:rsid w:val="00116548"/>
    <w:rsid w:val="00124AA0"/>
    <w:rsid w:val="00127671"/>
    <w:rsid w:val="00131246"/>
    <w:rsid w:val="001333D1"/>
    <w:rsid w:val="001430C5"/>
    <w:rsid w:val="00161DD9"/>
    <w:rsid w:val="00162A1F"/>
    <w:rsid w:val="001661E9"/>
    <w:rsid w:val="00180B6B"/>
    <w:rsid w:val="001A0806"/>
    <w:rsid w:val="001A619B"/>
    <w:rsid w:val="001B2564"/>
    <w:rsid w:val="001B7CD4"/>
    <w:rsid w:val="001C1147"/>
    <w:rsid w:val="001D03FC"/>
    <w:rsid w:val="001D6386"/>
    <w:rsid w:val="001D66B5"/>
    <w:rsid w:val="001D7708"/>
    <w:rsid w:val="001E0FB2"/>
    <w:rsid w:val="001E30EC"/>
    <w:rsid w:val="001E6398"/>
    <w:rsid w:val="001F74F3"/>
    <w:rsid w:val="002016B8"/>
    <w:rsid w:val="002102E4"/>
    <w:rsid w:val="00227890"/>
    <w:rsid w:val="002448C9"/>
    <w:rsid w:val="00245359"/>
    <w:rsid w:val="00256704"/>
    <w:rsid w:val="00264428"/>
    <w:rsid w:val="00266D24"/>
    <w:rsid w:val="002702D6"/>
    <w:rsid w:val="00270572"/>
    <w:rsid w:val="00274DB5"/>
    <w:rsid w:val="00275458"/>
    <w:rsid w:val="0028532F"/>
    <w:rsid w:val="00290D67"/>
    <w:rsid w:val="002A7AA5"/>
    <w:rsid w:val="002B0A54"/>
    <w:rsid w:val="002B23BF"/>
    <w:rsid w:val="002B2EEC"/>
    <w:rsid w:val="002B62A5"/>
    <w:rsid w:val="002C0594"/>
    <w:rsid w:val="002D5D6A"/>
    <w:rsid w:val="002D6B27"/>
    <w:rsid w:val="002D6E6B"/>
    <w:rsid w:val="002E4098"/>
    <w:rsid w:val="002E4B9D"/>
    <w:rsid w:val="002F4312"/>
    <w:rsid w:val="00301B5D"/>
    <w:rsid w:val="00302243"/>
    <w:rsid w:val="00302F7D"/>
    <w:rsid w:val="003047F0"/>
    <w:rsid w:val="00311F23"/>
    <w:rsid w:val="00330636"/>
    <w:rsid w:val="00340ED3"/>
    <w:rsid w:val="00341546"/>
    <w:rsid w:val="00341F80"/>
    <w:rsid w:val="00346FAA"/>
    <w:rsid w:val="00362E62"/>
    <w:rsid w:val="003639D5"/>
    <w:rsid w:val="0037089D"/>
    <w:rsid w:val="0037439D"/>
    <w:rsid w:val="00374404"/>
    <w:rsid w:val="00382025"/>
    <w:rsid w:val="00382D9F"/>
    <w:rsid w:val="00383FCC"/>
    <w:rsid w:val="0038642D"/>
    <w:rsid w:val="00392F06"/>
    <w:rsid w:val="00396A5C"/>
    <w:rsid w:val="003A163B"/>
    <w:rsid w:val="003A2C63"/>
    <w:rsid w:val="003A39EE"/>
    <w:rsid w:val="003A5C27"/>
    <w:rsid w:val="003B2147"/>
    <w:rsid w:val="003C66E8"/>
    <w:rsid w:val="003D2F9A"/>
    <w:rsid w:val="003E7D71"/>
    <w:rsid w:val="003F0931"/>
    <w:rsid w:val="003F0BC9"/>
    <w:rsid w:val="003F128B"/>
    <w:rsid w:val="003F2860"/>
    <w:rsid w:val="004052E4"/>
    <w:rsid w:val="00406862"/>
    <w:rsid w:val="004325A4"/>
    <w:rsid w:val="004328C5"/>
    <w:rsid w:val="0043335E"/>
    <w:rsid w:val="0044516C"/>
    <w:rsid w:val="00446346"/>
    <w:rsid w:val="00447554"/>
    <w:rsid w:val="004509B7"/>
    <w:rsid w:val="00450F88"/>
    <w:rsid w:val="004668D6"/>
    <w:rsid w:val="00473DF2"/>
    <w:rsid w:val="00474CDF"/>
    <w:rsid w:val="004822DC"/>
    <w:rsid w:val="004845C4"/>
    <w:rsid w:val="0049302E"/>
    <w:rsid w:val="00495587"/>
    <w:rsid w:val="004A0728"/>
    <w:rsid w:val="004A3326"/>
    <w:rsid w:val="004A39DB"/>
    <w:rsid w:val="004A7833"/>
    <w:rsid w:val="004B09EC"/>
    <w:rsid w:val="004B296F"/>
    <w:rsid w:val="004D57F5"/>
    <w:rsid w:val="004E6BC3"/>
    <w:rsid w:val="004F2FE5"/>
    <w:rsid w:val="004F46FC"/>
    <w:rsid w:val="0050524F"/>
    <w:rsid w:val="005059EF"/>
    <w:rsid w:val="00513E2C"/>
    <w:rsid w:val="00520A98"/>
    <w:rsid w:val="005253B7"/>
    <w:rsid w:val="00525568"/>
    <w:rsid w:val="0053385F"/>
    <w:rsid w:val="0053700C"/>
    <w:rsid w:val="0054312D"/>
    <w:rsid w:val="0054529A"/>
    <w:rsid w:val="00552180"/>
    <w:rsid w:val="0056457D"/>
    <w:rsid w:val="0057573E"/>
    <w:rsid w:val="00577756"/>
    <w:rsid w:val="00587841"/>
    <w:rsid w:val="00587B59"/>
    <w:rsid w:val="005A6884"/>
    <w:rsid w:val="005B013A"/>
    <w:rsid w:val="005B7257"/>
    <w:rsid w:val="005D12C2"/>
    <w:rsid w:val="005E0A3E"/>
    <w:rsid w:val="005E0F39"/>
    <w:rsid w:val="005E13DB"/>
    <w:rsid w:val="005E6AE8"/>
    <w:rsid w:val="005F03C5"/>
    <w:rsid w:val="005F223D"/>
    <w:rsid w:val="005F48D3"/>
    <w:rsid w:val="006044DF"/>
    <w:rsid w:val="00604572"/>
    <w:rsid w:val="00605058"/>
    <w:rsid w:val="00607333"/>
    <w:rsid w:val="006143D7"/>
    <w:rsid w:val="00623922"/>
    <w:rsid w:val="00650C14"/>
    <w:rsid w:val="00655087"/>
    <w:rsid w:val="0066425C"/>
    <w:rsid w:val="006667B1"/>
    <w:rsid w:val="00681698"/>
    <w:rsid w:val="006819F8"/>
    <w:rsid w:val="006821E5"/>
    <w:rsid w:val="00684D26"/>
    <w:rsid w:val="0069465E"/>
    <w:rsid w:val="006953EA"/>
    <w:rsid w:val="00697A4D"/>
    <w:rsid w:val="006A6AB2"/>
    <w:rsid w:val="006B1F9C"/>
    <w:rsid w:val="006B50C8"/>
    <w:rsid w:val="006B6A2B"/>
    <w:rsid w:val="006B7685"/>
    <w:rsid w:val="006C325D"/>
    <w:rsid w:val="006C49D6"/>
    <w:rsid w:val="006D0AF2"/>
    <w:rsid w:val="006D11E7"/>
    <w:rsid w:val="006D137A"/>
    <w:rsid w:val="006D1C7F"/>
    <w:rsid w:val="006D55DC"/>
    <w:rsid w:val="006E2EB8"/>
    <w:rsid w:val="006E5186"/>
    <w:rsid w:val="006E72B8"/>
    <w:rsid w:val="006F00FC"/>
    <w:rsid w:val="006F10C6"/>
    <w:rsid w:val="006F6B29"/>
    <w:rsid w:val="00705446"/>
    <w:rsid w:val="0071221E"/>
    <w:rsid w:val="00726A23"/>
    <w:rsid w:val="00731AC1"/>
    <w:rsid w:val="0073221D"/>
    <w:rsid w:val="0073567D"/>
    <w:rsid w:val="00736DB2"/>
    <w:rsid w:val="00743A85"/>
    <w:rsid w:val="0075428F"/>
    <w:rsid w:val="00756682"/>
    <w:rsid w:val="0077447A"/>
    <w:rsid w:val="007772F2"/>
    <w:rsid w:val="00781D19"/>
    <w:rsid w:val="007B1B54"/>
    <w:rsid w:val="007B23D5"/>
    <w:rsid w:val="007C007D"/>
    <w:rsid w:val="007C781B"/>
    <w:rsid w:val="007D2666"/>
    <w:rsid w:val="007E780E"/>
    <w:rsid w:val="00806125"/>
    <w:rsid w:val="008139B8"/>
    <w:rsid w:val="00814932"/>
    <w:rsid w:val="00820F24"/>
    <w:rsid w:val="00822C59"/>
    <w:rsid w:val="00831D85"/>
    <w:rsid w:val="008320BA"/>
    <w:rsid w:val="0083378E"/>
    <w:rsid w:val="00836727"/>
    <w:rsid w:val="008410CD"/>
    <w:rsid w:val="00842661"/>
    <w:rsid w:val="00843CE1"/>
    <w:rsid w:val="00866B09"/>
    <w:rsid w:val="0087177E"/>
    <w:rsid w:val="00871CCF"/>
    <w:rsid w:val="00873F5E"/>
    <w:rsid w:val="008835A9"/>
    <w:rsid w:val="008857CD"/>
    <w:rsid w:val="008868AB"/>
    <w:rsid w:val="00886D2A"/>
    <w:rsid w:val="008A2202"/>
    <w:rsid w:val="008B432B"/>
    <w:rsid w:val="008B6BFB"/>
    <w:rsid w:val="008B6ECA"/>
    <w:rsid w:val="008B77B3"/>
    <w:rsid w:val="008D3880"/>
    <w:rsid w:val="008D6BAD"/>
    <w:rsid w:val="008D6FC7"/>
    <w:rsid w:val="008E0CD5"/>
    <w:rsid w:val="008E4E0A"/>
    <w:rsid w:val="008E540C"/>
    <w:rsid w:val="008F3B17"/>
    <w:rsid w:val="009118F2"/>
    <w:rsid w:val="00913FB5"/>
    <w:rsid w:val="00924380"/>
    <w:rsid w:val="00927EE2"/>
    <w:rsid w:val="0093496E"/>
    <w:rsid w:val="00943FCF"/>
    <w:rsid w:val="0096126A"/>
    <w:rsid w:val="009672EA"/>
    <w:rsid w:val="00974E6E"/>
    <w:rsid w:val="00975C90"/>
    <w:rsid w:val="009762AD"/>
    <w:rsid w:val="0098018E"/>
    <w:rsid w:val="009804CA"/>
    <w:rsid w:val="00982D4E"/>
    <w:rsid w:val="009A1139"/>
    <w:rsid w:val="009B15D2"/>
    <w:rsid w:val="009B56D6"/>
    <w:rsid w:val="009B7376"/>
    <w:rsid w:val="009C22A6"/>
    <w:rsid w:val="009C2931"/>
    <w:rsid w:val="009C5BE3"/>
    <w:rsid w:val="009C618D"/>
    <w:rsid w:val="009C668E"/>
    <w:rsid w:val="009C7EC3"/>
    <w:rsid w:val="009D17B6"/>
    <w:rsid w:val="009E08EA"/>
    <w:rsid w:val="009E3354"/>
    <w:rsid w:val="00A1575F"/>
    <w:rsid w:val="00A15A6A"/>
    <w:rsid w:val="00A2122E"/>
    <w:rsid w:val="00A2348F"/>
    <w:rsid w:val="00A35B5F"/>
    <w:rsid w:val="00A46E63"/>
    <w:rsid w:val="00A502ED"/>
    <w:rsid w:val="00A570F3"/>
    <w:rsid w:val="00A579CE"/>
    <w:rsid w:val="00A64E8F"/>
    <w:rsid w:val="00A6508B"/>
    <w:rsid w:val="00A66C1E"/>
    <w:rsid w:val="00A67BBB"/>
    <w:rsid w:val="00A71C73"/>
    <w:rsid w:val="00A74E09"/>
    <w:rsid w:val="00A75277"/>
    <w:rsid w:val="00A765E7"/>
    <w:rsid w:val="00A868B4"/>
    <w:rsid w:val="00A90B59"/>
    <w:rsid w:val="00A91D80"/>
    <w:rsid w:val="00A963BC"/>
    <w:rsid w:val="00A9678E"/>
    <w:rsid w:val="00AA0AFF"/>
    <w:rsid w:val="00AA26CA"/>
    <w:rsid w:val="00AA3699"/>
    <w:rsid w:val="00AA7C66"/>
    <w:rsid w:val="00AB38E0"/>
    <w:rsid w:val="00AB688A"/>
    <w:rsid w:val="00AB7F0D"/>
    <w:rsid w:val="00AC26C8"/>
    <w:rsid w:val="00AD2EBC"/>
    <w:rsid w:val="00AD3D69"/>
    <w:rsid w:val="00AE6342"/>
    <w:rsid w:val="00B00C8D"/>
    <w:rsid w:val="00B065DB"/>
    <w:rsid w:val="00B14BBD"/>
    <w:rsid w:val="00B24DB9"/>
    <w:rsid w:val="00B278D0"/>
    <w:rsid w:val="00B361FE"/>
    <w:rsid w:val="00B420C2"/>
    <w:rsid w:val="00B425FF"/>
    <w:rsid w:val="00B6110F"/>
    <w:rsid w:val="00B6521C"/>
    <w:rsid w:val="00B80BAE"/>
    <w:rsid w:val="00B82800"/>
    <w:rsid w:val="00B828EF"/>
    <w:rsid w:val="00B94AF5"/>
    <w:rsid w:val="00B954F2"/>
    <w:rsid w:val="00BA42A7"/>
    <w:rsid w:val="00BA4E77"/>
    <w:rsid w:val="00BB18C8"/>
    <w:rsid w:val="00BB1D59"/>
    <w:rsid w:val="00BB6C3A"/>
    <w:rsid w:val="00BC2AC2"/>
    <w:rsid w:val="00BC2AEE"/>
    <w:rsid w:val="00BC2EA9"/>
    <w:rsid w:val="00BC7760"/>
    <w:rsid w:val="00BF35EB"/>
    <w:rsid w:val="00C0241B"/>
    <w:rsid w:val="00C045BD"/>
    <w:rsid w:val="00C04AA8"/>
    <w:rsid w:val="00C05FE4"/>
    <w:rsid w:val="00C063FC"/>
    <w:rsid w:val="00C146D4"/>
    <w:rsid w:val="00C15E30"/>
    <w:rsid w:val="00C23C14"/>
    <w:rsid w:val="00C315B6"/>
    <w:rsid w:val="00C618D5"/>
    <w:rsid w:val="00C62685"/>
    <w:rsid w:val="00C63E85"/>
    <w:rsid w:val="00C93F25"/>
    <w:rsid w:val="00CB3744"/>
    <w:rsid w:val="00CC1A3A"/>
    <w:rsid w:val="00CD192D"/>
    <w:rsid w:val="00CD27AA"/>
    <w:rsid w:val="00CE00B0"/>
    <w:rsid w:val="00CF1530"/>
    <w:rsid w:val="00CF19B5"/>
    <w:rsid w:val="00CF1EC4"/>
    <w:rsid w:val="00CF3CBF"/>
    <w:rsid w:val="00D00C86"/>
    <w:rsid w:val="00D03D6A"/>
    <w:rsid w:val="00D106B2"/>
    <w:rsid w:val="00D137C0"/>
    <w:rsid w:val="00D13AAF"/>
    <w:rsid w:val="00D14139"/>
    <w:rsid w:val="00D165D1"/>
    <w:rsid w:val="00D2299D"/>
    <w:rsid w:val="00D22EF2"/>
    <w:rsid w:val="00D24F3E"/>
    <w:rsid w:val="00D27656"/>
    <w:rsid w:val="00D27C00"/>
    <w:rsid w:val="00D35265"/>
    <w:rsid w:val="00D374DF"/>
    <w:rsid w:val="00D4152D"/>
    <w:rsid w:val="00D535DA"/>
    <w:rsid w:val="00D6445A"/>
    <w:rsid w:val="00D7135B"/>
    <w:rsid w:val="00D73F65"/>
    <w:rsid w:val="00D775CB"/>
    <w:rsid w:val="00D832B3"/>
    <w:rsid w:val="00D906C9"/>
    <w:rsid w:val="00D95F4B"/>
    <w:rsid w:val="00DB0F54"/>
    <w:rsid w:val="00DB3578"/>
    <w:rsid w:val="00DC0721"/>
    <w:rsid w:val="00DC2362"/>
    <w:rsid w:val="00DD2A99"/>
    <w:rsid w:val="00DE3311"/>
    <w:rsid w:val="00DE7E4A"/>
    <w:rsid w:val="00DF0392"/>
    <w:rsid w:val="00E07E86"/>
    <w:rsid w:val="00E10021"/>
    <w:rsid w:val="00E13BF4"/>
    <w:rsid w:val="00E15371"/>
    <w:rsid w:val="00E20856"/>
    <w:rsid w:val="00E23BF7"/>
    <w:rsid w:val="00E27AB2"/>
    <w:rsid w:val="00E33B88"/>
    <w:rsid w:val="00E37E7F"/>
    <w:rsid w:val="00E408F4"/>
    <w:rsid w:val="00E46472"/>
    <w:rsid w:val="00E47258"/>
    <w:rsid w:val="00E47F3D"/>
    <w:rsid w:val="00E50354"/>
    <w:rsid w:val="00E5734B"/>
    <w:rsid w:val="00E74C2B"/>
    <w:rsid w:val="00E81A7A"/>
    <w:rsid w:val="00E82D33"/>
    <w:rsid w:val="00E8673B"/>
    <w:rsid w:val="00E87AE4"/>
    <w:rsid w:val="00E925A9"/>
    <w:rsid w:val="00E95F67"/>
    <w:rsid w:val="00EA48BC"/>
    <w:rsid w:val="00EA558F"/>
    <w:rsid w:val="00EB06AC"/>
    <w:rsid w:val="00EB6603"/>
    <w:rsid w:val="00ED15BC"/>
    <w:rsid w:val="00ED2DC6"/>
    <w:rsid w:val="00ED4618"/>
    <w:rsid w:val="00EE2FC4"/>
    <w:rsid w:val="00EE54F0"/>
    <w:rsid w:val="00EE66BD"/>
    <w:rsid w:val="00EE6D8C"/>
    <w:rsid w:val="00EF01C9"/>
    <w:rsid w:val="00EF125F"/>
    <w:rsid w:val="00EF45E9"/>
    <w:rsid w:val="00F10522"/>
    <w:rsid w:val="00F16656"/>
    <w:rsid w:val="00F2226A"/>
    <w:rsid w:val="00F30ECE"/>
    <w:rsid w:val="00F31045"/>
    <w:rsid w:val="00F35C03"/>
    <w:rsid w:val="00F41A83"/>
    <w:rsid w:val="00F427DC"/>
    <w:rsid w:val="00F501E6"/>
    <w:rsid w:val="00F557EC"/>
    <w:rsid w:val="00F70794"/>
    <w:rsid w:val="00F707CE"/>
    <w:rsid w:val="00F71E1B"/>
    <w:rsid w:val="00F724A4"/>
    <w:rsid w:val="00F76C82"/>
    <w:rsid w:val="00F841C5"/>
    <w:rsid w:val="00FA3BB9"/>
    <w:rsid w:val="00FA5412"/>
    <w:rsid w:val="00FE18B0"/>
    <w:rsid w:val="00FE79C3"/>
    <w:rsid w:val="011F1724"/>
    <w:rsid w:val="09275ED3"/>
    <w:rsid w:val="0A5C2D68"/>
    <w:rsid w:val="14FC4459"/>
    <w:rsid w:val="16A67991"/>
    <w:rsid w:val="1DAE47C6"/>
    <w:rsid w:val="228A61FD"/>
    <w:rsid w:val="24F7302A"/>
    <w:rsid w:val="25A437D2"/>
    <w:rsid w:val="2A1B7A9D"/>
    <w:rsid w:val="31A16069"/>
    <w:rsid w:val="353510CF"/>
    <w:rsid w:val="357039CF"/>
    <w:rsid w:val="3C9B215F"/>
    <w:rsid w:val="3E2B5CAC"/>
    <w:rsid w:val="40B44FB5"/>
    <w:rsid w:val="41C355C0"/>
    <w:rsid w:val="45334BBE"/>
    <w:rsid w:val="4B35377F"/>
    <w:rsid w:val="4EC03674"/>
    <w:rsid w:val="510136A5"/>
    <w:rsid w:val="53DD7F26"/>
    <w:rsid w:val="562E781D"/>
    <w:rsid w:val="572A7319"/>
    <w:rsid w:val="648F1CFA"/>
    <w:rsid w:val="66723067"/>
    <w:rsid w:val="693E74C4"/>
    <w:rsid w:val="70081B6F"/>
    <w:rsid w:val="70B623BC"/>
    <w:rsid w:val="717C64BF"/>
    <w:rsid w:val="76A2591C"/>
    <w:rsid w:val="7C1478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D66A1"/>
  <w15:docId w15:val="{FBAB73BF-CAEE-417B-B4A7-EA465B17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qFormat/>
    <w:pPr>
      <w:keepNext/>
      <w:ind w:leftChars="-85" w:left="-178" w:firstLineChars="842" w:firstLine="7073"/>
      <w:outlineLvl w:val="0"/>
    </w:pPr>
    <w:rPr>
      <w:sz w:val="84"/>
    </w:rPr>
  </w:style>
  <w:style w:type="paragraph" w:styleId="2">
    <w:name w:val="heading 2"/>
    <w:basedOn w:val="a"/>
    <w:next w:val="a"/>
    <w:qFormat/>
    <w:pPr>
      <w:keepNext/>
      <w:ind w:firstLineChars="900" w:firstLine="7560"/>
      <w:outlineLvl w:val="1"/>
    </w:pPr>
    <w:rPr>
      <w:rFonts w:ascii="黑体" w:eastAsia="黑体" w:hAnsi="MS Gothic"/>
      <w:sz w:val="84"/>
    </w:rPr>
  </w:style>
  <w:style w:type="paragraph" w:styleId="3">
    <w:name w:val="heading 3"/>
    <w:basedOn w:val="a"/>
    <w:next w:val="a"/>
    <w:qFormat/>
    <w:pPr>
      <w:keepNext/>
      <w:outlineLvl w:val="2"/>
    </w:pPr>
    <w:rPr>
      <w:rFonts w:ascii="黑体" w:eastAsia="黑体"/>
      <w:b/>
      <w:bCs/>
      <w:sz w:val="36"/>
      <w:u w:val="single"/>
    </w:rPr>
  </w:style>
  <w:style w:type="paragraph" w:styleId="4">
    <w:name w:val="heading 4"/>
    <w:basedOn w:val="a"/>
    <w:next w:val="a"/>
    <w:qFormat/>
    <w:pPr>
      <w:keepNext/>
      <w:framePr w:w="3420" w:h="1860" w:hSpace="180" w:wrap="around" w:vAnchor="text" w:hAnchor="page" w:x="7107" w:y="321"/>
      <w:ind w:firstLineChars="100" w:firstLine="280"/>
      <w:outlineLvl w:val="3"/>
    </w:pPr>
    <w:rPr>
      <w:rFonts w:eastAsia="黑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after="120"/>
    </w:pPr>
    <w:rPr>
      <w:lang w:val="zh-CN"/>
    </w:rPr>
  </w:style>
  <w:style w:type="paragraph" w:styleId="a5">
    <w:name w:val="Body Text Indent"/>
    <w:basedOn w:val="a"/>
    <w:qFormat/>
    <w:pPr>
      <w:ind w:firstLineChars="200" w:firstLine="480"/>
    </w:pPr>
    <w:rPr>
      <w:rFonts w:ascii="黑体" w:eastAsia="黑体"/>
      <w:sz w:val="24"/>
    </w:rPr>
  </w:style>
  <w:style w:type="paragraph" w:styleId="a6">
    <w:name w:val="Date"/>
    <w:basedOn w:val="a"/>
    <w:next w:val="a"/>
    <w:qFormat/>
    <w:pPr>
      <w:ind w:leftChars="2500" w:left="100"/>
    </w:pPr>
    <w:rPr>
      <w:rFonts w:ascii="黑体" w:eastAsia="黑体"/>
      <w:sz w:val="24"/>
    </w:rPr>
  </w:style>
  <w:style w:type="paragraph" w:styleId="20">
    <w:name w:val="Body Text Indent 2"/>
    <w:basedOn w:val="a"/>
    <w:link w:val="21"/>
    <w:qFormat/>
    <w:pPr>
      <w:spacing w:after="120" w:line="480" w:lineRule="auto"/>
      <w:ind w:leftChars="200" w:left="420"/>
    </w:pPr>
  </w:style>
  <w:style w:type="paragraph" w:styleId="a7">
    <w:name w:val="footer"/>
    <w:basedOn w:val="a"/>
    <w:link w:val="a8"/>
    <w:uiPriority w:val="99"/>
    <w:qFormat/>
    <w:pPr>
      <w:tabs>
        <w:tab w:val="center" w:pos="4153"/>
        <w:tab w:val="right" w:pos="8306"/>
      </w:tabs>
      <w:snapToGrid w:val="0"/>
      <w:jc w:val="left"/>
    </w:pPr>
    <w:rPr>
      <w:sz w:val="18"/>
      <w:szCs w:val="18"/>
      <w:lang w:val="zh-CN"/>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lang w:val="zh-CN"/>
    </w:rPr>
  </w:style>
  <w:style w:type="character" w:styleId="ab">
    <w:name w:val="page number"/>
    <w:basedOn w:val="a0"/>
    <w:qFormat/>
  </w:style>
  <w:style w:type="character" w:styleId="ac">
    <w:name w:val="line number"/>
    <w:basedOn w:val="a0"/>
    <w:qFormat/>
  </w:style>
  <w:style w:type="character" w:customStyle="1" w:styleId="aa">
    <w:name w:val="页眉 字符"/>
    <w:link w:val="a9"/>
    <w:qFormat/>
    <w:rPr>
      <w:kern w:val="2"/>
      <w:sz w:val="18"/>
      <w:szCs w:val="18"/>
    </w:rPr>
  </w:style>
  <w:style w:type="character" w:customStyle="1" w:styleId="a8">
    <w:name w:val="页脚 字符"/>
    <w:link w:val="a7"/>
    <w:uiPriority w:val="99"/>
    <w:qFormat/>
    <w:rPr>
      <w:kern w:val="2"/>
      <w:sz w:val="18"/>
      <w:szCs w:val="18"/>
    </w:rPr>
  </w:style>
  <w:style w:type="character" w:customStyle="1" w:styleId="a4">
    <w:name w:val="正文文本 字符"/>
    <w:link w:val="a3"/>
    <w:qFormat/>
    <w:rPr>
      <w:kern w:val="2"/>
      <w:sz w:val="21"/>
      <w:szCs w:val="24"/>
    </w:rPr>
  </w:style>
  <w:style w:type="paragraph" w:customStyle="1" w:styleId="CharChar">
    <w:name w:val="Char Char"/>
    <w:basedOn w:val="a"/>
    <w:qFormat/>
    <w:pPr>
      <w:widowControl/>
      <w:spacing w:after="160" w:line="240" w:lineRule="exact"/>
      <w:jc w:val="left"/>
    </w:pPr>
    <w:rPr>
      <w:rFonts w:ascii="Verdana" w:hAnsi="Verdana"/>
      <w:kern w:val="0"/>
      <w:sz w:val="20"/>
      <w:szCs w:val="20"/>
      <w:lang w:eastAsia="en-US"/>
    </w:rPr>
  </w:style>
  <w:style w:type="paragraph" w:styleId="ad">
    <w:name w:val="List Paragraph"/>
    <w:basedOn w:val="a"/>
    <w:uiPriority w:val="99"/>
    <w:qFormat/>
    <w:pPr>
      <w:ind w:firstLineChars="200" w:firstLine="420"/>
    </w:pPr>
  </w:style>
  <w:style w:type="paragraph" w:customStyle="1" w:styleId="CharChar1CharCharCharCharCharCharChar">
    <w:name w:val="Char Char1 Char Char Char Char Char Char Char"/>
    <w:basedOn w:val="a"/>
    <w:qFormat/>
    <w:pPr>
      <w:widowControl/>
      <w:spacing w:after="160" w:line="240" w:lineRule="exact"/>
      <w:jc w:val="left"/>
    </w:pPr>
    <w:rPr>
      <w:rFonts w:ascii="Tahoma" w:eastAsia="Times New Roman" w:hAnsi="Tahoma" w:cs="Tahoma"/>
      <w:kern w:val="0"/>
      <w:sz w:val="20"/>
      <w:szCs w:val="20"/>
      <w:lang w:eastAsia="en-US"/>
    </w:rPr>
  </w:style>
  <w:style w:type="character" w:customStyle="1" w:styleId="21">
    <w:name w:val="正文文本缩进 2 字符"/>
    <w:basedOn w:val="a0"/>
    <w:link w:val="20"/>
    <w:qFormat/>
    <w:rPr>
      <w:kern w:val="2"/>
      <w:sz w:val="21"/>
      <w:szCs w:val="24"/>
    </w:rPr>
  </w:style>
  <w:style w:type="paragraph" w:customStyle="1" w:styleId="CharCharCharCharCharChar1">
    <w:name w:val="Char Char Char Char Char Char1"/>
    <w:basedOn w:val="a"/>
    <w:qFormat/>
    <w:pPr>
      <w:widowControl/>
      <w:spacing w:after="160" w:line="240" w:lineRule="exact"/>
      <w:jc w:val="left"/>
    </w:pPr>
    <w:rPr>
      <w:rFonts w:ascii="Verdana" w:eastAsia="仿宋_GB2312" w:hAnsi="Verdana"/>
      <w:kern w:val="0"/>
      <w:sz w:val="24"/>
      <w:szCs w:val="20"/>
      <w:lang w:eastAsia="en-US"/>
    </w:rPr>
  </w:style>
  <w:style w:type="paragraph" w:customStyle="1" w:styleId="ae">
    <w:name w:val="段"/>
    <w:link w:val="Char"/>
    <w:qFormat/>
    <w:pPr>
      <w:autoSpaceDE w:val="0"/>
      <w:autoSpaceDN w:val="0"/>
      <w:ind w:firstLineChars="200" w:firstLine="200"/>
      <w:jc w:val="both"/>
    </w:pPr>
    <w:rPr>
      <w:rFonts w:ascii="宋体" w:hAnsi="Times New Roman"/>
      <w:sz w:val="21"/>
    </w:rPr>
  </w:style>
  <w:style w:type="character" w:customStyle="1" w:styleId="Char">
    <w:name w:val="段 Char"/>
    <w:link w:val="ae"/>
    <w:qFormat/>
    <w:rPr>
      <w:rFonts w:ascii="宋体"/>
      <w:sz w:val="21"/>
    </w:rPr>
  </w:style>
  <w:style w:type="paragraph" w:customStyle="1" w:styleId="22">
    <w:name w:val="样式 一般正文 + 首行缩进:  2 字符"/>
    <w:basedOn w:val="a"/>
    <w:uiPriority w:val="99"/>
    <w:qFormat/>
    <w:pPr>
      <w:spacing w:after="80" w:line="360" w:lineRule="auto"/>
      <w:ind w:firstLineChars="200" w:firstLine="480"/>
    </w:pPr>
    <w:rPr>
      <w:rFonts w:cs="宋体"/>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baike.baidu.com/item/%E5%8E%8B%E5%B7%AE%E5%BC%8F%E6%B5%81%E9%87%8F%E5%BC%80%E5%85%B3/9579093?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A6CAB-4B2F-4BDD-836D-33A521202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528</Words>
  <Characters>3013</Characters>
  <Application>Microsoft Office Word</Application>
  <DocSecurity>0</DocSecurity>
  <Lines>25</Lines>
  <Paragraphs>7</Paragraphs>
  <ScaleCrop>false</ScaleCrop>
  <Company>SIMT</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YT</dc:creator>
  <cp:lastModifiedBy>youtao yang</cp:lastModifiedBy>
  <cp:revision>3</cp:revision>
  <cp:lastPrinted>2015-03-11T06:23:00Z</cp:lastPrinted>
  <dcterms:created xsi:type="dcterms:W3CDTF">2022-02-28T07:24:00Z</dcterms:created>
  <dcterms:modified xsi:type="dcterms:W3CDTF">2024-10-11T08:05:00Z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8E755B00D4CD4B8EA9B45A2486B491FC_12</vt:lpwstr>
  </property>
</Properties>
</file>