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spacing w:before="0" w:after="0" w:line="300" w:lineRule="auto"/>
        <w:jc w:val="center"/>
        <w:rPr>
          <w:rFonts w:ascii="Times New Roman"/>
          <w:sz w:val="32"/>
          <w:szCs w:val="32"/>
        </w:rPr>
      </w:pPr>
      <w:r>
        <w:rPr>
          <w:rFonts w:hint="eastAsia" w:ascii="Times New Roman"/>
          <w:bCs/>
          <w:sz w:val="32"/>
          <w:szCs w:val="32"/>
        </w:rPr>
        <w:t xml:space="preserve"> </w:t>
      </w:r>
      <w:r>
        <w:rPr>
          <w:rFonts w:ascii="Times New Roman"/>
          <w:bCs/>
          <w:sz w:val="32"/>
          <w:szCs w:val="32"/>
        </w:rPr>
        <w:t>《</w:t>
      </w:r>
      <w:r>
        <w:rPr>
          <w:rFonts w:hint="eastAsia" w:ascii="Times New Roman"/>
          <w:bCs/>
          <w:sz w:val="32"/>
          <w:szCs w:val="32"/>
        </w:rPr>
        <w:t>可调谐窄带辐亮度源</w:t>
      </w:r>
      <w:r>
        <w:rPr>
          <w:rFonts w:ascii="Times New Roman"/>
          <w:bCs/>
          <w:sz w:val="32"/>
          <w:szCs w:val="32"/>
        </w:rPr>
        <w:t>》</w:t>
      </w:r>
      <w:r>
        <w:rPr>
          <w:rFonts w:hint="eastAsia" w:ascii="Times New Roman"/>
          <w:bCs/>
          <w:sz w:val="32"/>
          <w:szCs w:val="32"/>
        </w:rPr>
        <w:t>校准规范</w:t>
      </w:r>
      <w:r>
        <w:rPr>
          <w:rFonts w:hint="eastAsia" w:ascii="Times New Roman"/>
          <w:sz w:val="32"/>
          <w:szCs w:val="32"/>
        </w:rPr>
        <w:t>编制</w:t>
      </w:r>
      <w:r>
        <w:rPr>
          <w:rFonts w:ascii="Times New Roman"/>
          <w:sz w:val="32"/>
          <w:szCs w:val="32"/>
        </w:rPr>
        <w:t>说明</w:t>
      </w:r>
    </w:p>
    <w:p>
      <w:pPr>
        <w:rPr>
          <w:rFonts w:hint="eastAsia"/>
        </w:rPr>
      </w:pPr>
    </w:p>
    <w:p>
      <w:pPr>
        <w:numPr>
          <w:ilvl w:val="0"/>
          <w:numId w:val="2"/>
        </w:numPr>
        <w:tabs>
          <w:tab w:val="left" w:pos="720"/>
          <w:tab w:val="clear" w:pos="917"/>
        </w:tabs>
        <w:spacing w:line="300" w:lineRule="auto"/>
        <w:ind w:right="21" w:hanging="917"/>
        <w:rPr>
          <w:rFonts w:eastAsia="黑体"/>
          <w:sz w:val="28"/>
        </w:rPr>
      </w:pPr>
      <w:r>
        <w:rPr>
          <w:rFonts w:eastAsia="黑体"/>
          <w:sz w:val="28"/>
        </w:rPr>
        <w:t>任务来源</w:t>
      </w:r>
    </w:p>
    <w:p>
      <w:pPr>
        <w:pStyle w:val="3"/>
        <w:spacing w:line="300" w:lineRule="auto"/>
        <w:ind w:firstLine="540"/>
        <w:rPr>
          <w:rFonts w:ascii="Times New Roman"/>
          <w:b w:val="0"/>
        </w:rPr>
      </w:pPr>
      <w:r>
        <w:rPr>
          <w:rFonts w:ascii="Times New Roman"/>
          <w:b w:val="0"/>
        </w:rPr>
        <w:t>根据国家</w:t>
      </w:r>
      <w:r>
        <w:rPr>
          <w:rFonts w:hint="eastAsia" w:ascii="Times New Roman"/>
          <w:b w:val="0"/>
        </w:rPr>
        <w:t>市场监督管理总</w:t>
      </w:r>
      <w:r>
        <w:rPr>
          <w:rFonts w:ascii="Times New Roman"/>
          <w:b w:val="0"/>
        </w:rPr>
        <w:t>局</w:t>
      </w:r>
      <w:r>
        <w:rPr>
          <w:rFonts w:hint="eastAsia" w:ascii="Times New Roman"/>
          <w:b w:val="0"/>
        </w:rPr>
        <w:t>办公厅</w:t>
      </w:r>
      <w:r>
        <w:rPr>
          <w:rFonts w:ascii="Times New Roman"/>
          <w:b w:val="0"/>
        </w:rPr>
        <w:t>文件和全国光学计量技术委员会文件，受全国光学计量技术委员会的委托，由</w:t>
      </w:r>
      <w:r>
        <w:rPr>
          <w:rFonts w:hint="eastAsia" w:ascii="Times New Roman"/>
          <w:b w:val="0"/>
        </w:rPr>
        <w:t>中国计量科学</w:t>
      </w:r>
      <w:r>
        <w:rPr>
          <w:rFonts w:ascii="Times New Roman"/>
          <w:b w:val="0"/>
        </w:rPr>
        <w:t>研究院负责</w:t>
      </w:r>
      <w:r>
        <w:rPr>
          <w:rFonts w:hint="eastAsia" w:ascii="Times New Roman"/>
          <w:b w:val="0"/>
        </w:rPr>
        <w:t>编制</w:t>
      </w:r>
      <w:r>
        <w:rPr>
          <w:rFonts w:ascii="Times New Roman"/>
          <w:b w:val="0"/>
        </w:rPr>
        <w:t>《</w:t>
      </w:r>
      <w:r>
        <w:rPr>
          <w:rFonts w:hint="eastAsia" w:ascii="Times New Roman"/>
          <w:b w:val="0"/>
        </w:rPr>
        <w:t>可调谐窄带辐亮度源</w:t>
      </w:r>
      <w:r>
        <w:rPr>
          <w:rFonts w:ascii="Times New Roman"/>
          <w:b w:val="0"/>
        </w:rPr>
        <w:t>》</w:t>
      </w:r>
      <w:r>
        <w:rPr>
          <w:rFonts w:hint="eastAsia" w:ascii="Times New Roman"/>
          <w:b w:val="0"/>
        </w:rPr>
        <w:t>校准规范</w:t>
      </w:r>
      <w:r>
        <w:rPr>
          <w:rFonts w:ascii="Times New Roman"/>
          <w:b w:val="0"/>
        </w:rPr>
        <w:t>。</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w:t>
      </w:r>
      <w:r>
        <w:rPr>
          <w:rFonts w:eastAsia="黑体"/>
          <w:sz w:val="28"/>
        </w:rPr>
        <w:t>依据</w:t>
      </w:r>
    </w:p>
    <w:p>
      <w:pPr>
        <w:pStyle w:val="4"/>
        <w:spacing w:after="0" w:line="400" w:lineRule="exact"/>
        <w:ind w:left="-2" w:leftChars="-1" w:firstLine="428"/>
        <w:rPr>
          <w:sz w:val="24"/>
          <w:szCs w:val="24"/>
        </w:rPr>
      </w:pPr>
      <w:r>
        <w:rPr>
          <w:sz w:val="24"/>
          <w:szCs w:val="24"/>
        </w:rPr>
        <w:t>JJF 1001       通用计量名词术语</w:t>
      </w:r>
    </w:p>
    <w:p>
      <w:pPr>
        <w:pStyle w:val="5"/>
        <w:spacing w:after="0" w:line="400" w:lineRule="exact"/>
        <w:ind w:left="-2" w:leftChars="-1" w:firstLine="428"/>
        <w:rPr>
          <w:sz w:val="24"/>
          <w:szCs w:val="24"/>
        </w:rPr>
      </w:pPr>
      <w:r>
        <w:rPr>
          <w:sz w:val="24"/>
          <w:szCs w:val="24"/>
        </w:rPr>
        <w:t>JJF 1071       国家计量校准规范编写规则</w:t>
      </w:r>
    </w:p>
    <w:p>
      <w:pPr>
        <w:pStyle w:val="5"/>
        <w:spacing w:after="0" w:line="400" w:lineRule="exact"/>
        <w:ind w:left="-2" w:leftChars="-1" w:firstLine="428"/>
        <w:rPr>
          <w:sz w:val="24"/>
          <w:szCs w:val="24"/>
        </w:rPr>
      </w:pPr>
      <w:r>
        <w:fldChar w:fldCharType="begin"/>
      </w:r>
      <w:r>
        <w:instrText xml:space="preserve"> HYPERLINK "http://www.so.com/link?m=aiiz013HghxhXalPBWsJ8%2BywH0H%2FkA7bnO9uoHsckET9Unawa3RhByDGecfBJ3MYUbymymSO1k5hUVFdkkePJO6CPC0tWpaiE7OKbfqKaO%2FL29713zeTZbA%3D%3D" \t "_blank" </w:instrText>
      </w:r>
      <w:r>
        <w:fldChar w:fldCharType="separate"/>
      </w:r>
      <w:r>
        <w:rPr>
          <w:sz w:val="24"/>
          <w:szCs w:val="24"/>
        </w:rPr>
        <w:t>JJF 1032       光学辐射计量名词术语及定义</w:t>
      </w:r>
      <w:r>
        <w:rPr>
          <w:sz w:val="24"/>
          <w:szCs w:val="24"/>
        </w:rPr>
        <w:fldChar w:fldCharType="end"/>
      </w:r>
    </w:p>
    <w:p>
      <w:pPr>
        <w:pStyle w:val="3"/>
        <w:spacing w:line="400" w:lineRule="exact"/>
        <w:ind w:left="-2" w:leftChars="-1" w:firstLine="428"/>
        <w:rPr>
          <w:rFonts w:ascii="Times New Roman"/>
          <w:b w:val="0"/>
          <w:szCs w:val="24"/>
        </w:rPr>
      </w:pPr>
      <w:r>
        <w:rPr>
          <w:rFonts w:ascii="Times New Roman"/>
          <w:b w:val="0"/>
          <w:szCs w:val="24"/>
        </w:rPr>
        <w:t>JJF 1059.1     测量不确定度评定与表示</w:t>
      </w:r>
    </w:p>
    <w:p>
      <w:pPr>
        <w:pStyle w:val="5"/>
        <w:spacing w:after="0" w:line="400" w:lineRule="exact"/>
        <w:ind w:left="-2" w:leftChars="-1" w:firstLine="428"/>
        <w:rPr>
          <w:rFonts w:hint="default"/>
          <w:sz w:val="24"/>
          <w:szCs w:val="24"/>
        </w:rPr>
      </w:pPr>
      <w:r>
        <w:rPr>
          <w:rFonts w:hint="default"/>
          <w:sz w:val="24"/>
          <w:szCs w:val="24"/>
        </w:rPr>
        <w:t xml:space="preserve">JJF 1990-2022 </w:t>
      </w:r>
      <w:r>
        <w:rPr>
          <w:rFonts w:hint="eastAsia"/>
          <w:sz w:val="24"/>
          <w:szCs w:val="24"/>
          <w:lang w:val="en-US" w:eastAsia="zh-CN"/>
        </w:rPr>
        <w:t xml:space="preserve">   </w:t>
      </w:r>
      <w:r>
        <w:rPr>
          <w:rFonts w:hint="default"/>
          <w:sz w:val="24"/>
          <w:szCs w:val="24"/>
        </w:rPr>
        <w:t>积分球式标准光源校准规范</w:t>
      </w:r>
    </w:p>
    <w:p>
      <w:pPr>
        <w:pStyle w:val="4"/>
        <w:spacing w:after="0" w:line="400" w:lineRule="exact"/>
        <w:ind w:left="2552" w:leftChars="202" w:hanging="2128" w:hangingChars="887"/>
        <w:rPr>
          <w:sz w:val="24"/>
          <w:szCs w:val="24"/>
        </w:rPr>
      </w:pPr>
      <w:r>
        <w:rPr>
          <w:rFonts w:hint="eastAsia"/>
          <w:color w:val="000000"/>
          <w:sz w:val="24"/>
        </w:rPr>
        <w:t>使用本校准规范时，应注意使用上述引用文件的现行有效版本。</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与</w:t>
      </w:r>
      <w:r>
        <w:rPr>
          <w:rFonts w:eastAsia="黑体"/>
          <w:sz w:val="28"/>
        </w:rPr>
        <w:t>国际建议、标准的关系</w:t>
      </w:r>
    </w:p>
    <w:p>
      <w:pPr>
        <w:spacing w:line="300" w:lineRule="auto"/>
        <w:ind w:right="21" w:firstLine="424" w:firstLineChars="177"/>
        <w:rPr>
          <w:sz w:val="24"/>
        </w:rPr>
      </w:pPr>
      <w:r>
        <w:rPr>
          <w:rFonts w:hint="eastAsia"/>
          <w:sz w:val="24"/>
          <w:lang w:val="en-US" w:eastAsia="zh-CN"/>
        </w:rPr>
        <w:t>无</w:t>
      </w:r>
      <w:r>
        <w:rPr>
          <w:sz w:val="24"/>
        </w:rPr>
        <w:t>。</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编制背景</w:t>
      </w:r>
    </w:p>
    <w:p>
      <w:pPr>
        <w:spacing w:line="360" w:lineRule="auto"/>
        <w:ind w:firstLine="480" w:firstLineChars="200"/>
        <w:rPr>
          <w:rFonts w:hint="eastAsia" w:eastAsia="宋体"/>
          <w:sz w:val="24"/>
          <w:szCs w:val="24"/>
          <w:lang w:eastAsia="zh-CN"/>
        </w:rPr>
      </w:pPr>
      <w:r>
        <w:rPr>
          <w:rFonts w:hint="eastAsia"/>
          <w:sz w:val="24"/>
          <w:szCs w:val="24"/>
        </w:rPr>
        <w:t>随着激光显示、</w:t>
      </w:r>
      <w:r>
        <w:rPr>
          <w:rFonts w:hint="eastAsia"/>
          <w:sz w:val="24"/>
          <w:szCs w:val="24"/>
          <w:lang w:val="en-US" w:eastAsia="zh-CN"/>
        </w:rPr>
        <w:t>辐射</w:t>
      </w:r>
      <w:r>
        <w:rPr>
          <w:rFonts w:hint="eastAsia"/>
          <w:sz w:val="24"/>
          <w:szCs w:val="24"/>
        </w:rPr>
        <w:t>遥感、高光谱成像、植被指数测量等应用的发展，可调谐窄带辐亮度源广泛用于以上应用中</w:t>
      </w:r>
      <w:r>
        <w:rPr>
          <w:rFonts w:hint="eastAsia"/>
          <w:sz w:val="24"/>
          <w:szCs w:val="24"/>
          <w:lang w:eastAsia="zh-CN"/>
        </w:rPr>
        <w:t>，</w:t>
      </w:r>
      <w:r>
        <w:rPr>
          <w:rFonts w:hint="eastAsia"/>
          <w:sz w:val="24"/>
          <w:szCs w:val="24"/>
          <w:lang w:val="en-US" w:eastAsia="zh-CN"/>
        </w:rPr>
        <w:t>普遍用做照明光源、测试光源或溯源用标准光源</w:t>
      </w:r>
      <w:r>
        <w:rPr>
          <w:rFonts w:hint="eastAsia"/>
          <w:sz w:val="24"/>
          <w:szCs w:val="24"/>
        </w:rPr>
        <w:t>。</w:t>
      </w:r>
      <w:r>
        <w:rPr>
          <w:rFonts w:hint="eastAsia"/>
          <w:sz w:val="24"/>
          <w:szCs w:val="24"/>
          <w:lang w:val="en-US" w:eastAsia="zh-CN"/>
        </w:rPr>
        <w:t>如基于可调谐激光器的积分球光源由</w:t>
      </w:r>
      <w:r>
        <w:rPr>
          <w:rFonts w:hint="eastAsia"/>
          <w:sz w:val="24"/>
          <w:szCs w:val="24"/>
        </w:rPr>
        <w:t>于其单波长或者窄带光谱</w:t>
      </w:r>
      <w:r>
        <w:rPr>
          <w:rFonts w:hint="eastAsia"/>
          <w:sz w:val="24"/>
          <w:szCs w:val="24"/>
          <w:lang w:val="en-US" w:eastAsia="zh-CN"/>
        </w:rPr>
        <w:t>的输出</w:t>
      </w:r>
      <w:r>
        <w:rPr>
          <w:rFonts w:hint="eastAsia"/>
          <w:sz w:val="24"/>
          <w:szCs w:val="24"/>
        </w:rPr>
        <w:t>特性，能够对</w:t>
      </w:r>
      <w:r>
        <w:rPr>
          <w:rFonts w:hint="eastAsia"/>
          <w:sz w:val="24"/>
          <w:szCs w:val="24"/>
          <w:lang w:val="en-US" w:eastAsia="zh-CN"/>
        </w:rPr>
        <w:t>光谱测量仪器在指定波长点的</w:t>
      </w:r>
      <w:r>
        <w:rPr>
          <w:rFonts w:hint="eastAsia"/>
          <w:sz w:val="24"/>
          <w:szCs w:val="24"/>
        </w:rPr>
        <w:t>辐亮度</w:t>
      </w:r>
      <w:r>
        <w:rPr>
          <w:rFonts w:hint="eastAsia"/>
          <w:sz w:val="24"/>
          <w:szCs w:val="24"/>
          <w:lang w:val="en-US" w:eastAsia="zh-CN"/>
        </w:rPr>
        <w:t>进行高精度量值传递；并且由于其一定范围内内波长可调谐，可以对光谱测量仪器在指定范围内的相对光谱辐亮度响应度进行高精度定标</w:t>
      </w:r>
      <w:r>
        <w:rPr>
          <w:rFonts w:hint="eastAsia"/>
          <w:sz w:val="24"/>
          <w:szCs w:val="24"/>
        </w:rPr>
        <w:t>，</w:t>
      </w:r>
      <w:r>
        <w:rPr>
          <w:rFonts w:hint="eastAsia"/>
          <w:sz w:val="24"/>
          <w:szCs w:val="24"/>
          <w:lang w:val="en-US" w:eastAsia="zh-CN"/>
        </w:rPr>
        <w:t>所以</w:t>
      </w:r>
      <w:r>
        <w:rPr>
          <w:rFonts w:hint="eastAsia"/>
          <w:sz w:val="24"/>
          <w:szCs w:val="24"/>
        </w:rPr>
        <w:t>是光辐射测量应用中重要的</w:t>
      </w:r>
      <w:r>
        <w:rPr>
          <w:rFonts w:hint="eastAsia"/>
          <w:sz w:val="24"/>
          <w:szCs w:val="24"/>
          <w:lang w:val="en-US" w:eastAsia="zh-CN"/>
        </w:rPr>
        <w:t>光源系统</w:t>
      </w:r>
      <w:r>
        <w:rPr>
          <w:rFonts w:hint="eastAsia"/>
          <w:sz w:val="24"/>
          <w:szCs w:val="24"/>
        </w:rPr>
        <w:t>。随着基于</w:t>
      </w:r>
      <w:r>
        <w:rPr>
          <w:rFonts w:hint="eastAsia"/>
          <w:sz w:val="24"/>
          <w:szCs w:val="24"/>
          <w:lang w:val="en-US" w:eastAsia="zh-CN"/>
        </w:rPr>
        <w:t>窄线宽光源</w:t>
      </w:r>
      <w:r>
        <w:rPr>
          <w:rFonts w:hint="eastAsia"/>
          <w:sz w:val="24"/>
          <w:szCs w:val="24"/>
        </w:rPr>
        <w:t>的光辐射计量水平提高，</w:t>
      </w:r>
      <w:r>
        <w:rPr>
          <w:rFonts w:hint="eastAsia"/>
          <w:sz w:val="24"/>
          <w:szCs w:val="24"/>
          <w:lang w:val="en-US" w:eastAsia="zh-CN"/>
        </w:rPr>
        <w:t>迫切需要出台规范化的计量技术文件</w:t>
      </w:r>
      <w:r>
        <w:rPr>
          <w:rFonts w:hint="eastAsia"/>
          <w:sz w:val="24"/>
          <w:szCs w:val="24"/>
          <w:lang w:eastAsia="zh-CN"/>
        </w:rPr>
        <w:t>。</w:t>
      </w:r>
    </w:p>
    <w:p>
      <w:pPr>
        <w:spacing w:line="360" w:lineRule="auto"/>
        <w:ind w:firstLine="480" w:firstLineChars="200"/>
        <w:rPr>
          <w:sz w:val="24"/>
          <w:szCs w:val="24"/>
        </w:rPr>
      </w:pPr>
      <w:r>
        <w:rPr>
          <w:rFonts w:hint="eastAsia"/>
          <w:sz w:val="24"/>
          <w:szCs w:val="24"/>
        </w:rPr>
        <w:t>本标准针对了可调谐窄带辐亮度源的计量问题，规定了</w:t>
      </w:r>
      <w:r>
        <w:rPr>
          <w:rFonts w:hint="eastAsia"/>
          <w:sz w:val="24"/>
          <w:szCs w:val="24"/>
          <w:lang w:val="en-US" w:eastAsia="zh-CN"/>
        </w:rPr>
        <w:t>输出</w:t>
      </w:r>
      <w:r>
        <w:rPr>
          <w:rFonts w:hint="eastAsia"/>
          <w:sz w:val="24"/>
        </w:rPr>
        <w:t>波长</w:t>
      </w:r>
      <w:r>
        <w:rPr>
          <w:rFonts w:hint="eastAsia"/>
          <w:sz w:val="24"/>
          <w:lang w:eastAsia="zh-CN"/>
        </w:rPr>
        <w:t>、输出稳定度、激输出辐亮度、辐亮度面均匀性</w:t>
      </w:r>
      <w:r>
        <w:rPr>
          <w:rFonts w:hint="eastAsia"/>
          <w:sz w:val="24"/>
          <w:szCs w:val="24"/>
          <w:lang w:val="en-US" w:eastAsia="zh-CN"/>
        </w:rPr>
        <w:t>等</w:t>
      </w:r>
      <w:r>
        <w:rPr>
          <w:rFonts w:hint="eastAsia"/>
          <w:sz w:val="24"/>
          <w:szCs w:val="24"/>
        </w:rPr>
        <w:t>关键参数的校准方法以及溯源路径，解决了可调谐窄带辐亮度源在新技术应用中的痛点问题，更进一步保障此类仪器在光电测量中的研究应用，因此制定《可调谐窄带辐亮度源</w:t>
      </w:r>
      <w:r>
        <w:rPr>
          <w:rFonts w:hint="eastAsia"/>
          <w:sz w:val="24"/>
          <w:szCs w:val="24"/>
          <w:lang w:val="en-US" w:eastAsia="zh-CN"/>
        </w:rPr>
        <w:t>校准规范</w:t>
      </w:r>
      <w:r>
        <w:rPr>
          <w:rFonts w:hint="eastAsia"/>
          <w:sz w:val="24"/>
          <w:szCs w:val="24"/>
        </w:rPr>
        <w:t>》。</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编制过程</w:t>
      </w:r>
    </w:p>
    <w:p>
      <w:pPr>
        <w:pStyle w:val="26"/>
        <w:spacing w:line="360" w:lineRule="auto"/>
        <w:ind w:firstLine="480" w:firstLineChars="200"/>
        <w:rPr>
          <w:rFonts w:ascii="Times New Roman" w:hAnsi="Times New Roman" w:cs="Times New Roman"/>
          <w:color w:val="auto"/>
          <w:highlight w:val="cyan"/>
        </w:rPr>
      </w:pPr>
      <w:r>
        <w:rPr>
          <w:rFonts w:hint="eastAsia" w:ascii="Times New Roman" w:hAnsi="Times New Roman" w:cs="Times New Roman"/>
          <w:color w:val="auto"/>
        </w:rPr>
        <w:t>起草小组接到任务后制定了规范起草计划，拟定了编写提纲，按计划进行了校准规范的编写。中国计量科学研究院前期开展了</w:t>
      </w:r>
      <w:r>
        <w:rPr>
          <w:rFonts w:hint="eastAsia" w:ascii="Times New Roman" w:hAnsi="Times New Roman" w:cs="Times New Roman"/>
          <w:color w:val="auto"/>
          <w:lang w:val="en-US" w:eastAsia="zh-CN"/>
        </w:rPr>
        <w:t>可调谐激光辐亮度源的研究与测量</w:t>
      </w:r>
      <w:r>
        <w:rPr>
          <w:rFonts w:hint="eastAsia" w:ascii="Times New Roman" w:hAnsi="Times New Roman" w:cs="Times New Roman"/>
          <w:color w:val="auto"/>
        </w:rPr>
        <w:t>工作，建立了基于</w:t>
      </w:r>
      <w:r>
        <w:rPr>
          <w:rFonts w:hint="eastAsia" w:ascii="Times New Roman" w:hAnsi="Times New Roman" w:cs="Times New Roman"/>
          <w:color w:val="auto"/>
          <w:lang w:val="en-US" w:eastAsia="zh-CN"/>
        </w:rPr>
        <w:t>探测器的激光波长辐射亮度源测量装置，将窄线宽辐射亮度值溯源至</w:t>
      </w:r>
      <w:r>
        <w:rPr>
          <w:rFonts w:hint="eastAsia" w:ascii="Times New Roman" w:hAnsi="Times New Roman" w:cs="Times New Roman"/>
          <w:color w:val="auto"/>
        </w:rPr>
        <w:t>低温辐射计的探测器光谱响应度测量装置</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系统的梳理了该量值的溯源路径</w:t>
      </w:r>
      <w:r>
        <w:rPr>
          <w:rFonts w:hint="eastAsia" w:ascii="Times New Roman" w:hAnsi="Times New Roman" w:cs="Times New Roman"/>
          <w:color w:val="auto"/>
        </w:rPr>
        <w:t>。</w:t>
      </w:r>
      <w:r>
        <w:rPr>
          <w:rFonts w:hint="eastAsia" w:ascii="Times New Roman" w:hAnsi="Times New Roman" w:cs="Times New Roman"/>
          <w:color w:val="auto"/>
        </w:rPr>
        <w:t>起草小组查阅了大量有关的文献、标准及文章，并与仪器生产商和用户进行了交流，对校准项目和校准方法的可行性进行了验证。中国计量科学研究院进行了实验验证，考察了</w:t>
      </w:r>
      <w:r>
        <w:rPr>
          <w:rFonts w:hint="eastAsia" w:ascii="Times New Roman"/>
          <w:b w:val="0"/>
        </w:rPr>
        <w:t>可调谐窄带辐亮度源</w:t>
      </w:r>
      <w:r>
        <w:rPr>
          <w:rFonts w:hint="eastAsia" w:ascii="Times New Roman" w:hAnsi="Times New Roman" w:cs="Times New Roman"/>
          <w:color w:val="auto"/>
        </w:rPr>
        <w:t>的计量特性。通过大量的实验工作。起草小组对于计量特性、量值传递方法、测试设备要求、主要不确定度来源等方面积累了丰富的经验，</w:t>
      </w:r>
      <w:r>
        <w:rPr>
          <w:rFonts w:hint="eastAsia" w:ascii="Times New Roman" w:hAnsi="Times New Roman" w:cs="Times New Roman"/>
          <w:color w:val="auto"/>
          <w:highlight w:val="none"/>
        </w:rPr>
        <w:t>于</w:t>
      </w:r>
      <w:r>
        <w:rPr>
          <w:rFonts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rPr>
        <w:t>月形成校准规范的征求意见稿。</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主要内容和说明</w:t>
      </w:r>
    </w:p>
    <w:p>
      <w:pPr>
        <w:spacing w:line="336" w:lineRule="auto"/>
        <w:ind w:firstLine="480" w:firstLineChars="200"/>
        <w:rPr>
          <w:sz w:val="24"/>
        </w:rPr>
      </w:pPr>
      <w:r>
        <w:rPr>
          <w:rFonts w:hint="eastAsia"/>
          <w:sz w:val="24"/>
        </w:rPr>
        <w:t>本规范主要由范围、引用文件、术语和计量单位、概述、计量特性、校准条件、校准项目和校准方法、校准结果表达、复校时间间隔和附录等</w:t>
      </w:r>
      <w:r>
        <w:rPr>
          <w:sz w:val="24"/>
        </w:rPr>
        <w:t>9</w:t>
      </w:r>
      <w:r>
        <w:rPr>
          <w:rFonts w:hint="eastAsia"/>
          <w:sz w:val="24"/>
        </w:rPr>
        <w:t>个部分组成。</w:t>
      </w:r>
    </w:p>
    <w:p>
      <w:pPr>
        <w:spacing w:line="336" w:lineRule="auto"/>
        <w:ind w:firstLine="480" w:firstLineChars="200"/>
        <w:rPr>
          <w:sz w:val="24"/>
        </w:rPr>
      </w:pPr>
      <w:r>
        <w:rPr>
          <w:rFonts w:hint="eastAsia"/>
          <w:sz w:val="24"/>
        </w:rPr>
        <w:t>具体包括的内容和说明如下：</w:t>
      </w:r>
    </w:p>
    <w:p>
      <w:pPr>
        <w:numPr>
          <w:ilvl w:val="0"/>
          <w:numId w:val="3"/>
        </w:numPr>
        <w:spacing w:line="336" w:lineRule="auto"/>
        <w:rPr>
          <w:sz w:val="24"/>
        </w:rPr>
      </w:pPr>
      <w:r>
        <w:rPr>
          <w:rFonts w:hint="eastAsia"/>
          <w:sz w:val="24"/>
        </w:rPr>
        <w:t>范围 定了本校准规范的适用范围。</w:t>
      </w:r>
    </w:p>
    <w:p>
      <w:pPr>
        <w:numPr>
          <w:ilvl w:val="0"/>
          <w:numId w:val="3"/>
        </w:numPr>
        <w:spacing w:line="336" w:lineRule="auto"/>
        <w:rPr>
          <w:sz w:val="24"/>
        </w:rPr>
      </w:pPr>
      <w:r>
        <w:rPr>
          <w:rFonts w:hint="eastAsia"/>
          <w:sz w:val="24"/>
        </w:rPr>
        <w:t xml:space="preserve">引用文件 </w:t>
      </w:r>
      <w:r>
        <w:rPr>
          <w:sz w:val="24"/>
        </w:rPr>
        <w:t xml:space="preserve"> </w:t>
      </w:r>
      <w:r>
        <w:rPr>
          <w:rFonts w:hint="eastAsia"/>
          <w:sz w:val="24"/>
        </w:rPr>
        <w:t>引用了</w:t>
      </w:r>
      <w:r>
        <w:rPr>
          <w:rFonts w:hint="eastAsia"/>
          <w:sz w:val="24"/>
          <w:lang w:val="en-US" w:eastAsia="zh-CN"/>
        </w:rPr>
        <w:t>校准规范</w:t>
      </w:r>
      <w:r>
        <w:rPr>
          <w:sz w:val="24"/>
        </w:rPr>
        <w:t>1</w:t>
      </w:r>
      <w:r>
        <w:rPr>
          <w:rFonts w:hint="eastAsia"/>
          <w:sz w:val="24"/>
        </w:rPr>
        <w:t>个。</w:t>
      </w:r>
    </w:p>
    <w:p>
      <w:pPr>
        <w:numPr>
          <w:ilvl w:val="0"/>
          <w:numId w:val="3"/>
        </w:numPr>
        <w:spacing w:line="336" w:lineRule="auto"/>
        <w:rPr>
          <w:color w:val="FF0000"/>
          <w:sz w:val="24"/>
        </w:rPr>
      </w:pPr>
      <w:r>
        <w:rPr>
          <w:rFonts w:hint="eastAsia"/>
          <w:sz w:val="24"/>
        </w:rPr>
        <w:t xml:space="preserve">术语和计量单位 </w:t>
      </w:r>
      <w:r>
        <w:rPr>
          <w:rFonts w:hint="eastAsia"/>
          <w:sz w:val="24"/>
          <w:highlight w:val="none"/>
        </w:rPr>
        <w:t>自定义术语</w:t>
      </w:r>
      <w:r>
        <w:rPr>
          <w:rFonts w:hint="eastAsia"/>
          <w:sz w:val="24"/>
          <w:highlight w:val="none"/>
          <w:lang w:val="en-US" w:eastAsia="zh-CN"/>
        </w:rPr>
        <w:t>2</w:t>
      </w:r>
      <w:r>
        <w:rPr>
          <w:rFonts w:hint="eastAsia"/>
          <w:sz w:val="24"/>
          <w:highlight w:val="none"/>
        </w:rPr>
        <w:t>个：可调谐窄带辐亮度源</w:t>
      </w:r>
      <w:r>
        <w:rPr>
          <w:rFonts w:hint="eastAsia"/>
          <w:sz w:val="24"/>
          <w:highlight w:val="none"/>
          <w:lang w:eastAsia="zh-CN"/>
        </w:rPr>
        <w:t>、</w:t>
      </w:r>
      <w:r>
        <w:rPr>
          <w:rFonts w:hint="eastAsia"/>
          <w:sz w:val="24"/>
          <w:highlight w:val="none"/>
        </w:rPr>
        <w:t>散斑效应。</w:t>
      </w:r>
    </w:p>
    <w:p>
      <w:pPr>
        <w:numPr>
          <w:ilvl w:val="0"/>
          <w:numId w:val="3"/>
        </w:numPr>
        <w:spacing w:line="336" w:lineRule="auto"/>
        <w:rPr>
          <w:sz w:val="24"/>
        </w:rPr>
      </w:pPr>
      <w:r>
        <w:rPr>
          <w:rFonts w:hint="eastAsia"/>
          <w:sz w:val="24"/>
        </w:rPr>
        <w:t xml:space="preserve">概述 </w:t>
      </w:r>
      <w:r>
        <w:rPr>
          <w:sz w:val="24"/>
        </w:rPr>
        <w:t xml:space="preserve"> </w:t>
      </w:r>
      <w:r>
        <w:rPr>
          <w:rFonts w:hint="eastAsia"/>
          <w:sz w:val="24"/>
        </w:rPr>
        <w:t>简要说明被校计量器具的用途和原理。</w:t>
      </w:r>
    </w:p>
    <w:p>
      <w:pPr>
        <w:numPr>
          <w:ilvl w:val="0"/>
          <w:numId w:val="3"/>
        </w:numPr>
        <w:tabs>
          <w:tab w:val="left" w:pos="60"/>
          <w:tab w:val="clear" w:pos="360"/>
        </w:tabs>
        <w:adjustRightInd w:val="0"/>
        <w:spacing w:line="400" w:lineRule="exact"/>
        <w:ind w:left="420"/>
        <w:textAlignment w:val="baseline"/>
        <w:outlineLvl w:val="1"/>
        <w:rPr>
          <w:sz w:val="24"/>
        </w:rPr>
      </w:pPr>
      <w:r>
        <w:rPr>
          <w:rFonts w:hint="eastAsia"/>
          <w:sz w:val="24"/>
        </w:rPr>
        <w:t xml:space="preserve">计量特性 </w:t>
      </w:r>
      <w:r>
        <w:rPr>
          <w:sz w:val="24"/>
        </w:rPr>
        <w:t xml:space="preserve"> </w:t>
      </w:r>
      <w:r>
        <w:rPr>
          <w:rFonts w:hint="eastAsia"/>
          <w:sz w:val="24"/>
          <w:lang w:val="en-US" w:eastAsia="zh-CN"/>
        </w:rPr>
        <w:t>输出</w:t>
      </w:r>
      <w:r>
        <w:rPr>
          <w:rFonts w:hint="eastAsia"/>
          <w:sz w:val="24"/>
        </w:rPr>
        <w:t>波长</w:t>
      </w:r>
      <w:r>
        <w:rPr>
          <w:rFonts w:hint="eastAsia"/>
          <w:sz w:val="24"/>
          <w:lang w:eastAsia="zh-CN"/>
        </w:rPr>
        <w:t>、输出稳定度、输出辐亮度、辐亮度面均匀性</w:t>
      </w:r>
      <w:r>
        <w:rPr>
          <w:rFonts w:hint="eastAsia"/>
          <w:sz w:val="24"/>
        </w:rPr>
        <w:t>；</w:t>
      </w:r>
    </w:p>
    <w:p>
      <w:pPr>
        <w:numPr>
          <w:ilvl w:val="0"/>
          <w:numId w:val="3"/>
        </w:numPr>
        <w:tabs>
          <w:tab w:val="left" w:pos="142"/>
          <w:tab w:val="clear" w:pos="360"/>
        </w:tabs>
        <w:spacing w:line="400" w:lineRule="exact"/>
        <w:ind w:left="-2" w:leftChars="-1" w:firstLine="2"/>
        <w:rPr>
          <w:sz w:val="24"/>
        </w:rPr>
      </w:pPr>
      <w:r>
        <w:rPr>
          <w:rFonts w:hint="eastAsia"/>
          <w:sz w:val="24"/>
        </w:rPr>
        <w:t>校准条件 规定了环境条件和测量标准及其他设备要求。</w:t>
      </w:r>
    </w:p>
    <w:p>
      <w:pPr>
        <w:spacing w:line="400" w:lineRule="exact"/>
        <w:ind w:firstLine="480" w:firstLineChars="200"/>
        <w:rPr>
          <w:sz w:val="24"/>
        </w:rPr>
      </w:pPr>
      <w:r>
        <w:rPr>
          <w:rFonts w:hint="eastAsia"/>
          <w:sz w:val="24"/>
          <w:lang w:val="en-US" w:eastAsia="zh-CN"/>
        </w:rPr>
        <w:t>对</w:t>
      </w:r>
      <w:r>
        <w:rPr>
          <w:rFonts w:hint="eastAsia"/>
          <w:sz w:val="24"/>
        </w:rPr>
        <w:t>主标准器</w:t>
      </w:r>
      <w:r>
        <w:rPr>
          <w:rFonts w:hint="eastAsia"/>
          <w:sz w:val="24"/>
          <w:lang w:val="en-US" w:eastAsia="zh-CN"/>
        </w:rPr>
        <w:t>光波长计、</w:t>
      </w:r>
      <w:r>
        <w:rPr>
          <w:rFonts w:hint="eastAsia"/>
          <w:sz w:val="24"/>
        </w:rPr>
        <w:t>标准辐亮度探测器的特性与扩展不确定度，校准装置的组成及各部分的性能要求，</w:t>
      </w:r>
      <w:r>
        <w:rPr>
          <w:rFonts w:hint="eastAsia"/>
          <w:sz w:val="24"/>
          <w:lang w:val="en-US" w:eastAsia="zh-CN"/>
        </w:rPr>
        <w:t>以及</w:t>
      </w:r>
      <w:r>
        <w:rPr>
          <w:rFonts w:hint="eastAsia"/>
          <w:sz w:val="24"/>
        </w:rPr>
        <w:t>配套设备的性能做了规定。</w:t>
      </w:r>
    </w:p>
    <w:p>
      <w:pPr>
        <w:numPr>
          <w:ilvl w:val="0"/>
          <w:numId w:val="3"/>
        </w:numPr>
        <w:spacing w:line="400" w:lineRule="exact"/>
        <w:rPr>
          <w:sz w:val="24"/>
        </w:rPr>
      </w:pPr>
      <w:r>
        <w:rPr>
          <w:rFonts w:hint="eastAsia"/>
          <w:sz w:val="24"/>
        </w:rPr>
        <w:t>校准项目和校准方法</w:t>
      </w:r>
    </w:p>
    <w:p>
      <w:pPr>
        <w:spacing w:line="400" w:lineRule="exact"/>
        <w:ind w:left="360"/>
        <w:rPr>
          <w:sz w:val="24"/>
        </w:rPr>
      </w:pPr>
      <w:r>
        <w:rPr>
          <w:rFonts w:hint="eastAsia"/>
          <w:sz w:val="24"/>
        </w:rPr>
        <w:t>校准项目为</w:t>
      </w:r>
      <w:r>
        <w:rPr>
          <w:rFonts w:hint="eastAsia"/>
          <w:sz w:val="24"/>
          <w:lang w:val="en-US" w:eastAsia="zh-CN"/>
        </w:rPr>
        <w:t>输出波长</w:t>
      </w:r>
      <w:r>
        <w:rPr>
          <w:rFonts w:hint="eastAsia"/>
          <w:sz w:val="24"/>
        </w:rPr>
        <w:t>、波长调谐分辨率</w:t>
      </w:r>
      <w:r>
        <w:rPr>
          <w:rFonts w:hint="eastAsia"/>
          <w:sz w:val="24"/>
          <w:lang w:eastAsia="zh-CN"/>
        </w:rPr>
        <w:t>、输出稳定度、输出辐亮度、辐亮度面均匀性</w:t>
      </w:r>
      <w:r>
        <w:rPr>
          <w:rFonts w:hint="eastAsia"/>
          <w:sz w:val="24"/>
        </w:rPr>
        <w:t>。</w:t>
      </w:r>
    </w:p>
    <w:p>
      <w:pPr>
        <w:numPr>
          <w:ilvl w:val="0"/>
          <w:numId w:val="3"/>
        </w:numPr>
        <w:spacing w:line="400" w:lineRule="exact"/>
        <w:rPr>
          <w:sz w:val="24"/>
        </w:rPr>
      </w:pPr>
      <w:r>
        <w:rPr>
          <w:rFonts w:hint="eastAsia"/>
          <w:sz w:val="24"/>
        </w:rPr>
        <w:t>校准结果</w:t>
      </w:r>
    </w:p>
    <w:p>
      <w:pPr>
        <w:spacing w:line="400" w:lineRule="exact"/>
        <w:ind w:left="360"/>
        <w:rPr>
          <w:sz w:val="24"/>
        </w:rPr>
      </w:pPr>
      <w:r>
        <w:rPr>
          <w:rFonts w:hint="eastAsia"/>
          <w:sz w:val="24"/>
        </w:rPr>
        <w:t>校准结果应以校准证书的形式给出，对证书应至少包含的信息进行了规定。</w:t>
      </w:r>
    </w:p>
    <w:p>
      <w:pPr>
        <w:numPr>
          <w:ilvl w:val="0"/>
          <w:numId w:val="3"/>
        </w:numPr>
        <w:spacing w:line="400" w:lineRule="exact"/>
        <w:rPr>
          <w:sz w:val="24"/>
        </w:rPr>
      </w:pPr>
      <w:r>
        <w:rPr>
          <w:rFonts w:hint="eastAsia"/>
          <w:sz w:val="24"/>
        </w:rPr>
        <w:t>复校时间间隔建议了辐亮度探测器的校准周期，并对其进行了说明和解释。</w:t>
      </w:r>
    </w:p>
    <w:p>
      <w:pPr>
        <w:pStyle w:val="28"/>
        <w:numPr>
          <w:ilvl w:val="0"/>
          <w:numId w:val="4"/>
        </w:numPr>
        <w:spacing w:line="336" w:lineRule="auto"/>
        <w:ind w:firstLineChars="0"/>
        <w:rPr>
          <w:sz w:val="24"/>
        </w:rPr>
      </w:pPr>
      <w:r>
        <w:rPr>
          <w:rFonts w:hint="eastAsia"/>
          <w:sz w:val="24"/>
        </w:rPr>
        <w:t>附录</w:t>
      </w:r>
    </w:p>
    <w:p>
      <w:pPr>
        <w:spacing w:line="360" w:lineRule="auto"/>
        <w:ind w:firstLine="490"/>
        <w:rPr>
          <w:rFonts w:ascii="黑体" w:eastAsia="黑体"/>
          <w:b/>
          <w:sz w:val="24"/>
          <w:highlight w:val="none"/>
        </w:rPr>
      </w:pPr>
      <w:r>
        <w:rPr>
          <w:rFonts w:hint="eastAsia"/>
          <w:sz w:val="24"/>
          <w:highlight w:val="none"/>
        </w:rPr>
        <w:t>给出了作为参考的校准证书数据页格式和原始积累格式，并对一个</w:t>
      </w:r>
      <w:bookmarkStart w:id="0" w:name="OLE_LINK1"/>
      <w:r>
        <w:rPr>
          <w:rFonts w:hint="eastAsia"/>
          <w:sz w:val="24"/>
          <w:highlight w:val="none"/>
        </w:rPr>
        <w:t>基于可调谐激光的面光源</w:t>
      </w:r>
      <w:bookmarkEnd w:id="0"/>
      <w:r>
        <w:rPr>
          <w:rFonts w:hint="eastAsia"/>
          <w:sz w:val="24"/>
          <w:highlight w:val="none"/>
          <w:lang w:eastAsia="zh-CN"/>
        </w:rPr>
        <w:t>输出辐亮度</w:t>
      </w:r>
      <w:r>
        <w:rPr>
          <w:rFonts w:hint="eastAsia"/>
          <w:sz w:val="24"/>
          <w:highlight w:val="none"/>
        </w:rPr>
        <w:t>的校准结果进行了不确定度评定。</w:t>
      </w:r>
    </w:p>
    <w:p>
      <w:pPr>
        <w:numPr>
          <w:ilvl w:val="0"/>
          <w:numId w:val="2"/>
        </w:numPr>
        <w:tabs>
          <w:tab w:val="left" w:pos="720"/>
          <w:tab w:val="clear" w:pos="917"/>
        </w:tabs>
        <w:spacing w:before="156" w:beforeLines="50" w:line="300" w:lineRule="auto"/>
        <w:ind w:left="919" w:right="23" w:hanging="919"/>
        <w:rPr>
          <w:rFonts w:eastAsia="黑体"/>
          <w:sz w:val="28"/>
        </w:rPr>
      </w:pPr>
      <w:r>
        <w:rPr>
          <w:rFonts w:hint="eastAsia" w:eastAsia="黑体"/>
          <w:sz w:val="28"/>
        </w:rPr>
        <w:t>总结</w:t>
      </w:r>
    </w:p>
    <w:p>
      <w:pPr>
        <w:spacing w:line="360" w:lineRule="auto"/>
        <w:ind w:firstLine="490"/>
        <w:rPr>
          <w:sz w:val="24"/>
        </w:rPr>
      </w:pPr>
      <w:r>
        <w:rPr>
          <w:rFonts w:hint="eastAsia"/>
          <w:sz w:val="24"/>
        </w:rPr>
        <w:t>本校准规范适应了可调谐窄带辐亮度源的发展现状与计量需求，同时进行了大量的实验，对规范中所提出的校准方法、不确定度评定进行了验证。</w:t>
      </w:r>
    </w:p>
    <w:p>
      <w:pPr>
        <w:spacing w:line="300" w:lineRule="auto"/>
        <w:ind w:right="21" w:firstLine="4680" w:firstLineChars="1950"/>
        <w:rPr>
          <w:color w:val="000000"/>
          <w:sz w:val="24"/>
          <w:szCs w:val="24"/>
        </w:rPr>
      </w:pPr>
      <w:r>
        <w:rPr>
          <w:rFonts w:hint="eastAsia"/>
          <w:color w:val="000000"/>
          <w:sz w:val="24"/>
          <w:szCs w:val="24"/>
        </w:rPr>
        <w:t>《可调谐窄带辐亮度源</w:t>
      </w:r>
      <w:r>
        <w:rPr>
          <w:rFonts w:hint="eastAsia"/>
          <w:color w:val="000000"/>
          <w:sz w:val="24"/>
          <w:szCs w:val="24"/>
          <w:lang w:val="en-US" w:eastAsia="zh-CN"/>
        </w:rPr>
        <w:t>校准规范</w:t>
      </w:r>
      <w:r>
        <w:rPr>
          <w:rFonts w:hint="eastAsia"/>
          <w:color w:val="000000"/>
          <w:sz w:val="24"/>
          <w:szCs w:val="24"/>
        </w:rPr>
        <w:t>》编制小组</w:t>
      </w:r>
    </w:p>
    <w:p>
      <w:pPr>
        <w:spacing w:line="300" w:lineRule="auto"/>
        <w:ind w:right="21" w:firstLine="7200" w:firstLineChars="3000"/>
        <w:rPr>
          <w:rFonts w:hint="eastAsia" w:eastAsia="宋体"/>
          <w:color w:val="000000"/>
          <w:sz w:val="24"/>
          <w:szCs w:val="24"/>
          <w:highlight w:val="cyan"/>
          <w:lang w:eastAsia="zh-CN"/>
        </w:rPr>
      </w:pPr>
      <w:r>
        <w:rPr>
          <w:rFonts w:hint="eastAsia"/>
          <w:color w:val="000000"/>
          <w:sz w:val="24"/>
          <w:szCs w:val="24"/>
        </w:rPr>
        <w:t>编制</w:t>
      </w:r>
      <w:r>
        <w:rPr>
          <w:color w:val="000000"/>
          <w:sz w:val="24"/>
          <w:szCs w:val="24"/>
        </w:rPr>
        <w:t>日期：</w:t>
      </w:r>
      <w:r>
        <w:rPr>
          <w:color w:val="000000"/>
          <w:sz w:val="24"/>
          <w:szCs w:val="24"/>
          <w:highlight w:val="none"/>
        </w:rPr>
        <w:t>20</w:t>
      </w:r>
      <w:bookmarkStart w:id="1" w:name="_GoBack"/>
      <w:bookmarkEnd w:id="1"/>
      <w:r>
        <w:rPr>
          <w:color w:val="000000"/>
          <w:sz w:val="24"/>
          <w:szCs w:val="24"/>
          <w:highlight w:val="none"/>
        </w:rPr>
        <w:t>2</w:t>
      </w:r>
      <w:r>
        <w:rPr>
          <w:rFonts w:hint="eastAsia"/>
          <w:color w:val="000000"/>
          <w:sz w:val="24"/>
          <w:szCs w:val="24"/>
          <w:highlight w:val="none"/>
          <w:lang w:val="en-US" w:eastAsia="zh-CN"/>
        </w:rPr>
        <w:t>4</w:t>
      </w:r>
      <w:r>
        <w:rPr>
          <w:color w:val="000000"/>
          <w:sz w:val="24"/>
          <w:szCs w:val="24"/>
          <w:highlight w:val="none"/>
        </w:rPr>
        <w:t>.</w:t>
      </w:r>
      <w:r>
        <w:rPr>
          <w:rFonts w:hint="eastAsia"/>
          <w:color w:val="000000"/>
          <w:sz w:val="24"/>
          <w:szCs w:val="24"/>
          <w:highlight w:val="none"/>
          <w:lang w:val="en-US" w:eastAsia="zh-CN"/>
        </w:rPr>
        <w:t>9</w:t>
      </w:r>
      <w:r>
        <w:rPr>
          <w:color w:val="000000"/>
          <w:sz w:val="24"/>
          <w:szCs w:val="24"/>
          <w:highlight w:val="none"/>
        </w:rPr>
        <w:t>.</w:t>
      </w:r>
      <w:r>
        <w:rPr>
          <w:rFonts w:hint="eastAsia"/>
          <w:color w:val="000000"/>
          <w:sz w:val="24"/>
          <w:szCs w:val="24"/>
          <w:highlight w:val="none"/>
          <w:lang w:val="en-US" w:eastAsia="zh-CN"/>
        </w:rPr>
        <w:t>5</w:t>
      </w:r>
    </w:p>
    <w:sectPr>
      <w:headerReference r:id="rId3" w:type="first"/>
      <w:footerReference r:id="rId4" w:type="default"/>
      <w:footerReference r:id="rId5"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黑体"/>
      </w:rPr>
      <w:t>JJF</w:t>
    </w:r>
    <w:r>
      <w:rPr>
        <w:rFonts w:ascii="黑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2325"/>
    <w:multiLevelType w:val="singleLevel"/>
    <w:tmpl w:val="2F422325"/>
    <w:lvl w:ilvl="0" w:tentative="0">
      <w:start w:val="1"/>
      <w:numFmt w:val="japaneseCounting"/>
      <w:lvlText w:val="%1、"/>
      <w:lvlJc w:val="left"/>
      <w:pPr>
        <w:tabs>
          <w:tab w:val="left" w:pos="917"/>
        </w:tabs>
        <w:ind w:left="917" w:hanging="600"/>
      </w:pPr>
      <w:rPr>
        <w:rFonts w:hint="eastAsia"/>
      </w:rPr>
    </w:lvl>
  </w:abstractNum>
  <w:abstractNum w:abstractNumId="1">
    <w:nsid w:val="3E237BD4"/>
    <w:multiLevelType w:val="multilevel"/>
    <w:tmpl w:val="3E237BD4"/>
    <w:lvl w:ilvl="0" w:tentative="0">
      <w:start w:val="1"/>
      <w:numFmt w:val="decimal"/>
      <w:lvlText w:val="%1．"/>
      <w:lvlJc w:val="left"/>
      <w:pPr>
        <w:tabs>
          <w:tab w:val="left" w:pos="360"/>
        </w:tabs>
        <w:ind w:left="360" w:hanging="360"/>
      </w:pPr>
      <w:rPr>
        <w:color w:val="auto"/>
      </w:rPr>
    </w:lvl>
    <w:lvl w:ilvl="1" w:tentative="0">
      <w:start w:val="10"/>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b w:val="0"/>
        <w:i w:val="0"/>
        <w:sz w:val="21"/>
      </w:rPr>
    </w:lvl>
    <w:lvl w:ilvl="3" w:tentative="0">
      <w:start w:val="1"/>
      <w:numFmt w:val="decimal"/>
      <w:pStyle w:val="18"/>
      <w:suff w:val="nothing"/>
      <w:lvlText w:val="%1%2.%3.%4　"/>
      <w:lvlJc w:val="left"/>
      <w:pPr>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pStyle w:val="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AF33D7"/>
    <w:multiLevelType w:val="multilevel"/>
    <w:tmpl w:val="6DAF33D7"/>
    <w:lvl w:ilvl="0" w:tentative="0">
      <w:start w:val="10"/>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YWM1MzVlNjU2YzhjMWJiMTgyNDNkNGZhMWZlZWEifQ=="/>
  </w:docVars>
  <w:rsids>
    <w:rsidRoot w:val="008313A2"/>
    <w:rsid w:val="00000F0E"/>
    <w:rsid w:val="00010CA3"/>
    <w:rsid w:val="000117CD"/>
    <w:rsid w:val="00015305"/>
    <w:rsid w:val="0002248C"/>
    <w:rsid w:val="000228B8"/>
    <w:rsid w:val="000279CA"/>
    <w:rsid w:val="000421BA"/>
    <w:rsid w:val="0004241A"/>
    <w:rsid w:val="00050223"/>
    <w:rsid w:val="00053472"/>
    <w:rsid w:val="00055496"/>
    <w:rsid w:val="00055FEB"/>
    <w:rsid w:val="0006122B"/>
    <w:rsid w:val="00062106"/>
    <w:rsid w:val="00062771"/>
    <w:rsid w:val="000655B9"/>
    <w:rsid w:val="00073494"/>
    <w:rsid w:val="00073B40"/>
    <w:rsid w:val="00075CFA"/>
    <w:rsid w:val="00084B35"/>
    <w:rsid w:val="00085DC6"/>
    <w:rsid w:val="00085F76"/>
    <w:rsid w:val="00090A52"/>
    <w:rsid w:val="000A0D6C"/>
    <w:rsid w:val="000A49FF"/>
    <w:rsid w:val="000A5A67"/>
    <w:rsid w:val="000B186C"/>
    <w:rsid w:val="000B7E97"/>
    <w:rsid w:val="000C3A3F"/>
    <w:rsid w:val="000C78B8"/>
    <w:rsid w:val="000D0340"/>
    <w:rsid w:val="000D0549"/>
    <w:rsid w:val="000D0767"/>
    <w:rsid w:val="000D4B3C"/>
    <w:rsid w:val="000D583B"/>
    <w:rsid w:val="000D5D30"/>
    <w:rsid w:val="000D6059"/>
    <w:rsid w:val="000E34C2"/>
    <w:rsid w:val="000F1DA0"/>
    <w:rsid w:val="000F23B0"/>
    <w:rsid w:val="000F4E4F"/>
    <w:rsid w:val="000F7A81"/>
    <w:rsid w:val="0010532E"/>
    <w:rsid w:val="00114569"/>
    <w:rsid w:val="00117483"/>
    <w:rsid w:val="001200C9"/>
    <w:rsid w:val="001215A3"/>
    <w:rsid w:val="001259ED"/>
    <w:rsid w:val="00133BB0"/>
    <w:rsid w:val="00134490"/>
    <w:rsid w:val="00137201"/>
    <w:rsid w:val="0015219E"/>
    <w:rsid w:val="001542EA"/>
    <w:rsid w:val="00155C70"/>
    <w:rsid w:val="00164785"/>
    <w:rsid w:val="0016598E"/>
    <w:rsid w:val="001677B1"/>
    <w:rsid w:val="001705C7"/>
    <w:rsid w:val="00175E73"/>
    <w:rsid w:val="0018000C"/>
    <w:rsid w:val="00184EA6"/>
    <w:rsid w:val="0019607E"/>
    <w:rsid w:val="001A0DFA"/>
    <w:rsid w:val="001A410A"/>
    <w:rsid w:val="001A47E5"/>
    <w:rsid w:val="001A7AFC"/>
    <w:rsid w:val="001B14D4"/>
    <w:rsid w:val="001B35C8"/>
    <w:rsid w:val="001C2B3D"/>
    <w:rsid w:val="001E01C0"/>
    <w:rsid w:val="001E2CAF"/>
    <w:rsid w:val="001E59A4"/>
    <w:rsid w:val="001E6239"/>
    <w:rsid w:val="002044E1"/>
    <w:rsid w:val="00211059"/>
    <w:rsid w:val="00214731"/>
    <w:rsid w:val="002213E3"/>
    <w:rsid w:val="002228D8"/>
    <w:rsid w:val="00234779"/>
    <w:rsid w:val="00245697"/>
    <w:rsid w:val="00247098"/>
    <w:rsid w:val="00247D1C"/>
    <w:rsid w:val="00252C27"/>
    <w:rsid w:val="00254D47"/>
    <w:rsid w:val="002665EE"/>
    <w:rsid w:val="00271C5E"/>
    <w:rsid w:val="00285D3E"/>
    <w:rsid w:val="00287C3B"/>
    <w:rsid w:val="00291686"/>
    <w:rsid w:val="0029199F"/>
    <w:rsid w:val="00292646"/>
    <w:rsid w:val="00294EA2"/>
    <w:rsid w:val="00296483"/>
    <w:rsid w:val="002A67EA"/>
    <w:rsid w:val="002B0B67"/>
    <w:rsid w:val="002B2663"/>
    <w:rsid w:val="002B29DD"/>
    <w:rsid w:val="002B5517"/>
    <w:rsid w:val="002B613C"/>
    <w:rsid w:val="002B6D38"/>
    <w:rsid w:val="002C018A"/>
    <w:rsid w:val="002C28AC"/>
    <w:rsid w:val="002C2F0C"/>
    <w:rsid w:val="002D43A3"/>
    <w:rsid w:val="002E64CF"/>
    <w:rsid w:val="002F3C72"/>
    <w:rsid w:val="002F73CC"/>
    <w:rsid w:val="002F7AD5"/>
    <w:rsid w:val="00311B27"/>
    <w:rsid w:val="003141CA"/>
    <w:rsid w:val="00316CD3"/>
    <w:rsid w:val="00321B48"/>
    <w:rsid w:val="00323EB9"/>
    <w:rsid w:val="003340F3"/>
    <w:rsid w:val="00335869"/>
    <w:rsid w:val="00342A56"/>
    <w:rsid w:val="00344BB6"/>
    <w:rsid w:val="00345F45"/>
    <w:rsid w:val="00352B3B"/>
    <w:rsid w:val="00355886"/>
    <w:rsid w:val="00355E44"/>
    <w:rsid w:val="00361FCA"/>
    <w:rsid w:val="0036293A"/>
    <w:rsid w:val="00362B6F"/>
    <w:rsid w:val="003703A0"/>
    <w:rsid w:val="00371443"/>
    <w:rsid w:val="003715E2"/>
    <w:rsid w:val="0037604E"/>
    <w:rsid w:val="00377D0C"/>
    <w:rsid w:val="0038677F"/>
    <w:rsid w:val="0039261F"/>
    <w:rsid w:val="003A7B31"/>
    <w:rsid w:val="003C5A69"/>
    <w:rsid w:val="003D76D9"/>
    <w:rsid w:val="003E0E12"/>
    <w:rsid w:val="003E1611"/>
    <w:rsid w:val="003F506E"/>
    <w:rsid w:val="00403C93"/>
    <w:rsid w:val="00405E54"/>
    <w:rsid w:val="00411B9F"/>
    <w:rsid w:val="00412492"/>
    <w:rsid w:val="00422D84"/>
    <w:rsid w:val="00427318"/>
    <w:rsid w:val="004360E9"/>
    <w:rsid w:val="00447B5F"/>
    <w:rsid w:val="00453359"/>
    <w:rsid w:val="00457167"/>
    <w:rsid w:val="004571E7"/>
    <w:rsid w:val="00460ED3"/>
    <w:rsid w:val="0046689B"/>
    <w:rsid w:val="00466D3F"/>
    <w:rsid w:val="00467E60"/>
    <w:rsid w:val="00472469"/>
    <w:rsid w:val="00472F7F"/>
    <w:rsid w:val="00474462"/>
    <w:rsid w:val="00475D69"/>
    <w:rsid w:val="00476030"/>
    <w:rsid w:val="0047792C"/>
    <w:rsid w:val="00490AD7"/>
    <w:rsid w:val="00491A32"/>
    <w:rsid w:val="00492203"/>
    <w:rsid w:val="00492767"/>
    <w:rsid w:val="004A19D8"/>
    <w:rsid w:val="004A1E42"/>
    <w:rsid w:val="004A2DF7"/>
    <w:rsid w:val="004A41E9"/>
    <w:rsid w:val="004A55F4"/>
    <w:rsid w:val="004A5AD6"/>
    <w:rsid w:val="004A60F1"/>
    <w:rsid w:val="004A67E2"/>
    <w:rsid w:val="004A76E3"/>
    <w:rsid w:val="004B39AC"/>
    <w:rsid w:val="004C5B7E"/>
    <w:rsid w:val="004C6159"/>
    <w:rsid w:val="004C7864"/>
    <w:rsid w:val="004C7DD5"/>
    <w:rsid w:val="004D0E21"/>
    <w:rsid w:val="004D22FD"/>
    <w:rsid w:val="004D41C1"/>
    <w:rsid w:val="004E04DD"/>
    <w:rsid w:val="004E5538"/>
    <w:rsid w:val="004E5844"/>
    <w:rsid w:val="00502CD6"/>
    <w:rsid w:val="005051AA"/>
    <w:rsid w:val="00505720"/>
    <w:rsid w:val="00506BE6"/>
    <w:rsid w:val="00510344"/>
    <w:rsid w:val="00515992"/>
    <w:rsid w:val="00522D3F"/>
    <w:rsid w:val="00526032"/>
    <w:rsid w:val="00527868"/>
    <w:rsid w:val="00540CD8"/>
    <w:rsid w:val="00541865"/>
    <w:rsid w:val="005435FB"/>
    <w:rsid w:val="0055442C"/>
    <w:rsid w:val="00557CDF"/>
    <w:rsid w:val="00562032"/>
    <w:rsid w:val="0057728D"/>
    <w:rsid w:val="005774B6"/>
    <w:rsid w:val="005851A6"/>
    <w:rsid w:val="00585473"/>
    <w:rsid w:val="005854F7"/>
    <w:rsid w:val="00592A64"/>
    <w:rsid w:val="00597571"/>
    <w:rsid w:val="005A0320"/>
    <w:rsid w:val="005A09B9"/>
    <w:rsid w:val="005A765B"/>
    <w:rsid w:val="005B4C98"/>
    <w:rsid w:val="005B650C"/>
    <w:rsid w:val="005B6662"/>
    <w:rsid w:val="005C5B31"/>
    <w:rsid w:val="005C6FD2"/>
    <w:rsid w:val="005D1216"/>
    <w:rsid w:val="005D1E84"/>
    <w:rsid w:val="005D21E5"/>
    <w:rsid w:val="005D6E0B"/>
    <w:rsid w:val="005E1C1D"/>
    <w:rsid w:val="005E2D91"/>
    <w:rsid w:val="005E5EFE"/>
    <w:rsid w:val="006119BA"/>
    <w:rsid w:val="00611F9C"/>
    <w:rsid w:val="00612D49"/>
    <w:rsid w:val="00617ACF"/>
    <w:rsid w:val="00620980"/>
    <w:rsid w:val="006219C1"/>
    <w:rsid w:val="00630D39"/>
    <w:rsid w:val="00633DE9"/>
    <w:rsid w:val="00636B4B"/>
    <w:rsid w:val="00637C64"/>
    <w:rsid w:val="00640F22"/>
    <w:rsid w:val="00641C31"/>
    <w:rsid w:val="00651834"/>
    <w:rsid w:val="0066050B"/>
    <w:rsid w:val="00660C00"/>
    <w:rsid w:val="00662881"/>
    <w:rsid w:val="00665A77"/>
    <w:rsid w:val="00667A9D"/>
    <w:rsid w:val="00670529"/>
    <w:rsid w:val="00673BC1"/>
    <w:rsid w:val="006912A3"/>
    <w:rsid w:val="00693DC8"/>
    <w:rsid w:val="00697775"/>
    <w:rsid w:val="00697C6B"/>
    <w:rsid w:val="00697E4D"/>
    <w:rsid w:val="00697E6D"/>
    <w:rsid w:val="006A4A85"/>
    <w:rsid w:val="006A5B0D"/>
    <w:rsid w:val="006C3626"/>
    <w:rsid w:val="006C5E01"/>
    <w:rsid w:val="006D224A"/>
    <w:rsid w:val="006D3961"/>
    <w:rsid w:val="006E0C8B"/>
    <w:rsid w:val="006E39E9"/>
    <w:rsid w:val="006E504C"/>
    <w:rsid w:val="006E7AD7"/>
    <w:rsid w:val="006F1C6D"/>
    <w:rsid w:val="006F62EB"/>
    <w:rsid w:val="00702EC5"/>
    <w:rsid w:val="007032CF"/>
    <w:rsid w:val="00715B32"/>
    <w:rsid w:val="00717425"/>
    <w:rsid w:val="00727706"/>
    <w:rsid w:val="00743BE1"/>
    <w:rsid w:val="00743DEE"/>
    <w:rsid w:val="00744394"/>
    <w:rsid w:val="00745120"/>
    <w:rsid w:val="00745928"/>
    <w:rsid w:val="00756F2F"/>
    <w:rsid w:val="00767E2C"/>
    <w:rsid w:val="007727B6"/>
    <w:rsid w:val="00775351"/>
    <w:rsid w:val="00775C76"/>
    <w:rsid w:val="007826C8"/>
    <w:rsid w:val="007827AD"/>
    <w:rsid w:val="007851F2"/>
    <w:rsid w:val="0079005B"/>
    <w:rsid w:val="007927A5"/>
    <w:rsid w:val="007A1E5F"/>
    <w:rsid w:val="007B7289"/>
    <w:rsid w:val="007C5F7F"/>
    <w:rsid w:val="007C6898"/>
    <w:rsid w:val="007D08EE"/>
    <w:rsid w:val="007D6F6A"/>
    <w:rsid w:val="007E4075"/>
    <w:rsid w:val="007F480A"/>
    <w:rsid w:val="008001A1"/>
    <w:rsid w:val="008125E8"/>
    <w:rsid w:val="008168E4"/>
    <w:rsid w:val="008219C1"/>
    <w:rsid w:val="008244C0"/>
    <w:rsid w:val="008313A2"/>
    <w:rsid w:val="0084026C"/>
    <w:rsid w:val="00843DE6"/>
    <w:rsid w:val="0084785D"/>
    <w:rsid w:val="00847D82"/>
    <w:rsid w:val="00847D9A"/>
    <w:rsid w:val="008626B2"/>
    <w:rsid w:val="0086549D"/>
    <w:rsid w:val="00870E49"/>
    <w:rsid w:val="008717AA"/>
    <w:rsid w:val="008734DD"/>
    <w:rsid w:val="00875D5F"/>
    <w:rsid w:val="00886345"/>
    <w:rsid w:val="00887E50"/>
    <w:rsid w:val="00890BD7"/>
    <w:rsid w:val="00891FBE"/>
    <w:rsid w:val="0089610D"/>
    <w:rsid w:val="00897D7E"/>
    <w:rsid w:val="008A0E34"/>
    <w:rsid w:val="008A217A"/>
    <w:rsid w:val="008B22B5"/>
    <w:rsid w:val="008B5D41"/>
    <w:rsid w:val="008C3A9E"/>
    <w:rsid w:val="008C54A7"/>
    <w:rsid w:val="008C5D28"/>
    <w:rsid w:val="008C6951"/>
    <w:rsid w:val="008D0352"/>
    <w:rsid w:val="008D79B3"/>
    <w:rsid w:val="008E63D6"/>
    <w:rsid w:val="008E7412"/>
    <w:rsid w:val="008F51C0"/>
    <w:rsid w:val="0090073A"/>
    <w:rsid w:val="009016FF"/>
    <w:rsid w:val="00902125"/>
    <w:rsid w:val="00902179"/>
    <w:rsid w:val="009027C8"/>
    <w:rsid w:val="00902E2D"/>
    <w:rsid w:val="0090540B"/>
    <w:rsid w:val="00912E16"/>
    <w:rsid w:val="00914F48"/>
    <w:rsid w:val="00915F84"/>
    <w:rsid w:val="00916E8D"/>
    <w:rsid w:val="00917634"/>
    <w:rsid w:val="00922B9D"/>
    <w:rsid w:val="00931138"/>
    <w:rsid w:val="00931B1C"/>
    <w:rsid w:val="00931B21"/>
    <w:rsid w:val="00935596"/>
    <w:rsid w:val="00942E5C"/>
    <w:rsid w:val="00943283"/>
    <w:rsid w:val="00944E77"/>
    <w:rsid w:val="009455F4"/>
    <w:rsid w:val="00945655"/>
    <w:rsid w:val="00955B1D"/>
    <w:rsid w:val="00957CEE"/>
    <w:rsid w:val="00962D51"/>
    <w:rsid w:val="009646F7"/>
    <w:rsid w:val="00973840"/>
    <w:rsid w:val="00973E14"/>
    <w:rsid w:val="00975034"/>
    <w:rsid w:val="00977BCA"/>
    <w:rsid w:val="009862E5"/>
    <w:rsid w:val="00990121"/>
    <w:rsid w:val="009920EA"/>
    <w:rsid w:val="0099304A"/>
    <w:rsid w:val="00997999"/>
    <w:rsid w:val="009A5922"/>
    <w:rsid w:val="009A5BC3"/>
    <w:rsid w:val="009A6E66"/>
    <w:rsid w:val="009B2586"/>
    <w:rsid w:val="009B3E49"/>
    <w:rsid w:val="009C001E"/>
    <w:rsid w:val="009C3E7C"/>
    <w:rsid w:val="009C7B8E"/>
    <w:rsid w:val="009D1228"/>
    <w:rsid w:val="009D1FA6"/>
    <w:rsid w:val="009D544F"/>
    <w:rsid w:val="009D6B3A"/>
    <w:rsid w:val="009E3E7B"/>
    <w:rsid w:val="009E49B2"/>
    <w:rsid w:val="009E4CCB"/>
    <w:rsid w:val="00A0060E"/>
    <w:rsid w:val="00A01057"/>
    <w:rsid w:val="00A152A4"/>
    <w:rsid w:val="00A1603F"/>
    <w:rsid w:val="00A21261"/>
    <w:rsid w:val="00A31AAB"/>
    <w:rsid w:val="00A46731"/>
    <w:rsid w:val="00A46FA5"/>
    <w:rsid w:val="00A6011C"/>
    <w:rsid w:val="00A608F2"/>
    <w:rsid w:val="00A63D37"/>
    <w:rsid w:val="00A63E91"/>
    <w:rsid w:val="00A66B0E"/>
    <w:rsid w:val="00A71C0B"/>
    <w:rsid w:val="00A72ED2"/>
    <w:rsid w:val="00A740D0"/>
    <w:rsid w:val="00A84367"/>
    <w:rsid w:val="00A85D38"/>
    <w:rsid w:val="00A87A51"/>
    <w:rsid w:val="00A91685"/>
    <w:rsid w:val="00AA10CD"/>
    <w:rsid w:val="00AA3B87"/>
    <w:rsid w:val="00AA6D0F"/>
    <w:rsid w:val="00AB01C8"/>
    <w:rsid w:val="00AC1E5D"/>
    <w:rsid w:val="00AD1552"/>
    <w:rsid w:val="00AD5460"/>
    <w:rsid w:val="00AD6F47"/>
    <w:rsid w:val="00AF15F7"/>
    <w:rsid w:val="00AF3D83"/>
    <w:rsid w:val="00B032F4"/>
    <w:rsid w:val="00B03C5B"/>
    <w:rsid w:val="00B1552E"/>
    <w:rsid w:val="00B250CF"/>
    <w:rsid w:val="00B31348"/>
    <w:rsid w:val="00B34ED1"/>
    <w:rsid w:val="00B41938"/>
    <w:rsid w:val="00B439B5"/>
    <w:rsid w:val="00B45569"/>
    <w:rsid w:val="00B45C37"/>
    <w:rsid w:val="00B461EB"/>
    <w:rsid w:val="00B50F94"/>
    <w:rsid w:val="00B5520B"/>
    <w:rsid w:val="00B62955"/>
    <w:rsid w:val="00B70D38"/>
    <w:rsid w:val="00B72031"/>
    <w:rsid w:val="00B773DD"/>
    <w:rsid w:val="00B7778A"/>
    <w:rsid w:val="00B77E55"/>
    <w:rsid w:val="00B77F89"/>
    <w:rsid w:val="00B80C73"/>
    <w:rsid w:val="00B8445F"/>
    <w:rsid w:val="00B85344"/>
    <w:rsid w:val="00B8696C"/>
    <w:rsid w:val="00B878BA"/>
    <w:rsid w:val="00B91526"/>
    <w:rsid w:val="00B96657"/>
    <w:rsid w:val="00B9670E"/>
    <w:rsid w:val="00BB6248"/>
    <w:rsid w:val="00BC42F4"/>
    <w:rsid w:val="00BD414C"/>
    <w:rsid w:val="00C0783F"/>
    <w:rsid w:val="00C14FF4"/>
    <w:rsid w:val="00C15DEE"/>
    <w:rsid w:val="00C21ABF"/>
    <w:rsid w:val="00C227F6"/>
    <w:rsid w:val="00C2424C"/>
    <w:rsid w:val="00C27A89"/>
    <w:rsid w:val="00C27D2A"/>
    <w:rsid w:val="00C30636"/>
    <w:rsid w:val="00C33CFD"/>
    <w:rsid w:val="00C36C40"/>
    <w:rsid w:val="00C37AE1"/>
    <w:rsid w:val="00C37C79"/>
    <w:rsid w:val="00C46132"/>
    <w:rsid w:val="00C46EA9"/>
    <w:rsid w:val="00C47283"/>
    <w:rsid w:val="00C50EF0"/>
    <w:rsid w:val="00C52F94"/>
    <w:rsid w:val="00C541EB"/>
    <w:rsid w:val="00C55D29"/>
    <w:rsid w:val="00C568C7"/>
    <w:rsid w:val="00C72274"/>
    <w:rsid w:val="00C734DE"/>
    <w:rsid w:val="00C7549F"/>
    <w:rsid w:val="00C76061"/>
    <w:rsid w:val="00C76192"/>
    <w:rsid w:val="00C80E68"/>
    <w:rsid w:val="00CA02F3"/>
    <w:rsid w:val="00CA392E"/>
    <w:rsid w:val="00CA4420"/>
    <w:rsid w:val="00CA4CFD"/>
    <w:rsid w:val="00CC1242"/>
    <w:rsid w:val="00CC2951"/>
    <w:rsid w:val="00CD5042"/>
    <w:rsid w:val="00D0450B"/>
    <w:rsid w:val="00D04C84"/>
    <w:rsid w:val="00D05167"/>
    <w:rsid w:val="00D05E22"/>
    <w:rsid w:val="00D10881"/>
    <w:rsid w:val="00D173A0"/>
    <w:rsid w:val="00D209F6"/>
    <w:rsid w:val="00D23801"/>
    <w:rsid w:val="00D23947"/>
    <w:rsid w:val="00D23CF6"/>
    <w:rsid w:val="00D42D9A"/>
    <w:rsid w:val="00D50C7F"/>
    <w:rsid w:val="00D61448"/>
    <w:rsid w:val="00D6298B"/>
    <w:rsid w:val="00D64302"/>
    <w:rsid w:val="00D64352"/>
    <w:rsid w:val="00D66BAF"/>
    <w:rsid w:val="00D67125"/>
    <w:rsid w:val="00D6752E"/>
    <w:rsid w:val="00D72083"/>
    <w:rsid w:val="00D725B1"/>
    <w:rsid w:val="00D768DC"/>
    <w:rsid w:val="00D83007"/>
    <w:rsid w:val="00D959DF"/>
    <w:rsid w:val="00D96BB7"/>
    <w:rsid w:val="00DA28DE"/>
    <w:rsid w:val="00DA4758"/>
    <w:rsid w:val="00DC0085"/>
    <w:rsid w:val="00DC4DE4"/>
    <w:rsid w:val="00DD2C60"/>
    <w:rsid w:val="00DD4305"/>
    <w:rsid w:val="00DD52D7"/>
    <w:rsid w:val="00DD7CD1"/>
    <w:rsid w:val="00DF438D"/>
    <w:rsid w:val="00DF4861"/>
    <w:rsid w:val="00DF76CB"/>
    <w:rsid w:val="00E02562"/>
    <w:rsid w:val="00E03D3D"/>
    <w:rsid w:val="00E05777"/>
    <w:rsid w:val="00E11598"/>
    <w:rsid w:val="00E13F18"/>
    <w:rsid w:val="00E1427B"/>
    <w:rsid w:val="00E15DAF"/>
    <w:rsid w:val="00E161B2"/>
    <w:rsid w:val="00E167BF"/>
    <w:rsid w:val="00E35A9F"/>
    <w:rsid w:val="00E35B23"/>
    <w:rsid w:val="00E36289"/>
    <w:rsid w:val="00E40DEB"/>
    <w:rsid w:val="00E44775"/>
    <w:rsid w:val="00E468E3"/>
    <w:rsid w:val="00E60D6C"/>
    <w:rsid w:val="00E65D68"/>
    <w:rsid w:val="00E66A7B"/>
    <w:rsid w:val="00E71999"/>
    <w:rsid w:val="00E72599"/>
    <w:rsid w:val="00E854F0"/>
    <w:rsid w:val="00E85909"/>
    <w:rsid w:val="00E8602A"/>
    <w:rsid w:val="00E8745B"/>
    <w:rsid w:val="00E96935"/>
    <w:rsid w:val="00EA1D9C"/>
    <w:rsid w:val="00EA2B94"/>
    <w:rsid w:val="00EB78E3"/>
    <w:rsid w:val="00ED2D2E"/>
    <w:rsid w:val="00ED3D1F"/>
    <w:rsid w:val="00ED43D5"/>
    <w:rsid w:val="00ED5A85"/>
    <w:rsid w:val="00ED6F60"/>
    <w:rsid w:val="00EE1200"/>
    <w:rsid w:val="00EF5978"/>
    <w:rsid w:val="00F040D2"/>
    <w:rsid w:val="00F07834"/>
    <w:rsid w:val="00F12469"/>
    <w:rsid w:val="00F124E6"/>
    <w:rsid w:val="00F12DA1"/>
    <w:rsid w:val="00F15A42"/>
    <w:rsid w:val="00F24302"/>
    <w:rsid w:val="00F27FDD"/>
    <w:rsid w:val="00F33075"/>
    <w:rsid w:val="00F3780B"/>
    <w:rsid w:val="00F404DC"/>
    <w:rsid w:val="00F42FE5"/>
    <w:rsid w:val="00F45EFC"/>
    <w:rsid w:val="00F46BC1"/>
    <w:rsid w:val="00F51F86"/>
    <w:rsid w:val="00F525E6"/>
    <w:rsid w:val="00F538DC"/>
    <w:rsid w:val="00F53E48"/>
    <w:rsid w:val="00F60FD6"/>
    <w:rsid w:val="00F61926"/>
    <w:rsid w:val="00F67FE1"/>
    <w:rsid w:val="00F70DFB"/>
    <w:rsid w:val="00F74D2B"/>
    <w:rsid w:val="00F816C2"/>
    <w:rsid w:val="00FC16B7"/>
    <w:rsid w:val="00FC24E3"/>
    <w:rsid w:val="00FC28AD"/>
    <w:rsid w:val="00FC45C9"/>
    <w:rsid w:val="00FC79E9"/>
    <w:rsid w:val="00FC7A46"/>
    <w:rsid w:val="00FD3723"/>
    <w:rsid w:val="00FE07FE"/>
    <w:rsid w:val="00FE1EA4"/>
    <w:rsid w:val="00FE58AB"/>
    <w:rsid w:val="00FE7583"/>
    <w:rsid w:val="00FF36AA"/>
    <w:rsid w:val="01B010BF"/>
    <w:rsid w:val="06744454"/>
    <w:rsid w:val="182A5635"/>
    <w:rsid w:val="1CED23CD"/>
    <w:rsid w:val="1D220385"/>
    <w:rsid w:val="209507F0"/>
    <w:rsid w:val="298962E5"/>
    <w:rsid w:val="319E57BC"/>
    <w:rsid w:val="42B375DC"/>
    <w:rsid w:val="43B9736F"/>
    <w:rsid w:val="48E40097"/>
    <w:rsid w:val="5FEA00D9"/>
    <w:rsid w:val="73590E8E"/>
    <w:rsid w:val="75365142"/>
    <w:rsid w:val="7C8D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40" w:lineRule="exact"/>
      <w:ind w:right="21"/>
    </w:pPr>
    <w:rPr>
      <w:rFonts w:ascii="宋体"/>
      <w:b/>
      <w:sz w:val="24"/>
    </w:rPr>
  </w:style>
  <w:style w:type="paragraph" w:styleId="4">
    <w:name w:val="Body Text Indent"/>
    <w:basedOn w:val="1"/>
    <w:link w:val="22"/>
    <w:qFormat/>
    <w:uiPriority w:val="0"/>
    <w:pPr>
      <w:spacing w:after="120"/>
      <w:ind w:left="420" w:leftChars="200"/>
    </w:pPr>
  </w:style>
  <w:style w:type="paragraph" w:styleId="5">
    <w:name w:val="Body Text Indent 2"/>
    <w:basedOn w:val="1"/>
    <w:link w:val="23"/>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link w:val="27"/>
    <w:semiHidden/>
    <w:unhideWhenUsed/>
    <w:qFormat/>
    <w:uiPriority w:val="0"/>
    <w:pPr>
      <w:spacing w:after="120"/>
      <w:ind w:left="420" w:leftChars="200"/>
    </w:pPr>
    <w:rPr>
      <w:sz w:val="16"/>
      <w:szCs w:val="16"/>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paragraph" w:customStyle="1" w:styleId="1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章标题"/>
    <w:next w:val="1"/>
    <w:qFormat/>
    <w:uiPriority w:val="0"/>
    <w:pPr>
      <w:numPr>
        <w:ilvl w:val="1"/>
        <w:numId w:val="1"/>
      </w:numPr>
      <w:spacing w:before="50" w:after="50"/>
      <w:jc w:val="both"/>
      <w:outlineLvl w:val="1"/>
    </w:pPr>
    <w:rPr>
      <w:rFonts w:ascii="黑体" w:hAnsi="Times New Roman" w:eastAsia="黑体" w:cs="Times New Roman"/>
      <w:sz w:val="21"/>
      <w:lang w:val="en-US" w:eastAsia="zh-CN" w:bidi="ar-SA"/>
    </w:rPr>
  </w:style>
  <w:style w:type="paragraph" w:customStyle="1" w:styleId="17">
    <w:name w:val="一级条标题"/>
    <w:basedOn w:val="16"/>
    <w:next w:val="1"/>
    <w:qFormat/>
    <w:uiPriority w:val="0"/>
    <w:pPr>
      <w:numPr>
        <w:ilvl w:val="2"/>
      </w:numPr>
      <w:tabs>
        <w:tab w:val="left" w:pos="360"/>
      </w:tabs>
      <w:spacing w:before="0" w:after="0"/>
      <w:outlineLvl w:val="2"/>
    </w:pPr>
  </w:style>
  <w:style w:type="paragraph" w:customStyle="1" w:styleId="18">
    <w:name w:val="二级条标题"/>
    <w:basedOn w:val="17"/>
    <w:next w:val="1"/>
    <w:qFormat/>
    <w:uiPriority w:val="0"/>
    <w:pPr>
      <w:numPr>
        <w:ilvl w:val="3"/>
      </w:numPr>
      <w:outlineLvl w:val="3"/>
    </w:pPr>
  </w:style>
  <w:style w:type="paragraph" w:customStyle="1" w:styleId="19">
    <w:name w:val="三级条标题"/>
    <w:basedOn w:val="18"/>
    <w:next w:val="1"/>
    <w:qFormat/>
    <w:uiPriority w:val="0"/>
    <w:pPr>
      <w:numPr>
        <w:ilvl w:val="4"/>
      </w:numPr>
      <w:outlineLvl w:val="4"/>
    </w:pPr>
  </w:style>
  <w:style w:type="paragraph" w:customStyle="1" w:styleId="20">
    <w:name w:val="四级条标题"/>
    <w:basedOn w:val="19"/>
    <w:next w:val="1"/>
    <w:qFormat/>
    <w:uiPriority w:val="0"/>
    <w:pPr>
      <w:numPr>
        <w:ilvl w:val="5"/>
      </w:numPr>
      <w:outlineLvl w:val="5"/>
    </w:pPr>
  </w:style>
  <w:style w:type="paragraph" w:customStyle="1" w:styleId="21">
    <w:name w:val="五级条标题"/>
    <w:basedOn w:val="20"/>
    <w:next w:val="1"/>
    <w:qFormat/>
    <w:uiPriority w:val="0"/>
    <w:pPr>
      <w:numPr>
        <w:ilvl w:val="6"/>
      </w:numPr>
      <w:outlineLvl w:val="6"/>
    </w:pPr>
  </w:style>
  <w:style w:type="character" w:customStyle="1" w:styleId="22">
    <w:name w:val="正文文本缩进 字符"/>
    <w:basedOn w:val="11"/>
    <w:link w:val="4"/>
    <w:qFormat/>
    <w:uiPriority w:val="0"/>
    <w:rPr>
      <w:kern w:val="2"/>
      <w:sz w:val="21"/>
    </w:rPr>
  </w:style>
  <w:style w:type="character" w:customStyle="1" w:styleId="23">
    <w:name w:val="正文文本缩进 2 字符"/>
    <w:basedOn w:val="11"/>
    <w:link w:val="5"/>
    <w:qFormat/>
    <w:uiPriority w:val="0"/>
    <w:rPr>
      <w:kern w:val="2"/>
      <w:sz w:val="21"/>
    </w:rPr>
  </w:style>
  <w:style w:type="character" w:customStyle="1" w:styleId="24">
    <w:name w:val="card"/>
    <w:basedOn w:val="11"/>
    <w:qFormat/>
    <w:uiPriority w:val="0"/>
  </w:style>
  <w:style w:type="character" w:customStyle="1" w:styleId="25">
    <w:name w:val="标题 3 字符"/>
    <w:basedOn w:val="11"/>
    <w:link w:val="2"/>
    <w:qFormat/>
    <w:uiPriority w:val="9"/>
    <w:rPr>
      <w:rFonts w:ascii="宋体" w:hAnsi="宋体" w:cs="宋体"/>
      <w:b/>
      <w:bCs/>
      <w:sz w:val="27"/>
      <w:szCs w:val="27"/>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正文文本缩进 3 字符"/>
    <w:basedOn w:val="11"/>
    <w:link w:val="8"/>
    <w:semiHidden/>
    <w:qFormat/>
    <w:uiPriority w:val="0"/>
    <w:rPr>
      <w:kern w:val="2"/>
      <w:sz w:val="16"/>
      <w:szCs w:val="16"/>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3</Pages>
  <Words>1380</Words>
  <Characters>1482</Characters>
  <Lines>12</Lines>
  <Paragraphs>3</Paragraphs>
  <TotalTime>0</TotalTime>
  <ScaleCrop>false</ScaleCrop>
  <LinksUpToDate>false</LinksUpToDate>
  <CharactersWithSpaces>1532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2018-02-25T14:48:00Z</dcterms:created>
  <dc:creator>xiao</dc:creator>
  <cp:lastModifiedBy>Nan</cp:lastModifiedBy>
  <cp:lastPrinted>2006-08-25T02:17:00Z</cp:lastPrinted>
  <dcterms:modified xsi:type="dcterms:W3CDTF">2024-09-05T09:21:22Z</dcterms:modified>
  <dc:title>编写说明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F89E2B856B014F3D83C0A0BC6E8C94D8_13</vt:lpwstr>
  </property>
</Properties>
</file>