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szCs w:val="21"/>
        </w:rPr>
      </w:pPr>
    </w:p>
    <w:p>
      <w:pPr>
        <w:rPr>
          <w:rFonts w:hint="eastAsia" w:ascii="宋体" w:hAnsi="宋体"/>
          <w:szCs w:val="21"/>
        </w:rPr>
      </w:pPr>
    </w:p>
    <w:p>
      <w:pPr>
        <w:rPr>
          <w:rFonts w:hint="eastAsia" w:ascii="宋体" w:hAnsi="宋体"/>
          <w:szCs w:val="21"/>
        </w:rPr>
      </w:pPr>
    </w:p>
    <w:p>
      <w:pPr>
        <w:rPr>
          <w:rFonts w:hint="eastAsia" w:ascii="宋体" w:hAnsi="宋体"/>
          <w:szCs w:val="21"/>
        </w:rPr>
      </w:pPr>
    </w:p>
    <w:p>
      <w:pPr>
        <w:jc w:val="center"/>
        <w:rPr>
          <w:rFonts w:hint="eastAsia" w:ascii="黑体" w:hAnsi="黑体" w:eastAsia="黑体" w:cs="Times New Roman"/>
          <w:sz w:val="52"/>
          <w:szCs w:val="52"/>
        </w:rPr>
      </w:pPr>
      <w:r>
        <w:rPr>
          <w:rFonts w:hint="eastAsia" w:ascii="黑体" w:hAnsi="黑体" w:eastAsia="黑体" w:cs="Times New Roman"/>
          <w:sz w:val="52"/>
          <w:szCs w:val="52"/>
        </w:rPr>
        <w:t>稳定土厂拌设备电子（称重式）</w:t>
      </w:r>
    </w:p>
    <w:p>
      <w:pPr>
        <w:jc w:val="center"/>
        <w:rPr>
          <w:rFonts w:hint="eastAsia" w:ascii="黑体" w:hAnsi="黑体" w:eastAsia="黑体" w:cs="Times New Roman"/>
          <w:sz w:val="52"/>
          <w:szCs w:val="52"/>
        </w:rPr>
      </w:pPr>
      <w:r>
        <w:rPr>
          <w:rFonts w:hint="eastAsia" w:ascii="黑体" w:hAnsi="黑体" w:eastAsia="黑体" w:cs="Times New Roman"/>
          <w:sz w:val="52"/>
          <w:szCs w:val="52"/>
        </w:rPr>
        <w:t>计量系统校准规范</w:t>
      </w:r>
    </w:p>
    <w:p>
      <w:pPr>
        <w:spacing w:before="156" w:beforeLines="50" w:after="156" w:afterLines="50" w:line="0" w:lineRule="atLeast"/>
        <w:jc w:val="center"/>
        <w:rPr>
          <w:rFonts w:hint="eastAsia" w:ascii="黑体" w:hAnsi="黑体" w:eastAsia="黑体"/>
          <w:sz w:val="32"/>
          <w:szCs w:val="32"/>
        </w:rPr>
      </w:pPr>
    </w:p>
    <w:p>
      <w:pPr>
        <w:jc w:val="center"/>
        <w:rPr>
          <w:rFonts w:hint="eastAsia" w:ascii="宋体" w:hAnsi="宋体"/>
          <w:sz w:val="30"/>
          <w:szCs w:val="30"/>
        </w:rPr>
      </w:pPr>
      <w:r>
        <w:rPr>
          <w:rFonts w:hint="eastAsia" w:ascii="宋体" w:hAnsi="宋体"/>
          <w:sz w:val="30"/>
          <w:szCs w:val="30"/>
        </w:rPr>
        <w:t>（征求意见稿）</w:t>
      </w:r>
    </w:p>
    <w:p>
      <w:pPr>
        <w:jc w:val="center"/>
        <w:rPr>
          <w:rFonts w:hint="eastAsia" w:ascii="黑体" w:hAnsi="黑体" w:eastAsia="黑体"/>
          <w:sz w:val="52"/>
          <w:szCs w:val="52"/>
        </w:rPr>
      </w:pPr>
    </w:p>
    <w:p>
      <w:pPr>
        <w:jc w:val="center"/>
        <w:rPr>
          <w:rFonts w:hint="eastAsia" w:ascii="黑体" w:hAnsi="黑体" w:eastAsia="黑体"/>
          <w:sz w:val="52"/>
          <w:szCs w:val="52"/>
        </w:rPr>
      </w:pPr>
      <w:r>
        <w:rPr>
          <w:rFonts w:hint="eastAsia" w:ascii="黑体" w:hAnsi="黑体" w:eastAsia="黑体"/>
          <w:sz w:val="52"/>
          <w:szCs w:val="52"/>
        </w:rPr>
        <w:t>编 制 说 明</w:t>
      </w:r>
    </w:p>
    <w:p>
      <w:pPr>
        <w:jc w:val="center"/>
        <w:rPr>
          <w:rFonts w:hint="eastAsia" w:ascii="宋体" w:hAnsi="宋体"/>
          <w:szCs w:val="21"/>
        </w:rPr>
      </w:pPr>
    </w:p>
    <w:p>
      <w:pPr>
        <w:jc w:val="center"/>
        <w:rPr>
          <w:rFonts w:hint="eastAsia" w:ascii="宋体" w:hAnsi="宋体"/>
          <w:szCs w:val="21"/>
        </w:rPr>
      </w:pPr>
    </w:p>
    <w:p>
      <w:pP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jc w:val="center"/>
        <w:rPr>
          <w:rFonts w:hint="eastAsia" w:ascii="宋体" w:hAnsi="宋体"/>
          <w:szCs w:val="21"/>
        </w:rPr>
      </w:pPr>
    </w:p>
    <w:p>
      <w:pPr>
        <w:rPr>
          <w:rFonts w:hint="eastAsia" w:ascii="宋体" w:hAnsi="宋体"/>
          <w:szCs w:val="21"/>
        </w:rPr>
      </w:pPr>
    </w:p>
    <w:p>
      <w:pPr>
        <w:jc w:val="center"/>
        <w:rPr>
          <w:rFonts w:hint="eastAsia" w:ascii="宋体" w:hAnsi="宋体"/>
          <w:szCs w:val="21"/>
        </w:rPr>
      </w:pPr>
    </w:p>
    <w:p>
      <w:pPr>
        <w:rPr>
          <w:rFonts w:hint="eastAsia" w:ascii="宋体" w:hAnsi="宋体" w:cs="宋体"/>
          <w:sz w:val="32"/>
          <w:szCs w:val="32"/>
        </w:rPr>
      </w:pPr>
    </w:p>
    <w:p>
      <w:pPr>
        <w:jc w:val="center"/>
        <w:rPr>
          <w:rFonts w:hint="eastAsia" w:ascii="宋体" w:hAnsi="宋体" w:cs="宋体"/>
          <w:sz w:val="32"/>
          <w:szCs w:val="32"/>
        </w:rPr>
      </w:pPr>
      <w:r>
        <w:rPr>
          <w:rFonts w:hint="eastAsia" w:ascii="宋体" w:hAnsi="宋体" w:cs="宋体"/>
          <w:sz w:val="32"/>
          <w:szCs w:val="32"/>
        </w:rPr>
        <w:t>《稳定土厂拌设备电子（称重式）计量系统校准规范》</w:t>
      </w:r>
    </w:p>
    <w:p>
      <w:pPr>
        <w:jc w:val="center"/>
        <w:rPr>
          <w:rFonts w:hint="eastAsia" w:ascii="宋体" w:hAnsi="宋体" w:cs="宋体"/>
          <w:sz w:val="32"/>
          <w:szCs w:val="32"/>
        </w:rPr>
      </w:pPr>
      <w:r>
        <w:rPr>
          <w:rFonts w:hint="eastAsia" w:ascii="宋体" w:hAnsi="宋体" w:cs="宋体"/>
          <w:sz w:val="32"/>
          <w:szCs w:val="32"/>
        </w:rPr>
        <w:t>编制组</w:t>
      </w:r>
    </w:p>
    <w:p>
      <w:pPr>
        <w:jc w:val="center"/>
        <w:rPr>
          <w:rFonts w:hint="eastAsia" w:ascii="宋体" w:hAnsi="宋体"/>
          <w:kern w:val="0"/>
          <w:position w:val="-14"/>
          <w:sz w:val="28"/>
          <w:szCs w:val="28"/>
        </w:rPr>
      </w:pPr>
    </w:p>
    <w:p>
      <w:pPr>
        <w:jc w:val="center"/>
        <w:rPr>
          <w:rFonts w:hint="eastAsia" w:ascii="宋体" w:hAnsi="宋体"/>
          <w:color w:val="000000"/>
          <w:kern w:val="0"/>
          <w:position w:val="-14"/>
          <w:sz w:val="30"/>
          <w:szCs w:val="30"/>
        </w:rPr>
        <w:sectPr>
          <w:footerReference r:id="rId5" w:type="first"/>
          <w:footerReference r:id="rId3" w:type="default"/>
          <w:footerReference r:id="rId4" w:type="even"/>
          <w:pgSz w:w="11906" w:h="16838"/>
          <w:pgMar w:top="1440" w:right="1800" w:bottom="1440" w:left="1800" w:header="851" w:footer="992" w:gutter="0"/>
          <w:cols w:space="425" w:num="1"/>
          <w:docGrid w:type="lines" w:linePitch="312" w:charSpace="0"/>
        </w:sectPr>
      </w:pPr>
      <w:r>
        <w:rPr>
          <w:rFonts w:hint="eastAsia" w:ascii="宋体" w:hAnsi="宋体"/>
          <w:kern w:val="0"/>
          <w:position w:val="-14"/>
          <w:sz w:val="30"/>
          <w:szCs w:val="30"/>
        </w:rPr>
        <w:t xml:space="preserve"> 202</w:t>
      </w:r>
      <w:r>
        <w:rPr>
          <w:rFonts w:hint="eastAsia" w:ascii="宋体" w:hAnsi="宋体"/>
          <w:kern w:val="0"/>
          <w:position w:val="-14"/>
          <w:sz w:val="30"/>
          <w:szCs w:val="30"/>
          <w:lang w:val="en-US" w:eastAsia="zh-CN"/>
        </w:rPr>
        <w:t>4</w:t>
      </w:r>
      <w:r>
        <w:rPr>
          <w:rFonts w:hint="eastAsia" w:ascii="宋体" w:hAnsi="宋体"/>
          <w:kern w:val="0"/>
          <w:position w:val="-14"/>
          <w:sz w:val="30"/>
          <w:szCs w:val="30"/>
        </w:rPr>
        <w:t>年</w:t>
      </w:r>
      <w:r>
        <w:rPr>
          <w:rFonts w:hint="eastAsia" w:ascii="宋体" w:hAnsi="宋体"/>
          <w:kern w:val="0"/>
          <w:position w:val="-14"/>
          <w:sz w:val="30"/>
          <w:szCs w:val="30"/>
          <w:lang w:val="en-US" w:eastAsia="zh-CN"/>
        </w:rPr>
        <w:t>12</w:t>
      </w:r>
      <w:r>
        <w:rPr>
          <w:rFonts w:hint="eastAsia" w:ascii="宋体" w:hAnsi="宋体"/>
          <w:kern w:val="0"/>
          <w:position w:val="-14"/>
          <w:sz w:val="30"/>
          <w:szCs w:val="30"/>
        </w:rPr>
        <w:t>月</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firstLine="560" w:firstLineChars="200"/>
        <w:textAlignment w:val="auto"/>
        <w:rPr>
          <w:rFonts w:hint="eastAsia" w:ascii="黑体" w:hAnsi="黑体" w:eastAsia="黑体" w:cs="黑体"/>
          <w:color w:val="000000" w:themeColor="text1"/>
          <w:sz w:val="28"/>
          <w:szCs w:val="28"/>
          <w14:textFill>
            <w14:solidFill>
              <w14:schemeClr w14:val="tx1"/>
            </w14:solidFill>
          </w14:textFill>
        </w:rPr>
      </w:pPr>
      <w:bookmarkStart w:id="0" w:name="_GoBack"/>
      <w:bookmarkEnd w:id="0"/>
      <w:r>
        <w:rPr>
          <w:rFonts w:hint="eastAsia" w:ascii="黑体" w:hAnsi="黑体" w:eastAsia="黑体" w:cs="黑体"/>
          <w:sz w:val="28"/>
          <w:szCs w:val="28"/>
        </w:rPr>
        <w:t>项目背景</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稳定土厂拌设备主要由配料装置、输料装置、称重系统、搅拌机等模块组成。其按计量方式可分为调速（容积式）计量和电子（称重式）计量。目前容积式计量方式正逐渐被淘汰，市场上基本采用电子称重式进行计量。</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稳定土厂拌设备是与搅拌机配套使用的前台自动配料设备，其计量称重系统可以依据用户预设的配合比自动完成砂、石、水泥等配料程序，该设备具有材料级配准确、拌和均匀、节省材料、便于计算机自动控制等优点，广泛应用于</w:t>
      </w:r>
      <w:r>
        <w:rPr>
          <w:rFonts w:hint="eastAsia" w:ascii="仿宋_GB2312" w:hAnsi="仿宋_GB2312" w:eastAsia="仿宋_GB2312" w:cs="仿宋_GB2312"/>
          <w:sz w:val="32"/>
          <w:szCs w:val="32"/>
          <w:lang w:val="en-US" w:eastAsia="zh-CN"/>
        </w:rPr>
        <w:t>公路和城市道路的基层、底基层施工，也适用于其它货场、停车场、机场等需要稳定材料的工程，其称重系统通过对一种或者多种散状物料（骨料、粉料）进行连续称量、累计，通过积分运算得出累积重量值，并分别显示出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该设备的</w:t>
      </w:r>
      <w:r>
        <w:rPr>
          <w:rFonts w:hint="eastAsia" w:ascii="仿宋_GB2312" w:hAnsi="仿宋_GB2312" w:eastAsia="仿宋_GB2312" w:cs="仿宋_GB2312"/>
          <w:sz w:val="32"/>
          <w:szCs w:val="32"/>
        </w:rPr>
        <w:t>配料精度直接影响到路面的工程质量，如裂缝、坑洼、坍塌等。对稳定土厂拌设备电子（称重式）计量系统校准方法的研究，制定相应的计量和技术要求，统一该计量器具的校准方法具有重大意义。</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firstLine="560" w:firstLineChars="200"/>
        <w:textAlignment w:val="auto"/>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任务来源</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根据国家市场监督管理总局办公厅文件 </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市场监管总局办公厅关于印发2023年国家计量技术规范项目制定、修订及宣贯计划的通知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要求（文件号市监计量发〔202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号）, 在归口单位全国衡器计量技术委员会领导下，由</w:t>
      </w:r>
      <w:r>
        <w:rPr>
          <w:rFonts w:hint="eastAsia" w:ascii="仿宋_GB2312" w:hAnsi="仿宋_GB2312" w:eastAsia="仿宋_GB2312" w:cs="仿宋_GB2312"/>
          <w:sz w:val="32"/>
          <w:szCs w:val="32"/>
          <w:lang w:val="en-US" w:eastAsia="zh-CN"/>
        </w:rPr>
        <w:t>福建省</w:t>
      </w:r>
      <w:r>
        <w:rPr>
          <w:rFonts w:hint="eastAsia" w:ascii="仿宋_GB2312" w:hAnsi="仿宋_GB2312" w:eastAsia="仿宋_GB2312" w:cs="仿宋_GB2312"/>
          <w:sz w:val="32"/>
          <w:szCs w:val="32"/>
        </w:rPr>
        <w:t>计量科学研究院、山东省计量科学研究院</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浙江省</w:t>
      </w:r>
      <w:r>
        <w:rPr>
          <w:rFonts w:hint="eastAsia" w:ascii="仿宋_GB2312" w:hAnsi="仿宋_GB2312" w:eastAsia="仿宋_GB2312" w:cs="仿宋_GB2312"/>
          <w:sz w:val="32"/>
          <w:szCs w:val="32"/>
          <w:lang w:val="en-US" w:eastAsia="zh-CN"/>
        </w:rPr>
        <w:t>质量</w:t>
      </w:r>
      <w:r>
        <w:rPr>
          <w:rFonts w:hint="eastAsia" w:ascii="仿宋_GB2312" w:hAnsi="仿宋_GB2312" w:eastAsia="仿宋_GB2312" w:cs="仿宋_GB2312"/>
          <w:sz w:val="32"/>
          <w:szCs w:val="32"/>
        </w:rPr>
        <w:t>科学研究院</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陕西省计量科学研究院</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福建南方路面机械股份有限公司等单位组成起草组负责校准规范的撰写。</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firstLine="560" w:firstLineChars="200"/>
        <w:textAlignment w:val="auto"/>
        <w:rPr>
          <w:rFonts w:hint="eastAsia" w:ascii="黑体" w:hAnsi="黑体" w:eastAsia="黑体" w:cs="黑体"/>
          <w:sz w:val="28"/>
          <w:szCs w:val="28"/>
        </w:rPr>
      </w:pPr>
      <w:r>
        <w:rPr>
          <w:rFonts w:hint="eastAsia" w:ascii="黑体" w:hAnsi="黑体" w:eastAsia="黑体" w:cs="黑体"/>
          <w:sz w:val="28"/>
          <w:szCs w:val="28"/>
        </w:rPr>
        <w:t>编制依据</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本规范的编写格式依据JJF 1071-2010《国家计量校准规范编写规则》，通用计量术语符合JJF 1001-2011《通用计量术语及定义》，测量不确定度评定与表示符合JJF 1059.1-2012《测量不确定度评定与表示》的要求。</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本规范的引用文件：JJG </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 xml:space="preserve">9 </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砝码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JJF 1181 </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衡器计量名词术语及定义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JB/T 10956</w:t>
      </w:r>
      <w:r>
        <w:rPr>
          <w:rFonts w:hint="eastAsia" w:ascii="仿宋_GB2312" w:hAnsi="仿宋_GB2312" w:eastAsia="仿宋_GB2312" w:cs="仿宋_GB2312"/>
          <w:sz w:val="32"/>
          <w:szCs w:val="32"/>
          <w:lang w:val="en-US" w:eastAsia="zh-CN"/>
        </w:rPr>
        <w:t>-2010 《</w:t>
      </w:r>
      <w:r>
        <w:rPr>
          <w:rFonts w:hint="eastAsia" w:ascii="仿宋_GB2312" w:hAnsi="仿宋_GB2312" w:eastAsia="仿宋_GB2312" w:cs="仿宋_GB2312"/>
          <w:sz w:val="32"/>
          <w:szCs w:val="32"/>
        </w:rPr>
        <w:t>道路施工与养护设备 稳定土厂拌设备</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本校准规范属于首次制定。</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firstLine="560" w:firstLineChars="200"/>
        <w:textAlignment w:val="auto"/>
        <w:rPr>
          <w:rFonts w:hint="eastAsia" w:ascii="黑体" w:hAnsi="黑体" w:eastAsia="黑体" w:cs="黑体"/>
          <w:sz w:val="28"/>
          <w:szCs w:val="28"/>
        </w:rPr>
      </w:pPr>
      <w:r>
        <w:rPr>
          <w:rFonts w:hint="eastAsia" w:ascii="黑体" w:hAnsi="黑体" w:eastAsia="黑体" w:cs="黑体"/>
          <w:sz w:val="28"/>
          <w:szCs w:val="28"/>
        </w:rPr>
        <w:t>编制过程</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在前期准备工作的基础上，本项目组在查阅大量的文献的基础上，</w:t>
      </w:r>
      <w:r>
        <w:rPr>
          <w:rFonts w:hint="eastAsia" w:ascii="仿宋_GB2312" w:hAnsi="仿宋_GB2312" w:eastAsia="仿宋_GB2312" w:cs="仿宋_GB2312"/>
          <w:sz w:val="32"/>
          <w:szCs w:val="32"/>
          <w:lang w:val="en-US" w:eastAsia="zh-CN"/>
        </w:rPr>
        <w:t>调研了多家稳定土厂拌设备生产厂家，</w:t>
      </w:r>
      <w:r>
        <w:rPr>
          <w:rFonts w:hint="eastAsia" w:ascii="仿宋_GB2312" w:hAnsi="仿宋_GB2312" w:eastAsia="仿宋_GB2312" w:cs="仿宋_GB2312"/>
          <w:sz w:val="32"/>
          <w:szCs w:val="32"/>
        </w:rPr>
        <w:t>与这些领域的专家学者进行了广泛的交流和探讨，</w:t>
      </w:r>
      <w:r>
        <w:rPr>
          <w:rFonts w:hint="eastAsia" w:ascii="仿宋_GB2312" w:hAnsi="仿宋_GB2312" w:eastAsia="仿宋_GB2312" w:cs="仿宋_GB2312"/>
          <w:sz w:val="32"/>
          <w:szCs w:val="32"/>
          <w:lang w:val="en-US" w:eastAsia="zh-CN"/>
        </w:rPr>
        <w:t>为起草工作奠定了</w:t>
      </w:r>
      <w:r>
        <w:rPr>
          <w:rFonts w:hint="eastAsia" w:ascii="仿宋_GB2312" w:hAnsi="仿宋_GB2312" w:eastAsia="仿宋_GB2312" w:cs="仿宋_GB2312"/>
          <w:sz w:val="32"/>
          <w:szCs w:val="32"/>
        </w:rPr>
        <w:t>坚实的</w:t>
      </w:r>
      <w:r>
        <w:rPr>
          <w:rFonts w:hint="eastAsia" w:ascii="仿宋_GB2312" w:hAnsi="仿宋_GB2312" w:eastAsia="仿宋_GB2312" w:cs="仿宋_GB2312"/>
          <w:sz w:val="32"/>
          <w:szCs w:val="32"/>
          <w:lang w:val="en-US" w:eastAsia="zh-CN"/>
        </w:rPr>
        <w:t>基础，并于2023年在</w:t>
      </w:r>
      <w:r>
        <w:rPr>
          <w:rFonts w:hint="eastAsia" w:ascii="仿宋_GB2312" w:hAnsi="仿宋_GB2312" w:eastAsia="仿宋_GB2312" w:cs="仿宋_GB2312"/>
          <w:sz w:val="32"/>
          <w:szCs w:val="32"/>
        </w:rPr>
        <w:t>中国计量测试学会质量专业委员会年会上交流讨论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得到</w:t>
      </w:r>
      <w:r>
        <w:rPr>
          <w:rFonts w:hint="eastAsia" w:ascii="仿宋_GB2312" w:hAnsi="仿宋_GB2312" w:eastAsia="仿宋_GB2312" w:cs="仿宋_GB2312"/>
          <w:sz w:val="32"/>
          <w:szCs w:val="32"/>
        </w:rPr>
        <w:t>了</w:t>
      </w:r>
      <w:r>
        <w:rPr>
          <w:rFonts w:hint="eastAsia" w:ascii="仿宋_GB2312" w:hAnsi="仿宋_GB2312" w:eastAsia="仿宋_GB2312" w:cs="仿宋_GB2312"/>
          <w:sz w:val="32"/>
          <w:szCs w:val="32"/>
          <w:lang w:val="en-US" w:eastAsia="zh-CN"/>
        </w:rPr>
        <w:t>大家</w:t>
      </w:r>
      <w:r>
        <w:rPr>
          <w:rFonts w:hint="eastAsia" w:ascii="仿宋_GB2312" w:hAnsi="仿宋_GB2312" w:eastAsia="仿宋_GB2312" w:cs="仿宋_GB2312"/>
          <w:sz w:val="32"/>
          <w:szCs w:val="32"/>
        </w:rPr>
        <w:t>的大力支持和帮助。主要起草与编制过程如下：</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2023年1月-2023年6月：深入调研稳定土厂拌设备计量系统产业，收集相关的文献资料，研究、确定使用中应进行校准的计量参数及其允差范围，确定校准方法。</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2023年7月-2023年8月：召开起草小组首次会议，拟定工作计划，分配工作任务；起草小组就规范包含的内容、主要计量性能等问题进行讨论，确定规范起草的主导思想和原则.</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2023年9月-2024年6月：起草单位根据分工，完成征求意见稿主要文本起草工作。</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2024年7月-2024年9月：开展现场试验，对试验结果进行评价。完成编制说明和校准结果不确定度的分析、试验报告。</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2024年10月-2024年11月：召开起草小组会议，进一步修改完善文本内容。</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2024年12月：提请全国衡器委员会秘书处向社会公开征求意见。</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firstLine="560" w:firstLineChars="200"/>
        <w:textAlignment w:val="auto"/>
        <w:rPr>
          <w:rFonts w:hint="eastAsia" w:ascii="黑体" w:hAnsi="黑体" w:eastAsia="黑体" w:cs="黑体"/>
          <w:sz w:val="28"/>
          <w:szCs w:val="28"/>
        </w:rPr>
      </w:pPr>
      <w:r>
        <w:rPr>
          <w:rFonts w:hint="eastAsia" w:ascii="黑体" w:hAnsi="黑体" w:eastAsia="黑体" w:cs="黑体"/>
          <w:sz w:val="28"/>
          <w:szCs w:val="28"/>
        </w:rPr>
        <w:t>校准规范的主要内容</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本规范在编制格式上执行了JJF 1071-2010《国家计量校准规范编写规则》，主要内容包括9个章节和3个附录, 具体为：1.范围、2.引用文件、3.术语和计量单位、4.概述、5.计量特性、6.校准条件、7.校准项目和校准方法、8.校准结果、9.复校时间间隔、附录A校准记录参考格式、附录B校准证书内页参考格式、附录C不确定度评定（示例）。</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firstLine="560" w:firstLineChars="200"/>
        <w:textAlignment w:val="auto"/>
        <w:rPr>
          <w:rFonts w:hint="eastAsia" w:ascii="黑体" w:hAnsi="黑体" w:eastAsia="黑体" w:cs="黑体"/>
          <w:snapToGrid w:val="0"/>
          <w:kern w:val="0"/>
          <w:sz w:val="28"/>
          <w:szCs w:val="28"/>
        </w:rPr>
      </w:pPr>
      <w:r>
        <w:rPr>
          <w:rFonts w:hint="eastAsia" w:ascii="黑体" w:hAnsi="黑体" w:eastAsia="黑体" w:cs="黑体"/>
          <w:snapToGrid w:val="0"/>
          <w:kern w:val="0"/>
          <w:sz w:val="28"/>
          <w:szCs w:val="28"/>
        </w:rPr>
        <w:t>工作小结</w:t>
      </w:r>
    </w:p>
    <w:p>
      <w:pPr>
        <w:keepNext w:val="0"/>
        <w:keepLines w:val="0"/>
        <w:pageBreakBefore w:val="0"/>
        <w:widowControl w:val="0"/>
        <w:kinsoku/>
        <w:wordWrap/>
        <w:overflowPunct/>
        <w:topLinePunct w:val="0"/>
        <w:autoSpaceDE/>
        <w:autoSpaceDN/>
        <w:bidi w:val="0"/>
        <w:adjustRightInd/>
        <w:snapToGrid/>
        <w:spacing w:line="360" w:lineRule="auto"/>
        <w:ind w:lef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本次《稳定土厂拌设备电子（称重式）计量系统校准规范》的编写，本起草小组对稳定土厂拌设备</w:t>
      </w:r>
      <w:r>
        <w:rPr>
          <w:rFonts w:hint="eastAsia" w:ascii="仿宋_GB2312" w:hAnsi="仿宋_GB2312" w:eastAsia="仿宋_GB2312" w:cs="仿宋_GB2312"/>
          <w:sz w:val="32"/>
          <w:szCs w:val="32"/>
          <w:lang w:val="en-US" w:eastAsia="zh-CN"/>
        </w:rPr>
        <w:t>称重系统</w:t>
      </w:r>
      <w:r>
        <w:rPr>
          <w:rFonts w:hint="eastAsia" w:ascii="仿宋_GB2312" w:hAnsi="仿宋_GB2312" w:eastAsia="仿宋_GB2312" w:cs="仿宋_GB2312"/>
          <w:sz w:val="32"/>
          <w:szCs w:val="32"/>
        </w:rPr>
        <w:t>的结构及其工作原理进行了研究，在计量特性和实际校准方法中也做了大量的实验和验证工作。我们坚持科学、合理、实用的原则，与目前我国在用的稳定土厂拌设备的实际工作状况相适用，本规范能够指导目前稳定土厂拌设备</w:t>
      </w:r>
      <w:r>
        <w:rPr>
          <w:rFonts w:hint="eastAsia" w:ascii="仿宋_GB2312" w:hAnsi="仿宋_GB2312" w:eastAsia="仿宋_GB2312" w:cs="仿宋_GB2312"/>
          <w:sz w:val="32"/>
          <w:szCs w:val="32"/>
          <w:lang w:val="en-US" w:eastAsia="zh-CN"/>
        </w:rPr>
        <w:t>称重系统</w:t>
      </w:r>
      <w:r>
        <w:rPr>
          <w:rFonts w:hint="eastAsia" w:ascii="仿宋_GB2312" w:hAnsi="仿宋_GB2312" w:eastAsia="仿宋_GB2312" w:cs="仿宋_GB2312"/>
          <w:sz w:val="32"/>
          <w:szCs w:val="32"/>
        </w:rPr>
        <w:t>的计量校准工作。由于我们水平有限，规范中难免存在不妥之处，敬请各位专家能再提出宝贵意见和建议，使之更加完善。</w:t>
      </w:r>
    </w:p>
    <w:p>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jc w:val="right"/>
        <w:textAlignment w:val="auto"/>
        <w:rPr>
          <w:rFonts w:hAnsi="宋体"/>
          <w:sz w:val="28"/>
          <w:szCs w:val="28"/>
        </w:rPr>
      </w:pPr>
    </w:p>
    <w:p>
      <w:pPr>
        <w:spacing w:line="360" w:lineRule="auto"/>
        <w:ind w:firstLine="560" w:firstLineChars="200"/>
        <w:jc w:val="right"/>
        <w:rPr>
          <w:rFonts w:hAnsi="宋体"/>
          <w:sz w:val="28"/>
          <w:szCs w:val="28"/>
        </w:rPr>
      </w:pPr>
    </w:p>
    <w:p>
      <w:pPr>
        <w:spacing w:line="360" w:lineRule="auto"/>
        <w:ind w:firstLine="560" w:firstLineChars="200"/>
        <w:jc w:val="right"/>
        <w:rPr>
          <w:rFonts w:hAnsi="宋体"/>
          <w:sz w:val="28"/>
          <w:szCs w:val="28"/>
        </w:rPr>
      </w:pPr>
    </w:p>
    <w:p>
      <w:pPr>
        <w:spacing w:line="360" w:lineRule="auto"/>
        <w:ind w:firstLine="640" w:firstLineChars="200"/>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《稳定土厂拌设备电子（称重式）计量系统校准规范》</w:t>
      </w:r>
    </w:p>
    <w:p>
      <w:pPr>
        <w:spacing w:line="360" w:lineRule="auto"/>
        <w:ind w:firstLine="482"/>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校准规范起草小组</w:t>
      </w:r>
    </w:p>
    <w:p>
      <w:pPr>
        <w:spacing w:line="360" w:lineRule="auto"/>
        <w:ind w:firstLine="482"/>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Style w:val="6"/>
      </w:rPr>
      <w:fldChar w:fldCharType="begin"/>
    </w:r>
    <w:r>
      <w:rPr>
        <w:rStyle w:val="6"/>
      </w:rPr>
      <w:instrText xml:space="preserve"> PAGE </w:instrText>
    </w:r>
    <w:r>
      <w:rPr>
        <w:rStyle w:val="6"/>
      </w:rPr>
      <w:fldChar w:fldCharType="separate"/>
    </w:r>
    <w:r>
      <w:rPr>
        <w:rStyle w:val="6"/>
      </w:rPr>
      <w:t>5</w:t>
    </w:r>
    <w:r>
      <w:rPr>
        <w:rStyle w:val="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Style w:val="6"/>
      </w:rPr>
      <w:fldChar w:fldCharType="begin"/>
    </w:r>
    <w:r>
      <w:rPr>
        <w:rStyle w:val="6"/>
      </w:rPr>
      <w:instrText xml:space="preserve"> PAGE </w:instrText>
    </w:r>
    <w:r>
      <w:rPr>
        <w:rStyle w:val="6"/>
      </w:rPr>
      <w:fldChar w:fldCharType="separate"/>
    </w:r>
    <w:r>
      <w:rPr>
        <w:rStyle w:val="6"/>
      </w:rPr>
      <w:t>1</w:t>
    </w:r>
    <w:r>
      <w:rPr>
        <w:rStyle w:val="6"/>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D29EAF"/>
    <w:multiLevelType w:val="singleLevel"/>
    <w:tmpl w:val="78D29EAF"/>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822B05"/>
    <w:rsid w:val="00027A9A"/>
    <w:rsid w:val="00027FDF"/>
    <w:rsid w:val="001068AA"/>
    <w:rsid w:val="00162C66"/>
    <w:rsid w:val="0016511C"/>
    <w:rsid w:val="001812D7"/>
    <w:rsid w:val="001D26D1"/>
    <w:rsid w:val="001E0C94"/>
    <w:rsid w:val="0021062F"/>
    <w:rsid w:val="0024002C"/>
    <w:rsid w:val="002A0830"/>
    <w:rsid w:val="002A63C4"/>
    <w:rsid w:val="002B7168"/>
    <w:rsid w:val="002C3A6C"/>
    <w:rsid w:val="00305AAE"/>
    <w:rsid w:val="0035481A"/>
    <w:rsid w:val="00364B20"/>
    <w:rsid w:val="003A7DC9"/>
    <w:rsid w:val="003C4612"/>
    <w:rsid w:val="00400441"/>
    <w:rsid w:val="004405EA"/>
    <w:rsid w:val="0046088B"/>
    <w:rsid w:val="00491BC4"/>
    <w:rsid w:val="004A792A"/>
    <w:rsid w:val="004B440A"/>
    <w:rsid w:val="005D6588"/>
    <w:rsid w:val="005E1442"/>
    <w:rsid w:val="00602437"/>
    <w:rsid w:val="006130B3"/>
    <w:rsid w:val="00613DF1"/>
    <w:rsid w:val="0064311A"/>
    <w:rsid w:val="00657A83"/>
    <w:rsid w:val="00693642"/>
    <w:rsid w:val="00693ED8"/>
    <w:rsid w:val="00694012"/>
    <w:rsid w:val="006A4C65"/>
    <w:rsid w:val="006C0632"/>
    <w:rsid w:val="006D7A56"/>
    <w:rsid w:val="006F576C"/>
    <w:rsid w:val="006F7A3F"/>
    <w:rsid w:val="007E7D95"/>
    <w:rsid w:val="007F1FE6"/>
    <w:rsid w:val="007F2A58"/>
    <w:rsid w:val="00814E4A"/>
    <w:rsid w:val="00844277"/>
    <w:rsid w:val="00944675"/>
    <w:rsid w:val="009723CA"/>
    <w:rsid w:val="009833FA"/>
    <w:rsid w:val="00985663"/>
    <w:rsid w:val="009E100F"/>
    <w:rsid w:val="00A32811"/>
    <w:rsid w:val="00A47DBF"/>
    <w:rsid w:val="00A82C9A"/>
    <w:rsid w:val="00A938BF"/>
    <w:rsid w:val="00B37B51"/>
    <w:rsid w:val="00B571B1"/>
    <w:rsid w:val="00B81213"/>
    <w:rsid w:val="00C0444C"/>
    <w:rsid w:val="00C31EC2"/>
    <w:rsid w:val="00CB4E99"/>
    <w:rsid w:val="00D617AB"/>
    <w:rsid w:val="00DD6310"/>
    <w:rsid w:val="00DE265C"/>
    <w:rsid w:val="00E22356"/>
    <w:rsid w:val="00E87F0E"/>
    <w:rsid w:val="00EA54E4"/>
    <w:rsid w:val="00EC3D8E"/>
    <w:rsid w:val="00F0390E"/>
    <w:rsid w:val="00F16173"/>
    <w:rsid w:val="00F3784A"/>
    <w:rsid w:val="00F62B90"/>
    <w:rsid w:val="00FB30EE"/>
    <w:rsid w:val="00FB4426"/>
    <w:rsid w:val="017F7EA9"/>
    <w:rsid w:val="036D6E76"/>
    <w:rsid w:val="036E1AB3"/>
    <w:rsid w:val="04B74FFE"/>
    <w:rsid w:val="06624B22"/>
    <w:rsid w:val="07726030"/>
    <w:rsid w:val="08D806E1"/>
    <w:rsid w:val="0CD9233A"/>
    <w:rsid w:val="0D68660A"/>
    <w:rsid w:val="0ECE58C2"/>
    <w:rsid w:val="0F0F4602"/>
    <w:rsid w:val="0F92329F"/>
    <w:rsid w:val="13917B20"/>
    <w:rsid w:val="16922E26"/>
    <w:rsid w:val="174E1EDE"/>
    <w:rsid w:val="17B145E5"/>
    <w:rsid w:val="185A2FF9"/>
    <w:rsid w:val="18F133D3"/>
    <w:rsid w:val="18FE078F"/>
    <w:rsid w:val="19F87A6B"/>
    <w:rsid w:val="1A3626C9"/>
    <w:rsid w:val="1B333D31"/>
    <w:rsid w:val="1B5A005E"/>
    <w:rsid w:val="1D9B4C90"/>
    <w:rsid w:val="1EAF5C4D"/>
    <w:rsid w:val="1ED95BDB"/>
    <w:rsid w:val="2254457F"/>
    <w:rsid w:val="22F138CA"/>
    <w:rsid w:val="2322503D"/>
    <w:rsid w:val="26A26E53"/>
    <w:rsid w:val="27D700D1"/>
    <w:rsid w:val="28531138"/>
    <w:rsid w:val="28746794"/>
    <w:rsid w:val="2A506F9C"/>
    <w:rsid w:val="2C7F61BC"/>
    <w:rsid w:val="2C8257F3"/>
    <w:rsid w:val="2CEF5A82"/>
    <w:rsid w:val="2D307341"/>
    <w:rsid w:val="2DBB3311"/>
    <w:rsid w:val="2DCA24EC"/>
    <w:rsid w:val="30DC6F87"/>
    <w:rsid w:val="312641A1"/>
    <w:rsid w:val="323D4E62"/>
    <w:rsid w:val="33551385"/>
    <w:rsid w:val="33D60EA1"/>
    <w:rsid w:val="33D94D80"/>
    <w:rsid w:val="348167E7"/>
    <w:rsid w:val="372C54A0"/>
    <w:rsid w:val="383A7F3D"/>
    <w:rsid w:val="39072296"/>
    <w:rsid w:val="392024F5"/>
    <w:rsid w:val="39DD768F"/>
    <w:rsid w:val="39DF3934"/>
    <w:rsid w:val="3A127773"/>
    <w:rsid w:val="3C8541BD"/>
    <w:rsid w:val="3C89764B"/>
    <w:rsid w:val="3E163855"/>
    <w:rsid w:val="3EBD58EA"/>
    <w:rsid w:val="3F2A531C"/>
    <w:rsid w:val="3FA83E9A"/>
    <w:rsid w:val="40640ECD"/>
    <w:rsid w:val="426F4A7B"/>
    <w:rsid w:val="42DE0612"/>
    <w:rsid w:val="44391587"/>
    <w:rsid w:val="44A82A98"/>
    <w:rsid w:val="44B92D15"/>
    <w:rsid w:val="466F4451"/>
    <w:rsid w:val="473577A2"/>
    <w:rsid w:val="48104F74"/>
    <w:rsid w:val="498A5D35"/>
    <w:rsid w:val="4B822B05"/>
    <w:rsid w:val="4D013F77"/>
    <w:rsid w:val="51674B50"/>
    <w:rsid w:val="524A598C"/>
    <w:rsid w:val="52C05538"/>
    <w:rsid w:val="53B165F0"/>
    <w:rsid w:val="55256F2F"/>
    <w:rsid w:val="55BA0D76"/>
    <w:rsid w:val="56CA17E9"/>
    <w:rsid w:val="573E0DD4"/>
    <w:rsid w:val="59B67CE6"/>
    <w:rsid w:val="5F9B12FC"/>
    <w:rsid w:val="611F6F39"/>
    <w:rsid w:val="62555CA8"/>
    <w:rsid w:val="628B3050"/>
    <w:rsid w:val="631548DB"/>
    <w:rsid w:val="63A76038"/>
    <w:rsid w:val="64EC03D8"/>
    <w:rsid w:val="68244C21"/>
    <w:rsid w:val="6943149C"/>
    <w:rsid w:val="697C1F33"/>
    <w:rsid w:val="698337BC"/>
    <w:rsid w:val="6B83314F"/>
    <w:rsid w:val="6D7D0E36"/>
    <w:rsid w:val="6E9E5677"/>
    <w:rsid w:val="722434D4"/>
    <w:rsid w:val="725502C4"/>
    <w:rsid w:val="7275745A"/>
    <w:rsid w:val="728C5914"/>
    <w:rsid w:val="72D83920"/>
    <w:rsid w:val="72F832B2"/>
    <w:rsid w:val="730D48E6"/>
    <w:rsid w:val="7373500A"/>
    <w:rsid w:val="75B337BD"/>
    <w:rsid w:val="768F4289"/>
    <w:rsid w:val="7803189F"/>
    <w:rsid w:val="79843EEA"/>
    <w:rsid w:val="7DDA4426"/>
    <w:rsid w:val="7EF379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paragraph" w:customStyle="1" w:styleId="7">
    <w:name w:val="大纲正文样式"/>
    <w:basedOn w:val="1"/>
    <w:qFormat/>
    <w:uiPriority w:val="0"/>
    <w:pPr>
      <w:tabs>
        <w:tab w:val="left" w:pos="540"/>
      </w:tabs>
      <w:spacing w:line="300" w:lineRule="auto"/>
      <w:ind w:firstLine="200" w:firstLineChars="200"/>
    </w:pPr>
    <w:rPr>
      <w:color w:val="000000"/>
      <w:sz w:val="24"/>
    </w:rPr>
  </w:style>
  <w:style w:type="character" w:customStyle="1" w:styleId="8">
    <w:name w:val="页眉 字符"/>
    <w:basedOn w:val="5"/>
    <w:link w:val="3"/>
    <w:qFormat/>
    <w:uiPriority w:val="0"/>
    <w:rPr>
      <w:kern w:val="2"/>
      <w:sz w:val="18"/>
      <w:szCs w:val="18"/>
    </w:rPr>
  </w:style>
  <w:style w:type="table" w:customStyle="1" w:styleId="9">
    <w:name w:val="TableGrid"/>
    <w:qFormat/>
    <w:uiPriority w:val="0"/>
    <w:rPr>
      <w:rFonts w:asciiTheme="minorHAnsi" w:hAnsiTheme="minorHAnsi" w:eastAsiaTheme="minorEastAsia" w:cstheme="minorBidi"/>
      <w:kern w:val="2"/>
      <w:sz w:val="21"/>
      <w:szCs w:val="22"/>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366</Words>
  <Characters>2088</Characters>
  <Lines>17</Lines>
  <Paragraphs>4</Paragraphs>
  <TotalTime>5</TotalTime>
  <ScaleCrop>false</ScaleCrop>
  <LinksUpToDate>false</LinksUpToDate>
  <CharactersWithSpaces>2450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2022-08-03T09:52:00Z</dcterms:created>
  <dc:creator>-</dc:creator>
  <cp:lastModifiedBy>刘挺</cp:lastModifiedBy>
  <cp:lastPrinted>2020-04-15T05:13:00Z</cp:lastPrinted>
  <dcterms:modified xsi:type="dcterms:W3CDTF">2024-12-16T11:08:55Z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8EF073BD8F3F4AEC8829A4863946B7B2</vt:lpwstr>
  </property>
</Properties>
</file>