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14:paraId="3B8B6BF2">
        <w:tblPrEx>
          <w:tblCellMar>
            <w:top w:w="0" w:type="dxa"/>
            <w:left w:w="108" w:type="dxa"/>
            <w:bottom w:w="0" w:type="dxa"/>
            <w:right w:w="108" w:type="dxa"/>
          </w:tblCellMar>
        </w:tblPrEx>
        <w:trPr>
          <w:trHeight w:val="1697" w:hRule="atLeast"/>
          <w:jc w:val="center"/>
        </w:trPr>
        <w:tc>
          <w:tcPr>
            <w:tcW w:w="8177" w:type="dxa"/>
          </w:tcPr>
          <w:p w14:paraId="702897D0">
            <w:pPr>
              <w:jc w:val="center"/>
              <w:rPr>
                <w:rStyle w:val="16"/>
                <w:rFonts w:eastAsia="黑体"/>
                <w:spacing w:val="20"/>
                <w:sz w:val="32"/>
              </w:rPr>
            </w:pPr>
          </w:p>
        </w:tc>
      </w:tr>
      <w:tr w14:paraId="0F8CC2A6">
        <w:tblPrEx>
          <w:tblCellMar>
            <w:top w:w="0" w:type="dxa"/>
            <w:left w:w="108" w:type="dxa"/>
            <w:bottom w:w="0" w:type="dxa"/>
            <w:right w:w="108" w:type="dxa"/>
          </w:tblCellMar>
        </w:tblPrEx>
        <w:trPr>
          <w:trHeight w:val="1573" w:hRule="atLeast"/>
          <w:jc w:val="center"/>
        </w:trPr>
        <w:tc>
          <w:tcPr>
            <w:tcW w:w="8177" w:type="dxa"/>
          </w:tcPr>
          <w:p w14:paraId="3530ECB3">
            <w:pPr>
              <w:spacing w:line="360" w:lineRule="auto"/>
              <w:jc w:val="both"/>
              <w:rPr>
                <w:rFonts w:eastAsia="黑体"/>
                <w:sz w:val="44"/>
                <w:szCs w:val="32"/>
                <w:lang w:val="zh-CN"/>
              </w:rPr>
            </w:pPr>
            <w:r>
              <w:rPr>
                <w:rFonts w:hint="eastAsia" w:eastAsia="黑体"/>
                <w:sz w:val="44"/>
                <w:szCs w:val="32"/>
              </w:rPr>
              <w:t>电涡流转速、位移复合式传感器</w:t>
            </w:r>
            <w:r>
              <w:rPr>
                <w:rFonts w:eastAsia="黑体"/>
                <w:sz w:val="44"/>
                <w:szCs w:val="32"/>
                <w:lang w:val="zh-CN"/>
              </w:rPr>
              <w:t>校准规范</w:t>
            </w:r>
          </w:p>
          <w:p w14:paraId="4DCA2A3B">
            <w:pPr>
              <w:jc w:val="center"/>
              <w:rPr>
                <w:rStyle w:val="16"/>
                <w:rFonts w:ascii="黑体" w:eastAsia="黑体" w:cs="Times New Roman"/>
                <w:bCs/>
                <w:sz w:val="44"/>
                <w:szCs w:val="44"/>
              </w:rPr>
            </w:pPr>
          </w:p>
          <w:p w14:paraId="5ED1A436">
            <w:pPr>
              <w:jc w:val="center"/>
              <w:rPr>
                <w:rStyle w:val="16"/>
                <w:rFonts w:eastAsia="黑体"/>
                <w:spacing w:val="20"/>
                <w:sz w:val="32"/>
              </w:rPr>
            </w:pPr>
          </w:p>
        </w:tc>
      </w:tr>
      <w:tr w14:paraId="4333F94A">
        <w:tblPrEx>
          <w:tblCellMar>
            <w:top w:w="0" w:type="dxa"/>
            <w:left w:w="108" w:type="dxa"/>
            <w:bottom w:w="0" w:type="dxa"/>
            <w:right w:w="108" w:type="dxa"/>
          </w:tblCellMar>
        </w:tblPrEx>
        <w:trPr>
          <w:trHeight w:val="1862" w:hRule="atLeast"/>
          <w:jc w:val="center"/>
        </w:trPr>
        <w:tc>
          <w:tcPr>
            <w:tcW w:w="8177" w:type="dxa"/>
          </w:tcPr>
          <w:p w14:paraId="67DF2F26">
            <w:pPr>
              <w:jc w:val="center"/>
              <w:rPr>
                <w:rStyle w:val="16"/>
                <w:rFonts w:eastAsia="黑体"/>
                <w:spacing w:val="20"/>
                <w:sz w:val="44"/>
              </w:rPr>
            </w:pPr>
            <w:r>
              <w:rPr>
                <w:rStyle w:val="16"/>
                <w:rFonts w:eastAsia="黑体"/>
                <w:spacing w:val="20"/>
                <w:sz w:val="44"/>
              </w:rPr>
              <w:t>编制说明</w:t>
            </w:r>
          </w:p>
        </w:tc>
      </w:tr>
      <w:tr w14:paraId="386F6D82">
        <w:tblPrEx>
          <w:tblCellMar>
            <w:top w:w="0" w:type="dxa"/>
            <w:left w:w="108" w:type="dxa"/>
            <w:bottom w:w="0" w:type="dxa"/>
            <w:right w:w="108" w:type="dxa"/>
          </w:tblCellMar>
        </w:tblPrEx>
        <w:trPr>
          <w:trHeight w:val="7167" w:hRule="atLeast"/>
          <w:jc w:val="center"/>
        </w:trPr>
        <w:tc>
          <w:tcPr>
            <w:tcW w:w="8177" w:type="dxa"/>
          </w:tcPr>
          <w:p w14:paraId="19AE9E1A">
            <w:pPr>
              <w:jc w:val="center"/>
              <w:rPr>
                <w:rStyle w:val="16"/>
                <w:rFonts w:eastAsia="黑体"/>
                <w:spacing w:val="20"/>
                <w:sz w:val="28"/>
              </w:rPr>
            </w:pPr>
            <w:r>
              <w:rPr>
                <w:rStyle w:val="16"/>
                <w:rFonts w:eastAsia="黑体"/>
                <w:spacing w:val="20"/>
                <w:sz w:val="28"/>
              </w:rPr>
              <w:t>（征求意见稿）</w:t>
            </w:r>
          </w:p>
        </w:tc>
      </w:tr>
      <w:tr w14:paraId="3B1EEE5D">
        <w:tblPrEx>
          <w:tblCellMar>
            <w:top w:w="0" w:type="dxa"/>
            <w:left w:w="108" w:type="dxa"/>
            <w:bottom w:w="0" w:type="dxa"/>
            <w:right w:w="108" w:type="dxa"/>
          </w:tblCellMar>
        </w:tblPrEx>
        <w:trPr>
          <w:trHeight w:val="632" w:hRule="atLeast"/>
          <w:jc w:val="center"/>
        </w:trPr>
        <w:tc>
          <w:tcPr>
            <w:tcW w:w="8177" w:type="dxa"/>
          </w:tcPr>
          <w:p w14:paraId="08B62D98">
            <w:pPr>
              <w:pStyle w:val="8"/>
              <w:ind w:left="99" w:leftChars="47"/>
              <w:jc w:val="center"/>
              <w:rPr>
                <w:rStyle w:val="16"/>
                <w:rFonts w:eastAsia="黑体"/>
                <w:sz w:val="28"/>
              </w:rPr>
            </w:pPr>
            <w:r>
              <w:rPr>
                <w:rStyle w:val="16"/>
                <w:sz w:val="28"/>
              </w:rPr>
              <w:t>202</w:t>
            </w:r>
            <w:r>
              <w:rPr>
                <w:rStyle w:val="16"/>
                <w:rFonts w:hint="eastAsia"/>
                <w:sz w:val="28"/>
                <w:lang w:val="en-US" w:eastAsia="zh-CN"/>
              </w:rPr>
              <w:t>4</w:t>
            </w:r>
            <w:r>
              <w:rPr>
                <w:rStyle w:val="16"/>
                <w:sz w:val="28"/>
              </w:rPr>
              <w:t>年</w:t>
            </w:r>
            <w:r>
              <w:rPr>
                <w:rStyle w:val="16"/>
                <w:rFonts w:hint="eastAsia"/>
                <w:sz w:val="28"/>
                <w:lang w:val="en-US" w:eastAsia="zh-CN"/>
              </w:rPr>
              <w:t>10</w:t>
            </w:r>
            <w:r>
              <w:rPr>
                <w:rStyle w:val="16"/>
                <w:sz w:val="28"/>
              </w:rPr>
              <w:t>月</w:t>
            </w:r>
          </w:p>
        </w:tc>
      </w:tr>
    </w:tbl>
    <w:p w14:paraId="344CE2B2">
      <w:pPr>
        <w:rPr>
          <w:rStyle w:val="16"/>
        </w:rPr>
      </w:pPr>
    </w:p>
    <w:p w14:paraId="5E6D2B45">
      <w:pPr>
        <w:rPr>
          <w:rStyle w:val="16"/>
          <w:rFonts w:ascii="黑体" w:eastAsia="黑体"/>
          <w:sz w:val="32"/>
        </w:rPr>
      </w:pPr>
    </w:p>
    <w:p w14:paraId="488ED5CC">
      <w:pPr>
        <w:pStyle w:val="4"/>
        <w:numPr>
          <w:ilvl w:val="0"/>
          <w:numId w:val="5"/>
        </w:numPr>
      </w:pPr>
      <w:r>
        <w:t>任务来源</w:t>
      </w:r>
    </w:p>
    <w:p w14:paraId="2FA1D9FC">
      <w:pPr>
        <w:spacing w:line="360" w:lineRule="auto"/>
        <w:ind w:firstLine="480" w:firstLineChars="200"/>
        <w:rPr>
          <w:rStyle w:val="16"/>
          <w:rFonts w:ascii="宋体" w:hAnsi="宋体" w:cs="Times New Roman"/>
          <w:bCs/>
          <w:sz w:val="24"/>
        </w:rPr>
      </w:pPr>
      <w:r>
        <w:rPr>
          <w:rStyle w:val="16"/>
          <w:rFonts w:ascii="宋体" w:hAnsi="宋体" w:cs="Times New Roman"/>
          <w:bCs/>
          <w:sz w:val="24"/>
        </w:rPr>
        <w:t>本规范是依据</w:t>
      </w:r>
      <w:r>
        <w:rPr>
          <w:rStyle w:val="16"/>
          <w:rFonts w:hint="eastAsia" w:ascii="宋体" w:hAnsi="宋体" w:cs="Times New Roman"/>
          <w:bCs/>
          <w:sz w:val="24"/>
          <w:lang w:val="en-US" w:eastAsia="zh-CN"/>
        </w:rPr>
        <w:t>国振计委</w:t>
      </w:r>
      <w:r>
        <w:rPr>
          <w:rStyle w:val="16"/>
          <w:rFonts w:ascii="宋体" w:hAnsi="宋体" w:cs="Times New Roman"/>
          <w:bCs/>
          <w:sz w:val="24"/>
        </w:rPr>
        <w:t>[20</w:t>
      </w:r>
      <w:r>
        <w:rPr>
          <w:rStyle w:val="16"/>
          <w:rFonts w:hint="eastAsia" w:ascii="宋体" w:hAnsi="宋体" w:cs="Times New Roman"/>
          <w:bCs/>
          <w:sz w:val="24"/>
        </w:rPr>
        <w:t>2</w:t>
      </w:r>
      <w:r>
        <w:rPr>
          <w:rStyle w:val="16"/>
          <w:rFonts w:hint="eastAsia" w:ascii="宋体" w:hAnsi="宋体" w:cs="Times New Roman"/>
          <w:bCs/>
          <w:sz w:val="24"/>
          <w:lang w:val="en-US" w:eastAsia="zh-CN"/>
        </w:rPr>
        <w:t>3</w:t>
      </w:r>
      <w:r>
        <w:rPr>
          <w:rStyle w:val="16"/>
          <w:rFonts w:ascii="宋体" w:hAnsi="宋体" w:cs="Times New Roman"/>
          <w:bCs/>
          <w:sz w:val="24"/>
        </w:rPr>
        <w:t>]</w:t>
      </w:r>
      <w:r>
        <w:rPr>
          <w:rStyle w:val="16"/>
          <w:rFonts w:hint="eastAsia" w:ascii="宋体" w:hAnsi="宋体" w:cs="Times New Roman"/>
          <w:bCs/>
          <w:sz w:val="24"/>
          <w:lang w:val="en-US" w:eastAsia="zh-CN"/>
        </w:rPr>
        <w:t>7</w:t>
      </w:r>
      <w:r>
        <w:rPr>
          <w:rStyle w:val="16"/>
          <w:rFonts w:ascii="宋体" w:hAnsi="宋体" w:cs="Times New Roman"/>
          <w:bCs/>
          <w:sz w:val="24"/>
        </w:rPr>
        <w:t>号 关于</w:t>
      </w:r>
      <w:r>
        <w:rPr>
          <w:rStyle w:val="16"/>
          <w:rFonts w:hint="eastAsia" w:ascii="宋体" w:hAnsi="宋体" w:cs="Times New Roman"/>
          <w:bCs/>
          <w:sz w:val="24"/>
          <w:lang w:val="en-US" w:eastAsia="zh-CN"/>
        </w:rPr>
        <w:t>下发2023年</w:t>
      </w:r>
      <w:r>
        <w:rPr>
          <w:rStyle w:val="16"/>
          <w:rFonts w:ascii="宋体" w:hAnsi="宋体" w:cs="Times New Roman"/>
          <w:bCs/>
          <w:sz w:val="24"/>
        </w:rPr>
        <w:t>国家计量技术规范制定、修订及宣贯计划的通知，规范归口单位为全国振动冲击转速计量技术委员会。</w:t>
      </w:r>
    </w:p>
    <w:p w14:paraId="59E05997">
      <w:pPr>
        <w:pStyle w:val="4"/>
        <w:numPr>
          <w:ilvl w:val="0"/>
          <w:numId w:val="5"/>
        </w:numPr>
      </w:pPr>
      <w:r>
        <w:rPr>
          <w:rFonts w:hint="eastAsia"/>
        </w:rPr>
        <w:t>制定目和意义</w:t>
      </w:r>
    </w:p>
    <w:p w14:paraId="05104406">
      <w:pPr>
        <w:spacing w:line="360" w:lineRule="auto"/>
        <w:ind w:firstLine="480" w:firstLineChars="200"/>
        <w:rPr>
          <w:rStyle w:val="16"/>
          <w:rFonts w:hint="eastAsia" w:ascii="宋体" w:hAnsi="宋体" w:cs="Times New Roman"/>
          <w:bCs/>
          <w:sz w:val="24"/>
          <w:lang w:val="en-US" w:eastAsia="zh-CN"/>
        </w:rPr>
      </w:pPr>
      <w:bookmarkStart w:id="0" w:name="OLE_LINK18"/>
      <w:bookmarkStart w:id="1" w:name="OLE_LINK17"/>
      <w:r>
        <w:rPr>
          <w:rStyle w:val="16"/>
          <w:rFonts w:hint="eastAsia" w:ascii="宋体" w:hAnsi="宋体" w:cs="Times New Roman"/>
          <w:bCs/>
          <w:sz w:val="24"/>
          <w:lang w:val="en-US" w:eastAsia="zh-CN"/>
        </w:rPr>
        <w:t>在电力、石化和冶金等重要行业领域，大型旋转机械（包括汽轮机、发电机、给水泵等）机械运行参数监测直接关乎机组的安全运行。电涡流式传感器由于其测量参数多（转速和位移），测量精度高和非接触等特点，广泛应用于大型旋转机械的运行参数监。经过调研，市面上8成以上的电涡流传感器应用与电力等行业大型旋转机械转子的振动监测。</w:t>
      </w:r>
    </w:p>
    <w:p w14:paraId="75710AA6">
      <w:pPr>
        <w:spacing w:line="360" w:lineRule="auto"/>
        <w:ind w:firstLine="480" w:firstLineChars="200"/>
        <w:rPr>
          <w:rStyle w:val="16"/>
          <w:rFonts w:hint="eastAsia" w:ascii="宋体" w:hAnsi="宋体" w:cs="Times New Roman"/>
          <w:bCs/>
          <w:sz w:val="24"/>
          <w:lang w:val="en-US" w:eastAsia="zh-CN"/>
        </w:rPr>
      </w:pPr>
      <w:r>
        <w:rPr>
          <w:rStyle w:val="16"/>
          <w:rFonts w:hint="eastAsia" w:ascii="宋体" w:hAnsi="宋体" w:cs="Times New Roman"/>
          <w:bCs/>
          <w:sz w:val="24"/>
          <w:lang w:val="en-US" w:eastAsia="zh-CN"/>
        </w:rPr>
        <w:t>目前，针对大型旋转机械中电涡流传感器的计量，主要依据JJG 644-2003《振动位移传感器》检定规程，由于电涡流传感器在电力、石化等重要行业应用中有其特殊性，且数量巨大，该检定规程目前不能满足其计量要求，一些关键性的参数（转速）、技术指标（灵敏度偏差等）、检定项目和安装要求（安装间隙和靶材料特性）等未提及，部分项目（静态位移）检定方法也不适宜，极易对传感器的计量性能做出误判，直接影响机械参数监测系统的测量准确性。故需要制定专门针对该类型传感器的校准规范，确保在电力等行业内对该类型传感器能得到有效、合理的溯源。</w:t>
      </w:r>
    </w:p>
    <w:p w14:paraId="015AF4A1">
      <w:pPr>
        <w:spacing w:line="360" w:lineRule="auto"/>
        <w:ind w:firstLine="480" w:firstLineChars="200"/>
        <w:rPr>
          <w:rStyle w:val="16"/>
          <w:rFonts w:hint="eastAsia" w:ascii="宋体" w:hAnsi="宋体" w:cs="Times New Roman"/>
          <w:bCs/>
          <w:sz w:val="24"/>
          <w:lang w:val="en-US" w:eastAsia="zh-CN"/>
        </w:rPr>
      </w:pPr>
      <w:r>
        <w:rPr>
          <w:rStyle w:val="16"/>
          <w:rFonts w:hint="eastAsia" w:ascii="宋体" w:hAnsi="宋体" w:cs="Times New Roman"/>
          <w:bCs/>
          <w:sz w:val="24"/>
          <w:lang w:val="en-US" w:eastAsia="zh-CN"/>
        </w:rPr>
        <w:t>本规范结合电涡流传感器在工业领域使用情况，参考现有国家检定规程、制造厂家传感器说明书和大量实验室测量数据而制定。该规范的制定，确保了电力等重要行业大型旋转机械监测系统量值的准确可靠，从而保障了机组的安全经济运行。</w:t>
      </w:r>
    </w:p>
    <w:bookmarkEnd w:id="0"/>
    <w:bookmarkEnd w:id="1"/>
    <w:p w14:paraId="1B48723D">
      <w:pPr>
        <w:pStyle w:val="4"/>
        <w:numPr>
          <w:ilvl w:val="0"/>
          <w:numId w:val="5"/>
        </w:numPr>
      </w:pPr>
      <w:r>
        <w:rPr>
          <w:rFonts w:hint="eastAsia"/>
        </w:rPr>
        <w:t>制定依据</w:t>
      </w:r>
    </w:p>
    <w:p w14:paraId="47E69D12">
      <w:pPr>
        <w:pStyle w:val="7"/>
        <w:spacing w:line="360" w:lineRule="auto"/>
        <w:ind w:firstLine="480" w:firstLineChars="200"/>
        <w:rPr>
          <w:rFonts w:ascii="Times New Roman" w:hAnsi="Times New Roman"/>
          <w:kern w:val="0"/>
          <w:sz w:val="24"/>
        </w:rPr>
      </w:pPr>
      <w:r>
        <w:rPr>
          <w:rFonts w:ascii="Times New Roman" w:hAnsi="Times New Roman"/>
          <w:kern w:val="0"/>
          <w:sz w:val="24"/>
        </w:rPr>
        <w:t>本规范依据 JJF 1001《通用计量术语及定义》、 JJF 1059.1《测量不确定度的评定与表示》、 JJF 1071《国家计量校准规范编写规则》、JJF 1094《测量仪器特性评定》为基础性系列规范进行编制。</w:t>
      </w:r>
    </w:p>
    <w:p w14:paraId="076AEE2A">
      <w:pPr>
        <w:snapToGrid w:val="0"/>
        <w:spacing w:line="360" w:lineRule="auto"/>
        <w:ind w:firstLine="480" w:firstLineChars="200"/>
        <w:rPr>
          <w:sz w:val="24"/>
          <w:lang w:val="zh-CN"/>
        </w:rPr>
      </w:pPr>
      <w:r>
        <w:rPr>
          <w:rFonts w:hAnsi="宋体"/>
          <w:sz w:val="24"/>
          <w:szCs w:val="24"/>
        </w:rPr>
        <w:t>本规范主要参考</w:t>
      </w:r>
      <w:r>
        <w:rPr>
          <w:sz w:val="24"/>
          <w:szCs w:val="24"/>
        </w:rPr>
        <w:t>JJG105</w:t>
      </w:r>
      <w:r>
        <w:rPr>
          <w:rFonts w:hAnsi="宋体"/>
          <w:sz w:val="24"/>
          <w:szCs w:val="24"/>
        </w:rPr>
        <w:t>《转速表》、</w:t>
      </w:r>
      <w:r>
        <w:rPr>
          <w:rFonts w:hint="eastAsia" w:hAnsi="宋体"/>
          <w:sz w:val="24"/>
          <w:szCs w:val="24"/>
        </w:rPr>
        <w:t>JJG 644-2003</w:t>
      </w:r>
      <w:r>
        <w:rPr>
          <w:rFonts w:hAnsi="宋体"/>
          <w:sz w:val="24"/>
          <w:szCs w:val="24"/>
        </w:rPr>
        <w:t>《</w:t>
      </w:r>
      <w:r>
        <w:rPr>
          <w:rFonts w:hint="eastAsia" w:hAnsi="宋体"/>
          <w:sz w:val="24"/>
          <w:szCs w:val="24"/>
        </w:rPr>
        <w:t>振动位移传感器</w:t>
      </w:r>
      <w:r>
        <w:rPr>
          <w:rFonts w:hAnsi="宋体"/>
          <w:sz w:val="24"/>
          <w:szCs w:val="24"/>
        </w:rPr>
        <w:t>》</w:t>
      </w:r>
      <w:r>
        <w:rPr>
          <w:rFonts w:hint="eastAsia" w:hAnsi="宋体"/>
          <w:sz w:val="24"/>
          <w:szCs w:val="24"/>
        </w:rPr>
        <w:t>、</w:t>
      </w:r>
      <w:r>
        <w:rPr>
          <w:sz w:val="24"/>
          <w:lang w:val="zh-CN"/>
        </w:rPr>
        <w:t>JJ</w:t>
      </w:r>
      <w:r>
        <w:rPr>
          <w:rFonts w:hint="eastAsia"/>
          <w:sz w:val="24"/>
          <w:lang w:val="zh-CN"/>
        </w:rPr>
        <w:t>F</w:t>
      </w:r>
      <w:r>
        <w:rPr>
          <w:sz w:val="24"/>
          <w:lang w:val="zh-CN"/>
        </w:rPr>
        <w:t xml:space="preserve"> </w:t>
      </w:r>
      <w:r>
        <w:rPr>
          <w:rFonts w:hint="eastAsia"/>
          <w:sz w:val="24"/>
          <w:lang w:val="zh-CN"/>
        </w:rPr>
        <w:t>1871</w:t>
      </w:r>
      <w:r>
        <w:rPr>
          <w:sz w:val="24"/>
          <w:lang w:val="zh-CN"/>
        </w:rPr>
        <w:t xml:space="preserve"> </w:t>
      </w:r>
      <w:r>
        <w:rPr>
          <w:rFonts w:hAnsi="宋体"/>
          <w:sz w:val="24"/>
          <w:szCs w:val="24"/>
        </w:rPr>
        <w:t>《</w:t>
      </w:r>
      <w:r>
        <w:rPr>
          <w:rFonts w:hAnsi="宋体"/>
          <w:sz w:val="24"/>
          <w:lang w:val="zh-CN"/>
        </w:rPr>
        <w:t>磁电式转速传感器校准规范</w:t>
      </w:r>
      <w:r>
        <w:rPr>
          <w:rFonts w:hAnsi="宋体"/>
          <w:sz w:val="24"/>
          <w:szCs w:val="24"/>
        </w:rPr>
        <w:t>》等计量技术</w:t>
      </w:r>
      <w:r>
        <w:rPr>
          <w:rFonts w:hint="eastAsia" w:hAnsi="宋体"/>
          <w:sz w:val="24"/>
          <w:szCs w:val="24"/>
          <w:lang w:val="en-US" w:eastAsia="zh-CN"/>
        </w:rPr>
        <w:t>规范</w:t>
      </w:r>
      <w:r>
        <w:rPr>
          <w:rFonts w:hAnsi="宋体"/>
          <w:sz w:val="24"/>
          <w:szCs w:val="24"/>
        </w:rPr>
        <w:t>。</w:t>
      </w:r>
    </w:p>
    <w:p w14:paraId="5FE8078A">
      <w:pPr>
        <w:spacing w:line="440" w:lineRule="exact"/>
        <w:ind w:right="12" w:firstLine="480" w:firstLineChars="200"/>
        <w:rPr>
          <w:rStyle w:val="16"/>
          <w:color w:val="000000"/>
          <w:sz w:val="24"/>
        </w:rPr>
      </w:pPr>
    </w:p>
    <w:p w14:paraId="5EC70251">
      <w:pPr>
        <w:pStyle w:val="4"/>
        <w:numPr>
          <w:ilvl w:val="0"/>
          <w:numId w:val="5"/>
        </w:numPr>
      </w:pPr>
      <w:r>
        <w:t>编制过程</w:t>
      </w:r>
    </w:p>
    <w:p w14:paraId="352CD45E">
      <w:pPr>
        <w:spacing w:line="360" w:lineRule="auto"/>
        <w:ind w:firstLine="480" w:firstLineChars="200"/>
        <w:rPr>
          <w:rStyle w:val="16"/>
          <w:rFonts w:ascii="宋体" w:hAnsi="宋体" w:cs="Times New Roman"/>
          <w:bCs/>
          <w:sz w:val="24"/>
        </w:rPr>
      </w:pPr>
      <w:r>
        <w:rPr>
          <w:rStyle w:val="16"/>
          <w:rFonts w:ascii="宋体" w:hAnsi="宋体" w:cs="Times New Roman"/>
          <w:bCs/>
          <w:sz w:val="24"/>
        </w:rPr>
        <w:t>20</w:t>
      </w:r>
      <w:r>
        <w:rPr>
          <w:rStyle w:val="16"/>
          <w:rFonts w:hint="eastAsia" w:ascii="宋体" w:hAnsi="宋体" w:cs="Times New Roman"/>
          <w:bCs/>
          <w:sz w:val="24"/>
        </w:rPr>
        <w:t>2</w:t>
      </w:r>
      <w:r>
        <w:rPr>
          <w:rStyle w:val="16"/>
          <w:rFonts w:hint="eastAsia" w:ascii="宋体" w:hAnsi="宋体" w:cs="Times New Roman"/>
          <w:bCs/>
          <w:sz w:val="24"/>
          <w:lang w:val="en-US" w:eastAsia="zh-CN"/>
        </w:rPr>
        <w:t>3</w:t>
      </w:r>
      <w:r>
        <w:rPr>
          <w:rStyle w:val="16"/>
          <w:rFonts w:ascii="宋体" w:hAnsi="宋体" w:cs="Times New Roman"/>
          <w:bCs/>
          <w:sz w:val="24"/>
        </w:rPr>
        <w:t>年</w:t>
      </w:r>
      <w:r>
        <w:rPr>
          <w:rStyle w:val="16"/>
          <w:rFonts w:hint="eastAsia" w:ascii="宋体" w:hAnsi="宋体" w:cs="Times New Roman"/>
          <w:bCs/>
          <w:sz w:val="24"/>
          <w:lang w:val="en-US" w:eastAsia="zh-CN"/>
        </w:rPr>
        <w:t>4</w:t>
      </w:r>
      <w:r>
        <w:rPr>
          <w:rStyle w:val="16"/>
          <w:rFonts w:ascii="宋体" w:hAnsi="宋体" w:cs="Times New Roman"/>
          <w:bCs/>
          <w:sz w:val="24"/>
        </w:rPr>
        <w:t>月</w:t>
      </w:r>
      <w:r>
        <w:rPr>
          <w:rStyle w:val="16"/>
          <w:rFonts w:hint="eastAsia" w:ascii="宋体" w:hAnsi="宋体" w:cs="Times New Roman"/>
          <w:bCs/>
          <w:sz w:val="24"/>
        </w:rPr>
        <w:t>提交</w:t>
      </w:r>
      <w:r>
        <w:rPr>
          <w:rStyle w:val="16"/>
          <w:rFonts w:ascii="宋体" w:hAnsi="宋体" w:cs="Times New Roman"/>
          <w:bCs/>
          <w:sz w:val="24"/>
        </w:rPr>
        <w:t>立项申请，对本项目的必要性、意义、国内外水平现状和发展趋势、具备的基础、关键技术和工作内容等进行了论证，编制了国家计量技术法规项目计划任务书，对工作任务进行了分工。具体实施过程如下：</w:t>
      </w:r>
    </w:p>
    <w:p w14:paraId="2E64098B">
      <w:pPr>
        <w:spacing w:line="360" w:lineRule="auto"/>
        <w:ind w:firstLine="480" w:firstLineChars="200"/>
        <w:rPr>
          <w:rStyle w:val="16"/>
          <w:rFonts w:ascii="宋体" w:hAnsi="宋体" w:cs="Times New Roman"/>
          <w:bCs/>
          <w:sz w:val="24"/>
        </w:rPr>
      </w:pPr>
      <w:r>
        <w:rPr>
          <w:rStyle w:val="16"/>
          <w:rFonts w:ascii="宋体" w:hAnsi="宋体" w:cs="Times New Roman"/>
          <w:bCs/>
          <w:sz w:val="24"/>
        </w:rPr>
        <w:t>20</w:t>
      </w:r>
      <w:r>
        <w:rPr>
          <w:rStyle w:val="16"/>
          <w:rFonts w:hint="eastAsia" w:ascii="宋体" w:hAnsi="宋体" w:cs="Times New Roman"/>
          <w:bCs/>
          <w:sz w:val="24"/>
        </w:rPr>
        <w:t>2</w:t>
      </w:r>
      <w:r>
        <w:rPr>
          <w:rStyle w:val="16"/>
          <w:rFonts w:hint="eastAsia" w:ascii="宋体" w:hAnsi="宋体" w:cs="Times New Roman"/>
          <w:bCs/>
          <w:sz w:val="24"/>
          <w:lang w:val="en-US" w:eastAsia="zh-CN"/>
        </w:rPr>
        <w:t>3</w:t>
      </w:r>
      <w:r>
        <w:rPr>
          <w:rStyle w:val="16"/>
          <w:rFonts w:ascii="宋体" w:hAnsi="宋体" w:cs="Times New Roman"/>
          <w:bCs/>
          <w:sz w:val="24"/>
        </w:rPr>
        <w:t>年</w:t>
      </w:r>
      <w:r>
        <w:rPr>
          <w:rStyle w:val="16"/>
          <w:rFonts w:hint="eastAsia" w:ascii="宋体" w:hAnsi="宋体" w:cs="Times New Roman"/>
          <w:bCs/>
          <w:sz w:val="24"/>
          <w:lang w:val="en-US" w:eastAsia="zh-CN"/>
        </w:rPr>
        <w:t>12</w:t>
      </w:r>
      <w:r>
        <w:rPr>
          <w:rStyle w:val="16"/>
          <w:rFonts w:ascii="宋体" w:hAnsi="宋体" w:cs="Times New Roman"/>
          <w:bCs/>
          <w:sz w:val="24"/>
        </w:rPr>
        <w:t>月，完成了立项申报书编制；</w:t>
      </w:r>
    </w:p>
    <w:p w14:paraId="369D27EB">
      <w:pPr>
        <w:spacing w:line="360" w:lineRule="auto"/>
        <w:ind w:firstLine="480" w:firstLineChars="200"/>
        <w:rPr>
          <w:rStyle w:val="16"/>
          <w:rFonts w:ascii="宋体" w:hAnsi="宋体" w:cs="Times New Roman"/>
          <w:bCs/>
          <w:sz w:val="24"/>
        </w:rPr>
      </w:pPr>
      <w:r>
        <w:rPr>
          <w:rStyle w:val="16"/>
          <w:rFonts w:hint="eastAsia" w:ascii="宋体" w:hAnsi="宋体" w:cs="Times New Roman"/>
          <w:bCs/>
          <w:sz w:val="24"/>
        </w:rPr>
        <w:t>202</w:t>
      </w:r>
      <w:r>
        <w:rPr>
          <w:rStyle w:val="16"/>
          <w:rFonts w:hint="eastAsia" w:ascii="宋体" w:hAnsi="宋体" w:cs="Times New Roman"/>
          <w:bCs/>
          <w:sz w:val="24"/>
          <w:lang w:val="en-US" w:eastAsia="zh-CN"/>
        </w:rPr>
        <w:t>4</w:t>
      </w:r>
      <w:r>
        <w:rPr>
          <w:rStyle w:val="16"/>
          <w:rFonts w:hint="eastAsia" w:ascii="宋体" w:hAnsi="宋体" w:cs="Times New Roman"/>
          <w:bCs/>
          <w:sz w:val="24"/>
        </w:rPr>
        <w:t>年</w:t>
      </w:r>
      <w:r>
        <w:rPr>
          <w:rStyle w:val="16"/>
          <w:rFonts w:hint="eastAsia" w:ascii="宋体" w:hAnsi="宋体" w:cs="Times New Roman"/>
          <w:bCs/>
          <w:sz w:val="24"/>
          <w:lang w:val="en-US" w:eastAsia="zh-CN"/>
        </w:rPr>
        <w:t>2</w:t>
      </w:r>
      <w:r>
        <w:rPr>
          <w:rStyle w:val="16"/>
          <w:rFonts w:hint="eastAsia" w:ascii="宋体" w:hAnsi="宋体" w:cs="Times New Roman"/>
          <w:bCs/>
          <w:sz w:val="24"/>
        </w:rPr>
        <w:t>月，完成了任务书编制；</w:t>
      </w:r>
    </w:p>
    <w:p w14:paraId="753DD237">
      <w:pPr>
        <w:spacing w:line="360" w:lineRule="auto"/>
        <w:ind w:firstLine="480" w:firstLineChars="200"/>
        <w:rPr>
          <w:rStyle w:val="16"/>
          <w:rFonts w:ascii="宋体" w:hAnsi="宋体" w:cs="Times New Roman"/>
          <w:bCs/>
          <w:sz w:val="24"/>
        </w:rPr>
      </w:pPr>
      <w:r>
        <w:rPr>
          <w:rStyle w:val="16"/>
          <w:rFonts w:hint="eastAsia" w:ascii="宋体" w:hAnsi="宋体" w:cs="Times New Roman"/>
          <w:bCs/>
          <w:sz w:val="24"/>
        </w:rPr>
        <w:t>202</w:t>
      </w:r>
      <w:r>
        <w:rPr>
          <w:rStyle w:val="16"/>
          <w:rFonts w:hint="eastAsia" w:ascii="宋体" w:hAnsi="宋体" w:cs="Times New Roman"/>
          <w:bCs/>
          <w:sz w:val="24"/>
          <w:lang w:val="en-US" w:eastAsia="zh-CN"/>
        </w:rPr>
        <w:t>4</w:t>
      </w:r>
      <w:r>
        <w:rPr>
          <w:rStyle w:val="16"/>
          <w:rFonts w:hint="eastAsia" w:ascii="宋体" w:hAnsi="宋体" w:cs="Times New Roman"/>
          <w:bCs/>
          <w:sz w:val="24"/>
        </w:rPr>
        <w:t>年</w:t>
      </w:r>
      <w:r>
        <w:rPr>
          <w:rStyle w:val="16"/>
          <w:rFonts w:hint="eastAsia" w:ascii="宋体" w:hAnsi="宋体" w:cs="Times New Roman"/>
          <w:bCs/>
          <w:sz w:val="24"/>
          <w:lang w:val="en-US" w:eastAsia="zh-CN"/>
        </w:rPr>
        <w:t>6</w:t>
      </w:r>
      <w:r>
        <w:rPr>
          <w:rStyle w:val="16"/>
          <w:rFonts w:hint="eastAsia" w:ascii="宋体" w:hAnsi="宋体" w:cs="Times New Roman"/>
          <w:bCs/>
          <w:sz w:val="24"/>
        </w:rPr>
        <w:t>月，完成了相关验证试验；</w:t>
      </w:r>
    </w:p>
    <w:p w14:paraId="0844A979">
      <w:pPr>
        <w:spacing w:line="360" w:lineRule="auto"/>
        <w:ind w:firstLine="480" w:firstLineChars="200"/>
        <w:rPr>
          <w:rStyle w:val="16"/>
          <w:rFonts w:ascii="宋体" w:hAnsi="宋体" w:cs="Times New Roman"/>
          <w:bCs/>
          <w:sz w:val="24"/>
        </w:rPr>
      </w:pPr>
      <w:r>
        <w:rPr>
          <w:rStyle w:val="16"/>
          <w:rFonts w:ascii="宋体" w:hAnsi="宋体" w:cs="Times New Roman"/>
          <w:bCs/>
          <w:sz w:val="24"/>
        </w:rPr>
        <w:t>2</w:t>
      </w:r>
      <w:r>
        <w:rPr>
          <w:rStyle w:val="16"/>
          <w:rFonts w:hint="eastAsia" w:ascii="宋体" w:hAnsi="宋体" w:cs="Times New Roman"/>
          <w:bCs/>
          <w:sz w:val="24"/>
        </w:rPr>
        <w:t>02</w:t>
      </w:r>
      <w:r>
        <w:rPr>
          <w:rStyle w:val="16"/>
          <w:rFonts w:hint="eastAsia" w:ascii="宋体" w:hAnsi="宋体" w:cs="Times New Roman"/>
          <w:bCs/>
          <w:sz w:val="24"/>
          <w:lang w:val="en-US" w:eastAsia="zh-CN"/>
        </w:rPr>
        <w:t>4</w:t>
      </w:r>
      <w:r>
        <w:rPr>
          <w:rStyle w:val="16"/>
          <w:rFonts w:ascii="宋体" w:hAnsi="宋体" w:cs="Times New Roman"/>
          <w:bCs/>
          <w:sz w:val="24"/>
        </w:rPr>
        <w:t>年</w:t>
      </w:r>
      <w:r>
        <w:rPr>
          <w:rStyle w:val="16"/>
          <w:rFonts w:hint="eastAsia" w:ascii="宋体" w:hAnsi="宋体" w:cs="Times New Roman"/>
          <w:bCs/>
          <w:sz w:val="24"/>
          <w:lang w:val="en-US" w:eastAsia="zh-CN"/>
        </w:rPr>
        <w:t>8</w:t>
      </w:r>
      <w:r>
        <w:rPr>
          <w:rStyle w:val="16"/>
          <w:rFonts w:ascii="宋体" w:hAnsi="宋体" w:cs="Times New Roman"/>
          <w:bCs/>
          <w:sz w:val="24"/>
        </w:rPr>
        <w:t>月，完成了校准规范初稿；</w:t>
      </w:r>
    </w:p>
    <w:p w14:paraId="270025BE">
      <w:pPr>
        <w:pStyle w:val="4"/>
        <w:numPr>
          <w:ilvl w:val="0"/>
          <w:numId w:val="5"/>
        </w:numPr>
      </w:pPr>
      <w:r>
        <w:t>主要技术内容的说明</w:t>
      </w:r>
    </w:p>
    <w:p w14:paraId="7D40EB65">
      <w:pPr>
        <w:spacing w:line="360" w:lineRule="auto"/>
        <w:rPr>
          <w:rFonts w:ascii="宋体" w:hAnsi="宋体"/>
          <w:b/>
          <w:bCs/>
          <w:sz w:val="24"/>
        </w:rPr>
      </w:pPr>
      <w:r>
        <w:rPr>
          <w:rFonts w:hint="eastAsia" w:ascii="宋体" w:hAnsi="宋体"/>
          <w:b/>
          <w:bCs/>
          <w:sz w:val="24"/>
        </w:rPr>
        <w:t>5.1  关于范围</w:t>
      </w:r>
    </w:p>
    <w:p w14:paraId="54B88971">
      <w:pPr>
        <w:spacing w:line="440" w:lineRule="exact"/>
        <w:ind w:right="12" w:firstLine="480" w:firstLineChars="200"/>
        <w:rPr>
          <w:rStyle w:val="51"/>
          <w:rFonts w:ascii="宋体" w:hAnsi="Times New Roman"/>
          <w:w w:val="100"/>
          <w:sz w:val="24"/>
          <w:szCs w:val="24"/>
        </w:rPr>
      </w:pPr>
      <w:r>
        <w:rPr>
          <w:rFonts w:ascii="宋体" w:hAnsi="宋体"/>
          <w:sz w:val="24"/>
          <w:lang w:val="zh-CN"/>
        </w:rPr>
        <w:t>本规范适用于</w:t>
      </w:r>
      <w:r>
        <w:rPr>
          <w:rFonts w:hAnsi="宋体"/>
          <w:sz w:val="24"/>
          <w:lang w:val="zh-CN"/>
        </w:rPr>
        <w:t>（</w:t>
      </w:r>
      <w:r>
        <w:rPr>
          <w:sz w:val="24"/>
        </w:rPr>
        <w:t>0</w:t>
      </w:r>
      <w:r>
        <w:rPr>
          <w:sz w:val="24"/>
          <w:lang w:val="zh-CN"/>
        </w:rPr>
        <w:t>~</w:t>
      </w:r>
      <w:r>
        <w:rPr>
          <w:sz w:val="24"/>
        </w:rPr>
        <w:t>5</w:t>
      </w:r>
      <w:r>
        <w:rPr>
          <w:sz w:val="24"/>
          <w:lang w:val="zh-CN"/>
        </w:rPr>
        <w:t>000</w:t>
      </w:r>
      <w:r>
        <w:rPr>
          <w:rFonts w:hAnsi="宋体"/>
          <w:sz w:val="24"/>
          <w:lang w:val="zh-CN"/>
        </w:rPr>
        <w:t>）</w:t>
      </w:r>
      <w:r>
        <w:rPr>
          <w:sz w:val="24"/>
        </w:rPr>
        <w:t>Hz频率范围内、</w:t>
      </w:r>
      <w:r>
        <w:rPr>
          <w:rFonts w:hint="eastAsia"/>
          <w:sz w:val="24"/>
        </w:rPr>
        <w:t>测量范围不小于</w:t>
      </w:r>
      <w:r>
        <w:rPr>
          <w:sz w:val="24"/>
        </w:rPr>
        <w:t>（</w:t>
      </w:r>
      <w:r>
        <w:rPr>
          <w:rFonts w:hint="eastAsia"/>
          <w:sz w:val="24"/>
        </w:rPr>
        <w:t>1~10000</w:t>
      </w:r>
      <w:r>
        <w:rPr>
          <w:sz w:val="24"/>
        </w:rPr>
        <w:t>）</w:t>
      </w:r>
      <w:r>
        <w:rPr>
          <w:rFonts w:hint="eastAsia"/>
          <w:sz w:val="24"/>
        </w:rPr>
        <w:t>r/min</w:t>
      </w:r>
      <w:r>
        <w:rPr>
          <w:sz w:val="24"/>
        </w:rPr>
        <w:t>的</w:t>
      </w:r>
      <w:r>
        <w:rPr>
          <w:rFonts w:ascii="宋体" w:hAnsi="宋体"/>
          <w:sz w:val="24"/>
          <w:lang w:val="zh-CN"/>
        </w:rPr>
        <w:t>采用</w:t>
      </w:r>
      <w:r>
        <w:rPr>
          <w:rFonts w:hint="eastAsia" w:ascii="宋体" w:hAnsi="宋体"/>
          <w:sz w:val="24"/>
        </w:rPr>
        <w:t>电涡流效应</w:t>
      </w:r>
      <w:r>
        <w:rPr>
          <w:rFonts w:ascii="宋体" w:hAnsi="宋体"/>
          <w:sz w:val="24"/>
          <w:lang w:val="zh-CN"/>
        </w:rPr>
        <w:t>的转速</w:t>
      </w:r>
      <w:r>
        <w:rPr>
          <w:rFonts w:hint="eastAsia" w:ascii="宋体" w:hAnsi="宋体"/>
          <w:sz w:val="24"/>
        </w:rPr>
        <w:t>和位移</w:t>
      </w:r>
      <w:r>
        <w:rPr>
          <w:rFonts w:ascii="宋体" w:hAnsi="宋体"/>
          <w:sz w:val="24"/>
          <w:lang w:val="zh-CN"/>
        </w:rPr>
        <w:t>传感器的校准。</w:t>
      </w:r>
    </w:p>
    <w:p w14:paraId="1C1C70F5">
      <w:pPr>
        <w:spacing w:line="360" w:lineRule="auto"/>
        <w:rPr>
          <w:rFonts w:hAnsi="宋体"/>
          <w:b/>
          <w:sz w:val="24"/>
        </w:rPr>
      </w:pPr>
      <w:r>
        <w:rPr>
          <w:rFonts w:hint="eastAsia" w:ascii="宋体" w:hAnsi="宋体"/>
          <w:b/>
          <w:sz w:val="24"/>
        </w:rPr>
        <w:t>5.2  关于校准用设备</w:t>
      </w:r>
    </w:p>
    <w:tbl>
      <w:tblPr>
        <w:tblStyle w:val="12"/>
        <w:tblW w:w="32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4863"/>
      </w:tblGrid>
      <w:tr w14:paraId="6E87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228" w:type="pct"/>
            <w:noWrap w:val="0"/>
            <w:vAlign w:val="center"/>
          </w:tcPr>
          <w:p w14:paraId="5A990569">
            <w:pPr>
              <w:widowControl w:val="0"/>
              <w:jc w:val="center"/>
              <w:rPr>
                <w:bCs/>
                <w:szCs w:val="16"/>
              </w:rPr>
            </w:pPr>
            <w:r>
              <w:rPr>
                <w:rFonts w:hAnsi="宋体"/>
                <w:bCs/>
                <w:szCs w:val="16"/>
              </w:rPr>
              <w:t>名</w:t>
            </w:r>
            <w:r>
              <w:rPr>
                <w:bCs/>
                <w:szCs w:val="16"/>
              </w:rPr>
              <w:t xml:space="preserve">  </w:t>
            </w:r>
            <w:r>
              <w:rPr>
                <w:rFonts w:hAnsi="宋体"/>
                <w:bCs/>
                <w:szCs w:val="16"/>
              </w:rPr>
              <w:t>称</w:t>
            </w:r>
          </w:p>
        </w:tc>
        <w:tc>
          <w:tcPr>
            <w:tcW w:w="3771" w:type="pct"/>
            <w:noWrap w:val="0"/>
            <w:vAlign w:val="center"/>
          </w:tcPr>
          <w:p w14:paraId="0190C0A4">
            <w:pPr>
              <w:widowControl w:val="0"/>
              <w:jc w:val="center"/>
              <w:rPr>
                <w:bCs/>
                <w:szCs w:val="16"/>
              </w:rPr>
            </w:pPr>
            <w:r>
              <w:rPr>
                <w:rFonts w:hAnsi="宋体"/>
                <w:bCs/>
                <w:szCs w:val="16"/>
              </w:rPr>
              <w:t>技术要求</w:t>
            </w:r>
          </w:p>
        </w:tc>
      </w:tr>
      <w:tr w14:paraId="045E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1228" w:type="pct"/>
            <w:noWrap w:val="0"/>
            <w:vAlign w:val="center"/>
          </w:tcPr>
          <w:p w14:paraId="2AC40207">
            <w:pPr>
              <w:widowControl w:val="0"/>
              <w:jc w:val="center"/>
              <w:rPr>
                <w:szCs w:val="16"/>
                <w:lang w:val="zh-CN"/>
              </w:rPr>
            </w:pPr>
            <w:r>
              <w:rPr>
                <w:rFonts w:hAnsi="宋体"/>
                <w:szCs w:val="16"/>
                <w:lang w:val="zh-CN"/>
              </w:rPr>
              <w:t>转速标准装置</w:t>
            </w:r>
          </w:p>
        </w:tc>
        <w:tc>
          <w:tcPr>
            <w:tcW w:w="3771" w:type="pct"/>
            <w:noWrap w:val="0"/>
            <w:vAlign w:val="center"/>
          </w:tcPr>
          <w:p w14:paraId="3AC6054C">
            <w:pPr>
              <w:widowControl w:val="0"/>
              <w:jc w:val="left"/>
              <w:rPr>
                <w:szCs w:val="16"/>
                <w:lang w:val="zh-CN"/>
              </w:rPr>
            </w:pPr>
            <w:r>
              <w:rPr>
                <w:rFonts w:hAnsi="宋体"/>
                <w:szCs w:val="16"/>
                <w:lang w:val="zh-CN"/>
              </w:rPr>
              <w:t>不大于被校转速传感器准确度等级或扩展不确定度的</w:t>
            </w:r>
            <w:r>
              <w:rPr>
                <w:szCs w:val="16"/>
                <w:lang w:val="zh-CN"/>
              </w:rPr>
              <w:t>1/3</w:t>
            </w:r>
          </w:p>
        </w:tc>
      </w:tr>
      <w:tr w14:paraId="0DC2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28" w:type="pct"/>
            <w:noWrap w:val="0"/>
            <w:vAlign w:val="center"/>
          </w:tcPr>
          <w:p w14:paraId="34D3AB3E">
            <w:pPr>
              <w:widowControl w:val="0"/>
              <w:jc w:val="center"/>
              <w:rPr>
                <w:szCs w:val="16"/>
              </w:rPr>
            </w:pPr>
            <w:r>
              <w:rPr>
                <w:rFonts w:hAnsi="宋体"/>
                <w:szCs w:val="16"/>
              </w:rPr>
              <w:t>频率计</w:t>
            </w:r>
          </w:p>
        </w:tc>
        <w:tc>
          <w:tcPr>
            <w:tcW w:w="3771" w:type="pct"/>
            <w:noWrap w:val="0"/>
            <w:vAlign w:val="center"/>
          </w:tcPr>
          <w:p w14:paraId="1F59DD1C">
            <w:pPr>
              <w:widowControl w:val="0"/>
              <w:jc w:val="left"/>
              <w:rPr>
                <w:rFonts w:hAnsi="宋体"/>
                <w:szCs w:val="16"/>
                <w:lang w:val="zh-CN"/>
              </w:rPr>
            </w:pPr>
            <w:r>
              <w:rPr>
                <w:rFonts w:hAnsi="宋体"/>
                <w:szCs w:val="16"/>
              </w:rPr>
              <w:t>频</w:t>
            </w:r>
            <w:r>
              <w:rPr>
                <w:rFonts w:hAnsi="宋体"/>
                <w:szCs w:val="16"/>
                <w:lang w:val="zh-CN"/>
              </w:rPr>
              <w:t>率范围：</w:t>
            </w:r>
            <w:r>
              <w:rPr>
                <w:szCs w:val="16"/>
                <w:lang w:val="zh-CN"/>
              </w:rPr>
              <w:t>1Hz~1MHz</w:t>
            </w:r>
          </w:p>
          <w:p w14:paraId="5B229629">
            <w:pPr>
              <w:widowControl w:val="0"/>
              <w:jc w:val="left"/>
              <w:rPr>
                <w:szCs w:val="16"/>
                <w:lang w:val="zh-CN"/>
              </w:rPr>
            </w:pPr>
            <w:r>
              <w:rPr>
                <w:rFonts w:hAnsi="宋体"/>
                <w:szCs w:val="16"/>
                <w:lang w:val="zh-CN"/>
              </w:rPr>
              <w:t>开机准确度：</w:t>
            </w:r>
            <w:r>
              <w:rPr>
                <w:szCs w:val="16"/>
                <w:lang w:val="zh-CN"/>
              </w:rPr>
              <w:t>1×</w:t>
            </w:r>
            <w:r>
              <w:rPr>
                <w:szCs w:val="16"/>
              </w:rPr>
              <w:t>1</w:t>
            </w:r>
            <w:r>
              <w:rPr>
                <w:szCs w:val="16"/>
                <w:lang w:val="zh-CN"/>
              </w:rPr>
              <w:t>0</w:t>
            </w:r>
            <w:r>
              <w:rPr>
                <w:szCs w:val="16"/>
                <w:vertAlign w:val="superscript"/>
              </w:rPr>
              <w:t>-6</w:t>
            </w:r>
          </w:p>
          <w:p w14:paraId="332C61C0">
            <w:pPr>
              <w:widowControl w:val="0"/>
              <w:jc w:val="left"/>
              <w:rPr>
                <w:szCs w:val="16"/>
                <w:lang w:val="zh-CN"/>
              </w:rPr>
            </w:pPr>
            <w:r>
              <w:rPr>
                <w:rFonts w:hAnsi="宋体"/>
                <w:szCs w:val="16"/>
                <w:lang w:val="zh-CN"/>
              </w:rPr>
              <w:t>日稳定度：</w:t>
            </w:r>
            <w:r>
              <w:rPr>
                <w:szCs w:val="16"/>
                <w:lang w:val="zh-CN"/>
              </w:rPr>
              <w:t>1×</w:t>
            </w:r>
            <w:r>
              <w:rPr>
                <w:szCs w:val="16"/>
              </w:rPr>
              <w:t>1</w:t>
            </w:r>
            <w:r>
              <w:rPr>
                <w:szCs w:val="16"/>
                <w:lang w:val="zh-CN"/>
              </w:rPr>
              <w:t>0</w:t>
            </w:r>
            <w:r>
              <w:rPr>
                <w:szCs w:val="16"/>
                <w:vertAlign w:val="superscript"/>
              </w:rPr>
              <w:t>-6</w:t>
            </w:r>
          </w:p>
        </w:tc>
      </w:tr>
      <w:tr w14:paraId="33D5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228" w:type="pct"/>
            <w:noWrap w:val="0"/>
            <w:vAlign w:val="center"/>
          </w:tcPr>
          <w:p w14:paraId="54CA4A49">
            <w:pPr>
              <w:widowControl w:val="0"/>
              <w:jc w:val="center"/>
              <w:rPr>
                <w:szCs w:val="16"/>
                <w:lang w:val="zh-CN"/>
              </w:rPr>
            </w:pPr>
            <w:r>
              <w:rPr>
                <w:rFonts w:hAnsi="宋体"/>
                <w:szCs w:val="16"/>
                <w:lang w:val="zh-CN"/>
              </w:rPr>
              <w:t>测速齿轮</w:t>
            </w:r>
          </w:p>
        </w:tc>
        <w:tc>
          <w:tcPr>
            <w:tcW w:w="3771" w:type="pct"/>
            <w:noWrap w:val="0"/>
            <w:vAlign w:val="center"/>
          </w:tcPr>
          <w:p w14:paraId="45F0C89D">
            <w:pPr>
              <w:widowControl w:val="0"/>
              <w:jc w:val="left"/>
              <w:rPr>
                <w:szCs w:val="16"/>
                <w:lang w:val="zh-CN"/>
              </w:rPr>
            </w:pPr>
            <w:r>
              <w:rPr>
                <w:rFonts w:hAnsi="宋体"/>
                <w:szCs w:val="16"/>
                <w:lang w:val="zh-CN"/>
              </w:rPr>
              <w:t>导磁率大的金属材料加工成渐开线齿形，常见齿数为</w:t>
            </w:r>
            <w:r>
              <w:rPr>
                <w:szCs w:val="16"/>
                <w:lang w:val="zh-CN"/>
              </w:rPr>
              <w:t>1</w:t>
            </w:r>
            <w:r>
              <w:rPr>
                <w:rFonts w:hAnsi="宋体"/>
                <w:szCs w:val="16"/>
                <w:lang w:val="zh-CN"/>
              </w:rPr>
              <w:t>、</w:t>
            </w:r>
            <w:r>
              <w:rPr>
                <w:szCs w:val="16"/>
                <w:lang w:val="zh-CN"/>
              </w:rPr>
              <w:t>3</w:t>
            </w:r>
            <w:r>
              <w:rPr>
                <w:rFonts w:hAnsi="宋体"/>
                <w:szCs w:val="16"/>
                <w:lang w:val="zh-CN"/>
              </w:rPr>
              <w:t>、</w:t>
            </w:r>
            <w:r>
              <w:rPr>
                <w:szCs w:val="16"/>
                <w:lang w:val="zh-CN"/>
              </w:rPr>
              <w:t>15</w:t>
            </w:r>
            <w:r>
              <w:rPr>
                <w:rFonts w:hAnsi="宋体"/>
                <w:szCs w:val="16"/>
                <w:lang w:val="zh-CN"/>
              </w:rPr>
              <w:t>、</w:t>
            </w:r>
            <w:r>
              <w:rPr>
                <w:szCs w:val="16"/>
                <w:lang w:val="zh-CN"/>
              </w:rPr>
              <w:t>30</w:t>
            </w:r>
            <w:r>
              <w:rPr>
                <w:rFonts w:hAnsi="宋体"/>
                <w:szCs w:val="16"/>
                <w:lang w:val="zh-CN"/>
              </w:rPr>
              <w:t>、</w:t>
            </w:r>
            <w:r>
              <w:rPr>
                <w:szCs w:val="16"/>
                <w:lang w:val="zh-CN"/>
              </w:rPr>
              <w:t>60</w:t>
            </w:r>
            <w:r>
              <w:rPr>
                <w:rFonts w:hAnsi="宋体"/>
                <w:szCs w:val="16"/>
                <w:lang w:val="zh-CN"/>
              </w:rPr>
              <w:t>，齿轮模数为</w:t>
            </w:r>
            <w:r>
              <w:rPr>
                <w:szCs w:val="16"/>
                <w:lang w:val="zh-CN"/>
              </w:rPr>
              <w:t>2~4</w:t>
            </w:r>
            <w:r>
              <w:rPr>
                <w:rFonts w:hAnsi="宋体"/>
                <w:szCs w:val="16"/>
                <w:lang w:val="zh-CN"/>
              </w:rPr>
              <w:t>，齿宽大于</w:t>
            </w:r>
            <w:r>
              <w:rPr>
                <w:szCs w:val="16"/>
                <w:lang w:val="zh-CN"/>
              </w:rPr>
              <w:t>5mm</w:t>
            </w:r>
          </w:p>
        </w:tc>
      </w:tr>
    </w:tbl>
    <w:p w14:paraId="61DA3357">
      <w:pPr>
        <w:spacing w:line="360" w:lineRule="auto"/>
        <w:rPr>
          <w:b/>
          <w:sz w:val="24"/>
        </w:rPr>
      </w:pPr>
      <w:r>
        <w:rPr>
          <w:rFonts w:hint="eastAsia" w:ascii="宋体" w:hAnsi="宋体"/>
          <w:b/>
          <w:sz w:val="24"/>
        </w:rPr>
        <w:t>5.3 关于校准项目</w:t>
      </w:r>
    </w:p>
    <w:tbl>
      <w:tblPr>
        <w:tblStyle w:val="12"/>
        <w:tblW w:w="9331" w:type="dxa"/>
        <w:tblInd w:w="98" w:type="dxa"/>
        <w:tblLayout w:type="fixed"/>
        <w:tblCellMar>
          <w:top w:w="0" w:type="dxa"/>
          <w:left w:w="108" w:type="dxa"/>
          <w:bottom w:w="0" w:type="dxa"/>
          <w:right w:w="108" w:type="dxa"/>
        </w:tblCellMar>
      </w:tblPr>
      <w:tblGrid>
        <w:gridCol w:w="810"/>
        <w:gridCol w:w="1176"/>
        <w:gridCol w:w="1896"/>
        <w:gridCol w:w="3145"/>
        <w:gridCol w:w="2304"/>
      </w:tblGrid>
      <w:tr w14:paraId="50BE7140">
        <w:tblPrEx>
          <w:tblCellMar>
            <w:top w:w="0" w:type="dxa"/>
            <w:left w:w="108" w:type="dxa"/>
            <w:bottom w:w="0" w:type="dxa"/>
            <w:right w:w="108" w:type="dxa"/>
          </w:tblCellMar>
        </w:tblPrEx>
        <w:trPr>
          <w:trHeight w:val="30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1E0FBE13">
            <w:pPr>
              <w:jc w:val="center"/>
              <w:textAlignment w:val="center"/>
              <w:rPr>
                <w:b w:val="0"/>
                <w:bCs w:val="0"/>
                <w:color w:val="000000"/>
                <w:szCs w:val="21"/>
              </w:rPr>
            </w:pPr>
            <w:r>
              <w:rPr>
                <w:rFonts w:hAnsi="宋体"/>
                <w:b w:val="0"/>
                <w:bCs w:val="0"/>
                <w:color w:val="000000"/>
                <w:kern w:val="0"/>
                <w:szCs w:val="21"/>
                <w:lang w:bidi="ar"/>
              </w:rPr>
              <w:t>序号</w:t>
            </w:r>
          </w:p>
        </w:tc>
        <w:tc>
          <w:tcPr>
            <w:tcW w:w="1176" w:type="dxa"/>
            <w:tcBorders>
              <w:top w:val="single" w:color="000000" w:sz="4" w:space="0"/>
              <w:left w:val="single" w:color="000000" w:sz="4" w:space="0"/>
              <w:bottom w:val="single" w:color="000000" w:sz="4" w:space="0"/>
              <w:right w:val="single" w:color="000000" w:sz="4" w:space="0"/>
            </w:tcBorders>
            <w:noWrap/>
            <w:vAlign w:val="center"/>
          </w:tcPr>
          <w:p w14:paraId="7D4F896D">
            <w:pPr>
              <w:jc w:val="center"/>
              <w:textAlignment w:val="center"/>
              <w:rPr>
                <w:b w:val="0"/>
                <w:bCs w:val="0"/>
                <w:color w:val="000000"/>
                <w:szCs w:val="21"/>
              </w:rPr>
            </w:pPr>
            <w:r>
              <w:rPr>
                <w:rFonts w:hAnsi="宋体"/>
                <w:b w:val="0"/>
                <w:bCs w:val="0"/>
                <w:color w:val="000000"/>
                <w:kern w:val="0"/>
                <w:szCs w:val="21"/>
                <w:lang w:bidi="ar"/>
              </w:rPr>
              <w:t>校准参数</w:t>
            </w:r>
          </w:p>
        </w:tc>
        <w:tc>
          <w:tcPr>
            <w:tcW w:w="1896" w:type="dxa"/>
            <w:tcBorders>
              <w:top w:val="single" w:color="000000" w:sz="4" w:space="0"/>
              <w:left w:val="single" w:color="000000" w:sz="4" w:space="0"/>
              <w:bottom w:val="single" w:color="000000" w:sz="4" w:space="0"/>
              <w:right w:val="single" w:color="000000" w:sz="4" w:space="0"/>
            </w:tcBorders>
            <w:noWrap/>
            <w:vAlign w:val="center"/>
          </w:tcPr>
          <w:p w14:paraId="210F7E2A">
            <w:pPr>
              <w:jc w:val="center"/>
              <w:textAlignment w:val="center"/>
              <w:rPr>
                <w:b w:val="0"/>
                <w:bCs w:val="0"/>
                <w:color w:val="000000"/>
                <w:szCs w:val="21"/>
              </w:rPr>
            </w:pPr>
            <w:r>
              <w:rPr>
                <w:rFonts w:hAnsi="宋体"/>
                <w:b w:val="0"/>
                <w:bCs w:val="0"/>
                <w:color w:val="000000"/>
                <w:kern w:val="0"/>
                <w:szCs w:val="21"/>
                <w:lang w:bidi="ar"/>
              </w:rPr>
              <w:t>校准项目</w:t>
            </w:r>
          </w:p>
        </w:tc>
        <w:tc>
          <w:tcPr>
            <w:tcW w:w="3145" w:type="dxa"/>
            <w:tcBorders>
              <w:top w:val="single" w:color="000000" w:sz="4" w:space="0"/>
              <w:left w:val="single" w:color="000000" w:sz="4" w:space="0"/>
              <w:bottom w:val="single" w:color="000000" w:sz="4" w:space="0"/>
              <w:right w:val="single" w:color="000000" w:sz="4" w:space="0"/>
            </w:tcBorders>
            <w:noWrap/>
            <w:vAlign w:val="center"/>
          </w:tcPr>
          <w:p w14:paraId="5AEC77A8">
            <w:pPr>
              <w:jc w:val="center"/>
              <w:textAlignment w:val="center"/>
              <w:rPr>
                <w:b w:val="0"/>
                <w:bCs w:val="0"/>
                <w:color w:val="000000"/>
                <w:szCs w:val="21"/>
              </w:rPr>
            </w:pPr>
            <w:r>
              <w:rPr>
                <w:rFonts w:hAnsi="宋体"/>
                <w:b w:val="0"/>
                <w:bCs w:val="0"/>
                <w:color w:val="000000"/>
                <w:kern w:val="0"/>
                <w:szCs w:val="21"/>
                <w:lang w:bidi="ar"/>
              </w:rPr>
              <w:t>技术要求</w:t>
            </w:r>
          </w:p>
        </w:tc>
        <w:tc>
          <w:tcPr>
            <w:tcW w:w="2304" w:type="dxa"/>
            <w:tcBorders>
              <w:top w:val="single" w:color="000000" w:sz="4" w:space="0"/>
              <w:left w:val="single" w:color="000000" w:sz="4" w:space="0"/>
              <w:bottom w:val="single" w:color="000000" w:sz="4" w:space="0"/>
              <w:right w:val="single" w:color="000000" w:sz="4" w:space="0"/>
            </w:tcBorders>
            <w:noWrap/>
            <w:vAlign w:val="center"/>
          </w:tcPr>
          <w:p w14:paraId="24B4CB55">
            <w:pPr>
              <w:jc w:val="center"/>
              <w:textAlignment w:val="center"/>
              <w:rPr>
                <w:b w:val="0"/>
                <w:bCs w:val="0"/>
                <w:color w:val="000000"/>
                <w:szCs w:val="21"/>
              </w:rPr>
            </w:pPr>
            <w:r>
              <w:rPr>
                <w:rFonts w:hAnsi="宋体"/>
                <w:b w:val="0"/>
                <w:bCs w:val="0"/>
                <w:color w:val="000000"/>
                <w:kern w:val="0"/>
                <w:szCs w:val="21"/>
                <w:lang w:bidi="ar"/>
              </w:rPr>
              <w:t>备注</w:t>
            </w:r>
          </w:p>
        </w:tc>
      </w:tr>
      <w:tr w14:paraId="690A1E85">
        <w:tblPrEx>
          <w:tblCellMar>
            <w:top w:w="0" w:type="dxa"/>
            <w:left w:w="108" w:type="dxa"/>
            <w:bottom w:w="0" w:type="dxa"/>
            <w:right w:w="108" w:type="dxa"/>
          </w:tblCellMar>
        </w:tblPrEx>
        <w:trPr>
          <w:trHeight w:val="600" w:hRule="atLeast"/>
        </w:trPr>
        <w:tc>
          <w:tcPr>
            <w:tcW w:w="810" w:type="dxa"/>
            <w:vMerge w:val="restart"/>
            <w:tcBorders>
              <w:top w:val="single" w:color="000000" w:sz="4" w:space="0"/>
              <w:left w:val="single" w:color="000000" w:sz="4" w:space="0"/>
              <w:bottom w:val="single" w:color="000000" w:sz="4" w:space="0"/>
              <w:right w:val="single" w:color="000000" w:sz="4" w:space="0"/>
            </w:tcBorders>
            <w:noWrap/>
            <w:vAlign w:val="center"/>
          </w:tcPr>
          <w:p w14:paraId="0B993261">
            <w:pPr>
              <w:jc w:val="center"/>
              <w:textAlignment w:val="center"/>
              <w:rPr>
                <w:color w:val="000000"/>
                <w:szCs w:val="21"/>
              </w:rPr>
            </w:pPr>
            <w:r>
              <w:rPr>
                <w:color w:val="000000"/>
                <w:kern w:val="0"/>
                <w:szCs w:val="21"/>
                <w:lang w:bidi="ar"/>
              </w:rPr>
              <w:t>1</w:t>
            </w:r>
          </w:p>
        </w:tc>
        <w:tc>
          <w:tcPr>
            <w:tcW w:w="1176" w:type="dxa"/>
            <w:vMerge w:val="restart"/>
            <w:tcBorders>
              <w:top w:val="single" w:color="000000" w:sz="4" w:space="0"/>
              <w:left w:val="single" w:color="000000" w:sz="4" w:space="0"/>
              <w:bottom w:val="single" w:color="000000" w:sz="4" w:space="0"/>
              <w:right w:val="single" w:color="000000" w:sz="4" w:space="0"/>
            </w:tcBorders>
            <w:noWrap/>
            <w:vAlign w:val="center"/>
          </w:tcPr>
          <w:p w14:paraId="4F1F796C">
            <w:pPr>
              <w:jc w:val="center"/>
              <w:textAlignment w:val="center"/>
              <w:rPr>
                <w:color w:val="000000"/>
                <w:szCs w:val="21"/>
              </w:rPr>
            </w:pPr>
            <w:r>
              <w:rPr>
                <w:rFonts w:hAnsi="宋体"/>
                <w:color w:val="000000"/>
                <w:kern w:val="0"/>
                <w:szCs w:val="21"/>
                <w:lang w:bidi="ar"/>
              </w:rPr>
              <w:t>转速</w:t>
            </w:r>
          </w:p>
        </w:tc>
        <w:tc>
          <w:tcPr>
            <w:tcW w:w="1896" w:type="dxa"/>
            <w:tcBorders>
              <w:top w:val="single" w:color="000000" w:sz="4" w:space="0"/>
              <w:left w:val="single" w:color="000000" w:sz="4" w:space="0"/>
              <w:bottom w:val="single" w:color="000000" w:sz="4" w:space="0"/>
              <w:right w:val="single" w:color="000000" w:sz="4" w:space="0"/>
            </w:tcBorders>
            <w:noWrap/>
            <w:vAlign w:val="center"/>
          </w:tcPr>
          <w:p w14:paraId="555E4A21">
            <w:pPr>
              <w:jc w:val="center"/>
              <w:textAlignment w:val="center"/>
              <w:rPr>
                <w:color w:val="000000"/>
                <w:szCs w:val="21"/>
              </w:rPr>
            </w:pPr>
            <w:r>
              <w:rPr>
                <w:rFonts w:hAnsi="宋体"/>
                <w:color w:val="000000"/>
                <w:kern w:val="0"/>
                <w:szCs w:val="21"/>
                <w:lang w:bidi="ar"/>
              </w:rPr>
              <w:t>转速示值误差</w:t>
            </w:r>
          </w:p>
        </w:tc>
        <w:tc>
          <w:tcPr>
            <w:tcW w:w="3145" w:type="dxa"/>
            <w:tcBorders>
              <w:top w:val="single" w:color="000000" w:sz="4" w:space="0"/>
              <w:left w:val="single" w:color="000000" w:sz="4" w:space="0"/>
              <w:bottom w:val="single" w:color="000000" w:sz="4" w:space="0"/>
              <w:right w:val="single" w:color="000000" w:sz="4" w:space="0"/>
            </w:tcBorders>
            <w:noWrap w:val="0"/>
            <w:vAlign w:val="center"/>
          </w:tcPr>
          <w:p w14:paraId="54B3EAD1">
            <w:pPr>
              <w:jc w:val="center"/>
              <w:textAlignment w:val="center"/>
              <w:rPr>
                <w:color w:val="000000"/>
                <w:szCs w:val="21"/>
              </w:rPr>
            </w:pPr>
            <w:r>
              <w:rPr>
                <w:rFonts w:hAnsi="宋体"/>
                <w:color w:val="000000"/>
                <w:kern w:val="0"/>
                <w:szCs w:val="21"/>
                <w:lang w:bidi="ar"/>
              </w:rPr>
              <w:t>小于</w:t>
            </w:r>
            <w:r>
              <w:rPr>
                <w:color w:val="000000"/>
                <w:kern w:val="0"/>
                <w:szCs w:val="21"/>
                <w:lang w:bidi="ar"/>
              </w:rPr>
              <w:t>100r/min</w:t>
            </w:r>
            <w:r>
              <w:rPr>
                <w:rFonts w:hAnsi="宋体"/>
                <w:color w:val="000000"/>
                <w:kern w:val="0"/>
                <w:szCs w:val="21"/>
                <w:lang w:bidi="ar"/>
              </w:rPr>
              <w:t>时：</w:t>
            </w:r>
            <w:r>
              <w:rPr>
                <w:color w:val="000000"/>
                <w:kern w:val="0"/>
                <w:szCs w:val="21"/>
                <w:lang w:bidi="ar"/>
              </w:rPr>
              <w:t>±1r/min</w:t>
            </w:r>
            <w:r>
              <w:rPr>
                <w:rFonts w:hAnsi="宋体"/>
                <w:color w:val="000000"/>
                <w:kern w:val="0"/>
                <w:szCs w:val="21"/>
                <w:lang w:bidi="ar"/>
              </w:rPr>
              <w:t>；</w:t>
            </w:r>
            <w:r>
              <w:rPr>
                <w:color w:val="000000"/>
                <w:kern w:val="0"/>
                <w:szCs w:val="21"/>
                <w:lang w:bidi="ar"/>
              </w:rPr>
              <w:br w:type="textWrapping"/>
            </w:r>
            <w:r>
              <w:rPr>
                <w:rFonts w:hAnsi="宋体"/>
                <w:color w:val="000000"/>
                <w:kern w:val="0"/>
                <w:szCs w:val="21"/>
                <w:lang w:bidi="ar"/>
              </w:rPr>
              <w:t>不小于</w:t>
            </w:r>
            <w:r>
              <w:rPr>
                <w:color w:val="000000"/>
                <w:kern w:val="0"/>
                <w:szCs w:val="21"/>
                <w:lang w:bidi="ar"/>
              </w:rPr>
              <w:t>100r/min</w:t>
            </w:r>
            <w:r>
              <w:rPr>
                <w:rFonts w:hAnsi="宋体"/>
                <w:color w:val="000000"/>
                <w:kern w:val="0"/>
                <w:szCs w:val="21"/>
                <w:lang w:bidi="ar"/>
              </w:rPr>
              <w:t>时：</w:t>
            </w:r>
            <w:r>
              <w:rPr>
                <w:color w:val="000000"/>
                <w:kern w:val="0"/>
                <w:szCs w:val="21"/>
                <w:lang w:bidi="ar"/>
              </w:rPr>
              <w:t>±1r/min</w:t>
            </w:r>
          </w:p>
        </w:tc>
        <w:tc>
          <w:tcPr>
            <w:tcW w:w="2304" w:type="dxa"/>
            <w:tcBorders>
              <w:top w:val="single" w:color="000000" w:sz="4" w:space="0"/>
              <w:left w:val="single" w:color="000000" w:sz="4" w:space="0"/>
              <w:bottom w:val="single" w:color="000000" w:sz="4" w:space="0"/>
              <w:right w:val="single" w:color="000000" w:sz="4" w:space="0"/>
            </w:tcBorders>
            <w:noWrap/>
            <w:vAlign w:val="center"/>
          </w:tcPr>
          <w:p w14:paraId="043C7A6C">
            <w:pPr>
              <w:rPr>
                <w:color w:val="000000"/>
                <w:szCs w:val="21"/>
              </w:rPr>
            </w:pPr>
          </w:p>
        </w:tc>
      </w:tr>
      <w:tr w14:paraId="2409F44D">
        <w:tblPrEx>
          <w:tblCellMar>
            <w:top w:w="0" w:type="dxa"/>
            <w:left w:w="108" w:type="dxa"/>
            <w:bottom w:w="0" w:type="dxa"/>
            <w:right w:w="108" w:type="dxa"/>
          </w:tblCellMar>
        </w:tblPrEx>
        <w:trPr>
          <w:trHeight w:val="600" w:hRule="atLeast"/>
        </w:trPr>
        <w:tc>
          <w:tcPr>
            <w:tcW w:w="810" w:type="dxa"/>
            <w:vMerge w:val="continue"/>
            <w:tcBorders>
              <w:top w:val="single" w:color="000000" w:sz="4" w:space="0"/>
              <w:left w:val="single" w:color="000000" w:sz="4" w:space="0"/>
              <w:bottom w:val="single" w:color="000000" w:sz="4" w:space="0"/>
              <w:right w:val="single" w:color="000000" w:sz="4" w:space="0"/>
            </w:tcBorders>
            <w:noWrap/>
            <w:vAlign w:val="center"/>
          </w:tcPr>
          <w:p w14:paraId="06ABD246">
            <w:pPr>
              <w:jc w:val="center"/>
              <w:rPr>
                <w:color w:val="000000"/>
                <w:szCs w:val="21"/>
              </w:rPr>
            </w:pPr>
          </w:p>
        </w:tc>
        <w:tc>
          <w:tcPr>
            <w:tcW w:w="1176" w:type="dxa"/>
            <w:vMerge w:val="continue"/>
            <w:tcBorders>
              <w:top w:val="single" w:color="000000" w:sz="4" w:space="0"/>
              <w:left w:val="single" w:color="000000" w:sz="4" w:space="0"/>
              <w:bottom w:val="single" w:color="000000" w:sz="4" w:space="0"/>
              <w:right w:val="single" w:color="000000" w:sz="4" w:space="0"/>
            </w:tcBorders>
            <w:noWrap/>
            <w:vAlign w:val="center"/>
          </w:tcPr>
          <w:p w14:paraId="6C959A7E">
            <w:pPr>
              <w:jc w:val="center"/>
              <w:rPr>
                <w:color w:val="000000"/>
                <w:szCs w:val="21"/>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14:paraId="13542874">
            <w:pPr>
              <w:jc w:val="center"/>
              <w:textAlignment w:val="center"/>
              <w:rPr>
                <w:color w:val="000000"/>
                <w:szCs w:val="21"/>
              </w:rPr>
            </w:pPr>
            <w:r>
              <w:rPr>
                <w:rFonts w:hAnsi="宋体"/>
                <w:color w:val="000000"/>
                <w:kern w:val="0"/>
                <w:szCs w:val="21"/>
                <w:lang w:bidi="ar"/>
              </w:rPr>
              <w:t>转速示值变动性</w:t>
            </w:r>
          </w:p>
        </w:tc>
        <w:tc>
          <w:tcPr>
            <w:tcW w:w="3145" w:type="dxa"/>
            <w:tcBorders>
              <w:top w:val="single" w:color="000000" w:sz="4" w:space="0"/>
              <w:left w:val="single" w:color="000000" w:sz="4" w:space="0"/>
              <w:bottom w:val="single" w:color="000000" w:sz="4" w:space="0"/>
              <w:right w:val="single" w:color="000000" w:sz="4" w:space="0"/>
            </w:tcBorders>
            <w:noWrap w:val="0"/>
            <w:vAlign w:val="center"/>
          </w:tcPr>
          <w:p w14:paraId="1A8FD827">
            <w:pPr>
              <w:jc w:val="center"/>
              <w:textAlignment w:val="center"/>
              <w:rPr>
                <w:color w:val="000000"/>
                <w:szCs w:val="21"/>
              </w:rPr>
            </w:pPr>
            <w:r>
              <w:rPr>
                <w:rFonts w:hAnsi="宋体"/>
                <w:color w:val="000000"/>
                <w:kern w:val="0"/>
                <w:szCs w:val="21"/>
                <w:lang w:bidi="ar"/>
              </w:rPr>
              <w:t>小于</w:t>
            </w:r>
            <w:r>
              <w:rPr>
                <w:color w:val="000000"/>
                <w:kern w:val="0"/>
                <w:szCs w:val="21"/>
                <w:lang w:bidi="ar"/>
              </w:rPr>
              <w:t>100r/min</w:t>
            </w:r>
            <w:r>
              <w:rPr>
                <w:rFonts w:hAnsi="宋体"/>
                <w:color w:val="000000"/>
                <w:kern w:val="0"/>
                <w:szCs w:val="21"/>
                <w:lang w:bidi="ar"/>
              </w:rPr>
              <w:t>时：</w:t>
            </w:r>
            <w:r>
              <w:rPr>
                <w:color w:val="000000"/>
                <w:kern w:val="0"/>
                <w:szCs w:val="21"/>
                <w:lang w:bidi="ar"/>
              </w:rPr>
              <w:t>0.1r/min</w:t>
            </w:r>
            <w:r>
              <w:rPr>
                <w:rFonts w:hAnsi="宋体"/>
                <w:color w:val="000000"/>
                <w:kern w:val="0"/>
                <w:szCs w:val="21"/>
                <w:lang w:bidi="ar"/>
              </w:rPr>
              <w:t>；</w:t>
            </w:r>
            <w:r>
              <w:rPr>
                <w:color w:val="000000"/>
                <w:kern w:val="0"/>
                <w:szCs w:val="21"/>
                <w:lang w:bidi="ar"/>
              </w:rPr>
              <w:br w:type="textWrapping"/>
            </w:r>
            <w:r>
              <w:rPr>
                <w:rFonts w:hAnsi="宋体"/>
                <w:color w:val="000000"/>
                <w:kern w:val="0"/>
                <w:szCs w:val="21"/>
                <w:lang w:bidi="ar"/>
              </w:rPr>
              <w:t>不小于</w:t>
            </w:r>
            <w:r>
              <w:rPr>
                <w:color w:val="000000"/>
                <w:kern w:val="0"/>
                <w:szCs w:val="21"/>
                <w:lang w:bidi="ar"/>
              </w:rPr>
              <w:t>100r/min</w:t>
            </w:r>
            <w:r>
              <w:rPr>
                <w:rFonts w:hAnsi="宋体"/>
                <w:color w:val="000000"/>
                <w:kern w:val="0"/>
                <w:szCs w:val="21"/>
                <w:lang w:bidi="ar"/>
              </w:rPr>
              <w:t>时：</w:t>
            </w:r>
            <w:r>
              <w:rPr>
                <w:color w:val="000000"/>
                <w:kern w:val="0"/>
                <w:szCs w:val="21"/>
                <w:lang w:bidi="ar"/>
              </w:rPr>
              <w:t>1r/min</w:t>
            </w:r>
          </w:p>
        </w:tc>
        <w:tc>
          <w:tcPr>
            <w:tcW w:w="2304" w:type="dxa"/>
            <w:tcBorders>
              <w:top w:val="single" w:color="000000" w:sz="4" w:space="0"/>
              <w:left w:val="single" w:color="000000" w:sz="4" w:space="0"/>
              <w:bottom w:val="single" w:color="000000" w:sz="4" w:space="0"/>
              <w:right w:val="single" w:color="000000" w:sz="4" w:space="0"/>
            </w:tcBorders>
            <w:noWrap/>
            <w:vAlign w:val="center"/>
          </w:tcPr>
          <w:p w14:paraId="737AD0BA">
            <w:pPr>
              <w:rPr>
                <w:color w:val="000000"/>
                <w:szCs w:val="21"/>
              </w:rPr>
            </w:pPr>
          </w:p>
        </w:tc>
      </w:tr>
      <w:tr w14:paraId="57B347B3">
        <w:tblPrEx>
          <w:tblCellMar>
            <w:top w:w="0" w:type="dxa"/>
            <w:left w:w="108" w:type="dxa"/>
            <w:bottom w:w="0" w:type="dxa"/>
            <w:right w:w="108" w:type="dxa"/>
          </w:tblCellMar>
        </w:tblPrEx>
        <w:trPr>
          <w:trHeight w:val="300" w:hRule="atLeast"/>
        </w:trPr>
        <w:tc>
          <w:tcPr>
            <w:tcW w:w="810" w:type="dxa"/>
            <w:vMerge w:val="restart"/>
            <w:tcBorders>
              <w:top w:val="single" w:color="000000" w:sz="4" w:space="0"/>
              <w:left w:val="single" w:color="000000" w:sz="4" w:space="0"/>
              <w:bottom w:val="single" w:color="000000" w:sz="4" w:space="0"/>
              <w:right w:val="single" w:color="000000" w:sz="4" w:space="0"/>
            </w:tcBorders>
            <w:noWrap/>
            <w:vAlign w:val="center"/>
          </w:tcPr>
          <w:p w14:paraId="10976314">
            <w:pPr>
              <w:jc w:val="center"/>
              <w:textAlignment w:val="center"/>
              <w:rPr>
                <w:color w:val="000000"/>
                <w:szCs w:val="21"/>
              </w:rPr>
            </w:pPr>
            <w:r>
              <w:rPr>
                <w:color w:val="000000"/>
                <w:kern w:val="0"/>
                <w:szCs w:val="21"/>
                <w:lang w:bidi="ar"/>
              </w:rPr>
              <w:t>2</w:t>
            </w:r>
          </w:p>
        </w:tc>
        <w:tc>
          <w:tcPr>
            <w:tcW w:w="1176" w:type="dxa"/>
            <w:vMerge w:val="restart"/>
            <w:tcBorders>
              <w:top w:val="single" w:color="000000" w:sz="4" w:space="0"/>
              <w:left w:val="single" w:color="000000" w:sz="4" w:space="0"/>
              <w:bottom w:val="single" w:color="000000" w:sz="4" w:space="0"/>
              <w:right w:val="single" w:color="000000" w:sz="4" w:space="0"/>
            </w:tcBorders>
            <w:noWrap/>
            <w:vAlign w:val="center"/>
          </w:tcPr>
          <w:p w14:paraId="06D26B1F">
            <w:pPr>
              <w:jc w:val="center"/>
              <w:textAlignment w:val="center"/>
              <w:rPr>
                <w:color w:val="000000"/>
                <w:szCs w:val="21"/>
              </w:rPr>
            </w:pPr>
            <w:r>
              <w:rPr>
                <w:rFonts w:hAnsi="宋体"/>
                <w:color w:val="000000"/>
                <w:kern w:val="0"/>
                <w:szCs w:val="21"/>
                <w:lang w:bidi="ar"/>
              </w:rPr>
              <w:t>动态位移</w:t>
            </w:r>
          </w:p>
        </w:tc>
        <w:tc>
          <w:tcPr>
            <w:tcW w:w="1896" w:type="dxa"/>
            <w:tcBorders>
              <w:top w:val="single" w:color="000000" w:sz="4" w:space="0"/>
              <w:left w:val="single" w:color="000000" w:sz="4" w:space="0"/>
              <w:bottom w:val="single" w:color="000000" w:sz="4" w:space="0"/>
              <w:right w:val="single" w:color="000000" w:sz="4" w:space="0"/>
            </w:tcBorders>
            <w:noWrap/>
            <w:vAlign w:val="center"/>
          </w:tcPr>
          <w:p w14:paraId="55570D7D">
            <w:pPr>
              <w:jc w:val="center"/>
              <w:textAlignment w:val="center"/>
              <w:rPr>
                <w:color w:val="000000"/>
                <w:szCs w:val="21"/>
              </w:rPr>
            </w:pPr>
            <w:r>
              <w:rPr>
                <w:rFonts w:hAnsi="宋体"/>
                <w:color w:val="000000"/>
                <w:kern w:val="0"/>
                <w:szCs w:val="21"/>
                <w:lang w:bidi="ar"/>
              </w:rPr>
              <w:t>参考灵敏度误差</w:t>
            </w:r>
          </w:p>
        </w:tc>
        <w:tc>
          <w:tcPr>
            <w:tcW w:w="3145" w:type="dxa"/>
            <w:tcBorders>
              <w:top w:val="single" w:color="000000" w:sz="4" w:space="0"/>
              <w:left w:val="single" w:color="000000" w:sz="4" w:space="0"/>
              <w:bottom w:val="single" w:color="000000" w:sz="4" w:space="0"/>
              <w:right w:val="single" w:color="000000" w:sz="4" w:space="0"/>
            </w:tcBorders>
            <w:noWrap/>
            <w:vAlign w:val="center"/>
          </w:tcPr>
          <w:p w14:paraId="45C95E1B">
            <w:pPr>
              <w:jc w:val="center"/>
              <w:textAlignment w:val="center"/>
              <w:rPr>
                <w:color w:val="000000"/>
                <w:szCs w:val="21"/>
              </w:rPr>
            </w:pPr>
            <w:r>
              <w:rPr>
                <w:color w:val="000000"/>
                <w:kern w:val="0"/>
                <w:szCs w:val="21"/>
                <w:lang w:bidi="ar"/>
              </w:rPr>
              <w:t>±5%</w:t>
            </w:r>
          </w:p>
        </w:tc>
        <w:tc>
          <w:tcPr>
            <w:tcW w:w="2304" w:type="dxa"/>
            <w:tcBorders>
              <w:top w:val="single" w:color="000000" w:sz="4" w:space="0"/>
              <w:left w:val="single" w:color="000000" w:sz="4" w:space="0"/>
              <w:bottom w:val="single" w:color="000000" w:sz="4" w:space="0"/>
              <w:right w:val="single" w:color="000000" w:sz="4" w:space="0"/>
            </w:tcBorders>
            <w:noWrap/>
            <w:vAlign w:val="center"/>
          </w:tcPr>
          <w:p w14:paraId="327CA55C">
            <w:pPr>
              <w:jc w:val="left"/>
              <w:textAlignment w:val="center"/>
              <w:rPr>
                <w:color w:val="000000"/>
                <w:szCs w:val="21"/>
              </w:rPr>
            </w:pPr>
            <w:r>
              <w:rPr>
                <w:rFonts w:hAnsi="宋体"/>
                <w:color w:val="000000"/>
                <w:kern w:val="0"/>
                <w:szCs w:val="21"/>
                <w:lang w:bidi="ar"/>
              </w:rPr>
              <w:t>与出厂技术指标比较</w:t>
            </w:r>
          </w:p>
        </w:tc>
      </w:tr>
      <w:tr w14:paraId="527CE08B">
        <w:tblPrEx>
          <w:tblCellMar>
            <w:top w:w="0" w:type="dxa"/>
            <w:left w:w="108" w:type="dxa"/>
            <w:bottom w:w="0" w:type="dxa"/>
            <w:right w:w="108" w:type="dxa"/>
          </w:tblCellMar>
        </w:tblPrEx>
        <w:trPr>
          <w:trHeight w:val="300" w:hRule="atLeast"/>
        </w:trPr>
        <w:tc>
          <w:tcPr>
            <w:tcW w:w="810" w:type="dxa"/>
            <w:vMerge w:val="continue"/>
            <w:tcBorders>
              <w:top w:val="single" w:color="000000" w:sz="4" w:space="0"/>
              <w:left w:val="single" w:color="000000" w:sz="4" w:space="0"/>
              <w:bottom w:val="single" w:color="000000" w:sz="4" w:space="0"/>
              <w:right w:val="single" w:color="000000" w:sz="4" w:space="0"/>
            </w:tcBorders>
            <w:noWrap/>
            <w:vAlign w:val="center"/>
          </w:tcPr>
          <w:p w14:paraId="384BC340">
            <w:pPr>
              <w:jc w:val="center"/>
              <w:rPr>
                <w:color w:val="000000"/>
                <w:szCs w:val="21"/>
              </w:rPr>
            </w:pPr>
          </w:p>
        </w:tc>
        <w:tc>
          <w:tcPr>
            <w:tcW w:w="1176" w:type="dxa"/>
            <w:vMerge w:val="continue"/>
            <w:tcBorders>
              <w:top w:val="single" w:color="000000" w:sz="4" w:space="0"/>
              <w:left w:val="single" w:color="000000" w:sz="4" w:space="0"/>
              <w:bottom w:val="single" w:color="000000" w:sz="4" w:space="0"/>
              <w:right w:val="single" w:color="000000" w:sz="4" w:space="0"/>
            </w:tcBorders>
            <w:noWrap/>
            <w:vAlign w:val="center"/>
          </w:tcPr>
          <w:p w14:paraId="62DE4574">
            <w:pPr>
              <w:jc w:val="center"/>
              <w:rPr>
                <w:color w:val="000000"/>
                <w:szCs w:val="21"/>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14:paraId="250BFE6A">
            <w:pPr>
              <w:jc w:val="center"/>
              <w:textAlignment w:val="center"/>
              <w:rPr>
                <w:color w:val="000000"/>
                <w:szCs w:val="21"/>
              </w:rPr>
            </w:pPr>
            <w:r>
              <w:rPr>
                <w:rFonts w:hAnsi="宋体"/>
                <w:color w:val="000000"/>
                <w:kern w:val="0"/>
                <w:szCs w:val="21"/>
                <w:lang w:bidi="ar"/>
              </w:rPr>
              <w:t>频</w:t>
            </w:r>
            <w:r>
              <w:rPr>
                <w:rFonts w:hint="eastAsia" w:hAnsi="宋体"/>
                <w:color w:val="000000"/>
                <w:kern w:val="0"/>
                <w:szCs w:val="21"/>
                <w:lang w:bidi="ar"/>
              </w:rPr>
              <w:t xml:space="preserve"> </w:t>
            </w:r>
            <w:r>
              <w:rPr>
                <w:rFonts w:hAnsi="宋体"/>
                <w:color w:val="000000"/>
                <w:kern w:val="0"/>
                <w:szCs w:val="21"/>
                <w:lang w:bidi="ar"/>
              </w:rPr>
              <w:t>率</w:t>
            </w:r>
            <w:r>
              <w:rPr>
                <w:rFonts w:hint="eastAsia" w:hAnsi="宋体"/>
                <w:color w:val="000000"/>
                <w:kern w:val="0"/>
                <w:szCs w:val="21"/>
                <w:lang w:bidi="ar"/>
              </w:rPr>
              <w:t xml:space="preserve"> </w:t>
            </w:r>
            <w:r>
              <w:rPr>
                <w:rFonts w:hAnsi="宋体"/>
                <w:color w:val="000000"/>
                <w:kern w:val="0"/>
                <w:szCs w:val="21"/>
                <w:lang w:bidi="ar"/>
              </w:rPr>
              <w:t>响</w:t>
            </w:r>
            <w:r>
              <w:rPr>
                <w:rFonts w:hint="eastAsia" w:hAnsi="宋体"/>
                <w:color w:val="000000"/>
                <w:kern w:val="0"/>
                <w:szCs w:val="21"/>
                <w:lang w:bidi="ar"/>
              </w:rPr>
              <w:t xml:space="preserve"> </w:t>
            </w:r>
            <w:r>
              <w:rPr>
                <w:rFonts w:hAnsi="宋体"/>
                <w:color w:val="000000"/>
                <w:kern w:val="0"/>
                <w:szCs w:val="21"/>
                <w:lang w:bidi="ar"/>
              </w:rPr>
              <w:t>应</w:t>
            </w:r>
          </w:p>
        </w:tc>
        <w:tc>
          <w:tcPr>
            <w:tcW w:w="3145" w:type="dxa"/>
            <w:tcBorders>
              <w:top w:val="single" w:color="000000" w:sz="4" w:space="0"/>
              <w:left w:val="single" w:color="000000" w:sz="4" w:space="0"/>
              <w:bottom w:val="single" w:color="000000" w:sz="4" w:space="0"/>
              <w:right w:val="single" w:color="000000" w:sz="4" w:space="0"/>
            </w:tcBorders>
            <w:noWrap/>
            <w:vAlign w:val="center"/>
          </w:tcPr>
          <w:p w14:paraId="04A2CCEE">
            <w:pPr>
              <w:jc w:val="center"/>
              <w:textAlignment w:val="center"/>
              <w:rPr>
                <w:color w:val="000000"/>
                <w:szCs w:val="21"/>
              </w:rPr>
            </w:pPr>
            <w:r>
              <w:rPr>
                <w:color w:val="000000"/>
                <w:kern w:val="0"/>
                <w:szCs w:val="21"/>
                <w:lang w:bidi="ar"/>
              </w:rPr>
              <w:t>±10%</w:t>
            </w:r>
          </w:p>
        </w:tc>
        <w:tc>
          <w:tcPr>
            <w:tcW w:w="2304" w:type="dxa"/>
            <w:tcBorders>
              <w:top w:val="single" w:color="000000" w:sz="4" w:space="0"/>
              <w:left w:val="single" w:color="000000" w:sz="4" w:space="0"/>
              <w:bottom w:val="single" w:color="000000" w:sz="4" w:space="0"/>
              <w:right w:val="single" w:color="000000" w:sz="4" w:space="0"/>
            </w:tcBorders>
            <w:noWrap/>
            <w:vAlign w:val="center"/>
          </w:tcPr>
          <w:p w14:paraId="0256EFBE">
            <w:pPr>
              <w:rPr>
                <w:color w:val="000000"/>
                <w:szCs w:val="21"/>
              </w:rPr>
            </w:pPr>
          </w:p>
        </w:tc>
      </w:tr>
      <w:tr w14:paraId="67C54449">
        <w:tblPrEx>
          <w:tblCellMar>
            <w:top w:w="0" w:type="dxa"/>
            <w:left w:w="108" w:type="dxa"/>
            <w:bottom w:w="0" w:type="dxa"/>
            <w:right w:w="108" w:type="dxa"/>
          </w:tblCellMar>
        </w:tblPrEx>
        <w:trPr>
          <w:trHeight w:val="300" w:hRule="atLeast"/>
        </w:trPr>
        <w:tc>
          <w:tcPr>
            <w:tcW w:w="810" w:type="dxa"/>
            <w:vMerge w:val="continue"/>
            <w:tcBorders>
              <w:top w:val="single" w:color="000000" w:sz="4" w:space="0"/>
              <w:left w:val="single" w:color="000000" w:sz="4" w:space="0"/>
              <w:bottom w:val="single" w:color="000000" w:sz="4" w:space="0"/>
              <w:right w:val="single" w:color="000000" w:sz="4" w:space="0"/>
            </w:tcBorders>
            <w:noWrap/>
            <w:vAlign w:val="center"/>
          </w:tcPr>
          <w:p w14:paraId="283B5B36">
            <w:pPr>
              <w:jc w:val="center"/>
              <w:rPr>
                <w:color w:val="000000"/>
                <w:szCs w:val="21"/>
              </w:rPr>
            </w:pPr>
          </w:p>
        </w:tc>
        <w:tc>
          <w:tcPr>
            <w:tcW w:w="1176" w:type="dxa"/>
            <w:vMerge w:val="continue"/>
            <w:tcBorders>
              <w:top w:val="single" w:color="000000" w:sz="4" w:space="0"/>
              <w:left w:val="single" w:color="000000" w:sz="4" w:space="0"/>
              <w:bottom w:val="single" w:color="000000" w:sz="4" w:space="0"/>
              <w:right w:val="single" w:color="000000" w:sz="4" w:space="0"/>
            </w:tcBorders>
            <w:noWrap/>
            <w:vAlign w:val="center"/>
          </w:tcPr>
          <w:p w14:paraId="549686FB">
            <w:pPr>
              <w:jc w:val="center"/>
              <w:rPr>
                <w:color w:val="000000"/>
                <w:szCs w:val="21"/>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14:paraId="746B03B7">
            <w:pPr>
              <w:jc w:val="center"/>
              <w:textAlignment w:val="center"/>
              <w:rPr>
                <w:color w:val="000000"/>
                <w:szCs w:val="21"/>
              </w:rPr>
            </w:pPr>
            <w:r>
              <w:rPr>
                <w:rFonts w:hAnsi="宋体"/>
                <w:color w:val="000000"/>
                <w:kern w:val="0"/>
                <w:szCs w:val="21"/>
                <w:lang w:bidi="ar"/>
              </w:rPr>
              <w:t>动态线性度</w:t>
            </w:r>
          </w:p>
        </w:tc>
        <w:tc>
          <w:tcPr>
            <w:tcW w:w="3145" w:type="dxa"/>
            <w:tcBorders>
              <w:top w:val="single" w:color="000000" w:sz="4" w:space="0"/>
              <w:left w:val="single" w:color="000000" w:sz="4" w:space="0"/>
              <w:bottom w:val="single" w:color="000000" w:sz="4" w:space="0"/>
              <w:right w:val="single" w:color="000000" w:sz="4" w:space="0"/>
            </w:tcBorders>
            <w:noWrap/>
            <w:vAlign w:val="center"/>
          </w:tcPr>
          <w:p w14:paraId="4BE8E069">
            <w:pPr>
              <w:jc w:val="center"/>
              <w:textAlignment w:val="center"/>
              <w:rPr>
                <w:color w:val="000000"/>
                <w:szCs w:val="21"/>
              </w:rPr>
            </w:pPr>
            <w:r>
              <w:rPr>
                <w:color w:val="000000"/>
                <w:kern w:val="0"/>
                <w:szCs w:val="21"/>
                <w:lang w:bidi="ar"/>
              </w:rPr>
              <w:t>±5%</w:t>
            </w:r>
          </w:p>
        </w:tc>
        <w:tc>
          <w:tcPr>
            <w:tcW w:w="2304" w:type="dxa"/>
            <w:tcBorders>
              <w:top w:val="single" w:color="000000" w:sz="4" w:space="0"/>
              <w:left w:val="single" w:color="000000" w:sz="4" w:space="0"/>
              <w:bottom w:val="single" w:color="000000" w:sz="4" w:space="0"/>
              <w:right w:val="single" w:color="000000" w:sz="4" w:space="0"/>
            </w:tcBorders>
            <w:noWrap/>
            <w:vAlign w:val="center"/>
          </w:tcPr>
          <w:p w14:paraId="311F6D71">
            <w:pPr>
              <w:rPr>
                <w:color w:val="000000"/>
                <w:szCs w:val="21"/>
              </w:rPr>
            </w:pPr>
          </w:p>
        </w:tc>
      </w:tr>
      <w:tr w14:paraId="78D7A108">
        <w:tblPrEx>
          <w:tblCellMar>
            <w:top w:w="0" w:type="dxa"/>
            <w:left w:w="108" w:type="dxa"/>
            <w:bottom w:w="0" w:type="dxa"/>
            <w:right w:w="108" w:type="dxa"/>
          </w:tblCellMar>
        </w:tblPrEx>
        <w:trPr>
          <w:trHeight w:val="300" w:hRule="atLeast"/>
        </w:trPr>
        <w:tc>
          <w:tcPr>
            <w:tcW w:w="810" w:type="dxa"/>
            <w:vMerge w:val="restart"/>
            <w:tcBorders>
              <w:top w:val="single" w:color="000000" w:sz="4" w:space="0"/>
              <w:left w:val="single" w:color="000000" w:sz="4" w:space="0"/>
              <w:bottom w:val="single" w:color="000000" w:sz="4" w:space="0"/>
              <w:right w:val="single" w:color="000000" w:sz="4" w:space="0"/>
            </w:tcBorders>
            <w:noWrap/>
            <w:vAlign w:val="center"/>
          </w:tcPr>
          <w:p w14:paraId="2246F2BB">
            <w:pPr>
              <w:jc w:val="center"/>
              <w:textAlignment w:val="center"/>
              <w:rPr>
                <w:color w:val="000000"/>
                <w:szCs w:val="21"/>
              </w:rPr>
            </w:pPr>
            <w:r>
              <w:rPr>
                <w:color w:val="000000"/>
                <w:kern w:val="0"/>
                <w:szCs w:val="21"/>
                <w:lang w:bidi="ar"/>
              </w:rPr>
              <w:t>3</w:t>
            </w:r>
          </w:p>
        </w:tc>
        <w:tc>
          <w:tcPr>
            <w:tcW w:w="1176" w:type="dxa"/>
            <w:vMerge w:val="restart"/>
            <w:tcBorders>
              <w:top w:val="single" w:color="000000" w:sz="4" w:space="0"/>
              <w:left w:val="single" w:color="000000" w:sz="4" w:space="0"/>
              <w:bottom w:val="single" w:color="000000" w:sz="4" w:space="0"/>
              <w:right w:val="single" w:color="000000" w:sz="4" w:space="0"/>
            </w:tcBorders>
            <w:noWrap/>
            <w:vAlign w:val="center"/>
          </w:tcPr>
          <w:p w14:paraId="0D0FAF28">
            <w:pPr>
              <w:jc w:val="center"/>
              <w:textAlignment w:val="center"/>
              <w:rPr>
                <w:color w:val="000000"/>
                <w:szCs w:val="21"/>
              </w:rPr>
            </w:pPr>
            <w:r>
              <w:rPr>
                <w:rFonts w:hAnsi="宋体"/>
                <w:color w:val="000000"/>
                <w:kern w:val="0"/>
                <w:szCs w:val="21"/>
                <w:lang w:bidi="ar"/>
              </w:rPr>
              <w:t>静态位移</w:t>
            </w:r>
          </w:p>
        </w:tc>
        <w:tc>
          <w:tcPr>
            <w:tcW w:w="1896" w:type="dxa"/>
            <w:tcBorders>
              <w:top w:val="single" w:color="000000" w:sz="4" w:space="0"/>
              <w:left w:val="single" w:color="000000" w:sz="4" w:space="0"/>
              <w:bottom w:val="single" w:color="000000" w:sz="4" w:space="0"/>
              <w:right w:val="single" w:color="000000" w:sz="4" w:space="0"/>
            </w:tcBorders>
            <w:noWrap/>
            <w:vAlign w:val="center"/>
          </w:tcPr>
          <w:p w14:paraId="6F4B1340">
            <w:pPr>
              <w:jc w:val="center"/>
              <w:textAlignment w:val="center"/>
              <w:rPr>
                <w:color w:val="000000"/>
                <w:szCs w:val="21"/>
              </w:rPr>
            </w:pPr>
            <w:r>
              <w:rPr>
                <w:rFonts w:hAnsi="宋体"/>
                <w:color w:val="000000"/>
                <w:kern w:val="0"/>
                <w:szCs w:val="21"/>
                <w:lang w:bidi="ar"/>
              </w:rPr>
              <w:t>灵敏度误差</w:t>
            </w:r>
          </w:p>
        </w:tc>
        <w:tc>
          <w:tcPr>
            <w:tcW w:w="3145" w:type="dxa"/>
            <w:tcBorders>
              <w:top w:val="single" w:color="000000" w:sz="4" w:space="0"/>
              <w:left w:val="single" w:color="000000" w:sz="4" w:space="0"/>
              <w:bottom w:val="single" w:color="000000" w:sz="4" w:space="0"/>
              <w:right w:val="single" w:color="000000" w:sz="4" w:space="0"/>
            </w:tcBorders>
            <w:noWrap/>
            <w:vAlign w:val="center"/>
          </w:tcPr>
          <w:p w14:paraId="31ADB6CB">
            <w:pPr>
              <w:jc w:val="center"/>
              <w:textAlignment w:val="center"/>
              <w:rPr>
                <w:color w:val="000000"/>
                <w:szCs w:val="21"/>
              </w:rPr>
            </w:pPr>
            <w:r>
              <w:rPr>
                <w:color w:val="000000"/>
                <w:kern w:val="0"/>
                <w:szCs w:val="21"/>
                <w:lang w:bidi="ar"/>
              </w:rPr>
              <w:t>±5%</w:t>
            </w:r>
          </w:p>
        </w:tc>
        <w:tc>
          <w:tcPr>
            <w:tcW w:w="2304" w:type="dxa"/>
            <w:tcBorders>
              <w:top w:val="single" w:color="000000" w:sz="4" w:space="0"/>
              <w:left w:val="single" w:color="000000" w:sz="4" w:space="0"/>
              <w:bottom w:val="single" w:color="000000" w:sz="4" w:space="0"/>
              <w:right w:val="single" w:color="000000" w:sz="4" w:space="0"/>
            </w:tcBorders>
            <w:noWrap/>
            <w:vAlign w:val="center"/>
          </w:tcPr>
          <w:p w14:paraId="68E9A4F1">
            <w:pPr>
              <w:jc w:val="left"/>
              <w:textAlignment w:val="center"/>
              <w:rPr>
                <w:color w:val="000000"/>
                <w:szCs w:val="21"/>
              </w:rPr>
            </w:pPr>
            <w:r>
              <w:rPr>
                <w:rFonts w:hAnsi="宋体"/>
                <w:color w:val="000000"/>
                <w:kern w:val="0"/>
                <w:szCs w:val="21"/>
                <w:lang w:bidi="ar"/>
              </w:rPr>
              <w:t>与出厂技术指标比较</w:t>
            </w:r>
          </w:p>
        </w:tc>
      </w:tr>
      <w:tr w14:paraId="0E21C46A">
        <w:tblPrEx>
          <w:tblCellMar>
            <w:top w:w="0" w:type="dxa"/>
            <w:left w:w="108" w:type="dxa"/>
            <w:bottom w:w="0" w:type="dxa"/>
            <w:right w:w="108" w:type="dxa"/>
          </w:tblCellMar>
        </w:tblPrEx>
        <w:trPr>
          <w:trHeight w:val="600" w:hRule="atLeast"/>
        </w:trPr>
        <w:tc>
          <w:tcPr>
            <w:tcW w:w="810" w:type="dxa"/>
            <w:vMerge w:val="continue"/>
            <w:tcBorders>
              <w:top w:val="single" w:color="000000" w:sz="4" w:space="0"/>
              <w:left w:val="single" w:color="000000" w:sz="4" w:space="0"/>
              <w:bottom w:val="single" w:color="000000" w:sz="4" w:space="0"/>
              <w:right w:val="single" w:color="000000" w:sz="4" w:space="0"/>
            </w:tcBorders>
            <w:noWrap/>
            <w:vAlign w:val="center"/>
          </w:tcPr>
          <w:p w14:paraId="78509F9F">
            <w:pPr>
              <w:jc w:val="center"/>
              <w:rPr>
                <w:color w:val="000000"/>
                <w:szCs w:val="21"/>
              </w:rPr>
            </w:pPr>
          </w:p>
        </w:tc>
        <w:tc>
          <w:tcPr>
            <w:tcW w:w="1176" w:type="dxa"/>
            <w:vMerge w:val="continue"/>
            <w:tcBorders>
              <w:top w:val="single" w:color="000000" w:sz="4" w:space="0"/>
              <w:left w:val="single" w:color="000000" w:sz="4" w:space="0"/>
              <w:bottom w:val="single" w:color="000000" w:sz="4" w:space="0"/>
              <w:right w:val="single" w:color="000000" w:sz="4" w:space="0"/>
            </w:tcBorders>
            <w:noWrap/>
            <w:vAlign w:val="center"/>
          </w:tcPr>
          <w:p w14:paraId="075FFAE4">
            <w:pPr>
              <w:jc w:val="center"/>
              <w:rPr>
                <w:color w:val="000000"/>
                <w:szCs w:val="21"/>
              </w:rPr>
            </w:pPr>
          </w:p>
        </w:tc>
        <w:tc>
          <w:tcPr>
            <w:tcW w:w="1896" w:type="dxa"/>
            <w:tcBorders>
              <w:top w:val="single" w:color="000000" w:sz="4" w:space="0"/>
              <w:left w:val="single" w:color="000000" w:sz="4" w:space="0"/>
              <w:bottom w:val="single" w:color="000000" w:sz="4" w:space="0"/>
              <w:right w:val="single" w:color="000000" w:sz="4" w:space="0"/>
            </w:tcBorders>
            <w:noWrap w:val="0"/>
            <w:vAlign w:val="center"/>
          </w:tcPr>
          <w:p w14:paraId="2C479BB2">
            <w:pPr>
              <w:jc w:val="center"/>
              <w:textAlignment w:val="center"/>
              <w:rPr>
                <w:color w:val="000000"/>
                <w:szCs w:val="21"/>
              </w:rPr>
            </w:pPr>
            <w:r>
              <w:rPr>
                <w:rFonts w:hAnsi="宋体"/>
                <w:color w:val="000000"/>
                <w:kern w:val="0"/>
                <w:szCs w:val="21"/>
                <w:lang w:bidi="ar"/>
              </w:rPr>
              <w:t>静态幅值线性度</w:t>
            </w:r>
          </w:p>
        </w:tc>
        <w:tc>
          <w:tcPr>
            <w:tcW w:w="3145" w:type="dxa"/>
            <w:tcBorders>
              <w:top w:val="single" w:color="000000" w:sz="4" w:space="0"/>
              <w:left w:val="single" w:color="000000" w:sz="4" w:space="0"/>
              <w:bottom w:val="single" w:color="000000" w:sz="4" w:space="0"/>
              <w:right w:val="single" w:color="000000" w:sz="4" w:space="0"/>
            </w:tcBorders>
            <w:noWrap w:val="0"/>
            <w:vAlign w:val="center"/>
          </w:tcPr>
          <w:p w14:paraId="634927BF">
            <w:pPr>
              <w:jc w:val="center"/>
              <w:textAlignment w:val="center"/>
              <w:rPr>
                <w:color w:val="000000"/>
                <w:szCs w:val="21"/>
              </w:rPr>
            </w:pPr>
            <w:r>
              <w:rPr>
                <w:color w:val="000000"/>
                <w:kern w:val="0"/>
                <w:szCs w:val="21"/>
                <w:lang w:bidi="ar"/>
              </w:rPr>
              <w:t>10mm</w:t>
            </w:r>
            <w:r>
              <w:rPr>
                <w:rFonts w:hAnsi="宋体"/>
                <w:color w:val="000000"/>
                <w:kern w:val="0"/>
                <w:szCs w:val="21"/>
                <w:lang w:bidi="ar"/>
              </w:rPr>
              <w:t>量程以下</w:t>
            </w:r>
            <w:r>
              <w:rPr>
                <w:color w:val="000000"/>
                <w:kern w:val="0"/>
                <w:szCs w:val="21"/>
                <w:lang w:bidi="ar"/>
              </w:rPr>
              <w:t>±2.0%</w:t>
            </w:r>
            <w:r>
              <w:rPr>
                <w:rFonts w:hAnsi="宋体"/>
                <w:color w:val="000000"/>
                <w:kern w:val="0"/>
                <w:szCs w:val="21"/>
                <w:lang w:bidi="ar"/>
              </w:rPr>
              <w:t>；</w:t>
            </w:r>
            <w:r>
              <w:rPr>
                <w:color w:val="000000"/>
                <w:kern w:val="0"/>
                <w:szCs w:val="21"/>
                <w:lang w:bidi="ar"/>
              </w:rPr>
              <w:br w:type="textWrapping"/>
            </w:r>
            <w:r>
              <w:rPr>
                <w:color w:val="000000"/>
                <w:kern w:val="0"/>
                <w:szCs w:val="21"/>
                <w:lang w:bidi="ar"/>
              </w:rPr>
              <w:t>10mm</w:t>
            </w:r>
            <w:r>
              <w:rPr>
                <w:rFonts w:hAnsi="宋体"/>
                <w:color w:val="000000"/>
                <w:kern w:val="0"/>
                <w:szCs w:val="21"/>
                <w:lang w:bidi="ar"/>
              </w:rPr>
              <w:t>量程以上</w:t>
            </w:r>
            <w:r>
              <w:rPr>
                <w:color w:val="000000"/>
                <w:kern w:val="0"/>
                <w:szCs w:val="21"/>
                <w:lang w:bidi="ar"/>
              </w:rPr>
              <w:t>±5.0%</w:t>
            </w:r>
          </w:p>
        </w:tc>
        <w:tc>
          <w:tcPr>
            <w:tcW w:w="2304" w:type="dxa"/>
            <w:tcBorders>
              <w:top w:val="single" w:color="000000" w:sz="4" w:space="0"/>
              <w:left w:val="single" w:color="000000" w:sz="4" w:space="0"/>
              <w:bottom w:val="single" w:color="000000" w:sz="4" w:space="0"/>
              <w:right w:val="single" w:color="000000" w:sz="4" w:space="0"/>
            </w:tcBorders>
            <w:noWrap/>
            <w:vAlign w:val="center"/>
          </w:tcPr>
          <w:p w14:paraId="76C834B7">
            <w:pPr>
              <w:rPr>
                <w:color w:val="000000"/>
                <w:szCs w:val="21"/>
              </w:rPr>
            </w:pPr>
          </w:p>
        </w:tc>
      </w:tr>
      <w:tr w14:paraId="34F45573">
        <w:tblPrEx>
          <w:tblCellMar>
            <w:top w:w="0" w:type="dxa"/>
            <w:left w:w="108" w:type="dxa"/>
            <w:bottom w:w="0" w:type="dxa"/>
            <w:right w:w="108" w:type="dxa"/>
          </w:tblCellMar>
        </w:tblPrEx>
        <w:trPr>
          <w:trHeight w:val="300" w:hRule="atLeast"/>
        </w:trPr>
        <w:tc>
          <w:tcPr>
            <w:tcW w:w="810" w:type="dxa"/>
            <w:vMerge w:val="continue"/>
            <w:tcBorders>
              <w:top w:val="single" w:color="000000" w:sz="4" w:space="0"/>
              <w:left w:val="single" w:color="000000" w:sz="4" w:space="0"/>
              <w:bottom w:val="single" w:color="000000" w:sz="4" w:space="0"/>
              <w:right w:val="single" w:color="000000" w:sz="4" w:space="0"/>
            </w:tcBorders>
            <w:noWrap/>
            <w:vAlign w:val="center"/>
          </w:tcPr>
          <w:p w14:paraId="6ED1B305">
            <w:pPr>
              <w:jc w:val="center"/>
              <w:rPr>
                <w:color w:val="000000"/>
                <w:szCs w:val="21"/>
              </w:rPr>
            </w:pPr>
          </w:p>
        </w:tc>
        <w:tc>
          <w:tcPr>
            <w:tcW w:w="1176" w:type="dxa"/>
            <w:vMerge w:val="continue"/>
            <w:tcBorders>
              <w:top w:val="single" w:color="000000" w:sz="4" w:space="0"/>
              <w:left w:val="single" w:color="000000" w:sz="4" w:space="0"/>
              <w:bottom w:val="single" w:color="000000" w:sz="4" w:space="0"/>
              <w:right w:val="single" w:color="000000" w:sz="4" w:space="0"/>
            </w:tcBorders>
            <w:noWrap/>
            <w:vAlign w:val="center"/>
          </w:tcPr>
          <w:p w14:paraId="0D9F0E14">
            <w:pPr>
              <w:jc w:val="center"/>
              <w:rPr>
                <w:color w:val="000000"/>
                <w:szCs w:val="21"/>
              </w:rPr>
            </w:pPr>
          </w:p>
        </w:tc>
        <w:tc>
          <w:tcPr>
            <w:tcW w:w="1896" w:type="dxa"/>
            <w:tcBorders>
              <w:top w:val="single" w:color="000000" w:sz="4" w:space="0"/>
              <w:left w:val="single" w:color="000000" w:sz="4" w:space="0"/>
              <w:bottom w:val="single" w:color="000000" w:sz="4" w:space="0"/>
              <w:right w:val="single" w:color="000000" w:sz="4" w:space="0"/>
            </w:tcBorders>
            <w:noWrap w:val="0"/>
            <w:vAlign w:val="center"/>
          </w:tcPr>
          <w:p w14:paraId="5BCFB525">
            <w:pPr>
              <w:jc w:val="center"/>
              <w:textAlignment w:val="center"/>
              <w:rPr>
                <w:color w:val="000000"/>
                <w:szCs w:val="21"/>
              </w:rPr>
            </w:pPr>
            <w:r>
              <w:rPr>
                <w:rFonts w:hAnsi="宋体"/>
                <w:color w:val="000000"/>
                <w:kern w:val="0"/>
                <w:szCs w:val="21"/>
                <w:lang w:bidi="ar"/>
              </w:rPr>
              <w:t>幅值重复性</w:t>
            </w:r>
          </w:p>
        </w:tc>
        <w:tc>
          <w:tcPr>
            <w:tcW w:w="3145" w:type="dxa"/>
            <w:tcBorders>
              <w:top w:val="single" w:color="000000" w:sz="4" w:space="0"/>
              <w:left w:val="single" w:color="000000" w:sz="4" w:space="0"/>
              <w:bottom w:val="single" w:color="000000" w:sz="4" w:space="0"/>
              <w:right w:val="single" w:color="000000" w:sz="4" w:space="0"/>
            </w:tcBorders>
            <w:noWrap/>
            <w:vAlign w:val="center"/>
          </w:tcPr>
          <w:p w14:paraId="5F803234">
            <w:pPr>
              <w:jc w:val="center"/>
              <w:textAlignment w:val="center"/>
              <w:rPr>
                <w:color w:val="000000"/>
                <w:szCs w:val="21"/>
              </w:rPr>
            </w:pPr>
            <w:r>
              <w:rPr>
                <w:color w:val="000000"/>
                <w:kern w:val="0"/>
                <w:szCs w:val="21"/>
                <w:lang w:bidi="ar"/>
              </w:rPr>
              <w:t>1%</w:t>
            </w:r>
          </w:p>
        </w:tc>
        <w:tc>
          <w:tcPr>
            <w:tcW w:w="2304" w:type="dxa"/>
            <w:tcBorders>
              <w:top w:val="single" w:color="000000" w:sz="4" w:space="0"/>
              <w:left w:val="single" w:color="000000" w:sz="4" w:space="0"/>
              <w:bottom w:val="single" w:color="000000" w:sz="4" w:space="0"/>
              <w:right w:val="single" w:color="000000" w:sz="4" w:space="0"/>
            </w:tcBorders>
            <w:noWrap/>
            <w:vAlign w:val="center"/>
          </w:tcPr>
          <w:p w14:paraId="49F0C6B8">
            <w:pPr>
              <w:rPr>
                <w:color w:val="000000"/>
                <w:szCs w:val="21"/>
              </w:rPr>
            </w:pPr>
          </w:p>
        </w:tc>
      </w:tr>
    </w:tbl>
    <w:p w14:paraId="0DCB195D">
      <w:pPr>
        <w:pStyle w:val="4"/>
        <w:numPr>
          <w:ilvl w:val="0"/>
          <w:numId w:val="5"/>
        </w:numPr>
      </w:pPr>
      <w:r>
        <w:t>验证试验的情况和结果</w:t>
      </w:r>
    </w:p>
    <w:p w14:paraId="694FEB1B">
      <w:pPr>
        <w:pStyle w:val="21"/>
        <w:rPr>
          <w:rStyle w:val="16"/>
          <w:rFonts w:ascii="宋体" w:hAnsi="宋体"/>
        </w:rPr>
      </w:pPr>
      <w:r>
        <w:rPr>
          <w:rStyle w:val="16"/>
          <w:rFonts w:ascii="宋体" w:hAnsi="宋体"/>
        </w:rPr>
        <w:t>通过试验手段来验证本标准的技术方法。通过试验，证明对标准仪器的选择，校准点的选择以及采用的校准方法是正确可行的。选择不同型号、生产厂家</w:t>
      </w:r>
      <w:r>
        <w:rPr>
          <w:rStyle w:val="16"/>
          <w:rFonts w:hint="eastAsia" w:ascii="宋体" w:hAnsi="宋体"/>
        </w:rPr>
        <w:t>的被校</w:t>
      </w:r>
      <w:r>
        <w:rPr>
          <w:rStyle w:val="16"/>
          <w:rFonts w:ascii="宋体" w:hAnsi="宋体"/>
        </w:rPr>
        <w:t>装置进行试验。</w:t>
      </w:r>
    </w:p>
    <w:p w14:paraId="53F11A00">
      <w:pPr>
        <w:pStyle w:val="21"/>
        <w:rPr>
          <w:rStyle w:val="16"/>
          <w:rFonts w:hint="default" w:ascii="宋体" w:hAnsi="宋体" w:eastAsia="宋体"/>
          <w:lang w:val="en-US" w:eastAsia="zh-CN"/>
        </w:rPr>
      </w:pPr>
      <w:r>
        <w:rPr>
          <w:rStyle w:val="16"/>
          <w:rFonts w:hint="eastAsia" w:ascii="宋体" w:hAnsi="宋体"/>
          <w:lang w:val="en-US" w:eastAsia="zh-CN"/>
        </w:rPr>
        <w:t>对目前电力、石化所用的主流品牌本特利、艾默生、VM等电涡流传感器进行测试，分别对其动态位移、静态位移及转速参数进行测试。</w:t>
      </w:r>
      <w:bookmarkStart w:id="2" w:name="_GoBack"/>
      <w:bookmarkEnd w:id="2"/>
    </w:p>
    <w:p w14:paraId="3AC95078">
      <w:pPr>
        <w:pStyle w:val="4"/>
        <w:numPr>
          <w:ilvl w:val="0"/>
          <w:numId w:val="5"/>
        </w:numPr>
      </w:pPr>
      <w:r>
        <w:t>与国外同类标准水平的对比分析</w:t>
      </w:r>
    </w:p>
    <w:p w14:paraId="680C1487">
      <w:pPr>
        <w:pStyle w:val="21"/>
        <w:rPr>
          <w:rStyle w:val="16"/>
          <w:rFonts w:ascii="宋体" w:hAnsi="宋体"/>
        </w:rPr>
      </w:pPr>
      <w:r>
        <w:rPr>
          <w:rStyle w:val="16"/>
          <w:rFonts w:ascii="宋体" w:hAnsi="宋体"/>
        </w:rPr>
        <w:t>未查到国内外相同标准</w:t>
      </w:r>
      <w:r>
        <w:rPr>
          <w:rStyle w:val="16"/>
          <w:rFonts w:hint="eastAsia" w:ascii="宋体" w:hAnsi="宋体"/>
        </w:rPr>
        <w:t>。</w:t>
      </w:r>
    </w:p>
    <w:p w14:paraId="787E45EE">
      <w:pPr>
        <w:rPr>
          <w:rFonts w:hAnsi="宋体" w:cs="Times New Roman"/>
          <w:bCs/>
          <w:sz w:val="24"/>
        </w:rPr>
      </w:pPr>
    </w:p>
    <w:p w14:paraId="1566C4E5">
      <w:pPr>
        <w:spacing w:line="360" w:lineRule="auto"/>
        <w:jc w:val="left"/>
        <w:rPr>
          <w:rStyle w:val="16"/>
          <w:rFonts w:ascii="宋体" w:hAnsi="宋体"/>
          <w:sz w:val="24"/>
        </w:rPr>
      </w:pPr>
    </w:p>
    <w:sectPr>
      <w:headerReference r:id="rId3" w:type="default"/>
      <w:footerReference r:id="rId4" w:type="even"/>
      <w:type w:val="continuous"/>
      <w:pgSz w:w="11906" w:h="16838"/>
      <w:pgMar w:top="1440" w:right="1080" w:bottom="1440" w:left="108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2432E">
    <w:pPr>
      <w:pStyle w:val="9"/>
      <w:framePr w:wrap="around" w:vAnchor="margin" w:hAnchor="text" w:xAlign="center" w:y="1"/>
      <w:rPr>
        <w:rStyle w:val="18"/>
      </w:rPr>
    </w:pPr>
  </w:p>
  <w:p w14:paraId="375BA292">
    <w:pPr>
      <w:pStyle w:val="9"/>
      <w:rPr>
        <w:rStyle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8CBDC">
    <w:pPr>
      <w:pStyle w:val="10"/>
      <w:pBdr>
        <w:bottom w:val="none" w:color="auto" w:sz="0" w:space="0"/>
      </w:pBdr>
      <w:rPr>
        <w:rStyle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22BC5"/>
    <w:multiLevelType w:val="multilevel"/>
    <w:tmpl w:val="41F22BC5"/>
    <w:lvl w:ilvl="0" w:tentative="0">
      <w:start w:val="1"/>
      <w:numFmt w:val="japaneseCounting"/>
      <w:lvlText w:val="%1、"/>
      <w:lvlJc w:val="left"/>
      <w:pPr>
        <w:widowControl/>
        <w:ind w:left="480" w:hanging="480"/>
        <w:textAlignment w:val="baseline"/>
      </w:pPr>
    </w:lvl>
    <w:lvl w:ilvl="1" w:tentative="0">
      <w:start w:val="1"/>
      <w:numFmt w:val="lowerLetter"/>
      <w:lvlText w:val="%1)"/>
      <w:lvlJc w:val="left"/>
      <w:pPr>
        <w:widowControl/>
        <w:ind w:left="840" w:hanging="420"/>
        <w:textAlignment w:val="baseline"/>
      </w:pPr>
    </w:lvl>
    <w:lvl w:ilvl="2" w:tentative="0">
      <w:start w:val="1"/>
      <w:numFmt w:val="lowerRoman"/>
      <w:lvlText w:val="%1."/>
      <w:lvlJc w:val="right"/>
      <w:pPr>
        <w:widowControl/>
        <w:ind w:left="1260" w:hanging="420"/>
        <w:textAlignment w:val="baseline"/>
      </w:pPr>
    </w:lvl>
    <w:lvl w:ilvl="3" w:tentative="0">
      <w:start w:val="1"/>
      <w:numFmt w:val="decimal"/>
      <w:lvlText w:val="%1."/>
      <w:lvlJc w:val="left"/>
      <w:pPr>
        <w:widowControl/>
        <w:ind w:left="1680" w:hanging="420"/>
        <w:textAlignment w:val="baseline"/>
      </w:pPr>
    </w:lvl>
    <w:lvl w:ilvl="4" w:tentative="0">
      <w:start w:val="1"/>
      <w:numFmt w:val="lowerLetter"/>
      <w:lvlText w:val="%1)"/>
      <w:lvlJc w:val="left"/>
      <w:pPr>
        <w:widowControl/>
        <w:ind w:left="2100" w:hanging="420"/>
        <w:textAlignment w:val="baseline"/>
      </w:pPr>
    </w:lvl>
    <w:lvl w:ilvl="5" w:tentative="0">
      <w:start w:val="1"/>
      <w:numFmt w:val="lowerRoman"/>
      <w:lvlText w:val="%1."/>
      <w:lvlJc w:val="right"/>
      <w:pPr>
        <w:widowControl/>
        <w:ind w:left="2520" w:hanging="420"/>
        <w:textAlignment w:val="baseline"/>
      </w:pPr>
    </w:lvl>
    <w:lvl w:ilvl="6" w:tentative="0">
      <w:start w:val="1"/>
      <w:numFmt w:val="decimal"/>
      <w:lvlText w:val="%1."/>
      <w:lvlJc w:val="left"/>
      <w:pPr>
        <w:widowControl/>
        <w:ind w:left="2940" w:hanging="420"/>
        <w:textAlignment w:val="baseline"/>
      </w:pPr>
    </w:lvl>
    <w:lvl w:ilvl="7" w:tentative="0">
      <w:start w:val="1"/>
      <w:numFmt w:val="lowerLetter"/>
      <w:lvlText w:val="%1)"/>
      <w:lvlJc w:val="left"/>
      <w:pPr>
        <w:widowControl/>
        <w:ind w:left="3360" w:hanging="420"/>
        <w:textAlignment w:val="baseline"/>
      </w:pPr>
    </w:lvl>
    <w:lvl w:ilvl="8" w:tentative="0">
      <w:start w:val="1"/>
      <w:numFmt w:val="lowerRoman"/>
      <w:lvlText w:val="%1."/>
      <w:lvlJc w:val="right"/>
      <w:pPr>
        <w:widowControl/>
        <w:ind w:left="3780" w:hanging="420"/>
        <w:textAlignment w:val="baseline"/>
      </w:pPr>
    </w:lvl>
  </w:abstractNum>
  <w:abstractNum w:abstractNumId="1">
    <w:nsid w:val="496E4D7B"/>
    <w:multiLevelType w:val="multilevel"/>
    <w:tmpl w:val="496E4D7B"/>
    <w:lvl w:ilvl="0" w:tentative="0">
      <w:start w:val="1"/>
      <w:numFmt w:val="decimal"/>
      <w:pStyle w:val="33"/>
      <w:lvlText w:val="%1注"/>
      <w:lvlJc w:val="left"/>
      <w:pPr>
        <w:widowControl/>
        <w:ind w:left="900" w:hanging="500"/>
        <w:textAlignment w:val="baseline"/>
      </w:pPr>
      <w:rPr>
        <w:rFonts w:ascii="宋体" w:hAnsi="Times New Roman" w:eastAsia="宋体"/>
        <w:b w:val="0"/>
        <w:i w:val="0"/>
        <w:sz w:val="18"/>
      </w:rPr>
    </w:lvl>
    <w:lvl w:ilvl="1" w:tentative="0">
      <w:start w:val="1"/>
      <w:numFmt w:val="lowerLetter"/>
      <w:lvlText w:val="%1)"/>
      <w:lvlJc w:val="left"/>
      <w:pPr>
        <w:widowControl/>
        <w:ind w:left="840" w:hanging="420"/>
        <w:textAlignment w:val="baseline"/>
      </w:pPr>
    </w:lvl>
    <w:lvl w:ilvl="2" w:tentative="0">
      <w:start w:val="1"/>
      <w:numFmt w:val="lowerRoman"/>
      <w:lvlText w:val="%1."/>
      <w:lvlJc w:val="right"/>
      <w:pPr>
        <w:widowControl/>
        <w:ind w:left="1260" w:hanging="420"/>
        <w:textAlignment w:val="baseline"/>
      </w:pPr>
    </w:lvl>
    <w:lvl w:ilvl="3" w:tentative="0">
      <w:start w:val="1"/>
      <w:numFmt w:val="decimal"/>
      <w:lvlText w:val="%1."/>
      <w:lvlJc w:val="left"/>
      <w:pPr>
        <w:widowControl/>
        <w:ind w:left="1680" w:hanging="420"/>
        <w:textAlignment w:val="baseline"/>
      </w:pPr>
    </w:lvl>
    <w:lvl w:ilvl="4" w:tentative="0">
      <w:start w:val="1"/>
      <w:numFmt w:val="lowerLetter"/>
      <w:lvlText w:val="%1)"/>
      <w:lvlJc w:val="left"/>
      <w:pPr>
        <w:widowControl/>
        <w:ind w:left="2100" w:hanging="420"/>
        <w:textAlignment w:val="baseline"/>
      </w:pPr>
    </w:lvl>
    <w:lvl w:ilvl="5" w:tentative="0">
      <w:start w:val="1"/>
      <w:numFmt w:val="lowerRoman"/>
      <w:lvlText w:val="%1."/>
      <w:lvlJc w:val="right"/>
      <w:pPr>
        <w:widowControl/>
        <w:ind w:left="2520" w:hanging="420"/>
        <w:textAlignment w:val="baseline"/>
      </w:pPr>
    </w:lvl>
    <w:lvl w:ilvl="6" w:tentative="0">
      <w:start w:val="1"/>
      <w:numFmt w:val="decimal"/>
      <w:lvlText w:val="%1."/>
      <w:lvlJc w:val="left"/>
      <w:pPr>
        <w:widowControl/>
        <w:ind w:left="2940" w:hanging="420"/>
        <w:textAlignment w:val="baseline"/>
      </w:pPr>
    </w:lvl>
    <w:lvl w:ilvl="7" w:tentative="0">
      <w:start w:val="1"/>
      <w:numFmt w:val="lowerLetter"/>
      <w:lvlText w:val="%1)"/>
      <w:lvlJc w:val="left"/>
      <w:pPr>
        <w:widowControl/>
        <w:ind w:left="3360" w:hanging="420"/>
        <w:textAlignment w:val="baseline"/>
      </w:pPr>
    </w:lvl>
    <w:lvl w:ilvl="8" w:tentative="0">
      <w:start w:val="1"/>
      <w:numFmt w:val="lowerRoman"/>
      <w:lvlText w:val="%1."/>
      <w:lvlJc w:val="right"/>
      <w:pPr>
        <w:widowControl/>
        <w:ind w:left="3780" w:hanging="420"/>
        <w:textAlignment w:val="baseline"/>
      </w:pPr>
    </w:lvl>
  </w:abstractNum>
  <w:abstractNum w:abstractNumId="2">
    <w:nsid w:val="54632751"/>
    <w:multiLevelType w:val="multilevel"/>
    <w:tmpl w:val="54632751"/>
    <w:lvl w:ilvl="0" w:tentative="0">
      <w:start w:val="1"/>
      <w:numFmt w:val="decimal"/>
      <w:pStyle w:val="34"/>
      <w:suff w:val="nothing"/>
      <w:lvlText w:val="——"/>
      <w:lvlJc w:val="left"/>
      <w:pPr>
        <w:widowControl/>
        <w:ind w:left="1588" w:firstLine="0"/>
        <w:textAlignment w:val="baseline"/>
      </w:pPr>
      <w:rPr>
        <w:rFonts w:ascii="黑体" w:hAnsi="Times New Roman" w:eastAsia="黑体"/>
        <w:b w:val="0"/>
        <w:i w:val="0"/>
        <w:sz w:val="21"/>
      </w:rPr>
    </w:lvl>
    <w:lvl w:ilvl="1" w:tentative="0">
      <w:start w:val="1"/>
      <w:numFmt w:val="decimal"/>
      <w:suff w:val="nothing"/>
      <w:lvlText w:val="%1.%2　"/>
      <w:lvlJc w:val="left"/>
      <w:pPr>
        <w:widowControl/>
        <w:ind w:left="1588" w:firstLine="0"/>
        <w:textAlignment w:val="baseline"/>
      </w:pPr>
      <w:rPr>
        <w:rFonts w:ascii="黑体" w:hAnsi="Times New Roman" w:eastAsia="黑体"/>
        <w:b w:val="0"/>
        <w:i w:val="0"/>
        <w:kern w:val="21"/>
        <w:sz w:val="21"/>
      </w:rPr>
    </w:lvl>
    <w:lvl w:ilvl="2" w:tentative="0">
      <w:start w:val="1"/>
      <w:numFmt w:val="decimal"/>
      <w:suff w:val="nothing"/>
      <w:lvlText w:val="%1.%2.%3　"/>
      <w:lvlJc w:val="left"/>
      <w:pPr>
        <w:widowControl/>
        <w:ind w:left="1588" w:firstLine="0"/>
        <w:textAlignment w:val="baseline"/>
      </w:pPr>
      <w:rPr>
        <w:rFonts w:ascii="黑体" w:hAnsi="Times New Roman" w:eastAsia="黑体"/>
        <w:b w:val="0"/>
        <w:i w:val="0"/>
        <w:sz w:val="21"/>
      </w:rPr>
    </w:lvl>
    <w:lvl w:ilvl="3" w:tentative="0">
      <w:start w:val="1"/>
      <w:numFmt w:val="decimal"/>
      <w:suff w:val="nothing"/>
      <w:lvlText w:val="%1.%2.%3.%4　"/>
      <w:lvlJc w:val="left"/>
      <w:pPr>
        <w:widowControl/>
        <w:ind w:left="1588" w:firstLine="0"/>
        <w:textAlignment w:val="baseline"/>
      </w:pPr>
      <w:rPr>
        <w:rFonts w:ascii="黑体" w:hAnsi="Times New Roman" w:eastAsia="黑体"/>
        <w:b w:val="0"/>
        <w:i w:val="0"/>
        <w:sz w:val="21"/>
      </w:rPr>
    </w:lvl>
    <w:lvl w:ilvl="4" w:tentative="0">
      <w:start w:val="1"/>
      <w:numFmt w:val="decimal"/>
      <w:suff w:val="nothing"/>
      <w:lvlText w:val="%1.%2.%3.%4.%5　"/>
      <w:lvlJc w:val="left"/>
      <w:pPr>
        <w:widowControl/>
        <w:ind w:left="1588" w:firstLine="0"/>
        <w:textAlignment w:val="baseline"/>
      </w:pPr>
      <w:rPr>
        <w:rFonts w:ascii="黑体" w:hAnsi="Times New Roman" w:eastAsia="黑体"/>
        <w:b w:val="0"/>
        <w:i w:val="0"/>
        <w:sz w:val="21"/>
      </w:rPr>
    </w:lvl>
    <w:lvl w:ilvl="5" w:tentative="0">
      <w:start w:val="1"/>
      <w:numFmt w:val="decimal"/>
      <w:suff w:val="nothing"/>
      <w:lvlText w:val="%1.%2.%3.%4.%5.%6　"/>
      <w:lvlJc w:val="left"/>
      <w:pPr>
        <w:widowControl/>
        <w:ind w:left="1588" w:firstLine="0"/>
        <w:textAlignment w:val="baseline"/>
      </w:pPr>
      <w:rPr>
        <w:rFonts w:ascii="黑体" w:hAnsi="Times New Roman" w:eastAsia="黑体"/>
        <w:b w:val="0"/>
        <w:i w:val="0"/>
        <w:sz w:val="21"/>
      </w:rPr>
    </w:lvl>
    <w:lvl w:ilvl="6" w:tentative="0">
      <w:start w:val="1"/>
      <w:numFmt w:val="decimal"/>
      <w:suff w:val="nothing"/>
      <w:lvlText w:val="%1.%2.%3.%4.%5.%6.%7　"/>
      <w:lvlJc w:val="left"/>
      <w:pPr>
        <w:widowControl/>
        <w:ind w:left="1588" w:firstLine="0"/>
        <w:textAlignment w:val="baseline"/>
      </w:pPr>
      <w:rPr>
        <w:rFonts w:ascii="黑体" w:hAnsi="Times New Roman" w:eastAsia="黑体"/>
        <w:b w:val="0"/>
        <w:i w:val="0"/>
        <w:sz w:val="21"/>
      </w:rPr>
    </w:lvl>
    <w:lvl w:ilvl="7" w:tentative="0">
      <w:start w:val="1"/>
      <w:numFmt w:val="decimal"/>
      <w:lvlText w:val="%1.%2.%3.%4.%5.%6.%7.%8"/>
      <w:lvlJc w:val="left"/>
      <w:pPr>
        <w:widowControl/>
        <w:ind w:left="5982" w:hanging="1418"/>
        <w:textAlignment w:val="baseline"/>
      </w:pPr>
    </w:lvl>
    <w:lvl w:ilvl="8" w:tentative="0">
      <w:start w:val="1"/>
      <w:numFmt w:val="decimal"/>
      <w:lvlText w:val="%1.%2.%3.%4.%5.%6.%7.%8.%9"/>
      <w:lvlJc w:val="left"/>
      <w:pPr>
        <w:widowControl/>
        <w:ind w:left="6690" w:hanging="1700"/>
        <w:textAlignment w:val="baseline"/>
      </w:pPr>
    </w:lvl>
  </w:abstractNum>
  <w:abstractNum w:abstractNumId="3">
    <w:nsid w:val="646260FA"/>
    <w:multiLevelType w:val="multilevel"/>
    <w:tmpl w:val="646260FA"/>
    <w:lvl w:ilvl="0" w:tentative="0">
      <w:start w:val="1"/>
      <w:numFmt w:val="decimal"/>
      <w:pStyle w:val="25"/>
      <w:suff w:val="nothing"/>
      <w:lvlText w:val="表%1　"/>
      <w:lvlJc w:val="left"/>
      <w:pPr>
        <w:widowControl/>
        <w:ind w:left="0" w:firstLine="0"/>
        <w:textAlignment w:val="baseline"/>
      </w:pPr>
      <w:rPr>
        <w:rFonts w:ascii="黑体" w:hAnsi="Times New Roman" w:eastAsia="黑体"/>
        <w:b w:val="0"/>
        <w:i w:val="0"/>
        <w:sz w:val="21"/>
      </w:rPr>
    </w:lvl>
    <w:lvl w:ilvl="1" w:tentative="0">
      <w:start w:val="1"/>
      <w:numFmt w:val="decimal"/>
      <w:lvlText w:val="%1.%2"/>
      <w:lvlJc w:val="left"/>
      <w:pPr>
        <w:widowControl/>
        <w:ind w:left="992" w:hanging="567"/>
        <w:textAlignment w:val="baseline"/>
      </w:pPr>
    </w:lvl>
    <w:lvl w:ilvl="2" w:tentative="0">
      <w:start w:val="1"/>
      <w:numFmt w:val="decimal"/>
      <w:lvlText w:val="%1.%2.%3"/>
      <w:lvlJc w:val="left"/>
      <w:pPr>
        <w:widowControl/>
        <w:ind w:left="1418" w:hanging="567"/>
        <w:textAlignment w:val="baseline"/>
      </w:pPr>
    </w:lvl>
    <w:lvl w:ilvl="3" w:tentative="0">
      <w:start w:val="1"/>
      <w:numFmt w:val="decimal"/>
      <w:lvlText w:val="%1.%2.%3.%4"/>
      <w:lvlJc w:val="left"/>
      <w:pPr>
        <w:widowControl/>
        <w:ind w:left="1984" w:hanging="708"/>
        <w:textAlignment w:val="baseline"/>
      </w:pPr>
    </w:lvl>
    <w:lvl w:ilvl="4" w:tentative="0">
      <w:start w:val="1"/>
      <w:numFmt w:val="decimal"/>
      <w:lvlText w:val="%1.%2.%3.%4.%5"/>
      <w:lvlJc w:val="left"/>
      <w:pPr>
        <w:widowControl/>
        <w:ind w:left="2551" w:hanging="850"/>
        <w:textAlignment w:val="baseline"/>
      </w:pPr>
    </w:lvl>
    <w:lvl w:ilvl="5" w:tentative="0">
      <w:start w:val="1"/>
      <w:numFmt w:val="decimal"/>
      <w:lvlText w:val="%1.%2.%3.%4.%5.%6"/>
      <w:lvlJc w:val="left"/>
      <w:pPr>
        <w:widowControl/>
        <w:ind w:left="3260" w:hanging="1134"/>
        <w:textAlignment w:val="baseline"/>
      </w:pPr>
    </w:lvl>
    <w:lvl w:ilvl="6" w:tentative="0">
      <w:start w:val="1"/>
      <w:numFmt w:val="decimal"/>
      <w:lvlText w:val="%1.%2.%3.%4.%5.%6.%7"/>
      <w:lvlJc w:val="left"/>
      <w:pPr>
        <w:widowControl/>
        <w:ind w:left="3827" w:hanging="1276"/>
        <w:textAlignment w:val="baseline"/>
      </w:pPr>
    </w:lvl>
    <w:lvl w:ilvl="7" w:tentative="0">
      <w:start w:val="1"/>
      <w:numFmt w:val="decimal"/>
      <w:lvlText w:val="%1.%2.%3.%4.%5.%6.%7.%8"/>
      <w:lvlJc w:val="left"/>
      <w:pPr>
        <w:widowControl/>
        <w:ind w:left="4394" w:hanging="1418"/>
        <w:textAlignment w:val="baseline"/>
      </w:pPr>
    </w:lvl>
    <w:lvl w:ilvl="8" w:tentative="0">
      <w:start w:val="1"/>
      <w:numFmt w:val="decimal"/>
      <w:lvlText w:val="%1.%2.%3.%4.%5.%6.%7.%8.%9"/>
      <w:lvlJc w:val="left"/>
      <w:pPr>
        <w:widowControl/>
        <w:ind w:left="5102" w:hanging="1700"/>
        <w:textAlignment w:val="baseline"/>
      </w:pPr>
    </w:lvl>
  </w:abstractNum>
  <w:abstractNum w:abstractNumId="4">
    <w:nsid w:val="6CEA2025"/>
    <w:multiLevelType w:val="multilevel"/>
    <w:tmpl w:val="6CEA2025"/>
    <w:lvl w:ilvl="0" w:tentative="0">
      <w:start w:val="1"/>
      <w:numFmt w:val="decimal"/>
      <w:pStyle w:val="29"/>
      <w:suff w:val="nothing"/>
      <w:lvlText w:val="%1"/>
      <w:lvlJc w:val="left"/>
      <w:pPr>
        <w:widowControl/>
        <w:ind w:left="0" w:firstLine="0"/>
        <w:textAlignment w:val="baseline"/>
      </w:pPr>
      <w:rPr>
        <w:rFonts w:ascii="Times New Roman" w:hAnsi="Times New Roman"/>
        <w:b/>
        <w:i w:val="0"/>
        <w:sz w:val="21"/>
      </w:rPr>
    </w:lvl>
    <w:lvl w:ilvl="1" w:tentative="0">
      <w:start w:val="1"/>
      <w:numFmt w:val="decimal"/>
      <w:pStyle w:val="26"/>
      <w:suff w:val="nothing"/>
      <w:lvlText w:val="%1%2　"/>
      <w:lvlJc w:val="left"/>
      <w:pPr>
        <w:widowControl/>
        <w:ind w:left="0" w:firstLine="0"/>
        <w:textAlignment w:val="baseline"/>
      </w:pPr>
      <w:rPr>
        <w:rFonts w:ascii="黑体" w:hAnsi="Times New Roman" w:eastAsia="黑体"/>
        <w:b w:val="0"/>
        <w:i w:val="0"/>
        <w:sz w:val="21"/>
      </w:rPr>
    </w:lvl>
    <w:lvl w:ilvl="2" w:tentative="0">
      <w:start w:val="1"/>
      <w:numFmt w:val="decimal"/>
      <w:pStyle w:val="27"/>
      <w:suff w:val="nothing"/>
      <w:lvlText w:val="%1%2.%3　"/>
      <w:lvlJc w:val="left"/>
      <w:pPr>
        <w:widowControl/>
        <w:ind w:left="0" w:firstLine="0"/>
        <w:textAlignment w:val="baseline"/>
      </w:pPr>
      <w:rPr>
        <w:rFonts w:ascii="黑体" w:hAnsi="Times New Roman" w:eastAsia="黑体"/>
        <w:b w:val="0"/>
        <w:i w:val="0"/>
        <w:sz w:val="21"/>
      </w:rPr>
    </w:lvl>
    <w:lvl w:ilvl="3" w:tentative="0">
      <w:start w:val="1"/>
      <w:numFmt w:val="decimal"/>
      <w:pStyle w:val="28"/>
      <w:suff w:val="nothing"/>
      <w:lvlText w:val="%1%2.%3.%4　"/>
      <w:lvlJc w:val="left"/>
      <w:pPr>
        <w:widowControl/>
        <w:ind w:left="0" w:firstLine="0"/>
        <w:textAlignment w:val="baseline"/>
      </w:pPr>
      <w:rPr>
        <w:rFonts w:ascii="黑体" w:hAnsi="Times New Roman" w:eastAsia="黑体"/>
        <w:b w:val="0"/>
        <w:i w:val="0"/>
        <w:sz w:val="21"/>
      </w:rPr>
    </w:lvl>
    <w:lvl w:ilvl="4" w:tentative="0">
      <w:start w:val="1"/>
      <w:numFmt w:val="decimal"/>
      <w:pStyle w:val="30"/>
      <w:suff w:val="nothing"/>
      <w:lvlText w:val="%1%2.%3.%4.%5　"/>
      <w:lvlJc w:val="left"/>
      <w:pPr>
        <w:widowControl/>
        <w:ind w:left="0" w:firstLine="0"/>
        <w:textAlignment w:val="baseline"/>
      </w:pPr>
      <w:rPr>
        <w:rFonts w:ascii="黑体" w:hAnsi="Times New Roman" w:eastAsia="黑体"/>
        <w:b w:val="0"/>
        <w:i w:val="0"/>
        <w:sz w:val="21"/>
      </w:rPr>
    </w:lvl>
    <w:lvl w:ilvl="5" w:tentative="0">
      <w:start w:val="1"/>
      <w:numFmt w:val="decimal"/>
      <w:pStyle w:val="31"/>
      <w:suff w:val="nothing"/>
      <w:lvlText w:val="%1%2.%3.%4.%5.%6　"/>
      <w:lvlJc w:val="left"/>
      <w:pPr>
        <w:widowControl/>
        <w:ind w:left="0" w:firstLine="0"/>
        <w:textAlignment w:val="baseline"/>
      </w:pPr>
      <w:rPr>
        <w:rFonts w:ascii="黑体" w:hAnsi="Times New Roman" w:eastAsia="黑体"/>
        <w:b w:val="0"/>
        <w:i w:val="0"/>
        <w:sz w:val="21"/>
      </w:rPr>
    </w:lvl>
    <w:lvl w:ilvl="6" w:tentative="0">
      <w:start w:val="1"/>
      <w:numFmt w:val="decimal"/>
      <w:pStyle w:val="32"/>
      <w:suff w:val="nothing"/>
      <w:lvlText w:val="%1%2.%3.%4.%5.%6.%7　"/>
      <w:lvlJc w:val="left"/>
      <w:pPr>
        <w:widowControl/>
        <w:ind w:left="0" w:firstLine="0"/>
        <w:textAlignment w:val="baseline"/>
      </w:pPr>
      <w:rPr>
        <w:rFonts w:ascii="黑体" w:hAnsi="Times New Roman" w:eastAsia="黑体"/>
        <w:b w:val="0"/>
        <w:i w:val="0"/>
        <w:sz w:val="21"/>
      </w:rPr>
    </w:lvl>
    <w:lvl w:ilvl="7" w:tentative="0">
      <w:start w:val="1"/>
      <w:numFmt w:val="decimal"/>
      <w:lvlText w:val="%1.%2.%3.%4.%5.%6.%7.%8"/>
      <w:lvlJc w:val="left"/>
      <w:pPr>
        <w:widowControl/>
        <w:ind w:left="3969" w:hanging="1418"/>
        <w:textAlignment w:val="baseline"/>
      </w:pPr>
    </w:lvl>
    <w:lvl w:ilvl="8" w:tentative="0">
      <w:start w:val="1"/>
      <w:numFmt w:val="decimal"/>
      <w:lvlText w:val="%1.%2.%3.%4.%5.%6.%7.%8.%9"/>
      <w:lvlJc w:val="left"/>
      <w:pPr>
        <w:widowControl/>
        <w:ind w:left="4677" w:hanging="1700"/>
        <w:textAlignment w:val="baseline"/>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ZmUyZmFhYjZkOWI1ZDFjMzA0OGRiYzUxMTE1YTA5MzcifQ=="/>
  </w:docVars>
  <w:rsids>
    <w:rsidRoot w:val="00E36FC3"/>
    <w:rsid w:val="00017927"/>
    <w:rsid w:val="0004404B"/>
    <w:rsid w:val="000452CD"/>
    <w:rsid w:val="000C19A5"/>
    <w:rsid w:val="000D09E9"/>
    <w:rsid w:val="000E56CA"/>
    <w:rsid w:val="000F2BE6"/>
    <w:rsid w:val="001001AE"/>
    <w:rsid w:val="0010615C"/>
    <w:rsid w:val="001118AB"/>
    <w:rsid w:val="00121810"/>
    <w:rsid w:val="00132A4A"/>
    <w:rsid w:val="00156D10"/>
    <w:rsid w:val="00170D0E"/>
    <w:rsid w:val="001848D1"/>
    <w:rsid w:val="001B21B6"/>
    <w:rsid w:val="001C5119"/>
    <w:rsid w:val="001C5215"/>
    <w:rsid w:val="002165B5"/>
    <w:rsid w:val="00221F76"/>
    <w:rsid w:val="00233E8D"/>
    <w:rsid w:val="00252105"/>
    <w:rsid w:val="002A2297"/>
    <w:rsid w:val="002B73B1"/>
    <w:rsid w:val="002D4108"/>
    <w:rsid w:val="00312543"/>
    <w:rsid w:val="003215DB"/>
    <w:rsid w:val="00342B90"/>
    <w:rsid w:val="0035415F"/>
    <w:rsid w:val="003670FC"/>
    <w:rsid w:val="00370B9D"/>
    <w:rsid w:val="003811BC"/>
    <w:rsid w:val="003900CB"/>
    <w:rsid w:val="003A17C7"/>
    <w:rsid w:val="003C5173"/>
    <w:rsid w:val="00404DAF"/>
    <w:rsid w:val="00427FDE"/>
    <w:rsid w:val="0044068A"/>
    <w:rsid w:val="00476BBC"/>
    <w:rsid w:val="00485CF1"/>
    <w:rsid w:val="004B297A"/>
    <w:rsid w:val="004C6DBD"/>
    <w:rsid w:val="004D5230"/>
    <w:rsid w:val="004F0C1F"/>
    <w:rsid w:val="004F3BFF"/>
    <w:rsid w:val="005240F4"/>
    <w:rsid w:val="005531B5"/>
    <w:rsid w:val="0056435F"/>
    <w:rsid w:val="005A502F"/>
    <w:rsid w:val="005B0E23"/>
    <w:rsid w:val="006364B9"/>
    <w:rsid w:val="00644310"/>
    <w:rsid w:val="00661AE2"/>
    <w:rsid w:val="00677D31"/>
    <w:rsid w:val="006C1CBC"/>
    <w:rsid w:val="006D4ABF"/>
    <w:rsid w:val="006E26C7"/>
    <w:rsid w:val="0070128D"/>
    <w:rsid w:val="00740DAF"/>
    <w:rsid w:val="007627A6"/>
    <w:rsid w:val="00777466"/>
    <w:rsid w:val="00782597"/>
    <w:rsid w:val="00783491"/>
    <w:rsid w:val="007A1293"/>
    <w:rsid w:val="007A5505"/>
    <w:rsid w:val="007B3BFA"/>
    <w:rsid w:val="007B4FAD"/>
    <w:rsid w:val="007E067C"/>
    <w:rsid w:val="007F7935"/>
    <w:rsid w:val="00822940"/>
    <w:rsid w:val="008626A2"/>
    <w:rsid w:val="00883F49"/>
    <w:rsid w:val="008A1AD4"/>
    <w:rsid w:val="008D033B"/>
    <w:rsid w:val="00965106"/>
    <w:rsid w:val="009E5C8F"/>
    <w:rsid w:val="00A03C74"/>
    <w:rsid w:val="00A5109F"/>
    <w:rsid w:val="00A52528"/>
    <w:rsid w:val="00A7257B"/>
    <w:rsid w:val="00A87282"/>
    <w:rsid w:val="00A9748F"/>
    <w:rsid w:val="00AA4692"/>
    <w:rsid w:val="00B02379"/>
    <w:rsid w:val="00B52A15"/>
    <w:rsid w:val="00B9675B"/>
    <w:rsid w:val="00BB1DA1"/>
    <w:rsid w:val="00BD56D6"/>
    <w:rsid w:val="00C512A9"/>
    <w:rsid w:val="00C833BB"/>
    <w:rsid w:val="00CD0DDF"/>
    <w:rsid w:val="00CF588C"/>
    <w:rsid w:val="00CF74DC"/>
    <w:rsid w:val="00D34C4F"/>
    <w:rsid w:val="00D5384F"/>
    <w:rsid w:val="00D82742"/>
    <w:rsid w:val="00D8513C"/>
    <w:rsid w:val="00DC6D61"/>
    <w:rsid w:val="00DE466F"/>
    <w:rsid w:val="00E07C26"/>
    <w:rsid w:val="00E15721"/>
    <w:rsid w:val="00E20B83"/>
    <w:rsid w:val="00E36FC3"/>
    <w:rsid w:val="00E748A1"/>
    <w:rsid w:val="00EA09A4"/>
    <w:rsid w:val="00EF15D3"/>
    <w:rsid w:val="00F13C38"/>
    <w:rsid w:val="00F44B73"/>
    <w:rsid w:val="00F62DCA"/>
    <w:rsid w:val="00FC2E7B"/>
    <w:rsid w:val="00FD2A88"/>
    <w:rsid w:val="00FD5460"/>
    <w:rsid w:val="00FE028C"/>
    <w:rsid w:val="00FE0CCD"/>
    <w:rsid w:val="056E44C0"/>
    <w:rsid w:val="0D060D91"/>
    <w:rsid w:val="11AE000A"/>
    <w:rsid w:val="19942687"/>
    <w:rsid w:val="231A5286"/>
    <w:rsid w:val="234764C4"/>
    <w:rsid w:val="26D6153F"/>
    <w:rsid w:val="2E81758A"/>
    <w:rsid w:val="3C840E78"/>
    <w:rsid w:val="4260200B"/>
    <w:rsid w:val="44BA0A11"/>
    <w:rsid w:val="4EE64D5F"/>
    <w:rsid w:val="5C40718C"/>
    <w:rsid w:val="64A31746"/>
    <w:rsid w:val="664663E8"/>
    <w:rsid w:val="6C577324"/>
    <w:rsid w:val="6E152CDB"/>
    <w:rsid w:val="6E637467"/>
    <w:rsid w:val="70F42518"/>
    <w:rsid w:val="772E0B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line="413" w:lineRule="auto"/>
      <w:outlineLvl w:val="2"/>
    </w:pPr>
    <w:rPr>
      <w:b/>
      <w:sz w:val="32"/>
    </w:rPr>
  </w:style>
  <w:style w:type="paragraph" w:styleId="4">
    <w:name w:val="heading 4"/>
    <w:basedOn w:val="1"/>
    <w:next w:val="1"/>
    <w:unhideWhenUsed/>
    <w:qFormat/>
    <w:uiPriority w:val="0"/>
    <w:pPr>
      <w:keepNext/>
      <w:keepLines/>
      <w:spacing w:line="372" w:lineRule="auto"/>
      <w:outlineLvl w:val="3"/>
    </w:pPr>
    <w:rPr>
      <w:rFonts w:ascii="Arial" w:hAnsi="Arial" w:eastAsia="黑体"/>
      <w:b/>
      <w:sz w:val="28"/>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38"/>
    <w:qFormat/>
    <w:uiPriority w:val="0"/>
    <w:pPr>
      <w:jc w:val="center"/>
    </w:pPr>
    <w:rPr>
      <w:rFonts w:ascii="Cambria" w:hAnsi="Cambria" w:eastAsia="黑体"/>
      <w:sz w:val="24"/>
      <w:szCs w:val="20"/>
    </w:rPr>
  </w:style>
  <w:style w:type="paragraph" w:styleId="6">
    <w:name w:val="annotation text"/>
    <w:basedOn w:val="1"/>
    <w:qFormat/>
    <w:uiPriority w:val="0"/>
    <w:pPr>
      <w:jc w:val="left"/>
    </w:pPr>
  </w:style>
  <w:style w:type="paragraph" w:styleId="7">
    <w:name w:val="Plain Text"/>
    <w:basedOn w:val="1"/>
    <w:link w:val="53"/>
    <w:qFormat/>
    <w:uiPriority w:val="0"/>
    <w:rPr>
      <w:rFonts w:ascii="宋体" w:hAnsi="Courier New"/>
      <w:szCs w:val="20"/>
    </w:rPr>
  </w:style>
  <w:style w:type="paragraph" w:styleId="8">
    <w:name w:val="Date"/>
    <w:basedOn w:val="1"/>
    <w:next w:val="1"/>
    <w:qFormat/>
    <w:uiPriority w:val="0"/>
    <w:pPr>
      <w:ind w:left="100" w:leftChars="2500"/>
    </w:pPr>
  </w:style>
  <w:style w:type="paragraph" w:styleId="9">
    <w:name w:val="footer"/>
    <w:basedOn w:val="1"/>
    <w:qFormat/>
    <w:uiPriority w:val="0"/>
    <w:pPr>
      <w:snapToGrid w:val="0"/>
      <w:jc w:val="left"/>
    </w:pPr>
    <w:rPr>
      <w:sz w:val="18"/>
      <w:szCs w:val="18"/>
    </w:rPr>
  </w:style>
  <w:style w:type="paragraph" w:styleId="10">
    <w:name w:val="header"/>
    <w:basedOn w:val="1"/>
    <w:link w:val="52"/>
    <w:qFormat/>
    <w:uiPriority w:val="99"/>
    <w:pPr>
      <w:pBdr>
        <w:bottom w:val="single" w:color="000000" w:sz="6" w:space="0"/>
      </w:pBdr>
      <w:snapToGrid w:val="0"/>
      <w:jc w:val="center"/>
    </w:pPr>
    <w:rPr>
      <w:sz w:val="18"/>
      <w:szCs w:val="18"/>
    </w:rPr>
  </w:style>
  <w:style w:type="paragraph" w:styleId="11">
    <w:name w:val="Body Text Indent 3"/>
    <w:basedOn w:val="1"/>
    <w:qFormat/>
    <w:uiPriority w:val="0"/>
    <w:pPr>
      <w:spacing w:after="120"/>
      <w:ind w:left="420" w:leftChars="200"/>
    </w:pPr>
    <w:rPr>
      <w:sz w:val="16"/>
      <w:szCs w:val="16"/>
    </w:rPr>
  </w:style>
  <w:style w:type="paragraph" w:customStyle="1" w:styleId="14">
    <w:name w:val="Heading1"/>
    <w:basedOn w:val="1"/>
    <w:next w:val="1"/>
    <w:qFormat/>
    <w:uiPriority w:val="0"/>
    <w:pPr>
      <w:keepNext/>
      <w:keepLines/>
      <w:spacing w:before="340" w:after="330" w:line="578" w:lineRule="auto"/>
    </w:pPr>
    <w:rPr>
      <w:rFonts w:cs="Times New Roman"/>
      <w:b/>
      <w:bCs/>
      <w:kern w:val="44"/>
      <w:sz w:val="44"/>
      <w:szCs w:val="44"/>
    </w:rPr>
  </w:style>
  <w:style w:type="paragraph" w:customStyle="1" w:styleId="15">
    <w:name w:val="Heading2"/>
    <w:basedOn w:val="1"/>
    <w:next w:val="1"/>
    <w:link w:val="42"/>
    <w:semiHidden/>
    <w:qFormat/>
    <w:uiPriority w:val="0"/>
    <w:pPr>
      <w:keepNext/>
      <w:keepLines/>
      <w:spacing w:before="260" w:after="260" w:line="416" w:lineRule="auto"/>
    </w:pPr>
    <w:rPr>
      <w:rFonts w:ascii="Cambria" w:hAnsi="Cambria" w:cs="Times New Roman"/>
      <w:b/>
      <w:bCs/>
      <w:sz w:val="32"/>
      <w:szCs w:val="32"/>
    </w:rPr>
  </w:style>
  <w:style w:type="character" w:customStyle="1" w:styleId="16">
    <w:name w:val="NormalCharacter"/>
    <w:semiHidden/>
    <w:qFormat/>
    <w:uiPriority w:val="0"/>
  </w:style>
  <w:style w:type="table" w:customStyle="1" w:styleId="17">
    <w:name w:val="TableNormal"/>
    <w:semiHidden/>
    <w:qFormat/>
    <w:uiPriority w:val="0"/>
    <w:tblPr>
      <w:tblCellMar>
        <w:top w:w="0" w:type="dxa"/>
        <w:left w:w="0" w:type="dxa"/>
        <w:bottom w:w="0" w:type="dxa"/>
        <w:right w:w="0" w:type="dxa"/>
      </w:tblCellMar>
    </w:tblPr>
  </w:style>
  <w:style w:type="character" w:customStyle="1" w:styleId="18">
    <w:name w:val="PageNumber"/>
    <w:basedOn w:val="16"/>
    <w:qFormat/>
    <w:uiPriority w:val="0"/>
  </w:style>
  <w:style w:type="paragraph" w:customStyle="1" w:styleId="19">
    <w:name w:val="Acetate"/>
    <w:basedOn w:val="1"/>
    <w:semiHidden/>
    <w:qFormat/>
    <w:uiPriority w:val="0"/>
    <w:rPr>
      <w:sz w:val="18"/>
      <w:szCs w:val="18"/>
    </w:rPr>
  </w:style>
  <w:style w:type="paragraph" w:customStyle="1" w:styleId="20">
    <w:name w:val="BodyTextIndent"/>
    <w:basedOn w:val="1"/>
    <w:qFormat/>
    <w:uiPriority w:val="0"/>
    <w:pPr>
      <w:spacing w:line="360" w:lineRule="auto"/>
      <w:ind w:left="360" w:firstLine="540" w:firstLineChars="225"/>
    </w:pPr>
    <w:rPr>
      <w:sz w:val="24"/>
    </w:rPr>
  </w:style>
  <w:style w:type="paragraph" w:customStyle="1" w:styleId="21">
    <w:name w:val="BodyTextIndent2"/>
    <w:basedOn w:val="1"/>
    <w:qFormat/>
    <w:uiPriority w:val="0"/>
    <w:pPr>
      <w:spacing w:line="360" w:lineRule="auto"/>
      <w:ind w:firstLine="480" w:firstLineChars="200"/>
    </w:pPr>
    <w:rPr>
      <w:sz w:val="24"/>
    </w:rPr>
  </w:style>
  <w:style w:type="paragraph" w:customStyle="1" w:styleId="22">
    <w:name w:val="UserStyle_0"/>
    <w:link w:val="44"/>
    <w:qFormat/>
    <w:uiPriority w:val="0"/>
    <w:pPr>
      <w:spacing w:line="300" w:lineRule="exact"/>
      <w:ind w:left="370" w:leftChars="170" w:right="-50" w:rightChars="-50" w:hanging="200" w:hangingChars="200"/>
      <w:jc w:val="both"/>
      <w:textAlignment w:val="baseline"/>
    </w:pPr>
    <w:rPr>
      <w:rFonts w:ascii="宋体" w:hAnsi="Times New Roman" w:eastAsia="宋体" w:cstheme="minorBidi"/>
      <w:sz w:val="21"/>
      <w:lang w:val="en-US" w:eastAsia="zh-CN" w:bidi="ar-SA"/>
    </w:rPr>
  </w:style>
  <w:style w:type="paragraph" w:customStyle="1" w:styleId="23">
    <w:name w:val="UserStyle_2"/>
    <w:link w:val="43"/>
    <w:qFormat/>
    <w:uiPriority w:val="0"/>
    <w:pPr>
      <w:snapToGrid w:val="0"/>
      <w:spacing w:after="93" w:line="360" w:lineRule="auto"/>
      <w:ind w:right="-105" w:rightChars="-50" w:firstLine="3240" w:firstLineChars="1350"/>
      <w:jc w:val="both"/>
      <w:textAlignment w:val="baseline"/>
    </w:pPr>
    <w:rPr>
      <w:rFonts w:ascii="宋体" w:hAnsi="宋体" w:eastAsia="宋体" w:cstheme="minorBidi"/>
      <w:kern w:val="2"/>
      <w:sz w:val="24"/>
      <w:szCs w:val="24"/>
      <w:lang w:val="en-US" w:eastAsia="zh-CN" w:bidi="ar-SA"/>
    </w:rPr>
  </w:style>
  <w:style w:type="table" w:customStyle="1" w:styleId="24">
    <w:name w:val="TableGrid"/>
    <w:basedOn w:val="17"/>
    <w:qFormat/>
    <w:uiPriority w:val="0"/>
    <w:tblPr>
      <w:tblCellMar>
        <w:top w:w="0" w:type="dxa"/>
        <w:left w:w="0" w:type="dxa"/>
        <w:bottom w:w="0" w:type="dxa"/>
        <w:right w:w="0" w:type="dxa"/>
      </w:tblCellMar>
    </w:tblPr>
  </w:style>
  <w:style w:type="paragraph" w:customStyle="1" w:styleId="25">
    <w:name w:val="UserStyle_4"/>
    <w:next w:val="23"/>
    <w:qFormat/>
    <w:uiPriority w:val="0"/>
    <w:pPr>
      <w:numPr>
        <w:ilvl w:val="0"/>
        <w:numId w:val="1"/>
      </w:numPr>
      <w:tabs>
        <w:tab w:val="left" w:pos="0"/>
      </w:tabs>
      <w:jc w:val="center"/>
    </w:pPr>
    <w:rPr>
      <w:rFonts w:ascii="黑体" w:hAnsi="Times New Roman" w:eastAsia="黑体" w:cstheme="minorBidi"/>
      <w:sz w:val="21"/>
      <w:lang w:val="en-US" w:eastAsia="zh-CN" w:bidi="ar-SA"/>
    </w:rPr>
  </w:style>
  <w:style w:type="paragraph" w:customStyle="1" w:styleId="26">
    <w:name w:val="UserStyle_5"/>
    <w:next w:val="23"/>
    <w:qFormat/>
    <w:uiPriority w:val="0"/>
    <w:pPr>
      <w:numPr>
        <w:ilvl w:val="1"/>
        <w:numId w:val="2"/>
      </w:numPr>
      <w:ind w:left="-50" w:leftChars="-50" w:right="-50" w:rightChars="-50"/>
      <w:jc w:val="both"/>
    </w:pPr>
    <w:rPr>
      <w:rFonts w:ascii="黑体" w:hAnsi="Times New Roman" w:eastAsia="黑体" w:cstheme="minorBidi"/>
      <w:spacing w:val="2"/>
      <w:sz w:val="21"/>
      <w:lang w:val="en-US" w:eastAsia="zh-CN" w:bidi="ar-SA"/>
    </w:rPr>
  </w:style>
  <w:style w:type="paragraph" w:customStyle="1" w:styleId="27">
    <w:name w:val="UserStyle_6"/>
    <w:basedOn w:val="26"/>
    <w:next w:val="23"/>
    <w:qFormat/>
    <w:uiPriority w:val="0"/>
    <w:pPr>
      <w:numPr>
        <w:ilvl w:val="2"/>
      </w:numPr>
      <w:ind w:left="-50"/>
    </w:pPr>
  </w:style>
  <w:style w:type="paragraph" w:customStyle="1" w:styleId="28">
    <w:name w:val="UserStyle_7"/>
    <w:basedOn w:val="27"/>
    <w:next w:val="23"/>
    <w:qFormat/>
    <w:uiPriority w:val="0"/>
    <w:pPr>
      <w:numPr>
        <w:ilvl w:val="3"/>
      </w:numPr>
      <w:ind w:left="-50"/>
    </w:pPr>
  </w:style>
  <w:style w:type="paragraph" w:customStyle="1" w:styleId="29">
    <w:name w:val="UserStyle_8"/>
    <w:next w:val="1"/>
    <w:qFormat/>
    <w:uiPriority w:val="0"/>
    <w:pPr>
      <w:numPr>
        <w:ilvl w:val="0"/>
        <w:numId w:val="2"/>
      </w:numPr>
      <w:shd w:val="clear" w:color="auto" w:fill="FFFFFF"/>
      <w:spacing w:before="540" w:after="600"/>
      <w:jc w:val="center"/>
    </w:pPr>
    <w:rPr>
      <w:rFonts w:ascii="黑体" w:hAnsi="Times New Roman" w:eastAsia="黑体" w:cstheme="minorBidi"/>
      <w:sz w:val="32"/>
      <w:lang w:val="en-US" w:eastAsia="zh-CN" w:bidi="ar-SA"/>
    </w:rPr>
  </w:style>
  <w:style w:type="paragraph" w:customStyle="1" w:styleId="30">
    <w:name w:val="UserStyle_9"/>
    <w:basedOn w:val="28"/>
    <w:next w:val="23"/>
    <w:qFormat/>
    <w:uiPriority w:val="0"/>
    <w:pPr>
      <w:numPr>
        <w:ilvl w:val="4"/>
      </w:numPr>
      <w:ind w:left="-50"/>
    </w:pPr>
  </w:style>
  <w:style w:type="paragraph" w:customStyle="1" w:styleId="31">
    <w:name w:val="UserStyle_10"/>
    <w:basedOn w:val="30"/>
    <w:next w:val="23"/>
    <w:qFormat/>
    <w:uiPriority w:val="0"/>
    <w:pPr>
      <w:numPr>
        <w:ilvl w:val="5"/>
      </w:numPr>
      <w:ind w:left="-50"/>
    </w:pPr>
  </w:style>
  <w:style w:type="paragraph" w:customStyle="1" w:styleId="32">
    <w:name w:val="UserStyle_11"/>
    <w:basedOn w:val="31"/>
    <w:next w:val="23"/>
    <w:qFormat/>
    <w:uiPriority w:val="0"/>
    <w:pPr>
      <w:numPr>
        <w:ilvl w:val="6"/>
      </w:numPr>
      <w:ind w:left="-50"/>
    </w:pPr>
  </w:style>
  <w:style w:type="paragraph" w:customStyle="1" w:styleId="33">
    <w:name w:val="UserStyle_12"/>
    <w:next w:val="23"/>
    <w:qFormat/>
    <w:uiPriority w:val="0"/>
    <w:pPr>
      <w:numPr>
        <w:ilvl w:val="0"/>
        <w:numId w:val="3"/>
      </w:numPr>
      <w:tabs>
        <w:tab w:val="left" w:pos="525"/>
      </w:tabs>
      <w:spacing w:line="300" w:lineRule="exact"/>
      <w:ind w:left="649" w:leftChars="150" w:right="-50" w:rightChars="-50" w:hanging="499"/>
      <w:jc w:val="both"/>
    </w:pPr>
    <w:rPr>
      <w:rFonts w:ascii="宋体" w:hAnsi="Times New Roman" w:eastAsia="宋体" w:cstheme="minorBidi"/>
      <w:sz w:val="18"/>
      <w:lang w:val="en-US" w:eastAsia="zh-CN" w:bidi="ar-SA"/>
    </w:rPr>
  </w:style>
  <w:style w:type="paragraph" w:customStyle="1" w:styleId="34">
    <w:name w:val="UserStyle_13"/>
    <w:basedOn w:val="1"/>
    <w:qFormat/>
    <w:uiPriority w:val="0"/>
    <w:pPr>
      <w:numPr>
        <w:ilvl w:val="0"/>
        <w:numId w:val="4"/>
      </w:numPr>
      <w:snapToGrid w:val="0"/>
      <w:spacing w:line="300" w:lineRule="exact"/>
      <w:ind w:left="550" w:leftChars="350" w:right="-50" w:rightChars="-50" w:hanging="200" w:hangingChars="200"/>
      <w:jc w:val="left"/>
    </w:pPr>
    <w:rPr>
      <w:kern w:val="0"/>
      <w:szCs w:val="20"/>
    </w:rPr>
  </w:style>
  <w:style w:type="table" w:customStyle="1" w:styleId="35">
    <w:name w:val="UserStyle_14"/>
    <w:basedOn w:val="17"/>
    <w:qFormat/>
    <w:uiPriority w:val="0"/>
    <w:tblPr>
      <w:tblCellMar>
        <w:top w:w="0" w:type="dxa"/>
        <w:left w:w="0" w:type="dxa"/>
        <w:bottom w:w="0" w:type="dxa"/>
        <w:right w:w="0" w:type="dxa"/>
      </w:tblCellMar>
    </w:tblPr>
  </w:style>
  <w:style w:type="character" w:customStyle="1" w:styleId="36">
    <w:name w:val="AnnotationReference"/>
    <w:basedOn w:val="16"/>
    <w:semiHidden/>
    <w:qFormat/>
    <w:uiPriority w:val="0"/>
    <w:rPr>
      <w:sz w:val="21"/>
      <w:szCs w:val="21"/>
    </w:rPr>
  </w:style>
  <w:style w:type="paragraph" w:customStyle="1" w:styleId="37">
    <w:name w:val="UserStyle_15"/>
    <w:next w:val="1"/>
    <w:qFormat/>
    <w:uiPriority w:val="0"/>
    <w:pPr>
      <w:jc w:val="center"/>
      <w:textAlignment w:val="baseline"/>
    </w:pPr>
    <w:rPr>
      <w:rFonts w:ascii="黑体" w:hAnsi="Times New Roman" w:eastAsia="黑体" w:cstheme="minorBidi"/>
      <w:sz w:val="21"/>
      <w:lang w:val="en-US" w:eastAsia="zh-CN" w:bidi="ar-SA"/>
    </w:rPr>
  </w:style>
  <w:style w:type="character" w:customStyle="1" w:styleId="38">
    <w:name w:val="题注 Char"/>
    <w:basedOn w:val="16"/>
    <w:link w:val="5"/>
    <w:qFormat/>
    <w:uiPriority w:val="0"/>
    <w:rPr>
      <w:rFonts w:ascii="Cambria" w:hAnsi="Cambria" w:eastAsia="黑体"/>
      <w:kern w:val="2"/>
      <w:sz w:val="24"/>
    </w:rPr>
  </w:style>
  <w:style w:type="paragraph" w:customStyle="1" w:styleId="39">
    <w:name w:val="UserStyle_17"/>
    <w:basedOn w:val="1"/>
    <w:link w:val="40"/>
    <w:qFormat/>
    <w:uiPriority w:val="0"/>
    <w:pPr>
      <w:spacing w:line="360" w:lineRule="auto"/>
      <w:ind w:firstLine="200" w:firstLineChars="200"/>
    </w:pPr>
    <w:rPr>
      <w:sz w:val="24"/>
    </w:rPr>
  </w:style>
  <w:style w:type="character" w:customStyle="1" w:styleId="40">
    <w:name w:val="UserStyle_18"/>
    <w:basedOn w:val="16"/>
    <w:link w:val="39"/>
    <w:qFormat/>
    <w:uiPriority w:val="0"/>
    <w:rPr>
      <w:rFonts w:eastAsia="宋体"/>
      <w:kern w:val="2"/>
      <w:sz w:val="24"/>
      <w:szCs w:val="24"/>
      <w:lang w:val="en-US" w:eastAsia="zh-CN" w:bidi="ar-SA"/>
    </w:rPr>
  </w:style>
  <w:style w:type="paragraph" w:customStyle="1" w:styleId="41">
    <w:name w:val="AnnotationText"/>
    <w:basedOn w:val="1"/>
    <w:semiHidden/>
    <w:qFormat/>
    <w:uiPriority w:val="0"/>
    <w:pPr>
      <w:jc w:val="left"/>
    </w:pPr>
  </w:style>
  <w:style w:type="character" w:customStyle="1" w:styleId="42">
    <w:name w:val="UserStyle_19"/>
    <w:basedOn w:val="16"/>
    <w:link w:val="15"/>
    <w:semiHidden/>
    <w:qFormat/>
    <w:uiPriority w:val="0"/>
    <w:rPr>
      <w:rFonts w:ascii="Cambria" w:hAnsi="Cambria" w:eastAsia="宋体" w:cs="Times New Roman"/>
      <w:b/>
      <w:bCs/>
      <w:kern w:val="2"/>
      <w:sz w:val="32"/>
      <w:szCs w:val="32"/>
    </w:rPr>
  </w:style>
  <w:style w:type="character" w:customStyle="1" w:styleId="43">
    <w:name w:val="UserStyle_3"/>
    <w:link w:val="23"/>
    <w:qFormat/>
    <w:locked/>
    <w:uiPriority w:val="0"/>
    <w:rPr>
      <w:rFonts w:ascii="宋体" w:hAnsi="宋体"/>
      <w:kern w:val="2"/>
      <w:sz w:val="24"/>
      <w:szCs w:val="24"/>
      <w:lang w:bidi="ar-SA"/>
    </w:rPr>
  </w:style>
  <w:style w:type="character" w:customStyle="1" w:styleId="44">
    <w:name w:val="UserStyle_1"/>
    <w:basedOn w:val="16"/>
    <w:link w:val="22"/>
    <w:qFormat/>
    <w:uiPriority w:val="0"/>
    <w:rPr>
      <w:rFonts w:ascii="宋体"/>
      <w:sz w:val="21"/>
      <w:lang w:val="en-US" w:eastAsia="zh-CN" w:bidi="ar-SA"/>
    </w:rPr>
  </w:style>
  <w:style w:type="paragraph" w:customStyle="1" w:styleId="45">
    <w:name w:val="179"/>
    <w:basedOn w:val="1"/>
    <w:qFormat/>
    <w:uiPriority w:val="0"/>
    <w:pPr>
      <w:ind w:firstLine="420" w:firstLineChars="200"/>
    </w:pPr>
  </w:style>
  <w:style w:type="character" w:customStyle="1" w:styleId="46">
    <w:name w:val="UserStyle_20"/>
    <w:qFormat/>
    <w:uiPriority w:val="0"/>
    <w:rPr>
      <w:rFonts w:ascii="宋体" w:hAnsi="宋体" w:eastAsia="宋体" w:cs="Times New Roman"/>
      <w:bCs/>
      <w:sz w:val="24"/>
      <w:szCs w:val="24"/>
      <w:lang w:val="en-US" w:eastAsia="zh-CN" w:bidi="ar-SA"/>
    </w:rPr>
  </w:style>
  <w:style w:type="paragraph" w:customStyle="1" w:styleId="47">
    <w:name w:val="PlainText"/>
    <w:basedOn w:val="1"/>
    <w:link w:val="48"/>
    <w:qFormat/>
    <w:uiPriority w:val="0"/>
    <w:rPr>
      <w:rFonts w:ascii="宋体" w:hAnsi="Courier New"/>
      <w:szCs w:val="20"/>
    </w:rPr>
  </w:style>
  <w:style w:type="character" w:customStyle="1" w:styleId="48">
    <w:name w:val="UserStyle_21"/>
    <w:basedOn w:val="16"/>
    <w:link w:val="47"/>
    <w:qFormat/>
    <w:uiPriority w:val="0"/>
    <w:rPr>
      <w:rFonts w:ascii="宋体" w:hAnsi="Courier New"/>
      <w:kern w:val="2"/>
      <w:sz w:val="21"/>
    </w:rPr>
  </w:style>
  <w:style w:type="character" w:customStyle="1" w:styleId="49">
    <w:name w:val="UserStyle_22"/>
    <w:basedOn w:val="16"/>
    <w:qFormat/>
    <w:uiPriority w:val="0"/>
    <w:rPr>
      <w:rFonts w:ascii="宋体" w:hAnsi="宋体" w:eastAsia="宋体"/>
      <w:color w:val="000000"/>
      <w:sz w:val="44"/>
      <w:szCs w:val="44"/>
    </w:rPr>
  </w:style>
  <w:style w:type="character" w:customStyle="1" w:styleId="50">
    <w:name w:val="UserStyle_23"/>
    <w:basedOn w:val="16"/>
    <w:qFormat/>
    <w:uiPriority w:val="0"/>
    <w:rPr>
      <w:rFonts w:ascii="TimesNewRomanPSMT" w:hAnsi="TimesNewRomanPSMT"/>
      <w:color w:val="000000"/>
      <w:sz w:val="22"/>
      <w:szCs w:val="22"/>
    </w:rPr>
  </w:style>
  <w:style w:type="character" w:customStyle="1" w:styleId="51">
    <w:name w:val="正文文本缩进 Char Char"/>
    <w:qFormat/>
    <w:uiPriority w:val="0"/>
    <w:rPr>
      <w:rFonts w:ascii="Arial" w:hAnsi="Arial" w:eastAsia="宋体"/>
      <w:w w:val="98"/>
      <w:sz w:val="24"/>
      <w:lang w:val="en-US" w:eastAsia="zh-CN" w:bidi="ar-SA"/>
    </w:rPr>
  </w:style>
  <w:style w:type="character" w:customStyle="1" w:styleId="52">
    <w:name w:val="页眉 Char"/>
    <w:basedOn w:val="13"/>
    <w:link w:val="10"/>
    <w:qFormat/>
    <w:uiPriority w:val="99"/>
    <w:rPr>
      <w:rFonts w:cstheme="minorBidi"/>
      <w:kern w:val="2"/>
      <w:sz w:val="18"/>
      <w:szCs w:val="18"/>
    </w:rPr>
  </w:style>
  <w:style w:type="character" w:customStyle="1" w:styleId="53">
    <w:name w:val="纯文本 Char"/>
    <w:link w:val="7"/>
    <w:qFormat/>
    <w:locked/>
    <w:uiPriority w:val="0"/>
    <w:rPr>
      <w:rFonts w:ascii="宋体" w:hAnsi="Courier New" w:cstheme="minorBidi"/>
      <w:kern w:val="2"/>
      <w:sz w:val="21"/>
    </w:rPr>
  </w:style>
  <w:style w:type="paragraph" w:styleId="54">
    <w:name w:val="List Paragraph"/>
    <w:basedOn w:val="1"/>
    <w:qFormat/>
    <w:uiPriority w:val="34"/>
    <w:pPr>
      <w:widowControl w:val="0"/>
      <w:ind w:firstLine="420" w:firstLineChars="200"/>
      <w:textAlignment w:val="auto"/>
    </w:pPr>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B807A-E3AE-42FC-9402-A78A4EAFD785}">
  <ds:schemaRefs/>
</ds:datastoreItem>
</file>

<file path=docProps/app.xml><?xml version="1.0" encoding="utf-8"?>
<Properties xmlns="http://schemas.openxmlformats.org/officeDocument/2006/extended-properties" xmlns:vt="http://schemas.openxmlformats.org/officeDocument/2006/docPropsVTypes">
  <Template>Normal</Template>
  <Pages>4</Pages>
  <Words>1829</Words>
  <Characters>1993</Characters>
  <Lines>22</Lines>
  <Paragraphs>6</Paragraphs>
  <TotalTime>15</TotalTime>
  <ScaleCrop>false</ScaleCrop>
  <LinksUpToDate>false</LinksUpToDate>
  <CharactersWithSpaces>2015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2021-02-04T06:03:00Z</dcterms:created>
  <dc:creator>juan</dc:creator>
  <cp:lastModifiedBy>马树锦</cp:lastModifiedBy>
  <dcterms:modified xsi:type="dcterms:W3CDTF">2024-08-26T04:16:16Z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6F99E39E68C9425C960DAEE7E3BEF138</vt:lpwstr>
  </property>
</Properties>
</file>