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6580B">
      <w:pPr>
        <w:pStyle w:val="45"/>
        <w:outlineLvl w:val="9"/>
      </w:pPr>
      <w:bookmarkStart w:id="0" w:name="_Toc23974742"/>
      <w:bookmarkStart w:id="1" w:name="_Toc525292963"/>
      <w:bookmarkStart w:id="2" w:name="_Toc23622227"/>
      <w:bookmarkStart w:id="3" w:name="_Toc533774753"/>
      <w:bookmarkStart w:id="4" w:name="_Toc24494079"/>
      <w:bookmarkStart w:id="5" w:name="_Toc192669908"/>
      <w:bookmarkStart w:id="6" w:name="_Toc8249"/>
      <w:bookmarkStart w:id="7" w:name="_Toc175902113"/>
      <w:r>
        <w:t>JJ</w:t>
      </w:r>
      <w:bookmarkEnd w:id="0"/>
      <w:bookmarkEnd w:id="1"/>
      <w:bookmarkEnd w:id="2"/>
      <w:bookmarkEnd w:id="3"/>
      <w:bookmarkEnd w:id="4"/>
      <w:r>
        <w:rPr>
          <w:rFonts w:hint="eastAsia"/>
        </w:rPr>
        <w:t>F</w:t>
      </w:r>
      <w:bookmarkEnd w:id="5"/>
      <w:bookmarkEnd w:id="6"/>
      <w:bookmarkEnd w:id="7"/>
    </w:p>
    <w:p w14:paraId="4D229523">
      <w:pPr>
        <w:tabs>
          <w:tab w:val="left" w:pos="9030"/>
        </w:tabs>
        <w:rPr>
          <w:b/>
          <w:sz w:val="52"/>
        </w:rPr>
      </w:pPr>
      <w:r>
        <w:rPr>
          <w:rFonts w:ascii="宋体" w:hAnsi="Garamond"/>
          <w:b/>
          <w:spacing w:val="16"/>
          <w:w w:val="110"/>
          <w:sz w:val="52"/>
          <w:szCs w:val="20"/>
        </w:rPr>
        <w:t>中华人民共和国国家计量</w:t>
      </w:r>
      <w:r>
        <w:rPr>
          <w:rFonts w:hint="eastAsia" w:ascii="宋体" w:hAnsi="Garamond"/>
          <w:b/>
          <w:spacing w:val="16"/>
          <w:w w:val="110"/>
          <w:sz w:val="52"/>
          <w:szCs w:val="20"/>
        </w:rPr>
        <w:t>校准规范</w:t>
      </w:r>
    </w:p>
    <w:p w14:paraId="0B120EDB">
      <w:pPr>
        <w:rPr>
          <w:sz w:val="28"/>
        </w:rPr>
      </w:pPr>
      <w:r>
        <w:rPr>
          <w:sz w:val="28"/>
        </w:rPr>
        <w:t xml:space="preserve">                                           JJ</w:t>
      </w:r>
      <w:r>
        <w:rPr>
          <w:rFonts w:hint="eastAsia"/>
          <w:sz w:val="28"/>
        </w:rPr>
        <w:t>F</w:t>
      </w:r>
      <w:r>
        <w:rPr>
          <w:sz w:val="28"/>
        </w:rPr>
        <w:t xml:space="preserve"> ××××—××××</w:t>
      </w:r>
    </w:p>
    <w:p w14:paraId="12788FA6">
      <w:pPr>
        <w:rPr>
          <w:sz w:val="30"/>
        </w:rPr>
      </w:pPr>
      <w:r>
        <w:rPr>
          <w:sz w:val="30"/>
        </w:rPr>
        <w:pict>
          <v:line id="直线 15" o:spid="_x0000_s1026" o:spt="20" style="position:absolute;left:0pt;margin-left:0pt;margin-top:0pt;height:0pt;width:462pt;z-index:25165926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">
            <v:path arrowok="t"/>
            <v:fill focussize="0,0"/>
            <v:stroke/>
            <v:imagedata o:title=""/>
            <o:lock v:ext="edit"/>
          </v:line>
        </w:pict>
      </w:r>
    </w:p>
    <w:p w14:paraId="3D0AFE3D">
      <w:pPr>
        <w:jc w:val="center"/>
        <w:rPr>
          <w:sz w:val="32"/>
        </w:rPr>
      </w:pPr>
    </w:p>
    <w:p w14:paraId="6DF24F7D">
      <w:pPr>
        <w:jc w:val="center"/>
        <w:rPr>
          <w:rFonts w:eastAsia="黑体"/>
          <w:sz w:val="52"/>
        </w:rPr>
      </w:pPr>
      <w:r>
        <w:rPr>
          <w:rFonts w:hint="eastAsia" w:eastAsia="黑体"/>
          <w:spacing w:val="50"/>
          <w:sz w:val="52"/>
        </w:rPr>
        <w:t>电阻应变传感器动态性能校准规范</w:t>
      </w:r>
    </w:p>
    <w:p w14:paraId="3BA1E12A">
      <w:pPr>
        <w:pStyle w:val="38"/>
        <w:snapToGrid w:val="0"/>
        <w:spacing w:before="120" w:line="360" w:lineRule="auto"/>
        <w:rPr>
          <w:rFonts w:eastAsia="宋体"/>
          <w:b w:val="0"/>
          <w:szCs w:val="24"/>
        </w:rPr>
      </w:pPr>
      <w:r>
        <w:rPr>
          <w:rFonts w:hint="eastAsia" w:eastAsia="宋体"/>
          <w:b w:val="0"/>
          <w:szCs w:val="24"/>
        </w:rPr>
        <w:t xml:space="preserve">Calibration Specification for </w:t>
      </w:r>
      <w:r>
        <w:rPr>
          <w:rFonts w:eastAsia="宋体"/>
          <w:b w:val="0"/>
          <w:szCs w:val="24"/>
        </w:rPr>
        <w:t>Dynamic performance of resistance strain sensor</w:t>
      </w:r>
    </w:p>
    <w:p w14:paraId="66352303">
      <w:pPr>
        <w:pStyle w:val="38"/>
        <w:snapToGrid w:val="0"/>
        <w:spacing w:before="120" w:line="360" w:lineRule="auto"/>
        <w:rPr>
          <w:rFonts w:hint="eastAsia" w:eastAsia="宋体"/>
          <w:b w:val="0"/>
          <w:szCs w:val="24"/>
          <w:lang w:eastAsia="zh-CN"/>
        </w:rPr>
      </w:pPr>
      <w:r>
        <w:rPr>
          <w:rFonts w:hint="eastAsia" w:eastAsia="宋体"/>
          <w:b w:val="0"/>
          <w:szCs w:val="24"/>
          <w:lang w:eastAsia="zh-CN"/>
        </w:rPr>
        <w:t>（</w:t>
      </w:r>
      <w:r>
        <w:rPr>
          <w:rFonts w:hint="eastAsia" w:eastAsia="宋体"/>
          <w:b w:val="0"/>
          <w:szCs w:val="24"/>
          <w:lang w:val="en-US" w:eastAsia="zh-CN"/>
        </w:rPr>
        <w:t>征求意见稿</w:t>
      </w:r>
      <w:bookmarkStart w:id="65" w:name="_GoBack"/>
      <w:bookmarkEnd w:id="65"/>
      <w:r>
        <w:rPr>
          <w:rFonts w:hint="eastAsia" w:eastAsia="宋体"/>
          <w:b w:val="0"/>
          <w:szCs w:val="24"/>
          <w:lang w:eastAsia="zh-CN"/>
        </w:rPr>
        <w:t>）</w:t>
      </w:r>
    </w:p>
    <w:p w14:paraId="1FD83ABC">
      <w:pPr>
        <w:pStyle w:val="38"/>
        <w:snapToGrid w:val="0"/>
        <w:spacing w:before="120" w:line="360" w:lineRule="auto"/>
        <w:rPr>
          <w:rFonts w:eastAsia="宋体"/>
          <w:b w:val="0"/>
          <w:szCs w:val="24"/>
        </w:rPr>
      </w:pPr>
    </w:p>
    <w:p w14:paraId="76BE6791">
      <w:pPr>
        <w:rPr>
          <w:sz w:val="30"/>
        </w:rPr>
      </w:pPr>
    </w:p>
    <w:p w14:paraId="684EC4A2">
      <w:pPr>
        <w:rPr>
          <w:sz w:val="30"/>
        </w:rPr>
      </w:pPr>
    </w:p>
    <w:p w14:paraId="26AC2FD5">
      <w:pPr>
        <w:rPr>
          <w:sz w:val="30"/>
        </w:rPr>
      </w:pPr>
    </w:p>
    <w:p w14:paraId="7F1BD822">
      <w:pPr>
        <w:rPr>
          <w:sz w:val="30"/>
        </w:rPr>
      </w:pPr>
    </w:p>
    <w:p w14:paraId="446BF548">
      <w:pPr>
        <w:ind w:firstLine="560" w:firstLineChars="200"/>
        <w:rPr>
          <w:rFonts w:eastAsia="黑体"/>
          <w:sz w:val="28"/>
        </w:rPr>
      </w:pPr>
      <w:r>
        <w:rPr>
          <w:rFonts w:eastAsia="黑体"/>
          <w:sz w:val="28"/>
        </w:rPr>
        <w:pict>
          <v:line id="直线 16" o:spid="_x0000_s1064" o:spt="20" style="position:absolute;left:0pt;flip:y;margin-left:0pt;margin-top:27.05pt;height:0pt;width:462pt;z-index:25166028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eastAsia="黑体"/>
          <w:sz w:val="28"/>
        </w:rPr>
        <w:t>202</w:t>
      </w:r>
      <w:r>
        <w:rPr>
          <w:rFonts w:eastAsia="黑体"/>
          <w:sz w:val="28"/>
        </w:rPr>
        <w:t>×-××-××发布</w:t>
      </w:r>
      <w:r>
        <w:rPr>
          <w:rFonts w:eastAsia="黑体"/>
          <w:sz w:val="28"/>
        </w:rPr>
        <w:tab/>
      </w:r>
      <w:r>
        <w:rPr>
          <w:rFonts w:hint="eastAsia" w:eastAsia="黑体"/>
          <w:sz w:val="28"/>
        </w:rPr>
        <w:t xml:space="preserve">         202</w:t>
      </w:r>
      <w:r>
        <w:rPr>
          <w:rFonts w:eastAsia="黑体"/>
          <w:sz w:val="28"/>
        </w:rPr>
        <w:t>×-××-××实施</w:t>
      </w:r>
    </w:p>
    <w:p w14:paraId="1F809766">
      <w:pPr>
        <w:pStyle w:val="42"/>
        <w:framePr w:w="0" w:hRule="auto" w:hSpace="0" w:vSpace="0" w:wrap="auto" w:vAnchor="margin" w:hAnchor="text" w:xAlign="left" w:yAlign="inline"/>
        <w:rPr>
          <w:rFonts w:ascii="Times New Roman"/>
          <w:w w:val="110"/>
          <w:sz w:val="44"/>
          <w:szCs w:val="44"/>
        </w:rPr>
        <w:sectPr>
          <w:footerReference r:id="rId3" w:type="default"/>
          <w:footerReference r:id="rId4" w:type="even"/>
          <w:pgSz w:w="11906" w:h="16838"/>
          <w:pgMar w:top="1474" w:right="1134" w:bottom="1474" w:left="1474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Times New Roman"/>
          <w:spacing w:val="60"/>
          <w:w w:val="100"/>
          <w:sz w:val="44"/>
          <w:szCs w:val="44"/>
        </w:rPr>
        <w:t>国家市场监督管理总局</w:t>
      </w:r>
      <w:r>
        <w:rPr>
          <w:rFonts w:ascii="Times New Roman" w:eastAsia="黑体"/>
          <w:b w:val="0"/>
          <w:w w:val="110"/>
          <w:sz w:val="28"/>
          <w:szCs w:val="28"/>
        </w:rPr>
        <w:t>　发布</w:t>
      </w:r>
    </w:p>
    <w:p w14:paraId="3F251517">
      <w:pPr>
        <w:framePr w:w="2502" w:h="998" w:hSpace="180" w:wrap="around" w:vAnchor="text" w:hAnchor="page" w:x="7841" w:y="314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spacing w:line="4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JJ</w:t>
      </w:r>
      <w:r>
        <w:rPr>
          <w:rFonts w:hint="eastAsia"/>
          <w:sz w:val="28"/>
          <w:szCs w:val="28"/>
        </w:rPr>
        <w:t>F</w:t>
      </w:r>
      <w:r>
        <w:rPr>
          <w:sz w:val="28"/>
        </w:rPr>
        <w:t>××××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202</w:t>
      </w:r>
      <w:r>
        <w:rPr>
          <w:sz w:val="28"/>
          <w:szCs w:val="28"/>
        </w:rPr>
        <w:t>×</w:t>
      </w:r>
    </w:p>
    <w:p w14:paraId="46093813">
      <w:pPr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电阻应变传感器动态性能校准规范</w:t>
      </w:r>
    </w:p>
    <w:p w14:paraId="04AB5933">
      <w:pPr>
        <w:adjustRightInd w:val="0"/>
        <w:snapToGrid w:val="0"/>
        <w:spacing w:before="120" w:line="300" w:lineRule="auto"/>
        <w:jc w:val="left"/>
        <w:rPr>
          <w:sz w:val="28"/>
        </w:rPr>
      </w:pPr>
      <w:r>
        <w:rPr>
          <w:rFonts w:hint="eastAsia"/>
          <w:sz w:val="28"/>
        </w:rPr>
        <w:t xml:space="preserve">    Calibration Specification for</w:t>
      </w:r>
    </w:p>
    <w:p w14:paraId="7F6CA2A6">
      <w:pPr>
        <w:pStyle w:val="38"/>
        <w:snapToGrid w:val="0"/>
        <w:spacing w:before="120" w:line="360" w:lineRule="auto"/>
        <w:rPr>
          <w:rFonts w:eastAsia="宋体"/>
          <w:b w:val="0"/>
          <w:szCs w:val="24"/>
        </w:rPr>
      </w:pPr>
      <w:r>
        <w:rPr>
          <w:rFonts w:eastAsia="宋体"/>
          <w:b w:val="0"/>
          <w:szCs w:val="24"/>
        </w:rPr>
        <w:t>Dynamic performance of resistance strainsensor</w:t>
      </w:r>
    </w:p>
    <w:p w14:paraId="48C47CE1">
      <w:pPr>
        <w:spacing w:line="400" w:lineRule="exact"/>
        <w:rPr>
          <w:sz w:val="32"/>
        </w:rPr>
      </w:pPr>
      <w:r>
        <w:pict>
          <v:line id="直线 258" o:spid="_x0000_s1063" o:spt="20" style="position:absolute;left:0pt;flip:y;margin-left:0pt;margin-top:2.35pt;height:0pt;width:462pt;z-index:251661312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">
            <v:path arrowok="t"/>
            <v:fill focussize="0,0"/>
            <v:stroke/>
            <v:imagedata o:title=""/>
            <o:lock v:ext="edit"/>
          </v:line>
        </w:pict>
      </w:r>
    </w:p>
    <w:p w14:paraId="3C0B1E58">
      <w:pPr>
        <w:ind w:firstLine="570"/>
        <w:rPr>
          <w:rFonts w:hAnsi="黑体" w:eastAsia="黑体"/>
          <w:spacing w:val="80"/>
          <w:sz w:val="28"/>
        </w:rPr>
      </w:pPr>
    </w:p>
    <w:p w14:paraId="0690B900">
      <w:pPr>
        <w:ind w:firstLine="570"/>
        <w:rPr>
          <w:rFonts w:hAnsi="黑体" w:eastAsia="黑体"/>
          <w:spacing w:val="80"/>
          <w:sz w:val="28"/>
        </w:rPr>
      </w:pPr>
    </w:p>
    <w:p w14:paraId="7404CC45">
      <w:pPr>
        <w:ind w:firstLine="570"/>
        <w:rPr>
          <w:rFonts w:hAnsi="黑体" w:eastAsia="黑体"/>
          <w:spacing w:val="80"/>
          <w:sz w:val="28"/>
        </w:rPr>
      </w:pPr>
    </w:p>
    <w:p w14:paraId="717A3700">
      <w:pPr>
        <w:ind w:firstLine="570"/>
        <w:rPr>
          <w:rFonts w:hAnsi="黑体" w:eastAsia="黑体"/>
          <w:spacing w:val="80"/>
          <w:sz w:val="28"/>
        </w:rPr>
      </w:pPr>
    </w:p>
    <w:p w14:paraId="4830C60B">
      <w:pPr>
        <w:ind w:firstLine="570"/>
        <w:rPr>
          <w:rFonts w:hAnsi="黑体" w:eastAsia="黑体"/>
          <w:spacing w:val="80"/>
          <w:sz w:val="28"/>
        </w:rPr>
      </w:pPr>
    </w:p>
    <w:p w14:paraId="2C3CB265">
      <w:pPr>
        <w:ind w:firstLine="570"/>
        <w:rPr>
          <w:rFonts w:hAnsi="黑体" w:eastAsia="黑体"/>
          <w:spacing w:val="80"/>
          <w:sz w:val="28"/>
        </w:rPr>
      </w:pPr>
    </w:p>
    <w:p w14:paraId="38209722">
      <w:pPr>
        <w:ind w:firstLine="570"/>
        <w:rPr>
          <w:sz w:val="28"/>
        </w:rPr>
      </w:pPr>
      <w:r>
        <w:rPr>
          <w:rFonts w:hAnsi="黑体" w:eastAsia="黑体"/>
          <w:spacing w:val="80"/>
          <w:sz w:val="28"/>
        </w:rPr>
        <w:t>归口单位</w:t>
      </w:r>
      <w:r>
        <w:rPr>
          <w:rFonts w:hAnsi="黑体" w:eastAsia="黑体"/>
          <w:sz w:val="28"/>
        </w:rPr>
        <w:t>：</w:t>
      </w:r>
      <w:r>
        <w:rPr>
          <w:sz w:val="28"/>
        </w:rPr>
        <w:t>全国</w:t>
      </w:r>
      <w:r>
        <w:rPr>
          <w:rFonts w:hint="eastAsia"/>
          <w:sz w:val="28"/>
        </w:rPr>
        <w:t>振动冲击转速</w:t>
      </w:r>
      <w:r>
        <w:rPr>
          <w:sz w:val="28"/>
        </w:rPr>
        <w:t>计量技术委员会</w:t>
      </w:r>
    </w:p>
    <w:p w14:paraId="7A978632">
      <w:pPr>
        <w:ind w:firstLine="570"/>
        <w:rPr>
          <w:sz w:val="28"/>
        </w:rPr>
      </w:pPr>
      <w:r>
        <w:rPr>
          <w:rFonts w:hint="eastAsia"/>
          <w:b/>
          <w:sz w:val="28"/>
        </w:rPr>
        <w:t>主要</w:t>
      </w:r>
      <w:r>
        <w:rPr>
          <w:b/>
          <w:sz w:val="28"/>
        </w:rPr>
        <w:t>起草单位</w:t>
      </w:r>
      <w:r>
        <w:rPr>
          <w:rFonts w:hAnsi="黑体" w:eastAsia="黑体"/>
          <w:sz w:val="28"/>
        </w:rPr>
        <w:t>：</w:t>
      </w:r>
    </w:p>
    <w:p w14:paraId="19968B52">
      <w:pPr>
        <w:ind w:firstLine="570"/>
        <w:rPr>
          <w:sz w:val="28"/>
        </w:rPr>
      </w:pPr>
      <w:r>
        <w:rPr>
          <w:rFonts w:hint="eastAsia"/>
          <w:b/>
          <w:sz w:val="28"/>
        </w:rPr>
        <w:t>参加起草单位：</w:t>
      </w:r>
    </w:p>
    <w:p w14:paraId="0B628B14">
      <w:pPr>
        <w:ind w:firstLine="570"/>
        <w:rPr>
          <w:sz w:val="28"/>
        </w:rPr>
      </w:pPr>
    </w:p>
    <w:p w14:paraId="75C03283">
      <w:pPr>
        <w:ind w:firstLine="570"/>
        <w:rPr>
          <w:sz w:val="28"/>
        </w:rPr>
      </w:pPr>
    </w:p>
    <w:p w14:paraId="13E2D618">
      <w:pPr>
        <w:ind w:firstLine="570"/>
        <w:rPr>
          <w:sz w:val="28"/>
        </w:rPr>
      </w:pPr>
    </w:p>
    <w:p w14:paraId="56AA80D4">
      <w:pPr>
        <w:rPr>
          <w:sz w:val="28"/>
        </w:rPr>
      </w:pPr>
    </w:p>
    <w:p w14:paraId="3FB50B44">
      <w:pPr>
        <w:ind w:firstLine="840" w:firstLineChars="300"/>
        <w:rPr>
          <w:sz w:val="28"/>
        </w:rPr>
      </w:pPr>
      <w:r>
        <w:rPr>
          <w:sz w:val="28"/>
        </w:rPr>
        <w:t>本</w:t>
      </w:r>
      <w:r>
        <w:rPr>
          <w:rFonts w:hint="eastAsia"/>
          <w:sz w:val="28"/>
        </w:rPr>
        <w:t>规范</w:t>
      </w:r>
      <w:r>
        <w:rPr>
          <w:sz w:val="28"/>
        </w:rPr>
        <w:t>委托全国</w:t>
      </w:r>
      <w:r>
        <w:rPr>
          <w:rFonts w:hint="eastAsia"/>
          <w:sz w:val="28"/>
        </w:rPr>
        <w:t>振动冲击转速</w:t>
      </w:r>
      <w:r>
        <w:rPr>
          <w:sz w:val="28"/>
        </w:rPr>
        <w:t>计量技术委员会负责解释</w:t>
      </w:r>
    </w:p>
    <w:p w14:paraId="29EDDD31">
      <w:pPr>
        <w:spacing w:line="360" w:lineRule="auto"/>
        <w:rPr>
          <w:rFonts w:hAnsi="黑体" w:eastAsia="黑体"/>
          <w:sz w:val="28"/>
        </w:rPr>
      </w:pPr>
    </w:p>
    <w:p w14:paraId="3DEF10AD">
      <w:pPr>
        <w:spacing w:line="360" w:lineRule="auto"/>
        <w:rPr>
          <w:rFonts w:hAnsi="黑体" w:eastAsia="黑体"/>
          <w:sz w:val="28"/>
        </w:rPr>
      </w:pPr>
    </w:p>
    <w:p w14:paraId="4570ED8C">
      <w:pPr>
        <w:spacing w:line="360" w:lineRule="auto"/>
        <w:rPr>
          <w:rFonts w:hAnsi="黑体" w:eastAsia="黑体"/>
          <w:sz w:val="28"/>
        </w:rPr>
      </w:pPr>
    </w:p>
    <w:p w14:paraId="1E377D75">
      <w:pPr>
        <w:spacing w:line="360" w:lineRule="auto"/>
        <w:rPr>
          <w:rFonts w:hAnsi="黑体" w:eastAsia="黑体"/>
          <w:sz w:val="28"/>
        </w:rPr>
      </w:pPr>
    </w:p>
    <w:p w14:paraId="4B981DF0">
      <w:pPr>
        <w:spacing w:line="360" w:lineRule="auto"/>
        <w:jc w:val="left"/>
        <w:rPr>
          <w:rFonts w:hAnsi="黑体" w:eastAsia="黑体"/>
          <w:sz w:val="28"/>
        </w:rPr>
      </w:pPr>
      <w:r>
        <w:rPr>
          <w:rFonts w:hAnsi="黑体" w:eastAsia="黑体"/>
          <w:sz w:val="28"/>
        </w:rPr>
        <w:t>本</w:t>
      </w:r>
      <w:r>
        <w:rPr>
          <w:rFonts w:hint="eastAsia" w:hAnsi="黑体" w:eastAsia="黑体"/>
          <w:sz w:val="28"/>
        </w:rPr>
        <w:t>规范主要</w:t>
      </w:r>
      <w:r>
        <w:rPr>
          <w:rFonts w:hAnsi="黑体" w:eastAsia="黑体"/>
          <w:sz w:val="28"/>
        </w:rPr>
        <w:t>起草人：</w:t>
      </w:r>
    </w:p>
    <w:p w14:paraId="443A5B1C">
      <w:pPr>
        <w:spacing w:line="360" w:lineRule="auto"/>
        <w:ind w:firstLine="1545" w:firstLineChars="552"/>
        <w:rPr>
          <w:sz w:val="28"/>
        </w:rPr>
      </w:pPr>
      <w:r>
        <w:rPr>
          <w:rFonts w:hint="eastAsia"/>
          <w:sz w:val="28"/>
        </w:rPr>
        <w:t>（××××××）</w:t>
      </w:r>
    </w:p>
    <w:p w14:paraId="2AA26C6C">
      <w:pPr>
        <w:spacing w:line="360" w:lineRule="auto"/>
        <w:ind w:firstLine="1545" w:firstLineChars="552"/>
        <w:rPr>
          <w:sz w:val="28"/>
        </w:rPr>
      </w:pPr>
      <w:r>
        <w:rPr>
          <w:sz w:val="28"/>
        </w:rPr>
        <w:t>（</w:t>
      </w:r>
      <w:r>
        <w:rPr>
          <w:rFonts w:hint="eastAsia"/>
          <w:sz w:val="28"/>
        </w:rPr>
        <w:t>××××××</w:t>
      </w:r>
      <w:r>
        <w:rPr>
          <w:sz w:val="28"/>
        </w:rPr>
        <w:t>）</w:t>
      </w:r>
    </w:p>
    <w:p w14:paraId="01FC9985">
      <w:pPr>
        <w:spacing w:line="360" w:lineRule="auto"/>
        <w:rPr>
          <w:rFonts w:hAnsi="黑体" w:eastAsia="黑体"/>
          <w:sz w:val="28"/>
        </w:rPr>
      </w:pPr>
      <w:r>
        <w:rPr>
          <w:rFonts w:hint="eastAsia" w:hAnsi="黑体" w:eastAsia="黑体"/>
          <w:sz w:val="28"/>
        </w:rPr>
        <w:t>参加起草人：</w:t>
      </w:r>
    </w:p>
    <w:p w14:paraId="39B2616F">
      <w:pPr>
        <w:spacing w:line="360" w:lineRule="auto"/>
        <w:ind w:firstLine="1545" w:firstLineChars="552"/>
        <w:rPr>
          <w:sz w:val="28"/>
        </w:rPr>
      </w:pPr>
      <w:r>
        <w:rPr>
          <w:rFonts w:hint="eastAsia"/>
          <w:sz w:val="28"/>
        </w:rPr>
        <w:t>（××××××）</w:t>
      </w:r>
    </w:p>
    <w:p w14:paraId="05AB202B">
      <w:pPr>
        <w:spacing w:line="360" w:lineRule="auto"/>
        <w:ind w:firstLine="1545" w:firstLineChars="552"/>
        <w:rPr>
          <w:sz w:val="28"/>
        </w:rPr>
      </w:pPr>
      <w:r>
        <w:rPr>
          <w:rFonts w:hint="eastAsia"/>
          <w:sz w:val="28"/>
        </w:rPr>
        <w:t>（××××××）</w:t>
      </w:r>
    </w:p>
    <w:p w14:paraId="165097A1">
      <w:pPr>
        <w:spacing w:line="360" w:lineRule="auto"/>
        <w:ind w:firstLine="1545" w:firstLineChars="552"/>
        <w:rPr>
          <w:sz w:val="28"/>
        </w:rPr>
      </w:pPr>
      <w:r>
        <w:rPr>
          <w:rFonts w:hint="eastAsia"/>
          <w:sz w:val="28"/>
        </w:rPr>
        <w:t>（××××××）</w:t>
      </w:r>
    </w:p>
    <w:p w14:paraId="2C7B46E9">
      <w:pPr>
        <w:spacing w:line="360" w:lineRule="auto"/>
        <w:ind w:firstLine="1545" w:firstLineChars="552"/>
        <w:rPr>
          <w:sz w:val="28"/>
        </w:rPr>
      </w:pPr>
      <w:r>
        <w:rPr>
          <w:rFonts w:hint="eastAsia"/>
          <w:sz w:val="28"/>
        </w:rPr>
        <w:t>（××××××）</w:t>
      </w:r>
    </w:p>
    <w:p w14:paraId="3A81B8D1">
      <w:pPr>
        <w:spacing w:beforeLines="100" w:afterLines="100"/>
        <w:jc w:val="center"/>
        <w:rPr>
          <w:rFonts w:eastAsia="黑体"/>
          <w:sz w:val="44"/>
          <w:szCs w:val="44"/>
        </w:rPr>
        <w:sectPr>
          <w:headerReference r:id="rId5" w:type="default"/>
          <w:footerReference r:id="rId6" w:type="default"/>
          <w:pgSz w:w="11906" w:h="16838"/>
          <w:pgMar w:top="1474" w:right="1134" w:bottom="1474" w:left="1474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7121F477">
      <w:pPr>
        <w:spacing w:beforeLines="200" w:afterLines="100"/>
        <w:jc w:val="center"/>
        <w:outlineLvl w:val="0"/>
        <w:rPr>
          <w:rFonts w:eastAsia="黑体"/>
          <w:sz w:val="44"/>
          <w:szCs w:val="44"/>
        </w:rPr>
      </w:pPr>
      <w:bookmarkStart w:id="8" w:name="_Toc192669909"/>
      <w:r>
        <w:rPr>
          <w:rFonts w:hint="eastAsia" w:eastAsia="黑体"/>
          <w:sz w:val="44"/>
          <w:szCs w:val="44"/>
        </w:rPr>
        <w:t>目录</w:t>
      </w:r>
      <w:bookmarkEnd w:id="8"/>
    </w:p>
    <w:p w14:paraId="7A856D12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rPr>
          <w:rStyle w:val="21"/>
          <w:rFonts w:hint="eastAsia"/>
          <w:u w:val="none"/>
        </w:rPr>
        <w:fldChar w:fldCharType="begin"/>
      </w:r>
      <w:r>
        <w:rPr>
          <w:rStyle w:val="21"/>
          <w:rFonts w:hint="eastAsia" w:ascii="宋体" w:hAnsi="宋体" w:cs="宋体"/>
          <w:sz w:val="24"/>
          <w:u w:val="none"/>
        </w:rPr>
        <w:instrText xml:space="preserve"> TOC \o "1-3" \h \z \u </w:instrText>
      </w:r>
      <w:r>
        <w:rPr>
          <w:rStyle w:val="21"/>
          <w:rFonts w:hint="eastAsia"/>
          <w:u w:val="none"/>
        </w:rPr>
        <w:fldChar w:fldCharType="separate"/>
      </w:r>
      <w:r>
        <w:fldChar w:fldCharType="begin"/>
      </w:r>
      <w:r>
        <w:instrText xml:space="preserve"> HYPERLINK \l "_Toc192669908" </w:instrText>
      </w:r>
      <w:r>
        <w:fldChar w:fldCharType="separate"/>
      </w:r>
      <w:r>
        <w:tab/>
      </w:r>
      <w:r>
        <w:fldChar w:fldCharType="begin"/>
      </w:r>
      <w:r>
        <w:instrText xml:space="preserve"> PAGEREF _Toc192669908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4EE969E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"_Toc192669909" </w:instrText>
      </w:r>
      <w:r>
        <w:fldChar w:fldCharType="separate"/>
      </w:r>
      <w:r>
        <w:rPr>
          <w:rStyle w:val="21"/>
          <w:rFonts w:hint="eastAsia" w:eastAsia="黑体"/>
        </w:rPr>
        <w:t>目录</w:t>
      </w:r>
      <w:r>
        <w:tab/>
      </w:r>
      <w:r>
        <w:fldChar w:fldCharType="begin"/>
      </w:r>
      <w:r>
        <w:instrText xml:space="preserve"> PAGEREF _Toc192669909 \h </w:instrText>
      </w:r>
      <w:r>
        <w:fldChar w:fldCharType="separate"/>
      </w:r>
      <w:r>
        <w:t>I</w:t>
      </w:r>
      <w:r>
        <w:fldChar w:fldCharType="end"/>
      </w:r>
      <w:r>
        <w:fldChar w:fldCharType="end"/>
      </w:r>
    </w:p>
    <w:p w14:paraId="62ED35A1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"_Toc192669910" </w:instrText>
      </w:r>
      <w:r>
        <w:fldChar w:fldCharType="separate"/>
      </w:r>
      <w:r>
        <w:rPr>
          <w:rStyle w:val="21"/>
          <w:rFonts w:hint="eastAsia" w:eastAsia="黑体"/>
        </w:rPr>
        <w:t>引言</w:t>
      </w:r>
      <w:r>
        <w:tab/>
      </w:r>
      <w:r>
        <w:fldChar w:fldCharType="begin"/>
      </w:r>
      <w:r>
        <w:instrText xml:space="preserve"> PAGEREF _Toc192669910 \h </w:instrText>
      </w:r>
      <w:r>
        <w:fldChar w:fldCharType="separate"/>
      </w:r>
      <w:r>
        <w:t>II</w:t>
      </w:r>
      <w:r>
        <w:fldChar w:fldCharType="end"/>
      </w:r>
      <w:r>
        <w:fldChar w:fldCharType="end"/>
      </w:r>
    </w:p>
    <w:p w14:paraId="6EEEE46C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"_Toc192669911" </w:instrText>
      </w:r>
      <w:r>
        <w:fldChar w:fldCharType="separate"/>
      </w:r>
      <w:r>
        <w:rPr>
          <w:rStyle w:val="21"/>
          <w:rFonts w:ascii="黑体" w:eastAsia="黑体"/>
        </w:rPr>
        <w:t>1</w:t>
      </w:r>
      <w:r>
        <w:rPr>
          <w:rStyle w:val="21"/>
          <w:rFonts w:hint="eastAsia" w:eastAsia="黑体"/>
        </w:rPr>
        <w:t xml:space="preserve"> 范围</w:t>
      </w:r>
      <w:r>
        <w:tab/>
      </w:r>
      <w:r>
        <w:fldChar w:fldCharType="begin"/>
      </w:r>
      <w:r>
        <w:instrText xml:space="preserve"> PAGEREF _Toc192669911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2378BD9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"_Toc192669912" </w:instrText>
      </w:r>
      <w:r>
        <w:fldChar w:fldCharType="separate"/>
      </w:r>
      <w:r>
        <w:rPr>
          <w:rStyle w:val="21"/>
          <w:rFonts w:ascii="黑体" w:eastAsia="黑体"/>
        </w:rPr>
        <w:t>2</w:t>
      </w:r>
      <w:r>
        <w:rPr>
          <w:rStyle w:val="21"/>
          <w:rFonts w:hint="eastAsia" w:eastAsia="黑体"/>
        </w:rPr>
        <w:t xml:space="preserve"> 引用文件</w:t>
      </w:r>
      <w:r>
        <w:tab/>
      </w:r>
      <w:r>
        <w:fldChar w:fldCharType="begin"/>
      </w:r>
      <w:r>
        <w:instrText xml:space="preserve"> PAGEREF _Toc192669912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BC27522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"_Toc192669913" </w:instrText>
      </w:r>
      <w:r>
        <w:fldChar w:fldCharType="separate"/>
      </w:r>
      <w:r>
        <w:rPr>
          <w:rStyle w:val="21"/>
          <w:rFonts w:ascii="黑体" w:eastAsia="黑体"/>
        </w:rPr>
        <w:t>3</w:t>
      </w:r>
      <w:r>
        <w:rPr>
          <w:rStyle w:val="21"/>
          <w:rFonts w:hint="eastAsia" w:eastAsia="黑体"/>
        </w:rPr>
        <w:t xml:space="preserve"> 术语</w:t>
      </w:r>
      <w:r>
        <w:tab/>
      </w:r>
      <w:r>
        <w:fldChar w:fldCharType="begin"/>
      </w:r>
      <w:r>
        <w:instrText xml:space="preserve"> PAGEREF _Toc192669913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1660E1DB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"_Toc192669914" </w:instrText>
      </w:r>
      <w:r>
        <w:fldChar w:fldCharType="separate"/>
      </w:r>
      <w:r>
        <w:rPr>
          <w:rStyle w:val="21"/>
          <w:rFonts w:ascii="黑体" w:eastAsia="黑体"/>
        </w:rPr>
        <w:t>4</w:t>
      </w:r>
      <w:r>
        <w:rPr>
          <w:rStyle w:val="21"/>
          <w:rFonts w:hint="eastAsia" w:eastAsia="黑体"/>
        </w:rPr>
        <w:t xml:space="preserve"> 概述</w:t>
      </w:r>
      <w:r>
        <w:tab/>
      </w:r>
      <w:r>
        <w:fldChar w:fldCharType="begin"/>
      </w:r>
      <w:r>
        <w:instrText xml:space="preserve"> PAGEREF _Toc192669914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1174D0AD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"_Toc192669915" </w:instrText>
      </w:r>
      <w:r>
        <w:fldChar w:fldCharType="separate"/>
      </w:r>
      <w:r>
        <w:rPr>
          <w:rStyle w:val="21"/>
          <w:rFonts w:ascii="黑体" w:eastAsia="黑体"/>
        </w:rPr>
        <w:t>5</w:t>
      </w:r>
      <w:r>
        <w:rPr>
          <w:rStyle w:val="21"/>
          <w:rFonts w:hint="eastAsia" w:eastAsia="黑体"/>
        </w:rPr>
        <w:t xml:space="preserve"> 计量性能要求</w:t>
      </w:r>
      <w:r>
        <w:tab/>
      </w:r>
      <w:r>
        <w:fldChar w:fldCharType="begin"/>
      </w:r>
      <w:r>
        <w:instrText xml:space="preserve"> PAGEREF _Toc192669915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61C6C07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"_Toc192669916" </w:instrText>
      </w:r>
      <w:r>
        <w:fldChar w:fldCharType="separate"/>
      </w:r>
      <w:r>
        <w:rPr>
          <w:rStyle w:val="21"/>
        </w:rPr>
        <w:t>5.1</w:t>
      </w:r>
      <w:r>
        <w:rPr>
          <w:rStyle w:val="21"/>
          <w:rFonts w:hint="eastAsia"/>
        </w:rPr>
        <w:t>普通灵敏系数</w:t>
      </w:r>
      <w:r>
        <w:tab/>
      </w:r>
      <w:r>
        <w:fldChar w:fldCharType="begin"/>
      </w:r>
      <w:r>
        <w:instrText xml:space="preserve"> PAGEREF _Toc192669916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4EA41B5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"_Toc192669917" </w:instrText>
      </w:r>
      <w:r>
        <w:fldChar w:fldCharType="separate"/>
      </w:r>
      <w:r>
        <w:rPr>
          <w:rStyle w:val="21"/>
        </w:rPr>
        <w:t>5.2</w:t>
      </w:r>
      <w:r>
        <w:rPr>
          <w:rStyle w:val="21"/>
          <w:rFonts w:hint="eastAsia"/>
        </w:rPr>
        <w:t>参考灵敏度</w:t>
      </w:r>
      <w:r>
        <w:tab/>
      </w:r>
      <w:r>
        <w:fldChar w:fldCharType="begin"/>
      </w:r>
      <w:r>
        <w:instrText xml:space="preserve"> PAGEREF _Toc192669917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2A91950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"_Toc192669918" </w:instrText>
      </w:r>
      <w:r>
        <w:fldChar w:fldCharType="separate"/>
      </w:r>
      <w:r>
        <w:rPr>
          <w:rStyle w:val="21"/>
          <w:bCs/>
        </w:rPr>
        <w:t>5.3</w:t>
      </w:r>
      <w:r>
        <w:rPr>
          <w:rStyle w:val="21"/>
          <w:rFonts w:hint="eastAsia"/>
          <w:bCs/>
        </w:rPr>
        <w:t>频率响应</w:t>
      </w:r>
      <w:r>
        <w:tab/>
      </w:r>
      <w:r>
        <w:fldChar w:fldCharType="begin"/>
      </w:r>
      <w:r>
        <w:instrText xml:space="preserve"> PAGEREF _Toc192669918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8C24EDD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"_Toc192669919" </w:instrText>
      </w:r>
      <w:r>
        <w:fldChar w:fldCharType="separate"/>
      </w:r>
      <w:r>
        <w:rPr>
          <w:rStyle w:val="21"/>
        </w:rPr>
        <w:t>5.4</w:t>
      </w:r>
      <w:r>
        <w:rPr>
          <w:rStyle w:val="21"/>
          <w:rFonts w:hint="eastAsia"/>
        </w:rPr>
        <w:t>幅值线性度</w:t>
      </w:r>
      <w:r>
        <w:tab/>
      </w:r>
      <w:r>
        <w:fldChar w:fldCharType="begin"/>
      </w:r>
      <w:r>
        <w:instrText xml:space="preserve"> PAGEREF _Toc192669919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E7DCA7F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"_Toc192669920" </w:instrText>
      </w:r>
      <w:r>
        <w:fldChar w:fldCharType="separate"/>
      </w:r>
      <w:r>
        <w:rPr>
          <w:rStyle w:val="21"/>
          <w:rFonts w:ascii="黑体" w:eastAsia="黑体"/>
        </w:rPr>
        <w:t>6</w:t>
      </w:r>
      <w:r>
        <w:rPr>
          <w:rStyle w:val="21"/>
          <w:rFonts w:hint="eastAsia" w:eastAsia="黑体"/>
        </w:rPr>
        <w:t xml:space="preserve"> 校准条件</w:t>
      </w:r>
      <w:r>
        <w:tab/>
      </w:r>
      <w:r>
        <w:fldChar w:fldCharType="begin"/>
      </w:r>
      <w:r>
        <w:instrText xml:space="preserve"> PAGEREF _Toc192669920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231D1F1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"_Toc192669921" </w:instrText>
      </w:r>
      <w:r>
        <w:fldChar w:fldCharType="separate"/>
      </w:r>
      <w:r>
        <w:rPr>
          <w:rStyle w:val="21"/>
        </w:rPr>
        <w:t>6.1</w:t>
      </w:r>
      <w:r>
        <w:rPr>
          <w:rStyle w:val="21"/>
          <w:rFonts w:hint="eastAsia"/>
        </w:rPr>
        <w:t xml:space="preserve"> 环境条件</w:t>
      </w:r>
      <w:r>
        <w:tab/>
      </w:r>
      <w:r>
        <w:fldChar w:fldCharType="begin"/>
      </w:r>
      <w:r>
        <w:instrText xml:space="preserve"> PAGEREF _Toc192669921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8AF1475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"_Toc192669922" </w:instrText>
      </w:r>
      <w:r>
        <w:fldChar w:fldCharType="separate"/>
      </w:r>
      <w:r>
        <w:rPr>
          <w:rStyle w:val="21"/>
        </w:rPr>
        <w:t>6.2</w:t>
      </w:r>
      <w:r>
        <w:rPr>
          <w:rStyle w:val="21"/>
          <w:rFonts w:hint="eastAsia"/>
        </w:rPr>
        <w:t xml:space="preserve"> 测量标准及其他设备</w:t>
      </w:r>
      <w:r>
        <w:tab/>
      </w:r>
      <w:r>
        <w:fldChar w:fldCharType="begin"/>
      </w:r>
      <w:r>
        <w:instrText xml:space="preserve"> PAGEREF _Toc192669922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23EE232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"_Toc192669923" </w:instrText>
      </w:r>
      <w:r>
        <w:fldChar w:fldCharType="separate"/>
      </w:r>
      <w:r>
        <w:rPr>
          <w:rStyle w:val="21"/>
          <w:rFonts w:ascii="黑体" w:eastAsia="黑体"/>
        </w:rPr>
        <w:t>7</w:t>
      </w:r>
      <w:r>
        <w:rPr>
          <w:rStyle w:val="21"/>
          <w:rFonts w:hint="eastAsia" w:eastAsia="黑体"/>
        </w:rPr>
        <w:t xml:space="preserve"> 校准项目和校准方法</w:t>
      </w:r>
      <w:r>
        <w:tab/>
      </w:r>
      <w:r>
        <w:fldChar w:fldCharType="begin"/>
      </w:r>
      <w:r>
        <w:instrText xml:space="preserve"> PAGEREF _Toc192669923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E9ECE71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"_Toc192669924" </w:instrText>
      </w:r>
      <w:r>
        <w:fldChar w:fldCharType="separate"/>
      </w:r>
      <w:r>
        <w:rPr>
          <w:rStyle w:val="21"/>
        </w:rPr>
        <w:t>7.1</w:t>
      </w:r>
      <w:r>
        <w:rPr>
          <w:rStyle w:val="21"/>
          <w:rFonts w:hint="eastAsia"/>
        </w:rPr>
        <w:t xml:space="preserve"> 校准项目</w:t>
      </w:r>
      <w:r>
        <w:tab/>
      </w:r>
      <w:r>
        <w:fldChar w:fldCharType="begin"/>
      </w:r>
      <w:r>
        <w:instrText xml:space="preserve"> PAGEREF _Toc192669924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F366E6C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"_Toc192669925" </w:instrText>
      </w:r>
      <w:r>
        <w:fldChar w:fldCharType="separate"/>
      </w:r>
      <w:r>
        <w:rPr>
          <w:rStyle w:val="21"/>
        </w:rPr>
        <w:t xml:space="preserve">7.2 </w:t>
      </w:r>
      <w:r>
        <w:rPr>
          <w:rStyle w:val="21"/>
          <w:rFonts w:hint="eastAsia"/>
        </w:rPr>
        <w:t>校准方法</w:t>
      </w:r>
      <w:r>
        <w:tab/>
      </w:r>
      <w:r>
        <w:fldChar w:fldCharType="begin"/>
      </w:r>
      <w:r>
        <w:instrText xml:space="preserve"> PAGEREF _Toc192669925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7B8F7C4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"_Toc192669926" </w:instrText>
      </w:r>
      <w:r>
        <w:fldChar w:fldCharType="separate"/>
      </w:r>
      <w:r>
        <w:rPr>
          <w:rStyle w:val="21"/>
          <w:rFonts w:ascii="黑体" w:eastAsia="黑体"/>
        </w:rPr>
        <w:t>8</w:t>
      </w:r>
      <w:r>
        <w:rPr>
          <w:rStyle w:val="21"/>
          <w:rFonts w:hint="eastAsia" w:eastAsia="黑体"/>
        </w:rPr>
        <w:t xml:space="preserve"> 校准结果表达</w:t>
      </w:r>
      <w:r>
        <w:tab/>
      </w:r>
      <w:r>
        <w:fldChar w:fldCharType="begin"/>
      </w:r>
      <w:r>
        <w:instrText xml:space="preserve"> PAGEREF _Toc192669926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318AE87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"_Toc192669927" </w:instrText>
      </w:r>
      <w:r>
        <w:fldChar w:fldCharType="separate"/>
      </w:r>
      <w:r>
        <w:rPr>
          <w:rStyle w:val="21"/>
          <w:rFonts w:cs="宋体"/>
        </w:rPr>
        <w:t xml:space="preserve">8.1 </w:t>
      </w:r>
      <w:r>
        <w:rPr>
          <w:rStyle w:val="21"/>
          <w:rFonts w:hint="eastAsia" w:cs="宋体"/>
        </w:rPr>
        <w:t>校准记录</w:t>
      </w:r>
      <w:r>
        <w:tab/>
      </w:r>
      <w:r>
        <w:fldChar w:fldCharType="begin"/>
      </w:r>
      <w:r>
        <w:instrText xml:space="preserve"> PAGEREF _Toc192669927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1868C91">
      <w:pPr>
        <w:pStyle w:val="13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"_Toc192669928" </w:instrText>
      </w:r>
      <w:r>
        <w:fldChar w:fldCharType="separate"/>
      </w:r>
      <w:r>
        <w:rPr>
          <w:rStyle w:val="21"/>
          <w:rFonts w:cs="宋体"/>
        </w:rPr>
        <w:t xml:space="preserve">8.2 </w:t>
      </w:r>
      <w:r>
        <w:rPr>
          <w:rStyle w:val="21"/>
          <w:rFonts w:hint="eastAsia" w:cs="宋体"/>
        </w:rPr>
        <w:t>校准证书</w:t>
      </w:r>
      <w:r>
        <w:tab/>
      </w:r>
      <w:r>
        <w:fldChar w:fldCharType="begin"/>
      </w:r>
      <w:r>
        <w:instrText xml:space="preserve"> PAGEREF _Toc192669928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61FDC52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"_Toc192669929" </w:instrText>
      </w:r>
      <w:r>
        <w:fldChar w:fldCharType="separate"/>
      </w:r>
      <w:r>
        <w:rPr>
          <w:rStyle w:val="21"/>
          <w:rFonts w:ascii="黑体" w:eastAsia="黑体"/>
        </w:rPr>
        <w:t>9</w:t>
      </w:r>
      <w:r>
        <w:rPr>
          <w:rStyle w:val="21"/>
          <w:rFonts w:hint="eastAsia" w:eastAsia="黑体"/>
        </w:rPr>
        <w:t xml:space="preserve"> 复校时间间隔</w:t>
      </w:r>
      <w:r>
        <w:tab/>
      </w:r>
      <w:r>
        <w:fldChar w:fldCharType="begin"/>
      </w:r>
      <w:r>
        <w:instrText xml:space="preserve"> PAGEREF _Toc192669929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82F80BA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"_Toc192669930" </w:instrText>
      </w:r>
      <w:r>
        <w:fldChar w:fldCharType="separate"/>
      </w:r>
      <w:r>
        <w:rPr>
          <w:rStyle w:val="21"/>
          <w:rFonts w:hint="eastAsia" w:ascii="黑体" w:hAnsi="黑体" w:eastAsia="黑体" w:cs="黑体"/>
          <w:bCs/>
        </w:rPr>
        <w:t>附录</w:t>
      </w:r>
      <w:r>
        <w:rPr>
          <w:rStyle w:val="21"/>
          <w:rFonts w:ascii="黑体" w:hAnsi="黑体" w:eastAsia="黑体" w:cs="黑体"/>
          <w:bCs/>
        </w:rPr>
        <w:t>A</w:t>
      </w:r>
      <w:r>
        <w:tab/>
      </w:r>
      <w:r>
        <w:fldChar w:fldCharType="begin"/>
      </w:r>
      <w:r>
        <w:instrText xml:space="preserve"> PAGEREF _Toc192669930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A532C1E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"_Toc192669931" </w:instrText>
      </w:r>
      <w:r>
        <w:fldChar w:fldCharType="separate"/>
      </w:r>
      <w:r>
        <w:rPr>
          <w:rStyle w:val="21"/>
          <w:rFonts w:hint="eastAsia" w:ascii="黑体" w:hAnsi="黑体" w:eastAsia="黑体" w:cs="黑体"/>
          <w:bCs/>
        </w:rPr>
        <w:t>附录</w:t>
      </w:r>
      <w:r>
        <w:rPr>
          <w:rStyle w:val="21"/>
          <w:rFonts w:ascii="黑体" w:hAnsi="黑体" w:eastAsia="黑体" w:cs="黑体"/>
          <w:bCs/>
        </w:rPr>
        <w:t>B</w:t>
      </w:r>
      <w:r>
        <w:tab/>
      </w:r>
      <w:r>
        <w:fldChar w:fldCharType="begin"/>
      </w:r>
      <w:r>
        <w:instrText xml:space="preserve"> PAGEREF _Toc192669931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BE90817">
      <w:pPr>
        <w:pStyle w:val="12"/>
        <w:tabs>
          <w:tab w:val="right" w:leader="dot" w:pos="9288"/>
        </w:tabs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"_Toc192669932" </w:instrText>
      </w:r>
      <w:r>
        <w:fldChar w:fldCharType="separate"/>
      </w:r>
      <w:r>
        <w:rPr>
          <w:rStyle w:val="21"/>
          <w:rFonts w:hint="eastAsia" w:ascii="黑体" w:hAnsi="黑体" w:eastAsia="黑体" w:cs="黑体"/>
          <w:bCs/>
        </w:rPr>
        <w:t>附录</w:t>
      </w:r>
      <w:r>
        <w:rPr>
          <w:rStyle w:val="21"/>
          <w:rFonts w:ascii="黑体" w:hAnsi="黑体" w:eastAsia="黑体" w:cs="黑体"/>
          <w:bCs/>
        </w:rPr>
        <w:t>C</w:t>
      </w:r>
      <w:r>
        <w:tab/>
      </w:r>
      <w:r>
        <w:fldChar w:fldCharType="begin"/>
      </w:r>
      <w:r>
        <w:instrText xml:space="preserve"> PAGEREF _Toc192669932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E64BECB">
      <w:pPr>
        <w:spacing w:line="360" w:lineRule="auto"/>
        <w:jc w:val="center"/>
        <w:rPr>
          <w:rStyle w:val="21"/>
          <w:rFonts w:ascii="黑体" w:eastAsia="黑体"/>
          <w:u w:val="none"/>
        </w:rPr>
      </w:pPr>
      <w:r>
        <w:rPr>
          <w:rFonts w:hint="eastAsia" w:ascii="宋体" w:hAnsi="宋体" w:cs="宋体"/>
          <w:sz w:val="24"/>
        </w:rPr>
        <w:fldChar w:fldCharType="end"/>
      </w:r>
    </w:p>
    <w:p w14:paraId="086921E3">
      <w:pPr>
        <w:spacing w:beforeLines="200" w:afterLines="100"/>
        <w:jc w:val="center"/>
        <w:outlineLvl w:val="0"/>
        <w:rPr>
          <w:rFonts w:eastAsia="黑体"/>
          <w:sz w:val="44"/>
          <w:szCs w:val="44"/>
        </w:rPr>
      </w:pPr>
      <w:r>
        <w:rPr>
          <w:sz w:val="24"/>
        </w:rPr>
        <w:br w:type="page"/>
      </w:r>
      <w:bookmarkStart w:id="9" w:name="_Toc192669910"/>
      <w:r>
        <w:rPr>
          <w:rFonts w:hint="eastAsia" w:eastAsia="黑体"/>
          <w:sz w:val="44"/>
          <w:szCs w:val="44"/>
        </w:rPr>
        <w:t>引言</w:t>
      </w:r>
      <w:bookmarkEnd w:id="9"/>
    </w:p>
    <w:p w14:paraId="496B9E8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JJF 1001-2011《通用计量术语及定义》、JJF 1059-2012《测量不确定度评定与表示》、</w:t>
      </w:r>
      <w:r>
        <w:rPr>
          <w:sz w:val="24"/>
        </w:rPr>
        <w:t>JJF 10</w:t>
      </w:r>
      <w:r>
        <w:rPr>
          <w:rFonts w:hint="eastAsia"/>
          <w:sz w:val="24"/>
        </w:rPr>
        <w:t>71-2010</w:t>
      </w:r>
      <w:r>
        <w:rPr>
          <w:sz w:val="24"/>
        </w:rPr>
        <w:t>《国家计量</w:t>
      </w:r>
      <w:r>
        <w:rPr>
          <w:rFonts w:hint="eastAsia"/>
          <w:sz w:val="24"/>
        </w:rPr>
        <w:t>校准规范</w:t>
      </w:r>
      <w:r>
        <w:rPr>
          <w:sz w:val="24"/>
        </w:rPr>
        <w:t>编写规则》</w:t>
      </w:r>
      <w:r>
        <w:rPr>
          <w:rFonts w:hint="eastAsia"/>
          <w:sz w:val="24"/>
        </w:rPr>
        <w:t>共同构成支撑校准规范制定工作的基础性系列规范</w:t>
      </w:r>
      <w:r>
        <w:rPr>
          <w:sz w:val="24"/>
        </w:rPr>
        <w:t>。</w:t>
      </w:r>
    </w:p>
    <w:p w14:paraId="41CE0F5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本规范主要参考JJF 1094-2002《测量仪器特性评定》、JJG 233《压电加速度计检定规程》、</w:t>
      </w:r>
      <w:r>
        <w:rPr>
          <w:rFonts w:hint="eastAsia" w:hAnsi="宋体"/>
          <w:sz w:val="24"/>
        </w:rPr>
        <w:t>JJG 930《基桩动态测量仪》、</w:t>
      </w:r>
      <w:r>
        <w:rPr>
          <w:rFonts w:hint="eastAsia"/>
          <w:sz w:val="24"/>
        </w:rPr>
        <w:t>GB/T 15478 《压力传感器性能试验方法》、</w:t>
      </w:r>
      <w:r>
        <w:rPr>
          <w:rFonts w:hint="eastAsia" w:hAnsi="宋体"/>
          <w:sz w:val="24"/>
        </w:rPr>
        <w:t>GB/T 20485.21-2007《振动与冲击传感器校准方法第21部分：振动比较法》</w:t>
      </w:r>
      <w:r>
        <w:rPr>
          <w:rFonts w:hint="eastAsia"/>
          <w:sz w:val="24"/>
        </w:rPr>
        <w:t>等计量技术法规。</w:t>
      </w:r>
    </w:p>
    <w:p w14:paraId="6C8C329B">
      <w:pPr>
        <w:spacing w:line="360" w:lineRule="auto"/>
        <w:ind w:firstLine="480" w:firstLineChars="200"/>
        <w:rPr>
          <w:color w:val="FF0000"/>
          <w:sz w:val="24"/>
        </w:rPr>
      </w:pPr>
      <w:r>
        <w:rPr>
          <w:rFonts w:hint="eastAsia"/>
          <w:sz w:val="24"/>
        </w:rPr>
        <w:t>本规范为首次发布。</w:t>
      </w:r>
    </w:p>
    <w:p w14:paraId="6DE19511">
      <w:pPr>
        <w:spacing w:line="360" w:lineRule="auto"/>
        <w:jc w:val="distribute"/>
        <w:rPr>
          <w:sz w:val="24"/>
          <w:vertAlign w:val="subscript"/>
        </w:rPr>
        <w:sectPr>
          <w:pgSz w:w="11906" w:h="16838"/>
          <w:pgMar w:top="1474" w:right="1134" w:bottom="1474" w:left="1474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665B079A">
      <w:pPr>
        <w:spacing w:beforeLines="100" w:afterLines="100"/>
        <w:jc w:val="center"/>
        <w:rPr>
          <w:rFonts w:ascii="黑体" w:eastAsia="黑体"/>
          <w:spacing w:val="20"/>
          <w:sz w:val="32"/>
          <w:szCs w:val="32"/>
        </w:rPr>
      </w:pPr>
      <w:r>
        <w:rPr>
          <w:rFonts w:hint="eastAsia" w:ascii="黑体" w:eastAsia="黑体"/>
          <w:spacing w:val="20"/>
          <w:sz w:val="32"/>
          <w:szCs w:val="32"/>
        </w:rPr>
        <w:t>电阻应变传感器动态性能校准规范</w:t>
      </w:r>
    </w:p>
    <w:p w14:paraId="7AF1BABD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10" w:name="_Toc239491046"/>
      <w:bookmarkStart w:id="11" w:name="_Toc24494080"/>
      <w:bookmarkStart w:id="12" w:name="_Toc192669911"/>
      <w:r>
        <w:rPr>
          <w:rFonts w:ascii="Times New Roman" w:hAnsi="Times New Roman" w:eastAsia="黑体"/>
          <w:b w:val="0"/>
        </w:rPr>
        <w:t>范围</w:t>
      </w:r>
      <w:bookmarkEnd w:id="10"/>
      <w:bookmarkEnd w:id="11"/>
      <w:bookmarkEnd w:id="12"/>
    </w:p>
    <w:p w14:paraId="34F2B30F">
      <w:pPr>
        <w:spacing w:line="300" w:lineRule="auto"/>
        <w:ind w:firstLine="482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规范</w:t>
      </w:r>
      <w:r>
        <w:rPr>
          <w:sz w:val="24"/>
        </w:rPr>
        <w:t>适用于</w:t>
      </w:r>
      <w:r>
        <w:rPr>
          <w:rFonts w:hint="eastAsia"/>
          <w:sz w:val="24"/>
        </w:rPr>
        <w:t>采用惠斯通电桥原理</w:t>
      </w:r>
      <w:r>
        <w:rPr>
          <w:sz w:val="24"/>
        </w:rPr>
        <w:t>的</w:t>
      </w:r>
      <w:r>
        <w:rPr>
          <w:rFonts w:hint="eastAsia"/>
          <w:sz w:val="24"/>
        </w:rPr>
        <w:t>电阻应变传感器动态性能的校准</w:t>
      </w:r>
      <w:r>
        <w:rPr>
          <w:sz w:val="24"/>
        </w:rPr>
        <w:t>。</w:t>
      </w:r>
    </w:p>
    <w:p w14:paraId="6F42B66D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13" w:name="_Toc239491047"/>
      <w:bookmarkStart w:id="14" w:name="_Toc192669912"/>
      <w:bookmarkStart w:id="15" w:name="_Toc24494081"/>
      <w:r>
        <w:rPr>
          <w:rFonts w:hint="eastAsia" w:ascii="Times New Roman" w:hAnsi="Times New Roman" w:eastAsia="黑体"/>
          <w:b w:val="0"/>
        </w:rPr>
        <w:t>引用文</w:t>
      </w:r>
      <w:bookmarkEnd w:id="13"/>
      <w:r>
        <w:rPr>
          <w:rFonts w:hint="eastAsia" w:ascii="Times New Roman" w:hAnsi="Times New Roman" w:eastAsia="黑体"/>
          <w:b w:val="0"/>
        </w:rPr>
        <w:t>件</w:t>
      </w:r>
      <w:bookmarkEnd w:id="14"/>
      <w:bookmarkEnd w:id="15"/>
    </w:p>
    <w:p w14:paraId="42915D4A">
      <w:pPr>
        <w:spacing w:line="300" w:lineRule="auto"/>
        <w:ind w:firstLine="482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规范</w:t>
      </w:r>
      <w:r>
        <w:rPr>
          <w:sz w:val="24"/>
        </w:rPr>
        <w:t>引用下列文件：</w:t>
      </w:r>
    </w:p>
    <w:p w14:paraId="7CD214F3">
      <w:pPr>
        <w:spacing w:line="300" w:lineRule="auto"/>
        <w:ind w:firstLine="482"/>
        <w:rPr>
          <w:sz w:val="24"/>
        </w:rPr>
      </w:pPr>
      <w:r>
        <w:rPr>
          <w:rFonts w:hint="eastAsia"/>
          <w:sz w:val="24"/>
        </w:rPr>
        <w:t>GB/T 7665 传感器通用术语</w:t>
      </w:r>
    </w:p>
    <w:p w14:paraId="2F91A58C">
      <w:pPr>
        <w:spacing w:line="300" w:lineRule="auto"/>
        <w:ind w:firstLine="482"/>
        <w:rPr>
          <w:sz w:val="24"/>
        </w:rPr>
      </w:pPr>
      <w:r>
        <w:rPr>
          <w:rFonts w:hint="eastAsia"/>
          <w:sz w:val="24"/>
        </w:rPr>
        <w:t>GB/T 18806 电阻应变式压力传感器总规范</w:t>
      </w:r>
    </w:p>
    <w:p w14:paraId="2B418DB6">
      <w:pPr>
        <w:spacing w:line="300" w:lineRule="auto"/>
        <w:ind w:firstLine="482"/>
        <w:rPr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JGJ 106建筑基桩检测技术规范</w:t>
      </w:r>
    </w:p>
    <w:p w14:paraId="5F184714">
      <w:pPr>
        <w:spacing w:line="300" w:lineRule="auto"/>
        <w:ind w:firstLine="480" w:firstLineChars="200"/>
        <w:rPr>
          <w:sz w:val="24"/>
        </w:rPr>
      </w:pPr>
      <w:r>
        <w:rPr>
          <w:sz w:val="24"/>
        </w:rPr>
        <w:t>凡是注日期的引用文件，仅注日期的版本适用于本</w:t>
      </w:r>
      <w:r>
        <w:rPr>
          <w:rFonts w:hint="eastAsia"/>
          <w:sz w:val="24"/>
        </w:rPr>
        <w:t>规范</w:t>
      </w:r>
      <w:r>
        <w:rPr>
          <w:sz w:val="24"/>
        </w:rPr>
        <w:t>；凡是不注日期的引用文件，其最新版本（包括所有的修改单）适用于本</w:t>
      </w:r>
      <w:r>
        <w:rPr>
          <w:rFonts w:hint="eastAsia"/>
          <w:sz w:val="24"/>
        </w:rPr>
        <w:t>规范</w:t>
      </w:r>
      <w:r>
        <w:rPr>
          <w:sz w:val="24"/>
        </w:rPr>
        <w:t>。</w:t>
      </w:r>
    </w:p>
    <w:p w14:paraId="19B37C0B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16" w:name="_Toc192669913"/>
      <w:bookmarkStart w:id="17" w:name="_Toc24494082"/>
      <w:bookmarkStart w:id="18" w:name="_Toc239491048"/>
      <w:r>
        <w:rPr>
          <w:rFonts w:hint="eastAsia" w:ascii="Times New Roman" w:hAnsi="Times New Roman" w:eastAsia="黑体"/>
          <w:b w:val="0"/>
        </w:rPr>
        <w:t>术语</w:t>
      </w:r>
      <w:bookmarkEnd w:id="16"/>
      <w:bookmarkEnd w:id="17"/>
      <w:bookmarkEnd w:id="18"/>
    </w:p>
    <w:p w14:paraId="4249C9AF">
      <w:pPr>
        <w:pStyle w:val="6"/>
        <w:tabs>
          <w:tab w:val="left" w:pos="840"/>
        </w:tabs>
        <w:spacing w:line="300" w:lineRule="auto"/>
        <w:ind w:firstLine="0"/>
        <w:rPr>
          <w:sz w:val="24"/>
        </w:rPr>
      </w:pPr>
      <w:r>
        <w:rPr>
          <w:rFonts w:hint="eastAsia"/>
          <w:sz w:val="24"/>
        </w:rPr>
        <w:t>3.1</w:t>
      </w:r>
      <w:r>
        <w:rPr>
          <w:rFonts w:hint="eastAsia" w:ascii="黑体" w:eastAsia="黑体"/>
          <w:spacing w:val="20"/>
          <w:sz w:val="24"/>
        </w:rPr>
        <w:t>电阻应变传感器</w:t>
      </w:r>
      <w:r>
        <w:t>resistance strainpile foundation sensor</w:t>
      </w:r>
    </w:p>
    <w:p w14:paraId="2005A104">
      <w:pPr>
        <w:spacing w:line="30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将电阻应变片粘贴在特制的弹性元件上，通过弹性元件和电阻应变片以及电桥电路，获得与形变成一定关系的电信号输出的可重复使用的传感器。</w:t>
      </w:r>
    </w:p>
    <w:p w14:paraId="1510480A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19" w:name="_Toc192669914"/>
      <w:bookmarkStart w:id="20" w:name="_Toc24494085"/>
      <w:bookmarkStart w:id="21" w:name="_Toc239491053"/>
      <w:r>
        <w:rPr>
          <w:rFonts w:hint="eastAsia" w:ascii="Times New Roman" w:hAnsi="Times New Roman" w:eastAsia="黑体"/>
          <w:b w:val="0"/>
        </w:rPr>
        <w:t>概述</w:t>
      </w:r>
      <w:bookmarkEnd w:id="19"/>
      <w:bookmarkEnd w:id="20"/>
      <w:bookmarkEnd w:id="21"/>
      <w:bookmarkStart w:id="22" w:name="_Toc239491054"/>
      <w:bookmarkStart w:id="23" w:name="_Toc24494086"/>
    </w:p>
    <w:p w14:paraId="503F1B6D">
      <w:pPr>
        <w:tabs>
          <w:tab w:val="left" w:pos="840"/>
        </w:tabs>
        <w:adjustRightInd w:val="0"/>
        <w:snapToGrid w:val="0"/>
        <w:spacing w:line="300" w:lineRule="auto"/>
        <w:ind w:firstLine="480" w:firstLineChars="200"/>
        <w:jc w:val="left"/>
        <w:rPr>
          <w:sz w:val="24"/>
        </w:rPr>
      </w:pPr>
      <w:r>
        <w:rPr>
          <w:sz w:val="24"/>
        </w:rPr>
        <w:t>电阻应变传感器</w:t>
      </w:r>
      <w:r>
        <w:rPr>
          <w:rFonts w:hint="eastAsia"/>
          <w:sz w:val="24"/>
        </w:rPr>
        <w:t>是</w:t>
      </w:r>
      <w:r>
        <w:rPr>
          <w:sz w:val="24"/>
        </w:rPr>
        <w:t>通过应变-电阻效应</w:t>
      </w:r>
      <w:r>
        <w:rPr>
          <w:rFonts w:hint="eastAsia"/>
          <w:sz w:val="24"/>
        </w:rPr>
        <w:t>测量物体表面</w:t>
      </w:r>
      <w:r>
        <w:rPr>
          <w:sz w:val="24"/>
        </w:rPr>
        <w:t>微小形变的关键器件，</w:t>
      </w:r>
      <w:r>
        <w:rPr>
          <w:rFonts w:hint="eastAsia"/>
          <w:sz w:val="24"/>
        </w:rPr>
        <w:t>广泛应用</w:t>
      </w:r>
      <w:r>
        <w:rPr>
          <w:sz w:val="24"/>
        </w:rPr>
        <w:t>于桥梁、隧道、建筑物等工程结构健康监测，以确保结构的安全性和耐久性。其工作原理是当传感器的弹性敏感元件随被测物体形变时，其几何尺寸和电阻率发生规律性变化，通过惠斯通电桥将电阻变化转换为差分电压信号，灵敏度系数反映输出与应变的线性关系。电阻应变传感器由</w:t>
      </w:r>
      <w:r>
        <w:fldChar w:fldCharType="begin"/>
      </w:r>
      <w:r>
        <w:instrText xml:space="preserve"> HYPERLINK "https://baike.baidu.com/item/%E5%BC%B9%E6%80%A7%E6%95%8F%E6%84%9F%E5%85%83%E4%BB%B6/8822472?fromModule=lemma_inlink" \t "_blank" </w:instrText>
      </w:r>
      <w:r>
        <w:fldChar w:fldCharType="separate"/>
      </w:r>
      <w:r>
        <w:rPr>
          <w:sz w:val="24"/>
        </w:rPr>
        <w:t>弹性</w:t>
      </w:r>
      <w:r>
        <w:rPr>
          <w:sz w:val="24"/>
        </w:rPr>
        <w:fldChar w:fldCharType="end"/>
      </w:r>
      <w:r>
        <w:rPr>
          <w:rFonts w:hint="eastAsia"/>
          <w:sz w:val="24"/>
        </w:rPr>
        <w:t>敏感元件</w:t>
      </w:r>
      <w:r>
        <w:rPr>
          <w:sz w:val="24"/>
        </w:rPr>
        <w:t>、应变片</w:t>
      </w:r>
      <w:r>
        <w:rPr>
          <w:rFonts w:hint="eastAsia"/>
          <w:sz w:val="24"/>
        </w:rPr>
        <w:t>组合</w:t>
      </w:r>
      <w:r>
        <w:rPr>
          <w:sz w:val="24"/>
        </w:rPr>
        <w:t>和防护封装组成</w:t>
      </w:r>
      <w:r>
        <w:rPr>
          <w:rFonts w:hint="eastAsia"/>
          <w:sz w:val="24"/>
        </w:rPr>
        <w:t>，传感器典型结构如图1所示。</w:t>
      </w:r>
    </w:p>
    <w:p w14:paraId="080959F7">
      <w:pPr>
        <w:spacing w:line="300" w:lineRule="auto"/>
        <w:jc w:val="center"/>
      </w:pPr>
      <w:r>
        <w:pict>
          <v:shape id="文本框 76" o:spid="_x0000_s1138" o:spt="202" type="#_x0000_t202" style="position:absolute;left:0pt;margin-left:304.35pt;margin-top:19.3pt;height:23.2pt;width:105.65pt;z-index:251665408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">
            <v:path/>
            <v:fill focussize="0,0"/>
            <v:stroke on="f" weight="0.5pt" joinstyle="miter"/>
            <v:imagedata o:title=""/>
            <o:lock v:ext="edit"/>
            <v:textbox>
              <w:txbxContent>
                <w:p w14:paraId="3EC92495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>
        <w:pict>
          <v:shape id="Text Box 38" o:spid="_x0000_s1139" o:spt="202" type="#_x0000_t202" style="position:absolute;left:0pt;margin-left:191.35pt;margin-top:14.45pt;height:21.7pt;width:70.4pt;z-index:251666432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">
            <v:path/>
            <v:fill focussize="0,0"/>
            <v:stroke on="f" weight="0.5pt" joinstyle="miter"/>
            <v:imagedata o:title=""/>
            <o:lock v:ext="edit"/>
            <v:textbox>
              <w:txbxContent>
                <w:p w14:paraId="0DA46CE1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drawing>
          <wp:inline distT="0" distB="0" distL="114300" distR="114300">
            <wp:extent cx="4400550" cy="2057400"/>
            <wp:effectExtent l="0" t="0" r="0" b="0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Text Box 37" o:spid="_x0000_s1140" o:spt="202" type="#_x0000_t202" style="position:absolute;left:0pt;margin-left:255.85pt;margin-top:125.45pt;height:23.2pt;width:74.9pt;z-index:251667456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">
            <v:path/>
            <v:fill focussize="0,0"/>
            <v:stroke on="f" weight="0.5pt" joinstyle="miter"/>
            <v:imagedata o:title=""/>
            <o:lock v:ext="edit"/>
            <v:textbox>
              <w:txbxContent>
                <w:p w14:paraId="0567058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>
        <w:pict>
          <v:line id="Line 35" o:spid="_x0000_s1137" o:spt="20" style="position:absolute;left:0pt;margin-left:246.1pt;margin-top:96.2pt;height:34.5pt;width:12.7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34" o:spid="_x0000_s1136" o:spt="20" style="position:absolute;left:0pt;flip:y;margin-left:171.1pt;margin-top:33.2pt;height:21.75pt;width:21pt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33" o:spid="_x0000_s1135" o:spt="20" style="position:absolute;left:0pt;flip:y;margin-left:285.1pt;margin-top:36.2pt;height:21.75pt;width:21.75pt;z-index:2516623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">
            <v:path arrowok="t"/>
            <v:fill focussize="0,0"/>
            <v:stroke/>
            <v:imagedata o:title=""/>
            <o:lock v:ext="edit"/>
          </v:line>
        </w:pict>
      </w:r>
    </w:p>
    <w:p w14:paraId="675A9222">
      <w:pPr>
        <w:spacing w:line="300" w:lineRule="auto"/>
        <w:ind w:firstLine="315" w:firstLineChars="150"/>
        <w:jc w:val="left"/>
      </w:pPr>
      <w:r>
        <w:rPr>
          <w:rFonts w:hint="eastAsia"/>
        </w:rPr>
        <w:t>1 —壳体</w:t>
      </w:r>
    </w:p>
    <w:p w14:paraId="7C0A22E1">
      <w:pPr>
        <w:spacing w:line="300" w:lineRule="auto"/>
        <w:ind w:firstLine="315" w:firstLineChars="150"/>
        <w:jc w:val="left"/>
      </w:pPr>
      <w:r>
        <w:rPr>
          <w:rFonts w:hint="eastAsia"/>
        </w:rPr>
        <w:t>2 —弹性敏感元件</w:t>
      </w:r>
    </w:p>
    <w:p w14:paraId="3C370882">
      <w:pPr>
        <w:spacing w:line="300" w:lineRule="auto"/>
        <w:ind w:firstLine="315" w:firstLineChars="150"/>
        <w:jc w:val="left"/>
      </w:pPr>
      <w:r>
        <w:rPr>
          <w:rFonts w:hint="eastAsia"/>
        </w:rPr>
        <w:t>3 —应变片组合</w:t>
      </w:r>
    </w:p>
    <w:p w14:paraId="53C20017">
      <w:pPr>
        <w:spacing w:line="300" w:lineRule="auto"/>
        <w:jc w:val="center"/>
        <w:rPr>
          <w:sz w:val="24"/>
        </w:rPr>
      </w:pPr>
      <w:r>
        <w:rPr>
          <w:rFonts w:hint="eastAsia"/>
        </w:rPr>
        <w:t>图1 电阻应变传感器典型结构图</w:t>
      </w:r>
    </w:p>
    <w:p w14:paraId="6719C80C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24" w:name="_Toc192669915"/>
      <w:r>
        <w:rPr>
          <w:rFonts w:ascii="Times New Roman" w:hAnsi="Times New Roman" w:eastAsia="黑体"/>
          <w:b w:val="0"/>
        </w:rPr>
        <w:t>计量性能要求</w:t>
      </w:r>
      <w:bookmarkEnd w:id="22"/>
      <w:bookmarkEnd w:id="23"/>
      <w:bookmarkEnd w:id="24"/>
    </w:p>
    <w:p w14:paraId="159BCF6F">
      <w:pPr>
        <w:pStyle w:val="3"/>
        <w:tabs>
          <w:tab w:val="left" w:pos="630"/>
        </w:tabs>
        <w:spacing w:line="300" w:lineRule="auto"/>
      </w:pPr>
      <w:bookmarkStart w:id="25" w:name="_Toc192669916"/>
      <w:r>
        <w:rPr>
          <w:rFonts w:hint="eastAsia"/>
        </w:rPr>
        <w:t>5.1普通灵敏系数（8</w:t>
      </w:r>
      <w:r>
        <w:t>0Hz</w:t>
      </w:r>
      <w:r>
        <w:rPr>
          <w:rFonts w:hint="eastAsia"/>
        </w:rPr>
        <w:t>或1</w:t>
      </w:r>
      <w:r>
        <w:t>60Hz</w:t>
      </w:r>
      <w:r>
        <w:rPr>
          <w:rFonts w:hint="eastAsia"/>
        </w:rPr>
        <w:t>）</w:t>
      </w:r>
      <w:bookmarkEnd w:id="25"/>
    </w:p>
    <w:p w14:paraId="59FD7095">
      <w:pPr>
        <w:ind w:firstLine="420" w:firstLineChars="200"/>
      </w:pPr>
      <w:r>
        <w:rPr>
          <w:rFonts w:hint="eastAsia"/>
        </w:rPr>
        <w:t>不确定度不大于3</w:t>
      </w:r>
      <w:r>
        <w:t>%</w:t>
      </w:r>
    </w:p>
    <w:p w14:paraId="36870477">
      <w:pPr>
        <w:pStyle w:val="3"/>
        <w:tabs>
          <w:tab w:val="left" w:pos="630"/>
        </w:tabs>
        <w:spacing w:line="300" w:lineRule="auto"/>
      </w:pPr>
      <w:bookmarkStart w:id="26" w:name="_Toc192669917"/>
      <w:r>
        <w:rPr>
          <w:rFonts w:hint="eastAsia"/>
        </w:rPr>
        <w:t>5.2参考灵敏度（8</w:t>
      </w:r>
      <w:r>
        <w:t>0Hz</w:t>
      </w:r>
      <w:r>
        <w:rPr>
          <w:rFonts w:hint="eastAsia"/>
        </w:rPr>
        <w:t>或1</w:t>
      </w:r>
      <w:r>
        <w:t>60Hz</w:t>
      </w:r>
      <w:r>
        <w:rPr>
          <w:rFonts w:hint="eastAsia"/>
        </w:rPr>
        <w:t>）</w:t>
      </w:r>
      <w:bookmarkEnd w:id="26"/>
    </w:p>
    <w:p w14:paraId="05C338FB">
      <w:pPr>
        <w:pStyle w:val="6"/>
        <w:tabs>
          <w:tab w:val="left" w:pos="1320"/>
        </w:tabs>
        <w:spacing w:line="300" w:lineRule="auto"/>
        <w:ind w:firstLine="367" w:firstLineChars="175"/>
      </w:pPr>
      <w:r>
        <w:rPr>
          <w:rFonts w:hint="eastAsia"/>
        </w:rPr>
        <w:t>不确定度不大于3</w:t>
      </w:r>
      <w:r>
        <w:t>%</w:t>
      </w:r>
    </w:p>
    <w:p w14:paraId="361319D9">
      <w:pPr>
        <w:pStyle w:val="3"/>
        <w:tabs>
          <w:tab w:val="left" w:pos="630"/>
        </w:tabs>
        <w:spacing w:line="300" w:lineRule="auto"/>
      </w:pPr>
      <w:bookmarkStart w:id="27" w:name="_Toc192669918"/>
      <w:r>
        <w:rPr>
          <w:rFonts w:hint="eastAsia"/>
          <w:bCs/>
          <w:szCs w:val="24"/>
        </w:rPr>
        <w:t>5</w:t>
      </w:r>
      <w:r>
        <w:rPr>
          <w:bCs/>
          <w:szCs w:val="24"/>
        </w:rPr>
        <w:t>.</w:t>
      </w:r>
      <w:r>
        <w:rPr>
          <w:rFonts w:hint="eastAsia"/>
          <w:bCs/>
          <w:szCs w:val="24"/>
        </w:rPr>
        <w:t>3频率响应</w:t>
      </w:r>
      <w:bookmarkEnd w:id="27"/>
      <w:r>
        <w:rPr>
          <w:rFonts w:hint="eastAsia" w:ascii="宋体" w:hAnsi="宋体" w:cs="宋体"/>
          <w:szCs w:val="24"/>
        </w:rPr>
        <w:t>（至少覆盖</w:t>
      </w:r>
      <w:r>
        <w:rPr>
          <w:rFonts w:hint="eastAsia"/>
          <w:szCs w:val="24"/>
        </w:rPr>
        <w:t>2</w:t>
      </w:r>
      <w:r>
        <w:rPr>
          <w:szCs w:val="24"/>
        </w:rPr>
        <w:t>0 Hz</w:t>
      </w:r>
      <w:r>
        <w:rPr>
          <w:lang w:val="zh-CN"/>
        </w:rPr>
        <w:t>～</w:t>
      </w:r>
      <w:r>
        <w:rPr>
          <w:rFonts w:hint="eastAsia"/>
        </w:rPr>
        <w:t>500 Hz</w:t>
      </w:r>
      <w:r>
        <w:rPr>
          <w:rFonts w:hint="eastAsia" w:ascii="宋体" w:hAnsi="宋体" w:cs="宋体"/>
          <w:szCs w:val="24"/>
        </w:rPr>
        <w:t>）</w:t>
      </w:r>
    </w:p>
    <w:p w14:paraId="101AFA19">
      <w:pPr>
        <w:pStyle w:val="6"/>
        <w:tabs>
          <w:tab w:val="left" w:pos="1320"/>
        </w:tabs>
        <w:spacing w:line="300" w:lineRule="auto"/>
        <w:ind w:firstLine="480" w:firstLineChars="200"/>
        <w:rPr>
          <w:bCs/>
          <w:sz w:val="24"/>
        </w:rPr>
      </w:pPr>
      <w:r>
        <w:rPr>
          <w:rFonts w:hint="eastAsia" w:hAnsi="宋体"/>
          <w:sz w:val="24"/>
        </w:rPr>
        <w:t>频率响应</w:t>
      </w:r>
      <w:r>
        <w:rPr>
          <w:rFonts w:hint="eastAsia"/>
          <w:sz w:val="24"/>
        </w:rPr>
        <w:t>：</w:t>
      </w:r>
      <w:r>
        <w:rPr>
          <w:rFonts w:hint="eastAsia" w:hAnsi="宋体" w:cs="宋体"/>
          <w:color w:val="000000"/>
          <w:sz w:val="24"/>
        </w:rPr>
        <w:t>±10</w:t>
      </w:r>
      <w:r>
        <w:rPr>
          <w:rFonts w:hAnsi="宋体" w:cs="宋体"/>
          <w:color w:val="000000"/>
          <w:sz w:val="24"/>
        </w:rPr>
        <w:t>%</w:t>
      </w:r>
      <w:r>
        <w:rPr>
          <w:rFonts w:hint="eastAsia"/>
          <w:bCs/>
          <w:sz w:val="24"/>
        </w:rPr>
        <w:t>。</w:t>
      </w:r>
    </w:p>
    <w:p w14:paraId="7DCA5D6C">
      <w:pPr>
        <w:pStyle w:val="3"/>
        <w:tabs>
          <w:tab w:val="left" w:pos="630"/>
        </w:tabs>
        <w:spacing w:line="300" w:lineRule="auto"/>
      </w:pPr>
      <w:bookmarkStart w:id="28" w:name="_Toc192669919"/>
      <w:r>
        <w:rPr>
          <w:rFonts w:hint="eastAsia"/>
        </w:rPr>
        <w:t>5.4幅值线性度</w:t>
      </w:r>
      <w:bookmarkEnd w:id="28"/>
    </w:p>
    <w:p w14:paraId="6341A1BC">
      <w:pPr>
        <w:pStyle w:val="6"/>
        <w:tabs>
          <w:tab w:val="left" w:pos="1320"/>
        </w:tabs>
        <w:spacing w:line="300" w:lineRule="auto"/>
        <w:ind w:firstLineChars="175"/>
        <w:rPr>
          <w:rFonts w:hAnsi="宋体" w:cs="宋体"/>
          <w:color w:val="000000"/>
          <w:sz w:val="24"/>
        </w:rPr>
      </w:pPr>
      <w:r>
        <w:rPr>
          <w:rFonts w:hint="eastAsia" w:hAnsi="宋体"/>
          <w:sz w:val="24"/>
        </w:rPr>
        <w:t>幅值线性度</w:t>
      </w:r>
      <w:r>
        <w:rPr>
          <w:rFonts w:hint="eastAsia"/>
          <w:sz w:val="24"/>
        </w:rPr>
        <w:t>：</w:t>
      </w:r>
      <w:r>
        <w:rPr>
          <w:rFonts w:hint="eastAsia" w:hAnsi="宋体" w:cs="宋体"/>
          <w:color w:val="000000"/>
          <w:sz w:val="24"/>
        </w:rPr>
        <w:t>±10%。</w:t>
      </w:r>
    </w:p>
    <w:p w14:paraId="795C0599">
      <w:pPr>
        <w:pStyle w:val="6"/>
        <w:tabs>
          <w:tab w:val="left" w:pos="840"/>
        </w:tabs>
        <w:spacing w:line="300" w:lineRule="auto"/>
        <w:ind w:firstLine="0"/>
        <w:rPr>
          <w:bCs/>
          <w:szCs w:val="21"/>
        </w:rPr>
      </w:pPr>
      <w:bookmarkStart w:id="29" w:name="_Toc24494089"/>
      <w:bookmarkStart w:id="30" w:name="_Toc239491059"/>
      <w:r>
        <w:rPr>
          <w:rFonts w:hint="eastAsia"/>
          <w:bCs/>
          <w:szCs w:val="21"/>
        </w:rPr>
        <w:t>注：以上指标不用于合格性判别，仅供参考。</w:t>
      </w:r>
    </w:p>
    <w:bookmarkEnd w:id="29"/>
    <w:bookmarkEnd w:id="30"/>
    <w:p w14:paraId="1692D9FA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31" w:name="_Toc192669920"/>
      <w:r>
        <w:rPr>
          <w:rFonts w:hint="eastAsia" w:ascii="Times New Roman" w:hAnsi="Times New Roman" w:eastAsia="黑体"/>
          <w:b w:val="0"/>
        </w:rPr>
        <w:t>校准条件</w:t>
      </w:r>
      <w:bookmarkEnd w:id="31"/>
    </w:p>
    <w:p w14:paraId="7DCAFC5C">
      <w:pPr>
        <w:pStyle w:val="3"/>
        <w:numPr>
          <w:ilvl w:val="1"/>
          <w:numId w:val="3"/>
        </w:numPr>
        <w:tabs>
          <w:tab w:val="left" w:pos="630"/>
        </w:tabs>
        <w:spacing w:line="300" w:lineRule="auto"/>
      </w:pPr>
      <w:bookmarkStart w:id="32" w:name="_Toc239491064"/>
      <w:bookmarkStart w:id="33" w:name="_Toc24494097"/>
      <w:bookmarkStart w:id="34" w:name="_Toc192669921"/>
      <w:r>
        <w:rPr>
          <w:rFonts w:hint="eastAsia"/>
        </w:rPr>
        <w:t>环境</w:t>
      </w:r>
      <w:r>
        <w:t>条件</w:t>
      </w:r>
      <w:bookmarkEnd w:id="32"/>
      <w:bookmarkEnd w:id="33"/>
      <w:bookmarkEnd w:id="34"/>
    </w:p>
    <w:p w14:paraId="707F164A">
      <w:pPr>
        <w:pStyle w:val="35"/>
        <w:numPr>
          <w:ilvl w:val="0"/>
          <w:numId w:val="0"/>
        </w:numPr>
        <w:tabs>
          <w:tab w:val="left" w:pos="840"/>
          <w:tab w:val="clear" w:pos="720"/>
        </w:tabs>
        <w:spacing w:line="300" w:lineRule="auto"/>
        <w:outlineLvl w:val="9"/>
        <w:rPr>
          <w:rFonts w:ascii="Times New Roman" w:eastAsia="宋体"/>
          <w:sz w:val="24"/>
          <w:szCs w:val="24"/>
        </w:rPr>
      </w:pPr>
      <w:r>
        <w:rPr>
          <w:rFonts w:hint="eastAsia" w:ascii="Times New Roman" w:eastAsia="宋体"/>
          <w:sz w:val="24"/>
          <w:szCs w:val="24"/>
        </w:rPr>
        <w:t>6.1.1温度为（23±5）</w:t>
      </w:r>
      <w:r>
        <w:rPr>
          <w:rFonts w:hint="eastAsia" w:ascii="宋体" w:hAnsi="宋体" w:eastAsia="宋体" w:cs="宋体"/>
          <w:sz w:val="24"/>
        </w:rPr>
        <w:t>℃，相对湿度≤80%</w:t>
      </w:r>
    </w:p>
    <w:p w14:paraId="27BD0B1F">
      <w:pPr>
        <w:rPr>
          <w:sz w:val="24"/>
        </w:rPr>
      </w:pPr>
      <w:bookmarkStart w:id="35" w:name="_Toc110138286"/>
      <w:bookmarkStart w:id="36" w:name="_Toc110135463"/>
      <w:bookmarkStart w:id="37" w:name="_Toc87781847"/>
      <w:bookmarkStart w:id="38" w:name="_Toc120514806"/>
      <w:bookmarkStart w:id="39" w:name="_Toc87781792"/>
      <w:r>
        <w:rPr>
          <w:rFonts w:hint="eastAsia"/>
          <w:sz w:val="24"/>
        </w:rPr>
        <w:t>6.1.2电压：（220±22）V</w:t>
      </w:r>
    </w:p>
    <w:p w14:paraId="4E09956D">
      <w:pPr>
        <w:pStyle w:val="30"/>
        <w:numPr>
          <w:ilvl w:val="2"/>
          <w:numId w:val="4"/>
        </w:numPr>
        <w:ind w:firstLineChars="0"/>
      </w:pPr>
      <w:r>
        <w:rPr>
          <w:rFonts w:hAnsi="宋体"/>
          <w:sz w:val="24"/>
        </w:rPr>
        <w:t>周围无强电磁场</w:t>
      </w:r>
      <w:r>
        <w:rPr>
          <w:rFonts w:hint="eastAsia" w:ascii="宋体" w:hAnsi="宋体"/>
          <w:sz w:val="24"/>
        </w:rPr>
        <w:t>和强烈机械振动</w:t>
      </w:r>
      <w:r>
        <w:rPr>
          <w:rFonts w:hint="eastAsia" w:hAnsi="宋体"/>
          <w:sz w:val="24"/>
        </w:rPr>
        <w:t>；</w:t>
      </w:r>
      <w:r>
        <w:rPr>
          <w:rFonts w:hAnsi="宋体"/>
          <w:sz w:val="24"/>
        </w:rPr>
        <w:t>无腐蚀性气、液体</w:t>
      </w:r>
      <w:r>
        <w:rPr>
          <w:rFonts w:hint="eastAsia" w:hAnsi="宋体"/>
          <w:sz w:val="24"/>
        </w:rPr>
        <w:t>；</w:t>
      </w:r>
      <w:r>
        <w:rPr>
          <w:rFonts w:hAnsi="宋体"/>
          <w:sz w:val="24"/>
        </w:rPr>
        <w:t>无振动、冲击源。</w:t>
      </w:r>
    </w:p>
    <w:p w14:paraId="25AC7952">
      <w:pPr>
        <w:pStyle w:val="3"/>
        <w:numPr>
          <w:ilvl w:val="1"/>
          <w:numId w:val="3"/>
        </w:numPr>
        <w:tabs>
          <w:tab w:val="left" w:pos="630"/>
        </w:tabs>
        <w:spacing w:line="300" w:lineRule="auto"/>
      </w:pPr>
      <w:bookmarkStart w:id="40" w:name="_Toc192669922"/>
      <w:r>
        <w:rPr>
          <w:rFonts w:hint="eastAsia"/>
        </w:rPr>
        <w:t>测量</w:t>
      </w:r>
      <w:r>
        <w:t>标准及其他设备</w:t>
      </w:r>
      <w:bookmarkEnd w:id="40"/>
    </w:p>
    <w:p w14:paraId="25BF682A">
      <w:pPr>
        <w:pStyle w:val="30"/>
        <w:adjustRightInd w:val="0"/>
        <w:snapToGrid w:val="0"/>
        <w:spacing w:line="300" w:lineRule="auto"/>
        <w:ind w:left="360" w:firstLine="0" w:firstLineChars="0"/>
        <w:rPr>
          <w:rFonts w:hAnsi="宋体"/>
          <w:sz w:val="24"/>
        </w:rPr>
      </w:pPr>
      <w:r>
        <w:rPr>
          <w:rFonts w:hint="eastAsia"/>
          <w:sz w:val="24"/>
        </w:rPr>
        <w:t>6.2.1绝对法</w:t>
      </w:r>
      <w:r>
        <w:rPr>
          <w:rFonts w:hint="eastAsia"/>
          <w:sz w:val="24"/>
          <w:szCs w:val="21"/>
        </w:rPr>
        <w:t>振动标准装置或比较法振动标准装置</w:t>
      </w:r>
      <w:r>
        <w:rPr>
          <w:rFonts w:hint="eastAsia" w:hAnsi="宋体"/>
          <w:sz w:val="24"/>
        </w:rPr>
        <w:t>。</w:t>
      </w:r>
    </w:p>
    <w:p w14:paraId="35282ABB">
      <w:pPr>
        <w:pStyle w:val="30"/>
        <w:adjustRightInd w:val="0"/>
        <w:snapToGrid w:val="0"/>
        <w:spacing w:line="300" w:lineRule="auto"/>
        <w:ind w:left="360" w:firstLine="0" w:firstLineChars="0"/>
        <w:rPr>
          <w:rFonts w:hAnsi="宋体"/>
          <w:sz w:val="24"/>
        </w:rPr>
      </w:pPr>
      <w:r>
        <w:rPr>
          <w:rFonts w:hint="eastAsia" w:hAnsi="宋体"/>
          <w:sz w:val="24"/>
        </w:rPr>
        <w:t>振动标准装置的测量不确定度见表1。</w:t>
      </w:r>
    </w:p>
    <w:p w14:paraId="7E0A8367">
      <w:pPr>
        <w:pStyle w:val="30"/>
        <w:adjustRightInd w:val="0"/>
        <w:snapToGrid w:val="0"/>
        <w:spacing w:line="300" w:lineRule="auto"/>
        <w:ind w:left="360" w:firstLine="0" w:firstLineChars="0"/>
        <w:jc w:val="center"/>
        <w:rPr>
          <w:rFonts w:hAnsi="宋体"/>
          <w:sz w:val="24"/>
        </w:rPr>
      </w:pPr>
      <w:r>
        <w:rPr>
          <w:rFonts w:hint="eastAsia" w:hAnsi="宋体"/>
          <w:sz w:val="24"/>
        </w:rPr>
        <w:t>表1振动标准装置的测量不确定度</w:t>
      </w:r>
    </w:p>
    <w:tbl>
      <w:tblPr>
        <w:tblStyle w:val="17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9"/>
        <w:gridCol w:w="2835"/>
        <w:gridCol w:w="3045"/>
      </w:tblGrid>
      <w:tr w14:paraId="406A3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59" w:type="dxa"/>
            <w:vAlign w:val="center"/>
          </w:tcPr>
          <w:p w14:paraId="5B0DAEC7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名称</w:t>
            </w:r>
          </w:p>
        </w:tc>
        <w:tc>
          <w:tcPr>
            <w:tcW w:w="2835" w:type="dxa"/>
            <w:vAlign w:val="center"/>
          </w:tcPr>
          <w:p w14:paraId="11ADE641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测量范围</w:t>
            </w:r>
          </w:p>
        </w:tc>
        <w:tc>
          <w:tcPr>
            <w:tcW w:w="3045" w:type="dxa"/>
            <w:vAlign w:val="center"/>
          </w:tcPr>
          <w:p w14:paraId="1C1D0381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测量不确定度（</w:t>
            </w:r>
            <w:r>
              <w:rPr>
                <w:rFonts w:hint="eastAsia"/>
                <w:i/>
                <w:kern w:val="0"/>
                <w:sz w:val="24"/>
              </w:rPr>
              <w:t>k</w:t>
            </w:r>
            <w:r>
              <w:rPr>
                <w:rFonts w:hint="eastAsia"/>
                <w:kern w:val="0"/>
                <w:sz w:val="24"/>
              </w:rPr>
              <w:t>=2）</w:t>
            </w:r>
          </w:p>
        </w:tc>
      </w:tr>
      <w:tr w14:paraId="0E6B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59" w:type="dxa"/>
            <w:vMerge w:val="restart"/>
            <w:vAlign w:val="center"/>
          </w:tcPr>
          <w:p w14:paraId="3C47D0C1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比较法振动标准装置</w:t>
            </w:r>
          </w:p>
        </w:tc>
        <w:tc>
          <w:tcPr>
            <w:tcW w:w="2835" w:type="dxa"/>
            <w:vAlign w:val="center"/>
          </w:tcPr>
          <w:p w14:paraId="5FFF98BD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0.1 Hz≤</w:t>
            </w:r>
            <w:r>
              <w:rPr>
                <w:rFonts w:hint="eastAsia"/>
                <w:i/>
                <w:kern w:val="0"/>
                <w:sz w:val="24"/>
              </w:rPr>
              <w:t xml:space="preserve">f </w:t>
            </w:r>
            <w:r>
              <w:rPr>
                <w:rFonts w:hint="eastAsia"/>
                <w:kern w:val="0"/>
                <w:sz w:val="24"/>
              </w:rPr>
              <w:t>＜20Hz</w:t>
            </w:r>
          </w:p>
        </w:tc>
        <w:tc>
          <w:tcPr>
            <w:tcW w:w="3045" w:type="dxa"/>
            <w:vAlign w:val="center"/>
          </w:tcPr>
          <w:p w14:paraId="432F1D51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5%</w:t>
            </w:r>
          </w:p>
        </w:tc>
      </w:tr>
      <w:tr w14:paraId="451D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59" w:type="dxa"/>
            <w:vMerge w:val="continue"/>
            <w:vAlign w:val="center"/>
          </w:tcPr>
          <w:p w14:paraId="37A6A1CA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0D4CCE4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 Hz≤</w:t>
            </w:r>
            <w:r>
              <w:rPr>
                <w:rFonts w:hint="eastAsia"/>
                <w:i/>
                <w:kern w:val="0"/>
                <w:sz w:val="24"/>
              </w:rPr>
              <w:t xml:space="preserve">f </w:t>
            </w:r>
            <w:r>
              <w:rPr>
                <w:rFonts w:hint="eastAsia"/>
                <w:kern w:val="0"/>
                <w:sz w:val="24"/>
              </w:rPr>
              <w:t>＜</w:t>
            </w:r>
            <w:r>
              <w:rPr>
                <w:kern w:val="0"/>
                <w:sz w:val="24"/>
              </w:rPr>
              <w:t>640</w:t>
            </w:r>
            <w:r>
              <w:rPr>
                <w:rFonts w:hint="eastAsia"/>
                <w:kern w:val="0"/>
                <w:sz w:val="24"/>
              </w:rPr>
              <w:t>Hz</w:t>
            </w:r>
          </w:p>
        </w:tc>
        <w:tc>
          <w:tcPr>
            <w:tcW w:w="3045" w:type="dxa"/>
            <w:vAlign w:val="center"/>
          </w:tcPr>
          <w:p w14:paraId="028D3C18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2%</w:t>
            </w:r>
          </w:p>
        </w:tc>
      </w:tr>
      <w:tr w14:paraId="0E5B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559" w:type="dxa"/>
            <w:vMerge w:val="continue"/>
            <w:vAlign w:val="center"/>
          </w:tcPr>
          <w:p w14:paraId="4FACEE30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E2D0BFB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2k Hz≤</w:t>
            </w:r>
            <w:r>
              <w:rPr>
                <w:rFonts w:hint="eastAsia"/>
                <w:i/>
                <w:kern w:val="0"/>
                <w:sz w:val="24"/>
              </w:rPr>
              <w:t xml:space="preserve">f </w:t>
            </w:r>
            <w:r>
              <w:rPr>
                <w:rFonts w:hint="eastAsia"/>
                <w:kern w:val="0"/>
                <w:sz w:val="24"/>
              </w:rPr>
              <w:t>≤5kHz</w:t>
            </w:r>
          </w:p>
        </w:tc>
        <w:tc>
          <w:tcPr>
            <w:tcW w:w="3045" w:type="dxa"/>
            <w:vAlign w:val="center"/>
          </w:tcPr>
          <w:p w14:paraId="1D2AB611">
            <w:pPr>
              <w:adjustRightInd w:val="0"/>
              <w:snapToGrid w:val="0"/>
              <w:spacing w:line="30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3%</w:t>
            </w:r>
          </w:p>
        </w:tc>
      </w:tr>
    </w:tbl>
    <w:p w14:paraId="1E7174A5">
      <w:r>
        <w:rPr>
          <w:rFonts w:hint="eastAsia" w:asciiTheme="minorEastAsia" w:hAnsiTheme="minorEastAsia"/>
          <w:sz w:val="24"/>
          <w:szCs w:val="21"/>
        </w:rPr>
        <w:t>6.2.2电阻应变仪，</w:t>
      </w:r>
      <w:r>
        <w:rPr>
          <w:rFonts w:hint="eastAsia" w:asciiTheme="minorEastAsia" w:hAnsiTheme="minorEastAsia"/>
          <w:sz w:val="24"/>
        </w:rPr>
        <w:t>幅值测量不确定度优于1.0%（</w:t>
      </w:r>
      <w:r>
        <w:rPr>
          <w:rFonts w:hint="eastAsia" w:asciiTheme="minorEastAsia" w:hAnsiTheme="minorEastAsia"/>
          <w:i/>
          <w:sz w:val="24"/>
        </w:rPr>
        <w:t>k</w:t>
      </w:r>
      <w:r>
        <w:rPr>
          <w:rFonts w:hint="eastAsia" w:asciiTheme="minorEastAsia" w:hAnsiTheme="minorEastAsia"/>
          <w:sz w:val="24"/>
        </w:rPr>
        <w:t>=2）</w:t>
      </w:r>
    </w:p>
    <w:p w14:paraId="483F19B5">
      <w:pPr>
        <w:rPr>
          <w:rFonts w:asciiTheme="minorEastAsia" w:hAnsiTheme="minorEastAsia" w:eastAsiaTheme="minorEastAsia" w:cstheme="minorBidi"/>
          <w:sz w:val="24"/>
          <w:szCs w:val="21"/>
        </w:rPr>
      </w:pPr>
      <w:r>
        <w:rPr>
          <w:rFonts w:hint="eastAsia" w:asciiTheme="minorEastAsia" w:hAnsiTheme="minorEastAsia" w:eastAsiaTheme="minorEastAsia"/>
          <w:sz w:val="24"/>
          <w:szCs w:val="21"/>
        </w:rPr>
        <w:t>6.2.3 卡尺，测量范围</w:t>
      </w:r>
      <w:r>
        <w:rPr>
          <w:rFonts w:asciiTheme="minorEastAsia" w:hAnsiTheme="minorEastAsia" w:eastAsiaTheme="minorEastAsia" w:cstheme="minorBidi"/>
          <w:sz w:val="24"/>
          <w:szCs w:val="21"/>
        </w:rPr>
        <w:t>（0～150）mm，</w:t>
      </w:r>
      <w:r>
        <w:rPr>
          <w:rFonts w:hint="eastAsia" w:asciiTheme="minorEastAsia" w:hAnsiTheme="minorEastAsia" w:eastAsiaTheme="minorEastAsia" w:cstheme="minorBidi"/>
          <w:sz w:val="24"/>
          <w:szCs w:val="21"/>
        </w:rPr>
        <w:t>最大允许误差：±0.05mm。</w:t>
      </w:r>
    </w:p>
    <w:bookmarkEnd w:id="35"/>
    <w:bookmarkEnd w:id="36"/>
    <w:bookmarkEnd w:id="37"/>
    <w:bookmarkEnd w:id="38"/>
    <w:bookmarkEnd w:id="39"/>
    <w:p w14:paraId="7C870018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41" w:name="_Toc24494098"/>
      <w:bookmarkStart w:id="42" w:name="_Toc239491065"/>
      <w:bookmarkStart w:id="43" w:name="_Toc192669923"/>
      <w:r>
        <w:rPr>
          <w:rFonts w:hint="eastAsia" w:ascii="Times New Roman" w:hAnsi="Times New Roman" w:eastAsia="黑体"/>
          <w:b w:val="0"/>
        </w:rPr>
        <w:t>校准</w:t>
      </w:r>
      <w:r>
        <w:rPr>
          <w:rFonts w:ascii="Times New Roman" w:hAnsi="Times New Roman" w:eastAsia="黑体"/>
          <w:b w:val="0"/>
        </w:rPr>
        <w:t>项目</w:t>
      </w:r>
      <w:bookmarkEnd w:id="41"/>
      <w:bookmarkEnd w:id="42"/>
      <w:r>
        <w:rPr>
          <w:rFonts w:hint="eastAsia" w:ascii="Times New Roman" w:hAnsi="Times New Roman" w:eastAsia="黑体"/>
          <w:b w:val="0"/>
        </w:rPr>
        <w:t>和校准方法</w:t>
      </w:r>
      <w:bookmarkEnd w:id="43"/>
    </w:p>
    <w:p w14:paraId="2A648D74">
      <w:pPr>
        <w:pStyle w:val="30"/>
        <w:numPr>
          <w:ilvl w:val="1"/>
          <w:numId w:val="5"/>
        </w:numPr>
        <w:ind w:firstLineChars="0"/>
        <w:outlineLvl w:val="1"/>
        <w:rPr>
          <w:sz w:val="24"/>
        </w:rPr>
      </w:pPr>
      <w:bookmarkStart w:id="44" w:name="_Toc192669924"/>
      <w:r>
        <w:rPr>
          <w:rFonts w:hint="eastAsia"/>
          <w:sz w:val="24"/>
        </w:rPr>
        <w:t>校准项目</w:t>
      </w:r>
      <w:bookmarkEnd w:id="44"/>
    </w:p>
    <w:p w14:paraId="6552A7FC">
      <w:pPr>
        <w:pStyle w:val="30"/>
        <w:ind w:left="435" w:firstLine="0" w:firstLineChars="0"/>
        <w:rPr>
          <w:sz w:val="24"/>
        </w:rPr>
      </w:pPr>
      <w:r>
        <w:rPr>
          <w:rFonts w:hint="eastAsia"/>
          <w:sz w:val="24"/>
        </w:rPr>
        <w:t>校准项目见表2。</w:t>
      </w:r>
    </w:p>
    <w:p w14:paraId="3949CC16">
      <w:pPr>
        <w:pStyle w:val="30"/>
        <w:ind w:left="435" w:firstLine="0" w:firstLineChars="0"/>
        <w:jc w:val="center"/>
      </w:pPr>
      <w:r>
        <w:rPr>
          <w:rFonts w:hint="eastAsia"/>
        </w:rPr>
        <w:t>表2 校准项目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7"/>
        <w:gridCol w:w="4757"/>
      </w:tblGrid>
      <w:tr w14:paraId="6633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00" w:type="pct"/>
            <w:vAlign w:val="center"/>
          </w:tcPr>
          <w:p w14:paraId="3C535C9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2500" w:type="pct"/>
            <w:vAlign w:val="center"/>
          </w:tcPr>
          <w:p w14:paraId="32F204C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校准项目</w:t>
            </w:r>
          </w:p>
        </w:tc>
      </w:tr>
      <w:tr w14:paraId="28422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0" w:type="pct"/>
            <w:vAlign w:val="center"/>
          </w:tcPr>
          <w:p w14:paraId="37F0E04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2500" w:type="pct"/>
            <w:vAlign w:val="center"/>
          </w:tcPr>
          <w:p w14:paraId="59344F37">
            <w:pPr>
              <w:pStyle w:val="29"/>
              <w:widowControl/>
              <w:shd w:val="clear" w:color="auto" w:fill="FFFFFF"/>
              <w:wordWrap w:val="0"/>
              <w:spacing w:line="360" w:lineRule="auto"/>
              <w:ind w:firstLine="0" w:firstLineChars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普通灵敏系数（可选）</w:t>
            </w:r>
          </w:p>
        </w:tc>
      </w:tr>
      <w:tr w14:paraId="5F4C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0" w:type="pct"/>
            <w:vAlign w:val="center"/>
          </w:tcPr>
          <w:p w14:paraId="4CF11B8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2500" w:type="pct"/>
            <w:vAlign w:val="center"/>
          </w:tcPr>
          <w:p w14:paraId="6DC29F41">
            <w:pPr>
              <w:pStyle w:val="29"/>
              <w:widowControl/>
              <w:shd w:val="clear" w:color="auto" w:fill="FFFFFF"/>
              <w:wordWrap w:val="0"/>
              <w:spacing w:line="360" w:lineRule="auto"/>
              <w:ind w:firstLine="0" w:firstLineChars="0"/>
              <w:jc w:val="center"/>
            </w:pPr>
            <w:r>
              <w:rPr>
                <w:rFonts w:hint="eastAsia"/>
              </w:rPr>
              <w:t>参考灵敏度（可选）</w:t>
            </w:r>
          </w:p>
        </w:tc>
      </w:tr>
      <w:tr w14:paraId="574F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0" w:type="pct"/>
            <w:vAlign w:val="center"/>
          </w:tcPr>
          <w:p w14:paraId="47A5A13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2500" w:type="pct"/>
            <w:vAlign w:val="center"/>
          </w:tcPr>
          <w:p w14:paraId="67366566">
            <w:pPr>
              <w:pStyle w:val="29"/>
              <w:widowControl/>
              <w:shd w:val="clear" w:color="auto" w:fill="FFFFFF"/>
              <w:wordWrap w:val="0"/>
              <w:spacing w:line="360" w:lineRule="auto"/>
              <w:ind w:firstLine="0" w:firstLineChars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频率响应</w:t>
            </w:r>
          </w:p>
        </w:tc>
      </w:tr>
      <w:tr w14:paraId="50DF2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0" w:type="pct"/>
            <w:vAlign w:val="center"/>
          </w:tcPr>
          <w:p w14:paraId="0A41621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  <w:tc>
          <w:tcPr>
            <w:tcW w:w="2500" w:type="pct"/>
            <w:vAlign w:val="center"/>
          </w:tcPr>
          <w:p w14:paraId="775DAF73">
            <w:pPr>
              <w:pStyle w:val="29"/>
              <w:widowControl/>
              <w:shd w:val="clear" w:color="auto" w:fill="FFFFFF"/>
              <w:wordWrap w:val="0"/>
              <w:spacing w:line="360" w:lineRule="auto"/>
              <w:ind w:firstLine="0" w:firstLineChars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幅值线性度</w:t>
            </w:r>
            <w:r>
              <w:rPr>
                <w:rFonts w:hint="eastAsia"/>
              </w:rPr>
              <w:t>（可选）</w:t>
            </w:r>
          </w:p>
        </w:tc>
      </w:tr>
      <w:tr w14:paraId="01018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" w:type="pct"/>
            <w:gridSpan w:val="2"/>
            <w:vAlign w:val="center"/>
          </w:tcPr>
          <w:p w14:paraId="17D64D3F">
            <w:pPr>
              <w:pStyle w:val="29"/>
              <w:widowControl/>
              <w:shd w:val="clear" w:color="auto" w:fill="FFFFFF"/>
              <w:wordWrap w:val="0"/>
              <w:spacing w:line="360" w:lineRule="auto"/>
              <w:ind w:firstLine="0" w:firstLineChars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注：“可选”表示根据传感器类型进行选择校准的项目</w:t>
            </w:r>
          </w:p>
        </w:tc>
      </w:tr>
    </w:tbl>
    <w:p w14:paraId="373691C0">
      <w:pPr>
        <w:pStyle w:val="3"/>
        <w:tabs>
          <w:tab w:val="left" w:pos="630"/>
        </w:tabs>
        <w:spacing w:line="300" w:lineRule="auto"/>
      </w:pPr>
      <w:bookmarkStart w:id="45" w:name="_Toc24494099"/>
      <w:bookmarkStart w:id="46" w:name="_Toc192669925"/>
      <w:bookmarkStart w:id="47" w:name="_Toc239491066"/>
      <w:r>
        <w:rPr>
          <w:rFonts w:hint="eastAsia"/>
        </w:rPr>
        <w:t>7.2 校准</w:t>
      </w:r>
      <w:r>
        <w:t>方法</w:t>
      </w:r>
      <w:bookmarkEnd w:id="45"/>
      <w:bookmarkEnd w:id="46"/>
      <w:bookmarkEnd w:id="47"/>
    </w:p>
    <w:p w14:paraId="2710DC28">
      <w:pPr>
        <w:pStyle w:val="35"/>
        <w:numPr>
          <w:ilvl w:val="0"/>
          <w:numId w:val="0"/>
        </w:numPr>
        <w:tabs>
          <w:tab w:val="left" w:pos="840"/>
          <w:tab w:val="clear" w:pos="720"/>
        </w:tabs>
        <w:spacing w:line="300" w:lineRule="auto"/>
        <w:outlineLvl w:val="9"/>
        <w:rPr>
          <w:rFonts w:ascii="Times New Roman" w:eastAsia="宋体"/>
          <w:sz w:val="24"/>
          <w:szCs w:val="24"/>
        </w:rPr>
      </w:pPr>
      <w:r>
        <w:rPr>
          <w:rFonts w:hint="eastAsia" w:ascii="Times New Roman" w:eastAsia="宋体"/>
          <w:sz w:val="24"/>
          <w:szCs w:val="24"/>
        </w:rPr>
        <w:t>7.2.1校准前的准备</w:t>
      </w:r>
    </w:p>
    <w:p w14:paraId="44767702">
      <w:pPr>
        <w:tabs>
          <w:tab w:val="left" w:pos="840"/>
        </w:tabs>
        <w:adjustRightInd w:val="0"/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  <w:szCs w:val="21"/>
        </w:rPr>
        <w:t>7.2.1.1</w:t>
      </w:r>
      <w:r>
        <w:rPr>
          <w:sz w:val="24"/>
        </w:rPr>
        <w:t>目视检查或手动操作</w:t>
      </w:r>
      <w:r>
        <w:rPr>
          <w:rFonts w:hint="eastAsia"/>
          <w:sz w:val="24"/>
        </w:rPr>
        <w:t>，传感器的密封壳体不应有锈斑、明显划痕及凹陷损伤；端部表面应光洁；引出电缆应无损伤。</w:t>
      </w:r>
    </w:p>
    <w:p w14:paraId="4EE7EA32">
      <w:pPr>
        <w:tabs>
          <w:tab w:val="left" w:pos="840"/>
        </w:tabs>
        <w:adjustRightInd w:val="0"/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7.2.1.2标距测量，传感器安装之前，用卡尺测量传感器的标距3次，取3次测量平均值作为传感器的标距L。</w:t>
      </w:r>
    </w:p>
    <w:p w14:paraId="2A3E1F28">
      <w:pPr>
        <w:tabs>
          <w:tab w:val="left" w:pos="840"/>
        </w:tabs>
        <w:adjustRightInd w:val="0"/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7.2.1.3传感器安装过程和步骤：用配套螺钉将传感器安装在振动台及夹具</w:t>
      </w:r>
      <w:r>
        <w:rPr>
          <w:sz w:val="24"/>
          <w:szCs w:val="21"/>
        </w:rPr>
        <w:t>上，振动台未开始振动时，应保证传感器无</w:t>
      </w:r>
      <w:r>
        <w:rPr>
          <w:rFonts w:hint="eastAsia"/>
          <w:sz w:val="24"/>
          <w:szCs w:val="21"/>
        </w:rPr>
        <w:t>形变</w:t>
      </w:r>
      <w:r>
        <w:rPr>
          <w:sz w:val="24"/>
          <w:szCs w:val="21"/>
        </w:rPr>
        <w:t>。</w:t>
      </w:r>
    </w:p>
    <w:p w14:paraId="4816BE83">
      <w:pPr>
        <w:pStyle w:val="35"/>
        <w:numPr>
          <w:ilvl w:val="0"/>
          <w:numId w:val="0"/>
        </w:numPr>
        <w:tabs>
          <w:tab w:val="left" w:pos="840"/>
          <w:tab w:val="clear" w:pos="720"/>
        </w:tabs>
        <w:spacing w:line="300" w:lineRule="auto"/>
        <w:outlineLvl w:val="9"/>
        <w:rPr>
          <w:rFonts w:ascii="Times New Roman" w:eastAsia="宋体"/>
          <w:sz w:val="24"/>
          <w:szCs w:val="24"/>
        </w:rPr>
      </w:pPr>
      <w:bookmarkStart w:id="48" w:name="_Toc239491067"/>
      <w:r>
        <w:rPr>
          <w:rFonts w:hint="eastAsia" w:ascii="Times New Roman" w:eastAsia="宋体"/>
          <w:sz w:val="24"/>
          <w:szCs w:val="24"/>
        </w:rPr>
        <w:t>7.2.2</w:t>
      </w:r>
      <w:r>
        <w:rPr>
          <w:sz w:val="24"/>
          <w:szCs w:val="21"/>
        </w:rPr>
        <w:t>普通灵敏系数</w:t>
      </w:r>
    </w:p>
    <w:p w14:paraId="3E9B1D3B">
      <w:pPr>
        <w:adjustRightInd w:val="0"/>
        <w:snapToGrid w:val="0"/>
        <w:spacing w:line="300" w:lineRule="auto"/>
        <w:ind w:firstLine="480" w:firstLineChars="200"/>
      </w:pPr>
      <w:r>
        <w:rPr>
          <w:sz w:val="24"/>
          <w:szCs w:val="21"/>
        </w:rPr>
        <w:t>传感器的普通灵敏系数校准</w:t>
      </w:r>
      <w:r>
        <w:rPr>
          <w:rFonts w:hint="eastAsia"/>
          <w:sz w:val="24"/>
          <w:szCs w:val="21"/>
        </w:rPr>
        <w:t>示意图</w:t>
      </w:r>
      <w:r>
        <w:rPr>
          <w:sz w:val="24"/>
          <w:szCs w:val="21"/>
        </w:rPr>
        <w:t>如图</w:t>
      </w:r>
      <w:r>
        <w:rPr>
          <w:rFonts w:hint="eastAsia"/>
          <w:sz w:val="24"/>
          <w:szCs w:val="21"/>
        </w:rPr>
        <w:t>2</w:t>
      </w:r>
      <w:r>
        <w:rPr>
          <w:sz w:val="24"/>
          <w:szCs w:val="21"/>
        </w:rPr>
        <w:t>所示。</w:t>
      </w:r>
    </w:p>
    <w:p w14:paraId="5391F6E4">
      <w:pPr>
        <w:adjustRightInd w:val="0"/>
        <w:snapToGrid w:val="0"/>
        <w:spacing w:line="300" w:lineRule="auto"/>
        <w:jc w:val="center"/>
      </w:pPr>
      <w:r>
        <w:drawing>
          <wp:inline distT="0" distB="0" distL="0" distR="0">
            <wp:extent cx="5904230" cy="2883535"/>
            <wp:effectExtent l="19050" t="0" r="127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288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A29747">
      <w:pPr>
        <w:adjustRightInd w:val="0"/>
        <w:snapToGrid w:val="0"/>
        <w:spacing w:line="300" w:lineRule="auto"/>
        <w:jc w:val="center"/>
      </w:pPr>
      <w:r>
        <w:rPr>
          <w:rFonts w:hint="eastAsia"/>
        </w:rPr>
        <w:t>图2 校准原理图</w:t>
      </w:r>
    </w:p>
    <w:p w14:paraId="7CAEDD82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在被校传感器测量范围内选取某一参考频率（推荐160 Hz）和加速度</w:t>
      </w:r>
      <w:r>
        <w:rPr>
          <w:rFonts w:hint="eastAsia"/>
          <w:sz w:val="24"/>
          <w:szCs w:val="21"/>
        </w:rPr>
        <w:t>、位移</w:t>
      </w:r>
      <w:r>
        <w:rPr>
          <w:sz w:val="24"/>
          <w:szCs w:val="21"/>
        </w:rPr>
        <w:t>值（推荐</w:t>
      </w:r>
      <w:r>
        <w:rPr>
          <w:rFonts w:hint="eastAsia"/>
          <w:sz w:val="24"/>
          <w:szCs w:val="21"/>
        </w:rPr>
        <w:t>5</w:t>
      </w:r>
      <w:r>
        <w:rPr>
          <w:sz w:val="24"/>
          <w:szCs w:val="21"/>
        </w:rPr>
        <w:t xml:space="preserve"> 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、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>0 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、</w:t>
      </w:r>
      <w:r>
        <w:rPr>
          <w:rFonts w:hint="eastAsia"/>
          <w:sz w:val="24"/>
          <w:szCs w:val="21"/>
        </w:rPr>
        <w:t>9.9μm、4.95μm</w:t>
      </w:r>
      <w:r>
        <w:rPr>
          <w:sz w:val="24"/>
          <w:szCs w:val="21"/>
        </w:rPr>
        <w:t>）进行正弦激振，被校传感器的普通灵敏系数</w:t>
      </w:r>
      <w:r>
        <w:rPr>
          <w:rFonts w:hint="eastAsia"/>
          <w:i/>
          <w:sz w:val="24"/>
          <w:szCs w:val="21"/>
        </w:rPr>
        <w:t>K</w:t>
      </w:r>
      <w:r>
        <w:rPr>
          <w:sz w:val="24"/>
          <w:szCs w:val="21"/>
        </w:rPr>
        <w:t>按</w:t>
      </w:r>
      <w:r>
        <w:rPr>
          <w:rFonts w:hint="eastAsia"/>
          <w:sz w:val="24"/>
          <w:szCs w:val="21"/>
        </w:rPr>
        <w:t>式（1）计算</w:t>
      </w:r>
      <w:r>
        <w:rPr>
          <w:sz w:val="24"/>
          <w:szCs w:val="21"/>
        </w:rPr>
        <w:t>。</w:t>
      </w:r>
    </w:p>
    <w:p w14:paraId="6630C043">
      <w:pPr>
        <w:adjustRightInd w:val="0"/>
        <w:snapToGrid w:val="0"/>
        <w:spacing w:line="300" w:lineRule="auto"/>
        <w:jc w:val="center"/>
      </w:pPr>
      <w:r>
        <w:rPr>
          <w:position w:val="-24"/>
        </w:rPr>
        <w:object>
          <v:shape id="_x0000_i1025" o:spt="75" type="#_x0000_t75" style="height:34.35pt;width:87.0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（</w:t>
      </w:r>
      <w:r>
        <w:rPr>
          <w:rFonts w:hint="eastAsia"/>
        </w:rPr>
        <w:t>1</w:t>
      </w:r>
      <w:r>
        <w:t>）</w:t>
      </w:r>
    </w:p>
    <w:p w14:paraId="60EFD1F5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式中：</w:t>
      </w:r>
    </w:p>
    <w:p w14:paraId="4745D796">
      <w:pPr>
        <w:adjustRightInd w:val="0"/>
        <w:snapToGrid w:val="0"/>
        <w:spacing w:line="300" w:lineRule="auto"/>
        <w:ind w:firstLine="480" w:firstLineChars="200"/>
      </w:pPr>
      <w:r>
        <w:rPr>
          <w:rFonts w:hint="eastAsia"/>
          <w:i/>
          <w:iCs/>
          <w:sz w:val="24"/>
          <w:szCs w:val="21"/>
        </w:rPr>
        <w:t>K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普通灵敏系数，</w:t>
      </w:r>
      <w:r>
        <w:rPr>
          <w:sz w:val="24"/>
        </w:rPr>
        <w:t>με</w:t>
      </w:r>
      <w:r>
        <w:rPr>
          <w:rFonts w:hint="eastAsia"/>
          <w:sz w:val="24"/>
        </w:rPr>
        <w:t>/m</w:t>
      </w:r>
      <w:r>
        <w:rPr>
          <w:sz w:val="24"/>
          <w:szCs w:val="21"/>
        </w:rPr>
        <w:t>V/</w:t>
      </w:r>
      <w:r>
        <w:rPr>
          <w:rFonts w:hint="eastAsia"/>
          <w:sz w:val="24"/>
        </w:rPr>
        <w:t>V</w:t>
      </w:r>
      <w:r>
        <w:rPr>
          <w:sz w:val="24"/>
        </w:rPr>
        <w:t>，</w:t>
      </w:r>
    </w:p>
    <w:p w14:paraId="67C52795">
      <w:pPr>
        <w:adjustRightInd w:val="0"/>
        <w:snapToGrid w:val="0"/>
        <w:spacing w:line="300" w:lineRule="auto"/>
        <w:ind w:firstLine="480" w:firstLineChars="200"/>
        <w:rPr>
          <w:sz w:val="24"/>
        </w:rPr>
      </w:pPr>
      <w:r>
        <w:rPr>
          <w:i/>
          <w:iCs/>
          <w:sz w:val="24"/>
        </w:rPr>
        <w:t>E</w:t>
      </w:r>
      <w:r>
        <w:rPr>
          <w:rFonts w:hint="eastAsia"/>
          <w:sz w:val="24"/>
        </w:rPr>
        <w:t>——</w:t>
      </w:r>
      <w:r>
        <w:rPr>
          <w:sz w:val="24"/>
        </w:rPr>
        <w:t>传感器输出值，μ</w:t>
      </w:r>
      <w:r>
        <w:rPr>
          <w:rFonts w:hint="eastAsia"/>
          <w:sz w:val="24"/>
        </w:rPr>
        <w:t>V</w:t>
      </w:r>
      <w:r>
        <w:rPr>
          <w:sz w:val="24"/>
        </w:rPr>
        <w:t>，</w:t>
      </w:r>
    </w:p>
    <w:p w14:paraId="3F77F5F1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</w:rPr>
        <w:t>X</w:t>
      </w:r>
      <w:r>
        <w:rPr>
          <w:sz w:val="24"/>
          <w:vertAlign w:val="subscript"/>
        </w:rPr>
        <w:t>0</w:t>
      </w:r>
      <w:r>
        <w:rPr>
          <w:rFonts w:hint="eastAsia"/>
          <w:sz w:val="24"/>
        </w:rPr>
        <w:t>——</w:t>
      </w:r>
      <w:r>
        <w:rPr>
          <w:sz w:val="24"/>
        </w:rPr>
        <w:t>参考加速度单峰值，</w:t>
      </w:r>
      <w:r>
        <w:rPr>
          <w:sz w:val="24"/>
          <w:szCs w:val="21"/>
        </w:rPr>
        <w:t>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，</w:t>
      </w:r>
    </w:p>
    <w:p w14:paraId="2B386EF8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  <w:szCs w:val="21"/>
        </w:rPr>
        <w:t>f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振动台振动频率，Hz</w:t>
      </w:r>
    </w:p>
    <w:p w14:paraId="2A6D36E7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  <w:szCs w:val="21"/>
        </w:rPr>
        <w:t>L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传感器</w:t>
      </w:r>
      <w:r>
        <w:rPr>
          <w:rFonts w:hint="eastAsia"/>
          <w:sz w:val="24"/>
          <w:szCs w:val="21"/>
        </w:rPr>
        <w:t>标距</w:t>
      </w:r>
      <w:r>
        <w:rPr>
          <w:sz w:val="24"/>
          <w:szCs w:val="21"/>
        </w:rPr>
        <w:t>，m</w:t>
      </w:r>
    </w:p>
    <w:p w14:paraId="04CEAB30">
      <w:pPr>
        <w:adjustRightInd w:val="0"/>
        <w:snapToGrid w:val="0"/>
        <w:spacing w:line="300" w:lineRule="auto"/>
        <w:ind w:firstLine="420" w:firstLineChars="200"/>
        <w:rPr>
          <w:sz w:val="24"/>
          <w:szCs w:val="21"/>
        </w:rPr>
      </w:pPr>
      <w:r>
        <w:rPr>
          <w:position w:val="-12"/>
        </w:rPr>
        <w:object>
          <v:shape id="_x0000_i1026" o:spt="75" type="#_x0000_t75" style="height:19.25pt;width:1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/>
          <w:sz w:val="24"/>
        </w:rPr>
        <w:t>——</w:t>
      </w:r>
      <w:r>
        <w:rPr>
          <w:sz w:val="24"/>
        </w:rPr>
        <w:t>激励电压，</w:t>
      </w:r>
      <w:r>
        <w:rPr>
          <w:rFonts w:hint="eastAsia"/>
          <w:sz w:val="24"/>
        </w:rPr>
        <w:t>V</w:t>
      </w:r>
      <w:r>
        <w:rPr>
          <w:sz w:val="24"/>
          <w:szCs w:val="21"/>
        </w:rPr>
        <w:t>。</w:t>
      </w:r>
    </w:p>
    <w:p w14:paraId="2AE066CC">
      <w:pPr>
        <w:pStyle w:val="35"/>
        <w:numPr>
          <w:ilvl w:val="0"/>
          <w:numId w:val="0"/>
        </w:numPr>
        <w:tabs>
          <w:tab w:val="left" w:pos="840"/>
          <w:tab w:val="clear" w:pos="720"/>
        </w:tabs>
        <w:spacing w:line="300" w:lineRule="auto"/>
        <w:outlineLvl w:val="9"/>
        <w:rPr>
          <w:rFonts w:ascii="Times New Roman" w:eastAsia="宋体"/>
          <w:sz w:val="24"/>
          <w:szCs w:val="24"/>
        </w:rPr>
      </w:pPr>
      <w:r>
        <w:rPr>
          <w:rFonts w:hint="eastAsia" w:ascii="Times New Roman" w:eastAsia="宋体"/>
          <w:sz w:val="24"/>
          <w:szCs w:val="24"/>
        </w:rPr>
        <w:t>7.2.3频率响应</w:t>
      </w:r>
    </w:p>
    <w:p w14:paraId="72529913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传感器的频率响应校准</w:t>
      </w:r>
      <w:r>
        <w:rPr>
          <w:rFonts w:hint="eastAsia"/>
          <w:sz w:val="24"/>
          <w:szCs w:val="21"/>
        </w:rPr>
        <w:t>示意图</w:t>
      </w:r>
      <w:r>
        <w:rPr>
          <w:sz w:val="24"/>
          <w:szCs w:val="21"/>
        </w:rPr>
        <w:t>如图</w:t>
      </w:r>
      <w:r>
        <w:rPr>
          <w:rFonts w:hint="eastAsia"/>
          <w:sz w:val="24"/>
          <w:szCs w:val="21"/>
        </w:rPr>
        <w:t>2</w:t>
      </w:r>
      <w:r>
        <w:rPr>
          <w:sz w:val="24"/>
          <w:szCs w:val="21"/>
        </w:rPr>
        <w:t>所示。</w:t>
      </w:r>
    </w:p>
    <w:p w14:paraId="13C4E771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在被校传感器测量范围内选取某一参考频率（推荐160 Hz）和加速度</w:t>
      </w:r>
      <w:r>
        <w:rPr>
          <w:rFonts w:hint="eastAsia"/>
          <w:sz w:val="24"/>
          <w:szCs w:val="21"/>
        </w:rPr>
        <w:t>、位移</w:t>
      </w:r>
      <w:r>
        <w:rPr>
          <w:sz w:val="24"/>
          <w:szCs w:val="21"/>
        </w:rPr>
        <w:t>值（推荐</w:t>
      </w:r>
      <w:r>
        <w:rPr>
          <w:rFonts w:hint="eastAsia"/>
          <w:sz w:val="24"/>
          <w:szCs w:val="21"/>
        </w:rPr>
        <w:t>5</w:t>
      </w:r>
      <w:r>
        <w:rPr>
          <w:sz w:val="24"/>
          <w:szCs w:val="21"/>
        </w:rPr>
        <w:t xml:space="preserve"> 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、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>0 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、</w:t>
      </w:r>
      <w:r>
        <w:rPr>
          <w:rFonts w:hint="eastAsia"/>
          <w:sz w:val="24"/>
          <w:szCs w:val="21"/>
        </w:rPr>
        <w:t>9.9μm、4.95μm</w:t>
      </w:r>
      <w:r>
        <w:rPr>
          <w:sz w:val="24"/>
          <w:szCs w:val="21"/>
        </w:rPr>
        <w:t>）进行正弦激振，被校传感器的参考灵敏度按式（</w:t>
      </w:r>
      <w:r>
        <w:rPr>
          <w:rFonts w:hint="eastAsia"/>
          <w:sz w:val="24"/>
          <w:szCs w:val="21"/>
        </w:rPr>
        <w:t>2）计算</w:t>
      </w:r>
      <w:r>
        <w:rPr>
          <w:sz w:val="24"/>
          <w:szCs w:val="21"/>
        </w:rPr>
        <w:t>。</w:t>
      </w:r>
    </w:p>
    <w:p w14:paraId="6A333E0D">
      <w:pPr>
        <w:adjustRightInd w:val="0"/>
        <w:snapToGrid w:val="0"/>
        <w:spacing w:line="300" w:lineRule="auto"/>
        <w:jc w:val="right"/>
      </w:pPr>
      <w:r>
        <w:rPr>
          <w:position w:val="-32"/>
        </w:rPr>
        <w:object>
          <v:shape id="_x0000_i1027" o:spt="75" type="#_x0000_t75" style="height:37.65pt;width:78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（</w:t>
      </w:r>
      <w:r>
        <w:rPr>
          <w:rFonts w:hint="eastAsia"/>
        </w:rPr>
        <w:t>2</w:t>
      </w:r>
      <w:r>
        <w:t>）</w:t>
      </w:r>
    </w:p>
    <w:p w14:paraId="6FE97CBA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式中：</w:t>
      </w:r>
    </w:p>
    <w:p w14:paraId="64A0EAA0">
      <w:pPr>
        <w:adjustRightInd w:val="0"/>
        <w:snapToGrid w:val="0"/>
        <w:spacing w:line="300" w:lineRule="auto"/>
        <w:ind w:firstLine="480" w:firstLineChars="200"/>
      </w:pPr>
      <w:r>
        <w:rPr>
          <w:i/>
          <w:iCs/>
          <w:sz w:val="24"/>
          <w:szCs w:val="21"/>
        </w:rPr>
        <w:t>S</w:t>
      </w:r>
      <w:r>
        <w:rPr>
          <w:sz w:val="24"/>
          <w:szCs w:val="21"/>
          <w:vertAlign w:val="subscript"/>
        </w:rPr>
        <w:t>0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参考灵敏度，</w:t>
      </w:r>
      <w:r>
        <w:rPr>
          <w:sz w:val="24"/>
        </w:rPr>
        <w:t>μ</w:t>
      </w:r>
      <w:r>
        <w:rPr>
          <w:sz w:val="24"/>
          <w:szCs w:val="21"/>
        </w:rPr>
        <w:t>V/</w:t>
      </w:r>
      <w:r>
        <w:rPr>
          <w:sz w:val="24"/>
        </w:rPr>
        <w:t>με，</w:t>
      </w:r>
    </w:p>
    <w:p w14:paraId="6F887AB5">
      <w:pPr>
        <w:adjustRightInd w:val="0"/>
        <w:snapToGrid w:val="0"/>
        <w:spacing w:line="300" w:lineRule="auto"/>
        <w:ind w:firstLine="480" w:firstLineChars="200"/>
        <w:rPr>
          <w:sz w:val="24"/>
        </w:rPr>
      </w:pPr>
      <w:r>
        <w:rPr>
          <w:i/>
          <w:iCs/>
          <w:sz w:val="24"/>
        </w:rPr>
        <w:t>E</w:t>
      </w:r>
      <w:r>
        <w:rPr>
          <w:rFonts w:hint="eastAsia"/>
          <w:sz w:val="24"/>
        </w:rPr>
        <w:t>——</w:t>
      </w:r>
      <w:r>
        <w:rPr>
          <w:sz w:val="24"/>
        </w:rPr>
        <w:t>传感器输出值，μ</w:t>
      </w:r>
      <w:r>
        <w:rPr>
          <w:rFonts w:hint="eastAsia"/>
          <w:sz w:val="24"/>
        </w:rPr>
        <w:t>V</w:t>
      </w:r>
      <w:r>
        <w:rPr>
          <w:sz w:val="24"/>
        </w:rPr>
        <w:t>，</w:t>
      </w:r>
    </w:p>
    <w:p w14:paraId="7D7F6F9C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</w:rPr>
        <w:t>X</w:t>
      </w:r>
      <w:r>
        <w:rPr>
          <w:sz w:val="24"/>
          <w:vertAlign w:val="subscript"/>
        </w:rPr>
        <w:t>0</w:t>
      </w:r>
      <w:r>
        <w:rPr>
          <w:rFonts w:hint="eastAsia"/>
          <w:sz w:val="24"/>
        </w:rPr>
        <w:t>——</w:t>
      </w:r>
      <w:r>
        <w:rPr>
          <w:sz w:val="24"/>
        </w:rPr>
        <w:t>参考加速度单峰值，</w:t>
      </w:r>
      <w:r>
        <w:rPr>
          <w:sz w:val="24"/>
          <w:szCs w:val="21"/>
        </w:rPr>
        <w:t>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，</w:t>
      </w:r>
    </w:p>
    <w:p w14:paraId="0AC26B34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  <w:szCs w:val="21"/>
        </w:rPr>
        <w:t>f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振动台振动频率，Hz</w:t>
      </w:r>
    </w:p>
    <w:p w14:paraId="1A544D36">
      <w:pPr>
        <w:adjustRightInd w:val="0"/>
        <w:snapToGrid w:val="0"/>
        <w:spacing w:line="300" w:lineRule="auto"/>
        <w:ind w:firstLine="480" w:firstLineChars="200"/>
        <w:jc w:val="left"/>
      </w:pPr>
      <w:r>
        <w:rPr>
          <w:i/>
          <w:iCs/>
          <w:sz w:val="24"/>
          <w:szCs w:val="21"/>
        </w:rPr>
        <w:t>L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传感器</w:t>
      </w:r>
      <w:r>
        <w:rPr>
          <w:rFonts w:hint="eastAsia"/>
          <w:sz w:val="24"/>
          <w:szCs w:val="21"/>
        </w:rPr>
        <w:t>标距</w:t>
      </w:r>
      <w:r>
        <w:rPr>
          <w:sz w:val="24"/>
          <w:szCs w:val="21"/>
        </w:rPr>
        <w:t>，m。</w:t>
      </w:r>
    </w:p>
    <w:p w14:paraId="10F3500F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改变振动频率，在全频段内选择不少于</w:t>
      </w:r>
      <w:r>
        <w:rPr>
          <w:rFonts w:hint="eastAsia"/>
          <w:sz w:val="24"/>
          <w:szCs w:val="21"/>
        </w:rPr>
        <w:t>6</w:t>
      </w:r>
      <w:r>
        <w:rPr>
          <w:sz w:val="24"/>
          <w:szCs w:val="21"/>
        </w:rPr>
        <w:t>个频率点进行测量，推荐频率为20Hz，40Hz，80Hz，160Hz，320Hz，</w:t>
      </w:r>
      <w:r>
        <w:rPr>
          <w:rFonts w:hint="eastAsia"/>
          <w:sz w:val="24"/>
          <w:szCs w:val="21"/>
        </w:rPr>
        <w:t>50</w:t>
      </w:r>
      <w:r>
        <w:rPr>
          <w:sz w:val="24"/>
          <w:szCs w:val="21"/>
        </w:rPr>
        <w:t>0Hz</w:t>
      </w:r>
      <w:r>
        <w:rPr>
          <w:rFonts w:hint="eastAsia"/>
          <w:sz w:val="24"/>
          <w:szCs w:val="21"/>
        </w:rPr>
        <w:t>，</w:t>
      </w:r>
      <w:r>
        <w:rPr>
          <w:sz w:val="24"/>
          <w:szCs w:val="21"/>
        </w:rPr>
        <w:t>分别测量不同频率下电阻应变</w:t>
      </w:r>
      <w:r>
        <w:rPr>
          <w:rFonts w:hint="eastAsia"/>
          <w:sz w:val="24"/>
          <w:szCs w:val="21"/>
        </w:rPr>
        <w:t>传感器的普通灵敏系数</w:t>
      </w:r>
      <w:r>
        <w:rPr>
          <w:position w:val="-12"/>
        </w:rPr>
        <w:object>
          <v:shape id="_x0000_i1028" o:spt="75" type="#_x0000_t75" style="height:18.4pt;width:15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hint="eastAsia"/>
          <w:sz w:val="24"/>
          <w:szCs w:val="21"/>
        </w:rPr>
        <w:t>或灵敏度</w:t>
      </w:r>
      <w:r>
        <w:rPr>
          <w:rFonts w:hint="eastAsia"/>
          <w:i/>
          <w:iCs/>
          <w:sz w:val="24"/>
          <w:szCs w:val="21"/>
        </w:rPr>
        <w:t>S</w:t>
      </w:r>
      <w:r>
        <w:rPr>
          <w:sz w:val="24"/>
          <w:szCs w:val="21"/>
          <w:vertAlign w:val="subscript"/>
        </w:rPr>
        <w:t>i</w:t>
      </w:r>
      <w:r>
        <w:rPr>
          <w:sz w:val="24"/>
          <w:szCs w:val="21"/>
        </w:rPr>
        <w:t>。按式（</w:t>
      </w:r>
      <w:r>
        <w:rPr>
          <w:rFonts w:hint="eastAsia"/>
          <w:sz w:val="24"/>
          <w:szCs w:val="21"/>
        </w:rPr>
        <w:t>3</w:t>
      </w:r>
      <w:r>
        <w:rPr>
          <w:sz w:val="24"/>
          <w:szCs w:val="21"/>
        </w:rPr>
        <w:t>）或（</w:t>
      </w:r>
      <w:r>
        <w:rPr>
          <w:rFonts w:hint="eastAsia"/>
          <w:sz w:val="24"/>
          <w:szCs w:val="21"/>
        </w:rPr>
        <w:t>4）</w:t>
      </w:r>
      <w:r>
        <w:rPr>
          <w:sz w:val="24"/>
          <w:szCs w:val="21"/>
        </w:rPr>
        <w:t>计算，</w:t>
      </w:r>
      <w:r>
        <w:rPr>
          <w:rFonts w:hint="eastAsia"/>
          <w:sz w:val="24"/>
          <w:szCs w:val="21"/>
        </w:rPr>
        <w:t>取误差最大值为频率响应。</w:t>
      </w:r>
    </w:p>
    <w:p w14:paraId="6A97DEE1">
      <w:pPr>
        <w:adjustRightInd w:val="0"/>
        <w:snapToGrid w:val="0"/>
        <w:spacing w:line="300" w:lineRule="auto"/>
        <w:ind w:firstLine="480" w:firstLineChars="200"/>
        <w:jc w:val="center"/>
        <w:rPr>
          <w:sz w:val="24"/>
          <w:szCs w:val="21"/>
        </w:rPr>
      </w:pPr>
      <w:r>
        <w:rPr>
          <w:position w:val="-30"/>
          <w:sz w:val="24"/>
          <w:szCs w:val="21"/>
        </w:rPr>
        <w:object>
          <v:shape id="_x0000_i1029" o:spt="75" type="#_x0000_t75" style="height:33.5pt;width:99.6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sz w:val="24"/>
          <w:szCs w:val="21"/>
        </w:rPr>
        <w:t>（</w:t>
      </w:r>
      <w:r>
        <w:rPr>
          <w:rFonts w:hint="eastAsia"/>
          <w:sz w:val="24"/>
          <w:szCs w:val="21"/>
        </w:rPr>
        <w:t>3</w:t>
      </w:r>
      <w:r>
        <w:rPr>
          <w:sz w:val="24"/>
          <w:szCs w:val="21"/>
        </w:rPr>
        <w:t>）</w:t>
      </w:r>
    </w:p>
    <w:p w14:paraId="25C35F42">
      <w:pPr>
        <w:adjustRightInd w:val="0"/>
        <w:snapToGrid w:val="0"/>
        <w:spacing w:line="300" w:lineRule="auto"/>
        <w:ind w:firstLine="480" w:firstLineChars="200"/>
        <w:jc w:val="center"/>
        <w:rPr>
          <w:sz w:val="24"/>
          <w:szCs w:val="21"/>
        </w:rPr>
      </w:pPr>
      <w:r>
        <w:rPr>
          <w:position w:val="-30"/>
          <w:sz w:val="24"/>
          <w:szCs w:val="21"/>
        </w:rPr>
        <w:object>
          <v:shape id="_x0000_i1030" o:spt="75" type="#_x0000_t75" style="height:33.5pt;width:95.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2">
            <o:LockedField>false</o:LockedField>
          </o:OLEObject>
        </w:object>
      </w:r>
      <w:r>
        <w:rPr>
          <w:sz w:val="24"/>
          <w:szCs w:val="21"/>
        </w:rPr>
        <w:t>（</w:t>
      </w:r>
      <w:r>
        <w:rPr>
          <w:rFonts w:hint="eastAsia"/>
          <w:sz w:val="24"/>
          <w:szCs w:val="21"/>
        </w:rPr>
        <w:t>4</w:t>
      </w:r>
      <w:r>
        <w:rPr>
          <w:sz w:val="24"/>
          <w:szCs w:val="21"/>
        </w:rPr>
        <w:t>）</w:t>
      </w:r>
    </w:p>
    <w:p w14:paraId="62DEFBE1">
      <w:pPr>
        <w:adjustRightInd w:val="0"/>
        <w:snapToGrid w:val="0"/>
        <w:spacing w:line="300" w:lineRule="auto"/>
        <w:ind w:firstLine="480" w:firstLineChars="200"/>
        <w:jc w:val="center"/>
        <w:rPr>
          <w:sz w:val="24"/>
          <w:szCs w:val="21"/>
        </w:rPr>
      </w:pPr>
    </w:p>
    <w:p w14:paraId="7843A02F">
      <w:pPr>
        <w:adjustRightInd w:val="0"/>
        <w:snapToGrid w:val="0"/>
        <w:spacing w:line="300" w:lineRule="auto"/>
        <w:ind w:firstLine="480" w:firstLineChars="200"/>
        <w:jc w:val="right"/>
        <w:rPr>
          <w:sz w:val="24"/>
          <w:szCs w:val="21"/>
        </w:rPr>
      </w:pPr>
    </w:p>
    <w:p w14:paraId="14726DA4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sz w:val="24"/>
          <w:szCs w:val="21"/>
        </w:rPr>
        <w:t>式中</w:t>
      </w:r>
      <w:r>
        <w:rPr>
          <w:rFonts w:hint="eastAsia"/>
          <w:sz w:val="24"/>
          <w:szCs w:val="21"/>
        </w:rPr>
        <w:t>：</w:t>
      </w:r>
    </w:p>
    <w:p w14:paraId="2A1936AF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position w:val="-12"/>
          <w:sz w:val="24"/>
          <w:szCs w:val="21"/>
        </w:rPr>
        <w:object>
          <v:shape id="_x0000_i1031" o:spt="75" type="#_x0000_t75" style="height:18.4pt;width:11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4">
            <o:LockedField>false</o:LockedField>
          </o:OLEObject>
        </w:objec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频率响应</w:t>
      </w:r>
      <w:r>
        <w:rPr>
          <w:rFonts w:hint="eastAsia"/>
          <w:sz w:val="24"/>
          <w:szCs w:val="21"/>
        </w:rPr>
        <w:t>；</w:t>
      </w:r>
    </w:p>
    <w:p w14:paraId="12D894E7">
      <w:pPr>
        <w:adjustRightInd w:val="0"/>
        <w:snapToGrid w:val="0"/>
        <w:spacing w:line="300" w:lineRule="auto"/>
        <w:ind w:firstLine="420" w:firstLineChars="200"/>
        <w:rPr>
          <w:sz w:val="24"/>
        </w:rPr>
      </w:pPr>
      <w:r>
        <w:rPr>
          <w:position w:val="-12"/>
        </w:rPr>
        <w:object>
          <v:shape id="_x0000_i1032" o:spt="75" type="#_x0000_t75" style="height:18.4pt;width:15.0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第i个频率点的普通灵敏系数，</w:t>
      </w:r>
      <w:r>
        <w:rPr>
          <w:sz w:val="24"/>
        </w:rPr>
        <w:t>με</w:t>
      </w:r>
      <w:r>
        <w:rPr>
          <w:rFonts w:hint="eastAsia"/>
          <w:sz w:val="24"/>
        </w:rPr>
        <w:t>/m</w:t>
      </w:r>
      <w:r>
        <w:rPr>
          <w:sz w:val="24"/>
          <w:szCs w:val="21"/>
        </w:rPr>
        <w:t>V/</w:t>
      </w:r>
      <w:r>
        <w:rPr>
          <w:rFonts w:hint="eastAsia"/>
          <w:sz w:val="24"/>
        </w:rPr>
        <w:t>V</w:t>
      </w:r>
      <w:r>
        <w:rPr>
          <w:sz w:val="24"/>
        </w:rPr>
        <w:t>，</w:t>
      </w:r>
    </w:p>
    <w:p w14:paraId="3B3AEDEF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rFonts w:hint="eastAsia"/>
          <w:i/>
          <w:iCs/>
          <w:sz w:val="24"/>
          <w:szCs w:val="21"/>
        </w:rPr>
        <w:t xml:space="preserve">K 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参考点的普通灵敏系数，</w:t>
      </w:r>
      <w:r>
        <w:rPr>
          <w:sz w:val="24"/>
        </w:rPr>
        <w:t>με</w:t>
      </w:r>
      <w:r>
        <w:rPr>
          <w:rFonts w:hint="eastAsia"/>
          <w:sz w:val="24"/>
        </w:rPr>
        <w:t>/m</w:t>
      </w:r>
      <w:r>
        <w:rPr>
          <w:sz w:val="24"/>
          <w:szCs w:val="21"/>
        </w:rPr>
        <w:t>V/</w:t>
      </w:r>
      <w:r>
        <w:rPr>
          <w:rFonts w:hint="eastAsia"/>
          <w:sz w:val="24"/>
        </w:rPr>
        <w:t>V</w:t>
      </w:r>
      <w:r>
        <w:rPr>
          <w:sz w:val="24"/>
        </w:rPr>
        <w:t>。</w:t>
      </w:r>
    </w:p>
    <w:p w14:paraId="6D104287">
      <w:pPr>
        <w:adjustRightInd w:val="0"/>
        <w:snapToGrid w:val="0"/>
        <w:spacing w:line="300" w:lineRule="auto"/>
        <w:ind w:firstLine="480" w:firstLineChars="200"/>
        <w:rPr>
          <w:sz w:val="24"/>
        </w:rPr>
      </w:pPr>
      <w:r>
        <w:rPr>
          <w:rFonts w:hint="eastAsia"/>
          <w:i/>
          <w:iCs/>
          <w:sz w:val="24"/>
          <w:szCs w:val="21"/>
        </w:rPr>
        <w:t>S</w:t>
      </w:r>
      <w:r>
        <w:rPr>
          <w:rFonts w:hint="eastAsia"/>
          <w:sz w:val="24"/>
          <w:szCs w:val="21"/>
          <w:vertAlign w:val="subscript"/>
        </w:rPr>
        <w:t>i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第i个频率点的灵敏度，</w:t>
      </w:r>
      <w:r>
        <w:rPr>
          <w:sz w:val="24"/>
        </w:rPr>
        <w:t>μ</w:t>
      </w:r>
      <w:r>
        <w:rPr>
          <w:sz w:val="24"/>
          <w:szCs w:val="21"/>
        </w:rPr>
        <w:t>V/</w:t>
      </w:r>
      <w:r>
        <w:rPr>
          <w:sz w:val="24"/>
        </w:rPr>
        <w:t>με，</w:t>
      </w:r>
    </w:p>
    <w:p w14:paraId="1E9FD6CE">
      <w:pPr>
        <w:adjustRightInd w:val="0"/>
        <w:snapToGrid w:val="0"/>
        <w:spacing w:line="300" w:lineRule="auto"/>
        <w:ind w:firstLine="480" w:firstLineChars="200"/>
      </w:pPr>
      <w:r>
        <w:rPr>
          <w:rFonts w:hint="eastAsia"/>
          <w:i/>
          <w:iCs/>
          <w:sz w:val="24"/>
          <w:szCs w:val="21"/>
        </w:rPr>
        <w:t>S</w:t>
      </w:r>
      <w:r>
        <w:rPr>
          <w:rFonts w:hint="eastAsia"/>
          <w:sz w:val="24"/>
          <w:szCs w:val="21"/>
          <w:vertAlign w:val="subscript"/>
        </w:rPr>
        <w:t>0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参考点的灵敏度，</w:t>
      </w:r>
      <w:r>
        <w:rPr>
          <w:sz w:val="24"/>
        </w:rPr>
        <w:t>μ</w:t>
      </w:r>
      <w:r>
        <w:rPr>
          <w:sz w:val="24"/>
          <w:szCs w:val="21"/>
        </w:rPr>
        <w:t>V/</w:t>
      </w:r>
      <w:r>
        <w:rPr>
          <w:sz w:val="24"/>
        </w:rPr>
        <w:t>με。</w:t>
      </w:r>
    </w:p>
    <w:p w14:paraId="08B5F70C">
      <w:pPr>
        <w:rPr>
          <w:kern w:val="0"/>
          <w:sz w:val="24"/>
        </w:rPr>
      </w:pPr>
      <w:r>
        <w:rPr>
          <w:rFonts w:hint="eastAsia"/>
          <w:kern w:val="0"/>
          <w:sz w:val="24"/>
        </w:rPr>
        <w:t>7.2.4幅值线性度</w:t>
      </w:r>
    </w:p>
    <w:p w14:paraId="68E96AE6">
      <w:pPr>
        <w:ind w:firstLine="360" w:firstLineChars="150"/>
        <w:rPr>
          <w:rFonts w:hAnsi="宋体"/>
          <w:sz w:val="24"/>
          <w:szCs w:val="21"/>
        </w:rPr>
      </w:pPr>
      <w:r>
        <w:rPr>
          <w:sz w:val="24"/>
          <w:szCs w:val="21"/>
        </w:rPr>
        <w:t>在被校</w:t>
      </w:r>
      <w:r>
        <w:rPr>
          <w:rFonts w:hint="eastAsia"/>
          <w:sz w:val="24"/>
          <w:szCs w:val="21"/>
        </w:rPr>
        <w:t>传感器</w:t>
      </w:r>
      <w:r>
        <w:rPr>
          <w:sz w:val="24"/>
          <w:szCs w:val="21"/>
        </w:rPr>
        <w:t>幅值范围内选取</w:t>
      </w:r>
      <w:r>
        <w:rPr>
          <w:rFonts w:hint="eastAsia"/>
          <w:sz w:val="24"/>
          <w:szCs w:val="21"/>
        </w:rPr>
        <w:t>不少于3</w:t>
      </w:r>
      <w:r>
        <w:rPr>
          <w:rFonts w:hint="eastAsia" w:asciiTheme="minorEastAsia" w:hAnsiTheme="minorEastAsia" w:eastAsiaTheme="minorEastAsia"/>
          <w:sz w:val="24"/>
          <w:szCs w:val="21"/>
        </w:rPr>
        <w:t>个点，进行幅值线性度的校准。按7.2.2、7.2.3的方法测出不同加速度幅值下传感器的</w:t>
      </w:r>
      <w:r>
        <w:rPr>
          <w:sz w:val="24"/>
          <w:szCs w:val="21"/>
        </w:rPr>
        <w:t>普通灵敏系数或灵敏度</w:t>
      </w:r>
      <w:r>
        <w:rPr>
          <w:rFonts w:hint="eastAsia" w:asciiTheme="minorEastAsia" w:hAnsiTheme="minorEastAsia" w:eastAsiaTheme="minorEastAsia"/>
          <w:sz w:val="24"/>
          <w:szCs w:val="21"/>
        </w:rPr>
        <w:t>，</w:t>
      </w:r>
      <w:r>
        <w:rPr>
          <w:rFonts w:hint="eastAsia" w:hAnsi="宋体"/>
          <w:sz w:val="24"/>
          <w:szCs w:val="21"/>
        </w:rPr>
        <w:t>按式（5）计算传感器的幅值线性度。</w:t>
      </w:r>
    </w:p>
    <w:p w14:paraId="6FF672E8">
      <w:pPr>
        <w:adjustRightInd w:val="0"/>
        <w:snapToGrid w:val="0"/>
        <w:spacing w:line="300" w:lineRule="auto"/>
        <w:ind w:firstLine="480" w:firstLineChars="200"/>
        <w:rPr>
          <w:rFonts w:hAnsi="宋体"/>
          <w:sz w:val="24"/>
          <w:szCs w:val="21"/>
        </w:rPr>
      </w:pPr>
    </w:p>
    <w:p w14:paraId="42C3B657">
      <w:pPr>
        <w:adjustRightInd w:val="0"/>
        <w:snapToGrid w:val="0"/>
        <w:spacing w:line="300" w:lineRule="auto"/>
        <w:ind w:firstLine="480" w:firstLineChars="200"/>
        <w:jc w:val="center"/>
        <w:rPr>
          <w:rFonts w:hAnsi="宋体"/>
          <w:sz w:val="24"/>
          <w:szCs w:val="21"/>
        </w:rPr>
      </w:pPr>
      <w:r>
        <w:rPr>
          <w:position w:val="-30"/>
          <w:sz w:val="24"/>
          <w:szCs w:val="21"/>
        </w:rPr>
        <w:object>
          <v:shape id="_x0000_i1033" o:spt="75" type="#_x0000_t75" style="height:33.5pt;width:98.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eastAsia" w:hAnsi="宋体"/>
          <w:sz w:val="24"/>
          <w:szCs w:val="21"/>
        </w:rPr>
        <w:t>（5）</w:t>
      </w:r>
    </w:p>
    <w:p w14:paraId="0285D886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 w:hAnsi="宋体"/>
          <w:sz w:val="24"/>
          <w:szCs w:val="21"/>
        </w:rPr>
        <w:t>式中：</w:t>
      </w:r>
      <w:r>
        <w:rPr>
          <w:sz w:val="24"/>
        </w:rPr>
        <w:t>i</w:t>
      </w:r>
      <w:r>
        <w:rPr>
          <w:rFonts w:hint="eastAsia"/>
          <w:sz w:val="24"/>
        </w:rPr>
        <w:t>——1，2，3；</w:t>
      </w:r>
    </w:p>
    <w:p w14:paraId="6A6ABDD7">
      <w:pPr>
        <w:adjustRightInd w:val="0"/>
        <w:snapToGrid w:val="0"/>
        <w:spacing w:line="300" w:lineRule="auto"/>
        <w:ind w:firstLine="720" w:firstLineChars="300"/>
        <w:rPr>
          <w:sz w:val="24"/>
        </w:rPr>
      </w:pPr>
      <w:r>
        <w:rPr>
          <w:position w:val="-12"/>
          <w:sz w:val="24"/>
        </w:rPr>
        <w:object>
          <v:shape id="_x0000_i1034" o:spt="75" type="#_x0000_t75" style="height:17.6pt;width:12.5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sz w:val="24"/>
        </w:rPr>
        <w:t>——</w:t>
      </w:r>
      <w:r>
        <w:rPr>
          <w:rFonts w:hint="eastAsia" w:hAnsi="宋体"/>
          <w:sz w:val="24"/>
        </w:rPr>
        <w:t>幅值线性度</w:t>
      </w:r>
      <w:r>
        <w:rPr>
          <w:rFonts w:hAnsi="宋体"/>
          <w:sz w:val="24"/>
        </w:rPr>
        <w:t>；</w:t>
      </w:r>
    </w:p>
    <w:p w14:paraId="21E0CE58">
      <w:pPr>
        <w:adjustRightInd w:val="0"/>
        <w:snapToGrid w:val="0"/>
        <w:spacing w:line="300" w:lineRule="auto"/>
        <w:ind w:firstLine="630" w:firstLineChars="300"/>
        <w:rPr>
          <w:sz w:val="24"/>
        </w:rPr>
      </w:pPr>
      <w:r>
        <w:rPr>
          <w:position w:val="-12"/>
        </w:rPr>
        <w:object>
          <v:shape id="_x0000_i1035" o:spt="75" type="#_x0000_t75" style="height:18.4pt;width:14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/>
          <w:sz w:val="24"/>
          <w:szCs w:val="21"/>
        </w:rPr>
        <w:t>——不同加速度下</w:t>
      </w:r>
      <w:r>
        <w:rPr>
          <w:sz w:val="24"/>
          <w:szCs w:val="21"/>
        </w:rPr>
        <w:t>的普通灵敏系数或灵敏度，</w:t>
      </w:r>
    </w:p>
    <w:p w14:paraId="13EF82EA">
      <w:pPr>
        <w:adjustRightInd w:val="0"/>
        <w:snapToGrid w:val="0"/>
        <w:spacing w:line="300" w:lineRule="auto"/>
        <w:ind w:firstLine="630" w:firstLineChars="300"/>
        <w:rPr>
          <w:kern w:val="0"/>
          <w:sz w:val="24"/>
        </w:rPr>
      </w:pPr>
      <w:r>
        <w:rPr>
          <w:position w:val="-12"/>
        </w:rPr>
        <w:object>
          <v:shape id="_x0000_i1036" o:spt="75" type="#_x0000_t75" style="height:18.4pt;width:14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参考点的普通灵敏系数或灵敏度</w:t>
      </w:r>
      <w:r>
        <w:rPr>
          <w:sz w:val="24"/>
        </w:rPr>
        <w:t>。</w:t>
      </w:r>
    </w:p>
    <w:p w14:paraId="4E1F657A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49" w:name="_Toc24494106"/>
      <w:bookmarkStart w:id="50" w:name="_Toc192669926"/>
      <w:r>
        <w:rPr>
          <w:rFonts w:hint="eastAsia" w:ascii="Times New Roman" w:hAnsi="Times New Roman" w:eastAsia="黑体"/>
          <w:b w:val="0"/>
        </w:rPr>
        <w:t>校准</w:t>
      </w:r>
      <w:r>
        <w:rPr>
          <w:rFonts w:ascii="Times New Roman" w:hAnsi="Times New Roman" w:eastAsia="黑体"/>
          <w:b w:val="0"/>
        </w:rPr>
        <w:t>结果</w:t>
      </w:r>
      <w:bookmarkEnd w:id="48"/>
      <w:bookmarkEnd w:id="49"/>
      <w:r>
        <w:rPr>
          <w:rFonts w:hint="eastAsia" w:ascii="Times New Roman" w:hAnsi="Times New Roman" w:eastAsia="黑体"/>
          <w:b w:val="0"/>
        </w:rPr>
        <w:t>表达</w:t>
      </w:r>
      <w:bookmarkEnd w:id="50"/>
      <w:bookmarkStart w:id="51" w:name="_Hlt143424966"/>
    </w:p>
    <w:p w14:paraId="5F0C75BA">
      <w:pPr>
        <w:pStyle w:val="3"/>
        <w:rPr>
          <w:rFonts w:cs="宋体"/>
        </w:rPr>
      </w:pPr>
      <w:bookmarkStart w:id="52" w:name="_Toc511026367"/>
      <w:bookmarkStart w:id="53" w:name="_Toc192669927"/>
      <w:bookmarkStart w:id="54" w:name="_Toc31611"/>
      <w:bookmarkStart w:id="55" w:name="_Toc63184809"/>
      <w:r>
        <w:rPr>
          <w:rFonts w:hint="eastAsia" w:cs="宋体"/>
        </w:rPr>
        <w:t>8.1 校准记录</w:t>
      </w:r>
      <w:bookmarkEnd w:id="52"/>
      <w:bookmarkEnd w:id="53"/>
      <w:bookmarkEnd w:id="54"/>
      <w:bookmarkEnd w:id="55"/>
    </w:p>
    <w:p w14:paraId="19171B86">
      <w:pPr>
        <w:spacing w:line="360" w:lineRule="auto"/>
        <w:ind w:firstLine="480"/>
        <w:rPr>
          <w:sz w:val="24"/>
        </w:rPr>
      </w:pPr>
      <w:r>
        <w:rPr>
          <w:sz w:val="24"/>
        </w:rPr>
        <w:t>推荐的</w:t>
      </w:r>
      <w:r>
        <w:rPr>
          <w:rFonts w:hint="eastAsia"/>
          <w:sz w:val="24"/>
        </w:rPr>
        <w:t>校准记录的格式见附录A。</w:t>
      </w:r>
    </w:p>
    <w:p w14:paraId="41F8A4F6">
      <w:pPr>
        <w:pStyle w:val="3"/>
        <w:rPr>
          <w:rFonts w:cs="宋体"/>
        </w:rPr>
      </w:pPr>
      <w:bookmarkStart w:id="56" w:name="_Toc192669928"/>
      <w:bookmarkStart w:id="57" w:name="_Toc63184810"/>
      <w:bookmarkStart w:id="58" w:name="_Toc14985"/>
      <w:bookmarkStart w:id="59" w:name="_Toc511026368"/>
      <w:r>
        <w:rPr>
          <w:rFonts w:hint="eastAsia" w:cs="宋体"/>
        </w:rPr>
        <w:t>8.2 校准证书</w:t>
      </w:r>
      <w:bookmarkEnd w:id="56"/>
      <w:bookmarkEnd w:id="57"/>
      <w:bookmarkEnd w:id="58"/>
      <w:bookmarkEnd w:id="59"/>
    </w:p>
    <w:p w14:paraId="5EB76F1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sz w:val="24"/>
        </w:rPr>
        <w:t>经校准的仪器出具校准证书</w:t>
      </w:r>
      <w:r>
        <w:rPr>
          <w:rFonts w:hint="eastAsia"/>
          <w:sz w:val="24"/>
        </w:rPr>
        <w:t>。</w:t>
      </w:r>
      <w:r>
        <w:rPr>
          <w:sz w:val="24"/>
        </w:rPr>
        <w:t>校准证书应包括的信息及推荐的校准证书的业内格式见附录B</w:t>
      </w:r>
      <w:r>
        <w:rPr>
          <w:rFonts w:hint="eastAsia"/>
          <w:sz w:val="24"/>
        </w:rPr>
        <w:t>。</w:t>
      </w:r>
    </w:p>
    <w:p w14:paraId="6AD827CA">
      <w:pPr>
        <w:pStyle w:val="2"/>
        <w:numPr>
          <w:ilvl w:val="0"/>
          <w:numId w:val="2"/>
        </w:numPr>
        <w:spacing w:beforeLines="50" w:afterLines="50" w:line="300" w:lineRule="auto"/>
        <w:rPr>
          <w:rFonts w:ascii="Times New Roman" w:hAnsi="Times New Roman" w:eastAsia="黑体"/>
          <w:b w:val="0"/>
        </w:rPr>
      </w:pPr>
      <w:bookmarkStart w:id="60" w:name="_Toc192669929"/>
      <w:r>
        <w:rPr>
          <w:rFonts w:hint="eastAsia" w:ascii="Times New Roman" w:hAnsi="Times New Roman" w:eastAsia="黑体"/>
          <w:b w:val="0"/>
        </w:rPr>
        <w:t>复校时间间隔</w:t>
      </w:r>
      <w:bookmarkEnd w:id="60"/>
    </w:p>
    <w:p w14:paraId="29F48616">
      <w:pPr>
        <w:adjustRightInd w:val="0"/>
        <w:snapToGrid w:val="0"/>
        <w:spacing w:line="300" w:lineRule="auto"/>
        <w:ind w:firstLine="480" w:firstLineChars="200"/>
        <w:rPr>
          <w:sz w:val="24"/>
        </w:rPr>
        <w:sectPr>
          <w:headerReference r:id="rId7" w:type="default"/>
          <w:footerReference r:id="rId8" w:type="default"/>
          <w:pgSz w:w="11906" w:h="16838"/>
          <w:pgMar w:top="1474" w:right="1134" w:bottom="1474" w:left="1474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  <w:sz w:val="24"/>
        </w:rPr>
        <w:t>送校单位可根据实际使用情况自主决定，复校时间间隔建议为1年。</w:t>
      </w:r>
    </w:p>
    <w:bookmarkEnd w:id="51"/>
    <w:p w14:paraId="782E1ED9">
      <w:pPr>
        <w:pStyle w:val="2"/>
        <w:rPr>
          <w:rFonts w:ascii="黑体" w:hAnsi="黑体" w:eastAsia="黑体" w:cs="黑体"/>
          <w:b w:val="0"/>
          <w:bCs/>
          <w:sz w:val="28"/>
          <w:szCs w:val="28"/>
        </w:rPr>
      </w:pPr>
      <w:bookmarkStart w:id="61" w:name="_Toc192669930"/>
      <w:r>
        <w:rPr>
          <w:rFonts w:hint="eastAsia" w:ascii="黑体" w:hAnsi="黑体" w:eastAsia="黑体" w:cs="黑体"/>
          <w:b w:val="0"/>
          <w:bCs/>
          <w:sz w:val="28"/>
          <w:szCs w:val="28"/>
        </w:rPr>
        <w:t>附录A</w:t>
      </w:r>
      <w:bookmarkEnd w:id="61"/>
    </w:p>
    <w:p w14:paraId="7149DE6B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校准记录推荐格式</w:t>
      </w:r>
    </w:p>
    <w:tbl>
      <w:tblPr>
        <w:tblStyle w:val="16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1560"/>
        <w:gridCol w:w="1701"/>
        <w:gridCol w:w="471"/>
        <w:gridCol w:w="1655"/>
        <w:gridCol w:w="2326"/>
      </w:tblGrid>
      <w:tr w14:paraId="0224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86" w:type="dxa"/>
            <w:gridSpan w:val="4"/>
          </w:tcPr>
          <w:p w14:paraId="5686CD8B">
            <w:pPr>
              <w:tabs>
                <w:tab w:val="left" w:pos="1755"/>
              </w:tabs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送检单位</w:t>
            </w:r>
            <w:r>
              <w:rPr>
                <w:sz w:val="24"/>
              </w:rPr>
              <w:t>：</w:t>
            </w:r>
          </w:p>
        </w:tc>
        <w:tc>
          <w:tcPr>
            <w:tcW w:w="3981" w:type="dxa"/>
            <w:gridSpan w:val="2"/>
          </w:tcPr>
          <w:p w14:paraId="6AEF0B2C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证书编号：</w:t>
            </w:r>
          </w:p>
        </w:tc>
      </w:tr>
      <w:tr w14:paraId="11D4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86" w:type="dxa"/>
            <w:gridSpan w:val="4"/>
          </w:tcPr>
          <w:p w14:paraId="12C34596">
            <w:pPr>
              <w:tabs>
                <w:tab w:val="left" w:pos="1755"/>
              </w:tabs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器具名称：</w:t>
            </w:r>
          </w:p>
        </w:tc>
        <w:tc>
          <w:tcPr>
            <w:tcW w:w="3981" w:type="dxa"/>
            <w:gridSpan w:val="2"/>
          </w:tcPr>
          <w:p w14:paraId="38952CED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校准日期：－－</w:t>
            </w:r>
          </w:p>
        </w:tc>
      </w:tr>
      <w:tr w14:paraId="3CA7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86" w:type="dxa"/>
            <w:gridSpan w:val="4"/>
          </w:tcPr>
          <w:p w14:paraId="78919BF3"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制造</w:t>
            </w:r>
            <w:r>
              <w:rPr>
                <w:rFonts w:hint="eastAsia"/>
                <w:sz w:val="24"/>
              </w:rPr>
              <w:t>单位</w:t>
            </w:r>
            <w:r>
              <w:rPr>
                <w:sz w:val="24"/>
              </w:rPr>
              <w:t>：</w:t>
            </w:r>
          </w:p>
        </w:tc>
        <w:tc>
          <w:tcPr>
            <w:tcW w:w="3981" w:type="dxa"/>
            <w:gridSpan w:val="2"/>
          </w:tcPr>
          <w:p w14:paraId="4483D2C8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校准地点：</w:t>
            </w:r>
          </w:p>
        </w:tc>
      </w:tr>
      <w:tr w14:paraId="3A0C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86" w:type="dxa"/>
            <w:gridSpan w:val="4"/>
          </w:tcPr>
          <w:p w14:paraId="2368BEAE"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型号/规格：</w:t>
            </w:r>
          </w:p>
        </w:tc>
        <w:tc>
          <w:tcPr>
            <w:tcW w:w="3981" w:type="dxa"/>
            <w:gridSpan w:val="2"/>
            <w:vAlign w:val="center"/>
          </w:tcPr>
          <w:p w14:paraId="480CBD13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环境温度：</w:t>
            </w:r>
            <w:r>
              <w:rPr>
                <w:rFonts w:hint="eastAsia" w:ascii="宋体" w:hAnsi="宋体"/>
                <w:sz w:val="24"/>
              </w:rPr>
              <w:t>℃</w:t>
            </w:r>
          </w:p>
        </w:tc>
      </w:tr>
      <w:tr w14:paraId="6DC6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86" w:type="dxa"/>
            <w:gridSpan w:val="4"/>
          </w:tcPr>
          <w:p w14:paraId="20DD10B2"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编号：</w:t>
            </w:r>
          </w:p>
        </w:tc>
        <w:tc>
          <w:tcPr>
            <w:tcW w:w="3981" w:type="dxa"/>
            <w:gridSpan w:val="2"/>
          </w:tcPr>
          <w:p w14:paraId="316CA816">
            <w:pPr>
              <w:spacing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相对湿度：％</w:t>
            </w:r>
          </w:p>
        </w:tc>
      </w:tr>
      <w:tr w14:paraId="2E810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9567" w:type="dxa"/>
            <w:gridSpan w:val="6"/>
          </w:tcPr>
          <w:p w14:paraId="6CE12EE8"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技术依据：</w:t>
            </w:r>
          </w:p>
        </w:tc>
      </w:tr>
      <w:tr w14:paraId="051E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7" w:type="dxa"/>
            <w:gridSpan w:val="6"/>
            <w:vAlign w:val="center"/>
          </w:tcPr>
          <w:p w14:paraId="086246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主要计量标准器具</w:t>
            </w:r>
          </w:p>
        </w:tc>
      </w:tr>
      <w:tr w14:paraId="1F25C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14:paraId="042C81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560" w:type="dxa"/>
            <w:vAlign w:val="center"/>
          </w:tcPr>
          <w:p w14:paraId="164E8F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编号</w:t>
            </w:r>
          </w:p>
        </w:tc>
        <w:tc>
          <w:tcPr>
            <w:tcW w:w="1701" w:type="dxa"/>
            <w:vAlign w:val="center"/>
          </w:tcPr>
          <w:p w14:paraId="079CAC1B">
            <w:pPr>
              <w:jc w:val="center"/>
              <w:rPr>
                <w:szCs w:val="21"/>
              </w:rPr>
            </w:pPr>
            <w:r>
              <w:rPr>
                <w:rFonts w:hint="eastAsia"/>
                <w:i/>
                <w:szCs w:val="21"/>
              </w:rPr>
              <w:t>U</w:t>
            </w:r>
            <w:r>
              <w:rPr>
                <w:rFonts w:hint="eastAsia"/>
                <w:szCs w:val="21"/>
              </w:rPr>
              <w:t>/AC/MPE</w:t>
            </w:r>
          </w:p>
        </w:tc>
        <w:tc>
          <w:tcPr>
            <w:tcW w:w="2126" w:type="dxa"/>
            <w:gridSpan w:val="2"/>
            <w:vAlign w:val="center"/>
          </w:tcPr>
          <w:p w14:paraId="3D2AF93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溯源单位</w:t>
            </w:r>
          </w:p>
        </w:tc>
        <w:tc>
          <w:tcPr>
            <w:tcW w:w="2326" w:type="dxa"/>
            <w:vAlign w:val="center"/>
          </w:tcPr>
          <w:p w14:paraId="09BE88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</w:tc>
      </w:tr>
      <w:tr w14:paraId="3260D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854" w:type="dxa"/>
            <w:shd w:val="clear" w:color="auto" w:fill="auto"/>
            <w:vAlign w:val="center"/>
          </w:tcPr>
          <w:p w14:paraId="53659709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834038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BDD0C50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BD70CCE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vAlign w:val="center"/>
          </w:tcPr>
          <w:p w14:paraId="23907F94">
            <w:pPr>
              <w:ind w:left="-105" w:leftChars="-50"/>
              <w:rPr>
                <w:sz w:val="15"/>
                <w:szCs w:val="15"/>
              </w:rPr>
            </w:pPr>
          </w:p>
        </w:tc>
      </w:tr>
    </w:tbl>
    <w:p w14:paraId="2BFE31B0"/>
    <w:tbl>
      <w:tblPr>
        <w:tblStyle w:val="16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7"/>
      </w:tblGrid>
      <w:tr w14:paraId="45136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5" w:hRule="atLeast"/>
          <w:jc w:val="center"/>
        </w:trPr>
        <w:tc>
          <w:tcPr>
            <w:tcW w:w="956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 w14:paraId="0B24A056">
            <w:pPr>
              <w:snapToGrid w:val="0"/>
              <w:ind w:left="-248" w:leftChars="-118" w:firstLine="1260" w:firstLineChars="600"/>
            </w:pPr>
          </w:p>
          <w:p w14:paraId="0D6E3FD0">
            <w:pPr>
              <w:snapToGrid w:val="0"/>
              <w:ind w:left="-248" w:leftChars="-118" w:firstLine="1260" w:firstLineChars="600"/>
            </w:pPr>
            <w:r>
              <w:rPr>
                <w:rFonts w:hint="eastAsia"/>
              </w:rPr>
              <w:t>1．普通灵敏系数：</w:t>
            </w:r>
          </w:p>
          <w:p w14:paraId="48C5AC8E">
            <w:pPr>
              <w:snapToGrid w:val="0"/>
              <w:ind w:left="-248" w:leftChars="-118" w:firstLine="1260" w:firstLineChars="600"/>
            </w:pPr>
            <w:r>
              <w:rPr>
                <w:rFonts w:hint="eastAsia"/>
              </w:rPr>
              <w:t>2．幅频响应特性：</w:t>
            </w:r>
          </w:p>
          <w:tbl>
            <w:tblPr>
              <w:tblStyle w:val="1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8"/>
              <w:gridCol w:w="1273"/>
              <w:gridCol w:w="1298"/>
              <w:gridCol w:w="1418"/>
              <w:gridCol w:w="1417"/>
              <w:gridCol w:w="1417"/>
            </w:tblGrid>
            <w:tr w14:paraId="3956AF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970" w:hRule="atLeast"/>
                <w:jc w:val="center"/>
              </w:trPr>
              <w:tc>
                <w:tcPr>
                  <w:tcW w:w="1118" w:type="dxa"/>
                  <w:vAlign w:val="center"/>
                </w:tcPr>
                <w:p w14:paraId="08B7ABB9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标准</w:t>
                  </w:r>
                  <w:r>
                    <w:rPr>
                      <w:rFonts w:hint="eastAsia" w:hAnsi="宋体"/>
                      <w:iCs/>
                    </w:rPr>
                    <w:t>频率</w:t>
                  </w:r>
                </w:p>
                <w:p w14:paraId="469BA6AF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Hz</w:t>
                  </w:r>
                </w:p>
              </w:tc>
              <w:tc>
                <w:tcPr>
                  <w:tcW w:w="1273" w:type="dxa"/>
                  <w:vAlign w:val="center"/>
                </w:tcPr>
                <w:p w14:paraId="3DD54E26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标准加速度</w:t>
                  </w:r>
                  <w:r>
                    <w:rPr>
                      <w:rFonts w:hint="eastAsia" w:hAnsi="宋体"/>
                      <w:iCs/>
                    </w:rPr>
                    <w:t>幅值</w:t>
                  </w:r>
                </w:p>
                <w:p w14:paraId="56C2C4DA">
                  <w:pPr>
                    <w:pStyle w:val="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/>
                      <w:sz w:val="18"/>
                      <w:szCs w:val="18"/>
                    </w:rPr>
                    <w:t>(m/s</w:t>
                  </w:r>
                  <w:r>
                    <w:rPr>
                      <w:rFonts w:hint="eastAsia" w:hAnsi="宋体"/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rFonts w:hint="eastAsia" w:hAnsi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298" w:type="dxa"/>
                  <w:vAlign w:val="center"/>
                </w:tcPr>
                <w:p w14:paraId="0ECDFD75">
                  <w:pPr>
                    <w:pStyle w:val="8"/>
                    <w:jc w:val="center"/>
                    <w:rPr>
                      <w:rFonts w:hAnsi="宋体"/>
                      <w:iCs/>
                    </w:rPr>
                  </w:pPr>
                  <w:r>
                    <w:rPr>
                      <w:rFonts w:hint="eastAsia" w:hAnsi="宋体"/>
                    </w:rPr>
                    <w:t>标准</w:t>
                  </w:r>
                  <w:r>
                    <w:rPr>
                      <w:rFonts w:hint="eastAsia" w:hAnsi="宋体"/>
                      <w:iCs/>
                    </w:rPr>
                    <w:t>位移值</w:t>
                  </w:r>
                </w:p>
                <w:p w14:paraId="7E444052">
                  <w:pPr>
                    <w:pStyle w:val="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/>
                      <w:iCs/>
                    </w:rPr>
                    <w:t>（</w:t>
                  </w:r>
                  <w:r>
                    <w:rPr>
                      <w:rFonts w:hAnsi="宋体" w:cs="宋体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418" w:type="dxa"/>
                  <w:vAlign w:val="center"/>
                </w:tcPr>
                <w:p w14:paraId="5FD218CA">
                  <w:pPr>
                    <w:pStyle w:val="8"/>
                    <w:jc w:val="center"/>
                  </w:pPr>
                  <w:r>
                    <w:rPr>
                      <w:rFonts w:hint="eastAsia"/>
                    </w:rPr>
                    <w:t>示值</w:t>
                  </w:r>
                </w:p>
                <w:p w14:paraId="6B2A44E3">
                  <w:pPr>
                    <w:pStyle w:val="8"/>
                    <w:ind w:firstLine="270" w:firstLineChars="150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 w:cs="宋体"/>
                      <w:sz w:val="18"/>
                      <w:szCs w:val="18"/>
                    </w:rPr>
                    <w:t>（    ）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93EC65">
                  <w:pPr>
                    <w:pStyle w:val="8"/>
                    <w:jc w:val="center"/>
                  </w:pPr>
                  <w:r>
                    <w:rPr>
                      <w:rFonts w:hint="eastAsia"/>
                    </w:rPr>
                    <w:t>普通灵敏系数</w:t>
                  </w:r>
                </w:p>
                <w:p w14:paraId="72A5A9A0">
                  <w:pPr>
                    <w:snapToGrid w:val="0"/>
                    <w:ind w:left="2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 w:cs="宋体"/>
                      <w:sz w:val="18"/>
                      <w:szCs w:val="18"/>
                    </w:rPr>
                    <w:t>（）</w:t>
                  </w:r>
                </w:p>
              </w:tc>
              <w:tc>
                <w:tcPr>
                  <w:tcW w:w="1417" w:type="dxa"/>
                </w:tcPr>
                <w:p w14:paraId="20D76495">
                  <w:pPr>
                    <w:pStyle w:val="8"/>
                    <w:jc w:val="center"/>
                  </w:pPr>
                  <w:r>
                    <w:rPr>
                      <w:rFonts w:hint="eastAsia"/>
                    </w:rPr>
                    <w:t>灵敏度（）</w:t>
                  </w:r>
                </w:p>
              </w:tc>
            </w:tr>
            <w:tr w14:paraId="5A826E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18" w:type="dxa"/>
                  <w:vAlign w:val="center"/>
                </w:tcPr>
                <w:p w14:paraId="36518E1F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20.0</w:t>
                  </w:r>
                </w:p>
              </w:tc>
              <w:tc>
                <w:tcPr>
                  <w:tcW w:w="1273" w:type="dxa"/>
                  <w:vAlign w:val="center"/>
                </w:tcPr>
                <w:p w14:paraId="5274C9D2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470B964D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2276F82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5993291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72A24FA1">
                  <w:pPr>
                    <w:pStyle w:val="8"/>
                    <w:jc w:val="center"/>
                  </w:pPr>
                </w:p>
              </w:tc>
            </w:tr>
            <w:tr w14:paraId="2B8997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18" w:type="dxa"/>
                  <w:vAlign w:val="center"/>
                </w:tcPr>
                <w:p w14:paraId="47A1B294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40.0</w:t>
                  </w:r>
                </w:p>
              </w:tc>
              <w:tc>
                <w:tcPr>
                  <w:tcW w:w="1273" w:type="dxa"/>
                  <w:vAlign w:val="center"/>
                </w:tcPr>
                <w:p w14:paraId="72A2A51B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2AF503D8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799F37C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639717C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3F7316C7">
                  <w:pPr>
                    <w:pStyle w:val="8"/>
                    <w:jc w:val="center"/>
                  </w:pPr>
                </w:p>
              </w:tc>
            </w:tr>
            <w:tr w14:paraId="5F7D52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18" w:type="dxa"/>
                  <w:vAlign w:val="center"/>
                </w:tcPr>
                <w:p w14:paraId="728829F2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80.0</w:t>
                  </w:r>
                </w:p>
              </w:tc>
              <w:tc>
                <w:tcPr>
                  <w:tcW w:w="1273" w:type="dxa"/>
                  <w:vAlign w:val="center"/>
                </w:tcPr>
                <w:p w14:paraId="12F7CB79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20FCF6A6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59B6311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CDFA353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2B1F061B">
                  <w:pPr>
                    <w:pStyle w:val="8"/>
                    <w:jc w:val="center"/>
                  </w:pPr>
                </w:p>
              </w:tc>
            </w:tr>
            <w:tr w14:paraId="2C4755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18" w:type="dxa"/>
                  <w:vAlign w:val="center"/>
                </w:tcPr>
                <w:p w14:paraId="00802DB2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160.0</w:t>
                  </w:r>
                </w:p>
              </w:tc>
              <w:tc>
                <w:tcPr>
                  <w:tcW w:w="1273" w:type="dxa"/>
                  <w:vAlign w:val="center"/>
                </w:tcPr>
                <w:p w14:paraId="5E99D182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1DB53F06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2C5005DD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A62D1E4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30AA5D92">
                  <w:pPr>
                    <w:pStyle w:val="8"/>
                    <w:jc w:val="center"/>
                  </w:pPr>
                </w:p>
              </w:tc>
            </w:tr>
            <w:tr w14:paraId="7635E5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18" w:type="dxa"/>
                  <w:vAlign w:val="center"/>
                </w:tcPr>
                <w:p w14:paraId="30D0A139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320.0</w:t>
                  </w:r>
                </w:p>
              </w:tc>
              <w:tc>
                <w:tcPr>
                  <w:tcW w:w="1273" w:type="dxa"/>
                  <w:vAlign w:val="center"/>
                </w:tcPr>
                <w:p w14:paraId="7579290B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5BB39917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55826AC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B4861F7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0D26B852">
                  <w:pPr>
                    <w:pStyle w:val="8"/>
                    <w:jc w:val="center"/>
                  </w:pPr>
                </w:p>
              </w:tc>
            </w:tr>
            <w:tr w14:paraId="1A191F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40" w:hRule="exact"/>
                <w:jc w:val="center"/>
              </w:trPr>
              <w:tc>
                <w:tcPr>
                  <w:tcW w:w="1118" w:type="dxa"/>
                  <w:vAlign w:val="center"/>
                </w:tcPr>
                <w:p w14:paraId="7CAFE32B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500.0</w:t>
                  </w:r>
                </w:p>
              </w:tc>
              <w:tc>
                <w:tcPr>
                  <w:tcW w:w="1273" w:type="dxa"/>
                  <w:vAlign w:val="center"/>
                </w:tcPr>
                <w:p w14:paraId="1EDB907A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1B78D61B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A0437D5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CD634B9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56899C8A">
                  <w:pPr>
                    <w:pStyle w:val="8"/>
                    <w:jc w:val="center"/>
                  </w:pPr>
                </w:p>
              </w:tc>
            </w:tr>
          </w:tbl>
          <w:p w14:paraId="051043A0">
            <w:pPr>
              <w:snapToGrid w:val="0"/>
              <w:ind w:left="-248" w:leftChars="-118" w:firstLine="1260" w:firstLineChars="600"/>
            </w:pPr>
            <w:r>
              <w:rPr>
                <w:rFonts w:hint="eastAsia"/>
              </w:rPr>
              <w:t>3．幅值线性误差：</w:t>
            </w:r>
          </w:p>
          <w:tbl>
            <w:tblPr>
              <w:tblStyle w:val="1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46"/>
              <w:gridCol w:w="1297"/>
              <w:gridCol w:w="1276"/>
              <w:gridCol w:w="1418"/>
              <w:gridCol w:w="1417"/>
              <w:gridCol w:w="1417"/>
            </w:tblGrid>
            <w:tr w14:paraId="0CF3BC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98" w:hRule="atLeast"/>
                <w:jc w:val="center"/>
              </w:trPr>
              <w:tc>
                <w:tcPr>
                  <w:tcW w:w="1146" w:type="dxa"/>
                  <w:vAlign w:val="center"/>
                </w:tcPr>
                <w:p w14:paraId="61C472BC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标准</w:t>
                  </w:r>
                  <w:r>
                    <w:rPr>
                      <w:rFonts w:hint="eastAsia" w:hAnsi="宋体"/>
                      <w:iCs/>
                    </w:rPr>
                    <w:t>频率</w:t>
                  </w:r>
                </w:p>
                <w:p w14:paraId="740B9B6D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Hz</w:t>
                  </w:r>
                </w:p>
              </w:tc>
              <w:tc>
                <w:tcPr>
                  <w:tcW w:w="1297" w:type="dxa"/>
                  <w:vAlign w:val="center"/>
                </w:tcPr>
                <w:p w14:paraId="45F14099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标准加速度</w:t>
                  </w:r>
                  <w:r>
                    <w:rPr>
                      <w:rFonts w:hint="eastAsia" w:hAnsi="宋体"/>
                      <w:iCs/>
                    </w:rPr>
                    <w:t>幅值</w:t>
                  </w:r>
                </w:p>
                <w:p w14:paraId="7EE36D77">
                  <w:pPr>
                    <w:pStyle w:val="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/>
                      <w:sz w:val="18"/>
                      <w:szCs w:val="18"/>
                    </w:rPr>
                    <w:t>(m/s</w:t>
                  </w:r>
                  <w:r>
                    <w:rPr>
                      <w:rFonts w:hint="eastAsia" w:hAnsi="宋体"/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rFonts w:hint="eastAsia" w:hAnsi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A1887E">
                  <w:pPr>
                    <w:pStyle w:val="8"/>
                    <w:jc w:val="center"/>
                    <w:rPr>
                      <w:rFonts w:hAnsi="宋体"/>
                      <w:iCs/>
                    </w:rPr>
                  </w:pPr>
                  <w:r>
                    <w:rPr>
                      <w:rFonts w:hint="eastAsia" w:hAnsi="宋体"/>
                    </w:rPr>
                    <w:t>标准</w:t>
                  </w:r>
                  <w:r>
                    <w:rPr>
                      <w:rFonts w:hint="eastAsia" w:hAnsi="宋体"/>
                      <w:iCs/>
                    </w:rPr>
                    <w:t>位移值</w:t>
                  </w:r>
                </w:p>
                <w:p w14:paraId="18806D3C">
                  <w:pPr>
                    <w:pStyle w:val="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/>
                      <w:iCs/>
                    </w:rPr>
                    <w:t>（</w:t>
                  </w:r>
                  <w:r>
                    <w:rPr>
                      <w:rFonts w:hAnsi="宋体" w:cs="宋体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1418" w:type="dxa"/>
                  <w:vAlign w:val="center"/>
                </w:tcPr>
                <w:p w14:paraId="5C32FBE4">
                  <w:pPr>
                    <w:pStyle w:val="8"/>
                    <w:jc w:val="center"/>
                  </w:pPr>
                  <w:r>
                    <w:rPr>
                      <w:rFonts w:hint="eastAsia"/>
                    </w:rPr>
                    <w:t>示值</w:t>
                  </w:r>
                </w:p>
                <w:p w14:paraId="043CA95E">
                  <w:pPr>
                    <w:pStyle w:val="8"/>
                    <w:ind w:firstLine="270" w:firstLineChars="150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 w:cs="宋体"/>
                      <w:sz w:val="18"/>
                      <w:szCs w:val="18"/>
                    </w:rPr>
                    <w:t>（    ）</w:t>
                  </w:r>
                </w:p>
              </w:tc>
              <w:tc>
                <w:tcPr>
                  <w:tcW w:w="1417" w:type="dxa"/>
                  <w:vAlign w:val="center"/>
                </w:tcPr>
                <w:p w14:paraId="5A5A75D0">
                  <w:pPr>
                    <w:pStyle w:val="8"/>
                    <w:jc w:val="center"/>
                  </w:pPr>
                  <w:r>
                    <w:rPr>
                      <w:rFonts w:hint="eastAsia"/>
                    </w:rPr>
                    <w:t>普通灵敏系数</w:t>
                  </w:r>
                </w:p>
                <w:p w14:paraId="1DEAAA5F">
                  <w:pPr>
                    <w:snapToGrid w:val="0"/>
                    <w:ind w:left="2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hAnsi="宋体" w:cs="宋体"/>
                      <w:sz w:val="18"/>
                      <w:szCs w:val="18"/>
                    </w:rPr>
                    <w:t>（）</w:t>
                  </w:r>
                </w:p>
              </w:tc>
              <w:tc>
                <w:tcPr>
                  <w:tcW w:w="1417" w:type="dxa"/>
                </w:tcPr>
                <w:p w14:paraId="67E6AB2A">
                  <w:pPr>
                    <w:pStyle w:val="8"/>
                    <w:jc w:val="center"/>
                  </w:pPr>
                  <w:r>
                    <w:rPr>
                      <w:rFonts w:hint="eastAsia"/>
                    </w:rPr>
                    <w:t>灵敏度</w:t>
                  </w:r>
                  <w:r>
                    <w:rPr>
                      <w:rFonts w:hint="eastAsia" w:hAnsi="宋体" w:cs="宋体"/>
                      <w:sz w:val="18"/>
                      <w:szCs w:val="18"/>
                    </w:rPr>
                    <w:t>（）</w:t>
                  </w:r>
                </w:p>
              </w:tc>
            </w:tr>
            <w:tr w14:paraId="1AE59A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46" w:type="dxa"/>
                  <w:vAlign w:val="center"/>
                </w:tcPr>
                <w:p w14:paraId="154EEFAF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160.0</w:t>
                  </w:r>
                </w:p>
              </w:tc>
              <w:tc>
                <w:tcPr>
                  <w:tcW w:w="1297" w:type="dxa"/>
                  <w:vAlign w:val="center"/>
                </w:tcPr>
                <w:p w14:paraId="39C9B1AA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DFE9500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37300082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23042A2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6DAE16FA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</w:tr>
            <w:tr w14:paraId="3A4A06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46" w:type="dxa"/>
                  <w:vAlign w:val="center"/>
                </w:tcPr>
                <w:p w14:paraId="42DC575F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160.0</w:t>
                  </w:r>
                </w:p>
              </w:tc>
              <w:tc>
                <w:tcPr>
                  <w:tcW w:w="1297" w:type="dxa"/>
                  <w:vAlign w:val="center"/>
                </w:tcPr>
                <w:p w14:paraId="4573195A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0FE2061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3126D2CC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9EBB6B8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4728A2B4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</w:tr>
            <w:tr w14:paraId="517E6C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exact"/>
                <w:jc w:val="center"/>
              </w:trPr>
              <w:tc>
                <w:tcPr>
                  <w:tcW w:w="1146" w:type="dxa"/>
                  <w:vAlign w:val="center"/>
                </w:tcPr>
                <w:p w14:paraId="02C1A3C0">
                  <w:pPr>
                    <w:pStyle w:val="8"/>
                    <w:jc w:val="center"/>
                  </w:pPr>
                  <w:r>
                    <w:rPr>
                      <w:rFonts w:hint="eastAsia" w:hAnsi="宋体"/>
                    </w:rPr>
                    <w:t>160.0</w:t>
                  </w:r>
                </w:p>
              </w:tc>
              <w:tc>
                <w:tcPr>
                  <w:tcW w:w="1297" w:type="dxa"/>
                  <w:vAlign w:val="center"/>
                </w:tcPr>
                <w:p w14:paraId="2F6B3C63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36B4984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2ECBB59D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9309F1F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14:paraId="7B49FCC7">
                  <w:pPr>
                    <w:jc w:val="center"/>
                    <w:rPr>
                      <w:rFonts w:hAnsi="宋体" w:cs="宋体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285C256">
            <w:pPr>
              <w:spacing w:line="360" w:lineRule="auto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相对扩展不确定度：</w:t>
            </w:r>
            <w:r>
              <w:rPr>
                <w:rFonts w:hint="eastAsia" w:ascii="宋体" w:hAnsi="宋体"/>
                <w:i/>
                <w:iCs/>
                <w:sz w:val="24"/>
              </w:rPr>
              <w:t>U</w:t>
            </w:r>
            <w:r>
              <w:rPr>
                <w:rFonts w:hint="eastAsia" w:ascii="宋体" w:hAnsi="宋体"/>
                <w:sz w:val="24"/>
                <w:vertAlign w:val="subscript"/>
              </w:rPr>
              <w:t>rel</w:t>
            </w:r>
            <w:r>
              <w:rPr>
                <w:rFonts w:hint="eastAsia" w:ascii="宋体" w:hAnsi="宋体"/>
                <w:sz w:val="24"/>
              </w:rPr>
              <w:t>=     ，</w:t>
            </w:r>
            <w:r>
              <w:rPr>
                <w:rFonts w:hint="eastAsia" w:ascii="宋体" w:hAnsi="宋体"/>
                <w:i/>
                <w:iCs/>
                <w:sz w:val="24"/>
              </w:rPr>
              <w:t>k</w:t>
            </w:r>
            <w:r>
              <w:rPr>
                <w:rFonts w:hint="eastAsia" w:ascii="宋体" w:hAnsi="宋体"/>
                <w:sz w:val="24"/>
              </w:rPr>
              <w:t>=2。</w:t>
            </w:r>
          </w:p>
          <w:p w14:paraId="3364B07A">
            <w:pPr>
              <w:spacing w:line="360" w:lineRule="auto"/>
              <w:ind w:firstLine="960" w:firstLineChars="400"/>
            </w:pPr>
            <w:r>
              <w:rPr>
                <w:rFonts w:hint="eastAsia" w:ascii="宋体" w:hAnsi="宋体"/>
                <w:sz w:val="24"/>
              </w:rPr>
              <w:t>校准员 ：        核验员：                           校准日期：</w:t>
            </w:r>
          </w:p>
        </w:tc>
      </w:tr>
    </w:tbl>
    <w:p w14:paraId="1DEB3D96">
      <w:pPr>
        <w:spacing w:line="400" w:lineRule="exact"/>
        <w:rPr>
          <w:rFonts w:ascii="黑体" w:eastAsia="黑体"/>
          <w:sz w:val="28"/>
          <w:szCs w:val="28"/>
        </w:rPr>
      </w:pPr>
    </w:p>
    <w:p w14:paraId="1ADE62B0">
      <w:pPr>
        <w:spacing w:line="400" w:lineRule="exact"/>
        <w:rPr>
          <w:rFonts w:ascii="黑体" w:eastAsia="黑体"/>
          <w:sz w:val="28"/>
          <w:szCs w:val="28"/>
        </w:rPr>
      </w:pPr>
    </w:p>
    <w:p w14:paraId="418E951F">
      <w:pPr>
        <w:spacing w:line="400" w:lineRule="exact"/>
        <w:rPr>
          <w:rFonts w:ascii="黑体" w:eastAsia="黑体"/>
          <w:sz w:val="28"/>
          <w:szCs w:val="28"/>
        </w:rPr>
      </w:pPr>
    </w:p>
    <w:p w14:paraId="584278CE">
      <w:pPr>
        <w:pStyle w:val="2"/>
        <w:rPr>
          <w:rFonts w:ascii="黑体" w:hAnsi="黑体" w:eastAsia="黑体" w:cs="黑体"/>
          <w:b w:val="0"/>
          <w:bCs/>
          <w:sz w:val="28"/>
          <w:szCs w:val="28"/>
        </w:rPr>
      </w:pPr>
      <w:bookmarkStart w:id="62" w:name="_Toc192669931"/>
      <w:r>
        <w:rPr>
          <w:rFonts w:hint="eastAsia" w:ascii="黑体" w:hAnsi="黑体" w:eastAsia="黑体" w:cs="黑体"/>
          <w:b w:val="0"/>
          <w:bCs/>
          <w:sz w:val="28"/>
          <w:szCs w:val="28"/>
        </w:rPr>
        <w:t>附录B</w:t>
      </w:r>
      <w:bookmarkEnd w:id="62"/>
    </w:p>
    <w:p w14:paraId="0D01012B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校准证书内容及内页格式</w:t>
      </w:r>
    </w:p>
    <w:p w14:paraId="2FB41FDB">
      <w:pPr>
        <w:spacing w:line="360" w:lineRule="auto"/>
        <w:rPr>
          <w:sz w:val="24"/>
        </w:rPr>
      </w:pPr>
      <w:r>
        <w:rPr>
          <w:rFonts w:hint="eastAsia"/>
          <w:sz w:val="24"/>
        </w:rPr>
        <w:t>B</w:t>
      </w:r>
      <w:r>
        <w:rPr>
          <w:sz w:val="24"/>
        </w:rPr>
        <w:t>.1</w:t>
      </w:r>
      <w:r>
        <w:rPr>
          <w:rFonts w:hint="eastAsia"/>
          <w:sz w:val="24"/>
        </w:rPr>
        <w:t>校准</w:t>
      </w:r>
    </w:p>
    <w:p w14:paraId="41CD597E">
      <w:pPr>
        <w:spacing w:line="360" w:lineRule="auto"/>
        <w:rPr>
          <w:sz w:val="24"/>
        </w:rPr>
      </w:pPr>
    </w:p>
    <w:p w14:paraId="598CFC7E">
      <w:pPr>
        <w:spacing w:line="360" w:lineRule="auto"/>
        <w:rPr>
          <w:sz w:val="24"/>
        </w:rPr>
      </w:pPr>
      <w:r>
        <w:rPr>
          <w:rFonts w:hint="eastAsia"/>
          <w:sz w:val="24"/>
        </w:rPr>
        <w:t>证书至少包含以下信息：</w:t>
      </w:r>
    </w:p>
    <w:p w14:paraId="39A22E61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标题</w:t>
      </w:r>
      <w:r>
        <w:rPr>
          <w:rFonts w:hint="eastAsia"/>
        </w:rPr>
        <w:t>，</w:t>
      </w:r>
      <w:r>
        <w:t>如</w:t>
      </w:r>
      <w:r>
        <w:rPr>
          <w:rFonts w:hint="eastAsia"/>
        </w:rPr>
        <w:t>“</w:t>
      </w:r>
      <w:r>
        <w:t>校准证书</w:t>
      </w:r>
      <w:r>
        <w:rPr>
          <w:rFonts w:hint="eastAsia"/>
        </w:rPr>
        <w:t>”；</w:t>
      </w:r>
    </w:p>
    <w:p w14:paraId="72440D2E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rPr>
          <w:rFonts w:hint="eastAsia"/>
        </w:rPr>
        <w:t>证书的编号、页码和总页数；</w:t>
      </w:r>
    </w:p>
    <w:p w14:paraId="6D0A53D2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校准实验室的名称和地址</w:t>
      </w:r>
      <w:r>
        <w:rPr>
          <w:rFonts w:hint="eastAsia"/>
        </w:rPr>
        <w:t>；</w:t>
      </w:r>
    </w:p>
    <w:p w14:paraId="5B0078C5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进行校准的日期</w:t>
      </w:r>
      <w:r>
        <w:rPr>
          <w:rFonts w:hint="eastAsia"/>
        </w:rPr>
        <w:t>；</w:t>
      </w:r>
    </w:p>
    <w:p w14:paraId="3AA5DAE8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进行校准的地点</w:t>
      </w:r>
      <w:r>
        <w:rPr>
          <w:rFonts w:hint="eastAsia"/>
        </w:rPr>
        <w:t>（如果不在实验室内进行校准）；</w:t>
      </w:r>
    </w:p>
    <w:p w14:paraId="2DCA9924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客户的名称和地址</w:t>
      </w:r>
      <w:r>
        <w:rPr>
          <w:rFonts w:hint="eastAsia"/>
        </w:rPr>
        <w:t>；</w:t>
      </w:r>
    </w:p>
    <w:p w14:paraId="14F6ED53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被校电阻应变传感器的型号</w:t>
      </w:r>
      <w:r>
        <w:rPr>
          <w:rFonts w:hint="eastAsia"/>
        </w:rPr>
        <w:t>、</w:t>
      </w:r>
      <w:r>
        <w:t>规格</w:t>
      </w:r>
      <w:r>
        <w:rPr>
          <w:rFonts w:hint="eastAsia"/>
        </w:rPr>
        <w:t>和出厂编号；</w:t>
      </w:r>
    </w:p>
    <w:p w14:paraId="50BA5AFA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本技术规范的名称及代号</w:t>
      </w:r>
      <w:r>
        <w:rPr>
          <w:rFonts w:hint="eastAsia"/>
        </w:rPr>
        <w:t>；</w:t>
      </w:r>
    </w:p>
    <w:p w14:paraId="1A470203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本次校准所用测量标准溯源性和有效性的说明</w:t>
      </w:r>
      <w:r>
        <w:rPr>
          <w:rFonts w:hint="eastAsia"/>
        </w:rPr>
        <w:t>；</w:t>
      </w:r>
    </w:p>
    <w:p w14:paraId="79DAEADE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校准环境的描述</w:t>
      </w:r>
      <w:r>
        <w:rPr>
          <w:rFonts w:hint="eastAsia"/>
        </w:rPr>
        <w:t>；</w:t>
      </w:r>
    </w:p>
    <w:p w14:paraId="345EB565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校准结果及其测量不确定度的说明</w:t>
      </w:r>
      <w:r>
        <w:rPr>
          <w:rFonts w:hint="eastAsia"/>
        </w:rPr>
        <w:t>；</w:t>
      </w:r>
    </w:p>
    <w:p w14:paraId="124A6B22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校准证书签发人的签名</w:t>
      </w:r>
      <w:r>
        <w:rPr>
          <w:rFonts w:hint="eastAsia"/>
        </w:rPr>
        <w:t>、</w:t>
      </w:r>
      <w:r>
        <w:t>职务或等效标识</w:t>
      </w:r>
      <w:r>
        <w:rPr>
          <w:rFonts w:hint="eastAsia"/>
        </w:rPr>
        <w:t>，</w:t>
      </w:r>
      <w:r>
        <w:t>以及签发日期</w:t>
      </w:r>
      <w:r>
        <w:rPr>
          <w:rFonts w:hint="eastAsia"/>
        </w:rPr>
        <w:t>；</w:t>
      </w:r>
    </w:p>
    <w:p w14:paraId="31F73483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校准结果仅对被校对象有效的声明</w:t>
      </w:r>
      <w:r>
        <w:rPr>
          <w:rFonts w:hint="eastAsia"/>
        </w:rPr>
        <w:t>；</w:t>
      </w:r>
    </w:p>
    <w:p w14:paraId="5F23A93B">
      <w:pPr>
        <w:pStyle w:val="30"/>
        <w:numPr>
          <w:ilvl w:val="0"/>
          <w:numId w:val="6"/>
        </w:numPr>
        <w:spacing w:line="360" w:lineRule="auto"/>
        <w:ind w:left="0" w:firstLine="420"/>
        <w:textAlignment w:val="baseline"/>
      </w:pPr>
      <w:r>
        <w:t>未经实验室书面批准</w:t>
      </w:r>
      <w:r>
        <w:rPr>
          <w:rFonts w:hint="eastAsia"/>
        </w:rPr>
        <w:t>，</w:t>
      </w:r>
      <w:r>
        <w:t>不得部分复制证书的声明</w:t>
      </w:r>
      <w:r>
        <w:rPr>
          <w:rFonts w:hint="eastAsia"/>
        </w:rPr>
        <w:t>。</w:t>
      </w:r>
    </w:p>
    <w:p w14:paraId="3988B695">
      <w:pPr>
        <w:ind w:firstLine="360" w:firstLineChars="150"/>
        <w:jc w:val="left"/>
        <w:rPr>
          <w:sz w:val="24"/>
        </w:rPr>
      </w:pPr>
      <w:r>
        <w:rPr>
          <w:sz w:val="24"/>
        </w:rPr>
        <w:t>推荐的校准证书内页格式</w:t>
      </w:r>
      <w:r>
        <w:rPr>
          <w:rFonts w:hint="eastAsia"/>
          <w:sz w:val="24"/>
        </w:rPr>
        <w:t>见B.2。</w:t>
      </w:r>
    </w:p>
    <w:p w14:paraId="4BEC6037">
      <w:pPr>
        <w:jc w:val="left"/>
        <w:rPr>
          <w:sz w:val="24"/>
        </w:rPr>
      </w:pPr>
    </w:p>
    <w:p w14:paraId="1716DE87">
      <w:pPr>
        <w:jc w:val="left"/>
        <w:rPr>
          <w:sz w:val="24"/>
        </w:rPr>
      </w:pPr>
    </w:p>
    <w:p w14:paraId="66347322">
      <w:pPr>
        <w:jc w:val="left"/>
        <w:rPr>
          <w:sz w:val="24"/>
        </w:rPr>
      </w:pPr>
    </w:p>
    <w:p w14:paraId="4A629A4A">
      <w:pPr>
        <w:jc w:val="left"/>
        <w:rPr>
          <w:sz w:val="24"/>
        </w:rPr>
      </w:pPr>
    </w:p>
    <w:p w14:paraId="1958DF52">
      <w:pPr>
        <w:jc w:val="left"/>
        <w:rPr>
          <w:sz w:val="24"/>
        </w:rPr>
      </w:pPr>
    </w:p>
    <w:p w14:paraId="43C8787E">
      <w:pPr>
        <w:jc w:val="left"/>
        <w:rPr>
          <w:sz w:val="24"/>
        </w:rPr>
      </w:pPr>
    </w:p>
    <w:p w14:paraId="1EECF579">
      <w:pPr>
        <w:jc w:val="left"/>
        <w:rPr>
          <w:sz w:val="24"/>
        </w:rPr>
      </w:pPr>
    </w:p>
    <w:p w14:paraId="799ACB88">
      <w:pPr>
        <w:jc w:val="left"/>
        <w:rPr>
          <w:sz w:val="24"/>
        </w:rPr>
      </w:pPr>
    </w:p>
    <w:p w14:paraId="708C435D">
      <w:pPr>
        <w:jc w:val="left"/>
        <w:rPr>
          <w:sz w:val="24"/>
        </w:rPr>
      </w:pPr>
    </w:p>
    <w:p w14:paraId="16B67F61">
      <w:pPr>
        <w:jc w:val="left"/>
        <w:rPr>
          <w:sz w:val="24"/>
        </w:rPr>
      </w:pPr>
    </w:p>
    <w:p w14:paraId="21317EA5">
      <w:pPr>
        <w:jc w:val="left"/>
        <w:rPr>
          <w:sz w:val="24"/>
        </w:rPr>
      </w:pPr>
    </w:p>
    <w:p w14:paraId="5548F99F">
      <w:pPr>
        <w:jc w:val="left"/>
        <w:rPr>
          <w:sz w:val="24"/>
        </w:rPr>
      </w:pPr>
    </w:p>
    <w:p w14:paraId="54D5DE25">
      <w:pPr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sz w:val="24"/>
        </w:rPr>
        <w:t>B.2校准证书内页的推荐格式</w:t>
      </w:r>
    </w:p>
    <w:p w14:paraId="15A64AA5">
      <w:pPr>
        <w:jc w:val="left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</w:rPr>
        <w:t>一、普通灵敏系数：</w:t>
      </w:r>
    </w:p>
    <w:p w14:paraId="54E6EB4F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</w:rPr>
        <w:t>二、频率响应：</w:t>
      </w:r>
    </w:p>
    <w:tbl>
      <w:tblPr>
        <w:tblStyle w:val="16"/>
        <w:tblW w:w="822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257"/>
        <w:gridCol w:w="1447"/>
        <w:gridCol w:w="2840"/>
      </w:tblGrid>
      <w:tr w14:paraId="47421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294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标准频率</w:t>
            </w:r>
          </w:p>
          <w:p w14:paraId="181AD7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（Hz）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186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标准加速度</w:t>
            </w:r>
          </w:p>
          <w:p w14:paraId="49B61DC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（m/s</w:t>
            </w:r>
            <w:r>
              <w:rPr>
                <w:rStyle w:val="50"/>
                <w:rFonts w:hint="default"/>
                <w:vertAlign w:val="superscript"/>
              </w:rPr>
              <w:t>2</w:t>
            </w:r>
            <w:r>
              <w:rPr>
                <w:rStyle w:val="51"/>
                <w:rFonts w:hint="default"/>
              </w:rPr>
              <w:t>）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32F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F52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相对扩展不确定度</w:t>
            </w:r>
          </w:p>
          <w:p w14:paraId="694780DC">
            <w:pPr>
              <w:widowControl/>
              <w:jc w:val="center"/>
              <w:textAlignment w:val="center"/>
              <w:rPr>
                <w:rFonts w:ascii="宋体" w:hAnsi="宋体" w:cs="宋体"/>
                <w:i/>
                <w:iCs/>
                <w:color w:val="000000"/>
                <w:sz w:val="24"/>
              </w:rPr>
            </w:pP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4"/>
              </w:rPr>
              <w:t>U</w:t>
            </w:r>
            <w:r>
              <w:rPr>
                <w:rStyle w:val="52"/>
                <w:rFonts w:hint="default"/>
                <w:vertAlign w:val="subscript"/>
              </w:rPr>
              <w:t>rel</w:t>
            </w:r>
            <w:r>
              <w:rPr>
                <w:rStyle w:val="51"/>
                <w:rFonts w:hint="default"/>
              </w:rPr>
              <w:t>(</w:t>
            </w:r>
            <w:r>
              <w:rPr>
                <w:rStyle w:val="53"/>
                <w:rFonts w:hint="default"/>
              </w:rPr>
              <w:t>k</w:t>
            </w:r>
            <w:r>
              <w:rPr>
                <w:rStyle w:val="51"/>
                <w:rFonts w:hint="default"/>
              </w:rPr>
              <w:t>=2)</w:t>
            </w:r>
          </w:p>
        </w:tc>
      </w:tr>
      <w:tr w14:paraId="32772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DB4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4053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3791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ED8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2478349">
        <w:trPr>
          <w:trHeight w:val="540" w:hRule="atLeast"/>
          <w:jc w:val="center"/>
        </w:trPr>
        <w:tc>
          <w:tcPr>
            <w:tcW w:w="16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5F36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57D4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96D9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C1968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74A7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0128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D5FD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7FA9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CDD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BA852AF">
        <w:trPr>
          <w:trHeight w:val="540" w:hRule="atLeast"/>
          <w:jc w:val="center"/>
        </w:trPr>
        <w:tc>
          <w:tcPr>
            <w:tcW w:w="16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26BD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D4F7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1F74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148E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BD42C0D">
        <w:trPr>
          <w:trHeight w:val="540" w:hRule="atLeast"/>
          <w:jc w:val="center"/>
        </w:trPr>
        <w:tc>
          <w:tcPr>
            <w:tcW w:w="16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2814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4CB1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7D14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2E5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2DB3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EA1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DCF3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2472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F66F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CCD6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4C00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AF7F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774C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8F708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E6E21EA">
      <w:r>
        <w:rPr>
          <w:rFonts w:hint="eastAsia" w:ascii="宋体" w:hAnsi="宋体" w:cs="宋体"/>
          <w:color w:val="000000"/>
          <w:kern w:val="0"/>
          <w:sz w:val="27"/>
          <w:szCs w:val="27"/>
        </w:rPr>
        <w:t>二、幅值线性度：</w:t>
      </w:r>
    </w:p>
    <w:tbl>
      <w:tblPr>
        <w:tblStyle w:val="16"/>
        <w:tblW w:w="829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244"/>
        <w:gridCol w:w="1457"/>
        <w:gridCol w:w="2910"/>
      </w:tblGrid>
      <w:tr w14:paraId="52016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9D1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标准频率</w:t>
            </w:r>
          </w:p>
          <w:p w14:paraId="1EDB7B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（Hz）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AA4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标准加速度</w:t>
            </w:r>
          </w:p>
          <w:p w14:paraId="255625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（m/s</w:t>
            </w:r>
            <w:r>
              <w:rPr>
                <w:rStyle w:val="50"/>
                <w:rFonts w:hint="default"/>
                <w:vertAlign w:val="superscript"/>
              </w:rPr>
              <w:t>2</w:t>
            </w:r>
            <w:r>
              <w:rPr>
                <w:rStyle w:val="51"/>
                <w:rFonts w:hint="default"/>
              </w:rPr>
              <w:t>）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915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45D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相对扩展不确定度</w:t>
            </w:r>
          </w:p>
          <w:p w14:paraId="24E71D2E">
            <w:pPr>
              <w:widowControl/>
              <w:jc w:val="center"/>
              <w:textAlignment w:val="center"/>
              <w:rPr>
                <w:rFonts w:ascii="宋体" w:hAnsi="宋体" w:cs="宋体"/>
                <w:i/>
                <w:iCs/>
                <w:color w:val="000000"/>
                <w:sz w:val="24"/>
              </w:rPr>
            </w:pP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4"/>
              </w:rPr>
              <w:t>U</w:t>
            </w:r>
            <w:r>
              <w:rPr>
                <w:rStyle w:val="52"/>
                <w:rFonts w:hint="default"/>
                <w:vertAlign w:val="subscript"/>
              </w:rPr>
              <w:t>rel</w:t>
            </w:r>
            <w:r>
              <w:rPr>
                <w:rStyle w:val="51"/>
                <w:rFonts w:hint="default"/>
              </w:rPr>
              <w:t>(</w:t>
            </w:r>
            <w:r>
              <w:rPr>
                <w:rStyle w:val="53"/>
                <w:rFonts w:hint="default"/>
              </w:rPr>
              <w:t>k</w:t>
            </w:r>
            <w:r>
              <w:rPr>
                <w:rStyle w:val="51"/>
                <w:rFonts w:hint="default"/>
              </w:rPr>
              <w:t>=2)</w:t>
            </w:r>
          </w:p>
        </w:tc>
      </w:tr>
      <w:tr w14:paraId="3717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81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7D94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6639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442F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1514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85B0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8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8E5F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0136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DC4F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6D7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C981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8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11DCA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D658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D1780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91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BE6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1126D27">
      <w:pPr>
        <w:jc w:val="center"/>
        <w:rPr>
          <w:bCs/>
          <w:sz w:val="24"/>
        </w:rPr>
      </w:pPr>
      <w:r>
        <w:rPr>
          <w:rFonts w:hint="eastAsia"/>
          <w:bCs/>
          <w:sz w:val="24"/>
        </w:rPr>
        <w:t>以下空白</w:t>
      </w:r>
    </w:p>
    <w:p w14:paraId="7DA8CEFD">
      <w:pPr>
        <w:rPr>
          <w:bCs/>
          <w:sz w:val="24"/>
        </w:rPr>
      </w:pPr>
      <w:r>
        <w:rPr>
          <w:rFonts w:hint="eastAsia"/>
          <w:bCs/>
          <w:sz w:val="24"/>
        </w:rPr>
        <w:br w:type="page"/>
      </w:r>
    </w:p>
    <w:p w14:paraId="0EE8F915">
      <w:pPr>
        <w:pStyle w:val="2"/>
        <w:rPr>
          <w:rFonts w:ascii="黑体" w:hAnsi="黑体" w:eastAsia="黑体" w:cs="黑体"/>
          <w:b w:val="0"/>
          <w:bCs/>
          <w:sz w:val="28"/>
          <w:szCs w:val="28"/>
        </w:rPr>
      </w:pPr>
      <w:bookmarkStart w:id="63" w:name="_Toc110534747"/>
      <w:bookmarkStart w:id="64" w:name="_Toc192669932"/>
      <w:r>
        <w:rPr>
          <w:rFonts w:hint="eastAsia" w:ascii="黑体" w:hAnsi="黑体" w:eastAsia="黑体" w:cs="黑体"/>
          <w:b w:val="0"/>
          <w:bCs/>
          <w:sz w:val="28"/>
          <w:szCs w:val="28"/>
        </w:rPr>
        <w:t>附录</w:t>
      </w:r>
      <w:bookmarkEnd w:id="63"/>
      <w:r>
        <w:rPr>
          <w:rFonts w:hint="eastAsia" w:ascii="黑体" w:hAnsi="黑体" w:eastAsia="黑体" w:cs="黑体"/>
          <w:b w:val="0"/>
          <w:bCs/>
          <w:sz w:val="28"/>
          <w:szCs w:val="28"/>
        </w:rPr>
        <w:t>C</w:t>
      </w:r>
      <w:bookmarkEnd w:id="64"/>
    </w:p>
    <w:p w14:paraId="7D49ED4D">
      <w:pPr>
        <w:spacing w:line="400" w:lineRule="exact"/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测量不确定度评定示例</w:t>
      </w:r>
    </w:p>
    <w:p w14:paraId="49533AF4">
      <w:pPr>
        <w:spacing w:line="440" w:lineRule="exact"/>
        <w:rPr>
          <w:rFonts w:ascii="宋体" w:hAnsi="宋体"/>
          <w:bCs/>
          <w:sz w:val="24"/>
        </w:rPr>
      </w:pPr>
      <w:r>
        <w:rPr>
          <w:rFonts w:hint="eastAsia"/>
          <w:bCs/>
          <w:sz w:val="24"/>
        </w:rPr>
        <w:t>C.</w:t>
      </w:r>
      <w:r>
        <w:rPr>
          <w:bCs/>
          <w:sz w:val="24"/>
        </w:rPr>
        <w:t>1</w:t>
      </w:r>
      <w:r>
        <w:rPr>
          <w:rFonts w:hint="eastAsia" w:ascii="宋体" w:hAnsi="宋体"/>
          <w:bCs/>
          <w:sz w:val="24"/>
        </w:rPr>
        <w:t>测量方法</w:t>
      </w:r>
    </w:p>
    <w:p w14:paraId="25D10EF8">
      <w:pPr>
        <w:spacing w:line="30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sz w:val="24"/>
          <w:szCs w:val="21"/>
        </w:rPr>
        <w:t>将电阻应变传感器安装于标准振动台</w:t>
      </w:r>
      <w:r>
        <w:rPr>
          <w:rFonts w:hint="eastAsia"/>
          <w:sz w:val="24"/>
        </w:rPr>
        <w:t>及夹具</w:t>
      </w:r>
      <w:r>
        <w:rPr>
          <w:sz w:val="24"/>
          <w:szCs w:val="21"/>
        </w:rPr>
        <w:t>上，在被校传感器</w:t>
      </w:r>
      <w:r>
        <w:rPr>
          <w:rFonts w:hint="eastAsia"/>
          <w:sz w:val="24"/>
          <w:szCs w:val="21"/>
        </w:rPr>
        <w:t>幅值</w:t>
      </w:r>
      <w:r>
        <w:rPr>
          <w:sz w:val="24"/>
          <w:szCs w:val="21"/>
        </w:rPr>
        <w:t>范围内选取振动频率和加速度进行正弦激振，测量被校传感器的灵敏度。</w:t>
      </w:r>
      <w:r>
        <w:rPr>
          <w:rFonts w:hint="eastAsia" w:ascii="宋体" w:hAnsi="宋体"/>
          <w:sz w:val="24"/>
        </w:rPr>
        <w:t>依据</w:t>
      </w:r>
      <w:r>
        <w:rPr>
          <w:sz w:val="24"/>
        </w:rPr>
        <w:t>JJF1059.1-2012</w:t>
      </w:r>
      <w:r>
        <w:rPr>
          <w:rFonts w:hint="eastAsia" w:ascii="宋体" w:hAnsi="宋体"/>
          <w:sz w:val="24"/>
        </w:rPr>
        <w:t>《测量不确定度评定与表示》对</w:t>
      </w:r>
      <w:r>
        <w:rPr>
          <w:sz w:val="24"/>
          <w:szCs w:val="21"/>
        </w:rPr>
        <w:t>电阻应变传感器</w:t>
      </w:r>
      <w:r>
        <w:rPr>
          <w:rFonts w:hint="eastAsia" w:ascii="宋体" w:hAnsi="宋体"/>
          <w:sz w:val="24"/>
        </w:rPr>
        <w:t>灵敏度校准结果进行测量不确定度评定。</w:t>
      </w:r>
    </w:p>
    <w:p w14:paraId="562F6F4E">
      <w:pPr>
        <w:spacing w:line="440" w:lineRule="exact"/>
        <w:rPr>
          <w:bCs/>
          <w:sz w:val="24"/>
        </w:rPr>
      </w:pPr>
      <w:r>
        <w:rPr>
          <w:rFonts w:hint="eastAsia"/>
          <w:bCs/>
          <w:sz w:val="24"/>
        </w:rPr>
        <w:t>C.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测量模型</w:t>
      </w:r>
    </w:p>
    <w:p w14:paraId="01C2B836">
      <w:pPr>
        <w:jc w:val="right"/>
        <w:rPr>
          <w:rFonts w:hAnsi="宋体"/>
          <w:sz w:val="24"/>
        </w:rPr>
      </w:pPr>
      <w:r>
        <w:rPr>
          <w:position w:val="-32"/>
        </w:rPr>
        <w:object>
          <v:shape id="_x0000_i1037" o:spt="75" type="#_x0000_t75" style="height:37.65pt;width:78.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sz w:val="24"/>
        </w:rPr>
        <w:t>…………………………………</w:t>
      </w:r>
      <w:r>
        <w:rPr>
          <w:rFonts w:hint="eastAsia"/>
          <w:sz w:val="24"/>
        </w:rPr>
        <w:t>（C.1）</w:t>
      </w:r>
    </w:p>
    <w:p w14:paraId="1616D798">
      <w:pPr>
        <w:adjustRightInd w:val="0"/>
        <w:snapToGrid w:val="0"/>
        <w:spacing w:line="300" w:lineRule="auto"/>
        <w:ind w:firstLine="480" w:firstLineChars="200"/>
      </w:pPr>
      <w:r>
        <w:rPr>
          <w:rFonts w:hint="eastAsia"/>
          <w:kern w:val="0"/>
          <w:sz w:val="24"/>
        </w:rPr>
        <w:t>式中：</w:t>
      </w:r>
      <w:r>
        <w:rPr>
          <w:i/>
          <w:iCs/>
          <w:sz w:val="24"/>
          <w:szCs w:val="21"/>
        </w:rPr>
        <w:t>S</w:t>
      </w:r>
      <w:r>
        <w:rPr>
          <w:sz w:val="24"/>
          <w:szCs w:val="21"/>
          <w:vertAlign w:val="subscript"/>
        </w:rPr>
        <w:t>0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参考灵敏度，</w:t>
      </w:r>
      <w:r>
        <w:rPr>
          <w:sz w:val="24"/>
        </w:rPr>
        <w:t>μ</w:t>
      </w:r>
      <w:r>
        <w:rPr>
          <w:sz w:val="24"/>
          <w:szCs w:val="21"/>
        </w:rPr>
        <w:t>V/</w:t>
      </w:r>
      <w:r>
        <w:rPr>
          <w:sz w:val="24"/>
        </w:rPr>
        <w:t>με，</w:t>
      </w:r>
    </w:p>
    <w:p w14:paraId="14003033">
      <w:pPr>
        <w:adjustRightInd w:val="0"/>
        <w:snapToGrid w:val="0"/>
        <w:spacing w:line="300" w:lineRule="auto"/>
        <w:ind w:firstLine="480" w:firstLineChars="200"/>
        <w:rPr>
          <w:sz w:val="24"/>
        </w:rPr>
      </w:pPr>
      <w:r>
        <w:rPr>
          <w:i/>
          <w:iCs/>
          <w:sz w:val="24"/>
        </w:rPr>
        <w:t>E</w:t>
      </w:r>
      <w:r>
        <w:rPr>
          <w:rFonts w:hint="eastAsia"/>
          <w:sz w:val="24"/>
        </w:rPr>
        <w:t>——</w:t>
      </w:r>
      <w:r>
        <w:rPr>
          <w:sz w:val="24"/>
        </w:rPr>
        <w:t>传感器输出值，μ</w:t>
      </w:r>
      <w:r>
        <w:rPr>
          <w:rFonts w:hint="eastAsia"/>
          <w:sz w:val="24"/>
        </w:rPr>
        <w:t>V</w:t>
      </w:r>
      <w:r>
        <w:rPr>
          <w:sz w:val="24"/>
        </w:rPr>
        <w:t>，</w:t>
      </w:r>
    </w:p>
    <w:p w14:paraId="5F802720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</w:rPr>
        <w:t>X</w:t>
      </w:r>
      <w:r>
        <w:rPr>
          <w:sz w:val="24"/>
          <w:vertAlign w:val="subscript"/>
        </w:rPr>
        <w:t>0</w:t>
      </w:r>
      <w:r>
        <w:rPr>
          <w:rFonts w:hint="eastAsia"/>
          <w:sz w:val="24"/>
        </w:rPr>
        <w:t>——</w:t>
      </w:r>
      <w:r>
        <w:rPr>
          <w:sz w:val="24"/>
        </w:rPr>
        <w:t>参考加速度单峰值，</w:t>
      </w:r>
      <w:r>
        <w:rPr>
          <w:sz w:val="24"/>
          <w:szCs w:val="21"/>
        </w:rPr>
        <w:t>m/s</w:t>
      </w:r>
      <w:r>
        <w:rPr>
          <w:sz w:val="24"/>
          <w:szCs w:val="21"/>
          <w:vertAlign w:val="superscript"/>
        </w:rPr>
        <w:t>2</w:t>
      </w:r>
      <w:r>
        <w:rPr>
          <w:sz w:val="24"/>
          <w:szCs w:val="21"/>
        </w:rPr>
        <w:t>，</w:t>
      </w:r>
    </w:p>
    <w:p w14:paraId="47727921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  <w:szCs w:val="21"/>
        </w:rPr>
        <w:t>f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振动台振动频率，Hz</w:t>
      </w:r>
    </w:p>
    <w:p w14:paraId="68F068CE">
      <w:pPr>
        <w:adjustRightInd w:val="0"/>
        <w:snapToGrid w:val="0"/>
        <w:spacing w:line="300" w:lineRule="auto"/>
        <w:ind w:firstLine="480" w:firstLineChars="200"/>
        <w:rPr>
          <w:sz w:val="24"/>
          <w:szCs w:val="21"/>
        </w:rPr>
      </w:pPr>
      <w:r>
        <w:rPr>
          <w:i/>
          <w:iCs/>
          <w:sz w:val="24"/>
          <w:szCs w:val="21"/>
        </w:rPr>
        <w:t>L</w:t>
      </w:r>
      <w:r>
        <w:rPr>
          <w:rFonts w:hint="eastAsia"/>
          <w:sz w:val="24"/>
          <w:szCs w:val="21"/>
        </w:rPr>
        <w:t>——</w:t>
      </w:r>
      <w:r>
        <w:rPr>
          <w:sz w:val="24"/>
          <w:szCs w:val="21"/>
        </w:rPr>
        <w:t>传感器</w:t>
      </w:r>
      <w:r>
        <w:rPr>
          <w:rFonts w:hint="eastAsia"/>
          <w:sz w:val="24"/>
          <w:szCs w:val="21"/>
        </w:rPr>
        <w:t>标距</w:t>
      </w:r>
      <w:r>
        <w:rPr>
          <w:sz w:val="24"/>
          <w:szCs w:val="21"/>
        </w:rPr>
        <w:t>，m。</w:t>
      </w:r>
    </w:p>
    <w:p w14:paraId="0DAD432C">
      <w:pPr>
        <w:rPr>
          <w:bCs/>
          <w:color w:val="FF0000"/>
          <w:sz w:val="24"/>
        </w:rPr>
      </w:pPr>
      <w:r>
        <w:rPr>
          <w:rFonts w:hint="eastAsia"/>
          <w:bCs/>
          <w:sz w:val="24"/>
        </w:rPr>
        <w:t>C.3合成标准不确定度计算公式和灵敏系数</w:t>
      </w:r>
    </w:p>
    <w:p w14:paraId="4A132271">
      <w:pPr>
        <w:jc w:val="center"/>
        <w:rPr>
          <w:rFonts w:ascii="宋体" w:hAnsi="宋体"/>
          <w:color w:val="FF0000"/>
          <w:position w:val="-18"/>
          <w:sz w:val="24"/>
        </w:rPr>
      </w:pPr>
      <w:r>
        <w:rPr>
          <w:rFonts w:ascii="宋体" w:hAnsi="宋体"/>
          <w:color w:val="FF0000"/>
          <w:position w:val="-18"/>
          <w:sz w:val="24"/>
        </w:rPr>
        <w:object>
          <v:shape id="_x0000_i1038" o:spt="75" type="#_x0000_t75" style="height:20.95pt;width:144.8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 w14:paraId="6D50685B">
      <w:pPr>
        <w:jc w:val="center"/>
        <w:rPr>
          <w:bCs/>
          <w:color w:val="FF0000"/>
          <w:position w:val="-4"/>
          <w:sz w:val="24"/>
        </w:rPr>
      </w:pPr>
      <w:r>
        <w:rPr>
          <w:rFonts w:ascii="宋体" w:hAnsi="宋体"/>
          <w:color w:val="FF0000"/>
          <w:position w:val="-30"/>
          <w:sz w:val="24"/>
        </w:rPr>
        <w:object>
          <v:shape id="_x0000_i1039" o:spt="75" type="#_x0000_t75" style="height:33.5pt;width:21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</w:p>
    <w:p w14:paraId="17A5D8DF">
      <w:pPr>
        <w:spacing w:line="360" w:lineRule="auto"/>
        <w:ind w:firstLine="480"/>
        <w:rPr>
          <w:sz w:val="24"/>
        </w:rPr>
      </w:pPr>
      <w:r>
        <w:rPr>
          <w:rFonts w:hint="eastAsia"/>
          <w:bCs/>
          <w:sz w:val="24"/>
        </w:rPr>
        <w:t>由于测量模型中各不确定度</w:t>
      </w:r>
      <w:r>
        <w:rPr>
          <w:rFonts w:hint="eastAsia"/>
          <w:sz w:val="24"/>
        </w:rPr>
        <w:t>不相关，故合成标准不确定度计算公式为（C.2）：</w:t>
      </w:r>
    </w:p>
    <w:p w14:paraId="3E3A5EB1">
      <w:pPr>
        <w:spacing w:before="100" w:beforeAutospacing="1" w:after="100" w:afterAutospacing="1" w:line="360" w:lineRule="auto"/>
        <w:ind w:right="480"/>
        <w:jc w:val="center"/>
        <w:rPr>
          <w:rFonts w:ascii="宋体" w:hAnsi="宋体"/>
          <w:sz w:val="24"/>
        </w:rPr>
      </w:pPr>
      <w:r>
        <w:rPr>
          <w:rFonts w:ascii="宋体" w:hAnsi="宋体"/>
          <w:color w:val="FF0000"/>
          <w:position w:val="-14"/>
          <w:sz w:val="24"/>
        </w:rPr>
        <w:object>
          <v:shape id="_x0000_i1040" o:spt="75" type="#_x0000_t75" style="height:20.1pt;width:177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/>
          <w:sz w:val="24"/>
        </w:rPr>
        <w:t>（C.2）</w:t>
      </w:r>
    </w:p>
    <w:p w14:paraId="290ED655">
      <w:pPr>
        <w:spacing w:line="440" w:lineRule="exact"/>
        <w:rPr>
          <w:bCs/>
          <w:sz w:val="24"/>
        </w:rPr>
      </w:pPr>
      <w:r>
        <w:rPr>
          <w:rFonts w:hint="eastAsia"/>
          <w:bCs/>
          <w:sz w:val="24"/>
        </w:rPr>
        <w:t>C.4 输入量的标准不确定度的评定</w:t>
      </w:r>
    </w:p>
    <w:p w14:paraId="1F749A4E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C.4.1  被校</w:t>
      </w:r>
      <w:r>
        <w:rPr>
          <w:sz w:val="24"/>
          <w:szCs w:val="21"/>
        </w:rPr>
        <w:t>电阻应变传感器</w:t>
      </w:r>
      <w:r>
        <w:rPr>
          <w:rFonts w:hint="eastAsia"/>
          <w:bCs/>
          <w:sz w:val="24"/>
        </w:rPr>
        <w:t>重复性引入的相对标准不确定度分量</w:t>
      </w:r>
      <w:r>
        <w:rPr>
          <w:bCs/>
          <w:position w:val="-12"/>
          <w:sz w:val="24"/>
        </w:rPr>
        <w:object>
          <v:shape id="_x0000_i1041" o:spt="75" type="#_x0000_t75" style="height:18.4pt;width:20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 w14:paraId="7279637E">
      <w:pPr>
        <w:adjustRightInd w:val="0"/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被校</w:t>
      </w:r>
      <w:r>
        <w:rPr>
          <w:sz w:val="24"/>
          <w:szCs w:val="21"/>
        </w:rPr>
        <w:t>电阻应变传感器灵敏度</w:t>
      </w:r>
      <w:r>
        <w:rPr>
          <w:rFonts w:hint="eastAsia"/>
          <w:bCs/>
          <w:sz w:val="24"/>
        </w:rPr>
        <w:t>重复性引入的相对标准不确定度分量</w:t>
      </w:r>
      <w:r>
        <w:rPr>
          <w:bCs/>
          <w:position w:val="-12"/>
          <w:sz w:val="24"/>
        </w:rPr>
        <w:object>
          <v:shape id="_x0000_i1042" o:spt="75" type="#_x0000_t75" style="height:18.4pt;width:20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/>
          <w:bCs/>
          <w:sz w:val="24"/>
        </w:rPr>
        <w:t>按A类评定。</w:t>
      </w:r>
    </w:p>
    <w:p w14:paraId="341E951A">
      <w:pPr>
        <w:adjustRightInd w:val="0"/>
        <w:snapToGrid w:val="0"/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在重复性条件下，将标准振动装置的幅值调至10</w:t>
      </w:r>
      <w:r>
        <w:rPr>
          <w:rFonts w:hint="eastAsia" w:ascii="宋体"/>
        </w:rPr>
        <w:t>m/s</w:t>
      </w:r>
      <w:r>
        <w:rPr>
          <w:rFonts w:hint="eastAsia" w:ascii="宋体"/>
          <w:vertAlign w:val="superscript"/>
        </w:rPr>
        <w:t>2</w:t>
      </w:r>
      <w:r>
        <w:rPr>
          <w:rFonts w:hint="eastAsia"/>
          <w:bCs/>
          <w:sz w:val="24"/>
        </w:rPr>
        <w:t>，频率调至160Hz，连续读取并记录10次</w:t>
      </w:r>
      <w:r>
        <w:rPr>
          <w:sz w:val="24"/>
          <w:szCs w:val="21"/>
        </w:rPr>
        <w:t>传感器灵敏度</w:t>
      </w:r>
      <w:r>
        <w:rPr>
          <w:rFonts w:hint="eastAsia"/>
          <w:bCs/>
          <w:sz w:val="24"/>
        </w:rPr>
        <w:t>值，测量结果见表C.1。</w:t>
      </w:r>
    </w:p>
    <w:p w14:paraId="13B41BD4">
      <w:pPr>
        <w:adjustRightInd w:val="0"/>
        <w:snapToGrid w:val="0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表C.1重复性测量结果      μV/με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14:paraId="436BF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shd w:val="clear" w:color="auto" w:fill="auto"/>
            <w:vAlign w:val="center"/>
          </w:tcPr>
          <w:p w14:paraId="2C0A99B5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测量次数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3514656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D0A9884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2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705B48C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598075C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6B3E9F5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23AC9CA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B91EC6D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7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BAD71C9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8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6FCDCDA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9E571D3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10</w:t>
            </w:r>
          </w:p>
        </w:tc>
      </w:tr>
      <w:tr w14:paraId="4782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shd w:val="clear" w:color="auto" w:fill="auto"/>
            <w:vAlign w:val="center"/>
          </w:tcPr>
          <w:p w14:paraId="5F11A9A7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灵敏度值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DA8A35A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6.98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1250E28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AB05D0C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7.01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FD52DBC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6.97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5D5F99F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7.01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714D1C6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28E40D0E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7.01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33DEFAC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6.98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D4D05FD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6.98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4E44A2A0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6.97</w:t>
            </w:r>
          </w:p>
        </w:tc>
      </w:tr>
      <w:tr w14:paraId="6799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shd w:val="clear" w:color="auto" w:fill="auto"/>
            <w:vAlign w:val="center"/>
          </w:tcPr>
          <w:p w14:paraId="1014C795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平均值</w:t>
            </w:r>
          </w:p>
        </w:tc>
        <w:tc>
          <w:tcPr>
            <w:tcW w:w="7270" w:type="dxa"/>
            <w:gridSpan w:val="10"/>
            <w:shd w:val="clear" w:color="auto" w:fill="auto"/>
            <w:vAlign w:val="center"/>
          </w:tcPr>
          <w:p w14:paraId="5A66C672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6.99</w:t>
            </w:r>
          </w:p>
        </w:tc>
      </w:tr>
      <w:tr w14:paraId="1362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2" w:type="dxa"/>
            <w:shd w:val="clear" w:color="auto" w:fill="auto"/>
            <w:vAlign w:val="center"/>
          </w:tcPr>
          <w:p w14:paraId="6767B829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szCs w:val="18"/>
              </w:rPr>
              <w:t>标准偏差</w:t>
            </w:r>
          </w:p>
        </w:tc>
        <w:tc>
          <w:tcPr>
            <w:tcW w:w="7270" w:type="dxa"/>
            <w:gridSpan w:val="10"/>
            <w:shd w:val="clear" w:color="auto" w:fill="auto"/>
            <w:vAlign w:val="center"/>
          </w:tcPr>
          <w:p w14:paraId="28DD8DC4">
            <w:pPr>
              <w:adjustRightInd w:val="0"/>
              <w:snapToGrid w:val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0.0160</w:t>
            </w:r>
          </w:p>
        </w:tc>
      </w:tr>
    </w:tbl>
    <w:p w14:paraId="666E59DE">
      <w:pPr>
        <w:spacing w:line="360" w:lineRule="auto"/>
        <w:ind w:firstLine="480"/>
        <w:rPr>
          <w:rFonts w:eastAsia="仿宋_GB2312"/>
          <w:bCs/>
          <w:iCs/>
          <w:sz w:val="24"/>
        </w:rPr>
      </w:pPr>
      <w:r>
        <w:rPr>
          <w:rFonts w:hint="eastAsia"/>
          <w:bCs/>
          <w:sz w:val="24"/>
        </w:rPr>
        <w:t>被校</w:t>
      </w:r>
      <w:r>
        <w:rPr>
          <w:sz w:val="24"/>
          <w:szCs w:val="21"/>
        </w:rPr>
        <w:t>电阻应变传感器灵敏度测量</w:t>
      </w:r>
      <w:r>
        <w:rPr>
          <w:rFonts w:hint="eastAsia"/>
          <w:bCs/>
          <w:sz w:val="24"/>
        </w:rPr>
        <w:t>重复性引入的不确定度分量为：</w:t>
      </w:r>
    </w:p>
    <w:p w14:paraId="438F3159">
      <w:pPr>
        <w:spacing w:line="360" w:lineRule="auto"/>
        <w:jc w:val="center"/>
        <w:rPr>
          <w:rFonts w:eastAsia="仿宋_GB2312"/>
          <w:bCs/>
          <w:iCs/>
          <w:sz w:val="24"/>
        </w:rPr>
      </w:pPr>
      <w:r>
        <w:rPr>
          <w:bCs/>
          <w:position w:val="-10"/>
          <w:sz w:val="24"/>
        </w:rPr>
        <w:object>
          <v:shape id="_x0000_i1043" o:spt="75" type="#_x0000_t75" style="height:17.6pt;width:9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7">
            <o:LockedField>false</o:LockedField>
          </o:OLEObject>
        </w:object>
      </w:r>
      <w:r>
        <w:rPr>
          <w:bCs/>
          <w:position w:val="-12"/>
          <w:sz w:val="24"/>
        </w:rPr>
        <w:object>
          <v:shape id="_x0000_i1044" o:spt="75" type="#_x0000_t75" style="height:18.4pt;width:7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</w:p>
    <w:p w14:paraId="204D5129">
      <w:pPr>
        <w:snapToGrid w:val="0"/>
        <w:spacing w:line="300" w:lineRule="auto"/>
        <w:rPr>
          <w:bCs/>
          <w:sz w:val="24"/>
        </w:rPr>
      </w:pPr>
      <w:r>
        <w:rPr>
          <w:rFonts w:hint="eastAsia"/>
          <w:bCs/>
          <w:sz w:val="24"/>
        </w:rPr>
        <w:t>C.4.2  卡尺引入的标准不确定度分量</w:t>
      </w:r>
      <w:r>
        <w:rPr>
          <w:bCs/>
          <w:position w:val="-12"/>
          <w:sz w:val="24"/>
        </w:rPr>
        <w:object>
          <v:shape id="_x0000_i1045" o:spt="75" type="#_x0000_t75" style="height:18.4pt;width:34.3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 w14:paraId="5BB229ED">
      <w:pPr>
        <w:snapToGrid w:val="0"/>
        <w:spacing w:line="300" w:lineRule="auto"/>
        <w:ind w:firstLine="360" w:firstLineChars="15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采用B类评定方法，用卡尺测量</w:t>
      </w:r>
      <w:r>
        <w:rPr>
          <w:sz w:val="24"/>
          <w:szCs w:val="21"/>
        </w:rPr>
        <w:t>电阻应变传感器的标距为</w:t>
      </w:r>
      <w:r>
        <w:rPr>
          <w:rFonts w:hint="eastAsia"/>
          <w:sz w:val="24"/>
          <w:szCs w:val="21"/>
        </w:rPr>
        <w:t>76.1mm，</w:t>
      </w:r>
      <w:r>
        <w:rPr>
          <w:rFonts w:hint="eastAsia" w:asciiTheme="minorEastAsia" w:hAnsiTheme="minorEastAsia" w:eastAsiaTheme="minorEastAsia"/>
          <w:sz w:val="24"/>
        </w:rPr>
        <w:t>卡尺的</w:t>
      </w:r>
      <w:r>
        <w:rPr>
          <w:rFonts w:hint="eastAsia" w:asciiTheme="minorEastAsia" w:hAnsiTheme="minorEastAsia" w:eastAsiaTheme="minorEastAsia" w:cstheme="minorBidi"/>
          <w:sz w:val="24"/>
        </w:rPr>
        <w:t>最大允许误差为±0.05mm</w:t>
      </w:r>
      <w:r>
        <w:rPr>
          <w:rFonts w:hint="eastAsia" w:asciiTheme="minorEastAsia" w:hAnsiTheme="minorEastAsia" w:eastAsiaTheme="minorEastAsia"/>
          <w:sz w:val="24"/>
        </w:rPr>
        <w:t>，按均匀分布：</w:t>
      </w:r>
    </w:p>
    <w:p w14:paraId="59269BE8">
      <w:pPr>
        <w:snapToGrid w:val="0"/>
        <w:spacing w:line="300" w:lineRule="auto"/>
        <w:ind w:firstLine="480" w:firstLineChars="200"/>
        <w:jc w:val="center"/>
        <w:rPr>
          <w:rFonts w:asciiTheme="minorEastAsia" w:hAnsiTheme="minorEastAsia" w:eastAsiaTheme="minorEastAsia"/>
          <w:sz w:val="24"/>
        </w:rPr>
      </w:pPr>
      <w:r>
        <w:rPr>
          <w:bCs/>
          <w:position w:val="-28"/>
          <w:sz w:val="24"/>
        </w:rPr>
        <w:object>
          <v:shape id="_x0000_i1046" o:spt="75" type="#_x0000_t75" style="height:32.65pt;width:152.3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</w:p>
    <w:p w14:paraId="0A4C6322">
      <w:pPr>
        <w:snapToGrid w:val="0"/>
        <w:spacing w:line="300" w:lineRule="auto"/>
        <w:rPr>
          <w:bCs/>
          <w:sz w:val="24"/>
        </w:rPr>
      </w:pPr>
      <w:r>
        <w:rPr>
          <w:rFonts w:hint="eastAsia"/>
          <w:bCs/>
          <w:sz w:val="24"/>
        </w:rPr>
        <w:t>C.4.3 电阻应变仪引入的标准不确定度分量</w:t>
      </w:r>
      <w:r>
        <w:rPr>
          <w:bCs/>
          <w:position w:val="-12"/>
          <w:sz w:val="24"/>
        </w:rPr>
        <w:object>
          <v:shape id="_x0000_i1047" o:spt="75" type="#_x0000_t75" style="height:18.4pt;width:35.1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</w:p>
    <w:p w14:paraId="0693BEBC">
      <w:pPr>
        <w:snapToGrid w:val="0"/>
        <w:spacing w:line="300" w:lineRule="auto"/>
        <w:ind w:firstLine="360" w:firstLineChars="15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采用B类评定方法，</w:t>
      </w:r>
      <w:r>
        <w:rPr>
          <w:rFonts w:hint="eastAsia"/>
          <w:bCs/>
          <w:sz w:val="24"/>
        </w:rPr>
        <w:t>动态信号分析仪电压测量的不确定度为1%</w:t>
      </w:r>
      <w:r>
        <w:rPr>
          <w:rFonts w:hint="eastAsia"/>
          <w:sz w:val="24"/>
          <w:szCs w:val="21"/>
        </w:rPr>
        <w:t>，</w:t>
      </w:r>
      <w:r>
        <w:rPr>
          <w:rFonts w:hint="eastAsia" w:asciiTheme="minorEastAsia" w:hAnsiTheme="minorEastAsia" w:eastAsiaTheme="minorEastAsia"/>
          <w:i/>
          <w:sz w:val="24"/>
        </w:rPr>
        <w:t>k</w:t>
      </w:r>
      <w:r>
        <w:rPr>
          <w:rFonts w:hint="eastAsia" w:asciiTheme="minorEastAsia" w:hAnsiTheme="minorEastAsia" w:eastAsiaTheme="minorEastAsia"/>
          <w:sz w:val="24"/>
        </w:rPr>
        <w:t>=2，</w:t>
      </w:r>
      <w:r>
        <w:rPr>
          <w:rFonts w:hint="eastAsia"/>
          <w:bCs/>
          <w:sz w:val="24"/>
        </w:rPr>
        <w:t>动态信号分析仪引入的标准不确定度分量为</w:t>
      </w:r>
      <w:r>
        <w:rPr>
          <w:rFonts w:hint="eastAsia" w:asciiTheme="minorEastAsia" w:hAnsiTheme="minorEastAsia" w:eastAsiaTheme="minorEastAsia"/>
          <w:sz w:val="24"/>
        </w:rPr>
        <w:t>：</w:t>
      </w:r>
    </w:p>
    <w:p w14:paraId="4ADADCCC">
      <w:pPr>
        <w:spacing w:line="360" w:lineRule="auto"/>
        <w:jc w:val="center"/>
        <w:rPr>
          <w:bCs/>
          <w:sz w:val="24"/>
        </w:rPr>
      </w:pPr>
      <w:r>
        <w:rPr>
          <w:bCs/>
          <w:position w:val="-24"/>
          <w:sz w:val="24"/>
        </w:rPr>
        <w:object>
          <v:shape id="_x0000_i1048" o:spt="75" type="#_x0000_t75" style="height:30.15pt;width:111.3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</w:p>
    <w:p w14:paraId="61C554F4">
      <w:pPr>
        <w:snapToGrid w:val="0"/>
        <w:spacing w:line="300" w:lineRule="auto"/>
        <w:rPr>
          <w:bCs/>
          <w:sz w:val="24"/>
        </w:rPr>
      </w:pPr>
      <w:r>
        <w:rPr>
          <w:rFonts w:hint="eastAsia"/>
          <w:bCs/>
          <w:sz w:val="24"/>
        </w:rPr>
        <w:t>C.4.4  振动标准装置引入的标准不确定度分量</w:t>
      </w:r>
      <w:r>
        <w:rPr>
          <w:bCs/>
          <w:position w:val="-12"/>
          <w:sz w:val="24"/>
        </w:rPr>
        <w:object>
          <v:shape id="_x0000_i1049" o:spt="75" type="#_x0000_t75" style="height:18.4pt;width:4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 w14:paraId="22E7FA51">
      <w:pPr>
        <w:snapToGrid w:val="0"/>
        <w:spacing w:line="300" w:lineRule="auto"/>
        <w:ind w:firstLine="360" w:firstLineChars="15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采用B类评定方法，</w:t>
      </w:r>
      <w:r>
        <w:rPr>
          <w:rFonts w:hint="eastAsia"/>
          <w:bCs/>
          <w:sz w:val="24"/>
        </w:rPr>
        <w:t>振动标准装置的不确定度为2%</w:t>
      </w:r>
      <w:r>
        <w:rPr>
          <w:rFonts w:hint="eastAsia"/>
          <w:sz w:val="24"/>
          <w:szCs w:val="21"/>
        </w:rPr>
        <w:t>，</w:t>
      </w:r>
      <w:r>
        <w:rPr>
          <w:rFonts w:hint="eastAsia" w:asciiTheme="minorEastAsia" w:hAnsiTheme="minorEastAsia" w:eastAsiaTheme="minorEastAsia"/>
          <w:i/>
          <w:sz w:val="24"/>
        </w:rPr>
        <w:t>k</w:t>
      </w:r>
      <w:r>
        <w:rPr>
          <w:rFonts w:hint="eastAsia" w:asciiTheme="minorEastAsia" w:hAnsiTheme="minorEastAsia" w:eastAsiaTheme="minorEastAsia"/>
          <w:sz w:val="24"/>
        </w:rPr>
        <w:t>=2，</w:t>
      </w:r>
      <w:r>
        <w:rPr>
          <w:rFonts w:hint="eastAsia"/>
          <w:bCs/>
          <w:sz w:val="24"/>
        </w:rPr>
        <w:t>振动标准装置引入的标准不确定度分量为</w:t>
      </w:r>
      <w:r>
        <w:rPr>
          <w:rFonts w:hint="eastAsia" w:asciiTheme="minorEastAsia" w:hAnsiTheme="minorEastAsia" w:eastAsiaTheme="minorEastAsia"/>
          <w:sz w:val="24"/>
        </w:rPr>
        <w:t>：</w:t>
      </w:r>
    </w:p>
    <w:p w14:paraId="4848DDA3">
      <w:pPr>
        <w:snapToGrid w:val="0"/>
        <w:spacing w:line="300" w:lineRule="auto"/>
        <w:ind w:firstLine="480" w:firstLineChars="200"/>
        <w:jc w:val="center"/>
        <w:rPr>
          <w:bCs/>
          <w:position w:val="-24"/>
          <w:sz w:val="24"/>
        </w:rPr>
      </w:pPr>
      <w:r>
        <w:rPr>
          <w:bCs/>
          <w:position w:val="-24"/>
          <w:sz w:val="24"/>
        </w:rPr>
        <w:object>
          <v:shape id="_x0000_i1050" o:spt="75" type="#_x0000_t75" style="height:30.15pt;width:111.3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</w:p>
    <w:p w14:paraId="4E58C065">
      <w:pPr>
        <w:snapToGrid w:val="0"/>
        <w:spacing w:line="300" w:lineRule="auto"/>
        <w:rPr>
          <w:bCs/>
          <w:sz w:val="24"/>
        </w:rPr>
      </w:pPr>
      <w:r>
        <w:rPr>
          <w:rFonts w:hint="eastAsia"/>
          <w:bCs/>
          <w:sz w:val="24"/>
        </w:rPr>
        <w:t>C.4.5安装参数等对传感器输出的影响引入的标准不确定度分量</w:t>
      </w:r>
      <w:r>
        <w:rPr>
          <w:bCs/>
          <w:position w:val="-12"/>
          <w:sz w:val="24"/>
        </w:rPr>
        <w:object>
          <v:shape id="_x0000_i1051" o:spt="75" type="#_x0000_t75" style="height:18.4pt;width:38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</w:p>
    <w:p w14:paraId="37803F80">
      <w:pPr>
        <w:snapToGrid w:val="0"/>
        <w:spacing w:line="300" w:lineRule="auto"/>
        <w:ind w:firstLine="360" w:firstLineChars="15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采用B类评定方法，</w:t>
      </w:r>
      <w:r>
        <w:rPr>
          <w:rFonts w:hint="eastAsia"/>
          <w:bCs/>
          <w:sz w:val="24"/>
        </w:rPr>
        <w:t>估计传感器安装、安装扭力、电缆固定等对传感器输出的影响为0.5%（2</w:t>
      </w:r>
      <w:r>
        <w:rPr>
          <w:bCs/>
          <w:sz w:val="24"/>
        </w:rPr>
        <w:t>%</w:t>
      </w:r>
      <w:r>
        <w:rPr>
          <w:rFonts w:hint="eastAsia"/>
          <w:bCs/>
          <w:sz w:val="24"/>
        </w:rPr>
        <w:t>）</w:t>
      </w:r>
      <w:r>
        <w:rPr>
          <w:rFonts w:hint="eastAsia"/>
          <w:sz w:val="24"/>
          <w:szCs w:val="21"/>
        </w:rPr>
        <w:t>，</w:t>
      </w:r>
      <w:r>
        <w:rPr>
          <w:rFonts w:hint="eastAsia" w:asciiTheme="minorEastAsia" w:hAnsiTheme="minorEastAsia" w:eastAsiaTheme="minorEastAsia"/>
          <w:sz w:val="24"/>
        </w:rPr>
        <w:t>按均匀分布：</w:t>
      </w:r>
    </w:p>
    <w:p w14:paraId="636144AB">
      <w:pPr>
        <w:snapToGrid w:val="0"/>
        <w:spacing w:line="300" w:lineRule="auto"/>
        <w:ind w:firstLine="480" w:firstLineChars="200"/>
        <w:jc w:val="center"/>
        <w:rPr>
          <w:bCs/>
          <w:position w:val="-24"/>
          <w:sz w:val="24"/>
        </w:rPr>
      </w:pPr>
      <w:r>
        <w:rPr>
          <w:bCs/>
          <w:position w:val="-24"/>
          <w:sz w:val="24"/>
        </w:rPr>
        <w:object>
          <v:shape id="_x0000_i1052" o:spt="75" type="#_x0000_t75" style="height:30.15pt;width:125.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</w:p>
    <w:p w14:paraId="5F313E4C">
      <w:pPr>
        <w:snapToGrid w:val="0"/>
        <w:spacing w:line="300" w:lineRule="auto"/>
        <w:ind w:firstLine="480" w:firstLineChars="200"/>
        <w:jc w:val="center"/>
        <w:rPr>
          <w:bCs/>
          <w:position w:val="-24"/>
          <w:sz w:val="24"/>
        </w:rPr>
      </w:pPr>
      <w:r>
        <w:rPr>
          <w:rFonts w:hint="eastAsia"/>
          <w:bCs/>
          <w:position w:val="-24"/>
          <w:sz w:val="24"/>
        </w:rPr>
        <w:t>加一个频率误差的影响</w:t>
      </w:r>
    </w:p>
    <w:p w14:paraId="3869C750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C.4.5  标准不确定度分量表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260"/>
        <w:gridCol w:w="2480"/>
        <w:gridCol w:w="1134"/>
        <w:gridCol w:w="1704"/>
      </w:tblGrid>
      <w:tr w14:paraId="4C7D3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 w14:paraId="5D62A5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标准不确</w:t>
            </w:r>
          </w:p>
          <w:p w14:paraId="54EA4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定度分量</w:t>
            </w:r>
          </w:p>
        </w:tc>
        <w:tc>
          <w:tcPr>
            <w:tcW w:w="1260" w:type="dxa"/>
            <w:vAlign w:val="center"/>
          </w:tcPr>
          <w:p w14:paraId="3D7303D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标准不确</w:t>
            </w:r>
          </w:p>
          <w:p w14:paraId="59F0E2C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定度分类</w:t>
            </w:r>
          </w:p>
        </w:tc>
        <w:tc>
          <w:tcPr>
            <w:tcW w:w="2480" w:type="dxa"/>
            <w:vAlign w:val="center"/>
          </w:tcPr>
          <w:p w14:paraId="3F03880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不确定度</w:t>
            </w:r>
          </w:p>
          <w:p w14:paraId="045E5A3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来源</w:t>
            </w:r>
          </w:p>
        </w:tc>
        <w:tc>
          <w:tcPr>
            <w:tcW w:w="1134" w:type="dxa"/>
            <w:vAlign w:val="center"/>
          </w:tcPr>
          <w:p w14:paraId="5C57A4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测量结果</w:t>
            </w:r>
          </w:p>
          <w:p w14:paraId="4F29ED4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分布</w:t>
            </w:r>
          </w:p>
        </w:tc>
        <w:tc>
          <w:tcPr>
            <w:tcW w:w="1704" w:type="dxa"/>
            <w:vAlign w:val="center"/>
          </w:tcPr>
          <w:p w14:paraId="7C038D1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标准不确定</w:t>
            </w:r>
          </w:p>
          <w:p w14:paraId="230CC62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度分量值(</w:t>
            </w:r>
            <w:r>
              <w:rPr>
                <w:rFonts w:hint="eastAsia"/>
                <w:szCs w:val="21"/>
              </w:rPr>
              <w:t>%</w:t>
            </w:r>
            <w:r>
              <w:rPr>
                <w:szCs w:val="21"/>
              </w:rPr>
              <w:t>)</w:t>
            </w:r>
          </w:p>
        </w:tc>
      </w:tr>
      <w:tr w14:paraId="215D4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188" w:type="dxa"/>
            <w:vAlign w:val="center"/>
          </w:tcPr>
          <w:p w14:paraId="046E73B5">
            <w:pPr>
              <w:spacing w:line="360" w:lineRule="auto"/>
              <w:jc w:val="center"/>
              <w:rPr>
                <w:szCs w:val="21"/>
                <w:vertAlign w:val="subscript"/>
              </w:rPr>
            </w:pPr>
            <w:r>
              <w:rPr>
                <w:bCs/>
                <w:position w:val="-12"/>
                <w:sz w:val="24"/>
              </w:rPr>
              <w:object>
                <v:shape id="_x0000_i1053" o:spt="75" type="#_x0000_t75" style="height:18.4pt;width:20.95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7">
                  <o:LockedField>false</o:LockedField>
                </o:OLEObject>
              </w:object>
            </w:r>
          </w:p>
        </w:tc>
        <w:tc>
          <w:tcPr>
            <w:tcW w:w="1260" w:type="dxa"/>
            <w:vAlign w:val="center"/>
          </w:tcPr>
          <w:p w14:paraId="3EFDF05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</w:p>
        </w:tc>
        <w:tc>
          <w:tcPr>
            <w:tcW w:w="2480" w:type="dxa"/>
            <w:vAlign w:val="center"/>
          </w:tcPr>
          <w:p w14:paraId="74DF833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测量重复性</w:t>
            </w:r>
            <w:r>
              <w:rPr>
                <w:rFonts w:hint="eastAsia"/>
                <w:bCs/>
                <w:szCs w:val="21"/>
              </w:rPr>
              <w:t>引入的不确定度</w:t>
            </w:r>
          </w:p>
        </w:tc>
        <w:tc>
          <w:tcPr>
            <w:tcW w:w="1134" w:type="dxa"/>
            <w:vAlign w:val="center"/>
          </w:tcPr>
          <w:p w14:paraId="5CC82FB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正态</w:t>
            </w:r>
          </w:p>
        </w:tc>
        <w:tc>
          <w:tcPr>
            <w:tcW w:w="1704" w:type="dxa"/>
            <w:vAlign w:val="center"/>
          </w:tcPr>
          <w:p w14:paraId="5243FCA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0.229%</w:t>
            </w:r>
          </w:p>
        </w:tc>
      </w:tr>
      <w:tr w14:paraId="5A26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88" w:type="dxa"/>
            <w:vAlign w:val="center"/>
          </w:tcPr>
          <w:p w14:paraId="1B1463B2">
            <w:pPr>
              <w:spacing w:line="360" w:lineRule="auto"/>
              <w:jc w:val="center"/>
              <w:rPr>
                <w:szCs w:val="21"/>
                <w:vertAlign w:val="subscript"/>
              </w:rPr>
            </w:pPr>
            <w:r>
              <w:rPr>
                <w:bCs/>
                <w:position w:val="-12"/>
                <w:sz w:val="24"/>
              </w:rPr>
              <w:object>
                <v:shape id="_x0000_i1054" o:spt="75" type="#_x0000_t75" style="height:18.4pt;width:34.3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8">
                  <o:LockedField>false</o:LockedField>
                </o:OLEObject>
              </w:object>
            </w:r>
          </w:p>
        </w:tc>
        <w:tc>
          <w:tcPr>
            <w:tcW w:w="1260" w:type="dxa"/>
            <w:vAlign w:val="center"/>
          </w:tcPr>
          <w:p w14:paraId="409E28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</w:t>
            </w:r>
          </w:p>
        </w:tc>
        <w:tc>
          <w:tcPr>
            <w:tcW w:w="2480" w:type="dxa"/>
            <w:vAlign w:val="center"/>
          </w:tcPr>
          <w:p w14:paraId="1AFE42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卡尺测量</w:t>
            </w:r>
            <w:r>
              <w:rPr>
                <w:rFonts w:hint="eastAsia"/>
                <w:color w:val="000000"/>
                <w:szCs w:val="21"/>
              </w:rPr>
              <w:t>误差</w:t>
            </w:r>
            <w:r>
              <w:rPr>
                <w:rFonts w:hint="eastAsia"/>
                <w:bCs/>
                <w:szCs w:val="21"/>
              </w:rPr>
              <w:t>引入的不确定度</w:t>
            </w:r>
          </w:p>
        </w:tc>
        <w:tc>
          <w:tcPr>
            <w:tcW w:w="1134" w:type="dxa"/>
            <w:vAlign w:val="center"/>
          </w:tcPr>
          <w:p w14:paraId="25197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均匀</w:t>
            </w:r>
          </w:p>
        </w:tc>
        <w:tc>
          <w:tcPr>
            <w:tcW w:w="1704" w:type="dxa"/>
            <w:vAlign w:val="center"/>
          </w:tcPr>
          <w:p w14:paraId="655D95C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0.0379%</w:t>
            </w:r>
          </w:p>
        </w:tc>
      </w:tr>
      <w:tr w14:paraId="15FAC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88" w:type="dxa"/>
            <w:vAlign w:val="center"/>
          </w:tcPr>
          <w:p w14:paraId="39880175">
            <w:pPr>
              <w:spacing w:line="360" w:lineRule="auto"/>
              <w:jc w:val="center"/>
              <w:rPr>
                <w:bCs/>
                <w:position w:val="-12"/>
                <w:sz w:val="24"/>
              </w:rPr>
            </w:pPr>
            <w:r>
              <w:rPr>
                <w:bCs/>
                <w:position w:val="-12"/>
                <w:sz w:val="24"/>
              </w:rPr>
              <w:object>
                <v:shape id="_x0000_i1055" o:spt="75" type="#_x0000_t75" style="height:18.4pt;width:35.15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9">
                  <o:LockedField>false</o:LockedField>
                </o:OLEObject>
              </w:object>
            </w:r>
          </w:p>
        </w:tc>
        <w:tc>
          <w:tcPr>
            <w:tcW w:w="1260" w:type="dxa"/>
            <w:vAlign w:val="center"/>
          </w:tcPr>
          <w:p w14:paraId="6CAA092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2480" w:type="dxa"/>
            <w:vAlign w:val="center"/>
          </w:tcPr>
          <w:p w14:paraId="006E9293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电压测量引入的不确定度</w:t>
            </w:r>
          </w:p>
        </w:tc>
        <w:tc>
          <w:tcPr>
            <w:tcW w:w="1134" w:type="dxa"/>
            <w:vAlign w:val="center"/>
          </w:tcPr>
          <w:p w14:paraId="477DEF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正态</w:t>
            </w:r>
          </w:p>
        </w:tc>
        <w:tc>
          <w:tcPr>
            <w:tcW w:w="1704" w:type="dxa"/>
            <w:vAlign w:val="center"/>
          </w:tcPr>
          <w:p w14:paraId="35A7103C">
            <w:pPr>
              <w:spacing w:line="360" w:lineRule="auto"/>
              <w:jc w:val="center"/>
              <w:rPr>
                <w:position w:val="-6"/>
              </w:rPr>
            </w:pPr>
            <w:r>
              <w:rPr>
                <w:rFonts w:hint="eastAsia"/>
                <w:position w:val="-6"/>
              </w:rPr>
              <w:t>0.500%</w:t>
            </w:r>
          </w:p>
        </w:tc>
      </w:tr>
      <w:tr w14:paraId="2433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88" w:type="dxa"/>
            <w:vAlign w:val="center"/>
          </w:tcPr>
          <w:p w14:paraId="671D6839">
            <w:pPr>
              <w:spacing w:line="360" w:lineRule="auto"/>
              <w:jc w:val="center"/>
              <w:rPr>
                <w:bCs/>
                <w:position w:val="-12"/>
                <w:sz w:val="24"/>
              </w:rPr>
            </w:pPr>
            <w:r>
              <w:rPr>
                <w:bCs/>
                <w:position w:val="-12"/>
                <w:sz w:val="24"/>
              </w:rPr>
              <w:object>
                <v:shape id="_x0000_i1056" o:spt="75" type="#_x0000_t75" style="height:18.4pt;width:41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0">
                  <o:LockedField>false</o:LockedField>
                </o:OLEObject>
              </w:object>
            </w:r>
          </w:p>
        </w:tc>
        <w:tc>
          <w:tcPr>
            <w:tcW w:w="1260" w:type="dxa"/>
            <w:vAlign w:val="center"/>
          </w:tcPr>
          <w:p w14:paraId="338AE88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2480" w:type="dxa"/>
            <w:vAlign w:val="center"/>
          </w:tcPr>
          <w:p w14:paraId="7CB949D6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振动标准装置引入的不确定度</w:t>
            </w:r>
          </w:p>
        </w:tc>
        <w:tc>
          <w:tcPr>
            <w:tcW w:w="1134" w:type="dxa"/>
            <w:vAlign w:val="center"/>
          </w:tcPr>
          <w:p w14:paraId="53DE368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正态</w:t>
            </w:r>
          </w:p>
        </w:tc>
        <w:tc>
          <w:tcPr>
            <w:tcW w:w="1704" w:type="dxa"/>
            <w:vAlign w:val="center"/>
          </w:tcPr>
          <w:p w14:paraId="7A03B626">
            <w:pPr>
              <w:spacing w:line="360" w:lineRule="auto"/>
              <w:jc w:val="center"/>
              <w:rPr>
                <w:position w:val="-6"/>
              </w:rPr>
            </w:pPr>
            <w:r>
              <w:rPr>
                <w:rFonts w:hint="eastAsia"/>
                <w:position w:val="-6"/>
              </w:rPr>
              <w:t>1.00%</w:t>
            </w:r>
          </w:p>
        </w:tc>
      </w:tr>
      <w:tr w14:paraId="464B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188" w:type="dxa"/>
            <w:vAlign w:val="center"/>
          </w:tcPr>
          <w:p w14:paraId="32B1F63A">
            <w:pPr>
              <w:spacing w:line="360" w:lineRule="auto"/>
              <w:jc w:val="center"/>
              <w:rPr>
                <w:bCs/>
                <w:position w:val="-12"/>
                <w:sz w:val="24"/>
              </w:rPr>
            </w:pPr>
            <w:r>
              <w:rPr>
                <w:bCs/>
                <w:position w:val="-12"/>
                <w:sz w:val="24"/>
              </w:rPr>
              <w:object>
                <v:shape id="_x0000_i1057" o:spt="75" type="#_x0000_t75" style="height:18.4pt;width:38.5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1">
                  <o:LockedField>false</o:LockedField>
                </o:OLEObject>
              </w:object>
            </w:r>
          </w:p>
        </w:tc>
        <w:tc>
          <w:tcPr>
            <w:tcW w:w="1260" w:type="dxa"/>
            <w:vAlign w:val="center"/>
          </w:tcPr>
          <w:p w14:paraId="6B7C509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2480" w:type="dxa"/>
            <w:vAlign w:val="center"/>
          </w:tcPr>
          <w:p w14:paraId="73F8FE8A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安装参数等引入的不确定度</w:t>
            </w:r>
          </w:p>
        </w:tc>
        <w:tc>
          <w:tcPr>
            <w:tcW w:w="1134" w:type="dxa"/>
            <w:vAlign w:val="center"/>
          </w:tcPr>
          <w:p w14:paraId="00D60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均匀</w:t>
            </w:r>
          </w:p>
        </w:tc>
        <w:tc>
          <w:tcPr>
            <w:tcW w:w="1704" w:type="dxa"/>
            <w:vAlign w:val="center"/>
          </w:tcPr>
          <w:p w14:paraId="6A8F1593">
            <w:pPr>
              <w:spacing w:line="360" w:lineRule="auto"/>
              <w:jc w:val="center"/>
              <w:rPr>
                <w:position w:val="-6"/>
              </w:rPr>
            </w:pPr>
            <w:r>
              <w:rPr>
                <w:rFonts w:hint="eastAsia"/>
                <w:position w:val="-6"/>
              </w:rPr>
              <w:t>0.250%</w:t>
            </w:r>
          </w:p>
        </w:tc>
      </w:tr>
    </w:tbl>
    <w:p w14:paraId="3CC0FC39">
      <w:pPr>
        <w:spacing w:line="360" w:lineRule="auto"/>
        <w:rPr>
          <w:bCs/>
          <w:sz w:val="24"/>
        </w:rPr>
      </w:pPr>
    </w:p>
    <w:p w14:paraId="14B4A15A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C.5  合成标准不确定度的计算</w:t>
      </w:r>
    </w:p>
    <w:p w14:paraId="54F65CFD"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由于各标准不确定度分量相互无关，故合成标准不确定度为：</w:t>
      </w:r>
    </w:p>
    <w:p w14:paraId="4C082A4B">
      <w:pPr>
        <w:spacing w:line="360" w:lineRule="auto"/>
        <w:ind w:firstLine="480"/>
        <w:rPr>
          <w:bCs/>
          <w:sz w:val="24"/>
        </w:rPr>
      </w:pPr>
      <w:r>
        <w:rPr>
          <w:rFonts w:ascii="宋体" w:hAnsi="宋体"/>
          <w:color w:val="FF0000"/>
          <w:position w:val="-14"/>
          <w:sz w:val="24"/>
        </w:rPr>
        <w:object>
          <v:shape id="_x0000_i1058" o:spt="75" type="#_x0000_t75" style="height:21.75pt;width:304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</w:p>
    <w:p w14:paraId="2A7EF650">
      <w:pPr>
        <w:spacing w:line="360" w:lineRule="auto"/>
        <w:ind w:firstLine="480"/>
        <w:jc w:val="center"/>
        <w:rPr>
          <w:bCs/>
          <w:sz w:val="24"/>
        </w:rPr>
      </w:pPr>
    </w:p>
    <w:p w14:paraId="2C569C85"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C.6  扩展不确定度的计算</w:t>
      </w:r>
    </w:p>
    <w:p w14:paraId="45EE695B">
      <w:pPr>
        <w:spacing w:line="360" w:lineRule="auto"/>
        <w:jc w:val="center"/>
        <w:rPr>
          <w:bCs/>
          <w:sz w:val="24"/>
        </w:rPr>
      </w:pPr>
      <w:r>
        <w:rPr>
          <w:bCs/>
          <w:position w:val="-12"/>
          <w:sz w:val="24"/>
        </w:rPr>
        <w:object>
          <v:shape id="_x0000_i1059" o:spt="75" type="#_x0000_t75" style="height:18.4pt;width:96.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/>
          <w:bCs/>
          <w:sz w:val="24"/>
        </w:rPr>
        <w:t>，</w:t>
      </w:r>
      <w:r>
        <w:rPr>
          <w:rFonts w:hint="eastAsia"/>
          <w:bCs/>
          <w:i/>
          <w:sz w:val="24"/>
        </w:rPr>
        <w:t>k</w:t>
      </w:r>
      <w:r>
        <w:rPr>
          <w:rFonts w:hint="eastAsia"/>
          <w:bCs/>
          <w:sz w:val="24"/>
        </w:rPr>
        <w:t>=2</w:t>
      </w:r>
    </w:p>
    <w:p w14:paraId="49AF47D0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按以上步骤计算出每个校准点的标准不确定度、合成标准不确定度及扩展不确定度。</w:t>
      </w:r>
    </w:p>
    <w:p w14:paraId="5D0404E1"/>
    <w:sectPr>
      <w:pgSz w:w="11906" w:h="16838"/>
      <w:pgMar w:top="1474" w:right="113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53FEF">
    <w:pPr>
      <w:pStyle w:val="10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45D10">
    <w:pPr>
      <w:pStyle w:val="10"/>
      <w:framePr w:wrap="around" w:vAnchor="text" w:hAnchor="margin" w:xAlign="right" w:y="1"/>
      <w:rPr>
        <w:rStyle w:val="20"/>
      </w:rPr>
    </w:pPr>
    <w:r>
      <w:fldChar w:fldCharType="begin"/>
    </w:r>
    <w:r>
      <w:rPr>
        <w:rStyle w:val="20"/>
      </w:rPr>
      <w:instrText xml:space="preserve">PAGE  </w:instrText>
    </w:r>
    <w:r>
      <w:fldChar w:fldCharType="end"/>
    </w:r>
  </w:p>
  <w:p w14:paraId="2D5464DA">
    <w:pPr>
      <w:pStyle w:val="10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D83F4">
    <w:pPr>
      <w:pStyle w:val="10"/>
      <w:framePr w:wrap="around" w:vAnchor="text" w:hAnchor="margin" w:xAlign="right" w:y="1"/>
      <w:rPr>
        <w:rStyle w:val="20"/>
      </w:rPr>
    </w:pPr>
    <w:r>
      <w:fldChar w:fldCharType="begin"/>
    </w:r>
    <w:r>
      <w:rPr>
        <w:rStyle w:val="20"/>
      </w:rPr>
      <w:instrText xml:space="preserve">PAGE  </w:instrText>
    </w:r>
    <w:r>
      <w:fldChar w:fldCharType="separate"/>
    </w:r>
    <w:r>
      <w:rPr>
        <w:rStyle w:val="20"/>
      </w:rPr>
      <w:t>II</w:t>
    </w:r>
    <w:r>
      <w:fldChar w:fldCharType="end"/>
    </w:r>
  </w:p>
  <w:p w14:paraId="76A164AA">
    <w:pPr>
      <w:pStyle w:val="10"/>
      <w:ind w:right="360"/>
      <w:jc w:val="center"/>
      <w:rPr>
        <w:sz w:val="21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BB64A">
    <w:pPr>
      <w:pStyle w:val="10"/>
      <w:framePr w:wrap="around" w:vAnchor="text" w:hAnchor="margin" w:xAlign="outside" w:y="1"/>
      <w:rPr>
        <w:rStyle w:val="20"/>
      </w:rPr>
    </w:pPr>
    <w:r>
      <w:fldChar w:fldCharType="begin"/>
    </w:r>
    <w:r>
      <w:rPr>
        <w:rStyle w:val="20"/>
      </w:rPr>
      <w:instrText xml:space="preserve">PAGE  </w:instrText>
    </w:r>
    <w:r>
      <w:fldChar w:fldCharType="separate"/>
    </w:r>
    <w:r>
      <w:rPr>
        <w:rStyle w:val="20"/>
      </w:rPr>
      <w:t>3</w:t>
    </w:r>
    <w:r>
      <w:fldChar w:fldCharType="end"/>
    </w:r>
  </w:p>
  <w:p w14:paraId="738DF090">
    <w:pPr>
      <w:pStyle w:val="10"/>
      <w:ind w:right="360" w:firstLine="360"/>
      <w:jc w:val="center"/>
      <w:rPr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1F487">
    <w:pPr>
      <w:pStyle w:val="11"/>
    </w:pPr>
    <w:r>
      <w:rPr>
        <w:rFonts w:hint="eastAsia"/>
      </w:rPr>
      <w:t xml:space="preserve">JJF </w:t>
    </w:r>
    <w:r>
      <w:rPr>
        <w:rFonts w:hint="eastAsia" w:ascii="黑体" w:hAnsi="黑体" w:eastAsia="黑体"/>
      </w:rPr>
      <w:t>XXXX</w:t>
    </w:r>
    <w:r>
      <w:rPr>
        <w:rFonts w:hint="eastAsia"/>
      </w:rPr>
      <w:t>—202X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6F654">
    <w:pPr>
      <w:pStyle w:val="11"/>
      <w:rPr>
        <w:rFonts w:ascii="黑体" w:hAnsi="黑体" w:eastAsia="黑体"/>
      </w:rPr>
    </w:pPr>
    <w:r>
      <w:rPr>
        <w:rFonts w:hint="eastAsia" w:ascii="黑体" w:hAnsi="黑体" w:eastAsia="黑体"/>
      </w:rPr>
      <w:t>JJF XXXX—20</w:t>
    </w:r>
    <w:r>
      <w:rPr>
        <w:rFonts w:ascii="黑体" w:hAnsi="黑体" w:eastAsia="黑体"/>
      </w:rPr>
      <w:t>2</w:t>
    </w:r>
    <w:r>
      <w:rPr>
        <w:rFonts w:hint="eastAsia" w:ascii="黑体" w:hAnsi="黑体" w:eastAsia="黑体"/>
      </w:rPr>
      <w:t>X</w:t>
    </w:r>
  </w:p>
  <w:p w14:paraId="55821464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51D2B8"/>
    <w:multiLevelType w:val="multilevel"/>
    <w:tmpl w:val="E751D2B8"/>
    <w:lvl w:ilvl="0" w:tentative="0">
      <w:start w:val="1"/>
      <w:numFmt w:val="lowerLetter"/>
      <w:suff w:val="space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1C7E06"/>
    <w:multiLevelType w:val="multilevel"/>
    <w:tmpl w:val="151C7E06"/>
    <w:lvl w:ilvl="0" w:tentative="0">
      <w:start w:val="6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 w:tentative="0">
      <w:start w:val="1"/>
      <w:numFmt w:val="decimal"/>
      <w:lvlText w:val="%1.%2"/>
      <w:lvlJc w:val="left"/>
      <w:pPr>
        <w:ind w:left="480" w:hanging="480"/>
      </w:pPr>
      <w:rPr>
        <w:rFonts w:hint="default"/>
        <w:sz w:val="24"/>
      </w:rPr>
    </w:lvl>
    <w:lvl w:ilvl="2" w:tentative="0">
      <w:start w:val="3"/>
      <w:numFmt w:val="decimal"/>
      <w:suff w:val="space"/>
      <w:lvlText w:val="%1.%2.%3"/>
      <w:lvlJc w:val="left"/>
      <w:pPr>
        <w:ind w:left="720" w:hanging="720"/>
      </w:pPr>
      <w:rPr>
        <w:rFonts w:hint="default"/>
        <w:sz w:val="24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2">
    <w:nsid w:val="38F55563"/>
    <w:multiLevelType w:val="multilevel"/>
    <w:tmpl w:val="38F55563"/>
    <w:lvl w:ilvl="0" w:tentative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CFD25EE"/>
    <w:multiLevelType w:val="multilevel"/>
    <w:tmpl w:val="5CFD25EE"/>
    <w:lvl w:ilvl="0" w:tentative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435" w:hanging="4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CEA2025"/>
    <w:multiLevelType w:val="multilevel"/>
    <w:tmpl w:val="6CEA2025"/>
    <w:lvl w:ilvl="0" w:tentative="0">
      <w:start w:val="1"/>
      <w:numFmt w:val="none"/>
      <w:pStyle w:val="39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37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5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4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3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40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71DA0325"/>
    <w:multiLevelType w:val="multilevel"/>
    <w:tmpl w:val="71DA0325"/>
    <w:lvl w:ilvl="0" w:tentative="0">
      <w:start w:val="1"/>
      <w:numFmt w:val="decimal"/>
      <w:suff w:val="space"/>
      <w:lvlText w:val="%1"/>
      <w:lvlJc w:val="left"/>
      <w:pPr>
        <w:ind w:left="360" w:hanging="360"/>
      </w:pPr>
      <w:rPr>
        <w:rFonts w:hint="eastAsia" w:ascii="黑体" w:eastAsia="黑体"/>
      </w:rPr>
    </w:lvl>
    <w:lvl w:ilvl="1" w:tentative="0">
      <w:start w:val="1"/>
      <w:numFmt w:val="decimal"/>
      <w:isLgl/>
      <w:lvlText w:val=".%2"/>
      <w:lvlJc w:val="left"/>
      <w:pPr>
        <w:tabs>
          <w:tab w:val="left" w:pos="540"/>
        </w:tabs>
        <w:ind w:left="540" w:hanging="54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E4ZDM1NmVlZWI2MGMyYWExZDc2NDMyNmUzZTdhZGUifQ=="/>
    <w:docVar w:name="KSO_WPS_MARK_KEY" w:val="498aaaa1-c32e-438f-8635-3a98ff7bd875"/>
  </w:docVars>
  <w:rsids>
    <w:rsidRoot w:val="00E02C94"/>
    <w:rsid w:val="00007D08"/>
    <w:rsid w:val="00010A97"/>
    <w:rsid w:val="00010C86"/>
    <w:rsid w:val="00016A49"/>
    <w:rsid w:val="00024DF5"/>
    <w:rsid w:val="000355E5"/>
    <w:rsid w:val="000426DB"/>
    <w:rsid w:val="000443D2"/>
    <w:rsid w:val="000450F4"/>
    <w:rsid w:val="00047935"/>
    <w:rsid w:val="000524A9"/>
    <w:rsid w:val="00055C33"/>
    <w:rsid w:val="000564CC"/>
    <w:rsid w:val="00062195"/>
    <w:rsid w:val="00065813"/>
    <w:rsid w:val="000A1EF8"/>
    <w:rsid w:val="000A4F81"/>
    <w:rsid w:val="000B2876"/>
    <w:rsid w:val="000B57D4"/>
    <w:rsid w:val="000C1AA5"/>
    <w:rsid w:val="000D303F"/>
    <w:rsid w:val="000E025F"/>
    <w:rsid w:val="00100D49"/>
    <w:rsid w:val="00105BAB"/>
    <w:rsid w:val="0010636E"/>
    <w:rsid w:val="0012467A"/>
    <w:rsid w:val="00147CC8"/>
    <w:rsid w:val="001543BA"/>
    <w:rsid w:val="00163CDC"/>
    <w:rsid w:val="00174745"/>
    <w:rsid w:val="0019572D"/>
    <w:rsid w:val="001A1565"/>
    <w:rsid w:val="001A3F38"/>
    <w:rsid w:val="001B01AF"/>
    <w:rsid w:val="001B19BF"/>
    <w:rsid w:val="001C45CD"/>
    <w:rsid w:val="001D6A54"/>
    <w:rsid w:val="001E7643"/>
    <w:rsid w:val="001F08DF"/>
    <w:rsid w:val="001F2C2E"/>
    <w:rsid w:val="001F386D"/>
    <w:rsid w:val="002076FC"/>
    <w:rsid w:val="00210E26"/>
    <w:rsid w:val="00220CB6"/>
    <w:rsid w:val="0022493D"/>
    <w:rsid w:val="00232262"/>
    <w:rsid w:val="002359AB"/>
    <w:rsid w:val="00236834"/>
    <w:rsid w:val="002375D8"/>
    <w:rsid w:val="00260075"/>
    <w:rsid w:val="002619EF"/>
    <w:rsid w:val="00265C5E"/>
    <w:rsid w:val="00274897"/>
    <w:rsid w:val="0028181D"/>
    <w:rsid w:val="002A3D15"/>
    <w:rsid w:val="002A5A2F"/>
    <w:rsid w:val="002B2620"/>
    <w:rsid w:val="002B7520"/>
    <w:rsid w:val="002C4A34"/>
    <w:rsid w:val="002C6462"/>
    <w:rsid w:val="002D30DB"/>
    <w:rsid w:val="002E0CC7"/>
    <w:rsid w:val="002E2DFD"/>
    <w:rsid w:val="003149CE"/>
    <w:rsid w:val="00315F5F"/>
    <w:rsid w:val="00321796"/>
    <w:rsid w:val="00322149"/>
    <w:rsid w:val="0032257B"/>
    <w:rsid w:val="00325941"/>
    <w:rsid w:val="0032691B"/>
    <w:rsid w:val="00341FEF"/>
    <w:rsid w:val="00351A51"/>
    <w:rsid w:val="00383DB0"/>
    <w:rsid w:val="00396D7A"/>
    <w:rsid w:val="003A267C"/>
    <w:rsid w:val="003A6AEF"/>
    <w:rsid w:val="003B2C16"/>
    <w:rsid w:val="003B4F6C"/>
    <w:rsid w:val="003B5E84"/>
    <w:rsid w:val="003B63C4"/>
    <w:rsid w:val="003D1852"/>
    <w:rsid w:val="003D2535"/>
    <w:rsid w:val="003D2775"/>
    <w:rsid w:val="003F0EA9"/>
    <w:rsid w:val="00400A7F"/>
    <w:rsid w:val="00407554"/>
    <w:rsid w:val="00431B29"/>
    <w:rsid w:val="00435DA7"/>
    <w:rsid w:val="00447BE1"/>
    <w:rsid w:val="00453EF3"/>
    <w:rsid w:val="004663A0"/>
    <w:rsid w:val="00467992"/>
    <w:rsid w:val="004733A8"/>
    <w:rsid w:val="00480E69"/>
    <w:rsid w:val="00484526"/>
    <w:rsid w:val="004900AC"/>
    <w:rsid w:val="004A046C"/>
    <w:rsid w:val="004A3F3A"/>
    <w:rsid w:val="004B4892"/>
    <w:rsid w:val="004D790B"/>
    <w:rsid w:val="004F38D1"/>
    <w:rsid w:val="005058C0"/>
    <w:rsid w:val="00523B46"/>
    <w:rsid w:val="00536EC1"/>
    <w:rsid w:val="005377A8"/>
    <w:rsid w:val="00563470"/>
    <w:rsid w:val="005821C4"/>
    <w:rsid w:val="0058677E"/>
    <w:rsid w:val="00590D10"/>
    <w:rsid w:val="0059325B"/>
    <w:rsid w:val="005A3B2D"/>
    <w:rsid w:val="005B405B"/>
    <w:rsid w:val="005C209D"/>
    <w:rsid w:val="005C6356"/>
    <w:rsid w:val="005F0203"/>
    <w:rsid w:val="0061323C"/>
    <w:rsid w:val="00613E1C"/>
    <w:rsid w:val="00615440"/>
    <w:rsid w:val="006217CF"/>
    <w:rsid w:val="00626DEE"/>
    <w:rsid w:val="00633374"/>
    <w:rsid w:val="00634AEC"/>
    <w:rsid w:val="006500A4"/>
    <w:rsid w:val="00655C02"/>
    <w:rsid w:val="0065729D"/>
    <w:rsid w:val="006601F5"/>
    <w:rsid w:val="0066096D"/>
    <w:rsid w:val="00660A78"/>
    <w:rsid w:val="0066120F"/>
    <w:rsid w:val="0066644A"/>
    <w:rsid w:val="00691064"/>
    <w:rsid w:val="00695C68"/>
    <w:rsid w:val="00695FC9"/>
    <w:rsid w:val="00697EB6"/>
    <w:rsid w:val="006A283C"/>
    <w:rsid w:val="006D020C"/>
    <w:rsid w:val="006D4669"/>
    <w:rsid w:val="006D48CC"/>
    <w:rsid w:val="006D52ED"/>
    <w:rsid w:val="006E021D"/>
    <w:rsid w:val="0070123B"/>
    <w:rsid w:val="007070D5"/>
    <w:rsid w:val="00707946"/>
    <w:rsid w:val="00714C77"/>
    <w:rsid w:val="00715E6B"/>
    <w:rsid w:val="007177D6"/>
    <w:rsid w:val="007221D4"/>
    <w:rsid w:val="007329A2"/>
    <w:rsid w:val="0074143C"/>
    <w:rsid w:val="00747220"/>
    <w:rsid w:val="00750ECE"/>
    <w:rsid w:val="00762B61"/>
    <w:rsid w:val="00781AFC"/>
    <w:rsid w:val="007979E2"/>
    <w:rsid w:val="007A07C0"/>
    <w:rsid w:val="007A39B2"/>
    <w:rsid w:val="007A573C"/>
    <w:rsid w:val="007B3998"/>
    <w:rsid w:val="007B710D"/>
    <w:rsid w:val="007C3B45"/>
    <w:rsid w:val="007C78EE"/>
    <w:rsid w:val="007D4817"/>
    <w:rsid w:val="007E6E9A"/>
    <w:rsid w:val="007E7F16"/>
    <w:rsid w:val="008137E1"/>
    <w:rsid w:val="00815134"/>
    <w:rsid w:val="00826364"/>
    <w:rsid w:val="00833B0D"/>
    <w:rsid w:val="00836259"/>
    <w:rsid w:val="00836948"/>
    <w:rsid w:val="0084454F"/>
    <w:rsid w:val="00847DBA"/>
    <w:rsid w:val="00850969"/>
    <w:rsid w:val="00855A1B"/>
    <w:rsid w:val="00864137"/>
    <w:rsid w:val="00864AD9"/>
    <w:rsid w:val="00867B9D"/>
    <w:rsid w:val="00871AD4"/>
    <w:rsid w:val="00875BC9"/>
    <w:rsid w:val="008918B3"/>
    <w:rsid w:val="008A1425"/>
    <w:rsid w:val="008D15DD"/>
    <w:rsid w:val="008E0BB8"/>
    <w:rsid w:val="008E3A6F"/>
    <w:rsid w:val="008E7019"/>
    <w:rsid w:val="008F7D77"/>
    <w:rsid w:val="00904D6F"/>
    <w:rsid w:val="00912B12"/>
    <w:rsid w:val="00915634"/>
    <w:rsid w:val="009177F6"/>
    <w:rsid w:val="00921B69"/>
    <w:rsid w:val="00921E8A"/>
    <w:rsid w:val="00926AA6"/>
    <w:rsid w:val="009320D3"/>
    <w:rsid w:val="009328CC"/>
    <w:rsid w:val="0094307D"/>
    <w:rsid w:val="0094337E"/>
    <w:rsid w:val="009445A5"/>
    <w:rsid w:val="00957E0F"/>
    <w:rsid w:val="009617D8"/>
    <w:rsid w:val="00966D16"/>
    <w:rsid w:val="009677B1"/>
    <w:rsid w:val="0097271E"/>
    <w:rsid w:val="00977F0C"/>
    <w:rsid w:val="00982CD8"/>
    <w:rsid w:val="009A2837"/>
    <w:rsid w:val="009A44F4"/>
    <w:rsid w:val="009A5CBB"/>
    <w:rsid w:val="009A66C5"/>
    <w:rsid w:val="009D34C7"/>
    <w:rsid w:val="009E2BD3"/>
    <w:rsid w:val="009E2FDD"/>
    <w:rsid w:val="009E44FA"/>
    <w:rsid w:val="009F2929"/>
    <w:rsid w:val="009F2BA2"/>
    <w:rsid w:val="00A01E3E"/>
    <w:rsid w:val="00A07247"/>
    <w:rsid w:val="00A07F58"/>
    <w:rsid w:val="00A24A22"/>
    <w:rsid w:val="00A33BCE"/>
    <w:rsid w:val="00A3505B"/>
    <w:rsid w:val="00A37D20"/>
    <w:rsid w:val="00A40A00"/>
    <w:rsid w:val="00A41B4C"/>
    <w:rsid w:val="00A43BFC"/>
    <w:rsid w:val="00A44E88"/>
    <w:rsid w:val="00A45A90"/>
    <w:rsid w:val="00A54E6F"/>
    <w:rsid w:val="00A567EC"/>
    <w:rsid w:val="00A62198"/>
    <w:rsid w:val="00A6754E"/>
    <w:rsid w:val="00A87A92"/>
    <w:rsid w:val="00A917F2"/>
    <w:rsid w:val="00A9476D"/>
    <w:rsid w:val="00A97291"/>
    <w:rsid w:val="00A9743C"/>
    <w:rsid w:val="00A978B9"/>
    <w:rsid w:val="00AB20B2"/>
    <w:rsid w:val="00AB2A8E"/>
    <w:rsid w:val="00AB75A7"/>
    <w:rsid w:val="00AC1D3F"/>
    <w:rsid w:val="00AC1FB7"/>
    <w:rsid w:val="00AD2DCC"/>
    <w:rsid w:val="00AD5548"/>
    <w:rsid w:val="00AF3121"/>
    <w:rsid w:val="00AF7CB8"/>
    <w:rsid w:val="00B1461D"/>
    <w:rsid w:val="00B14FC0"/>
    <w:rsid w:val="00B15038"/>
    <w:rsid w:val="00B22E61"/>
    <w:rsid w:val="00B23695"/>
    <w:rsid w:val="00B23C15"/>
    <w:rsid w:val="00B267C1"/>
    <w:rsid w:val="00B27995"/>
    <w:rsid w:val="00B31962"/>
    <w:rsid w:val="00B320EF"/>
    <w:rsid w:val="00B34417"/>
    <w:rsid w:val="00B46745"/>
    <w:rsid w:val="00B508BD"/>
    <w:rsid w:val="00B51C8E"/>
    <w:rsid w:val="00B5782E"/>
    <w:rsid w:val="00B62675"/>
    <w:rsid w:val="00B65DE4"/>
    <w:rsid w:val="00B66276"/>
    <w:rsid w:val="00B67BA7"/>
    <w:rsid w:val="00B764BD"/>
    <w:rsid w:val="00B769AB"/>
    <w:rsid w:val="00B8378C"/>
    <w:rsid w:val="00BB014D"/>
    <w:rsid w:val="00BB694C"/>
    <w:rsid w:val="00BC2592"/>
    <w:rsid w:val="00BC34EC"/>
    <w:rsid w:val="00BD52B8"/>
    <w:rsid w:val="00BE7BCE"/>
    <w:rsid w:val="00BF3595"/>
    <w:rsid w:val="00C0602F"/>
    <w:rsid w:val="00C15921"/>
    <w:rsid w:val="00C24EBD"/>
    <w:rsid w:val="00C3710F"/>
    <w:rsid w:val="00C53C96"/>
    <w:rsid w:val="00C57AAA"/>
    <w:rsid w:val="00C62CB1"/>
    <w:rsid w:val="00C64F8B"/>
    <w:rsid w:val="00C71713"/>
    <w:rsid w:val="00C80351"/>
    <w:rsid w:val="00C86D80"/>
    <w:rsid w:val="00C9228B"/>
    <w:rsid w:val="00C96B38"/>
    <w:rsid w:val="00CA0706"/>
    <w:rsid w:val="00CA585C"/>
    <w:rsid w:val="00CA5E65"/>
    <w:rsid w:val="00CB4584"/>
    <w:rsid w:val="00CD459E"/>
    <w:rsid w:val="00CD599E"/>
    <w:rsid w:val="00CE1788"/>
    <w:rsid w:val="00CE3886"/>
    <w:rsid w:val="00CE5EB5"/>
    <w:rsid w:val="00D22FDC"/>
    <w:rsid w:val="00D239FE"/>
    <w:rsid w:val="00D2616B"/>
    <w:rsid w:val="00D3443D"/>
    <w:rsid w:val="00D43A2B"/>
    <w:rsid w:val="00D4701C"/>
    <w:rsid w:val="00D72A6D"/>
    <w:rsid w:val="00D74C8F"/>
    <w:rsid w:val="00D855D5"/>
    <w:rsid w:val="00D925F0"/>
    <w:rsid w:val="00DA2954"/>
    <w:rsid w:val="00DA5AF6"/>
    <w:rsid w:val="00DB3E64"/>
    <w:rsid w:val="00DB42E9"/>
    <w:rsid w:val="00DB4485"/>
    <w:rsid w:val="00DC2E80"/>
    <w:rsid w:val="00DC7601"/>
    <w:rsid w:val="00DD1F52"/>
    <w:rsid w:val="00DE6356"/>
    <w:rsid w:val="00DE6621"/>
    <w:rsid w:val="00DF0159"/>
    <w:rsid w:val="00DF0166"/>
    <w:rsid w:val="00DF01AB"/>
    <w:rsid w:val="00E0085B"/>
    <w:rsid w:val="00E02C94"/>
    <w:rsid w:val="00E0737E"/>
    <w:rsid w:val="00E12125"/>
    <w:rsid w:val="00E13A00"/>
    <w:rsid w:val="00E160BD"/>
    <w:rsid w:val="00E17D56"/>
    <w:rsid w:val="00E21705"/>
    <w:rsid w:val="00E218EC"/>
    <w:rsid w:val="00E26A1B"/>
    <w:rsid w:val="00E305FA"/>
    <w:rsid w:val="00E4141A"/>
    <w:rsid w:val="00E65AD5"/>
    <w:rsid w:val="00E84071"/>
    <w:rsid w:val="00E909A0"/>
    <w:rsid w:val="00E96439"/>
    <w:rsid w:val="00E96B16"/>
    <w:rsid w:val="00EA05C3"/>
    <w:rsid w:val="00EB4995"/>
    <w:rsid w:val="00EC2D67"/>
    <w:rsid w:val="00EF7292"/>
    <w:rsid w:val="00EF77C1"/>
    <w:rsid w:val="00EF7AD0"/>
    <w:rsid w:val="00F1148A"/>
    <w:rsid w:val="00F1543C"/>
    <w:rsid w:val="00F172E5"/>
    <w:rsid w:val="00F30701"/>
    <w:rsid w:val="00F34F41"/>
    <w:rsid w:val="00F35FAA"/>
    <w:rsid w:val="00F36F92"/>
    <w:rsid w:val="00F43032"/>
    <w:rsid w:val="00F5604B"/>
    <w:rsid w:val="00F62C3F"/>
    <w:rsid w:val="00F67C95"/>
    <w:rsid w:val="00F77FFC"/>
    <w:rsid w:val="00F83D26"/>
    <w:rsid w:val="00F84754"/>
    <w:rsid w:val="00F927E9"/>
    <w:rsid w:val="00F94921"/>
    <w:rsid w:val="00F97201"/>
    <w:rsid w:val="00FA3B55"/>
    <w:rsid w:val="00FB0179"/>
    <w:rsid w:val="00FB120F"/>
    <w:rsid w:val="00FB2B67"/>
    <w:rsid w:val="00FB3AD8"/>
    <w:rsid w:val="00FB534D"/>
    <w:rsid w:val="00FC3FC2"/>
    <w:rsid w:val="00FD1EF3"/>
    <w:rsid w:val="00FF1539"/>
    <w:rsid w:val="062A072D"/>
    <w:rsid w:val="0E654585"/>
    <w:rsid w:val="161A6585"/>
    <w:rsid w:val="2A147B2E"/>
    <w:rsid w:val="3B1D2A80"/>
    <w:rsid w:val="45120AF8"/>
    <w:rsid w:val="49891900"/>
    <w:rsid w:val="53DF779C"/>
    <w:rsid w:val="5C866B1F"/>
    <w:rsid w:val="61016185"/>
    <w:rsid w:val="69B95771"/>
    <w:rsid w:val="70932E0E"/>
    <w:rsid w:val="74D16536"/>
    <w:rsid w:val="773432D5"/>
    <w:rsid w:val="7B547818"/>
    <w:rsid w:val="7C9152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outlineLvl w:val="0"/>
    </w:pPr>
    <w:rPr>
      <w:rFonts w:ascii="宋体" w:hAnsi="宋体"/>
      <w:b/>
      <w:kern w:val="44"/>
      <w:sz w:val="24"/>
      <w:szCs w:val="20"/>
    </w:rPr>
  </w:style>
  <w:style w:type="paragraph" w:styleId="3">
    <w:name w:val="heading 2"/>
    <w:basedOn w:val="1"/>
    <w:next w:val="1"/>
    <w:link w:val="26"/>
    <w:qFormat/>
    <w:uiPriority w:val="0"/>
    <w:pPr>
      <w:keepNext/>
      <w:keepLines/>
      <w:outlineLvl w:val="1"/>
    </w:pPr>
    <w:rPr>
      <w:sz w:val="24"/>
      <w:szCs w:val="32"/>
    </w:rPr>
  </w:style>
  <w:style w:type="paragraph" w:styleId="4">
    <w:name w:val="heading 3"/>
    <w:basedOn w:val="1"/>
    <w:next w:val="1"/>
    <w:link w:val="2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56"/>
    <w:semiHidden/>
    <w:unhideWhenUsed/>
    <w:qFormat/>
    <w:uiPriority w:val="99"/>
    <w:pPr>
      <w:jc w:val="left"/>
    </w:pPr>
  </w:style>
  <w:style w:type="paragraph" w:styleId="6">
    <w:name w:val="Body Text Indent"/>
    <w:basedOn w:val="1"/>
    <w:link w:val="28"/>
    <w:qFormat/>
    <w:uiPriority w:val="0"/>
    <w:pPr>
      <w:spacing w:line="360" w:lineRule="exact"/>
      <w:ind w:firstLine="420"/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48"/>
    <w:uiPriority w:val="0"/>
    <w:rPr>
      <w:rFonts w:ascii="宋体" w:hAnsi="Courier New" w:cs="Courier New"/>
      <w:szCs w:val="21"/>
    </w:r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paragraph" w:styleId="15">
    <w:name w:val="annotation subject"/>
    <w:basedOn w:val="5"/>
    <w:next w:val="5"/>
    <w:link w:val="57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3">
    <w:name w:val="页眉 Char"/>
    <w:basedOn w:val="18"/>
    <w:link w:val="11"/>
    <w:qFormat/>
    <w:uiPriority w:val="99"/>
    <w:rPr>
      <w:sz w:val="18"/>
      <w:szCs w:val="18"/>
    </w:rPr>
  </w:style>
  <w:style w:type="character" w:customStyle="1" w:styleId="24">
    <w:name w:val="页脚 Char"/>
    <w:basedOn w:val="18"/>
    <w:link w:val="10"/>
    <w:semiHidden/>
    <w:qFormat/>
    <w:uiPriority w:val="99"/>
    <w:rPr>
      <w:sz w:val="18"/>
      <w:szCs w:val="18"/>
    </w:rPr>
  </w:style>
  <w:style w:type="character" w:customStyle="1" w:styleId="25">
    <w:name w:val="标题 1 Char"/>
    <w:basedOn w:val="18"/>
    <w:link w:val="2"/>
    <w:qFormat/>
    <w:uiPriority w:val="0"/>
    <w:rPr>
      <w:rFonts w:ascii="宋体" w:hAnsi="宋体" w:eastAsia="宋体" w:cs="Times New Roman"/>
      <w:b/>
      <w:kern w:val="44"/>
      <w:sz w:val="24"/>
      <w:szCs w:val="20"/>
    </w:rPr>
  </w:style>
  <w:style w:type="character" w:customStyle="1" w:styleId="26">
    <w:name w:val="标题 2 Char"/>
    <w:basedOn w:val="18"/>
    <w:link w:val="3"/>
    <w:qFormat/>
    <w:uiPriority w:val="0"/>
    <w:rPr>
      <w:rFonts w:ascii="Times New Roman" w:hAnsi="Times New Roman" w:eastAsia="宋体" w:cs="Times New Roman"/>
      <w:sz w:val="24"/>
      <w:szCs w:val="32"/>
    </w:rPr>
  </w:style>
  <w:style w:type="character" w:customStyle="1" w:styleId="27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8">
    <w:name w:val="正文文本缩进 Char"/>
    <w:basedOn w:val="18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9">
    <w:name w:val="已访问的超链接1"/>
    <w:basedOn w:val="1"/>
    <w:next w:val="30"/>
    <w:qFormat/>
    <w:uiPriority w:val="34"/>
    <w:pPr>
      <w:ind w:firstLine="420" w:firstLineChars="200"/>
    </w:p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character" w:customStyle="1" w:styleId="31">
    <w:name w:val="段 Char"/>
    <w:link w:val="32"/>
    <w:qFormat/>
    <w:uiPriority w:val="0"/>
    <w:rPr>
      <w:rFonts w:ascii="宋体"/>
    </w:rPr>
  </w:style>
  <w:style w:type="paragraph" w:customStyle="1" w:styleId="32">
    <w:name w:val="段"/>
    <w:next w:val="1"/>
    <w:link w:val="31"/>
    <w:qFormat/>
    <w:uiPriority w:val="0"/>
    <w:pPr>
      <w:autoSpaceDE w:val="0"/>
      <w:autoSpaceDN w:val="0"/>
      <w:ind w:firstLine="20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四级条标题"/>
    <w:basedOn w:val="34"/>
    <w:next w:val="32"/>
    <w:qFormat/>
    <w:uiPriority w:val="0"/>
    <w:pPr>
      <w:numPr>
        <w:ilvl w:val="5"/>
      </w:numPr>
      <w:tabs>
        <w:tab w:val="left" w:pos="720"/>
        <w:tab w:val="left" w:pos="1080"/>
      </w:tabs>
      <w:ind w:left="1080" w:hanging="1080"/>
      <w:outlineLvl w:val="5"/>
    </w:pPr>
  </w:style>
  <w:style w:type="paragraph" w:customStyle="1" w:styleId="34">
    <w:name w:val="三级条标题"/>
    <w:basedOn w:val="35"/>
    <w:next w:val="32"/>
    <w:qFormat/>
    <w:uiPriority w:val="0"/>
    <w:pPr>
      <w:numPr>
        <w:ilvl w:val="4"/>
      </w:numPr>
      <w:tabs>
        <w:tab w:val="left" w:pos="720"/>
        <w:tab w:val="left" w:pos="1080"/>
      </w:tabs>
      <w:ind w:left="1080" w:hanging="1080"/>
      <w:outlineLvl w:val="4"/>
    </w:pPr>
  </w:style>
  <w:style w:type="paragraph" w:customStyle="1" w:styleId="35">
    <w:name w:val="二级条标题"/>
    <w:basedOn w:val="36"/>
    <w:next w:val="32"/>
    <w:qFormat/>
    <w:uiPriority w:val="0"/>
    <w:pPr>
      <w:numPr>
        <w:ilvl w:val="3"/>
      </w:numPr>
      <w:tabs>
        <w:tab w:val="left" w:pos="720"/>
      </w:tabs>
      <w:outlineLvl w:val="3"/>
    </w:pPr>
  </w:style>
  <w:style w:type="paragraph" w:customStyle="1" w:styleId="36">
    <w:name w:val="一级条标题"/>
    <w:basedOn w:val="37"/>
    <w:next w:val="32"/>
    <w:qFormat/>
    <w:uiPriority w:val="0"/>
    <w:pPr>
      <w:numPr>
        <w:ilvl w:val="2"/>
      </w:numPr>
      <w:tabs>
        <w:tab w:val="left" w:pos="720"/>
      </w:tabs>
      <w:spacing w:before="0" w:after="0" w:line="240" w:lineRule="auto"/>
      <w:ind w:left="720" w:hanging="720"/>
      <w:outlineLvl w:val="2"/>
    </w:pPr>
  </w:style>
  <w:style w:type="paragraph" w:customStyle="1" w:styleId="37">
    <w:name w:val="章标题"/>
    <w:next w:val="1"/>
    <w:qFormat/>
    <w:uiPriority w:val="0"/>
    <w:pPr>
      <w:numPr>
        <w:ilvl w:val="1"/>
        <w:numId w:val="1"/>
      </w:numPr>
      <w:spacing w:before="50" w:after="50" w:line="360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8">
    <w:name w:val="标准文件_封面标准英文名称"/>
    <w:basedOn w:val="1"/>
    <w:qFormat/>
    <w:uiPriority w:val="0"/>
    <w:pPr>
      <w:adjustRightInd w:val="0"/>
      <w:spacing w:line="440" w:lineRule="exact"/>
      <w:jc w:val="center"/>
    </w:pPr>
    <w:rPr>
      <w:rFonts w:eastAsia="黑体"/>
      <w:b/>
      <w:sz w:val="28"/>
      <w:szCs w:val="20"/>
    </w:rPr>
  </w:style>
  <w:style w:type="paragraph" w:customStyle="1" w:styleId="39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567" w:after="540"/>
      <w:jc w:val="center"/>
      <w:outlineLvl w:val="0"/>
    </w:pPr>
    <w:rPr>
      <w:rFonts w:ascii="黑体" w:hAnsi="Times New Roman" w:eastAsia="黑体" w:cs="Times New Roman"/>
      <w:spacing w:val="200"/>
      <w:sz w:val="32"/>
      <w:lang w:val="en-US" w:eastAsia="zh-CN" w:bidi="ar-SA"/>
    </w:rPr>
  </w:style>
  <w:style w:type="paragraph" w:customStyle="1" w:styleId="40">
    <w:name w:val="五级条标题"/>
    <w:basedOn w:val="33"/>
    <w:next w:val="32"/>
    <w:qFormat/>
    <w:uiPriority w:val="0"/>
    <w:pPr>
      <w:numPr>
        <w:ilvl w:val="6"/>
      </w:numPr>
      <w:tabs>
        <w:tab w:val="left" w:pos="1440"/>
      </w:tabs>
      <w:ind w:left="1440" w:hanging="1440"/>
      <w:outlineLvl w:val="6"/>
    </w:pPr>
  </w:style>
  <w:style w:type="paragraph" w:customStyle="1" w:styleId="41">
    <w:name w:val="字母编号列项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2">
    <w:name w:val="发布部门"/>
    <w:next w:val="32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4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44">
    <w:name w:val="批注框文本 Char"/>
    <w:basedOn w:val="18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5">
    <w:name w:val="大标题"/>
    <w:basedOn w:val="2"/>
    <w:link w:val="46"/>
    <w:qFormat/>
    <w:uiPriority w:val="0"/>
    <w:pPr>
      <w:keepLines w:val="0"/>
      <w:adjustRightInd w:val="0"/>
      <w:snapToGrid w:val="0"/>
      <w:spacing w:line="1280" w:lineRule="exact"/>
      <w:ind w:left="5954"/>
    </w:pPr>
    <w:rPr>
      <w:rFonts w:ascii="Georgia" w:hAnsi="Georgia"/>
      <w:b w:val="0"/>
      <w:kern w:val="2"/>
      <w:sz w:val="128"/>
      <w:szCs w:val="128"/>
    </w:rPr>
  </w:style>
  <w:style w:type="character" w:customStyle="1" w:styleId="46">
    <w:name w:val="大标题 字符"/>
    <w:basedOn w:val="25"/>
    <w:link w:val="45"/>
    <w:qFormat/>
    <w:uiPriority w:val="0"/>
    <w:rPr>
      <w:rFonts w:ascii="Georgia" w:hAnsi="Georgia" w:eastAsia="宋体" w:cs="Times New Roman"/>
      <w:b w:val="0"/>
      <w:kern w:val="44"/>
      <w:sz w:val="128"/>
      <w:szCs w:val="128"/>
    </w:rPr>
  </w:style>
  <w:style w:type="character" w:customStyle="1" w:styleId="47">
    <w:name w:val="text_ubpf5"/>
    <w:basedOn w:val="18"/>
    <w:qFormat/>
    <w:uiPriority w:val="0"/>
  </w:style>
  <w:style w:type="character" w:customStyle="1" w:styleId="48">
    <w:name w:val="纯文本 Char"/>
    <w:basedOn w:val="18"/>
    <w:link w:val="8"/>
    <w:qFormat/>
    <w:uiPriority w:val="0"/>
    <w:rPr>
      <w:rFonts w:ascii="宋体" w:hAnsi="Courier New" w:eastAsia="宋体" w:cs="Courier New"/>
      <w:szCs w:val="21"/>
    </w:rPr>
  </w:style>
  <w:style w:type="paragraph" w:customStyle="1" w:styleId="49">
    <w:name w:val="marklang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0">
    <w:name w:val="font91"/>
    <w:basedOn w:val="1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81"/>
    <w:basedOn w:val="1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2">
    <w:name w:val="font101"/>
    <w:basedOn w:val="1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3">
    <w:name w:val="font111"/>
    <w:basedOn w:val="18"/>
    <w:qFormat/>
    <w:uiPriority w:val="0"/>
    <w:rPr>
      <w:rFonts w:hint="eastAsia" w:ascii="宋体" w:hAnsi="宋体" w:eastAsia="宋体" w:cs="宋体"/>
      <w:i/>
      <w:iCs/>
      <w:color w:val="000000"/>
      <w:sz w:val="24"/>
      <w:szCs w:val="24"/>
      <w:u w:val="none"/>
    </w:rPr>
  </w:style>
  <w:style w:type="character" w:customStyle="1" w:styleId="54">
    <w:name w:val="font71"/>
    <w:basedOn w:val="18"/>
    <w:qFormat/>
    <w:uiPriority w:val="0"/>
    <w:rPr>
      <w:rFonts w:hint="default" w:ascii="Times New Roman" w:hAnsi="Times New Roman" w:cs="Times New Roman"/>
      <w:color w:val="000000"/>
      <w:sz w:val="27"/>
      <w:szCs w:val="27"/>
      <w:u w:val="none"/>
    </w:rPr>
  </w:style>
  <w:style w:type="character" w:customStyle="1" w:styleId="55">
    <w:name w:val="font61"/>
    <w:basedOn w:val="18"/>
    <w:qFormat/>
    <w:uiPriority w:val="0"/>
    <w:rPr>
      <w:rFonts w:hint="eastAsia" w:ascii="宋体" w:hAnsi="宋体" w:eastAsia="宋体" w:cs="宋体"/>
      <w:color w:val="000000"/>
      <w:sz w:val="27"/>
      <w:szCs w:val="27"/>
      <w:u w:val="none"/>
    </w:rPr>
  </w:style>
  <w:style w:type="character" w:customStyle="1" w:styleId="56">
    <w:name w:val="批注文字 Char"/>
    <w:basedOn w:val="18"/>
    <w:link w:val="5"/>
    <w:semiHidden/>
    <w:qFormat/>
    <w:uiPriority w:val="99"/>
    <w:rPr>
      <w:kern w:val="2"/>
      <w:sz w:val="21"/>
      <w:szCs w:val="24"/>
    </w:rPr>
  </w:style>
  <w:style w:type="character" w:customStyle="1" w:styleId="57">
    <w:name w:val="批注主题 Char"/>
    <w:basedOn w:val="56"/>
    <w:link w:val="15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0" Type="http://schemas.openxmlformats.org/officeDocument/2006/relationships/fontTable" Target="fontTable.xml"/><Relationship Id="rId8" Type="http://schemas.openxmlformats.org/officeDocument/2006/relationships/footer" Target="footer4.xml"/><Relationship Id="rId79" Type="http://schemas.openxmlformats.org/officeDocument/2006/relationships/customXml" Target="../customXml/item2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32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header" Target="header2.xml"/><Relationship Id="rId69" Type="http://schemas.openxmlformats.org/officeDocument/2006/relationships/oleObject" Target="embeddings/oleObject31.bin"/><Relationship Id="rId68" Type="http://schemas.openxmlformats.org/officeDocument/2006/relationships/oleObject" Target="embeddings/oleObject30.bin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3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64"/>
    <customShpInfo spid="_x0000_s1063"/>
    <customShpInfo spid="_x0000_s1138"/>
    <customShpInfo spid="_x0000_s1139"/>
    <customShpInfo spid="_x0000_s1140"/>
    <customShpInfo spid="_x0000_s1137"/>
    <customShpInfo spid="_x0000_s1136"/>
    <customShpInfo spid="_x0000_s11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66D915-A74A-4C12-B6F6-CF9348169F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电脑笔记本手机维修</Company>
  <Pages>16</Pages>
  <Words>3562</Words>
  <Characters>4342</Characters>
  <Lines>57</Lines>
  <Paragraphs>16</Paragraphs>
  <TotalTime>592</TotalTime>
  <ScaleCrop>false</ScaleCrop>
  <LinksUpToDate>false</LinksUpToDate>
  <CharactersWithSpaces>4560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2025-02-19T08:33:00Z</dcterms:created>
  <dc:creator>电脑,手机,监控,维修回收</dc:creator>
  <cp:lastModifiedBy>张丽娟</cp:lastModifiedBy>
  <dcterms:modified xsi:type="dcterms:W3CDTF">2025-03-12T06:07:14Z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1F369C6B6641462593F422DFC5C67904</vt:lpwstr>
  </property>
  <property fmtid="{D5CDD505-2E9C-101B-9397-08002B2CF9AE}" pid="4" name="KSOTemplateDocerSaveRecord">
    <vt:lpwstr>eyJoZGlkIjoiMWNmMzc0OTIzMTZlMjQ5OWQwYzY5MjlhNDQ1YzhhMTUiLCJ1c2VySWQiOiIyMjE1MDE1MjAifQ==</vt:lpwstr>
  </property>
</Properties>
</file>