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EB964" w14:textId="77777777" w:rsidR="006305AC" w:rsidRDefault="004D1B47">
      <w:pPr>
        <w:spacing w:line="360" w:lineRule="auto"/>
        <w:ind w:leftChars="-342" w:left="-718"/>
        <w:jc w:val="center"/>
        <w:rPr>
          <w:rFonts w:ascii="宋体" w:hAnsi="宋体"/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</w:t>
      </w:r>
    </w:p>
    <w:p w14:paraId="16B3582A" w14:textId="33D590E8" w:rsidR="006305AC" w:rsidRDefault="006718D3">
      <w:pPr>
        <w:spacing w:line="360" w:lineRule="auto"/>
        <w:ind w:left="-342"/>
        <w:jc w:val="center"/>
        <w:rPr>
          <w:rFonts w:ascii="宋体" w:hAnsi="宋体"/>
          <w:b/>
          <w:bCs/>
          <w:sz w:val="48"/>
        </w:rPr>
      </w:pPr>
      <w:r>
        <w:rPr>
          <w:rFonts w:ascii="宋体" w:hAnsi="宋体" w:hint="eastAsia"/>
          <w:b/>
          <w:bCs/>
          <w:sz w:val="48"/>
        </w:rPr>
        <w:t>减量秤（失重秤）</w:t>
      </w:r>
      <w:r w:rsidR="004D1B47">
        <w:rPr>
          <w:rFonts w:ascii="宋体" w:hAnsi="宋体" w:hint="eastAsia"/>
          <w:b/>
          <w:bCs/>
          <w:sz w:val="48"/>
        </w:rPr>
        <w:t>校准规范</w:t>
      </w:r>
    </w:p>
    <w:p w14:paraId="77F11202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8"/>
        </w:rPr>
      </w:pPr>
    </w:p>
    <w:p w14:paraId="60CF3D64" w14:textId="77777777" w:rsidR="006305AC" w:rsidRDefault="004D1B47">
      <w:pPr>
        <w:spacing w:line="360" w:lineRule="auto"/>
        <w:ind w:left="-342"/>
        <w:jc w:val="center"/>
        <w:rPr>
          <w:rFonts w:ascii="宋体" w:hAnsi="宋体"/>
          <w:b/>
          <w:bCs/>
          <w:sz w:val="48"/>
        </w:rPr>
      </w:pPr>
      <w:r>
        <w:rPr>
          <w:rFonts w:ascii="宋体" w:hAnsi="宋体" w:hint="eastAsia"/>
          <w:b/>
          <w:bCs/>
          <w:sz w:val="48"/>
        </w:rPr>
        <w:t>编 制 说 明</w:t>
      </w:r>
    </w:p>
    <w:p w14:paraId="3B406297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2F3F9B3F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48F5440D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3B241D19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2122A657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1E9CC795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4DF564F1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0323540E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5B3F4742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77FCE9DC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b/>
          <w:bCs/>
          <w:sz w:val="44"/>
        </w:rPr>
      </w:pPr>
    </w:p>
    <w:p w14:paraId="75B664C1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sz w:val="32"/>
        </w:rPr>
      </w:pPr>
    </w:p>
    <w:p w14:paraId="6B9A5FB1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sz w:val="32"/>
        </w:rPr>
      </w:pPr>
    </w:p>
    <w:p w14:paraId="5B5CEC73" w14:textId="77777777" w:rsidR="006305AC" w:rsidRDefault="006305AC">
      <w:pPr>
        <w:spacing w:line="360" w:lineRule="auto"/>
        <w:ind w:left="-342"/>
        <w:jc w:val="center"/>
        <w:rPr>
          <w:rFonts w:ascii="宋体" w:hAnsi="宋体"/>
          <w:sz w:val="32"/>
        </w:rPr>
      </w:pPr>
    </w:p>
    <w:p w14:paraId="69FF7BFE" w14:textId="77777777" w:rsidR="006305AC" w:rsidRDefault="006305AC">
      <w:pPr>
        <w:spacing w:line="360" w:lineRule="auto"/>
        <w:ind w:left="-342"/>
        <w:rPr>
          <w:rFonts w:ascii="宋体" w:hAnsi="宋体"/>
          <w:sz w:val="32"/>
        </w:rPr>
      </w:pPr>
    </w:p>
    <w:p w14:paraId="667EC007" w14:textId="3B2957CA" w:rsidR="006305AC" w:rsidRDefault="006718D3">
      <w:pPr>
        <w:spacing w:line="360" w:lineRule="auto"/>
        <w:ind w:left="-342"/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减量秤（失重秤）</w:t>
      </w:r>
      <w:r w:rsidR="004D1B47">
        <w:rPr>
          <w:rFonts w:ascii="宋体" w:hAnsi="宋体" w:hint="eastAsia"/>
          <w:b/>
          <w:bCs/>
          <w:sz w:val="32"/>
        </w:rPr>
        <w:t>校准规范起草小组</w:t>
      </w:r>
    </w:p>
    <w:p w14:paraId="2B101F37" w14:textId="5544208A" w:rsidR="006305AC" w:rsidRDefault="004D1B47">
      <w:pPr>
        <w:spacing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</w:t>
      </w:r>
      <w:r>
        <w:rPr>
          <w:rFonts w:ascii="宋体" w:hAnsi="宋体"/>
          <w:b/>
          <w:bCs/>
          <w:sz w:val="32"/>
        </w:rPr>
        <w:t>02</w:t>
      </w:r>
      <w:r w:rsidR="006718D3">
        <w:rPr>
          <w:rFonts w:ascii="宋体" w:hAnsi="宋体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年</w:t>
      </w:r>
      <w:r w:rsidR="006718D3">
        <w:rPr>
          <w:rFonts w:ascii="宋体" w:hAnsi="宋体"/>
          <w:b/>
          <w:bCs/>
          <w:sz w:val="32"/>
        </w:rPr>
        <w:t>5</w:t>
      </w:r>
      <w:r>
        <w:rPr>
          <w:rFonts w:ascii="宋体" w:hAnsi="宋体" w:hint="eastAsia"/>
          <w:b/>
          <w:bCs/>
          <w:sz w:val="32"/>
        </w:rPr>
        <w:t>月</w:t>
      </w:r>
    </w:p>
    <w:p w14:paraId="6B4C875E" w14:textId="77777777" w:rsidR="006305AC" w:rsidRDefault="006305AC">
      <w:pPr>
        <w:spacing w:line="360" w:lineRule="auto"/>
        <w:ind w:left="-342"/>
        <w:rPr>
          <w:sz w:val="32"/>
        </w:rPr>
      </w:pPr>
    </w:p>
    <w:p w14:paraId="1C65DF72" w14:textId="378B4C0D" w:rsidR="006305AC" w:rsidRDefault="004D1B47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rFonts w:hint="eastAsia"/>
          <w:b/>
          <w:sz w:val="32"/>
          <w:szCs w:val="32"/>
        </w:rPr>
        <w:lastRenderedPageBreak/>
        <w:t>《</w:t>
      </w:r>
      <w:r w:rsidR="006E3513">
        <w:rPr>
          <w:rFonts w:hint="eastAsia"/>
          <w:b/>
          <w:sz w:val="32"/>
          <w:szCs w:val="32"/>
        </w:rPr>
        <w:t>失重秤</w:t>
      </w:r>
      <w:r>
        <w:rPr>
          <w:rFonts w:hint="eastAsia"/>
          <w:b/>
          <w:sz w:val="32"/>
          <w:szCs w:val="32"/>
        </w:rPr>
        <w:t>校准规范》编制说明</w:t>
      </w:r>
    </w:p>
    <w:p w14:paraId="4A85070D" w14:textId="77777777" w:rsidR="006305AC" w:rsidRDefault="006305AC">
      <w:pPr>
        <w:jc w:val="center"/>
        <w:rPr>
          <w:b/>
          <w:sz w:val="32"/>
          <w:szCs w:val="32"/>
        </w:rPr>
      </w:pPr>
    </w:p>
    <w:p w14:paraId="37C7BA39" w14:textId="77777777" w:rsidR="006305AC" w:rsidRDefault="004D1B47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一、任务来源</w:t>
      </w:r>
    </w:p>
    <w:p w14:paraId="44DFD31F" w14:textId="09C51361" w:rsidR="006305AC" w:rsidRPr="00032278" w:rsidRDefault="004D1B47" w:rsidP="00032278">
      <w:pPr>
        <w:spacing w:before="50" w:line="360" w:lineRule="auto"/>
        <w:ind w:firstLineChars="200" w:firstLine="480"/>
        <w:rPr>
          <w:rFonts w:ascii="宋体" w:hAnsi="宋体"/>
          <w:sz w:val="24"/>
        </w:rPr>
      </w:pPr>
      <w:r w:rsidRPr="00032278">
        <w:rPr>
          <w:rFonts w:ascii="宋体" w:hAnsi="宋体" w:hint="eastAsia"/>
          <w:sz w:val="24"/>
        </w:rPr>
        <w:t>根据国家市场监督管理总局办公厅文件-</w:t>
      </w:r>
      <w:r w:rsidRPr="00032278">
        <w:rPr>
          <w:rFonts w:ascii="宋体" w:hAnsi="宋体"/>
          <w:sz w:val="24"/>
        </w:rPr>
        <w:t>市监计量发〔2023〕56 号</w:t>
      </w:r>
      <w:r w:rsidRPr="00032278">
        <w:rPr>
          <w:rFonts w:ascii="宋体" w:hAnsi="宋体" w:hint="eastAsia"/>
          <w:sz w:val="24"/>
        </w:rPr>
        <w:t>“市场监管总局办公厅关于印发2023年国家计量技术规范制定、修订及宣贯计划的通知”，由</w:t>
      </w:r>
      <w:r w:rsidR="00032278" w:rsidRPr="00032278">
        <w:rPr>
          <w:rFonts w:ascii="宋体" w:hAnsi="宋体" w:hint="eastAsia"/>
          <w:sz w:val="24"/>
        </w:rPr>
        <w:t>江苏省计量科学</w:t>
      </w:r>
      <w:r w:rsidRPr="00032278">
        <w:rPr>
          <w:rFonts w:ascii="宋体" w:hAnsi="宋体" w:hint="eastAsia"/>
          <w:sz w:val="24"/>
        </w:rPr>
        <w:t>研究院</w:t>
      </w:r>
      <w:r w:rsidR="00032278" w:rsidRPr="00032278">
        <w:rPr>
          <w:rFonts w:ascii="宋体" w:hAnsi="宋体" w:hint="eastAsia"/>
          <w:sz w:val="24"/>
        </w:rPr>
        <w:t>（江苏省能源计量数据中心）</w:t>
      </w:r>
      <w:r w:rsidRPr="00032278">
        <w:rPr>
          <w:rFonts w:ascii="宋体" w:hAnsi="宋体" w:hint="eastAsia"/>
          <w:sz w:val="24"/>
        </w:rPr>
        <w:t>牵头承担《</w:t>
      </w:r>
      <w:r w:rsidR="00032278" w:rsidRPr="00032278">
        <w:rPr>
          <w:rFonts w:ascii="宋体" w:hAnsi="宋体" w:hint="eastAsia"/>
          <w:sz w:val="24"/>
        </w:rPr>
        <w:t>减量秤</w:t>
      </w:r>
      <w:r w:rsidRPr="00032278">
        <w:rPr>
          <w:rFonts w:ascii="宋体" w:hAnsi="宋体" w:hint="eastAsia"/>
          <w:sz w:val="24"/>
        </w:rPr>
        <w:t>》国家计量校准规范的制定工作。归口为全国衡器计量技术委员会自动衡器分技术委员会，起草单位为：江苏省计量科学研究院（江苏省能源计量数据中心）、</w:t>
      </w:r>
      <w:r w:rsidR="00032278" w:rsidRPr="00032278">
        <w:rPr>
          <w:rFonts w:ascii="宋体" w:hAnsi="宋体"/>
          <w:sz w:val="24"/>
        </w:rPr>
        <w:t>无锡市检验检测认证研究院</w:t>
      </w:r>
      <w:r w:rsidR="00032278" w:rsidRPr="00032278">
        <w:rPr>
          <w:rFonts w:ascii="宋体" w:hAnsi="宋体" w:hint="eastAsia"/>
          <w:sz w:val="24"/>
        </w:rPr>
        <w:t>、</w:t>
      </w:r>
      <w:r w:rsidR="00032278" w:rsidRPr="00032278">
        <w:rPr>
          <w:rFonts w:ascii="宋体" w:hAnsi="宋体" w:hint="eastAsia"/>
          <w:sz w:val="24"/>
        </w:rPr>
        <w:t>安徽省计量科学研究院</w:t>
      </w:r>
      <w:r w:rsidR="00032278" w:rsidRPr="00032278">
        <w:rPr>
          <w:rFonts w:ascii="宋体" w:hAnsi="宋体" w:hint="eastAsia"/>
          <w:sz w:val="24"/>
        </w:rPr>
        <w:t>、</w:t>
      </w:r>
      <w:r w:rsidR="00032278" w:rsidRPr="00032278">
        <w:rPr>
          <w:rFonts w:ascii="宋体" w:hAnsi="宋体" w:hint="eastAsia"/>
          <w:sz w:val="24"/>
        </w:rPr>
        <w:t>山东省计量科学研究院</w:t>
      </w:r>
      <w:r w:rsidR="00032278" w:rsidRPr="00032278">
        <w:rPr>
          <w:rFonts w:ascii="宋体" w:hAnsi="宋体" w:hint="eastAsia"/>
          <w:sz w:val="24"/>
        </w:rPr>
        <w:t>、</w:t>
      </w:r>
      <w:r w:rsidR="00032278" w:rsidRPr="00032278">
        <w:rPr>
          <w:rFonts w:ascii="宋体" w:hAnsi="宋体" w:hint="eastAsia"/>
          <w:sz w:val="24"/>
        </w:rPr>
        <w:t>常州检验检测标准认证研究院</w:t>
      </w:r>
      <w:r w:rsidR="00032278" w:rsidRPr="00032278">
        <w:rPr>
          <w:rFonts w:ascii="宋体" w:hAnsi="宋体" w:hint="eastAsia"/>
          <w:sz w:val="24"/>
        </w:rPr>
        <w:t>、</w:t>
      </w:r>
      <w:r w:rsidR="00032278" w:rsidRPr="00032278">
        <w:rPr>
          <w:rFonts w:ascii="宋体" w:hAnsi="宋体"/>
          <w:sz w:val="24"/>
        </w:rPr>
        <w:t>江苏百灵衡器制造有限公司</w:t>
      </w:r>
      <w:r w:rsidRPr="00032278">
        <w:rPr>
          <w:rFonts w:ascii="宋体" w:hAnsi="宋体" w:hint="eastAsia"/>
          <w:sz w:val="24"/>
        </w:rPr>
        <w:t>。</w:t>
      </w:r>
    </w:p>
    <w:p w14:paraId="13495852" w14:textId="77777777" w:rsidR="006305AC" w:rsidRDefault="004D1B47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二、规范制定的必要性</w:t>
      </w:r>
    </w:p>
    <w:p w14:paraId="741DF7DF" w14:textId="77777777" w:rsidR="00032278" w:rsidRPr="00032278" w:rsidRDefault="00032278" w:rsidP="00032278">
      <w:pPr>
        <w:spacing w:before="50" w:line="360" w:lineRule="auto"/>
        <w:ind w:firstLineChars="200" w:firstLine="480"/>
        <w:rPr>
          <w:rFonts w:ascii="宋体" w:hAnsi="宋体"/>
          <w:sz w:val="24"/>
        </w:rPr>
      </w:pPr>
      <w:r w:rsidRPr="00032278">
        <w:rPr>
          <w:rFonts w:ascii="宋体" w:hAnsi="宋体"/>
          <w:sz w:val="24"/>
        </w:rPr>
        <w:t>减量秤广泛应用在工业领域的工艺配料系统，如有色、冶金、水泥、医药、化肥、化工、食品等行业，在技术特征上和国际建议OIML R50连续累计自动衡器（皮带秤）（Continuous totalizing automatic weighing instruments (belt weighers)）、OIML R</w:t>
      </w:r>
      <w:r w:rsidRPr="00032278">
        <w:rPr>
          <w:rFonts w:ascii="宋体" w:hAnsi="宋体" w:hint="eastAsia"/>
          <w:sz w:val="24"/>
        </w:rPr>
        <w:t>61</w:t>
      </w:r>
      <w:r w:rsidRPr="00032278">
        <w:rPr>
          <w:rFonts w:ascii="宋体" w:hAnsi="宋体"/>
          <w:sz w:val="24"/>
        </w:rPr>
        <w:t>重力式自动装料衡器</w:t>
      </w:r>
      <w:r w:rsidRPr="00032278">
        <w:rPr>
          <w:rFonts w:ascii="宋体" w:hAnsi="宋体" w:hint="eastAsia"/>
          <w:sz w:val="24"/>
        </w:rPr>
        <w:t>（</w:t>
      </w:r>
      <w:r w:rsidRPr="00032278">
        <w:rPr>
          <w:rFonts w:ascii="宋体" w:hAnsi="宋体"/>
          <w:sz w:val="24"/>
        </w:rPr>
        <w:t>Automatic gravimetric filling instruments）以及</w:t>
      </w:r>
      <w:r w:rsidRPr="00032278">
        <w:rPr>
          <w:rFonts w:ascii="宋体" w:hAnsi="宋体" w:hint="eastAsia"/>
          <w:sz w:val="24"/>
        </w:rPr>
        <w:t xml:space="preserve"> </w:t>
      </w:r>
      <w:r w:rsidRPr="00032278">
        <w:rPr>
          <w:rFonts w:ascii="宋体" w:hAnsi="宋体"/>
          <w:sz w:val="24"/>
        </w:rPr>
        <w:t>OIML-R107非连续累计自动衡器（累计料斗秤）（Discontinuous totalising automatic weighing instrument</w:t>
      </w:r>
      <w:r w:rsidRPr="00032278">
        <w:rPr>
          <w:rFonts w:ascii="宋体" w:hAnsi="宋体" w:hint="eastAsia"/>
          <w:sz w:val="24"/>
        </w:rPr>
        <w:t>s</w:t>
      </w:r>
      <w:r w:rsidRPr="00032278">
        <w:rPr>
          <w:rFonts w:ascii="宋体" w:hAnsi="宋体"/>
          <w:sz w:val="24"/>
        </w:rPr>
        <w:t>（totalizing hopper weigher</w:t>
      </w:r>
      <w:r w:rsidRPr="00032278">
        <w:rPr>
          <w:rFonts w:ascii="宋体" w:hAnsi="宋体" w:hint="eastAsia"/>
          <w:sz w:val="24"/>
        </w:rPr>
        <w:t>s</w:t>
      </w:r>
      <w:r w:rsidRPr="00032278">
        <w:rPr>
          <w:rFonts w:ascii="宋体" w:hAnsi="宋体"/>
          <w:sz w:val="24"/>
        </w:rPr>
        <w:t>）</w:t>
      </w:r>
      <w:r w:rsidRPr="00032278">
        <w:rPr>
          <w:rFonts w:ascii="宋体" w:hAnsi="宋体" w:hint="eastAsia"/>
          <w:sz w:val="24"/>
        </w:rPr>
        <w:t>规定的自动衡器均有相关交叉</w:t>
      </w:r>
      <w:r w:rsidRPr="00032278">
        <w:rPr>
          <w:rFonts w:ascii="宋体" w:hAnsi="宋体"/>
          <w:sz w:val="24"/>
        </w:rPr>
        <w:t>。</w:t>
      </w:r>
    </w:p>
    <w:p w14:paraId="3CBB217E" w14:textId="77777777" w:rsidR="00032278" w:rsidRPr="00032278" w:rsidRDefault="00032278" w:rsidP="00032278">
      <w:pPr>
        <w:spacing w:before="50" w:line="360" w:lineRule="auto"/>
        <w:ind w:firstLineChars="200" w:firstLine="480"/>
        <w:rPr>
          <w:rFonts w:ascii="宋体" w:hAnsi="宋体"/>
          <w:sz w:val="24"/>
        </w:rPr>
      </w:pPr>
      <w:r w:rsidRPr="00032278">
        <w:rPr>
          <w:rFonts w:ascii="宋体" w:hAnsi="宋体"/>
          <w:sz w:val="24"/>
        </w:rPr>
        <w:t>减量秤一般采用螺旋输送物料方式和皮带输送物料方式两种形式，但称量方式与已有电子皮带秤和电子螺旋秤不同，具体表现在：电子皮带秤是1台完整的输送机，包括输送皮带、滚筒、电机等，皮带是承载器，待称量物料自料斗卸载到运转的皮带上进行称重，重量是连续累加的；电子螺旋秤是将螺旋输送机置于称重传感器上，螺旋输送机是承载器；而减量秤的结构是：将称重料斗、螺旋给料机（皮带输送机）、电机等组成一个整体的结构，置于称重传感器上，称量整个机构的重量，物料通过螺旋给料机（皮带输送机）定量输出，称重料斗中物料是在连续递减的（即失重）；并且当称重料斗中的物料减少到最小载荷而需要补料</w:t>
      </w:r>
      <w:r w:rsidRPr="00032278">
        <w:rPr>
          <w:rFonts w:ascii="宋体" w:hAnsi="宋体" w:hint="eastAsia"/>
          <w:sz w:val="24"/>
        </w:rPr>
        <w:t>/</w:t>
      </w:r>
      <w:r w:rsidRPr="00032278">
        <w:rPr>
          <w:rFonts w:ascii="宋体" w:hAnsi="宋体"/>
          <w:sz w:val="24"/>
        </w:rPr>
        <w:t>装料时，螺旋给料机（皮带输送机）仍然在定量输出物料（即补料</w:t>
      </w:r>
      <w:r w:rsidRPr="00032278">
        <w:rPr>
          <w:rFonts w:ascii="宋体" w:hAnsi="宋体" w:hint="eastAsia"/>
          <w:sz w:val="24"/>
        </w:rPr>
        <w:t>/</w:t>
      </w:r>
      <w:r w:rsidRPr="00032278">
        <w:rPr>
          <w:rFonts w:ascii="宋体" w:hAnsi="宋体"/>
          <w:sz w:val="24"/>
        </w:rPr>
        <w:t>装料和输出物料同时进行）。</w:t>
      </w:r>
    </w:p>
    <w:p w14:paraId="7200C5CC" w14:textId="77777777" w:rsidR="00032278" w:rsidRPr="00032278" w:rsidRDefault="00032278" w:rsidP="00032278">
      <w:pPr>
        <w:spacing w:before="50" w:line="360" w:lineRule="auto"/>
        <w:ind w:firstLineChars="200" w:firstLine="480"/>
        <w:rPr>
          <w:rFonts w:ascii="宋体" w:hAnsi="宋体"/>
          <w:sz w:val="24"/>
        </w:rPr>
      </w:pPr>
      <w:r w:rsidRPr="00032278">
        <w:rPr>
          <w:rFonts w:ascii="宋体" w:hAnsi="宋体"/>
          <w:sz w:val="24"/>
        </w:rPr>
        <w:t>目前减量秤在国内尚无统一的检定规程或校准规范。市面上大部分减量秤处</w:t>
      </w:r>
      <w:r w:rsidRPr="00032278">
        <w:rPr>
          <w:rFonts w:ascii="宋体" w:hAnsi="宋体"/>
          <w:sz w:val="24"/>
        </w:rPr>
        <w:lastRenderedPageBreak/>
        <w:t>于未溯源状态。少部分减量秤在依据JJG539《数字指示秤检定规程》或JJG648《非连续累计自动衡器(累计料斗秤)检定规程》进行计量溯源。但JJG539《数字指示秤检定规程》主要适用于非自动衡器，JJG648《非连续累计自动衡器(累计料斗秤)检定规程》主要适用于非连续累计自动衡器，这两者的原理和结构与减量秤都不相同。减量秤不按照统一的技术依据进行计量溯源，产品动态计量性能是否达到设计和使用的要求则无法验证，或者不能正确完整的验证，产品的技术水平和质量水平也无法体现，给生产单位和使用单位带来了诸多不便和使用障碍，甚至引起不必要的技术纠纷，同时制约了减量秤行业和工艺配料行业的高质量发展。</w:t>
      </w:r>
    </w:p>
    <w:p w14:paraId="0D292D54" w14:textId="554B5BC7" w:rsidR="006305AC" w:rsidRDefault="00032278" w:rsidP="00032278">
      <w:pPr>
        <w:spacing w:before="50" w:line="360" w:lineRule="auto"/>
        <w:ind w:firstLineChars="200" w:firstLine="480"/>
        <w:rPr>
          <w:rFonts w:ascii="宋体" w:hAnsi="宋体"/>
          <w:sz w:val="24"/>
        </w:rPr>
      </w:pPr>
      <w:r w:rsidRPr="00032278">
        <w:rPr>
          <w:rFonts w:ascii="宋体" w:hAnsi="宋体"/>
          <w:sz w:val="24"/>
        </w:rPr>
        <w:t>减量秤应用范围广、使用数量多、使用要求高，因此能否准确获取减量秤的计量特性、统一减量秤的技术指标，对于各类企业的生产活动、消费者权益及科研机构的科研工作意义重大，因此制定该校准规范有着举足轻重的重要性和迫切性。制定减量秤校准规范，对减量秤加强监督管理，引导减量秤正确使用，对于保障消费者利益和促进相关行业的高质量发展有着重要的意义。</w:t>
      </w:r>
    </w:p>
    <w:p w14:paraId="3C8E42E7" w14:textId="77777777" w:rsidR="006305AC" w:rsidRDefault="004D1B47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三、规范制定过程</w:t>
      </w:r>
    </w:p>
    <w:p w14:paraId="640D090E" w14:textId="6FFD0B9E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2022年，起草小组即开始对</w:t>
      </w:r>
      <w:r w:rsidR="00931F4A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生产企业进行实地调研。</w:t>
      </w:r>
    </w:p>
    <w:p w14:paraId="1B54723D" w14:textId="7A354716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2023年，纳入</w:t>
      </w:r>
      <w:r>
        <w:rPr>
          <w:rFonts w:hint="eastAsia"/>
          <w:sz w:val="24"/>
        </w:rPr>
        <w:t>国家计量技术规范制定计划后，起草小组在</w:t>
      </w:r>
      <w:r>
        <w:rPr>
          <w:rFonts w:ascii="宋体" w:hAnsi="宋体" w:hint="eastAsia"/>
          <w:sz w:val="24"/>
        </w:rPr>
        <w:t>前期调研工作的基础上，对目前市场上</w:t>
      </w:r>
      <w:r w:rsidR="00931F4A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的技术指标进行了充分的研讨。</w:t>
      </w:r>
    </w:p>
    <w:p w14:paraId="2BC28C26" w14:textId="1556E442" w:rsidR="006305AC" w:rsidRDefault="004D1B47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2023年底</w:t>
      </w:r>
      <w:r>
        <w:rPr>
          <w:sz w:val="24"/>
        </w:rPr>
        <w:t>~</w:t>
      </w:r>
      <w:r>
        <w:rPr>
          <w:rFonts w:ascii="宋体" w:hAnsi="宋体" w:hint="eastAsia"/>
          <w:sz w:val="24"/>
        </w:rPr>
        <w:t>2024年，深入生产企业进行了大量现场测试，同时也与国内从事自动衡器制造、检定和几何测量工作的专家、学者们进行了广泛的交流探讨，并得到了他们的大力支持和帮助，为</w:t>
      </w:r>
      <w:r w:rsidR="00824CDF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校准规范的起草工作奠定了坚实的基础。</w:t>
      </w:r>
    </w:p>
    <w:p w14:paraId="73B973D2" w14:textId="460B2A5D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</w:t>
      </w:r>
      <w:r w:rsidR="00824CDF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824CDF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月，在上述工作的基础上，规范起草小组完成了《</w:t>
      </w:r>
      <w:r w:rsidR="00824CDF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》校准规范的征求意见稿。</w:t>
      </w:r>
    </w:p>
    <w:p w14:paraId="1B9139FD" w14:textId="77777777" w:rsidR="006305AC" w:rsidRDefault="004D1B47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四、规范制定的主要技术依据、参考文献和原则</w:t>
      </w:r>
    </w:p>
    <w:p w14:paraId="150E3E76" w14:textId="77777777" w:rsidR="006305AC" w:rsidRDefault="004D1B4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（一）依据</w:t>
      </w:r>
    </w:p>
    <w:p w14:paraId="4CDABBFC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JJF 1071《国家计量校准规范编写规则》</w:t>
      </w:r>
    </w:p>
    <w:p w14:paraId="133C4DB7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JJF 1001《通用计量术语及定义》</w:t>
      </w:r>
    </w:p>
    <w:p w14:paraId="4F79FA4F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JJG1059</w:t>
      </w:r>
      <w:r>
        <w:rPr>
          <w:rFonts w:ascii="宋体" w:hAnsi="宋体"/>
          <w:sz w:val="24"/>
        </w:rPr>
        <w:t>.1-2012</w:t>
      </w:r>
      <w:r>
        <w:rPr>
          <w:rFonts w:ascii="宋体" w:hAnsi="宋体" w:hint="eastAsia"/>
          <w:sz w:val="24"/>
        </w:rPr>
        <w:t>《测定不确定度评定与表示》</w:t>
      </w:r>
    </w:p>
    <w:p w14:paraId="68F7313A" w14:textId="77777777" w:rsidR="006305AC" w:rsidRDefault="004D1B4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（二）参考文献</w:t>
      </w:r>
    </w:p>
    <w:p w14:paraId="5AD2ED14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lastRenderedPageBreak/>
        <w:t xml:space="preserve">JJG 99    </w:t>
      </w:r>
      <w:r w:rsidRPr="00824CDF">
        <w:rPr>
          <w:rFonts w:ascii="宋体" w:hAnsi="宋体" w:hint="eastAsia"/>
          <w:sz w:val="24"/>
        </w:rPr>
        <w:t>砝码</w:t>
      </w:r>
    </w:p>
    <w:p w14:paraId="68DE0848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t xml:space="preserve">JJG 195   </w:t>
      </w:r>
      <w:r w:rsidRPr="00824CDF">
        <w:rPr>
          <w:rFonts w:ascii="宋体" w:hAnsi="宋体" w:hint="eastAsia"/>
          <w:sz w:val="24"/>
        </w:rPr>
        <w:t>连续累计自动衡器</w:t>
      </w:r>
    </w:p>
    <w:p w14:paraId="28F0A134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t xml:space="preserve">JJG 564   </w:t>
      </w:r>
      <w:r w:rsidRPr="00824CDF">
        <w:rPr>
          <w:rFonts w:ascii="宋体" w:hAnsi="宋体" w:hint="eastAsia"/>
          <w:sz w:val="24"/>
        </w:rPr>
        <w:t>重力式自动装料衡器</w:t>
      </w:r>
    </w:p>
    <w:p w14:paraId="326502B6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t>JJG 1001  通用计量术语及定义</w:t>
      </w:r>
    </w:p>
    <w:p w14:paraId="6825CA25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t>JJG 1002  国家计量检定规程编写规则</w:t>
      </w:r>
    </w:p>
    <w:p w14:paraId="0CC8D8F8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/>
          <w:sz w:val="24"/>
        </w:rPr>
        <w:t>JJG 1181  衡器计量名词术语及定义</w:t>
      </w:r>
    </w:p>
    <w:p w14:paraId="67925159" w14:textId="77777777" w:rsidR="006305AC" w:rsidRDefault="004D1B4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（三）原则</w:t>
      </w:r>
    </w:p>
    <w:p w14:paraId="6D777FB0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1、架构</w:t>
      </w:r>
    </w:p>
    <w:p w14:paraId="33DF562C" w14:textId="5CB9EA99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架构结构根据封面、扉页、目录、引言、范围、引用文件、术语</w:t>
      </w:r>
      <w:r>
        <w:rPr>
          <w:rFonts w:ascii="宋体" w:hAnsi="宋体" w:hint="eastAsia"/>
          <w:sz w:val="24"/>
        </w:rPr>
        <w:t>和计量单位</w:t>
      </w:r>
      <w:r>
        <w:rPr>
          <w:rFonts w:ascii="宋体" w:hAnsi="宋体"/>
          <w:sz w:val="24"/>
        </w:rPr>
        <w:t>、概述、计量</w:t>
      </w:r>
      <w:r>
        <w:rPr>
          <w:rFonts w:ascii="宋体" w:hAnsi="宋体" w:hint="eastAsia"/>
          <w:sz w:val="24"/>
        </w:rPr>
        <w:t>特性</w:t>
      </w:r>
      <w:r>
        <w:rPr>
          <w:rFonts w:ascii="宋体" w:hAnsi="宋体"/>
          <w:sz w:val="24"/>
        </w:rPr>
        <w:t>、校准条件、校准项目和校准方法、校准结果、复校时间间隔几个部分制定《</w:t>
      </w:r>
      <w:r w:rsidR="00824CDF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校准规范</w:t>
      </w:r>
      <w:r>
        <w:rPr>
          <w:rFonts w:ascii="宋体" w:hAnsi="宋体"/>
          <w:sz w:val="24"/>
        </w:rPr>
        <w:t>》。</w:t>
      </w:r>
    </w:p>
    <w:p w14:paraId="31DCC0E8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2、术语与计量单位的选择</w:t>
      </w:r>
    </w:p>
    <w:p w14:paraId="15E71AED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术语和计量单位的选择遵照JJF1001-2011《通用计量术语及定义》选择使用。</w:t>
      </w:r>
    </w:p>
    <w:p w14:paraId="67E06F04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3、计量特性确定原则</w:t>
      </w:r>
    </w:p>
    <w:p w14:paraId="6DFD237B" w14:textId="71CD2194" w:rsidR="006305AC" w:rsidRDefault="00824CDF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失重秤</w:t>
      </w:r>
      <w:r w:rsidR="004D1B47">
        <w:rPr>
          <w:rFonts w:ascii="宋体" w:hAnsi="宋体" w:hint="eastAsia"/>
          <w:sz w:val="24"/>
        </w:rPr>
        <w:t>广泛应用于</w:t>
      </w:r>
      <w:r w:rsidRPr="00032278">
        <w:rPr>
          <w:rFonts w:ascii="宋体" w:hAnsi="宋体"/>
          <w:sz w:val="24"/>
        </w:rPr>
        <w:t>有色、冶金、水泥、医药、化肥、化工、食品等行业</w:t>
      </w:r>
      <w:r w:rsidR="004D1B47">
        <w:rPr>
          <w:rFonts w:hint="eastAsia"/>
          <w:sz w:val="24"/>
          <w:szCs w:val="28"/>
        </w:rPr>
        <w:t>，其量值的准确性、不确定度的评定正确与否直接关系到测量结果的可靠和</w:t>
      </w:r>
      <w:r w:rsidRPr="00032278">
        <w:rPr>
          <w:rFonts w:ascii="宋体" w:hAnsi="宋体"/>
          <w:sz w:val="24"/>
        </w:rPr>
        <w:t>消费者</w:t>
      </w:r>
      <w:r>
        <w:rPr>
          <w:rFonts w:ascii="宋体" w:hAnsi="宋体" w:hint="eastAsia"/>
          <w:sz w:val="24"/>
        </w:rPr>
        <w:t>权益的保障</w:t>
      </w:r>
      <w:r w:rsidR="004D1B47">
        <w:rPr>
          <w:rFonts w:hint="eastAsia"/>
          <w:sz w:val="24"/>
          <w:szCs w:val="28"/>
        </w:rPr>
        <w:t>。在编写过程中，起草小组遵循以下原则：</w:t>
      </w:r>
    </w:p>
    <w:p w14:paraId="79FC79A5" w14:textId="48FD28F8" w:rsidR="006305AC" w:rsidRDefault="004D1B47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参考现有的</w:t>
      </w:r>
      <w:r w:rsidRPr="00824CDF">
        <w:rPr>
          <w:rFonts w:ascii="宋体" w:hAnsi="宋体" w:hint="eastAsia"/>
          <w:sz w:val="24"/>
        </w:rPr>
        <w:t>国家技术规范</w:t>
      </w:r>
      <w:r>
        <w:rPr>
          <w:rFonts w:ascii="宋体" w:hAnsi="宋体" w:hint="eastAsia"/>
          <w:sz w:val="24"/>
        </w:rPr>
        <w:t>、结合国内现状；</w:t>
      </w:r>
    </w:p>
    <w:p w14:paraId="6ECAE4EC" w14:textId="5054C04F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体现目前校准方法的先进性和科学性； </w:t>
      </w:r>
    </w:p>
    <w:p w14:paraId="04B45393" w14:textId="13D60B5F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实际工作中的规范性和适用性。</w:t>
      </w:r>
    </w:p>
    <w:p w14:paraId="4E52B2E4" w14:textId="77777777" w:rsidR="006305AC" w:rsidRDefault="004D1B47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五、规范制定说明</w:t>
      </w:r>
    </w:p>
    <w:p w14:paraId="1A40C273" w14:textId="46BB6AF6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《</w:t>
      </w:r>
      <w:r w:rsidR="00824CDF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校准规范</w:t>
      </w:r>
      <w:r>
        <w:rPr>
          <w:rFonts w:ascii="宋体" w:hAnsi="宋体"/>
          <w:sz w:val="24"/>
        </w:rPr>
        <w:t>》共分为10个部分，即范围、引用文件、术语</w:t>
      </w:r>
      <w:r>
        <w:rPr>
          <w:rFonts w:ascii="宋体" w:hAnsi="宋体" w:hint="eastAsia"/>
          <w:sz w:val="24"/>
        </w:rPr>
        <w:t>和计量单位</w:t>
      </w:r>
      <w:r>
        <w:rPr>
          <w:rFonts w:ascii="宋体" w:hAnsi="宋体"/>
          <w:sz w:val="24"/>
        </w:rPr>
        <w:t>、概述、计量</w:t>
      </w:r>
      <w:r>
        <w:rPr>
          <w:rFonts w:ascii="宋体" w:hAnsi="宋体" w:hint="eastAsia"/>
          <w:sz w:val="24"/>
        </w:rPr>
        <w:t>特性</w:t>
      </w:r>
      <w:r>
        <w:rPr>
          <w:rFonts w:ascii="宋体" w:hAnsi="宋体"/>
          <w:sz w:val="24"/>
        </w:rPr>
        <w:t>、校准条件、校准项目和校准方法、校准结果、复校时间间隔</w:t>
      </w:r>
      <w:r w:rsidR="00824CDF">
        <w:rPr>
          <w:rFonts w:ascii="宋体" w:hAnsi="宋体" w:hint="eastAsia"/>
          <w:sz w:val="24"/>
        </w:rPr>
        <w:t>、附录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10个部分。</w:t>
      </w:r>
    </w:p>
    <w:p w14:paraId="577D616B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1、范围：</w:t>
      </w:r>
    </w:p>
    <w:p w14:paraId="072DB8E7" w14:textId="77777777" w:rsidR="00824CDF" w:rsidRPr="00824CDF" w:rsidRDefault="00824CDF" w:rsidP="00824CD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824CDF">
        <w:rPr>
          <w:rFonts w:ascii="宋体" w:hAnsi="宋体" w:hint="eastAsia"/>
          <w:sz w:val="24"/>
        </w:rPr>
        <w:t>本规范适用于自动称量方式的减量秤（失重秤）（以下简称失重秤）的校准。</w:t>
      </w:r>
    </w:p>
    <w:p w14:paraId="109E3CFE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2、引用文件</w:t>
      </w:r>
    </w:p>
    <w:p w14:paraId="2DEC8D45" w14:textId="0652995F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列出了本规范参考和引用的文件包括JJG</w:t>
      </w:r>
      <w:r>
        <w:rPr>
          <w:rFonts w:ascii="宋体" w:hAnsi="宋体"/>
          <w:sz w:val="24"/>
        </w:rPr>
        <w:t xml:space="preserve"> 9</w:t>
      </w:r>
      <w:r>
        <w:rPr>
          <w:rFonts w:ascii="宋体" w:hAnsi="宋体" w:hint="eastAsia"/>
          <w:sz w:val="24"/>
        </w:rPr>
        <w:t>9 砝码、J</w:t>
      </w:r>
      <w:r w:rsidR="00824CDF" w:rsidRPr="00824CDF">
        <w:rPr>
          <w:rFonts w:ascii="宋体" w:hAnsi="宋体"/>
          <w:sz w:val="24"/>
        </w:rPr>
        <w:t xml:space="preserve"> </w:t>
      </w:r>
      <w:r w:rsidR="00824CDF" w:rsidRPr="00824CDF">
        <w:rPr>
          <w:rFonts w:ascii="宋体" w:hAnsi="宋体"/>
          <w:sz w:val="24"/>
        </w:rPr>
        <w:t>JJG 195</w:t>
      </w:r>
      <w:r w:rsidR="00824CDF" w:rsidRPr="00824CDF">
        <w:rPr>
          <w:rFonts w:ascii="宋体" w:hAnsi="宋体"/>
          <w:sz w:val="24"/>
        </w:rPr>
        <w:t xml:space="preserve"> </w:t>
      </w:r>
      <w:r w:rsidR="00824CDF" w:rsidRPr="00824CDF">
        <w:rPr>
          <w:rFonts w:ascii="宋体" w:hAnsi="宋体" w:hint="eastAsia"/>
          <w:sz w:val="24"/>
        </w:rPr>
        <w:t>连续累计自</w:t>
      </w:r>
      <w:r w:rsidR="00824CDF" w:rsidRPr="00824CDF">
        <w:rPr>
          <w:rFonts w:ascii="宋体" w:hAnsi="宋体" w:hint="eastAsia"/>
          <w:sz w:val="24"/>
        </w:rPr>
        <w:lastRenderedPageBreak/>
        <w:t>动衡器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JJF 1181 衡器计量名词术语及定义等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凡是注日期的引用文件，仅注日期的版本适用于本规范，凡是不注日期的引用文件，其最新版本（包括所有的修订单）适用于本规范。</w:t>
      </w:r>
    </w:p>
    <w:p w14:paraId="67F95FE6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3、术语</w:t>
      </w:r>
      <w:r>
        <w:rPr>
          <w:rFonts w:ascii="宋体" w:hAnsi="宋体" w:hint="eastAsia"/>
          <w:sz w:val="24"/>
        </w:rPr>
        <w:t>和计量单位</w:t>
      </w:r>
    </w:p>
    <w:p w14:paraId="107BEBEF" w14:textId="01558BD5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这一部分对规范中使用的名词术语进行了定义，包括</w:t>
      </w:r>
      <w:r w:rsidR="00824CDF" w:rsidRPr="005E5E6D">
        <w:rPr>
          <w:sz w:val="24"/>
        </w:rPr>
        <w:t>失重秤</w:t>
      </w:r>
      <w:r>
        <w:rPr>
          <w:rFonts w:ascii="宋体" w:hAnsi="宋体" w:hint="eastAsia"/>
          <w:sz w:val="24"/>
        </w:rPr>
        <w:t>、</w:t>
      </w:r>
      <w:r w:rsidR="00824CDF" w:rsidRPr="005E5E6D">
        <w:rPr>
          <w:sz w:val="24"/>
        </w:rPr>
        <w:t>单螺杆</w:t>
      </w:r>
      <w:r w:rsidR="00824CDF" w:rsidRPr="005E5E6D">
        <w:rPr>
          <w:sz w:val="24"/>
        </w:rPr>
        <w:t>/</w:t>
      </w:r>
      <w:r w:rsidR="00824CDF" w:rsidRPr="005E5E6D">
        <w:rPr>
          <w:sz w:val="24"/>
        </w:rPr>
        <w:t>皮带失重秤</w:t>
      </w:r>
      <w:r>
        <w:rPr>
          <w:rFonts w:ascii="宋体" w:hAnsi="宋体" w:hint="eastAsia"/>
          <w:sz w:val="24"/>
        </w:rPr>
        <w:t>、</w:t>
      </w:r>
      <w:r w:rsidR="00824CDF" w:rsidRPr="005E5E6D">
        <w:rPr>
          <w:sz w:val="24"/>
        </w:rPr>
        <w:t>双螺杆失重秤</w:t>
      </w:r>
      <w:r>
        <w:rPr>
          <w:rFonts w:ascii="宋体" w:hAnsi="宋体" w:hint="eastAsia"/>
          <w:sz w:val="24"/>
        </w:rPr>
        <w:t>、</w:t>
      </w:r>
      <w:r w:rsidR="00824CDF" w:rsidRPr="005E5E6D">
        <w:rPr>
          <w:sz w:val="24"/>
        </w:rPr>
        <w:t>微量双螺杆失重秤</w:t>
      </w:r>
      <w:r w:rsidR="00824CDF">
        <w:rPr>
          <w:rFonts w:hint="eastAsia"/>
          <w:sz w:val="24"/>
        </w:rPr>
        <w:t>、</w:t>
      </w:r>
      <w:r w:rsidR="00824CDF" w:rsidRPr="005E5E6D">
        <w:rPr>
          <w:sz w:val="24"/>
        </w:rPr>
        <w:t>大容量失重秤</w:t>
      </w:r>
      <w:r w:rsidR="00824CDF">
        <w:rPr>
          <w:rFonts w:hint="eastAsia"/>
          <w:sz w:val="24"/>
        </w:rPr>
        <w:t>、</w:t>
      </w:r>
      <w:r w:rsidR="00824CDF" w:rsidRPr="005E5E6D">
        <w:rPr>
          <w:sz w:val="24"/>
        </w:rPr>
        <w:t>单速失重秤</w:t>
      </w:r>
      <w:r w:rsidR="00824CDF">
        <w:rPr>
          <w:rFonts w:hint="eastAsia"/>
          <w:sz w:val="24"/>
        </w:rPr>
        <w:t>、</w:t>
      </w:r>
      <w:r w:rsidR="00824CDF" w:rsidRPr="005E5E6D">
        <w:rPr>
          <w:sz w:val="24"/>
        </w:rPr>
        <w:t>变速失重秤</w:t>
      </w:r>
      <w:r w:rsidR="00824CDF">
        <w:rPr>
          <w:rFonts w:hint="eastAsia"/>
          <w:sz w:val="24"/>
        </w:rPr>
        <w:t>、</w:t>
      </w:r>
      <w:r w:rsidR="006E3513" w:rsidRPr="005E5E6D">
        <w:rPr>
          <w:sz w:val="24"/>
        </w:rPr>
        <w:t>多速失重秤</w:t>
      </w:r>
      <w:r w:rsidR="006E3513">
        <w:rPr>
          <w:rFonts w:hint="eastAsia"/>
          <w:sz w:val="24"/>
        </w:rPr>
        <w:t>、</w:t>
      </w:r>
      <w:r w:rsidR="00824CDF" w:rsidRPr="005E5E6D">
        <w:rPr>
          <w:sz w:val="24"/>
        </w:rPr>
        <w:t>称量仓</w:t>
      </w:r>
      <w:r>
        <w:rPr>
          <w:rFonts w:ascii="宋体" w:hAnsi="宋体" w:hint="eastAsia"/>
          <w:sz w:val="24"/>
        </w:rPr>
        <w:t>、</w:t>
      </w:r>
      <w:r w:rsidR="00824CDF" w:rsidRPr="005E5E6D">
        <w:rPr>
          <w:sz w:val="24"/>
        </w:rPr>
        <w:t>缓冲仓</w:t>
      </w:r>
      <w:r>
        <w:rPr>
          <w:rFonts w:ascii="宋体" w:hAnsi="宋体" w:hint="eastAsia"/>
          <w:sz w:val="24"/>
        </w:rPr>
        <w:t>、</w:t>
      </w:r>
      <w:r w:rsidR="00824CDF" w:rsidRPr="005E5E6D">
        <w:rPr>
          <w:sz w:val="24"/>
        </w:rPr>
        <w:t>入料闸门</w:t>
      </w:r>
      <w:r>
        <w:rPr>
          <w:rFonts w:ascii="宋体" w:hAnsi="宋体"/>
          <w:sz w:val="24"/>
        </w:rPr>
        <w:t>。</w:t>
      </w:r>
      <w:r>
        <w:rPr>
          <w:rFonts w:ascii="宋体" w:hAnsi="宋体" w:hint="eastAsia"/>
          <w:sz w:val="24"/>
        </w:rPr>
        <w:t>同时对使用的质量和</w:t>
      </w:r>
      <w:r w:rsidR="006E3513">
        <w:rPr>
          <w:rFonts w:ascii="宋体" w:hAnsi="宋体" w:hint="eastAsia"/>
          <w:sz w:val="24"/>
        </w:rPr>
        <w:t>流量</w:t>
      </w:r>
      <w:r>
        <w:rPr>
          <w:rFonts w:ascii="宋体" w:hAnsi="宋体" w:hint="eastAsia"/>
          <w:sz w:val="24"/>
        </w:rPr>
        <w:t>的计量单位进行了规定。</w:t>
      </w:r>
    </w:p>
    <w:p w14:paraId="45E1B62E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4、概述</w:t>
      </w:r>
    </w:p>
    <w:p w14:paraId="37CC7362" w14:textId="6FA0F8A8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这部分主要描述了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的结构、</w:t>
      </w:r>
      <w:r>
        <w:rPr>
          <w:rFonts w:ascii="宋体" w:hAnsi="宋体"/>
          <w:sz w:val="24"/>
        </w:rPr>
        <w:t>原理</w:t>
      </w:r>
      <w:r>
        <w:rPr>
          <w:rFonts w:ascii="宋体" w:hAnsi="宋体" w:hint="eastAsia"/>
          <w:sz w:val="24"/>
        </w:rPr>
        <w:t>和用途。</w:t>
      </w:r>
    </w:p>
    <w:p w14:paraId="3F267C5C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5、计量</w:t>
      </w:r>
      <w:r>
        <w:rPr>
          <w:rFonts w:ascii="宋体" w:hAnsi="宋体" w:hint="eastAsia"/>
          <w:sz w:val="24"/>
        </w:rPr>
        <w:t>性能</w:t>
      </w:r>
    </w:p>
    <w:p w14:paraId="1A258A8A" w14:textId="468084C3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这部分规定了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/>
          <w:sz w:val="24"/>
        </w:rPr>
        <w:t>的计量特性，通过对生产厂家和用户的调研，</w:t>
      </w:r>
      <w:r w:rsidR="006E3513">
        <w:rPr>
          <w:rFonts w:ascii="宋体" w:hAnsi="宋体" w:hint="eastAsia"/>
          <w:sz w:val="24"/>
        </w:rPr>
        <w:t>确定了静态</w:t>
      </w:r>
      <w:r w:rsidR="006E3513" w:rsidRPr="006E3513">
        <w:rPr>
          <w:rFonts w:ascii="宋体" w:hAnsi="宋体"/>
          <w:sz w:val="24"/>
        </w:rPr>
        <w:t>性能试验要求</w:t>
      </w:r>
      <w:r w:rsidR="006E3513" w:rsidRPr="006E3513">
        <w:rPr>
          <w:rFonts w:ascii="宋体" w:hAnsi="宋体" w:hint="eastAsia"/>
          <w:sz w:val="24"/>
        </w:rPr>
        <w:t>和</w:t>
      </w:r>
      <w:r w:rsidR="006E3513" w:rsidRPr="006E3513">
        <w:rPr>
          <w:rFonts w:ascii="宋体" w:hAnsi="宋体" w:hint="eastAsia"/>
          <w:sz w:val="24"/>
        </w:rPr>
        <w:t>动态</w:t>
      </w:r>
      <w:r w:rsidR="006E3513" w:rsidRPr="006E3513">
        <w:rPr>
          <w:rFonts w:ascii="宋体" w:hAnsi="宋体"/>
          <w:sz w:val="24"/>
        </w:rPr>
        <w:t>试验要求</w:t>
      </w:r>
      <w:r>
        <w:rPr>
          <w:rFonts w:ascii="宋体" w:hAnsi="宋体" w:hint="eastAsia"/>
          <w:sz w:val="24"/>
        </w:rPr>
        <w:t>。</w:t>
      </w:r>
    </w:p>
    <w:p w14:paraId="33409FDF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6、校准条件</w:t>
      </w:r>
    </w:p>
    <w:p w14:paraId="33CDB7DC" w14:textId="7D8D8E49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这部分主要规定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/>
          <w:sz w:val="24"/>
        </w:rPr>
        <w:t>校准时需要满足的环境条件，以及使用的校准</w:t>
      </w:r>
      <w:r>
        <w:rPr>
          <w:rFonts w:ascii="宋体" w:hAnsi="宋体" w:hint="eastAsia"/>
          <w:sz w:val="24"/>
        </w:rPr>
        <w:t>设备</w:t>
      </w:r>
      <w:r>
        <w:rPr>
          <w:rFonts w:ascii="宋体" w:hAnsi="宋体"/>
          <w:sz w:val="24"/>
        </w:rPr>
        <w:t>。</w:t>
      </w:r>
    </w:p>
    <w:p w14:paraId="522F5D18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7、校准项目和校准方法</w:t>
      </w:r>
    </w:p>
    <w:p w14:paraId="2202909C" w14:textId="4C799CAA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这部分主要针对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校准</w:t>
      </w:r>
      <w:r>
        <w:rPr>
          <w:rFonts w:ascii="宋体" w:hAnsi="宋体"/>
          <w:sz w:val="24"/>
        </w:rPr>
        <w:t>前准备</w:t>
      </w:r>
      <w:r>
        <w:rPr>
          <w:rFonts w:ascii="宋体" w:hAnsi="宋体" w:hint="eastAsia"/>
          <w:sz w:val="24"/>
        </w:rPr>
        <w:t>、</w:t>
      </w:r>
      <w:r w:rsidR="006E3513">
        <w:rPr>
          <w:rFonts w:ascii="宋体" w:hAnsi="宋体" w:hint="eastAsia"/>
          <w:sz w:val="24"/>
        </w:rPr>
        <w:t>静态</w:t>
      </w:r>
      <w:r w:rsidR="006E3513" w:rsidRPr="006E3513">
        <w:rPr>
          <w:rFonts w:ascii="宋体" w:hAnsi="宋体"/>
          <w:sz w:val="24"/>
        </w:rPr>
        <w:t>性能试验</w:t>
      </w:r>
      <w:r w:rsidR="006E3513" w:rsidRPr="006E3513">
        <w:rPr>
          <w:rFonts w:ascii="宋体" w:hAnsi="宋体" w:hint="eastAsia"/>
          <w:sz w:val="24"/>
        </w:rPr>
        <w:t>和动态</w:t>
      </w:r>
      <w:r w:rsidR="006E3513" w:rsidRPr="006E3513">
        <w:rPr>
          <w:rFonts w:ascii="宋体" w:hAnsi="宋体"/>
          <w:sz w:val="24"/>
        </w:rPr>
        <w:t>试验</w:t>
      </w:r>
      <w:r>
        <w:rPr>
          <w:rFonts w:ascii="宋体" w:hAnsi="宋体"/>
          <w:sz w:val="24"/>
        </w:rPr>
        <w:t>的具体校准方法进行了说明</w:t>
      </w:r>
      <w:r>
        <w:rPr>
          <w:rFonts w:ascii="宋体" w:hAnsi="宋体" w:hint="eastAsia"/>
          <w:sz w:val="24"/>
        </w:rPr>
        <w:t>和数学公式化处理。</w:t>
      </w:r>
    </w:p>
    <w:p w14:paraId="3A120AAC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8、校准结果表达</w:t>
      </w:r>
    </w:p>
    <w:p w14:paraId="517E5E73" w14:textId="18537D32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经过校准的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/>
          <w:sz w:val="24"/>
        </w:rPr>
        <w:t>出具校准证书，证书应符合JJF 1071-2010中5.12的要求，校准记录格式见附</w:t>
      </w:r>
      <w:r w:rsidR="006E3513"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>，校准证书内容见附录</w:t>
      </w:r>
      <w:r w:rsidR="006E3513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>。</w:t>
      </w:r>
    </w:p>
    <w:p w14:paraId="72442F21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9、复校时间间隔</w:t>
      </w:r>
    </w:p>
    <w:p w14:paraId="1704074D" w14:textId="33AC919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由于复校时间间隔的长短是由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校准结果、使用频次、使用条件等</w:t>
      </w:r>
      <w:r>
        <w:rPr>
          <w:rFonts w:ascii="宋体" w:hAnsi="宋体"/>
          <w:sz w:val="24"/>
        </w:rPr>
        <w:t>诸因素所决定的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建议复效时间间隔不超过1年。依据实际情况可缩短建议复校时间间隔</w:t>
      </w:r>
      <w:r>
        <w:rPr>
          <w:rFonts w:ascii="宋体" w:hAnsi="宋体" w:hint="eastAsia"/>
          <w:sz w:val="24"/>
        </w:rPr>
        <w:t>。</w:t>
      </w:r>
    </w:p>
    <w:p w14:paraId="46F2DD13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10、附录</w:t>
      </w:r>
    </w:p>
    <w:p w14:paraId="6575FB3F" w14:textId="702692DB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征求意见稿中附录</w:t>
      </w:r>
      <w:r w:rsidR="006E3513"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/>
          <w:sz w:val="24"/>
        </w:rPr>
        <w:t>附录</w:t>
      </w:r>
      <w:r w:rsidR="006E3513">
        <w:rPr>
          <w:rFonts w:ascii="宋体" w:hAnsi="宋体"/>
          <w:sz w:val="24"/>
        </w:rPr>
        <w:t>B</w:t>
      </w:r>
      <w:r>
        <w:rPr>
          <w:rFonts w:ascii="宋体" w:hAnsi="宋体"/>
          <w:sz w:val="24"/>
        </w:rPr>
        <w:t>给出了校准记录和校准证书的内容，附录</w:t>
      </w:r>
      <w:r w:rsidR="006E3513">
        <w:rPr>
          <w:rFonts w:ascii="宋体" w:hAnsi="宋体"/>
          <w:sz w:val="24"/>
        </w:rPr>
        <w:t>C</w:t>
      </w:r>
      <w:r>
        <w:rPr>
          <w:rFonts w:ascii="宋体" w:hAnsi="宋体"/>
          <w:sz w:val="24"/>
        </w:rPr>
        <w:t>给出了</w:t>
      </w:r>
      <w:r w:rsidR="006E3513">
        <w:rPr>
          <w:rFonts w:ascii="宋体" w:hAnsi="宋体" w:hint="eastAsia"/>
          <w:sz w:val="24"/>
        </w:rPr>
        <w:t>失重秤</w:t>
      </w:r>
      <w:r>
        <w:rPr>
          <w:rFonts w:ascii="宋体" w:hAnsi="宋体" w:hint="eastAsia"/>
          <w:sz w:val="24"/>
        </w:rPr>
        <w:t>测量结果不确定度评定方法</w:t>
      </w:r>
      <w:r>
        <w:rPr>
          <w:rFonts w:ascii="宋体" w:hAnsi="宋体"/>
          <w:sz w:val="24"/>
        </w:rPr>
        <w:t>。</w:t>
      </w:r>
    </w:p>
    <w:p w14:paraId="38143BAD" w14:textId="77777777" w:rsidR="006305AC" w:rsidRDefault="004D1B47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/>
          <w:sz w:val="24"/>
        </w:rPr>
        <w:t>希望委员和专家们提出宝贵意见，使</w:t>
      </w:r>
      <w:r>
        <w:rPr>
          <w:rFonts w:ascii="宋体" w:hAnsi="宋体" w:hint="eastAsia"/>
          <w:sz w:val="24"/>
        </w:rPr>
        <w:t>制订工作</w:t>
      </w:r>
      <w:r>
        <w:rPr>
          <w:rFonts w:ascii="宋体" w:hAnsi="宋体"/>
          <w:sz w:val="24"/>
        </w:rPr>
        <w:t>更加科学、合理和适用。</w:t>
      </w:r>
    </w:p>
    <w:p w14:paraId="5FFEFF88" w14:textId="77777777" w:rsidR="006305AC" w:rsidRDefault="006305AC">
      <w:pPr>
        <w:spacing w:line="360" w:lineRule="auto"/>
        <w:ind w:leftChars="-86" w:left="-181" w:firstLineChars="200" w:firstLine="480"/>
        <w:rPr>
          <w:rFonts w:ascii="宋体" w:hAnsi="宋体"/>
          <w:sz w:val="24"/>
        </w:rPr>
      </w:pPr>
    </w:p>
    <w:p w14:paraId="28087BF2" w14:textId="77777777" w:rsidR="006305AC" w:rsidRDefault="004D1B47">
      <w:pPr>
        <w:spacing w:line="360" w:lineRule="auto"/>
        <w:ind w:leftChars="-86" w:left="-181"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           </w:t>
      </w:r>
      <w:r>
        <w:rPr>
          <w:rFonts w:ascii="宋体" w:hAnsi="宋体" w:hint="eastAsia"/>
          <w:sz w:val="24"/>
        </w:rPr>
        <w:t xml:space="preserve">                 规范</w:t>
      </w:r>
      <w:r>
        <w:rPr>
          <w:rFonts w:ascii="宋体" w:hAnsi="宋体"/>
          <w:sz w:val="24"/>
        </w:rPr>
        <w:t>起草小组</w:t>
      </w:r>
    </w:p>
    <w:p w14:paraId="6F2D6FAB" w14:textId="0FCBC2EF" w:rsidR="006305AC" w:rsidRDefault="004D1B47">
      <w:pPr>
        <w:spacing w:line="360" w:lineRule="auto"/>
        <w:ind w:leftChars="-86" w:left="-181" w:firstLineChars="2000" w:firstLine="4800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202</w:t>
      </w:r>
      <w:r w:rsidR="006E3513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6E3513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>月</w:t>
      </w:r>
    </w:p>
    <w:p w14:paraId="7DC626B5" w14:textId="77777777" w:rsidR="006305AC" w:rsidRDefault="006305AC">
      <w:pPr>
        <w:spacing w:line="360" w:lineRule="auto"/>
        <w:rPr>
          <w:sz w:val="24"/>
        </w:rPr>
      </w:pPr>
    </w:p>
    <w:p w14:paraId="5193ED3A" w14:textId="77777777" w:rsidR="006305AC" w:rsidRDefault="006305AC">
      <w:pPr>
        <w:spacing w:line="360" w:lineRule="auto"/>
        <w:rPr>
          <w:rFonts w:ascii="宋体" w:hAnsi="宋体"/>
          <w:sz w:val="24"/>
        </w:rPr>
      </w:pPr>
    </w:p>
    <w:sectPr w:rsidR="006305A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72A3" w14:textId="77777777" w:rsidR="002E75E3" w:rsidRDefault="002E75E3">
      <w:r>
        <w:separator/>
      </w:r>
    </w:p>
  </w:endnote>
  <w:endnote w:type="continuationSeparator" w:id="0">
    <w:p w14:paraId="050C2EA3" w14:textId="77777777" w:rsidR="002E75E3" w:rsidRDefault="002E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JLJNL+Arial">
    <w:altName w:val="Arial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5789" w14:textId="77777777" w:rsidR="006305AC" w:rsidRDefault="004D1B47">
    <w:pPr>
      <w:pStyle w:val="ad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9C666CE" w14:textId="77777777" w:rsidR="006305AC" w:rsidRDefault="006305A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2D647" w14:textId="1D62F0CD" w:rsidR="006305AC" w:rsidRDefault="004D1B47">
    <w:pPr>
      <w:pStyle w:val="ad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E3513">
      <w:rPr>
        <w:rStyle w:val="af2"/>
        <w:noProof/>
      </w:rPr>
      <w:t>5</w:t>
    </w:r>
    <w:r>
      <w:rPr>
        <w:rStyle w:val="af2"/>
      </w:rPr>
      <w:fldChar w:fldCharType="end"/>
    </w:r>
  </w:p>
  <w:p w14:paraId="5B9CBE9F" w14:textId="77777777" w:rsidR="006305AC" w:rsidRDefault="006305A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2E87" w14:textId="77777777" w:rsidR="002E75E3" w:rsidRDefault="002E75E3">
      <w:r>
        <w:separator/>
      </w:r>
    </w:p>
  </w:footnote>
  <w:footnote w:type="continuationSeparator" w:id="0">
    <w:p w14:paraId="09A8C72C" w14:textId="77777777" w:rsidR="002E75E3" w:rsidRDefault="002E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7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4"/>
      <w:numFmt w:val="none"/>
      <w:pStyle w:val="a2"/>
      <w:suff w:val="nothing"/>
      <w:lvlText w:val="7.4.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5OWE3OTdiNGRiYjNjYWE0ZDZiNDY3MjBiMGY2N2EifQ=="/>
  </w:docVars>
  <w:rsids>
    <w:rsidRoot w:val="009C547B"/>
    <w:rsid w:val="00006CCD"/>
    <w:rsid w:val="00017FB3"/>
    <w:rsid w:val="00032278"/>
    <w:rsid w:val="00046F66"/>
    <w:rsid w:val="001040A5"/>
    <w:rsid w:val="00104AF5"/>
    <w:rsid w:val="001076F9"/>
    <w:rsid w:val="0011203B"/>
    <w:rsid w:val="00124E87"/>
    <w:rsid w:val="00176DD6"/>
    <w:rsid w:val="001A124C"/>
    <w:rsid w:val="001A5393"/>
    <w:rsid w:val="001C07F8"/>
    <w:rsid w:val="001F14FE"/>
    <w:rsid w:val="001F276E"/>
    <w:rsid w:val="00216B3A"/>
    <w:rsid w:val="00221436"/>
    <w:rsid w:val="002360AC"/>
    <w:rsid w:val="002A62A0"/>
    <w:rsid w:val="002B0F9A"/>
    <w:rsid w:val="002E0B7D"/>
    <w:rsid w:val="002E75E3"/>
    <w:rsid w:val="002F05CF"/>
    <w:rsid w:val="002F2A4A"/>
    <w:rsid w:val="00301FF8"/>
    <w:rsid w:val="00363A7A"/>
    <w:rsid w:val="00397745"/>
    <w:rsid w:val="003C48EB"/>
    <w:rsid w:val="003D4C04"/>
    <w:rsid w:val="004212F2"/>
    <w:rsid w:val="00433CB4"/>
    <w:rsid w:val="004437B0"/>
    <w:rsid w:val="00444BAA"/>
    <w:rsid w:val="004B35A6"/>
    <w:rsid w:val="004B7FD2"/>
    <w:rsid w:val="004C2B2F"/>
    <w:rsid w:val="004D0024"/>
    <w:rsid w:val="004D1B47"/>
    <w:rsid w:val="004D2AD3"/>
    <w:rsid w:val="004E67EC"/>
    <w:rsid w:val="004E6EFD"/>
    <w:rsid w:val="00513ED4"/>
    <w:rsid w:val="0053267D"/>
    <w:rsid w:val="00540717"/>
    <w:rsid w:val="00556660"/>
    <w:rsid w:val="0056288D"/>
    <w:rsid w:val="00570906"/>
    <w:rsid w:val="005A25A8"/>
    <w:rsid w:val="005A5313"/>
    <w:rsid w:val="005B5832"/>
    <w:rsid w:val="005C7A53"/>
    <w:rsid w:val="00601A5A"/>
    <w:rsid w:val="00623CF3"/>
    <w:rsid w:val="006305AC"/>
    <w:rsid w:val="006718D3"/>
    <w:rsid w:val="006A1620"/>
    <w:rsid w:val="006D00EF"/>
    <w:rsid w:val="006D2238"/>
    <w:rsid w:val="006E3513"/>
    <w:rsid w:val="007122BB"/>
    <w:rsid w:val="007131BA"/>
    <w:rsid w:val="00782129"/>
    <w:rsid w:val="00787326"/>
    <w:rsid w:val="007A6858"/>
    <w:rsid w:val="007B34F3"/>
    <w:rsid w:val="007B7180"/>
    <w:rsid w:val="007C0C34"/>
    <w:rsid w:val="007E7CD5"/>
    <w:rsid w:val="007F2F6A"/>
    <w:rsid w:val="00802921"/>
    <w:rsid w:val="00823766"/>
    <w:rsid w:val="00824CDF"/>
    <w:rsid w:val="00827553"/>
    <w:rsid w:val="008331F8"/>
    <w:rsid w:val="008407C7"/>
    <w:rsid w:val="0086534B"/>
    <w:rsid w:val="00866257"/>
    <w:rsid w:val="008848EF"/>
    <w:rsid w:val="008878AD"/>
    <w:rsid w:val="00890D44"/>
    <w:rsid w:val="00895ADC"/>
    <w:rsid w:val="00896452"/>
    <w:rsid w:val="008D3D67"/>
    <w:rsid w:val="008D408E"/>
    <w:rsid w:val="008F243D"/>
    <w:rsid w:val="008F7008"/>
    <w:rsid w:val="00920CE5"/>
    <w:rsid w:val="00930CE1"/>
    <w:rsid w:val="00931F4A"/>
    <w:rsid w:val="00935E65"/>
    <w:rsid w:val="00967BEA"/>
    <w:rsid w:val="009A03C8"/>
    <w:rsid w:val="009A3043"/>
    <w:rsid w:val="009B7902"/>
    <w:rsid w:val="009C547B"/>
    <w:rsid w:val="00A335D7"/>
    <w:rsid w:val="00A338B0"/>
    <w:rsid w:val="00AA3D66"/>
    <w:rsid w:val="00AB210F"/>
    <w:rsid w:val="00B0144A"/>
    <w:rsid w:val="00B11A56"/>
    <w:rsid w:val="00B23424"/>
    <w:rsid w:val="00B2598D"/>
    <w:rsid w:val="00B37E0C"/>
    <w:rsid w:val="00B52D73"/>
    <w:rsid w:val="00B715A8"/>
    <w:rsid w:val="00BB2876"/>
    <w:rsid w:val="00BE1BAD"/>
    <w:rsid w:val="00C00730"/>
    <w:rsid w:val="00C00C64"/>
    <w:rsid w:val="00C30DB1"/>
    <w:rsid w:val="00C64CAD"/>
    <w:rsid w:val="00C7732F"/>
    <w:rsid w:val="00CD0BA0"/>
    <w:rsid w:val="00CD21F3"/>
    <w:rsid w:val="00D0376C"/>
    <w:rsid w:val="00D16CB8"/>
    <w:rsid w:val="00D40053"/>
    <w:rsid w:val="00D52146"/>
    <w:rsid w:val="00D80878"/>
    <w:rsid w:val="00DC4FD9"/>
    <w:rsid w:val="00DE6EFD"/>
    <w:rsid w:val="00DF1529"/>
    <w:rsid w:val="00E20E7F"/>
    <w:rsid w:val="00E34F50"/>
    <w:rsid w:val="00E57E45"/>
    <w:rsid w:val="00E7196C"/>
    <w:rsid w:val="00EC7514"/>
    <w:rsid w:val="00ED07F0"/>
    <w:rsid w:val="00EF07A1"/>
    <w:rsid w:val="00EF21D2"/>
    <w:rsid w:val="00F05785"/>
    <w:rsid w:val="00F23BDE"/>
    <w:rsid w:val="00F433F8"/>
    <w:rsid w:val="00F7090B"/>
    <w:rsid w:val="00F72810"/>
    <w:rsid w:val="00FB05BB"/>
    <w:rsid w:val="00FC2ED4"/>
    <w:rsid w:val="00FE1014"/>
    <w:rsid w:val="0F063B12"/>
    <w:rsid w:val="2D2341D1"/>
    <w:rsid w:val="3A3B2C10"/>
    <w:rsid w:val="3C1C47B1"/>
    <w:rsid w:val="456F5201"/>
    <w:rsid w:val="64E51188"/>
    <w:rsid w:val="67A847B5"/>
    <w:rsid w:val="7963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0EE72"/>
  <w15:docId w15:val="{E52E3223-1B2D-4ABC-8DF9-AD221302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6"/>
    <w:next w:val="a6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Body Text Indent"/>
    <w:basedOn w:val="a6"/>
    <w:autoRedefine/>
    <w:qFormat/>
    <w:pPr>
      <w:ind w:left="-1020"/>
    </w:pPr>
    <w:rPr>
      <w:rFonts w:ascii="宋体" w:hAnsi="宋体"/>
      <w:sz w:val="28"/>
    </w:rPr>
  </w:style>
  <w:style w:type="paragraph" w:styleId="ab">
    <w:name w:val="Balloon Text"/>
    <w:basedOn w:val="a6"/>
    <w:link w:val="ac"/>
    <w:rPr>
      <w:sz w:val="18"/>
      <w:szCs w:val="18"/>
    </w:rPr>
  </w:style>
  <w:style w:type="paragraph" w:styleId="ad">
    <w:name w:val="footer"/>
    <w:basedOn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6"/>
    <w:link w:val="af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30">
    <w:name w:val="Body Text Indent 3"/>
    <w:basedOn w:val="a6"/>
    <w:autoRedefine/>
    <w:qFormat/>
    <w:pPr>
      <w:spacing w:line="360" w:lineRule="auto"/>
      <w:ind w:firstLineChars="200" w:firstLine="560"/>
      <w:jc w:val="left"/>
    </w:pPr>
    <w:rPr>
      <w:rFonts w:ascii="宋体" w:hAnsi="宋体"/>
      <w:sz w:val="28"/>
    </w:rPr>
  </w:style>
  <w:style w:type="table" w:styleId="af0">
    <w:name w:val="Table Grid"/>
    <w:basedOn w:val="a8"/>
    <w:autoRedefine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Pr>
      <w:rFonts w:ascii="黑体" w:eastAsia="黑体" w:hAnsi="宋体"/>
      <w:sz w:val="28"/>
    </w:rPr>
  </w:style>
  <w:style w:type="character" w:styleId="af2">
    <w:name w:val="page number"/>
    <w:basedOn w:val="a7"/>
    <w:qFormat/>
  </w:style>
  <w:style w:type="character" w:customStyle="1" w:styleId="af">
    <w:name w:val="页眉 字符"/>
    <w:link w:val="ae"/>
    <w:rPr>
      <w:kern w:val="2"/>
      <w:sz w:val="18"/>
      <w:szCs w:val="18"/>
    </w:rPr>
  </w:style>
  <w:style w:type="paragraph" w:customStyle="1" w:styleId="a0">
    <w:name w:val="标准文件_章标题"/>
    <w:next w:val="a6"/>
    <w:autoRedefine/>
    <w:qFormat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1">
    <w:name w:val="标准文件_一级条标题"/>
    <w:basedOn w:val="a0"/>
    <w:next w:val="a6"/>
    <w:pPr>
      <w:numPr>
        <w:ilvl w:val="2"/>
      </w:numPr>
      <w:spacing w:beforeLines="0" w:afterLines="0"/>
      <w:outlineLvl w:val="2"/>
    </w:pPr>
  </w:style>
  <w:style w:type="paragraph" w:customStyle="1" w:styleId="a2">
    <w:name w:val="标准文件_二级条标题"/>
    <w:basedOn w:val="a1"/>
    <w:next w:val="a6"/>
    <w:pPr>
      <w:numPr>
        <w:ilvl w:val="3"/>
      </w:numPr>
      <w:outlineLvl w:val="3"/>
    </w:pPr>
  </w:style>
  <w:style w:type="paragraph" w:customStyle="1" w:styleId="a">
    <w:name w:val="前言标题"/>
    <w:next w:val="a6"/>
    <w:autoRedefine/>
    <w:qFormat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3">
    <w:name w:val="标准文件_三级条标题"/>
    <w:basedOn w:val="a2"/>
    <w:next w:val="a6"/>
    <w:autoRedefine/>
    <w:qFormat/>
    <w:pPr>
      <w:numPr>
        <w:ilvl w:val="4"/>
      </w:numPr>
      <w:outlineLvl w:val="4"/>
    </w:pPr>
  </w:style>
  <w:style w:type="paragraph" w:customStyle="1" w:styleId="a4">
    <w:name w:val="标准文件_四级条标题"/>
    <w:basedOn w:val="a3"/>
    <w:next w:val="a6"/>
    <w:autoRedefine/>
    <w:qFormat/>
    <w:pPr>
      <w:numPr>
        <w:ilvl w:val="5"/>
      </w:numPr>
      <w:outlineLvl w:val="5"/>
    </w:pPr>
  </w:style>
  <w:style w:type="paragraph" w:customStyle="1" w:styleId="a5">
    <w:name w:val="标准文件_五级条标题"/>
    <w:basedOn w:val="a4"/>
    <w:next w:val="a6"/>
    <w:autoRedefine/>
    <w:qFormat/>
    <w:pPr>
      <w:numPr>
        <w:ilvl w:val="6"/>
      </w:numPr>
      <w:outlineLvl w:val="6"/>
    </w:pPr>
  </w:style>
  <w:style w:type="character" w:customStyle="1" w:styleId="ac">
    <w:name w:val="批注框文本 字符"/>
    <w:basedOn w:val="a7"/>
    <w:link w:val="ab"/>
    <w:autoRedefine/>
    <w:qFormat/>
    <w:rPr>
      <w:kern w:val="2"/>
      <w:sz w:val="18"/>
      <w:szCs w:val="18"/>
    </w:rPr>
  </w:style>
  <w:style w:type="paragraph" w:customStyle="1" w:styleId="Default">
    <w:name w:val="Default"/>
    <w:basedOn w:val="a6"/>
    <w:autoRedefine/>
    <w:qFormat/>
    <w:pPr>
      <w:widowControl/>
      <w:autoSpaceDE w:val="0"/>
      <w:autoSpaceDN w:val="0"/>
      <w:jc w:val="left"/>
    </w:pPr>
    <w:rPr>
      <w:rFonts w:ascii="DJLJNL+Arial" w:hAnsi="DJLJNL+Arial" w:cs="宋体"/>
      <w:color w:val="000000"/>
      <w:kern w:val="0"/>
      <w:sz w:val="24"/>
    </w:rPr>
  </w:style>
  <w:style w:type="character" w:customStyle="1" w:styleId="translated-span">
    <w:name w:val="translated-span"/>
    <w:basedOn w:val="a7"/>
    <w:autoRedefine/>
    <w:qFormat/>
  </w:style>
  <w:style w:type="character" w:customStyle="1" w:styleId="high-light-bg4">
    <w:name w:val="high-light-bg4"/>
    <w:autoRedefine/>
    <w:qFormat/>
  </w:style>
  <w:style w:type="paragraph" w:styleId="2">
    <w:name w:val="Body Text Indent 2"/>
    <w:basedOn w:val="a6"/>
    <w:link w:val="20"/>
    <w:rsid w:val="00032278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7"/>
    <w:link w:val="2"/>
    <w:rsid w:val="000322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470</Words>
  <Characters>2682</Characters>
  <Application>Microsoft Office Word</Application>
  <DocSecurity>0</DocSecurity>
  <Lines>22</Lines>
  <Paragraphs>6</Paragraphs>
  <ScaleCrop>false</ScaleCrop>
  <Company>MC SYSTEM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李冰莹</cp:lastModifiedBy>
  <cp:revision>22</cp:revision>
  <cp:lastPrinted>2006-07-07T03:21:00Z</cp:lastPrinted>
  <dcterms:created xsi:type="dcterms:W3CDTF">2024-02-28T08:32:00Z</dcterms:created>
  <dcterms:modified xsi:type="dcterms:W3CDTF">2025-05-06T04:10:00Z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6EB914FD24BB445DB6330BE884EC8FF9_13</vt:lpwstr>
  </property>
</Properties>
</file>