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04" w:rsidRPr="00B41E20" w:rsidRDefault="00EA484E" w:rsidP="00540E3A">
      <w:pPr>
        <w:tabs>
          <w:tab w:val="center" w:pos="4422"/>
          <w:tab w:val="left" w:pos="8190"/>
        </w:tabs>
        <w:spacing w:line="26" w:lineRule="atLeast"/>
        <w:jc w:val="center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color w:val="000000"/>
          <w:sz w:val="28"/>
          <w:szCs w:val="24"/>
        </w:rPr>
        <w:t>信噪比</w:t>
      </w:r>
      <w:r w:rsidR="007A4704" w:rsidRPr="00B41E20">
        <w:rPr>
          <w:rFonts w:ascii="黑体" w:eastAsia="黑体" w:hAnsi="黑体" w:hint="eastAsia"/>
          <w:color w:val="000000"/>
          <w:sz w:val="28"/>
          <w:szCs w:val="24"/>
        </w:rPr>
        <w:t>的测量不确定度评定示例</w:t>
      </w:r>
    </w:p>
    <w:p w:rsidR="001F1786" w:rsidRPr="001F1786" w:rsidRDefault="001F1786" w:rsidP="00540E3A">
      <w:pPr>
        <w:adjustRightInd w:val="0"/>
        <w:snapToGrid w:val="0"/>
        <w:spacing w:line="26" w:lineRule="atLeast"/>
        <w:ind w:firstLineChars="200" w:firstLine="480"/>
        <w:rPr>
          <w:rFonts w:ascii="宋体" w:hAnsi="宋体"/>
          <w:bCs/>
          <w:sz w:val="24"/>
          <w:szCs w:val="24"/>
        </w:rPr>
      </w:pPr>
      <w:r w:rsidRPr="00581D8B">
        <w:rPr>
          <w:bCs/>
          <w:sz w:val="24"/>
          <w:szCs w:val="24"/>
        </w:rPr>
        <w:t>以</w:t>
      </w:r>
      <w:r w:rsidR="00581D8B" w:rsidRPr="00581D8B">
        <w:rPr>
          <w:rFonts w:hint="eastAsia"/>
          <w:bCs/>
          <w:sz w:val="24"/>
          <w:szCs w:val="24"/>
        </w:rPr>
        <w:t>CE-MS</w:t>
      </w:r>
      <w:r w:rsidRPr="00581D8B">
        <w:rPr>
          <w:bCs/>
          <w:sz w:val="24"/>
          <w:szCs w:val="24"/>
        </w:rPr>
        <w:t>的</w:t>
      </w:r>
      <w:r w:rsidR="00581D8B">
        <w:rPr>
          <w:rFonts w:hint="eastAsia"/>
          <w:bCs/>
          <w:sz w:val="24"/>
          <w:szCs w:val="24"/>
        </w:rPr>
        <w:t>信噪比</w:t>
      </w:r>
      <w:r w:rsidRPr="00581D8B">
        <w:rPr>
          <w:bCs/>
          <w:sz w:val="24"/>
          <w:szCs w:val="24"/>
        </w:rPr>
        <w:t>为例，进行不确定度的分析和评定。</w:t>
      </w:r>
    </w:p>
    <w:p w:rsidR="007A4704" w:rsidRPr="00A02716" w:rsidRDefault="007A4704" w:rsidP="00540E3A">
      <w:pPr>
        <w:adjustRightInd w:val="0"/>
        <w:snapToGrid w:val="0"/>
        <w:spacing w:line="26" w:lineRule="atLeast"/>
        <w:rPr>
          <w:rFonts w:ascii="宋体" w:hAnsi="宋体"/>
          <w:bCs/>
          <w:sz w:val="24"/>
          <w:szCs w:val="24"/>
        </w:rPr>
      </w:pPr>
      <w:r w:rsidRPr="001F1786">
        <w:rPr>
          <w:rFonts w:ascii="宋体" w:hAnsi="宋体"/>
          <w:bCs/>
          <w:sz w:val="24"/>
          <w:szCs w:val="24"/>
        </w:rPr>
        <w:t xml:space="preserve">1 </w:t>
      </w:r>
      <w:r w:rsidRPr="00A02716">
        <w:rPr>
          <w:rFonts w:ascii="宋体" w:hAnsi="宋体"/>
          <w:bCs/>
          <w:sz w:val="24"/>
          <w:szCs w:val="24"/>
        </w:rPr>
        <w:t>测量模型</w:t>
      </w:r>
    </w:p>
    <w:p w:rsidR="007A4704" w:rsidRPr="00A02716" w:rsidRDefault="007A4704" w:rsidP="00540E3A">
      <w:pPr>
        <w:adjustRightInd w:val="0"/>
        <w:snapToGrid w:val="0"/>
        <w:spacing w:line="26" w:lineRule="atLeast"/>
        <w:ind w:firstLine="480"/>
        <w:rPr>
          <w:rFonts w:ascii="宋体" w:hAnsi="宋体"/>
          <w:bCs/>
          <w:sz w:val="24"/>
          <w:szCs w:val="24"/>
        </w:rPr>
      </w:pPr>
      <w:r w:rsidRPr="00A02716">
        <w:rPr>
          <w:rFonts w:ascii="宋体" w:hAnsi="宋体" w:hint="eastAsia"/>
          <w:bCs/>
          <w:sz w:val="24"/>
          <w:szCs w:val="24"/>
        </w:rPr>
        <w:t>对</w:t>
      </w:r>
      <w:r w:rsidR="00EA484E" w:rsidRPr="007717DC">
        <w:rPr>
          <w:bCs/>
          <w:sz w:val="24"/>
          <w:szCs w:val="24"/>
        </w:rPr>
        <w:t>CE-MS</w:t>
      </w:r>
      <w:r w:rsidRPr="00A02716">
        <w:rPr>
          <w:rFonts w:ascii="宋体" w:hAnsi="宋体" w:hint="eastAsia"/>
          <w:bCs/>
          <w:sz w:val="24"/>
          <w:szCs w:val="24"/>
        </w:rPr>
        <w:t>的</w:t>
      </w:r>
      <w:r w:rsidR="00EA484E">
        <w:rPr>
          <w:rFonts w:ascii="宋体" w:hAnsi="宋体" w:hint="eastAsia"/>
          <w:bCs/>
          <w:sz w:val="24"/>
          <w:szCs w:val="24"/>
        </w:rPr>
        <w:t>信噪比</w:t>
      </w:r>
      <w:r w:rsidRPr="00A02716">
        <w:rPr>
          <w:rFonts w:ascii="宋体" w:hAnsi="宋体" w:hint="eastAsia"/>
          <w:bCs/>
          <w:sz w:val="24"/>
          <w:szCs w:val="24"/>
        </w:rPr>
        <w:t>进行校准时，可建立如下测量模型：</w:t>
      </w:r>
    </w:p>
    <w:p w:rsidR="007A4704" w:rsidRPr="009E09B3" w:rsidRDefault="00637988" w:rsidP="00540E3A">
      <w:pPr>
        <w:spacing w:line="26" w:lineRule="atLeast"/>
        <w:ind w:firstLine="480"/>
        <w:jc w:val="right"/>
        <w:rPr>
          <w:sz w:val="24"/>
        </w:rPr>
      </w:pPr>
      <m:oMath>
        <m:f>
          <m:fPr>
            <m:type m:val="lin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S</m:t>
            </m:r>
          </m:num>
          <m:den>
            <m:r>
              <w:rPr>
                <w:rFonts w:ascii="Cambria Math" w:hAnsi="Cambria Math"/>
                <w:sz w:val="24"/>
              </w:rPr>
              <m:t>N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den>
        </m:f>
      </m:oMath>
      <w:r w:rsidR="00642BBA">
        <w:rPr>
          <w:rFonts w:hint="eastAsia"/>
          <w:sz w:val="24"/>
        </w:rPr>
        <w:t xml:space="preserve">                              </w:t>
      </w:r>
      <w:r w:rsidR="00642BBA">
        <w:rPr>
          <w:rFonts w:hint="eastAsia"/>
          <w:sz w:val="24"/>
        </w:rPr>
        <w:t>（</w:t>
      </w:r>
      <w:r w:rsidR="00642BBA">
        <w:rPr>
          <w:rFonts w:hint="eastAsia"/>
          <w:sz w:val="24"/>
        </w:rPr>
        <w:t>1</w:t>
      </w:r>
      <w:r w:rsidR="00642BBA">
        <w:rPr>
          <w:rFonts w:hint="eastAsia"/>
          <w:sz w:val="24"/>
        </w:rPr>
        <w:t>）</w:t>
      </w:r>
    </w:p>
    <w:p w:rsidR="007A4704" w:rsidRDefault="007A4704" w:rsidP="00540E3A">
      <w:pPr>
        <w:spacing w:line="26" w:lineRule="atLeast"/>
        <w:ind w:firstLine="480"/>
        <w:rPr>
          <w:sz w:val="24"/>
        </w:rPr>
      </w:pPr>
      <w:r>
        <w:rPr>
          <w:sz w:val="24"/>
        </w:rPr>
        <w:t>式中：</w:t>
      </w:r>
    </w:p>
    <w:p w:rsidR="007A4704" w:rsidRDefault="00637988" w:rsidP="00540E3A">
      <w:pPr>
        <w:spacing w:line="26" w:lineRule="atLeas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</m:sub>
        </m:sSub>
      </m:oMath>
      <w:r w:rsidR="007A4704">
        <w:rPr>
          <w:sz w:val="24"/>
        </w:rPr>
        <w:t>——</w:t>
      </w:r>
      <w:r w:rsidR="00642BBA">
        <w:rPr>
          <w:rFonts w:ascii="宋体" w:hAnsi="宋体" w:hint="eastAsia"/>
          <w:sz w:val="24"/>
        </w:rPr>
        <w:t>提取离子（</w:t>
      </w:r>
      <w:r w:rsidR="00642BBA" w:rsidRPr="00642BBA">
        <w:rPr>
          <w:i/>
          <w:sz w:val="24"/>
        </w:rPr>
        <w:t>m</w:t>
      </w:r>
      <w:r w:rsidR="00642BBA" w:rsidRPr="00642BBA">
        <w:rPr>
          <w:sz w:val="24"/>
        </w:rPr>
        <w:t>/</w:t>
      </w:r>
      <w:r w:rsidR="00642BBA" w:rsidRPr="00642BBA">
        <w:rPr>
          <w:i/>
          <w:sz w:val="24"/>
        </w:rPr>
        <w:t>z</w:t>
      </w:r>
      <w:r w:rsidR="00642BBA">
        <w:rPr>
          <w:rFonts w:ascii="宋体" w:hAnsi="宋体" w:hint="eastAsia"/>
          <w:sz w:val="24"/>
        </w:rPr>
        <w:t>）的色谱峰峰高</w:t>
      </w:r>
      <w:r w:rsidR="007A4704">
        <w:rPr>
          <w:sz w:val="24"/>
        </w:rPr>
        <w:t>；</w:t>
      </w:r>
    </w:p>
    <w:p w:rsidR="007A4704" w:rsidRDefault="00637988" w:rsidP="00540E3A">
      <w:pPr>
        <w:spacing w:line="26" w:lineRule="atLeas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</m:oMath>
      <w:r w:rsidR="007A4704">
        <w:rPr>
          <w:sz w:val="24"/>
        </w:rPr>
        <w:t>——</w:t>
      </w:r>
      <w:r w:rsidR="00642BBA">
        <w:rPr>
          <w:rFonts w:ascii="宋体" w:hAnsi="宋体"/>
          <w:sz w:val="24"/>
        </w:rPr>
        <w:t>基线噪声值。</w:t>
      </w:r>
    </w:p>
    <w:p w:rsidR="007A4704" w:rsidRDefault="00642BBA" w:rsidP="00540E3A">
      <w:pPr>
        <w:adjustRightInd w:val="0"/>
        <w:snapToGrid w:val="0"/>
        <w:spacing w:line="26" w:lineRule="atLeast"/>
        <w:ind w:firstLine="480"/>
        <w:rPr>
          <w:sz w:val="24"/>
        </w:rPr>
      </w:pPr>
      <w:r>
        <w:rPr>
          <w:rFonts w:hint="eastAsia"/>
          <w:sz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</m:sub>
        </m:sSub>
      </m:oMath>
      <w:r>
        <w:rPr>
          <w:sz w:val="24"/>
        </w:rPr>
        <w:t>是与标准物质浓度与</w:t>
      </w:r>
      <w:proofErr w:type="gramStart"/>
      <w:r>
        <w:rPr>
          <w:sz w:val="24"/>
        </w:rPr>
        <w:t>进样量有关</w:t>
      </w:r>
      <w:proofErr w:type="gramEnd"/>
      <w:r>
        <w:rPr>
          <w:sz w:val="24"/>
        </w:rPr>
        <w:t>的量值，用公式（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）表示它们的关系：</w:t>
      </w:r>
    </w:p>
    <w:p w:rsidR="00642BBA" w:rsidRDefault="00637988" w:rsidP="00540E3A">
      <w:pPr>
        <w:adjustRightInd w:val="0"/>
        <w:snapToGrid w:val="0"/>
        <w:spacing w:line="26" w:lineRule="atLeast"/>
        <w:ind w:firstLine="48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</m:sub>
        </m:sSub>
        <m: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r>
          <w:rPr>
            <w:rFonts w:ascii="Cambria Math" w:hAnsi="Cambria Math"/>
            <w:sz w:val="24"/>
          </w:rPr>
          <m:t>∙</m:t>
        </m:r>
        <m:r>
          <w:rPr>
            <w:rFonts w:ascii="Cambria Math" w:hAnsi="Cambria Math"/>
            <w:sz w:val="24"/>
          </w:rPr>
          <m:t>c</m:t>
        </m:r>
        <m:r>
          <w:rPr>
            <w:rFonts w:ascii="Cambria Math" w:hAnsi="Cambria Math"/>
            <w:sz w:val="24"/>
          </w:rPr>
          <m:t>∙</m:t>
        </m:r>
        <m:r>
          <w:rPr>
            <w:rFonts w:ascii="Cambria Math" w:hAnsi="Cambria Math"/>
            <w:sz w:val="24"/>
          </w:rPr>
          <m:t>V</m:t>
        </m:r>
      </m:oMath>
      <w:r w:rsidR="00642BBA">
        <w:rPr>
          <w:rFonts w:hint="eastAsia"/>
          <w:i/>
          <w:sz w:val="24"/>
        </w:rPr>
        <w:t xml:space="preserve">                               </w:t>
      </w:r>
      <w:r w:rsidR="00642BBA" w:rsidRPr="00642BBA">
        <w:rPr>
          <w:rFonts w:hint="eastAsia"/>
          <w:sz w:val="24"/>
        </w:rPr>
        <w:t>（</w:t>
      </w:r>
      <w:r w:rsidR="00642BBA" w:rsidRPr="00642BBA">
        <w:rPr>
          <w:rFonts w:hint="eastAsia"/>
          <w:sz w:val="24"/>
        </w:rPr>
        <w:t>2</w:t>
      </w:r>
      <w:r w:rsidR="00642BBA" w:rsidRPr="00642BBA">
        <w:rPr>
          <w:rFonts w:hint="eastAsia"/>
          <w:sz w:val="24"/>
        </w:rPr>
        <w:t>）</w:t>
      </w:r>
    </w:p>
    <w:p w:rsidR="00642BBA" w:rsidRDefault="00642BBA" w:rsidP="00540E3A">
      <w:pPr>
        <w:spacing w:line="26" w:lineRule="atLeast"/>
        <w:ind w:firstLine="480"/>
        <w:rPr>
          <w:sz w:val="24"/>
        </w:rPr>
      </w:pPr>
      <w:r>
        <w:rPr>
          <w:sz w:val="24"/>
        </w:rPr>
        <w:t>式中：</w:t>
      </w:r>
    </w:p>
    <w:p w:rsidR="00642BBA" w:rsidRDefault="00642BBA" w:rsidP="00540E3A">
      <w:pPr>
        <w:adjustRightInd w:val="0"/>
        <w:snapToGrid w:val="0"/>
        <w:spacing w:line="26" w:lineRule="atLeast"/>
        <w:ind w:firstLine="480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K</m:t>
        </m:r>
      </m:oMath>
      <w:r>
        <w:rPr>
          <w:sz w:val="24"/>
        </w:rPr>
        <w:t>——</w:t>
      </w:r>
      <w:r>
        <w:rPr>
          <w:sz w:val="24"/>
        </w:rPr>
        <w:t>单位质量响应值，为常数；</w:t>
      </w:r>
    </w:p>
    <w:p w:rsidR="00642BBA" w:rsidRDefault="00642BBA" w:rsidP="00540E3A">
      <w:pPr>
        <w:adjustRightInd w:val="0"/>
        <w:snapToGrid w:val="0"/>
        <w:spacing w:line="26" w:lineRule="atLeast"/>
        <w:ind w:firstLine="480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c</m:t>
        </m:r>
      </m:oMath>
      <w:r>
        <w:rPr>
          <w:sz w:val="24"/>
        </w:rPr>
        <w:t>——</w:t>
      </w:r>
      <w:r>
        <w:rPr>
          <w:sz w:val="24"/>
        </w:rPr>
        <w:t>所用标准物质的质量浓度；</w:t>
      </w:r>
    </w:p>
    <w:p w:rsidR="00642BBA" w:rsidRPr="00642BBA" w:rsidRDefault="00642BBA" w:rsidP="00540E3A">
      <w:pPr>
        <w:adjustRightInd w:val="0"/>
        <w:snapToGrid w:val="0"/>
        <w:spacing w:line="26" w:lineRule="atLeast"/>
        <w:ind w:firstLine="480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V</m:t>
        </m:r>
      </m:oMath>
      <w:r>
        <w:rPr>
          <w:sz w:val="24"/>
        </w:rPr>
        <w:t>——</w:t>
      </w:r>
      <w:r>
        <w:rPr>
          <w:sz w:val="24"/>
        </w:rPr>
        <w:t>进样量。</w:t>
      </w:r>
    </w:p>
    <w:p w:rsidR="007A4704" w:rsidRDefault="00445BFA" w:rsidP="00540E3A">
      <w:pPr>
        <w:adjustRightInd w:val="0"/>
        <w:snapToGrid w:val="0"/>
        <w:spacing w:line="26" w:lineRule="atLeast"/>
        <w:ind w:firstLine="480"/>
        <w:rPr>
          <w:sz w:val="24"/>
        </w:rPr>
      </w:pPr>
      <w:r>
        <w:rPr>
          <w:sz w:val="24"/>
        </w:rPr>
        <w:t>对公式（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）、（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）进行分析，信噪比的相对合成</w:t>
      </w:r>
      <w:r w:rsidR="006103FD">
        <w:rPr>
          <w:rFonts w:hint="eastAsia"/>
          <w:sz w:val="24"/>
        </w:rPr>
        <w:t>标准</w:t>
      </w:r>
      <w:r>
        <w:rPr>
          <w:rFonts w:hint="eastAsia"/>
          <w:sz w:val="24"/>
        </w:rPr>
        <w:t>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>
        <w:rPr>
          <w:sz w:val="24"/>
        </w:rPr>
        <w:t>由公式（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）计算</w:t>
      </w:r>
      <w:r w:rsidR="007A4704">
        <w:rPr>
          <w:sz w:val="24"/>
        </w:rPr>
        <w:t>：</w:t>
      </w:r>
    </w:p>
    <w:p w:rsidR="007A4704" w:rsidRDefault="00637988" w:rsidP="00540E3A">
      <w:pPr>
        <w:adjustRightInd w:val="0"/>
        <w:snapToGrid w:val="0"/>
        <w:spacing w:line="26" w:lineRule="atLeast"/>
        <w:ind w:firstLine="48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(c)+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(V)+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</m:rad>
      </m:oMath>
      <w:r w:rsidR="00546B07">
        <w:rPr>
          <w:rFonts w:hint="eastAsia"/>
          <w:sz w:val="24"/>
        </w:rPr>
        <w:t xml:space="preserve">                    </w:t>
      </w:r>
      <w:r w:rsidR="00546B07">
        <w:rPr>
          <w:rFonts w:hint="eastAsia"/>
          <w:sz w:val="24"/>
        </w:rPr>
        <w:t>（</w:t>
      </w:r>
      <w:r w:rsidR="00546B07">
        <w:rPr>
          <w:rFonts w:hint="eastAsia"/>
          <w:sz w:val="24"/>
        </w:rPr>
        <w:t>3</w:t>
      </w:r>
      <w:r w:rsidR="00546B07">
        <w:rPr>
          <w:rFonts w:hint="eastAsia"/>
          <w:sz w:val="24"/>
        </w:rPr>
        <w:t>）</w:t>
      </w:r>
    </w:p>
    <w:p w:rsidR="00546B07" w:rsidRDefault="00546B07" w:rsidP="00540E3A">
      <w:pPr>
        <w:spacing w:line="26" w:lineRule="atLeast"/>
        <w:ind w:firstLine="480"/>
        <w:rPr>
          <w:sz w:val="24"/>
        </w:rPr>
      </w:pPr>
      <w:r>
        <w:rPr>
          <w:sz w:val="24"/>
        </w:rPr>
        <w:t>式中：</w:t>
      </w:r>
    </w:p>
    <w:p w:rsidR="00546B07" w:rsidRDefault="00637988" w:rsidP="00540E3A">
      <w:pPr>
        <w:adjustRightInd w:val="0"/>
        <w:snapToGrid w:val="0"/>
        <w:spacing w:line="26" w:lineRule="atLeas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sub>
        </m:sSub>
      </m:oMath>
      <w:r w:rsidR="00546B07">
        <w:rPr>
          <w:sz w:val="24"/>
        </w:rPr>
        <w:t>——</w:t>
      </w:r>
      <w:r w:rsidR="00546B07">
        <w:rPr>
          <w:sz w:val="24"/>
        </w:rPr>
        <w:t>测量重复性引入的不确定度；</w:t>
      </w:r>
    </w:p>
    <w:p w:rsidR="00546B07" w:rsidRDefault="00637988" w:rsidP="00540E3A">
      <w:pPr>
        <w:adjustRightInd w:val="0"/>
        <w:snapToGrid w:val="0"/>
        <w:spacing w:line="26" w:lineRule="atLeas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c</m:t>
        </m:r>
        <m:r>
          <w:rPr>
            <w:rFonts w:ascii="Cambria Math" w:hAnsi="Cambria Math"/>
            <w:sz w:val="24"/>
          </w:rPr>
          <m:t>)</m:t>
        </m:r>
      </m:oMath>
      <w:r w:rsidR="00546B07">
        <w:rPr>
          <w:rFonts w:hint="eastAsia"/>
          <w:sz w:val="24"/>
        </w:rPr>
        <w:t>——标准物质质量浓度引入的不确定度；</w:t>
      </w:r>
    </w:p>
    <w:p w:rsidR="00546B07" w:rsidRDefault="00637988" w:rsidP="00540E3A">
      <w:pPr>
        <w:adjustRightInd w:val="0"/>
        <w:snapToGrid w:val="0"/>
        <w:spacing w:line="26" w:lineRule="atLeas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w:rPr>
            <w:rFonts w:ascii="Cambria Math" w:hAnsi="Cambria Math"/>
            <w:sz w:val="24"/>
          </w:rPr>
          <m:t>)</m:t>
        </m:r>
      </m:oMath>
      <w:r w:rsidR="00546B07">
        <w:rPr>
          <w:sz w:val="24"/>
        </w:rPr>
        <w:t>——</w:t>
      </w:r>
      <w:proofErr w:type="gramStart"/>
      <w:r w:rsidR="00546B07">
        <w:rPr>
          <w:sz w:val="24"/>
        </w:rPr>
        <w:t>进样量引入</w:t>
      </w:r>
      <w:proofErr w:type="gramEnd"/>
      <w:r w:rsidR="00546B07">
        <w:rPr>
          <w:sz w:val="24"/>
        </w:rPr>
        <w:t>的不确定度；</w:t>
      </w:r>
    </w:p>
    <w:p w:rsidR="00546B07" w:rsidRPr="00546B07" w:rsidRDefault="00637988" w:rsidP="00540E3A">
      <w:pPr>
        <w:adjustRightInd w:val="0"/>
        <w:snapToGrid w:val="0"/>
        <w:spacing w:line="26" w:lineRule="atLeas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="00546B07">
        <w:rPr>
          <w:sz w:val="24"/>
        </w:rPr>
        <w:t>——</w:t>
      </w:r>
      <w:r w:rsidR="00546B07">
        <w:rPr>
          <w:sz w:val="24"/>
        </w:rPr>
        <w:t>基线噪声引入的不确定度。</w:t>
      </w:r>
    </w:p>
    <w:p w:rsidR="007A4704" w:rsidRPr="001517D3" w:rsidRDefault="007717DC" w:rsidP="00540E3A">
      <w:pPr>
        <w:adjustRightInd w:val="0"/>
        <w:snapToGrid w:val="0"/>
        <w:spacing w:line="26" w:lineRule="atLeast"/>
        <w:rPr>
          <w:sz w:val="24"/>
        </w:rPr>
      </w:pPr>
      <w:r>
        <w:rPr>
          <w:rFonts w:hint="eastAsia"/>
          <w:sz w:val="24"/>
        </w:rPr>
        <w:t>2</w:t>
      </w:r>
      <w:r w:rsidR="007A4704" w:rsidRPr="001517D3">
        <w:rPr>
          <w:sz w:val="24"/>
        </w:rPr>
        <w:t xml:space="preserve"> </w:t>
      </w:r>
      <w:r w:rsidR="007A4704" w:rsidRPr="001517D3">
        <w:rPr>
          <w:sz w:val="24"/>
        </w:rPr>
        <w:t>测量不确定度评定</w:t>
      </w:r>
    </w:p>
    <w:p w:rsidR="007A4704" w:rsidRPr="00802E8C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802E8C">
        <w:rPr>
          <w:sz w:val="24"/>
          <w:szCs w:val="24"/>
        </w:rPr>
        <w:t>（</w:t>
      </w:r>
      <w:r w:rsidRPr="00802E8C">
        <w:rPr>
          <w:sz w:val="24"/>
          <w:szCs w:val="24"/>
        </w:rPr>
        <w:t>1</w:t>
      </w:r>
      <w:r w:rsidRPr="00802E8C">
        <w:rPr>
          <w:sz w:val="24"/>
          <w:szCs w:val="24"/>
        </w:rPr>
        <w:t>）</w:t>
      </w:r>
      <w:r w:rsidRPr="00802E8C">
        <w:rPr>
          <w:sz w:val="24"/>
          <w:szCs w:val="24"/>
        </w:rPr>
        <w:t>A</w:t>
      </w:r>
      <w:r w:rsidRPr="00802E8C">
        <w:rPr>
          <w:sz w:val="24"/>
          <w:szCs w:val="24"/>
        </w:rPr>
        <w:t>类评定</w:t>
      </w:r>
    </w:p>
    <w:p w:rsidR="007A4704" w:rsidRDefault="00637988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sub>
        </m:sSub>
      </m:oMath>
      <w:r w:rsidR="007A4704" w:rsidRPr="00802E8C">
        <w:rPr>
          <w:sz w:val="24"/>
          <w:szCs w:val="24"/>
        </w:rPr>
        <w:t>是测量重复性引入的</w:t>
      </w:r>
      <w:r w:rsidR="00912C1F">
        <w:rPr>
          <w:sz w:val="24"/>
          <w:szCs w:val="24"/>
        </w:rPr>
        <w:t>相对</w:t>
      </w:r>
      <w:r w:rsidR="007A4704" w:rsidRPr="00802E8C">
        <w:rPr>
          <w:sz w:val="24"/>
          <w:szCs w:val="24"/>
        </w:rPr>
        <w:t>标准不确定度，以</w:t>
      </w:r>
      <w:r w:rsidR="00912C1F">
        <w:rPr>
          <w:sz w:val="24"/>
          <w:szCs w:val="24"/>
        </w:rPr>
        <w:t>测量精氨酸的信噪比</w:t>
      </w:r>
      <w:r w:rsidR="007A4704" w:rsidRPr="00802E8C">
        <w:rPr>
          <w:sz w:val="24"/>
          <w:szCs w:val="24"/>
        </w:rPr>
        <w:t>为例，重复测量</w:t>
      </w:r>
      <w:r w:rsidR="007A4704" w:rsidRPr="00802E8C">
        <w:rPr>
          <w:sz w:val="24"/>
          <w:szCs w:val="24"/>
        </w:rPr>
        <w:t>6</w:t>
      </w:r>
      <w:r w:rsidR="007A4704" w:rsidRPr="00802E8C">
        <w:rPr>
          <w:sz w:val="24"/>
          <w:szCs w:val="24"/>
        </w:rPr>
        <w:t>次，测量结果如表</w:t>
      </w:r>
      <w:r w:rsidR="00912C1F">
        <w:rPr>
          <w:rFonts w:hint="eastAsia"/>
          <w:sz w:val="24"/>
          <w:szCs w:val="24"/>
        </w:rPr>
        <w:t>1</w:t>
      </w:r>
      <w:r w:rsidR="007A4704" w:rsidRPr="00802E8C">
        <w:rPr>
          <w:sz w:val="24"/>
          <w:szCs w:val="24"/>
        </w:rPr>
        <w:t>：</w:t>
      </w:r>
    </w:p>
    <w:p w:rsidR="007A4704" w:rsidRPr="00802E8C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</w:p>
    <w:p w:rsidR="007A4704" w:rsidRPr="00802E8C" w:rsidRDefault="007A4704" w:rsidP="00540E3A">
      <w:pPr>
        <w:adjustRightInd w:val="0"/>
        <w:snapToGrid w:val="0"/>
        <w:spacing w:line="26" w:lineRule="atLeast"/>
        <w:ind w:firstLine="420"/>
        <w:jc w:val="center"/>
        <w:rPr>
          <w:sz w:val="24"/>
          <w:szCs w:val="24"/>
        </w:rPr>
      </w:pPr>
      <w:r w:rsidRPr="00802E8C">
        <w:rPr>
          <w:sz w:val="24"/>
          <w:szCs w:val="24"/>
        </w:rPr>
        <w:t>表</w:t>
      </w:r>
      <w:r w:rsidR="0002585B">
        <w:rPr>
          <w:rFonts w:hint="eastAsia"/>
          <w:sz w:val="24"/>
          <w:szCs w:val="24"/>
        </w:rPr>
        <w:t>D.1</w:t>
      </w:r>
      <w:r w:rsidRPr="00802E8C">
        <w:rPr>
          <w:sz w:val="24"/>
          <w:szCs w:val="24"/>
        </w:rPr>
        <w:t xml:space="preserve"> </w:t>
      </w:r>
      <w:r w:rsidR="00912C1F">
        <w:rPr>
          <w:sz w:val="24"/>
          <w:szCs w:val="24"/>
        </w:rPr>
        <w:t>精氨酸信噪比</w:t>
      </w:r>
      <w:r w:rsidRPr="00802E8C">
        <w:rPr>
          <w:sz w:val="24"/>
          <w:szCs w:val="24"/>
        </w:rPr>
        <w:t>测量结果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9"/>
        <w:gridCol w:w="1398"/>
        <w:gridCol w:w="1399"/>
        <w:gridCol w:w="1401"/>
        <w:gridCol w:w="1413"/>
        <w:gridCol w:w="1399"/>
      </w:tblGrid>
      <w:tr w:rsidR="00912C1F" w:rsidRPr="008D5E54" w:rsidTr="00C14AB7">
        <w:trPr>
          <w:trHeight w:val="502"/>
          <w:jc w:val="center"/>
        </w:trPr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氨基酸</w:t>
            </w: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测量次数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i/>
                <w:sz w:val="21"/>
                <w:szCs w:val="21"/>
              </w:rPr>
              <w:t>H</w:t>
            </w:r>
            <w:r w:rsidRPr="008D5E54">
              <w:rPr>
                <w:rFonts w:eastAsia="宋体"/>
                <w:sz w:val="21"/>
                <w:szCs w:val="21"/>
                <w:vertAlign w:val="subscript"/>
              </w:rPr>
              <w:t>s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proofErr w:type="spellStart"/>
            <w:r w:rsidRPr="008D5E54">
              <w:rPr>
                <w:rFonts w:eastAsia="宋体"/>
                <w:i/>
                <w:sz w:val="21"/>
                <w:szCs w:val="21"/>
              </w:rPr>
              <w:t>H</w:t>
            </w:r>
            <w:r w:rsidRPr="008D5E54">
              <w:rPr>
                <w:rFonts w:eastAsia="宋体"/>
                <w:sz w:val="21"/>
                <w:szCs w:val="21"/>
                <w:vertAlign w:val="subscript"/>
              </w:rPr>
              <w:t>n</w:t>
            </w:r>
            <w:proofErr w:type="spellEnd"/>
          </w:p>
        </w:tc>
        <w:tc>
          <w:tcPr>
            <w:tcW w:w="1413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i/>
                <w:sz w:val="21"/>
                <w:szCs w:val="21"/>
              </w:rPr>
              <w:t>S</w:t>
            </w:r>
            <w:r w:rsidRPr="008D5E54">
              <w:rPr>
                <w:rFonts w:eastAsia="宋体"/>
                <w:sz w:val="21"/>
                <w:szCs w:val="21"/>
              </w:rPr>
              <w:t>/</w:t>
            </w:r>
            <w:r w:rsidRPr="008D5E54">
              <w:rPr>
                <w:rFonts w:eastAsia="宋体"/>
                <w:i/>
                <w:sz w:val="21"/>
                <w:szCs w:val="21"/>
              </w:rPr>
              <w:t>N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平均值</w:t>
            </w:r>
          </w:p>
        </w:tc>
      </w:tr>
      <w:tr w:rsidR="00912C1F" w:rsidRPr="008D5E54" w:rsidTr="00C14AB7">
        <w:trPr>
          <w:trHeight w:val="434"/>
          <w:jc w:val="center"/>
        </w:trPr>
        <w:tc>
          <w:tcPr>
            <w:tcW w:w="1399" w:type="dxa"/>
            <w:vMerge w:val="restart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精氨酸</w:t>
            </w: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182555.4 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37.8 </w:t>
            </w:r>
          </w:p>
        </w:tc>
        <w:tc>
          <w:tcPr>
            <w:tcW w:w="1413" w:type="dxa"/>
            <w:vAlign w:val="center"/>
          </w:tcPr>
          <w:p w:rsidR="00912C1F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4827.7 </w:t>
            </w:r>
          </w:p>
        </w:tc>
        <w:tc>
          <w:tcPr>
            <w:tcW w:w="1399" w:type="dxa"/>
            <w:vMerge w:val="restart"/>
            <w:vAlign w:val="center"/>
          </w:tcPr>
          <w:p w:rsidR="00912C1F" w:rsidRPr="00540E3A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540E3A">
              <w:rPr>
                <w:rFonts w:hint="eastAsia"/>
                <w:sz w:val="21"/>
                <w:szCs w:val="21"/>
              </w:rPr>
              <w:t>3520.1</w:t>
            </w:r>
          </w:p>
        </w:tc>
      </w:tr>
      <w:tr w:rsidR="00912C1F" w:rsidRPr="008D5E54" w:rsidTr="00C14AB7">
        <w:trPr>
          <w:trHeight w:val="456"/>
          <w:jc w:val="center"/>
        </w:trPr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180302.0 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39.9 </w:t>
            </w:r>
          </w:p>
        </w:tc>
        <w:tc>
          <w:tcPr>
            <w:tcW w:w="1413" w:type="dxa"/>
            <w:vAlign w:val="center"/>
          </w:tcPr>
          <w:p w:rsidR="00912C1F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4518.5 </w:t>
            </w:r>
          </w:p>
        </w:tc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912C1F" w:rsidRPr="008D5E54" w:rsidTr="00C14AB7">
        <w:trPr>
          <w:trHeight w:val="456"/>
          <w:jc w:val="center"/>
        </w:trPr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185304.2 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53.5 </w:t>
            </w:r>
          </w:p>
        </w:tc>
        <w:tc>
          <w:tcPr>
            <w:tcW w:w="1413" w:type="dxa"/>
            <w:vAlign w:val="center"/>
          </w:tcPr>
          <w:p w:rsidR="00912C1F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3466.8 </w:t>
            </w:r>
          </w:p>
        </w:tc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912C1F" w:rsidRPr="008D5E54" w:rsidTr="00C14AB7">
        <w:trPr>
          <w:trHeight w:val="456"/>
          <w:jc w:val="center"/>
        </w:trPr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4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186758.5 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76.1 </w:t>
            </w:r>
          </w:p>
        </w:tc>
        <w:tc>
          <w:tcPr>
            <w:tcW w:w="1413" w:type="dxa"/>
            <w:vAlign w:val="center"/>
          </w:tcPr>
          <w:p w:rsidR="00912C1F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2455.7 </w:t>
            </w:r>
          </w:p>
        </w:tc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912C1F" w:rsidRPr="008D5E54" w:rsidTr="00C14AB7">
        <w:trPr>
          <w:trHeight w:val="480"/>
          <w:jc w:val="center"/>
        </w:trPr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184702.8 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59.8 </w:t>
            </w:r>
          </w:p>
        </w:tc>
        <w:tc>
          <w:tcPr>
            <w:tcW w:w="1413" w:type="dxa"/>
            <w:vAlign w:val="center"/>
          </w:tcPr>
          <w:p w:rsidR="00912C1F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3086.2 </w:t>
            </w:r>
          </w:p>
        </w:tc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912C1F" w:rsidRPr="008D5E54" w:rsidTr="00C14AB7">
        <w:trPr>
          <w:trHeight w:val="456"/>
          <w:jc w:val="center"/>
        </w:trPr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 w:rsidRPr="008D5E54"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1399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184564.9 </w:t>
            </w:r>
          </w:p>
        </w:tc>
        <w:tc>
          <w:tcPr>
            <w:tcW w:w="1401" w:type="dxa"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66.7 </w:t>
            </w:r>
          </w:p>
        </w:tc>
        <w:tc>
          <w:tcPr>
            <w:tcW w:w="1413" w:type="dxa"/>
            <w:vAlign w:val="center"/>
          </w:tcPr>
          <w:p w:rsidR="00912C1F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等线"/>
                <w:color w:val="000000"/>
                <w:sz w:val="21"/>
                <w:szCs w:val="21"/>
              </w:rPr>
              <w:t xml:space="preserve">2765.8 </w:t>
            </w:r>
          </w:p>
        </w:tc>
        <w:tc>
          <w:tcPr>
            <w:tcW w:w="1399" w:type="dxa"/>
            <w:vMerge/>
            <w:vAlign w:val="center"/>
          </w:tcPr>
          <w:p w:rsidR="00912C1F" w:rsidRPr="008D5E54" w:rsidRDefault="00912C1F" w:rsidP="00540E3A">
            <w:pPr>
              <w:pStyle w:val="af5"/>
              <w:spacing w:line="26" w:lineRule="atLeast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:rsidR="007A4704" w:rsidRPr="00802E8C" w:rsidRDefault="00912C1F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根据上表可得</w:t>
      </w:r>
      <w:r w:rsidR="007A4704" w:rsidRPr="00802E8C">
        <w:rPr>
          <w:sz w:val="24"/>
          <w:szCs w:val="24"/>
        </w:rPr>
        <w:t>：</w:t>
      </w:r>
    </w:p>
    <w:p w:rsidR="007A4704" w:rsidRPr="00802E8C" w:rsidRDefault="00637988" w:rsidP="00540E3A">
      <w:pPr>
        <w:adjustRightInd w:val="0"/>
        <w:snapToGrid w:val="0"/>
        <w:spacing w:line="26" w:lineRule="atLeast"/>
        <w:ind w:firstLine="420"/>
        <w:jc w:val="center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/>
                      <w:sz w:val="24"/>
                      <w:szCs w:val="24"/>
                    </w:rPr>
                    <m:t>z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s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6</m:t>
                  </m:r>
                </m:e>
              </m:rad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3520.1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959.1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≈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11.1%</m:t>
          </m:r>
        </m:oMath>
      </m:oMathPara>
    </w:p>
    <w:p w:rsidR="007A4704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802E8C">
        <w:rPr>
          <w:sz w:val="24"/>
          <w:szCs w:val="24"/>
        </w:rPr>
        <w:t>（</w:t>
      </w:r>
      <w:r w:rsidRPr="00802E8C">
        <w:rPr>
          <w:sz w:val="24"/>
          <w:szCs w:val="24"/>
        </w:rPr>
        <w:t>2</w:t>
      </w:r>
      <w:r w:rsidRPr="00802E8C">
        <w:rPr>
          <w:sz w:val="24"/>
          <w:szCs w:val="24"/>
        </w:rPr>
        <w:t>）</w:t>
      </w:r>
      <w:r w:rsidRPr="00802E8C">
        <w:rPr>
          <w:sz w:val="24"/>
          <w:szCs w:val="24"/>
        </w:rPr>
        <w:t>B</w:t>
      </w:r>
      <w:r w:rsidRPr="00802E8C">
        <w:rPr>
          <w:sz w:val="24"/>
          <w:szCs w:val="24"/>
        </w:rPr>
        <w:t>类评定</w:t>
      </w:r>
    </w:p>
    <w:p w:rsidR="00846062" w:rsidRDefault="00846062" w:rsidP="00540E3A">
      <w:pPr>
        <w:adjustRightInd w:val="0"/>
        <w:snapToGrid w:val="0"/>
        <w:spacing w:line="26" w:lineRule="atLeast"/>
        <w:ind w:firstLine="420"/>
        <w:jc w:val="left"/>
        <w:rPr>
          <w:sz w:val="24"/>
        </w:rPr>
      </w:pPr>
      <w:r>
        <w:rPr>
          <w:rFonts w:hint="eastAsia"/>
          <w:sz w:val="24"/>
          <w:szCs w:val="24"/>
        </w:rPr>
        <w:t>①</w:t>
      </w:r>
      <w:r>
        <w:rPr>
          <w:rFonts w:hint="eastAsia"/>
          <w:sz w:val="24"/>
        </w:rPr>
        <w:t>标准物质质量浓度引入的不确定度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(c)</m:t>
        </m:r>
      </m:oMath>
    </w:p>
    <w:p w:rsidR="00957A27" w:rsidRDefault="00957A27" w:rsidP="00540E3A">
      <w:pPr>
        <w:adjustRightInd w:val="0"/>
        <w:snapToGrid w:val="0"/>
        <w:spacing w:line="26" w:lineRule="atLeast"/>
        <w:ind w:firstLine="42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混合氨基酸标准物质的配制过程如下：</w:t>
      </w:r>
    </w:p>
    <w:p w:rsidR="00957A27" w:rsidRPr="00957A27" w:rsidRDefault="00957A27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957A27">
        <w:rPr>
          <w:sz w:val="24"/>
          <w:szCs w:val="24"/>
        </w:rPr>
        <w:t>a.</w:t>
      </w:r>
      <w:r w:rsidRPr="00957A27">
        <w:rPr>
          <w:sz w:val="24"/>
          <w:szCs w:val="24"/>
        </w:rPr>
        <w:t>准确称取</w:t>
      </w:r>
      <w:r w:rsidRPr="00957A27">
        <w:rPr>
          <w:sz w:val="24"/>
          <w:szCs w:val="24"/>
        </w:rPr>
        <w:t>100 mg</w:t>
      </w:r>
      <w:r w:rsidRPr="00957A27">
        <w:rPr>
          <w:sz w:val="24"/>
          <w:szCs w:val="24"/>
        </w:rPr>
        <w:t>氨基酸纯度标准物质，溶于</w:t>
      </w:r>
      <w:r w:rsidRPr="00957A27">
        <w:rPr>
          <w:sz w:val="24"/>
          <w:szCs w:val="24"/>
        </w:rPr>
        <w:t>0.1%</w:t>
      </w:r>
      <w:r w:rsidRPr="00957A27">
        <w:rPr>
          <w:sz w:val="24"/>
          <w:szCs w:val="24"/>
        </w:rPr>
        <w:t>甲酸水溶液中，</w:t>
      </w:r>
      <w:proofErr w:type="gramStart"/>
      <w:r w:rsidRPr="00957A27">
        <w:rPr>
          <w:sz w:val="24"/>
          <w:szCs w:val="24"/>
        </w:rPr>
        <w:t>定容至</w:t>
      </w:r>
      <w:proofErr w:type="gramEnd"/>
      <w:r w:rsidRPr="00957A27">
        <w:rPr>
          <w:sz w:val="24"/>
          <w:szCs w:val="24"/>
        </w:rPr>
        <w:t xml:space="preserve">10 </w:t>
      </w:r>
      <w:proofErr w:type="spellStart"/>
      <w:r w:rsidRPr="00957A27">
        <w:rPr>
          <w:sz w:val="24"/>
          <w:szCs w:val="24"/>
        </w:rPr>
        <w:t>mL</w:t>
      </w:r>
      <w:proofErr w:type="spellEnd"/>
      <w:r w:rsidRPr="00957A27">
        <w:rPr>
          <w:sz w:val="24"/>
          <w:szCs w:val="24"/>
        </w:rPr>
        <w:t>，得到</w:t>
      </w:r>
      <w:r w:rsidRPr="00957A27">
        <w:rPr>
          <w:sz w:val="24"/>
          <w:szCs w:val="24"/>
        </w:rPr>
        <w:lastRenderedPageBreak/>
        <w:t>浓度为</w:t>
      </w:r>
      <w:r w:rsidRPr="00957A27">
        <w:rPr>
          <w:sz w:val="24"/>
          <w:szCs w:val="24"/>
        </w:rPr>
        <w:t>10 mg/</w:t>
      </w:r>
      <w:proofErr w:type="spellStart"/>
      <w:r w:rsidRPr="00957A27">
        <w:rPr>
          <w:sz w:val="24"/>
          <w:szCs w:val="24"/>
        </w:rPr>
        <w:t>mL</w:t>
      </w:r>
      <w:proofErr w:type="spellEnd"/>
      <w:r w:rsidRPr="00957A27">
        <w:rPr>
          <w:sz w:val="24"/>
          <w:szCs w:val="24"/>
        </w:rPr>
        <w:t>的混合溶液</w:t>
      </w:r>
      <w:r w:rsidRPr="00957A27">
        <w:rPr>
          <w:sz w:val="24"/>
          <w:szCs w:val="24"/>
        </w:rPr>
        <w:t>A</w:t>
      </w:r>
      <w:r w:rsidRPr="00957A27">
        <w:rPr>
          <w:sz w:val="24"/>
          <w:szCs w:val="24"/>
        </w:rPr>
        <w:t>；</w:t>
      </w:r>
    </w:p>
    <w:p w:rsidR="00957A27" w:rsidRPr="00957A27" w:rsidRDefault="00957A27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957A27">
        <w:rPr>
          <w:sz w:val="24"/>
          <w:szCs w:val="24"/>
        </w:rPr>
        <w:t>b.</w:t>
      </w:r>
      <w:r w:rsidRPr="00957A27">
        <w:rPr>
          <w:sz w:val="24"/>
          <w:szCs w:val="24"/>
        </w:rPr>
        <w:t>移取</w:t>
      </w:r>
      <w:r w:rsidRPr="00957A27">
        <w:rPr>
          <w:sz w:val="24"/>
          <w:szCs w:val="24"/>
        </w:rPr>
        <w:t>500 μL</w:t>
      </w:r>
      <w:r w:rsidRPr="00957A27">
        <w:rPr>
          <w:sz w:val="24"/>
          <w:szCs w:val="24"/>
        </w:rPr>
        <w:t>混合溶液</w:t>
      </w:r>
      <w:r w:rsidRPr="00957A27">
        <w:rPr>
          <w:sz w:val="24"/>
          <w:szCs w:val="24"/>
        </w:rPr>
        <w:t>A</w:t>
      </w:r>
      <w:r w:rsidRPr="00957A27">
        <w:rPr>
          <w:sz w:val="24"/>
          <w:szCs w:val="24"/>
        </w:rPr>
        <w:t>至</w:t>
      </w:r>
      <w:r w:rsidRPr="00957A27">
        <w:rPr>
          <w:sz w:val="24"/>
          <w:szCs w:val="24"/>
        </w:rPr>
        <w:t xml:space="preserve">10 </w:t>
      </w:r>
      <w:proofErr w:type="spellStart"/>
      <w:r w:rsidRPr="00957A27">
        <w:rPr>
          <w:sz w:val="24"/>
          <w:szCs w:val="24"/>
        </w:rPr>
        <w:t>mL</w:t>
      </w:r>
      <w:proofErr w:type="spellEnd"/>
      <w:r w:rsidRPr="00957A27">
        <w:rPr>
          <w:sz w:val="24"/>
          <w:szCs w:val="24"/>
        </w:rPr>
        <w:t>容量瓶中，使用</w:t>
      </w:r>
      <w:r w:rsidRPr="00957A27">
        <w:rPr>
          <w:sz w:val="24"/>
          <w:szCs w:val="24"/>
        </w:rPr>
        <w:t>0.1%</w:t>
      </w:r>
      <w:r w:rsidRPr="00957A27">
        <w:rPr>
          <w:sz w:val="24"/>
          <w:szCs w:val="24"/>
        </w:rPr>
        <w:t>甲酸水溶液定容，得到浓度为</w:t>
      </w:r>
      <w:r w:rsidRPr="00957A27">
        <w:rPr>
          <w:sz w:val="24"/>
          <w:szCs w:val="24"/>
        </w:rPr>
        <w:t>500 μg/</w:t>
      </w:r>
      <w:proofErr w:type="spellStart"/>
      <w:r w:rsidRPr="00957A27">
        <w:rPr>
          <w:sz w:val="24"/>
          <w:szCs w:val="24"/>
        </w:rPr>
        <w:t>mL</w:t>
      </w:r>
      <w:proofErr w:type="spellEnd"/>
      <w:r w:rsidRPr="00957A27">
        <w:rPr>
          <w:sz w:val="24"/>
          <w:szCs w:val="24"/>
        </w:rPr>
        <w:t>的混合溶液</w:t>
      </w:r>
      <w:r w:rsidRPr="00957A27">
        <w:rPr>
          <w:sz w:val="24"/>
          <w:szCs w:val="24"/>
        </w:rPr>
        <w:t>B</w:t>
      </w:r>
      <w:r w:rsidRPr="00957A27">
        <w:rPr>
          <w:sz w:val="24"/>
          <w:szCs w:val="24"/>
        </w:rPr>
        <w:t>；</w:t>
      </w:r>
    </w:p>
    <w:p w:rsidR="00957A27" w:rsidRPr="00957A27" w:rsidRDefault="00957A27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957A27">
        <w:rPr>
          <w:sz w:val="24"/>
          <w:szCs w:val="24"/>
        </w:rPr>
        <w:t>c.</w:t>
      </w:r>
      <w:r w:rsidRPr="00957A27">
        <w:rPr>
          <w:sz w:val="24"/>
          <w:szCs w:val="24"/>
        </w:rPr>
        <w:t>移取</w:t>
      </w:r>
      <w:r w:rsidRPr="00957A27">
        <w:rPr>
          <w:sz w:val="24"/>
          <w:szCs w:val="24"/>
        </w:rPr>
        <w:t xml:space="preserve">1000 </w:t>
      </w:r>
      <w:proofErr w:type="spellStart"/>
      <w:r w:rsidRPr="00957A27">
        <w:rPr>
          <w:sz w:val="24"/>
          <w:szCs w:val="24"/>
        </w:rPr>
        <w:t>μL</w:t>
      </w:r>
      <w:proofErr w:type="spellEnd"/>
      <w:r w:rsidRPr="00957A27">
        <w:rPr>
          <w:sz w:val="24"/>
          <w:szCs w:val="24"/>
        </w:rPr>
        <w:t>混合溶液</w:t>
      </w:r>
      <w:r w:rsidRPr="00957A27">
        <w:rPr>
          <w:sz w:val="24"/>
          <w:szCs w:val="24"/>
        </w:rPr>
        <w:t>B</w:t>
      </w:r>
      <w:r w:rsidRPr="00957A27">
        <w:rPr>
          <w:sz w:val="24"/>
          <w:szCs w:val="24"/>
        </w:rPr>
        <w:t>至</w:t>
      </w:r>
      <w:r w:rsidRPr="00957A27">
        <w:rPr>
          <w:sz w:val="24"/>
          <w:szCs w:val="24"/>
        </w:rPr>
        <w:t xml:space="preserve">10 </w:t>
      </w:r>
      <w:proofErr w:type="spellStart"/>
      <w:r w:rsidRPr="00957A27">
        <w:rPr>
          <w:sz w:val="24"/>
          <w:szCs w:val="24"/>
        </w:rPr>
        <w:t>mL</w:t>
      </w:r>
      <w:proofErr w:type="spellEnd"/>
      <w:r w:rsidRPr="00957A27">
        <w:rPr>
          <w:sz w:val="24"/>
          <w:szCs w:val="24"/>
        </w:rPr>
        <w:t>容量瓶中，使用</w:t>
      </w:r>
      <w:r w:rsidRPr="00957A27">
        <w:rPr>
          <w:sz w:val="24"/>
          <w:szCs w:val="24"/>
        </w:rPr>
        <w:t>0.1%</w:t>
      </w:r>
      <w:r w:rsidRPr="00957A27">
        <w:rPr>
          <w:sz w:val="24"/>
          <w:szCs w:val="24"/>
        </w:rPr>
        <w:t>甲酸水溶液定容，得到浓度为</w:t>
      </w:r>
      <w:r w:rsidRPr="00957A27">
        <w:rPr>
          <w:sz w:val="24"/>
          <w:szCs w:val="24"/>
        </w:rPr>
        <w:t xml:space="preserve">50 </w:t>
      </w:r>
      <w:proofErr w:type="spellStart"/>
      <w:r w:rsidRPr="00957A27">
        <w:rPr>
          <w:sz w:val="24"/>
          <w:szCs w:val="24"/>
        </w:rPr>
        <w:t>μg</w:t>
      </w:r>
      <w:proofErr w:type="spellEnd"/>
      <w:r w:rsidRPr="00957A27">
        <w:rPr>
          <w:sz w:val="24"/>
          <w:szCs w:val="24"/>
        </w:rPr>
        <w:t>/</w:t>
      </w:r>
      <w:proofErr w:type="spellStart"/>
      <w:r w:rsidRPr="00957A27">
        <w:rPr>
          <w:sz w:val="24"/>
          <w:szCs w:val="24"/>
        </w:rPr>
        <w:t>mL</w:t>
      </w:r>
      <w:proofErr w:type="spellEnd"/>
      <w:r w:rsidRPr="00957A27">
        <w:rPr>
          <w:sz w:val="24"/>
          <w:szCs w:val="24"/>
        </w:rPr>
        <w:t>的混合溶液</w:t>
      </w:r>
      <w:r w:rsidR="00312A7A">
        <w:rPr>
          <w:rFonts w:hint="eastAsia"/>
          <w:sz w:val="24"/>
          <w:szCs w:val="24"/>
        </w:rPr>
        <w:t>C</w:t>
      </w:r>
      <w:r w:rsidRPr="00957A27">
        <w:rPr>
          <w:sz w:val="24"/>
          <w:szCs w:val="24"/>
        </w:rPr>
        <w:t>。</w:t>
      </w:r>
    </w:p>
    <w:p w:rsidR="00846062" w:rsidRDefault="00846062" w:rsidP="00540E3A">
      <w:pPr>
        <w:adjustRightInd w:val="0"/>
        <w:snapToGrid w:val="0"/>
        <w:spacing w:line="26" w:lineRule="atLeast"/>
        <w:ind w:firstLine="42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可得</w:t>
      </w:r>
      <w:r w:rsidR="00957A27">
        <w:rPr>
          <w:rFonts w:hint="eastAsia"/>
          <w:sz w:val="24"/>
          <w:szCs w:val="24"/>
        </w:rPr>
        <w:t>配制过程引入的不确定度分量如下</w:t>
      </w:r>
      <w:r>
        <w:rPr>
          <w:rFonts w:hint="eastAsia"/>
          <w:sz w:val="24"/>
          <w:szCs w:val="24"/>
        </w:rPr>
        <w:t>：</w:t>
      </w:r>
    </w:p>
    <w:tbl>
      <w:tblPr>
        <w:tblStyle w:val="aa"/>
        <w:tblW w:w="0" w:type="auto"/>
        <w:jc w:val="center"/>
        <w:tblInd w:w="1809" w:type="dxa"/>
        <w:tblLook w:val="04A0"/>
      </w:tblPr>
      <w:tblGrid>
        <w:gridCol w:w="905"/>
        <w:gridCol w:w="3855"/>
        <w:gridCol w:w="3285"/>
      </w:tblGrid>
      <w:tr w:rsidR="00957A27" w:rsidTr="002F22F7">
        <w:trPr>
          <w:jc w:val="center"/>
        </w:trPr>
        <w:tc>
          <w:tcPr>
            <w:tcW w:w="905" w:type="dxa"/>
            <w:vAlign w:val="center"/>
          </w:tcPr>
          <w:p w:rsidR="00957A27" w:rsidRDefault="00957A27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855" w:type="dxa"/>
            <w:vAlign w:val="center"/>
          </w:tcPr>
          <w:p w:rsidR="00957A27" w:rsidRDefault="00957A27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不确定度来源</w:t>
            </w:r>
          </w:p>
        </w:tc>
        <w:tc>
          <w:tcPr>
            <w:tcW w:w="3285" w:type="dxa"/>
            <w:vAlign w:val="center"/>
          </w:tcPr>
          <w:p w:rsidR="00957A27" w:rsidRDefault="00957A27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相对标准不确定度</w:t>
            </w:r>
            <w:r w:rsidR="00DC33E2">
              <w:rPr>
                <w:rFonts w:hint="eastAsia"/>
                <w:sz w:val="24"/>
                <w:szCs w:val="24"/>
              </w:rPr>
              <w:t>/%</w:t>
            </w:r>
          </w:p>
        </w:tc>
      </w:tr>
      <w:tr w:rsidR="00957A27" w:rsidTr="002F22F7">
        <w:trPr>
          <w:jc w:val="center"/>
        </w:trPr>
        <w:tc>
          <w:tcPr>
            <w:tcW w:w="905" w:type="dxa"/>
            <w:vAlign w:val="center"/>
          </w:tcPr>
          <w:p w:rsidR="00957A27" w:rsidRDefault="002F22F7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855" w:type="dxa"/>
            <w:vAlign w:val="center"/>
          </w:tcPr>
          <w:p w:rsidR="00957A27" w:rsidRDefault="002F22F7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精氨酸纯度标准物质纯度</w:t>
            </w:r>
          </w:p>
        </w:tc>
        <w:tc>
          <w:tcPr>
            <w:tcW w:w="3285" w:type="dxa"/>
            <w:vAlign w:val="center"/>
          </w:tcPr>
          <w:p w:rsidR="00957A27" w:rsidRDefault="000C0360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0.25</w:t>
            </w:r>
          </w:p>
        </w:tc>
      </w:tr>
      <w:tr w:rsidR="00957A27" w:rsidTr="002F22F7">
        <w:trPr>
          <w:jc w:val="center"/>
        </w:trPr>
        <w:tc>
          <w:tcPr>
            <w:tcW w:w="905" w:type="dxa"/>
            <w:vAlign w:val="center"/>
          </w:tcPr>
          <w:p w:rsidR="00957A27" w:rsidRDefault="007F549C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855" w:type="dxa"/>
            <w:vAlign w:val="center"/>
          </w:tcPr>
          <w:p w:rsidR="00957A27" w:rsidRDefault="00132DA8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电子天平称量</w:t>
            </w:r>
          </w:p>
        </w:tc>
        <w:tc>
          <w:tcPr>
            <w:tcW w:w="3285" w:type="dxa"/>
            <w:vAlign w:val="center"/>
          </w:tcPr>
          <w:p w:rsidR="00957A27" w:rsidRDefault="00F87F3B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0.14</w:t>
            </w:r>
          </w:p>
        </w:tc>
      </w:tr>
      <w:tr w:rsidR="00957A27" w:rsidTr="002F22F7">
        <w:trPr>
          <w:jc w:val="center"/>
        </w:trPr>
        <w:tc>
          <w:tcPr>
            <w:tcW w:w="905" w:type="dxa"/>
            <w:vAlign w:val="center"/>
          </w:tcPr>
          <w:p w:rsidR="00957A27" w:rsidRDefault="007F549C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855" w:type="dxa"/>
            <w:vAlign w:val="center"/>
          </w:tcPr>
          <w:p w:rsidR="00957A27" w:rsidRDefault="00132DA8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混合溶液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定容</w:t>
            </w:r>
          </w:p>
        </w:tc>
        <w:tc>
          <w:tcPr>
            <w:tcW w:w="3285" w:type="dxa"/>
            <w:vAlign w:val="center"/>
          </w:tcPr>
          <w:p w:rsidR="00957A27" w:rsidRDefault="00F87F3B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0.11</w:t>
            </w:r>
          </w:p>
        </w:tc>
      </w:tr>
      <w:tr w:rsidR="002F22F7" w:rsidTr="002F22F7">
        <w:trPr>
          <w:jc w:val="center"/>
        </w:trPr>
        <w:tc>
          <w:tcPr>
            <w:tcW w:w="905" w:type="dxa"/>
            <w:vAlign w:val="center"/>
          </w:tcPr>
          <w:p w:rsidR="002F22F7" w:rsidRDefault="007F549C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855" w:type="dxa"/>
            <w:vAlign w:val="center"/>
          </w:tcPr>
          <w:p w:rsidR="002F22F7" w:rsidRDefault="00132DA8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移取混合溶液</w:t>
            </w: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285" w:type="dxa"/>
            <w:vAlign w:val="center"/>
          </w:tcPr>
          <w:p w:rsidR="002F22F7" w:rsidRDefault="00F87F3B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0.29</w:t>
            </w:r>
          </w:p>
        </w:tc>
      </w:tr>
      <w:tr w:rsidR="002F22F7" w:rsidTr="002F22F7">
        <w:trPr>
          <w:jc w:val="center"/>
        </w:trPr>
        <w:tc>
          <w:tcPr>
            <w:tcW w:w="905" w:type="dxa"/>
            <w:vAlign w:val="center"/>
          </w:tcPr>
          <w:p w:rsidR="002F22F7" w:rsidRDefault="007F549C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855" w:type="dxa"/>
            <w:vAlign w:val="center"/>
          </w:tcPr>
          <w:p w:rsidR="002F22F7" w:rsidRDefault="00132DA8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混合溶液</w:t>
            </w: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定容</w:t>
            </w:r>
          </w:p>
        </w:tc>
        <w:tc>
          <w:tcPr>
            <w:tcW w:w="3285" w:type="dxa"/>
            <w:vAlign w:val="center"/>
          </w:tcPr>
          <w:p w:rsidR="002F22F7" w:rsidRDefault="00F87F3B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0.11</w:t>
            </w:r>
          </w:p>
        </w:tc>
      </w:tr>
      <w:tr w:rsidR="002F22F7" w:rsidTr="002F22F7">
        <w:trPr>
          <w:jc w:val="center"/>
        </w:trPr>
        <w:tc>
          <w:tcPr>
            <w:tcW w:w="905" w:type="dxa"/>
            <w:vAlign w:val="center"/>
          </w:tcPr>
          <w:p w:rsidR="002F22F7" w:rsidRDefault="00132DA8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855" w:type="dxa"/>
            <w:vAlign w:val="center"/>
          </w:tcPr>
          <w:p w:rsidR="002F22F7" w:rsidRDefault="00132DA8" w:rsidP="00132DA8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移取混合溶液</w:t>
            </w: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3285" w:type="dxa"/>
            <w:vAlign w:val="center"/>
          </w:tcPr>
          <w:p w:rsidR="002F22F7" w:rsidRDefault="00F87F3B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0.29</w:t>
            </w:r>
          </w:p>
        </w:tc>
      </w:tr>
      <w:tr w:rsidR="00957A27" w:rsidTr="002F22F7">
        <w:trPr>
          <w:jc w:val="center"/>
        </w:trPr>
        <w:tc>
          <w:tcPr>
            <w:tcW w:w="905" w:type="dxa"/>
            <w:vAlign w:val="center"/>
          </w:tcPr>
          <w:p w:rsidR="00957A27" w:rsidRDefault="00132DA8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855" w:type="dxa"/>
            <w:vAlign w:val="center"/>
          </w:tcPr>
          <w:p w:rsidR="00957A27" w:rsidRDefault="00132DA8" w:rsidP="00132DA8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混合溶液</w:t>
            </w: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定容</w:t>
            </w:r>
          </w:p>
        </w:tc>
        <w:tc>
          <w:tcPr>
            <w:tcW w:w="3285" w:type="dxa"/>
            <w:vAlign w:val="center"/>
          </w:tcPr>
          <w:p w:rsidR="00957A27" w:rsidRDefault="00F87F3B" w:rsidP="002F22F7">
            <w:pPr>
              <w:adjustRightInd w:val="0"/>
              <w:snapToGrid w:val="0"/>
              <w:spacing w:line="26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0.11</w:t>
            </w:r>
          </w:p>
        </w:tc>
      </w:tr>
    </w:tbl>
    <w:p w:rsidR="00957A27" w:rsidRPr="00957A27" w:rsidRDefault="00F87F3B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将以上不确定度分量合成，得</w:t>
      </w:r>
    </w:p>
    <w:p w:rsidR="00846062" w:rsidRDefault="00637988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0.54</m:t>
          </m:r>
          <m:r>
            <w:rPr>
              <w:rFonts w:ascii="Cambria Math" w:hAnsi="Cambria Math"/>
              <w:sz w:val="24"/>
            </w:rPr>
            <m:t>%</m:t>
          </m:r>
        </m:oMath>
      </m:oMathPara>
    </w:p>
    <w:p w:rsidR="00846062" w:rsidRDefault="00846062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proofErr w:type="gramStart"/>
      <w:r>
        <w:rPr>
          <w:sz w:val="24"/>
        </w:rPr>
        <w:t>进样量引入</w:t>
      </w:r>
      <w:proofErr w:type="gramEnd"/>
      <w:r>
        <w:rPr>
          <w:sz w:val="24"/>
        </w:rPr>
        <w:t>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(V)</m:t>
        </m:r>
      </m:oMath>
    </w:p>
    <w:p w:rsidR="002E4CE5" w:rsidRDefault="00F87F3B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进样量所</w:t>
      </w:r>
      <w:proofErr w:type="gramEnd"/>
      <w:r>
        <w:rPr>
          <w:rFonts w:hint="eastAsia"/>
          <w:sz w:val="24"/>
          <w:szCs w:val="24"/>
        </w:rPr>
        <w:t>引入的不确定度已包含于重复性引入的不确定度中。</w:t>
      </w:r>
    </w:p>
    <w:p w:rsidR="00846062" w:rsidRDefault="006103FD" w:rsidP="00540E3A">
      <w:pPr>
        <w:adjustRightInd w:val="0"/>
        <w:snapToGrid w:val="0"/>
        <w:spacing w:line="26" w:lineRule="atLeast"/>
        <w:ind w:firstLine="420"/>
        <w:jc w:val="left"/>
        <w:rPr>
          <w:sz w:val="24"/>
        </w:rPr>
      </w:pPr>
      <w:r>
        <w:rPr>
          <w:rFonts w:ascii="宋体" w:hAnsi="宋体" w:cs="宋体" w:hint="eastAsia"/>
          <w:sz w:val="24"/>
          <w:szCs w:val="24"/>
        </w:rPr>
        <w:t>③</w:t>
      </w:r>
      <w:r>
        <w:rPr>
          <w:sz w:val="24"/>
        </w:rPr>
        <w:t>基线噪声引入的不确定度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w:rPr>
            <w:rFonts w:ascii="Cambria Math" w:hAnsi="Cambria Math"/>
            <w:sz w:val="24"/>
          </w:rPr>
          <m:t>)</m:t>
        </m:r>
      </m:oMath>
    </w:p>
    <w:p w:rsidR="007A4704" w:rsidRPr="006103FD" w:rsidRDefault="006103FD" w:rsidP="00540E3A">
      <w:pPr>
        <w:adjustRightInd w:val="0"/>
        <w:snapToGrid w:val="0"/>
        <w:spacing w:line="26" w:lineRule="atLeas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基线噪声的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类不确定度已经在（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）中计算，该项为基线噪声的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类不确定度。在实际计算中，</w:t>
      </w:r>
      <w:proofErr w:type="gramStart"/>
      <w:r>
        <w:rPr>
          <w:rFonts w:hint="eastAsia"/>
          <w:sz w:val="24"/>
          <w:szCs w:val="24"/>
        </w:rPr>
        <w:t>将谱图</w:t>
      </w:r>
      <w:proofErr w:type="gramEnd"/>
      <w:r>
        <w:rPr>
          <w:rFonts w:hint="eastAsia"/>
          <w:sz w:val="24"/>
          <w:szCs w:val="24"/>
        </w:rPr>
        <w:t>放大后从软件上读取噪声强度数值，该项不确定度很小，可忽略。</w:t>
      </w:r>
    </w:p>
    <w:p w:rsidR="007A4704" w:rsidRPr="00802E8C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802E8C">
        <w:rPr>
          <w:sz w:val="24"/>
          <w:szCs w:val="24"/>
        </w:rPr>
        <w:t>（</w:t>
      </w:r>
      <w:r w:rsidRPr="00802E8C">
        <w:rPr>
          <w:sz w:val="24"/>
          <w:szCs w:val="24"/>
        </w:rPr>
        <w:t>3</w:t>
      </w:r>
      <w:r w:rsidRPr="00802E8C">
        <w:rPr>
          <w:sz w:val="24"/>
          <w:szCs w:val="24"/>
        </w:rPr>
        <w:t>）合成标准不确定度</w:t>
      </w:r>
    </w:p>
    <w:p w:rsidR="007A4704" w:rsidRPr="00802E8C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802E8C">
        <w:rPr>
          <w:sz w:val="24"/>
          <w:szCs w:val="24"/>
        </w:rPr>
        <w:t>以上各分量可认为近似不相关，故</w:t>
      </w:r>
      <w:r w:rsidR="006103FD">
        <w:rPr>
          <w:sz w:val="24"/>
          <w:szCs w:val="24"/>
        </w:rPr>
        <w:t>信噪比</w:t>
      </w:r>
      <w:r w:rsidRPr="00802E8C">
        <w:rPr>
          <w:sz w:val="24"/>
          <w:szCs w:val="24"/>
        </w:rPr>
        <w:t>的</w:t>
      </w:r>
      <w:r w:rsidR="006103FD">
        <w:rPr>
          <w:sz w:val="24"/>
          <w:szCs w:val="24"/>
        </w:rPr>
        <w:t>相对</w:t>
      </w:r>
      <w:r w:rsidRPr="00802E8C">
        <w:rPr>
          <w:sz w:val="24"/>
          <w:szCs w:val="24"/>
        </w:rPr>
        <w:t>合成</w:t>
      </w:r>
      <w:r w:rsidR="006103FD">
        <w:rPr>
          <w:sz w:val="24"/>
          <w:szCs w:val="24"/>
        </w:rPr>
        <w:t>标准</w:t>
      </w:r>
      <w:r w:rsidRPr="00802E8C">
        <w:rPr>
          <w:sz w:val="24"/>
          <w:szCs w:val="24"/>
        </w:rPr>
        <w:t>不确定度</w:t>
      </w:r>
      <w:proofErr w:type="spellStart"/>
      <w:r w:rsidRPr="00802E8C">
        <w:rPr>
          <w:i/>
          <w:sz w:val="24"/>
          <w:szCs w:val="24"/>
        </w:rPr>
        <w:t>u</w:t>
      </w:r>
      <w:r w:rsidR="003B2552" w:rsidRPr="003B2552">
        <w:rPr>
          <w:i/>
          <w:sz w:val="24"/>
          <w:szCs w:val="24"/>
          <w:vertAlign w:val="subscript"/>
        </w:rPr>
        <w:t>r</w:t>
      </w:r>
      <w:proofErr w:type="spellEnd"/>
      <w:r w:rsidRPr="00802E8C">
        <w:rPr>
          <w:sz w:val="24"/>
          <w:szCs w:val="24"/>
        </w:rPr>
        <w:t>可通过下式进行计算：</w:t>
      </w:r>
    </w:p>
    <w:p w:rsidR="007A4704" w:rsidRPr="00802E8C" w:rsidRDefault="00637988" w:rsidP="00540E3A">
      <w:pPr>
        <w:adjustRightInd w:val="0"/>
        <w:snapToGrid w:val="0"/>
        <w:spacing w:line="26" w:lineRule="atLeast"/>
        <w:ind w:firstLine="420"/>
        <w:jc w:val="center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(c)+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(V)+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</m:ra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≈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11.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1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%</m:t>
          </m:r>
        </m:oMath>
      </m:oMathPara>
    </w:p>
    <w:p w:rsidR="007A4704" w:rsidRPr="001517D3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1517D3">
        <w:rPr>
          <w:sz w:val="24"/>
          <w:szCs w:val="24"/>
        </w:rPr>
        <w:t>（</w:t>
      </w:r>
      <w:r w:rsidRPr="001517D3">
        <w:rPr>
          <w:sz w:val="24"/>
          <w:szCs w:val="24"/>
        </w:rPr>
        <w:t>4</w:t>
      </w:r>
      <w:r w:rsidRPr="001517D3">
        <w:rPr>
          <w:sz w:val="24"/>
          <w:szCs w:val="24"/>
        </w:rPr>
        <w:t>）扩展不确定度</w:t>
      </w:r>
    </w:p>
    <w:p w:rsidR="007A4704" w:rsidRPr="001517D3" w:rsidRDefault="007A4704" w:rsidP="00540E3A">
      <w:pPr>
        <w:adjustRightInd w:val="0"/>
        <w:snapToGrid w:val="0"/>
        <w:spacing w:line="26" w:lineRule="atLeast"/>
        <w:ind w:firstLine="420"/>
        <w:jc w:val="left"/>
        <w:rPr>
          <w:sz w:val="24"/>
          <w:szCs w:val="24"/>
        </w:rPr>
      </w:pPr>
      <w:r w:rsidRPr="001517D3">
        <w:rPr>
          <w:sz w:val="24"/>
          <w:szCs w:val="24"/>
        </w:rPr>
        <w:t>扩展不确定度</w:t>
      </w:r>
      <w:r w:rsidRPr="001517D3">
        <w:rPr>
          <w:i/>
          <w:sz w:val="24"/>
          <w:szCs w:val="24"/>
        </w:rPr>
        <w:t>U</w:t>
      </w:r>
      <w:r w:rsidRPr="001517D3">
        <w:rPr>
          <w:sz w:val="24"/>
          <w:szCs w:val="24"/>
        </w:rPr>
        <w:t>等于包含因子</w:t>
      </w:r>
      <w:r w:rsidRPr="001517D3">
        <w:rPr>
          <w:i/>
          <w:sz w:val="24"/>
          <w:szCs w:val="24"/>
        </w:rPr>
        <w:t>k</w:t>
      </w:r>
      <w:r w:rsidRPr="001517D3">
        <w:rPr>
          <w:sz w:val="24"/>
          <w:szCs w:val="24"/>
        </w:rPr>
        <w:t>与合成标准不确定度</w:t>
      </w:r>
      <w:proofErr w:type="spellStart"/>
      <w:r w:rsidRPr="001517D3">
        <w:rPr>
          <w:i/>
          <w:sz w:val="24"/>
          <w:szCs w:val="24"/>
        </w:rPr>
        <w:t>u</w:t>
      </w:r>
      <w:r w:rsidRPr="001517D3">
        <w:rPr>
          <w:i/>
          <w:sz w:val="24"/>
          <w:szCs w:val="24"/>
          <w:vertAlign w:val="subscript"/>
        </w:rPr>
        <w:t>c</w:t>
      </w:r>
      <w:proofErr w:type="spellEnd"/>
      <w:r w:rsidRPr="001517D3">
        <w:rPr>
          <w:sz w:val="24"/>
          <w:szCs w:val="24"/>
        </w:rPr>
        <w:t>之积，在此取</w:t>
      </w:r>
      <w:r w:rsidRPr="001517D3">
        <w:rPr>
          <w:i/>
          <w:sz w:val="24"/>
          <w:szCs w:val="24"/>
        </w:rPr>
        <w:t>k</w:t>
      </w:r>
      <w:r w:rsidRPr="001517D3">
        <w:rPr>
          <w:sz w:val="24"/>
          <w:szCs w:val="24"/>
        </w:rPr>
        <w:t>=2</w:t>
      </w:r>
      <w:r w:rsidRPr="001517D3">
        <w:rPr>
          <w:sz w:val="24"/>
          <w:szCs w:val="24"/>
        </w:rPr>
        <w:t>。</w:t>
      </w:r>
    </w:p>
    <w:p w:rsidR="007A4704" w:rsidRDefault="00637988" w:rsidP="00540E3A">
      <w:pPr>
        <w:adjustRightInd w:val="0"/>
        <w:snapToGrid w:val="0"/>
        <w:spacing w:line="26" w:lineRule="atLeast"/>
        <w:ind w:firstLine="420"/>
        <w:jc w:val="center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rel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=2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11.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1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%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≈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2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3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% (</m:t>
          </m:r>
          <m:r>
            <w:rPr>
              <w:rFonts w:ascii="Cambria Math" w:hAnsi="Cambria Math"/>
              <w:sz w:val="24"/>
              <w:szCs w:val="24"/>
            </w:rPr>
            <m:t>k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=2)</m:t>
          </m:r>
        </m:oMath>
      </m:oMathPara>
    </w:p>
    <w:p w:rsidR="007A4704" w:rsidRDefault="00703826" w:rsidP="00540E3A">
      <w:pPr>
        <w:adjustRightInd w:val="0"/>
        <w:snapToGrid w:val="0"/>
        <w:spacing w:line="26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7A4704">
        <w:rPr>
          <w:rFonts w:hint="eastAsia"/>
          <w:sz w:val="24"/>
          <w:szCs w:val="24"/>
        </w:rPr>
        <w:t xml:space="preserve"> </w:t>
      </w:r>
      <w:r w:rsidR="007A4704">
        <w:rPr>
          <w:rFonts w:hint="eastAsia"/>
          <w:sz w:val="24"/>
          <w:szCs w:val="24"/>
        </w:rPr>
        <w:t>报告结果</w:t>
      </w:r>
    </w:p>
    <w:p w:rsidR="007A4704" w:rsidRPr="001517D3" w:rsidRDefault="007A4704" w:rsidP="00540E3A">
      <w:pPr>
        <w:adjustRightInd w:val="0"/>
        <w:snapToGrid w:val="0"/>
        <w:spacing w:line="26" w:lineRule="atLeast"/>
        <w:jc w:val="left"/>
        <w:rPr>
          <w:sz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由上述测量结果的计算和分析，可得</w:t>
      </w:r>
      <w:r w:rsidR="003B2552">
        <w:rPr>
          <w:rFonts w:ascii="宋体" w:hAnsi="宋体" w:hint="eastAsia"/>
          <w:bCs/>
          <w:sz w:val="24"/>
          <w:szCs w:val="24"/>
        </w:rPr>
        <w:t>信噪比</w:t>
      </w:r>
      <w:r>
        <w:rPr>
          <w:rFonts w:hint="eastAsia"/>
          <w:sz w:val="24"/>
          <w:szCs w:val="24"/>
        </w:rPr>
        <w:t>的</w:t>
      </w:r>
      <w:r w:rsidR="003B2552">
        <w:rPr>
          <w:rFonts w:hint="eastAsia"/>
          <w:sz w:val="24"/>
          <w:szCs w:val="24"/>
        </w:rPr>
        <w:t>相对扩展</w:t>
      </w:r>
      <w:r>
        <w:rPr>
          <w:rFonts w:hint="eastAsia"/>
          <w:sz w:val="24"/>
          <w:szCs w:val="24"/>
        </w:rPr>
        <w:t>不确定度为：</w:t>
      </w:r>
      <w:proofErr w:type="spellStart"/>
      <w:r w:rsidRPr="001517D3">
        <w:rPr>
          <w:i/>
          <w:sz w:val="24"/>
          <w:szCs w:val="24"/>
        </w:rPr>
        <w:t>U</w:t>
      </w:r>
      <w:r w:rsidR="003B2552" w:rsidRPr="003B2552">
        <w:rPr>
          <w:sz w:val="24"/>
          <w:szCs w:val="24"/>
          <w:vertAlign w:val="subscript"/>
        </w:rPr>
        <w:t>rel</w:t>
      </w:r>
      <w:proofErr w:type="spellEnd"/>
      <w:r w:rsidRPr="001517D3">
        <w:rPr>
          <w:sz w:val="24"/>
          <w:szCs w:val="24"/>
        </w:rPr>
        <w:t>=</w:t>
      </w:r>
      <w:r w:rsidR="003B2552">
        <w:rPr>
          <w:rFonts w:hint="eastAsia"/>
          <w:sz w:val="24"/>
          <w:szCs w:val="24"/>
        </w:rPr>
        <w:t>2</w:t>
      </w:r>
      <w:r w:rsidR="00F87F3B">
        <w:rPr>
          <w:rFonts w:hint="eastAsia"/>
          <w:sz w:val="24"/>
          <w:szCs w:val="24"/>
        </w:rPr>
        <w:t>3</w:t>
      </w:r>
      <w:r w:rsidR="003B2552">
        <w:rPr>
          <w:rFonts w:hint="eastAsia"/>
          <w:sz w:val="24"/>
          <w:szCs w:val="24"/>
        </w:rPr>
        <w:t>%</w:t>
      </w:r>
      <w:r w:rsidRPr="001517D3">
        <w:rPr>
          <w:sz w:val="24"/>
          <w:szCs w:val="24"/>
        </w:rPr>
        <w:t>，</w:t>
      </w:r>
      <w:r w:rsidRPr="001517D3">
        <w:rPr>
          <w:i/>
          <w:sz w:val="24"/>
          <w:szCs w:val="24"/>
        </w:rPr>
        <w:t>k</w:t>
      </w:r>
      <w:r w:rsidRPr="001517D3">
        <w:rPr>
          <w:sz w:val="24"/>
          <w:szCs w:val="24"/>
        </w:rPr>
        <w:t>=2</w:t>
      </w:r>
    </w:p>
    <w:p w:rsidR="00AE0236" w:rsidRPr="007A4704" w:rsidRDefault="00AE0236" w:rsidP="00540E3A">
      <w:pPr>
        <w:widowControl/>
        <w:spacing w:line="26" w:lineRule="atLeast"/>
        <w:jc w:val="left"/>
      </w:pPr>
    </w:p>
    <w:sectPr w:rsidR="00AE0236" w:rsidRPr="007A4704" w:rsidSect="003152CC">
      <w:footerReference w:type="even" r:id="rId7"/>
      <w:footerReference w:type="default" r:id="rId8"/>
      <w:pgSz w:w="11906" w:h="16838" w:code="9"/>
      <w:pgMar w:top="1440" w:right="1134" w:bottom="1440" w:left="1134" w:header="851" w:footer="992" w:gutter="0"/>
      <w:pgNumType w:start="0"/>
      <w:cols w:space="425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A3A" w:rsidRDefault="00324A3A" w:rsidP="003152CC">
      <w:r>
        <w:separator/>
      </w:r>
    </w:p>
  </w:endnote>
  <w:endnote w:type="continuationSeparator" w:id="0">
    <w:p w:rsidR="00324A3A" w:rsidRDefault="00324A3A" w:rsidP="00315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04" w:rsidRDefault="0063798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A47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4704">
      <w:rPr>
        <w:rStyle w:val="a6"/>
        <w:noProof/>
      </w:rPr>
      <w:t>1</w:t>
    </w:r>
    <w:r>
      <w:rPr>
        <w:rStyle w:val="a6"/>
      </w:rPr>
      <w:fldChar w:fldCharType="end"/>
    </w:r>
  </w:p>
  <w:p w:rsidR="007A4704" w:rsidRDefault="007A470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04" w:rsidRDefault="0063798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A47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7F3B">
      <w:rPr>
        <w:rStyle w:val="a6"/>
        <w:noProof/>
      </w:rPr>
      <w:t>1</w:t>
    </w:r>
    <w:r>
      <w:rPr>
        <w:rStyle w:val="a6"/>
      </w:rPr>
      <w:fldChar w:fldCharType="end"/>
    </w:r>
  </w:p>
  <w:p w:rsidR="007A4704" w:rsidRDefault="007A470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A3A" w:rsidRDefault="00324A3A" w:rsidP="003152CC">
      <w:r>
        <w:separator/>
      </w:r>
    </w:p>
  </w:footnote>
  <w:footnote w:type="continuationSeparator" w:id="0">
    <w:p w:rsidR="00324A3A" w:rsidRDefault="00324A3A" w:rsidP="003152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86574D"/>
    <w:multiLevelType w:val="singleLevel"/>
    <w:tmpl w:val="8C86574D"/>
    <w:lvl w:ilvl="0">
      <w:start w:val="1"/>
      <w:numFmt w:val="decimal"/>
      <w:lvlText w:val="(%1)"/>
      <w:lvlJc w:val="left"/>
      <w:pPr>
        <w:tabs>
          <w:tab w:val="left" w:pos="312"/>
        </w:tabs>
        <w:ind w:left="420" w:firstLine="0"/>
      </w:pPr>
    </w:lvl>
  </w:abstractNum>
  <w:abstractNum w:abstractNumId="1">
    <w:nsid w:val="02DB3B4E"/>
    <w:multiLevelType w:val="singleLevel"/>
    <w:tmpl w:val="DAE06268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7C24DD"/>
    <w:multiLevelType w:val="multilevel"/>
    <w:tmpl w:val="C17C66D8"/>
    <w:lvl w:ilvl="0">
      <w:start w:val="3"/>
      <w:numFmt w:val="decimal"/>
      <w:lvlText w:val="%1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4"/>
        </w:tabs>
        <w:ind w:left="624" w:hanging="624"/>
      </w:pPr>
      <w:rPr>
        <w:rFonts w:hint="eastAsia"/>
      </w:rPr>
    </w:lvl>
  </w:abstractNum>
  <w:abstractNum w:abstractNumId="3">
    <w:nsid w:val="0CB648C7"/>
    <w:multiLevelType w:val="singleLevel"/>
    <w:tmpl w:val="757237C4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>
    <w:nsid w:val="0F0A2878"/>
    <w:multiLevelType w:val="hybridMultilevel"/>
    <w:tmpl w:val="B9F21A20"/>
    <w:lvl w:ilvl="0" w:tplc="FD6A5B02">
      <w:start w:val="1"/>
      <w:numFmt w:val="decimal"/>
      <w:lvlText w:val="%1）"/>
      <w:lvlJc w:val="left"/>
      <w:pPr>
        <w:ind w:left="840" w:hanging="360"/>
      </w:pPr>
      <w:rPr>
        <w:rFonts w:hAnsi="Times New Roman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10401FEA"/>
    <w:multiLevelType w:val="singleLevel"/>
    <w:tmpl w:val="0CA2EFA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C0F1101"/>
    <w:multiLevelType w:val="singleLevel"/>
    <w:tmpl w:val="17268DA8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600694"/>
    <w:multiLevelType w:val="singleLevel"/>
    <w:tmpl w:val="0C9E77F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>
    <w:nsid w:val="1ED57F10"/>
    <w:multiLevelType w:val="singleLevel"/>
    <w:tmpl w:val="C4A68828"/>
    <w:lvl w:ilvl="0">
      <w:start w:val="1"/>
      <w:numFmt w:val="lowerLetter"/>
      <w:lvlText w:val="%1、"/>
      <w:lvlJc w:val="left"/>
      <w:pPr>
        <w:tabs>
          <w:tab w:val="num" w:pos="396"/>
        </w:tabs>
        <w:ind w:left="396" w:hanging="396"/>
      </w:pPr>
      <w:rPr>
        <w:rFonts w:ascii="Times New Roman" w:hint="eastAsia"/>
      </w:rPr>
    </w:lvl>
  </w:abstractNum>
  <w:abstractNum w:abstractNumId="9">
    <w:nsid w:val="27BC03D9"/>
    <w:multiLevelType w:val="singleLevel"/>
    <w:tmpl w:val="8ACC36F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8126314"/>
    <w:multiLevelType w:val="singleLevel"/>
    <w:tmpl w:val="8716FF7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>
    <w:nsid w:val="2EE13750"/>
    <w:multiLevelType w:val="hybridMultilevel"/>
    <w:tmpl w:val="56F68FCC"/>
    <w:lvl w:ilvl="0" w:tplc="F6F0F7A0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2FFF1167"/>
    <w:multiLevelType w:val="hybridMultilevel"/>
    <w:tmpl w:val="683A030E"/>
    <w:lvl w:ilvl="0" w:tplc="F7E0DFBA">
      <w:start w:val="1"/>
      <w:numFmt w:val="decimal"/>
      <w:lvlText w:val="%1）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3">
    <w:nsid w:val="300C6A05"/>
    <w:multiLevelType w:val="multilevel"/>
    <w:tmpl w:val="7E9234BE"/>
    <w:lvl w:ilvl="0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4097E90"/>
    <w:multiLevelType w:val="singleLevel"/>
    <w:tmpl w:val="472E3582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A92B608"/>
    <w:multiLevelType w:val="singleLevel"/>
    <w:tmpl w:val="3A92B608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6">
    <w:nsid w:val="3B6605F6"/>
    <w:multiLevelType w:val="singleLevel"/>
    <w:tmpl w:val="B41ADFE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BA668FD"/>
    <w:multiLevelType w:val="singleLevel"/>
    <w:tmpl w:val="F56A9FA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F303C49"/>
    <w:multiLevelType w:val="hybridMultilevel"/>
    <w:tmpl w:val="A5A4FFC8"/>
    <w:lvl w:ilvl="0" w:tplc="B0C4C172">
      <w:start w:val="1"/>
      <w:numFmt w:val="decimal"/>
      <w:lvlText w:val="%1）"/>
      <w:lvlJc w:val="left"/>
      <w:pPr>
        <w:ind w:left="84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66297C0D"/>
    <w:multiLevelType w:val="hybridMultilevel"/>
    <w:tmpl w:val="D650710E"/>
    <w:lvl w:ilvl="0" w:tplc="DCAC57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A22748E"/>
    <w:multiLevelType w:val="hybridMultilevel"/>
    <w:tmpl w:val="E1C61906"/>
    <w:lvl w:ilvl="0" w:tplc="A6C211FA">
      <w:start w:val="1"/>
      <w:numFmt w:val="decimal"/>
      <w:lvlText w:val="%1）"/>
      <w:lvlJc w:val="left"/>
      <w:pPr>
        <w:ind w:left="840" w:hanging="360"/>
      </w:pPr>
      <w:rPr>
        <w:rFonts w:hAnsi="Times New Roman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6E3C519B"/>
    <w:multiLevelType w:val="hybridMultilevel"/>
    <w:tmpl w:val="5FA4A52A"/>
    <w:lvl w:ilvl="0" w:tplc="B1687016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03B4A9C"/>
    <w:multiLevelType w:val="multilevel"/>
    <w:tmpl w:val="AB8A565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4"/>
        </w:tabs>
        <w:ind w:left="624" w:hanging="624"/>
      </w:pPr>
      <w:rPr>
        <w:rFonts w:hint="eastAsia"/>
      </w:rPr>
    </w:lvl>
  </w:abstractNum>
  <w:abstractNum w:abstractNumId="23">
    <w:nsid w:val="70D44111"/>
    <w:multiLevelType w:val="singleLevel"/>
    <w:tmpl w:val="B67A0B16"/>
    <w:lvl w:ilvl="0">
      <w:start w:val="6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</w:abstractNum>
  <w:abstractNum w:abstractNumId="24">
    <w:nsid w:val="71215721"/>
    <w:multiLevelType w:val="hybridMultilevel"/>
    <w:tmpl w:val="D29EAB0E"/>
    <w:lvl w:ilvl="0" w:tplc="3F2858CA">
      <w:start w:val="1"/>
      <w:numFmt w:val="decimal"/>
      <w:lvlText w:val="%1）"/>
      <w:lvlJc w:val="left"/>
      <w:pPr>
        <w:ind w:left="120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5">
    <w:nsid w:val="771538E1"/>
    <w:multiLevelType w:val="singleLevel"/>
    <w:tmpl w:val="9C72425C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  <w:rPr>
        <w:rFonts w:ascii="宋体" w:eastAsia="宋体" w:hint="eastAsia"/>
      </w:rPr>
    </w:lvl>
  </w:abstractNum>
  <w:abstractNum w:abstractNumId="26">
    <w:nsid w:val="7B400E4A"/>
    <w:multiLevelType w:val="singleLevel"/>
    <w:tmpl w:val="BB6A5214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CC267B8"/>
    <w:multiLevelType w:val="singleLevel"/>
    <w:tmpl w:val="753CEAB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8">
    <w:nsid w:val="7EA66C7E"/>
    <w:multiLevelType w:val="singleLevel"/>
    <w:tmpl w:val="F9C0DB1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22"/>
  </w:num>
  <w:num w:numId="4">
    <w:abstractNumId w:val="25"/>
  </w:num>
  <w:num w:numId="5">
    <w:abstractNumId w:val="28"/>
  </w:num>
  <w:num w:numId="6">
    <w:abstractNumId w:val="10"/>
  </w:num>
  <w:num w:numId="7">
    <w:abstractNumId w:val="27"/>
  </w:num>
  <w:num w:numId="8">
    <w:abstractNumId w:val="3"/>
  </w:num>
  <w:num w:numId="9">
    <w:abstractNumId w:val="17"/>
  </w:num>
  <w:num w:numId="10">
    <w:abstractNumId w:val="26"/>
  </w:num>
  <w:num w:numId="11">
    <w:abstractNumId w:val="6"/>
  </w:num>
  <w:num w:numId="12">
    <w:abstractNumId w:val="1"/>
  </w:num>
  <w:num w:numId="13">
    <w:abstractNumId w:val="16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23"/>
  </w:num>
  <w:num w:numId="19">
    <w:abstractNumId w:val="21"/>
  </w:num>
  <w:num w:numId="20">
    <w:abstractNumId w:val="19"/>
  </w:num>
  <w:num w:numId="21">
    <w:abstractNumId w:val="18"/>
  </w:num>
  <w:num w:numId="22">
    <w:abstractNumId w:val="24"/>
  </w:num>
  <w:num w:numId="23">
    <w:abstractNumId w:val="20"/>
  </w:num>
  <w:num w:numId="24">
    <w:abstractNumId w:val="4"/>
  </w:num>
  <w:num w:numId="25">
    <w:abstractNumId w:val="12"/>
  </w:num>
  <w:num w:numId="26">
    <w:abstractNumId w:val="13"/>
  </w:num>
  <w:num w:numId="27">
    <w:abstractNumId w:val="11"/>
  </w:num>
  <w:num w:numId="28">
    <w:abstractNumId w:val="0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9E5"/>
    <w:rsid w:val="000048EB"/>
    <w:rsid w:val="00012A2B"/>
    <w:rsid w:val="00013719"/>
    <w:rsid w:val="00021A08"/>
    <w:rsid w:val="0002585B"/>
    <w:rsid w:val="0002739B"/>
    <w:rsid w:val="00031C00"/>
    <w:rsid w:val="00034F63"/>
    <w:rsid w:val="00036072"/>
    <w:rsid w:val="000367F2"/>
    <w:rsid w:val="00037361"/>
    <w:rsid w:val="00041513"/>
    <w:rsid w:val="0004634A"/>
    <w:rsid w:val="00050FE0"/>
    <w:rsid w:val="00054543"/>
    <w:rsid w:val="000603C3"/>
    <w:rsid w:val="000705C8"/>
    <w:rsid w:val="0007135E"/>
    <w:rsid w:val="00081DB6"/>
    <w:rsid w:val="00082FC0"/>
    <w:rsid w:val="00083AD3"/>
    <w:rsid w:val="00084AE9"/>
    <w:rsid w:val="000866D2"/>
    <w:rsid w:val="0009077F"/>
    <w:rsid w:val="0009385E"/>
    <w:rsid w:val="00097465"/>
    <w:rsid w:val="000A2913"/>
    <w:rsid w:val="000A4664"/>
    <w:rsid w:val="000B1277"/>
    <w:rsid w:val="000B36A5"/>
    <w:rsid w:val="000B61C7"/>
    <w:rsid w:val="000B70C3"/>
    <w:rsid w:val="000C0360"/>
    <w:rsid w:val="000C151C"/>
    <w:rsid w:val="000C1C7B"/>
    <w:rsid w:val="000C52FC"/>
    <w:rsid w:val="000D0C3C"/>
    <w:rsid w:val="000D1A7D"/>
    <w:rsid w:val="000D6383"/>
    <w:rsid w:val="000D7B2D"/>
    <w:rsid w:val="000E2296"/>
    <w:rsid w:val="000E5D67"/>
    <w:rsid w:val="000F508B"/>
    <w:rsid w:val="001065E3"/>
    <w:rsid w:val="00120F0C"/>
    <w:rsid w:val="0012106E"/>
    <w:rsid w:val="00122058"/>
    <w:rsid w:val="00132C5B"/>
    <w:rsid w:val="00132DA8"/>
    <w:rsid w:val="00134E6A"/>
    <w:rsid w:val="00153790"/>
    <w:rsid w:val="00153EBD"/>
    <w:rsid w:val="00156930"/>
    <w:rsid w:val="001571A1"/>
    <w:rsid w:val="00157D5F"/>
    <w:rsid w:val="00166F18"/>
    <w:rsid w:val="00171802"/>
    <w:rsid w:val="00171BAB"/>
    <w:rsid w:val="0017720A"/>
    <w:rsid w:val="00182A33"/>
    <w:rsid w:val="00182E0C"/>
    <w:rsid w:val="00184B6E"/>
    <w:rsid w:val="0018664C"/>
    <w:rsid w:val="00187C8B"/>
    <w:rsid w:val="001A3956"/>
    <w:rsid w:val="001A61A9"/>
    <w:rsid w:val="001A678A"/>
    <w:rsid w:val="001A78B4"/>
    <w:rsid w:val="001B134D"/>
    <w:rsid w:val="001B2C25"/>
    <w:rsid w:val="001B3F32"/>
    <w:rsid w:val="001B6889"/>
    <w:rsid w:val="001C1A86"/>
    <w:rsid w:val="001C371F"/>
    <w:rsid w:val="001D63ED"/>
    <w:rsid w:val="001E01DC"/>
    <w:rsid w:val="001F1786"/>
    <w:rsid w:val="00206F34"/>
    <w:rsid w:val="0022132B"/>
    <w:rsid w:val="00236803"/>
    <w:rsid w:val="00247D73"/>
    <w:rsid w:val="002535C3"/>
    <w:rsid w:val="00253EA8"/>
    <w:rsid w:val="002571EA"/>
    <w:rsid w:val="00264DD7"/>
    <w:rsid w:val="00271A32"/>
    <w:rsid w:val="002732DF"/>
    <w:rsid w:val="00274A14"/>
    <w:rsid w:val="002803DE"/>
    <w:rsid w:val="002806BD"/>
    <w:rsid w:val="002816D6"/>
    <w:rsid w:val="0029230F"/>
    <w:rsid w:val="00292E9B"/>
    <w:rsid w:val="002934F6"/>
    <w:rsid w:val="002A3049"/>
    <w:rsid w:val="002B50F3"/>
    <w:rsid w:val="002B5F7D"/>
    <w:rsid w:val="002B6FDF"/>
    <w:rsid w:val="002C405E"/>
    <w:rsid w:val="002C41FB"/>
    <w:rsid w:val="002D0252"/>
    <w:rsid w:val="002D75AA"/>
    <w:rsid w:val="002E4CE5"/>
    <w:rsid w:val="002E4D6F"/>
    <w:rsid w:val="002E6704"/>
    <w:rsid w:val="002F0B9D"/>
    <w:rsid w:val="002F22F7"/>
    <w:rsid w:val="002F308C"/>
    <w:rsid w:val="002F3FB3"/>
    <w:rsid w:val="0030072B"/>
    <w:rsid w:val="0030106B"/>
    <w:rsid w:val="003023A0"/>
    <w:rsid w:val="0030399A"/>
    <w:rsid w:val="00307C83"/>
    <w:rsid w:val="00312A7A"/>
    <w:rsid w:val="003152CC"/>
    <w:rsid w:val="00320CFE"/>
    <w:rsid w:val="003220B8"/>
    <w:rsid w:val="00322353"/>
    <w:rsid w:val="00324A3A"/>
    <w:rsid w:val="003251EE"/>
    <w:rsid w:val="00325CA1"/>
    <w:rsid w:val="00331F26"/>
    <w:rsid w:val="00332DC5"/>
    <w:rsid w:val="00333EF5"/>
    <w:rsid w:val="003450E5"/>
    <w:rsid w:val="00346F51"/>
    <w:rsid w:val="00350314"/>
    <w:rsid w:val="00353D56"/>
    <w:rsid w:val="003621E3"/>
    <w:rsid w:val="00370371"/>
    <w:rsid w:val="0037440A"/>
    <w:rsid w:val="00374CB0"/>
    <w:rsid w:val="00377FBD"/>
    <w:rsid w:val="003843D5"/>
    <w:rsid w:val="00385AF8"/>
    <w:rsid w:val="003A0601"/>
    <w:rsid w:val="003A5203"/>
    <w:rsid w:val="003A6479"/>
    <w:rsid w:val="003B2552"/>
    <w:rsid w:val="003B4F35"/>
    <w:rsid w:val="003B612C"/>
    <w:rsid w:val="003C016F"/>
    <w:rsid w:val="003C063A"/>
    <w:rsid w:val="003C1B26"/>
    <w:rsid w:val="003C2168"/>
    <w:rsid w:val="003C21C6"/>
    <w:rsid w:val="003C31D2"/>
    <w:rsid w:val="003C42BF"/>
    <w:rsid w:val="003C4372"/>
    <w:rsid w:val="003C5852"/>
    <w:rsid w:val="003C77F7"/>
    <w:rsid w:val="003D6E36"/>
    <w:rsid w:val="003F12E2"/>
    <w:rsid w:val="003F2AB3"/>
    <w:rsid w:val="003F3B77"/>
    <w:rsid w:val="003F3CA3"/>
    <w:rsid w:val="003F3EEC"/>
    <w:rsid w:val="003F502C"/>
    <w:rsid w:val="003F607C"/>
    <w:rsid w:val="003F6CD2"/>
    <w:rsid w:val="003F7454"/>
    <w:rsid w:val="004017B3"/>
    <w:rsid w:val="0040604F"/>
    <w:rsid w:val="00436137"/>
    <w:rsid w:val="004401FB"/>
    <w:rsid w:val="004438C2"/>
    <w:rsid w:val="00444D0A"/>
    <w:rsid w:val="00445BFA"/>
    <w:rsid w:val="00453E54"/>
    <w:rsid w:val="0045626B"/>
    <w:rsid w:val="004736AF"/>
    <w:rsid w:val="004750D3"/>
    <w:rsid w:val="00475901"/>
    <w:rsid w:val="00483B60"/>
    <w:rsid w:val="004A0061"/>
    <w:rsid w:val="004A4470"/>
    <w:rsid w:val="004B0357"/>
    <w:rsid w:val="004B32E7"/>
    <w:rsid w:val="004B34ED"/>
    <w:rsid w:val="004B4993"/>
    <w:rsid w:val="004B7154"/>
    <w:rsid w:val="004D417B"/>
    <w:rsid w:val="004E005D"/>
    <w:rsid w:val="004F0AED"/>
    <w:rsid w:val="004F170A"/>
    <w:rsid w:val="00503AAB"/>
    <w:rsid w:val="00504796"/>
    <w:rsid w:val="00507E16"/>
    <w:rsid w:val="00510AE5"/>
    <w:rsid w:val="005163C5"/>
    <w:rsid w:val="005173D3"/>
    <w:rsid w:val="00522D65"/>
    <w:rsid w:val="00524D54"/>
    <w:rsid w:val="00530AAF"/>
    <w:rsid w:val="00540E3A"/>
    <w:rsid w:val="00544A8E"/>
    <w:rsid w:val="00546B07"/>
    <w:rsid w:val="005512EC"/>
    <w:rsid w:val="00560475"/>
    <w:rsid w:val="005741EF"/>
    <w:rsid w:val="00581D8B"/>
    <w:rsid w:val="0058367B"/>
    <w:rsid w:val="005959D7"/>
    <w:rsid w:val="005A3EFB"/>
    <w:rsid w:val="005B33F9"/>
    <w:rsid w:val="005D2565"/>
    <w:rsid w:val="005E1070"/>
    <w:rsid w:val="005E686E"/>
    <w:rsid w:val="005E78AC"/>
    <w:rsid w:val="005F0C86"/>
    <w:rsid w:val="005F241B"/>
    <w:rsid w:val="005F3C02"/>
    <w:rsid w:val="005F3E0F"/>
    <w:rsid w:val="005F5FAB"/>
    <w:rsid w:val="006044E6"/>
    <w:rsid w:val="0060628E"/>
    <w:rsid w:val="006103FD"/>
    <w:rsid w:val="00611D2F"/>
    <w:rsid w:val="00613B5A"/>
    <w:rsid w:val="006205EC"/>
    <w:rsid w:val="00620773"/>
    <w:rsid w:val="006233E7"/>
    <w:rsid w:val="00630857"/>
    <w:rsid w:val="00631A1F"/>
    <w:rsid w:val="00635E9E"/>
    <w:rsid w:val="00636864"/>
    <w:rsid w:val="0063766B"/>
    <w:rsid w:val="00637988"/>
    <w:rsid w:val="00642BBA"/>
    <w:rsid w:val="00646AD0"/>
    <w:rsid w:val="00660064"/>
    <w:rsid w:val="00662271"/>
    <w:rsid w:val="006622F6"/>
    <w:rsid w:val="006656AC"/>
    <w:rsid w:val="006663B2"/>
    <w:rsid w:val="00675C47"/>
    <w:rsid w:val="006803B2"/>
    <w:rsid w:val="00681F63"/>
    <w:rsid w:val="00683A7E"/>
    <w:rsid w:val="0069388F"/>
    <w:rsid w:val="006A13A6"/>
    <w:rsid w:val="006A52F2"/>
    <w:rsid w:val="006A646C"/>
    <w:rsid w:val="006A6C62"/>
    <w:rsid w:val="006B4507"/>
    <w:rsid w:val="006C17CB"/>
    <w:rsid w:val="006C58B9"/>
    <w:rsid w:val="006C5AE7"/>
    <w:rsid w:val="006C66C5"/>
    <w:rsid w:val="006D15AF"/>
    <w:rsid w:val="006D16BC"/>
    <w:rsid w:val="006D2A41"/>
    <w:rsid w:val="006E3A0D"/>
    <w:rsid w:val="006E75CF"/>
    <w:rsid w:val="006F16CB"/>
    <w:rsid w:val="006F6F12"/>
    <w:rsid w:val="006F7B83"/>
    <w:rsid w:val="00701681"/>
    <w:rsid w:val="00703826"/>
    <w:rsid w:val="007235F7"/>
    <w:rsid w:val="0074546D"/>
    <w:rsid w:val="00747F76"/>
    <w:rsid w:val="00755954"/>
    <w:rsid w:val="00762E01"/>
    <w:rsid w:val="00765B70"/>
    <w:rsid w:val="007717DC"/>
    <w:rsid w:val="00774BD5"/>
    <w:rsid w:val="007765E9"/>
    <w:rsid w:val="00780940"/>
    <w:rsid w:val="00785ADE"/>
    <w:rsid w:val="00786C33"/>
    <w:rsid w:val="00792FE4"/>
    <w:rsid w:val="00797457"/>
    <w:rsid w:val="007A4704"/>
    <w:rsid w:val="007A65E6"/>
    <w:rsid w:val="007B4FE0"/>
    <w:rsid w:val="007B520D"/>
    <w:rsid w:val="007B5681"/>
    <w:rsid w:val="007C3860"/>
    <w:rsid w:val="007D1739"/>
    <w:rsid w:val="007D6573"/>
    <w:rsid w:val="007D77E6"/>
    <w:rsid w:val="007E4D23"/>
    <w:rsid w:val="007F49A2"/>
    <w:rsid w:val="007F4DAB"/>
    <w:rsid w:val="007F549C"/>
    <w:rsid w:val="007F5BB8"/>
    <w:rsid w:val="00830C19"/>
    <w:rsid w:val="00840B90"/>
    <w:rsid w:val="00846062"/>
    <w:rsid w:val="008466E2"/>
    <w:rsid w:val="00850DCF"/>
    <w:rsid w:val="008517DC"/>
    <w:rsid w:val="008527CC"/>
    <w:rsid w:val="00854A35"/>
    <w:rsid w:val="008668B4"/>
    <w:rsid w:val="00873F58"/>
    <w:rsid w:val="00874169"/>
    <w:rsid w:val="00877108"/>
    <w:rsid w:val="008804BF"/>
    <w:rsid w:val="008831D6"/>
    <w:rsid w:val="0088728A"/>
    <w:rsid w:val="008873DB"/>
    <w:rsid w:val="00893058"/>
    <w:rsid w:val="00896DFA"/>
    <w:rsid w:val="008A0D49"/>
    <w:rsid w:val="008A1AA2"/>
    <w:rsid w:val="008A2F29"/>
    <w:rsid w:val="008B26AE"/>
    <w:rsid w:val="008B4D41"/>
    <w:rsid w:val="008B5ECA"/>
    <w:rsid w:val="008B7FAF"/>
    <w:rsid w:val="008C008D"/>
    <w:rsid w:val="008C08A6"/>
    <w:rsid w:val="008C7623"/>
    <w:rsid w:val="008E3842"/>
    <w:rsid w:val="008E6774"/>
    <w:rsid w:val="008E7947"/>
    <w:rsid w:val="008F3DA0"/>
    <w:rsid w:val="008F45DF"/>
    <w:rsid w:val="009058F1"/>
    <w:rsid w:val="00912C1F"/>
    <w:rsid w:val="009148F6"/>
    <w:rsid w:val="009174F6"/>
    <w:rsid w:val="00917AA3"/>
    <w:rsid w:val="00922D2A"/>
    <w:rsid w:val="00922FED"/>
    <w:rsid w:val="00926C87"/>
    <w:rsid w:val="009324E0"/>
    <w:rsid w:val="00937100"/>
    <w:rsid w:val="0095401B"/>
    <w:rsid w:val="00956B22"/>
    <w:rsid w:val="00957A27"/>
    <w:rsid w:val="0096327F"/>
    <w:rsid w:val="00965D43"/>
    <w:rsid w:val="00971CAB"/>
    <w:rsid w:val="00974180"/>
    <w:rsid w:val="009744AC"/>
    <w:rsid w:val="00975EDF"/>
    <w:rsid w:val="00976C0B"/>
    <w:rsid w:val="00980CED"/>
    <w:rsid w:val="00981AA3"/>
    <w:rsid w:val="00983275"/>
    <w:rsid w:val="009832BA"/>
    <w:rsid w:val="00987BD4"/>
    <w:rsid w:val="00997B24"/>
    <w:rsid w:val="009A27F3"/>
    <w:rsid w:val="009A5489"/>
    <w:rsid w:val="009A5675"/>
    <w:rsid w:val="009B2911"/>
    <w:rsid w:val="009B44F3"/>
    <w:rsid w:val="009B602C"/>
    <w:rsid w:val="009C1C4E"/>
    <w:rsid w:val="009C5450"/>
    <w:rsid w:val="009C6E05"/>
    <w:rsid w:val="009E2493"/>
    <w:rsid w:val="009E5D0B"/>
    <w:rsid w:val="009F4E34"/>
    <w:rsid w:val="009F616D"/>
    <w:rsid w:val="009F6B51"/>
    <w:rsid w:val="009F7512"/>
    <w:rsid w:val="00A00CAE"/>
    <w:rsid w:val="00A01C6C"/>
    <w:rsid w:val="00A02716"/>
    <w:rsid w:val="00A071CA"/>
    <w:rsid w:val="00A07E39"/>
    <w:rsid w:val="00A1300C"/>
    <w:rsid w:val="00A36084"/>
    <w:rsid w:val="00A37D46"/>
    <w:rsid w:val="00A42622"/>
    <w:rsid w:val="00A5041E"/>
    <w:rsid w:val="00A542A6"/>
    <w:rsid w:val="00A60057"/>
    <w:rsid w:val="00A612BA"/>
    <w:rsid w:val="00A6512B"/>
    <w:rsid w:val="00A671F1"/>
    <w:rsid w:val="00A74C76"/>
    <w:rsid w:val="00A80AD1"/>
    <w:rsid w:val="00A81CE9"/>
    <w:rsid w:val="00A82CE6"/>
    <w:rsid w:val="00A87242"/>
    <w:rsid w:val="00AA21F1"/>
    <w:rsid w:val="00AA5BEA"/>
    <w:rsid w:val="00AD21F0"/>
    <w:rsid w:val="00AD52A8"/>
    <w:rsid w:val="00AE0236"/>
    <w:rsid w:val="00AE6A9C"/>
    <w:rsid w:val="00AE73EC"/>
    <w:rsid w:val="00AE7461"/>
    <w:rsid w:val="00AF05C4"/>
    <w:rsid w:val="00AF2982"/>
    <w:rsid w:val="00AF3A08"/>
    <w:rsid w:val="00B02C5E"/>
    <w:rsid w:val="00B048FB"/>
    <w:rsid w:val="00B04933"/>
    <w:rsid w:val="00B148C0"/>
    <w:rsid w:val="00B17A87"/>
    <w:rsid w:val="00B229A6"/>
    <w:rsid w:val="00B40333"/>
    <w:rsid w:val="00B60B7F"/>
    <w:rsid w:val="00B671A4"/>
    <w:rsid w:val="00B7164E"/>
    <w:rsid w:val="00B96B46"/>
    <w:rsid w:val="00BA2C88"/>
    <w:rsid w:val="00BC7D56"/>
    <w:rsid w:val="00BD4592"/>
    <w:rsid w:val="00BE0EBB"/>
    <w:rsid w:val="00BE11E4"/>
    <w:rsid w:val="00BE3DF6"/>
    <w:rsid w:val="00BE735C"/>
    <w:rsid w:val="00BF23F7"/>
    <w:rsid w:val="00BF3D30"/>
    <w:rsid w:val="00BF7147"/>
    <w:rsid w:val="00C1284E"/>
    <w:rsid w:val="00C14AB7"/>
    <w:rsid w:val="00C33062"/>
    <w:rsid w:val="00C37FE8"/>
    <w:rsid w:val="00C42C6F"/>
    <w:rsid w:val="00C54C40"/>
    <w:rsid w:val="00C6059D"/>
    <w:rsid w:val="00C60733"/>
    <w:rsid w:val="00C64206"/>
    <w:rsid w:val="00C72B7C"/>
    <w:rsid w:val="00C741C9"/>
    <w:rsid w:val="00C82FF1"/>
    <w:rsid w:val="00C9258F"/>
    <w:rsid w:val="00C92C0D"/>
    <w:rsid w:val="00CB7B6C"/>
    <w:rsid w:val="00CC2B2A"/>
    <w:rsid w:val="00CD40DC"/>
    <w:rsid w:val="00CD72BD"/>
    <w:rsid w:val="00CE2D75"/>
    <w:rsid w:val="00CE79DC"/>
    <w:rsid w:val="00CF37B5"/>
    <w:rsid w:val="00D014C4"/>
    <w:rsid w:val="00D01595"/>
    <w:rsid w:val="00D033F2"/>
    <w:rsid w:val="00D14CAA"/>
    <w:rsid w:val="00D1511E"/>
    <w:rsid w:val="00D220D4"/>
    <w:rsid w:val="00D23CFB"/>
    <w:rsid w:val="00D24182"/>
    <w:rsid w:val="00D32018"/>
    <w:rsid w:val="00D36DD0"/>
    <w:rsid w:val="00D4164B"/>
    <w:rsid w:val="00D43F73"/>
    <w:rsid w:val="00D44DE7"/>
    <w:rsid w:val="00D50534"/>
    <w:rsid w:val="00D50EE0"/>
    <w:rsid w:val="00D536A2"/>
    <w:rsid w:val="00D568F8"/>
    <w:rsid w:val="00D6022F"/>
    <w:rsid w:val="00D614B4"/>
    <w:rsid w:val="00D675BF"/>
    <w:rsid w:val="00D712E7"/>
    <w:rsid w:val="00D756F5"/>
    <w:rsid w:val="00D7709A"/>
    <w:rsid w:val="00D80463"/>
    <w:rsid w:val="00D81571"/>
    <w:rsid w:val="00D879E5"/>
    <w:rsid w:val="00D94A1A"/>
    <w:rsid w:val="00DA3D37"/>
    <w:rsid w:val="00DA6EE1"/>
    <w:rsid w:val="00DB317E"/>
    <w:rsid w:val="00DB3887"/>
    <w:rsid w:val="00DB3940"/>
    <w:rsid w:val="00DC33E2"/>
    <w:rsid w:val="00DC78C1"/>
    <w:rsid w:val="00DD0441"/>
    <w:rsid w:val="00DD4FE2"/>
    <w:rsid w:val="00DE726D"/>
    <w:rsid w:val="00DE777D"/>
    <w:rsid w:val="00DF4B54"/>
    <w:rsid w:val="00E00F2B"/>
    <w:rsid w:val="00E0171D"/>
    <w:rsid w:val="00E01BD9"/>
    <w:rsid w:val="00E07FF5"/>
    <w:rsid w:val="00E1343F"/>
    <w:rsid w:val="00E13699"/>
    <w:rsid w:val="00E26064"/>
    <w:rsid w:val="00E35429"/>
    <w:rsid w:val="00E35489"/>
    <w:rsid w:val="00E37BD5"/>
    <w:rsid w:val="00E4059D"/>
    <w:rsid w:val="00E44643"/>
    <w:rsid w:val="00E46948"/>
    <w:rsid w:val="00E475DF"/>
    <w:rsid w:val="00E5566A"/>
    <w:rsid w:val="00E656B6"/>
    <w:rsid w:val="00E66302"/>
    <w:rsid w:val="00E71E31"/>
    <w:rsid w:val="00E8073B"/>
    <w:rsid w:val="00E809BD"/>
    <w:rsid w:val="00E81626"/>
    <w:rsid w:val="00E83D9A"/>
    <w:rsid w:val="00E95145"/>
    <w:rsid w:val="00EA1B68"/>
    <w:rsid w:val="00EA25DE"/>
    <w:rsid w:val="00EA484E"/>
    <w:rsid w:val="00EA7CF2"/>
    <w:rsid w:val="00EB199F"/>
    <w:rsid w:val="00EB2706"/>
    <w:rsid w:val="00EB31B6"/>
    <w:rsid w:val="00EB55C7"/>
    <w:rsid w:val="00EC22E6"/>
    <w:rsid w:val="00EC631E"/>
    <w:rsid w:val="00ED4F89"/>
    <w:rsid w:val="00EE2C3F"/>
    <w:rsid w:val="00EE3527"/>
    <w:rsid w:val="00EE49B7"/>
    <w:rsid w:val="00EE4C3A"/>
    <w:rsid w:val="00EE4EAB"/>
    <w:rsid w:val="00EE721D"/>
    <w:rsid w:val="00EF1905"/>
    <w:rsid w:val="00EF7D6C"/>
    <w:rsid w:val="00F04FFF"/>
    <w:rsid w:val="00F06A64"/>
    <w:rsid w:val="00F0799B"/>
    <w:rsid w:val="00F14F75"/>
    <w:rsid w:val="00F2175A"/>
    <w:rsid w:val="00F23B3B"/>
    <w:rsid w:val="00F2753A"/>
    <w:rsid w:val="00F311BF"/>
    <w:rsid w:val="00F32C4B"/>
    <w:rsid w:val="00F40127"/>
    <w:rsid w:val="00F41172"/>
    <w:rsid w:val="00F434DE"/>
    <w:rsid w:val="00F50665"/>
    <w:rsid w:val="00F5151A"/>
    <w:rsid w:val="00F5387D"/>
    <w:rsid w:val="00F55F17"/>
    <w:rsid w:val="00F579B0"/>
    <w:rsid w:val="00F634B8"/>
    <w:rsid w:val="00F7235C"/>
    <w:rsid w:val="00F75352"/>
    <w:rsid w:val="00F76F15"/>
    <w:rsid w:val="00F83A36"/>
    <w:rsid w:val="00F87F3B"/>
    <w:rsid w:val="00F9161E"/>
    <w:rsid w:val="00F91DB5"/>
    <w:rsid w:val="00F97833"/>
    <w:rsid w:val="00FA3F25"/>
    <w:rsid w:val="00FA68DA"/>
    <w:rsid w:val="00FB091E"/>
    <w:rsid w:val="00FB2B06"/>
    <w:rsid w:val="00FC0CFC"/>
    <w:rsid w:val="00FD24B4"/>
    <w:rsid w:val="00FD7BFF"/>
    <w:rsid w:val="00FE57D5"/>
    <w:rsid w:val="00FF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ne number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C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7A470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B60B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A4704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A470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A4704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A470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60B7F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A4704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7A470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7A4704"/>
    <w:rPr>
      <w:rFonts w:ascii="Calibri" w:eastAsia="宋体" w:hAnsi="Calibri" w:cs="Times New Roman"/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3152C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52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5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52CC"/>
    <w:rPr>
      <w:sz w:val="18"/>
      <w:szCs w:val="18"/>
    </w:rPr>
  </w:style>
  <w:style w:type="paragraph" w:styleId="a5">
    <w:name w:val="Body Text Indent"/>
    <w:basedOn w:val="a"/>
    <w:link w:val="Char1"/>
    <w:rsid w:val="003152CC"/>
    <w:pPr>
      <w:spacing w:line="360" w:lineRule="auto"/>
      <w:ind w:firstLine="576"/>
    </w:pPr>
    <w:rPr>
      <w:sz w:val="28"/>
    </w:rPr>
  </w:style>
  <w:style w:type="character" w:customStyle="1" w:styleId="Char1">
    <w:name w:val="正文文本缩进 Char"/>
    <w:basedOn w:val="a0"/>
    <w:link w:val="a5"/>
    <w:rsid w:val="003152CC"/>
    <w:rPr>
      <w:rFonts w:ascii="Times New Roman" w:eastAsia="宋体" w:hAnsi="Times New Roman" w:cs="Times New Roman"/>
      <w:sz w:val="28"/>
      <w:szCs w:val="20"/>
    </w:rPr>
  </w:style>
  <w:style w:type="paragraph" w:styleId="20">
    <w:name w:val="Body Text Indent 2"/>
    <w:basedOn w:val="a"/>
    <w:link w:val="2Char0"/>
    <w:rsid w:val="003152CC"/>
    <w:pPr>
      <w:spacing w:line="360" w:lineRule="auto"/>
      <w:ind w:firstLine="630"/>
    </w:pPr>
    <w:rPr>
      <w:rFonts w:ascii="宋体"/>
      <w:sz w:val="28"/>
    </w:rPr>
  </w:style>
  <w:style w:type="character" w:customStyle="1" w:styleId="2Char0">
    <w:name w:val="正文文本缩进 2 Char"/>
    <w:basedOn w:val="a0"/>
    <w:link w:val="20"/>
    <w:rsid w:val="003152CC"/>
    <w:rPr>
      <w:rFonts w:ascii="宋体" w:eastAsia="宋体" w:hAnsi="Times New Roman" w:cs="Times New Roman"/>
      <w:sz w:val="28"/>
      <w:szCs w:val="20"/>
    </w:rPr>
  </w:style>
  <w:style w:type="character" w:styleId="a6">
    <w:name w:val="page number"/>
    <w:basedOn w:val="a0"/>
    <w:rsid w:val="003152CC"/>
  </w:style>
  <w:style w:type="paragraph" w:styleId="a7">
    <w:name w:val="Body Text"/>
    <w:basedOn w:val="a"/>
    <w:link w:val="Char2"/>
    <w:rsid w:val="003152CC"/>
    <w:pPr>
      <w:jc w:val="center"/>
    </w:pPr>
    <w:rPr>
      <w:rFonts w:ascii="Arial" w:hAnsi="Arial"/>
      <w:sz w:val="15"/>
    </w:rPr>
  </w:style>
  <w:style w:type="character" w:customStyle="1" w:styleId="Char2">
    <w:name w:val="正文文本 Char"/>
    <w:basedOn w:val="a0"/>
    <w:link w:val="a7"/>
    <w:rsid w:val="003152CC"/>
    <w:rPr>
      <w:rFonts w:ascii="Arial" w:eastAsia="宋体" w:hAnsi="Arial" w:cs="Times New Roman"/>
      <w:sz w:val="15"/>
      <w:szCs w:val="20"/>
    </w:rPr>
  </w:style>
  <w:style w:type="paragraph" w:styleId="a8">
    <w:name w:val="Balloon Text"/>
    <w:basedOn w:val="a"/>
    <w:link w:val="Char3"/>
    <w:uiPriority w:val="99"/>
    <w:rsid w:val="003152CC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qFormat/>
    <w:rsid w:val="003152CC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link w:val="Char4"/>
    <w:qFormat/>
    <w:rsid w:val="003152CC"/>
    <w:pPr>
      <w:jc w:val="center"/>
    </w:pPr>
    <w:rPr>
      <w:b/>
      <w:sz w:val="84"/>
    </w:rPr>
  </w:style>
  <w:style w:type="character" w:customStyle="1" w:styleId="Char4">
    <w:name w:val="标题 Char"/>
    <w:basedOn w:val="a0"/>
    <w:link w:val="a9"/>
    <w:rsid w:val="003152CC"/>
    <w:rPr>
      <w:rFonts w:ascii="Times New Roman" w:eastAsia="宋体" w:hAnsi="Times New Roman" w:cs="Times New Roman"/>
      <w:b/>
      <w:sz w:val="84"/>
      <w:szCs w:val="20"/>
    </w:rPr>
  </w:style>
  <w:style w:type="table" w:styleId="aa">
    <w:name w:val="Table Grid"/>
    <w:basedOn w:val="a1"/>
    <w:qFormat/>
    <w:rsid w:val="003152C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3152CC"/>
    <w:pPr>
      <w:widowControl/>
    </w:pPr>
    <w:rPr>
      <w:kern w:val="0"/>
      <w:szCs w:val="21"/>
    </w:rPr>
  </w:style>
  <w:style w:type="paragraph" w:styleId="ab">
    <w:name w:val="Date"/>
    <w:basedOn w:val="a"/>
    <w:next w:val="a"/>
    <w:link w:val="Char5"/>
    <w:uiPriority w:val="99"/>
    <w:rsid w:val="003152CC"/>
    <w:pPr>
      <w:ind w:leftChars="2500" w:left="100"/>
    </w:pPr>
  </w:style>
  <w:style w:type="character" w:customStyle="1" w:styleId="Char5">
    <w:name w:val="日期 Char"/>
    <w:basedOn w:val="a0"/>
    <w:link w:val="ab"/>
    <w:uiPriority w:val="99"/>
    <w:rsid w:val="003152CC"/>
    <w:rPr>
      <w:rFonts w:ascii="Times New Roman" w:eastAsia="宋体" w:hAnsi="Times New Roman" w:cs="Times New Roman"/>
      <w:szCs w:val="20"/>
    </w:rPr>
  </w:style>
  <w:style w:type="paragraph" w:styleId="ac">
    <w:name w:val="Normal (Web)"/>
    <w:basedOn w:val="a"/>
    <w:rsid w:val="003152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d">
    <w:name w:val="annotation reference"/>
    <w:rsid w:val="003152CC"/>
    <w:rPr>
      <w:sz w:val="21"/>
    </w:rPr>
  </w:style>
  <w:style w:type="character" w:styleId="ae">
    <w:name w:val="Placeholder Text"/>
    <w:basedOn w:val="a0"/>
    <w:uiPriority w:val="99"/>
    <w:rsid w:val="00840B90"/>
    <w:rPr>
      <w:color w:val="666666"/>
    </w:rPr>
  </w:style>
  <w:style w:type="paragraph" w:styleId="af">
    <w:name w:val="List Paragraph"/>
    <w:basedOn w:val="a"/>
    <w:uiPriority w:val="99"/>
    <w:qFormat/>
    <w:rsid w:val="009B44F3"/>
    <w:pPr>
      <w:ind w:firstLineChars="200" w:firstLine="420"/>
    </w:pPr>
  </w:style>
  <w:style w:type="paragraph" w:styleId="10">
    <w:name w:val="toc 1"/>
    <w:basedOn w:val="a"/>
    <w:next w:val="a"/>
    <w:uiPriority w:val="39"/>
    <w:unhideWhenUsed/>
    <w:qFormat/>
    <w:rsid w:val="007A4704"/>
    <w:rPr>
      <w:rFonts w:ascii="Calibri" w:hAnsi="Calibri"/>
      <w:szCs w:val="22"/>
    </w:rPr>
  </w:style>
  <w:style w:type="paragraph" w:styleId="21">
    <w:name w:val="toc 2"/>
    <w:basedOn w:val="a"/>
    <w:next w:val="a"/>
    <w:uiPriority w:val="39"/>
    <w:unhideWhenUsed/>
    <w:qFormat/>
    <w:rsid w:val="007A4704"/>
    <w:pPr>
      <w:ind w:leftChars="200" w:left="420"/>
    </w:pPr>
    <w:rPr>
      <w:rFonts w:ascii="Calibri" w:hAnsi="Calibri"/>
      <w:szCs w:val="22"/>
    </w:rPr>
  </w:style>
  <w:style w:type="character" w:styleId="af0">
    <w:name w:val="line number"/>
    <w:uiPriority w:val="99"/>
    <w:unhideWhenUsed/>
    <w:qFormat/>
    <w:rsid w:val="007A4704"/>
  </w:style>
  <w:style w:type="character" w:styleId="af1">
    <w:name w:val="Hyperlink"/>
    <w:uiPriority w:val="99"/>
    <w:unhideWhenUsed/>
    <w:qFormat/>
    <w:rsid w:val="007A4704"/>
    <w:rPr>
      <w:color w:val="0000FF"/>
      <w:u w:val="single"/>
    </w:rPr>
  </w:style>
  <w:style w:type="paragraph" w:customStyle="1" w:styleId="11">
    <w:name w:val="列出段落1"/>
    <w:basedOn w:val="a"/>
    <w:uiPriority w:val="34"/>
    <w:qFormat/>
    <w:rsid w:val="007A4704"/>
    <w:pPr>
      <w:ind w:firstLineChars="200" w:firstLine="420"/>
    </w:pPr>
    <w:rPr>
      <w:rFonts w:ascii="Calibri" w:hAnsi="Calibri"/>
      <w:szCs w:val="22"/>
    </w:rPr>
  </w:style>
  <w:style w:type="paragraph" w:customStyle="1" w:styleId="af2">
    <w:name w:val="封面标准名称"/>
    <w:qFormat/>
    <w:rsid w:val="007A4704"/>
    <w:pPr>
      <w:widowControl w:val="0"/>
      <w:spacing w:after="80" w:line="680" w:lineRule="exact"/>
      <w:jc w:val="center"/>
      <w:textAlignment w:val="center"/>
    </w:pPr>
    <w:rPr>
      <w:rFonts w:ascii="黑体" w:eastAsia="黑体" w:hAnsi="Times New Roman" w:cs="Times New Roman"/>
      <w:color w:val="000000"/>
      <w:kern w:val="0"/>
      <w:sz w:val="52"/>
      <w:szCs w:val="21"/>
    </w:rPr>
  </w:style>
  <w:style w:type="paragraph" w:customStyle="1" w:styleId="af3">
    <w:name w:val="封面正文"/>
    <w:rsid w:val="007A4704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7A4704"/>
    <w:pPr>
      <w:keepNext w:val="0"/>
      <w:keepLines w:val="0"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qFormat/>
    <w:rsid w:val="007A4704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f4">
    <w:name w:val="No Spacing"/>
    <w:link w:val="Char6"/>
    <w:uiPriority w:val="1"/>
    <w:qFormat/>
    <w:rsid w:val="007A4704"/>
    <w:rPr>
      <w:kern w:val="0"/>
      <w:sz w:val="22"/>
    </w:rPr>
  </w:style>
  <w:style w:type="character" w:customStyle="1" w:styleId="Char6">
    <w:name w:val="无间隔 Char"/>
    <w:basedOn w:val="a0"/>
    <w:link w:val="af4"/>
    <w:uiPriority w:val="1"/>
    <w:rsid w:val="007A4704"/>
    <w:rPr>
      <w:kern w:val="0"/>
      <w:sz w:val="22"/>
    </w:rPr>
  </w:style>
  <w:style w:type="paragraph" w:customStyle="1" w:styleId="af5">
    <w:basedOn w:val="a"/>
    <w:next w:val="af"/>
    <w:uiPriority w:val="34"/>
    <w:qFormat/>
    <w:rsid w:val="00912C1F"/>
    <w:pPr>
      <w:spacing w:line="360" w:lineRule="auto"/>
      <w:ind w:firstLineChars="200" w:firstLine="420"/>
    </w:pPr>
    <w:rPr>
      <w:rFonts w:eastAsia="黑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1808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 鑫</dc:creator>
  <cp:keywords/>
  <dc:description/>
  <cp:lastModifiedBy>Microsoft</cp:lastModifiedBy>
  <cp:revision>68</cp:revision>
  <dcterms:created xsi:type="dcterms:W3CDTF">2024-05-25T03:23:00Z</dcterms:created>
  <dcterms:modified xsi:type="dcterms:W3CDTF">2025-01-07T02:15:00Z</dcterms:modified>
</cp:coreProperties>
</file>