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80B16">
      <w:pPr>
        <w:pStyle w:val="10"/>
        <w:jc w:val="center"/>
        <w:rPr>
          <w:rFonts w:ascii="黑体" w:eastAsia="黑体"/>
          <w:sz w:val="36"/>
          <w:szCs w:val="36"/>
        </w:rPr>
      </w:pPr>
    </w:p>
    <w:p w14:paraId="5B978052">
      <w:pPr>
        <w:pStyle w:val="10"/>
        <w:jc w:val="center"/>
        <w:rPr>
          <w:rFonts w:ascii="黑体" w:eastAsia="黑体"/>
          <w:sz w:val="36"/>
          <w:szCs w:val="36"/>
        </w:rPr>
      </w:pPr>
    </w:p>
    <w:p w14:paraId="47FE6537">
      <w:pPr>
        <w:pStyle w:val="10"/>
        <w:jc w:val="center"/>
        <w:rPr>
          <w:rFonts w:ascii="黑体" w:eastAsia="黑体"/>
          <w:sz w:val="36"/>
          <w:szCs w:val="36"/>
        </w:rPr>
      </w:pPr>
    </w:p>
    <w:p w14:paraId="1D584B4D">
      <w:pPr>
        <w:pStyle w:val="10"/>
        <w:jc w:val="center"/>
        <w:rPr>
          <w:rFonts w:ascii="黑体" w:eastAsia="黑体"/>
          <w:sz w:val="36"/>
          <w:szCs w:val="36"/>
        </w:rPr>
      </w:pPr>
      <w:r>
        <w:rPr>
          <w:rFonts w:hint="eastAsia" w:ascii="黑体" w:eastAsia="黑体"/>
          <w:sz w:val="36"/>
          <w:szCs w:val="36"/>
        </w:rPr>
        <w:t>《</w:t>
      </w:r>
      <w:r>
        <w:rPr>
          <w:rFonts w:hint="eastAsia" w:ascii="黑体" w:eastAsia="黑体"/>
          <w:sz w:val="36"/>
          <w:szCs w:val="36"/>
          <w:lang w:val="en-US" w:eastAsia="zh-CN"/>
        </w:rPr>
        <w:t>高频电刀分析仪</w:t>
      </w:r>
      <w:r>
        <w:rPr>
          <w:rFonts w:hint="eastAsia" w:ascii="黑体" w:eastAsia="黑体"/>
          <w:sz w:val="36"/>
          <w:szCs w:val="36"/>
        </w:rPr>
        <w:t>校准方法》</w:t>
      </w:r>
    </w:p>
    <w:p w14:paraId="247413F0">
      <w:pPr>
        <w:rPr>
          <w:rFonts w:eastAsia="黑体"/>
          <w:color w:val="000000"/>
          <w:sz w:val="48"/>
          <w:szCs w:val="48"/>
        </w:rPr>
      </w:pPr>
    </w:p>
    <w:p w14:paraId="4D904EAB">
      <w:pPr>
        <w:ind w:firstLine="3600" w:firstLineChars="750"/>
        <w:rPr>
          <w:rFonts w:eastAsia="黑体"/>
          <w:color w:val="000000"/>
          <w:sz w:val="48"/>
          <w:szCs w:val="48"/>
        </w:rPr>
      </w:pPr>
    </w:p>
    <w:p w14:paraId="6A41C82F">
      <w:pPr>
        <w:jc w:val="center"/>
        <w:rPr>
          <w:rFonts w:eastAsia="黑体"/>
          <w:color w:val="000000"/>
          <w:sz w:val="52"/>
          <w:szCs w:val="52"/>
        </w:rPr>
      </w:pPr>
      <w:r>
        <w:rPr>
          <w:rFonts w:hint="eastAsia" w:eastAsia="黑体"/>
          <w:color w:val="000000"/>
          <w:sz w:val="52"/>
          <w:szCs w:val="52"/>
        </w:rPr>
        <w:t>团体标准编制说明</w:t>
      </w:r>
    </w:p>
    <w:p w14:paraId="0F9B39BE">
      <w:pPr>
        <w:pStyle w:val="10"/>
        <w:spacing w:line="580" w:lineRule="exact"/>
        <w:ind w:firstLine="420"/>
        <w:jc w:val="left"/>
        <w:rPr>
          <w:rFonts w:ascii="宋体" w:hAnsi="宋体"/>
          <w:color w:val="000000"/>
          <w:sz w:val="28"/>
          <w:szCs w:val="28"/>
        </w:rPr>
      </w:pPr>
    </w:p>
    <w:p w14:paraId="43DC089D">
      <w:pPr>
        <w:pStyle w:val="10"/>
        <w:spacing w:line="580" w:lineRule="exact"/>
        <w:ind w:firstLine="420"/>
        <w:jc w:val="left"/>
        <w:rPr>
          <w:rFonts w:ascii="宋体" w:hAnsi="宋体"/>
          <w:color w:val="000000"/>
          <w:sz w:val="28"/>
          <w:szCs w:val="28"/>
        </w:rPr>
      </w:pPr>
    </w:p>
    <w:p w14:paraId="33F67D20">
      <w:pPr>
        <w:pStyle w:val="10"/>
        <w:spacing w:line="580" w:lineRule="exact"/>
        <w:ind w:firstLine="1960" w:firstLineChars="700"/>
        <w:jc w:val="left"/>
        <w:rPr>
          <w:rFonts w:ascii="宋体" w:hAnsi="宋体" w:cs="宋体"/>
          <w:color w:val="000000"/>
          <w:sz w:val="28"/>
          <w:szCs w:val="28"/>
        </w:rPr>
      </w:pPr>
      <w:r>
        <w:rPr>
          <w:rFonts w:hint="eastAsia" w:ascii="宋体" w:hAnsi="宋体"/>
          <w:color w:val="000000"/>
          <w:sz w:val="28"/>
          <w:szCs w:val="28"/>
        </w:rPr>
        <w:t xml:space="preserve">         </w:t>
      </w:r>
    </w:p>
    <w:p w14:paraId="21E94CEB">
      <w:pPr>
        <w:pStyle w:val="10"/>
        <w:spacing w:line="580" w:lineRule="exact"/>
        <w:ind w:firstLine="420"/>
        <w:jc w:val="left"/>
        <w:rPr>
          <w:rFonts w:ascii="黑体" w:hAnsi="黑体" w:eastAsia="黑体" w:cs="黑体"/>
          <w:color w:val="000000"/>
          <w:sz w:val="28"/>
          <w:szCs w:val="28"/>
        </w:rPr>
      </w:pPr>
      <w:r>
        <w:rPr>
          <w:rFonts w:ascii="宋体" w:hAnsi="宋体" w:cs="宋体"/>
          <w:color w:val="000000"/>
          <w:sz w:val="28"/>
          <w:szCs w:val="28"/>
        </w:rPr>
        <w:t xml:space="preserve">                     </w:t>
      </w:r>
      <w:r>
        <w:rPr>
          <w:rFonts w:hint="eastAsia" w:ascii="黑体" w:hAnsi="黑体" w:eastAsia="黑体" w:cs="黑体"/>
          <w:color w:val="000000"/>
          <w:sz w:val="28"/>
          <w:szCs w:val="28"/>
        </w:rPr>
        <w:t xml:space="preserve">      </w:t>
      </w:r>
    </w:p>
    <w:p w14:paraId="55A4926E">
      <w:pPr>
        <w:pStyle w:val="10"/>
        <w:spacing w:line="580" w:lineRule="exact"/>
        <w:ind w:firstLine="420"/>
        <w:jc w:val="left"/>
        <w:rPr>
          <w:rFonts w:ascii="黑体" w:hAnsi="黑体" w:eastAsia="黑体" w:cs="黑体"/>
          <w:color w:val="000000"/>
          <w:sz w:val="28"/>
          <w:szCs w:val="28"/>
        </w:rPr>
      </w:pPr>
    </w:p>
    <w:p w14:paraId="3D278386">
      <w:pPr>
        <w:pStyle w:val="10"/>
        <w:spacing w:line="580" w:lineRule="exact"/>
        <w:ind w:firstLine="420"/>
        <w:jc w:val="left"/>
        <w:rPr>
          <w:rFonts w:ascii="黑体" w:hAnsi="黑体" w:eastAsia="黑体" w:cs="黑体"/>
          <w:color w:val="000000"/>
          <w:sz w:val="28"/>
          <w:szCs w:val="28"/>
        </w:rPr>
      </w:pPr>
      <w:r>
        <w:rPr>
          <w:rFonts w:hint="eastAsia" w:ascii="黑体" w:hAnsi="黑体" w:eastAsia="黑体" w:cs="黑体"/>
          <w:color w:val="000000"/>
          <w:sz w:val="28"/>
          <w:szCs w:val="28"/>
        </w:rPr>
        <w:t xml:space="preserve">         </w:t>
      </w:r>
    </w:p>
    <w:p w14:paraId="7C52B22C">
      <w:pPr>
        <w:pStyle w:val="10"/>
        <w:spacing w:line="580" w:lineRule="exact"/>
        <w:ind w:firstLine="420"/>
        <w:jc w:val="left"/>
        <w:rPr>
          <w:rFonts w:ascii="黑体" w:hAnsi="黑体" w:eastAsia="黑体" w:cs="黑体"/>
          <w:color w:val="000000"/>
          <w:sz w:val="28"/>
          <w:szCs w:val="28"/>
        </w:rPr>
      </w:pPr>
    </w:p>
    <w:p w14:paraId="2D46DA51">
      <w:pPr>
        <w:pStyle w:val="10"/>
        <w:spacing w:line="580" w:lineRule="exact"/>
        <w:ind w:firstLine="420"/>
        <w:jc w:val="left"/>
        <w:rPr>
          <w:rFonts w:ascii="黑体" w:hAnsi="黑体" w:eastAsia="黑体" w:cs="黑体"/>
          <w:color w:val="000000"/>
          <w:sz w:val="28"/>
          <w:szCs w:val="28"/>
        </w:rPr>
      </w:pPr>
    </w:p>
    <w:p w14:paraId="700CD37D">
      <w:pPr>
        <w:pStyle w:val="10"/>
        <w:spacing w:line="580" w:lineRule="exact"/>
        <w:ind w:firstLine="420"/>
        <w:jc w:val="left"/>
        <w:rPr>
          <w:rFonts w:ascii="黑体" w:eastAsia="黑体"/>
          <w:color w:val="000000"/>
          <w:sz w:val="24"/>
        </w:rPr>
      </w:pPr>
      <w:r>
        <w:rPr>
          <w:rFonts w:hint="eastAsia" w:ascii="黑体" w:hAnsi="黑体" w:eastAsia="黑体" w:cs="黑体"/>
          <w:color w:val="000000"/>
          <w:sz w:val="28"/>
          <w:szCs w:val="28"/>
        </w:rPr>
        <w:t xml:space="preserve">  </w:t>
      </w:r>
    </w:p>
    <w:p w14:paraId="6BB85D57">
      <w:pPr>
        <w:jc w:val="left"/>
        <w:rPr>
          <w:rFonts w:ascii="黑体" w:eastAsia="黑体"/>
          <w:color w:val="000000"/>
          <w:sz w:val="24"/>
        </w:rPr>
      </w:pPr>
    </w:p>
    <w:p w14:paraId="0645D04A">
      <w:pPr>
        <w:pStyle w:val="2"/>
        <w:ind w:left="0" w:leftChars="0" w:firstLine="3654" w:firstLineChars="1300"/>
        <w:rPr>
          <w:rFonts w:ascii="黑体" w:eastAsia="黑体"/>
          <w:color w:val="000000"/>
          <w:sz w:val="28"/>
          <w:szCs w:val="28"/>
        </w:rPr>
      </w:pPr>
      <w:r>
        <w:rPr>
          <w:rFonts w:hint="eastAsia" w:ascii="宋体" w:hAnsi="宋体" w:cs="宋体"/>
          <w:b/>
          <w:sz w:val="28"/>
          <w:szCs w:val="28"/>
        </w:rPr>
        <w:t>团体标准起草组</w:t>
      </w:r>
    </w:p>
    <w:p w14:paraId="472A153E">
      <w:pPr>
        <w:ind w:firstLine="3935" w:firstLineChars="1400"/>
        <w:jc w:val="left"/>
        <w:rPr>
          <w:rFonts w:hint="default" w:ascii="黑体" w:eastAsia="宋体"/>
          <w:color w:val="000000"/>
          <w:sz w:val="24"/>
          <w:lang w:val="en-US" w:eastAsia="zh-CN"/>
        </w:rPr>
        <w:sectPr>
          <w:headerReference r:id="rId3" w:type="default"/>
          <w:pgSz w:w="11906" w:h="16838"/>
          <w:pgMar w:top="1134" w:right="1417" w:bottom="1134" w:left="1417" w:header="851" w:footer="992" w:gutter="0"/>
          <w:pgNumType w:start="1"/>
          <w:cols w:space="720" w:num="1"/>
          <w:docGrid w:type="lines" w:linePitch="312" w:charSpace="0"/>
        </w:sectPr>
      </w:pPr>
      <w:r>
        <w:rPr>
          <w:rFonts w:hint="eastAsia" w:ascii="宋体" w:hAnsi="宋体" w:eastAsia="宋体" w:cs="宋体"/>
          <w:b/>
          <w:sz w:val="28"/>
          <w:szCs w:val="28"/>
        </w:rPr>
        <w:t>202</w:t>
      </w:r>
      <w:r>
        <w:rPr>
          <w:rFonts w:hint="eastAsia" w:ascii="宋体" w:hAnsi="宋体" w:eastAsia="宋体" w:cs="宋体"/>
          <w:b/>
          <w:sz w:val="28"/>
          <w:szCs w:val="28"/>
          <w:lang w:val="en-US" w:eastAsia="zh-CN"/>
        </w:rPr>
        <w:t>5</w:t>
      </w:r>
      <w:r>
        <w:rPr>
          <w:rFonts w:hint="eastAsia" w:ascii="宋体" w:hAnsi="宋体" w:eastAsia="宋体" w:cs="宋体"/>
          <w:b/>
          <w:sz w:val="28"/>
          <w:szCs w:val="28"/>
        </w:rPr>
        <w:t>.0</w:t>
      </w:r>
      <w:r>
        <w:rPr>
          <w:rFonts w:hint="eastAsia" w:ascii="宋体" w:hAnsi="宋体" w:eastAsia="宋体" w:cs="宋体"/>
          <w:b/>
          <w:sz w:val="28"/>
          <w:szCs w:val="28"/>
          <w:lang w:val="en-US" w:eastAsia="zh-CN"/>
        </w:rPr>
        <w:t>4</w:t>
      </w:r>
      <w:r>
        <w:rPr>
          <w:rFonts w:hint="eastAsia" w:ascii="宋体" w:hAnsi="宋体" w:eastAsia="宋体" w:cs="宋体"/>
          <w:b/>
          <w:sz w:val="28"/>
          <w:szCs w:val="28"/>
        </w:rPr>
        <w:t>.</w:t>
      </w:r>
      <w:r>
        <w:rPr>
          <w:rFonts w:hint="eastAsia" w:ascii="宋体" w:hAnsi="宋体" w:eastAsia="宋体" w:cs="宋体"/>
          <w:b/>
          <w:sz w:val="28"/>
          <w:szCs w:val="28"/>
          <w:lang w:val="en-US" w:eastAsia="zh-CN"/>
        </w:rPr>
        <w:t>10</w:t>
      </w:r>
    </w:p>
    <w:p w14:paraId="0CE67D48">
      <w:pPr>
        <w:autoSpaceDE w:val="0"/>
        <w:autoSpaceDN w:val="0"/>
        <w:adjustRightInd w:val="0"/>
        <w:jc w:val="center"/>
        <w:rPr>
          <w:rFonts w:ascii="仿宋" w:eastAsia="仿宋" w:cs="仿宋" w:hAnsiTheme="minorHAnsi"/>
          <w:sz w:val="44"/>
          <w:szCs w:val="44"/>
        </w:rPr>
      </w:pPr>
      <w:r>
        <w:rPr>
          <w:rFonts w:hint="eastAsia" w:ascii="仿宋" w:eastAsia="仿宋" w:cs="仿宋" w:hAnsiTheme="minorHAnsi"/>
          <w:sz w:val="44"/>
          <w:szCs w:val="44"/>
        </w:rPr>
        <w:t>《</w:t>
      </w:r>
      <w:r>
        <w:rPr>
          <w:rFonts w:hint="eastAsia" w:ascii="仿宋" w:eastAsia="仿宋" w:cs="仿宋" w:hAnsiTheme="minorHAnsi"/>
          <w:sz w:val="44"/>
          <w:szCs w:val="44"/>
          <w:lang w:val="en-US" w:eastAsia="zh-CN"/>
        </w:rPr>
        <w:t>高频电刀分析仪</w:t>
      </w:r>
      <w:r>
        <w:rPr>
          <w:rFonts w:hint="eastAsia" w:ascii="仿宋" w:eastAsia="仿宋" w:cs="仿宋" w:hAnsiTheme="minorHAnsi"/>
          <w:sz w:val="44"/>
          <w:szCs w:val="44"/>
        </w:rPr>
        <w:t>校准方法》</w:t>
      </w:r>
    </w:p>
    <w:p w14:paraId="5C7DED3A">
      <w:pPr>
        <w:jc w:val="center"/>
        <w:rPr>
          <w:rFonts w:ascii="仿宋" w:eastAsia="仿宋" w:cs="仿宋" w:hAnsiTheme="minorHAnsi"/>
          <w:sz w:val="44"/>
          <w:szCs w:val="44"/>
        </w:rPr>
      </w:pPr>
      <w:r>
        <w:rPr>
          <w:rFonts w:hint="eastAsia" w:ascii="仿宋" w:eastAsia="仿宋" w:cs="仿宋" w:hAnsiTheme="minorHAnsi"/>
          <w:sz w:val="44"/>
          <w:szCs w:val="44"/>
        </w:rPr>
        <w:t>团体标准编制说明</w:t>
      </w:r>
    </w:p>
    <w:p w14:paraId="1364BB71">
      <w:pPr>
        <w:autoSpaceDE w:val="0"/>
        <w:autoSpaceDN w:val="0"/>
        <w:adjustRightInd w:val="0"/>
        <w:jc w:val="left"/>
        <w:rPr>
          <w:rFonts w:ascii="宋体" w:eastAsia="宋体" w:cs="宋体" w:hAnsiTheme="minorHAnsi"/>
          <w:szCs w:val="30"/>
        </w:rPr>
      </w:pPr>
      <w:r>
        <w:rPr>
          <w:rFonts w:hint="eastAsia" w:ascii="宋体" w:eastAsia="宋体" w:cs="宋体" w:hAnsiTheme="minorHAnsi"/>
          <w:szCs w:val="30"/>
        </w:rPr>
        <w:t>一、工作简况</w:t>
      </w:r>
    </w:p>
    <w:p w14:paraId="17D2D299">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（一）任务来源</w:t>
      </w:r>
    </w:p>
    <w:p w14:paraId="6A82E4F8">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根据中国计量协会《关于批准中国计量协会团体标准计划项目的通知》中计协函〔2024〕73号，本标准《高频电刀检测仪校准方法》于2024年6月18日在中国计量协会立项，由山东中测校准质控技术有限公司牵头制定。</w:t>
      </w:r>
    </w:p>
    <w:p w14:paraId="6FBE27A6">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（二）主要起草单位</w:t>
      </w:r>
    </w:p>
    <w:p w14:paraId="308DEDDF">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山东中测校准质控技术有限公司、</w:t>
      </w:r>
      <w:r>
        <w:rPr>
          <w:rFonts w:hint="eastAsia" w:ascii="宋体" w:eastAsia="宋体" w:cs="宋体" w:hAnsiTheme="minorHAnsi"/>
          <w:sz w:val="28"/>
          <w:szCs w:val="28"/>
          <w:lang w:val="en-US" w:eastAsia="zh-CN"/>
        </w:rPr>
        <w:t>威海市妇幼保健院 2</w:t>
      </w:r>
      <w:r>
        <w:rPr>
          <w:rFonts w:hint="eastAsia" w:ascii="宋体" w:eastAsia="宋体" w:cs="宋体" w:hAnsiTheme="minorHAnsi"/>
          <w:sz w:val="28"/>
          <w:szCs w:val="28"/>
        </w:rPr>
        <w:t>家单位。</w:t>
      </w:r>
    </w:p>
    <w:p w14:paraId="409AF9D8">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（三）主要工作过程</w:t>
      </w:r>
    </w:p>
    <w:p w14:paraId="424FCC6B">
      <w:pPr>
        <w:autoSpaceDE w:val="0"/>
        <w:autoSpaceDN w:val="0"/>
        <w:adjustRightInd w:val="0"/>
        <w:jc w:val="left"/>
        <w:rPr>
          <w:rFonts w:ascii="宋体" w:eastAsia="宋体" w:cs="宋体" w:hAnsiTheme="minorHAnsi"/>
          <w:sz w:val="28"/>
          <w:szCs w:val="28"/>
        </w:rPr>
      </w:pPr>
      <w:r>
        <w:rPr>
          <w:rFonts w:ascii="宋体" w:eastAsia="宋体" w:cs="宋体" w:hAnsiTheme="minorHAnsi"/>
          <w:sz w:val="28"/>
          <w:szCs w:val="28"/>
        </w:rPr>
        <w:t>1</w:t>
      </w:r>
      <w:r>
        <w:rPr>
          <w:rFonts w:hint="eastAsia" w:ascii="宋体" w:eastAsia="宋体" w:cs="宋体" w:hAnsiTheme="minorHAnsi"/>
          <w:sz w:val="28"/>
          <w:szCs w:val="28"/>
        </w:rPr>
        <w:t>、成立标准编制工作组</w:t>
      </w:r>
    </w:p>
    <w:p w14:paraId="5875D304">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《高频电刀分析仪校准方法》团体标准制修订任务下达后，参加该团体标准起草的单位有</w:t>
      </w:r>
      <w:r>
        <w:rPr>
          <w:rFonts w:hint="eastAsia" w:ascii="宋体" w:eastAsia="宋体" w:cs="宋体" w:hAnsiTheme="minorHAnsi"/>
          <w:sz w:val="28"/>
          <w:szCs w:val="28"/>
          <w:lang w:val="en-US" w:eastAsia="zh-CN"/>
        </w:rPr>
        <w:t>2</w:t>
      </w:r>
      <w:r>
        <w:rPr>
          <w:rFonts w:hint="eastAsia" w:ascii="宋体" w:eastAsia="宋体" w:cs="宋体" w:hAnsiTheme="minorHAnsi"/>
          <w:sz w:val="28"/>
          <w:szCs w:val="28"/>
        </w:rPr>
        <w:t>家，成立了标准编制工作组，开始查找有关的现行法律法规，通过知网检索了近</w:t>
      </w:r>
      <w:r>
        <w:rPr>
          <w:rFonts w:ascii="宋体" w:eastAsia="宋体" w:cs="宋体" w:hAnsiTheme="minorHAnsi"/>
          <w:sz w:val="28"/>
          <w:szCs w:val="28"/>
        </w:rPr>
        <w:t>5</w:t>
      </w:r>
      <w:r>
        <w:rPr>
          <w:rFonts w:hint="eastAsia" w:ascii="宋体" w:eastAsia="宋体" w:cs="宋体" w:hAnsiTheme="minorHAnsi"/>
          <w:sz w:val="28"/>
          <w:szCs w:val="28"/>
        </w:rPr>
        <w:t>年的技术文献和相关的国家标准等技术文件，形成标准的框架后，对其内容进行了细致全面的编写，向全国的近二十家单位和机构发出了征求意见稿，并对各方反馈的意见进行处理，组织了必要的实例操作和验证。</w:t>
      </w:r>
    </w:p>
    <w:p w14:paraId="7A9CC90B">
      <w:pPr>
        <w:autoSpaceDE w:val="0"/>
        <w:autoSpaceDN w:val="0"/>
        <w:adjustRightInd w:val="0"/>
        <w:jc w:val="left"/>
        <w:rPr>
          <w:rFonts w:ascii="宋体" w:eastAsia="宋体" w:cs="宋体" w:hAnsiTheme="minorHAnsi"/>
          <w:sz w:val="28"/>
          <w:szCs w:val="28"/>
        </w:rPr>
      </w:pPr>
      <w:r>
        <w:rPr>
          <w:rFonts w:ascii="宋体" w:eastAsia="宋体" w:cs="宋体" w:hAnsiTheme="minorHAnsi"/>
          <w:sz w:val="28"/>
          <w:szCs w:val="28"/>
        </w:rPr>
        <w:t>2</w:t>
      </w:r>
      <w:r>
        <w:rPr>
          <w:rFonts w:hint="eastAsia" w:ascii="宋体" w:eastAsia="宋体" w:cs="宋体" w:hAnsiTheme="minorHAnsi"/>
          <w:sz w:val="28"/>
          <w:szCs w:val="28"/>
        </w:rPr>
        <w:t>、规范形成阶段</w:t>
      </w:r>
    </w:p>
    <w:p w14:paraId="25481E9C">
      <w:pPr>
        <w:autoSpaceDE w:val="0"/>
        <w:autoSpaceDN w:val="0"/>
        <w:adjustRightInd w:val="0"/>
        <w:ind w:firstLine="560" w:firstLineChars="200"/>
        <w:jc w:val="left"/>
        <w:rPr>
          <w:rFonts w:ascii="宋体" w:eastAsia="宋体" w:cs="宋体" w:hAnsiTheme="minorHAnsi"/>
          <w:sz w:val="28"/>
          <w:szCs w:val="28"/>
        </w:rPr>
      </w:pPr>
      <w:r>
        <w:rPr>
          <w:rFonts w:ascii="宋体" w:eastAsia="宋体" w:cs="宋体" w:hAnsiTheme="minorHAnsi"/>
          <w:sz w:val="28"/>
          <w:szCs w:val="28"/>
        </w:rPr>
        <w:t>202</w:t>
      </w:r>
      <w:r>
        <w:rPr>
          <w:rFonts w:hint="eastAsia" w:ascii="宋体" w:eastAsia="宋体" w:cs="宋体" w:hAnsiTheme="minorHAnsi"/>
          <w:sz w:val="28"/>
          <w:szCs w:val="28"/>
        </w:rPr>
        <w:t>3年</w:t>
      </w:r>
      <w:r>
        <w:rPr>
          <w:rFonts w:ascii="宋体" w:eastAsia="宋体" w:cs="宋体" w:hAnsiTheme="minorHAnsi"/>
          <w:sz w:val="28"/>
          <w:szCs w:val="28"/>
        </w:rPr>
        <w:t>5</w:t>
      </w:r>
      <w:r>
        <w:rPr>
          <w:rFonts w:hint="eastAsia" w:ascii="宋体" w:eastAsia="宋体" w:cs="宋体" w:hAnsiTheme="minorHAnsi"/>
          <w:sz w:val="28"/>
          <w:szCs w:val="28"/>
        </w:rPr>
        <w:t>月始，编制小组开展规范前期调研，了解全国</w:t>
      </w:r>
      <w:r>
        <w:rPr>
          <w:rFonts w:hint="eastAsia" w:ascii="宋体" w:eastAsia="宋体" w:cs="宋体" w:hAnsiTheme="minorHAnsi"/>
          <w:sz w:val="28"/>
          <w:szCs w:val="28"/>
          <w:lang w:val="en-US" w:eastAsia="zh-CN"/>
        </w:rPr>
        <w:t>高频电刀分析仪</w:t>
      </w:r>
      <w:r>
        <w:rPr>
          <w:rFonts w:hint="eastAsia" w:ascii="宋体" w:eastAsia="宋体" w:cs="宋体" w:hAnsiTheme="minorHAnsi"/>
          <w:sz w:val="28"/>
          <w:szCs w:val="28"/>
        </w:rPr>
        <w:t>生产与使用情况，搜集相关法律、技术法规，开展相关试验，采集高频电刀检测仪功率、电阻等参数数据采集和分析，进行了三家数据比对，讨论并确定关键性能参数数值范围，确定标准内容及方法，进行草案编写。</w:t>
      </w:r>
    </w:p>
    <w:p w14:paraId="59EF4AB3">
      <w:pPr>
        <w:autoSpaceDE w:val="0"/>
        <w:autoSpaceDN w:val="0"/>
        <w:adjustRightInd w:val="0"/>
        <w:ind w:firstLine="560" w:firstLineChars="200"/>
        <w:jc w:val="left"/>
        <w:rPr>
          <w:rFonts w:ascii="宋体" w:eastAsia="宋体" w:cs="宋体" w:hAnsiTheme="minorHAnsi"/>
          <w:sz w:val="28"/>
          <w:szCs w:val="28"/>
        </w:rPr>
      </w:pPr>
      <w:r>
        <w:rPr>
          <w:rFonts w:ascii="宋体" w:eastAsia="宋体" w:cs="宋体" w:hAnsiTheme="minorHAnsi"/>
          <w:sz w:val="28"/>
          <w:szCs w:val="28"/>
        </w:rPr>
        <w:t>202</w:t>
      </w:r>
      <w:r>
        <w:rPr>
          <w:rFonts w:hint="eastAsia" w:ascii="宋体" w:eastAsia="宋体" w:cs="宋体" w:hAnsiTheme="minorHAnsi"/>
          <w:sz w:val="28"/>
          <w:szCs w:val="28"/>
        </w:rPr>
        <w:t>3年7月，经过广泛的调研，查阅有关文献、标准、规程等技术资料，形成讨论稿（一稿）。</w:t>
      </w:r>
    </w:p>
    <w:p w14:paraId="11D975C7">
      <w:pPr>
        <w:autoSpaceDE w:val="0"/>
        <w:autoSpaceDN w:val="0"/>
        <w:adjustRightInd w:val="0"/>
        <w:ind w:firstLine="560" w:firstLineChars="200"/>
        <w:jc w:val="left"/>
        <w:rPr>
          <w:rFonts w:ascii="宋体" w:eastAsia="宋体" w:cs="宋体" w:hAnsiTheme="minorHAnsi"/>
          <w:sz w:val="28"/>
          <w:szCs w:val="28"/>
        </w:rPr>
      </w:pPr>
      <w:r>
        <w:rPr>
          <w:rFonts w:ascii="宋体" w:eastAsia="宋体" w:cs="宋体" w:hAnsiTheme="minorHAnsi"/>
          <w:sz w:val="28"/>
          <w:szCs w:val="28"/>
        </w:rPr>
        <w:t>202</w:t>
      </w:r>
      <w:r>
        <w:rPr>
          <w:rFonts w:hint="eastAsia" w:ascii="宋体" w:eastAsia="宋体" w:cs="宋体" w:hAnsiTheme="minorHAnsi"/>
          <w:sz w:val="28"/>
          <w:szCs w:val="28"/>
          <w:lang w:val="en-US" w:eastAsia="zh-CN"/>
        </w:rPr>
        <w:t>5</w:t>
      </w:r>
      <w:r>
        <w:rPr>
          <w:rFonts w:ascii="宋体" w:eastAsia="宋体" w:cs="宋体" w:hAnsiTheme="minorHAnsi"/>
          <w:sz w:val="28"/>
          <w:szCs w:val="28"/>
        </w:rPr>
        <w:t xml:space="preserve"> </w:t>
      </w:r>
      <w:r>
        <w:rPr>
          <w:rFonts w:hint="eastAsia" w:ascii="宋体" w:eastAsia="宋体" w:cs="宋体" w:hAnsiTheme="minorHAnsi"/>
          <w:sz w:val="28"/>
          <w:szCs w:val="28"/>
        </w:rPr>
        <w:t>年</w:t>
      </w:r>
      <w:r>
        <w:rPr>
          <w:rFonts w:hint="eastAsia" w:ascii="宋体" w:eastAsia="宋体" w:cs="宋体" w:hAnsiTheme="minorHAnsi"/>
          <w:sz w:val="28"/>
          <w:szCs w:val="28"/>
          <w:lang w:val="en-US" w:eastAsia="zh-CN"/>
        </w:rPr>
        <w:t>4</w:t>
      </w:r>
      <w:r>
        <w:rPr>
          <w:rFonts w:hint="eastAsia" w:ascii="宋体" w:eastAsia="宋体" w:cs="宋体" w:hAnsiTheme="minorHAnsi"/>
          <w:sz w:val="28"/>
          <w:szCs w:val="28"/>
        </w:rPr>
        <w:t>月，编制小组对形成的讨论稿进行集中讨论后，</w:t>
      </w:r>
      <w:r>
        <w:rPr>
          <w:rFonts w:ascii="宋体" w:eastAsia="宋体" w:cs="宋体" w:hAnsiTheme="minorHAnsi"/>
          <w:sz w:val="28"/>
          <w:szCs w:val="28"/>
        </w:rPr>
        <w:t xml:space="preserve">3 </w:t>
      </w:r>
      <w:r>
        <w:rPr>
          <w:rFonts w:hint="eastAsia" w:ascii="宋体" w:eastAsia="宋体" w:cs="宋体" w:hAnsiTheme="minorHAnsi"/>
          <w:sz w:val="28"/>
          <w:szCs w:val="28"/>
        </w:rPr>
        <w:t>次修改，形成征求意见稿。</w:t>
      </w:r>
    </w:p>
    <w:p w14:paraId="5FD227B5">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（四）标准制定目的和意义</w:t>
      </w:r>
      <w:bookmarkStart w:id="0" w:name="_GoBack"/>
      <w:bookmarkEnd w:id="0"/>
    </w:p>
    <w:p w14:paraId="352CDC8A">
      <w:pPr>
        <w:spacing w:line="360" w:lineRule="auto"/>
        <w:ind w:firstLine="560" w:firstLineChars="200"/>
        <w:rPr>
          <w:rFonts w:hint="default" w:ascii="宋体" w:eastAsia="宋体" w:cs="宋体" w:hAnsiTheme="minorHAnsi"/>
          <w:sz w:val="28"/>
          <w:szCs w:val="28"/>
          <w:lang w:val="en-US" w:eastAsia="zh-CN"/>
        </w:rPr>
      </w:pPr>
      <w:r>
        <w:rPr>
          <w:rFonts w:hint="eastAsia" w:ascii="宋体" w:eastAsia="宋体" w:cs="宋体" w:hAnsiTheme="minorHAnsi"/>
          <w:sz w:val="28"/>
          <w:szCs w:val="28"/>
        </w:rPr>
        <w:t>高频电刀分析仪是用以校准、检测高频电刀的专用测试仪器，内置可调阻值的无感电阻，通过测量高频电刀放电电极施加于该负载电阻上的高频电压、高频电流来检测高频电刀的释放功率。高频电刀分析仪主要由电阻网络、采样电路、模/数转换器、微处理器和显示部件等组成。随着</w:t>
      </w:r>
      <w:r>
        <w:rPr>
          <w:rFonts w:hint="eastAsia" w:ascii="宋体" w:eastAsia="宋体" w:cs="宋体" w:hAnsiTheme="minorHAnsi"/>
          <w:sz w:val="28"/>
          <w:szCs w:val="28"/>
          <w:lang w:val="en-US" w:eastAsia="zh-CN"/>
        </w:rPr>
        <w:t>医疗机构对高频电刀的使用质量越来越重视，高频电刀的质量检测及校准工作越来越重要，高频电刀分析仪是目前能够准确地评价高频电刀的性能参数的高端仪器</w:t>
      </w:r>
      <w:r>
        <w:rPr>
          <w:rFonts w:hint="eastAsia" w:ascii="宋体" w:eastAsia="宋体" w:cs="宋体" w:hAnsiTheme="minorHAnsi"/>
          <w:sz w:val="28"/>
          <w:szCs w:val="28"/>
        </w:rPr>
        <w:t>。</w:t>
      </w:r>
      <w:r>
        <w:rPr>
          <w:rFonts w:hint="eastAsia" w:ascii="宋体" w:eastAsia="宋体" w:cs="宋体" w:hAnsiTheme="minorHAnsi"/>
          <w:sz w:val="28"/>
          <w:szCs w:val="28"/>
          <w:lang w:val="en-US" w:eastAsia="zh-CN"/>
        </w:rPr>
        <w:t>因此如何保证高频电刀分析仪的准确性是亟待解决的问题，此标准的制定正是为了解决这一问题而进行的具有指导意义的一项工作。</w:t>
      </w:r>
    </w:p>
    <w:p w14:paraId="76F2D614">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二、标准编制原则与确定标准主要内容的依据</w:t>
      </w:r>
    </w:p>
    <w:p w14:paraId="30F458F6">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（一）标准编制原则</w:t>
      </w:r>
    </w:p>
    <w:p w14:paraId="4B7A9F77">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w:t>
      </w:r>
      <w:r>
        <w:rPr>
          <w:rFonts w:hint="eastAsia" w:ascii="宋体" w:eastAsia="宋体" w:cs="宋体" w:hAnsiTheme="minorHAnsi"/>
          <w:sz w:val="28"/>
          <w:szCs w:val="28"/>
          <w:lang w:val="en-US" w:eastAsia="zh-CN"/>
        </w:rPr>
        <w:t>高频电刀分析仪</w:t>
      </w:r>
      <w:r>
        <w:rPr>
          <w:rFonts w:hint="eastAsia" w:ascii="宋体" w:eastAsia="宋体" w:cs="宋体" w:hAnsiTheme="minorHAnsi"/>
          <w:sz w:val="28"/>
          <w:szCs w:val="28"/>
        </w:rPr>
        <w:t>校准方法》标准的编制在充分调研的基础上，严格遵循了国家法律法规、国家</w:t>
      </w:r>
      <w:r>
        <w:rPr>
          <w:rFonts w:hint="eastAsia" w:ascii="宋体" w:eastAsia="宋体" w:cs="宋体" w:hAnsiTheme="minorHAnsi"/>
          <w:sz w:val="28"/>
          <w:szCs w:val="28"/>
          <w:lang w:val="en-US" w:eastAsia="zh-CN"/>
        </w:rPr>
        <w:t>校准规范</w:t>
      </w:r>
      <w:r>
        <w:rPr>
          <w:rFonts w:hint="eastAsia" w:ascii="宋体" w:eastAsia="宋体" w:cs="宋体" w:hAnsiTheme="minorHAnsi"/>
          <w:sz w:val="28"/>
          <w:szCs w:val="28"/>
        </w:rPr>
        <w:t>。主要遵循了“统一性、可操作性、可行性”的原则。</w:t>
      </w:r>
    </w:p>
    <w:p w14:paraId="529BBDF0">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（二）本标准制定参考的主要依据</w:t>
      </w:r>
    </w:p>
    <w:p w14:paraId="0E4CC8C1">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w:t>
      </w:r>
      <w:r>
        <w:rPr>
          <w:rFonts w:hint="eastAsia" w:ascii="宋体" w:eastAsia="宋体" w:cs="宋体" w:hAnsiTheme="minorHAnsi"/>
          <w:sz w:val="28"/>
          <w:szCs w:val="28"/>
          <w:lang w:val="en-US" w:eastAsia="zh-CN"/>
        </w:rPr>
        <w:t>高频电刀分析仪</w:t>
      </w:r>
      <w:r>
        <w:rPr>
          <w:rFonts w:hint="eastAsia" w:ascii="宋体" w:eastAsia="宋体" w:cs="宋体" w:hAnsiTheme="minorHAnsi"/>
          <w:sz w:val="28"/>
          <w:szCs w:val="28"/>
        </w:rPr>
        <w:t>校准方法》标准制定的依据主要</w:t>
      </w:r>
      <w:r>
        <w:rPr>
          <w:rFonts w:hint="eastAsia" w:ascii="宋体" w:eastAsia="宋体" w:cs="宋体" w:hAnsiTheme="minorHAnsi"/>
          <w:sz w:val="28"/>
          <w:szCs w:val="28"/>
          <w:lang w:val="en-US" w:eastAsia="zh-CN"/>
        </w:rPr>
        <w:t>国家标准和国家规范</w:t>
      </w:r>
      <w:r>
        <w:rPr>
          <w:rFonts w:hint="eastAsia" w:ascii="宋体" w:eastAsia="宋体" w:cs="宋体" w:hAnsiTheme="minorHAnsi"/>
          <w:sz w:val="28"/>
          <w:szCs w:val="28"/>
        </w:rPr>
        <w:t>：</w:t>
      </w:r>
    </w:p>
    <w:p w14:paraId="7EA8E861">
      <w:pPr>
        <w:spacing w:line="360" w:lineRule="auto"/>
        <w:ind w:firstLine="480" w:firstLineChars="200"/>
        <w:rPr>
          <w:sz w:val="24"/>
        </w:rPr>
      </w:pPr>
      <w:r>
        <w:rPr>
          <w:sz w:val="24"/>
        </w:rPr>
        <w:t xml:space="preserve">JJF 1217-2009 </w:t>
      </w:r>
      <w:r>
        <w:rPr>
          <w:rFonts w:hAnsi="宋体"/>
          <w:sz w:val="24"/>
        </w:rPr>
        <w:t>高频电刀校准规范</w:t>
      </w:r>
    </w:p>
    <w:p w14:paraId="3636AEB1">
      <w:pPr>
        <w:spacing w:line="360" w:lineRule="auto"/>
        <w:ind w:firstLine="480" w:firstLineChars="200"/>
        <w:rPr>
          <w:sz w:val="24"/>
        </w:rPr>
      </w:pPr>
      <w:r>
        <w:rPr>
          <w:sz w:val="24"/>
        </w:rPr>
        <w:t xml:space="preserve">GB9706.1-2020 </w:t>
      </w:r>
      <w:r>
        <w:rPr>
          <w:rFonts w:hAnsi="宋体"/>
          <w:sz w:val="24"/>
        </w:rPr>
        <w:t>医用电气设备</w:t>
      </w:r>
      <w:r>
        <w:rPr>
          <w:sz w:val="24"/>
        </w:rPr>
        <w:t xml:space="preserve"> </w:t>
      </w:r>
      <w:r>
        <w:rPr>
          <w:rFonts w:hAnsi="宋体"/>
          <w:sz w:val="24"/>
        </w:rPr>
        <w:t>第一部分：安全通用要求</w:t>
      </w:r>
    </w:p>
    <w:p w14:paraId="5881A9C7">
      <w:pPr>
        <w:autoSpaceDE w:val="0"/>
        <w:autoSpaceDN w:val="0"/>
        <w:adjustRightInd w:val="0"/>
        <w:ind w:firstLine="480" w:firstLineChars="200"/>
        <w:jc w:val="left"/>
        <w:rPr>
          <w:rFonts w:hint="eastAsia" w:ascii="宋体" w:hAnsi="宋体"/>
          <w:sz w:val="24"/>
        </w:rPr>
      </w:pPr>
      <w:r>
        <w:rPr>
          <w:sz w:val="24"/>
        </w:rPr>
        <w:t>GB9706.4-2009</w:t>
      </w:r>
      <w:r>
        <w:rPr>
          <w:rFonts w:hint="eastAsia" w:ascii="宋体" w:hAnsi="宋体"/>
          <w:sz w:val="24"/>
        </w:rPr>
        <w:t xml:space="preserve"> 医用电气设备 第二部分：高频手术设备安全专用要求</w:t>
      </w:r>
    </w:p>
    <w:p w14:paraId="5566EA83">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三、标准主要内容</w:t>
      </w:r>
    </w:p>
    <w:p w14:paraId="65F8066C">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（一）适用范围</w:t>
      </w:r>
    </w:p>
    <w:p w14:paraId="39E616E4">
      <w:pPr>
        <w:autoSpaceDE w:val="0"/>
        <w:autoSpaceDN w:val="0"/>
        <w:adjustRightInd w:val="0"/>
        <w:jc w:val="left"/>
        <w:rPr>
          <w:rFonts w:hint="eastAsia" w:ascii="宋体" w:eastAsia="宋体" w:cs="宋体" w:hAnsiTheme="minorHAnsi"/>
          <w:sz w:val="28"/>
          <w:szCs w:val="28"/>
        </w:rPr>
      </w:pPr>
      <w:r>
        <w:rPr>
          <w:rFonts w:hint="eastAsia" w:ascii="宋体" w:eastAsia="宋体" w:cs="宋体" w:hAnsiTheme="minorHAnsi"/>
          <w:sz w:val="28"/>
          <w:szCs w:val="28"/>
        </w:rPr>
        <w:t>新制造、使用中及修理后的高频电刀分析仪</w:t>
      </w:r>
    </w:p>
    <w:p w14:paraId="4E31D1ED">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（二）主要内容</w:t>
      </w:r>
    </w:p>
    <w:p w14:paraId="53E720B0">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 xml:space="preserve">1  </w:t>
      </w:r>
      <w:r>
        <w:rPr>
          <w:rFonts w:hint="eastAsia" w:ascii="宋体" w:hAnsi="宋体"/>
          <w:sz w:val="24"/>
        </w:rPr>
        <w:t>负载电阻</w:t>
      </w:r>
    </w:p>
    <w:p w14:paraId="740A5C9F">
      <w:pPr>
        <w:autoSpaceDE w:val="0"/>
        <w:autoSpaceDN w:val="0"/>
        <w:adjustRightInd w:val="0"/>
        <w:ind w:left="480" w:leftChars="160" w:firstLine="0" w:firstLineChars="0"/>
        <w:jc w:val="left"/>
        <w:rPr>
          <w:sz w:val="24"/>
        </w:rPr>
      </w:pPr>
      <w:r>
        <w:rPr>
          <w:rFonts w:hint="eastAsia" w:ascii="宋体" w:hAnsi="宋体"/>
          <w:sz w:val="24"/>
        </w:rPr>
        <w:t>测量范围：</w:t>
      </w:r>
      <w:r>
        <w:rPr>
          <w:rFonts w:hint="eastAsia"/>
          <w:sz w:val="24"/>
        </w:rPr>
        <w:t>（10～10000）</w:t>
      </w:r>
      <w:r>
        <w:rPr>
          <w:sz w:val="24"/>
        </w:rPr>
        <w:t>Ω</w:t>
      </w:r>
      <w:r>
        <w:rPr>
          <w:rFonts w:hint="eastAsia"/>
          <w:sz w:val="24"/>
        </w:rPr>
        <w:t>（</w:t>
      </w:r>
      <w:r>
        <w:rPr>
          <w:rFonts w:hint="eastAsia" w:ascii="宋体" w:hAnsi="宋体"/>
          <w:sz w:val="24"/>
        </w:rPr>
        <w:t>步进值不大于</w:t>
      </w:r>
      <w:r>
        <w:rPr>
          <w:sz w:val="24"/>
        </w:rPr>
        <w:t>50 Ω</w:t>
      </w:r>
      <w:r>
        <w:rPr>
          <w:rFonts w:hint="eastAsia"/>
          <w:sz w:val="24"/>
        </w:rPr>
        <w:t>）</w:t>
      </w:r>
      <w:r>
        <w:rPr>
          <w:rFonts w:hint="eastAsia" w:hAnsi="宋体"/>
          <w:sz w:val="24"/>
        </w:rPr>
        <w:t>，</w:t>
      </w:r>
      <w:r>
        <w:rPr>
          <w:rFonts w:hint="eastAsia" w:ascii="宋体" w:hAnsi="宋体"/>
          <w:sz w:val="24"/>
        </w:rPr>
        <w:t>最大允许误差为</w:t>
      </w:r>
      <w:r>
        <w:rPr>
          <w:sz w:val="24"/>
        </w:rPr>
        <w:t>±</w:t>
      </w:r>
      <w:r>
        <w:rPr>
          <w:rFonts w:hint="eastAsia"/>
          <w:sz w:val="24"/>
        </w:rPr>
        <w:t>2.5</w:t>
      </w:r>
      <w:r>
        <w:rPr>
          <w:sz w:val="24"/>
        </w:rPr>
        <w:t xml:space="preserve">% </w:t>
      </w:r>
      <w:r>
        <w:rPr>
          <w:rFonts w:hint="eastAsia" w:ascii="宋体" w:eastAsia="宋体" w:cs="宋体" w:hAnsiTheme="minorHAnsi"/>
          <w:sz w:val="28"/>
          <w:szCs w:val="28"/>
        </w:rPr>
        <w:t xml:space="preserve">。2  </w:t>
      </w:r>
      <w:r>
        <w:rPr>
          <w:rFonts w:hint="eastAsia"/>
          <w:sz w:val="24"/>
        </w:rPr>
        <w:t>高频</w:t>
      </w:r>
      <w:r>
        <w:rPr>
          <w:rFonts w:hint="eastAsia" w:hAnsi="宋体"/>
          <w:sz w:val="24"/>
        </w:rPr>
        <w:t>功率</w:t>
      </w:r>
    </w:p>
    <w:p w14:paraId="22D4ACAF">
      <w:pPr>
        <w:spacing w:line="360" w:lineRule="auto"/>
        <w:ind w:firstLine="480" w:firstLineChars="200"/>
        <w:rPr>
          <w:sz w:val="24"/>
        </w:rPr>
      </w:pPr>
      <w:r>
        <w:rPr>
          <w:rFonts w:hint="eastAsia" w:hAnsi="宋体"/>
          <w:sz w:val="24"/>
        </w:rPr>
        <w:t>测量</w:t>
      </w:r>
      <w:r>
        <w:rPr>
          <w:rFonts w:hAnsi="宋体"/>
          <w:sz w:val="24"/>
        </w:rPr>
        <w:t>范围：</w:t>
      </w:r>
      <w:r>
        <w:rPr>
          <w:rFonts w:hint="eastAsia" w:hAnsi="宋体"/>
          <w:sz w:val="24"/>
        </w:rPr>
        <w:t>（1</w:t>
      </w:r>
      <w:r>
        <w:rPr>
          <w:rFonts w:hAnsi="宋体"/>
          <w:sz w:val="24"/>
        </w:rPr>
        <w:t>～</w:t>
      </w:r>
      <w:r>
        <w:rPr>
          <w:rFonts w:hint="eastAsia" w:hAnsi="宋体"/>
          <w:sz w:val="24"/>
        </w:rPr>
        <w:t>350）W</w:t>
      </w:r>
      <w:r>
        <w:rPr>
          <w:rFonts w:hint="eastAsia"/>
          <w:sz w:val="24"/>
        </w:rPr>
        <w:t>；</w:t>
      </w:r>
      <w:r>
        <w:rPr>
          <w:rFonts w:hint="eastAsia" w:ascii="宋体" w:hAnsi="宋体"/>
          <w:sz w:val="24"/>
        </w:rPr>
        <w:t>≤</w:t>
      </w:r>
      <w:r>
        <w:rPr>
          <w:rFonts w:hint="eastAsia"/>
          <w:sz w:val="24"/>
        </w:rPr>
        <w:t>50W最大允许</w:t>
      </w:r>
      <w:r>
        <w:rPr>
          <w:rFonts w:hAnsi="宋体"/>
          <w:sz w:val="24"/>
        </w:rPr>
        <w:t>误差</w:t>
      </w:r>
      <w:r>
        <w:rPr>
          <w:rFonts w:hint="eastAsia" w:hAnsi="宋体"/>
          <w:sz w:val="24"/>
        </w:rPr>
        <w:t>：</w:t>
      </w:r>
      <w:r>
        <w:rPr>
          <w:sz w:val="24"/>
        </w:rPr>
        <w:t>±(5.0%×F+1)W</w:t>
      </w:r>
      <w:r>
        <w:rPr>
          <w:rFonts w:hint="eastAsia"/>
          <w:sz w:val="24"/>
        </w:rPr>
        <w:t>；</w:t>
      </w:r>
    </w:p>
    <w:p w14:paraId="3988D236">
      <w:pPr>
        <w:spacing w:line="360" w:lineRule="auto"/>
        <w:ind w:firstLine="3240" w:firstLineChars="1350"/>
        <w:rPr>
          <w:rFonts w:ascii="宋体" w:eastAsia="宋体" w:cs="宋体" w:hAnsiTheme="minorHAnsi"/>
          <w:sz w:val="28"/>
          <w:szCs w:val="28"/>
        </w:rPr>
      </w:pPr>
      <w:r>
        <w:rPr>
          <w:rFonts w:hint="eastAsia" w:ascii="宋体" w:hAnsi="宋体"/>
          <w:sz w:val="24"/>
        </w:rPr>
        <w:t>&gt;</w:t>
      </w:r>
      <w:r>
        <w:rPr>
          <w:rFonts w:hint="eastAsia"/>
          <w:sz w:val="24"/>
        </w:rPr>
        <w:t>50W最大允许</w:t>
      </w:r>
      <w:r>
        <w:rPr>
          <w:rFonts w:hAnsi="宋体"/>
          <w:sz w:val="24"/>
        </w:rPr>
        <w:t>误差</w:t>
      </w:r>
      <w:r>
        <w:rPr>
          <w:rFonts w:hint="eastAsia" w:hAnsi="宋体"/>
          <w:sz w:val="24"/>
        </w:rPr>
        <w:t>：</w:t>
      </w:r>
      <w:r>
        <w:rPr>
          <w:sz w:val="24"/>
        </w:rPr>
        <w:t>±</w:t>
      </w:r>
      <w:r>
        <w:rPr>
          <w:rFonts w:hint="eastAsia"/>
          <w:sz w:val="24"/>
        </w:rPr>
        <w:t>5.0</w:t>
      </w:r>
      <w:r>
        <w:rPr>
          <w:sz w:val="24"/>
        </w:rPr>
        <w:t>%</w:t>
      </w:r>
      <w:r>
        <w:rPr>
          <w:rFonts w:hint="eastAsia"/>
          <w:sz w:val="24"/>
        </w:rPr>
        <w:t xml:space="preserve"> 。</w:t>
      </w:r>
    </w:p>
    <w:p w14:paraId="73E8098A">
      <w:pPr>
        <w:spacing w:line="360" w:lineRule="auto"/>
        <w:ind w:firstLine="560" w:firstLineChars="200"/>
        <w:rPr>
          <w:sz w:val="24"/>
        </w:rPr>
      </w:pPr>
      <w:r>
        <w:rPr>
          <w:rFonts w:hint="eastAsia" w:ascii="宋体" w:eastAsia="宋体" w:cs="宋体" w:hAnsiTheme="minorHAnsi"/>
          <w:sz w:val="28"/>
          <w:szCs w:val="28"/>
        </w:rPr>
        <w:t xml:space="preserve">3  </w:t>
      </w:r>
      <w:r>
        <w:rPr>
          <w:rFonts w:hint="eastAsia"/>
          <w:sz w:val="24"/>
        </w:rPr>
        <w:t>高频漏电流</w:t>
      </w:r>
    </w:p>
    <w:p w14:paraId="5E4D92F1">
      <w:pPr>
        <w:spacing w:line="360" w:lineRule="auto"/>
        <w:ind w:firstLine="480" w:firstLineChars="200"/>
        <w:rPr>
          <w:sz w:val="24"/>
        </w:rPr>
      </w:pPr>
      <w:r>
        <w:rPr>
          <w:rFonts w:hint="eastAsia"/>
          <w:sz w:val="24"/>
        </w:rPr>
        <w:t>测量范围：（0.001</w:t>
      </w:r>
      <w:r>
        <w:rPr>
          <w:rFonts w:hAnsi="宋体"/>
          <w:sz w:val="24"/>
        </w:rPr>
        <w:t>～</w:t>
      </w:r>
      <w:r>
        <w:rPr>
          <w:rFonts w:hint="eastAsia" w:hAnsi="宋体"/>
          <w:sz w:val="24"/>
        </w:rPr>
        <w:t>1）A</w:t>
      </w:r>
      <w:r>
        <w:rPr>
          <w:rFonts w:hint="eastAsia"/>
          <w:sz w:val="24"/>
        </w:rPr>
        <w:t>；最大允许误差：</w:t>
      </w:r>
      <w:r>
        <w:rPr>
          <w:sz w:val="24"/>
        </w:rPr>
        <w:t>±</w:t>
      </w:r>
      <w:r>
        <w:rPr>
          <w:rFonts w:hint="eastAsia"/>
          <w:sz w:val="24"/>
        </w:rPr>
        <w:t>2.5</w:t>
      </w:r>
      <w:r>
        <w:rPr>
          <w:sz w:val="24"/>
        </w:rPr>
        <w:t>%</w:t>
      </w:r>
      <w:r>
        <w:rPr>
          <w:rFonts w:hint="eastAsia"/>
          <w:sz w:val="24"/>
        </w:rPr>
        <w:t xml:space="preserve"> 。</w:t>
      </w:r>
    </w:p>
    <w:p w14:paraId="02B8A9CC">
      <w:pPr>
        <w:spacing w:line="360" w:lineRule="auto"/>
        <w:ind w:left="1134" w:leftChars="228" w:hanging="450" w:hangingChars="250"/>
        <w:rPr>
          <w:sz w:val="18"/>
          <w:szCs w:val="18"/>
        </w:rPr>
      </w:pPr>
      <w:r>
        <w:rPr>
          <w:rFonts w:hint="eastAsia"/>
          <w:sz w:val="18"/>
          <w:szCs w:val="18"/>
        </w:rPr>
        <w:t>（注：1. 以上计量特性不作为符合性要求； 2. F为当前量程；）</w:t>
      </w:r>
    </w:p>
    <w:p w14:paraId="608433BA">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四</w:t>
      </w:r>
      <w:r>
        <w:rPr>
          <w:rFonts w:hint="eastAsia" w:ascii="宋体" w:eastAsia="宋体" w:cs="宋体" w:hAnsiTheme="minorHAnsi"/>
          <w:sz w:val="28"/>
          <w:szCs w:val="28"/>
        </w:rPr>
        <w:t>、与有关的现行法律、法规和强制性国家标准的关系</w:t>
      </w:r>
    </w:p>
    <w:p w14:paraId="1D290FA4">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w:t>
      </w:r>
      <w:r>
        <w:rPr>
          <w:rFonts w:hint="eastAsia" w:ascii="宋体" w:eastAsia="宋体" w:cs="宋体" w:hAnsiTheme="minorHAnsi"/>
          <w:sz w:val="28"/>
          <w:szCs w:val="28"/>
          <w:lang w:val="en-US" w:eastAsia="zh-CN"/>
        </w:rPr>
        <w:t>高频电刀分析仪</w:t>
      </w:r>
      <w:r>
        <w:rPr>
          <w:rFonts w:hint="eastAsia" w:ascii="宋体" w:eastAsia="宋体" w:cs="宋体" w:hAnsiTheme="minorHAnsi"/>
          <w:sz w:val="28"/>
          <w:szCs w:val="28"/>
        </w:rPr>
        <w:t>校准方法》标准内容符合国家现行法律、法规要求，并与参照采用的相关标准、管理办法有一定的对应关系。</w:t>
      </w:r>
    </w:p>
    <w:p w14:paraId="7C76263C">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五</w:t>
      </w:r>
      <w:r>
        <w:rPr>
          <w:rFonts w:hint="eastAsia" w:ascii="宋体" w:eastAsia="宋体" w:cs="宋体" w:hAnsiTheme="minorHAnsi"/>
          <w:sz w:val="28"/>
          <w:szCs w:val="28"/>
        </w:rPr>
        <w:t>、重大分歧意见的处理经过和依据</w:t>
      </w:r>
    </w:p>
    <w:p w14:paraId="2B11D3E3">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本标准的制定过程中未出现重大的分歧意见。</w:t>
      </w:r>
    </w:p>
    <w:p w14:paraId="15CBE3F8">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六</w:t>
      </w:r>
      <w:r>
        <w:rPr>
          <w:rFonts w:hint="eastAsia" w:ascii="宋体" w:eastAsia="宋体" w:cs="宋体" w:hAnsiTheme="minorHAnsi"/>
          <w:sz w:val="28"/>
          <w:szCs w:val="28"/>
        </w:rPr>
        <w:t>、贯彻标准的要求措施建议</w:t>
      </w:r>
    </w:p>
    <w:p w14:paraId="6FA895A2">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建议标准发布后，中国计量协会可组织起草单位编写标准宣贯出版物、开展专题标准培训等活动，更好地推动本标准的具体实施工作。</w:t>
      </w:r>
    </w:p>
    <w:p w14:paraId="51AE0DD0">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七</w:t>
      </w:r>
      <w:r>
        <w:rPr>
          <w:rFonts w:hint="eastAsia" w:ascii="宋体" w:eastAsia="宋体" w:cs="宋体" w:hAnsiTheme="minorHAnsi"/>
          <w:sz w:val="28"/>
          <w:szCs w:val="28"/>
        </w:rPr>
        <w:t>、废止现行有关标准的建议</w:t>
      </w:r>
    </w:p>
    <w:p w14:paraId="62838CEC">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无。</w:t>
      </w:r>
    </w:p>
    <w:p w14:paraId="365E3AB3">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八</w:t>
      </w:r>
      <w:r>
        <w:rPr>
          <w:rFonts w:hint="eastAsia" w:ascii="宋体" w:eastAsia="宋体" w:cs="宋体" w:hAnsiTheme="minorHAnsi"/>
          <w:sz w:val="28"/>
          <w:szCs w:val="28"/>
        </w:rPr>
        <w:t>、其他应予说明的情况</w:t>
      </w:r>
    </w:p>
    <w:p w14:paraId="6F51E53D">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无。</w:t>
      </w:r>
    </w:p>
    <w:p w14:paraId="0AEA3626">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lang w:val="en-US" w:eastAsia="zh-CN"/>
        </w:rPr>
        <w:t>九</w:t>
      </w:r>
      <w:r>
        <w:rPr>
          <w:rFonts w:hint="eastAsia" w:ascii="宋体" w:eastAsia="宋体" w:cs="宋体" w:hAnsiTheme="minorHAnsi"/>
          <w:sz w:val="28"/>
          <w:szCs w:val="28"/>
        </w:rPr>
        <w:t>、预期达到的社会效益、对产业发展的作用等情况</w:t>
      </w:r>
    </w:p>
    <w:p w14:paraId="677415BC">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lang w:val="en-US" w:eastAsia="zh-CN"/>
        </w:rPr>
        <w:t>高频电刀分析仪</w:t>
      </w:r>
      <w:r>
        <w:rPr>
          <w:rFonts w:hint="eastAsia" w:ascii="宋体" w:eastAsia="宋体" w:cs="宋体" w:hAnsiTheme="minorHAnsi"/>
          <w:sz w:val="28"/>
          <w:szCs w:val="28"/>
        </w:rPr>
        <w:t>在</w:t>
      </w:r>
      <w:r>
        <w:rPr>
          <w:rFonts w:hint="eastAsia" w:ascii="宋体" w:eastAsia="宋体" w:cs="宋体" w:hAnsiTheme="minorHAnsi"/>
          <w:sz w:val="28"/>
          <w:szCs w:val="28"/>
          <w:lang w:val="en-US" w:eastAsia="zh-CN"/>
        </w:rPr>
        <w:t>医疗机构</w:t>
      </w:r>
      <w:r>
        <w:rPr>
          <w:rFonts w:hint="eastAsia" w:ascii="宋体" w:eastAsia="宋体" w:cs="宋体" w:hAnsiTheme="minorHAnsi"/>
          <w:sz w:val="28"/>
          <w:szCs w:val="28"/>
        </w:rPr>
        <w:t>、生产企业中得到广泛使用，量大面广，该项目完成后，不仅将对</w:t>
      </w:r>
      <w:r>
        <w:rPr>
          <w:rFonts w:hint="eastAsia" w:ascii="宋体" w:eastAsia="宋体" w:cs="宋体" w:hAnsiTheme="minorHAnsi"/>
          <w:sz w:val="28"/>
          <w:szCs w:val="28"/>
          <w:lang w:val="en-US" w:eastAsia="zh-CN"/>
        </w:rPr>
        <w:t>高频电刀分析仪</w:t>
      </w:r>
      <w:r>
        <w:rPr>
          <w:rFonts w:hint="eastAsia" w:ascii="宋体" w:eastAsia="宋体" w:cs="宋体" w:hAnsiTheme="minorHAnsi"/>
          <w:sz w:val="28"/>
          <w:szCs w:val="28"/>
        </w:rPr>
        <w:t>的量值溯源工作提供科学、合理的技术依据，而且为客户提供准确的测量数据，保障仪器的规范使用，能够更好的服务于生产研发实际，还将进一步规范</w:t>
      </w:r>
      <w:r>
        <w:rPr>
          <w:rFonts w:hint="eastAsia" w:ascii="宋体" w:eastAsia="宋体" w:cs="宋体" w:hAnsiTheme="minorHAnsi"/>
          <w:sz w:val="28"/>
          <w:szCs w:val="28"/>
          <w:lang w:val="en-US" w:eastAsia="zh-CN"/>
        </w:rPr>
        <w:t>高频电刀分析仪</w:t>
      </w:r>
      <w:r>
        <w:rPr>
          <w:rFonts w:hint="eastAsia" w:ascii="宋体" w:eastAsia="宋体" w:cs="宋体" w:hAnsiTheme="minorHAnsi"/>
          <w:sz w:val="28"/>
          <w:szCs w:val="28"/>
        </w:rPr>
        <w:t>生产企业的生产，保证产品质量，使产品更具有市场竞争力。项目完成后，不仅能为社会做好技术服务，带来较高的经济效益，还能产生良好的社会效益。</w:t>
      </w:r>
    </w:p>
    <w:p w14:paraId="3FC40ADA">
      <w:pPr>
        <w:autoSpaceDE w:val="0"/>
        <w:autoSpaceDN w:val="0"/>
        <w:adjustRightInd w:val="0"/>
        <w:jc w:val="left"/>
        <w:rPr>
          <w:rFonts w:ascii="宋体" w:eastAsia="宋体" w:cs="宋体" w:hAnsiTheme="minorHAnsi"/>
          <w:sz w:val="28"/>
          <w:szCs w:val="28"/>
        </w:rPr>
      </w:pPr>
      <w:r>
        <w:rPr>
          <w:rFonts w:hint="eastAsia" w:ascii="宋体" w:eastAsia="宋体" w:cs="宋体" w:hAnsiTheme="minorHAnsi"/>
          <w:sz w:val="28"/>
          <w:szCs w:val="28"/>
        </w:rPr>
        <w:t>十、明确标准中涉及专利的情况</w:t>
      </w:r>
    </w:p>
    <w:p w14:paraId="47CC88C1">
      <w:pPr>
        <w:autoSpaceDE w:val="0"/>
        <w:autoSpaceDN w:val="0"/>
        <w:adjustRightInd w:val="0"/>
        <w:ind w:firstLine="560" w:firstLineChars="200"/>
        <w:jc w:val="left"/>
        <w:rPr>
          <w:rFonts w:ascii="宋体" w:eastAsia="宋体" w:cs="宋体" w:hAnsiTheme="minorHAnsi"/>
          <w:sz w:val="28"/>
          <w:szCs w:val="28"/>
        </w:rPr>
      </w:pPr>
      <w:r>
        <w:rPr>
          <w:rFonts w:hint="eastAsia" w:ascii="宋体" w:eastAsia="宋体" w:cs="宋体" w:hAnsiTheme="minorHAnsi"/>
          <w:sz w:val="28"/>
          <w:szCs w:val="28"/>
        </w:rPr>
        <w:t>本标准不涉及专利问题。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DF5C">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YTkwNjVjOTUwN2JiMjNkMWFhODY0NGRhMjU1OGYifQ=="/>
  </w:docVars>
  <w:rsids>
    <w:rsidRoot w:val="000D5B6E"/>
    <w:rsid w:val="00087423"/>
    <w:rsid w:val="000D2B9A"/>
    <w:rsid w:val="000D5B6E"/>
    <w:rsid w:val="001361BA"/>
    <w:rsid w:val="00281C8B"/>
    <w:rsid w:val="004779D9"/>
    <w:rsid w:val="00606865"/>
    <w:rsid w:val="00675EB4"/>
    <w:rsid w:val="006D3713"/>
    <w:rsid w:val="00727855"/>
    <w:rsid w:val="00791C38"/>
    <w:rsid w:val="008F44F0"/>
    <w:rsid w:val="009D01E3"/>
    <w:rsid w:val="00A448F9"/>
    <w:rsid w:val="00A94912"/>
    <w:rsid w:val="00AE0D87"/>
    <w:rsid w:val="00DB1CDC"/>
    <w:rsid w:val="00DB3634"/>
    <w:rsid w:val="00E11E97"/>
    <w:rsid w:val="00EE624B"/>
    <w:rsid w:val="03850916"/>
    <w:rsid w:val="04241DDC"/>
    <w:rsid w:val="1490407F"/>
    <w:rsid w:val="386A18C2"/>
    <w:rsid w:val="38DD3EFB"/>
    <w:rsid w:val="5A3C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0"/>
      <w:szCs w:val="20"/>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Closing"/>
    <w:basedOn w:val="1"/>
    <w:link w:val="9"/>
    <w:autoRedefine/>
    <w:qFormat/>
    <w:uiPriority w:val="0"/>
    <w:pPr>
      <w:ind w:left="100" w:leftChars="2100"/>
    </w:pPr>
    <w:rPr>
      <w:rFonts w:eastAsia="宋体"/>
      <w:kern w:val="2"/>
      <w:sz w:val="26"/>
      <w:szCs w:val="26"/>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Char"/>
    <w:basedOn w:val="6"/>
    <w:link w:val="4"/>
    <w:autoRedefine/>
    <w:qFormat/>
    <w:uiPriority w:val="0"/>
    <w:rPr>
      <w:sz w:val="18"/>
      <w:szCs w:val="18"/>
    </w:rPr>
  </w:style>
  <w:style w:type="character" w:customStyle="1" w:styleId="8">
    <w:name w:val="页脚 Char"/>
    <w:basedOn w:val="6"/>
    <w:link w:val="3"/>
    <w:autoRedefine/>
    <w:qFormat/>
    <w:uiPriority w:val="99"/>
    <w:rPr>
      <w:sz w:val="18"/>
      <w:szCs w:val="18"/>
    </w:rPr>
  </w:style>
  <w:style w:type="character" w:customStyle="1" w:styleId="9">
    <w:name w:val="结束语 Char"/>
    <w:basedOn w:val="6"/>
    <w:link w:val="2"/>
    <w:autoRedefine/>
    <w:qFormat/>
    <w:uiPriority w:val="0"/>
    <w:rPr>
      <w:rFonts w:ascii="Times New Roman" w:hAnsi="Times New Roman" w:eastAsia="宋体" w:cs="Times New Roman"/>
      <w:sz w:val="26"/>
      <w:szCs w:val="26"/>
    </w:rPr>
  </w:style>
  <w:style w:type="paragraph" w:customStyle="1" w:styleId="10">
    <w:name w:val="0"/>
    <w:basedOn w:val="1"/>
    <w:qFormat/>
    <w:uiPriority w:val="0"/>
    <w:pPr>
      <w:widowControl/>
      <w:snapToGrid w:val="0"/>
    </w:pPr>
    <w:rPr>
      <w:rFonts w:eastAsia="宋体"/>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1684</Words>
  <Characters>1786</Characters>
  <Lines>27</Lines>
  <Paragraphs>7</Paragraphs>
  <TotalTime>4</TotalTime>
  <ScaleCrop>false</ScaleCrop>
  <LinksUpToDate>false</LinksUpToDate>
  <CharactersWithSpaces>1856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2023-07-12T00:44:00Z</dcterms:created>
  <dc:creator>微软用户</dc:creator>
  <cp:lastModifiedBy>Admin</cp:lastModifiedBy>
  <dcterms:modified xsi:type="dcterms:W3CDTF">2025-04-22T05:46:05Z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B5A4C2AFC4354D0495C83861A1393A10_13</vt:lpwstr>
  </property>
  <property fmtid="{D5CDD505-2E9C-101B-9397-08002B2CF9AE}" pid="4" name="KSOTemplateDocerSaveRecord">
    <vt:lpwstr>eyJoZGlkIjoiNWYyMWYzYzhlMjQxN2RjYWMwYzdkMmZmM2IyMWE3ODEiLCJ1c2VySWQiOiIyMjk5MDIxNyJ9</vt:lpwstr>
  </property>
</Properties>
</file>