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8C4B0">
      <w:pPr>
        <w:numPr>
          <w:ilvl w:val="0"/>
          <w:numId w:val="1"/>
        </w:numPr>
        <w:ind w:firstLine="1680"/>
        <w:rPr>
          <w:sz w:val="84"/>
          <w:szCs w:val="84"/>
        </w:rPr>
      </w:pPr>
    </w:p>
    <w:p w14:paraId="353561EE">
      <w:pPr>
        <w:pStyle w:val="2"/>
        <w:ind w:firstLine="521" w:firstLineChars="100"/>
        <w:rPr>
          <w:rFonts w:ascii="华文中宋" w:hAnsi="华文中宋" w:eastAsia="华文中宋" w:cs="黑体"/>
          <w:b/>
          <w:kern w:val="0"/>
          <w:sz w:val="52"/>
          <w:szCs w:val="52"/>
        </w:rPr>
      </w:pPr>
      <w:r>
        <w:rPr>
          <w:rFonts w:ascii="华文中宋" w:hAnsi="华文中宋" w:eastAsia="华文中宋" w:cs="黑体"/>
          <w:b/>
          <w:kern w:val="0"/>
          <w:sz w:val="52"/>
          <w:szCs w:val="52"/>
        </w:rPr>
        <w:t>中华人民共和国国家计量</w:t>
      </w:r>
      <w:r>
        <w:rPr>
          <w:rFonts w:hint="eastAsia" w:ascii="华文中宋" w:hAnsi="华文中宋" w:eastAsia="华文中宋" w:cs="黑体"/>
          <w:b/>
          <w:kern w:val="0"/>
          <w:sz w:val="52"/>
          <w:szCs w:val="52"/>
        </w:rPr>
        <w:t>技术</w:t>
      </w:r>
      <w:r>
        <w:rPr>
          <w:rFonts w:ascii="华文中宋" w:hAnsi="华文中宋" w:eastAsia="华文中宋" w:cs="黑体"/>
          <w:b/>
          <w:kern w:val="0"/>
          <w:sz w:val="52"/>
          <w:szCs w:val="52"/>
        </w:rPr>
        <w:t>规范</w:t>
      </w:r>
    </w:p>
    <w:p w14:paraId="0D666176">
      <w:pPr>
        <w:autoSpaceDE w:val="0"/>
        <w:autoSpaceDN w:val="0"/>
        <w:adjustRightInd w:val="0"/>
        <w:ind w:firstLine="560"/>
        <w:jc w:val="right"/>
        <w:rPr>
          <w:rFonts w:eastAsia="黑体"/>
          <w:sz w:val="36"/>
        </w:rPr>
      </w:pPr>
      <w:r>
        <w:rPr>
          <w:rFonts w:ascii="黑体" w:eastAsia="黑体" w:cs="黑体"/>
          <w:kern w:val="0"/>
          <w:sz w:val="28"/>
          <w:szCs w:val="28"/>
        </w:rPr>
        <w:t>JJF××××-20</w:t>
      </w:r>
      <w:r>
        <w:rPr>
          <w:rFonts w:hint="eastAsia" w:ascii="黑体" w:eastAsia="黑体" w:cs="黑体"/>
          <w:kern w:val="0"/>
          <w:sz w:val="28"/>
          <w:szCs w:val="28"/>
        </w:rPr>
        <w:t>2</w:t>
      </w:r>
      <w:r>
        <w:rPr>
          <w:rFonts w:ascii="黑体" w:eastAsia="黑体" w:cs="黑体"/>
          <w:kern w:val="0"/>
          <w:sz w:val="28"/>
          <w:szCs w:val="28"/>
        </w:rPr>
        <w:t>×</w:t>
      </w:r>
    </w:p>
    <w:p w14:paraId="3D6C8C06">
      <w:pPr>
        <w:ind w:firstLine="0" w:firstLineChars="0"/>
        <w:rPr>
          <w:u w:val="thick"/>
        </w:rPr>
      </w:pPr>
      <w:r>
        <w:rPr>
          <w:sz w:val="20"/>
        </w:rPr>
        <mc:AlternateContent>
          <mc:Choice Requires="wps">
            <w:drawing>
              <wp:anchor distT="0" distB="0" distL="114300" distR="114300" simplePos="0" relativeHeight="251661312" behindDoc="0" locked="0" layoutInCell="0" allowOverlap="1">
                <wp:simplePos x="0" y="0"/>
                <wp:positionH relativeFrom="column">
                  <wp:posOffset>-125730</wp:posOffset>
                </wp:positionH>
                <wp:positionV relativeFrom="paragraph">
                  <wp:posOffset>38100</wp:posOffset>
                </wp:positionV>
                <wp:extent cx="6057900" cy="635"/>
                <wp:effectExtent l="0" t="0" r="0" b="18415"/>
                <wp:wrapNone/>
                <wp:docPr id="13" name="直接连接符 14"/>
                <wp:cNvGraphicFramePr/>
                <a:graphic xmlns:a="http://schemas.openxmlformats.org/drawingml/2006/main">
                  <a:graphicData uri="http://schemas.microsoft.com/office/word/2010/wordprocessingShape">
                    <wps:wsp>
                      <wps:cNvCnPr/>
                      <wps:spPr>
                        <a:xfrm>
                          <a:off x="0" y="0"/>
                          <a:ext cx="60579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接连接符 14" o:spid="_x0000_s1026" o:spt="20" style="position:absolute;left:0pt;margin-left:-9.9pt;margin-top:3pt;height:0.05pt;width:477pt;z-index:251661312;mso-width-relative:page;mso-height-relative:page;" filled="f" stroked="t" coordsize="21600,21600" o:allowincell="f" o:gfxdata="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r8mx71QAAAAcBAAAPAAAAAAAAAAEAIAAAACIAAABkcnMvZG93bnJldi54bWxQSwECFAAU&#10;AAAACACHTuJATKiYmvQBAADqAwAADgAAAAAAAAABACAAAAAkAQAAZHJzL2Uyb0RvYy54bWxQSwUG&#10;AAAAAAYABgBZAQAAigUAAAAA&#10;">
                <v:fill on="f" focussize="0,0"/>
                <v:stroke color="#000000" joinstyle="round"/>
                <v:imagedata o:title=""/>
                <o:lock v:ext="edit" aspectratio="f"/>
              </v:line>
            </w:pict>
          </mc:Fallback>
        </mc:AlternateContent>
      </w:r>
    </w:p>
    <w:p w14:paraId="4128DE26">
      <w:pPr>
        <w:ind w:firstLine="440"/>
      </w:pPr>
    </w:p>
    <w:p w14:paraId="0C8B9422">
      <w:pPr>
        <w:ind w:firstLine="960"/>
        <w:jc w:val="center"/>
        <w:rPr>
          <w:sz w:val="48"/>
        </w:rPr>
      </w:pPr>
    </w:p>
    <w:p w14:paraId="4B553FED">
      <w:pPr>
        <w:ind w:firstLine="960"/>
        <w:jc w:val="center"/>
        <w:rPr>
          <w:sz w:val="48"/>
        </w:rPr>
      </w:pPr>
    </w:p>
    <w:p w14:paraId="5044E12E">
      <w:pPr>
        <w:ind w:firstLine="0" w:firstLineChars="0"/>
        <w:jc w:val="center"/>
        <w:rPr>
          <w:rFonts w:hint="eastAsia" w:ascii="黑体" w:eastAsia="黑体" w:cs="黑体"/>
          <w:color w:val="000000"/>
          <w:kern w:val="0"/>
          <w:sz w:val="52"/>
          <w:szCs w:val="52"/>
          <w:lang w:val="en-US" w:eastAsia="zh-CN"/>
        </w:rPr>
      </w:pPr>
      <w:r>
        <w:rPr>
          <w:rFonts w:hint="eastAsia" w:ascii="黑体" w:eastAsia="黑体" w:cs="黑体"/>
          <w:color w:val="000000"/>
          <w:kern w:val="0"/>
          <w:sz w:val="52"/>
          <w:szCs w:val="52"/>
          <w:lang w:val="en-US" w:eastAsia="zh-CN"/>
        </w:rPr>
        <w:t>燃油加油机软件</w:t>
      </w:r>
      <w:r>
        <w:rPr>
          <w:rFonts w:ascii="黑体" w:eastAsia="黑体" w:cs="黑体"/>
          <w:color w:val="000000"/>
          <w:kern w:val="0"/>
          <w:sz w:val="52"/>
          <w:szCs w:val="52"/>
        </w:rPr>
        <w:t>欺骗性使用特征</w:t>
      </w:r>
    </w:p>
    <w:p w14:paraId="124CC6EC">
      <w:pPr>
        <w:ind w:firstLine="0" w:firstLineChars="0"/>
        <w:jc w:val="center"/>
        <w:rPr>
          <w:rFonts w:ascii="黑体" w:eastAsia="黑体" w:cs="黑体"/>
          <w:kern w:val="0"/>
          <w:sz w:val="52"/>
          <w:szCs w:val="52"/>
        </w:rPr>
      </w:pPr>
      <w:r>
        <w:rPr>
          <w:rFonts w:hint="eastAsia" w:ascii="黑体" w:eastAsia="黑体" w:cs="黑体"/>
          <w:color w:val="000000"/>
          <w:kern w:val="0"/>
          <w:sz w:val="52"/>
          <w:szCs w:val="52"/>
        </w:rPr>
        <w:t>测试规范</w:t>
      </w:r>
    </w:p>
    <w:p w14:paraId="1002E137">
      <w:pPr>
        <w:spacing w:line="200" w:lineRule="exact"/>
        <w:ind w:firstLine="480"/>
        <w:jc w:val="center"/>
        <w:rPr>
          <w:sz w:val="24"/>
        </w:rPr>
      </w:pPr>
    </w:p>
    <w:p w14:paraId="08068A68">
      <w:pPr>
        <w:ind w:firstLine="0" w:firstLineChars="0"/>
        <w:jc w:val="center"/>
        <w:rPr>
          <w:rFonts w:hint="eastAsia" w:eastAsia="黑体"/>
          <w:kern w:val="0"/>
          <w:sz w:val="28"/>
          <w:szCs w:val="28"/>
        </w:rPr>
      </w:pPr>
      <w:r>
        <w:rPr>
          <w:rFonts w:hint="eastAsia" w:eastAsia="黑体"/>
          <w:kern w:val="0"/>
          <w:sz w:val="28"/>
          <w:szCs w:val="28"/>
        </w:rPr>
        <w:t xml:space="preserve">Specification For Testing Deceptive Usage Characteristics Of </w:t>
      </w:r>
    </w:p>
    <w:p w14:paraId="7075140A">
      <w:pPr>
        <w:ind w:firstLine="0" w:firstLineChars="0"/>
        <w:jc w:val="center"/>
        <w:rPr>
          <w:rFonts w:eastAsia="黑体"/>
          <w:kern w:val="0"/>
          <w:sz w:val="28"/>
          <w:szCs w:val="28"/>
        </w:rPr>
      </w:pPr>
      <w:r>
        <w:rPr>
          <w:rFonts w:hint="eastAsia" w:eastAsia="黑体"/>
          <w:kern w:val="0"/>
          <w:sz w:val="28"/>
          <w:szCs w:val="28"/>
        </w:rPr>
        <w:t>Fuel Dispenser Software</w:t>
      </w:r>
    </w:p>
    <w:p w14:paraId="4030AABB">
      <w:pPr>
        <w:ind w:firstLine="3300" w:firstLineChars="1100"/>
        <w:rPr>
          <w:rFonts w:ascii="宋体" w:hAnsi="宋体" w:cs="宋体"/>
          <w:kern w:val="0"/>
          <w:sz w:val="30"/>
          <w:szCs w:val="30"/>
        </w:rPr>
      </w:pPr>
      <w:r>
        <w:rPr>
          <w:rFonts w:hint="eastAsia" w:ascii="宋体" w:hAnsi="宋体" w:cs="宋体"/>
          <w:kern w:val="0"/>
          <w:sz w:val="30"/>
          <w:szCs w:val="30"/>
        </w:rPr>
        <w:t>（征求意见稿）</w:t>
      </w:r>
    </w:p>
    <w:p w14:paraId="19448DDD">
      <w:pPr>
        <w:ind w:firstLine="440"/>
        <w:jc w:val="center"/>
      </w:pPr>
    </w:p>
    <w:p w14:paraId="18C0227C">
      <w:pPr>
        <w:ind w:firstLine="440"/>
        <w:jc w:val="center"/>
      </w:pPr>
    </w:p>
    <w:p w14:paraId="36DD8AC4">
      <w:pPr>
        <w:ind w:firstLine="440"/>
        <w:jc w:val="center"/>
      </w:pPr>
    </w:p>
    <w:p w14:paraId="481FED15">
      <w:pPr>
        <w:ind w:firstLine="440"/>
        <w:jc w:val="center"/>
      </w:pPr>
    </w:p>
    <w:p w14:paraId="11ED724D">
      <w:pPr>
        <w:ind w:firstLine="440"/>
        <w:jc w:val="center"/>
      </w:pPr>
    </w:p>
    <w:p w14:paraId="0FFF7421">
      <w:pPr>
        <w:ind w:firstLine="0" w:firstLineChars="0"/>
      </w:pPr>
    </w:p>
    <w:p w14:paraId="21C72CB3">
      <w:pPr>
        <w:ind w:firstLine="560"/>
        <w:jc w:val="center"/>
        <w:rPr>
          <w:sz w:val="28"/>
          <w:szCs w:val="28"/>
        </w:rPr>
      </w:pPr>
    </w:p>
    <w:p w14:paraId="533A7F34">
      <w:pPr>
        <w:tabs>
          <w:tab w:val="right" w:pos="9354"/>
        </w:tabs>
        <w:spacing w:line="0" w:lineRule="atLeast"/>
        <w:ind w:firstLine="560"/>
        <w:jc w:val="right"/>
        <w:rPr>
          <w:rFonts w:eastAsia="黑体"/>
          <w:sz w:val="28"/>
        </w:rPr>
      </w:pPr>
      <w:r>
        <w:rPr>
          <w:rFonts w:eastAsia="黑体"/>
          <w:kern w:val="0"/>
          <w:sz w:val="28"/>
          <w:szCs w:val="28"/>
        </w:rPr>
        <w:t>202</w:t>
      </w:r>
      <w:r>
        <w:rPr>
          <w:rFonts w:ascii="黑体" w:eastAsia="黑体" w:cs="黑体"/>
          <w:kern w:val="0"/>
          <w:sz w:val="28"/>
          <w:szCs w:val="28"/>
        </w:rPr>
        <w:t>×</w:t>
      </w:r>
      <w:r>
        <w:rPr>
          <w:rFonts w:hint="eastAsia" w:ascii="黑体" w:eastAsia="黑体" w:cs="黑体"/>
          <w:kern w:val="0"/>
          <w:sz w:val="28"/>
          <w:szCs w:val="28"/>
        </w:rPr>
        <w:t>－</w:t>
      </w:r>
      <w:r>
        <w:rPr>
          <w:rFonts w:ascii="黑体" w:eastAsia="黑体" w:cs="黑体"/>
          <w:kern w:val="0"/>
          <w:sz w:val="28"/>
          <w:szCs w:val="28"/>
        </w:rPr>
        <w:t>××</w:t>
      </w:r>
      <w:r>
        <w:rPr>
          <w:rFonts w:hint="eastAsia" w:ascii="黑体" w:eastAsia="黑体" w:cs="黑体"/>
          <w:kern w:val="0"/>
          <w:sz w:val="28"/>
          <w:szCs w:val="28"/>
        </w:rPr>
        <w:t>－</w:t>
      </w:r>
      <w:r>
        <w:rPr>
          <w:rFonts w:ascii="黑体" w:eastAsia="黑体" w:cs="黑体"/>
          <w:kern w:val="0"/>
          <w:sz w:val="28"/>
          <w:szCs w:val="28"/>
        </w:rPr>
        <w:t>××发布</w:t>
      </w:r>
      <w:r>
        <w:rPr>
          <w:rFonts w:hint="eastAsia" w:ascii="黑体" w:eastAsia="黑体" w:cs="黑体"/>
          <w:kern w:val="0"/>
          <w:sz w:val="28"/>
          <w:szCs w:val="28"/>
        </w:rPr>
        <w:t xml:space="preserve">                        </w:t>
      </w:r>
      <w:r>
        <w:rPr>
          <w:rFonts w:eastAsia="黑体"/>
          <w:kern w:val="0"/>
          <w:sz w:val="28"/>
          <w:szCs w:val="28"/>
        </w:rPr>
        <w:t>202</w:t>
      </w:r>
      <w:r>
        <w:rPr>
          <w:rFonts w:ascii="黑体" w:eastAsia="黑体" w:cs="黑体"/>
          <w:kern w:val="0"/>
          <w:sz w:val="28"/>
          <w:szCs w:val="28"/>
        </w:rPr>
        <w:t>×</w:t>
      </w:r>
      <w:r>
        <w:rPr>
          <w:rFonts w:hint="eastAsia" w:ascii="黑体" w:eastAsia="黑体" w:cs="黑体"/>
          <w:kern w:val="0"/>
          <w:sz w:val="28"/>
          <w:szCs w:val="28"/>
        </w:rPr>
        <w:t>－</w:t>
      </w:r>
      <w:r>
        <w:rPr>
          <w:rFonts w:ascii="黑体" w:eastAsia="黑体" w:cs="黑体"/>
          <w:kern w:val="0"/>
          <w:sz w:val="28"/>
          <w:szCs w:val="28"/>
        </w:rPr>
        <w:t>××</w:t>
      </w:r>
      <w:r>
        <w:rPr>
          <w:rFonts w:hint="eastAsia" w:ascii="黑体" w:eastAsia="黑体" w:cs="黑体"/>
          <w:kern w:val="0"/>
          <w:sz w:val="28"/>
          <w:szCs w:val="28"/>
        </w:rPr>
        <w:t>－</w:t>
      </w:r>
      <w:r>
        <w:rPr>
          <w:rFonts w:ascii="黑体" w:eastAsia="黑体" w:cs="黑体"/>
          <w:kern w:val="0"/>
          <w:sz w:val="28"/>
          <w:szCs w:val="28"/>
        </w:rPr>
        <w:t>××实施</w:t>
      </w:r>
    </w:p>
    <w:p w14:paraId="0574848C">
      <w:pPr>
        <w:spacing w:line="0" w:lineRule="atLeast"/>
        <w:ind w:firstLine="400"/>
      </w:pPr>
      <w:r>
        <w:rPr>
          <w:sz w:val="20"/>
        </w:rPr>
        <mc:AlternateContent>
          <mc:Choice Requires="wps">
            <w:drawing>
              <wp:anchor distT="0" distB="0" distL="114300" distR="114300" simplePos="0" relativeHeight="251662336" behindDoc="0" locked="0" layoutInCell="0" allowOverlap="1">
                <wp:simplePos x="0" y="0"/>
                <wp:positionH relativeFrom="column">
                  <wp:posOffset>-114300</wp:posOffset>
                </wp:positionH>
                <wp:positionV relativeFrom="paragraph">
                  <wp:posOffset>66675</wp:posOffset>
                </wp:positionV>
                <wp:extent cx="6057900" cy="635"/>
                <wp:effectExtent l="0" t="0" r="0" b="18415"/>
                <wp:wrapNone/>
                <wp:docPr id="18" name="直接连接符 13"/>
                <wp:cNvGraphicFramePr/>
                <a:graphic xmlns:a="http://schemas.openxmlformats.org/drawingml/2006/main">
                  <a:graphicData uri="http://schemas.microsoft.com/office/word/2010/wordprocessingShape">
                    <wps:wsp>
                      <wps:cNvCnPr/>
                      <wps:spPr>
                        <a:xfrm>
                          <a:off x="0" y="0"/>
                          <a:ext cx="60579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接连接符 13" o:spid="_x0000_s1026" o:spt="20" style="position:absolute;left:0pt;margin-left:-9pt;margin-top:5.25pt;height:0.05pt;width:477pt;z-index:251662336;mso-width-relative:page;mso-height-relative:page;" filled="f" stroked="t" coordsize="21600,21600" o:allowincell="f" o:gfxdata="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DuPvZNYAAAAJAQAADwAAAAAAAAABACAAAAAiAAAAZHJzL2Rvd25yZXYueG1sUEsBAhQA&#10;FAAAAAgAh07iQEVi4JT0AQAA6gMAAA4AAAAAAAAAAQAgAAAAJQEAAGRycy9lMm9Eb2MueG1sUEsF&#10;BgAAAAAGAAYAWQEAAIsFAAAAAA==&#10;">
                <v:fill on="f" focussize="0,0"/>
                <v:stroke color="#000000" joinstyle="round"/>
                <v:imagedata o:title=""/>
                <o:lock v:ext="edit" aspectratio="f"/>
              </v:line>
            </w:pict>
          </mc:Fallback>
        </mc:AlternateContent>
      </w:r>
    </w:p>
    <w:p w14:paraId="14CED44C">
      <w:pPr>
        <w:autoSpaceDE w:val="0"/>
        <w:autoSpaceDN w:val="0"/>
        <w:adjustRightInd w:val="0"/>
        <w:ind w:right="-295" w:rightChars="-134" w:firstLine="0" w:firstLineChars="0"/>
        <w:jc w:val="center"/>
        <w:rPr>
          <w:rFonts w:ascii="黑体" w:eastAsia="黑体" w:cs="黑体"/>
          <w:kern w:val="0"/>
          <w:sz w:val="28"/>
          <w:szCs w:val="28"/>
        </w:rPr>
        <w:sectPr>
          <w:headerReference r:id="rId7" w:type="first"/>
          <w:footerReference r:id="rId10" w:type="first"/>
          <w:headerReference r:id="rId5" w:type="default"/>
          <w:footerReference r:id="rId8" w:type="default"/>
          <w:headerReference r:id="rId6" w:type="even"/>
          <w:footerReference r:id="rId9" w:type="even"/>
          <w:endnotePr>
            <w:numFmt w:val="decimal"/>
          </w:endnotePr>
          <w:pgSz w:w="11906" w:h="16838"/>
          <w:pgMar w:top="1440" w:right="1469" w:bottom="1440" w:left="1797" w:header="851" w:footer="992" w:gutter="0"/>
          <w:pgNumType w:fmt="upperRoman" w:start="1"/>
          <w:cols w:space="720" w:num="1"/>
          <w:titlePg/>
          <w:docGrid w:type="lines" w:linePitch="312" w:charSpace="0"/>
        </w:sectPr>
      </w:pPr>
      <w:r>
        <w:rPr>
          <w:rFonts w:hint="eastAsia" w:ascii="黑体" w:hAnsi="黑体" w:eastAsia="黑体" w:cs="黑体"/>
          <w:kern w:val="0"/>
          <w:sz w:val="48"/>
          <w:szCs w:val="48"/>
        </w:rPr>
        <w:t>国家市场监督管理总局</w:t>
      </w:r>
      <w:r>
        <w:rPr>
          <w:rFonts w:hint="eastAsia" w:ascii="黑体" w:eastAsia="黑体" w:cs="黑体"/>
          <w:kern w:val="0"/>
          <w:sz w:val="28"/>
          <w:szCs w:val="28"/>
        </w:rPr>
        <w:t>发 布</w:t>
      </w:r>
    </w:p>
    <w:p w14:paraId="0C49BB8C">
      <w:pPr>
        <w:autoSpaceDE w:val="0"/>
        <w:autoSpaceDN w:val="0"/>
        <w:adjustRightInd w:val="0"/>
        <w:ind w:right="-295" w:rightChars="-134" w:firstLine="440"/>
        <w:jc w:val="center"/>
        <w:rPr>
          <w:rFonts w:ascii="黑体" w:eastAsia="黑体" w:cs="黑体"/>
          <w:kern w:val="0"/>
          <w:sz w:val="28"/>
          <w:szCs w:val="28"/>
        </w:rPr>
      </w:pPr>
      <w:r>
        <mc:AlternateContent>
          <mc:Choice Requires="wps">
            <w:drawing>
              <wp:anchor distT="0" distB="0" distL="114300" distR="114300" simplePos="0" relativeHeight="251663360" behindDoc="0" locked="0" layoutInCell="1" allowOverlap="1">
                <wp:simplePos x="0" y="0"/>
                <wp:positionH relativeFrom="column">
                  <wp:posOffset>19050</wp:posOffset>
                </wp:positionH>
                <wp:positionV relativeFrom="paragraph">
                  <wp:posOffset>314960</wp:posOffset>
                </wp:positionV>
                <wp:extent cx="3632200" cy="1485900"/>
                <wp:effectExtent l="0" t="0" r="6350" b="0"/>
                <wp:wrapNone/>
                <wp:docPr id="20" name="文本框 12"/>
                <wp:cNvGraphicFramePr/>
                <a:graphic xmlns:a="http://schemas.openxmlformats.org/drawingml/2006/main">
                  <a:graphicData uri="http://schemas.microsoft.com/office/word/2010/wordprocessingShape">
                    <wps:wsp>
                      <wps:cNvSpPr txBox="1"/>
                      <wps:spPr>
                        <a:xfrm>
                          <a:off x="0" y="0"/>
                          <a:ext cx="3632200" cy="1485900"/>
                        </a:xfrm>
                        <a:prstGeom prst="rect">
                          <a:avLst/>
                        </a:prstGeom>
                        <a:solidFill>
                          <a:srgbClr val="FFFFFF"/>
                        </a:solidFill>
                        <a:ln w="9525">
                          <a:noFill/>
                        </a:ln>
                        <a:effectLst/>
                      </wps:spPr>
                      <wps:txbx>
                        <w:txbxContent>
                          <w:p w14:paraId="3309C038">
                            <w:pPr>
                              <w:autoSpaceDE w:val="0"/>
                              <w:autoSpaceDN w:val="0"/>
                              <w:adjustRightInd w:val="0"/>
                              <w:spacing w:line="520" w:lineRule="exact"/>
                              <w:ind w:firstLine="0" w:firstLineChars="0"/>
                              <w:jc w:val="center"/>
                              <w:rPr>
                                <w:rFonts w:hint="eastAsia" w:ascii="黑体" w:eastAsia="黑体" w:cs="黑体"/>
                                <w:kern w:val="0"/>
                                <w:sz w:val="36"/>
                                <w:szCs w:val="36"/>
                                <w:lang w:eastAsia="zh-CN"/>
                              </w:rPr>
                            </w:pPr>
                            <w:r>
                              <w:rPr>
                                <w:rFonts w:hint="eastAsia" w:ascii="黑体" w:eastAsia="黑体" w:cs="黑体"/>
                                <w:kern w:val="0"/>
                                <w:sz w:val="36"/>
                                <w:szCs w:val="36"/>
                                <w:lang w:val="en-US" w:eastAsia="zh-CN"/>
                              </w:rPr>
                              <w:t>燃油</w:t>
                            </w:r>
                            <w:r>
                              <w:rPr>
                                <w:rFonts w:hint="eastAsia" w:ascii="黑体" w:eastAsia="黑体" w:cs="黑体"/>
                                <w:kern w:val="0"/>
                                <w:sz w:val="36"/>
                                <w:szCs w:val="36"/>
                                <w:lang w:eastAsia="zh-CN"/>
                              </w:rPr>
                              <w:t>加油机软件欺骗性使用特征</w:t>
                            </w:r>
                          </w:p>
                          <w:p w14:paraId="33F5D3FB">
                            <w:pPr>
                              <w:autoSpaceDE w:val="0"/>
                              <w:autoSpaceDN w:val="0"/>
                              <w:adjustRightInd w:val="0"/>
                              <w:spacing w:line="520" w:lineRule="exact"/>
                              <w:ind w:firstLine="0" w:firstLineChars="0"/>
                              <w:jc w:val="center"/>
                              <w:rPr>
                                <w:rFonts w:hint="eastAsia" w:ascii="黑体" w:eastAsia="黑体" w:cs="黑体"/>
                                <w:kern w:val="0"/>
                                <w:sz w:val="36"/>
                                <w:szCs w:val="36"/>
                                <w:lang w:eastAsia="zh-CN"/>
                              </w:rPr>
                            </w:pPr>
                            <w:r>
                              <w:rPr>
                                <w:rFonts w:hint="eastAsia" w:ascii="黑体" w:eastAsia="黑体" w:cs="黑体"/>
                                <w:kern w:val="0"/>
                                <w:sz w:val="36"/>
                                <w:szCs w:val="36"/>
                                <w:lang w:eastAsia="zh-CN"/>
                              </w:rPr>
                              <w:t>测试规范</w:t>
                            </w:r>
                          </w:p>
                          <w:p w14:paraId="18202961">
                            <w:pPr>
                              <w:autoSpaceDE w:val="0"/>
                              <w:autoSpaceDN w:val="0"/>
                              <w:adjustRightInd w:val="0"/>
                              <w:spacing w:line="520" w:lineRule="exact"/>
                              <w:ind w:firstLine="0" w:firstLineChars="0"/>
                              <w:jc w:val="center"/>
                              <w:rPr>
                                <w:rFonts w:hint="eastAsia" w:eastAsia="黑体"/>
                                <w:kern w:val="0"/>
                                <w:sz w:val="28"/>
                                <w:szCs w:val="28"/>
                              </w:rPr>
                            </w:pPr>
                            <w:r>
                              <w:rPr>
                                <w:rFonts w:hint="eastAsia" w:eastAsia="黑体"/>
                                <w:kern w:val="0"/>
                                <w:sz w:val="28"/>
                                <w:szCs w:val="28"/>
                              </w:rPr>
                              <w:t>Specification For Testing Deceptive Usage Characteristics Of Fuel Dispenser Software</w:t>
                            </w:r>
                          </w:p>
                          <w:p w14:paraId="28AEAA66">
                            <w:pPr>
                              <w:autoSpaceDE w:val="0"/>
                              <w:autoSpaceDN w:val="0"/>
                              <w:adjustRightInd w:val="0"/>
                              <w:spacing w:line="520" w:lineRule="exact"/>
                              <w:ind w:firstLine="0" w:firstLineChars="0"/>
                              <w:jc w:val="center"/>
                              <w:rPr>
                                <w:rFonts w:eastAsia="黑体"/>
                                <w:sz w:val="28"/>
                                <w:szCs w:val="28"/>
                              </w:rPr>
                            </w:pPr>
                          </w:p>
                        </w:txbxContent>
                      </wps:txbx>
                      <wps:bodyPr vert="horz" wrap="square" anchor="t" upright="1"/>
                    </wps:wsp>
                  </a:graphicData>
                </a:graphic>
              </wp:anchor>
            </w:drawing>
          </mc:Choice>
          <mc:Fallback>
            <w:pict>
              <v:shape id="文本框 12" o:spid="_x0000_s1026" o:spt="202" type="#_x0000_t202" style="position:absolute;left:0pt;margin-left:1.5pt;margin-top:24.8pt;height:117pt;width:286pt;z-index:251663360;mso-width-relative:page;mso-height-relative:page;" fillcolor="#FFFFFF" filled="t" stroked="f" coordsize="21600,21600" o:gfxdata="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3waqttcA&#10;AAAIAQAADwAAAAAAAAABACAAAAAiAAAAZHJzL2Rvd25yZXYueG1sUEsBAhQAFAAAAAgAh07iQMCZ&#10;ZMvnAQAAtgMAAA4AAAAAAAAAAQAgAAAAJgEAAGRycy9lMm9Eb2MueG1sUEsFBgAAAAAGAAYAWQEA&#10;AH8FAAAAAA==&#10;">
                <v:fill on="t" focussize="0,0"/>
                <v:stroke on="f"/>
                <v:imagedata o:title=""/>
                <o:lock v:ext="edit" aspectratio="f"/>
                <v:textbox>
                  <w:txbxContent>
                    <w:p w14:paraId="3309C038">
                      <w:pPr>
                        <w:autoSpaceDE w:val="0"/>
                        <w:autoSpaceDN w:val="0"/>
                        <w:adjustRightInd w:val="0"/>
                        <w:spacing w:line="520" w:lineRule="exact"/>
                        <w:ind w:firstLine="0" w:firstLineChars="0"/>
                        <w:jc w:val="center"/>
                        <w:rPr>
                          <w:rFonts w:hint="eastAsia" w:ascii="黑体" w:eastAsia="黑体" w:cs="黑体"/>
                          <w:kern w:val="0"/>
                          <w:sz w:val="36"/>
                          <w:szCs w:val="36"/>
                          <w:lang w:eastAsia="zh-CN"/>
                        </w:rPr>
                      </w:pPr>
                      <w:r>
                        <w:rPr>
                          <w:rFonts w:hint="eastAsia" w:ascii="黑体" w:eastAsia="黑体" w:cs="黑体"/>
                          <w:kern w:val="0"/>
                          <w:sz w:val="36"/>
                          <w:szCs w:val="36"/>
                          <w:lang w:val="en-US" w:eastAsia="zh-CN"/>
                        </w:rPr>
                        <w:t>燃油</w:t>
                      </w:r>
                      <w:r>
                        <w:rPr>
                          <w:rFonts w:hint="eastAsia" w:ascii="黑体" w:eastAsia="黑体" w:cs="黑体"/>
                          <w:kern w:val="0"/>
                          <w:sz w:val="36"/>
                          <w:szCs w:val="36"/>
                          <w:lang w:eastAsia="zh-CN"/>
                        </w:rPr>
                        <w:t>加油机软件欺骗性使用特征</w:t>
                      </w:r>
                    </w:p>
                    <w:p w14:paraId="33F5D3FB">
                      <w:pPr>
                        <w:autoSpaceDE w:val="0"/>
                        <w:autoSpaceDN w:val="0"/>
                        <w:adjustRightInd w:val="0"/>
                        <w:spacing w:line="520" w:lineRule="exact"/>
                        <w:ind w:firstLine="0" w:firstLineChars="0"/>
                        <w:jc w:val="center"/>
                        <w:rPr>
                          <w:rFonts w:hint="eastAsia" w:ascii="黑体" w:eastAsia="黑体" w:cs="黑体"/>
                          <w:kern w:val="0"/>
                          <w:sz w:val="36"/>
                          <w:szCs w:val="36"/>
                          <w:lang w:eastAsia="zh-CN"/>
                        </w:rPr>
                      </w:pPr>
                      <w:r>
                        <w:rPr>
                          <w:rFonts w:hint="eastAsia" w:ascii="黑体" w:eastAsia="黑体" w:cs="黑体"/>
                          <w:kern w:val="0"/>
                          <w:sz w:val="36"/>
                          <w:szCs w:val="36"/>
                          <w:lang w:eastAsia="zh-CN"/>
                        </w:rPr>
                        <w:t>测试规范</w:t>
                      </w:r>
                    </w:p>
                    <w:p w14:paraId="18202961">
                      <w:pPr>
                        <w:autoSpaceDE w:val="0"/>
                        <w:autoSpaceDN w:val="0"/>
                        <w:adjustRightInd w:val="0"/>
                        <w:spacing w:line="520" w:lineRule="exact"/>
                        <w:ind w:firstLine="0" w:firstLineChars="0"/>
                        <w:jc w:val="center"/>
                        <w:rPr>
                          <w:rFonts w:hint="eastAsia" w:eastAsia="黑体"/>
                          <w:kern w:val="0"/>
                          <w:sz w:val="28"/>
                          <w:szCs w:val="28"/>
                        </w:rPr>
                      </w:pPr>
                      <w:r>
                        <w:rPr>
                          <w:rFonts w:hint="eastAsia" w:eastAsia="黑体"/>
                          <w:kern w:val="0"/>
                          <w:sz w:val="28"/>
                          <w:szCs w:val="28"/>
                        </w:rPr>
                        <w:t>Specification For Testing Deceptive Usage Characteristics Of Fuel Dispenser Software</w:t>
                      </w:r>
                    </w:p>
                    <w:p w14:paraId="28AEAA66">
                      <w:pPr>
                        <w:autoSpaceDE w:val="0"/>
                        <w:autoSpaceDN w:val="0"/>
                        <w:adjustRightInd w:val="0"/>
                        <w:spacing w:line="520" w:lineRule="exact"/>
                        <w:ind w:firstLine="0" w:firstLineChars="0"/>
                        <w:jc w:val="center"/>
                        <w:rPr>
                          <w:rFonts w:eastAsia="黑体"/>
                          <w:sz w:val="28"/>
                          <w:szCs w:val="28"/>
                        </w:rPr>
                      </w:pPr>
                    </w:p>
                  </w:txbxContent>
                </v:textbox>
              </v:shape>
            </w:pict>
          </mc:Fallback>
        </mc:AlternateContent>
      </w:r>
    </w:p>
    <w:p w14:paraId="5D20A477">
      <w:pPr>
        <w:ind w:firstLine="280" w:firstLineChars="100"/>
        <w:rPr>
          <w:rFonts w:ascii="黑体" w:eastAsia="黑体" w:cs="黑体"/>
          <w:kern w:val="0"/>
          <w:sz w:val="36"/>
          <w:szCs w:val="36"/>
        </w:rPr>
      </w:pPr>
      <w:r>
        <w:rPr>
          <w:sz w:val="28"/>
        </w:rPr>
        <mc:AlternateContent>
          <mc:Choice Requires="wps">
            <w:drawing>
              <wp:anchor distT="0" distB="0" distL="114300" distR="114300" simplePos="0" relativeHeight="251664384" behindDoc="0" locked="0" layoutInCell="1" allowOverlap="1">
                <wp:simplePos x="0" y="0"/>
                <wp:positionH relativeFrom="column">
                  <wp:posOffset>3667125</wp:posOffset>
                </wp:positionH>
                <wp:positionV relativeFrom="paragraph">
                  <wp:posOffset>0</wp:posOffset>
                </wp:positionV>
                <wp:extent cx="1828800" cy="1287780"/>
                <wp:effectExtent l="0" t="0" r="0" b="7620"/>
                <wp:wrapNone/>
                <wp:docPr id="19" name="文本框 11"/>
                <wp:cNvGraphicFramePr/>
                <a:graphic xmlns:a="http://schemas.openxmlformats.org/drawingml/2006/main">
                  <a:graphicData uri="http://schemas.microsoft.com/office/word/2010/wordprocessingShape">
                    <wps:wsp>
                      <wps:cNvSpPr txBox="1"/>
                      <wps:spPr>
                        <a:xfrm>
                          <a:off x="0" y="0"/>
                          <a:ext cx="1828800" cy="1287780"/>
                        </a:xfrm>
                        <a:prstGeom prst="rect">
                          <a:avLst/>
                        </a:prstGeom>
                        <a:solidFill>
                          <a:srgbClr val="FFFFFF"/>
                        </a:solidFill>
                        <a:ln w="9525" cap="rnd" cmpd="sng">
                          <a:solidFill>
                            <a:srgbClr val="000000"/>
                          </a:solidFill>
                          <a:prstDash val="sysDot"/>
                          <a:miter/>
                          <a:headEnd type="none" w="med" len="med"/>
                          <a:tailEnd type="none" w="med" len="med"/>
                        </a:ln>
                        <a:effectLst/>
                      </wps:spPr>
                      <wps:txbx>
                        <w:txbxContent>
                          <w:p w14:paraId="5DE2E6A5">
                            <w:pPr>
                              <w:pStyle w:val="7"/>
                              <w:spacing w:before="0" w:after="0" w:line="360" w:lineRule="auto"/>
                              <w:ind w:firstLine="0" w:firstLineChars="0"/>
                              <w:jc w:val="center"/>
                              <w:rPr>
                                <w:rFonts w:ascii="黑体" w:eastAsia="黑体"/>
                                <w:szCs w:val="28"/>
                              </w:rPr>
                            </w:pPr>
                          </w:p>
                          <w:p w14:paraId="430E789F">
                            <w:pPr>
                              <w:pStyle w:val="7"/>
                              <w:spacing w:before="0" w:after="0" w:line="360" w:lineRule="auto"/>
                              <w:ind w:firstLine="0" w:firstLineChars="0"/>
                              <w:jc w:val="center"/>
                            </w:pPr>
                            <w:r>
                              <w:rPr>
                                <w:rFonts w:hint="eastAsia" w:ascii="黑体" w:eastAsia="黑体"/>
                                <w:spacing w:val="20"/>
                                <w:szCs w:val="28"/>
                              </w:rPr>
                              <w:t xml:space="preserve">JJF </w:t>
                            </w:r>
                            <w:r>
                              <w:rPr>
                                <w:rFonts w:ascii="黑体" w:eastAsia="黑体" w:cs="黑体"/>
                                <w:kern w:val="0"/>
                                <w:szCs w:val="28"/>
                              </w:rPr>
                              <w:t>××××</w:t>
                            </w:r>
                            <w:r>
                              <w:rPr>
                                <w:rFonts w:hint="eastAsia" w:ascii="黑体" w:eastAsia="黑体"/>
                                <w:spacing w:val="20"/>
                                <w:szCs w:val="28"/>
                              </w:rPr>
                              <w:t>-202</w:t>
                            </w:r>
                            <w:r>
                              <w:rPr>
                                <w:rFonts w:ascii="黑体" w:eastAsia="黑体" w:cs="黑体"/>
                                <w:kern w:val="0"/>
                                <w:szCs w:val="28"/>
                              </w:rPr>
                              <w:t>×</w:t>
                            </w:r>
                          </w:p>
                        </w:txbxContent>
                      </wps:txbx>
                      <wps:bodyPr vert="horz" wrap="square" anchor="t" upright="1"/>
                    </wps:wsp>
                  </a:graphicData>
                </a:graphic>
              </wp:anchor>
            </w:drawing>
          </mc:Choice>
          <mc:Fallback>
            <w:pict>
              <v:shape id="文本框 11" o:spid="_x0000_s1026" o:spt="202" type="#_x0000_t202" style="position:absolute;left:0pt;margin-left:288.75pt;margin-top:0pt;height:101.4pt;width:144pt;z-index:251664384;mso-width-relative:page;mso-height-relative:page;" fillcolor="#FFFFFF" filled="t" stroked="t" coordsize="21600,21600" o:gfxdata="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vknfo1wAAAAgBAAAPAAAAAAAAAAEAIAAAACIAAABkcnMvZG93bnJldi54bWxQSwEC&#10;FAAUAAAACACHTuJAzT3KtS4CAABsBAAADgAAAAAAAAABACAAAAAmAQAAZHJzL2Uyb0RvYy54bWxQ&#10;SwUGAAAAAAYABgBZAQAAxgUAAAAA&#10;">
                <v:fill on="t" focussize="0,0"/>
                <v:stroke color="#000000" joinstyle="miter" dashstyle="1 1" endcap="round"/>
                <v:imagedata o:title=""/>
                <o:lock v:ext="edit" aspectratio="f"/>
                <v:textbox>
                  <w:txbxContent>
                    <w:p w14:paraId="5DE2E6A5">
                      <w:pPr>
                        <w:pStyle w:val="7"/>
                        <w:spacing w:before="0" w:after="0" w:line="360" w:lineRule="auto"/>
                        <w:ind w:firstLine="0" w:firstLineChars="0"/>
                        <w:jc w:val="center"/>
                        <w:rPr>
                          <w:rFonts w:ascii="黑体" w:eastAsia="黑体"/>
                          <w:szCs w:val="28"/>
                        </w:rPr>
                      </w:pPr>
                    </w:p>
                    <w:p w14:paraId="430E789F">
                      <w:pPr>
                        <w:pStyle w:val="7"/>
                        <w:spacing w:before="0" w:after="0" w:line="360" w:lineRule="auto"/>
                        <w:ind w:firstLine="0" w:firstLineChars="0"/>
                        <w:jc w:val="center"/>
                      </w:pPr>
                      <w:r>
                        <w:rPr>
                          <w:rFonts w:hint="eastAsia" w:ascii="黑体" w:eastAsia="黑体"/>
                          <w:spacing w:val="20"/>
                          <w:szCs w:val="28"/>
                        </w:rPr>
                        <w:t xml:space="preserve">JJF </w:t>
                      </w:r>
                      <w:r>
                        <w:rPr>
                          <w:rFonts w:ascii="黑体" w:eastAsia="黑体" w:cs="黑体"/>
                          <w:kern w:val="0"/>
                          <w:szCs w:val="28"/>
                        </w:rPr>
                        <w:t>××××</w:t>
                      </w:r>
                      <w:r>
                        <w:rPr>
                          <w:rFonts w:hint="eastAsia" w:ascii="黑体" w:eastAsia="黑体"/>
                          <w:spacing w:val="20"/>
                          <w:szCs w:val="28"/>
                        </w:rPr>
                        <w:t>-202</w:t>
                      </w:r>
                      <w:r>
                        <w:rPr>
                          <w:rFonts w:ascii="黑体" w:eastAsia="黑体" w:cs="黑体"/>
                          <w:kern w:val="0"/>
                          <w:szCs w:val="28"/>
                        </w:rPr>
                        <w:t>×</w:t>
                      </w:r>
                    </w:p>
                  </w:txbxContent>
                </v:textbox>
              </v:shape>
            </w:pict>
          </mc:Fallback>
        </mc:AlternateContent>
      </w:r>
    </w:p>
    <w:p w14:paraId="09987D3E">
      <w:pPr>
        <w:ind w:firstLine="720"/>
        <w:rPr>
          <w:rFonts w:ascii="黑体" w:eastAsia="黑体" w:cs="黑体"/>
          <w:kern w:val="0"/>
          <w:sz w:val="36"/>
          <w:szCs w:val="36"/>
        </w:rPr>
      </w:pPr>
    </w:p>
    <w:p w14:paraId="776169BA">
      <w:pPr>
        <w:spacing w:line="400" w:lineRule="exact"/>
        <w:ind w:firstLine="140" w:firstLineChars="50"/>
        <w:jc w:val="left"/>
        <w:rPr>
          <w:rFonts w:eastAsia="黑体"/>
          <w:kern w:val="0"/>
          <w:sz w:val="28"/>
          <w:szCs w:val="28"/>
        </w:rPr>
      </w:pPr>
    </w:p>
    <w:p w14:paraId="37D63CB6">
      <w:pPr>
        <w:spacing w:line="400" w:lineRule="exact"/>
        <w:ind w:firstLine="141" w:firstLineChars="50"/>
        <w:jc w:val="left"/>
        <w:rPr>
          <w:rFonts w:eastAsia="黑体"/>
          <w:b/>
          <w:bCs/>
          <w:kern w:val="0"/>
          <w:sz w:val="28"/>
          <w:szCs w:val="28"/>
        </w:rPr>
      </w:pPr>
    </w:p>
    <w:p w14:paraId="6402A158">
      <w:pPr>
        <w:spacing w:line="400" w:lineRule="exact"/>
        <w:ind w:left="147" w:leftChars="67" w:firstLine="0" w:firstLineChars="0"/>
        <w:jc w:val="left"/>
        <w:rPr>
          <w:sz w:val="28"/>
          <w:u w:val="single"/>
        </w:rPr>
      </w:pPr>
      <w:r>
        <w:rPr>
          <w:b/>
          <w:sz w:val="30"/>
        </w:rPr>
        <w:t>______________________________________________________</w:t>
      </w:r>
    </w:p>
    <w:p w14:paraId="730A5C01">
      <w:pPr>
        <w:snapToGrid w:val="0"/>
        <w:spacing w:line="480" w:lineRule="exact"/>
        <w:ind w:firstLine="560"/>
        <w:rPr>
          <w:sz w:val="28"/>
        </w:rPr>
      </w:pPr>
    </w:p>
    <w:p w14:paraId="762EA43B">
      <w:pPr>
        <w:snapToGrid w:val="0"/>
        <w:spacing w:line="480" w:lineRule="exact"/>
        <w:ind w:firstLine="440"/>
      </w:pPr>
    </w:p>
    <w:p w14:paraId="588D4C5A">
      <w:pPr>
        <w:snapToGrid w:val="0"/>
        <w:spacing w:line="480" w:lineRule="exact"/>
        <w:ind w:firstLine="440"/>
      </w:pPr>
    </w:p>
    <w:p w14:paraId="1BE9ECB6">
      <w:pPr>
        <w:snapToGrid w:val="0"/>
        <w:spacing w:line="480" w:lineRule="exact"/>
        <w:ind w:firstLine="840" w:firstLineChars="300"/>
        <w:rPr>
          <w:rFonts w:hint="eastAsia" w:eastAsia="黑体"/>
          <w:sz w:val="28"/>
          <w:lang w:eastAsia="zh-CN"/>
        </w:rPr>
      </w:pPr>
      <w:r>
        <w:rPr>
          <w:rFonts w:ascii="黑体" w:eastAsia="黑体"/>
          <w:sz w:val="28"/>
        </w:rPr>
        <w:t>归口单位</w:t>
      </w:r>
      <w:r>
        <w:rPr>
          <w:rFonts w:hint="eastAsia" w:ascii="黑体" w:eastAsia="黑体"/>
          <w:sz w:val="28"/>
        </w:rPr>
        <w:t xml:space="preserve"> ：</w:t>
      </w:r>
      <w:r>
        <w:rPr>
          <w:rFonts w:hint="eastAsia"/>
          <w:sz w:val="28"/>
          <w:lang w:eastAsia="zh-CN"/>
        </w:rPr>
        <w:t>全国数字计量技术委员会</w:t>
      </w:r>
    </w:p>
    <w:p w14:paraId="5662DFC8">
      <w:pPr>
        <w:snapToGrid w:val="0"/>
        <w:spacing w:line="480" w:lineRule="exact"/>
        <w:ind w:firstLine="840" w:firstLineChars="300"/>
        <w:rPr>
          <w:b/>
          <w:bCs/>
          <w:sz w:val="28"/>
        </w:rPr>
      </w:pPr>
      <w:r>
        <w:rPr>
          <w:rFonts w:hint="eastAsia" w:ascii="黑体" w:eastAsia="黑体"/>
          <w:sz w:val="28"/>
        </w:rPr>
        <w:t>主要起草单位：</w:t>
      </w:r>
      <w:r>
        <w:rPr>
          <w:rFonts w:hint="eastAsia"/>
          <w:sz w:val="28"/>
        </w:rPr>
        <w:t>内蒙古自治区产品质量检验研究院</w:t>
      </w:r>
    </w:p>
    <w:p w14:paraId="7771A6C0">
      <w:pPr>
        <w:snapToGrid w:val="0"/>
        <w:spacing w:line="480" w:lineRule="exact"/>
        <w:ind w:firstLine="840" w:firstLineChars="300"/>
        <w:rPr>
          <w:rFonts w:ascii="宋体" w:hAnsi="宋体" w:cs="宋体"/>
          <w:sz w:val="28"/>
        </w:rPr>
      </w:pPr>
      <w:r>
        <w:rPr>
          <w:rFonts w:hint="eastAsia" w:ascii="宋体" w:hAnsi="宋体" w:cs="宋体"/>
          <w:sz w:val="28"/>
        </w:rPr>
        <w:t xml:space="preserve">              </w:t>
      </w:r>
    </w:p>
    <w:p w14:paraId="29C39D75">
      <w:pPr>
        <w:snapToGrid w:val="0"/>
        <w:spacing w:line="480" w:lineRule="exact"/>
        <w:ind w:firstLine="2861" w:firstLineChars="1022"/>
        <w:rPr>
          <w:sz w:val="28"/>
        </w:rPr>
      </w:pPr>
    </w:p>
    <w:p w14:paraId="5D32FA7D">
      <w:pPr>
        <w:snapToGrid w:val="0"/>
        <w:spacing w:line="480" w:lineRule="exact"/>
        <w:ind w:firstLine="840" w:firstLineChars="300"/>
        <w:rPr>
          <w:rFonts w:ascii="宋体" w:hAnsi="宋体" w:cs="宋体"/>
          <w:sz w:val="28"/>
          <w:szCs w:val="28"/>
        </w:rPr>
      </w:pPr>
      <w:r>
        <w:rPr>
          <w:rFonts w:hint="eastAsia" w:ascii="黑体" w:eastAsia="黑体"/>
          <w:sz w:val="28"/>
        </w:rPr>
        <w:t>参加起草单位：</w:t>
      </w:r>
      <w:r>
        <w:rPr>
          <w:rFonts w:ascii="宋体" w:hAnsi="宋体" w:cs="宋体"/>
          <w:sz w:val="28"/>
          <w:szCs w:val="28"/>
        </w:rPr>
        <w:t xml:space="preserve"> </w:t>
      </w:r>
    </w:p>
    <w:p w14:paraId="04AE50F9">
      <w:pPr>
        <w:snapToGrid w:val="0"/>
        <w:spacing w:line="480" w:lineRule="exact"/>
        <w:ind w:firstLine="840" w:firstLineChars="300"/>
        <w:rPr>
          <w:rFonts w:ascii="宋体" w:hAnsi="宋体" w:cs="宋体"/>
          <w:sz w:val="28"/>
          <w:szCs w:val="28"/>
        </w:rPr>
      </w:pPr>
      <w:r>
        <w:rPr>
          <w:rFonts w:hint="eastAsia" w:ascii="宋体" w:hAnsi="宋体" w:cs="宋体"/>
          <w:sz w:val="28"/>
          <w:szCs w:val="28"/>
        </w:rPr>
        <w:t xml:space="preserve">              </w:t>
      </w:r>
    </w:p>
    <w:p w14:paraId="5F14E913">
      <w:pPr>
        <w:snapToGrid w:val="0"/>
        <w:spacing w:line="480" w:lineRule="exact"/>
        <w:ind w:firstLine="840" w:firstLineChars="300"/>
        <w:rPr>
          <w:rFonts w:ascii="宋体" w:hAnsi="宋体" w:cs="宋体"/>
          <w:sz w:val="28"/>
          <w:szCs w:val="28"/>
        </w:rPr>
      </w:pPr>
      <w:r>
        <w:rPr>
          <w:rFonts w:hint="eastAsia" w:ascii="宋体" w:hAnsi="宋体" w:cs="宋体"/>
          <w:sz w:val="28"/>
          <w:szCs w:val="28"/>
        </w:rPr>
        <w:t xml:space="preserve">              </w:t>
      </w:r>
    </w:p>
    <w:p w14:paraId="4CEAF863">
      <w:pPr>
        <w:snapToGrid w:val="0"/>
        <w:spacing w:line="480" w:lineRule="exact"/>
        <w:ind w:firstLine="840" w:firstLineChars="300"/>
        <w:rPr>
          <w:rFonts w:ascii="宋体" w:hAnsi="宋体" w:cs="宋体"/>
          <w:sz w:val="28"/>
          <w:szCs w:val="28"/>
        </w:rPr>
      </w:pPr>
      <w:r>
        <w:rPr>
          <w:rFonts w:hint="eastAsia" w:ascii="宋体" w:hAnsi="宋体" w:cs="宋体"/>
          <w:sz w:val="28"/>
          <w:szCs w:val="28"/>
        </w:rPr>
        <w:t xml:space="preserve">              </w:t>
      </w:r>
    </w:p>
    <w:p w14:paraId="644E0DF7">
      <w:pPr>
        <w:snapToGrid w:val="0"/>
        <w:spacing w:line="480" w:lineRule="exact"/>
        <w:ind w:firstLine="560"/>
        <w:rPr>
          <w:rFonts w:ascii="宋体" w:hAnsi="宋体" w:cs="宋体"/>
          <w:sz w:val="28"/>
          <w:szCs w:val="28"/>
        </w:rPr>
      </w:pPr>
    </w:p>
    <w:p w14:paraId="5D33B042">
      <w:pPr>
        <w:snapToGrid w:val="0"/>
        <w:spacing w:line="480" w:lineRule="exact"/>
        <w:ind w:firstLine="440"/>
      </w:pPr>
    </w:p>
    <w:p w14:paraId="73409EB9">
      <w:pPr>
        <w:snapToGrid w:val="0"/>
        <w:spacing w:line="480" w:lineRule="exact"/>
        <w:ind w:firstLine="440"/>
      </w:pPr>
    </w:p>
    <w:p w14:paraId="5158B58F">
      <w:pPr>
        <w:snapToGrid w:val="0"/>
        <w:spacing w:line="480" w:lineRule="exact"/>
        <w:ind w:firstLine="0" w:firstLineChars="0"/>
        <w:rPr>
          <w:sz w:val="28"/>
        </w:rPr>
      </w:pPr>
    </w:p>
    <w:p w14:paraId="3DABB9EB">
      <w:pPr>
        <w:snapToGrid w:val="0"/>
        <w:spacing w:line="480" w:lineRule="exact"/>
        <w:ind w:firstLine="0" w:firstLineChars="0"/>
        <w:rPr>
          <w:sz w:val="28"/>
        </w:rPr>
      </w:pPr>
    </w:p>
    <w:p w14:paraId="49845B4C">
      <w:pPr>
        <w:snapToGrid w:val="0"/>
        <w:spacing w:line="480" w:lineRule="exact"/>
        <w:ind w:firstLine="0" w:firstLineChars="0"/>
        <w:rPr>
          <w:sz w:val="28"/>
        </w:rPr>
      </w:pPr>
    </w:p>
    <w:p w14:paraId="32F0AE28">
      <w:pPr>
        <w:snapToGrid w:val="0"/>
        <w:spacing w:line="480" w:lineRule="exact"/>
        <w:ind w:firstLine="0" w:firstLineChars="0"/>
        <w:rPr>
          <w:sz w:val="28"/>
        </w:rPr>
      </w:pPr>
    </w:p>
    <w:p w14:paraId="43415355">
      <w:pPr>
        <w:pStyle w:val="2"/>
      </w:pPr>
    </w:p>
    <w:p w14:paraId="30E058BE">
      <w:pPr>
        <w:snapToGrid w:val="0"/>
        <w:spacing w:line="480" w:lineRule="exact"/>
        <w:ind w:firstLine="0" w:firstLineChars="0"/>
        <w:rPr>
          <w:sz w:val="28"/>
        </w:rPr>
      </w:pPr>
    </w:p>
    <w:p w14:paraId="34710093">
      <w:pPr>
        <w:snapToGrid w:val="0"/>
        <w:spacing w:line="480" w:lineRule="exact"/>
        <w:ind w:firstLine="0" w:firstLineChars="0"/>
        <w:jc w:val="center"/>
        <w:rPr>
          <w:sz w:val="28"/>
        </w:rPr>
      </w:pPr>
      <w:r>
        <w:rPr>
          <w:sz w:val="28"/>
        </w:rPr>
        <w:t>本规范</w:t>
      </w:r>
      <w:r>
        <w:rPr>
          <w:rFonts w:hint="eastAsia"/>
          <w:sz w:val="28"/>
        </w:rPr>
        <w:t>委托</w:t>
      </w:r>
      <w:r>
        <w:rPr>
          <w:rFonts w:hint="eastAsia"/>
          <w:sz w:val="28"/>
          <w:lang w:eastAsia="zh-CN"/>
        </w:rPr>
        <w:t>全国数字计量技术委员会</w:t>
      </w:r>
      <w:r>
        <w:rPr>
          <w:sz w:val="28"/>
        </w:rPr>
        <w:t>负责解释</w:t>
      </w:r>
    </w:p>
    <w:p w14:paraId="3F51BBE1">
      <w:pPr>
        <w:ind w:firstLine="0" w:firstLineChars="0"/>
      </w:pPr>
      <w:bookmarkStart w:id="0" w:name="_Toc179854776"/>
      <w:bookmarkStart w:id="1" w:name="_Toc179882419"/>
      <w:bookmarkStart w:id="2" w:name="_Toc179942593"/>
      <w:bookmarkStart w:id="3" w:name="_Toc179767286"/>
      <w:bookmarkStart w:id="4" w:name="_Toc179767435"/>
      <w:bookmarkStart w:id="5" w:name="_Toc197182688"/>
      <w:bookmarkStart w:id="6" w:name="_Toc179767079"/>
      <w:bookmarkStart w:id="7" w:name="_Toc179855005"/>
      <w:bookmarkStart w:id="8" w:name="_Toc179767324"/>
      <w:bookmarkStart w:id="9" w:name="_Toc179714712"/>
      <w:bookmarkStart w:id="10" w:name="_Toc179766608"/>
      <w:bookmarkStart w:id="11" w:name="_Toc179767362"/>
      <w:bookmarkStart w:id="12" w:name="_Toc179854741"/>
      <w:bookmarkStart w:id="13" w:name="_Toc179767467"/>
      <w:bookmarkStart w:id="14" w:name="_Toc179790333"/>
      <w:bookmarkStart w:id="15" w:name="_Toc179939295"/>
      <w:bookmarkStart w:id="16" w:name="_Toc179882459"/>
    </w:p>
    <w:p w14:paraId="6A623C88">
      <w:pPr>
        <w:ind w:firstLine="0" w:firstLineChars="0"/>
        <w:rPr>
          <w:rFonts w:hint="eastAsia" w:ascii="黑体" w:eastAsia="黑体"/>
          <w:sz w:val="28"/>
          <w:szCs w:val="28"/>
        </w:rPr>
        <w:sectPr>
          <w:headerReference r:id="rId11" w:type="default"/>
          <w:footerReference r:id="rId13" w:type="default"/>
          <w:headerReference r:id="rId12" w:type="even"/>
          <w:footerReference r:id="rId14" w:type="even"/>
          <w:pgSz w:w="11906" w:h="16838"/>
          <w:pgMar w:top="1440" w:right="1800" w:bottom="1440" w:left="1800" w:header="851" w:footer="992" w:gutter="0"/>
          <w:pgNumType w:fmt="upperRoman" w:start="1"/>
          <w:cols w:space="720" w:num="1"/>
          <w:docGrid w:type="lines" w:linePitch="312" w:charSpace="0"/>
        </w:sectPr>
      </w:pPr>
    </w:p>
    <w:p w14:paraId="26B8D0DE">
      <w:pPr>
        <w:ind w:firstLine="0" w:firstLineChars="0"/>
        <w:rPr>
          <w:rFonts w:ascii="黑体" w:eastAsia="黑体"/>
          <w:sz w:val="28"/>
          <w:szCs w:val="28"/>
        </w:rPr>
      </w:pPr>
      <w:r>
        <w:rPr>
          <w:rFonts w:hint="eastAsia" w:ascii="黑体" w:eastAsia="黑体"/>
          <w:sz w:val="28"/>
          <w:szCs w:val="28"/>
        </w:rPr>
        <w:t>本规范主要起草人：</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326D0D">
      <w:pPr>
        <w:ind w:firstLine="560"/>
        <w:rPr>
          <w:rFonts w:ascii="宋体" w:hAnsi="宋体" w:cs="宋体"/>
          <w:sz w:val="28"/>
          <w:szCs w:val="28"/>
        </w:rPr>
      </w:pPr>
    </w:p>
    <w:p w14:paraId="370884AB">
      <w:pPr>
        <w:ind w:firstLine="560"/>
        <w:rPr>
          <w:sz w:val="28"/>
        </w:rPr>
      </w:pPr>
    </w:p>
    <w:p w14:paraId="5AD12ACC">
      <w:pPr>
        <w:snapToGrid w:val="0"/>
        <w:spacing w:line="480" w:lineRule="exact"/>
        <w:ind w:firstLine="560"/>
        <w:rPr>
          <w:sz w:val="28"/>
        </w:rPr>
      </w:pPr>
    </w:p>
    <w:p w14:paraId="178F85D2">
      <w:pPr>
        <w:snapToGrid w:val="0"/>
        <w:spacing w:line="480" w:lineRule="exact"/>
        <w:ind w:firstLine="560"/>
        <w:rPr>
          <w:rFonts w:ascii="黑体" w:eastAsia="黑体"/>
          <w:sz w:val="28"/>
          <w:szCs w:val="28"/>
        </w:rPr>
      </w:pPr>
      <w:r>
        <w:rPr>
          <w:rFonts w:ascii="黑体" w:eastAsia="黑体"/>
          <w:sz w:val="28"/>
          <w:szCs w:val="28"/>
        </w:rPr>
        <w:t>参加起草人：</w:t>
      </w:r>
    </w:p>
    <w:p w14:paraId="29CF47C2">
      <w:pPr>
        <w:snapToGrid w:val="0"/>
        <w:spacing w:line="480" w:lineRule="exact"/>
        <w:ind w:firstLine="560"/>
        <w:rPr>
          <w:rFonts w:ascii="黑体" w:eastAsia="黑体"/>
          <w:sz w:val="28"/>
          <w:szCs w:val="28"/>
        </w:rPr>
      </w:pPr>
    </w:p>
    <w:p w14:paraId="3CC2D1CB">
      <w:pPr>
        <w:snapToGrid w:val="0"/>
        <w:spacing w:line="480" w:lineRule="exact"/>
        <w:ind w:firstLine="560"/>
        <w:rPr>
          <w:rFonts w:ascii="黑体" w:eastAsia="黑体"/>
          <w:sz w:val="28"/>
          <w:szCs w:val="28"/>
        </w:rPr>
      </w:pPr>
    </w:p>
    <w:p w14:paraId="250E855C">
      <w:pPr>
        <w:ind w:firstLine="560"/>
        <w:rPr>
          <w:sz w:val="28"/>
        </w:rPr>
      </w:pPr>
    </w:p>
    <w:p w14:paraId="6E15845D">
      <w:pPr>
        <w:spacing w:line="240" w:lineRule="auto"/>
        <w:ind w:firstLine="0" w:firstLineChars="0"/>
        <w:jc w:val="center"/>
        <w:rPr>
          <w:rFonts w:ascii="黑体" w:hAnsi="黑体" w:eastAsia="黑体" w:cs="黑体"/>
          <w:sz w:val="36"/>
          <w:szCs w:val="36"/>
        </w:rPr>
        <w:sectPr>
          <w:footerReference r:id="rId15" w:type="default"/>
          <w:footerReference r:id="rId16" w:type="even"/>
          <w:pgSz w:w="11906" w:h="16838"/>
          <w:pgMar w:top="1440" w:right="1800" w:bottom="1440" w:left="1800" w:header="851" w:footer="992" w:gutter="0"/>
          <w:pgNumType w:fmt="upperRoman" w:start="1"/>
          <w:cols w:space="720" w:num="1"/>
          <w:docGrid w:type="lines" w:linePitch="312" w:charSpace="0"/>
        </w:sectPr>
      </w:pPr>
    </w:p>
    <w:p w14:paraId="3EB3C29C">
      <w:pPr>
        <w:spacing w:line="240" w:lineRule="auto"/>
        <w:ind w:firstLine="0" w:firstLineChars="0"/>
        <w:jc w:val="center"/>
        <w:rPr>
          <w:rFonts w:ascii="黑体" w:hAnsi="黑体" w:eastAsia="黑体" w:cs="黑体"/>
          <w:sz w:val="36"/>
          <w:szCs w:val="36"/>
        </w:rPr>
      </w:pPr>
      <w:r>
        <w:rPr>
          <w:rFonts w:hint="eastAsia" w:ascii="黑体" w:hAnsi="黑体" w:eastAsia="黑体" w:cs="黑体"/>
          <w:sz w:val="36"/>
          <w:szCs w:val="36"/>
        </w:rPr>
        <w:t>目  录</w:t>
      </w:r>
    </w:p>
    <w:p w14:paraId="207B5602">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TOC \o "1-2" \h \u </w:instrText>
      </w:r>
      <w:r>
        <w:rPr>
          <w:b w:val="0"/>
          <w:bCs/>
          <w:szCs w:val="21"/>
        </w:rPr>
        <w:fldChar w:fldCharType="separate"/>
      </w:r>
      <w:r>
        <w:rPr>
          <w:b w:val="0"/>
          <w:bCs/>
          <w:szCs w:val="21"/>
        </w:rPr>
        <w:fldChar w:fldCharType="begin"/>
      </w:r>
      <w:r>
        <w:rPr>
          <w:b w:val="0"/>
          <w:bCs/>
          <w:szCs w:val="21"/>
        </w:rPr>
        <w:instrText xml:space="preserve"> HYPERLINK \l _Toc24925 </w:instrText>
      </w:r>
      <w:r>
        <w:rPr>
          <w:b w:val="0"/>
          <w:bCs/>
          <w:szCs w:val="21"/>
        </w:rPr>
        <w:fldChar w:fldCharType="separate"/>
      </w:r>
      <w:r>
        <w:rPr>
          <w:rFonts w:hint="eastAsia"/>
          <w:b w:val="0"/>
          <w:bCs/>
          <w:szCs w:val="21"/>
        </w:rPr>
        <w:t>引  言</w:t>
      </w:r>
      <w:r>
        <w:rPr>
          <w:b w:val="0"/>
          <w:bCs/>
          <w:szCs w:val="21"/>
        </w:rPr>
        <w:tab/>
      </w:r>
      <w:r>
        <w:rPr>
          <w:b w:val="0"/>
          <w:bCs/>
          <w:szCs w:val="21"/>
        </w:rPr>
        <w:fldChar w:fldCharType="begin"/>
      </w:r>
      <w:r>
        <w:rPr>
          <w:b w:val="0"/>
          <w:bCs/>
          <w:szCs w:val="21"/>
        </w:rPr>
        <w:instrText xml:space="preserve"> PAGEREF _Toc24925 \h </w:instrText>
      </w:r>
      <w:r>
        <w:rPr>
          <w:b w:val="0"/>
          <w:bCs/>
          <w:szCs w:val="21"/>
        </w:rPr>
        <w:fldChar w:fldCharType="separate"/>
      </w:r>
      <w:r>
        <w:rPr>
          <w:b w:val="0"/>
          <w:bCs/>
          <w:szCs w:val="21"/>
        </w:rPr>
        <w:t>II</w:t>
      </w:r>
      <w:r>
        <w:rPr>
          <w:b w:val="0"/>
          <w:bCs/>
          <w:szCs w:val="21"/>
        </w:rPr>
        <w:fldChar w:fldCharType="end"/>
      </w:r>
      <w:r>
        <w:rPr>
          <w:b w:val="0"/>
          <w:bCs/>
          <w:szCs w:val="21"/>
        </w:rPr>
        <w:fldChar w:fldCharType="end"/>
      </w:r>
    </w:p>
    <w:p w14:paraId="50C156AC">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_Toc20940 </w:instrText>
      </w:r>
      <w:r>
        <w:rPr>
          <w:b w:val="0"/>
          <w:bCs/>
          <w:szCs w:val="21"/>
        </w:rPr>
        <w:fldChar w:fldCharType="separate"/>
      </w:r>
      <w:r>
        <w:rPr>
          <w:rFonts w:hint="default"/>
          <w:b w:val="0"/>
          <w:bCs/>
          <w:szCs w:val="21"/>
        </w:rPr>
        <w:t xml:space="preserve">1 </w:t>
      </w:r>
      <w:r>
        <w:rPr>
          <w:rFonts w:hint="eastAsia"/>
          <w:b w:val="0"/>
          <w:bCs/>
          <w:szCs w:val="21"/>
        </w:rPr>
        <w:t>范围</w:t>
      </w:r>
      <w:r>
        <w:rPr>
          <w:b w:val="0"/>
          <w:bCs/>
          <w:szCs w:val="21"/>
        </w:rPr>
        <w:tab/>
      </w:r>
      <w:r>
        <w:rPr>
          <w:b w:val="0"/>
          <w:bCs/>
          <w:szCs w:val="21"/>
        </w:rPr>
        <w:fldChar w:fldCharType="begin"/>
      </w:r>
      <w:r>
        <w:rPr>
          <w:b w:val="0"/>
          <w:bCs/>
          <w:szCs w:val="21"/>
        </w:rPr>
        <w:instrText xml:space="preserve"> PAGEREF _Toc20940 \h </w:instrText>
      </w:r>
      <w:r>
        <w:rPr>
          <w:b w:val="0"/>
          <w:bCs/>
          <w:szCs w:val="21"/>
        </w:rPr>
        <w:fldChar w:fldCharType="separate"/>
      </w:r>
      <w:r>
        <w:rPr>
          <w:b w:val="0"/>
          <w:bCs/>
          <w:szCs w:val="21"/>
        </w:rPr>
        <w:t>1</w:t>
      </w:r>
      <w:r>
        <w:rPr>
          <w:b w:val="0"/>
          <w:bCs/>
          <w:szCs w:val="21"/>
        </w:rPr>
        <w:fldChar w:fldCharType="end"/>
      </w:r>
      <w:r>
        <w:rPr>
          <w:b w:val="0"/>
          <w:bCs/>
          <w:szCs w:val="21"/>
        </w:rPr>
        <w:fldChar w:fldCharType="end"/>
      </w:r>
    </w:p>
    <w:p w14:paraId="18C2CF6A">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_Toc25766 </w:instrText>
      </w:r>
      <w:r>
        <w:rPr>
          <w:b w:val="0"/>
          <w:bCs/>
          <w:szCs w:val="21"/>
        </w:rPr>
        <w:fldChar w:fldCharType="separate"/>
      </w:r>
      <w:r>
        <w:rPr>
          <w:rFonts w:hint="default"/>
          <w:b w:val="0"/>
          <w:bCs/>
          <w:szCs w:val="21"/>
        </w:rPr>
        <w:t xml:space="preserve">2 </w:t>
      </w:r>
      <w:r>
        <w:rPr>
          <w:rFonts w:hint="eastAsia"/>
          <w:b w:val="0"/>
          <w:bCs/>
          <w:szCs w:val="21"/>
        </w:rPr>
        <w:t>引用文件</w:t>
      </w:r>
      <w:r>
        <w:rPr>
          <w:b w:val="0"/>
          <w:bCs/>
          <w:szCs w:val="21"/>
        </w:rPr>
        <w:tab/>
      </w:r>
      <w:r>
        <w:rPr>
          <w:b w:val="0"/>
          <w:bCs/>
          <w:szCs w:val="21"/>
        </w:rPr>
        <w:fldChar w:fldCharType="begin"/>
      </w:r>
      <w:r>
        <w:rPr>
          <w:b w:val="0"/>
          <w:bCs/>
          <w:szCs w:val="21"/>
        </w:rPr>
        <w:instrText xml:space="preserve"> PAGEREF _Toc25766 \h </w:instrText>
      </w:r>
      <w:r>
        <w:rPr>
          <w:b w:val="0"/>
          <w:bCs/>
          <w:szCs w:val="21"/>
        </w:rPr>
        <w:fldChar w:fldCharType="separate"/>
      </w:r>
      <w:r>
        <w:rPr>
          <w:b w:val="0"/>
          <w:bCs/>
          <w:szCs w:val="21"/>
        </w:rPr>
        <w:t>1</w:t>
      </w:r>
      <w:r>
        <w:rPr>
          <w:b w:val="0"/>
          <w:bCs/>
          <w:szCs w:val="21"/>
        </w:rPr>
        <w:fldChar w:fldCharType="end"/>
      </w:r>
      <w:r>
        <w:rPr>
          <w:b w:val="0"/>
          <w:bCs/>
          <w:szCs w:val="21"/>
        </w:rPr>
        <w:fldChar w:fldCharType="end"/>
      </w:r>
    </w:p>
    <w:p w14:paraId="181DA2CA">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_Toc14101 </w:instrText>
      </w:r>
      <w:r>
        <w:rPr>
          <w:b w:val="0"/>
          <w:bCs/>
          <w:szCs w:val="21"/>
        </w:rPr>
        <w:fldChar w:fldCharType="separate"/>
      </w:r>
      <w:r>
        <w:rPr>
          <w:rFonts w:hint="default"/>
          <w:b w:val="0"/>
          <w:bCs/>
          <w:szCs w:val="21"/>
        </w:rPr>
        <w:t xml:space="preserve">3 </w:t>
      </w:r>
      <w:r>
        <w:rPr>
          <w:rFonts w:hint="eastAsia"/>
          <w:b w:val="0"/>
          <w:bCs/>
          <w:szCs w:val="21"/>
        </w:rPr>
        <w:t>术语和计量单位</w:t>
      </w:r>
      <w:r>
        <w:rPr>
          <w:b w:val="0"/>
          <w:bCs/>
          <w:szCs w:val="21"/>
        </w:rPr>
        <w:tab/>
      </w:r>
      <w:r>
        <w:rPr>
          <w:b w:val="0"/>
          <w:bCs/>
          <w:szCs w:val="21"/>
        </w:rPr>
        <w:fldChar w:fldCharType="begin"/>
      </w:r>
      <w:r>
        <w:rPr>
          <w:b w:val="0"/>
          <w:bCs/>
          <w:szCs w:val="21"/>
        </w:rPr>
        <w:instrText xml:space="preserve"> PAGEREF _Toc14101 \h </w:instrText>
      </w:r>
      <w:r>
        <w:rPr>
          <w:b w:val="0"/>
          <w:bCs/>
          <w:szCs w:val="21"/>
        </w:rPr>
        <w:fldChar w:fldCharType="separate"/>
      </w:r>
      <w:r>
        <w:rPr>
          <w:b w:val="0"/>
          <w:bCs/>
          <w:szCs w:val="21"/>
        </w:rPr>
        <w:t>1</w:t>
      </w:r>
      <w:r>
        <w:rPr>
          <w:b w:val="0"/>
          <w:bCs/>
          <w:szCs w:val="21"/>
        </w:rPr>
        <w:fldChar w:fldCharType="end"/>
      </w:r>
      <w:r>
        <w:rPr>
          <w:b w:val="0"/>
          <w:bCs/>
          <w:szCs w:val="21"/>
        </w:rPr>
        <w:fldChar w:fldCharType="end"/>
      </w:r>
    </w:p>
    <w:p w14:paraId="3ED26228">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_Toc14472 </w:instrText>
      </w:r>
      <w:r>
        <w:rPr>
          <w:b w:val="0"/>
          <w:bCs/>
          <w:szCs w:val="21"/>
        </w:rPr>
        <w:fldChar w:fldCharType="separate"/>
      </w:r>
      <w:r>
        <w:rPr>
          <w:rFonts w:hint="default"/>
          <w:b w:val="0"/>
          <w:bCs/>
          <w:szCs w:val="21"/>
        </w:rPr>
        <w:t xml:space="preserve">3.1 </w:t>
      </w:r>
      <w:r>
        <w:rPr>
          <w:rFonts w:hint="eastAsia"/>
          <w:b w:val="0"/>
          <w:bCs/>
          <w:szCs w:val="21"/>
        </w:rPr>
        <w:t>术语</w:t>
      </w:r>
      <w:r>
        <w:rPr>
          <w:b w:val="0"/>
          <w:bCs/>
          <w:szCs w:val="21"/>
        </w:rPr>
        <w:tab/>
      </w:r>
      <w:r>
        <w:rPr>
          <w:b w:val="0"/>
          <w:bCs/>
          <w:szCs w:val="21"/>
        </w:rPr>
        <w:fldChar w:fldCharType="begin"/>
      </w:r>
      <w:r>
        <w:rPr>
          <w:b w:val="0"/>
          <w:bCs/>
          <w:szCs w:val="21"/>
        </w:rPr>
        <w:instrText xml:space="preserve"> PAGEREF _Toc14472 \h </w:instrText>
      </w:r>
      <w:r>
        <w:rPr>
          <w:b w:val="0"/>
          <w:bCs/>
          <w:szCs w:val="21"/>
        </w:rPr>
        <w:fldChar w:fldCharType="separate"/>
      </w:r>
      <w:r>
        <w:rPr>
          <w:b w:val="0"/>
          <w:bCs/>
          <w:szCs w:val="21"/>
        </w:rPr>
        <w:t>1</w:t>
      </w:r>
      <w:r>
        <w:rPr>
          <w:b w:val="0"/>
          <w:bCs/>
          <w:szCs w:val="21"/>
        </w:rPr>
        <w:fldChar w:fldCharType="end"/>
      </w:r>
      <w:r>
        <w:rPr>
          <w:b w:val="0"/>
          <w:bCs/>
          <w:szCs w:val="21"/>
        </w:rPr>
        <w:fldChar w:fldCharType="end"/>
      </w:r>
    </w:p>
    <w:p w14:paraId="31BDC593">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_Toc15582 </w:instrText>
      </w:r>
      <w:r>
        <w:rPr>
          <w:b w:val="0"/>
          <w:bCs/>
          <w:szCs w:val="21"/>
        </w:rPr>
        <w:fldChar w:fldCharType="separate"/>
      </w:r>
      <w:r>
        <w:rPr>
          <w:rFonts w:hint="default"/>
          <w:b w:val="0"/>
          <w:bCs/>
          <w:szCs w:val="21"/>
        </w:rPr>
        <w:t xml:space="preserve">3.2 </w:t>
      </w:r>
      <w:r>
        <w:rPr>
          <w:rFonts w:hint="eastAsia"/>
          <w:b w:val="0"/>
          <w:bCs/>
          <w:szCs w:val="21"/>
        </w:rPr>
        <w:t>计量单位</w:t>
      </w:r>
      <w:r>
        <w:rPr>
          <w:b w:val="0"/>
          <w:bCs/>
          <w:szCs w:val="21"/>
        </w:rPr>
        <w:tab/>
      </w:r>
      <w:r>
        <w:rPr>
          <w:b w:val="0"/>
          <w:bCs/>
          <w:szCs w:val="21"/>
        </w:rPr>
        <w:fldChar w:fldCharType="begin"/>
      </w:r>
      <w:r>
        <w:rPr>
          <w:b w:val="0"/>
          <w:bCs/>
          <w:szCs w:val="21"/>
        </w:rPr>
        <w:instrText xml:space="preserve"> PAGEREF _Toc15582 \h </w:instrText>
      </w:r>
      <w:r>
        <w:rPr>
          <w:b w:val="0"/>
          <w:bCs/>
          <w:szCs w:val="21"/>
        </w:rPr>
        <w:fldChar w:fldCharType="separate"/>
      </w:r>
      <w:r>
        <w:rPr>
          <w:b w:val="0"/>
          <w:bCs/>
          <w:szCs w:val="21"/>
        </w:rPr>
        <w:t>2</w:t>
      </w:r>
      <w:r>
        <w:rPr>
          <w:b w:val="0"/>
          <w:bCs/>
          <w:szCs w:val="21"/>
        </w:rPr>
        <w:fldChar w:fldCharType="end"/>
      </w:r>
      <w:r>
        <w:rPr>
          <w:b w:val="0"/>
          <w:bCs/>
          <w:szCs w:val="21"/>
        </w:rPr>
        <w:fldChar w:fldCharType="end"/>
      </w:r>
    </w:p>
    <w:p w14:paraId="4ACBD18C">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_Toc31997 </w:instrText>
      </w:r>
      <w:r>
        <w:rPr>
          <w:b w:val="0"/>
          <w:bCs/>
          <w:szCs w:val="21"/>
        </w:rPr>
        <w:fldChar w:fldCharType="separate"/>
      </w:r>
      <w:r>
        <w:rPr>
          <w:rFonts w:hint="default"/>
          <w:b w:val="0"/>
          <w:bCs/>
          <w:szCs w:val="21"/>
        </w:rPr>
        <w:t xml:space="preserve">4 </w:t>
      </w:r>
      <w:r>
        <w:rPr>
          <w:rFonts w:hint="eastAsia"/>
          <w:b w:val="0"/>
          <w:bCs/>
          <w:szCs w:val="21"/>
        </w:rPr>
        <w:t>概述</w:t>
      </w:r>
      <w:r>
        <w:rPr>
          <w:b w:val="0"/>
          <w:bCs/>
          <w:szCs w:val="21"/>
        </w:rPr>
        <w:tab/>
      </w:r>
      <w:r>
        <w:rPr>
          <w:b w:val="0"/>
          <w:bCs/>
          <w:szCs w:val="21"/>
        </w:rPr>
        <w:fldChar w:fldCharType="begin"/>
      </w:r>
      <w:r>
        <w:rPr>
          <w:b w:val="0"/>
          <w:bCs/>
          <w:szCs w:val="21"/>
        </w:rPr>
        <w:instrText xml:space="preserve"> PAGEREF _Toc31997 \h </w:instrText>
      </w:r>
      <w:r>
        <w:rPr>
          <w:b w:val="0"/>
          <w:bCs/>
          <w:szCs w:val="21"/>
        </w:rPr>
        <w:fldChar w:fldCharType="separate"/>
      </w:r>
      <w:r>
        <w:rPr>
          <w:b w:val="0"/>
          <w:bCs/>
          <w:szCs w:val="21"/>
        </w:rPr>
        <w:t>3</w:t>
      </w:r>
      <w:r>
        <w:rPr>
          <w:b w:val="0"/>
          <w:bCs/>
          <w:szCs w:val="21"/>
        </w:rPr>
        <w:fldChar w:fldCharType="end"/>
      </w:r>
      <w:r>
        <w:rPr>
          <w:b w:val="0"/>
          <w:bCs/>
          <w:szCs w:val="21"/>
        </w:rPr>
        <w:fldChar w:fldCharType="end"/>
      </w:r>
    </w:p>
    <w:p w14:paraId="77C63D5D">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_Toc24497 </w:instrText>
      </w:r>
      <w:r>
        <w:rPr>
          <w:b w:val="0"/>
          <w:bCs/>
          <w:szCs w:val="21"/>
        </w:rPr>
        <w:fldChar w:fldCharType="separate"/>
      </w:r>
      <w:r>
        <w:rPr>
          <w:rFonts w:hint="default"/>
          <w:b w:val="0"/>
          <w:bCs/>
          <w:szCs w:val="21"/>
        </w:rPr>
        <w:t xml:space="preserve">5 </w:t>
      </w:r>
      <w:r>
        <w:rPr>
          <w:rFonts w:hint="eastAsia"/>
          <w:b w:val="0"/>
          <w:bCs/>
          <w:szCs w:val="21"/>
          <w:lang w:val="en-US" w:eastAsia="zh-CN"/>
        </w:rPr>
        <w:t>测试要求</w:t>
      </w:r>
      <w:r>
        <w:rPr>
          <w:b w:val="0"/>
          <w:bCs/>
          <w:szCs w:val="21"/>
        </w:rPr>
        <w:tab/>
      </w:r>
      <w:r>
        <w:rPr>
          <w:b w:val="0"/>
          <w:bCs/>
          <w:szCs w:val="21"/>
        </w:rPr>
        <w:fldChar w:fldCharType="begin"/>
      </w:r>
      <w:r>
        <w:rPr>
          <w:b w:val="0"/>
          <w:bCs/>
          <w:szCs w:val="21"/>
        </w:rPr>
        <w:instrText xml:space="preserve"> PAGEREF _Toc24497 \h </w:instrText>
      </w:r>
      <w:r>
        <w:rPr>
          <w:b w:val="0"/>
          <w:bCs/>
          <w:szCs w:val="21"/>
        </w:rPr>
        <w:fldChar w:fldCharType="separate"/>
      </w:r>
      <w:r>
        <w:rPr>
          <w:b w:val="0"/>
          <w:bCs/>
          <w:szCs w:val="21"/>
        </w:rPr>
        <w:t>3</w:t>
      </w:r>
      <w:r>
        <w:rPr>
          <w:b w:val="0"/>
          <w:bCs/>
          <w:szCs w:val="21"/>
        </w:rPr>
        <w:fldChar w:fldCharType="end"/>
      </w:r>
      <w:r>
        <w:rPr>
          <w:b w:val="0"/>
          <w:bCs/>
          <w:szCs w:val="21"/>
        </w:rPr>
        <w:fldChar w:fldCharType="end"/>
      </w:r>
    </w:p>
    <w:p w14:paraId="3D1F34DC">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_Toc28435 </w:instrText>
      </w:r>
      <w:r>
        <w:rPr>
          <w:b w:val="0"/>
          <w:bCs/>
          <w:szCs w:val="21"/>
        </w:rPr>
        <w:fldChar w:fldCharType="separate"/>
      </w:r>
      <w:r>
        <w:rPr>
          <w:rFonts w:hint="default"/>
          <w:b w:val="0"/>
          <w:bCs/>
          <w:szCs w:val="21"/>
        </w:rPr>
        <w:t xml:space="preserve">5.1 </w:t>
      </w:r>
      <w:r>
        <w:rPr>
          <w:rFonts w:hint="eastAsia"/>
          <w:b w:val="0"/>
          <w:bCs/>
          <w:szCs w:val="21"/>
          <w:lang w:val="en-US" w:eastAsia="zh-CN"/>
        </w:rPr>
        <w:t>测试文档集要求</w:t>
      </w:r>
      <w:r>
        <w:rPr>
          <w:b w:val="0"/>
          <w:bCs/>
          <w:szCs w:val="21"/>
        </w:rPr>
        <w:tab/>
      </w:r>
      <w:r>
        <w:rPr>
          <w:b w:val="0"/>
          <w:bCs/>
          <w:szCs w:val="21"/>
        </w:rPr>
        <w:fldChar w:fldCharType="begin"/>
      </w:r>
      <w:r>
        <w:rPr>
          <w:b w:val="0"/>
          <w:bCs/>
          <w:szCs w:val="21"/>
        </w:rPr>
        <w:instrText xml:space="preserve"> PAGEREF _Toc28435 \h </w:instrText>
      </w:r>
      <w:r>
        <w:rPr>
          <w:b w:val="0"/>
          <w:bCs/>
          <w:szCs w:val="21"/>
        </w:rPr>
        <w:fldChar w:fldCharType="separate"/>
      </w:r>
      <w:r>
        <w:rPr>
          <w:b w:val="0"/>
          <w:bCs/>
          <w:szCs w:val="21"/>
        </w:rPr>
        <w:t>3</w:t>
      </w:r>
      <w:r>
        <w:rPr>
          <w:b w:val="0"/>
          <w:bCs/>
          <w:szCs w:val="21"/>
        </w:rPr>
        <w:fldChar w:fldCharType="end"/>
      </w:r>
      <w:r>
        <w:rPr>
          <w:b w:val="0"/>
          <w:bCs/>
          <w:szCs w:val="21"/>
        </w:rPr>
        <w:fldChar w:fldCharType="end"/>
      </w:r>
    </w:p>
    <w:p w14:paraId="41F5A537">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_Toc30815 </w:instrText>
      </w:r>
      <w:r>
        <w:rPr>
          <w:b w:val="0"/>
          <w:bCs/>
          <w:szCs w:val="21"/>
        </w:rPr>
        <w:fldChar w:fldCharType="separate"/>
      </w:r>
      <w:r>
        <w:rPr>
          <w:rFonts w:hint="default"/>
          <w:b w:val="0"/>
          <w:bCs/>
          <w:szCs w:val="21"/>
          <w:lang w:val="en-US" w:eastAsia="zh-CN"/>
        </w:rPr>
        <w:t xml:space="preserve">5.2 </w:t>
      </w:r>
      <w:r>
        <w:rPr>
          <w:rFonts w:hint="eastAsia"/>
          <w:b w:val="0"/>
          <w:bCs/>
          <w:szCs w:val="21"/>
          <w:lang w:val="en-US" w:eastAsia="zh-CN"/>
        </w:rPr>
        <w:t>燃油加油机软件及其组件的要求描述</w:t>
      </w:r>
      <w:r>
        <w:rPr>
          <w:b w:val="0"/>
          <w:bCs/>
          <w:szCs w:val="21"/>
        </w:rPr>
        <w:tab/>
      </w:r>
      <w:r>
        <w:rPr>
          <w:b w:val="0"/>
          <w:bCs/>
          <w:szCs w:val="21"/>
        </w:rPr>
        <w:fldChar w:fldCharType="begin"/>
      </w:r>
      <w:r>
        <w:rPr>
          <w:b w:val="0"/>
          <w:bCs/>
          <w:szCs w:val="21"/>
        </w:rPr>
        <w:instrText xml:space="preserve"> PAGEREF _Toc30815 \h </w:instrText>
      </w:r>
      <w:r>
        <w:rPr>
          <w:b w:val="0"/>
          <w:bCs/>
          <w:szCs w:val="21"/>
        </w:rPr>
        <w:fldChar w:fldCharType="separate"/>
      </w:r>
      <w:r>
        <w:rPr>
          <w:b w:val="0"/>
          <w:bCs/>
          <w:szCs w:val="21"/>
        </w:rPr>
        <w:t>3</w:t>
      </w:r>
      <w:r>
        <w:rPr>
          <w:b w:val="0"/>
          <w:bCs/>
          <w:szCs w:val="21"/>
        </w:rPr>
        <w:fldChar w:fldCharType="end"/>
      </w:r>
      <w:r>
        <w:rPr>
          <w:b w:val="0"/>
          <w:bCs/>
          <w:szCs w:val="21"/>
        </w:rPr>
        <w:fldChar w:fldCharType="end"/>
      </w:r>
    </w:p>
    <w:p w14:paraId="496662D3">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_Toc23633 </w:instrText>
      </w:r>
      <w:r>
        <w:rPr>
          <w:b w:val="0"/>
          <w:bCs/>
          <w:szCs w:val="21"/>
        </w:rPr>
        <w:fldChar w:fldCharType="separate"/>
      </w:r>
      <w:r>
        <w:rPr>
          <w:rFonts w:hint="default"/>
          <w:b w:val="0"/>
          <w:bCs/>
          <w:szCs w:val="21"/>
          <w:lang w:val="en-US" w:eastAsia="zh-CN"/>
        </w:rPr>
        <w:t xml:space="preserve">5.3 </w:t>
      </w:r>
      <w:r>
        <w:rPr>
          <w:rFonts w:hint="eastAsia"/>
          <w:b w:val="0"/>
          <w:bCs/>
          <w:szCs w:val="21"/>
          <w:lang w:val="en-US" w:eastAsia="zh-CN"/>
        </w:rPr>
        <w:t>测试工具</w:t>
      </w:r>
      <w:r>
        <w:rPr>
          <w:b w:val="0"/>
          <w:bCs/>
          <w:szCs w:val="21"/>
        </w:rPr>
        <w:tab/>
      </w:r>
      <w:r>
        <w:rPr>
          <w:b w:val="0"/>
          <w:bCs/>
          <w:szCs w:val="21"/>
        </w:rPr>
        <w:fldChar w:fldCharType="begin"/>
      </w:r>
      <w:r>
        <w:rPr>
          <w:b w:val="0"/>
          <w:bCs/>
          <w:szCs w:val="21"/>
        </w:rPr>
        <w:instrText xml:space="preserve"> PAGEREF _Toc23633 \h </w:instrText>
      </w:r>
      <w:r>
        <w:rPr>
          <w:b w:val="0"/>
          <w:bCs/>
          <w:szCs w:val="21"/>
        </w:rPr>
        <w:fldChar w:fldCharType="separate"/>
      </w:r>
      <w:r>
        <w:rPr>
          <w:b w:val="0"/>
          <w:bCs/>
          <w:szCs w:val="21"/>
        </w:rPr>
        <w:t>4</w:t>
      </w:r>
      <w:r>
        <w:rPr>
          <w:b w:val="0"/>
          <w:bCs/>
          <w:szCs w:val="21"/>
        </w:rPr>
        <w:fldChar w:fldCharType="end"/>
      </w:r>
      <w:r>
        <w:rPr>
          <w:b w:val="0"/>
          <w:bCs/>
          <w:szCs w:val="21"/>
        </w:rPr>
        <w:fldChar w:fldCharType="end"/>
      </w:r>
    </w:p>
    <w:p w14:paraId="2BCE0D5A">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_Toc32364 </w:instrText>
      </w:r>
      <w:r>
        <w:rPr>
          <w:b w:val="0"/>
          <w:bCs/>
          <w:szCs w:val="21"/>
        </w:rPr>
        <w:fldChar w:fldCharType="separate"/>
      </w:r>
      <w:r>
        <w:rPr>
          <w:rFonts w:hint="default"/>
          <w:b w:val="0"/>
          <w:bCs/>
          <w:szCs w:val="21"/>
          <w:lang w:val="en-US" w:eastAsia="zh-CN"/>
        </w:rPr>
        <w:t xml:space="preserve">5.4 </w:t>
      </w:r>
      <w:r>
        <w:rPr>
          <w:rFonts w:hint="eastAsia"/>
          <w:b w:val="0"/>
          <w:bCs/>
          <w:szCs w:val="21"/>
          <w:lang w:val="en-US" w:eastAsia="zh-CN"/>
        </w:rPr>
        <w:t>测试环境</w:t>
      </w:r>
      <w:r>
        <w:rPr>
          <w:b w:val="0"/>
          <w:bCs/>
          <w:szCs w:val="21"/>
        </w:rPr>
        <w:tab/>
      </w:r>
      <w:r>
        <w:rPr>
          <w:b w:val="0"/>
          <w:bCs/>
          <w:szCs w:val="21"/>
        </w:rPr>
        <w:fldChar w:fldCharType="begin"/>
      </w:r>
      <w:r>
        <w:rPr>
          <w:b w:val="0"/>
          <w:bCs/>
          <w:szCs w:val="21"/>
        </w:rPr>
        <w:instrText xml:space="preserve"> PAGEREF _Toc32364 \h </w:instrText>
      </w:r>
      <w:r>
        <w:rPr>
          <w:b w:val="0"/>
          <w:bCs/>
          <w:szCs w:val="21"/>
        </w:rPr>
        <w:fldChar w:fldCharType="separate"/>
      </w:r>
      <w:r>
        <w:rPr>
          <w:b w:val="0"/>
          <w:bCs/>
          <w:szCs w:val="21"/>
        </w:rPr>
        <w:t>5</w:t>
      </w:r>
      <w:r>
        <w:rPr>
          <w:b w:val="0"/>
          <w:bCs/>
          <w:szCs w:val="21"/>
        </w:rPr>
        <w:fldChar w:fldCharType="end"/>
      </w:r>
      <w:r>
        <w:rPr>
          <w:b w:val="0"/>
          <w:bCs/>
          <w:szCs w:val="21"/>
        </w:rPr>
        <w:fldChar w:fldCharType="end"/>
      </w:r>
    </w:p>
    <w:p w14:paraId="7CD72613">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_Toc1526 </w:instrText>
      </w:r>
      <w:r>
        <w:rPr>
          <w:b w:val="0"/>
          <w:bCs/>
          <w:szCs w:val="21"/>
        </w:rPr>
        <w:fldChar w:fldCharType="separate"/>
      </w:r>
      <w:r>
        <w:rPr>
          <w:rFonts w:hint="default"/>
          <w:b w:val="0"/>
          <w:bCs/>
          <w:szCs w:val="21"/>
        </w:rPr>
        <w:t xml:space="preserve">6 </w:t>
      </w:r>
      <w:r>
        <w:rPr>
          <w:rFonts w:hint="eastAsia"/>
          <w:b w:val="0"/>
          <w:bCs/>
          <w:szCs w:val="21"/>
          <w:lang w:val="en-US" w:eastAsia="zh-CN"/>
        </w:rPr>
        <w:t>测试方法</w:t>
      </w:r>
      <w:r>
        <w:rPr>
          <w:b w:val="0"/>
          <w:bCs/>
          <w:szCs w:val="21"/>
        </w:rPr>
        <w:tab/>
      </w:r>
      <w:r>
        <w:rPr>
          <w:b w:val="0"/>
          <w:bCs/>
          <w:szCs w:val="21"/>
        </w:rPr>
        <w:fldChar w:fldCharType="begin"/>
      </w:r>
      <w:r>
        <w:rPr>
          <w:b w:val="0"/>
          <w:bCs/>
          <w:szCs w:val="21"/>
        </w:rPr>
        <w:instrText xml:space="preserve"> PAGEREF _Toc1526 \h </w:instrText>
      </w:r>
      <w:r>
        <w:rPr>
          <w:b w:val="0"/>
          <w:bCs/>
          <w:szCs w:val="21"/>
        </w:rPr>
        <w:fldChar w:fldCharType="separate"/>
      </w:r>
      <w:r>
        <w:rPr>
          <w:b w:val="0"/>
          <w:bCs/>
          <w:szCs w:val="21"/>
        </w:rPr>
        <w:t>6</w:t>
      </w:r>
      <w:r>
        <w:rPr>
          <w:b w:val="0"/>
          <w:bCs/>
          <w:szCs w:val="21"/>
        </w:rPr>
        <w:fldChar w:fldCharType="end"/>
      </w:r>
      <w:r>
        <w:rPr>
          <w:b w:val="0"/>
          <w:bCs/>
          <w:szCs w:val="21"/>
        </w:rPr>
        <w:fldChar w:fldCharType="end"/>
      </w:r>
    </w:p>
    <w:p w14:paraId="4181DE34">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_Toc24250 </w:instrText>
      </w:r>
      <w:r>
        <w:rPr>
          <w:b w:val="0"/>
          <w:bCs/>
          <w:szCs w:val="21"/>
        </w:rPr>
        <w:fldChar w:fldCharType="separate"/>
      </w:r>
      <w:r>
        <w:rPr>
          <w:rFonts w:hint="default"/>
          <w:b w:val="0"/>
          <w:bCs/>
          <w:szCs w:val="21"/>
          <w:lang w:val="en-US" w:eastAsia="zh-CN"/>
        </w:rPr>
        <w:t xml:space="preserve">6.1 </w:t>
      </w:r>
      <w:r>
        <w:rPr>
          <w:rFonts w:hint="eastAsia"/>
          <w:b w:val="0"/>
          <w:bCs/>
          <w:szCs w:val="21"/>
          <w:lang w:val="en-US" w:eastAsia="zh-CN"/>
        </w:rPr>
        <w:t>概述</w:t>
      </w:r>
      <w:r>
        <w:rPr>
          <w:b w:val="0"/>
          <w:bCs/>
          <w:szCs w:val="21"/>
        </w:rPr>
        <w:tab/>
      </w:r>
      <w:r>
        <w:rPr>
          <w:b w:val="0"/>
          <w:bCs/>
          <w:szCs w:val="21"/>
        </w:rPr>
        <w:fldChar w:fldCharType="begin"/>
      </w:r>
      <w:r>
        <w:rPr>
          <w:b w:val="0"/>
          <w:bCs/>
          <w:szCs w:val="21"/>
        </w:rPr>
        <w:instrText xml:space="preserve"> PAGEREF _Toc24250 \h </w:instrText>
      </w:r>
      <w:r>
        <w:rPr>
          <w:b w:val="0"/>
          <w:bCs/>
          <w:szCs w:val="21"/>
        </w:rPr>
        <w:fldChar w:fldCharType="separate"/>
      </w:r>
      <w:r>
        <w:rPr>
          <w:b w:val="0"/>
          <w:bCs/>
          <w:szCs w:val="21"/>
        </w:rPr>
        <w:t>6</w:t>
      </w:r>
      <w:r>
        <w:rPr>
          <w:b w:val="0"/>
          <w:bCs/>
          <w:szCs w:val="21"/>
        </w:rPr>
        <w:fldChar w:fldCharType="end"/>
      </w:r>
      <w:r>
        <w:rPr>
          <w:b w:val="0"/>
          <w:bCs/>
          <w:szCs w:val="21"/>
        </w:rPr>
        <w:fldChar w:fldCharType="end"/>
      </w:r>
    </w:p>
    <w:p w14:paraId="1E504DB7">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_Toc7028 </w:instrText>
      </w:r>
      <w:r>
        <w:rPr>
          <w:b w:val="0"/>
          <w:bCs/>
          <w:szCs w:val="21"/>
        </w:rPr>
        <w:fldChar w:fldCharType="separate"/>
      </w:r>
      <w:r>
        <w:rPr>
          <w:rFonts w:hint="default"/>
          <w:b w:val="0"/>
          <w:bCs/>
          <w:szCs w:val="21"/>
          <w:lang w:val="en-US" w:eastAsia="zh-CN"/>
        </w:rPr>
        <w:t xml:space="preserve">6.2 </w:t>
      </w:r>
      <w:r>
        <w:rPr>
          <w:rFonts w:hint="eastAsia"/>
          <w:b w:val="0"/>
          <w:bCs/>
          <w:szCs w:val="21"/>
          <w:lang w:val="en-US" w:eastAsia="zh-CN"/>
        </w:rPr>
        <w:t>测试前准备</w:t>
      </w:r>
      <w:r>
        <w:rPr>
          <w:b w:val="0"/>
          <w:bCs/>
          <w:szCs w:val="21"/>
        </w:rPr>
        <w:tab/>
      </w:r>
      <w:r>
        <w:rPr>
          <w:b w:val="0"/>
          <w:bCs/>
          <w:szCs w:val="21"/>
        </w:rPr>
        <w:fldChar w:fldCharType="begin"/>
      </w:r>
      <w:r>
        <w:rPr>
          <w:b w:val="0"/>
          <w:bCs/>
          <w:szCs w:val="21"/>
        </w:rPr>
        <w:instrText xml:space="preserve"> PAGEREF _Toc7028 \h </w:instrText>
      </w:r>
      <w:r>
        <w:rPr>
          <w:b w:val="0"/>
          <w:bCs/>
          <w:szCs w:val="21"/>
        </w:rPr>
        <w:fldChar w:fldCharType="separate"/>
      </w:r>
      <w:r>
        <w:rPr>
          <w:b w:val="0"/>
          <w:bCs/>
          <w:szCs w:val="21"/>
        </w:rPr>
        <w:t>6</w:t>
      </w:r>
      <w:r>
        <w:rPr>
          <w:b w:val="0"/>
          <w:bCs/>
          <w:szCs w:val="21"/>
        </w:rPr>
        <w:fldChar w:fldCharType="end"/>
      </w:r>
      <w:r>
        <w:rPr>
          <w:b w:val="0"/>
          <w:bCs/>
          <w:szCs w:val="21"/>
        </w:rPr>
        <w:fldChar w:fldCharType="end"/>
      </w:r>
    </w:p>
    <w:p w14:paraId="45B405F2">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_Toc4263 </w:instrText>
      </w:r>
      <w:r>
        <w:rPr>
          <w:b w:val="0"/>
          <w:bCs/>
          <w:szCs w:val="21"/>
        </w:rPr>
        <w:fldChar w:fldCharType="separate"/>
      </w:r>
      <w:r>
        <w:rPr>
          <w:rFonts w:hint="default"/>
          <w:b w:val="0"/>
          <w:bCs/>
          <w:szCs w:val="21"/>
          <w:lang w:val="en-US" w:eastAsia="zh-CN"/>
        </w:rPr>
        <w:t xml:space="preserve">6.3 </w:t>
      </w:r>
      <w:r>
        <w:rPr>
          <w:rFonts w:hint="eastAsia"/>
          <w:b w:val="0"/>
          <w:bCs/>
          <w:szCs w:val="21"/>
          <w:lang w:val="en-US" w:eastAsia="zh-CN"/>
        </w:rPr>
        <w:t>燃油加油机软件的功能测试</w:t>
      </w:r>
      <w:r>
        <w:rPr>
          <w:b w:val="0"/>
          <w:bCs/>
          <w:szCs w:val="21"/>
        </w:rPr>
        <w:tab/>
      </w:r>
      <w:r>
        <w:rPr>
          <w:b w:val="0"/>
          <w:bCs/>
          <w:szCs w:val="21"/>
        </w:rPr>
        <w:fldChar w:fldCharType="begin"/>
      </w:r>
      <w:r>
        <w:rPr>
          <w:b w:val="0"/>
          <w:bCs/>
          <w:szCs w:val="21"/>
        </w:rPr>
        <w:instrText xml:space="preserve"> PAGEREF _Toc4263 \h </w:instrText>
      </w:r>
      <w:r>
        <w:rPr>
          <w:b w:val="0"/>
          <w:bCs/>
          <w:szCs w:val="21"/>
        </w:rPr>
        <w:fldChar w:fldCharType="separate"/>
      </w:r>
      <w:r>
        <w:rPr>
          <w:b w:val="0"/>
          <w:bCs/>
          <w:szCs w:val="21"/>
        </w:rPr>
        <w:t>6</w:t>
      </w:r>
      <w:r>
        <w:rPr>
          <w:b w:val="0"/>
          <w:bCs/>
          <w:szCs w:val="21"/>
        </w:rPr>
        <w:fldChar w:fldCharType="end"/>
      </w:r>
      <w:r>
        <w:rPr>
          <w:b w:val="0"/>
          <w:bCs/>
          <w:szCs w:val="21"/>
        </w:rPr>
        <w:fldChar w:fldCharType="end"/>
      </w:r>
    </w:p>
    <w:p w14:paraId="0BEFB0B5">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_Toc28062 </w:instrText>
      </w:r>
      <w:r>
        <w:rPr>
          <w:b w:val="0"/>
          <w:bCs/>
          <w:szCs w:val="21"/>
        </w:rPr>
        <w:fldChar w:fldCharType="separate"/>
      </w:r>
      <w:r>
        <w:rPr>
          <w:rFonts w:hint="default"/>
          <w:b w:val="0"/>
          <w:bCs/>
          <w:szCs w:val="21"/>
          <w:lang w:val="en-US" w:eastAsia="zh-CN"/>
        </w:rPr>
        <w:t xml:space="preserve">6.4 </w:t>
      </w:r>
      <w:r>
        <w:rPr>
          <w:rFonts w:hint="eastAsia"/>
          <w:b w:val="0"/>
          <w:bCs/>
          <w:szCs w:val="21"/>
          <w:lang w:val="en-US" w:eastAsia="zh-CN"/>
        </w:rPr>
        <w:t>测试结果判定</w:t>
      </w:r>
      <w:r>
        <w:rPr>
          <w:b w:val="0"/>
          <w:bCs/>
          <w:szCs w:val="21"/>
        </w:rPr>
        <w:tab/>
      </w:r>
      <w:r>
        <w:rPr>
          <w:b w:val="0"/>
          <w:bCs/>
          <w:szCs w:val="21"/>
        </w:rPr>
        <w:fldChar w:fldCharType="begin"/>
      </w:r>
      <w:r>
        <w:rPr>
          <w:b w:val="0"/>
          <w:bCs/>
          <w:szCs w:val="21"/>
        </w:rPr>
        <w:instrText xml:space="preserve"> PAGEREF _Toc28062 \h </w:instrText>
      </w:r>
      <w:r>
        <w:rPr>
          <w:b w:val="0"/>
          <w:bCs/>
          <w:szCs w:val="21"/>
        </w:rPr>
        <w:fldChar w:fldCharType="separate"/>
      </w:r>
      <w:r>
        <w:rPr>
          <w:b w:val="0"/>
          <w:bCs/>
          <w:szCs w:val="21"/>
        </w:rPr>
        <w:t>8</w:t>
      </w:r>
      <w:r>
        <w:rPr>
          <w:b w:val="0"/>
          <w:bCs/>
          <w:szCs w:val="21"/>
        </w:rPr>
        <w:fldChar w:fldCharType="end"/>
      </w:r>
      <w:r>
        <w:rPr>
          <w:b w:val="0"/>
          <w:bCs/>
          <w:szCs w:val="21"/>
        </w:rPr>
        <w:fldChar w:fldCharType="end"/>
      </w:r>
    </w:p>
    <w:p w14:paraId="517557FF">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_Toc9464 </w:instrText>
      </w:r>
      <w:r>
        <w:rPr>
          <w:b w:val="0"/>
          <w:bCs/>
          <w:szCs w:val="21"/>
        </w:rPr>
        <w:fldChar w:fldCharType="separate"/>
      </w:r>
      <w:r>
        <w:rPr>
          <w:rFonts w:hint="default"/>
          <w:b w:val="0"/>
          <w:bCs/>
          <w:szCs w:val="21"/>
          <w:lang w:val="en-US" w:eastAsia="zh-CN"/>
        </w:rPr>
        <w:t xml:space="preserve">7 </w:t>
      </w:r>
      <w:r>
        <w:rPr>
          <w:rFonts w:hint="eastAsia"/>
          <w:b w:val="0"/>
          <w:bCs/>
          <w:szCs w:val="21"/>
          <w:lang w:val="en-US" w:eastAsia="zh-CN"/>
        </w:rPr>
        <w:t>测试结果表达</w:t>
      </w:r>
      <w:r>
        <w:rPr>
          <w:b w:val="0"/>
          <w:bCs/>
          <w:szCs w:val="21"/>
        </w:rPr>
        <w:tab/>
      </w:r>
      <w:r>
        <w:rPr>
          <w:b w:val="0"/>
          <w:bCs/>
          <w:szCs w:val="21"/>
        </w:rPr>
        <w:fldChar w:fldCharType="begin"/>
      </w:r>
      <w:r>
        <w:rPr>
          <w:b w:val="0"/>
          <w:bCs/>
          <w:szCs w:val="21"/>
        </w:rPr>
        <w:instrText xml:space="preserve"> PAGEREF _Toc9464 \h </w:instrText>
      </w:r>
      <w:r>
        <w:rPr>
          <w:b w:val="0"/>
          <w:bCs/>
          <w:szCs w:val="21"/>
        </w:rPr>
        <w:fldChar w:fldCharType="separate"/>
      </w:r>
      <w:r>
        <w:rPr>
          <w:b w:val="0"/>
          <w:bCs/>
          <w:szCs w:val="21"/>
        </w:rPr>
        <w:t>8</w:t>
      </w:r>
      <w:r>
        <w:rPr>
          <w:b w:val="0"/>
          <w:bCs/>
          <w:szCs w:val="21"/>
        </w:rPr>
        <w:fldChar w:fldCharType="end"/>
      </w:r>
      <w:r>
        <w:rPr>
          <w:b w:val="0"/>
          <w:bCs/>
          <w:szCs w:val="21"/>
        </w:rPr>
        <w:fldChar w:fldCharType="end"/>
      </w:r>
    </w:p>
    <w:p w14:paraId="55234FA9">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_Toc18524 </w:instrText>
      </w:r>
      <w:r>
        <w:rPr>
          <w:b w:val="0"/>
          <w:bCs/>
          <w:szCs w:val="21"/>
        </w:rPr>
        <w:fldChar w:fldCharType="separate"/>
      </w:r>
      <w:r>
        <w:rPr>
          <w:rFonts w:hint="eastAsia"/>
          <w:b w:val="0"/>
          <w:bCs/>
          <w:szCs w:val="21"/>
        </w:rPr>
        <w:t>附录A</w:t>
      </w:r>
      <w:r>
        <w:rPr>
          <w:b w:val="0"/>
          <w:bCs/>
          <w:szCs w:val="21"/>
        </w:rPr>
        <w:tab/>
      </w:r>
      <w:r>
        <w:rPr>
          <w:b w:val="0"/>
          <w:bCs/>
          <w:szCs w:val="21"/>
        </w:rPr>
        <w:fldChar w:fldCharType="begin"/>
      </w:r>
      <w:r>
        <w:rPr>
          <w:b w:val="0"/>
          <w:bCs/>
          <w:szCs w:val="21"/>
        </w:rPr>
        <w:instrText xml:space="preserve"> PAGEREF _Toc18524 \h </w:instrText>
      </w:r>
      <w:r>
        <w:rPr>
          <w:b w:val="0"/>
          <w:bCs/>
          <w:szCs w:val="21"/>
        </w:rPr>
        <w:fldChar w:fldCharType="separate"/>
      </w:r>
      <w:r>
        <w:rPr>
          <w:b w:val="0"/>
          <w:bCs/>
          <w:szCs w:val="21"/>
        </w:rPr>
        <w:t>9</w:t>
      </w:r>
      <w:r>
        <w:rPr>
          <w:b w:val="0"/>
          <w:bCs/>
          <w:szCs w:val="21"/>
        </w:rPr>
        <w:fldChar w:fldCharType="end"/>
      </w:r>
      <w:r>
        <w:rPr>
          <w:b w:val="0"/>
          <w:bCs/>
          <w:szCs w:val="21"/>
        </w:rPr>
        <w:fldChar w:fldCharType="end"/>
      </w:r>
    </w:p>
    <w:p w14:paraId="0D5A8D66">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_Toc9546 </w:instrText>
      </w:r>
      <w:r>
        <w:rPr>
          <w:b w:val="0"/>
          <w:bCs/>
          <w:szCs w:val="21"/>
        </w:rPr>
        <w:fldChar w:fldCharType="separate"/>
      </w:r>
      <w:r>
        <w:rPr>
          <w:rFonts w:hint="eastAsia"/>
          <w:b w:val="0"/>
          <w:bCs/>
          <w:szCs w:val="21"/>
        </w:rPr>
        <w:t>附录A</w:t>
      </w:r>
      <w:r>
        <w:rPr>
          <w:rFonts w:hint="eastAsia"/>
          <w:b w:val="0"/>
          <w:bCs/>
          <w:szCs w:val="21"/>
          <w:lang w:val="en-US" w:eastAsia="zh-CN"/>
        </w:rPr>
        <w:t xml:space="preserve">续 </w:t>
      </w:r>
      <w:r>
        <w:rPr>
          <w:b w:val="0"/>
          <w:bCs/>
          <w:szCs w:val="21"/>
        </w:rPr>
        <w:tab/>
      </w:r>
      <w:r>
        <w:rPr>
          <w:b w:val="0"/>
          <w:bCs/>
          <w:szCs w:val="21"/>
        </w:rPr>
        <w:fldChar w:fldCharType="begin"/>
      </w:r>
      <w:r>
        <w:rPr>
          <w:b w:val="0"/>
          <w:bCs/>
          <w:szCs w:val="21"/>
        </w:rPr>
        <w:instrText xml:space="preserve"> PAGEREF _Toc9546 \h </w:instrText>
      </w:r>
      <w:r>
        <w:rPr>
          <w:b w:val="0"/>
          <w:bCs/>
          <w:szCs w:val="21"/>
        </w:rPr>
        <w:fldChar w:fldCharType="separate"/>
      </w:r>
      <w:r>
        <w:rPr>
          <w:b w:val="0"/>
          <w:bCs/>
          <w:szCs w:val="21"/>
        </w:rPr>
        <w:t>10</w:t>
      </w:r>
      <w:r>
        <w:rPr>
          <w:b w:val="0"/>
          <w:bCs/>
          <w:szCs w:val="21"/>
        </w:rPr>
        <w:fldChar w:fldCharType="end"/>
      </w:r>
      <w:r>
        <w:rPr>
          <w:b w:val="0"/>
          <w:bCs/>
          <w:szCs w:val="21"/>
        </w:rPr>
        <w:fldChar w:fldCharType="end"/>
      </w:r>
    </w:p>
    <w:p w14:paraId="54A8D57D">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_Toc3810 </w:instrText>
      </w:r>
      <w:r>
        <w:rPr>
          <w:b w:val="0"/>
          <w:bCs/>
          <w:szCs w:val="21"/>
        </w:rPr>
        <w:fldChar w:fldCharType="separate"/>
      </w:r>
      <w:r>
        <w:rPr>
          <w:rFonts w:hint="eastAsia"/>
          <w:b w:val="0"/>
          <w:bCs/>
          <w:szCs w:val="21"/>
        </w:rPr>
        <w:t>附录B</w:t>
      </w:r>
      <w:r>
        <w:rPr>
          <w:b w:val="0"/>
          <w:bCs/>
          <w:szCs w:val="21"/>
        </w:rPr>
        <w:tab/>
      </w:r>
      <w:r>
        <w:rPr>
          <w:b w:val="0"/>
          <w:bCs/>
          <w:szCs w:val="21"/>
        </w:rPr>
        <w:fldChar w:fldCharType="begin"/>
      </w:r>
      <w:r>
        <w:rPr>
          <w:b w:val="0"/>
          <w:bCs/>
          <w:szCs w:val="21"/>
        </w:rPr>
        <w:instrText xml:space="preserve"> PAGEREF _Toc3810 \h </w:instrText>
      </w:r>
      <w:r>
        <w:rPr>
          <w:b w:val="0"/>
          <w:bCs/>
          <w:szCs w:val="21"/>
        </w:rPr>
        <w:fldChar w:fldCharType="separate"/>
      </w:r>
      <w:r>
        <w:rPr>
          <w:b w:val="0"/>
          <w:bCs/>
          <w:szCs w:val="21"/>
        </w:rPr>
        <w:t>11</w:t>
      </w:r>
      <w:r>
        <w:rPr>
          <w:b w:val="0"/>
          <w:bCs/>
          <w:szCs w:val="21"/>
        </w:rPr>
        <w:fldChar w:fldCharType="end"/>
      </w:r>
      <w:r>
        <w:rPr>
          <w:b w:val="0"/>
          <w:bCs/>
          <w:szCs w:val="21"/>
        </w:rPr>
        <w:fldChar w:fldCharType="end"/>
      </w:r>
    </w:p>
    <w:p w14:paraId="1A0CD826">
      <w:pPr>
        <w:pStyle w:val="15"/>
        <w:tabs>
          <w:tab w:val="right" w:leader="dot" w:pos="8306"/>
        </w:tabs>
        <w:spacing w:line="240" w:lineRule="auto"/>
        <w:ind w:left="0" w:leftChars="0" w:firstLine="0" w:firstLineChars="0"/>
        <w:rPr>
          <w:b w:val="0"/>
          <w:bCs/>
          <w:szCs w:val="21"/>
        </w:rPr>
      </w:pPr>
      <w:r>
        <w:rPr>
          <w:b w:val="0"/>
          <w:bCs/>
          <w:szCs w:val="21"/>
        </w:rPr>
        <w:fldChar w:fldCharType="begin"/>
      </w:r>
      <w:r>
        <w:rPr>
          <w:b w:val="0"/>
          <w:bCs/>
          <w:szCs w:val="21"/>
        </w:rPr>
        <w:instrText xml:space="preserve"> HYPERLINK \l _Toc4065 </w:instrText>
      </w:r>
      <w:r>
        <w:rPr>
          <w:b w:val="0"/>
          <w:bCs/>
          <w:szCs w:val="21"/>
        </w:rPr>
        <w:fldChar w:fldCharType="separate"/>
      </w:r>
      <w:r>
        <w:rPr>
          <w:rFonts w:hint="eastAsia"/>
          <w:b w:val="0"/>
          <w:bCs/>
          <w:szCs w:val="21"/>
        </w:rPr>
        <w:t>附录</w:t>
      </w:r>
      <w:r>
        <w:rPr>
          <w:rFonts w:hint="eastAsia"/>
          <w:b w:val="0"/>
          <w:bCs/>
          <w:szCs w:val="21"/>
          <w:lang w:val="en-US" w:eastAsia="zh-CN"/>
        </w:rPr>
        <w:t>C</w:t>
      </w:r>
      <w:r>
        <w:rPr>
          <w:b w:val="0"/>
          <w:bCs/>
          <w:szCs w:val="21"/>
        </w:rPr>
        <w:tab/>
      </w:r>
      <w:r>
        <w:rPr>
          <w:b w:val="0"/>
          <w:bCs/>
          <w:szCs w:val="21"/>
        </w:rPr>
        <w:fldChar w:fldCharType="begin"/>
      </w:r>
      <w:r>
        <w:rPr>
          <w:b w:val="0"/>
          <w:bCs/>
          <w:szCs w:val="21"/>
        </w:rPr>
        <w:instrText xml:space="preserve"> PAGEREF _Toc4065 \h </w:instrText>
      </w:r>
      <w:r>
        <w:rPr>
          <w:b w:val="0"/>
          <w:bCs/>
          <w:szCs w:val="21"/>
        </w:rPr>
        <w:fldChar w:fldCharType="separate"/>
      </w:r>
      <w:r>
        <w:rPr>
          <w:b w:val="0"/>
          <w:bCs/>
          <w:szCs w:val="21"/>
        </w:rPr>
        <w:t>12</w:t>
      </w:r>
      <w:r>
        <w:rPr>
          <w:b w:val="0"/>
          <w:bCs/>
          <w:szCs w:val="21"/>
        </w:rPr>
        <w:fldChar w:fldCharType="end"/>
      </w:r>
      <w:r>
        <w:rPr>
          <w:b w:val="0"/>
          <w:bCs/>
          <w:szCs w:val="21"/>
        </w:rPr>
        <w:fldChar w:fldCharType="end"/>
      </w:r>
    </w:p>
    <w:p w14:paraId="77C38721">
      <w:pPr>
        <w:pStyle w:val="15"/>
        <w:tabs>
          <w:tab w:val="right" w:leader="dot" w:pos="8306"/>
        </w:tabs>
        <w:spacing w:line="240" w:lineRule="auto"/>
        <w:ind w:left="0" w:leftChars="0" w:firstLine="0" w:firstLineChars="0"/>
        <w:rPr>
          <w:b w:val="0"/>
          <w:bCs/>
          <w:sz w:val="21"/>
          <w:szCs w:val="21"/>
        </w:rPr>
        <w:sectPr>
          <w:footerReference r:id="rId17" w:type="default"/>
          <w:footerReference r:id="rId18" w:type="even"/>
          <w:pgSz w:w="11906" w:h="16838"/>
          <w:pgMar w:top="1440" w:right="1800" w:bottom="1440" w:left="1800" w:header="851" w:footer="992" w:gutter="0"/>
          <w:pgNumType w:fmt="upperRoman" w:start="1"/>
          <w:cols w:space="720" w:num="1"/>
          <w:docGrid w:type="lines" w:linePitch="312" w:charSpace="0"/>
        </w:sectPr>
      </w:pPr>
      <w:r>
        <w:rPr>
          <w:b w:val="0"/>
          <w:bCs/>
          <w:szCs w:val="21"/>
        </w:rPr>
        <w:fldChar w:fldCharType="end"/>
      </w:r>
    </w:p>
    <w:p w14:paraId="1EF11EE0">
      <w:pPr>
        <w:autoSpaceDE w:val="0"/>
        <w:autoSpaceDN w:val="0"/>
        <w:adjustRightInd w:val="0"/>
        <w:ind w:right="-295" w:rightChars="-134" w:firstLine="0" w:firstLineChars="0"/>
        <w:jc w:val="center"/>
        <w:outlineLvl w:val="0"/>
        <w:rPr>
          <w:rFonts w:ascii="黑体" w:hAnsi="黑体" w:eastAsia="黑体" w:cs="黑体"/>
          <w:sz w:val="44"/>
          <w:szCs w:val="44"/>
        </w:rPr>
      </w:pPr>
      <w:bookmarkStart w:id="17" w:name="_Toc11194"/>
      <w:bookmarkStart w:id="18" w:name="_Toc28850"/>
      <w:bookmarkStart w:id="19" w:name="_Toc15513"/>
      <w:bookmarkStart w:id="20" w:name="_Toc30985"/>
      <w:bookmarkStart w:id="21" w:name="_Toc1718"/>
      <w:bookmarkStart w:id="22" w:name="_Toc6175"/>
      <w:bookmarkStart w:id="23" w:name="_Toc7908"/>
      <w:bookmarkStart w:id="24" w:name="_Toc5639"/>
      <w:bookmarkStart w:id="25" w:name="_Toc18572288"/>
      <w:bookmarkStart w:id="26" w:name="_Toc7345"/>
      <w:bookmarkStart w:id="27" w:name="_Toc16586653"/>
      <w:bookmarkStart w:id="28" w:name="_Toc19286"/>
      <w:bookmarkStart w:id="29" w:name="_Toc16586868"/>
      <w:bookmarkStart w:id="30" w:name="_Toc24925"/>
      <w:bookmarkStart w:id="31" w:name="_Toc18993"/>
      <w:bookmarkStart w:id="32" w:name="_Toc2147"/>
      <w:bookmarkStart w:id="33" w:name="_Toc3434"/>
      <w:bookmarkStart w:id="34" w:name="_Toc18262_WPSOffice_Level1"/>
      <w:bookmarkStart w:id="35" w:name="_Toc29075_WPSOffice_Level1"/>
      <w:bookmarkStart w:id="36" w:name="_Toc22779_WPSOffice_Level1"/>
      <w:r>
        <w:rPr>
          <w:rFonts w:hint="eastAsia" w:ascii="黑体" w:hAnsi="黑体" w:eastAsia="黑体" w:cs="黑体"/>
          <w:sz w:val="44"/>
          <w:szCs w:val="44"/>
        </w:rPr>
        <w:t>引  言</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368B464">
      <w:pPr>
        <w:pStyle w:val="31"/>
        <w:numPr>
          <w:ilvl w:val="0"/>
          <w:numId w:val="0"/>
        </w:numPr>
        <w:adjustRightInd w:val="0"/>
        <w:snapToGrid w:val="0"/>
        <w:spacing w:afterLines="0" w:line="360" w:lineRule="auto"/>
        <w:ind w:left="510" w:leftChars="232" w:right="-110"/>
        <w:jc w:val="left"/>
        <w:outlineLvl w:val="9"/>
        <w:rPr>
          <w:rFonts w:ascii="Times New Roman" w:eastAsia="宋体"/>
          <w:kern w:val="2"/>
          <w:sz w:val="24"/>
          <w:szCs w:val="24"/>
        </w:rPr>
      </w:pPr>
    </w:p>
    <w:p w14:paraId="286611C0">
      <w:pPr>
        <w:pStyle w:val="9"/>
        <w:snapToGrid w:val="0"/>
        <w:spacing w:after="0"/>
        <w:ind w:left="0" w:leftChars="0" w:firstLine="556" w:firstLineChars="232"/>
        <w:rPr>
          <w:rFonts w:hint="eastAsia" w:eastAsia="宋体"/>
          <w:sz w:val="24"/>
          <w:lang w:val="en-US" w:eastAsia="zh-CN"/>
        </w:rPr>
      </w:pPr>
      <w:r>
        <w:rPr>
          <w:rFonts w:hint="eastAsia" w:eastAsia="宋体"/>
          <w:sz w:val="24"/>
          <w:lang w:val="en-US" w:eastAsia="zh-CN"/>
        </w:rPr>
        <w:t>燃油加油机作为贸易结算的关键计量器具，其计量准确性直接关乎消费者权益、市场公平及国家税收安全。近年来，随着技术手段升级，不法分子通过篡改计量程序、更换作弊部件、预留软件后门等高科技手段实施加油机作弊，行为隐蔽性强、技术链条复杂，造成“偷油又偷税”的双重危害。</w:t>
      </w:r>
    </w:p>
    <w:p w14:paraId="091354D8">
      <w:pPr>
        <w:ind w:firstLine="480"/>
        <w:jc w:val="left"/>
        <w:rPr>
          <w:sz w:val="24"/>
        </w:rPr>
      </w:pPr>
      <w:r>
        <w:rPr>
          <w:sz w:val="24"/>
        </w:rPr>
        <w:t>本规范的编制严格遵循JJF 1071《国家计量校准规范编写规则》的框架要求，术语定义依据JJF 1001《通用计量术语及定义》。技术内容以现行燃油加油机核心规范——JJF 1521《燃油加油机计量检定规程》、JJG 443《燃油加油机检定规程》及强制性国家标准《机动车燃油加油机》为直接依据，同时结合GB/T 25000.51《系统与软件工程 系统与软件质量要求和评价（SQuaRE）第51部分：就绪可用软件产品（RUSP）的质量要求和测试细则》的软件质量体系要求，以及JJF 1182《计量器具软件测评指南》的专项测评方法，系统构建</w:t>
      </w:r>
      <w:r>
        <w:rPr>
          <w:rFonts w:hint="eastAsia"/>
          <w:sz w:val="24"/>
          <w:lang w:val="en-US" w:eastAsia="zh-CN"/>
        </w:rPr>
        <w:t>燃油加油机</w:t>
      </w:r>
      <w:r>
        <w:rPr>
          <w:sz w:val="24"/>
        </w:rPr>
        <w:t>软件欺骗性特征测试的技术体系。</w:t>
      </w:r>
    </w:p>
    <w:p w14:paraId="104C85DF">
      <w:pPr>
        <w:ind w:firstLine="480"/>
        <w:jc w:val="left"/>
        <w:rPr>
          <w:sz w:val="24"/>
        </w:rPr>
      </w:pPr>
      <w:r>
        <w:rPr>
          <w:sz w:val="24"/>
        </w:rPr>
        <w:t>本规范为首次发布。</w:t>
      </w:r>
    </w:p>
    <w:p w14:paraId="09FA045C">
      <w:pPr>
        <w:ind w:firstLine="562"/>
        <w:jc w:val="left"/>
        <w:rPr>
          <w:b/>
          <w:bCs/>
          <w:sz w:val="28"/>
          <w:szCs w:val="28"/>
        </w:rPr>
      </w:pPr>
    </w:p>
    <w:p w14:paraId="06DA6DAA">
      <w:pPr>
        <w:ind w:firstLine="562"/>
        <w:jc w:val="center"/>
        <w:rPr>
          <w:b/>
          <w:bCs/>
          <w:sz w:val="28"/>
          <w:szCs w:val="28"/>
        </w:rPr>
      </w:pPr>
    </w:p>
    <w:p w14:paraId="47CAF974">
      <w:pPr>
        <w:ind w:firstLine="562"/>
        <w:jc w:val="center"/>
        <w:rPr>
          <w:b/>
          <w:bCs/>
          <w:sz w:val="28"/>
          <w:szCs w:val="28"/>
        </w:rPr>
      </w:pPr>
    </w:p>
    <w:p w14:paraId="0217A7DD">
      <w:pPr>
        <w:ind w:firstLine="562"/>
        <w:jc w:val="center"/>
        <w:rPr>
          <w:b/>
          <w:bCs/>
          <w:sz w:val="28"/>
          <w:szCs w:val="28"/>
        </w:rPr>
      </w:pPr>
    </w:p>
    <w:p w14:paraId="659DCE24">
      <w:pPr>
        <w:ind w:firstLine="562"/>
        <w:jc w:val="center"/>
        <w:rPr>
          <w:b/>
          <w:bCs/>
          <w:sz w:val="28"/>
          <w:szCs w:val="28"/>
        </w:rPr>
      </w:pPr>
    </w:p>
    <w:p w14:paraId="5FDF2976">
      <w:pPr>
        <w:ind w:firstLine="562"/>
        <w:jc w:val="center"/>
        <w:rPr>
          <w:b/>
          <w:bCs/>
          <w:sz w:val="28"/>
          <w:szCs w:val="28"/>
        </w:rPr>
      </w:pPr>
    </w:p>
    <w:p w14:paraId="64B1C8B3">
      <w:pPr>
        <w:ind w:firstLine="562"/>
        <w:jc w:val="center"/>
        <w:rPr>
          <w:b/>
          <w:bCs/>
          <w:sz w:val="28"/>
          <w:szCs w:val="28"/>
        </w:rPr>
      </w:pPr>
    </w:p>
    <w:p w14:paraId="05384B16">
      <w:pPr>
        <w:ind w:firstLine="562"/>
        <w:jc w:val="center"/>
        <w:rPr>
          <w:b/>
          <w:bCs/>
          <w:sz w:val="28"/>
          <w:szCs w:val="28"/>
        </w:rPr>
      </w:pPr>
    </w:p>
    <w:p w14:paraId="54C095C6">
      <w:pPr>
        <w:ind w:firstLine="562"/>
        <w:jc w:val="center"/>
        <w:rPr>
          <w:b/>
          <w:bCs/>
          <w:sz w:val="28"/>
          <w:szCs w:val="28"/>
        </w:rPr>
      </w:pPr>
    </w:p>
    <w:p w14:paraId="568D38F1">
      <w:pPr>
        <w:ind w:firstLine="562"/>
        <w:jc w:val="center"/>
        <w:rPr>
          <w:b/>
          <w:bCs/>
          <w:sz w:val="28"/>
          <w:szCs w:val="28"/>
        </w:rPr>
      </w:pPr>
    </w:p>
    <w:p w14:paraId="6013F37C">
      <w:pPr>
        <w:ind w:firstLine="0" w:firstLineChars="0"/>
        <w:rPr>
          <w:b/>
          <w:bCs/>
          <w:sz w:val="28"/>
          <w:szCs w:val="28"/>
        </w:rPr>
      </w:pPr>
    </w:p>
    <w:p w14:paraId="5D25B6BE">
      <w:pPr>
        <w:ind w:firstLine="0" w:firstLineChars="0"/>
        <w:jc w:val="center"/>
        <w:outlineLvl w:val="0"/>
        <w:rPr>
          <w:b/>
          <w:bCs/>
          <w:sz w:val="30"/>
          <w:szCs w:val="30"/>
        </w:rPr>
        <w:sectPr>
          <w:footerReference r:id="rId19" w:type="default"/>
          <w:footerReference r:id="rId20" w:type="even"/>
          <w:pgSz w:w="11906" w:h="16838"/>
          <w:pgMar w:top="1440" w:right="1800" w:bottom="1440" w:left="1800" w:header="851" w:footer="992" w:gutter="0"/>
          <w:pgNumType w:fmt="upperRoman"/>
          <w:cols w:space="720" w:num="1"/>
          <w:docGrid w:type="lines" w:linePitch="312" w:charSpace="0"/>
        </w:sectPr>
      </w:pPr>
      <w:bookmarkStart w:id="37" w:name="_Toc29989"/>
      <w:bookmarkStart w:id="38" w:name="_Toc128"/>
      <w:bookmarkStart w:id="39" w:name="_Toc12552"/>
      <w:bookmarkStart w:id="40" w:name="_Toc20002"/>
      <w:bookmarkStart w:id="41" w:name="_Toc22380"/>
      <w:bookmarkStart w:id="42" w:name="_Toc30070"/>
      <w:bookmarkStart w:id="43" w:name="_Toc12132"/>
    </w:p>
    <w:bookmarkEnd w:id="34"/>
    <w:bookmarkEnd w:id="35"/>
    <w:bookmarkEnd w:id="36"/>
    <w:bookmarkEnd w:id="37"/>
    <w:bookmarkEnd w:id="38"/>
    <w:bookmarkEnd w:id="39"/>
    <w:bookmarkEnd w:id="40"/>
    <w:bookmarkEnd w:id="41"/>
    <w:bookmarkEnd w:id="42"/>
    <w:bookmarkEnd w:id="43"/>
    <w:p w14:paraId="7B0A47AC">
      <w:pPr>
        <w:ind w:firstLine="0" w:firstLineChars="0"/>
        <w:jc w:val="center"/>
        <w:rPr>
          <w:b/>
          <w:bCs/>
          <w:sz w:val="28"/>
          <w:szCs w:val="28"/>
        </w:rPr>
      </w:pPr>
      <w:r>
        <w:rPr>
          <w:rFonts w:hint="eastAsia"/>
          <w:b/>
          <w:bCs/>
          <w:sz w:val="30"/>
          <w:szCs w:val="30"/>
        </w:rPr>
        <w:t>燃油加油机软件欺骗性使用特征测试规范</w:t>
      </w:r>
    </w:p>
    <w:p w14:paraId="1111AE98">
      <w:pPr>
        <w:numPr>
          <w:ilvl w:val="0"/>
          <w:numId w:val="3"/>
        </w:numPr>
        <w:ind w:firstLineChars="0"/>
        <w:outlineLvl w:val="0"/>
        <w:rPr>
          <w:rFonts w:ascii="黑体" w:hAnsi="黑体" w:eastAsia="黑体" w:cs="黑体"/>
          <w:sz w:val="24"/>
        </w:rPr>
      </w:pPr>
      <w:bookmarkStart w:id="44" w:name="_Toc14903_WPSOffice_Level1"/>
      <w:bookmarkStart w:id="45" w:name="_Toc8280"/>
      <w:bookmarkStart w:id="46" w:name="_Toc16890"/>
      <w:bookmarkStart w:id="47" w:name="_Toc4809"/>
      <w:bookmarkStart w:id="48" w:name="_Toc22112"/>
      <w:bookmarkStart w:id="49" w:name="_Toc1689"/>
      <w:bookmarkStart w:id="50" w:name="_Toc29011"/>
      <w:bookmarkStart w:id="51" w:name="_Toc18869"/>
      <w:bookmarkStart w:id="52" w:name="_Toc21002"/>
      <w:bookmarkStart w:id="53" w:name="_Toc1637"/>
      <w:bookmarkStart w:id="54" w:name="_Toc20940"/>
      <w:bookmarkStart w:id="55" w:name="_Toc19087"/>
      <w:bookmarkStart w:id="56" w:name="_Toc19937"/>
      <w:bookmarkStart w:id="57" w:name="_Toc18519_WPSOffice_Level1"/>
      <w:bookmarkStart w:id="58" w:name="_Toc4768"/>
      <w:bookmarkStart w:id="59" w:name="_Toc3470"/>
      <w:r>
        <w:rPr>
          <w:rFonts w:hint="eastAsia" w:ascii="黑体" w:hAnsi="黑体" w:eastAsia="黑体" w:cs="黑体"/>
          <w:sz w:val="24"/>
        </w:rPr>
        <w:t>范围</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A2DC494">
      <w:pPr>
        <w:pStyle w:val="2"/>
        <w:ind w:firstLine="480"/>
        <w:rPr>
          <w:rFonts w:hint="eastAsia"/>
          <w:color w:val="000000"/>
          <w:sz w:val="24"/>
        </w:rPr>
      </w:pPr>
      <w:bookmarkStart w:id="60" w:name="_Toc7735"/>
      <w:bookmarkStart w:id="61" w:name="_Toc29995"/>
      <w:bookmarkStart w:id="62" w:name="_Toc12701"/>
      <w:bookmarkStart w:id="63" w:name="_Toc17547"/>
      <w:bookmarkStart w:id="64" w:name="_Toc5353"/>
      <w:bookmarkStart w:id="65" w:name="_Toc2082"/>
      <w:bookmarkStart w:id="66" w:name="_Toc30993"/>
      <w:bookmarkStart w:id="67" w:name="_Toc27809"/>
      <w:bookmarkStart w:id="68" w:name="_Toc21831_WPSOffice_Level1"/>
      <w:bookmarkStart w:id="69" w:name="_Toc28255"/>
      <w:bookmarkStart w:id="70" w:name="_Toc7294"/>
      <w:bookmarkStart w:id="71" w:name="_Toc17777"/>
      <w:bookmarkStart w:id="72" w:name="_Toc13349_WPSOffice_Level1"/>
      <w:bookmarkStart w:id="73" w:name="_Toc17447"/>
      <w:bookmarkStart w:id="74" w:name="_Toc15392"/>
      <w:r>
        <w:rPr>
          <w:rFonts w:hint="eastAsia"/>
          <w:color w:val="000000"/>
          <w:sz w:val="24"/>
        </w:rPr>
        <w:t>本规范规定了燃油加油机</w:t>
      </w:r>
      <w:r>
        <w:rPr>
          <w:rFonts w:hint="eastAsia"/>
          <w:color w:val="000000"/>
          <w:sz w:val="24"/>
          <w:lang w:val="en-US" w:eastAsia="zh-CN"/>
        </w:rPr>
        <w:t>软件及其组件</w:t>
      </w:r>
      <w:r>
        <w:rPr>
          <w:rFonts w:hint="eastAsia"/>
          <w:color w:val="000000"/>
          <w:sz w:val="24"/>
        </w:rPr>
        <w:t>欺骗性使用特征的测试要求与方法，适用于：</w:t>
      </w:r>
    </w:p>
    <w:p w14:paraId="75D0A532">
      <w:pPr>
        <w:pStyle w:val="2"/>
        <w:numPr>
          <w:ilvl w:val="0"/>
          <w:numId w:val="4"/>
        </w:numPr>
        <w:ind w:firstLine="480"/>
        <w:rPr>
          <w:rFonts w:hint="eastAsia"/>
          <w:color w:val="000000"/>
          <w:sz w:val="24"/>
        </w:rPr>
      </w:pPr>
      <w:r>
        <w:rPr>
          <w:rFonts w:hint="eastAsia"/>
          <w:color w:val="000000"/>
          <w:sz w:val="24"/>
        </w:rPr>
        <w:t>燃油加油机本体软件系统：包括计量控制程序、交易数据处理模块、税控功能单元等嵌入式软件；</w:t>
      </w:r>
    </w:p>
    <w:p w14:paraId="5ADCD09C">
      <w:pPr>
        <w:pStyle w:val="2"/>
        <w:numPr>
          <w:ilvl w:val="0"/>
          <w:numId w:val="4"/>
        </w:numPr>
        <w:ind w:firstLine="480"/>
        <w:rPr>
          <w:rFonts w:hint="eastAsia"/>
          <w:color w:val="000000"/>
          <w:sz w:val="24"/>
        </w:rPr>
      </w:pPr>
      <w:r>
        <w:rPr>
          <w:rFonts w:hint="eastAsia"/>
          <w:color w:val="000000"/>
          <w:sz w:val="24"/>
        </w:rPr>
        <w:t>与加油机直接连接的设备：如</w:t>
      </w:r>
      <w:r>
        <w:rPr>
          <w:rFonts w:hint="eastAsia"/>
          <w:color w:val="000000"/>
          <w:sz w:val="24"/>
          <w:lang w:val="en-US" w:eastAsia="zh-CN"/>
        </w:rPr>
        <w:t>通讯集线器</w:t>
      </w:r>
      <w:r>
        <w:rPr>
          <w:rFonts w:hint="eastAsia"/>
          <w:color w:val="000000"/>
          <w:sz w:val="24"/>
        </w:rPr>
        <w:t>、</w:t>
      </w:r>
      <w:r>
        <w:rPr>
          <w:rFonts w:hint="eastAsia"/>
          <w:color w:val="000000"/>
          <w:sz w:val="24"/>
          <w:lang w:val="en-US" w:eastAsia="zh-CN"/>
        </w:rPr>
        <w:t>上位机</w:t>
      </w:r>
      <w:r>
        <w:rPr>
          <w:rFonts w:hint="eastAsia"/>
          <w:color w:val="000000"/>
          <w:sz w:val="24"/>
        </w:rPr>
        <w:t>、附加控制板卡等交互设备中的软件组件；</w:t>
      </w:r>
    </w:p>
    <w:p w14:paraId="48DA549A">
      <w:pPr>
        <w:pStyle w:val="2"/>
        <w:numPr>
          <w:ilvl w:val="0"/>
          <w:numId w:val="4"/>
        </w:numPr>
        <w:ind w:firstLine="480"/>
        <w:rPr>
          <w:rFonts w:hint="eastAsia"/>
          <w:color w:val="000000"/>
          <w:sz w:val="24"/>
        </w:rPr>
      </w:pPr>
      <w:r>
        <w:rPr>
          <w:rFonts w:hint="eastAsia"/>
          <w:color w:val="000000"/>
          <w:sz w:val="24"/>
        </w:rPr>
        <w:t>与加油机通信的远程设备：包括通过有线/无线网络（如4G/5G、Wi-Fi、蓝牙）接入的移动终端、云端控制平台及后台管理系统。</w:t>
      </w:r>
    </w:p>
    <w:p w14:paraId="7B4DFD16">
      <w:pPr>
        <w:pStyle w:val="2"/>
        <w:ind w:firstLine="480"/>
        <w:rPr>
          <w:rFonts w:hint="eastAsia"/>
          <w:color w:val="000000"/>
          <w:sz w:val="24"/>
        </w:rPr>
      </w:pPr>
      <w:r>
        <w:rPr>
          <w:rFonts w:hint="eastAsia"/>
          <w:color w:val="000000"/>
          <w:sz w:val="24"/>
        </w:rPr>
        <w:t>其他形式</w:t>
      </w:r>
      <w:r>
        <w:rPr>
          <w:rFonts w:hint="eastAsia"/>
          <w:color w:val="000000"/>
          <w:sz w:val="24"/>
          <w:lang w:val="en-US" w:eastAsia="zh-CN"/>
        </w:rPr>
        <w:t>能源加注机软件</w:t>
      </w:r>
      <w:r>
        <w:rPr>
          <w:color w:val="000000"/>
          <w:sz w:val="24"/>
        </w:rPr>
        <w:t>欺骗性使用特征</w:t>
      </w:r>
      <w:r>
        <w:rPr>
          <w:rFonts w:hint="eastAsia"/>
          <w:color w:val="000000"/>
          <w:sz w:val="24"/>
        </w:rPr>
        <w:t>测试也可参照本规范进行测试。</w:t>
      </w:r>
    </w:p>
    <w:p w14:paraId="1B9BC823">
      <w:pPr>
        <w:numPr>
          <w:ilvl w:val="0"/>
          <w:numId w:val="3"/>
        </w:numPr>
        <w:ind w:firstLineChars="0"/>
        <w:outlineLvl w:val="0"/>
        <w:rPr>
          <w:rFonts w:ascii="黑体" w:hAnsi="黑体" w:eastAsia="黑体" w:cs="黑体"/>
          <w:sz w:val="24"/>
        </w:rPr>
      </w:pPr>
      <w:bookmarkStart w:id="75" w:name="_Toc25766"/>
      <w:r>
        <w:rPr>
          <w:rFonts w:hint="eastAsia" w:ascii="黑体" w:hAnsi="黑体" w:eastAsia="黑体" w:cs="黑体"/>
          <w:sz w:val="24"/>
        </w:rPr>
        <w:t>引用文件</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1D8CCAE">
      <w:pPr>
        <w:ind w:firstLine="480"/>
        <w:rPr>
          <w:sz w:val="24"/>
        </w:rPr>
      </w:pPr>
      <w:r>
        <w:rPr>
          <w:sz w:val="24"/>
        </w:rPr>
        <w:t>本规范引用了下列文件：</w:t>
      </w:r>
    </w:p>
    <w:p w14:paraId="4BE20CB7">
      <w:pPr>
        <w:ind w:firstLine="480"/>
        <w:rPr>
          <w:rFonts w:hint="eastAsia"/>
          <w:color w:val="000000"/>
          <w:sz w:val="24"/>
          <w:highlight w:val="none"/>
        </w:rPr>
      </w:pPr>
      <w:r>
        <w:rPr>
          <w:rFonts w:hint="eastAsia"/>
          <w:color w:val="000000"/>
          <w:sz w:val="24"/>
          <w:highlight w:val="none"/>
        </w:rPr>
        <w:t>JJG 44</w:t>
      </w:r>
      <w:r>
        <w:rPr>
          <w:rFonts w:hint="eastAsia"/>
          <w:color w:val="000000"/>
          <w:sz w:val="24"/>
          <w:highlight w:val="none"/>
          <w:lang w:val="en-US" w:eastAsia="zh-CN"/>
        </w:rPr>
        <w:t>3</w:t>
      </w:r>
      <w:r>
        <w:rPr>
          <w:rFonts w:hint="eastAsia"/>
          <w:sz w:val="24"/>
          <w:highlight w:val="none"/>
        </w:rPr>
        <w:t xml:space="preserve">     </w:t>
      </w:r>
      <w:r>
        <w:rPr>
          <w:rFonts w:hint="eastAsia"/>
          <w:color w:val="000000"/>
          <w:sz w:val="24"/>
          <w:highlight w:val="none"/>
          <w:lang w:val="en-US" w:eastAsia="zh-CN"/>
        </w:rPr>
        <w:t>燃油加油机检定规程</w:t>
      </w:r>
    </w:p>
    <w:p w14:paraId="707216D3">
      <w:pPr>
        <w:ind w:firstLine="480"/>
        <w:rPr>
          <w:rFonts w:hint="eastAsia"/>
          <w:color w:val="000000"/>
          <w:sz w:val="24"/>
          <w:highlight w:val="none"/>
        </w:rPr>
      </w:pPr>
      <w:r>
        <w:rPr>
          <w:rFonts w:hint="eastAsia"/>
          <w:color w:val="000000"/>
          <w:sz w:val="24"/>
          <w:highlight w:val="none"/>
        </w:rPr>
        <w:t>JJF 1001</w:t>
      </w:r>
      <w:r>
        <w:rPr>
          <w:rFonts w:hint="eastAsia"/>
          <w:sz w:val="24"/>
          <w:highlight w:val="none"/>
        </w:rPr>
        <w:t xml:space="preserve">    </w:t>
      </w:r>
      <w:r>
        <w:rPr>
          <w:rFonts w:hint="eastAsia"/>
          <w:color w:val="000000"/>
          <w:sz w:val="24"/>
          <w:highlight w:val="none"/>
        </w:rPr>
        <w:t>通用计量术语及定义</w:t>
      </w:r>
    </w:p>
    <w:p w14:paraId="7C7FBFB8">
      <w:pPr>
        <w:ind w:firstLine="480"/>
        <w:rPr>
          <w:rFonts w:hint="eastAsia"/>
          <w:color w:val="000000"/>
          <w:sz w:val="24"/>
          <w:highlight w:val="none"/>
        </w:rPr>
      </w:pPr>
      <w:r>
        <w:rPr>
          <w:rFonts w:hint="eastAsia"/>
          <w:color w:val="000000"/>
          <w:sz w:val="24"/>
          <w:highlight w:val="none"/>
        </w:rPr>
        <w:t>JJF 1004</w:t>
      </w:r>
      <w:r>
        <w:rPr>
          <w:rFonts w:hint="eastAsia"/>
          <w:sz w:val="24"/>
          <w:highlight w:val="none"/>
        </w:rPr>
        <w:t xml:space="preserve">    </w:t>
      </w:r>
      <w:r>
        <w:rPr>
          <w:rFonts w:hint="eastAsia"/>
          <w:color w:val="000000"/>
          <w:sz w:val="24"/>
          <w:highlight w:val="none"/>
        </w:rPr>
        <w:t>流量计量名词术语及定义</w:t>
      </w:r>
    </w:p>
    <w:p w14:paraId="4E432F0F">
      <w:pPr>
        <w:ind w:left="0" w:leftChars="0" w:firstLine="480" w:firstLineChars="200"/>
        <w:rPr>
          <w:rFonts w:hint="eastAsia"/>
          <w:color w:val="000000"/>
          <w:sz w:val="24"/>
          <w:highlight w:val="none"/>
        </w:rPr>
      </w:pPr>
      <w:r>
        <w:rPr>
          <w:rFonts w:hint="eastAsia"/>
          <w:color w:val="000000"/>
          <w:sz w:val="24"/>
          <w:highlight w:val="none"/>
        </w:rPr>
        <w:t>JJF</w:t>
      </w:r>
      <w:r>
        <w:rPr>
          <w:rFonts w:hint="eastAsia"/>
          <w:color w:val="000000"/>
          <w:sz w:val="24"/>
          <w:highlight w:val="none"/>
          <w:lang w:val="en-US" w:eastAsia="zh-CN"/>
        </w:rPr>
        <w:t xml:space="preserve"> </w:t>
      </w:r>
      <w:r>
        <w:rPr>
          <w:rFonts w:hint="eastAsia"/>
          <w:color w:val="000000"/>
          <w:sz w:val="24"/>
          <w:highlight w:val="none"/>
        </w:rPr>
        <w:t>1182</w:t>
      </w:r>
      <w:r>
        <w:rPr>
          <w:rFonts w:hint="eastAsia"/>
          <w:sz w:val="24"/>
          <w:highlight w:val="none"/>
        </w:rPr>
        <w:t xml:space="preserve">   </w:t>
      </w:r>
      <w:r>
        <w:rPr>
          <w:rFonts w:hint="eastAsia"/>
          <w:sz w:val="24"/>
          <w:highlight w:val="none"/>
          <w:lang w:val="en-US" w:eastAsia="zh-CN"/>
        </w:rPr>
        <w:t xml:space="preserve"> </w:t>
      </w:r>
      <w:r>
        <w:rPr>
          <w:rFonts w:hint="eastAsia"/>
          <w:color w:val="000000"/>
          <w:sz w:val="24"/>
          <w:highlight w:val="none"/>
        </w:rPr>
        <w:t>计量器具软件测评指南</w:t>
      </w:r>
    </w:p>
    <w:p w14:paraId="12FAE20D">
      <w:pPr>
        <w:ind w:firstLine="480"/>
        <w:rPr>
          <w:rFonts w:hint="eastAsia"/>
          <w:color w:val="000000"/>
          <w:sz w:val="24"/>
          <w:highlight w:val="none"/>
        </w:rPr>
      </w:pPr>
      <w:r>
        <w:rPr>
          <w:rFonts w:hint="eastAsia"/>
          <w:color w:val="000000"/>
          <w:sz w:val="24"/>
          <w:highlight w:val="none"/>
        </w:rPr>
        <w:t>JJF 1521</w:t>
      </w:r>
      <w:r>
        <w:rPr>
          <w:rFonts w:hint="eastAsia"/>
          <w:sz w:val="24"/>
          <w:highlight w:val="none"/>
        </w:rPr>
        <w:t xml:space="preserve">    </w:t>
      </w:r>
      <w:r>
        <w:rPr>
          <w:rFonts w:hint="eastAsia"/>
          <w:color w:val="000000"/>
          <w:sz w:val="24"/>
          <w:highlight w:val="none"/>
        </w:rPr>
        <w:t>燃油加油机型式评价大纲</w:t>
      </w:r>
    </w:p>
    <w:p w14:paraId="4B0F2A2F">
      <w:pPr>
        <w:ind w:firstLine="480"/>
        <w:rPr>
          <w:rFonts w:hint="eastAsia"/>
          <w:color w:val="000000"/>
          <w:sz w:val="24"/>
          <w:highlight w:val="none"/>
        </w:rPr>
      </w:pPr>
      <w:r>
        <w:rPr>
          <w:rFonts w:hint="eastAsia"/>
          <w:color w:val="000000"/>
          <w:sz w:val="24"/>
          <w:highlight w:val="none"/>
        </w:rPr>
        <w:t>GB/T 9081</w:t>
      </w:r>
      <w:r>
        <w:rPr>
          <w:rFonts w:hint="eastAsia"/>
          <w:color w:val="000000"/>
          <w:sz w:val="24"/>
          <w:highlight w:val="none"/>
          <w:lang w:val="en-US" w:eastAsia="zh-CN"/>
        </w:rPr>
        <w:t xml:space="preserve">  </w:t>
      </w:r>
      <w:r>
        <w:rPr>
          <w:rFonts w:hint="eastAsia"/>
          <w:color w:val="000000"/>
          <w:sz w:val="24"/>
          <w:highlight w:val="none"/>
        </w:rPr>
        <w:t>机动车燃油加油机</w:t>
      </w:r>
    </w:p>
    <w:p w14:paraId="32473257">
      <w:pPr>
        <w:ind w:firstLine="480"/>
        <w:rPr>
          <w:rFonts w:hint="eastAsia" w:ascii="Times New Roman" w:hAnsi="Times New Roman" w:eastAsia="宋体" w:cs="Times New Roman"/>
          <w:color w:val="000000"/>
          <w:sz w:val="24"/>
          <w:highlight w:val="none"/>
        </w:rPr>
      </w:pPr>
      <w:r>
        <w:rPr>
          <w:rFonts w:hint="eastAsia" w:ascii="Times New Roman" w:hAnsi="Times New Roman" w:eastAsia="宋体" w:cs="Times New Roman"/>
          <w:color w:val="000000"/>
          <w:sz w:val="24"/>
          <w:highlight w:val="none"/>
          <w:lang w:val="en-US" w:eastAsia="zh-CN"/>
        </w:rPr>
        <w:t xml:space="preserve">GB/T 25000.51   </w:t>
      </w:r>
      <w:r>
        <w:rPr>
          <w:rFonts w:hint="eastAsia" w:ascii="Times New Roman" w:hAnsi="Times New Roman" w:eastAsia="宋体" w:cs="Times New Roman"/>
          <w:color w:val="000000"/>
          <w:sz w:val="24"/>
          <w:highlight w:val="none"/>
        </w:rPr>
        <w:t>系统与软件工程系统与软件质量要求和评价（SQuaRE）第51部分：就绪可用软件产品（RUSP）的质量要求和测试细则</w:t>
      </w:r>
      <w:r>
        <w:rPr>
          <w:rFonts w:hint="eastAsia" w:ascii="Times New Roman" w:hAnsi="Times New Roman" w:eastAsia="宋体" w:cs="Times New Roman"/>
          <w:color w:val="000000"/>
          <w:sz w:val="24"/>
          <w:highlight w:val="none"/>
        </w:rPr>
        <w:br w:type="textWrapping"/>
      </w:r>
      <w:r>
        <w:rPr>
          <w:rFonts w:hint="eastAsia" w:cs="Times New Roman"/>
          <w:color w:val="000000"/>
          <w:sz w:val="24"/>
          <w:highlight w:val="none"/>
          <w:lang w:val="en-US" w:eastAsia="zh-CN"/>
        </w:rPr>
        <w:t xml:space="preserve">    </w:t>
      </w:r>
      <w:r>
        <w:rPr>
          <w:rFonts w:hint="eastAsia" w:ascii="Times New Roman" w:hAnsi="Times New Roman" w:eastAsia="宋体" w:cs="Times New Roman"/>
          <w:color w:val="000000"/>
          <w:sz w:val="24"/>
          <w:highlight w:val="none"/>
          <w:lang w:val="en-US" w:eastAsia="zh-CN"/>
        </w:rPr>
        <w:t>GB/T 29362</w:t>
      </w:r>
      <w:r>
        <w:rPr>
          <w:rFonts w:hint="eastAsia" w:cs="Times New Roman"/>
          <w:color w:val="000000"/>
          <w:sz w:val="24"/>
          <w:highlight w:val="none"/>
          <w:lang w:val="en-US" w:eastAsia="zh-CN"/>
        </w:rPr>
        <w:t xml:space="preserve">  </w:t>
      </w:r>
      <w:r>
        <w:rPr>
          <w:rFonts w:hint="eastAsia" w:ascii="Times New Roman" w:hAnsi="Times New Roman" w:eastAsia="宋体" w:cs="Times New Roman"/>
          <w:color w:val="000000"/>
          <w:sz w:val="24"/>
          <w:highlight w:val="none"/>
          <w:lang w:val="en-US" w:eastAsia="zh-CN"/>
        </w:rPr>
        <w:t xml:space="preserve"> 法庭科学视频资料真实性检验技术规范</w:t>
      </w:r>
    </w:p>
    <w:p w14:paraId="4FC37FD8">
      <w:pPr>
        <w:ind w:left="0" w:leftChars="0" w:firstLine="480" w:firstLineChars="200"/>
        <w:rPr>
          <w:rFonts w:ascii="宋体" w:hAnsi="宋体"/>
          <w:sz w:val="24"/>
        </w:rPr>
      </w:pPr>
      <w:r>
        <w:rPr>
          <w:rFonts w:hint="eastAsia" w:ascii="宋体" w:hAnsi="宋体"/>
          <w:sz w:val="24"/>
        </w:rPr>
        <w:t>凡是注日期的引用文件，仅注日期的版本适用于本规范；凡是不注日期的引用文件，其最新版本（包括所有的修改单）适用于本规范。</w:t>
      </w:r>
    </w:p>
    <w:p w14:paraId="0161D84B">
      <w:pPr>
        <w:ind w:firstLine="420" w:firstLineChars="0"/>
        <w:rPr>
          <w:rFonts w:ascii="宋体" w:hAnsi="宋体"/>
          <w:sz w:val="24"/>
        </w:rPr>
      </w:pPr>
    </w:p>
    <w:p w14:paraId="202CCF3F">
      <w:pPr>
        <w:numPr>
          <w:ilvl w:val="0"/>
          <w:numId w:val="3"/>
        </w:numPr>
        <w:ind w:firstLineChars="0"/>
        <w:outlineLvl w:val="0"/>
        <w:rPr>
          <w:rFonts w:ascii="黑体" w:hAnsi="黑体" w:eastAsia="黑体" w:cs="黑体"/>
          <w:sz w:val="24"/>
        </w:rPr>
      </w:pPr>
      <w:bookmarkStart w:id="76" w:name="_Toc4812"/>
      <w:bookmarkStart w:id="77" w:name="_Toc14318"/>
      <w:bookmarkStart w:id="78" w:name="_Toc4986"/>
      <w:bookmarkStart w:id="79" w:name="_Toc20735"/>
      <w:bookmarkStart w:id="80" w:name="_Toc24127"/>
      <w:bookmarkStart w:id="81" w:name="_Toc15540"/>
      <w:bookmarkStart w:id="82" w:name="_Toc14101"/>
      <w:bookmarkStart w:id="83" w:name="_Toc25007"/>
      <w:bookmarkStart w:id="84" w:name="_Toc11766"/>
      <w:bookmarkStart w:id="85" w:name="_Toc1154"/>
      <w:bookmarkStart w:id="86" w:name="_Toc716"/>
      <w:bookmarkStart w:id="87" w:name="_Toc27083"/>
      <w:bookmarkStart w:id="88" w:name="_Toc4256"/>
      <w:bookmarkStart w:id="89" w:name="_Toc14120"/>
      <w:r>
        <w:rPr>
          <w:rFonts w:hint="eastAsia" w:ascii="黑体" w:hAnsi="黑体" w:eastAsia="黑体" w:cs="黑体"/>
          <w:sz w:val="24"/>
        </w:rPr>
        <w:t>术语和计量单位</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3EB91FD">
      <w:pPr>
        <w:numPr>
          <w:ilvl w:val="1"/>
          <w:numId w:val="3"/>
        </w:numPr>
        <w:ind w:firstLineChars="0"/>
        <w:outlineLvl w:val="1"/>
        <w:rPr>
          <w:sz w:val="24"/>
          <w:highlight w:val="none"/>
        </w:rPr>
      </w:pPr>
      <w:bookmarkStart w:id="90" w:name="_Toc24258"/>
      <w:bookmarkStart w:id="91" w:name="_Toc12822"/>
      <w:bookmarkStart w:id="92" w:name="_Toc19447"/>
      <w:bookmarkStart w:id="93" w:name="_Toc2867"/>
      <w:bookmarkStart w:id="94" w:name="_Toc4632"/>
      <w:bookmarkStart w:id="95" w:name="_Toc8235"/>
      <w:bookmarkStart w:id="96" w:name="_Toc12918"/>
      <w:bookmarkStart w:id="97" w:name="_Toc21543"/>
      <w:bookmarkStart w:id="98" w:name="_Toc16165"/>
      <w:bookmarkStart w:id="99" w:name="_Toc23573"/>
      <w:bookmarkStart w:id="100" w:name="_Toc25950"/>
      <w:bookmarkStart w:id="101" w:name="_Toc13689"/>
      <w:bookmarkStart w:id="102" w:name="_Toc14472"/>
      <w:bookmarkStart w:id="103" w:name="_Toc8404"/>
      <w:r>
        <w:rPr>
          <w:rFonts w:hint="eastAsia"/>
          <w:sz w:val="24"/>
          <w:highlight w:val="none"/>
        </w:rPr>
        <w:t>术语</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40E692C">
      <w:pPr>
        <w:ind w:firstLine="480"/>
        <w:rPr>
          <w:sz w:val="24"/>
        </w:rPr>
      </w:pPr>
      <w:r>
        <w:rPr>
          <w:rFonts w:hint="eastAsia"/>
          <w:sz w:val="24"/>
        </w:rPr>
        <w:t>以下术语适用于本</w:t>
      </w:r>
      <w:r>
        <w:rPr>
          <w:rFonts w:hint="eastAsia"/>
          <w:sz w:val="24"/>
          <w:lang w:val="en-US" w:eastAsia="zh-CN"/>
        </w:rPr>
        <w:t>测试规范</w:t>
      </w:r>
      <w:r>
        <w:rPr>
          <w:rFonts w:hint="eastAsia"/>
          <w:sz w:val="24"/>
        </w:rPr>
        <w:t>。</w:t>
      </w:r>
    </w:p>
    <w:p w14:paraId="118755A9">
      <w:pPr>
        <w:numPr>
          <w:ilvl w:val="2"/>
          <w:numId w:val="3"/>
        </w:numPr>
        <w:ind w:firstLineChars="0"/>
        <w:outlineLvl w:val="2"/>
        <w:rPr>
          <w:rFonts w:hint="eastAsia"/>
          <w:sz w:val="24"/>
        </w:rPr>
      </w:pPr>
      <w:bookmarkStart w:id="104" w:name="_Toc25678"/>
      <w:bookmarkStart w:id="105" w:name="_Toc32241"/>
      <w:bookmarkStart w:id="106" w:name="_Toc1570"/>
      <w:bookmarkStart w:id="107" w:name="_Toc30365"/>
      <w:bookmarkStart w:id="108" w:name="_Toc24750"/>
      <w:bookmarkStart w:id="109" w:name="_Toc11995"/>
      <w:bookmarkStart w:id="110" w:name="_Toc23364"/>
      <w:bookmarkStart w:id="111" w:name="_Toc15697"/>
      <w:bookmarkStart w:id="112" w:name="_Toc28989"/>
      <w:bookmarkStart w:id="113" w:name="_Toc813"/>
      <w:bookmarkStart w:id="114" w:name="_Toc848"/>
      <w:bookmarkStart w:id="115" w:name="_Toc24121"/>
      <w:r>
        <w:rPr>
          <w:rFonts w:hint="eastAsia"/>
          <w:sz w:val="24"/>
        </w:rPr>
        <w:t>燃油加油机 fuel dispenser</w:t>
      </w:r>
      <w:r>
        <w:rPr>
          <w:rFonts w:hint="eastAsia"/>
          <w:sz w:val="24"/>
          <w:lang w:eastAsia="zh-CN"/>
        </w:rPr>
        <w:t>（</w:t>
      </w:r>
      <w:r>
        <w:rPr>
          <w:rFonts w:hint="eastAsia"/>
          <w:sz w:val="24"/>
          <w:lang w:val="en-US" w:eastAsia="zh-CN"/>
        </w:rPr>
        <w:t>以下简称加油机）</w:t>
      </w:r>
    </w:p>
    <w:p w14:paraId="5306C7F0">
      <w:pPr>
        <w:ind w:firstLine="420" w:firstLineChars="0"/>
        <w:rPr>
          <w:rFonts w:hint="eastAsia" w:ascii="宋体" w:hAnsi="宋体"/>
          <w:sz w:val="24"/>
        </w:rPr>
      </w:pPr>
      <w:r>
        <w:rPr>
          <w:rFonts w:hint="eastAsia" w:ascii="宋体" w:hAnsi="宋体"/>
          <w:sz w:val="24"/>
        </w:rPr>
        <w:t>用来给车辆加注燃油的一种液体体积动态测量系统。它可以具有贸易结算、语音播报、IC卡加油、油气回收、</w:t>
      </w:r>
      <w:r>
        <w:rPr>
          <w:rFonts w:hint="eastAsia" w:ascii="宋体" w:hAnsi="宋体"/>
          <w:sz w:val="24"/>
          <w:lang w:eastAsia="zh-CN"/>
        </w:rPr>
        <w:t>校验</w:t>
      </w:r>
      <w:r>
        <w:rPr>
          <w:rFonts w:hint="eastAsia" w:ascii="宋体" w:hAnsi="宋体"/>
          <w:sz w:val="24"/>
        </w:rPr>
        <w:t>功能和</w:t>
      </w:r>
      <w:r>
        <w:rPr>
          <w:rFonts w:hint="eastAsia" w:ascii="宋体" w:hAnsi="宋体"/>
          <w:sz w:val="24"/>
          <w:lang w:val="en-US" w:eastAsia="zh-CN"/>
        </w:rPr>
        <w:t>自锁功能</w:t>
      </w:r>
      <w:r>
        <w:rPr>
          <w:rFonts w:hint="eastAsia" w:ascii="宋体" w:hAnsi="宋体"/>
          <w:sz w:val="24"/>
        </w:rPr>
        <w:t>等。</w:t>
      </w:r>
    </w:p>
    <w:p w14:paraId="2D95F88F">
      <w:pPr>
        <w:numPr>
          <w:ilvl w:val="2"/>
          <w:numId w:val="3"/>
        </w:numPr>
        <w:ind w:firstLineChars="0"/>
        <w:outlineLvl w:val="2"/>
        <w:rPr>
          <w:sz w:val="24"/>
        </w:rPr>
      </w:pPr>
      <w:r>
        <w:rPr>
          <w:rFonts w:hint="eastAsia"/>
          <w:sz w:val="24"/>
        </w:rPr>
        <w:t>编码器 coding device</w:t>
      </w:r>
      <w:r>
        <w:rPr>
          <w:sz w:val="24"/>
        </w:rPr>
        <w:t xml:space="preserve"> </w:t>
      </w:r>
    </w:p>
    <w:p w14:paraId="6C337720">
      <w:pPr>
        <w:ind w:firstLine="420" w:firstLineChars="0"/>
        <w:rPr>
          <w:rFonts w:hint="eastAsia" w:ascii="宋体" w:hAnsi="宋体"/>
          <w:sz w:val="24"/>
        </w:rPr>
      </w:pPr>
      <w:r>
        <w:rPr>
          <w:rFonts w:hint="eastAsia" w:ascii="宋体" w:hAnsi="宋体"/>
          <w:sz w:val="24"/>
          <w:lang w:val="en-US" w:eastAsia="zh-CN"/>
        </w:rPr>
        <w:t>将流量测量变换器的机械转动量转换为数字信号并传递给计控主板的部件。</w:t>
      </w:r>
    </w:p>
    <w:p w14:paraId="7987A535">
      <w:pPr>
        <w:numPr>
          <w:ilvl w:val="2"/>
          <w:numId w:val="3"/>
        </w:numPr>
        <w:ind w:firstLineChars="0"/>
        <w:outlineLvl w:val="2"/>
        <w:rPr>
          <w:sz w:val="24"/>
        </w:rPr>
      </w:pPr>
      <w:r>
        <w:rPr>
          <w:rFonts w:hint="eastAsia"/>
          <w:sz w:val="24"/>
          <w:lang w:val="en-US" w:eastAsia="zh-CN"/>
        </w:rPr>
        <w:t>计控主板 measurement controlling board</w:t>
      </w:r>
    </w:p>
    <w:p w14:paraId="1CD15B29">
      <w:pPr>
        <w:ind w:firstLine="420" w:firstLineChars="0"/>
        <w:rPr>
          <w:rFonts w:hint="eastAsia" w:ascii="宋体" w:hAnsi="宋体"/>
          <w:sz w:val="24"/>
        </w:rPr>
      </w:pPr>
      <w:r>
        <w:rPr>
          <w:rFonts w:hint="eastAsia" w:ascii="宋体" w:hAnsi="宋体"/>
          <w:sz w:val="24"/>
        </w:rPr>
        <w:t>接收编码器传递的数字信号，并按法制计量控制要求生成加油数据，经监控微处理器传递给指示装置显示，具有数据通信、处理、存储、控制等其他相关功能的部件。</w:t>
      </w:r>
    </w:p>
    <w:p w14:paraId="05CACAF1">
      <w:pPr>
        <w:numPr>
          <w:ilvl w:val="2"/>
          <w:numId w:val="3"/>
        </w:numPr>
        <w:ind w:firstLineChars="0"/>
        <w:outlineLvl w:val="2"/>
        <w:rPr>
          <w:sz w:val="24"/>
        </w:rPr>
      </w:pPr>
      <w:r>
        <w:rPr>
          <w:rFonts w:hint="eastAsia"/>
          <w:sz w:val="24"/>
          <w:lang w:val="en-US" w:eastAsia="zh-CN"/>
        </w:rPr>
        <w:t>指示装置 indicating device</w:t>
      </w:r>
    </w:p>
    <w:p w14:paraId="73856BCE">
      <w:pPr>
        <w:ind w:firstLine="420" w:firstLineChars="0"/>
        <w:rPr>
          <w:rFonts w:hint="eastAsia" w:ascii="宋体" w:hAnsi="宋体"/>
          <w:sz w:val="24"/>
        </w:rPr>
      </w:pPr>
      <w:r>
        <w:rPr>
          <w:rFonts w:hint="default" w:ascii="宋体" w:hAnsi="宋体"/>
          <w:sz w:val="24"/>
          <w:lang w:val="en-US" w:eastAsia="zh-CN"/>
        </w:rPr>
        <w:t>能连续显示</w:t>
      </w:r>
      <w:r>
        <w:rPr>
          <w:rFonts w:hint="eastAsia" w:ascii="宋体" w:hAnsi="宋体"/>
          <w:sz w:val="24"/>
          <w:lang w:val="en-US" w:eastAsia="zh-CN"/>
        </w:rPr>
        <w:t>加油数据的部件</w:t>
      </w:r>
      <w:r>
        <w:rPr>
          <w:rFonts w:hint="default" w:ascii="宋体" w:hAnsi="宋体"/>
          <w:sz w:val="24"/>
          <w:lang w:val="en-US" w:eastAsia="zh-CN"/>
        </w:rPr>
        <w:t>。</w:t>
      </w:r>
    </w:p>
    <w:p w14:paraId="01BC46E5">
      <w:pPr>
        <w:numPr>
          <w:ilvl w:val="2"/>
          <w:numId w:val="3"/>
        </w:numPr>
        <w:ind w:firstLineChars="0"/>
        <w:outlineLvl w:val="2"/>
        <w:rPr>
          <w:sz w:val="24"/>
        </w:rPr>
      </w:pPr>
      <w:r>
        <w:rPr>
          <w:rFonts w:hint="eastAsia"/>
          <w:color w:val="000000"/>
          <w:sz w:val="24"/>
          <w:lang w:val="en-US" w:eastAsia="zh-CN"/>
        </w:rPr>
        <w:t>输入装置 input device</w:t>
      </w:r>
    </w:p>
    <w:p w14:paraId="5531290F">
      <w:pPr>
        <w:ind w:firstLine="420" w:firstLineChars="0"/>
        <w:rPr>
          <w:rFonts w:hint="eastAsia" w:ascii="宋体" w:hAnsi="宋体"/>
          <w:sz w:val="24"/>
          <w:lang w:val="en-US" w:eastAsia="zh-CN"/>
        </w:rPr>
      </w:pPr>
      <w:r>
        <w:rPr>
          <w:rFonts w:hint="eastAsia" w:ascii="宋体" w:hAnsi="宋体"/>
          <w:sz w:val="24"/>
          <w:lang w:val="en-US" w:eastAsia="zh-CN"/>
        </w:rPr>
        <w:t>安装在燃油加油机机身上的输入键盘，用于调整油价或调整燃油加油机设置的相关信息输入设备。</w:t>
      </w:r>
    </w:p>
    <w:p w14:paraId="3C66D3FC">
      <w:pPr>
        <w:numPr>
          <w:ilvl w:val="2"/>
          <w:numId w:val="3"/>
        </w:numPr>
        <w:ind w:firstLineChars="0"/>
        <w:outlineLvl w:val="2"/>
        <w:rPr>
          <w:rFonts w:hint="eastAsia"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 xml:space="preserve">自锁功能 self-locking function </w:t>
      </w:r>
    </w:p>
    <w:p w14:paraId="33B91ECC">
      <w:pPr>
        <w:ind w:firstLine="420" w:firstLineChars="0"/>
        <w:rPr>
          <w:rFonts w:hint="eastAsia" w:ascii="宋体" w:hAnsi="宋体"/>
          <w:sz w:val="24"/>
          <w:lang w:val="en-US" w:eastAsia="zh-CN"/>
        </w:rPr>
      </w:pPr>
      <w:r>
        <w:rPr>
          <w:rFonts w:hint="eastAsia" w:ascii="宋体" w:hAnsi="宋体"/>
          <w:sz w:val="24"/>
          <w:lang w:val="en-US" w:eastAsia="zh-CN"/>
        </w:rPr>
        <w:t>加油机加油量异常或校验功能异常时，加油机自动锁定不能加油的功能。</w:t>
      </w:r>
    </w:p>
    <w:p w14:paraId="3B3C485E">
      <w:pPr>
        <w:ind w:firstLine="420" w:firstLineChars="0"/>
        <w:rPr>
          <w:rFonts w:hint="eastAsia" w:ascii="宋体" w:hAnsi="宋体"/>
          <w:sz w:val="24"/>
          <w:lang w:val="en-US" w:eastAsia="zh-CN"/>
        </w:rPr>
      </w:pPr>
      <w:r>
        <w:rPr>
          <w:rFonts w:hint="eastAsia" w:ascii="宋体" w:hAnsi="宋体"/>
          <w:sz w:val="24"/>
          <w:lang w:val="en-US" w:eastAsia="zh-CN"/>
        </w:rPr>
        <w:t>注：自锁功能由监控微处理器控制实施。</w:t>
      </w:r>
    </w:p>
    <w:p w14:paraId="4C71D3E4">
      <w:pPr>
        <w:numPr>
          <w:ilvl w:val="2"/>
          <w:numId w:val="3"/>
        </w:numPr>
        <w:ind w:firstLineChars="0"/>
        <w:outlineLvl w:val="2"/>
        <w:rPr>
          <w:rFonts w:hint="eastAsia" w:ascii="Times New Roman" w:hAnsi="Times New Roman" w:eastAsia="宋体" w:cs="Times New Roman"/>
          <w:color w:val="000000"/>
          <w:sz w:val="24"/>
          <w:highlight w:val="none"/>
          <w:lang w:val="en-US" w:eastAsia="zh-CN"/>
        </w:rPr>
      </w:pPr>
      <w:r>
        <w:rPr>
          <w:rFonts w:hint="eastAsia" w:ascii="Times New Roman" w:hAnsi="Times New Roman" w:eastAsia="宋体" w:cs="Times New Roman"/>
          <w:color w:val="000000"/>
          <w:sz w:val="24"/>
          <w:highlight w:val="none"/>
          <w:lang w:val="en-US" w:eastAsia="zh-CN"/>
        </w:rPr>
        <w:t>加油机通信接口 Communication software interface</w:t>
      </w:r>
    </w:p>
    <w:p w14:paraId="3517CDEE">
      <w:pPr>
        <w:ind w:firstLine="420" w:firstLineChars="0"/>
        <w:rPr>
          <w:rFonts w:hint="default" w:ascii="宋体" w:hAnsi="宋体"/>
          <w:sz w:val="24"/>
          <w:highlight w:val="none"/>
          <w:lang w:val="en-US" w:eastAsia="zh-CN"/>
        </w:rPr>
      </w:pPr>
      <w:r>
        <w:rPr>
          <w:rFonts w:hint="eastAsia" w:ascii="宋体" w:hAnsi="宋体"/>
          <w:sz w:val="24"/>
          <w:highlight w:val="none"/>
          <w:lang w:val="en-US" w:eastAsia="zh-CN"/>
        </w:rPr>
        <w:t>指燃油加油机本体与外部设备进行数据交互的物理或逻辑通道。</w:t>
      </w:r>
    </w:p>
    <w:p w14:paraId="34855EB3">
      <w:pPr>
        <w:numPr>
          <w:ilvl w:val="2"/>
          <w:numId w:val="3"/>
        </w:numPr>
        <w:ind w:firstLineChars="0"/>
        <w:outlineLvl w:val="2"/>
        <w:rPr>
          <w:rFonts w:hint="eastAsia" w:ascii="Times New Roman" w:hAnsi="Times New Roman" w:eastAsia="宋体" w:cs="Times New Roman"/>
          <w:color w:val="000000"/>
          <w:sz w:val="24"/>
          <w:lang w:val="en-US" w:eastAsia="zh-CN"/>
        </w:rPr>
      </w:pPr>
      <w:r>
        <w:rPr>
          <w:rFonts w:hint="eastAsia" w:cs="Times New Roman"/>
          <w:color w:val="000000"/>
          <w:sz w:val="24"/>
          <w:lang w:val="en-US" w:eastAsia="zh-CN"/>
        </w:rPr>
        <w:t>加油机</w:t>
      </w:r>
      <w:r>
        <w:rPr>
          <w:rFonts w:hint="eastAsia" w:ascii="Times New Roman" w:hAnsi="Times New Roman" w:eastAsia="宋体" w:cs="Times New Roman"/>
          <w:color w:val="000000"/>
          <w:sz w:val="24"/>
          <w:lang w:val="en-US" w:eastAsia="zh-CN"/>
        </w:rPr>
        <w:t>欺骗性使用 Fraudulent use of fuel dispensers</w:t>
      </w:r>
    </w:p>
    <w:p w14:paraId="77F49751">
      <w:pPr>
        <w:ind w:firstLine="420" w:firstLineChars="0"/>
        <w:rPr>
          <w:rFonts w:hint="eastAsia" w:ascii="宋体" w:hAnsi="宋体"/>
          <w:sz w:val="24"/>
          <w:lang w:val="en-US" w:eastAsia="zh-CN"/>
        </w:rPr>
      </w:pPr>
      <w:r>
        <w:rPr>
          <w:rFonts w:hint="eastAsia" w:ascii="宋体" w:hAnsi="宋体"/>
          <w:sz w:val="24"/>
          <w:lang w:val="en-US" w:eastAsia="zh-CN"/>
        </w:rPr>
        <w:t>操作者主动对加油机进行干预，影响计量器准确度的，造成单次或累计计量数据偏离真实结果，以达到欺骗目的的活动，通常称之为“作弊活动”。</w:t>
      </w:r>
    </w:p>
    <w:p w14:paraId="2C341E37">
      <w:pPr>
        <w:numPr>
          <w:ilvl w:val="2"/>
          <w:numId w:val="3"/>
        </w:numPr>
        <w:ind w:firstLineChars="0"/>
        <w:outlineLvl w:val="2"/>
        <w:rPr>
          <w:rFonts w:hint="eastAsia" w:ascii="Times New Roman" w:hAnsi="Times New Roman" w:eastAsia="宋体" w:cs="Times New Roman"/>
          <w:color w:val="000000"/>
          <w:sz w:val="24"/>
          <w:lang w:val="en-US" w:eastAsia="zh-CN"/>
        </w:rPr>
      </w:pPr>
      <w:r>
        <w:rPr>
          <w:rFonts w:hint="eastAsia" w:cs="Times New Roman"/>
          <w:color w:val="000000"/>
          <w:sz w:val="24"/>
          <w:lang w:val="en-US" w:eastAsia="zh-CN"/>
        </w:rPr>
        <w:t>加油机</w:t>
      </w:r>
      <w:r>
        <w:rPr>
          <w:rFonts w:hint="eastAsia" w:ascii="Times New Roman" w:hAnsi="Times New Roman" w:eastAsia="宋体" w:cs="Times New Roman"/>
          <w:color w:val="000000"/>
          <w:sz w:val="24"/>
          <w:lang w:val="en-US" w:eastAsia="zh-CN"/>
        </w:rPr>
        <w:t xml:space="preserve">欺骗性使用特征 Characteristics of </w:t>
      </w:r>
      <w:r>
        <w:rPr>
          <w:rFonts w:hint="eastAsia" w:cs="Times New Roman"/>
          <w:color w:val="000000"/>
          <w:sz w:val="24"/>
          <w:lang w:val="en-US" w:eastAsia="zh-CN"/>
        </w:rPr>
        <w:t>f</w:t>
      </w:r>
      <w:r>
        <w:rPr>
          <w:rFonts w:hint="eastAsia" w:ascii="Times New Roman" w:hAnsi="Times New Roman" w:eastAsia="宋体" w:cs="Times New Roman"/>
          <w:color w:val="000000"/>
          <w:sz w:val="24"/>
          <w:lang w:val="en-US" w:eastAsia="zh-CN"/>
        </w:rPr>
        <w:t xml:space="preserve">raudulent </w:t>
      </w:r>
      <w:r>
        <w:rPr>
          <w:rFonts w:hint="eastAsia" w:cs="Times New Roman"/>
          <w:color w:val="000000"/>
          <w:sz w:val="24"/>
          <w:lang w:val="en-US" w:eastAsia="zh-CN"/>
        </w:rPr>
        <w:t>f</w:t>
      </w:r>
      <w:r>
        <w:rPr>
          <w:rFonts w:hint="eastAsia" w:ascii="Times New Roman" w:hAnsi="Times New Roman" w:eastAsia="宋体" w:cs="Times New Roman"/>
          <w:color w:val="000000"/>
          <w:sz w:val="24"/>
          <w:lang w:val="en-US" w:eastAsia="zh-CN"/>
        </w:rPr>
        <w:t xml:space="preserve">uel </w:t>
      </w:r>
      <w:r>
        <w:rPr>
          <w:rFonts w:hint="eastAsia" w:cs="Times New Roman"/>
          <w:color w:val="000000"/>
          <w:sz w:val="24"/>
          <w:lang w:val="en-US" w:eastAsia="zh-CN"/>
        </w:rPr>
        <w:t>di</w:t>
      </w:r>
      <w:r>
        <w:rPr>
          <w:rFonts w:hint="eastAsia" w:ascii="Times New Roman" w:hAnsi="Times New Roman" w:eastAsia="宋体" w:cs="Times New Roman"/>
          <w:color w:val="000000"/>
          <w:sz w:val="24"/>
          <w:lang w:val="en-US" w:eastAsia="zh-CN"/>
        </w:rPr>
        <w:t xml:space="preserve">spenser </w:t>
      </w:r>
      <w:r>
        <w:rPr>
          <w:rFonts w:hint="eastAsia" w:cs="Times New Roman"/>
          <w:color w:val="000000"/>
          <w:sz w:val="24"/>
          <w:lang w:val="en-US" w:eastAsia="zh-CN"/>
        </w:rPr>
        <w:t>u</w:t>
      </w:r>
      <w:r>
        <w:rPr>
          <w:rFonts w:hint="eastAsia" w:ascii="Times New Roman" w:hAnsi="Times New Roman" w:eastAsia="宋体" w:cs="Times New Roman"/>
          <w:color w:val="000000"/>
          <w:sz w:val="24"/>
          <w:lang w:val="en-US" w:eastAsia="zh-CN"/>
        </w:rPr>
        <w:t>sage</w:t>
      </w:r>
    </w:p>
    <w:p w14:paraId="5BEBC289">
      <w:pPr>
        <w:ind w:firstLine="420" w:firstLineChars="0"/>
        <w:rPr>
          <w:rFonts w:hint="eastAsia" w:ascii="宋体" w:hAnsi="宋体"/>
          <w:sz w:val="24"/>
          <w:lang w:val="en-US" w:eastAsia="zh-CN"/>
        </w:rPr>
      </w:pPr>
      <w:r>
        <w:rPr>
          <w:rFonts w:hint="eastAsia" w:ascii="宋体" w:hAnsi="宋体"/>
          <w:sz w:val="24"/>
          <w:lang w:val="en-US" w:eastAsia="zh-CN"/>
        </w:rPr>
        <w:t>指燃油加油机在实施欺骗性使用过程中，由软硬件系统主动或被动生成的、可被技术手段识别的异常状态或行为痕迹。</w:t>
      </w:r>
    </w:p>
    <w:p w14:paraId="0C17FD00">
      <w:pPr>
        <w:numPr>
          <w:ilvl w:val="1"/>
          <w:numId w:val="3"/>
        </w:numPr>
        <w:ind w:firstLineChars="0"/>
        <w:outlineLvl w:val="1"/>
        <w:rPr>
          <w:sz w:val="24"/>
        </w:rPr>
      </w:pPr>
      <w:bookmarkStart w:id="116" w:name="_Toc15582"/>
      <w:r>
        <w:rPr>
          <w:rFonts w:hint="eastAsia"/>
          <w:sz w:val="24"/>
        </w:rPr>
        <w:t>计量单位</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58449BBC">
      <w:pPr>
        <w:ind w:firstLine="480"/>
        <w:outlineLvl w:val="9"/>
        <w:rPr>
          <w:rFonts w:hint="eastAsia"/>
          <w:color w:val="000000"/>
          <w:sz w:val="24"/>
        </w:rPr>
      </w:pPr>
      <w:r>
        <w:rPr>
          <w:rFonts w:hint="eastAsia"/>
          <w:color w:val="000000"/>
          <w:sz w:val="24"/>
        </w:rPr>
        <w:t>计量单位应采用法定计量单位，名称和符号应符合表 1</w:t>
      </w:r>
      <w:r>
        <w:rPr>
          <w:rFonts w:hint="eastAsia"/>
          <w:color w:val="000000"/>
          <w:sz w:val="24"/>
          <w:lang w:val="en-US" w:eastAsia="zh-CN"/>
        </w:rPr>
        <w:t>计量单位</w:t>
      </w:r>
      <w:r>
        <w:rPr>
          <w:rFonts w:hint="eastAsia"/>
          <w:color w:val="000000"/>
          <w:sz w:val="24"/>
        </w:rPr>
        <w:t>的规定。</w:t>
      </w:r>
    </w:p>
    <w:p w14:paraId="23B4B02A">
      <w:pPr>
        <w:pStyle w:val="2"/>
        <w:ind w:firstLine="480"/>
        <w:jc w:val="center"/>
        <w:rPr>
          <w:rFonts w:hint="default"/>
          <w:color w:val="000000"/>
          <w:sz w:val="24"/>
          <w:lang w:val="en-US" w:eastAsia="zh-CN"/>
        </w:rPr>
      </w:pPr>
      <w:bookmarkStart w:id="117" w:name="_Toc12592"/>
      <w:r>
        <w:rPr>
          <w:rFonts w:hint="eastAsia"/>
          <w:color w:val="000000"/>
          <w:sz w:val="24"/>
        </w:rPr>
        <w:t xml:space="preserve">表 1 </w:t>
      </w:r>
      <w:r>
        <w:rPr>
          <w:rFonts w:hint="eastAsia"/>
          <w:color w:val="000000"/>
          <w:sz w:val="24"/>
          <w:lang w:val="en-US" w:eastAsia="zh-CN"/>
        </w:rPr>
        <w:t>计量单位</w:t>
      </w:r>
      <w:bookmarkEnd w:id="117"/>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0"/>
        <w:gridCol w:w="2318"/>
        <w:gridCol w:w="2131"/>
      </w:tblGrid>
      <w:tr w14:paraId="5EA64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0" w:type="dxa"/>
            <w:tcBorders>
              <w:top w:val="single" w:color="auto" w:sz="8" w:space="0"/>
              <w:left w:val="single" w:color="auto" w:sz="8" w:space="0"/>
              <w:bottom w:val="single" w:color="auto" w:sz="4" w:space="0"/>
            </w:tcBorders>
            <w:noWrap w:val="0"/>
            <w:vAlign w:val="top"/>
          </w:tcPr>
          <w:p w14:paraId="41ECEDD1">
            <w:pPr>
              <w:ind w:left="0" w:leftChars="0" w:firstLine="0" w:firstLineChars="0"/>
              <w:jc w:val="center"/>
              <w:outlineLvl w:val="2"/>
              <w:rPr>
                <w:rFonts w:hint="eastAsia" w:eastAsia="宋体"/>
                <w:color w:val="000000"/>
                <w:sz w:val="24"/>
                <w:highlight w:val="none"/>
                <w:lang w:eastAsia="zh-CN"/>
              </w:rPr>
            </w:pPr>
            <w:bookmarkStart w:id="118" w:name="_Toc32692"/>
            <w:r>
              <w:rPr>
                <w:rFonts w:hint="eastAsia"/>
                <w:color w:val="000000"/>
                <w:sz w:val="24"/>
                <w:highlight w:val="none"/>
                <w:lang w:val="en-US" w:eastAsia="zh-CN"/>
              </w:rPr>
              <w:t>基本量</w:t>
            </w:r>
            <w:bookmarkEnd w:id="118"/>
          </w:p>
        </w:tc>
        <w:tc>
          <w:tcPr>
            <w:tcW w:w="4449" w:type="dxa"/>
            <w:gridSpan w:val="2"/>
            <w:tcBorders>
              <w:top w:val="single" w:color="auto" w:sz="8" w:space="0"/>
              <w:bottom w:val="single" w:color="auto" w:sz="4" w:space="0"/>
              <w:right w:val="single" w:color="auto" w:sz="8" w:space="0"/>
            </w:tcBorders>
            <w:noWrap w:val="0"/>
            <w:vAlign w:val="top"/>
          </w:tcPr>
          <w:p w14:paraId="73C8F1D6">
            <w:pPr>
              <w:ind w:left="0" w:leftChars="0" w:firstLine="0" w:firstLineChars="0"/>
              <w:jc w:val="center"/>
              <w:outlineLvl w:val="2"/>
              <w:rPr>
                <w:rFonts w:hint="default" w:eastAsia="宋体"/>
                <w:color w:val="000000"/>
                <w:sz w:val="24"/>
                <w:highlight w:val="none"/>
                <w:lang w:val="en-US" w:eastAsia="zh-CN"/>
              </w:rPr>
            </w:pPr>
            <w:bookmarkStart w:id="119" w:name="_Toc2931"/>
            <w:r>
              <w:rPr>
                <w:rFonts w:hint="eastAsia"/>
                <w:color w:val="000000"/>
                <w:sz w:val="24"/>
                <w:highlight w:val="none"/>
                <w:lang w:val="en-US" w:eastAsia="zh-CN"/>
              </w:rPr>
              <w:t>基本单位</w:t>
            </w:r>
            <w:bookmarkEnd w:id="119"/>
          </w:p>
        </w:tc>
      </w:tr>
      <w:tr w14:paraId="59C8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0" w:type="dxa"/>
            <w:tcBorders>
              <w:top w:val="single" w:color="auto" w:sz="4" w:space="0"/>
              <w:left w:val="single" w:color="auto" w:sz="8" w:space="0"/>
              <w:bottom w:val="single" w:color="auto" w:sz="4" w:space="0"/>
            </w:tcBorders>
            <w:noWrap w:val="0"/>
            <w:vAlign w:val="top"/>
          </w:tcPr>
          <w:p w14:paraId="3FC92146">
            <w:pPr>
              <w:ind w:left="0" w:leftChars="0" w:firstLine="0" w:firstLineChars="0"/>
              <w:jc w:val="center"/>
              <w:outlineLvl w:val="2"/>
              <w:rPr>
                <w:rFonts w:hint="eastAsia"/>
                <w:color w:val="000000"/>
                <w:sz w:val="24"/>
                <w:highlight w:val="none"/>
              </w:rPr>
            </w:pPr>
            <w:bookmarkStart w:id="120" w:name="_Toc22689"/>
            <w:r>
              <w:rPr>
                <w:rFonts w:hint="eastAsia"/>
                <w:color w:val="000000"/>
                <w:sz w:val="24"/>
                <w:highlight w:val="none"/>
              </w:rPr>
              <w:t>名称</w:t>
            </w:r>
            <w:bookmarkEnd w:id="120"/>
          </w:p>
        </w:tc>
        <w:tc>
          <w:tcPr>
            <w:tcW w:w="2318" w:type="dxa"/>
            <w:tcBorders>
              <w:top w:val="single" w:color="auto" w:sz="4" w:space="0"/>
              <w:bottom w:val="single" w:color="auto" w:sz="4" w:space="0"/>
            </w:tcBorders>
            <w:noWrap w:val="0"/>
            <w:vAlign w:val="top"/>
          </w:tcPr>
          <w:p w14:paraId="4A058A26">
            <w:pPr>
              <w:ind w:left="0" w:leftChars="0" w:firstLine="0" w:firstLineChars="0"/>
              <w:jc w:val="center"/>
              <w:outlineLvl w:val="2"/>
              <w:rPr>
                <w:rFonts w:hint="eastAsia"/>
                <w:color w:val="000000"/>
                <w:sz w:val="24"/>
                <w:highlight w:val="none"/>
              </w:rPr>
            </w:pPr>
            <w:bookmarkStart w:id="121" w:name="_Toc7045"/>
            <w:r>
              <w:rPr>
                <w:rFonts w:hint="eastAsia"/>
                <w:color w:val="000000"/>
                <w:sz w:val="24"/>
                <w:highlight w:val="none"/>
              </w:rPr>
              <w:t>名称</w:t>
            </w:r>
            <w:bookmarkEnd w:id="121"/>
          </w:p>
        </w:tc>
        <w:tc>
          <w:tcPr>
            <w:tcW w:w="2131" w:type="dxa"/>
            <w:tcBorders>
              <w:top w:val="single" w:color="auto" w:sz="4" w:space="0"/>
              <w:bottom w:val="single" w:color="auto" w:sz="4" w:space="0"/>
              <w:right w:val="single" w:color="auto" w:sz="8" w:space="0"/>
            </w:tcBorders>
            <w:noWrap w:val="0"/>
            <w:vAlign w:val="top"/>
          </w:tcPr>
          <w:p w14:paraId="6CBD31EE">
            <w:pPr>
              <w:ind w:left="0" w:leftChars="0" w:firstLine="0" w:firstLineChars="0"/>
              <w:jc w:val="center"/>
              <w:outlineLvl w:val="2"/>
              <w:rPr>
                <w:rFonts w:hint="eastAsia"/>
                <w:color w:val="000000"/>
                <w:sz w:val="24"/>
                <w:highlight w:val="none"/>
              </w:rPr>
            </w:pPr>
            <w:bookmarkStart w:id="122" w:name="_Toc8320"/>
            <w:r>
              <w:rPr>
                <w:rFonts w:hint="eastAsia"/>
                <w:color w:val="000000"/>
                <w:sz w:val="24"/>
                <w:highlight w:val="none"/>
              </w:rPr>
              <w:t>符号</w:t>
            </w:r>
            <w:bookmarkEnd w:id="122"/>
          </w:p>
        </w:tc>
      </w:tr>
      <w:tr w14:paraId="3659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0" w:type="dxa"/>
            <w:tcBorders>
              <w:top w:val="single" w:color="auto" w:sz="4" w:space="0"/>
              <w:left w:val="single" w:color="auto" w:sz="8" w:space="0"/>
              <w:bottom w:val="single" w:color="auto" w:sz="8" w:space="0"/>
            </w:tcBorders>
            <w:noWrap w:val="0"/>
            <w:vAlign w:val="top"/>
          </w:tcPr>
          <w:p w14:paraId="39713D35">
            <w:pPr>
              <w:ind w:left="0" w:leftChars="0" w:firstLine="0" w:firstLineChars="0"/>
              <w:jc w:val="center"/>
              <w:outlineLvl w:val="2"/>
              <w:rPr>
                <w:rFonts w:hint="eastAsia" w:ascii="宋体" w:hAnsi="宋体" w:eastAsia="宋体" w:cs="宋体"/>
                <w:color w:val="000000"/>
                <w:sz w:val="24"/>
                <w:szCs w:val="24"/>
                <w:highlight w:val="none"/>
              </w:rPr>
            </w:pPr>
            <w:bookmarkStart w:id="123" w:name="_Toc465"/>
            <w:r>
              <w:rPr>
                <w:rFonts w:hint="eastAsia" w:ascii="宋体" w:hAnsi="宋体" w:eastAsia="宋体" w:cs="宋体"/>
                <w:color w:val="000000"/>
                <w:sz w:val="24"/>
                <w:szCs w:val="24"/>
                <w:highlight w:val="none"/>
                <w:lang w:val="en-US" w:eastAsia="zh-CN"/>
              </w:rPr>
              <w:t>累积流量</w:t>
            </w:r>
            <w:bookmarkEnd w:id="123"/>
          </w:p>
        </w:tc>
        <w:tc>
          <w:tcPr>
            <w:tcW w:w="2318" w:type="dxa"/>
            <w:tcBorders>
              <w:top w:val="single" w:color="auto" w:sz="4" w:space="0"/>
              <w:bottom w:val="single" w:color="auto" w:sz="8" w:space="0"/>
            </w:tcBorders>
            <w:noWrap w:val="0"/>
            <w:vAlign w:val="top"/>
          </w:tcPr>
          <w:p w14:paraId="3181C667">
            <w:pPr>
              <w:ind w:left="0" w:leftChars="0" w:firstLine="0" w:firstLineChars="0"/>
              <w:jc w:val="center"/>
              <w:outlineLvl w:val="2"/>
              <w:rPr>
                <w:rFonts w:hint="eastAsia" w:ascii="宋体" w:hAnsi="宋体" w:eastAsia="宋体" w:cs="宋体"/>
                <w:color w:val="000000"/>
                <w:sz w:val="24"/>
                <w:szCs w:val="24"/>
                <w:highlight w:val="none"/>
              </w:rPr>
            </w:pPr>
            <w:bookmarkStart w:id="124" w:name="_Toc16774"/>
            <w:r>
              <w:rPr>
                <w:rFonts w:hint="eastAsia" w:ascii="宋体" w:hAnsi="宋体" w:eastAsia="宋体" w:cs="宋体"/>
                <w:color w:val="000000"/>
                <w:sz w:val="24"/>
                <w:szCs w:val="24"/>
                <w:highlight w:val="none"/>
                <w:lang w:val="en-US" w:eastAsia="zh-CN"/>
              </w:rPr>
              <w:t>升</w:t>
            </w:r>
            <w:bookmarkEnd w:id="124"/>
          </w:p>
        </w:tc>
        <w:tc>
          <w:tcPr>
            <w:tcW w:w="2131" w:type="dxa"/>
            <w:tcBorders>
              <w:top w:val="single" w:color="auto" w:sz="4" w:space="0"/>
              <w:bottom w:val="single" w:color="auto" w:sz="8" w:space="0"/>
              <w:right w:val="single" w:color="auto" w:sz="8" w:space="0"/>
            </w:tcBorders>
            <w:noWrap w:val="0"/>
            <w:vAlign w:val="top"/>
          </w:tcPr>
          <w:p w14:paraId="7254039A">
            <w:pPr>
              <w:ind w:left="0" w:leftChars="0" w:firstLine="0" w:firstLineChars="0"/>
              <w:jc w:val="center"/>
              <w:outlineLvl w:val="2"/>
              <w:rPr>
                <w:rFonts w:hint="eastAsia" w:ascii="宋体" w:hAnsi="宋体" w:eastAsia="宋体" w:cs="宋体"/>
                <w:color w:val="000000"/>
                <w:sz w:val="24"/>
                <w:szCs w:val="24"/>
                <w:highlight w:val="none"/>
              </w:rPr>
            </w:pPr>
            <w:bookmarkStart w:id="125" w:name="_Toc31259"/>
            <w:r>
              <w:rPr>
                <w:rFonts w:hint="eastAsia" w:ascii="宋体" w:hAnsi="宋体" w:eastAsia="宋体" w:cs="宋体"/>
                <w:color w:val="000000"/>
                <w:sz w:val="24"/>
                <w:szCs w:val="24"/>
                <w:highlight w:val="none"/>
                <w:lang w:val="en-US" w:eastAsia="zh-CN"/>
              </w:rPr>
              <w:t>L</w:t>
            </w:r>
            <w:bookmarkEnd w:id="125"/>
          </w:p>
        </w:tc>
      </w:tr>
    </w:tbl>
    <w:p w14:paraId="4F2176E5">
      <w:pPr>
        <w:pStyle w:val="2"/>
        <w:ind w:firstLine="480"/>
        <w:jc w:val="center"/>
        <w:rPr>
          <w:rFonts w:hint="eastAsia"/>
          <w:color w:val="000000"/>
          <w:sz w:val="24"/>
          <w:lang w:val="en-US" w:eastAsia="zh-CN"/>
        </w:rPr>
      </w:pPr>
      <w:bookmarkStart w:id="126" w:name="_Toc24191"/>
      <w:r>
        <w:rPr>
          <w:rFonts w:hint="eastAsia"/>
          <w:color w:val="000000"/>
          <w:sz w:val="24"/>
        </w:rPr>
        <w:t>表 1</w:t>
      </w:r>
      <w:r>
        <w:rPr>
          <w:rFonts w:hint="eastAsia"/>
          <w:color w:val="000000"/>
          <w:sz w:val="24"/>
          <w:lang w:val="en-US" w:eastAsia="zh-CN"/>
        </w:rPr>
        <w:t xml:space="preserve"> 计量单位（续）</w:t>
      </w:r>
      <w:bookmarkEnd w:id="126"/>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0"/>
        <w:gridCol w:w="2318"/>
        <w:gridCol w:w="2131"/>
      </w:tblGrid>
      <w:tr w14:paraId="56B20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0" w:type="dxa"/>
            <w:tcBorders>
              <w:top w:val="single" w:color="auto" w:sz="8" w:space="0"/>
              <w:left w:val="single" w:color="auto" w:sz="8" w:space="0"/>
              <w:bottom w:val="single" w:color="auto" w:sz="4" w:space="0"/>
            </w:tcBorders>
            <w:noWrap w:val="0"/>
            <w:vAlign w:val="top"/>
          </w:tcPr>
          <w:p w14:paraId="1E151ACF">
            <w:pPr>
              <w:ind w:left="0" w:leftChars="0" w:firstLine="0" w:firstLineChars="0"/>
              <w:jc w:val="center"/>
              <w:outlineLvl w:val="2"/>
              <w:rPr>
                <w:rFonts w:hint="eastAsia" w:ascii="宋体" w:hAnsi="宋体" w:eastAsia="宋体" w:cs="宋体"/>
                <w:color w:val="000000"/>
                <w:sz w:val="24"/>
                <w:szCs w:val="24"/>
                <w:highlight w:val="none"/>
              </w:rPr>
            </w:pPr>
            <w:bookmarkStart w:id="127" w:name="_Toc16686"/>
            <w:r>
              <w:rPr>
                <w:rFonts w:hint="eastAsia"/>
                <w:color w:val="000000"/>
                <w:sz w:val="24"/>
                <w:highlight w:val="none"/>
                <w:lang w:val="en-US" w:eastAsia="zh-CN"/>
              </w:rPr>
              <w:t>基本量</w:t>
            </w:r>
            <w:bookmarkEnd w:id="127"/>
          </w:p>
        </w:tc>
        <w:tc>
          <w:tcPr>
            <w:tcW w:w="4449" w:type="dxa"/>
            <w:gridSpan w:val="2"/>
            <w:tcBorders>
              <w:top w:val="single" w:color="auto" w:sz="8" w:space="0"/>
              <w:bottom w:val="single" w:color="auto" w:sz="4" w:space="0"/>
            </w:tcBorders>
            <w:noWrap w:val="0"/>
            <w:vAlign w:val="top"/>
          </w:tcPr>
          <w:p w14:paraId="390E8B30">
            <w:pPr>
              <w:ind w:left="0" w:leftChars="0" w:firstLine="0" w:firstLineChars="0"/>
              <w:jc w:val="center"/>
              <w:outlineLvl w:val="2"/>
              <w:rPr>
                <w:rFonts w:hint="eastAsia" w:ascii="宋体" w:hAnsi="宋体" w:eastAsia="宋体" w:cs="宋体"/>
                <w:color w:val="000000"/>
                <w:sz w:val="24"/>
                <w:szCs w:val="24"/>
                <w:highlight w:val="none"/>
              </w:rPr>
            </w:pPr>
            <w:bookmarkStart w:id="128" w:name="_Toc20916"/>
            <w:r>
              <w:rPr>
                <w:rFonts w:hint="eastAsia"/>
                <w:color w:val="000000"/>
                <w:sz w:val="24"/>
                <w:highlight w:val="none"/>
                <w:lang w:val="en-US" w:eastAsia="zh-CN"/>
              </w:rPr>
              <w:t>基本单位</w:t>
            </w:r>
            <w:bookmarkEnd w:id="128"/>
          </w:p>
        </w:tc>
      </w:tr>
      <w:tr w14:paraId="39A0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0" w:type="dxa"/>
            <w:tcBorders>
              <w:top w:val="single" w:color="auto" w:sz="4" w:space="0"/>
              <w:left w:val="single" w:color="auto" w:sz="8" w:space="0"/>
            </w:tcBorders>
            <w:noWrap w:val="0"/>
            <w:vAlign w:val="top"/>
          </w:tcPr>
          <w:p w14:paraId="3F39C5F7">
            <w:pPr>
              <w:ind w:left="0" w:leftChars="0" w:firstLine="0" w:firstLineChars="0"/>
              <w:jc w:val="center"/>
              <w:outlineLvl w:val="2"/>
              <w:rPr>
                <w:rFonts w:hint="eastAsia" w:ascii="宋体" w:hAnsi="宋体" w:eastAsia="宋体" w:cs="宋体"/>
                <w:color w:val="000000"/>
                <w:sz w:val="24"/>
                <w:szCs w:val="24"/>
                <w:highlight w:val="none"/>
                <w:lang w:val="en-US" w:eastAsia="zh-CN"/>
              </w:rPr>
            </w:pPr>
            <w:bookmarkStart w:id="129" w:name="_Toc1619"/>
            <w:r>
              <w:rPr>
                <w:rFonts w:hint="eastAsia" w:ascii="宋体" w:hAnsi="宋体" w:eastAsia="宋体" w:cs="宋体"/>
                <w:color w:val="000000"/>
                <w:sz w:val="24"/>
                <w:szCs w:val="24"/>
                <w:highlight w:val="none"/>
                <w:lang w:val="en-US" w:eastAsia="zh-CN"/>
              </w:rPr>
              <w:t>瞬时流量</w:t>
            </w:r>
            <w:bookmarkEnd w:id="129"/>
          </w:p>
        </w:tc>
        <w:tc>
          <w:tcPr>
            <w:tcW w:w="2318" w:type="dxa"/>
            <w:tcBorders>
              <w:top w:val="single" w:color="auto" w:sz="4" w:space="0"/>
            </w:tcBorders>
            <w:noWrap w:val="0"/>
            <w:vAlign w:val="top"/>
          </w:tcPr>
          <w:p w14:paraId="47F082BF">
            <w:pPr>
              <w:ind w:left="0" w:leftChars="0" w:firstLine="0" w:firstLineChars="0"/>
              <w:jc w:val="center"/>
              <w:outlineLvl w:val="2"/>
              <w:rPr>
                <w:rFonts w:hint="eastAsia" w:ascii="宋体" w:hAnsi="宋体" w:eastAsia="宋体" w:cs="宋体"/>
                <w:color w:val="000000"/>
                <w:sz w:val="24"/>
                <w:szCs w:val="24"/>
                <w:highlight w:val="none"/>
                <w:lang w:val="en-US" w:eastAsia="zh-CN"/>
              </w:rPr>
            </w:pPr>
            <w:bookmarkStart w:id="130" w:name="_Toc12175"/>
            <w:r>
              <w:rPr>
                <w:rFonts w:hint="eastAsia" w:ascii="宋体" w:hAnsi="宋体" w:eastAsia="宋体" w:cs="宋体"/>
                <w:color w:val="000000"/>
                <w:sz w:val="24"/>
                <w:szCs w:val="24"/>
                <w:highlight w:val="none"/>
                <w:lang w:val="en-US" w:eastAsia="zh-CN"/>
              </w:rPr>
              <w:t>升每分钟</w:t>
            </w:r>
            <w:bookmarkEnd w:id="130"/>
          </w:p>
        </w:tc>
        <w:tc>
          <w:tcPr>
            <w:tcW w:w="2131" w:type="dxa"/>
            <w:tcBorders>
              <w:top w:val="single" w:color="auto" w:sz="4" w:space="0"/>
              <w:right w:val="single" w:color="auto" w:sz="8" w:space="0"/>
            </w:tcBorders>
            <w:noWrap w:val="0"/>
            <w:vAlign w:val="top"/>
          </w:tcPr>
          <w:p w14:paraId="799E7F2D">
            <w:pPr>
              <w:ind w:left="0" w:leftChars="0" w:firstLine="0" w:firstLineChars="0"/>
              <w:jc w:val="center"/>
              <w:outlineLvl w:val="2"/>
              <w:rPr>
                <w:rFonts w:hint="eastAsia" w:ascii="宋体" w:hAnsi="宋体" w:eastAsia="宋体" w:cs="宋体"/>
                <w:color w:val="000000"/>
                <w:sz w:val="24"/>
                <w:szCs w:val="24"/>
                <w:highlight w:val="none"/>
                <w:lang w:val="en-US" w:eastAsia="zh-CN"/>
              </w:rPr>
            </w:pPr>
            <w:bookmarkStart w:id="131" w:name="_Toc12674"/>
            <w:r>
              <w:rPr>
                <w:rFonts w:hint="eastAsia" w:ascii="宋体" w:hAnsi="宋体" w:eastAsia="宋体" w:cs="宋体"/>
                <w:color w:val="000000"/>
                <w:sz w:val="24"/>
                <w:szCs w:val="24"/>
                <w:highlight w:val="none"/>
                <w:lang w:val="en-US" w:eastAsia="zh-CN"/>
              </w:rPr>
              <w:t>L/min</w:t>
            </w:r>
            <w:bookmarkEnd w:id="131"/>
          </w:p>
        </w:tc>
      </w:tr>
      <w:tr w14:paraId="03D3D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0" w:type="dxa"/>
            <w:vMerge w:val="restart"/>
            <w:tcBorders>
              <w:left w:val="single" w:color="auto" w:sz="8" w:space="0"/>
            </w:tcBorders>
            <w:noWrap w:val="0"/>
            <w:vAlign w:val="center"/>
          </w:tcPr>
          <w:p w14:paraId="5A5AB301">
            <w:pPr>
              <w:ind w:left="0" w:leftChars="0" w:firstLine="0" w:firstLineChars="0"/>
              <w:jc w:val="center"/>
              <w:outlineLvl w:val="2"/>
              <w:rPr>
                <w:rFonts w:hint="eastAsia" w:ascii="宋体" w:hAnsi="宋体" w:eastAsia="宋体" w:cs="宋体"/>
                <w:color w:val="000000"/>
                <w:sz w:val="24"/>
                <w:szCs w:val="24"/>
                <w:highlight w:val="none"/>
              </w:rPr>
            </w:pPr>
            <w:bookmarkStart w:id="132" w:name="_Toc31201"/>
            <w:r>
              <w:rPr>
                <w:rFonts w:hint="eastAsia" w:ascii="宋体" w:hAnsi="宋体" w:eastAsia="宋体" w:cs="宋体"/>
                <w:color w:val="000000"/>
                <w:sz w:val="24"/>
                <w:szCs w:val="24"/>
                <w:highlight w:val="none"/>
                <w:lang w:val="en-US" w:eastAsia="zh-CN"/>
              </w:rPr>
              <w:t>压力</w:t>
            </w:r>
            <w:bookmarkEnd w:id="132"/>
          </w:p>
        </w:tc>
        <w:tc>
          <w:tcPr>
            <w:tcW w:w="2318" w:type="dxa"/>
            <w:noWrap w:val="0"/>
            <w:vAlign w:val="top"/>
          </w:tcPr>
          <w:p w14:paraId="3ED5792E">
            <w:pPr>
              <w:ind w:left="0" w:leftChars="0" w:firstLine="0" w:firstLineChars="0"/>
              <w:jc w:val="center"/>
              <w:outlineLvl w:val="2"/>
              <w:rPr>
                <w:rFonts w:hint="eastAsia" w:ascii="宋体" w:hAnsi="宋体" w:eastAsia="宋体" w:cs="宋体"/>
                <w:color w:val="000000"/>
                <w:sz w:val="24"/>
                <w:szCs w:val="24"/>
                <w:highlight w:val="none"/>
              </w:rPr>
            </w:pPr>
            <w:bookmarkStart w:id="133" w:name="_Toc8333"/>
            <w:r>
              <w:rPr>
                <w:rFonts w:hint="eastAsia" w:ascii="宋体" w:hAnsi="宋体" w:eastAsia="宋体" w:cs="宋体"/>
                <w:color w:val="000000"/>
                <w:sz w:val="24"/>
                <w:szCs w:val="24"/>
                <w:highlight w:val="none"/>
                <w:lang w:val="en-US" w:eastAsia="zh-CN"/>
              </w:rPr>
              <w:t>帕[斯卡]</w:t>
            </w:r>
            <w:bookmarkEnd w:id="133"/>
          </w:p>
        </w:tc>
        <w:tc>
          <w:tcPr>
            <w:tcW w:w="2131" w:type="dxa"/>
            <w:tcBorders>
              <w:right w:val="single" w:color="auto" w:sz="8" w:space="0"/>
            </w:tcBorders>
            <w:noWrap w:val="0"/>
            <w:vAlign w:val="top"/>
          </w:tcPr>
          <w:p w14:paraId="46212CA6">
            <w:pPr>
              <w:ind w:left="0" w:leftChars="0" w:firstLine="0" w:firstLineChars="0"/>
              <w:jc w:val="center"/>
              <w:outlineLvl w:val="2"/>
              <w:rPr>
                <w:rFonts w:hint="eastAsia" w:ascii="宋体" w:hAnsi="宋体" w:eastAsia="宋体" w:cs="宋体"/>
                <w:color w:val="000000"/>
                <w:sz w:val="24"/>
                <w:szCs w:val="24"/>
                <w:highlight w:val="none"/>
              </w:rPr>
            </w:pPr>
            <w:bookmarkStart w:id="134" w:name="_Toc11743"/>
            <w:r>
              <w:rPr>
                <w:rFonts w:hint="eastAsia" w:ascii="宋体" w:hAnsi="宋体" w:eastAsia="宋体" w:cs="宋体"/>
                <w:color w:val="000000"/>
                <w:sz w:val="24"/>
                <w:szCs w:val="24"/>
                <w:highlight w:val="none"/>
                <w:lang w:val="en-US" w:eastAsia="zh-CN"/>
              </w:rPr>
              <w:t>Pa</w:t>
            </w:r>
            <w:bookmarkEnd w:id="134"/>
          </w:p>
        </w:tc>
      </w:tr>
      <w:tr w14:paraId="6AB6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0" w:type="dxa"/>
            <w:vMerge w:val="continue"/>
            <w:tcBorders>
              <w:left w:val="single" w:color="auto" w:sz="8" w:space="0"/>
            </w:tcBorders>
            <w:noWrap w:val="0"/>
            <w:vAlign w:val="top"/>
          </w:tcPr>
          <w:p w14:paraId="079FB776">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c>
          <w:tcPr>
            <w:tcW w:w="2318" w:type="dxa"/>
            <w:noWrap w:val="0"/>
            <w:vAlign w:val="top"/>
          </w:tcPr>
          <w:p w14:paraId="19C9E46B">
            <w:pPr>
              <w:ind w:left="0" w:leftChars="0" w:firstLine="0" w:firstLineChars="0"/>
              <w:jc w:val="center"/>
              <w:outlineLvl w:val="2"/>
              <w:rPr>
                <w:rFonts w:hint="eastAsia" w:ascii="宋体" w:hAnsi="宋体" w:eastAsia="宋体" w:cs="宋体"/>
                <w:color w:val="000000"/>
                <w:sz w:val="24"/>
                <w:szCs w:val="24"/>
                <w:highlight w:val="none"/>
                <w:lang w:val="en-US" w:eastAsia="zh-CN"/>
              </w:rPr>
            </w:pPr>
            <w:bookmarkStart w:id="135" w:name="_Toc16343"/>
            <w:r>
              <w:rPr>
                <w:rFonts w:hint="eastAsia" w:ascii="宋体" w:hAnsi="宋体" w:eastAsia="宋体" w:cs="宋体"/>
                <w:color w:val="000000"/>
                <w:sz w:val="24"/>
                <w:szCs w:val="24"/>
                <w:highlight w:val="none"/>
                <w:lang w:val="en-US" w:eastAsia="zh-CN"/>
              </w:rPr>
              <w:t>千帕</w:t>
            </w:r>
            <w:bookmarkEnd w:id="135"/>
          </w:p>
        </w:tc>
        <w:tc>
          <w:tcPr>
            <w:tcW w:w="2131" w:type="dxa"/>
            <w:tcBorders>
              <w:right w:val="single" w:color="auto" w:sz="8" w:space="0"/>
            </w:tcBorders>
            <w:noWrap w:val="0"/>
            <w:vAlign w:val="top"/>
          </w:tcPr>
          <w:p w14:paraId="761F0EA2">
            <w:pPr>
              <w:ind w:left="0" w:leftChars="0" w:firstLine="0" w:firstLineChars="0"/>
              <w:jc w:val="center"/>
              <w:outlineLvl w:val="2"/>
              <w:rPr>
                <w:rFonts w:hint="eastAsia" w:ascii="宋体" w:hAnsi="宋体" w:eastAsia="宋体" w:cs="宋体"/>
                <w:color w:val="000000"/>
                <w:sz w:val="24"/>
                <w:szCs w:val="24"/>
                <w:highlight w:val="none"/>
                <w:lang w:val="en-US" w:eastAsia="zh-CN"/>
              </w:rPr>
            </w:pPr>
            <w:bookmarkStart w:id="136" w:name="_Toc25178"/>
            <w:r>
              <w:rPr>
                <w:rFonts w:hint="eastAsia" w:ascii="宋体" w:hAnsi="宋体" w:eastAsia="宋体" w:cs="宋体"/>
                <w:color w:val="000000"/>
                <w:sz w:val="24"/>
                <w:szCs w:val="24"/>
                <w:highlight w:val="none"/>
                <w:lang w:val="en-US" w:eastAsia="zh-CN"/>
              </w:rPr>
              <w:t>kPa</w:t>
            </w:r>
            <w:bookmarkEnd w:id="136"/>
          </w:p>
        </w:tc>
      </w:tr>
      <w:tr w14:paraId="722E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0" w:type="dxa"/>
            <w:tcBorders>
              <w:left w:val="single" w:color="auto" w:sz="8" w:space="0"/>
            </w:tcBorders>
            <w:noWrap w:val="0"/>
            <w:vAlign w:val="top"/>
          </w:tcPr>
          <w:p w14:paraId="736E82FF">
            <w:pPr>
              <w:ind w:left="0" w:leftChars="0" w:firstLine="0" w:firstLineChars="0"/>
              <w:jc w:val="center"/>
              <w:outlineLvl w:val="2"/>
              <w:rPr>
                <w:rFonts w:hint="eastAsia" w:ascii="宋体" w:hAnsi="宋体" w:eastAsia="宋体" w:cs="宋体"/>
                <w:color w:val="000000"/>
                <w:sz w:val="24"/>
                <w:szCs w:val="24"/>
                <w:highlight w:val="none"/>
              </w:rPr>
            </w:pPr>
            <w:bookmarkStart w:id="137" w:name="_Toc7932"/>
            <w:r>
              <w:rPr>
                <w:rFonts w:hint="eastAsia" w:ascii="宋体" w:hAnsi="宋体" w:eastAsia="宋体" w:cs="宋体"/>
                <w:color w:val="000000"/>
                <w:sz w:val="24"/>
                <w:szCs w:val="24"/>
                <w:highlight w:val="none"/>
                <w:lang w:val="en-US" w:eastAsia="zh-CN"/>
              </w:rPr>
              <w:t>温度</w:t>
            </w:r>
            <w:bookmarkEnd w:id="137"/>
          </w:p>
        </w:tc>
        <w:tc>
          <w:tcPr>
            <w:tcW w:w="2318" w:type="dxa"/>
            <w:noWrap w:val="0"/>
            <w:vAlign w:val="top"/>
          </w:tcPr>
          <w:p w14:paraId="101D8618">
            <w:pPr>
              <w:ind w:left="0" w:leftChars="0" w:firstLine="0" w:firstLineChars="0"/>
              <w:jc w:val="center"/>
              <w:outlineLvl w:val="2"/>
              <w:rPr>
                <w:rFonts w:hint="eastAsia" w:ascii="宋体" w:hAnsi="宋体" w:eastAsia="宋体" w:cs="宋体"/>
                <w:color w:val="000000"/>
                <w:sz w:val="24"/>
                <w:szCs w:val="24"/>
                <w:highlight w:val="none"/>
              </w:rPr>
            </w:pPr>
            <w:bookmarkStart w:id="138" w:name="_Toc13384"/>
            <w:r>
              <w:rPr>
                <w:rFonts w:hint="eastAsia" w:ascii="宋体" w:hAnsi="宋体" w:eastAsia="宋体" w:cs="宋体"/>
                <w:color w:val="000000"/>
                <w:sz w:val="24"/>
                <w:szCs w:val="24"/>
                <w:highlight w:val="none"/>
                <w:lang w:val="en-US" w:eastAsia="zh-CN"/>
              </w:rPr>
              <w:t>摄氏度</w:t>
            </w:r>
            <w:bookmarkEnd w:id="138"/>
          </w:p>
        </w:tc>
        <w:tc>
          <w:tcPr>
            <w:tcW w:w="2131" w:type="dxa"/>
            <w:tcBorders>
              <w:right w:val="single" w:color="auto" w:sz="8" w:space="0"/>
            </w:tcBorders>
            <w:noWrap w:val="0"/>
            <w:vAlign w:val="top"/>
          </w:tcPr>
          <w:p w14:paraId="37366EC9">
            <w:pPr>
              <w:ind w:left="0" w:leftChars="0" w:firstLine="0" w:firstLineChars="0"/>
              <w:jc w:val="center"/>
              <w:outlineLvl w:val="2"/>
              <w:rPr>
                <w:rFonts w:hint="eastAsia" w:ascii="宋体" w:hAnsi="宋体" w:eastAsia="宋体" w:cs="宋体"/>
                <w:color w:val="000000"/>
                <w:sz w:val="24"/>
                <w:szCs w:val="24"/>
                <w:highlight w:val="none"/>
              </w:rPr>
            </w:pPr>
            <w:bookmarkStart w:id="139" w:name="_Toc11199"/>
            <w:r>
              <w:rPr>
                <w:rFonts w:hint="eastAsia" w:ascii="宋体" w:hAnsi="宋体" w:eastAsia="宋体" w:cs="宋体"/>
                <w:b w:val="0"/>
                <w:bCs w:val="0"/>
                <w:color w:val="000000"/>
                <w:sz w:val="24"/>
                <w:szCs w:val="24"/>
                <w:highlight w:val="none"/>
                <w:lang w:val="en-US" w:eastAsia="zh-CN"/>
              </w:rPr>
              <w:t>℃</w:t>
            </w:r>
            <w:bookmarkEnd w:id="139"/>
          </w:p>
        </w:tc>
      </w:tr>
      <w:tr w14:paraId="4F273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0" w:type="dxa"/>
            <w:vMerge w:val="restart"/>
            <w:tcBorders>
              <w:left w:val="single" w:color="auto" w:sz="8" w:space="0"/>
              <w:bottom w:val="single" w:color="auto" w:sz="8" w:space="0"/>
            </w:tcBorders>
            <w:noWrap w:val="0"/>
            <w:vAlign w:val="center"/>
          </w:tcPr>
          <w:p w14:paraId="3F73D144">
            <w:pPr>
              <w:ind w:left="0" w:leftChars="0" w:firstLine="0" w:firstLineChars="0"/>
              <w:jc w:val="center"/>
              <w:outlineLvl w:val="2"/>
              <w:rPr>
                <w:rFonts w:hint="eastAsia" w:ascii="宋体" w:hAnsi="宋体" w:eastAsia="宋体" w:cs="宋体"/>
                <w:color w:val="000000"/>
                <w:sz w:val="24"/>
                <w:szCs w:val="24"/>
                <w:highlight w:val="none"/>
              </w:rPr>
            </w:pPr>
            <w:bookmarkStart w:id="140" w:name="_Toc5239"/>
            <w:r>
              <w:rPr>
                <w:rFonts w:hint="eastAsia" w:ascii="宋体" w:hAnsi="宋体" w:eastAsia="宋体" w:cs="宋体"/>
                <w:color w:val="000000"/>
                <w:sz w:val="24"/>
                <w:szCs w:val="24"/>
                <w:highlight w:val="none"/>
                <w:lang w:val="en-US" w:eastAsia="zh-CN"/>
              </w:rPr>
              <w:t>时间</w:t>
            </w:r>
            <w:bookmarkEnd w:id="140"/>
          </w:p>
        </w:tc>
        <w:tc>
          <w:tcPr>
            <w:tcW w:w="2318" w:type="dxa"/>
            <w:noWrap w:val="0"/>
            <w:vAlign w:val="top"/>
          </w:tcPr>
          <w:p w14:paraId="61890940">
            <w:pPr>
              <w:ind w:left="0" w:leftChars="0" w:firstLine="0" w:firstLineChars="0"/>
              <w:jc w:val="center"/>
              <w:outlineLvl w:val="2"/>
              <w:rPr>
                <w:rFonts w:hint="eastAsia" w:ascii="宋体" w:hAnsi="宋体" w:eastAsia="宋体" w:cs="宋体"/>
                <w:color w:val="000000"/>
                <w:sz w:val="24"/>
                <w:szCs w:val="24"/>
                <w:highlight w:val="none"/>
              </w:rPr>
            </w:pPr>
            <w:bookmarkStart w:id="141" w:name="_Toc19814"/>
            <w:r>
              <w:rPr>
                <w:rFonts w:hint="eastAsia" w:ascii="宋体" w:hAnsi="宋体" w:eastAsia="宋体" w:cs="宋体"/>
                <w:color w:val="000000"/>
                <w:sz w:val="24"/>
                <w:szCs w:val="24"/>
                <w:highlight w:val="none"/>
                <w:lang w:val="en-US" w:eastAsia="zh-CN"/>
              </w:rPr>
              <w:t>分钟</w:t>
            </w:r>
            <w:bookmarkEnd w:id="141"/>
          </w:p>
        </w:tc>
        <w:tc>
          <w:tcPr>
            <w:tcW w:w="2131" w:type="dxa"/>
            <w:tcBorders>
              <w:right w:val="single" w:color="auto" w:sz="8" w:space="0"/>
            </w:tcBorders>
            <w:noWrap w:val="0"/>
            <w:vAlign w:val="top"/>
          </w:tcPr>
          <w:p w14:paraId="7A3C24B8">
            <w:pPr>
              <w:ind w:left="0" w:leftChars="0" w:firstLine="0" w:firstLineChars="0"/>
              <w:jc w:val="center"/>
              <w:outlineLvl w:val="2"/>
              <w:rPr>
                <w:rFonts w:hint="eastAsia" w:ascii="宋体" w:hAnsi="宋体" w:eastAsia="宋体" w:cs="宋体"/>
                <w:color w:val="000000"/>
                <w:sz w:val="24"/>
                <w:szCs w:val="24"/>
                <w:highlight w:val="none"/>
              </w:rPr>
            </w:pPr>
            <w:bookmarkStart w:id="142" w:name="_Toc26625"/>
            <w:r>
              <w:rPr>
                <w:rFonts w:hint="eastAsia" w:ascii="宋体" w:hAnsi="宋体" w:eastAsia="宋体" w:cs="宋体"/>
                <w:color w:val="000000"/>
                <w:sz w:val="24"/>
                <w:szCs w:val="24"/>
                <w:highlight w:val="none"/>
                <w:lang w:val="en-US" w:eastAsia="zh-CN"/>
              </w:rPr>
              <w:t>min</w:t>
            </w:r>
            <w:bookmarkEnd w:id="142"/>
          </w:p>
        </w:tc>
      </w:tr>
      <w:tr w14:paraId="4B6E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0" w:type="dxa"/>
            <w:vMerge w:val="continue"/>
            <w:tcBorders>
              <w:top w:val="single" w:color="auto" w:sz="8" w:space="0"/>
              <w:left w:val="single" w:color="auto" w:sz="8" w:space="0"/>
              <w:bottom w:val="single" w:color="auto" w:sz="8" w:space="0"/>
            </w:tcBorders>
            <w:noWrap w:val="0"/>
            <w:vAlign w:val="top"/>
          </w:tcPr>
          <w:p w14:paraId="02C07DA3">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c>
          <w:tcPr>
            <w:tcW w:w="2318" w:type="dxa"/>
            <w:tcBorders>
              <w:bottom w:val="single" w:color="auto" w:sz="8" w:space="0"/>
            </w:tcBorders>
            <w:noWrap w:val="0"/>
            <w:vAlign w:val="top"/>
          </w:tcPr>
          <w:p w14:paraId="5FC3B2C5">
            <w:pPr>
              <w:ind w:left="0" w:leftChars="0" w:firstLine="0" w:firstLineChars="0"/>
              <w:jc w:val="center"/>
              <w:outlineLvl w:val="2"/>
              <w:rPr>
                <w:rFonts w:hint="default" w:ascii="宋体" w:hAnsi="宋体" w:eastAsia="宋体" w:cs="宋体"/>
                <w:color w:val="000000"/>
                <w:sz w:val="24"/>
                <w:szCs w:val="24"/>
                <w:highlight w:val="none"/>
                <w:lang w:val="en-US" w:eastAsia="zh-CN"/>
              </w:rPr>
            </w:pPr>
            <w:bookmarkStart w:id="143" w:name="_Toc11242"/>
            <w:r>
              <w:rPr>
                <w:rFonts w:hint="eastAsia" w:ascii="宋体" w:hAnsi="宋体" w:cs="宋体"/>
                <w:color w:val="000000"/>
                <w:sz w:val="24"/>
                <w:szCs w:val="24"/>
                <w:highlight w:val="none"/>
                <w:lang w:val="en-US" w:eastAsia="zh-CN"/>
              </w:rPr>
              <w:t>秒</w:t>
            </w:r>
            <w:bookmarkEnd w:id="143"/>
          </w:p>
        </w:tc>
        <w:tc>
          <w:tcPr>
            <w:tcW w:w="2131" w:type="dxa"/>
            <w:tcBorders>
              <w:bottom w:val="single" w:color="auto" w:sz="8" w:space="0"/>
              <w:right w:val="single" w:color="auto" w:sz="8" w:space="0"/>
            </w:tcBorders>
            <w:noWrap w:val="0"/>
            <w:vAlign w:val="top"/>
          </w:tcPr>
          <w:p w14:paraId="707C4A32">
            <w:pPr>
              <w:ind w:left="0" w:leftChars="0" w:firstLine="0" w:firstLineChars="0"/>
              <w:jc w:val="center"/>
              <w:outlineLvl w:val="2"/>
              <w:rPr>
                <w:rFonts w:hint="eastAsia" w:ascii="宋体" w:hAnsi="宋体" w:eastAsia="宋体" w:cs="宋体"/>
                <w:color w:val="000000"/>
                <w:sz w:val="24"/>
                <w:szCs w:val="24"/>
                <w:highlight w:val="none"/>
                <w:lang w:val="en-US" w:eastAsia="zh-CN"/>
              </w:rPr>
            </w:pPr>
            <w:bookmarkStart w:id="144" w:name="_Toc14648"/>
            <w:r>
              <w:rPr>
                <w:rFonts w:hint="eastAsia" w:ascii="宋体" w:hAnsi="宋体" w:eastAsia="宋体" w:cs="宋体"/>
                <w:color w:val="000000"/>
                <w:sz w:val="24"/>
                <w:szCs w:val="24"/>
                <w:highlight w:val="none"/>
                <w:lang w:val="en-US" w:eastAsia="zh-CN"/>
              </w:rPr>
              <w:t>s</w:t>
            </w:r>
            <w:bookmarkEnd w:id="144"/>
          </w:p>
        </w:tc>
      </w:tr>
    </w:tbl>
    <w:p w14:paraId="1700E1A5">
      <w:pPr>
        <w:ind w:firstLine="840" w:firstLineChars="400"/>
        <w:rPr>
          <w:rFonts w:hint="eastAsia" w:ascii="仿宋" w:hAnsi="仿宋" w:eastAsia="仿宋" w:cs="仿宋"/>
          <w:color w:val="000000"/>
          <w:kern w:val="0"/>
          <w:sz w:val="21"/>
          <w:szCs w:val="21"/>
          <w:highlight w:val="none"/>
          <w:lang w:val="en-US" w:eastAsia="zh-CN" w:bidi="ar"/>
        </w:rPr>
      </w:pPr>
      <w:r>
        <w:rPr>
          <w:rFonts w:ascii="仿宋" w:hAnsi="仿宋" w:eastAsia="仿宋" w:cs="仿宋"/>
          <w:color w:val="000000"/>
          <w:kern w:val="0"/>
          <w:sz w:val="21"/>
          <w:szCs w:val="21"/>
          <w:highlight w:val="none"/>
          <w:lang w:val="en-US" w:eastAsia="zh-CN" w:bidi="ar"/>
        </w:rPr>
        <w:t>注：用于贸易结算的体积单位为升（</w:t>
      </w:r>
      <w:r>
        <w:rPr>
          <w:rFonts w:hint="default" w:ascii="Times New Roman" w:hAnsi="Times New Roman" w:eastAsia="宋体" w:cs="Times New Roman"/>
          <w:color w:val="000000"/>
          <w:kern w:val="0"/>
          <w:sz w:val="21"/>
          <w:szCs w:val="21"/>
          <w:highlight w:val="none"/>
          <w:lang w:val="en-US" w:eastAsia="zh-CN" w:bidi="ar"/>
        </w:rPr>
        <w:t>L</w:t>
      </w:r>
      <w:r>
        <w:rPr>
          <w:rFonts w:hint="eastAsia" w:ascii="仿宋" w:hAnsi="仿宋" w:eastAsia="仿宋" w:cs="仿宋"/>
          <w:color w:val="000000"/>
          <w:kern w:val="0"/>
          <w:sz w:val="21"/>
          <w:szCs w:val="21"/>
          <w:highlight w:val="none"/>
          <w:lang w:val="en-US" w:eastAsia="zh-CN" w:bidi="ar"/>
        </w:rPr>
        <w:t>）,付费金额单位为元（人民币）。</w:t>
      </w:r>
    </w:p>
    <w:p w14:paraId="5CE3E8E3">
      <w:pPr>
        <w:ind w:firstLine="480"/>
      </w:pPr>
    </w:p>
    <w:p w14:paraId="719B4542">
      <w:pPr>
        <w:numPr>
          <w:ilvl w:val="0"/>
          <w:numId w:val="3"/>
        </w:numPr>
        <w:ind w:firstLineChars="0"/>
        <w:outlineLvl w:val="0"/>
        <w:rPr>
          <w:rFonts w:ascii="黑体" w:hAnsi="黑体" w:eastAsia="黑体" w:cs="黑体"/>
          <w:sz w:val="24"/>
        </w:rPr>
      </w:pPr>
      <w:bookmarkStart w:id="145" w:name="_Toc25663"/>
      <w:bookmarkStart w:id="146" w:name="_Toc2658"/>
      <w:bookmarkStart w:id="147" w:name="_Toc29680"/>
      <w:bookmarkStart w:id="148" w:name="_Toc17497"/>
      <w:bookmarkStart w:id="149" w:name="_Toc17578"/>
      <w:bookmarkStart w:id="150" w:name="_Toc24928_WPSOffice_Level1"/>
      <w:bookmarkStart w:id="151" w:name="_Toc9625"/>
      <w:bookmarkStart w:id="152" w:name="_Toc12854"/>
      <w:bookmarkStart w:id="153" w:name="_Toc18813"/>
      <w:bookmarkStart w:id="154" w:name="_Toc19920"/>
      <w:bookmarkStart w:id="155" w:name="_Toc9250"/>
      <w:bookmarkStart w:id="156" w:name="_Toc6818"/>
      <w:bookmarkStart w:id="157" w:name="_Toc8797"/>
      <w:bookmarkStart w:id="158" w:name="_Toc18830_WPSOffice_Level1"/>
      <w:bookmarkStart w:id="159" w:name="_Toc4136"/>
      <w:bookmarkStart w:id="160" w:name="_Toc31997"/>
      <w:r>
        <w:rPr>
          <w:rFonts w:hint="eastAsia" w:ascii="黑体" w:hAnsi="黑体" w:eastAsia="黑体" w:cs="黑体"/>
          <w:sz w:val="24"/>
        </w:rPr>
        <w:t>概述</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724BDD8">
      <w:pPr>
        <w:ind w:firstLine="480"/>
        <w:rPr>
          <w:sz w:val="24"/>
        </w:rPr>
      </w:pPr>
      <w:r>
        <w:rPr>
          <w:rFonts w:hint="eastAsia"/>
          <w:sz w:val="24"/>
          <w:lang w:val="en-US" w:eastAsia="zh-CN"/>
        </w:rPr>
        <w:t>燃油加油机</w:t>
      </w:r>
      <w:r>
        <w:rPr>
          <w:rFonts w:hint="eastAsia"/>
          <w:sz w:val="24"/>
        </w:rPr>
        <w:t>软件</w:t>
      </w:r>
      <w:r>
        <w:rPr>
          <w:rFonts w:hint="eastAsia"/>
          <w:sz w:val="24"/>
          <w:lang w:val="en-US" w:eastAsia="zh-CN"/>
        </w:rPr>
        <w:t>及其组件</w:t>
      </w:r>
      <w:r>
        <w:rPr>
          <w:rFonts w:hint="eastAsia"/>
          <w:sz w:val="24"/>
        </w:rPr>
        <w:t>部分的算法、参数、逻辑和功能的正确性应符合</w:t>
      </w:r>
      <w:r>
        <w:rPr>
          <w:rFonts w:hint="eastAsia"/>
          <w:color w:val="000000"/>
          <w:sz w:val="24"/>
          <w:highlight w:val="none"/>
          <w:lang w:val="en-US" w:eastAsia="zh-CN"/>
        </w:rPr>
        <w:t>国家相关法律、法规和技术规范</w:t>
      </w:r>
      <w:r>
        <w:rPr>
          <w:rFonts w:hint="eastAsia"/>
          <w:sz w:val="24"/>
        </w:rPr>
        <w:t>的要求，</w:t>
      </w:r>
      <w:r>
        <w:rPr>
          <w:rFonts w:hint="eastAsia"/>
          <w:sz w:val="24"/>
          <w:lang w:val="en-US" w:eastAsia="zh-CN"/>
        </w:rPr>
        <w:t>不得影响加油机的计量特性，</w:t>
      </w:r>
      <w:r>
        <w:rPr>
          <w:rFonts w:hint="eastAsia"/>
          <w:sz w:val="24"/>
        </w:rPr>
        <w:t>不允许隐藏、不明示的功能或者参数存在，所使用到的软件功能不应具有欺骗性使用的特性。</w:t>
      </w:r>
      <w:r>
        <w:rPr>
          <w:rFonts w:hint="eastAsia"/>
          <w:sz w:val="24"/>
          <w:lang w:val="en-US" w:eastAsia="zh-CN"/>
        </w:rPr>
        <w:t>测试</w:t>
      </w:r>
      <w:r>
        <w:rPr>
          <w:rFonts w:hint="eastAsia"/>
          <w:sz w:val="24"/>
        </w:rPr>
        <w:t>可采用按照软件测试（黑盒、白盒）的方式或使用欺骗性使用特征测试仪（预置非法命令发生器）开展测试，确定其是否具有欺骗性使用特征。</w:t>
      </w:r>
    </w:p>
    <w:p w14:paraId="71005EC3">
      <w:pPr>
        <w:ind w:firstLine="480"/>
        <w:rPr>
          <w:sz w:val="24"/>
        </w:rPr>
      </w:pPr>
    </w:p>
    <w:p w14:paraId="2203829A">
      <w:pPr>
        <w:numPr>
          <w:ilvl w:val="0"/>
          <w:numId w:val="3"/>
        </w:numPr>
        <w:ind w:firstLineChars="0"/>
        <w:outlineLvl w:val="0"/>
        <w:rPr>
          <w:rFonts w:ascii="黑体" w:hAnsi="黑体" w:eastAsia="黑体" w:cs="黑体"/>
          <w:sz w:val="24"/>
        </w:rPr>
      </w:pPr>
      <w:bookmarkStart w:id="161" w:name="_Toc30768"/>
      <w:bookmarkStart w:id="162" w:name="_Toc24497"/>
      <w:r>
        <w:rPr>
          <w:rFonts w:hint="eastAsia" w:ascii="黑体" w:hAnsi="黑体" w:eastAsia="黑体" w:cs="黑体"/>
          <w:sz w:val="24"/>
          <w:lang w:val="en-US" w:eastAsia="zh-CN"/>
        </w:rPr>
        <w:t>测试要求</w:t>
      </w:r>
      <w:bookmarkEnd w:id="161"/>
      <w:bookmarkEnd w:id="162"/>
    </w:p>
    <w:p w14:paraId="482E649F">
      <w:pPr>
        <w:numPr>
          <w:ilvl w:val="1"/>
          <w:numId w:val="3"/>
        </w:numPr>
        <w:ind w:firstLineChars="0"/>
        <w:outlineLvl w:val="1"/>
        <w:rPr>
          <w:sz w:val="24"/>
        </w:rPr>
      </w:pPr>
      <w:bookmarkStart w:id="163" w:name="_Toc28435"/>
      <w:r>
        <w:rPr>
          <w:rFonts w:hint="eastAsia"/>
          <w:sz w:val="24"/>
          <w:lang w:val="en-US" w:eastAsia="zh-CN"/>
        </w:rPr>
        <w:t>测试文档集要求</w:t>
      </w:r>
      <w:bookmarkEnd w:id="163"/>
    </w:p>
    <w:p w14:paraId="0E614197">
      <w:pPr>
        <w:widowControl/>
        <w:ind w:firstLine="480"/>
        <w:jc w:val="left"/>
        <w:rPr>
          <w:rFonts w:hint="default" w:hAnsi="宋体"/>
          <w:kern w:val="0"/>
          <w:sz w:val="24"/>
          <w:lang w:val="en-US" w:eastAsia="zh-CN"/>
        </w:rPr>
      </w:pPr>
      <w:r>
        <w:rPr>
          <w:rFonts w:hint="eastAsia" w:hAnsi="宋体"/>
          <w:kern w:val="0"/>
          <w:sz w:val="24"/>
          <w:lang w:val="en-US" w:eastAsia="zh-CN"/>
        </w:rPr>
        <w:t>开展测试前要根据被测加油机品牌、类型编制软件测试用例，测试用例的设计应具有针对性。</w:t>
      </w:r>
    </w:p>
    <w:p w14:paraId="0D125974">
      <w:pPr>
        <w:widowControl/>
        <w:ind w:firstLine="480"/>
        <w:jc w:val="left"/>
        <w:rPr>
          <w:rFonts w:hint="eastAsia" w:hAnsi="宋体"/>
          <w:kern w:val="0"/>
          <w:sz w:val="24"/>
          <w:lang w:val="en-US" w:eastAsia="zh-CN"/>
        </w:rPr>
      </w:pPr>
      <w:r>
        <w:rPr>
          <w:rFonts w:hint="eastAsia" w:hAnsi="宋体"/>
          <w:kern w:val="0"/>
          <w:sz w:val="24"/>
          <w:lang w:val="en-US" w:eastAsia="zh-CN"/>
        </w:rPr>
        <w:t>测试文档集一般应包含：</w:t>
      </w:r>
    </w:p>
    <w:p w14:paraId="3132EB4A">
      <w:pPr>
        <w:widowControl/>
        <w:ind w:firstLine="480"/>
        <w:jc w:val="left"/>
        <w:rPr>
          <w:rFonts w:hint="eastAsia" w:hAnsi="宋体"/>
          <w:kern w:val="0"/>
          <w:sz w:val="24"/>
          <w:lang w:val="en-US" w:eastAsia="zh-CN"/>
        </w:rPr>
      </w:pPr>
      <w:r>
        <w:rPr>
          <w:rFonts w:hint="eastAsia" w:hAnsi="宋体"/>
          <w:kern w:val="0"/>
          <w:sz w:val="24"/>
          <w:lang w:val="en-US" w:eastAsia="zh-CN"/>
        </w:rPr>
        <w:t>a） 测试计划；</w:t>
      </w:r>
    </w:p>
    <w:p w14:paraId="1DB1D861">
      <w:pPr>
        <w:widowControl/>
        <w:ind w:firstLine="480"/>
        <w:jc w:val="left"/>
        <w:rPr>
          <w:rFonts w:hint="eastAsia" w:hAnsi="宋体"/>
          <w:kern w:val="0"/>
          <w:sz w:val="24"/>
          <w:lang w:val="en-US" w:eastAsia="zh-CN"/>
        </w:rPr>
      </w:pPr>
      <w:r>
        <w:rPr>
          <w:rFonts w:hint="eastAsia" w:hAnsi="宋体"/>
          <w:kern w:val="0"/>
          <w:sz w:val="24"/>
          <w:lang w:val="en-US" w:eastAsia="zh-CN"/>
        </w:rPr>
        <w:t>b） 测试说明；</w:t>
      </w:r>
    </w:p>
    <w:p w14:paraId="5570B4EC">
      <w:pPr>
        <w:widowControl/>
        <w:ind w:firstLine="480"/>
        <w:jc w:val="left"/>
        <w:rPr>
          <w:rFonts w:hint="eastAsia" w:hAnsi="宋体"/>
          <w:kern w:val="0"/>
          <w:sz w:val="24"/>
          <w:lang w:val="en-US" w:eastAsia="zh-CN"/>
        </w:rPr>
      </w:pPr>
      <w:r>
        <w:rPr>
          <w:rFonts w:hint="eastAsia" w:hAnsi="宋体"/>
          <w:kern w:val="0"/>
          <w:sz w:val="24"/>
          <w:lang w:val="en-US" w:eastAsia="zh-CN"/>
        </w:rPr>
        <w:t>c） 测试用例；</w:t>
      </w:r>
    </w:p>
    <w:p w14:paraId="200C0DEC">
      <w:pPr>
        <w:widowControl/>
        <w:ind w:firstLine="480"/>
        <w:jc w:val="left"/>
        <w:rPr>
          <w:rFonts w:hint="eastAsia" w:hAnsi="宋体"/>
          <w:kern w:val="0"/>
          <w:sz w:val="24"/>
          <w:lang w:val="en-US" w:eastAsia="zh-CN"/>
        </w:rPr>
      </w:pPr>
      <w:r>
        <w:rPr>
          <w:rFonts w:hint="eastAsia" w:hAnsi="宋体"/>
          <w:kern w:val="0"/>
          <w:sz w:val="24"/>
          <w:lang w:val="en-US" w:eastAsia="zh-CN"/>
        </w:rPr>
        <w:t>d） 测试结果（报告）。</w:t>
      </w:r>
    </w:p>
    <w:p w14:paraId="0CF1DD91">
      <w:pPr>
        <w:widowControl/>
        <w:ind w:firstLine="480"/>
        <w:jc w:val="left"/>
        <w:rPr>
          <w:rFonts w:hint="default" w:hAnsi="宋体"/>
          <w:kern w:val="0"/>
          <w:sz w:val="24"/>
          <w:lang w:val="en-US" w:eastAsia="zh-CN"/>
        </w:rPr>
      </w:pPr>
      <w:r>
        <w:rPr>
          <w:rFonts w:hint="eastAsia" w:hAnsi="宋体"/>
          <w:kern w:val="0"/>
          <w:sz w:val="24"/>
          <w:lang w:val="en-US" w:eastAsia="zh-CN"/>
        </w:rPr>
        <w:t>e） 委托方提供的其他资料（如有）。</w:t>
      </w:r>
    </w:p>
    <w:p w14:paraId="4701A663">
      <w:pPr>
        <w:numPr>
          <w:ilvl w:val="1"/>
          <w:numId w:val="3"/>
        </w:numPr>
        <w:ind w:firstLineChars="0"/>
        <w:outlineLvl w:val="1"/>
        <w:rPr>
          <w:rFonts w:hint="eastAsia" w:ascii="Times New Roman" w:hAnsi="Times New Roman" w:eastAsia="宋体" w:cs="Times New Roman"/>
          <w:sz w:val="24"/>
          <w:highlight w:val="none"/>
          <w:lang w:val="en-US" w:eastAsia="zh-CN"/>
        </w:rPr>
      </w:pPr>
      <w:bookmarkStart w:id="164" w:name="_Toc30815"/>
      <w:r>
        <w:rPr>
          <w:rFonts w:hint="eastAsia" w:ascii="Times New Roman" w:hAnsi="Times New Roman" w:eastAsia="宋体" w:cs="Times New Roman"/>
          <w:sz w:val="24"/>
          <w:highlight w:val="none"/>
          <w:lang w:val="en-US" w:eastAsia="zh-CN"/>
        </w:rPr>
        <w:t>燃油加油机</w:t>
      </w:r>
      <w:r>
        <w:rPr>
          <w:rFonts w:hint="eastAsia" w:cs="Times New Roman"/>
          <w:sz w:val="24"/>
          <w:highlight w:val="none"/>
          <w:lang w:val="en-US" w:eastAsia="zh-CN"/>
        </w:rPr>
        <w:t>软件及其组件的</w:t>
      </w:r>
      <w:r>
        <w:rPr>
          <w:rFonts w:hint="eastAsia" w:ascii="Times New Roman" w:hAnsi="Times New Roman" w:eastAsia="宋体" w:cs="Times New Roman"/>
          <w:sz w:val="24"/>
          <w:highlight w:val="none"/>
          <w:lang w:val="en-US" w:eastAsia="zh-CN"/>
        </w:rPr>
        <w:t>要求描述</w:t>
      </w:r>
      <w:bookmarkEnd w:id="164"/>
    </w:p>
    <w:p w14:paraId="78AD70DA">
      <w:pPr>
        <w:numPr>
          <w:ilvl w:val="2"/>
          <w:numId w:val="3"/>
        </w:numPr>
        <w:ind w:firstLineChars="0"/>
        <w:rPr>
          <w:sz w:val="24"/>
        </w:rPr>
      </w:pPr>
      <w:r>
        <w:rPr>
          <w:rFonts w:hint="eastAsia"/>
          <w:sz w:val="24"/>
          <w:lang w:val="en-US" w:eastAsia="zh-CN"/>
        </w:rPr>
        <w:t>燃油加油机软件及其组件</w:t>
      </w:r>
    </w:p>
    <w:p w14:paraId="63BD7C6B">
      <w:pPr>
        <w:widowControl/>
        <w:ind w:firstLine="480"/>
        <w:jc w:val="left"/>
        <w:rPr>
          <w:rFonts w:hAnsi="宋体"/>
          <w:kern w:val="0"/>
          <w:sz w:val="24"/>
        </w:rPr>
      </w:pPr>
      <w:r>
        <w:rPr>
          <w:rFonts w:hint="eastAsia" w:ascii="Times New Roman" w:hAnsi="Times New Roman" w:eastAsia="宋体" w:cs="Times New Roman"/>
          <w:color w:val="000000"/>
          <w:sz w:val="24"/>
          <w:lang w:val="en-US" w:eastAsia="zh-CN"/>
        </w:rPr>
        <w:t>燃油加油机软件及其组件应满足国家相关法律、法规和技术规范的要求对于被测试的</w:t>
      </w:r>
      <w:r>
        <w:rPr>
          <w:rFonts w:hint="eastAsia" w:cs="Times New Roman"/>
          <w:color w:val="000000"/>
          <w:sz w:val="24"/>
          <w:lang w:val="en-US" w:eastAsia="zh-CN"/>
        </w:rPr>
        <w:t>燃油加油机软件及其组件</w:t>
      </w:r>
      <w:r>
        <w:rPr>
          <w:rFonts w:hint="eastAsia" w:ascii="Times New Roman" w:hAnsi="Times New Roman" w:eastAsia="宋体" w:cs="Times New Roman"/>
          <w:color w:val="000000"/>
          <w:sz w:val="24"/>
          <w:lang w:val="en-US" w:eastAsia="zh-CN"/>
        </w:rPr>
        <w:t>的算法和功能应适当和正确。禁止存在可导致计量失准、数据异常或非法操作的隐蔽功能或逻辑。</w:t>
      </w:r>
    </w:p>
    <w:p w14:paraId="4D5A1069">
      <w:pPr>
        <w:numPr>
          <w:ilvl w:val="2"/>
          <w:numId w:val="3"/>
        </w:numPr>
        <w:ind w:firstLineChars="0"/>
        <w:rPr>
          <w:rFonts w:hint="default" w:ascii="Times New Roman" w:hAnsi="Times New Roman" w:eastAsia="宋体" w:cs="Times New Roman"/>
          <w:sz w:val="24"/>
          <w:lang w:val="en-US" w:eastAsia="zh-CN"/>
        </w:rPr>
      </w:pPr>
      <w:bookmarkStart w:id="165" w:name="_Toc22564"/>
      <w:r>
        <w:rPr>
          <w:rFonts w:hint="eastAsia" w:ascii="Times New Roman" w:hAnsi="Times New Roman" w:eastAsia="宋体" w:cs="Times New Roman"/>
          <w:sz w:val="24"/>
          <w:lang w:val="en-US" w:eastAsia="zh-CN"/>
        </w:rPr>
        <w:t>干预证据</w:t>
      </w:r>
      <w:bookmarkEnd w:id="165"/>
    </w:p>
    <w:p w14:paraId="0DDB8F8F">
      <w:pPr>
        <w:widowControl/>
        <w:ind w:firstLine="480"/>
        <w:jc w:val="left"/>
        <w:rPr>
          <w:rFonts w:hint="default"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软件应受到保护，任何干预(例如软件更新、参数改变、非法命令)应留下证据日志，详细记录功能触发时间及功能命令执行情况。</w:t>
      </w:r>
    </w:p>
    <w:p w14:paraId="4D7762D8">
      <w:pPr>
        <w:numPr>
          <w:ilvl w:val="1"/>
          <w:numId w:val="3"/>
        </w:numPr>
        <w:ind w:firstLineChars="0"/>
        <w:outlineLvl w:val="1"/>
        <w:rPr>
          <w:rFonts w:hint="default" w:ascii="Times New Roman" w:hAnsi="Times New Roman" w:eastAsia="宋体" w:cs="Times New Roman"/>
          <w:sz w:val="24"/>
          <w:lang w:val="en-US" w:eastAsia="zh-CN"/>
        </w:rPr>
      </w:pPr>
      <w:bookmarkStart w:id="166" w:name="_Toc23633"/>
      <w:bookmarkStart w:id="167" w:name="_Toc28647"/>
      <w:r>
        <w:rPr>
          <w:rFonts w:hint="eastAsia" w:ascii="Times New Roman" w:hAnsi="Times New Roman" w:eastAsia="宋体" w:cs="Times New Roman"/>
          <w:sz w:val="24"/>
          <w:lang w:val="en-US" w:eastAsia="zh-CN"/>
        </w:rPr>
        <w:t>测试工具</w:t>
      </w:r>
      <w:bookmarkEnd w:id="166"/>
      <w:bookmarkEnd w:id="167"/>
    </w:p>
    <w:p w14:paraId="41F30508">
      <w:pPr>
        <w:pStyle w:val="2"/>
        <w:ind w:firstLine="480"/>
        <w:jc w:val="center"/>
        <w:rPr>
          <w:rFonts w:hint="eastAsia"/>
          <w:color w:val="000000"/>
          <w:sz w:val="24"/>
          <w:lang w:val="en-US" w:eastAsia="zh-CN"/>
        </w:rPr>
      </w:pPr>
      <w:bookmarkStart w:id="168" w:name="_Toc2919"/>
      <w:r>
        <w:rPr>
          <w:rFonts w:hint="eastAsia"/>
          <w:color w:val="000000"/>
          <w:sz w:val="24"/>
        </w:rPr>
        <w:t xml:space="preserve">表 </w:t>
      </w:r>
      <w:r>
        <w:rPr>
          <w:rFonts w:hint="eastAsia"/>
          <w:color w:val="000000"/>
          <w:sz w:val="24"/>
          <w:lang w:val="en-US" w:eastAsia="zh-CN"/>
        </w:rPr>
        <w:t>2</w:t>
      </w:r>
      <w:r>
        <w:rPr>
          <w:rFonts w:hint="eastAsia"/>
          <w:color w:val="000000"/>
          <w:sz w:val="24"/>
        </w:rPr>
        <w:t xml:space="preserve"> </w:t>
      </w:r>
      <w:r>
        <w:rPr>
          <w:rFonts w:hint="eastAsia"/>
          <w:color w:val="000000"/>
          <w:sz w:val="24"/>
          <w:lang w:val="en-US" w:eastAsia="zh-CN"/>
        </w:rPr>
        <w:t>测试工具</w:t>
      </w:r>
      <w:bookmarkEnd w:id="168"/>
    </w:p>
    <w:tbl>
      <w:tblPr>
        <w:tblStyle w:val="19"/>
        <w:tblW w:w="8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1746"/>
        <w:gridCol w:w="6061"/>
      </w:tblGrid>
      <w:tr w14:paraId="651E9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noWrap w:val="0"/>
            <w:vAlign w:val="top"/>
          </w:tcPr>
          <w:p w14:paraId="054D4A9C">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序号</w:t>
            </w:r>
          </w:p>
        </w:tc>
        <w:tc>
          <w:tcPr>
            <w:tcW w:w="1746" w:type="dxa"/>
            <w:noWrap w:val="0"/>
            <w:vAlign w:val="top"/>
          </w:tcPr>
          <w:p w14:paraId="33365AA4">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设备名称</w:t>
            </w:r>
          </w:p>
        </w:tc>
        <w:tc>
          <w:tcPr>
            <w:tcW w:w="6061" w:type="dxa"/>
            <w:noWrap w:val="0"/>
            <w:vAlign w:val="top"/>
          </w:tcPr>
          <w:p w14:paraId="3E617CFF">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设备技术要求</w:t>
            </w:r>
          </w:p>
        </w:tc>
      </w:tr>
      <w:tr w14:paraId="2DDD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noWrap w:val="0"/>
            <w:vAlign w:val="center"/>
          </w:tcPr>
          <w:p w14:paraId="1F6E7B81">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p>
        </w:tc>
        <w:tc>
          <w:tcPr>
            <w:tcW w:w="1746" w:type="dxa"/>
            <w:noWrap w:val="0"/>
            <w:vAlign w:val="center"/>
          </w:tcPr>
          <w:p w14:paraId="0BFC57ED">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欺骗性使用特征</w:t>
            </w:r>
            <w:r>
              <w:rPr>
                <w:rFonts w:hint="default" w:ascii="宋体" w:hAnsi="宋体" w:eastAsia="宋体" w:cs="宋体"/>
                <w:color w:val="000000"/>
                <w:sz w:val="24"/>
                <w:szCs w:val="24"/>
                <w:highlight w:val="none"/>
                <w:lang w:val="en-US" w:eastAsia="zh-CN"/>
              </w:rPr>
              <w:t>测试仪</w:t>
            </w:r>
          </w:p>
        </w:tc>
        <w:tc>
          <w:tcPr>
            <w:tcW w:w="6061" w:type="dxa"/>
            <w:noWrap w:val="0"/>
            <w:vAlign w:val="center"/>
          </w:tcPr>
          <w:p w14:paraId="34882367">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检测加油机控制软件/硬件是否存在非法篡改、数据造假或隐蔽作弊功能。支持对脉冲信号、通信协议、传感器输入、计量逻辑的全面动态监控与逆向分析。覆盖</w:t>
            </w:r>
            <w:r>
              <w:rPr>
                <w:rFonts w:hint="eastAsia" w:ascii="宋体" w:hAnsi="宋体" w:cs="宋体"/>
                <w:color w:val="000000"/>
                <w:sz w:val="24"/>
                <w:szCs w:val="24"/>
                <w:highlight w:val="none"/>
                <w:lang w:val="en-US" w:eastAsia="zh-CN"/>
              </w:rPr>
              <w:t>计量</w:t>
            </w:r>
            <w:r>
              <w:rPr>
                <w:rFonts w:hint="eastAsia" w:ascii="宋体" w:hAnsi="宋体" w:eastAsia="宋体" w:cs="宋体"/>
                <w:color w:val="000000"/>
                <w:sz w:val="24"/>
                <w:szCs w:val="24"/>
                <w:highlight w:val="none"/>
                <w:lang w:val="en-US" w:eastAsia="zh-CN"/>
              </w:rPr>
              <w:t>数据完整性验证、硬件防篡改检查及隐蔽触发条件的自动化探测。</w:t>
            </w:r>
          </w:p>
          <w:p w14:paraId="78726741">
            <w:pPr>
              <w:ind w:left="0" w:leftChars="0" w:firstLine="0" w:firstLineChars="0"/>
              <w:jc w:val="left"/>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技术指标：</w:t>
            </w:r>
          </w:p>
          <w:p w14:paraId="2A4946F9">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（1）支持脉冲信号仿真与采集功能，可模拟异常脉冲（抖动、丢波、频率突变），同步采集加油机编码器输出脉冲，实时比对流量偏差。</w:t>
            </w:r>
          </w:p>
          <w:p w14:paraId="159ADECE">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（2）支持通信协议分析功能，支持CAN、RS485、RS232、Modbus协议监听与逆向，支持协议重放攻击（篡改指令注入）。</w:t>
            </w:r>
          </w:p>
          <w:p w14:paraId="054DFA77">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（3）支持固件逆向分析功能， </w:t>
            </w:r>
            <w:r>
              <w:rPr>
                <w:rFonts w:hint="default" w:ascii="宋体" w:hAnsi="宋体" w:eastAsia="宋体" w:cs="宋体"/>
                <w:color w:val="000000"/>
                <w:sz w:val="24"/>
                <w:szCs w:val="24"/>
                <w:highlight w:val="none"/>
                <w:lang w:val="en-US" w:eastAsia="zh-CN"/>
              </w:rPr>
              <w:t>支持ARM Cortex-M、DSP等常见MCU架构的反编译</w:t>
            </w:r>
            <w:r>
              <w:rPr>
                <w:rFonts w:hint="eastAsia" w:ascii="宋体" w:hAnsi="宋体" w:eastAsia="宋体" w:cs="宋体"/>
                <w:color w:val="000000"/>
                <w:sz w:val="24"/>
                <w:szCs w:val="24"/>
                <w:highlight w:val="none"/>
                <w:lang w:val="en-US" w:eastAsia="zh-CN"/>
              </w:rPr>
              <w:t>，校验和绕过工具（CRC32/MD5/SHA1破解）。</w:t>
            </w:r>
          </w:p>
          <w:p w14:paraId="4B37CC5A">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（4）自动化按键序列模糊测试功能，自动化按键序列模糊测试（支持100+组合/秒），远程指令模拟。</w:t>
            </w:r>
          </w:p>
          <w:p w14:paraId="2F2B6B3D">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（5）支持断点触发、变量篡改（如累计</w:t>
            </w:r>
            <w:r>
              <w:rPr>
                <w:rFonts w:hint="eastAsia" w:ascii="宋体" w:hAnsi="宋体" w:cs="宋体"/>
                <w:color w:val="000000"/>
                <w:sz w:val="24"/>
                <w:szCs w:val="24"/>
                <w:highlight w:val="none"/>
                <w:lang w:val="en-US" w:eastAsia="zh-CN"/>
              </w:rPr>
              <w:t>量和累计金额</w:t>
            </w:r>
            <w:r>
              <w:rPr>
                <w:rFonts w:hint="eastAsia" w:ascii="宋体" w:hAnsi="宋体" w:eastAsia="宋体" w:cs="宋体"/>
                <w:color w:val="000000"/>
                <w:sz w:val="24"/>
                <w:szCs w:val="24"/>
                <w:highlight w:val="none"/>
                <w:lang w:val="en-US" w:eastAsia="zh-CN"/>
              </w:rPr>
              <w:t>）</w:t>
            </w:r>
          </w:p>
          <w:p w14:paraId="188FC26F">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（6）支持数据分析功能，预装作弊特征库及定期更新功能，支持作弊特征库比对（如已知作弊模式特征码）。</w:t>
            </w:r>
          </w:p>
        </w:tc>
      </w:tr>
      <w:tr w14:paraId="3BD0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noWrap w:val="0"/>
            <w:vAlign w:val="center"/>
          </w:tcPr>
          <w:p w14:paraId="73A54BBE">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w:t>
            </w:r>
          </w:p>
        </w:tc>
        <w:tc>
          <w:tcPr>
            <w:tcW w:w="1746" w:type="dxa"/>
            <w:noWrap w:val="0"/>
            <w:vAlign w:val="center"/>
          </w:tcPr>
          <w:p w14:paraId="410A05E0">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视频记录设备</w:t>
            </w:r>
          </w:p>
        </w:tc>
        <w:tc>
          <w:tcPr>
            <w:tcW w:w="6061" w:type="dxa"/>
            <w:noWrap w:val="0"/>
            <w:vAlign w:val="center"/>
          </w:tcPr>
          <w:p w14:paraId="0A47EBFE">
            <w:pPr>
              <w:ind w:left="0" w:leftChars="0" w:firstLine="0" w:firstLineChars="0"/>
              <w:jc w:val="left"/>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符合GB/T 29362 法庭科学视频资料真实性检验技术规范。</w:t>
            </w:r>
          </w:p>
        </w:tc>
      </w:tr>
      <w:tr w14:paraId="0E22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noWrap w:val="0"/>
            <w:vAlign w:val="center"/>
          </w:tcPr>
          <w:p w14:paraId="39A72602">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w:t>
            </w:r>
          </w:p>
        </w:tc>
        <w:tc>
          <w:tcPr>
            <w:tcW w:w="1746" w:type="dxa"/>
            <w:noWrap w:val="0"/>
            <w:vAlign w:val="center"/>
          </w:tcPr>
          <w:p w14:paraId="41925A83">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标准金属量器/温度计/秒表/加油机检定专用手持终端</w:t>
            </w:r>
          </w:p>
        </w:tc>
        <w:tc>
          <w:tcPr>
            <w:tcW w:w="6061" w:type="dxa"/>
            <w:noWrap w:val="0"/>
            <w:vAlign w:val="center"/>
          </w:tcPr>
          <w:p w14:paraId="0A4B816C">
            <w:pPr>
              <w:ind w:left="0" w:leftChars="0" w:firstLine="0" w:firstLineChars="0"/>
              <w:jc w:val="left"/>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符合JJG-443 主标准器和配套设备技术要求。</w:t>
            </w:r>
          </w:p>
        </w:tc>
      </w:tr>
      <w:tr w14:paraId="4C12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noWrap w:val="0"/>
            <w:vAlign w:val="center"/>
          </w:tcPr>
          <w:p w14:paraId="6E5D674C">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w:t>
            </w:r>
          </w:p>
        </w:tc>
        <w:tc>
          <w:tcPr>
            <w:tcW w:w="1746" w:type="dxa"/>
            <w:noWrap w:val="0"/>
            <w:vAlign w:val="center"/>
          </w:tcPr>
          <w:p w14:paraId="5084EC87">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其他辅助测试设备</w:t>
            </w:r>
          </w:p>
        </w:tc>
        <w:tc>
          <w:tcPr>
            <w:tcW w:w="6061" w:type="dxa"/>
            <w:noWrap w:val="0"/>
            <w:vAlign w:val="center"/>
          </w:tcPr>
          <w:p w14:paraId="361B3E86">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模拟编码器：模拟燃油加油机编码器的脉冲信号输出，支持模拟流量计量测试、异常信号注入及</w:t>
            </w:r>
            <w:r>
              <w:rPr>
                <w:rFonts w:hint="eastAsia" w:ascii="宋体" w:hAnsi="宋体" w:cs="宋体"/>
                <w:color w:val="000000"/>
                <w:sz w:val="24"/>
                <w:szCs w:val="24"/>
                <w:highlight w:val="none"/>
                <w:lang w:val="en-US" w:eastAsia="zh-CN"/>
              </w:rPr>
              <w:t>校验</w:t>
            </w:r>
            <w:r>
              <w:rPr>
                <w:rFonts w:hint="eastAsia" w:ascii="宋体" w:hAnsi="宋体" w:eastAsia="宋体" w:cs="宋体"/>
                <w:color w:val="000000"/>
                <w:sz w:val="24"/>
                <w:szCs w:val="24"/>
                <w:highlight w:val="none"/>
                <w:lang w:val="en-US" w:eastAsia="zh-CN"/>
              </w:rPr>
              <w:t>功能验证。</w:t>
            </w:r>
          </w:p>
          <w:p w14:paraId="62F8A88D">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（1）支持协议交互，模拟编码器与主控板的通信协议（如发送编码器ID、校验和）</w:t>
            </w:r>
          </w:p>
          <w:p w14:paraId="3B8D3464">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（2）支持外部触发输入（支持光电隔离，同步启动/停止脉冲）</w:t>
            </w:r>
          </w:p>
          <w:p w14:paraId="4BD569AE">
            <w:pPr>
              <w:ind w:left="0" w:leftChars="0" w:firstLine="0" w:firstLineChars="0"/>
              <w:jc w:val="left"/>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（3）支持预置流量模型（如线性/非线性流量曲线），支持固定值脉冲信号发生。</w:t>
            </w:r>
          </w:p>
        </w:tc>
      </w:tr>
    </w:tbl>
    <w:p w14:paraId="53F23364">
      <w:pPr>
        <w:numPr>
          <w:ilvl w:val="1"/>
          <w:numId w:val="3"/>
        </w:numPr>
        <w:ind w:firstLineChars="0"/>
        <w:outlineLvl w:val="1"/>
        <w:rPr>
          <w:rFonts w:hint="default" w:ascii="Times New Roman" w:hAnsi="Times New Roman" w:eastAsia="宋体" w:cs="Times New Roman"/>
          <w:sz w:val="24"/>
          <w:lang w:val="en-US" w:eastAsia="zh-CN"/>
        </w:rPr>
      </w:pPr>
      <w:bookmarkStart w:id="169" w:name="_Toc32364"/>
      <w:bookmarkStart w:id="170" w:name="_Toc32609"/>
      <w:r>
        <w:rPr>
          <w:rFonts w:hint="eastAsia" w:ascii="Times New Roman" w:hAnsi="Times New Roman" w:eastAsia="宋体" w:cs="Times New Roman"/>
          <w:sz w:val="24"/>
          <w:lang w:val="en-US" w:eastAsia="zh-CN"/>
        </w:rPr>
        <w:t>测试环境</w:t>
      </w:r>
      <w:bookmarkEnd w:id="169"/>
      <w:bookmarkEnd w:id="170"/>
    </w:p>
    <w:p w14:paraId="44A7DBB0">
      <w:pPr>
        <w:widowControl/>
        <w:ind w:firstLine="480"/>
        <w:jc w:val="left"/>
        <w:rPr>
          <w:rFonts w:hint="eastAsia"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测试环境根据测试场景分为：现场测试与实验室模拟环境测试。</w:t>
      </w:r>
    </w:p>
    <w:p w14:paraId="6E156F93">
      <w:pPr>
        <w:widowControl/>
        <w:ind w:firstLine="480"/>
        <w:jc w:val="left"/>
        <w:rPr>
          <w:rFonts w:hint="eastAsia"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应明确燃油加油机软件及其组件运行时的最低配置要求、条件与限制及实际工作状态的环境影响。</w:t>
      </w:r>
    </w:p>
    <w:p w14:paraId="7CD6243B">
      <w:pPr>
        <w:numPr>
          <w:ilvl w:val="2"/>
          <w:numId w:val="3"/>
        </w:numPr>
        <w:ind w:firstLineChars="0"/>
        <w:rPr>
          <w:rFonts w:hint="default" w:ascii="Times New Roman" w:hAnsi="Times New Roman" w:eastAsia="宋体" w:cs="Times New Roman"/>
          <w:sz w:val="24"/>
          <w:lang w:val="en-US" w:eastAsia="zh-CN"/>
        </w:rPr>
      </w:pPr>
      <w:bookmarkStart w:id="171" w:name="_Toc12929"/>
      <w:r>
        <w:rPr>
          <w:rFonts w:hint="eastAsia" w:ascii="Times New Roman" w:hAnsi="Times New Roman" w:eastAsia="宋体" w:cs="Times New Roman"/>
          <w:sz w:val="24"/>
          <w:lang w:val="en-US" w:eastAsia="zh-CN"/>
        </w:rPr>
        <w:t>环境条件</w:t>
      </w:r>
      <w:bookmarkEnd w:id="171"/>
    </w:p>
    <w:p w14:paraId="222B8C16">
      <w:pPr>
        <w:widowControl/>
        <w:ind w:firstLine="480"/>
        <w:jc w:val="left"/>
        <w:rPr>
          <w:rFonts w:hint="eastAsia"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现场测试的环境条件需满足JJG</w:t>
      </w:r>
      <w:r>
        <w:rPr>
          <w:rFonts w:hint="eastAsia" w:cs="Times New Roman"/>
          <w:color w:val="000000"/>
          <w:sz w:val="24"/>
          <w:lang w:val="en-US" w:eastAsia="zh-CN"/>
        </w:rPr>
        <w:t xml:space="preserve"> </w:t>
      </w:r>
      <w:r>
        <w:rPr>
          <w:rFonts w:hint="eastAsia" w:ascii="Times New Roman" w:hAnsi="Times New Roman" w:eastAsia="宋体" w:cs="Times New Roman"/>
          <w:color w:val="000000"/>
          <w:sz w:val="24"/>
          <w:lang w:val="en-US" w:eastAsia="zh-CN"/>
        </w:rPr>
        <w:t>443</w:t>
      </w:r>
      <w:r>
        <w:rPr>
          <w:rFonts w:hint="eastAsia" w:cs="Times New Roman"/>
          <w:color w:val="000000"/>
          <w:sz w:val="24"/>
          <w:lang w:val="en-US" w:eastAsia="zh-CN"/>
        </w:rPr>
        <w:t>《</w:t>
      </w:r>
      <w:r>
        <w:rPr>
          <w:rFonts w:hint="eastAsia"/>
          <w:color w:val="000000"/>
          <w:sz w:val="24"/>
          <w:highlight w:val="none"/>
          <w:lang w:val="en-US" w:eastAsia="zh-CN"/>
        </w:rPr>
        <w:t>燃油加油机检定规程</w:t>
      </w:r>
      <w:r>
        <w:rPr>
          <w:rFonts w:hint="eastAsia" w:cs="Times New Roman"/>
          <w:color w:val="000000"/>
          <w:sz w:val="24"/>
          <w:lang w:val="en-US" w:eastAsia="zh-CN"/>
        </w:rPr>
        <w:t>》</w:t>
      </w:r>
      <w:r>
        <w:rPr>
          <w:rFonts w:hint="eastAsia" w:ascii="Times New Roman" w:hAnsi="Times New Roman" w:eastAsia="宋体" w:cs="Times New Roman"/>
          <w:color w:val="000000"/>
          <w:sz w:val="24"/>
          <w:lang w:val="en-US" w:eastAsia="zh-CN"/>
        </w:rPr>
        <w:t>中关于环境条件的要求，现场测试过程应全程视频记录。</w:t>
      </w:r>
    </w:p>
    <w:p w14:paraId="735F6D7C">
      <w:pPr>
        <w:widowControl/>
        <w:ind w:firstLine="480"/>
        <w:jc w:val="left"/>
        <w:rPr>
          <w:rFonts w:hint="default"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实验室测试环境应搭建完善的加油机模拟环境，燃油加油机模拟环境应包含：加油机计控主板、编码器、指示装置、安全校验装置（适用</w:t>
      </w:r>
      <w:r>
        <w:rPr>
          <w:rFonts w:hint="eastAsia" w:cs="Times New Roman"/>
          <w:color w:val="000000"/>
          <w:sz w:val="24"/>
          <w:lang w:val="en-US" w:eastAsia="zh-CN"/>
        </w:rPr>
        <w:t>时</w:t>
      </w:r>
      <w:r>
        <w:rPr>
          <w:rFonts w:hint="eastAsia" w:ascii="Times New Roman" w:hAnsi="Times New Roman" w:eastAsia="宋体" w:cs="Times New Roman"/>
          <w:color w:val="000000"/>
          <w:sz w:val="24"/>
          <w:lang w:val="en-US" w:eastAsia="zh-CN"/>
        </w:rPr>
        <w:t>）、智能控制阀（适用时）等加油机关键电子部件。实验室所在的物理环境不应影响加油机模拟环境的正常运行，测试过程应全程视频记录。</w:t>
      </w:r>
    </w:p>
    <w:p w14:paraId="24D25CDC">
      <w:pPr>
        <w:numPr>
          <w:ilvl w:val="2"/>
          <w:numId w:val="3"/>
        </w:numPr>
        <w:ind w:firstLineChars="0"/>
        <w:rPr>
          <w:rFonts w:hint="default" w:ascii="Times New Roman" w:hAnsi="Times New Roman" w:eastAsia="宋体" w:cs="Times New Roman"/>
          <w:sz w:val="24"/>
          <w:lang w:val="en-US" w:eastAsia="zh-CN"/>
        </w:rPr>
      </w:pPr>
      <w:bookmarkStart w:id="172" w:name="_Toc25388"/>
      <w:r>
        <w:rPr>
          <w:rFonts w:hint="eastAsia" w:ascii="Times New Roman" w:hAnsi="Times New Roman" w:eastAsia="宋体" w:cs="Times New Roman"/>
          <w:sz w:val="24"/>
          <w:lang w:val="en-US" w:eastAsia="zh-CN"/>
        </w:rPr>
        <w:t>安全防护</w:t>
      </w:r>
      <w:bookmarkEnd w:id="172"/>
    </w:p>
    <w:p w14:paraId="2B137287">
      <w:pPr>
        <w:widowControl/>
        <w:ind w:firstLine="480"/>
        <w:jc w:val="left"/>
        <w:rPr>
          <w:rFonts w:hint="eastAsia"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开展现场测试过程中，测试人员应穿防静电工作服、导静电工作鞋，遵守安全操作规范。</w:t>
      </w:r>
    </w:p>
    <w:p w14:paraId="6A395288">
      <w:pPr>
        <w:numPr>
          <w:ilvl w:val="0"/>
          <w:numId w:val="3"/>
        </w:numPr>
        <w:ind w:firstLineChars="0"/>
        <w:outlineLvl w:val="0"/>
        <w:rPr>
          <w:rFonts w:ascii="黑体" w:hAnsi="黑体" w:eastAsia="黑体" w:cs="黑体"/>
          <w:sz w:val="24"/>
          <w:highlight w:val="none"/>
        </w:rPr>
      </w:pPr>
      <w:bookmarkStart w:id="173" w:name="_Toc1526"/>
      <w:bookmarkStart w:id="174" w:name="_Toc26357"/>
      <w:r>
        <w:rPr>
          <w:rFonts w:hint="eastAsia" w:ascii="黑体" w:hAnsi="黑体" w:eastAsia="黑体" w:cs="黑体"/>
          <w:sz w:val="24"/>
          <w:highlight w:val="none"/>
          <w:lang w:val="en-US" w:eastAsia="zh-CN"/>
        </w:rPr>
        <w:t>测试方法</w:t>
      </w:r>
      <w:bookmarkEnd w:id="173"/>
      <w:bookmarkEnd w:id="174"/>
    </w:p>
    <w:p w14:paraId="5ECCE78E">
      <w:pPr>
        <w:numPr>
          <w:ilvl w:val="1"/>
          <w:numId w:val="3"/>
        </w:numPr>
        <w:ind w:firstLineChars="0"/>
        <w:outlineLvl w:val="1"/>
        <w:rPr>
          <w:rFonts w:hint="default" w:ascii="Times New Roman" w:hAnsi="Times New Roman" w:eastAsia="宋体" w:cs="Times New Roman"/>
          <w:sz w:val="24"/>
          <w:highlight w:val="none"/>
          <w:lang w:val="en-US" w:eastAsia="zh-CN"/>
        </w:rPr>
      </w:pPr>
      <w:bookmarkStart w:id="175" w:name="_Toc24250"/>
      <w:bookmarkStart w:id="176" w:name="_Toc29377"/>
      <w:bookmarkStart w:id="177" w:name="_Toc6120"/>
      <w:bookmarkStart w:id="178" w:name="_Toc8575"/>
      <w:bookmarkStart w:id="179" w:name="_Toc5191_WPSOffice_Level3"/>
      <w:bookmarkStart w:id="180" w:name="_Toc13272"/>
      <w:bookmarkStart w:id="181" w:name="_Toc9050_WPSOffice_Level3"/>
      <w:bookmarkStart w:id="182" w:name="_Toc24336"/>
      <w:bookmarkStart w:id="183" w:name="_Toc13349_WPSOffice_Level3"/>
      <w:bookmarkStart w:id="184" w:name="_Toc18399"/>
      <w:r>
        <w:rPr>
          <w:rFonts w:hint="eastAsia" w:ascii="Times New Roman" w:hAnsi="Times New Roman" w:eastAsia="宋体" w:cs="Times New Roman"/>
          <w:sz w:val="24"/>
          <w:highlight w:val="none"/>
          <w:lang w:val="en-US" w:eastAsia="zh-CN"/>
        </w:rPr>
        <w:t>概述</w:t>
      </w:r>
      <w:bookmarkEnd w:id="175"/>
    </w:p>
    <w:p w14:paraId="7ECF65F6">
      <w:pPr>
        <w:widowControl/>
        <w:ind w:firstLine="480"/>
        <w:jc w:val="left"/>
        <w:rPr>
          <w:rFonts w:hint="default"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测试方法及测试用例设计须以揭露欺骗性</w:t>
      </w:r>
      <w:r>
        <w:rPr>
          <w:rFonts w:hint="eastAsia" w:cs="Times New Roman"/>
          <w:color w:val="000000"/>
          <w:sz w:val="24"/>
          <w:lang w:val="en-US" w:eastAsia="zh-CN"/>
        </w:rPr>
        <w:t>使用</w:t>
      </w:r>
      <w:r>
        <w:rPr>
          <w:rFonts w:hint="eastAsia" w:ascii="Times New Roman" w:hAnsi="Times New Roman" w:eastAsia="宋体" w:cs="Times New Roman"/>
          <w:color w:val="000000"/>
          <w:sz w:val="24"/>
          <w:lang w:val="en-US" w:eastAsia="zh-CN"/>
        </w:rPr>
        <w:t>特征为最终目标，可自由选择直接或间接手段。只要测试结果能够通过数据链、逻辑链证明燃油加油机软件是否具有欺骗性使用特征，该方法即视为有效，无需局限于特定技术路径。测试方法的选择</w:t>
      </w:r>
      <w:r>
        <w:rPr>
          <w:rFonts w:hint="default" w:ascii="Times New Roman" w:hAnsi="Times New Roman" w:eastAsia="宋体" w:cs="Times New Roman"/>
          <w:color w:val="000000"/>
          <w:sz w:val="24"/>
          <w:lang w:val="en-US" w:eastAsia="zh-CN"/>
        </w:rPr>
        <w:t>需满足以下</w:t>
      </w:r>
      <w:r>
        <w:rPr>
          <w:rFonts w:hint="eastAsia" w:ascii="Times New Roman" w:hAnsi="Times New Roman" w:eastAsia="宋体" w:cs="Times New Roman"/>
          <w:color w:val="000000"/>
          <w:sz w:val="24"/>
          <w:lang w:val="en-US" w:eastAsia="zh-CN"/>
        </w:rPr>
        <w:t>原则</w:t>
      </w:r>
      <w:r>
        <w:rPr>
          <w:rFonts w:hint="default" w:ascii="Times New Roman" w:hAnsi="Times New Roman" w:eastAsia="宋体" w:cs="Times New Roman"/>
          <w:color w:val="000000"/>
          <w:sz w:val="24"/>
          <w:lang w:val="en-US" w:eastAsia="zh-CN"/>
        </w:rPr>
        <w:t>：</w:t>
      </w:r>
    </w:p>
    <w:p w14:paraId="3068F9DB">
      <w:pPr>
        <w:widowControl/>
        <w:ind w:firstLine="480"/>
        <w:jc w:val="left"/>
        <w:rPr>
          <w:rFonts w:hint="default"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1）</w:t>
      </w:r>
      <w:r>
        <w:rPr>
          <w:rFonts w:hint="default" w:ascii="Times New Roman" w:hAnsi="Times New Roman" w:eastAsia="宋体" w:cs="Times New Roman"/>
          <w:color w:val="000000"/>
          <w:sz w:val="24"/>
          <w:lang w:val="en-US" w:eastAsia="zh-CN"/>
        </w:rPr>
        <w:t>目标一致性：无论采用直接或间接方法，测试结果必须能有效证明</w:t>
      </w:r>
      <w:r>
        <w:rPr>
          <w:rFonts w:hint="eastAsia" w:cs="Times New Roman"/>
          <w:color w:val="000000"/>
          <w:sz w:val="24"/>
          <w:lang w:val="en-US" w:eastAsia="zh-CN"/>
        </w:rPr>
        <w:t>燃油加油机软件及其组件</w:t>
      </w:r>
      <w:r>
        <w:rPr>
          <w:rFonts w:hint="eastAsia" w:ascii="Times New Roman" w:hAnsi="Times New Roman" w:eastAsia="宋体" w:cs="Times New Roman"/>
          <w:color w:val="000000"/>
          <w:sz w:val="24"/>
          <w:lang w:val="en-US" w:eastAsia="zh-CN"/>
        </w:rPr>
        <w:t>部分</w:t>
      </w:r>
      <w:r>
        <w:rPr>
          <w:rFonts w:hint="default" w:ascii="Times New Roman" w:hAnsi="Times New Roman" w:eastAsia="宋体" w:cs="Times New Roman"/>
          <w:color w:val="000000"/>
          <w:sz w:val="24"/>
          <w:lang w:val="en-US" w:eastAsia="zh-CN"/>
        </w:rPr>
        <w:t>是否存在欺骗性使用特征</w:t>
      </w:r>
      <w:r>
        <w:rPr>
          <w:rFonts w:hint="eastAsia" w:ascii="Times New Roman" w:hAnsi="Times New Roman" w:eastAsia="宋体" w:cs="Times New Roman"/>
          <w:color w:val="000000"/>
          <w:sz w:val="24"/>
          <w:lang w:val="en-US" w:eastAsia="zh-CN"/>
        </w:rPr>
        <w:t>。</w:t>
      </w:r>
    </w:p>
    <w:p w14:paraId="6DA23939">
      <w:pPr>
        <w:widowControl/>
        <w:ind w:firstLine="480"/>
        <w:jc w:val="left"/>
        <w:rPr>
          <w:rFonts w:hint="eastAsia"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2）</w:t>
      </w:r>
      <w:r>
        <w:rPr>
          <w:rFonts w:hint="default" w:ascii="Times New Roman" w:hAnsi="Times New Roman" w:eastAsia="宋体" w:cs="Times New Roman"/>
          <w:color w:val="000000"/>
          <w:sz w:val="24"/>
          <w:lang w:val="en-US" w:eastAsia="zh-CN"/>
        </w:rPr>
        <w:t>欺骗特征可证性：测试</w:t>
      </w:r>
      <w:r>
        <w:rPr>
          <w:rFonts w:hint="eastAsia" w:ascii="Times New Roman" w:hAnsi="Times New Roman" w:eastAsia="宋体" w:cs="Times New Roman"/>
          <w:color w:val="000000"/>
          <w:sz w:val="24"/>
          <w:lang w:val="en-US" w:eastAsia="zh-CN"/>
        </w:rPr>
        <w:t>应</w:t>
      </w:r>
      <w:r>
        <w:rPr>
          <w:rFonts w:hint="default" w:ascii="Times New Roman" w:hAnsi="Times New Roman" w:eastAsia="宋体" w:cs="Times New Roman"/>
          <w:color w:val="000000"/>
          <w:sz w:val="24"/>
          <w:lang w:val="en-US" w:eastAsia="zh-CN"/>
        </w:rPr>
        <w:t>建立靶向验证机制</w:t>
      </w:r>
      <w:r>
        <w:rPr>
          <w:rFonts w:hint="eastAsia" w:ascii="Times New Roman" w:hAnsi="Times New Roman" w:eastAsia="宋体" w:cs="Times New Roman"/>
          <w:color w:val="000000"/>
          <w:sz w:val="24"/>
          <w:lang w:val="en-US" w:eastAsia="zh-CN"/>
        </w:rPr>
        <w:t>，即</w:t>
      </w:r>
      <w:r>
        <w:rPr>
          <w:rFonts w:hint="default" w:ascii="Times New Roman" w:hAnsi="Times New Roman" w:eastAsia="宋体" w:cs="Times New Roman"/>
          <w:color w:val="000000"/>
          <w:sz w:val="24"/>
          <w:lang w:val="en-US" w:eastAsia="zh-CN"/>
        </w:rPr>
        <w:t>发现一种可稳定复现的欺骗性特征，完整记录触发路径并保障</w:t>
      </w:r>
      <w:r>
        <w:rPr>
          <w:rFonts w:hint="eastAsia" w:ascii="Times New Roman" w:hAnsi="Times New Roman" w:eastAsia="宋体" w:cs="Times New Roman"/>
          <w:color w:val="000000"/>
          <w:sz w:val="24"/>
          <w:lang w:val="en-US" w:eastAsia="zh-CN"/>
        </w:rPr>
        <w:t>可</w:t>
      </w:r>
      <w:r>
        <w:rPr>
          <w:rFonts w:hint="default" w:ascii="Times New Roman" w:hAnsi="Times New Roman" w:eastAsia="宋体" w:cs="Times New Roman"/>
          <w:color w:val="000000"/>
          <w:sz w:val="24"/>
          <w:lang w:val="en-US" w:eastAsia="zh-CN"/>
        </w:rPr>
        <w:t>复现性</w:t>
      </w:r>
      <w:r>
        <w:rPr>
          <w:rFonts w:hint="eastAsia" w:ascii="Times New Roman" w:hAnsi="Times New Roman" w:eastAsia="宋体" w:cs="Times New Roman"/>
          <w:color w:val="000000"/>
          <w:sz w:val="24"/>
          <w:lang w:val="en-US" w:eastAsia="zh-CN"/>
        </w:rPr>
        <w:t>。</w:t>
      </w:r>
    </w:p>
    <w:p w14:paraId="05DDF44B">
      <w:pPr>
        <w:widowControl/>
        <w:ind w:firstLine="480"/>
        <w:jc w:val="left"/>
        <w:rPr>
          <w:rFonts w:hint="default"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3）</w:t>
      </w:r>
      <w:r>
        <w:rPr>
          <w:rFonts w:hint="default" w:ascii="Times New Roman" w:hAnsi="Times New Roman" w:eastAsia="宋体" w:cs="Times New Roman"/>
          <w:color w:val="000000"/>
          <w:sz w:val="24"/>
          <w:lang w:val="en-US" w:eastAsia="zh-CN"/>
        </w:rPr>
        <w:t>结果可解释性：即使测试对象非</w:t>
      </w:r>
      <w:r>
        <w:rPr>
          <w:rFonts w:hint="eastAsia" w:cs="Times New Roman"/>
          <w:color w:val="000000"/>
          <w:sz w:val="24"/>
          <w:lang w:val="en-US" w:eastAsia="zh-CN"/>
        </w:rPr>
        <w:t>燃油加油机软件</w:t>
      </w:r>
      <w:r>
        <w:rPr>
          <w:rFonts w:hint="default" w:ascii="Times New Roman" w:hAnsi="Times New Roman" w:eastAsia="宋体" w:cs="Times New Roman"/>
          <w:color w:val="000000"/>
          <w:sz w:val="24"/>
          <w:lang w:val="en-US" w:eastAsia="zh-CN"/>
        </w:rPr>
        <w:t>本身，其输出数据应能间接反映软件模块的合规性（例如：通过计量误差超标反推算法被篡改</w:t>
      </w:r>
      <w:r>
        <w:rPr>
          <w:rFonts w:hint="eastAsia" w:ascii="Times New Roman" w:hAnsi="Times New Roman" w:eastAsia="宋体" w:cs="Times New Roman"/>
          <w:color w:val="000000"/>
          <w:sz w:val="24"/>
          <w:lang w:val="en-US" w:eastAsia="zh-CN"/>
        </w:rPr>
        <w:t>、</w:t>
      </w:r>
      <w:r>
        <w:rPr>
          <w:rFonts w:hint="default" w:ascii="Times New Roman" w:hAnsi="Times New Roman" w:eastAsia="宋体" w:cs="Times New Roman"/>
          <w:color w:val="000000"/>
          <w:sz w:val="24"/>
          <w:lang w:val="en-US" w:eastAsia="zh-CN"/>
        </w:rPr>
        <w:t>通过自锁功能失效推断防作弊逻辑被绕过</w:t>
      </w:r>
      <w:r>
        <w:rPr>
          <w:rFonts w:hint="eastAsia" w:ascii="Times New Roman" w:hAnsi="Times New Roman" w:eastAsia="宋体" w:cs="Times New Roman"/>
          <w:color w:val="000000"/>
          <w:sz w:val="24"/>
          <w:lang w:val="en-US" w:eastAsia="zh-CN"/>
        </w:rPr>
        <w:t>、单次或累计计量数据偏离真实结果的</w:t>
      </w:r>
      <w:r>
        <w:rPr>
          <w:rFonts w:hint="default" w:ascii="Times New Roman" w:hAnsi="Times New Roman" w:eastAsia="宋体" w:cs="Times New Roman"/>
          <w:color w:val="000000"/>
          <w:sz w:val="24"/>
          <w:lang w:val="en-US" w:eastAsia="zh-CN"/>
        </w:rPr>
        <w:t>）。</w:t>
      </w:r>
    </w:p>
    <w:p w14:paraId="32A1ECA1">
      <w:pPr>
        <w:numPr>
          <w:ilvl w:val="1"/>
          <w:numId w:val="3"/>
        </w:numPr>
        <w:ind w:firstLineChars="0"/>
        <w:outlineLvl w:val="1"/>
        <w:rPr>
          <w:rFonts w:hint="default" w:ascii="Times New Roman" w:hAnsi="Times New Roman" w:eastAsia="宋体" w:cs="Times New Roman"/>
          <w:sz w:val="24"/>
          <w:lang w:val="en-US" w:eastAsia="zh-CN"/>
        </w:rPr>
      </w:pPr>
      <w:bookmarkStart w:id="185" w:name="_Toc25363"/>
      <w:bookmarkStart w:id="186" w:name="_Toc7028"/>
      <w:r>
        <w:rPr>
          <w:rFonts w:hint="eastAsia" w:ascii="Times New Roman" w:hAnsi="Times New Roman" w:eastAsia="宋体" w:cs="Times New Roman"/>
          <w:sz w:val="24"/>
          <w:lang w:val="en-US" w:eastAsia="zh-CN"/>
        </w:rPr>
        <w:t>测试前准备</w:t>
      </w:r>
      <w:bookmarkEnd w:id="185"/>
      <w:bookmarkEnd w:id="186"/>
    </w:p>
    <w:p w14:paraId="2F7B3281">
      <w:pPr>
        <w:numPr>
          <w:ilvl w:val="2"/>
          <w:numId w:val="3"/>
        </w:numPr>
        <w:ind w:left="0" w:leftChars="0" w:firstLine="0"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测试前，现场测试或实验室模拟环境测试时加油机软件环境应得到充分隔离和保护，避免非测试人员调整、误操作或改变等，必要时应通过拍照、视频监控等方式加以记录。检查被测加油机</w:t>
      </w:r>
      <w:r>
        <w:rPr>
          <w:rFonts w:hint="eastAsia" w:cs="Times New Roman"/>
          <w:sz w:val="24"/>
          <w:lang w:val="en-US" w:eastAsia="zh-CN"/>
        </w:rPr>
        <w:t>软件及其组件</w:t>
      </w:r>
      <w:r>
        <w:rPr>
          <w:rFonts w:hint="eastAsia" w:ascii="Times New Roman" w:hAnsi="Times New Roman" w:eastAsia="宋体" w:cs="Times New Roman"/>
          <w:sz w:val="24"/>
          <w:lang w:val="en-US" w:eastAsia="zh-CN"/>
        </w:rPr>
        <w:t>的运行状态是否达到测试条件。</w:t>
      </w:r>
    </w:p>
    <w:p w14:paraId="7DBE0D66">
      <w:pPr>
        <w:numPr>
          <w:ilvl w:val="2"/>
          <w:numId w:val="3"/>
        </w:numPr>
        <w:ind w:left="0" w:leftChars="0" w:firstLine="0"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测试过程中如果发现欺骗性使用特征，复现过程应该进行拍照或影像记录。</w:t>
      </w:r>
    </w:p>
    <w:p w14:paraId="21FB5B12">
      <w:pPr>
        <w:numPr>
          <w:ilvl w:val="2"/>
          <w:numId w:val="3"/>
        </w:numPr>
        <w:ind w:left="0" w:leftChars="0" w:firstLine="0"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测试人员可充分利用已掌握存在欺骗性的使用特征的测试用例、欺骗性使用特征</w:t>
      </w:r>
      <w:r>
        <w:rPr>
          <w:rFonts w:hint="default" w:ascii="Times New Roman" w:hAnsi="Times New Roman" w:eastAsia="宋体" w:cs="Times New Roman"/>
          <w:sz w:val="24"/>
          <w:lang w:val="en-US" w:eastAsia="zh-CN"/>
        </w:rPr>
        <w:t>测试仪</w:t>
      </w:r>
      <w:r>
        <w:rPr>
          <w:rFonts w:hint="eastAsia" w:ascii="Times New Roman" w:hAnsi="Times New Roman" w:eastAsia="宋体" w:cs="Times New Roman"/>
          <w:sz w:val="24"/>
          <w:lang w:val="en-US" w:eastAsia="zh-CN"/>
        </w:rPr>
        <w:t>或现场执法取得的影像资料，提高测试效率。</w:t>
      </w:r>
    </w:p>
    <w:p w14:paraId="24189B60">
      <w:pPr>
        <w:numPr>
          <w:ilvl w:val="1"/>
          <w:numId w:val="3"/>
        </w:numPr>
        <w:ind w:firstLineChars="0"/>
        <w:outlineLvl w:val="1"/>
        <w:rPr>
          <w:rFonts w:hint="eastAsia" w:ascii="Times New Roman" w:hAnsi="Times New Roman" w:eastAsia="宋体" w:cs="Times New Roman"/>
          <w:sz w:val="24"/>
          <w:lang w:val="en-US" w:eastAsia="zh-CN"/>
        </w:rPr>
      </w:pPr>
      <w:bookmarkStart w:id="187" w:name="_Toc4263"/>
      <w:bookmarkStart w:id="188" w:name="_Toc14771"/>
      <w:r>
        <w:rPr>
          <w:rFonts w:hint="eastAsia" w:cs="Times New Roman"/>
          <w:sz w:val="24"/>
          <w:lang w:val="en-US" w:eastAsia="zh-CN"/>
        </w:rPr>
        <w:t>燃油加油机软件</w:t>
      </w:r>
      <w:r>
        <w:rPr>
          <w:rFonts w:hint="eastAsia" w:ascii="Times New Roman" w:hAnsi="Times New Roman" w:eastAsia="宋体" w:cs="Times New Roman"/>
          <w:sz w:val="24"/>
          <w:lang w:val="en-US" w:eastAsia="zh-CN"/>
        </w:rPr>
        <w:t>的功能测试</w:t>
      </w:r>
      <w:bookmarkEnd w:id="187"/>
      <w:bookmarkEnd w:id="188"/>
    </w:p>
    <w:p w14:paraId="42B1B63C">
      <w:pPr>
        <w:numPr>
          <w:ilvl w:val="2"/>
          <w:numId w:val="3"/>
        </w:numPr>
        <w:ind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适用部分</w:t>
      </w:r>
    </w:p>
    <w:p w14:paraId="03D5FB04">
      <w:pPr>
        <w:widowControl w:val="0"/>
        <w:numPr>
          <w:ilvl w:val="0"/>
          <w:numId w:val="0"/>
        </w:numPr>
        <w:spacing w:line="360" w:lineRule="auto"/>
        <w:ind w:firstLine="480" w:firstLineChars="200"/>
        <w:jc w:val="both"/>
        <w:outlineLvl w:val="9"/>
        <w:rPr>
          <w:rFonts w:hint="eastAsia" w:ascii="宋体" w:hAnsi="宋体" w:eastAsia="宋体" w:cs="Times New Roman"/>
          <w:color w:val="000000"/>
          <w:sz w:val="24"/>
          <w:highlight w:val="none"/>
          <w:lang w:val="en-US" w:eastAsia="zh-CN"/>
        </w:rPr>
      </w:pPr>
      <w:r>
        <w:rPr>
          <w:rFonts w:hint="eastAsia" w:ascii="宋体" w:hAnsi="宋体" w:eastAsia="宋体" w:cs="Times New Roman"/>
          <w:color w:val="000000"/>
          <w:sz w:val="24"/>
          <w:highlight w:val="none"/>
          <w:lang w:val="en-US" w:eastAsia="zh-CN"/>
        </w:rPr>
        <w:t>测试验证燃油加油机关键电子部件、软件或</w:t>
      </w:r>
      <w:r>
        <w:rPr>
          <w:rFonts w:hint="eastAsia" w:ascii="宋体" w:hAnsi="宋体" w:cs="Times New Roman"/>
          <w:color w:val="000000"/>
          <w:sz w:val="24"/>
          <w:highlight w:val="none"/>
          <w:lang w:val="en-US" w:eastAsia="zh-CN"/>
        </w:rPr>
        <w:t>相关组件</w:t>
      </w:r>
      <w:r>
        <w:rPr>
          <w:rFonts w:hint="eastAsia" w:ascii="宋体" w:hAnsi="宋体" w:eastAsia="宋体" w:cs="Times New Roman"/>
          <w:color w:val="000000"/>
          <w:sz w:val="24"/>
          <w:highlight w:val="none"/>
          <w:lang w:val="en-US" w:eastAsia="zh-CN"/>
        </w:rPr>
        <w:t>部分是否具有欺骗性使用特征。</w:t>
      </w:r>
    </w:p>
    <w:p w14:paraId="4493A456">
      <w:pPr>
        <w:numPr>
          <w:ilvl w:val="2"/>
          <w:numId w:val="3"/>
        </w:numPr>
        <w:ind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测试条件</w:t>
      </w:r>
    </w:p>
    <w:p w14:paraId="13CC8D60">
      <w:pPr>
        <w:widowControl w:val="0"/>
        <w:numPr>
          <w:ilvl w:val="0"/>
          <w:numId w:val="0"/>
        </w:numPr>
        <w:spacing w:line="360" w:lineRule="auto"/>
        <w:ind w:firstLine="480" w:firstLineChars="200"/>
        <w:jc w:val="both"/>
        <w:outlineLvl w:val="9"/>
        <w:rPr>
          <w:rFonts w:hint="eastAsia" w:ascii="宋体" w:hAnsi="宋体" w:eastAsia="宋体" w:cs="Times New Roman"/>
          <w:color w:val="000000"/>
          <w:sz w:val="24"/>
          <w:highlight w:val="none"/>
          <w:lang w:val="en-US" w:eastAsia="zh-CN"/>
        </w:rPr>
      </w:pPr>
      <w:r>
        <w:rPr>
          <w:rFonts w:hint="eastAsia" w:ascii="宋体" w:hAnsi="宋体" w:eastAsia="宋体" w:cs="Times New Roman"/>
          <w:color w:val="000000"/>
          <w:sz w:val="24"/>
          <w:highlight w:val="none"/>
          <w:lang w:val="en-US" w:eastAsia="zh-CN"/>
        </w:rPr>
        <w:t>计量标准器、加油机检定专用手持终端、欺骗性使用特征测试仪、加油机功能性说明书（必要时）、</w:t>
      </w:r>
      <w:r>
        <w:rPr>
          <w:rFonts w:hint="eastAsia" w:ascii="Times New Roman" w:hAnsi="Times New Roman" w:eastAsia="宋体" w:cs="Times New Roman"/>
          <w:color w:val="000000"/>
          <w:kern w:val="2"/>
          <w:sz w:val="24"/>
        </w:rPr>
        <w:t>其他</w:t>
      </w:r>
      <w:r>
        <w:rPr>
          <w:rFonts w:hint="eastAsia" w:hAnsi="宋体"/>
          <w:color w:val="000000"/>
          <w:kern w:val="0"/>
          <w:sz w:val="24"/>
        </w:rPr>
        <w:t>辅助测试设备</w:t>
      </w:r>
      <w:r>
        <w:rPr>
          <w:rFonts w:hint="eastAsia" w:ascii="宋体" w:hAnsi="宋体" w:eastAsia="宋体" w:cs="Times New Roman"/>
          <w:color w:val="000000"/>
          <w:sz w:val="24"/>
          <w:highlight w:val="none"/>
          <w:lang w:val="en-US" w:eastAsia="zh-CN"/>
        </w:rPr>
        <w:t>。</w:t>
      </w:r>
    </w:p>
    <w:p w14:paraId="6DBFEECA">
      <w:pPr>
        <w:numPr>
          <w:ilvl w:val="2"/>
          <w:numId w:val="3"/>
        </w:numPr>
        <w:ind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测试执行</w:t>
      </w:r>
    </w:p>
    <w:p w14:paraId="66F791E2">
      <w:pPr>
        <w:widowControl w:val="0"/>
        <w:numPr>
          <w:ilvl w:val="0"/>
          <w:numId w:val="0"/>
        </w:numPr>
        <w:spacing w:line="360" w:lineRule="auto"/>
        <w:ind w:firstLine="480" w:firstLineChars="200"/>
        <w:jc w:val="both"/>
        <w:outlineLvl w:val="9"/>
        <w:rPr>
          <w:rFonts w:hint="default" w:ascii="宋体" w:hAnsi="宋体" w:eastAsia="宋体" w:cs="Times New Roman"/>
          <w:color w:val="FF0000"/>
          <w:sz w:val="24"/>
          <w:highlight w:val="none"/>
          <w:lang w:val="en-US" w:eastAsia="zh-CN"/>
        </w:rPr>
      </w:pPr>
      <w:r>
        <w:rPr>
          <w:rFonts w:hint="eastAsia" w:ascii="宋体" w:hAnsi="宋体" w:eastAsia="宋体" w:cs="Times New Roman"/>
          <w:color w:val="000000"/>
          <w:sz w:val="24"/>
          <w:highlight w:val="none"/>
          <w:lang w:val="en-US" w:eastAsia="zh-CN"/>
        </w:rPr>
        <w:t>针对加油机软件的功能性测试，应尽可能的设计全功能覆盖的测试用例，也可通过</w:t>
      </w:r>
      <w:r>
        <w:rPr>
          <w:rFonts w:hint="eastAsia" w:ascii="Times New Roman" w:hAnsi="Times New Roman" w:eastAsia="宋体" w:cs="Times New Roman"/>
          <w:color w:val="000000"/>
          <w:sz w:val="24"/>
          <w:lang w:val="en-US" w:eastAsia="zh-CN"/>
        </w:rPr>
        <w:t>非法命令发生器</w:t>
      </w:r>
      <w:r>
        <w:rPr>
          <w:rFonts w:hint="eastAsia" w:ascii="宋体" w:hAnsi="宋体" w:eastAsia="宋体" w:cs="Times New Roman"/>
          <w:color w:val="000000"/>
          <w:sz w:val="24"/>
          <w:highlight w:val="none"/>
          <w:lang w:val="en-US" w:eastAsia="zh-CN"/>
        </w:rPr>
        <w:t>、功能路径遍历、模拟非法操作等技术手段验证软件是否存在隐蔽功能或非授权参数篡改。测试需聚焦于计量核心逻辑（如油量计算、自锁机制、参数校准）的异常触发条件，结合计量标准器数据对比和可稳定复现的欺骗性特征，判定软件欺骗性使用特征的符合性，测试方法包含但不限于以下几种。</w:t>
      </w:r>
    </w:p>
    <w:p w14:paraId="3F452EA5">
      <w:pPr>
        <w:numPr>
          <w:ilvl w:val="3"/>
          <w:numId w:val="3"/>
        </w:numPr>
        <w:ind w:left="0" w:firstLine="0" w:firstLineChars="0"/>
        <w:outlineLvl w:val="2"/>
        <w:rPr>
          <w:rFonts w:hint="eastAsia" w:hAnsi="宋体"/>
          <w:sz w:val="24"/>
          <w:lang w:val="en-US" w:eastAsia="zh-CN"/>
        </w:rPr>
      </w:pPr>
      <w:r>
        <w:rPr>
          <w:rFonts w:hint="eastAsia" w:hAnsi="宋体"/>
          <w:sz w:val="24"/>
          <w:lang w:val="en-US" w:eastAsia="zh-CN"/>
        </w:rPr>
        <w:t>通过外部遥控装置尝试进行预设方式的测试，使用计量标准器比对加油机示值与实际出油量，查看可能存在的欺骗性使用特征。</w:t>
      </w:r>
    </w:p>
    <w:p w14:paraId="574B84A5">
      <w:pPr>
        <w:numPr>
          <w:ilvl w:val="3"/>
          <w:numId w:val="3"/>
        </w:numPr>
        <w:ind w:left="0" w:firstLine="0" w:firstLineChars="0"/>
        <w:outlineLvl w:val="2"/>
        <w:rPr>
          <w:rFonts w:hint="eastAsia" w:hAnsi="宋体"/>
          <w:sz w:val="24"/>
          <w:lang w:val="en-US" w:eastAsia="zh-CN"/>
        </w:rPr>
      </w:pPr>
      <w:r>
        <w:rPr>
          <w:rFonts w:hint="eastAsia" w:hAnsi="宋体"/>
          <w:sz w:val="24"/>
          <w:lang w:val="en-US" w:eastAsia="zh-CN"/>
        </w:rPr>
        <w:t>燃油加油机软件不允许隐藏、不明示的功能或者参数存在。可通过检查所有的开关或按键组合,验证其是否具有欺骗性使用特征。</w:t>
      </w:r>
    </w:p>
    <w:p w14:paraId="235CC89E">
      <w:pPr>
        <w:numPr>
          <w:ilvl w:val="3"/>
          <w:numId w:val="3"/>
        </w:numPr>
        <w:ind w:left="0" w:firstLine="0" w:firstLineChars="0"/>
        <w:outlineLvl w:val="2"/>
        <w:rPr>
          <w:rFonts w:hint="eastAsia" w:hAnsi="宋体"/>
          <w:sz w:val="24"/>
          <w:lang w:val="en-US" w:eastAsia="zh-CN"/>
        </w:rPr>
      </w:pPr>
      <w:r>
        <w:rPr>
          <w:rFonts w:hint="eastAsia" w:hAnsi="宋体"/>
          <w:sz w:val="24"/>
          <w:lang w:val="en-US" w:eastAsia="zh-CN"/>
        </w:rPr>
        <w:t>通过非授权途径执行计量相关参数修改（如监控微处理器序列号、编码器序列号、累计加油量、累计加油金额等）、校准等敏感操作，检查法制计量相关参数是否被篡改或删除。</w:t>
      </w:r>
    </w:p>
    <w:p w14:paraId="2B2E02E7">
      <w:pPr>
        <w:numPr>
          <w:ilvl w:val="3"/>
          <w:numId w:val="3"/>
        </w:numPr>
        <w:ind w:left="0" w:firstLine="0" w:firstLineChars="0"/>
        <w:outlineLvl w:val="2"/>
        <w:rPr>
          <w:rFonts w:hint="eastAsia" w:hAnsi="宋体"/>
          <w:sz w:val="24"/>
          <w:lang w:val="en-US" w:eastAsia="zh-CN"/>
        </w:rPr>
      </w:pPr>
      <w:r>
        <w:rPr>
          <w:rFonts w:hint="eastAsia" w:hAnsi="宋体"/>
          <w:sz w:val="24"/>
          <w:lang w:val="en-US" w:eastAsia="zh-CN"/>
        </w:rPr>
        <w:t>通过欺骗性使用特征测试仪模拟非法信号，使用计量标准器比对加油机示值与实际出油量，误差需符合国家相关要求的允许范围（≤±0.3%）。</w:t>
      </w:r>
    </w:p>
    <w:p w14:paraId="0581BD46">
      <w:pPr>
        <w:numPr>
          <w:ilvl w:val="3"/>
          <w:numId w:val="3"/>
        </w:numPr>
        <w:ind w:left="0" w:firstLine="0" w:firstLineChars="0"/>
        <w:outlineLvl w:val="2"/>
        <w:rPr>
          <w:rFonts w:hint="default" w:hAnsi="宋体"/>
          <w:sz w:val="24"/>
          <w:lang w:val="en-US" w:eastAsia="zh-CN"/>
        </w:rPr>
      </w:pPr>
      <w:r>
        <w:rPr>
          <w:rFonts w:hint="default" w:hAnsi="宋体"/>
          <w:sz w:val="24"/>
          <w:lang w:val="en-US" w:eastAsia="zh-CN"/>
        </w:rPr>
        <w:t>通过黑盒测试、白盒测试、错误推测法等软件测试方法</w:t>
      </w:r>
      <w:r>
        <w:rPr>
          <w:rFonts w:hint="eastAsia" w:hAnsi="宋体"/>
          <w:sz w:val="24"/>
          <w:lang w:val="en-US" w:eastAsia="zh-CN"/>
        </w:rPr>
        <w:t>，测试</w:t>
      </w:r>
      <w:r>
        <w:rPr>
          <w:rFonts w:hint="default" w:hAnsi="宋体"/>
          <w:sz w:val="24"/>
          <w:lang w:val="en-US" w:eastAsia="zh-CN"/>
        </w:rPr>
        <w:t>可能存在未声明的隐蔽功能</w:t>
      </w:r>
      <w:r>
        <w:rPr>
          <w:rFonts w:hint="eastAsia" w:hAnsi="宋体"/>
          <w:sz w:val="24"/>
          <w:lang w:val="en-US" w:eastAsia="zh-CN"/>
        </w:rPr>
        <w:t>或与声明不一致的功能，测试该功能对加油机的影响。</w:t>
      </w:r>
    </w:p>
    <w:p w14:paraId="4A790024">
      <w:pPr>
        <w:numPr>
          <w:ilvl w:val="3"/>
          <w:numId w:val="3"/>
        </w:numPr>
        <w:ind w:left="0" w:firstLine="0" w:firstLineChars="0"/>
        <w:outlineLvl w:val="2"/>
        <w:rPr>
          <w:rFonts w:hint="eastAsia" w:hAnsi="宋体"/>
          <w:sz w:val="24"/>
          <w:lang w:val="en-US" w:eastAsia="zh-CN"/>
        </w:rPr>
      </w:pPr>
      <w:r>
        <w:rPr>
          <w:rFonts w:hint="eastAsia" w:hAnsi="宋体"/>
          <w:sz w:val="24"/>
          <w:lang w:val="en-US" w:eastAsia="zh-CN"/>
        </w:rPr>
        <w:t>通过功能遍历测试，逐级激活图形用户界面所有菜单项、按钮及图标，验证其功能与软件文档描述的一致性。观察是否弹出未声明的菜单或功能。</w:t>
      </w:r>
    </w:p>
    <w:p w14:paraId="44AFD9E9">
      <w:pPr>
        <w:numPr>
          <w:ilvl w:val="3"/>
          <w:numId w:val="3"/>
        </w:numPr>
        <w:ind w:left="0" w:firstLine="0" w:firstLineChars="0"/>
        <w:outlineLvl w:val="2"/>
        <w:rPr>
          <w:rFonts w:hint="eastAsia" w:hAnsi="宋体"/>
          <w:sz w:val="24"/>
          <w:lang w:val="en-US" w:eastAsia="zh-CN"/>
        </w:rPr>
      </w:pPr>
      <w:r>
        <w:rPr>
          <w:rFonts w:hint="eastAsia" w:hAnsi="宋体"/>
          <w:sz w:val="24"/>
          <w:lang w:val="en-US" w:eastAsia="zh-CN"/>
        </w:rPr>
        <w:t>通过逆向工程分析或反编译工具提取软件代码，分析识别异常跳转逻辑和可疑按键响应逻辑，定位潜在后门代码段。</w:t>
      </w:r>
    </w:p>
    <w:p w14:paraId="65A3BF05">
      <w:pPr>
        <w:numPr>
          <w:ilvl w:val="3"/>
          <w:numId w:val="3"/>
        </w:numPr>
        <w:ind w:left="0" w:firstLine="0" w:firstLineChars="0"/>
        <w:outlineLvl w:val="2"/>
        <w:rPr>
          <w:rFonts w:hint="eastAsia" w:hAnsi="宋体"/>
          <w:sz w:val="24"/>
          <w:lang w:val="en-US" w:eastAsia="zh-CN"/>
        </w:rPr>
      </w:pPr>
      <w:r>
        <w:rPr>
          <w:rFonts w:hint="eastAsia" w:hAnsi="宋体"/>
          <w:sz w:val="24"/>
          <w:lang w:val="en-US" w:eastAsia="zh-CN"/>
        </w:rPr>
        <w:t>收集不同权限角色的用户名及密码，登录后检查可见功能菜单是否与文档声明一致。</w:t>
      </w:r>
    </w:p>
    <w:p w14:paraId="46272195">
      <w:pPr>
        <w:numPr>
          <w:ilvl w:val="3"/>
          <w:numId w:val="3"/>
        </w:numPr>
        <w:ind w:left="0" w:firstLine="0" w:firstLineChars="0"/>
        <w:outlineLvl w:val="2"/>
        <w:rPr>
          <w:rFonts w:hint="eastAsia" w:hAnsi="宋体"/>
          <w:sz w:val="24"/>
          <w:lang w:val="en-US" w:eastAsia="zh-CN"/>
        </w:rPr>
      </w:pPr>
      <w:r>
        <w:rPr>
          <w:rFonts w:hint="eastAsia" w:hAnsi="宋体"/>
          <w:sz w:val="24"/>
          <w:lang w:val="en-US" w:eastAsia="zh-CN"/>
        </w:rPr>
        <w:t>手动编辑加油机软件分离部分的软件配置文件中的参数，重启系统后检查是否加载异常值。</w:t>
      </w:r>
    </w:p>
    <w:p w14:paraId="42B7A0E0">
      <w:pPr>
        <w:numPr>
          <w:ilvl w:val="3"/>
          <w:numId w:val="3"/>
        </w:numPr>
        <w:ind w:left="0" w:firstLine="0" w:firstLineChars="0"/>
        <w:outlineLvl w:val="2"/>
        <w:rPr>
          <w:rFonts w:hint="eastAsia" w:hAnsi="宋体"/>
          <w:sz w:val="24"/>
          <w:lang w:val="en-US" w:eastAsia="zh-CN"/>
        </w:rPr>
      </w:pPr>
      <w:r>
        <w:rPr>
          <w:rFonts w:hint="eastAsia" w:hAnsi="宋体"/>
          <w:sz w:val="24"/>
          <w:lang w:val="en-US" w:eastAsia="zh-CN"/>
        </w:rPr>
        <w:t>扫描软件载体电脑或装置存储器中是否存在未备案或可疑的应用软件，测试是否可直接控制或影响加油机计量准确度的。</w:t>
      </w:r>
    </w:p>
    <w:p w14:paraId="59ABDB36">
      <w:pPr>
        <w:numPr>
          <w:ilvl w:val="3"/>
          <w:numId w:val="3"/>
        </w:numPr>
        <w:ind w:left="0" w:firstLine="0" w:firstLineChars="0"/>
        <w:outlineLvl w:val="2"/>
        <w:rPr>
          <w:rFonts w:hint="eastAsia" w:hAnsi="宋体"/>
          <w:sz w:val="24"/>
          <w:lang w:val="en-US" w:eastAsia="zh-CN"/>
        </w:rPr>
      </w:pPr>
      <w:r>
        <w:rPr>
          <w:rFonts w:hint="eastAsia" w:hAnsi="宋体"/>
          <w:sz w:val="24"/>
          <w:lang w:val="en-US" w:eastAsia="zh-CN"/>
        </w:rPr>
        <w:t>使用流量分析工具分析局域网/互联网通信流量，检测是否存在远端控制影响加油机计量准确度的。</w:t>
      </w:r>
    </w:p>
    <w:p w14:paraId="072867FD">
      <w:pPr>
        <w:numPr>
          <w:ilvl w:val="3"/>
          <w:numId w:val="3"/>
        </w:numPr>
        <w:ind w:left="0" w:firstLine="0" w:firstLineChars="0"/>
        <w:outlineLvl w:val="2"/>
        <w:rPr>
          <w:rFonts w:hint="eastAsia" w:hAnsi="宋体"/>
          <w:sz w:val="24"/>
          <w:lang w:val="en-US" w:eastAsia="zh-CN"/>
        </w:rPr>
      </w:pPr>
      <w:r>
        <w:rPr>
          <w:rFonts w:hint="eastAsia" w:hAnsi="宋体"/>
          <w:sz w:val="24"/>
          <w:lang w:val="en-US" w:eastAsia="zh-CN"/>
        </w:rPr>
        <w:t>如果测试人员掌握源代码，可以通过源代码走查的方式定位异常代码,对代码相应的部分进行测试，以确定软件功能和特性，测试是否存在欺骗性使用特征。</w:t>
      </w:r>
    </w:p>
    <w:p w14:paraId="011FB45E">
      <w:pPr>
        <w:numPr>
          <w:ilvl w:val="1"/>
          <w:numId w:val="3"/>
        </w:numPr>
        <w:ind w:firstLineChars="0"/>
        <w:outlineLvl w:val="1"/>
        <w:rPr>
          <w:rFonts w:hint="eastAsia" w:ascii="Times New Roman" w:hAnsi="Times New Roman" w:eastAsia="宋体" w:cs="Times New Roman"/>
          <w:sz w:val="24"/>
          <w:lang w:val="en-US" w:eastAsia="zh-CN"/>
        </w:rPr>
      </w:pPr>
      <w:bookmarkStart w:id="189" w:name="_Toc28062"/>
      <w:r>
        <w:rPr>
          <w:rFonts w:hint="eastAsia" w:ascii="Times New Roman" w:hAnsi="Times New Roman" w:eastAsia="宋体" w:cs="Times New Roman"/>
          <w:sz w:val="24"/>
          <w:lang w:val="en-US" w:eastAsia="zh-CN"/>
        </w:rPr>
        <w:t>测试结果判定</w:t>
      </w:r>
      <w:bookmarkEnd w:id="189"/>
    </w:p>
    <w:p w14:paraId="3AF8D8CE">
      <w:pPr>
        <w:widowControl/>
        <w:ind w:firstLine="480"/>
        <w:jc w:val="left"/>
        <w:rPr>
          <w:rFonts w:hint="eastAsia" w:hAnsi="宋体"/>
          <w:kern w:val="0"/>
          <w:sz w:val="24"/>
          <w:lang w:val="en-US" w:eastAsia="zh-CN"/>
        </w:rPr>
      </w:pPr>
      <w:r>
        <w:rPr>
          <w:rFonts w:hint="eastAsia" w:hAnsi="宋体"/>
          <w:kern w:val="0"/>
          <w:sz w:val="24"/>
          <w:lang w:val="en-US" w:eastAsia="zh-CN"/>
        </w:rPr>
        <w:t>1）经测试，被测软件可影响计量器准确度的，造成单次或累计计量数据偏离真实结果，则判定本次测试检出欺骗性使用特征。</w:t>
      </w:r>
      <w:r>
        <w:rPr>
          <w:rFonts w:hint="eastAsia" w:hAnsi="宋体"/>
          <w:kern w:val="0"/>
          <w:sz w:val="24"/>
          <w:lang w:val="en-US" w:eastAsia="zh-CN"/>
        </w:rPr>
        <w:br w:type="textWrapping"/>
      </w:r>
      <w:r>
        <w:rPr>
          <w:rFonts w:hint="eastAsia" w:hAnsi="宋体"/>
          <w:kern w:val="0"/>
          <w:sz w:val="24"/>
          <w:lang w:val="en-US" w:eastAsia="zh-CN"/>
        </w:rPr>
        <w:t xml:space="preserve">    2）经测试，被测软件未影响计量器准确度的，未造成单次或累计计量数据偏离真实结果，则判定本次测试未检出欺骗性使用特征。</w:t>
      </w:r>
    </w:p>
    <w:p w14:paraId="7FB57BA5">
      <w:pPr>
        <w:widowControl/>
        <w:ind w:firstLine="480"/>
        <w:jc w:val="left"/>
        <w:rPr>
          <w:rFonts w:hint="eastAsia" w:hAnsi="宋体"/>
          <w:kern w:val="0"/>
          <w:sz w:val="24"/>
          <w:lang w:val="en-US" w:eastAsia="zh-CN"/>
        </w:rPr>
      </w:pPr>
      <w:r>
        <w:rPr>
          <w:rFonts w:hint="eastAsia" w:hAnsi="宋体"/>
          <w:kern w:val="0"/>
          <w:sz w:val="24"/>
          <w:lang w:val="en-US" w:eastAsia="zh-CN"/>
        </w:rPr>
        <w:t>出现以下情况需启动复测，不直接判定具有欺骗性特征：</w:t>
      </w:r>
    </w:p>
    <w:p w14:paraId="03B2FBFD">
      <w:pPr>
        <w:widowControl/>
        <w:ind w:firstLine="480"/>
        <w:jc w:val="left"/>
        <w:rPr>
          <w:rFonts w:hint="eastAsia" w:hAnsi="宋体"/>
          <w:kern w:val="0"/>
          <w:sz w:val="24"/>
          <w:lang w:val="en-US" w:eastAsia="zh-CN"/>
        </w:rPr>
      </w:pPr>
      <w:r>
        <w:rPr>
          <w:rFonts w:hint="eastAsia" w:hAnsi="宋体"/>
          <w:kern w:val="0"/>
          <w:sz w:val="24"/>
          <w:lang w:val="en-US" w:eastAsia="zh-CN"/>
        </w:rPr>
        <w:t>1）因环境干扰（如强电磁场）导致的瞬时数据异常；</w:t>
      </w:r>
    </w:p>
    <w:p w14:paraId="204F9C5C">
      <w:pPr>
        <w:widowControl/>
        <w:ind w:firstLine="480"/>
        <w:jc w:val="left"/>
        <w:rPr>
          <w:rFonts w:hint="eastAsia" w:ascii="Times New Roman" w:hAnsi="Times New Roman" w:eastAsia="宋体" w:cs="Times New Roman"/>
          <w:color w:val="000000"/>
          <w:sz w:val="24"/>
          <w:lang w:val="en-US" w:eastAsia="zh-CN"/>
        </w:rPr>
      </w:pPr>
      <w:r>
        <w:rPr>
          <w:rFonts w:hint="eastAsia" w:hAnsi="宋体"/>
          <w:kern w:val="0"/>
          <w:sz w:val="24"/>
          <w:lang w:val="en-US" w:eastAsia="zh-CN"/>
        </w:rPr>
        <w:t>2）设备硬件故障（非人为破坏）引发的计量偏差。</w:t>
      </w:r>
    </w:p>
    <w:p w14:paraId="0175FA02">
      <w:pPr>
        <w:numPr>
          <w:ilvl w:val="0"/>
          <w:numId w:val="3"/>
        </w:numPr>
        <w:ind w:firstLineChars="0"/>
        <w:outlineLvl w:val="0"/>
        <w:rPr>
          <w:rFonts w:hint="eastAsia" w:ascii="黑体" w:hAnsi="黑体" w:eastAsia="黑体" w:cs="黑体"/>
          <w:sz w:val="24"/>
          <w:lang w:val="en-US" w:eastAsia="zh-CN"/>
        </w:rPr>
      </w:pPr>
      <w:bookmarkStart w:id="190" w:name="_Toc13612"/>
      <w:bookmarkStart w:id="191" w:name="_Toc18792"/>
      <w:bookmarkStart w:id="192" w:name="_Toc28862"/>
      <w:bookmarkStart w:id="193" w:name="_Toc31193"/>
      <w:bookmarkStart w:id="194" w:name="_Toc9464"/>
      <w:bookmarkStart w:id="195" w:name="_Toc24147"/>
      <w:bookmarkStart w:id="196" w:name="_Toc10837"/>
      <w:bookmarkStart w:id="197" w:name="_Toc16216"/>
      <w:bookmarkStart w:id="198" w:name="_Toc8627"/>
      <w:bookmarkStart w:id="199" w:name="_Toc4609_WPSOffice_Level1"/>
      <w:bookmarkStart w:id="200" w:name="_Toc26182"/>
      <w:bookmarkStart w:id="201" w:name="_Toc25791"/>
      <w:bookmarkStart w:id="202" w:name="_Toc22961"/>
      <w:bookmarkStart w:id="203" w:name="_Toc30241"/>
      <w:bookmarkStart w:id="204" w:name="_Toc21613"/>
      <w:bookmarkStart w:id="205" w:name="_Toc31688"/>
      <w:bookmarkStart w:id="206" w:name="_Toc19230"/>
      <w:r>
        <w:rPr>
          <w:rFonts w:hint="eastAsia" w:ascii="黑体" w:hAnsi="黑体" w:eastAsia="黑体" w:cs="黑体"/>
          <w:sz w:val="24"/>
          <w:lang w:val="en-US" w:eastAsia="zh-CN"/>
        </w:rPr>
        <w:t>测试结果表达</w:t>
      </w:r>
      <w:bookmarkEnd w:id="190"/>
      <w:bookmarkEnd w:id="191"/>
      <w:bookmarkEnd w:id="192"/>
      <w:bookmarkEnd w:id="193"/>
      <w:bookmarkEnd w:id="194"/>
      <w:bookmarkEnd w:id="195"/>
      <w:bookmarkEnd w:id="196"/>
      <w:bookmarkEnd w:id="197"/>
      <w:bookmarkEnd w:id="198"/>
    </w:p>
    <w:bookmarkEnd w:id="199"/>
    <w:bookmarkEnd w:id="200"/>
    <w:bookmarkEnd w:id="201"/>
    <w:bookmarkEnd w:id="202"/>
    <w:bookmarkEnd w:id="203"/>
    <w:bookmarkEnd w:id="204"/>
    <w:bookmarkEnd w:id="205"/>
    <w:bookmarkEnd w:id="206"/>
    <w:p w14:paraId="78679BE1">
      <w:pPr>
        <w:widowControl/>
        <w:ind w:firstLine="480"/>
        <w:jc w:val="left"/>
        <w:rPr>
          <w:rFonts w:hAnsi="宋体"/>
          <w:kern w:val="0"/>
          <w:sz w:val="24"/>
        </w:rPr>
      </w:pPr>
      <w:bookmarkStart w:id="207" w:name="_Toc3130"/>
      <w:bookmarkStart w:id="208" w:name="_Toc12059"/>
      <w:bookmarkStart w:id="209" w:name="_Toc3373"/>
      <w:bookmarkStart w:id="210" w:name="_Toc32119"/>
      <w:bookmarkStart w:id="211" w:name="_Toc27375"/>
      <w:bookmarkStart w:id="212" w:name="_Toc8863"/>
      <w:r>
        <w:rPr>
          <w:rFonts w:hint="eastAsia" w:hAnsi="宋体"/>
          <w:kern w:val="0"/>
          <w:sz w:val="24"/>
        </w:rPr>
        <w:t>测试</w:t>
      </w:r>
      <w:r>
        <w:rPr>
          <w:rFonts w:hAnsi="宋体"/>
          <w:kern w:val="0"/>
          <w:sz w:val="24"/>
        </w:rPr>
        <w:t>后出具测试</w:t>
      </w:r>
      <w:r>
        <w:rPr>
          <w:rFonts w:hint="eastAsia" w:hAnsi="宋体"/>
          <w:kern w:val="0"/>
          <w:sz w:val="24"/>
          <w:lang w:eastAsia="zh-CN"/>
        </w:rPr>
        <w:t>报告</w:t>
      </w:r>
      <w:r>
        <w:rPr>
          <w:rFonts w:hAnsi="宋体"/>
          <w:kern w:val="0"/>
          <w:sz w:val="24"/>
        </w:rPr>
        <w:t>，</w:t>
      </w:r>
      <w:r>
        <w:rPr>
          <w:rFonts w:hint="eastAsia" w:hAnsi="宋体"/>
          <w:kern w:val="0"/>
          <w:sz w:val="24"/>
          <w:lang w:eastAsia="zh-CN"/>
        </w:rPr>
        <w:t>报告</w:t>
      </w:r>
      <w:r>
        <w:rPr>
          <w:rFonts w:hAnsi="宋体"/>
          <w:kern w:val="0"/>
          <w:sz w:val="24"/>
        </w:rPr>
        <w:t>至少包含以下信息：</w:t>
      </w:r>
    </w:p>
    <w:p w14:paraId="3A699DAB">
      <w:pPr>
        <w:widowControl/>
        <w:ind w:firstLine="480"/>
        <w:jc w:val="left"/>
        <w:rPr>
          <w:rFonts w:hAnsi="宋体"/>
          <w:kern w:val="0"/>
          <w:sz w:val="24"/>
        </w:rPr>
      </w:pPr>
      <w:r>
        <w:rPr>
          <w:rFonts w:hAnsi="宋体"/>
          <w:kern w:val="0"/>
          <w:sz w:val="24"/>
        </w:rPr>
        <w:t>a) 标题：测试</w:t>
      </w:r>
      <w:r>
        <w:rPr>
          <w:rFonts w:hint="eastAsia" w:hAnsi="宋体"/>
          <w:kern w:val="0"/>
          <w:sz w:val="24"/>
          <w:lang w:eastAsia="zh-CN"/>
        </w:rPr>
        <w:t>报告</w:t>
      </w:r>
      <w:r>
        <w:rPr>
          <w:rFonts w:hAnsi="宋体"/>
          <w:kern w:val="0"/>
          <w:sz w:val="24"/>
        </w:rPr>
        <w:t>；</w:t>
      </w:r>
    </w:p>
    <w:p w14:paraId="7DC2CA94">
      <w:pPr>
        <w:widowControl/>
        <w:ind w:firstLine="480"/>
        <w:jc w:val="left"/>
        <w:rPr>
          <w:rFonts w:hAnsi="宋体"/>
          <w:kern w:val="0"/>
          <w:sz w:val="24"/>
        </w:rPr>
      </w:pPr>
      <w:r>
        <w:rPr>
          <w:rFonts w:hAnsi="宋体"/>
          <w:kern w:val="0"/>
          <w:sz w:val="24"/>
        </w:rPr>
        <w:t>b) 实验室名称和地址；</w:t>
      </w:r>
    </w:p>
    <w:p w14:paraId="4D1FE219">
      <w:pPr>
        <w:widowControl/>
        <w:ind w:firstLine="480"/>
        <w:jc w:val="left"/>
        <w:rPr>
          <w:rFonts w:hAnsi="宋体"/>
          <w:kern w:val="0"/>
          <w:sz w:val="24"/>
        </w:rPr>
      </w:pPr>
      <w:r>
        <w:rPr>
          <w:rFonts w:hAnsi="宋体"/>
          <w:kern w:val="0"/>
          <w:sz w:val="24"/>
        </w:rPr>
        <w:t>c) 进行测试的地点；</w:t>
      </w:r>
    </w:p>
    <w:p w14:paraId="74CF4DAF">
      <w:pPr>
        <w:widowControl/>
        <w:ind w:firstLine="480"/>
        <w:jc w:val="left"/>
        <w:rPr>
          <w:rFonts w:hAnsi="宋体"/>
          <w:kern w:val="0"/>
          <w:sz w:val="24"/>
        </w:rPr>
      </w:pPr>
      <w:r>
        <w:rPr>
          <w:rFonts w:hAnsi="宋体"/>
          <w:kern w:val="0"/>
          <w:sz w:val="24"/>
        </w:rPr>
        <w:t>d) 测试</w:t>
      </w:r>
      <w:r>
        <w:rPr>
          <w:rFonts w:hint="eastAsia" w:hAnsi="宋体"/>
          <w:kern w:val="0"/>
          <w:sz w:val="24"/>
          <w:lang w:eastAsia="zh-CN"/>
        </w:rPr>
        <w:t>报告</w:t>
      </w:r>
      <w:r>
        <w:rPr>
          <w:rFonts w:hAnsi="宋体"/>
          <w:kern w:val="0"/>
          <w:sz w:val="24"/>
        </w:rPr>
        <w:t>的唯一性标识（如编号），每页及总页数的标识；</w:t>
      </w:r>
    </w:p>
    <w:p w14:paraId="73C34415">
      <w:pPr>
        <w:widowControl/>
        <w:ind w:firstLine="480"/>
        <w:jc w:val="left"/>
        <w:rPr>
          <w:rFonts w:hAnsi="宋体"/>
          <w:kern w:val="0"/>
          <w:sz w:val="24"/>
        </w:rPr>
      </w:pPr>
      <w:r>
        <w:rPr>
          <w:rFonts w:hAnsi="宋体"/>
          <w:kern w:val="0"/>
          <w:sz w:val="24"/>
        </w:rPr>
        <w:t>e) 客户</w:t>
      </w:r>
      <w:r>
        <w:rPr>
          <w:rFonts w:hint="eastAsia" w:hAnsi="宋体"/>
          <w:kern w:val="0"/>
          <w:sz w:val="24"/>
          <w:lang w:eastAsia="zh-CN"/>
        </w:rPr>
        <w:t>（委托方）</w:t>
      </w:r>
      <w:r>
        <w:rPr>
          <w:rFonts w:hAnsi="宋体"/>
          <w:kern w:val="0"/>
          <w:sz w:val="24"/>
        </w:rPr>
        <w:t>的名称和地址；</w:t>
      </w:r>
    </w:p>
    <w:p w14:paraId="1C7D3EED">
      <w:pPr>
        <w:widowControl/>
        <w:ind w:firstLine="480"/>
        <w:jc w:val="left"/>
        <w:rPr>
          <w:rFonts w:hAnsi="宋体"/>
          <w:kern w:val="0"/>
          <w:sz w:val="24"/>
        </w:rPr>
      </w:pPr>
      <w:r>
        <w:rPr>
          <w:rFonts w:hAnsi="宋体"/>
          <w:kern w:val="0"/>
          <w:sz w:val="24"/>
        </w:rPr>
        <w:t>f) 被</w:t>
      </w:r>
      <w:r>
        <w:rPr>
          <w:rFonts w:hint="eastAsia" w:hAnsi="宋体"/>
          <w:kern w:val="0"/>
          <w:sz w:val="24"/>
        </w:rPr>
        <w:t>测试</w:t>
      </w:r>
      <w:r>
        <w:rPr>
          <w:rFonts w:hAnsi="宋体"/>
          <w:kern w:val="0"/>
          <w:sz w:val="24"/>
        </w:rPr>
        <w:t>对象的描述和明确标识；</w:t>
      </w:r>
    </w:p>
    <w:p w14:paraId="02B2BBAA">
      <w:pPr>
        <w:widowControl/>
        <w:ind w:firstLine="480"/>
        <w:jc w:val="left"/>
        <w:rPr>
          <w:rFonts w:hAnsi="宋体"/>
          <w:kern w:val="0"/>
          <w:sz w:val="24"/>
        </w:rPr>
      </w:pPr>
      <w:r>
        <w:rPr>
          <w:rFonts w:hAnsi="宋体"/>
          <w:kern w:val="0"/>
          <w:sz w:val="24"/>
        </w:rPr>
        <w:t>g) 进行测试的日期；</w:t>
      </w:r>
    </w:p>
    <w:p w14:paraId="29C3E071">
      <w:pPr>
        <w:widowControl/>
        <w:ind w:firstLine="480"/>
        <w:jc w:val="left"/>
        <w:rPr>
          <w:rFonts w:hAnsi="宋体"/>
          <w:kern w:val="0"/>
          <w:sz w:val="24"/>
        </w:rPr>
      </w:pPr>
      <w:r>
        <w:rPr>
          <w:rFonts w:hAnsi="宋体"/>
          <w:kern w:val="0"/>
          <w:sz w:val="24"/>
        </w:rPr>
        <w:t>h) 测试所依据的技术规范的标识，包括名称及代号；</w:t>
      </w:r>
    </w:p>
    <w:p w14:paraId="54836C2F">
      <w:pPr>
        <w:widowControl/>
        <w:ind w:firstLine="480"/>
        <w:jc w:val="left"/>
        <w:rPr>
          <w:rFonts w:hAnsi="宋体"/>
          <w:kern w:val="0"/>
          <w:sz w:val="24"/>
        </w:rPr>
      </w:pPr>
      <w:r>
        <w:rPr>
          <w:rFonts w:hAnsi="宋体"/>
          <w:kern w:val="0"/>
          <w:sz w:val="24"/>
        </w:rPr>
        <w:t>i) 本次测试所用</w:t>
      </w:r>
      <w:r>
        <w:rPr>
          <w:rFonts w:hint="eastAsia" w:hAnsi="宋体"/>
          <w:kern w:val="0"/>
          <w:sz w:val="24"/>
        </w:rPr>
        <w:t>设备，及其</w:t>
      </w:r>
      <w:r>
        <w:rPr>
          <w:rFonts w:hAnsi="宋体"/>
          <w:kern w:val="0"/>
          <w:sz w:val="24"/>
        </w:rPr>
        <w:t>溯源性及有效性说明</w:t>
      </w:r>
      <w:r>
        <w:rPr>
          <w:rFonts w:hint="eastAsia" w:hAnsi="宋体"/>
          <w:kern w:val="0"/>
          <w:sz w:val="24"/>
        </w:rPr>
        <w:t>（如存在）</w:t>
      </w:r>
      <w:r>
        <w:rPr>
          <w:rFonts w:hAnsi="宋体"/>
          <w:kern w:val="0"/>
          <w:sz w:val="24"/>
        </w:rPr>
        <w:t>；</w:t>
      </w:r>
    </w:p>
    <w:p w14:paraId="372C9C6D">
      <w:pPr>
        <w:widowControl/>
        <w:ind w:firstLine="480"/>
        <w:jc w:val="left"/>
        <w:rPr>
          <w:rFonts w:hAnsi="宋体"/>
          <w:kern w:val="0"/>
          <w:sz w:val="24"/>
        </w:rPr>
      </w:pPr>
      <w:r>
        <w:rPr>
          <w:rFonts w:hint="eastAsia" w:hAnsi="宋体"/>
          <w:kern w:val="0"/>
          <w:sz w:val="24"/>
        </w:rPr>
        <w:t>j</w:t>
      </w:r>
      <w:r>
        <w:rPr>
          <w:rFonts w:hAnsi="宋体"/>
          <w:kern w:val="0"/>
          <w:sz w:val="24"/>
        </w:rPr>
        <w:t xml:space="preserve">) </w:t>
      </w:r>
      <w:r>
        <w:rPr>
          <w:rFonts w:hint="eastAsia" w:hAnsi="宋体"/>
          <w:kern w:val="0"/>
          <w:sz w:val="24"/>
        </w:rPr>
        <w:t>测试结果</w:t>
      </w:r>
      <w:r>
        <w:rPr>
          <w:rFonts w:hAnsi="宋体"/>
          <w:kern w:val="0"/>
          <w:sz w:val="24"/>
        </w:rPr>
        <w:t>，</w:t>
      </w:r>
      <w:r>
        <w:rPr>
          <w:rFonts w:hint="eastAsia" w:hAnsi="宋体"/>
          <w:kern w:val="0"/>
          <w:sz w:val="24"/>
        </w:rPr>
        <w:t>测试</w:t>
      </w:r>
      <w:r>
        <w:rPr>
          <w:rFonts w:hAnsi="宋体"/>
          <w:kern w:val="0"/>
          <w:sz w:val="24"/>
        </w:rPr>
        <w:t>结果的格式可参照附录</w:t>
      </w:r>
      <w:r>
        <w:rPr>
          <w:rFonts w:hint="eastAsia" w:hAnsi="宋体"/>
          <w:kern w:val="0"/>
          <w:sz w:val="24"/>
        </w:rPr>
        <w:t>B</w:t>
      </w:r>
      <w:r>
        <w:rPr>
          <w:rFonts w:hAnsi="宋体"/>
          <w:kern w:val="0"/>
          <w:sz w:val="24"/>
        </w:rPr>
        <w:t>完成；</w:t>
      </w:r>
    </w:p>
    <w:p w14:paraId="79721A17">
      <w:pPr>
        <w:widowControl/>
        <w:ind w:firstLine="480"/>
        <w:jc w:val="left"/>
        <w:rPr>
          <w:rFonts w:hAnsi="宋体"/>
          <w:kern w:val="0"/>
          <w:sz w:val="24"/>
        </w:rPr>
      </w:pPr>
      <w:r>
        <w:rPr>
          <w:rFonts w:hint="eastAsia" w:hAnsi="宋体"/>
          <w:kern w:val="0"/>
          <w:sz w:val="24"/>
        </w:rPr>
        <w:t>k</w:t>
      </w:r>
      <w:r>
        <w:rPr>
          <w:rFonts w:hAnsi="宋体"/>
          <w:kern w:val="0"/>
          <w:sz w:val="24"/>
        </w:rPr>
        <w:t>) 报告签发人的签名或等效标识；</w:t>
      </w:r>
    </w:p>
    <w:p w14:paraId="35316232">
      <w:pPr>
        <w:widowControl/>
        <w:ind w:firstLine="480"/>
        <w:jc w:val="left"/>
        <w:rPr>
          <w:rFonts w:hAnsi="宋体"/>
          <w:kern w:val="0"/>
          <w:sz w:val="24"/>
        </w:rPr>
      </w:pPr>
      <w:r>
        <w:rPr>
          <w:rFonts w:hint="eastAsia" w:hAnsi="宋体"/>
          <w:kern w:val="0"/>
          <w:sz w:val="24"/>
        </w:rPr>
        <w:t>l</w:t>
      </w:r>
      <w:r>
        <w:rPr>
          <w:rFonts w:hAnsi="宋体"/>
          <w:kern w:val="0"/>
          <w:sz w:val="24"/>
        </w:rPr>
        <w:t>) 测试结果仅是对被测对象有效的声明；</w:t>
      </w:r>
    </w:p>
    <w:p w14:paraId="03264B14">
      <w:pPr>
        <w:widowControl/>
        <w:ind w:firstLine="480"/>
        <w:jc w:val="left"/>
        <w:rPr>
          <w:rFonts w:hAnsi="宋体"/>
          <w:kern w:val="0"/>
          <w:sz w:val="24"/>
        </w:rPr>
      </w:pPr>
      <w:r>
        <w:rPr>
          <w:rFonts w:hint="eastAsia" w:hAnsi="宋体"/>
          <w:kern w:val="0"/>
          <w:sz w:val="24"/>
        </w:rPr>
        <w:t>m</w:t>
      </w:r>
      <w:r>
        <w:rPr>
          <w:rFonts w:hAnsi="宋体"/>
          <w:kern w:val="0"/>
          <w:sz w:val="24"/>
        </w:rPr>
        <w:t>) 未经</w:t>
      </w:r>
      <w:r>
        <w:rPr>
          <w:rFonts w:hint="eastAsia" w:hAnsi="宋体"/>
          <w:kern w:val="0"/>
          <w:sz w:val="24"/>
        </w:rPr>
        <w:t>测试</w:t>
      </w:r>
      <w:r>
        <w:rPr>
          <w:rFonts w:hAnsi="宋体"/>
          <w:kern w:val="0"/>
          <w:sz w:val="24"/>
        </w:rPr>
        <w:t>实验室书面批准，不得部分复制测试</w:t>
      </w:r>
      <w:r>
        <w:rPr>
          <w:rFonts w:hint="eastAsia" w:hAnsi="宋体"/>
          <w:kern w:val="0"/>
          <w:sz w:val="24"/>
          <w:lang w:eastAsia="zh-CN"/>
        </w:rPr>
        <w:t>报告</w:t>
      </w:r>
      <w:r>
        <w:rPr>
          <w:rFonts w:hAnsi="宋体"/>
          <w:kern w:val="0"/>
          <w:sz w:val="24"/>
        </w:rPr>
        <w:t>的声明。</w:t>
      </w:r>
      <w:bookmarkEnd w:id="207"/>
      <w:bookmarkEnd w:id="208"/>
      <w:bookmarkEnd w:id="209"/>
      <w:bookmarkEnd w:id="210"/>
      <w:bookmarkEnd w:id="211"/>
      <w:bookmarkEnd w:id="212"/>
    </w:p>
    <w:bookmarkEnd w:id="176"/>
    <w:bookmarkEnd w:id="177"/>
    <w:bookmarkEnd w:id="178"/>
    <w:bookmarkEnd w:id="179"/>
    <w:bookmarkEnd w:id="180"/>
    <w:bookmarkEnd w:id="181"/>
    <w:bookmarkEnd w:id="182"/>
    <w:bookmarkEnd w:id="183"/>
    <w:bookmarkEnd w:id="184"/>
    <w:p w14:paraId="091C24F5">
      <w:pPr>
        <w:spacing w:line="240" w:lineRule="auto"/>
        <w:ind w:firstLine="0" w:firstLineChars="0"/>
        <w:outlineLvl w:val="0"/>
        <w:rPr>
          <w:rFonts w:ascii="黑体" w:hAnsi="黑体" w:eastAsia="黑体" w:cs="黑体"/>
          <w:sz w:val="28"/>
          <w:szCs w:val="28"/>
        </w:rPr>
      </w:pPr>
      <w:r>
        <w:rPr>
          <w:sz w:val="24"/>
        </w:rPr>
        <w:br w:type="page"/>
      </w:r>
      <w:bookmarkStart w:id="213" w:name="_Toc3261"/>
      <w:bookmarkStart w:id="214" w:name="_Toc16476"/>
      <w:bookmarkStart w:id="215" w:name="_Toc4688"/>
      <w:bookmarkStart w:id="216" w:name="_Toc32316"/>
      <w:bookmarkStart w:id="217" w:name="_Toc18524"/>
      <w:bookmarkStart w:id="218" w:name="_Toc95"/>
      <w:bookmarkStart w:id="219" w:name="_Toc32723"/>
      <w:bookmarkStart w:id="220" w:name="_Toc14689"/>
      <w:bookmarkStart w:id="221" w:name="_Toc2365"/>
      <w:bookmarkStart w:id="222" w:name="_Toc4451"/>
      <w:bookmarkStart w:id="223" w:name="_Toc4428"/>
      <w:bookmarkStart w:id="224" w:name="_Toc398"/>
      <w:bookmarkStart w:id="225" w:name="_Toc4225"/>
      <w:bookmarkStart w:id="226" w:name="_Toc13635"/>
      <w:bookmarkStart w:id="227" w:name="_Toc17537"/>
      <w:r>
        <w:rPr>
          <w:rFonts w:hint="eastAsia" w:ascii="黑体" w:hAnsi="黑体" w:eastAsia="黑体" w:cs="黑体"/>
          <w:sz w:val="28"/>
          <w:szCs w:val="28"/>
        </w:rPr>
        <w:t>附录A</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06324C8">
      <w:pPr>
        <w:pStyle w:val="36"/>
        <w:tabs>
          <w:tab w:val="left" w:pos="1121"/>
        </w:tabs>
        <w:spacing w:line="364" w:lineRule="auto"/>
        <w:ind w:left="0" w:right="779" w:firstLine="560"/>
        <w:jc w:val="center"/>
        <w:rPr>
          <w:rFonts w:ascii="Times New Roman" w:hAnsi="Times New Roman" w:eastAsia="黑体"/>
          <w:sz w:val="28"/>
          <w:szCs w:val="28"/>
        </w:rPr>
      </w:pPr>
      <w:r>
        <w:rPr>
          <w:rFonts w:hint="eastAsia" w:ascii="Times New Roman" w:hAnsi="黑体" w:eastAsia="黑体"/>
          <w:sz w:val="28"/>
          <w:szCs w:val="28"/>
        </w:rPr>
        <w:t>测试</w:t>
      </w:r>
      <w:r>
        <w:rPr>
          <w:rFonts w:ascii="Times New Roman" w:hAnsi="黑体" w:eastAsia="黑体"/>
          <w:sz w:val="28"/>
          <w:szCs w:val="28"/>
        </w:rPr>
        <w:t>记录</w:t>
      </w:r>
      <w:r>
        <w:rPr>
          <w:rFonts w:hint="eastAsia" w:ascii="Times New Roman" w:hAnsi="黑体" w:eastAsia="黑体"/>
          <w:sz w:val="28"/>
          <w:szCs w:val="28"/>
        </w:rPr>
        <w:t>参考</w:t>
      </w:r>
      <w:r>
        <w:rPr>
          <w:rFonts w:ascii="Times New Roman" w:hAnsi="黑体" w:eastAsia="黑体"/>
          <w:sz w:val="28"/>
          <w:szCs w:val="28"/>
        </w:rPr>
        <w:t>格式</w:t>
      </w:r>
    </w:p>
    <w:p w14:paraId="2B81C604">
      <w:pPr>
        <w:adjustRightInd w:val="0"/>
        <w:snapToGrid w:val="0"/>
        <w:ind w:firstLine="480"/>
        <w:rPr>
          <w:rFonts w:hint="eastAsia" w:ascii="Times New Roman" w:hAnsi="Times New Roman" w:eastAsia="宋体" w:cs="Times New Roman"/>
          <w:sz w:val="24"/>
        </w:rPr>
      </w:pPr>
      <w:r>
        <w:rPr>
          <w:rFonts w:hint="eastAsia" w:ascii="Times New Roman" w:hAnsi="Times New Roman" w:eastAsia="宋体" w:cs="Times New Roman"/>
          <w:sz w:val="24"/>
        </w:rPr>
        <w:t>1、基本信息</w:t>
      </w:r>
    </w:p>
    <w:tbl>
      <w:tblPr>
        <w:tblStyle w:val="18"/>
        <w:tblpPr w:leftFromText="180" w:rightFromText="180" w:vertAnchor="text" w:horzAnchor="margin" w:tblpY="9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104"/>
        <w:gridCol w:w="2041"/>
        <w:gridCol w:w="2110"/>
        <w:gridCol w:w="2041"/>
      </w:tblGrid>
      <w:tr w14:paraId="191BED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4" w:type="dxa"/>
            <w:noWrap w:val="0"/>
            <w:vAlign w:val="center"/>
          </w:tcPr>
          <w:p w14:paraId="441C0E2B">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委托单位</w:t>
            </w:r>
          </w:p>
        </w:tc>
        <w:tc>
          <w:tcPr>
            <w:tcW w:w="2041" w:type="dxa"/>
            <w:noWrap w:val="0"/>
            <w:vAlign w:val="center"/>
          </w:tcPr>
          <w:p w14:paraId="41100CB1">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c>
          <w:tcPr>
            <w:tcW w:w="2110" w:type="dxa"/>
            <w:noWrap w:val="0"/>
            <w:vAlign w:val="center"/>
          </w:tcPr>
          <w:p w14:paraId="0AA2B757">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样品</w:t>
            </w:r>
            <w:r>
              <w:rPr>
                <w:rFonts w:hint="eastAsia" w:ascii="宋体" w:hAnsi="宋体" w:eastAsia="宋体" w:cs="宋体"/>
                <w:color w:val="000000"/>
                <w:sz w:val="24"/>
                <w:szCs w:val="24"/>
                <w:highlight w:val="none"/>
                <w:lang w:val="en-US" w:eastAsia="zh-CN"/>
              </w:rPr>
              <w:t>名称</w:t>
            </w:r>
          </w:p>
        </w:tc>
        <w:tc>
          <w:tcPr>
            <w:tcW w:w="2041" w:type="dxa"/>
            <w:noWrap w:val="0"/>
            <w:vAlign w:val="center"/>
          </w:tcPr>
          <w:p w14:paraId="66A406D9">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r>
      <w:tr w14:paraId="6E3E0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4" w:type="dxa"/>
            <w:noWrap w:val="0"/>
            <w:vAlign w:val="center"/>
          </w:tcPr>
          <w:p w14:paraId="223E1A08">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制造单位</w:t>
            </w:r>
          </w:p>
        </w:tc>
        <w:tc>
          <w:tcPr>
            <w:tcW w:w="2041" w:type="dxa"/>
            <w:noWrap w:val="0"/>
            <w:vAlign w:val="center"/>
          </w:tcPr>
          <w:p w14:paraId="1797A6CE">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c>
          <w:tcPr>
            <w:tcW w:w="2110" w:type="dxa"/>
            <w:noWrap w:val="0"/>
            <w:vAlign w:val="center"/>
          </w:tcPr>
          <w:p w14:paraId="6618C529">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型号、规格</w:t>
            </w:r>
          </w:p>
        </w:tc>
        <w:tc>
          <w:tcPr>
            <w:tcW w:w="2041" w:type="dxa"/>
            <w:noWrap w:val="0"/>
            <w:vAlign w:val="center"/>
          </w:tcPr>
          <w:p w14:paraId="55F89A85">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r>
      <w:tr w14:paraId="23EC0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4" w:type="dxa"/>
            <w:noWrap w:val="0"/>
            <w:vAlign w:val="center"/>
          </w:tcPr>
          <w:p w14:paraId="77E8C8BF">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软件名称</w:t>
            </w:r>
          </w:p>
        </w:tc>
        <w:tc>
          <w:tcPr>
            <w:tcW w:w="2041" w:type="dxa"/>
            <w:noWrap w:val="0"/>
            <w:vAlign w:val="center"/>
          </w:tcPr>
          <w:p w14:paraId="6B77AD1A">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c>
          <w:tcPr>
            <w:tcW w:w="2110" w:type="dxa"/>
            <w:noWrap w:val="0"/>
            <w:vAlign w:val="center"/>
          </w:tcPr>
          <w:p w14:paraId="76B88642">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软件状态</w:t>
            </w:r>
          </w:p>
        </w:tc>
        <w:tc>
          <w:tcPr>
            <w:tcW w:w="2041" w:type="dxa"/>
            <w:noWrap w:val="0"/>
            <w:vAlign w:val="center"/>
          </w:tcPr>
          <w:p w14:paraId="3685C1BB">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r>
      <w:tr w14:paraId="755005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4" w:type="dxa"/>
            <w:noWrap w:val="0"/>
            <w:vAlign w:val="center"/>
          </w:tcPr>
          <w:p w14:paraId="2B1DD92C">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软件版本</w:t>
            </w:r>
          </w:p>
        </w:tc>
        <w:tc>
          <w:tcPr>
            <w:tcW w:w="2041" w:type="dxa"/>
            <w:noWrap w:val="0"/>
            <w:vAlign w:val="center"/>
          </w:tcPr>
          <w:p w14:paraId="17AE3F6C">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c>
          <w:tcPr>
            <w:tcW w:w="2110" w:type="dxa"/>
            <w:noWrap w:val="0"/>
            <w:vAlign w:val="center"/>
          </w:tcPr>
          <w:p w14:paraId="727389E4">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抽/送样人</w:t>
            </w:r>
          </w:p>
        </w:tc>
        <w:tc>
          <w:tcPr>
            <w:tcW w:w="2041" w:type="dxa"/>
            <w:noWrap w:val="0"/>
            <w:vAlign w:val="center"/>
          </w:tcPr>
          <w:p w14:paraId="1046EF1B">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r>
      <w:tr w14:paraId="3CE14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4" w:type="dxa"/>
            <w:noWrap w:val="0"/>
            <w:vAlign w:val="center"/>
          </w:tcPr>
          <w:p w14:paraId="003288A2">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测试起止日期</w:t>
            </w:r>
          </w:p>
        </w:tc>
        <w:tc>
          <w:tcPr>
            <w:tcW w:w="6192" w:type="dxa"/>
            <w:gridSpan w:val="3"/>
            <w:noWrap w:val="0"/>
            <w:vAlign w:val="center"/>
          </w:tcPr>
          <w:p w14:paraId="0B863AFE">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r>
      <w:tr w14:paraId="7A130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4" w:type="dxa"/>
            <w:noWrap w:val="0"/>
            <w:vAlign w:val="center"/>
          </w:tcPr>
          <w:p w14:paraId="46CC83D9">
            <w:pPr>
              <w:ind w:left="0" w:leftChars="0" w:firstLine="0" w:firstLineChars="0"/>
              <w:jc w:val="center"/>
              <w:outlineLvl w:val="2"/>
              <w:rPr>
                <w:rFonts w:hint="default"/>
                <w:lang w:val="en-US" w:eastAsia="zh-CN"/>
              </w:rPr>
            </w:pPr>
            <w:r>
              <w:rPr>
                <w:rFonts w:hint="eastAsia" w:ascii="宋体" w:hAnsi="宋体" w:cs="宋体"/>
                <w:color w:val="000000"/>
                <w:sz w:val="24"/>
                <w:szCs w:val="24"/>
                <w:highlight w:val="none"/>
                <w:lang w:val="en-US" w:eastAsia="zh-CN"/>
              </w:rPr>
              <w:t>测试项目</w:t>
            </w:r>
          </w:p>
        </w:tc>
        <w:tc>
          <w:tcPr>
            <w:tcW w:w="6192" w:type="dxa"/>
            <w:gridSpan w:val="3"/>
            <w:noWrap w:val="0"/>
            <w:vAlign w:val="center"/>
          </w:tcPr>
          <w:p w14:paraId="61403852">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r>
      <w:tr w14:paraId="515F0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04" w:type="dxa"/>
            <w:noWrap w:val="0"/>
            <w:vAlign w:val="center"/>
          </w:tcPr>
          <w:p w14:paraId="7F8E5ADE">
            <w:pPr>
              <w:ind w:left="0" w:leftChars="0" w:firstLine="0" w:firstLineChars="0"/>
              <w:jc w:val="center"/>
              <w:outlineLvl w:val="2"/>
              <w:rPr>
                <w:rFonts w:hint="default"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测试依据</w:t>
            </w:r>
          </w:p>
        </w:tc>
        <w:tc>
          <w:tcPr>
            <w:tcW w:w="6192" w:type="dxa"/>
            <w:gridSpan w:val="3"/>
            <w:noWrap w:val="0"/>
            <w:vAlign w:val="center"/>
          </w:tcPr>
          <w:p w14:paraId="12981C40">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r>
    </w:tbl>
    <w:p w14:paraId="4DF7740C">
      <w:pPr>
        <w:pStyle w:val="2"/>
        <w:rPr>
          <w:rFonts w:hint="eastAsia"/>
        </w:rPr>
      </w:pPr>
    </w:p>
    <w:p w14:paraId="68AC25AB">
      <w:pPr>
        <w:adjustRightInd w:val="0"/>
        <w:snapToGrid w:val="0"/>
        <w:ind w:firstLine="48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2、测试用例</w:t>
      </w:r>
    </w:p>
    <w:tbl>
      <w:tblPr>
        <w:tblStyle w:val="19"/>
        <w:tblW w:w="493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1185"/>
        <w:gridCol w:w="2865"/>
        <w:gridCol w:w="941"/>
        <w:gridCol w:w="1518"/>
        <w:gridCol w:w="1030"/>
      </w:tblGrid>
      <w:tr w14:paraId="3AA63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noWrap w:val="0"/>
            <w:vAlign w:val="center"/>
          </w:tcPr>
          <w:p w14:paraId="1E2B6FD3">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序号</w:t>
            </w:r>
          </w:p>
        </w:tc>
        <w:tc>
          <w:tcPr>
            <w:tcW w:w="704" w:type="pct"/>
            <w:noWrap w:val="0"/>
            <w:vAlign w:val="center"/>
          </w:tcPr>
          <w:p w14:paraId="7D94AE78">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测试功能名称</w:t>
            </w:r>
          </w:p>
        </w:tc>
        <w:tc>
          <w:tcPr>
            <w:tcW w:w="1702" w:type="pct"/>
            <w:noWrap w:val="0"/>
            <w:vAlign w:val="center"/>
          </w:tcPr>
          <w:p w14:paraId="31D2B883">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测试步骤</w:t>
            </w:r>
          </w:p>
        </w:tc>
        <w:tc>
          <w:tcPr>
            <w:tcW w:w="559" w:type="pct"/>
            <w:noWrap w:val="0"/>
            <w:vAlign w:val="center"/>
          </w:tcPr>
          <w:p w14:paraId="7CA1A394">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预期测试结果</w:t>
            </w:r>
          </w:p>
        </w:tc>
        <w:tc>
          <w:tcPr>
            <w:tcW w:w="902" w:type="pct"/>
            <w:noWrap w:val="0"/>
            <w:vAlign w:val="center"/>
          </w:tcPr>
          <w:p w14:paraId="5694D454">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实际结果</w:t>
            </w:r>
          </w:p>
        </w:tc>
        <w:tc>
          <w:tcPr>
            <w:tcW w:w="612" w:type="pct"/>
            <w:noWrap w:val="0"/>
            <w:vAlign w:val="center"/>
          </w:tcPr>
          <w:p w14:paraId="24DCFA44">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是否</w:t>
            </w:r>
          </w:p>
          <w:p w14:paraId="5200EBED">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w:t>
            </w:r>
          </w:p>
        </w:tc>
      </w:tr>
      <w:tr w14:paraId="254B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noWrap w:val="0"/>
            <w:vAlign w:val="center"/>
          </w:tcPr>
          <w:p w14:paraId="3C970A18">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p>
        </w:tc>
        <w:tc>
          <w:tcPr>
            <w:tcW w:w="704" w:type="pct"/>
            <w:noWrap w:val="0"/>
            <w:vAlign w:val="center"/>
          </w:tcPr>
          <w:p w14:paraId="7F68C260">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702" w:type="pct"/>
            <w:noWrap w:val="0"/>
            <w:vAlign w:val="center"/>
          </w:tcPr>
          <w:p w14:paraId="673148D7">
            <w:pPr>
              <w:ind w:left="0" w:leftChars="0" w:firstLine="0" w:firstLineChars="0"/>
              <w:jc w:val="left"/>
              <w:outlineLvl w:val="2"/>
              <w:rPr>
                <w:rFonts w:hint="default" w:ascii="宋体" w:hAnsi="宋体" w:eastAsia="宋体" w:cs="宋体"/>
                <w:color w:val="000000"/>
                <w:sz w:val="24"/>
                <w:szCs w:val="24"/>
                <w:highlight w:val="none"/>
                <w:lang w:val="en-US" w:eastAsia="zh-CN"/>
              </w:rPr>
            </w:pPr>
          </w:p>
        </w:tc>
        <w:tc>
          <w:tcPr>
            <w:tcW w:w="559" w:type="pct"/>
            <w:noWrap w:val="0"/>
            <w:vAlign w:val="center"/>
          </w:tcPr>
          <w:p w14:paraId="734E6DD8">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902" w:type="pct"/>
            <w:noWrap w:val="0"/>
            <w:vAlign w:val="center"/>
          </w:tcPr>
          <w:p w14:paraId="0A024D03">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612" w:type="pct"/>
            <w:noWrap w:val="0"/>
            <w:vAlign w:val="center"/>
          </w:tcPr>
          <w:p w14:paraId="493EA077">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r>
      <w:tr w14:paraId="1ADC5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noWrap w:val="0"/>
            <w:vAlign w:val="center"/>
          </w:tcPr>
          <w:p w14:paraId="6E81A85E">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w:t>
            </w:r>
          </w:p>
        </w:tc>
        <w:tc>
          <w:tcPr>
            <w:tcW w:w="704" w:type="pct"/>
            <w:noWrap w:val="0"/>
            <w:vAlign w:val="center"/>
          </w:tcPr>
          <w:p w14:paraId="62DF98F7">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702" w:type="pct"/>
            <w:noWrap w:val="0"/>
            <w:vAlign w:val="center"/>
          </w:tcPr>
          <w:p w14:paraId="2D1214D4">
            <w:pPr>
              <w:ind w:left="0" w:leftChars="0" w:firstLine="0" w:firstLineChars="0"/>
              <w:jc w:val="left"/>
              <w:outlineLvl w:val="2"/>
              <w:rPr>
                <w:rFonts w:hint="default" w:ascii="宋体" w:hAnsi="宋体" w:eastAsia="宋体" w:cs="宋体"/>
                <w:color w:val="000000"/>
                <w:sz w:val="24"/>
                <w:szCs w:val="24"/>
                <w:highlight w:val="none"/>
                <w:lang w:val="en-US" w:eastAsia="zh-CN"/>
              </w:rPr>
            </w:pPr>
          </w:p>
        </w:tc>
        <w:tc>
          <w:tcPr>
            <w:tcW w:w="559" w:type="pct"/>
            <w:noWrap w:val="0"/>
            <w:vAlign w:val="center"/>
          </w:tcPr>
          <w:p w14:paraId="18F76C44">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902" w:type="pct"/>
            <w:noWrap w:val="0"/>
            <w:vAlign w:val="center"/>
          </w:tcPr>
          <w:p w14:paraId="6E864A50">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612" w:type="pct"/>
            <w:noWrap w:val="0"/>
            <w:vAlign w:val="center"/>
          </w:tcPr>
          <w:p w14:paraId="1F912646">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r>
      <w:tr w14:paraId="2BDF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noWrap w:val="0"/>
            <w:vAlign w:val="center"/>
          </w:tcPr>
          <w:p w14:paraId="5A94A892">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w:t>
            </w:r>
          </w:p>
        </w:tc>
        <w:tc>
          <w:tcPr>
            <w:tcW w:w="704" w:type="pct"/>
            <w:noWrap w:val="0"/>
            <w:vAlign w:val="center"/>
          </w:tcPr>
          <w:p w14:paraId="31DF9D82">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702" w:type="pct"/>
            <w:noWrap w:val="0"/>
            <w:vAlign w:val="center"/>
          </w:tcPr>
          <w:p w14:paraId="461A592D">
            <w:pPr>
              <w:ind w:left="0" w:leftChars="0" w:firstLine="0" w:firstLineChars="0"/>
              <w:jc w:val="left"/>
              <w:outlineLvl w:val="2"/>
              <w:rPr>
                <w:rFonts w:hint="default" w:ascii="宋体" w:hAnsi="宋体" w:eastAsia="宋体" w:cs="宋体"/>
                <w:color w:val="000000"/>
                <w:sz w:val="24"/>
                <w:szCs w:val="24"/>
                <w:highlight w:val="none"/>
                <w:lang w:val="en-US" w:eastAsia="zh-CN"/>
              </w:rPr>
            </w:pPr>
          </w:p>
        </w:tc>
        <w:tc>
          <w:tcPr>
            <w:tcW w:w="559" w:type="pct"/>
            <w:noWrap w:val="0"/>
            <w:vAlign w:val="center"/>
          </w:tcPr>
          <w:p w14:paraId="46677B93">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c>
          <w:tcPr>
            <w:tcW w:w="902" w:type="pct"/>
            <w:noWrap w:val="0"/>
            <w:vAlign w:val="center"/>
          </w:tcPr>
          <w:p w14:paraId="413132C5">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c>
          <w:tcPr>
            <w:tcW w:w="612" w:type="pct"/>
            <w:noWrap w:val="0"/>
            <w:vAlign w:val="center"/>
          </w:tcPr>
          <w:p w14:paraId="2DE3885C">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r>
    </w:tbl>
    <w:p w14:paraId="790496FE">
      <w:pPr>
        <w:rPr>
          <w:rFonts w:hint="eastAsia"/>
        </w:rPr>
      </w:pPr>
    </w:p>
    <w:p w14:paraId="6272CD49">
      <w:pPr>
        <w:rPr>
          <w:rFonts w:hint="eastAsia"/>
        </w:rPr>
      </w:pPr>
    </w:p>
    <w:p w14:paraId="534678E6">
      <w:pPr>
        <w:pStyle w:val="2"/>
        <w:rPr>
          <w:rFonts w:hint="eastAsia"/>
        </w:rPr>
      </w:pPr>
    </w:p>
    <w:p w14:paraId="59AFE7C0">
      <w:pPr>
        <w:pStyle w:val="2"/>
        <w:rPr>
          <w:rFonts w:hint="eastAsia"/>
        </w:rPr>
      </w:pPr>
    </w:p>
    <w:p w14:paraId="43D9A9F2">
      <w:pPr>
        <w:pStyle w:val="2"/>
        <w:rPr>
          <w:rFonts w:hint="eastAsia"/>
        </w:rPr>
      </w:pPr>
    </w:p>
    <w:p w14:paraId="2F4DFC89">
      <w:pPr>
        <w:pStyle w:val="2"/>
        <w:rPr>
          <w:rFonts w:hint="eastAsia"/>
        </w:rPr>
      </w:pPr>
    </w:p>
    <w:p w14:paraId="07C0E5F8">
      <w:pPr>
        <w:pStyle w:val="2"/>
        <w:rPr>
          <w:rFonts w:hint="eastAsia"/>
        </w:rPr>
      </w:pPr>
    </w:p>
    <w:p w14:paraId="40806A39">
      <w:pPr>
        <w:pStyle w:val="2"/>
        <w:rPr>
          <w:rFonts w:hint="eastAsia"/>
        </w:rPr>
      </w:pPr>
    </w:p>
    <w:p w14:paraId="55D410B3">
      <w:pPr>
        <w:pStyle w:val="2"/>
        <w:rPr>
          <w:rFonts w:hint="eastAsia"/>
        </w:rPr>
      </w:pPr>
    </w:p>
    <w:p w14:paraId="6F8ADAB3">
      <w:pPr>
        <w:pStyle w:val="2"/>
        <w:rPr>
          <w:rFonts w:hint="eastAsia"/>
        </w:rPr>
      </w:pPr>
    </w:p>
    <w:p w14:paraId="32167A09">
      <w:pPr>
        <w:pStyle w:val="2"/>
        <w:rPr>
          <w:rFonts w:hint="eastAsia"/>
        </w:rPr>
      </w:pPr>
    </w:p>
    <w:p w14:paraId="6487F8EC">
      <w:pPr>
        <w:spacing w:line="240" w:lineRule="auto"/>
        <w:ind w:firstLine="0" w:firstLineChars="0"/>
        <w:outlineLvl w:val="0"/>
        <w:rPr>
          <w:rFonts w:hint="eastAsia" w:ascii="黑体" w:hAnsi="黑体" w:eastAsia="黑体" w:cs="黑体"/>
          <w:sz w:val="28"/>
          <w:szCs w:val="28"/>
          <w:lang w:val="en-US" w:eastAsia="zh-CN"/>
        </w:rPr>
      </w:pPr>
      <w:bookmarkStart w:id="228" w:name="_Toc9546"/>
      <w:r>
        <w:rPr>
          <w:rFonts w:hint="eastAsia" w:ascii="黑体" w:hAnsi="黑体" w:eastAsia="黑体" w:cs="黑体"/>
          <w:sz w:val="28"/>
          <w:szCs w:val="28"/>
        </w:rPr>
        <w:t>附录A</w:t>
      </w:r>
      <w:r>
        <w:rPr>
          <w:rFonts w:hint="eastAsia" w:ascii="黑体" w:hAnsi="黑体" w:eastAsia="黑体" w:cs="黑体"/>
          <w:sz w:val="28"/>
          <w:szCs w:val="28"/>
          <w:lang w:val="en-US" w:eastAsia="zh-CN"/>
        </w:rPr>
        <w:t xml:space="preserve">续 </w:t>
      </w:r>
      <w:bookmarkEnd w:id="228"/>
      <w:bookmarkStart w:id="233" w:name="_GoBack"/>
      <w:bookmarkEnd w:id="233"/>
    </w:p>
    <w:p w14:paraId="7D0D29E2">
      <w:pPr>
        <w:adjustRightInd w:val="0"/>
        <w:snapToGrid w:val="0"/>
        <w:ind w:firstLine="48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3、测试记录</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1988"/>
        <w:gridCol w:w="1856"/>
        <w:gridCol w:w="1163"/>
        <w:gridCol w:w="1312"/>
        <w:gridCol w:w="1289"/>
      </w:tblGrid>
      <w:tr w14:paraId="7436F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914" w:type="dxa"/>
            <w:vMerge w:val="restart"/>
            <w:noWrap w:val="0"/>
            <w:vAlign w:val="center"/>
          </w:tcPr>
          <w:p w14:paraId="1EA2CD2D">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序号</w:t>
            </w:r>
          </w:p>
        </w:tc>
        <w:tc>
          <w:tcPr>
            <w:tcW w:w="1988" w:type="dxa"/>
            <w:vMerge w:val="restart"/>
            <w:noWrap w:val="0"/>
            <w:vAlign w:val="center"/>
          </w:tcPr>
          <w:p w14:paraId="5E881441">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测试项目</w:t>
            </w:r>
          </w:p>
        </w:tc>
        <w:tc>
          <w:tcPr>
            <w:tcW w:w="1856" w:type="dxa"/>
            <w:vMerge w:val="restart"/>
            <w:noWrap w:val="0"/>
            <w:vAlign w:val="center"/>
          </w:tcPr>
          <w:p w14:paraId="1BE8BA10">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测试内容</w:t>
            </w:r>
          </w:p>
        </w:tc>
        <w:tc>
          <w:tcPr>
            <w:tcW w:w="3764" w:type="dxa"/>
            <w:gridSpan w:val="3"/>
            <w:noWrap w:val="0"/>
            <w:vAlign w:val="center"/>
          </w:tcPr>
          <w:p w14:paraId="1CD1DBA0">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测试结果</w:t>
            </w:r>
          </w:p>
        </w:tc>
      </w:tr>
      <w:tr w14:paraId="2335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914" w:type="dxa"/>
            <w:vMerge w:val="continue"/>
            <w:noWrap w:val="0"/>
            <w:vAlign w:val="center"/>
          </w:tcPr>
          <w:p w14:paraId="74986A8E">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c>
          <w:tcPr>
            <w:tcW w:w="1988" w:type="dxa"/>
            <w:vMerge w:val="continue"/>
            <w:noWrap w:val="0"/>
            <w:vAlign w:val="center"/>
          </w:tcPr>
          <w:p w14:paraId="1BE30052">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c>
          <w:tcPr>
            <w:tcW w:w="1856" w:type="dxa"/>
            <w:vMerge w:val="continue"/>
            <w:noWrap w:val="0"/>
            <w:vAlign w:val="center"/>
          </w:tcPr>
          <w:p w14:paraId="6E10A9FC">
            <w:pPr>
              <w:ind w:left="0" w:leftChars="0" w:firstLine="0" w:firstLineChars="0"/>
              <w:jc w:val="center"/>
              <w:outlineLvl w:val="2"/>
              <w:rPr>
                <w:rFonts w:hint="eastAsia" w:ascii="宋体" w:hAnsi="宋体" w:eastAsia="宋体" w:cs="宋体"/>
                <w:color w:val="000000"/>
                <w:sz w:val="24"/>
                <w:szCs w:val="24"/>
                <w:highlight w:val="none"/>
                <w:lang w:val="en-US" w:eastAsia="zh-CN"/>
              </w:rPr>
            </w:pPr>
          </w:p>
        </w:tc>
        <w:tc>
          <w:tcPr>
            <w:tcW w:w="1163" w:type="dxa"/>
            <w:noWrap w:val="0"/>
            <w:vAlign w:val="center"/>
          </w:tcPr>
          <w:p w14:paraId="398CC5BE">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w:t>
            </w:r>
          </w:p>
        </w:tc>
        <w:tc>
          <w:tcPr>
            <w:tcW w:w="1312" w:type="dxa"/>
            <w:noWrap w:val="0"/>
            <w:vAlign w:val="center"/>
          </w:tcPr>
          <w:p w14:paraId="59A82DD6">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不通过</w:t>
            </w:r>
          </w:p>
        </w:tc>
        <w:tc>
          <w:tcPr>
            <w:tcW w:w="1289" w:type="dxa"/>
            <w:noWrap w:val="0"/>
            <w:vAlign w:val="center"/>
          </w:tcPr>
          <w:p w14:paraId="585670C9">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不适用</w:t>
            </w:r>
          </w:p>
        </w:tc>
      </w:tr>
      <w:tr w14:paraId="4A11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noWrap w:val="0"/>
            <w:vAlign w:val="center"/>
          </w:tcPr>
          <w:p w14:paraId="6F7ACCE3">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p>
        </w:tc>
        <w:tc>
          <w:tcPr>
            <w:tcW w:w="1988" w:type="dxa"/>
            <w:noWrap w:val="0"/>
            <w:vAlign w:val="center"/>
          </w:tcPr>
          <w:p w14:paraId="796CD0F7">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856" w:type="dxa"/>
            <w:noWrap w:val="0"/>
            <w:vAlign w:val="center"/>
          </w:tcPr>
          <w:p w14:paraId="081E4235">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163" w:type="dxa"/>
            <w:noWrap w:val="0"/>
            <w:vAlign w:val="center"/>
          </w:tcPr>
          <w:p w14:paraId="423518B9">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312" w:type="dxa"/>
            <w:noWrap w:val="0"/>
            <w:vAlign w:val="center"/>
          </w:tcPr>
          <w:p w14:paraId="468F7B35">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289" w:type="dxa"/>
            <w:noWrap w:val="0"/>
            <w:vAlign w:val="center"/>
          </w:tcPr>
          <w:p w14:paraId="67D2A7DE">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r>
      <w:tr w14:paraId="75DD8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noWrap w:val="0"/>
            <w:vAlign w:val="center"/>
          </w:tcPr>
          <w:p w14:paraId="3C2FA1FA">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w:t>
            </w:r>
          </w:p>
        </w:tc>
        <w:tc>
          <w:tcPr>
            <w:tcW w:w="1988" w:type="dxa"/>
            <w:noWrap w:val="0"/>
            <w:vAlign w:val="center"/>
          </w:tcPr>
          <w:p w14:paraId="4C59B8BA">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856" w:type="dxa"/>
            <w:noWrap w:val="0"/>
            <w:vAlign w:val="center"/>
          </w:tcPr>
          <w:p w14:paraId="5BBCFB9F">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163" w:type="dxa"/>
            <w:noWrap w:val="0"/>
            <w:vAlign w:val="center"/>
          </w:tcPr>
          <w:p w14:paraId="5460A683">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312" w:type="dxa"/>
            <w:noWrap w:val="0"/>
            <w:vAlign w:val="center"/>
          </w:tcPr>
          <w:p w14:paraId="1123F8D4">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289" w:type="dxa"/>
            <w:noWrap w:val="0"/>
            <w:vAlign w:val="center"/>
          </w:tcPr>
          <w:p w14:paraId="6A3CC478">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r>
      <w:tr w14:paraId="5F063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noWrap w:val="0"/>
            <w:vAlign w:val="center"/>
          </w:tcPr>
          <w:p w14:paraId="260E56B7">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w:t>
            </w:r>
          </w:p>
        </w:tc>
        <w:tc>
          <w:tcPr>
            <w:tcW w:w="1988" w:type="dxa"/>
            <w:noWrap w:val="0"/>
            <w:vAlign w:val="center"/>
          </w:tcPr>
          <w:p w14:paraId="1BB43DF4">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856" w:type="dxa"/>
            <w:noWrap w:val="0"/>
            <w:vAlign w:val="center"/>
          </w:tcPr>
          <w:p w14:paraId="097B8521">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163" w:type="dxa"/>
            <w:noWrap w:val="0"/>
            <w:vAlign w:val="center"/>
          </w:tcPr>
          <w:p w14:paraId="10F3076C">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312" w:type="dxa"/>
            <w:noWrap w:val="0"/>
            <w:vAlign w:val="center"/>
          </w:tcPr>
          <w:p w14:paraId="2719689C">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c>
          <w:tcPr>
            <w:tcW w:w="1289" w:type="dxa"/>
            <w:noWrap w:val="0"/>
            <w:vAlign w:val="center"/>
          </w:tcPr>
          <w:p w14:paraId="1DC14BF0">
            <w:pPr>
              <w:ind w:left="0" w:leftChars="0" w:firstLine="0" w:firstLineChars="0"/>
              <w:jc w:val="center"/>
              <w:outlineLvl w:val="2"/>
              <w:rPr>
                <w:rFonts w:hint="default" w:ascii="宋体" w:hAnsi="宋体" w:eastAsia="宋体" w:cs="宋体"/>
                <w:color w:val="000000"/>
                <w:sz w:val="24"/>
                <w:szCs w:val="24"/>
                <w:highlight w:val="none"/>
                <w:lang w:val="en-US" w:eastAsia="zh-CN"/>
              </w:rPr>
            </w:pPr>
          </w:p>
        </w:tc>
      </w:tr>
      <w:tr w14:paraId="4AD92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noWrap w:val="0"/>
            <w:vAlign w:val="center"/>
          </w:tcPr>
          <w:p w14:paraId="0FD2E515">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p>
        </w:tc>
        <w:tc>
          <w:tcPr>
            <w:tcW w:w="1988" w:type="dxa"/>
            <w:noWrap w:val="0"/>
            <w:vAlign w:val="center"/>
          </w:tcPr>
          <w:p w14:paraId="0D110197">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p>
        </w:tc>
        <w:tc>
          <w:tcPr>
            <w:tcW w:w="1856" w:type="dxa"/>
            <w:noWrap w:val="0"/>
            <w:vAlign w:val="center"/>
          </w:tcPr>
          <w:p w14:paraId="4D5F1561">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p>
        </w:tc>
        <w:tc>
          <w:tcPr>
            <w:tcW w:w="1163" w:type="dxa"/>
            <w:noWrap w:val="0"/>
            <w:vAlign w:val="center"/>
          </w:tcPr>
          <w:p w14:paraId="1A903B44">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p>
        </w:tc>
        <w:tc>
          <w:tcPr>
            <w:tcW w:w="1312" w:type="dxa"/>
            <w:noWrap w:val="0"/>
            <w:vAlign w:val="center"/>
          </w:tcPr>
          <w:p w14:paraId="37CE333A">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p>
        </w:tc>
        <w:tc>
          <w:tcPr>
            <w:tcW w:w="1289" w:type="dxa"/>
            <w:noWrap w:val="0"/>
            <w:vAlign w:val="center"/>
          </w:tcPr>
          <w:p w14:paraId="6D33EBFA">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p>
        </w:tc>
      </w:tr>
    </w:tbl>
    <w:p w14:paraId="12CA13E8">
      <w:pPr>
        <w:pStyle w:val="2"/>
        <w:rPr>
          <w:rFonts w:hint="eastAsia"/>
        </w:rPr>
      </w:pPr>
    </w:p>
    <w:p w14:paraId="2BD37F1E">
      <w:pPr>
        <w:ind w:firstLine="0" w:firstLineChars="0"/>
        <w:rPr>
          <w:sz w:val="24"/>
        </w:rPr>
        <w:sectPr>
          <w:footerReference r:id="rId21" w:type="default"/>
          <w:footerReference r:id="rId22" w:type="even"/>
          <w:pgSz w:w="11906" w:h="16838"/>
          <w:pgMar w:top="1440" w:right="1800" w:bottom="1440" w:left="1800" w:header="851" w:footer="992" w:gutter="0"/>
          <w:pgNumType w:fmt="decimal" w:start="1"/>
          <w:cols w:space="720" w:num="1"/>
          <w:docGrid w:type="lines" w:linePitch="312" w:charSpace="0"/>
        </w:sectPr>
      </w:pPr>
    </w:p>
    <w:p w14:paraId="68D6AA3E">
      <w:pPr>
        <w:widowControl/>
        <w:spacing w:line="240" w:lineRule="auto"/>
        <w:ind w:firstLine="0" w:firstLineChars="0"/>
        <w:outlineLvl w:val="0"/>
        <w:rPr>
          <w:rFonts w:ascii="黑体" w:hAnsi="黑体" w:eastAsia="黑体" w:cs="黑体"/>
          <w:sz w:val="28"/>
          <w:szCs w:val="28"/>
        </w:rPr>
      </w:pPr>
      <w:bookmarkStart w:id="229" w:name="_Toc152490507"/>
      <w:bookmarkStart w:id="230" w:name="_Toc3810"/>
      <w:r>
        <w:rPr>
          <w:rFonts w:hint="eastAsia" w:ascii="黑体" w:hAnsi="黑体" w:eastAsia="黑体" w:cs="黑体"/>
          <w:sz w:val="28"/>
          <w:szCs w:val="28"/>
        </w:rPr>
        <w:t>附录B</w:t>
      </w:r>
      <w:bookmarkEnd w:id="229"/>
      <w:bookmarkEnd w:id="230"/>
    </w:p>
    <w:p w14:paraId="2FE86A90">
      <w:pPr>
        <w:pStyle w:val="36"/>
        <w:tabs>
          <w:tab w:val="left" w:pos="1121"/>
        </w:tabs>
        <w:spacing w:line="364" w:lineRule="auto"/>
        <w:ind w:left="0" w:right="779" w:firstLine="560"/>
        <w:jc w:val="center"/>
        <w:rPr>
          <w:rFonts w:hint="eastAsia" w:ascii="Times New Roman" w:hAnsi="黑体" w:eastAsia="黑体" w:cs="Times New Roman"/>
          <w:sz w:val="28"/>
          <w:szCs w:val="28"/>
        </w:rPr>
      </w:pPr>
      <w:bookmarkStart w:id="231" w:name="_Hlk152491225"/>
      <w:r>
        <w:rPr>
          <w:rFonts w:hint="eastAsia" w:ascii="Times New Roman" w:hAnsi="黑体" w:eastAsia="黑体" w:cs="Times New Roman"/>
          <w:sz w:val="28"/>
          <w:szCs w:val="28"/>
        </w:rPr>
        <w:t>测试</w:t>
      </w:r>
      <w:r>
        <w:rPr>
          <w:rFonts w:hint="eastAsia" w:ascii="Times New Roman" w:hAnsi="黑体" w:eastAsia="黑体" w:cs="Times New Roman"/>
          <w:sz w:val="28"/>
          <w:szCs w:val="28"/>
          <w:lang w:eastAsia="zh-CN"/>
        </w:rPr>
        <w:t>报告</w:t>
      </w:r>
      <w:r>
        <w:rPr>
          <w:rFonts w:hint="eastAsia" w:ascii="Times New Roman" w:hAnsi="黑体" w:eastAsia="黑体" w:cs="Times New Roman"/>
          <w:sz w:val="28"/>
          <w:szCs w:val="28"/>
        </w:rPr>
        <w:t>内页参考格式</w:t>
      </w:r>
    </w:p>
    <w:bookmarkEnd w:id="231"/>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1311"/>
        <w:gridCol w:w="6343"/>
      </w:tblGrid>
      <w:tr w14:paraId="09AAB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09" w:type="pct"/>
            <w:noWrap w:val="0"/>
            <w:vAlign w:val="center"/>
          </w:tcPr>
          <w:p w14:paraId="6F02D1B1">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序号</w:t>
            </w:r>
          </w:p>
        </w:tc>
        <w:tc>
          <w:tcPr>
            <w:tcW w:w="769" w:type="pct"/>
            <w:noWrap w:val="0"/>
            <w:vAlign w:val="center"/>
          </w:tcPr>
          <w:p w14:paraId="51A94045">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测试项目</w:t>
            </w:r>
          </w:p>
        </w:tc>
        <w:tc>
          <w:tcPr>
            <w:tcW w:w="3720" w:type="pct"/>
            <w:noWrap w:val="0"/>
            <w:vAlign w:val="center"/>
          </w:tcPr>
          <w:p w14:paraId="4D391800">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测试结果</w:t>
            </w:r>
          </w:p>
        </w:tc>
      </w:tr>
      <w:tr w14:paraId="121E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509" w:type="pct"/>
            <w:noWrap w:val="0"/>
            <w:vAlign w:val="center"/>
          </w:tcPr>
          <w:p w14:paraId="47403627">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p>
        </w:tc>
        <w:tc>
          <w:tcPr>
            <w:tcW w:w="769" w:type="pct"/>
            <w:noWrap w:val="0"/>
            <w:vAlign w:val="center"/>
          </w:tcPr>
          <w:p w14:paraId="12B37B73">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欺骗性使用特征</w:t>
            </w:r>
          </w:p>
        </w:tc>
        <w:tc>
          <w:tcPr>
            <w:tcW w:w="3720" w:type="pct"/>
            <w:noWrap w:val="0"/>
            <w:vAlign w:val="top"/>
          </w:tcPr>
          <w:p w14:paraId="0F606987">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 xml:space="preserve">□ 本次测试未检出欺骗性使用特征  </w:t>
            </w:r>
          </w:p>
          <w:p w14:paraId="6E7EA1F1">
            <w:pPr>
              <w:ind w:left="0" w:leftChars="0" w:firstLine="0" w:firstLineChars="0"/>
              <w:jc w:val="left"/>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 本次测试检出欺骗性使用特征，XXX软件，XXX功能具有修改油量累计功能。</w:t>
            </w:r>
          </w:p>
        </w:tc>
      </w:tr>
      <w:tr w14:paraId="1800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509" w:type="pct"/>
            <w:noWrap w:val="0"/>
            <w:vAlign w:val="center"/>
          </w:tcPr>
          <w:p w14:paraId="36072C4F">
            <w:pPr>
              <w:ind w:left="0" w:leftChars="0" w:firstLine="0" w:firstLineChars="0"/>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w:t>
            </w:r>
          </w:p>
        </w:tc>
        <w:tc>
          <w:tcPr>
            <w:tcW w:w="769" w:type="pct"/>
            <w:noWrap w:val="0"/>
            <w:vAlign w:val="center"/>
          </w:tcPr>
          <w:p w14:paraId="7BE863BB">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p>
        </w:tc>
        <w:tc>
          <w:tcPr>
            <w:tcW w:w="3720" w:type="pct"/>
            <w:noWrap w:val="0"/>
            <w:vAlign w:val="center"/>
          </w:tcPr>
          <w:p w14:paraId="11DDEB56">
            <w:pPr>
              <w:ind w:left="0" w:leftChars="0" w:firstLine="0" w:firstLineChars="0"/>
              <w:jc w:val="center"/>
              <w:outlineLvl w:val="2"/>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p>
        </w:tc>
      </w:tr>
    </w:tbl>
    <w:p w14:paraId="6BF0D22D">
      <w:pPr>
        <w:pStyle w:val="2"/>
        <w:ind w:left="0" w:leftChars="0" w:firstLine="0" w:firstLineChars="0"/>
        <w:rPr>
          <w:rFonts w:hint="default" w:ascii="仿宋_GB2312" w:hAnsi="仿宋_GB2312" w:eastAsia="仿宋_GB2312" w:cs="仿宋_GB2312"/>
          <w:sz w:val="32"/>
          <w:szCs w:val="32"/>
          <w:lang w:val="en-US" w:eastAsia="zh-CN"/>
        </w:rPr>
      </w:pPr>
    </w:p>
    <w:p w14:paraId="00AA112E">
      <w:pPr>
        <w:widowControl/>
        <w:ind w:left="0" w:leftChars="0" w:firstLine="0" w:firstLineChars="0"/>
        <w:jc w:val="left"/>
        <w:rPr>
          <w:rFonts w:ascii="黑体" w:hAnsi="宋体" w:eastAsia="黑体" w:cs="黑体"/>
          <w:color w:val="000000"/>
          <w:kern w:val="0"/>
          <w:sz w:val="18"/>
          <w:szCs w:val="18"/>
        </w:rPr>
      </w:pPr>
    </w:p>
    <w:p w14:paraId="34B40442">
      <w:pPr>
        <w:pStyle w:val="2"/>
        <w:rPr>
          <w:rFonts w:ascii="黑体" w:hAnsi="宋体" w:eastAsia="黑体" w:cs="黑体"/>
          <w:color w:val="000000"/>
          <w:kern w:val="0"/>
          <w:sz w:val="18"/>
          <w:szCs w:val="18"/>
        </w:rPr>
      </w:pPr>
    </w:p>
    <w:p w14:paraId="3BD7E210">
      <w:pPr>
        <w:pStyle w:val="2"/>
        <w:rPr>
          <w:rFonts w:ascii="黑体" w:hAnsi="宋体" w:eastAsia="黑体" w:cs="黑体"/>
          <w:color w:val="000000"/>
          <w:kern w:val="0"/>
          <w:sz w:val="18"/>
          <w:szCs w:val="18"/>
        </w:rPr>
      </w:pPr>
    </w:p>
    <w:p w14:paraId="07EC185C">
      <w:pPr>
        <w:pStyle w:val="2"/>
        <w:rPr>
          <w:rFonts w:ascii="黑体" w:hAnsi="宋体" w:eastAsia="黑体" w:cs="黑体"/>
          <w:color w:val="000000"/>
          <w:kern w:val="0"/>
          <w:sz w:val="18"/>
          <w:szCs w:val="18"/>
        </w:rPr>
      </w:pPr>
    </w:p>
    <w:p w14:paraId="5262AD21">
      <w:pPr>
        <w:pStyle w:val="2"/>
        <w:rPr>
          <w:rFonts w:ascii="黑体" w:hAnsi="宋体" w:eastAsia="黑体" w:cs="黑体"/>
          <w:color w:val="000000"/>
          <w:kern w:val="0"/>
          <w:sz w:val="18"/>
          <w:szCs w:val="18"/>
        </w:rPr>
      </w:pPr>
    </w:p>
    <w:p w14:paraId="690D7C11">
      <w:pPr>
        <w:pStyle w:val="2"/>
        <w:rPr>
          <w:rFonts w:ascii="黑体" w:hAnsi="宋体" w:eastAsia="黑体" w:cs="黑体"/>
          <w:color w:val="000000"/>
          <w:kern w:val="0"/>
          <w:sz w:val="18"/>
          <w:szCs w:val="18"/>
        </w:rPr>
      </w:pPr>
    </w:p>
    <w:p w14:paraId="0ADF0251">
      <w:pPr>
        <w:pStyle w:val="2"/>
        <w:rPr>
          <w:rFonts w:ascii="黑体" w:hAnsi="宋体" w:eastAsia="黑体" w:cs="黑体"/>
          <w:color w:val="000000"/>
          <w:kern w:val="0"/>
          <w:sz w:val="18"/>
          <w:szCs w:val="18"/>
        </w:rPr>
      </w:pPr>
    </w:p>
    <w:p w14:paraId="34B2EE85">
      <w:pPr>
        <w:pStyle w:val="2"/>
        <w:rPr>
          <w:rFonts w:ascii="黑体" w:hAnsi="宋体" w:eastAsia="黑体" w:cs="黑体"/>
          <w:color w:val="000000"/>
          <w:kern w:val="0"/>
          <w:sz w:val="18"/>
          <w:szCs w:val="18"/>
        </w:rPr>
      </w:pPr>
    </w:p>
    <w:p w14:paraId="07E627EC">
      <w:pPr>
        <w:pStyle w:val="2"/>
        <w:rPr>
          <w:rFonts w:ascii="黑体" w:hAnsi="宋体" w:eastAsia="黑体" w:cs="黑体"/>
          <w:color w:val="000000"/>
          <w:kern w:val="0"/>
          <w:sz w:val="18"/>
          <w:szCs w:val="18"/>
        </w:rPr>
      </w:pPr>
    </w:p>
    <w:p w14:paraId="74C1F6D0">
      <w:pPr>
        <w:pStyle w:val="2"/>
        <w:rPr>
          <w:rFonts w:ascii="黑体" w:hAnsi="宋体" w:eastAsia="黑体" w:cs="黑体"/>
          <w:color w:val="000000"/>
          <w:kern w:val="0"/>
          <w:sz w:val="18"/>
          <w:szCs w:val="18"/>
        </w:rPr>
      </w:pPr>
    </w:p>
    <w:p w14:paraId="4FCCDF31">
      <w:pPr>
        <w:pStyle w:val="2"/>
        <w:rPr>
          <w:rFonts w:ascii="黑体" w:hAnsi="宋体" w:eastAsia="黑体" w:cs="黑体"/>
          <w:color w:val="000000"/>
          <w:kern w:val="0"/>
          <w:sz w:val="18"/>
          <w:szCs w:val="18"/>
        </w:rPr>
      </w:pPr>
    </w:p>
    <w:p w14:paraId="688F6FB8">
      <w:pPr>
        <w:pStyle w:val="2"/>
        <w:rPr>
          <w:rFonts w:ascii="黑体" w:hAnsi="宋体" w:eastAsia="黑体" w:cs="黑体"/>
          <w:color w:val="000000"/>
          <w:kern w:val="0"/>
          <w:sz w:val="18"/>
          <w:szCs w:val="18"/>
        </w:rPr>
      </w:pPr>
    </w:p>
    <w:p w14:paraId="4C05187D">
      <w:pPr>
        <w:pStyle w:val="2"/>
        <w:rPr>
          <w:rFonts w:ascii="黑体" w:hAnsi="宋体" w:eastAsia="黑体" w:cs="黑体"/>
          <w:color w:val="000000"/>
          <w:kern w:val="0"/>
          <w:sz w:val="18"/>
          <w:szCs w:val="18"/>
        </w:rPr>
      </w:pPr>
    </w:p>
    <w:p w14:paraId="3C6E5967">
      <w:pPr>
        <w:pStyle w:val="2"/>
        <w:rPr>
          <w:rFonts w:ascii="黑体" w:hAnsi="宋体" w:eastAsia="黑体" w:cs="黑体"/>
          <w:color w:val="000000"/>
          <w:kern w:val="0"/>
          <w:sz w:val="18"/>
          <w:szCs w:val="18"/>
        </w:rPr>
      </w:pPr>
    </w:p>
    <w:p w14:paraId="3719C8BF">
      <w:pPr>
        <w:pStyle w:val="2"/>
        <w:rPr>
          <w:rFonts w:ascii="黑体" w:hAnsi="宋体" w:eastAsia="黑体" w:cs="黑体"/>
          <w:color w:val="000000"/>
          <w:kern w:val="0"/>
          <w:sz w:val="18"/>
          <w:szCs w:val="18"/>
        </w:rPr>
      </w:pPr>
    </w:p>
    <w:p w14:paraId="030EB367">
      <w:pPr>
        <w:pStyle w:val="2"/>
        <w:rPr>
          <w:rFonts w:ascii="黑体" w:hAnsi="宋体" w:eastAsia="黑体" w:cs="黑体"/>
          <w:color w:val="000000"/>
          <w:kern w:val="0"/>
          <w:sz w:val="18"/>
          <w:szCs w:val="18"/>
        </w:rPr>
      </w:pPr>
    </w:p>
    <w:p w14:paraId="5DD551AA">
      <w:pPr>
        <w:pStyle w:val="2"/>
        <w:rPr>
          <w:rFonts w:ascii="黑体" w:hAnsi="宋体" w:eastAsia="黑体" w:cs="黑体"/>
          <w:color w:val="000000"/>
          <w:kern w:val="0"/>
          <w:sz w:val="18"/>
          <w:szCs w:val="18"/>
        </w:rPr>
      </w:pPr>
    </w:p>
    <w:p w14:paraId="58FB2E3B">
      <w:pPr>
        <w:pStyle w:val="2"/>
        <w:rPr>
          <w:rFonts w:ascii="黑体" w:hAnsi="宋体" w:eastAsia="黑体" w:cs="黑体"/>
          <w:color w:val="000000"/>
          <w:kern w:val="0"/>
          <w:sz w:val="18"/>
          <w:szCs w:val="18"/>
        </w:rPr>
      </w:pPr>
    </w:p>
    <w:p w14:paraId="30DBDBB2">
      <w:pPr>
        <w:pStyle w:val="2"/>
        <w:rPr>
          <w:rFonts w:ascii="黑体" w:hAnsi="宋体" w:eastAsia="黑体" w:cs="黑体"/>
          <w:color w:val="000000"/>
          <w:kern w:val="0"/>
          <w:sz w:val="18"/>
          <w:szCs w:val="18"/>
        </w:rPr>
      </w:pPr>
    </w:p>
    <w:p w14:paraId="7D8FA058">
      <w:pPr>
        <w:widowControl/>
        <w:spacing w:line="240" w:lineRule="auto"/>
        <w:ind w:firstLine="0" w:firstLineChars="0"/>
        <w:outlineLvl w:val="0"/>
        <w:rPr>
          <w:rFonts w:hint="eastAsia" w:ascii="黑体" w:hAnsi="黑体" w:eastAsia="黑体" w:cs="黑体"/>
          <w:sz w:val="28"/>
          <w:szCs w:val="28"/>
          <w:lang w:val="en-US" w:eastAsia="zh-CN"/>
        </w:rPr>
      </w:pPr>
      <w:bookmarkStart w:id="232" w:name="_Toc4065"/>
      <w:r>
        <w:rPr>
          <w:rFonts w:hint="eastAsia" w:ascii="黑体" w:hAnsi="黑体" w:eastAsia="黑体" w:cs="黑体"/>
          <w:sz w:val="28"/>
          <w:szCs w:val="28"/>
        </w:rPr>
        <w:t>附录</w:t>
      </w:r>
      <w:r>
        <w:rPr>
          <w:rFonts w:hint="eastAsia" w:ascii="黑体" w:hAnsi="黑体" w:eastAsia="黑体" w:cs="黑体"/>
          <w:sz w:val="28"/>
          <w:szCs w:val="28"/>
          <w:lang w:val="en-US" w:eastAsia="zh-CN"/>
        </w:rPr>
        <w:t>C</w:t>
      </w:r>
      <w:bookmarkEnd w:id="232"/>
    </w:p>
    <w:p w14:paraId="4DF3D8AA">
      <w:pPr>
        <w:pStyle w:val="36"/>
        <w:tabs>
          <w:tab w:val="left" w:pos="1121"/>
        </w:tabs>
        <w:spacing w:line="364" w:lineRule="auto"/>
        <w:ind w:left="0" w:right="779" w:firstLine="560"/>
        <w:jc w:val="center"/>
        <w:rPr>
          <w:rFonts w:hint="eastAsia" w:ascii="Times New Roman" w:hAnsi="黑体" w:eastAsia="黑体" w:cs="Times New Roman"/>
          <w:sz w:val="28"/>
          <w:szCs w:val="28"/>
        </w:rPr>
      </w:pPr>
      <w:r>
        <w:rPr>
          <w:rFonts w:hint="eastAsia" w:ascii="Times New Roman" w:hAnsi="黑体" w:eastAsia="黑体" w:cs="Times New Roman"/>
          <w:sz w:val="28"/>
          <w:szCs w:val="28"/>
          <w:lang w:val="en-US" w:eastAsia="zh-CN"/>
        </w:rPr>
        <w:t>加油机作弊测试仪</w:t>
      </w:r>
      <w:r>
        <w:rPr>
          <w:rFonts w:hint="eastAsia" w:ascii="Times New Roman" w:hAnsi="黑体" w:eastAsia="黑体" w:cs="Times New Roman"/>
          <w:sz w:val="28"/>
          <w:szCs w:val="28"/>
        </w:rPr>
        <w:t>测试指南</w:t>
      </w:r>
    </w:p>
    <w:p w14:paraId="7073DF96">
      <w:pPr>
        <w:ind w:firstLine="480"/>
        <w:rPr>
          <w:rFonts w:hint="eastAsia" w:hAnsi="宋体"/>
          <w:sz w:val="24"/>
        </w:rPr>
      </w:pPr>
      <w:r>
        <w:rPr>
          <w:rFonts w:hint="eastAsia" w:hAnsi="宋体"/>
          <w:sz w:val="24"/>
          <w:lang w:val="en-US" w:eastAsia="zh-CN"/>
        </w:rPr>
        <w:t>C</w:t>
      </w:r>
      <w:r>
        <w:rPr>
          <w:rFonts w:hint="eastAsia" w:hAnsi="宋体"/>
          <w:sz w:val="24"/>
        </w:rPr>
        <w:t>.1 测试目的</w:t>
      </w:r>
    </w:p>
    <w:p w14:paraId="57328AD0">
      <w:pPr>
        <w:ind w:firstLine="480"/>
        <w:rPr>
          <w:rFonts w:hAnsi="宋体"/>
          <w:sz w:val="24"/>
        </w:rPr>
      </w:pPr>
      <w:r>
        <w:rPr>
          <w:rFonts w:hint="eastAsia" w:hAnsi="宋体"/>
          <w:sz w:val="24"/>
        </w:rPr>
        <w:t>检查是</w:t>
      </w:r>
      <w:r>
        <w:rPr>
          <w:rFonts w:hint="eastAsia" w:hAnsi="宋体"/>
          <w:sz w:val="24"/>
          <w:lang w:val="en-US" w:eastAsia="zh-CN"/>
        </w:rPr>
        <w:t>加油机软件是否具有</w:t>
      </w:r>
      <w:r>
        <w:rPr>
          <w:rFonts w:hint="eastAsia" w:hAnsi="宋体"/>
          <w:sz w:val="24"/>
        </w:rPr>
        <w:t>欺骗性使用特征。</w:t>
      </w:r>
    </w:p>
    <w:p w14:paraId="304325CD">
      <w:pPr>
        <w:ind w:firstLine="480"/>
        <w:rPr>
          <w:rFonts w:hint="eastAsia" w:hAnsi="宋体"/>
          <w:sz w:val="24"/>
        </w:rPr>
      </w:pPr>
      <w:r>
        <w:rPr>
          <w:rFonts w:hint="eastAsia" w:hAnsi="宋体"/>
          <w:sz w:val="24"/>
          <w:lang w:val="en-US" w:eastAsia="zh-CN"/>
        </w:rPr>
        <w:t>C</w:t>
      </w:r>
      <w:r>
        <w:rPr>
          <w:rFonts w:hint="eastAsia" w:hAnsi="宋体"/>
          <w:sz w:val="24"/>
        </w:rPr>
        <w:t>.2 测试要求</w:t>
      </w:r>
    </w:p>
    <w:p w14:paraId="43B69ABC">
      <w:pPr>
        <w:ind w:firstLine="480"/>
        <w:rPr>
          <w:rFonts w:hint="eastAsia" w:hAnsi="宋体"/>
          <w:sz w:val="24"/>
        </w:rPr>
      </w:pPr>
      <w:r>
        <w:rPr>
          <w:rFonts w:hint="eastAsia" w:hAnsi="宋体"/>
          <w:sz w:val="24"/>
          <w:lang w:val="en-US" w:eastAsia="zh-CN"/>
        </w:rPr>
        <w:t>C2.1加油机作弊</w:t>
      </w:r>
      <w:r>
        <w:rPr>
          <w:rFonts w:hint="eastAsia" w:hAnsi="宋体"/>
          <w:sz w:val="24"/>
        </w:rPr>
        <w:t>测试仪软件版本需为最新，支持主流作弊模式识别。</w:t>
      </w:r>
    </w:p>
    <w:p w14:paraId="77CE4A21">
      <w:pPr>
        <w:ind w:firstLine="480"/>
        <w:rPr>
          <w:rFonts w:hint="eastAsia" w:hAnsi="宋体"/>
          <w:sz w:val="24"/>
        </w:rPr>
      </w:pPr>
      <w:r>
        <w:rPr>
          <w:rFonts w:hint="eastAsia" w:hAnsi="宋体"/>
          <w:sz w:val="24"/>
          <w:lang w:val="en-US" w:eastAsia="zh-CN"/>
        </w:rPr>
        <w:t>C2.2</w:t>
      </w:r>
      <w:r>
        <w:rPr>
          <w:rFonts w:hint="eastAsia" w:hAnsi="宋体"/>
          <w:sz w:val="24"/>
        </w:rPr>
        <w:t>配备标准金属量器（如20L或100L）、温度计</w:t>
      </w:r>
      <w:r>
        <w:rPr>
          <w:rFonts w:hint="eastAsia" w:hAnsi="宋体"/>
          <w:sz w:val="24"/>
          <w:lang w:eastAsia="zh-CN"/>
        </w:rPr>
        <w:t>、</w:t>
      </w:r>
      <w:r>
        <w:rPr>
          <w:rFonts w:hint="eastAsia" w:hAnsi="宋体"/>
          <w:sz w:val="24"/>
        </w:rPr>
        <w:t>加油机检定专用手持终端等辅助工具。</w:t>
      </w:r>
    </w:p>
    <w:p w14:paraId="5D7DC5A0">
      <w:pPr>
        <w:ind w:firstLine="480"/>
        <w:rPr>
          <w:rFonts w:hint="eastAsia" w:hAnsi="宋体"/>
          <w:sz w:val="24"/>
        </w:rPr>
      </w:pPr>
      <w:r>
        <w:rPr>
          <w:rFonts w:hint="eastAsia" w:hAnsi="宋体"/>
          <w:sz w:val="24"/>
          <w:lang w:val="en-US" w:eastAsia="zh-CN"/>
        </w:rPr>
        <w:t>C2.3</w:t>
      </w:r>
      <w:r>
        <w:rPr>
          <w:rFonts w:hint="eastAsia" w:hAnsi="宋体"/>
          <w:sz w:val="24"/>
        </w:rPr>
        <w:t>拍摄并留存</w:t>
      </w:r>
      <w:r>
        <w:rPr>
          <w:rFonts w:hint="eastAsia" w:hAnsi="宋体"/>
          <w:sz w:val="24"/>
          <w:lang w:val="en-US" w:eastAsia="zh-CN"/>
        </w:rPr>
        <w:t>加油机</w:t>
      </w:r>
      <w:r>
        <w:rPr>
          <w:rFonts w:hint="eastAsia" w:hAnsi="宋体"/>
          <w:sz w:val="24"/>
        </w:rPr>
        <w:t>外观、铭牌及封印标记等，必要时开启视频监控。</w:t>
      </w:r>
    </w:p>
    <w:p w14:paraId="0E3834C5">
      <w:pPr>
        <w:ind w:firstLine="480"/>
        <w:rPr>
          <w:rFonts w:hint="eastAsia" w:hAnsi="宋体"/>
          <w:sz w:val="24"/>
        </w:rPr>
      </w:pPr>
      <w:r>
        <w:rPr>
          <w:rFonts w:hint="eastAsia" w:hAnsi="宋体"/>
          <w:sz w:val="24"/>
          <w:lang w:val="en-US" w:eastAsia="zh-CN"/>
        </w:rPr>
        <w:t>C</w:t>
      </w:r>
      <w:r>
        <w:rPr>
          <w:rFonts w:hint="eastAsia" w:hAnsi="宋体"/>
          <w:sz w:val="24"/>
        </w:rPr>
        <w:t>.3 测试方法</w:t>
      </w:r>
    </w:p>
    <w:p w14:paraId="3F051461">
      <w:pPr>
        <w:ind w:firstLine="480"/>
        <w:rPr>
          <w:rFonts w:hint="eastAsia" w:hAnsi="宋体"/>
          <w:sz w:val="24"/>
        </w:rPr>
      </w:pPr>
      <w:r>
        <w:rPr>
          <w:rFonts w:hint="eastAsia" w:hAnsi="宋体"/>
          <w:sz w:val="24"/>
          <w:lang w:val="en-US" w:eastAsia="zh-CN"/>
        </w:rPr>
        <w:t>C</w:t>
      </w:r>
      <w:r>
        <w:rPr>
          <w:rFonts w:hint="eastAsia" w:hAnsi="宋体"/>
          <w:sz w:val="24"/>
        </w:rPr>
        <w:t xml:space="preserve">.3.1 </w:t>
      </w:r>
      <w:r>
        <w:rPr>
          <w:rFonts w:hint="eastAsia" w:hAnsi="宋体"/>
          <w:sz w:val="24"/>
          <w:lang w:val="en-US" w:eastAsia="zh-CN"/>
        </w:rPr>
        <w:t>查看加油机铭牌</w:t>
      </w:r>
      <w:r>
        <w:rPr>
          <w:rFonts w:hint="eastAsia" w:hAnsi="宋体"/>
          <w:sz w:val="24"/>
        </w:rPr>
        <w:t>，</w:t>
      </w:r>
      <w:r>
        <w:rPr>
          <w:rFonts w:hint="eastAsia" w:hAnsi="宋体"/>
          <w:sz w:val="24"/>
          <w:lang w:val="en-US" w:eastAsia="zh-CN"/>
        </w:rPr>
        <w:t>选择加油机作弊测试仪附带对应品牌加油机通讯线缆</w:t>
      </w:r>
      <w:r>
        <w:rPr>
          <w:rFonts w:hint="eastAsia" w:hAnsi="宋体"/>
          <w:sz w:val="24"/>
        </w:rPr>
        <w:t>，穿戴防静电工作服及安全防护装备</w:t>
      </w:r>
      <w:r>
        <w:rPr>
          <w:rFonts w:hint="eastAsia" w:hAnsi="宋体"/>
          <w:sz w:val="24"/>
          <w:lang w:eastAsia="zh-CN"/>
        </w:rPr>
        <w:t>，</w:t>
      </w:r>
      <w:r>
        <w:rPr>
          <w:rFonts w:hint="eastAsia" w:hAnsi="宋体"/>
          <w:sz w:val="24"/>
          <w:lang w:val="en-US" w:eastAsia="zh-CN"/>
        </w:rPr>
        <w:t>连接接地线缆</w:t>
      </w:r>
      <w:r>
        <w:rPr>
          <w:rFonts w:hint="eastAsia" w:hAnsi="宋体"/>
          <w:sz w:val="24"/>
        </w:rPr>
        <w:t>。</w:t>
      </w:r>
    </w:p>
    <w:p w14:paraId="18F000E4">
      <w:pPr>
        <w:ind w:firstLine="480"/>
        <w:rPr>
          <w:rFonts w:hint="eastAsia" w:hAnsi="宋体"/>
          <w:sz w:val="24"/>
        </w:rPr>
      </w:pPr>
      <w:r>
        <w:rPr>
          <w:rFonts w:hint="eastAsia" w:hAnsi="宋体"/>
          <w:sz w:val="24"/>
          <w:lang w:val="en-US" w:eastAsia="zh-CN"/>
        </w:rPr>
        <w:t>C</w:t>
      </w:r>
      <w:r>
        <w:rPr>
          <w:rFonts w:hint="eastAsia" w:hAnsi="宋体"/>
          <w:sz w:val="24"/>
        </w:rPr>
        <w:t>.3.2测试过程不得破坏</w:t>
      </w:r>
      <w:r>
        <w:rPr>
          <w:rFonts w:hint="eastAsia" w:hAnsi="宋体"/>
          <w:sz w:val="24"/>
          <w:lang w:val="en-US" w:eastAsia="zh-CN"/>
        </w:rPr>
        <w:t>加油机</w:t>
      </w:r>
      <w:r>
        <w:rPr>
          <w:rFonts w:hint="eastAsia" w:hAnsi="宋体"/>
          <w:sz w:val="24"/>
        </w:rPr>
        <w:t>的结构和</w:t>
      </w:r>
      <w:r>
        <w:rPr>
          <w:rFonts w:hint="eastAsia" w:hAnsi="宋体"/>
          <w:sz w:val="24"/>
          <w:lang w:val="en-US" w:eastAsia="zh-CN"/>
        </w:rPr>
        <w:t>计控主板</w:t>
      </w:r>
      <w:r>
        <w:rPr>
          <w:rFonts w:hint="eastAsia" w:hAnsi="宋体"/>
          <w:sz w:val="24"/>
        </w:rPr>
        <w:t>，不得破坏和替换原有软件系统，建议全过程视频监控。</w:t>
      </w:r>
    </w:p>
    <w:p w14:paraId="751A04A5">
      <w:pPr>
        <w:ind w:firstLine="480"/>
        <w:rPr>
          <w:rFonts w:hint="eastAsia" w:hAnsi="宋体"/>
          <w:sz w:val="24"/>
        </w:rPr>
      </w:pPr>
      <w:r>
        <w:rPr>
          <w:rFonts w:hint="eastAsia" w:hAnsi="宋体"/>
          <w:sz w:val="24"/>
          <w:lang w:val="en-US" w:eastAsia="zh-CN"/>
        </w:rPr>
        <w:t>C</w:t>
      </w:r>
      <w:r>
        <w:rPr>
          <w:rFonts w:hint="eastAsia" w:hAnsi="宋体"/>
          <w:sz w:val="24"/>
        </w:rPr>
        <w:t>.3.3 接通</w:t>
      </w:r>
      <w:r>
        <w:rPr>
          <w:rFonts w:hint="eastAsia" w:hAnsi="宋体"/>
          <w:sz w:val="24"/>
          <w:lang w:val="en-US" w:eastAsia="zh-CN"/>
        </w:rPr>
        <w:t>加油机</w:t>
      </w:r>
      <w:r>
        <w:rPr>
          <w:rFonts w:hint="eastAsia" w:hAnsi="宋体"/>
          <w:sz w:val="24"/>
        </w:rPr>
        <w:t>和</w:t>
      </w:r>
      <w:r>
        <w:rPr>
          <w:rFonts w:hint="eastAsia" w:hAnsi="宋体"/>
          <w:sz w:val="24"/>
          <w:lang w:val="en-US" w:eastAsia="zh-CN"/>
        </w:rPr>
        <w:t>作弊测试仪</w:t>
      </w:r>
      <w:r>
        <w:rPr>
          <w:rFonts w:hint="eastAsia" w:hAnsi="宋体"/>
          <w:sz w:val="24"/>
        </w:rPr>
        <w:t>，运行软件，开始测试过程。</w:t>
      </w:r>
    </w:p>
    <w:p w14:paraId="44BBF9F7">
      <w:pPr>
        <w:ind w:firstLine="480"/>
        <w:rPr>
          <w:rFonts w:hint="eastAsia" w:hAnsi="宋体"/>
          <w:sz w:val="24"/>
        </w:rPr>
      </w:pPr>
      <w:r>
        <w:rPr>
          <w:rFonts w:hint="eastAsia" w:hAnsi="宋体"/>
          <w:sz w:val="24"/>
          <w:lang w:val="en-US" w:eastAsia="zh-CN"/>
        </w:rPr>
        <w:t>C</w:t>
      </w:r>
      <w:r>
        <w:rPr>
          <w:rFonts w:hint="eastAsia" w:hAnsi="宋体"/>
          <w:sz w:val="24"/>
        </w:rPr>
        <w:t>.3.4 人工核验和复现</w:t>
      </w:r>
      <w:r>
        <w:rPr>
          <w:rFonts w:hint="eastAsia" w:hAnsi="宋体"/>
          <w:sz w:val="24"/>
          <w:lang w:val="en-US" w:eastAsia="zh-CN"/>
        </w:rPr>
        <w:t>作弊测试仪</w:t>
      </w:r>
      <w:r>
        <w:rPr>
          <w:rFonts w:hint="eastAsia" w:hAnsi="宋体"/>
          <w:sz w:val="24"/>
        </w:rPr>
        <w:t>的运行结果，确定</w:t>
      </w:r>
      <w:r>
        <w:rPr>
          <w:rFonts w:hint="eastAsia" w:hAnsi="宋体"/>
          <w:sz w:val="24"/>
          <w:lang w:val="en-US" w:eastAsia="zh-CN"/>
        </w:rPr>
        <w:t>加油机是否具有欺骗性使用特征</w:t>
      </w:r>
      <w:r>
        <w:rPr>
          <w:rFonts w:hint="eastAsia" w:hAnsi="宋体"/>
          <w:sz w:val="24"/>
        </w:rPr>
        <w:t>。</w:t>
      </w:r>
    </w:p>
    <w:sectPr>
      <w:footerReference r:id="rId23" w:type="even"/>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AAEB">
    <w:pPr>
      <w:pStyle w:val="12"/>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EAD64">
    <w:pPr>
      <w:pStyle w:val="12"/>
      <w:tabs>
        <w:tab w:val="right" w:pos="7946"/>
        <w:tab w:val="clear" w:pos="4153"/>
        <w:tab w:val="clear" w:pos="8306"/>
      </w:tabs>
      <w:ind w:right="360" w:firstLine="360"/>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0904F5">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5C0904F5">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419735" cy="271780"/>
              <wp:effectExtent l="0" t="0" r="0" b="0"/>
              <wp:wrapNone/>
              <wp:docPr id="47" name="文本框 4"/>
              <wp:cNvGraphicFramePr/>
              <a:graphic xmlns:a="http://schemas.openxmlformats.org/drawingml/2006/main">
                <a:graphicData uri="http://schemas.microsoft.com/office/word/2010/wordprocessingShape">
                  <wps:wsp>
                    <wps:cNvSpPr txBox="1"/>
                    <wps:spPr>
                      <a:xfrm>
                        <a:off x="0" y="0"/>
                        <a:ext cx="419735" cy="271780"/>
                      </a:xfrm>
                      <a:prstGeom prst="rect">
                        <a:avLst/>
                      </a:prstGeom>
                      <a:noFill/>
                      <a:ln w="6350">
                        <a:noFill/>
                      </a:ln>
                    </wps:spPr>
                    <wps:txbx>
                      <w:txbxContent>
                        <w:p w14:paraId="50B5021A">
                          <w:pPr>
                            <w:ind w:firstLine="440"/>
                          </w:pPr>
                          <w:r>
                            <w:rPr>
                              <w:rFonts w:hint="eastAsia"/>
                            </w:rPr>
                            <w:t>Ⅰ</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 o:spid="_x0000_s1026" o:spt="202" type="#_x0000_t202" style="position:absolute;left:0pt;margin-top:0pt;height:21.4pt;width:33.05pt;mso-position-horizontal:right;mso-position-horizontal-relative:margin;mso-wrap-style:none;z-index:251668480;mso-width-relative:page;mso-height-relative:page;" filled="f" stroked="f" coordsize="21600,21600" o:gfxdata="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tZ48NIAAAADAQAADwAAAAAAAAABACAAAAAiAAAAZHJzL2Rvd25yZXYueG1sUEsBAhQA&#10;FAAAAAgAh07iQIqnxGAxAgAAVAQAAA4AAAAAAAAAAQAgAAAAIQEAAGRycy9lMm9Eb2MueG1sUEsF&#10;BgAAAAAGAAYAWQEAAMQFAAAAAA==&#10;">
              <v:fill on="f" focussize="0,0"/>
              <v:stroke on="f" weight="0.5pt"/>
              <v:imagedata o:title=""/>
              <o:lock v:ext="edit" aspectratio="f"/>
              <v:textbox inset="0mm,0mm,0mm,0mm" style="mso-fit-shape-to-text:t;">
                <w:txbxContent>
                  <w:p w14:paraId="50B5021A">
                    <w:pPr>
                      <w:ind w:firstLine="440"/>
                    </w:pPr>
                    <w:r>
                      <w:rPr>
                        <w:rFonts w:hint="eastAsia"/>
                      </w:rPr>
                      <w:t>Ⅰ</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343535" cy="196850"/>
              <wp:effectExtent l="0" t="0" r="0" b="0"/>
              <wp:wrapNone/>
              <wp:docPr id="48" name="文本框 3"/>
              <wp:cNvGraphicFramePr/>
              <a:graphic xmlns:a="http://schemas.openxmlformats.org/drawingml/2006/main">
                <a:graphicData uri="http://schemas.microsoft.com/office/word/2010/wordprocessingShape">
                  <wps:wsp>
                    <wps:cNvSpPr txBox="1"/>
                    <wps:spPr>
                      <a:xfrm>
                        <a:off x="0" y="0"/>
                        <a:ext cx="343535" cy="196850"/>
                      </a:xfrm>
                      <a:prstGeom prst="rect">
                        <a:avLst/>
                      </a:prstGeom>
                      <a:noFill/>
                      <a:ln>
                        <a:noFill/>
                      </a:ln>
                      <a:effectLst/>
                    </wps:spPr>
                    <wps:txbx>
                      <w:txbxContent>
                        <w:p w14:paraId="1D3E5798">
                          <w:pPr>
                            <w:pStyle w:val="12"/>
                            <w:ind w:firstLine="360"/>
                          </w:pPr>
                        </w:p>
                      </w:txbxContent>
                    </wps:txbx>
                    <wps:bodyPr wrap="none" lIns="0" tIns="0" rIns="0" bIns="0">
                      <a:spAutoFit/>
                    </wps:bodyPr>
                  </wps:wsp>
                </a:graphicData>
              </a:graphic>
            </wp:anchor>
          </w:drawing>
        </mc:Choice>
        <mc:Fallback>
          <w:pict>
            <v:shape id="文本框 3" o:spid="_x0000_s1026" o:spt="202" type="#_x0000_t202" style="position:absolute;left:0pt;margin-top:0pt;height:15.5pt;width:27.05pt;mso-position-horizontal:outside;mso-position-horizontal-relative:margin;mso-wrap-style:none;z-index:251669504;mso-width-relative:page;mso-height-relative:page;" filled="f" stroked="f" coordsize="21600,21600" o:gfxdata="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ajrpdEAAAADAQAADwAAAAAAAAABACAAAAAiAAAAZHJzL2Rv&#10;d25yZXYueG1sUEsBAhQAFAAAAAgAh07iQGVDEfjPAQAAmgMAAA4AAAAAAAAAAQAgAAAAIAEAAGRy&#10;cy9lMm9Eb2MueG1sUEsFBgAAAAAGAAYAWQEAAGEFAAAAAA==&#10;">
              <v:fill on="f" focussize="0,0"/>
              <v:stroke on="f"/>
              <v:imagedata o:title=""/>
              <o:lock v:ext="edit" aspectratio="f"/>
              <v:textbox inset="0mm,0mm,0mm,0mm" style="mso-fit-shape-to-text:t;">
                <w:txbxContent>
                  <w:p w14:paraId="1D3E5798">
                    <w:pPr>
                      <w:pStyle w:val="12"/>
                      <w:ind w:firstLine="360"/>
                    </w:pPr>
                  </w:p>
                </w:txbxContent>
              </v:textbox>
            </v:shape>
          </w:pict>
        </mc:Fallback>
      </mc:AlternateContent>
    </w:r>
    <w:r>
      <w:rPr>
        <w:rFonts w:hint="eastAsia"/>
        <w:lang w:eastAsia="zh-CN"/>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17900">
    <w:pPr>
      <w:pStyle w:val="12"/>
      <w:ind w:firstLine="360"/>
    </w:pPr>
    <w:r>
      <w:rPr>
        <w:sz w:val="18"/>
      </w:rP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2C7D1">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38F2C7D1">
                    <w:pPr>
                      <w:pStyle w:val="12"/>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381635" cy="229870"/>
              <wp:effectExtent l="0" t="0" r="0" b="0"/>
              <wp:wrapNone/>
              <wp:docPr id="50" name="文本框 5"/>
              <wp:cNvGraphicFramePr/>
              <a:graphic xmlns:a="http://schemas.openxmlformats.org/drawingml/2006/main">
                <a:graphicData uri="http://schemas.microsoft.com/office/word/2010/wordprocessingShape">
                  <wps:wsp>
                    <wps:cNvSpPr txBox="1"/>
                    <wps:spPr>
                      <a:xfrm>
                        <a:off x="0" y="0"/>
                        <a:ext cx="381635" cy="229870"/>
                      </a:xfrm>
                      <a:prstGeom prst="rect">
                        <a:avLst/>
                      </a:prstGeom>
                      <a:noFill/>
                      <a:ln w="6350">
                        <a:noFill/>
                      </a:ln>
                      <a:effectLst/>
                    </wps:spPr>
                    <wps:txbx>
                      <w:txbxContent>
                        <w:p w14:paraId="5E3165B3">
                          <w:pPr>
                            <w:pStyle w:val="12"/>
                            <w:ind w:firstLine="420"/>
                            <w:rPr>
                              <w:rStyle w:val="22"/>
                              <w:sz w:val="21"/>
                              <w:szCs w:val="21"/>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5" o:spid="_x0000_s1026" o:spt="202" type="#_x0000_t202" style="position:absolute;left:0pt;margin-top:0pt;height:18.1pt;width:30.05pt;mso-position-horizontal:outside;mso-position-horizontal-relative:margin;mso-wrap-style:none;z-index:251670528;mso-width-relative:page;mso-height-relative:page;" filled="f" stroked="f" coordsize="21600,21600" o:gfxdata="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Brtuv0gAAAAMBAAAPAAAAAAAAAAEAIAAAACIAAABkcnMvZG93bnJldi54bWxQ&#10;SwECFAAUAAAACACHTuJAIlcidTYCAABiBAAADgAAAAAAAAABACAAAAAhAQAAZHJzL2Uyb0RvYy54&#10;bWxQSwUGAAAAAAYABgBZAQAAyQUAAAAA&#10;">
              <v:fill on="f" focussize="0,0"/>
              <v:stroke on="f" weight="0.5pt"/>
              <v:imagedata o:title=""/>
              <o:lock v:ext="edit" aspectratio="f"/>
              <v:textbox inset="0mm,0mm,0mm,0mm" style="mso-fit-shape-to-text:t;">
                <w:txbxContent>
                  <w:p w14:paraId="5E3165B3">
                    <w:pPr>
                      <w:pStyle w:val="12"/>
                      <w:ind w:firstLine="420"/>
                      <w:rPr>
                        <w:rStyle w:val="22"/>
                        <w:sz w:val="21"/>
                        <w:szCs w:val="21"/>
                      </w:rPr>
                    </w:pP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417A9">
    <w:pPr>
      <w:pStyle w:val="12"/>
      <w:tabs>
        <w:tab w:val="right" w:pos="8280"/>
        <w:tab w:val="clear" w:pos="4153"/>
        <w:tab w:val="clear" w:pos="8306"/>
      </w:tabs>
      <w:ind w:right="360" w:firstLine="360"/>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286385" cy="196850"/>
              <wp:effectExtent l="0" t="0" r="0" b="0"/>
              <wp:wrapNone/>
              <wp:docPr id="11" name="文本框 1"/>
              <wp:cNvGraphicFramePr/>
              <a:graphic xmlns:a="http://schemas.openxmlformats.org/drawingml/2006/main">
                <a:graphicData uri="http://schemas.microsoft.com/office/word/2010/wordprocessingShape">
                  <wps:wsp>
                    <wps:cNvSpPr txBox="1"/>
                    <wps:spPr>
                      <a:xfrm>
                        <a:off x="0" y="0"/>
                        <a:ext cx="286385" cy="196850"/>
                      </a:xfrm>
                      <a:prstGeom prst="rect">
                        <a:avLst/>
                      </a:prstGeom>
                      <a:noFill/>
                      <a:ln>
                        <a:noFill/>
                      </a:ln>
                      <a:effectLst/>
                    </wps:spPr>
                    <wps:txbx>
                      <w:txbxContent>
                        <w:p w14:paraId="0F1488EA">
                          <w:pPr>
                            <w:pStyle w:val="12"/>
                            <w:ind w:firstLine="360"/>
                          </w:pPr>
                          <w:r>
                            <w:fldChar w:fldCharType="begin"/>
                          </w:r>
                          <w:r>
                            <w:instrText xml:space="preserve"> PAGE  \* MERGEFORMAT </w:instrText>
                          </w:r>
                          <w:r>
                            <w:fldChar w:fldCharType="separate"/>
                          </w:r>
                          <w:r>
                            <w:t>11</w:t>
                          </w:r>
                          <w: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5.5pt;width:22.55pt;mso-position-horizontal:outside;mso-position-horizontal-relative:margin;mso-wrap-style:none;z-index:251665408;mso-width-relative:page;mso-height-relative:page;" filled="f" stroked="f" coordsize="21600,21600" o:gfxdata="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SMWcfRAAAAAwEAAA8AAAAAAAAAAQAgAAAAIgAAAGRycy9kb3du&#10;cmV2LnhtbFBLAQIUABQAAAAIAIdO4kDT77XazQEAAJoDAAAOAAAAAAAAAAEAIAAAACABAABkcnMv&#10;ZTJvRG9jLnhtbFBLBQYAAAAABgAGAFkBAABfBQAAAAA=&#10;">
              <v:fill on="f" focussize="0,0"/>
              <v:stroke on="f"/>
              <v:imagedata o:title=""/>
              <o:lock v:ext="edit" aspectratio="f"/>
              <v:textbox inset="0mm,0mm,0mm,0mm" style="mso-fit-shape-to-text:t;">
                <w:txbxContent>
                  <w:p w14:paraId="0F1488EA">
                    <w:pPr>
                      <w:pStyle w:val="12"/>
                      <w:ind w:firstLine="360"/>
                    </w:pPr>
                    <w:r>
                      <w:fldChar w:fldCharType="begin"/>
                    </w:r>
                    <w:r>
                      <w:instrText xml:space="preserve"> PAGE  \* MERGEFORMAT </w:instrText>
                    </w:r>
                    <w:r>
                      <w:fldChar w:fldCharType="separate"/>
                    </w:r>
                    <w:r>
                      <w:t>11</w:t>
                    </w:r>
                    <w:r>
                      <w:fldChar w:fldCharType="end"/>
                    </w:r>
                  </w:p>
                </w:txbxContent>
              </v:textbox>
            </v:shape>
          </w:pict>
        </mc:Fallback>
      </mc:AlternateContent>
    </w:r>
    <w: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D00F3">
    <w:pPr>
      <w:pStyle w:val="12"/>
      <w:ind w:firstLine="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67310" cy="229870"/>
              <wp:effectExtent l="0" t="0" r="0" b="0"/>
              <wp:wrapNone/>
              <wp:docPr id="8" name="文本框 31"/>
              <wp:cNvGraphicFramePr/>
              <a:graphic xmlns:a="http://schemas.openxmlformats.org/drawingml/2006/main">
                <a:graphicData uri="http://schemas.microsoft.com/office/word/2010/wordprocessingShape">
                  <wps:wsp>
                    <wps:cNvSpPr txBox="1"/>
                    <wps:spPr>
                      <a:xfrm>
                        <a:off x="0" y="0"/>
                        <a:ext cx="67310" cy="229870"/>
                      </a:xfrm>
                      <a:prstGeom prst="rect">
                        <a:avLst/>
                      </a:prstGeom>
                      <a:noFill/>
                      <a:ln w="6350">
                        <a:noFill/>
                      </a:ln>
                      <a:effectLst/>
                    </wps:spPr>
                    <wps:txbx>
                      <w:txbxContent>
                        <w:p w14:paraId="7C62CB82">
                          <w:pPr>
                            <w:pStyle w:val="12"/>
                            <w:ind w:firstLine="0" w:firstLineChars="0"/>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6</w:t>
                          </w:r>
                          <w:r>
                            <w:rPr>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1" o:spid="_x0000_s1026" o:spt="202" type="#_x0000_t202" style="position:absolute;left:0pt;margin-top:0pt;height:18.1pt;width:5.3pt;mso-position-horizontal:outside;mso-position-horizontal-relative:margin;mso-wrap-style:none;z-index:251666432;mso-width-relative:page;mso-height-relative:page;" filled="f" stroked="f" coordsize="21600,21600" o:gfxdata="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rhaI/SAAAAAwEAAA8AAAAAAAAAAQAgAAAAIgAAAGRycy9kb3ducmV2LnhtbFBL&#10;AQIUABQAAAAIAIdO4kBp4AKSNQIAAGEEAAAOAAAAAAAAAAEAIAAAACEBAABkcnMvZTJvRG9jLnht&#10;bFBLBQYAAAAABgAGAFkBAADIBQAAAAA=&#10;">
              <v:fill on="f" focussize="0,0"/>
              <v:stroke on="f" weight="0.5pt"/>
              <v:imagedata o:title=""/>
              <o:lock v:ext="edit" aspectratio="f"/>
              <v:textbox inset="0mm,0mm,0mm,0mm" style="mso-fit-shape-to-text:t;">
                <w:txbxContent>
                  <w:p w14:paraId="7C62CB82">
                    <w:pPr>
                      <w:pStyle w:val="12"/>
                      <w:ind w:firstLine="0" w:firstLineChars="0"/>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6</w:t>
                    </w:r>
                    <w:r>
                      <w:rPr>
                        <w:sz w:val="21"/>
                        <w:szCs w:val="21"/>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096AA">
    <w:pPr>
      <w:pStyle w:val="12"/>
      <w:ind w:firstLineChars="111"/>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67310" cy="229870"/>
              <wp:effectExtent l="0" t="0" r="0" b="0"/>
              <wp:wrapNone/>
              <wp:docPr id="112764620" name="文本框 31"/>
              <wp:cNvGraphicFramePr/>
              <a:graphic xmlns:a="http://schemas.openxmlformats.org/drawingml/2006/main">
                <a:graphicData uri="http://schemas.microsoft.com/office/word/2010/wordprocessingShape">
                  <wps:wsp>
                    <wps:cNvSpPr txBox="1"/>
                    <wps:spPr>
                      <a:xfrm>
                        <a:off x="0" y="0"/>
                        <a:ext cx="67310" cy="229870"/>
                      </a:xfrm>
                      <a:prstGeom prst="rect">
                        <a:avLst/>
                      </a:prstGeom>
                      <a:noFill/>
                      <a:ln w="6350">
                        <a:noFill/>
                      </a:ln>
                      <a:effectLst/>
                    </wps:spPr>
                    <wps:txbx>
                      <w:txbxContent>
                        <w:p w14:paraId="0528FF65">
                          <w:pPr>
                            <w:pStyle w:val="12"/>
                            <w:ind w:firstLine="0" w:firstLineChars="0"/>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10</w:t>
                          </w:r>
                          <w:r>
                            <w:rPr>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1" o:spid="_x0000_s1026" o:spt="202" type="#_x0000_t202" style="position:absolute;left:0pt;margin-top:0pt;height:18.1pt;width:5.3pt;mso-position-horizontal:outside;mso-position-horizontal-relative:margin;mso-wrap-style:none;z-index:251667456;mso-width-relative:page;mso-height-relative:page;" filled="f" stroked="f" coordsize="21600,21600" o:gfxdata="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64WiP0gAAAAMBAAAPAAAAAAAAAAEAIAAAACIAAABkcnMvZG93bnJl&#10;di54bWxQSwECFAAUAAAACACHTuJAfc8zkzwCAABpBAAADgAAAAAAAAABACAAAAAhAQAAZHJzL2Uy&#10;b0RvYy54bWxQSwUGAAAAAAYABgBZAQAAzwUAAAAA&#10;">
              <v:fill on="f" focussize="0,0"/>
              <v:stroke on="f" weight="0.5pt"/>
              <v:imagedata o:title=""/>
              <o:lock v:ext="edit" aspectratio="f"/>
              <v:textbox inset="0mm,0mm,0mm,0mm" style="mso-fit-shape-to-text:t;">
                <w:txbxContent>
                  <w:p w14:paraId="0528FF65">
                    <w:pPr>
                      <w:pStyle w:val="12"/>
                      <w:ind w:firstLine="0" w:firstLineChars="0"/>
                      <w:rPr>
                        <w:rStyle w:val="22"/>
                        <w:sz w:val="21"/>
                        <w:szCs w:val="21"/>
                      </w:rPr>
                    </w:pPr>
                    <w:r>
                      <w:rPr>
                        <w:sz w:val="21"/>
                        <w:szCs w:val="21"/>
                      </w:rPr>
                      <w:fldChar w:fldCharType="begin"/>
                    </w:r>
                    <w:r>
                      <w:rPr>
                        <w:rStyle w:val="22"/>
                        <w:sz w:val="21"/>
                        <w:szCs w:val="21"/>
                      </w:rPr>
                      <w:instrText xml:space="preserve">PAGE  </w:instrText>
                    </w:r>
                    <w:r>
                      <w:rPr>
                        <w:sz w:val="21"/>
                        <w:szCs w:val="21"/>
                      </w:rPr>
                      <w:fldChar w:fldCharType="separate"/>
                    </w:r>
                    <w:r>
                      <w:rPr>
                        <w:rStyle w:val="22"/>
                        <w:sz w:val="21"/>
                        <w:szCs w:val="21"/>
                      </w:rPr>
                      <w:t>10</w:t>
                    </w:r>
                    <w:r>
                      <w:rPr>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0F763">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7830C">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63E07">
    <w:pPr>
      <w:pStyle w:val="12"/>
      <w:tabs>
        <w:tab w:val="right" w:pos="8280"/>
        <w:tab w:val="clear" w:pos="4153"/>
        <w:tab w:val="clear" w:pos="8306"/>
      </w:tabs>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343535" cy="196850"/>
              <wp:effectExtent l="0" t="0" r="0" b="0"/>
              <wp:wrapNone/>
              <wp:docPr id="12" name="文本框 7"/>
              <wp:cNvGraphicFramePr/>
              <a:graphic xmlns:a="http://schemas.openxmlformats.org/drawingml/2006/main">
                <a:graphicData uri="http://schemas.microsoft.com/office/word/2010/wordprocessingShape">
                  <wps:wsp>
                    <wps:cNvSpPr txBox="1"/>
                    <wps:spPr>
                      <a:xfrm>
                        <a:off x="0" y="0"/>
                        <a:ext cx="343535" cy="196850"/>
                      </a:xfrm>
                      <a:prstGeom prst="rect">
                        <a:avLst/>
                      </a:prstGeom>
                      <a:noFill/>
                      <a:ln>
                        <a:noFill/>
                      </a:ln>
                      <a:effectLst/>
                    </wps:spPr>
                    <wps:txbx>
                      <w:txbxContent>
                        <w:p w14:paraId="21809797">
                          <w:pPr>
                            <w:pStyle w:val="12"/>
                            <w:ind w:firstLine="360"/>
                          </w:pPr>
                        </w:p>
                      </w:txbxContent>
                    </wps:txbx>
                    <wps:bodyPr wrap="none" lIns="0" tIns="0" rIns="0" bIns="0">
                      <a:spAutoFit/>
                    </wps:bodyPr>
                  </wps:wsp>
                </a:graphicData>
              </a:graphic>
            </wp:anchor>
          </w:drawing>
        </mc:Choice>
        <mc:Fallback>
          <w:pict>
            <v:shape id="文本框 7" o:spid="_x0000_s1026" o:spt="202" type="#_x0000_t202" style="position:absolute;left:0pt;margin-top:0pt;height:15.5pt;width:27.05pt;mso-position-horizontal:outside;mso-position-horizontal-relative:margin;mso-wrap-style:none;z-index:251659264;mso-width-relative:page;mso-height-relative:page;" filled="f" stroked="f" coordsize="21600,21600" o:gfxdata="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dqOul0QAAAAMBAAAPAAAAAAAAAAEAIAAAACIAAABkcnMvZG93&#10;bnJldi54bWxQSwECFAAUAAAACACHTuJAxbnoJs4BAACaAwAADgAAAAAAAAABACAAAAAgAQAAZHJz&#10;L2Uyb0RvYy54bWxQSwUGAAAAAAYABgBZAQAAYAUAAAAA&#10;">
              <v:fill on="f" focussize="0,0"/>
              <v:stroke on="f"/>
              <v:imagedata o:title=""/>
              <o:lock v:ext="edit" aspectratio="f"/>
              <v:textbox inset="0mm,0mm,0mm,0mm" style="mso-fit-shape-to-text:t;">
                <w:txbxContent>
                  <w:p w14:paraId="21809797">
                    <w:pPr>
                      <w:pStyle w:val="12"/>
                      <w:ind w:firstLine="360"/>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5190A">
    <w:pPr>
      <w:pStyle w:val="12"/>
      <w:ind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381635" cy="229870"/>
              <wp:effectExtent l="0" t="0" r="0" b="0"/>
              <wp:wrapNone/>
              <wp:docPr id="31" name="文本框 8"/>
              <wp:cNvGraphicFramePr/>
              <a:graphic xmlns:a="http://schemas.openxmlformats.org/drawingml/2006/main">
                <a:graphicData uri="http://schemas.microsoft.com/office/word/2010/wordprocessingShape">
                  <wps:wsp>
                    <wps:cNvSpPr txBox="1"/>
                    <wps:spPr>
                      <a:xfrm>
                        <a:off x="0" y="0"/>
                        <a:ext cx="381635" cy="229870"/>
                      </a:xfrm>
                      <a:prstGeom prst="rect">
                        <a:avLst/>
                      </a:prstGeom>
                      <a:noFill/>
                      <a:ln w="6350">
                        <a:noFill/>
                      </a:ln>
                      <a:effectLst/>
                    </wps:spPr>
                    <wps:txbx>
                      <w:txbxContent>
                        <w:p w14:paraId="3996FBF1">
                          <w:pPr>
                            <w:pStyle w:val="12"/>
                            <w:ind w:firstLine="420"/>
                            <w:rPr>
                              <w:rStyle w:val="22"/>
                              <w:sz w:val="21"/>
                              <w:szCs w:val="21"/>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8" o:spid="_x0000_s1026" o:spt="202" type="#_x0000_t202" style="position:absolute;left:0pt;margin-top:0pt;height:18.1pt;width:30.05pt;mso-position-horizontal:outside;mso-position-horizontal-relative:margin;mso-wrap-style:none;z-index:251660288;mso-width-relative:page;mso-height-relative:page;" filled="f" stroked="f" coordsize="21600,21600" o:gfxdata="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Brtuv0gAAAAMBAAAPAAAAAAAAAAEAIAAAACIAAABkcnMvZG93bnJldi54bWxQ&#10;SwECFAAUAAAACACHTuJAHqcHTTYCAABiBAAADgAAAAAAAAABACAAAAAhAQAAZHJzL2Uyb0RvYy54&#10;bWxQSwUGAAAAAAYABgBZAQAAyQUAAAAA&#10;">
              <v:fill on="f" focussize="0,0"/>
              <v:stroke on="f" weight="0.5pt"/>
              <v:imagedata o:title=""/>
              <o:lock v:ext="edit" aspectratio="f"/>
              <v:textbox inset="0mm,0mm,0mm,0mm" style="mso-fit-shape-to-text:t;">
                <w:txbxContent>
                  <w:p w14:paraId="3996FBF1">
                    <w:pPr>
                      <w:pStyle w:val="12"/>
                      <w:ind w:firstLine="420"/>
                      <w:rPr>
                        <w:rStyle w:val="22"/>
                        <w:sz w:val="21"/>
                        <w:szCs w:val="21"/>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78739">
    <w:pPr>
      <w:pStyle w:val="12"/>
      <w:tabs>
        <w:tab w:val="right" w:pos="8280"/>
        <w:tab w:val="clear" w:pos="4153"/>
        <w:tab w:val="clear" w:pos="8306"/>
      </w:tabs>
      <w:ind w:right="360" w:firstLine="360"/>
    </w:pPr>
    <w: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343535" cy="196850"/>
              <wp:effectExtent l="0" t="0" r="0" b="0"/>
              <wp:wrapNone/>
              <wp:docPr id="63" name="文本框 7"/>
              <wp:cNvGraphicFramePr/>
              <a:graphic xmlns:a="http://schemas.openxmlformats.org/drawingml/2006/main">
                <a:graphicData uri="http://schemas.microsoft.com/office/word/2010/wordprocessingShape">
                  <wps:wsp>
                    <wps:cNvSpPr txBox="1"/>
                    <wps:spPr>
                      <a:xfrm>
                        <a:off x="0" y="0"/>
                        <a:ext cx="343535" cy="196850"/>
                      </a:xfrm>
                      <a:prstGeom prst="rect">
                        <a:avLst/>
                      </a:prstGeom>
                      <a:noFill/>
                      <a:ln>
                        <a:noFill/>
                      </a:ln>
                      <a:effectLst/>
                    </wps:spPr>
                    <wps:txbx>
                      <w:txbxContent>
                        <w:p w14:paraId="617E5C8A">
                          <w:pPr>
                            <w:pStyle w:val="12"/>
                            <w:ind w:firstLine="360"/>
                          </w:pPr>
                        </w:p>
                      </w:txbxContent>
                    </wps:txbx>
                    <wps:bodyPr wrap="none" lIns="0" tIns="0" rIns="0" bIns="0">
                      <a:spAutoFit/>
                    </wps:bodyPr>
                  </wps:wsp>
                </a:graphicData>
              </a:graphic>
            </wp:anchor>
          </w:drawing>
        </mc:Choice>
        <mc:Fallback>
          <w:pict>
            <v:shape id="文本框 7" o:spid="_x0000_s1026" o:spt="202" type="#_x0000_t202" style="position:absolute;left:0pt;margin-top:0pt;height:15.5pt;width:27.05pt;mso-position-horizontal:outside;mso-position-horizontal-relative:margin;mso-wrap-style:none;z-index:251675648;mso-width-relative:page;mso-height-relative:page;" filled="f" stroked="f" coordsize="21600,21600" o:gfxdata="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ajrpdEAAAADAQAADwAAAAAAAAABACAAAAAiAAAAZHJzL2Rv&#10;d25yZXYueG1sUEsBAhQAFAAAAAgAh07iQKhhfRLPAQAAmgMAAA4AAAAAAAAAAQAgAAAAIAEAAGRy&#10;cy9lMm9Eb2MueG1sUEsFBgAAAAAGAAYAWQEAAGEFAAAAAA==&#10;">
              <v:fill on="f" focussize="0,0"/>
              <v:stroke on="f"/>
              <v:imagedata o:title=""/>
              <o:lock v:ext="edit" aspectratio="f"/>
              <v:textbox inset="0mm,0mm,0mm,0mm" style="mso-fit-shape-to-text:t;">
                <w:txbxContent>
                  <w:p w14:paraId="617E5C8A">
                    <w:pPr>
                      <w:pStyle w:val="12"/>
                      <w:ind w:firstLine="360"/>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045BC">
    <w:pPr>
      <w:pStyle w:val="12"/>
      <w:ind w:firstLine="360"/>
    </w:pPr>
    <w: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381635" cy="229870"/>
              <wp:effectExtent l="0" t="0" r="0" b="0"/>
              <wp:wrapNone/>
              <wp:docPr id="65" name="文本框 8"/>
              <wp:cNvGraphicFramePr/>
              <a:graphic xmlns:a="http://schemas.openxmlformats.org/drawingml/2006/main">
                <a:graphicData uri="http://schemas.microsoft.com/office/word/2010/wordprocessingShape">
                  <wps:wsp>
                    <wps:cNvSpPr txBox="1"/>
                    <wps:spPr>
                      <a:xfrm>
                        <a:off x="0" y="0"/>
                        <a:ext cx="381635" cy="229870"/>
                      </a:xfrm>
                      <a:prstGeom prst="rect">
                        <a:avLst/>
                      </a:prstGeom>
                      <a:noFill/>
                      <a:ln w="6350">
                        <a:noFill/>
                      </a:ln>
                      <a:effectLst/>
                    </wps:spPr>
                    <wps:txbx>
                      <w:txbxContent>
                        <w:p w14:paraId="2A2CDEA3">
                          <w:pPr>
                            <w:pStyle w:val="12"/>
                            <w:ind w:firstLine="420"/>
                            <w:rPr>
                              <w:rStyle w:val="22"/>
                              <w:sz w:val="21"/>
                              <w:szCs w:val="21"/>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8" o:spid="_x0000_s1026" o:spt="202" type="#_x0000_t202" style="position:absolute;left:0pt;margin-top:0pt;height:18.1pt;width:30.05pt;mso-position-horizontal:outside;mso-position-horizontal-relative:margin;mso-wrap-style:none;z-index:251676672;mso-width-relative:page;mso-height-relative:page;" filled="f" stroked="f" coordsize="21600,21600" o:gfxdata="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Aa7br9IAAAADAQAADwAAAAAAAAABACAAAAAiAAAAZHJzL2Rvd25yZXYueG1s&#10;UEsBAhQAFAAAAAgAh07iQC/+upo3AgAAYgQAAA4AAAAAAAAAAQAgAAAAIQEAAGRycy9lMm9Eb2Mu&#10;eG1sUEsFBgAAAAAGAAYAWQEAAMoFAAAAAA==&#10;">
              <v:fill on="f" focussize="0,0"/>
              <v:stroke on="f" weight="0.5pt"/>
              <v:imagedata o:title=""/>
              <o:lock v:ext="edit" aspectratio="f"/>
              <v:textbox inset="0mm,0mm,0mm,0mm" style="mso-fit-shape-to-text:t;">
                <w:txbxContent>
                  <w:p w14:paraId="2A2CDEA3">
                    <w:pPr>
                      <w:pStyle w:val="12"/>
                      <w:ind w:firstLine="420"/>
                      <w:rPr>
                        <w:rStyle w:val="22"/>
                        <w:sz w:val="21"/>
                        <w:szCs w:val="21"/>
                      </w:rPr>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98361">
    <w:pPr>
      <w:pStyle w:val="12"/>
      <w:tabs>
        <w:tab w:val="right" w:pos="7946"/>
        <w:tab w:val="clear" w:pos="4153"/>
        <w:tab w:val="clear" w:pos="8306"/>
      </w:tabs>
      <w:ind w:right="360" w:firstLine="360"/>
    </w:pPr>
    <w:r>
      <w:rPr>
        <w:sz w:val="18"/>
      </w:rP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1EDEEA">
                          <w:pPr>
                            <w:pStyle w:val="12"/>
                            <w:rPr>
                              <w:rFonts w:hint="eastAsia" w:eastAsia="宋体"/>
                              <w:lang w:eastAsia="zh-CN"/>
                            </w:rPr>
                          </w:pPr>
                          <w:r>
                            <w:rPr>
                              <w:rFonts w:hint="eastAsia"/>
                              <w:lang w:val="en-US" w:eastAsia="zh-CN"/>
                            </w:rPr>
                            <w:t>I</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041EDEEA">
                    <w:pPr>
                      <w:pStyle w:val="12"/>
                      <w:rPr>
                        <w:rFonts w:hint="eastAsia" w:eastAsia="宋体"/>
                        <w:lang w:eastAsia="zh-CN"/>
                      </w:rPr>
                    </w:pPr>
                    <w:r>
                      <w:rPr>
                        <w:rFonts w:hint="eastAsia"/>
                        <w:lang w:val="en-US" w:eastAsia="zh-CN"/>
                      </w:rPr>
                      <w:t>I</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154E8">
    <w:pPr>
      <w:pStyle w:val="12"/>
      <w:ind w:firstLine="360"/>
    </w:pP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D30D5A">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67D30D5A">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343535" cy="222250"/>
              <wp:effectExtent l="0" t="0" r="0" b="0"/>
              <wp:wrapNone/>
              <wp:docPr id="17" name="文本框 6"/>
              <wp:cNvGraphicFramePr/>
              <a:graphic xmlns:a="http://schemas.openxmlformats.org/drawingml/2006/main">
                <a:graphicData uri="http://schemas.microsoft.com/office/word/2010/wordprocessingShape">
                  <wps:wsp>
                    <wps:cNvSpPr txBox="1"/>
                    <wps:spPr>
                      <a:xfrm>
                        <a:off x="0" y="0"/>
                        <a:ext cx="343535" cy="222250"/>
                      </a:xfrm>
                      <a:prstGeom prst="rect">
                        <a:avLst/>
                      </a:prstGeom>
                      <a:noFill/>
                      <a:ln w="6350">
                        <a:noFill/>
                      </a:ln>
                    </wps:spPr>
                    <wps:txbx>
                      <w:txbxContent>
                        <w:p w14:paraId="22A52BA5">
                          <w:pPr>
                            <w:pStyle w:val="12"/>
                            <w:ind w:firstLine="360"/>
                          </w:pPr>
                          <w:r>
                            <w:rPr>
                              <w:rFonts w:hint="eastAsia"/>
                            </w:rPr>
                            <w:t>Ⅱ</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6" o:spid="_x0000_s1026" o:spt="202" type="#_x0000_t202" style="position:absolute;left:0pt;margin-top:0pt;height:17.5pt;width:27.05pt;mso-position-horizontal:right;mso-position-horizontal-relative:margin;mso-wrap-style:none;z-index:251663360;mso-width-relative:page;mso-height-relative:page;" filled="f" stroked="f" coordsize="21600,21600" o:gfxdata="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J6GdfTAAAAAwEAAA8AAAAAAAAAAQAgAAAAIgAAAGRycy9kb3ducmV2LnhtbFBLAQIUABQA&#10;AAAIAIdO4kB7JppuLgIAAFQEAAAOAAAAAAAAAAEAIAAAACIBAABkcnMvZTJvRG9jLnhtbFBLBQYA&#10;AAAABgAGAFkBAADCBQAAAAA=&#10;">
              <v:fill on="f" focussize="0,0"/>
              <v:stroke on="f" weight="0.5pt"/>
              <v:imagedata o:title=""/>
              <o:lock v:ext="edit" aspectratio="f"/>
              <v:textbox inset="0mm,0mm,0mm,0mm" style="mso-fit-shape-to-text:t;">
                <w:txbxContent>
                  <w:p w14:paraId="22A52BA5">
                    <w:pPr>
                      <w:pStyle w:val="12"/>
                      <w:ind w:firstLine="360"/>
                    </w:pPr>
                    <w:r>
                      <w:rPr>
                        <w:rFonts w:hint="eastAsia"/>
                      </w:rPr>
                      <w:t>Ⅱ</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381635" cy="229870"/>
              <wp:effectExtent l="0" t="0" r="0" b="0"/>
              <wp:wrapNone/>
              <wp:docPr id="15" name="文本框 5"/>
              <wp:cNvGraphicFramePr/>
              <a:graphic xmlns:a="http://schemas.openxmlformats.org/drawingml/2006/main">
                <a:graphicData uri="http://schemas.microsoft.com/office/word/2010/wordprocessingShape">
                  <wps:wsp>
                    <wps:cNvSpPr txBox="1"/>
                    <wps:spPr>
                      <a:xfrm>
                        <a:off x="0" y="0"/>
                        <a:ext cx="381635" cy="229870"/>
                      </a:xfrm>
                      <a:prstGeom prst="rect">
                        <a:avLst/>
                      </a:prstGeom>
                      <a:noFill/>
                      <a:ln w="6350">
                        <a:noFill/>
                      </a:ln>
                      <a:effectLst/>
                    </wps:spPr>
                    <wps:txbx>
                      <w:txbxContent>
                        <w:p w14:paraId="12E7E527">
                          <w:pPr>
                            <w:pStyle w:val="12"/>
                            <w:ind w:firstLine="420"/>
                            <w:rPr>
                              <w:rStyle w:val="22"/>
                              <w:sz w:val="21"/>
                              <w:szCs w:val="21"/>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5" o:spid="_x0000_s1026" o:spt="202" type="#_x0000_t202" style="position:absolute;left:0pt;margin-top:0pt;height:18.1pt;width:30.05pt;mso-position-horizontal:outside;mso-position-horizontal-relative:margin;mso-wrap-style:none;z-index:251664384;mso-width-relative:page;mso-height-relative:page;" filled="f" stroked="f" coordsize="21600,21600" o:gfxdata="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Gu26/SAAAAAwEAAA8AAAAAAAAAAQAgAAAAIgAAAGRycy9kb3ducmV2LnhtbFBL&#10;AQIUABQAAAAIAIdO4kCUpJ13NQIAAGIEAAAOAAAAAAAAAAEAIAAAACEBAABkcnMvZTJvRG9jLnht&#10;bFBLBQYAAAAABgAGAFkBAADIBQAAAAA=&#10;">
              <v:fill on="f" focussize="0,0"/>
              <v:stroke on="f" weight="0.5pt"/>
              <v:imagedata o:title=""/>
              <o:lock v:ext="edit" aspectratio="f"/>
              <v:textbox inset="0mm,0mm,0mm,0mm" style="mso-fit-shape-to-text:t;">
                <w:txbxContent>
                  <w:p w14:paraId="12E7E527">
                    <w:pPr>
                      <w:pStyle w:val="12"/>
                      <w:ind w:firstLine="420"/>
                      <w:rPr>
                        <w:rStyle w:val="22"/>
                        <w:sz w:val="21"/>
                        <w:szCs w:val="21"/>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40"/>
      </w:pPr>
      <w:r>
        <w:separator/>
      </w:r>
    </w:p>
  </w:footnote>
  <w:footnote w:type="continuationSeparator" w:id="1">
    <w:p>
      <w:pPr>
        <w:spacing w:line="36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BBB40">
    <w:pPr>
      <w:pStyle w:val="13"/>
      <w:ind w:firstLine="420"/>
    </w:pPr>
    <w:r>
      <w:rPr>
        <w:rFonts w:hint="eastAsia" w:ascii="黑体" w:eastAsia="黑体"/>
        <w:sz w:val="21"/>
        <w:szCs w:val="21"/>
      </w:rPr>
      <w:t>JJF 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20D82">
    <w:pPr>
      <w:pStyle w:val="13"/>
      <w:ind w:firstLine="420"/>
    </w:pPr>
    <w:r>
      <w:rPr>
        <w:rFonts w:hint="eastAsia" w:ascii="黑体" w:eastAsia="黑体"/>
        <w:sz w:val="21"/>
        <w:szCs w:val="21"/>
      </w:rPr>
      <w:t>JJF 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2DD8B">
    <w:pPr>
      <w:pStyle w:val="13"/>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5E955">
    <w:pPr>
      <w:pStyle w:val="13"/>
      <w:ind w:firstLine="420"/>
    </w:pPr>
    <w:r>
      <w:rPr>
        <w:rFonts w:hint="eastAsia" w:ascii="黑体" w:eastAsia="黑体"/>
        <w:sz w:val="21"/>
        <w:szCs w:val="21"/>
      </w:rPr>
      <w:t>JJF xxxx-202x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A556A">
    <w:pPr>
      <w:pStyle w:val="13"/>
      <w:ind w:firstLine="420"/>
    </w:pPr>
    <w:r>
      <w:rPr>
        <w:rFonts w:hint="eastAsia" w:ascii="黑体" w:eastAsia="黑体"/>
        <w:sz w:val="21"/>
        <w:szCs w:val="21"/>
      </w:rPr>
      <w:t>JJF xxxx-202x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272px;height:114px" o:bullet="t">
        <v:imagedata r:id="rId1" o:title=""/>
      </v:shape>
    </w:pict>
  </w:numPicBullet>
  <w:abstractNum w:abstractNumId="0">
    <w:nsid w:val="FBA2ED30"/>
    <w:multiLevelType w:val="multilevel"/>
    <w:tmpl w:val="FBA2ED30"/>
    <w:lvl w:ilvl="0" w:tentative="0">
      <w:start w:val="1"/>
      <w:numFmt w:val="decimal"/>
      <w:lvlText w:val="%1"/>
      <w:lvlJc w:val="left"/>
      <w:pPr>
        <w:ind w:left="425" w:hanging="425"/>
      </w:pPr>
      <w:rPr>
        <w:rFonts w:hint="default" w:ascii="黑体" w:hAnsi="黑体" w:eastAsia="黑体" w:cs="黑体"/>
      </w:rPr>
    </w:lvl>
    <w:lvl w:ilvl="1" w:tentative="0">
      <w:start w:val="1"/>
      <w:numFmt w:val="decimal"/>
      <w:lvlText w:val="%1.%2"/>
      <w:lvlJc w:val="left"/>
      <w:pPr>
        <w:ind w:left="567" w:hanging="567"/>
      </w:pPr>
      <w:rPr>
        <w:rFonts w:hint="default" w:ascii="Times New Roman" w:hAnsi="Times New Roman" w:eastAsia="宋体" w:cs="Times New Roman"/>
      </w:rPr>
    </w:lvl>
    <w:lvl w:ilvl="2" w:tentative="0">
      <w:start w:val="1"/>
      <w:numFmt w:val="decimal"/>
      <w:lvlText w:val="%1.%2.%3"/>
      <w:lvlJc w:val="left"/>
      <w:pPr>
        <w:ind w:left="709" w:hanging="709"/>
      </w:pPr>
      <w:rPr>
        <w:rFonts w:hint="default" w:ascii="Times New Roman" w:hAnsi="Times New Roman" w:eastAsia="宋体" w:cs="Times New Roman"/>
      </w:rPr>
    </w:lvl>
    <w:lvl w:ilvl="3" w:tentative="0">
      <w:start w:val="1"/>
      <w:numFmt w:val="decimal"/>
      <w:lvlText w:val="%1.%2.%3.%4"/>
      <w:lvlJc w:val="left"/>
      <w:pPr>
        <w:ind w:left="850" w:hanging="850"/>
      </w:pPr>
      <w:rPr>
        <w:rFonts w:hint="default" w:ascii="Times New Roman" w:hAnsi="Times New Roman" w:eastAsia="宋体" w:cs="Times New Roman"/>
      </w:rPr>
    </w:lvl>
    <w:lvl w:ilvl="4" w:tentative="0">
      <w:start w:val="1"/>
      <w:numFmt w:val="decimal"/>
      <w:lvlText w:val="%1.%2.%3.%4.%5"/>
      <w:lvlJc w:val="left"/>
      <w:pPr>
        <w:ind w:left="991" w:hanging="991"/>
      </w:pPr>
      <w:rPr>
        <w:rFonts w:hint="default" w:ascii="宋体" w:hAnsi="宋体" w:eastAsia="宋体" w:cs="宋体"/>
      </w:rPr>
    </w:lvl>
    <w:lvl w:ilvl="5" w:tentative="0">
      <w:start w:val="1"/>
      <w:numFmt w:val="decimal"/>
      <w:lvlText w:val="%1.%2.%3.%4.%5.%6"/>
      <w:lvlJc w:val="left"/>
      <w:pPr>
        <w:ind w:left="1134" w:hanging="1134"/>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2C5917C3"/>
    <w:multiLevelType w:val="multilevel"/>
    <w:tmpl w:val="2C5917C3"/>
    <w:lvl w:ilvl="0" w:tentative="0">
      <w:start w:val="1"/>
      <w:numFmt w:val="none"/>
      <w:pStyle w:val="38"/>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34EA77AB"/>
    <w:multiLevelType w:val="singleLevel"/>
    <w:tmpl w:val="34EA77AB"/>
    <w:lvl w:ilvl="0" w:tentative="0">
      <w:start w:val="1"/>
      <w:numFmt w:val="decimal"/>
      <w:suff w:val="nothing"/>
      <w:lvlText w:val="%1）"/>
      <w:lvlJc w:val="left"/>
    </w:lvl>
  </w:abstractNum>
  <w:abstractNum w:abstractNumId="3">
    <w:nsid w:val="4D5E6245"/>
    <w:multiLevelType w:val="multilevel"/>
    <w:tmpl w:val="4D5E6245"/>
    <w:lvl w:ilvl="0" w:tentative="0">
      <w:start w:val="1"/>
      <w:numFmt w:val="bullet"/>
      <w:lvlText w:val=""/>
      <w:lvlPicBulletId w:val="0"/>
      <w:lvlJc w:val="left"/>
      <w:pPr>
        <w:tabs>
          <w:tab w:val="left" w:pos="5880"/>
        </w:tabs>
        <w:ind w:left="5880" w:firstLine="0"/>
      </w:pPr>
      <w:rPr>
        <w:rFonts w:hint="default" w:ascii="Symbol" w:hAnsi="Symbol"/>
      </w:rPr>
    </w:lvl>
    <w:lvl w:ilvl="1" w:tentative="0">
      <w:start w:val="1"/>
      <w:numFmt w:val="bullet"/>
      <w:pStyle w:val="31"/>
      <w:lvlText w:val=""/>
      <w:lvlJc w:val="left"/>
      <w:pPr>
        <w:tabs>
          <w:tab w:val="left" w:pos="6300"/>
        </w:tabs>
        <w:ind w:left="6300" w:firstLine="0"/>
      </w:pPr>
      <w:rPr>
        <w:rFonts w:hint="default" w:ascii="Symbol" w:hAnsi="Symbol"/>
      </w:rPr>
    </w:lvl>
    <w:lvl w:ilvl="2" w:tentative="0">
      <w:start w:val="1"/>
      <w:numFmt w:val="bullet"/>
      <w:lvlText w:val=""/>
      <w:lvlJc w:val="left"/>
      <w:pPr>
        <w:tabs>
          <w:tab w:val="left" w:pos="6720"/>
        </w:tabs>
        <w:ind w:left="6720" w:firstLine="0"/>
      </w:pPr>
      <w:rPr>
        <w:rFonts w:hint="default" w:ascii="Symbol" w:hAnsi="Symbol"/>
      </w:rPr>
    </w:lvl>
    <w:lvl w:ilvl="3" w:tentative="0">
      <w:start w:val="1"/>
      <w:numFmt w:val="bullet"/>
      <w:lvlText w:val=""/>
      <w:lvlJc w:val="left"/>
      <w:pPr>
        <w:tabs>
          <w:tab w:val="left" w:pos="7140"/>
        </w:tabs>
        <w:ind w:left="7140" w:firstLine="0"/>
      </w:pPr>
      <w:rPr>
        <w:rFonts w:hint="default" w:ascii="Symbol" w:hAnsi="Symbol"/>
      </w:rPr>
    </w:lvl>
    <w:lvl w:ilvl="4" w:tentative="0">
      <w:start w:val="1"/>
      <w:numFmt w:val="bullet"/>
      <w:lvlText w:val=""/>
      <w:lvlJc w:val="left"/>
      <w:pPr>
        <w:tabs>
          <w:tab w:val="left" w:pos="7560"/>
        </w:tabs>
        <w:ind w:left="7560" w:firstLine="0"/>
      </w:pPr>
      <w:rPr>
        <w:rFonts w:hint="default" w:ascii="Symbol" w:hAnsi="Symbol"/>
      </w:rPr>
    </w:lvl>
    <w:lvl w:ilvl="5" w:tentative="0">
      <w:start w:val="1"/>
      <w:numFmt w:val="bullet"/>
      <w:lvlText w:val=""/>
      <w:lvlJc w:val="left"/>
      <w:pPr>
        <w:tabs>
          <w:tab w:val="left" w:pos="7980"/>
        </w:tabs>
        <w:ind w:left="7980" w:firstLine="0"/>
      </w:pPr>
      <w:rPr>
        <w:rFonts w:hint="default" w:ascii="Symbol" w:hAnsi="Symbol"/>
      </w:rPr>
    </w:lvl>
    <w:lvl w:ilvl="6" w:tentative="0">
      <w:start w:val="1"/>
      <w:numFmt w:val="bullet"/>
      <w:lvlText w:val=""/>
      <w:lvlJc w:val="left"/>
      <w:pPr>
        <w:tabs>
          <w:tab w:val="left" w:pos="8400"/>
        </w:tabs>
        <w:ind w:left="8400" w:firstLine="0"/>
      </w:pPr>
      <w:rPr>
        <w:rFonts w:hint="default" w:ascii="Symbol" w:hAnsi="Symbol"/>
      </w:rPr>
    </w:lvl>
    <w:lvl w:ilvl="7" w:tentative="0">
      <w:start w:val="1"/>
      <w:numFmt w:val="bullet"/>
      <w:lvlText w:val=""/>
      <w:lvlJc w:val="left"/>
      <w:pPr>
        <w:tabs>
          <w:tab w:val="left" w:pos="8820"/>
        </w:tabs>
        <w:ind w:left="8820" w:firstLine="0"/>
      </w:pPr>
      <w:rPr>
        <w:rFonts w:hint="default" w:ascii="Symbol" w:hAnsi="Symbol"/>
      </w:rPr>
    </w:lvl>
    <w:lvl w:ilvl="8" w:tentative="0">
      <w:start w:val="1"/>
      <w:numFmt w:val="bullet"/>
      <w:lvlText w:val=""/>
      <w:lvlJc w:val="left"/>
      <w:pPr>
        <w:tabs>
          <w:tab w:val="left" w:pos="9240"/>
        </w:tabs>
        <w:ind w:left="9240" w:firstLine="0"/>
      </w:pPr>
      <w:rPr>
        <w:rFonts w:hint="default" w:ascii="Symbol" w:hAnsi="Symbol"/>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footnotePr>
    <w:footnote w:id="0"/>
    <w:footnote w:id="1"/>
  </w:footnotePr>
  <w:endnotePr>
    <w:numFmt w:val="decimal"/>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NWI3ZjUzZDAzYjJmYmY1MzY3NWJmOWRhNTJlZTcifQ=="/>
  </w:docVars>
  <w:rsids>
    <w:rsidRoot w:val="00172A27"/>
    <w:rsid w:val="00024FCC"/>
    <w:rsid w:val="00026182"/>
    <w:rsid w:val="000356BD"/>
    <w:rsid w:val="00063A14"/>
    <w:rsid w:val="0006527E"/>
    <w:rsid w:val="000C564D"/>
    <w:rsid w:val="000D00BF"/>
    <w:rsid w:val="000D0C53"/>
    <w:rsid w:val="000D2229"/>
    <w:rsid w:val="000D4B96"/>
    <w:rsid w:val="000E2743"/>
    <w:rsid w:val="001048B1"/>
    <w:rsid w:val="00111177"/>
    <w:rsid w:val="00121812"/>
    <w:rsid w:val="00121BF5"/>
    <w:rsid w:val="00125C49"/>
    <w:rsid w:val="00130323"/>
    <w:rsid w:val="00172A27"/>
    <w:rsid w:val="001942AD"/>
    <w:rsid w:val="001C3028"/>
    <w:rsid w:val="001D5C25"/>
    <w:rsid w:val="001F57DF"/>
    <w:rsid w:val="002020C0"/>
    <w:rsid w:val="00207059"/>
    <w:rsid w:val="002134DC"/>
    <w:rsid w:val="0024522C"/>
    <w:rsid w:val="00245DE4"/>
    <w:rsid w:val="00246AED"/>
    <w:rsid w:val="002853BB"/>
    <w:rsid w:val="002B5A9D"/>
    <w:rsid w:val="002F1094"/>
    <w:rsid w:val="00300347"/>
    <w:rsid w:val="0030562F"/>
    <w:rsid w:val="0033378C"/>
    <w:rsid w:val="003338E1"/>
    <w:rsid w:val="00336884"/>
    <w:rsid w:val="003440EF"/>
    <w:rsid w:val="003540F5"/>
    <w:rsid w:val="0035454D"/>
    <w:rsid w:val="00354B36"/>
    <w:rsid w:val="00355C29"/>
    <w:rsid w:val="00365162"/>
    <w:rsid w:val="00377FCD"/>
    <w:rsid w:val="00383779"/>
    <w:rsid w:val="003A417E"/>
    <w:rsid w:val="003B60C2"/>
    <w:rsid w:val="003D0CFC"/>
    <w:rsid w:val="003D5132"/>
    <w:rsid w:val="003D6D99"/>
    <w:rsid w:val="00417CC2"/>
    <w:rsid w:val="00431169"/>
    <w:rsid w:val="004377D9"/>
    <w:rsid w:val="0044552F"/>
    <w:rsid w:val="00446B0A"/>
    <w:rsid w:val="00463D82"/>
    <w:rsid w:val="00465898"/>
    <w:rsid w:val="004752B3"/>
    <w:rsid w:val="004929C6"/>
    <w:rsid w:val="004C05E9"/>
    <w:rsid w:val="004C0CF8"/>
    <w:rsid w:val="004D0575"/>
    <w:rsid w:val="004E2046"/>
    <w:rsid w:val="004E3713"/>
    <w:rsid w:val="004E60BD"/>
    <w:rsid w:val="004E7B01"/>
    <w:rsid w:val="004F2025"/>
    <w:rsid w:val="004F396C"/>
    <w:rsid w:val="005067FA"/>
    <w:rsid w:val="00510613"/>
    <w:rsid w:val="0051797C"/>
    <w:rsid w:val="005225C8"/>
    <w:rsid w:val="00535BC7"/>
    <w:rsid w:val="00553F2F"/>
    <w:rsid w:val="0058006F"/>
    <w:rsid w:val="00583693"/>
    <w:rsid w:val="005B1D36"/>
    <w:rsid w:val="005C0514"/>
    <w:rsid w:val="005D5794"/>
    <w:rsid w:val="005D583B"/>
    <w:rsid w:val="005D6A52"/>
    <w:rsid w:val="005F3244"/>
    <w:rsid w:val="005F4DD3"/>
    <w:rsid w:val="00601A53"/>
    <w:rsid w:val="00627392"/>
    <w:rsid w:val="006354D9"/>
    <w:rsid w:val="006402D5"/>
    <w:rsid w:val="00644F60"/>
    <w:rsid w:val="00647847"/>
    <w:rsid w:val="00650C20"/>
    <w:rsid w:val="00686613"/>
    <w:rsid w:val="00695180"/>
    <w:rsid w:val="0069518B"/>
    <w:rsid w:val="006A1827"/>
    <w:rsid w:val="006A529C"/>
    <w:rsid w:val="006D0AF2"/>
    <w:rsid w:val="006D2AA3"/>
    <w:rsid w:val="006D779E"/>
    <w:rsid w:val="006F4B47"/>
    <w:rsid w:val="006F6E14"/>
    <w:rsid w:val="00703B07"/>
    <w:rsid w:val="007053F3"/>
    <w:rsid w:val="00714715"/>
    <w:rsid w:val="007158F4"/>
    <w:rsid w:val="007217EA"/>
    <w:rsid w:val="00733302"/>
    <w:rsid w:val="00745FC3"/>
    <w:rsid w:val="007664F5"/>
    <w:rsid w:val="007775AE"/>
    <w:rsid w:val="00794601"/>
    <w:rsid w:val="007A0987"/>
    <w:rsid w:val="007A60E3"/>
    <w:rsid w:val="007B3563"/>
    <w:rsid w:val="007B6C18"/>
    <w:rsid w:val="007C0900"/>
    <w:rsid w:val="007C3BCD"/>
    <w:rsid w:val="007C4703"/>
    <w:rsid w:val="00810338"/>
    <w:rsid w:val="00820EC3"/>
    <w:rsid w:val="00830467"/>
    <w:rsid w:val="00884DDA"/>
    <w:rsid w:val="008A439D"/>
    <w:rsid w:val="008B2C87"/>
    <w:rsid w:val="008C1337"/>
    <w:rsid w:val="008D455F"/>
    <w:rsid w:val="00921D97"/>
    <w:rsid w:val="009331F1"/>
    <w:rsid w:val="009365C0"/>
    <w:rsid w:val="009454A8"/>
    <w:rsid w:val="00962DDF"/>
    <w:rsid w:val="0096447B"/>
    <w:rsid w:val="00984BDD"/>
    <w:rsid w:val="009945AA"/>
    <w:rsid w:val="009977CC"/>
    <w:rsid w:val="009A09DF"/>
    <w:rsid w:val="009A62ED"/>
    <w:rsid w:val="009C2AD1"/>
    <w:rsid w:val="009C3627"/>
    <w:rsid w:val="009C68CA"/>
    <w:rsid w:val="009D341E"/>
    <w:rsid w:val="009E78C9"/>
    <w:rsid w:val="00A14765"/>
    <w:rsid w:val="00A16D7B"/>
    <w:rsid w:val="00A21CC4"/>
    <w:rsid w:val="00A2611D"/>
    <w:rsid w:val="00A4705B"/>
    <w:rsid w:val="00A60E43"/>
    <w:rsid w:val="00A7172C"/>
    <w:rsid w:val="00A71D8A"/>
    <w:rsid w:val="00A732F2"/>
    <w:rsid w:val="00A96F02"/>
    <w:rsid w:val="00AA7254"/>
    <w:rsid w:val="00AB067F"/>
    <w:rsid w:val="00AB5E08"/>
    <w:rsid w:val="00AC0072"/>
    <w:rsid w:val="00AC3C14"/>
    <w:rsid w:val="00AD4992"/>
    <w:rsid w:val="00AE1512"/>
    <w:rsid w:val="00AF4A10"/>
    <w:rsid w:val="00B12897"/>
    <w:rsid w:val="00B12F35"/>
    <w:rsid w:val="00B23409"/>
    <w:rsid w:val="00B25C56"/>
    <w:rsid w:val="00B37AC7"/>
    <w:rsid w:val="00B40224"/>
    <w:rsid w:val="00B438F6"/>
    <w:rsid w:val="00B5266F"/>
    <w:rsid w:val="00B70B75"/>
    <w:rsid w:val="00B70DDB"/>
    <w:rsid w:val="00B77356"/>
    <w:rsid w:val="00B85718"/>
    <w:rsid w:val="00B91D35"/>
    <w:rsid w:val="00B950BD"/>
    <w:rsid w:val="00B977C8"/>
    <w:rsid w:val="00BA6AED"/>
    <w:rsid w:val="00BB3A12"/>
    <w:rsid w:val="00BB7854"/>
    <w:rsid w:val="00BC5A70"/>
    <w:rsid w:val="00BE5F03"/>
    <w:rsid w:val="00BF1F3C"/>
    <w:rsid w:val="00C057F5"/>
    <w:rsid w:val="00C10682"/>
    <w:rsid w:val="00C32759"/>
    <w:rsid w:val="00C355EF"/>
    <w:rsid w:val="00C52393"/>
    <w:rsid w:val="00C706E0"/>
    <w:rsid w:val="00C80A2B"/>
    <w:rsid w:val="00CA4801"/>
    <w:rsid w:val="00CB090B"/>
    <w:rsid w:val="00CB6408"/>
    <w:rsid w:val="00CD4075"/>
    <w:rsid w:val="00CE3EBD"/>
    <w:rsid w:val="00D12AC4"/>
    <w:rsid w:val="00D31F86"/>
    <w:rsid w:val="00D533D3"/>
    <w:rsid w:val="00D7687E"/>
    <w:rsid w:val="00DA451D"/>
    <w:rsid w:val="00DB4991"/>
    <w:rsid w:val="00DB4A7B"/>
    <w:rsid w:val="00DC0873"/>
    <w:rsid w:val="00DC3230"/>
    <w:rsid w:val="00DC6DAE"/>
    <w:rsid w:val="00DD7420"/>
    <w:rsid w:val="00DE0986"/>
    <w:rsid w:val="00DE09CC"/>
    <w:rsid w:val="00E10ACD"/>
    <w:rsid w:val="00E40872"/>
    <w:rsid w:val="00E61EF9"/>
    <w:rsid w:val="00E73C66"/>
    <w:rsid w:val="00E753B7"/>
    <w:rsid w:val="00E93DFE"/>
    <w:rsid w:val="00EA6BF9"/>
    <w:rsid w:val="00EB7176"/>
    <w:rsid w:val="00EF08F5"/>
    <w:rsid w:val="00F016AD"/>
    <w:rsid w:val="00F03DE8"/>
    <w:rsid w:val="00F24F29"/>
    <w:rsid w:val="00F27976"/>
    <w:rsid w:val="00F378AA"/>
    <w:rsid w:val="00F43160"/>
    <w:rsid w:val="00F431B3"/>
    <w:rsid w:val="00F5056C"/>
    <w:rsid w:val="00F54F99"/>
    <w:rsid w:val="00F72E31"/>
    <w:rsid w:val="00F744AD"/>
    <w:rsid w:val="00F769CE"/>
    <w:rsid w:val="00F807A8"/>
    <w:rsid w:val="00F838E7"/>
    <w:rsid w:val="00FD1592"/>
    <w:rsid w:val="00FD311D"/>
    <w:rsid w:val="00FD4075"/>
    <w:rsid w:val="00FF4757"/>
    <w:rsid w:val="01E0576E"/>
    <w:rsid w:val="01EB410B"/>
    <w:rsid w:val="03F321B0"/>
    <w:rsid w:val="040A4AB4"/>
    <w:rsid w:val="044A58CA"/>
    <w:rsid w:val="046A36F3"/>
    <w:rsid w:val="04E6760E"/>
    <w:rsid w:val="05037FA0"/>
    <w:rsid w:val="05860AC4"/>
    <w:rsid w:val="05CC7829"/>
    <w:rsid w:val="06245BBC"/>
    <w:rsid w:val="06831843"/>
    <w:rsid w:val="06AC3130"/>
    <w:rsid w:val="06D934B8"/>
    <w:rsid w:val="06FE6E25"/>
    <w:rsid w:val="07120FD1"/>
    <w:rsid w:val="07212B9C"/>
    <w:rsid w:val="07F8482E"/>
    <w:rsid w:val="08083C55"/>
    <w:rsid w:val="080E76BB"/>
    <w:rsid w:val="0979317F"/>
    <w:rsid w:val="09960FA4"/>
    <w:rsid w:val="0AA10AE8"/>
    <w:rsid w:val="0ACC73F8"/>
    <w:rsid w:val="0B7365BE"/>
    <w:rsid w:val="0BA6767D"/>
    <w:rsid w:val="0C427064"/>
    <w:rsid w:val="0D083354"/>
    <w:rsid w:val="0DF10866"/>
    <w:rsid w:val="0E35331C"/>
    <w:rsid w:val="0E5D52DA"/>
    <w:rsid w:val="0F601365"/>
    <w:rsid w:val="0FC30E58"/>
    <w:rsid w:val="0FFA2080"/>
    <w:rsid w:val="1148020D"/>
    <w:rsid w:val="11AF0445"/>
    <w:rsid w:val="11E82659"/>
    <w:rsid w:val="12172992"/>
    <w:rsid w:val="127E35AB"/>
    <w:rsid w:val="129D4DA6"/>
    <w:rsid w:val="12C227FA"/>
    <w:rsid w:val="12DD6F8F"/>
    <w:rsid w:val="13DE30D9"/>
    <w:rsid w:val="14892597"/>
    <w:rsid w:val="14D272A3"/>
    <w:rsid w:val="14F45560"/>
    <w:rsid w:val="14F57B01"/>
    <w:rsid w:val="15246A6F"/>
    <w:rsid w:val="15316EF1"/>
    <w:rsid w:val="15D77A9E"/>
    <w:rsid w:val="15FB72E0"/>
    <w:rsid w:val="160A0048"/>
    <w:rsid w:val="1671524D"/>
    <w:rsid w:val="16932BF5"/>
    <w:rsid w:val="16C066E0"/>
    <w:rsid w:val="16CF0055"/>
    <w:rsid w:val="171F2DC2"/>
    <w:rsid w:val="17AF51F4"/>
    <w:rsid w:val="18547CD8"/>
    <w:rsid w:val="18E62C1F"/>
    <w:rsid w:val="190377EA"/>
    <w:rsid w:val="19B21406"/>
    <w:rsid w:val="1A6C448A"/>
    <w:rsid w:val="1A7C64CE"/>
    <w:rsid w:val="1AEF21D1"/>
    <w:rsid w:val="1B0B3461"/>
    <w:rsid w:val="1BA45898"/>
    <w:rsid w:val="1C457D51"/>
    <w:rsid w:val="1C995C35"/>
    <w:rsid w:val="1CAE23BA"/>
    <w:rsid w:val="1CF47BF6"/>
    <w:rsid w:val="1D0B434E"/>
    <w:rsid w:val="1D4671DF"/>
    <w:rsid w:val="1D696754"/>
    <w:rsid w:val="1DAE5A0F"/>
    <w:rsid w:val="1DDA63B5"/>
    <w:rsid w:val="1DDD0659"/>
    <w:rsid w:val="1DDD16DD"/>
    <w:rsid w:val="1E2B3E4C"/>
    <w:rsid w:val="1FA8613A"/>
    <w:rsid w:val="205A03B7"/>
    <w:rsid w:val="20DB539F"/>
    <w:rsid w:val="214C0A20"/>
    <w:rsid w:val="21661819"/>
    <w:rsid w:val="21F94303"/>
    <w:rsid w:val="226D0131"/>
    <w:rsid w:val="22926B21"/>
    <w:rsid w:val="23947A47"/>
    <w:rsid w:val="23E0551F"/>
    <w:rsid w:val="24B352F3"/>
    <w:rsid w:val="252654EB"/>
    <w:rsid w:val="25576DCE"/>
    <w:rsid w:val="25687A69"/>
    <w:rsid w:val="25FF2C7E"/>
    <w:rsid w:val="26335456"/>
    <w:rsid w:val="266B38CB"/>
    <w:rsid w:val="277C2764"/>
    <w:rsid w:val="27E34496"/>
    <w:rsid w:val="27EF498D"/>
    <w:rsid w:val="281126A6"/>
    <w:rsid w:val="28404889"/>
    <w:rsid w:val="2841768A"/>
    <w:rsid w:val="28CE03C6"/>
    <w:rsid w:val="295E0390"/>
    <w:rsid w:val="29813D2C"/>
    <w:rsid w:val="2996338F"/>
    <w:rsid w:val="29B0134A"/>
    <w:rsid w:val="29C651D6"/>
    <w:rsid w:val="2A5609D3"/>
    <w:rsid w:val="2A56689B"/>
    <w:rsid w:val="2A85506A"/>
    <w:rsid w:val="2A9B1227"/>
    <w:rsid w:val="2AF72431"/>
    <w:rsid w:val="2C51490D"/>
    <w:rsid w:val="2D03522E"/>
    <w:rsid w:val="2D0C4517"/>
    <w:rsid w:val="2D204CF1"/>
    <w:rsid w:val="2D234978"/>
    <w:rsid w:val="2EB57330"/>
    <w:rsid w:val="2EE22786"/>
    <w:rsid w:val="2F824D6C"/>
    <w:rsid w:val="2F846572"/>
    <w:rsid w:val="2FCE2C9E"/>
    <w:rsid w:val="30F5690F"/>
    <w:rsid w:val="31272996"/>
    <w:rsid w:val="313B7561"/>
    <w:rsid w:val="314C1320"/>
    <w:rsid w:val="31531A45"/>
    <w:rsid w:val="315C3502"/>
    <w:rsid w:val="31832422"/>
    <w:rsid w:val="327C6C24"/>
    <w:rsid w:val="32D76C39"/>
    <w:rsid w:val="33403E72"/>
    <w:rsid w:val="339A2C4A"/>
    <w:rsid w:val="33A97FD9"/>
    <w:rsid w:val="33D74875"/>
    <w:rsid w:val="34A05A1C"/>
    <w:rsid w:val="34DA6FFA"/>
    <w:rsid w:val="3530247E"/>
    <w:rsid w:val="35AE3854"/>
    <w:rsid w:val="362E3F5B"/>
    <w:rsid w:val="37243563"/>
    <w:rsid w:val="373F454E"/>
    <w:rsid w:val="37416094"/>
    <w:rsid w:val="374F1F99"/>
    <w:rsid w:val="37652F3B"/>
    <w:rsid w:val="37B0248C"/>
    <w:rsid w:val="3853101F"/>
    <w:rsid w:val="386A4EFD"/>
    <w:rsid w:val="38FA6352"/>
    <w:rsid w:val="391231EC"/>
    <w:rsid w:val="393C760D"/>
    <w:rsid w:val="395E32D2"/>
    <w:rsid w:val="399D3F65"/>
    <w:rsid w:val="39A00FA8"/>
    <w:rsid w:val="39B657EB"/>
    <w:rsid w:val="39D22260"/>
    <w:rsid w:val="3A371258"/>
    <w:rsid w:val="3A4C5745"/>
    <w:rsid w:val="3A583E8E"/>
    <w:rsid w:val="3A94331D"/>
    <w:rsid w:val="3B107F9E"/>
    <w:rsid w:val="3B481083"/>
    <w:rsid w:val="3B877C2F"/>
    <w:rsid w:val="3BAF58A5"/>
    <w:rsid w:val="3C354EC8"/>
    <w:rsid w:val="3C90264E"/>
    <w:rsid w:val="3CD704DD"/>
    <w:rsid w:val="3CED6C37"/>
    <w:rsid w:val="3D693FF7"/>
    <w:rsid w:val="3DB11CAC"/>
    <w:rsid w:val="3DE06858"/>
    <w:rsid w:val="3E1E388F"/>
    <w:rsid w:val="3F5F1089"/>
    <w:rsid w:val="3F5F2FAD"/>
    <w:rsid w:val="3F716BF4"/>
    <w:rsid w:val="3FB573B9"/>
    <w:rsid w:val="40E22B29"/>
    <w:rsid w:val="417E4171"/>
    <w:rsid w:val="419972B6"/>
    <w:rsid w:val="419E03D7"/>
    <w:rsid w:val="41FF47A6"/>
    <w:rsid w:val="42512A27"/>
    <w:rsid w:val="426305D7"/>
    <w:rsid w:val="42FA574E"/>
    <w:rsid w:val="43321049"/>
    <w:rsid w:val="43C84810"/>
    <w:rsid w:val="43DD5B7F"/>
    <w:rsid w:val="43F975C8"/>
    <w:rsid w:val="443E6AE4"/>
    <w:rsid w:val="448B4DFE"/>
    <w:rsid w:val="448C28B7"/>
    <w:rsid w:val="44932ED1"/>
    <w:rsid w:val="44B55DDF"/>
    <w:rsid w:val="455C49B4"/>
    <w:rsid w:val="456C1C06"/>
    <w:rsid w:val="45B4319C"/>
    <w:rsid w:val="45ED45EA"/>
    <w:rsid w:val="45FB09FD"/>
    <w:rsid w:val="46CC79B3"/>
    <w:rsid w:val="47780AB4"/>
    <w:rsid w:val="47987B18"/>
    <w:rsid w:val="47E21732"/>
    <w:rsid w:val="47E91D5A"/>
    <w:rsid w:val="47FF4255"/>
    <w:rsid w:val="481C1305"/>
    <w:rsid w:val="48275E2A"/>
    <w:rsid w:val="489C0C93"/>
    <w:rsid w:val="48C142A8"/>
    <w:rsid w:val="490D51B2"/>
    <w:rsid w:val="49100A43"/>
    <w:rsid w:val="49136D01"/>
    <w:rsid w:val="49152AC6"/>
    <w:rsid w:val="49E963C3"/>
    <w:rsid w:val="4A2C0ADD"/>
    <w:rsid w:val="4A3D161A"/>
    <w:rsid w:val="4AF86674"/>
    <w:rsid w:val="4B0F1656"/>
    <w:rsid w:val="4B1E213F"/>
    <w:rsid w:val="4B5160BE"/>
    <w:rsid w:val="4B602641"/>
    <w:rsid w:val="4B806923"/>
    <w:rsid w:val="4BEE1248"/>
    <w:rsid w:val="4C072813"/>
    <w:rsid w:val="4C37704B"/>
    <w:rsid w:val="4C5326F9"/>
    <w:rsid w:val="4C756C6D"/>
    <w:rsid w:val="4C9A5BA8"/>
    <w:rsid w:val="4CB57AE7"/>
    <w:rsid w:val="4DA95565"/>
    <w:rsid w:val="4E296FC6"/>
    <w:rsid w:val="4E360841"/>
    <w:rsid w:val="4EE5752F"/>
    <w:rsid w:val="4F637763"/>
    <w:rsid w:val="4F712A47"/>
    <w:rsid w:val="4FAD74FD"/>
    <w:rsid w:val="4FDB4216"/>
    <w:rsid w:val="508915A0"/>
    <w:rsid w:val="50C63699"/>
    <w:rsid w:val="50CE41E1"/>
    <w:rsid w:val="514850BF"/>
    <w:rsid w:val="514C6504"/>
    <w:rsid w:val="5183021B"/>
    <w:rsid w:val="51AE0382"/>
    <w:rsid w:val="51DC5FD9"/>
    <w:rsid w:val="5217669C"/>
    <w:rsid w:val="525C686D"/>
    <w:rsid w:val="52A60E0F"/>
    <w:rsid w:val="52B06DA6"/>
    <w:rsid w:val="52BE70D3"/>
    <w:rsid w:val="52F069E0"/>
    <w:rsid w:val="53104F88"/>
    <w:rsid w:val="537843EA"/>
    <w:rsid w:val="53C56E34"/>
    <w:rsid w:val="53DB5288"/>
    <w:rsid w:val="54480485"/>
    <w:rsid w:val="54647F23"/>
    <w:rsid w:val="54AB7458"/>
    <w:rsid w:val="54E0256A"/>
    <w:rsid w:val="55401B5A"/>
    <w:rsid w:val="557B486A"/>
    <w:rsid w:val="55875D72"/>
    <w:rsid w:val="55DB26CF"/>
    <w:rsid w:val="5643625D"/>
    <w:rsid w:val="56C516CB"/>
    <w:rsid w:val="572C53AE"/>
    <w:rsid w:val="573702F5"/>
    <w:rsid w:val="5752358D"/>
    <w:rsid w:val="57C8396B"/>
    <w:rsid w:val="57FF6851"/>
    <w:rsid w:val="585720B0"/>
    <w:rsid w:val="589F0F0D"/>
    <w:rsid w:val="5A0E7FC8"/>
    <w:rsid w:val="5A292D5D"/>
    <w:rsid w:val="5A9E7FBE"/>
    <w:rsid w:val="5C573CCD"/>
    <w:rsid w:val="5C645402"/>
    <w:rsid w:val="5C675E40"/>
    <w:rsid w:val="5C703C02"/>
    <w:rsid w:val="5C793B8B"/>
    <w:rsid w:val="5CE62A01"/>
    <w:rsid w:val="5CF357B2"/>
    <w:rsid w:val="5D763505"/>
    <w:rsid w:val="5D975735"/>
    <w:rsid w:val="5E412D49"/>
    <w:rsid w:val="5E9900B7"/>
    <w:rsid w:val="5EE6559E"/>
    <w:rsid w:val="5EEB0610"/>
    <w:rsid w:val="5F452072"/>
    <w:rsid w:val="60003C11"/>
    <w:rsid w:val="601A00B9"/>
    <w:rsid w:val="609A4013"/>
    <w:rsid w:val="60AA2BEF"/>
    <w:rsid w:val="60D33E69"/>
    <w:rsid w:val="61345E2D"/>
    <w:rsid w:val="61D00EF9"/>
    <w:rsid w:val="61E51E91"/>
    <w:rsid w:val="620C4081"/>
    <w:rsid w:val="62BE55A7"/>
    <w:rsid w:val="63073914"/>
    <w:rsid w:val="63BF5350"/>
    <w:rsid w:val="64410F8F"/>
    <w:rsid w:val="650B7DB1"/>
    <w:rsid w:val="65246ACC"/>
    <w:rsid w:val="6525552A"/>
    <w:rsid w:val="65A37E37"/>
    <w:rsid w:val="65ED5CF9"/>
    <w:rsid w:val="66214D4B"/>
    <w:rsid w:val="662F193B"/>
    <w:rsid w:val="676D11B1"/>
    <w:rsid w:val="67777261"/>
    <w:rsid w:val="679447FC"/>
    <w:rsid w:val="67C4287A"/>
    <w:rsid w:val="6A9D113C"/>
    <w:rsid w:val="6AFE5484"/>
    <w:rsid w:val="6B510528"/>
    <w:rsid w:val="6B905C6D"/>
    <w:rsid w:val="6BAB47AD"/>
    <w:rsid w:val="6C3A4C22"/>
    <w:rsid w:val="6D576BF1"/>
    <w:rsid w:val="6E222502"/>
    <w:rsid w:val="6E43145C"/>
    <w:rsid w:val="6F9C661F"/>
    <w:rsid w:val="6FBC68BD"/>
    <w:rsid w:val="709B326F"/>
    <w:rsid w:val="70D257CA"/>
    <w:rsid w:val="7105212A"/>
    <w:rsid w:val="714A6F91"/>
    <w:rsid w:val="717861E6"/>
    <w:rsid w:val="71E51075"/>
    <w:rsid w:val="721053C9"/>
    <w:rsid w:val="729E73D6"/>
    <w:rsid w:val="72A2184F"/>
    <w:rsid w:val="72E1650F"/>
    <w:rsid w:val="72FA6A5F"/>
    <w:rsid w:val="742C620D"/>
    <w:rsid w:val="74315C2D"/>
    <w:rsid w:val="74CD070C"/>
    <w:rsid w:val="756525A9"/>
    <w:rsid w:val="75916774"/>
    <w:rsid w:val="75C45C07"/>
    <w:rsid w:val="75D30A80"/>
    <w:rsid w:val="76032893"/>
    <w:rsid w:val="76144D61"/>
    <w:rsid w:val="7622685D"/>
    <w:rsid w:val="76330637"/>
    <w:rsid w:val="76623B9E"/>
    <w:rsid w:val="76DA658D"/>
    <w:rsid w:val="77257DC4"/>
    <w:rsid w:val="77737259"/>
    <w:rsid w:val="777E712C"/>
    <w:rsid w:val="77B42984"/>
    <w:rsid w:val="77E77C7D"/>
    <w:rsid w:val="77F225F4"/>
    <w:rsid w:val="78292766"/>
    <w:rsid w:val="783E141B"/>
    <w:rsid w:val="78AE22DF"/>
    <w:rsid w:val="791C72D5"/>
    <w:rsid w:val="79625860"/>
    <w:rsid w:val="79CA5BEE"/>
    <w:rsid w:val="79F57956"/>
    <w:rsid w:val="7AE028CB"/>
    <w:rsid w:val="7AEA31EF"/>
    <w:rsid w:val="7B6B6728"/>
    <w:rsid w:val="7B7546C1"/>
    <w:rsid w:val="7BE0014F"/>
    <w:rsid w:val="7C03494B"/>
    <w:rsid w:val="7C0E5888"/>
    <w:rsid w:val="7C5459C3"/>
    <w:rsid w:val="7CFC5708"/>
    <w:rsid w:val="7E3D731F"/>
    <w:rsid w:val="7EC413B3"/>
    <w:rsid w:val="7ED3737B"/>
    <w:rsid w:val="7F1E68F8"/>
    <w:rsid w:val="7F2F09E5"/>
    <w:rsid w:val="7F95445F"/>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2"/>
      <w:szCs w:val="24"/>
      <w:lang w:val="en-US" w:eastAsia="zh-CN" w:bidi="ar-SA"/>
    </w:rPr>
  </w:style>
  <w:style w:type="paragraph" w:styleId="3">
    <w:name w:val="heading 1"/>
    <w:basedOn w:val="1"/>
    <w:next w:val="1"/>
    <w:qFormat/>
    <w:uiPriority w:val="0"/>
    <w:pPr>
      <w:keepNext/>
      <w:keepLines/>
      <w:spacing w:line="576" w:lineRule="auto"/>
      <w:outlineLvl w:val="0"/>
    </w:pPr>
    <w:rPr>
      <w:b/>
      <w:kern w:val="44"/>
      <w:sz w:val="44"/>
    </w:rPr>
  </w:style>
  <w:style w:type="paragraph" w:styleId="4">
    <w:name w:val="heading 2"/>
    <w:basedOn w:val="1"/>
    <w:next w:val="1"/>
    <w:qFormat/>
    <w:uiPriority w:val="0"/>
    <w:pPr>
      <w:keepNext/>
      <w:keepLines/>
      <w:spacing w:line="413" w:lineRule="auto"/>
      <w:outlineLvl w:val="1"/>
    </w:pPr>
    <w:rPr>
      <w:rFonts w:ascii="Arial" w:hAnsi="Arial" w:eastAsia="黑体"/>
      <w:b/>
      <w:sz w:val="32"/>
    </w:rPr>
  </w:style>
  <w:style w:type="paragraph" w:styleId="5">
    <w:name w:val="heading 3"/>
    <w:basedOn w:val="1"/>
    <w:next w:val="1"/>
    <w:qFormat/>
    <w:uiPriority w:val="0"/>
    <w:pPr>
      <w:keepNext/>
      <w:keepLines/>
      <w:spacing w:line="413" w:lineRule="auto"/>
      <w:outlineLvl w:val="2"/>
    </w:pPr>
    <w:rPr>
      <w:b/>
      <w:sz w:val="32"/>
    </w:rPr>
  </w:style>
  <w:style w:type="paragraph" w:styleId="6">
    <w:name w:val="heading 4"/>
    <w:basedOn w:val="1"/>
    <w:next w:val="1"/>
    <w:link w:val="40"/>
    <w:qFormat/>
    <w:uiPriority w:val="0"/>
    <w:pPr>
      <w:keepNext/>
      <w:keepLines/>
      <w:spacing w:before="280" w:after="290" w:line="376" w:lineRule="auto"/>
      <w:ind w:firstLine="0" w:firstLineChars="0"/>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4" w:lineRule="auto"/>
      <w:outlineLvl w:val="4"/>
    </w:pPr>
    <w:rPr>
      <w:b/>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18"/>
    </w:rPr>
  </w:style>
  <w:style w:type="paragraph" w:styleId="8">
    <w:name w:val="annotation text"/>
    <w:basedOn w:val="1"/>
    <w:link w:val="43"/>
    <w:qFormat/>
    <w:uiPriority w:val="0"/>
    <w:pPr>
      <w:jc w:val="left"/>
    </w:pPr>
  </w:style>
  <w:style w:type="paragraph" w:styleId="9">
    <w:name w:val="Body Text Indent"/>
    <w:basedOn w:val="1"/>
    <w:link w:val="41"/>
    <w:qFormat/>
    <w:uiPriority w:val="0"/>
    <w:pPr>
      <w:spacing w:after="120"/>
      <w:ind w:left="420" w:leftChars="200"/>
    </w:pPr>
  </w:style>
  <w:style w:type="paragraph" w:styleId="10">
    <w:name w:val="Body Text Indent 2"/>
    <w:basedOn w:val="1"/>
    <w:qFormat/>
    <w:uiPriority w:val="0"/>
    <w:pPr>
      <w:ind w:firstLine="18667" w:firstLineChars="2220"/>
    </w:pPr>
    <w:rPr>
      <w:b/>
      <w:sz w:val="84"/>
      <w:szCs w:val="20"/>
    </w:rPr>
  </w:style>
  <w:style w:type="paragraph" w:styleId="11">
    <w:name w:val="Balloon Text"/>
    <w:basedOn w:val="1"/>
    <w:link w:val="34"/>
    <w:qFormat/>
    <w:uiPriority w:val="0"/>
    <w:pPr>
      <w:spacing w:line="240" w:lineRule="auto"/>
    </w:pPr>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rPr>
  </w:style>
  <w:style w:type="paragraph" w:styleId="14">
    <w:name w:val="toc 1"/>
    <w:basedOn w:val="1"/>
    <w:next w:val="1"/>
    <w:qFormat/>
    <w:uiPriority w:val="39"/>
  </w:style>
  <w:style w:type="paragraph" w:styleId="15">
    <w:name w:val="toc 2"/>
    <w:basedOn w:val="1"/>
    <w:next w:val="1"/>
    <w:qFormat/>
    <w:uiPriority w:val="39"/>
    <w:pPr>
      <w:ind w:left="420" w:leftChars="200"/>
    </w:pPr>
  </w:style>
  <w:style w:type="paragraph" w:styleId="16">
    <w:name w:val="Normal (Web)"/>
    <w:basedOn w:val="1"/>
    <w:qFormat/>
    <w:uiPriority w:val="0"/>
    <w:pPr>
      <w:spacing w:before="100" w:beforeAutospacing="1" w:after="100" w:afterAutospacing="1"/>
      <w:jc w:val="left"/>
    </w:pPr>
    <w:rPr>
      <w:kern w:val="0"/>
      <w:sz w:val="24"/>
    </w:rPr>
  </w:style>
  <w:style w:type="paragraph" w:styleId="17">
    <w:name w:val="annotation subject"/>
    <w:basedOn w:val="8"/>
    <w:next w:val="8"/>
    <w:link w:val="44"/>
    <w:qFormat/>
    <w:uiPriority w:val="0"/>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0"/>
    <w:rPr>
      <w:b/>
    </w:rPr>
  </w:style>
  <w:style w:type="character" w:styleId="22">
    <w:name w:val="page number"/>
    <w:basedOn w:val="20"/>
    <w:qFormat/>
    <w:uiPriority w:val="0"/>
  </w:style>
  <w:style w:type="character" w:styleId="23">
    <w:name w:val="Emphasis"/>
    <w:basedOn w:val="20"/>
    <w:qFormat/>
    <w:uiPriority w:val="0"/>
    <w:rPr>
      <w:color w:val="CC0000"/>
    </w:rPr>
  </w:style>
  <w:style w:type="character" w:styleId="24">
    <w:name w:val="Hyperlink"/>
    <w:basedOn w:val="20"/>
    <w:unhideWhenUsed/>
    <w:qFormat/>
    <w:uiPriority w:val="99"/>
    <w:rPr>
      <w:color w:val="0000FF" w:themeColor="hyperlink"/>
      <w:u w:val="single"/>
      <w14:textFill>
        <w14:solidFill>
          <w14:schemeClr w14:val="hlink"/>
        </w14:solidFill>
      </w14:textFill>
    </w:rPr>
  </w:style>
  <w:style w:type="character" w:styleId="25">
    <w:name w:val="annotation reference"/>
    <w:basedOn w:val="20"/>
    <w:qFormat/>
    <w:uiPriority w:val="0"/>
    <w:rPr>
      <w:sz w:val="21"/>
      <w:szCs w:val="21"/>
    </w:rPr>
  </w:style>
  <w:style w:type="character" w:styleId="26">
    <w:name w:val="HTML Cite"/>
    <w:basedOn w:val="20"/>
    <w:qFormat/>
    <w:uiPriority w:val="0"/>
    <w:rPr>
      <w:color w:val="008000"/>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8">
    <w:name w:val="Char2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9">
    <w:name w:val="标准文件_段"/>
    <w:qFormat/>
    <w:uiPriority w:val="0"/>
    <w:pPr>
      <w:widowControl w:val="0"/>
      <w:autoSpaceDE w:val="0"/>
      <w:autoSpaceDN w:val="0"/>
      <w:adjustRightInd w:val="0"/>
      <w:snapToGrid w:val="0"/>
      <w:spacing w:line="276" w:lineRule="auto"/>
      <w:jc w:val="both"/>
      <w:outlineLvl w:val="2"/>
    </w:pPr>
    <w:rPr>
      <w:rFonts w:ascii="宋体" w:hAnsi="宋体" w:eastAsia="宋体" w:cs="Times New Roman"/>
      <w:spacing w:val="2"/>
      <w:sz w:val="24"/>
      <w:szCs w:val="24"/>
      <w:lang w:val="en-US" w:eastAsia="zh-CN" w:bidi="ar-SA"/>
    </w:rPr>
  </w:style>
  <w:style w:type="paragraph" w:customStyle="1" w:styleId="30">
    <w:name w:val="一级标题"/>
    <w:basedOn w:val="3"/>
    <w:next w:val="1"/>
    <w:qFormat/>
    <w:uiPriority w:val="0"/>
    <w:pPr>
      <w:keepLines w:val="0"/>
      <w:adjustRightInd w:val="0"/>
      <w:spacing w:beforeLines="100" w:afterLines="100" w:line="420" w:lineRule="exact"/>
      <w:ind w:firstLine="3784" w:firstLineChars="860"/>
      <w:jc w:val="left"/>
      <w:textAlignment w:val="baseline"/>
    </w:pPr>
    <w:rPr>
      <w:rFonts w:ascii="黑体" w:hAnsi="宋体" w:eastAsia="黑体"/>
      <w:b w:val="0"/>
      <w:kern w:val="0"/>
      <w:szCs w:val="44"/>
    </w:rPr>
  </w:style>
  <w:style w:type="paragraph" w:customStyle="1" w:styleId="31">
    <w:name w:val="标准文件_二级条标题"/>
    <w:basedOn w:val="1"/>
    <w:next w:val="1"/>
    <w:qFormat/>
    <w:uiPriority w:val="0"/>
    <w:pPr>
      <w:widowControl/>
      <w:numPr>
        <w:ilvl w:val="1"/>
        <w:numId w:val="1"/>
      </w:numPr>
      <w:spacing w:afterLines="50" w:line="240" w:lineRule="auto"/>
      <w:ind w:right="-50" w:rightChars="-50" w:firstLineChars="0"/>
      <w:outlineLvl w:val="3"/>
    </w:pPr>
    <w:rPr>
      <w:rFonts w:ascii="黑体" w:eastAsia="黑体"/>
      <w:spacing w:val="2"/>
      <w:kern w:val="0"/>
      <w:sz w:val="21"/>
      <w:szCs w:val="20"/>
    </w:rPr>
  </w:style>
  <w:style w:type="paragraph" w:customStyle="1" w:styleId="3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3">
    <w:name w:val="WPSOffice手动目录 1"/>
    <w:qFormat/>
    <w:uiPriority w:val="0"/>
    <w:rPr>
      <w:rFonts w:ascii="Times New Roman" w:hAnsi="Times New Roman" w:eastAsia="宋体" w:cs="Times New Roman"/>
      <w:lang w:val="en-US" w:eastAsia="zh-CN" w:bidi="ar-SA"/>
    </w:rPr>
  </w:style>
  <w:style w:type="character" w:customStyle="1" w:styleId="34">
    <w:name w:val="批注框文本 Char"/>
    <w:basedOn w:val="20"/>
    <w:link w:val="11"/>
    <w:qFormat/>
    <w:uiPriority w:val="0"/>
    <w:rPr>
      <w:kern w:val="2"/>
      <w:sz w:val="18"/>
      <w:szCs w:val="18"/>
    </w:rPr>
  </w:style>
  <w:style w:type="paragraph" w:styleId="35">
    <w:name w:val="List Paragraph"/>
    <w:basedOn w:val="1"/>
    <w:unhideWhenUsed/>
    <w:qFormat/>
    <w:uiPriority w:val="99"/>
    <w:pPr>
      <w:ind w:firstLine="420"/>
    </w:pPr>
  </w:style>
  <w:style w:type="paragraph" w:customStyle="1" w:styleId="36">
    <w:name w:val="列出段落1"/>
    <w:basedOn w:val="1"/>
    <w:qFormat/>
    <w:uiPriority w:val="1"/>
    <w:pPr>
      <w:spacing w:before="158" w:line="240" w:lineRule="auto"/>
      <w:ind w:left="220" w:firstLine="0" w:firstLineChars="0"/>
    </w:pPr>
    <w:rPr>
      <w:rFonts w:ascii="Calibri" w:hAnsi="Calibri"/>
      <w:sz w:val="21"/>
    </w:rPr>
  </w:style>
  <w:style w:type="paragraph" w:customStyle="1" w:styleId="37">
    <w:name w:val="Body text|1"/>
    <w:basedOn w:val="1"/>
    <w:qFormat/>
    <w:uiPriority w:val="0"/>
    <w:pPr>
      <w:spacing w:line="331" w:lineRule="auto"/>
      <w:ind w:firstLine="400" w:firstLineChars="0"/>
    </w:pPr>
    <w:rPr>
      <w:rFonts w:ascii="宋体" w:hAnsi="宋体" w:cs="宋体"/>
      <w:szCs w:val="22"/>
      <w:lang w:val="zh-TW" w:eastAsia="zh-TW" w:bidi="zh-TW"/>
    </w:rPr>
  </w:style>
  <w:style w:type="paragraph" w:customStyle="1" w:styleId="38">
    <w:name w:val="列项——（一级）"/>
    <w:qFormat/>
    <w:uiPriority w:val="0"/>
    <w:pPr>
      <w:widowControl w:val="0"/>
      <w:numPr>
        <w:ilvl w:val="0"/>
        <w:numId w:val="2"/>
      </w:numPr>
      <w:jc w:val="both"/>
    </w:pPr>
    <w:rPr>
      <w:rFonts w:ascii="宋体" w:hAnsi="Times New Roman" w:eastAsia="宋体" w:cs="Times New Roman"/>
      <w:sz w:val="21"/>
      <w:lang w:val="en-US" w:eastAsia="zh-CN" w:bidi="ar-SA"/>
    </w:rPr>
  </w:style>
  <w:style w:type="character" w:customStyle="1" w:styleId="39">
    <w:name w:val="标题 4 字符"/>
    <w:basedOn w:val="20"/>
    <w:semiHidden/>
    <w:qFormat/>
    <w:uiPriority w:val="0"/>
    <w:rPr>
      <w:rFonts w:asciiTheme="majorHAnsi" w:hAnsiTheme="majorHAnsi" w:eastAsiaTheme="majorEastAsia" w:cstheme="majorBidi"/>
      <w:b/>
      <w:bCs/>
      <w:kern w:val="2"/>
      <w:sz w:val="28"/>
      <w:szCs w:val="28"/>
    </w:rPr>
  </w:style>
  <w:style w:type="character" w:customStyle="1" w:styleId="40">
    <w:name w:val="标题 4 Char"/>
    <w:link w:val="6"/>
    <w:qFormat/>
    <w:locked/>
    <w:uiPriority w:val="0"/>
    <w:rPr>
      <w:rFonts w:ascii="Arial" w:hAnsi="Arial" w:eastAsia="黑体"/>
      <w:b/>
      <w:bCs/>
      <w:kern w:val="2"/>
      <w:sz w:val="28"/>
      <w:szCs w:val="28"/>
    </w:rPr>
  </w:style>
  <w:style w:type="character" w:customStyle="1" w:styleId="41">
    <w:name w:val="正文文本缩进 Char1"/>
    <w:basedOn w:val="20"/>
    <w:link w:val="9"/>
    <w:qFormat/>
    <w:uiPriority w:val="0"/>
    <w:rPr>
      <w:kern w:val="2"/>
      <w:sz w:val="22"/>
      <w:szCs w:val="24"/>
    </w:rPr>
  </w:style>
  <w:style w:type="character" w:customStyle="1" w:styleId="42">
    <w:name w:val="正文文本缩进 Char"/>
    <w:qFormat/>
    <w:uiPriority w:val="0"/>
    <w:rPr>
      <w:kern w:val="2"/>
      <w:sz w:val="22"/>
      <w:szCs w:val="24"/>
    </w:rPr>
  </w:style>
  <w:style w:type="character" w:customStyle="1" w:styleId="43">
    <w:name w:val="批注文字 Char"/>
    <w:basedOn w:val="20"/>
    <w:link w:val="8"/>
    <w:qFormat/>
    <w:uiPriority w:val="0"/>
    <w:rPr>
      <w:kern w:val="2"/>
      <w:sz w:val="22"/>
      <w:szCs w:val="24"/>
    </w:rPr>
  </w:style>
  <w:style w:type="character" w:customStyle="1" w:styleId="44">
    <w:name w:val="批注主题 Char"/>
    <w:basedOn w:val="43"/>
    <w:link w:val="17"/>
    <w:qFormat/>
    <w:uiPriority w:val="0"/>
    <w:rPr>
      <w:b/>
      <w:bCs/>
      <w:kern w:val="2"/>
      <w:sz w:val="22"/>
      <w:szCs w:val="24"/>
    </w:rPr>
  </w:style>
  <w:style w:type="paragraph" w:customStyle="1" w:styleId="45">
    <w:name w:val="Revision"/>
    <w:hidden/>
    <w:unhideWhenUsed/>
    <w:qFormat/>
    <w:uiPriority w:val="99"/>
    <w:rPr>
      <w:rFonts w:ascii="Times New Roman" w:hAnsi="Times New Roman" w:eastAsia="宋体" w:cs="Times New Roman"/>
      <w:kern w:val="2"/>
      <w:sz w:val="2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14.xml"/><Relationship Id="rId22" Type="http://schemas.openxmlformats.org/officeDocument/2006/relationships/footer" Target="footer13.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25D24A-E204-4AEA-A9E4-15E39E97AF4D}">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20</Pages>
  <Words>5195</Words>
  <Characters>5731</Characters>
  <Lines>48</Lines>
  <Paragraphs>13</Paragraphs>
  <TotalTime>0</TotalTime>
  <ScaleCrop>false</ScaleCrop>
  <LinksUpToDate>false</LinksUpToDate>
  <CharactersWithSpaces>5981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2023-12-08T06:57:00Z</dcterms:created>
  <dc:creator>天涯客</dc:creator>
  <cp:lastModifiedBy>张加涛</cp:lastModifiedBy>
  <cp:lastPrinted>2022-05-06T06:49:00Z</cp:lastPrinted>
  <dcterms:modified xsi:type="dcterms:W3CDTF">2025-06-20T00:49:35Z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7E58B460414943E3B210568E68814191_13</vt:lpwstr>
  </property>
  <property fmtid="{D5CDD505-2E9C-101B-9397-08002B2CF9AE}" pid="4" name="KSOTemplateDocerSaveRecord">
    <vt:lpwstr>eyJoZGlkIjoiODg0MWQyNWEyYWYxZjdmYjMwOTVlN2EzMGQzMTU2OWEiLCJ1c2VySWQiOiI1Mjk3ODE2NTIifQ==</vt:lpwstr>
  </property>
</Properties>
</file>